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70746" w14:textId="77777777" w:rsidR="00B44A57" w:rsidRPr="00A5695E" w:rsidRDefault="00B44A57" w:rsidP="00B44A57">
      <w:pPr>
        <w:tabs>
          <w:tab w:val="center" w:pos="4153"/>
          <w:tab w:val="right" w:pos="8306"/>
        </w:tabs>
        <w:jc w:val="center"/>
        <w:rPr>
          <w:rFonts w:ascii="Tahoma" w:hAnsi="Tahoma"/>
          <w:b/>
          <w:bCs/>
          <w:noProof/>
          <w:color w:val="000080"/>
        </w:rPr>
      </w:pPr>
      <w:bookmarkStart w:id="0" w:name="LastJudge"/>
      <w:r w:rsidRPr="00A5695E">
        <w:rPr>
          <w:rFonts w:ascii="Tahoma" w:hAnsi="Tahoma"/>
          <w:b/>
          <w:bCs/>
          <w:color w:val="000080"/>
          <w:rtl/>
        </w:rPr>
        <w:t>בית המשפט המחוזי בירושלים</w:t>
      </w:r>
    </w:p>
    <w:p w14:paraId="766EC0B3" w14:textId="77777777" w:rsidR="00B44A57" w:rsidRPr="00A5695E" w:rsidRDefault="00B44A57" w:rsidP="00B44A57">
      <w:pPr>
        <w:pStyle w:val="a3"/>
        <w:jc w:val="center"/>
        <w:rPr>
          <w:rFonts w:ascii="Tahoma" w:hAnsi="Tahoma"/>
          <w:b/>
          <w:bCs/>
          <w:color w:val="000080"/>
          <w:rtl/>
        </w:rPr>
      </w:pPr>
      <w:r w:rsidRPr="00A5695E">
        <w:rPr>
          <w:rFonts w:ascii="Tahoma" w:hAnsi="Tahoma"/>
          <w:b/>
          <w:bCs/>
          <w:color w:val="000080"/>
          <w:rtl/>
        </w:rPr>
        <w:t>ב</w:t>
      </w:r>
      <w:r w:rsidRPr="00A5695E">
        <w:rPr>
          <w:rFonts w:ascii="Tahoma" w:hAnsi="Tahoma" w:hint="cs"/>
          <w:b/>
          <w:bCs/>
          <w:color w:val="000080"/>
          <w:rtl/>
        </w:rPr>
        <w:t>פני כבווד השופט אריה רומנוב</w:t>
      </w:r>
    </w:p>
    <w:p w14:paraId="11E37CAE" w14:textId="77777777" w:rsidR="00B44A57" w:rsidRPr="00A5695E" w:rsidRDefault="00B44A57" w:rsidP="00B44A57">
      <w:pPr>
        <w:pStyle w:val="a3"/>
        <w:jc w:val="right"/>
        <w:rPr>
          <w:sz w:val="26"/>
          <w:szCs w:val="26"/>
          <w:rtl/>
          <w:cs/>
        </w:rPr>
      </w:pPr>
      <w:r w:rsidRPr="00A5695E">
        <w:rPr>
          <w:rFonts w:ascii="Tahoma" w:hAnsi="Tahoma" w:hint="cs"/>
          <w:b/>
          <w:bCs/>
          <w:sz w:val="26"/>
          <w:szCs w:val="26"/>
          <w:rtl/>
        </w:rPr>
        <w:t>ת"פ 43990-06-14</w:t>
      </w:r>
    </w:p>
    <w:p w14:paraId="5F32D72E" w14:textId="77777777" w:rsidR="00B44A57" w:rsidRPr="00A5695E" w:rsidRDefault="00B44A57" w:rsidP="00B44A57">
      <w:pPr>
        <w:pStyle w:val="a3"/>
        <w:jc w:val="right"/>
        <w:rPr>
          <w:sz w:val="26"/>
          <w:szCs w:val="26"/>
          <w:rtl/>
        </w:rPr>
      </w:pPr>
    </w:p>
    <w:p w14:paraId="3C75F3DA" w14:textId="77777777" w:rsidR="00B44A57" w:rsidRPr="00A5695E" w:rsidRDefault="00B44A57" w:rsidP="00B44A57">
      <w:pPr>
        <w:pStyle w:val="a3"/>
        <w:rPr>
          <w:rtl/>
        </w:rPr>
      </w:pPr>
    </w:p>
    <w:p w14:paraId="1418BA81" w14:textId="77777777" w:rsidR="00B44A57" w:rsidRPr="00A5695E" w:rsidRDefault="00B44A57" w:rsidP="00B44A57">
      <w:pPr>
        <w:rPr>
          <w:rtl/>
        </w:rPr>
      </w:pPr>
    </w:p>
    <w:tbl>
      <w:tblPr>
        <w:bidiVisual/>
        <w:tblW w:w="7337" w:type="dxa"/>
        <w:jc w:val="center"/>
        <w:tblLook w:val="01E0" w:firstRow="1" w:lastRow="1" w:firstColumn="1" w:lastColumn="1" w:noHBand="0" w:noVBand="0"/>
      </w:tblPr>
      <w:tblGrid>
        <w:gridCol w:w="914"/>
        <w:gridCol w:w="3448"/>
        <w:gridCol w:w="2975"/>
      </w:tblGrid>
      <w:tr w:rsidR="00B44A57" w:rsidRPr="00A5695E" w14:paraId="5145A4B3" w14:textId="77777777" w:rsidTr="00B44A57">
        <w:trPr>
          <w:jc w:val="center"/>
        </w:trPr>
        <w:tc>
          <w:tcPr>
            <w:tcW w:w="914" w:type="dxa"/>
            <w:shd w:val="clear" w:color="auto" w:fill="auto"/>
          </w:tcPr>
          <w:p w14:paraId="13B7A535" w14:textId="77777777" w:rsidR="00B44A57" w:rsidRPr="00A5695E" w:rsidRDefault="00B44A57" w:rsidP="00B44A57">
            <w:pPr>
              <w:bidi w:val="0"/>
              <w:rPr>
                <w:rFonts w:ascii="Arial" w:hAnsi="Arial"/>
                <w:b/>
                <w:bCs/>
                <w:noProof/>
              </w:rPr>
            </w:pPr>
            <w:bookmarkStart w:id="1" w:name="FirstAppellant"/>
            <w:r w:rsidRPr="00A5695E">
              <w:rPr>
                <w:rFonts w:ascii="Arial" w:hAnsi="Arial"/>
                <w:b/>
                <w:bCs/>
                <w:sz w:val="26"/>
                <w:szCs w:val="26"/>
                <w:rtl/>
              </w:rPr>
              <w:t>בעניין</w:t>
            </w:r>
            <w:r w:rsidRPr="00A5695E">
              <w:rPr>
                <w:rFonts w:ascii="Arial" w:hAnsi="Arial"/>
                <w:b/>
                <w:bCs/>
                <w:rtl/>
              </w:rPr>
              <w:t>:</w:t>
            </w:r>
          </w:p>
        </w:tc>
        <w:tc>
          <w:tcPr>
            <w:tcW w:w="3448" w:type="dxa"/>
            <w:shd w:val="clear" w:color="auto" w:fill="auto"/>
          </w:tcPr>
          <w:p w14:paraId="07499A87" w14:textId="77777777" w:rsidR="00B44A57" w:rsidRPr="00A5695E" w:rsidRDefault="00B44A57" w:rsidP="007D2748">
            <w:pPr>
              <w:rPr>
                <w:noProof/>
                <w:sz w:val="26"/>
                <w:szCs w:val="26"/>
              </w:rPr>
            </w:pPr>
            <w:r w:rsidRPr="00A5695E">
              <w:rPr>
                <w:rFonts w:ascii="Arial" w:hAnsi="Arial" w:hint="cs"/>
                <w:b/>
                <w:bCs/>
                <w:sz w:val="26"/>
                <w:szCs w:val="26"/>
                <w:rtl/>
              </w:rPr>
              <w:t>מדינת ישראל</w:t>
            </w:r>
          </w:p>
        </w:tc>
        <w:tc>
          <w:tcPr>
            <w:tcW w:w="2975" w:type="dxa"/>
            <w:shd w:val="clear" w:color="auto" w:fill="auto"/>
          </w:tcPr>
          <w:p w14:paraId="2DB9F054" w14:textId="77777777" w:rsidR="00B44A57" w:rsidRPr="00A5695E" w:rsidRDefault="00B44A57" w:rsidP="007D2748">
            <w:pPr>
              <w:rPr>
                <w:rFonts w:ascii="Arial" w:hAnsi="Arial"/>
                <w:b/>
                <w:bCs/>
                <w:rtl/>
              </w:rPr>
            </w:pPr>
          </w:p>
        </w:tc>
      </w:tr>
      <w:bookmarkEnd w:id="1"/>
      <w:tr w:rsidR="00B44A57" w:rsidRPr="00A5695E" w14:paraId="2AE2AF97" w14:textId="77777777" w:rsidTr="00B44A57">
        <w:trPr>
          <w:jc w:val="center"/>
        </w:trPr>
        <w:tc>
          <w:tcPr>
            <w:tcW w:w="914" w:type="dxa"/>
            <w:shd w:val="clear" w:color="auto" w:fill="auto"/>
          </w:tcPr>
          <w:p w14:paraId="77CC4D3A" w14:textId="77777777" w:rsidR="00B44A57" w:rsidRPr="00A5695E" w:rsidRDefault="00B44A57" w:rsidP="00B44A57">
            <w:pPr>
              <w:bidi w:val="0"/>
              <w:rPr>
                <w:rFonts w:ascii="Arial" w:hAnsi="Arial"/>
                <w:b/>
                <w:bCs/>
                <w:noProof/>
                <w:sz w:val="26"/>
                <w:szCs w:val="26"/>
              </w:rPr>
            </w:pPr>
          </w:p>
          <w:p w14:paraId="73BBA0FB" w14:textId="77777777" w:rsidR="00B44A57" w:rsidRPr="00A5695E" w:rsidRDefault="00B44A57" w:rsidP="00B44A57">
            <w:pPr>
              <w:bidi w:val="0"/>
              <w:rPr>
                <w:rFonts w:ascii="Arial" w:hAnsi="Arial"/>
                <w:b/>
                <w:bCs/>
                <w:sz w:val="26"/>
                <w:szCs w:val="26"/>
                <w:rtl/>
              </w:rPr>
            </w:pPr>
          </w:p>
        </w:tc>
        <w:tc>
          <w:tcPr>
            <w:tcW w:w="3448" w:type="dxa"/>
            <w:shd w:val="clear" w:color="auto" w:fill="auto"/>
          </w:tcPr>
          <w:p w14:paraId="001BA138" w14:textId="77777777" w:rsidR="00B44A57" w:rsidRPr="00A5695E" w:rsidRDefault="00B44A57" w:rsidP="007D2748">
            <w:pPr>
              <w:rPr>
                <w:b/>
                <w:bCs/>
                <w:noProof/>
                <w:sz w:val="26"/>
                <w:szCs w:val="26"/>
              </w:rPr>
            </w:pPr>
          </w:p>
        </w:tc>
        <w:tc>
          <w:tcPr>
            <w:tcW w:w="2975" w:type="dxa"/>
            <w:shd w:val="clear" w:color="auto" w:fill="auto"/>
          </w:tcPr>
          <w:p w14:paraId="3F048157" w14:textId="77777777" w:rsidR="00B44A57" w:rsidRPr="00A5695E" w:rsidRDefault="00B44A57" w:rsidP="00B44A57">
            <w:pPr>
              <w:ind w:left="720"/>
              <w:rPr>
                <w:b/>
                <w:bCs/>
                <w:noProof/>
                <w:sz w:val="26"/>
                <w:szCs w:val="26"/>
              </w:rPr>
            </w:pPr>
            <w:r w:rsidRPr="00A5695E">
              <w:rPr>
                <w:b/>
                <w:bCs/>
                <w:sz w:val="26"/>
                <w:szCs w:val="26"/>
                <w:rtl/>
              </w:rPr>
              <w:t>המ</w:t>
            </w:r>
            <w:r w:rsidRPr="00A5695E">
              <w:rPr>
                <w:rFonts w:hint="cs"/>
                <w:b/>
                <w:bCs/>
                <w:sz w:val="26"/>
                <w:szCs w:val="26"/>
                <w:rtl/>
              </w:rPr>
              <w:t>אשימה</w:t>
            </w:r>
          </w:p>
        </w:tc>
      </w:tr>
      <w:tr w:rsidR="00B44A57" w:rsidRPr="00A5695E" w14:paraId="7C0026AC" w14:textId="77777777" w:rsidTr="00B44A57">
        <w:trPr>
          <w:jc w:val="center"/>
        </w:trPr>
        <w:tc>
          <w:tcPr>
            <w:tcW w:w="7332" w:type="dxa"/>
            <w:gridSpan w:val="3"/>
            <w:shd w:val="clear" w:color="auto" w:fill="auto"/>
          </w:tcPr>
          <w:p w14:paraId="5576F292" w14:textId="77777777" w:rsidR="00B44A57" w:rsidRPr="00A5695E" w:rsidRDefault="00B44A57" w:rsidP="00B44A57">
            <w:pPr>
              <w:ind w:left="1440"/>
              <w:rPr>
                <w:rFonts w:ascii="Arial" w:hAnsi="Arial"/>
                <w:b/>
                <w:bCs/>
                <w:noProof/>
                <w:sz w:val="26"/>
                <w:szCs w:val="26"/>
              </w:rPr>
            </w:pPr>
            <w:r w:rsidRPr="00A5695E">
              <w:rPr>
                <w:rFonts w:ascii="Arial" w:hAnsi="Arial"/>
                <w:b/>
                <w:bCs/>
                <w:sz w:val="26"/>
                <w:szCs w:val="26"/>
                <w:rtl/>
              </w:rPr>
              <w:t>נ ג ד</w:t>
            </w:r>
          </w:p>
          <w:p w14:paraId="4F44A627" w14:textId="77777777" w:rsidR="00B44A57" w:rsidRPr="00A5695E" w:rsidRDefault="00B44A57" w:rsidP="007D2748">
            <w:pPr>
              <w:rPr>
                <w:rFonts w:ascii="Arial" w:hAnsi="Arial"/>
                <w:b/>
                <w:bCs/>
                <w:sz w:val="26"/>
                <w:szCs w:val="26"/>
                <w:rtl/>
              </w:rPr>
            </w:pPr>
          </w:p>
          <w:p w14:paraId="17A6FB37" w14:textId="77777777" w:rsidR="00B44A57" w:rsidRPr="00A5695E" w:rsidRDefault="00B44A57" w:rsidP="007D2748">
            <w:pPr>
              <w:rPr>
                <w:rFonts w:ascii="Arial" w:hAnsi="Arial"/>
                <w:b/>
                <w:bCs/>
                <w:sz w:val="26"/>
                <w:szCs w:val="26"/>
                <w:rtl/>
              </w:rPr>
            </w:pPr>
          </w:p>
        </w:tc>
      </w:tr>
      <w:tr w:rsidR="00B44A57" w:rsidRPr="00A5695E" w14:paraId="695967DC" w14:textId="77777777" w:rsidTr="00B44A57">
        <w:trPr>
          <w:jc w:val="center"/>
        </w:trPr>
        <w:tc>
          <w:tcPr>
            <w:tcW w:w="914" w:type="dxa"/>
            <w:shd w:val="clear" w:color="auto" w:fill="auto"/>
          </w:tcPr>
          <w:p w14:paraId="2CD88F71" w14:textId="77777777" w:rsidR="00B44A57" w:rsidRPr="00A5695E" w:rsidRDefault="00B44A57" w:rsidP="007D2748">
            <w:pPr>
              <w:rPr>
                <w:rFonts w:ascii="Arial" w:hAnsi="Arial"/>
                <w:b/>
                <w:bCs/>
                <w:noProof/>
                <w:sz w:val="26"/>
                <w:szCs w:val="26"/>
              </w:rPr>
            </w:pPr>
          </w:p>
          <w:p w14:paraId="0B03BEBE" w14:textId="77777777" w:rsidR="00B44A57" w:rsidRPr="00A5695E" w:rsidRDefault="00B44A57" w:rsidP="007D2748">
            <w:pPr>
              <w:rPr>
                <w:rFonts w:ascii="Arial" w:hAnsi="Arial"/>
                <w:b/>
                <w:bCs/>
                <w:sz w:val="26"/>
                <w:szCs w:val="26"/>
                <w:rtl/>
              </w:rPr>
            </w:pPr>
          </w:p>
        </w:tc>
        <w:tc>
          <w:tcPr>
            <w:tcW w:w="3448" w:type="dxa"/>
            <w:shd w:val="clear" w:color="auto" w:fill="auto"/>
          </w:tcPr>
          <w:p w14:paraId="29B92696" w14:textId="77777777" w:rsidR="00B44A57" w:rsidRPr="00A5695E" w:rsidRDefault="00B44A57" w:rsidP="007D2748">
            <w:pPr>
              <w:rPr>
                <w:b/>
                <w:bCs/>
                <w:noProof/>
                <w:sz w:val="26"/>
                <w:szCs w:val="26"/>
              </w:rPr>
            </w:pPr>
            <w:r w:rsidRPr="00A5695E">
              <w:rPr>
                <w:rFonts w:ascii="Arial" w:hAnsi="Arial" w:hint="cs"/>
                <w:b/>
                <w:bCs/>
                <w:sz w:val="26"/>
                <w:szCs w:val="26"/>
                <w:rtl/>
              </w:rPr>
              <w:t>הישאם עאבדין</w:t>
            </w:r>
          </w:p>
          <w:p w14:paraId="3F0A1EBC" w14:textId="77777777" w:rsidR="00B44A57" w:rsidRPr="00A5695E" w:rsidRDefault="00B44A57" w:rsidP="007D2748">
            <w:pPr>
              <w:rPr>
                <w:b/>
                <w:bCs/>
                <w:sz w:val="26"/>
                <w:szCs w:val="26"/>
                <w:rtl/>
              </w:rPr>
            </w:pPr>
          </w:p>
        </w:tc>
        <w:tc>
          <w:tcPr>
            <w:tcW w:w="2975" w:type="dxa"/>
            <w:shd w:val="clear" w:color="auto" w:fill="auto"/>
          </w:tcPr>
          <w:p w14:paraId="0249EEC3" w14:textId="77777777" w:rsidR="00B44A57" w:rsidRPr="00A5695E" w:rsidRDefault="00B44A57" w:rsidP="007D2748">
            <w:pPr>
              <w:rPr>
                <w:b/>
                <w:bCs/>
                <w:noProof/>
                <w:sz w:val="26"/>
                <w:szCs w:val="26"/>
              </w:rPr>
            </w:pPr>
          </w:p>
        </w:tc>
      </w:tr>
      <w:tr w:rsidR="00B44A57" w:rsidRPr="00A5695E" w14:paraId="4C6B6791" w14:textId="77777777" w:rsidTr="00B44A57">
        <w:trPr>
          <w:jc w:val="center"/>
        </w:trPr>
        <w:tc>
          <w:tcPr>
            <w:tcW w:w="914" w:type="dxa"/>
            <w:shd w:val="clear" w:color="auto" w:fill="auto"/>
          </w:tcPr>
          <w:p w14:paraId="25F24588" w14:textId="77777777" w:rsidR="00B44A57" w:rsidRPr="00A5695E" w:rsidRDefault="00B44A57" w:rsidP="007D2748">
            <w:pPr>
              <w:rPr>
                <w:rFonts w:ascii="Arial" w:hAnsi="Arial"/>
                <w:b/>
                <w:bCs/>
                <w:noProof/>
                <w:sz w:val="26"/>
                <w:szCs w:val="26"/>
              </w:rPr>
            </w:pPr>
          </w:p>
        </w:tc>
        <w:tc>
          <w:tcPr>
            <w:tcW w:w="3448" w:type="dxa"/>
            <w:shd w:val="clear" w:color="auto" w:fill="auto"/>
          </w:tcPr>
          <w:p w14:paraId="5A623E62" w14:textId="77777777" w:rsidR="00B44A57" w:rsidRPr="00A5695E" w:rsidRDefault="00B44A57" w:rsidP="007D2748">
            <w:pPr>
              <w:rPr>
                <w:noProof/>
                <w:sz w:val="26"/>
                <w:szCs w:val="26"/>
              </w:rPr>
            </w:pPr>
          </w:p>
        </w:tc>
        <w:tc>
          <w:tcPr>
            <w:tcW w:w="2975" w:type="dxa"/>
            <w:shd w:val="clear" w:color="auto" w:fill="auto"/>
          </w:tcPr>
          <w:p w14:paraId="0600167D" w14:textId="77777777" w:rsidR="00B44A57" w:rsidRPr="00A5695E" w:rsidRDefault="00B44A57" w:rsidP="00B44A57">
            <w:pPr>
              <w:ind w:left="720"/>
              <w:rPr>
                <w:b/>
                <w:bCs/>
                <w:noProof/>
                <w:sz w:val="26"/>
                <w:szCs w:val="26"/>
              </w:rPr>
            </w:pPr>
            <w:r w:rsidRPr="00A5695E">
              <w:rPr>
                <w:b/>
                <w:bCs/>
                <w:sz w:val="26"/>
                <w:szCs w:val="26"/>
                <w:rtl/>
              </w:rPr>
              <w:t>ה</w:t>
            </w:r>
            <w:r w:rsidRPr="00A5695E">
              <w:rPr>
                <w:rFonts w:ascii="Arial" w:hAnsi="Arial" w:hint="cs"/>
                <w:b/>
                <w:bCs/>
                <w:sz w:val="26"/>
                <w:szCs w:val="26"/>
                <w:rtl/>
              </w:rPr>
              <w:t>נאשם</w:t>
            </w:r>
          </w:p>
        </w:tc>
      </w:tr>
    </w:tbl>
    <w:p w14:paraId="4F70FB51" w14:textId="77777777" w:rsidR="00B44A57" w:rsidRPr="00A5695E" w:rsidRDefault="00B44A57" w:rsidP="00B44A57">
      <w:pPr>
        <w:rPr>
          <w:b/>
          <w:bCs/>
          <w:rtl/>
        </w:rPr>
      </w:pPr>
    </w:p>
    <w:p w14:paraId="3C6643DE" w14:textId="77777777" w:rsidR="00B44A57" w:rsidRPr="00A5695E" w:rsidRDefault="00B44A57" w:rsidP="00B44A57">
      <w:pPr>
        <w:rPr>
          <w:rtl/>
        </w:rPr>
      </w:pPr>
    </w:p>
    <w:p w14:paraId="3A4675A3" w14:textId="77777777" w:rsidR="00B44A57" w:rsidRPr="00A5695E" w:rsidRDefault="00B44A57" w:rsidP="00B44A57">
      <w:pPr>
        <w:rPr>
          <w:rtl/>
        </w:rPr>
      </w:pPr>
    </w:p>
    <w:p w14:paraId="3C1BCDD3" w14:textId="77777777" w:rsidR="00B44A57" w:rsidRPr="00A5695E" w:rsidRDefault="00B44A57" w:rsidP="00B44A57">
      <w:pPr>
        <w:rPr>
          <w:rtl/>
        </w:rPr>
      </w:pPr>
    </w:p>
    <w:p w14:paraId="11B3E8CE" w14:textId="77777777" w:rsidR="00B44A57" w:rsidRPr="00A5695E" w:rsidRDefault="00B44A57" w:rsidP="00B44A57">
      <w:pPr>
        <w:rPr>
          <w:b/>
          <w:bCs/>
          <w:rtl/>
        </w:rPr>
      </w:pPr>
      <w:bookmarkStart w:id="2" w:name="FirstLawyer"/>
      <w:r w:rsidRPr="00A5695E">
        <w:rPr>
          <w:rFonts w:hint="cs"/>
          <w:b/>
          <w:bCs/>
          <w:rtl/>
        </w:rPr>
        <w:t>ב"כ</w:t>
      </w:r>
      <w:bookmarkEnd w:id="2"/>
      <w:r w:rsidRPr="00A5695E">
        <w:rPr>
          <w:rFonts w:hint="cs"/>
          <w:b/>
          <w:bCs/>
          <w:rtl/>
        </w:rPr>
        <w:t xml:space="preserve"> המאשימה: עו"ד מיכל בלומנטל</w:t>
      </w:r>
    </w:p>
    <w:p w14:paraId="3DF6CF73" w14:textId="77777777" w:rsidR="00B44A57" w:rsidRPr="00A5695E" w:rsidRDefault="00B44A57" w:rsidP="00B44A57">
      <w:pPr>
        <w:rPr>
          <w:b/>
          <w:bCs/>
          <w:rtl/>
        </w:rPr>
      </w:pPr>
      <w:r w:rsidRPr="00A5695E">
        <w:rPr>
          <w:rFonts w:hint="cs"/>
          <w:b/>
          <w:bCs/>
          <w:rtl/>
        </w:rPr>
        <w:t>ב"כ הנאשם: עו"ד מוחמד חלאילה</w:t>
      </w:r>
    </w:p>
    <w:p w14:paraId="4081337D" w14:textId="77777777" w:rsidR="00B44A57" w:rsidRPr="00A5695E" w:rsidRDefault="00B44A57" w:rsidP="00B44A57">
      <w:pPr>
        <w:rPr>
          <w:b/>
          <w:bCs/>
          <w:rtl/>
        </w:rPr>
      </w:pPr>
    </w:p>
    <w:p w14:paraId="37A10B8A" w14:textId="77777777" w:rsidR="00B44A57" w:rsidRPr="00A5695E" w:rsidRDefault="00B44A57" w:rsidP="00B44A57">
      <w:pPr>
        <w:rPr>
          <w:b/>
          <w:bCs/>
          <w:rtl/>
        </w:rPr>
      </w:pPr>
    </w:p>
    <w:p w14:paraId="384491C3" w14:textId="77777777" w:rsidR="00BB0585" w:rsidRPr="00BB0585" w:rsidRDefault="00BB0585" w:rsidP="00BB0585">
      <w:pPr>
        <w:spacing w:after="120" w:line="240" w:lineRule="exact"/>
        <w:ind w:left="283" w:hanging="283"/>
        <w:jc w:val="both"/>
        <w:rPr>
          <w:rFonts w:ascii="FrankRuehl" w:hAnsi="FrankRuehl" w:cs="FrankRuehl"/>
          <w:rtl/>
        </w:rPr>
      </w:pPr>
      <w:r w:rsidRPr="00BB0585">
        <w:rPr>
          <w:rFonts w:ascii="FrankRuehl" w:hAnsi="FrankRuehl" w:cs="FrankRuehl"/>
          <w:rtl/>
        </w:rPr>
        <w:t xml:space="preserve">חקיקה שאוזכרה: </w:t>
      </w:r>
    </w:p>
    <w:p w14:paraId="3998BD82" w14:textId="77777777" w:rsidR="00BB0585" w:rsidRPr="00BB0585" w:rsidRDefault="00BB0585" w:rsidP="00BB0585">
      <w:pPr>
        <w:spacing w:after="120" w:line="240" w:lineRule="exact"/>
        <w:ind w:left="283" w:hanging="283"/>
        <w:jc w:val="both"/>
        <w:rPr>
          <w:rFonts w:ascii="FrankRuehl" w:hAnsi="FrankRuehl" w:cs="FrankRuehl"/>
          <w:rtl/>
        </w:rPr>
      </w:pPr>
      <w:hyperlink r:id="rId6" w:history="1">
        <w:r w:rsidRPr="00BB0585">
          <w:rPr>
            <w:rFonts w:ascii="FrankRuehl" w:hAnsi="FrankRuehl" w:cs="FrankRuehl"/>
            <w:color w:val="0000FF"/>
            <w:u w:val="single"/>
            <w:rtl/>
          </w:rPr>
          <w:t>חוק העונשין, תשל"ז-1977</w:t>
        </w:r>
      </w:hyperlink>
      <w:r w:rsidRPr="00BB0585">
        <w:rPr>
          <w:rFonts w:ascii="FrankRuehl" w:hAnsi="FrankRuehl" w:cs="FrankRuehl"/>
          <w:rtl/>
        </w:rPr>
        <w:t xml:space="preserve">: סע'  </w:t>
      </w:r>
      <w:hyperlink r:id="rId7" w:history="1">
        <w:r w:rsidRPr="00BB0585">
          <w:rPr>
            <w:rFonts w:ascii="FrankRuehl" w:hAnsi="FrankRuehl" w:cs="FrankRuehl"/>
            <w:color w:val="0000FF"/>
            <w:u w:val="single"/>
            <w:rtl/>
          </w:rPr>
          <w:t>144(ב)</w:t>
        </w:r>
      </w:hyperlink>
      <w:r w:rsidRPr="00BB0585">
        <w:rPr>
          <w:rFonts w:ascii="FrankRuehl" w:hAnsi="FrankRuehl" w:cs="FrankRuehl"/>
          <w:rtl/>
        </w:rPr>
        <w:t xml:space="preserve">, </w:t>
      </w:r>
      <w:hyperlink r:id="rId8" w:history="1">
        <w:r w:rsidRPr="00BB0585">
          <w:rPr>
            <w:rFonts w:ascii="FrankRuehl" w:hAnsi="FrankRuehl" w:cs="FrankRuehl"/>
            <w:color w:val="0000FF"/>
            <w:u w:val="single"/>
            <w:rtl/>
          </w:rPr>
          <w:t>192</w:t>
        </w:r>
      </w:hyperlink>
    </w:p>
    <w:p w14:paraId="33AAEBA2" w14:textId="77777777" w:rsidR="000C2D66" w:rsidRDefault="000C2D66" w:rsidP="00B44A57">
      <w:pPr>
        <w:rPr>
          <w:rtl/>
        </w:rPr>
      </w:pPr>
      <w:bookmarkStart w:id="3" w:name="LawTable"/>
      <w:bookmarkEnd w:id="3"/>
    </w:p>
    <w:p w14:paraId="3F1E83AA" w14:textId="77777777" w:rsidR="000C2D66" w:rsidRPr="000C2D66" w:rsidRDefault="000C2D66" w:rsidP="000C2D66">
      <w:pPr>
        <w:spacing w:after="120" w:line="240" w:lineRule="exact"/>
        <w:ind w:left="283" w:hanging="283"/>
        <w:jc w:val="both"/>
        <w:rPr>
          <w:rFonts w:ascii="FrankRuehl" w:hAnsi="FrankRuehl" w:cs="FrankRuehl"/>
          <w:rtl/>
        </w:rPr>
      </w:pPr>
    </w:p>
    <w:p w14:paraId="10ADD41F" w14:textId="77777777" w:rsidR="000C2D66" w:rsidRPr="000C2D66" w:rsidRDefault="000C2D66" w:rsidP="000C2D66">
      <w:pPr>
        <w:spacing w:after="120" w:line="240" w:lineRule="exact"/>
        <w:ind w:left="283" w:hanging="283"/>
        <w:jc w:val="both"/>
        <w:rPr>
          <w:rFonts w:ascii="FrankRuehl" w:hAnsi="FrankRuehl" w:cs="FrankRuehl"/>
          <w:rtl/>
        </w:rPr>
      </w:pPr>
      <w:r w:rsidRPr="000C2D66">
        <w:rPr>
          <w:rFonts w:ascii="FrankRuehl" w:hAnsi="FrankRuehl" w:cs="FrankRuehl"/>
          <w:rtl/>
        </w:rPr>
        <w:t xml:space="preserve">חקיקה שאוזכרה: </w:t>
      </w:r>
    </w:p>
    <w:p w14:paraId="77AF680C" w14:textId="77777777" w:rsidR="000C2D66" w:rsidRPr="000C2D66" w:rsidRDefault="000C2D66" w:rsidP="000C2D66">
      <w:pPr>
        <w:spacing w:after="120" w:line="240" w:lineRule="exact"/>
        <w:ind w:left="283" w:hanging="283"/>
        <w:jc w:val="both"/>
        <w:rPr>
          <w:rFonts w:ascii="FrankRuehl" w:hAnsi="FrankRuehl" w:cs="FrankRuehl"/>
          <w:rtl/>
        </w:rPr>
      </w:pPr>
      <w:hyperlink r:id="rId9" w:history="1">
        <w:r w:rsidRPr="000C2D66">
          <w:rPr>
            <w:rFonts w:ascii="FrankRuehl" w:hAnsi="FrankRuehl" w:cs="FrankRuehl"/>
            <w:color w:val="0000FF"/>
            <w:u w:val="single"/>
            <w:rtl/>
          </w:rPr>
          <w:t>חוק העונשין, תשל"ז-1977</w:t>
        </w:r>
      </w:hyperlink>
      <w:r w:rsidRPr="000C2D66">
        <w:rPr>
          <w:rFonts w:ascii="FrankRuehl" w:hAnsi="FrankRuehl" w:cs="FrankRuehl"/>
          <w:rtl/>
        </w:rPr>
        <w:t xml:space="preserve">: סע'  </w:t>
      </w:r>
      <w:hyperlink r:id="rId10" w:history="1">
        <w:r w:rsidRPr="000C2D66">
          <w:rPr>
            <w:rFonts w:ascii="FrankRuehl" w:hAnsi="FrankRuehl" w:cs="FrankRuehl"/>
            <w:color w:val="0000FF"/>
            <w:u w:val="single"/>
            <w:rtl/>
          </w:rPr>
          <w:t>144(ב)</w:t>
        </w:r>
      </w:hyperlink>
      <w:r w:rsidRPr="000C2D66">
        <w:rPr>
          <w:rFonts w:ascii="FrankRuehl" w:hAnsi="FrankRuehl" w:cs="FrankRuehl"/>
          <w:rtl/>
        </w:rPr>
        <w:t xml:space="preserve">, </w:t>
      </w:r>
      <w:hyperlink r:id="rId11" w:history="1">
        <w:r w:rsidRPr="000C2D66">
          <w:rPr>
            <w:rFonts w:ascii="FrankRuehl" w:hAnsi="FrankRuehl" w:cs="FrankRuehl"/>
            <w:color w:val="0000FF"/>
            <w:u w:val="single"/>
            <w:rtl/>
          </w:rPr>
          <w:t>192</w:t>
        </w:r>
      </w:hyperlink>
    </w:p>
    <w:p w14:paraId="1F379CCE" w14:textId="77777777" w:rsidR="000C2D66" w:rsidRPr="000C2D66" w:rsidRDefault="000C2D66" w:rsidP="000C2D66">
      <w:pPr>
        <w:spacing w:after="120" w:line="240" w:lineRule="exact"/>
        <w:ind w:left="283" w:hanging="283"/>
        <w:jc w:val="both"/>
        <w:rPr>
          <w:rFonts w:ascii="FrankRuehl" w:hAnsi="FrankRuehl" w:cs="FrankRuehl"/>
          <w:rtl/>
        </w:rPr>
      </w:pPr>
    </w:p>
    <w:p w14:paraId="33875BD6" w14:textId="77777777" w:rsidR="000C2D66" w:rsidRPr="000C2D66" w:rsidRDefault="000C2D66" w:rsidP="00B44A57">
      <w:pPr>
        <w:rPr>
          <w:rtl/>
        </w:rPr>
      </w:pPr>
      <w:bookmarkStart w:id="4" w:name="LawTable_End"/>
      <w:bookmarkEnd w:id="4"/>
    </w:p>
    <w:p w14:paraId="6ADAE1C7" w14:textId="77777777" w:rsidR="000C2D66" w:rsidRPr="000C2D66" w:rsidRDefault="000C2D66" w:rsidP="00B44A57">
      <w:pPr>
        <w:rPr>
          <w:b/>
          <w:bCs/>
          <w:rtl/>
        </w:rPr>
      </w:pPr>
    </w:p>
    <w:p w14:paraId="6A14829B" w14:textId="77777777" w:rsidR="00A5695E" w:rsidRPr="000C2D66" w:rsidRDefault="00A5695E" w:rsidP="00B44A57">
      <w:pPr>
        <w:rPr>
          <w:rFonts w:hint="cs"/>
          <w:b/>
          <w:bCs/>
          <w:rtl/>
        </w:rPr>
      </w:pPr>
    </w:p>
    <w:p w14:paraId="2FE36321" w14:textId="77777777" w:rsidR="000C2D66" w:rsidRPr="000C2D66" w:rsidRDefault="000C2D66" w:rsidP="00B44A57">
      <w:pPr>
        <w:rPr>
          <w:rtl/>
        </w:rPr>
      </w:pPr>
    </w:p>
    <w:p w14:paraId="415EB544" w14:textId="77777777" w:rsidR="000C2D66" w:rsidRPr="000C2D66" w:rsidRDefault="000C2D66" w:rsidP="00B44A57">
      <w:pPr>
        <w:rPr>
          <w:b/>
          <w:bCs/>
          <w:rtl/>
        </w:rPr>
      </w:pPr>
    </w:p>
    <w:p w14:paraId="695CC818" w14:textId="77777777" w:rsidR="00B44A57" w:rsidRPr="000C2D66" w:rsidRDefault="00B44A57" w:rsidP="00B44A57">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44A57" w:rsidRPr="009C69CF" w14:paraId="13DC63FE" w14:textId="77777777" w:rsidTr="00B44A57">
        <w:trPr>
          <w:trHeight w:val="355"/>
          <w:jc w:val="center"/>
        </w:trPr>
        <w:tc>
          <w:tcPr>
            <w:tcW w:w="8820" w:type="dxa"/>
            <w:tcBorders>
              <w:top w:val="nil"/>
              <w:left w:val="nil"/>
              <w:bottom w:val="nil"/>
              <w:right w:val="nil"/>
            </w:tcBorders>
            <w:shd w:val="clear" w:color="auto" w:fill="auto"/>
          </w:tcPr>
          <w:p w14:paraId="27752B1E" w14:textId="77777777" w:rsidR="00A5695E" w:rsidRPr="00A5695E" w:rsidRDefault="00A5695E" w:rsidP="00A5695E">
            <w:pPr>
              <w:jc w:val="center"/>
              <w:rPr>
                <w:rFonts w:ascii="Arial" w:hAnsi="Arial"/>
                <w:b/>
                <w:bCs/>
                <w:sz w:val="32"/>
                <w:szCs w:val="32"/>
                <w:u w:val="single"/>
                <w:rtl/>
              </w:rPr>
            </w:pPr>
            <w:bookmarkStart w:id="5" w:name="PsakDin" w:colFirst="0" w:colLast="0"/>
            <w:bookmarkEnd w:id="0"/>
            <w:r w:rsidRPr="00A5695E">
              <w:rPr>
                <w:rFonts w:ascii="Arial" w:hAnsi="Arial"/>
                <w:b/>
                <w:bCs/>
                <w:sz w:val="32"/>
                <w:szCs w:val="32"/>
                <w:u w:val="single"/>
                <w:rtl/>
              </w:rPr>
              <w:t>גזר דין</w:t>
            </w:r>
          </w:p>
          <w:p w14:paraId="5503F50A" w14:textId="77777777" w:rsidR="00B44A57" w:rsidRPr="00A5695E" w:rsidRDefault="00B44A57" w:rsidP="00A5695E">
            <w:pPr>
              <w:jc w:val="center"/>
              <w:rPr>
                <w:rFonts w:ascii="Arial" w:hAnsi="Arial"/>
                <w:bCs/>
                <w:sz w:val="32"/>
                <w:szCs w:val="32"/>
                <w:u w:val="single"/>
                <w:rtl/>
              </w:rPr>
            </w:pPr>
          </w:p>
        </w:tc>
      </w:tr>
      <w:bookmarkEnd w:id="5"/>
    </w:tbl>
    <w:p w14:paraId="08F4B535" w14:textId="77777777" w:rsidR="00B44A57" w:rsidRPr="009C69CF" w:rsidRDefault="00B44A57" w:rsidP="00B44A57">
      <w:pPr>
        <w:rPr>
          <w:rFonts w:ascii="Arial" w:hAnsi="Arial"/>
          <w:rtl/>
        </w:rPr>
      </w:pPr>
    </w:p>
    <w:p w14:paraId="2ED872FE" w14:textId="77777777" w:rsidR="00B44A57" w:rsidRPr="009C69CF" w:rsidRDefault="00B44A57" w:rsidP="00B44A57">
      <w:pPr>
        <w:rPr>
          <w:rFonts w:ascii="Arial" w:hAnsi="Arial"/>
          <w:rtl/>
        </w:rPr>
      </w:pPr>
    </w:p>
    <w:p w14:paraId="40C051B7" w14:textId="77777777" w:rsidR="00B44A57" w:rsidRDefault="00B44A57" w:rsidP="00B44A57">
      <w:pPr>
        <w:spacing w:line="360" w:lineRule="auto"/>
        <w:ind w:left="720" w:hanging="720"/>
        <w:jc w:val="both"/>
        <w:rPr>
          <w:rtl/>
        </w:rPr>
      </w:pPr>
      <w:r w:rsidRPr="009C69CF">
        <w:rPr>
          <w:rFonts w:hint="cs"/>
          <w:rtl/>
        </w:rPr>
        <w:t>1.</w:t>
      </w:r>
      <w:r w:rsidRPr="009C69CF">
        <w:rPr>
          <w:rFonts w:hint="cs"/>
          <w:rtl/>
        </w:rPr>
        <w:tab/>
      </w:r>
      <w:bookmarkStart w:id="6" w:name="ABSTRACT_START"/>
      <w:bookmarkEnd w:id="6"/>
      <w:r w:rsidRPr="009C69CF">
        <w:rPr>
          <w:rFonts w:hint="cs"/>
          <w:rtl/>
        </w:rPr>
        <w:t>בכתב האישום שהוגש בתיק זה נגד הנאשם, ישנם שני אישומים. באישום הראשון הואשם הנאשם בתחילה, בעביר</w:t>
      </w:r>
      <w:r>
        <w:rPr>
          <w:rFonts w:hint="cs"/>
          <w:rtl/>
        </w:rPr>
        <w:t>ה</w:t>
      </w:r>
      <w:r w:rsidRPr="009C69CF">
        <w:rPr>
          <w:rFonts w:hint="cs"/>
          <w:rtl/>
        </w:rPr>
        <w:t xml:space="preserve"> של חבלה בכוונה מחמירה; עבירות בנשק (לפי </w:t>
      </w:r>
      <w:hyperlink r:id="rId12" w:history="1">
        <w:r w:rsidR="00BB0585" w:rsidRPr="00BB0585">
          <w:rPr>
            <w:color w:val="0000FF"/>
            <w:u w:val="single"/>
            <w:rtl/>
          </w:rPr>
          <w:t>סעיף 144(ב)</w:t>
        </w:r>
      </w:hyperlink>
      <w:r w:rsidRPr="009C69CF">
        <w:rPr>
          <w:rFonts w:hint="cs"/>
          <w:rtl/>
        </w:rPr>
        <w:t xml:space="preserve"> ל</w:t>
      </w:r>
      <w:hyperlink r:id="rId13" w:history="1">
        <w:r w:rsidR="00A5695E" w:rsidRPr="00A5695E">
          <w:rPr>
            <w:color w:val="0000FF"/>
            <w:u w:val="single"/>
            <w:rtl/>
          </w:rPr>
          <w:t>חוק העונשין</w:t>
        </w:r>
      </w:hyperlink>
      <w:r w:rsidRPr="009C69CF">
        <w:rPr>
          <w:rFonts w:hint="cs"/>
          <w:rtl/>
        </w:rPr>
        <w:t xml:space="preserve">, תשל"ז-1977); ועבירה של יריות באזור מגורים. באישום השני הואשם הנאשם בתחילה, בעבירות בנשק ובעבירה של החזקת סכין שלא כדין. הנאשם כפר בעיקר העובדות שיוחסו לו, והתיק נקבע לשמיעת ראיות. בעיצומה של ישיבת ההוכחות הרביעית שהתקיימה בתיק זה, הגיעו הצדדים להסדר טיעון במסגרתו נערכו שינויים משמעותיים בעובדות האישום הראשון, כך שלנאשם מיוחסת עתה באישום זה עבירה אחת של איומים. גם באישום השני נערכו שינויים, כך שלנאשם מיוחסת עתה באישום זה עבירה אחת לפי </w:t>
      </w:r>
      <w:hyperlink r:id="rId14" w:history="1">
        <w:r w:rsidR="00BB0585" w:rsidRPr="00BB0585">
          <w:rPr>
            <w:color w:val="0000FF"/>
            <w:u w:val="single"/>
            <w:rtl/>
          </w:rPr>
          <w:t>סעיף 144(ב)</w:t>
        </w:r>
      </w:hyperlink>
      <w:r w:rsidRPr="009C69CF">
        <w:rPr>
          <w:rFonts w:hint="cs"/>
          <w:rtl/>
        </w:rPr>
        <w:t xml:space="preserve"> ל</w:t>
      </w:r>
      <w:hyperlink r:id="rId15" w:history="1">
        <w:r w:rsidR="00A5695E" w:rsidRPr="00A5695E">
          <w:rPr>
            <w:color w:val="0000FF"/>
            <w:u w:val="single"/>
            <w:rtl/>
          </w:rPr>
          <w:t>חוק העונשין</w:t>
        </w:r>
      </w:hyperlink>
      <w:r w:rsidRPr="009C69CF">
        <w:rPr>
          <w:rFonts w:hint="cs"/>
          <w:rtl/>
        </w:rPr>
        <w:t xml:space="preserve"> (עבירות בנשק). במסגרת הסדר הטיעון הודה הנאשם בעובדות כתב האישום המתוקן, והוא הורשע בעבירה אחת של איומים לפי </w:t>
      </w:r>
      <w:hyperlink r:id="rId16" w:history="1">
        <w:r w:rsidR="00BB0585" w:rsidRPr="00BB0585">
          <w:rPr>
            <w:color w:val="0000FF"/>
            <w:u w:val="single"/>
            <w:rtl/>
          </w:rPr>
          <w:t>סעיף 192</w:t>
        </w:r>
      </w:hyperlink>
      <w:r w:rsidRPr="009C69CF">
        <w:rPr>
          <w:rFonts w:hint="cs"/>
          <w:rtl/>
        </w:rPr>
        <w:t xml:space="preserve"> ל</w:t>
      </w:r>
      <w:hyperlink r:id="rId17" w:history="1">
        <w:r w:rsidR="00A5695E" w:rsidRPr="00A5695E">
          <w:rPr>
            <w:color w:val="0000FF"/>
            <w:u w:val="single"/>
            <w:rtl/>
          </w:rPr>
          <w:t>חוק העונשין</w:t>
        </w:r>
      </w:hyperlink>
      <w:r w:rsidRPr="009C69CF">
        <w:rPr>
          <w:rFonts w:hint="cs"/>
          <w:rtl/>
        </w:rPr>
        <w:t xml:space="preserve">, תשל"ז-1977, ובעבירה אחת לפי </w:t>
      </w:r>
      <w:hyperlink r:id="rId18" w:history="1">
        <w:r w:rsidR="00BB0585" w:rsidRPr="00BB0585">
          <w:rPr>
            <w:color w:val="0000FF"/>
            <w:u w:val="single"/>
            <w:rtl/>
          </w:rPr>
          <w:t>סעיף 144(ב)</w:t>
        </w:r>
      </w:hyperlink>
      <w:r w:rsidRPr="009C69CF">
        <w:rPr>
          <w:rFonts w:hint="cs"/>
          <w:rtl/>
        </w:rPr>
        <w:t xml:space="preserve"> לחוק זה. </w:t>
      </w:r>
    </w:p>
    <w:p w14:paraId="2D0BB259" w14:textId="77777777" w:rsidR="00B44A57" w:rsidRPr="00EA3380" w:rsidRDefault="00B44A57" w:rsidP="00B44A57">
      <w:pPr>
        <w:spacing w:line="360" w:lineRule="auto"/>
        <w:ind w:left="720" w:hanging="720"/>
        <w:jc w:val="both"/>
        <w:rPr>
          <w:sz w:val="2"/>
          <w:szCs w:val="2"/>
          <w:rtl/>
        </w:rPr>
      </w:pPr>
    </w:p>
    <w:p w14:paraId="34C5C425" w14:textId="77777777" w:rsidR="00B44A57" w:rsidRPr="009C69CF" w:rsidRDefault="00B44A57" w:rsidP="00B44A57">
      <w:pPr>
        <w:spacing w:line="360" w:lineRule="auto"/>
        <w:ind w:left="720" w:hanging="720"/>
        <w:jc w:val="both"/>
        <w:rPr>
          <w:rtl/>
        </w:rPr>
      </w:pPr>
    </w:p>
    <w:p w14:paraId="220281AE" w14:textId="77777777" w:rsidR="00B44A57" w:rsidRDefault="00B44A57" w:rsidP="00B44A57">
      <w:pPr>
        <w:spacing w:line="360" w:lineRule="auto"/>
        <w:ind w:left="720" w:hanging="720"/>
        <w:jc w:val="both"/>
        <w:rPr>
          <w:rtl/>
        </w:rPr>
      </w:pPr>
      <w:r w:rsidRPr="009C69CF">
        <w:rPr>
          <w:rFonts w:hint="cs"/>
          <w:rtl/>
        </w:rPr>
        <w:t>2.</w:t>
      </w:r>
      <w:r w:rsidRPr="009C69CF">
        <w:rPr>
          <w:rFonts w:hint="cs"/>
          <w:rtl/>
        </w:rPr>
        <w:tab/>
        <w:t xml:space="preserve">כפי שהדברים הובררו במהלך שמיעת הראיות, הרקע לאישום הראשון הוא סכסוך מר הקיים בין משפחת שוויקי המתגוררת בעזרייה, לבין הנאשם, </w:t>
      </w:r>
      <w:r>
        <w:rPr>
          <w:rFonts w:hint="cs"/>
          <w:rtl/>
        </w:rPr>
        <w:t xml:space="preserve">ווזאת </w:t>
      </w:r>
      <w:r w:rsidRPr="009C69CF">
        <w:rPr>
          <w:rFonts w:hint="cs"/>
          <w:rtl/>
        </w:rPr>
        <w:t xml:space="preserve">לנוכח סברתה של משפחת שוויקי ואמונתה, כי הנאשם רצח את אחד מבני המשפחה. </w:t>
      </w:r>
    </w:p>
    <w:p w14:paraId="5535B991" w14:textId="77777777" w:rsidR="00B44A57" w:rsidRPr="00EA3380" w:rsidRDefault="00B44A57" w:rsidP="00B44A57">
      <w:pPr>
        <w:spacing w:line="360" w:lineRule="auto"/>
        <w:ind w:left="720" w:hanging="720"/>
        <w:jc w:val="both"/>
        <w:rPr>
          <w:sz w:val="2"/>
          <w:szCs w:val="2"/>
          <w:rtl/>
        </w:rPr>
      </w:pPr>
      <w:bookmarkStart w:id="7" w:name="ABSTRACT_END"/>
      <w:bookmarkEnd w:id="7"/>
    </w:p>
    <w:p w14:paraId="091CC2DA" w14:textId="77777777" w:rsidR="00B44A57" w:rsidRPr="009C69CF" w:rsidRDefault="00B44A57" w:rsidP="00B44A57">
      <w:pPr>
        <w:spacing w:line="360" w:lineRule="auto"/>
        <w:ind w:left="720" w:hanging="720"/>
        <w:jc w:val="both"/>
        <w:rPr>
          <w:rtl/>
        </w:rPr>
      </w:pPr>
    </w:p>
    <w:p w14:paraId="2F6BCA23" w14:textId="77777777" w:rsidR="00B44A57" w:rsidRDefault="00B44A57" w:rsidP="00B44A57">
      <w:pPr>
        <w:spacing w:line="360" w:lineRule="auto"/>
        <w:ind w:left="720" w:hanging="720"/>
        <w:jc w:val="both"/>
        <w:rPr>
          <w:rtl/>
        </w:rPr>
      </w:pPr>
      <w:r w:rsidRPr="009C69CF">
        <w:rPr>
          <w:rFonts w:hint="cs"/>
          <w:rtl/>
        </w:rPr>
        <w:t xml:space="preserve">3. </w:t>
      </w:r>
      <w:r w:rsidRPr="009C69CF">
        <w:rPr>
          <w:rtl/>
        </w:rPr>
        <w:tab/>
      </w:r>
      <w:r w:rsidRPr="009C69CF">
        <w:rPr>
          <w:rFonts w:hint="cs"/>
          <w:rtl/>
        </w:rPr>
        <w:t xml:space="preserve">בהתאם לאמור באישום הראשון שבכתב האישום המתוקן, ביום 10.6.14 בשעות הצהריים הגיע הנאשם למפעל שלו הנמצא בעזרייה, לשם פגישה עם לקוחות. בשעה 15:00 לערך עברו ליד המפעל אחדים מבני משפחת שוויקי (להלן: "המתלוננים") והבחינו כי השער פתוח. לאחר מספר רגעים הלקוחות יצאו מהמפעל וסיפרו למתלוננים כי פגשו את הנאשם. המתלוננים ואחרים שזהותם אינה ידועה למאשימה החלו להתגודד מסביב למפעל. חלק מהמתגודדים זרקו אבנים לעבר המפעל וכן הוציאו את הקטנוע של הנאשם אל מחוץ למפעל. או אז עמד הנאשם עם רובה אוויר שאחז בידו ואיים על המתגודדים לעזוב את המפעל, בזמן שחלק מהמתגודדים </w:t>
      </w:r>
      <w:r>
        <w:rPr>
          <w:rFonts w:hint="cs"/>
          <w:rtl/>
        </w:rPr>
        <w:t>ממשיכים</w:t>
      </w:r>
      <w:r w:rsidRPr="009C69CF">
        <w:rPr>
          <w:rFonts w:hint="cs"/>
          <w:rtl/>
        </w:rPr>
        <w:t xml:space="preserve"> לזרוק אבנים. לאחר כשעתיים לערך, הגיע למקום מוכתאר אשר הרגיע את הרוחות ומילט את הנאשם מהמקום. </w:t>
      </w:r>
    </w:p>
    <w:p w14:paraId="5536693F" w14:textId="77777777" w:rsidR="00B44A57" w:rsidRPr="00EA3380" w:rsidRDefault="00B44A57" w:rsidP="00B44A57">
      <w:pPr>
        <w:spacing w:line="360" w:lineRule="auto"/>
        <w:ind w:left="720" w:hanging="720"/>
        <w:jc w:val="both"/>
        <w:rPr>
          <w:sz w:val="2"/>
          <w:szCs w:val="2"/>
          <w:rtl/>
        </w:rPr>
      </w:pPr>
    </w:p>
    <w:p w14:paraId="23706922" w14:textId="77777777" w:rsidR="00B44A57" w:rsidRPr="009C69CF" w:rsidRDefault="00B44A57" w:rsidP="00B44A57">
      <w:pPr>
        <w:spacing w:line="360" w:lineRule="auto"/>
        <w:ind w:left="720" w:hanging="720"/>
        <w:jc w:val="both"/>
        <w:rPr>
          <w:rtl/>
        </w:rPr>
      </w:pPr>
    </w:p>
    <w:p w14:paraId="2A7E0FA0" w14:textId="77777777" w:rsidR="00B44A57" w:rsidRDefault="00B44A57" w:rsidP="00B44A57">
      <w:pPr>
        <w:spacing w:line="360" w:lineRule="auto"/>
        <w:ind w:left="720" w:hanging="720"/>
        <w:jc w:val="both"/>
        <w:rPr>
          <w:rtl/>
        </w:rPr>
      </w:pPr>
      <w:r w:rsidRPr="009C69CF">
        <w:rPr>
          <w:rFonts w:hint="cs"/>
          <w:rtl/>
        </w:rPr>
        <w:t>4.</w:t>
      </w:r>
      <w:r w:rsidRPr="009C69CF">
        <w:rPr>
          <w:rtl/>
        </w:rPr>
        <w:tab/>
      </w:r>
      <w:r w:rsidRPr="009C69CF">
        <w:rPr>
          <w:rFonts w:hint="cs"/>
          <w:rtl/>
        </w:rPr>
        <w:t xml:space="preserve">כאמור, העבירה בה הורשע הנאשם באישום הראשון היא עבירת איומים. הגרסה המקורית של האישום הראשון הייתה חמורה במידה משמעותית מהגרסה הנוכחית, ויוחסו לו בגרסה המקורית עבירות חמורות במידה ניכרת מזו שמיוחסת לו עתה. </w:t>
      </w:r>
    </w:p>
    <w:p w14:paraId="412A3189" w14:textId="77777777" w:rsidR="00B44A57" w:rsidRPr="00EA3380" w:rsidRDefault="00B44A57" w:rsidP="00B44A57">
      <w:pPr>
        <w:spacing w:line="360" w:lineRule="auto"/>
        <w:ind w:left="720" w:hanging="720"/>
        <w:jc w:val="both"/>
        <w:rPr>
          <w:sz w:val="2"/>
          <w:szCs w:val="2"/>
          <w:rtl/>
        </w:rPr>
      </w:pPr>
    </w:p>
    <w:p w14:paraId="0ABB2865" w14:textId="77777777" w:rsidR="00B44A57" w:rsidRPr="009C69CF" w:rsidRDefault="00B44A57" w:rsidP="00B44A57">
      <w:pPr>
        <w:spacing w:line="360" w:lineRule="auto"/>
        <w:ind w:left="720" w:hanging="720"/>
        <w:jc w:val="both"/>
        <w:rPr>
          <w:rtl/>
        </w:rPr>
      </w:pPr>
    </w:p>
    <w:p w14:paraId="49095314" w14:textId="77777777" w:rsidR="00B44A57" w:rsidRDefault="00B44A57" w:rsidP="00B44A57">
      <w:pPr>
        <w:spacing w:line="360" w:lineRule="auto"/>
        <w:ind w:left="720" w:hanging="720"/>
        <w:jc w:val="both"/>
        <w:rPr>
          <w:rtl/>
        </w:rPr>
      </w:pPr>
      <w:r w:rsidRPr="009C69CF">
        <w:rPr>
          <w:rFonts w:hint="cs"/>
          <w:rtl/>
        </w:rPr>
        <w:t>5.</w:t>
      </w:r>
      <w:r w:rsidRPr="009C69CF">
        <w:rPr>
          <w:rFonts w:hint="cs"/>
          <w:rtl/>
        </w:rPr>
        <w:tab/>
        <w:t xml:space="preserve">בהתאם לאישום השני, בהמשך לאירוע המתואר באישום הראשון, בשעה 23:00 לערך, יצא הנאשם ברכב עם שניים אחרים, מעזרייה לכיוון ירושלים. בהגיעם למחסום א-זעים נעצרו השלושה על ידי כוח בילוש. באותה עת נשא הנאשם שלא כדין, בחלק הקדמי של מכנסיו, באזור הבטן, אקדח חצי אוטומטי שדווח כאקדח אשר נגנב מבעליו, ובתוכו מחסנית. בשל כך הורשע הנאשם בעבירה לפי </w:t>
      </w:r>
      <w:hyperlink r:id="rId19" w:history="1">
        <w:r w:rsidR="00BB0585" w:rsidRPr="00BB0585">
          <w:rPr>
            <w:color w:val="0000FF"/>
            <w:u w:val="single"/>
            <w:rtl/>
          </w:rPr>
          <w:t>סעיף 144(ב)</w:t>
        </w:r>
      </w:hyperlink>
      <w:r w:rsidRPr="009C69CF">
        <w:rPr>
          <w:rFonts w:hint="cs"/>
          <w:rtl/>
        </w:rPr>
        <w:t xml:space="preserve"> ל</w:t>
      </w:r>
      <w:hyperlink r:id="rId20" w:history="1">
        <w:r w:rsidR="00A5695E" w:rsidRPr="00A5695E">
          <w:rPr>
            <w:color w:val="0000FF"/>
            <w:u w:val="single"/>
            <w:rtl/>
          </w:rPr>
          <w:t>חוק העונשין</w:t>
        </w:r>
      </w:hyperlink>
      <w:r w:rsidRPr="009C69CF">
        <w:rPr>
          <w:rFonts w:hint="cs"/>
          <w:rtl/>
        </w:rPr>
        <w:t xml:space="preserve">. </w:t>
      </w:r>
    </w:p>
    <w:p w14:paraId="05C4FC70" w14:textId="77777777" w:rsidR="00B44A57" w:rsidRPr="00EA3380" w:rsidRDefault="00B44A57" w:rsidP="00B44A57">
      <w:pPr>
        <w:spacing w:line="360" w:lineRule="auto"/>
        <w:ind w:left="720" w:hanging="720"/>
        <w:jc w:val="both"/>
        <w:rPr>
          <w:sz w:val="2"/>
          <w:szCs w:val="2"/>
          <w:rtl/>
        </w:rPr>
      </w:pPr>
    </w:p>
    <w:p w14:paraId="711503D1" w14:textId="77777777" w:rsidR="00B44A57" w:rsidRPr="009C69CF" w:rsidRDefault="00B44A57" w:rsidP="00B44A57">
      <w:pPr>
        <w:spacing w:line="360" w:lineRule="auto"/>
        <w:ind w:left="720" w:hanging="720"/>
        <w:jc w:val="both"/>
        <w:rPr>
          <w:rtl/>
        </w:rPr>
      </w:pPr>
    </w:p>
    <w:p w14:paraId="4E404C6E" w14:textId="77777777" w:rsidR="00B44A57" w:rsidRPr="009C69CF" w:rsidRDefault="00B44A57" w:rsidP="00B44A57">
      <w:pPr>
        <w:spacing w:line="360" w:lineRule="auto"/>
        <w:ind w:left="720" w:hanging="720"/>
        <w:jc w:val="both"/>
        <w:rPr>
          <w:rtl/>
        </w:rPr>
      </w:pPr>
      <w:r w:rsidRPr="009C69CF">
        <w:rPr>
          <w:rFonts w:hint="cs"/>
          <w:rtl/>
        </w:rPr>
        <w:t>6.</w:t>
      </w:r>
      <w:r w:rsidRPr="009C69CF">
        <w:rPr>
          <w:rFonts w:hint="cs"/>
          <w:rtl/>
        </w:rPr>
        <w:tab/>
        <w:t xml:space="preserve">הנאשם בחר שלא לבקש כי יוגש בעניינו תסקיר מטעם שירות המבחן. מהטיעונים שנשמעו עולה, כי הנאשם הינו כיום אדם כבן 44. הוא רווק ומטפל בהוריו המבוגרים והחולים. יש לו מפעל לפלסטיק. בגיליון הרישום הפלילי של הנאשם </w:t>
      </w:r>
      <w:r>
        <w:rPr>
          <w:rFonts w:hint="cs"/>
          <w:rtl/>
        </w:rPr>
        <w:t>רשומה</w:t>
      </w:r>
      <w:r w:rsidRPr="009C69CF">
        <w:rPr>
          <w:rFonts w:hint="cs"/>
          <w:rtl/>
        </w:rPr>
        <w:t xml:space="preserve"> הרשעה אחת בעבירה של החזקת אגרופן או סכין</w:t>
      </w:r>
      <w:r>
        <w:rPr>
          <w:rFonts w:hint="cs"/>
          <w:rtl/>
        </w:rPr>
        <w:t>,</w:t>
      </w:r>
      <w:r w:rsidRPr="009C69CF">
        <w:rPr>
          <w:rFonts w:hint="cs"/>
          <w:rtl/>
        </w:rPr>
        <w:t xml:space="preserve"> שנעברה על ידי הנאשם בשנת 2008. בגין עבירה זו נדון הנאש</w:t>
      </w:r>
      <w:r>
        <w:rPr>
          <w:rFonts w:hint="cs"/>
          <w:rtl/>
        </w:rPr>
        <w:t xml:space="preserve">ם לעונש של 60 ימי מאסר על תנאי וקנס בסך 500 ₪. </w:t>
      </w:r>
    </w:p>
    <w:p w14:paraId="13C0FA32" w14:textId="77777777" w:rsidR="00B44A57" w:rsidRPr="009C69CF" w:rsidRDefault="00B44A57" w:rsidP="00B44A57">
      <w:pPr>
        <w:spacing w:line="360" w:lineRule="auto"/>
        <w:ind w:left="720" w:hanging="720"/>
        <w:jc w:val="both"/>
        <w:rPr>
          <w:rtl/>
        </w:rPr>
      </w:pPr>
    </w:p>
    <w:p w14:paraId="6D4B08A8" w14:textId="77777777" w:rsidR="00B44A57" w:rsidRPr="009C69CF" w:rsidRDefault="00B44A57" w:rsidP="00B44A57">
      <w:pPr>
        <w:spacing w:line="360" w:lineRule="auto"/>
        <w:ind w:left="720" w:hanging="720"/>
        <w:jc w:val="both"/>
        <w:rPr>
          <w:rtl/>
        </w:rPr>
      </w:pPr>
      <w:r w:rsidRPr="009C69CF">
        <w:rPr>
          <w:rFonts w:hint="cs"/>
          <w:rtl/>
        </w:rPr>
        <w:t>7.</w:t>
      </w:r>
      <w:r w:rsidRPr="009C69CF">
        <w:rPr>
          <w:rFonts w:hint="cs"/>
          <w:rtl/>
        </w:rPr>
        <w:tab/>
        <w:t xml:space="preserve">לטענת ב"כ המאשימה, יש לראות בשני האישומים בהם הורשע הנאשם שני אירועים נפרדים שאינם קשורים או תלויים האחד בשני. לטענת המאשימה, מתחם הענישה לגבי האישום הראשון נע בין חודש מאסר אחד לארבעה חודשי מאסר, שיכול ויבוצעו בעבודות שירות. באשר לאישום השני, עמדה ב"כ המאשימה על החומרה היתרה שבעבירות נשק, ועל </w:t>
      </w:r>
      <w:r w:rsidRPr="009C69CF">
        <w:rPr>
          <w:rFonts w:hint="cs"/>
          <w:rtl/>
        </w:rPr>
        <w:lastRenderedPageBreak/>
        <w:t xml:space="preserve">מדיניות הענישה המחמירה של בתי המשפט לנוכח חומרת עבירות הנשק. לטענת ב"כ המאשימה, מתחם הענישה במקרה שלפנינו נע בין שנת מאסר וחצי לבין ארבע שנות מאסר. ב"כ המאשימה סבורה כי יש למקם את הנאשם בשליש התחתון של המתחם, אבל לא בקצה. לסיכום, עמדת המאשימה היא שיש להטיל על הנאשם 20 חודשי מאסר; מאסר על תנאי; קנס; ופיצוי למתלוננים. </w:t>
      </w:r>
    </w:p>
    <w:p w14:paraId="72981395" w14:textId="77777777" w:rsidR="00B44A57" w:rsidRDefault="00B44A57" w:rsidP="00B44A57">
      <w:pPr>
        <w:spacing w:before="240" w:line="360" w:lineRule="auto"/>
        <w:ind w:left="720" w:hanging="720"/>
        <w:jc w:val="both"/>
        <w:rPr>
          <w:rtl/>
        </w:rPr>
      </w:pPr>
      <w:r w:rsidRPr="009C69CF">
        <w:rPr>
          <w:rFonts w:hint="cs"/>
          <w:rtl/>
        </w:rPr>
        <w:t>8.</w:t>
      </w:r>
      <w:r w:rsidRPr="009C69CF">
        <w:rPr>
          <w:rFonts w:hint="cs"/>
          <w:rtl/>
        </w:rPr>
        <w:tab/>
        <w:t xml:space="preserve">מנגד, לדברי ב"כ הנאשם נקודת המוצא בתיק זה צריכה להיות שהנאשם לא רצח איש, וכי אין יסוד לסברתם של בני משפחת שוויקי ולאמונתם כי הוא רצח את בן משפחתם. ב"כ הנאשם עמד על כך, שבתיק הרצח הנטען התנהלה חקירת משטרה וגם חקירה של הרשות הפלסטינית, ואולם הנאשם לא הועמד לדין. לטענת ב"כ הנאשם, </w:t>
      </w:r>
      <w:r w:rsidRPr="009C69CF">
        <w:rPr>
          <w:rFonts w:hint="cs"/>
          <w:i/>
          <w:iCs/>
          <w:rtl/>
        </w:rPr>
        <w:t xml:space="preserve">"הנאשם לא הצליח לשכנע את המתלוננים שהוא לא רצח את אביהם והם עדיין משוכנעים שהוא הרוצח. נאמר עליו שדמו בראשו ודמו מותר ואסור לו להיות בשום מקום" </w:t>
      </w:r>
      <w:r w:rsidRPr="009C69CF">
        <w:rPr>
          <w:rFonts w:hint="cs"/>
          <w:rtl/>
        </w:rPr>
        <w:t xml:space="preserve">(עמ' 119, ש' 28-30). לטענת ב"כ הנאשם, הואיל ובני משפחת שוויקי התירו את דמו של הנאשם והם מבקשים לנקום בו, חייו של הנאשם נתונים בסכנה מתמדת. לדברי ב"כ הנאשם, האיומים שהנאשם השמיע כמתואר באישום הראשון, נועדו להגן על עצמו מפני אלה שהתגודדו מסביב למפעל ויידו לעברו אבנים. </w:t>
      </w:r>
    </w:p>
    <w:p w14:paraId="4F343363" w14:textId="77777777" w:rsidR="00B44A57" w:rsidRPr="00EA3380" w:rsidRDefault="00B44A57" w:rsidP="00B44A57">
      <w:pPr>
        <w:spacing w:before="240" w:line="360" w:lineRule="auto"/>
        <w:ind w:left="720" w:hanging="720"/>
        <w:jc w:val="both"/>
        <w:rPr>
          <w:sz w:val="2"/>
          <w:szCs w:val="2"/>
          <w:rtl/>
        </w:rPr>
      </w:pPr>
    </w:p>
    <w:p w14:paraId="20A44B56" w14:textId="77777777" w:rsidR="00B44A57" w:rsidRDefault="00B44A57" w:rsidP="00B44A57">
      <w:pPr>
        <w:spacing w:before="240" w:line="360" w:lineRule="auto"/>
        <w:ind w:left="720" w:hanging="720"/>
        <w:jc w:val="both"/>
        <w:rPr>
          <w:rtl/>
        </w:rPr>
      </w:pPr>
      <w:r w:rsidRPr="009C69CF">
        <w:rPr>
          <w:rFonts w:hint="cs"/>
          <w:rtl/>
        </w:rPr>
        <w:t>9.</w:t>
      </w:r>
      <w:r w:rsidRPr="009C69CF">
        <w:rPr>
          <w:rtl/>
        </w:rPr>
        <w:tab/>
      </w:r>
      <w:r w:rsidRPr="009C69CF">
        <w:rPr>
          <w:rFonts w:hint="cs"/>
          <w:rtl/>
        </w:rPr>
        <w:t>לטענת ב"כ הנאשם, שני האישומים הם בגדר "אירוע אחד מתגלגל". עם זאת, פרט לעובדה שנשיאת האקדח באישום השני הייתה מבחינה כרונולוגית בהמשך לאירועים מושא האישום הראשון, לא נאמר בכתב האישום דבר בשאלת הזיקה שבין החזקת האקדח על ידי הנאשם לבין אירועי האישום הראשון.</w:t>
      </w:r>
    </w:p>
    <w:p w14:paraId="59EAEB12" w14:textId="77777777" w:rsidR="00B44A57" w:rsidRPr="00EA3380" w:rsidRDefault="00B44A57" w:rsidP="00B44A57">
      <w:pPr>
        <w:spacing w:before="240" w:line="360" w:lineRule="auto"/>
        <w:ind w:left="720" w:hanging="720"/>
        <w:jc w:val="both"/>
        <w:rPr>
          <w:sz w:val="2"/>
          <w:szCs w:val="2"/>
          <w:rtl/>
        </w:rPr>
      </w:pPr>
    </w:p>
    <w:p w14:paraId="244900A9" w14:textId="77777777" w:rsidR="00B44A57" w:rsidRDefault="00B44A57" w:rsidP="00B44A57">
      <w:pPr>
        <w:spacing w:before="240" w:line="360" w:lineRule="auto"/>
        <w:ind w:left="720" w:hanging="720"/>
        <w:jc w:val="both"/>
        <w:rPr>
          <w:rtl/>
        </w:rPr>
      </w:pPr>
      <w:r w:rsidRPr="009C69CF">
        <w:rPr>
          <w:rFonts w:hint="cs"/>
          <w:rtl/>
        </w:rPr>
        <w:t>10.</w:t>
      </w:r>
      <w:r w:rsidRPr="009C69CF">
        <w:rPr>
          <w:rFonts w:hint="cs"/>
          <w:rtl/>
        </w:rPr>
        <w:tab/>
        <w:t xml:space="preserve">ב"כ הנאשם טען, כי בניגוד לטענת המאשימה אין לזקוף לחובתו של הנאשם את ניהול ההליך. </w:t>
      </w:r>
      <w:r>
        <w:rPr>
          <w:rFonts w:hint="cs"/>
          <w:rtl/>
        </w:rPr>
        <w:t xml:space="preserve">ב"כ הנאשם </w:t>
      </w:r>
      <w:r w:rsidRPr="009C69CF">
        <w:rPr>
          <w:rFonts w:hint="cs"/>
          <w:rtl/>
        </w:rPr>
        <w:t xml:space="preserve">עמד על השינוי המשמעותי שנעשה </w:t>
      </w:r>
      <w:r>
        <w:rPr>
          <w:rFonts w:hint="cs"/>
          <w:rtl/>
        </w:rPr>
        <w:t xml:space="preserve">במסגרת הסדר הטיעון </w:t>
      </w:r>
      <w:r w:rsidRPr="009C69CF">
        <w:rPr>
          <w:rFonts w:hint="cs"/>
          <w:rtl/>
        </w:rPr>
        <w:t xml:space="preserve">באישום הראשון, וציין כי הנאשם הודה בהחזקת האקדח כבר בפני השוטרים. לטענתו, את האחריות לניהול ההליך יש לזקוף לחובת המאשימה ולא לחובתו. </w:t>
      </w:r>
    </w:p>
    <w:p w14:paraId="1FAB152F" w14:textId="77777777" w:rsidR="00B44A57" w:rsidRPr="00EA3380" w:rsidRDefault="00B44A57" w:rsidP="00B44A57">
      <w:pPr>
        <w:spacing w:before="240" w:line="360" w:lineRule="auto"/>
        <w:ind w:left="720" w:hanging="720"/>
        <w:jc w:val="both"/>
        <w:rPr>
          <w:sz w:val="2"/>
          <w:szCs w:val="2"/>
        </w:rPr>
      </w:pPr>
    </w:p>
    <w:p w14:paraId="015871FD" w14:textId="77777777" w:rsidR="00B44A57" w:rsidRDefault="00B44A57" w:rsidP="00B44A57">
      <w:pPr>
        <w:spacing w:before="240" w:line="360" w:lineRule="auto"/>
        <w:ind w:left="720" w:hanging="720"/>
        <w:jc w:val="both"/>
        <w:rPr>
          <w:rtl/>
        </w:rPr>
      </w:pPr>
      <w:r w:rsidRPr="009C69CF">
        <w:rPr>
          <w:rFonts w:hint="cs"/>
          <w:rtl/>
        </w:rPr>
        <w:t>11.</w:t>
      </w:r>
      <w:r w:rsidRPr="009C69CF">
        <w:rPr>
          <w:rtl/>
        </w:rPr>
        <w:tab/>
      </w:r>
      <w:r w:rsidRPr="009C69CF">
        <w:rPr>
          <w:rFonts w:hint="cs"/>
          <w:rtl/>
        </w:rPr>
        <w:t>במסגרת תיק זה היה הנאשם נתון במעצר ממש במשך כשלושה חודשים ושבוע (מיום 11.6.14 ועד ליום 18.9.14). לאחר מכן הוא היה נתון במעצר בפיקוח אלקטרוני ב</w:t>
      </w:r>
      <w:r>
        <w:rPr>
          <w:rFonts w:hint="cs"/>
          <w:rtl/>
        </w:rPr>
        <w:t>בית חברו ב</w:t>
      </w:r>
      <w:r w:rsidRPr="009C69CF">
        <w:rPr>
          <w:rFonts w:hint="cs"/>
          <w:rtl/>
        </w:rPr>
        <w:t>תל אביב במשך כארבע חודשים (עד ליום 13.1.15). בהמשך, היה הנאשם נתון במעצר בית מלא בבית חנינא (עד ליום 18.2.15). אחר כך הותרה יציאתו של הנאשם לעבודה בשעות היום</w:t>
      </w:r>
      <w:r>
        <w:rPr>
          <w:rFonts w:hint="cs"/>
          <w:rtl/>
        </w:rPr>
        <w:t xml:space="preserve"> בלבד והוא היה נתון במעצר בית בשעות הלילה. </w:t>
      </w:r>
      <w:r w:rsidRPr="009C69CF">
        <w:rPr>
          <w:rFonts w:hint="cs"/>
          <w:rtl/>
        </w:rPr>
        <w:t>ביום 18.7.17, היינו למעלה משלוש שנים לאחר האירועים מושא כתב האישום ו</w:t>
      </w:r>
      <w:r>
        <w:rPr>
          <w:rFonts w:hint="cs"/>
          <w:rtl/>
        </w:rPr>
        <w:t xml:space="preserve">לאחר </w:t>
      </w:r>
      <w:r w:rsidRPr="009C69CF">
        <w:rPr>
          <w:rFonts w:hint="cs"/>
          <w:rtl/>
        </w:rPr>
        <w:t xml:space="preserve">מעצרו של הנאשם, בוטלו התנאים המגבילים שהוטלו עליו. בנסיבות אלה סבור בא כוח הנאשם, כי </w:t>
      </w:r>
      <w:r>
        <w:rPr>
          <w:rFonts w:hint="cs"/>
          <w:rtl/>
        </w:rPr>
        <w:t xml:space="preserve">יש </w:t>
      </w:r>
      <w:r w:rsidRPr="009C69CF">
        <w:rPr>
          <w:rFonts w:hint="cs"/>
          <w:rtl/>
        </w:rPr>
        <w:t xml:space="preserve">להסתפק בענישה צופה פני עתיד. לטענתו, אין כל מקום לחייב את הנאשם לפצות את המתלוננים ואין מקום להטיל עליו תשלום קנס. </w:t>
      </w:r>
    </w:p>
    <w:p w14:paraId="39199615" w14:textId="77777777" w:rsidR="00B44A57" w:rsidRPr="00EA3380" w:rsidRDefault="00B44A57" w:rsidP="00B44A57">
      <w:pPr>
        <w:spacing w:before="240" w:line="360" w:lineRule="auto"/>
        <w:ind w:left="720" w:hanging="720"/>
        <w:jc w:val="both"/>
        <w:rPr>
          <w:sz w:val="2"/>
          <w:szCs w:val="2"/>
          <w:rtl/>
        </w:rPr>
      </w:pPr>
    </w:p>
    <w:p w14:paraId="259F6CB0" w14:textId="77777777" w:rsidR="00B44A57" w:rsidRDefault="00B44A57" w:rsidP="00B44A57">
      <w:pPr>
        <w:spacing w:before="240" w:line="360" w:lineRule="auto"/>
        <w:ind w:left="720" w:hanging="720"/>
        <w:jc w:val="both"/>
        <w:rPr>
          <w:rtl/>
        </w:rPr>
      </w:pPr>
      <w:r w:rsidRPr="009C69CF">
        <w:rPr>
          <w:rFonts w:hint="cs"/>
          <w:rtl/>
        </w:rPr>
        <w:t>12.</w:t>
      </w:r>
      <w:r w:rsidRPr="009C69CF">
        <w:rPr>
          <w:rFonts w:hint="cs"/>
          <w:rtl/>
        </w:rPr>
        <w:tab/>
        <w:t>אין צריך לומר כי בית משפט זה אינו עוסק בפרשת מות בן משפחת שוויקי ובשאלת אחריותו של הנאשם למוות זה. עם זאת, מעדויות בני משפחת שוויקי עולה, כי הם משוכנעים שכנוע עמוק כי בן משפחתם נרצח</w:t>
      </w:r>
      <w:r>
        <w:rPr>
          <w:rFonts w:hint="cs"/>
          <w:rtl/>
        </w:rPr>
        <w:t xml:space="preserve"> על ידי הנאשם</w:t>
      </w:r>
      <w:r w:rsidRPr="009C69CF">
        <w:rPr>
          <w:rFonts w:hint="cs"/>
          <w:rtl/>
        </w:rPr>
        <w:t xml:space="preserve">, וכי החשבון שלהם עם הנאשם נותר פתוח. </w:t>
      </w:r>
    </w:p>
    <w:p w14:paraId="70195EB2" w14:textId="77777777" w:rsidR="00B44A57" w:rsidRPr="00EA3380" w:rsidRDefault="00B44A57" w:rsidP="00B44A57">
      <w:pPr>
        <w:spacing w:before="240" w:line="360" w:lineRule="auto"/>
        <w:ind w:left="720" w:hanging="720"/>
        <w:jc w:val="both"/>
        <w:rPr>
          <w:sz w:val="2"/>
          <w:szCs w:val="2"/>
          <w:rtl/>
        </w:rPr>
      </w:pPr>
    </w:p>
    <w:p w14:paraId="1852CCCD" w14:textId="77777777" w:rsidR="00B44A57" w:rsidRDefault="00B44A57" w:rsidP="00B44A57">
      <w:pPr>
        <w:spacing w:before="240" w:line="360" w:lineRule="auto"/>
        <w:ind w:left="720" w:hanging="720"/>
        <w:jc w:val="both"/>
        <w:rPr>
          <w:rtl/>
        </w:rPr>
      </w:pPr>
      <w:r w:rsidRPr="009C69CF">
        <w:rPr>
          <w:rFonts w:hint="cs"/>
          <w:rtl/>
        </w:rPr>
        <w:t>13.</w:t>
      </w:r>
      <w:r w:rsidRPr="009C69CF">
        <w:rPr>
          <w:rtl/>
        </w:rPr>
        <w:tab/>
      </w:r>
      <w:r w:rsidRPr="009C69CF">
        <w:rPr>
          <w:rFonts w:hint="cs"/>
          <w:rtl/>
        </w:rPr>
        <w:t xml:space="preserve">בהעדר טענה בדבר זיקה הקיימת בין שני האישומים, יש לקבל את טענת המאשימה כי מדובר בשני אירועים </w:t>
      </w:r>
      <w:r>
        <w:rPr>
          <w:rFonts w:hint="cs"/>
          <w:rtl/>
        </w:rPr>
        <w:t xml:space="preserve">נפרדים </w:t>
      </w:r>
      <w:r w:rsidRPr="009C69CF">
        <w:rPr>
          <w:rFonts w:hint="cs"/>
          <w:rtl/>
        </w:rPr>
        <w:t xml:space="preserve">ולא באירוע אחד. </w:t>
      </w:r>
    </w:p>
    <w:p w14:paraId="3B878AF2" w14:textId="77777777" w:rsidR="00B44A57" w:rsidRPr="00EA3380" w:rsidRDefault="00B44A57" w:rsidP="00B44A57">
      <w:pPr>
        <w:spacing w:before="240" w:line="360" w:lineRule="auto"/>
        <w:ind w:left="720" w:hanging="720"/>
        <w:jc w:val="both"/>
        <w:rPr>
          <w:sz w:val="2"/>
          <w:szCs w:val="2"/>
          <w:rtl/>
        </w:rPr>
      </w:pPr>
    </w:p>
    <w:p w14:paraId="59EA41C6" w14:textId="77777777" w:rsidR="00B44A57" w:rsidRDefault="00B44A57" w:rsidP="00B44A57">
      <w:pPr>
        <w:spacing w:before="240" w:line="360" w:lineRule="auto"/>
        <w:ind w:left="720" w:hanging="720"/>
        <w:jc w:val="both"/>
        <w:rPr>
          <w:rtl/>
        </w:rPr>
      </w:pPr>
      <w:r w:rsidRPr="009C69CF">
        <w:rPr>
          <w:rFonts w:hint="cs"/>
          <w:rtl/>
        </w:rPr>
        <w:t>14.</w:t>
      </w:r>
      <w:r w:rsidRPr="009C69CF">
        <w:rPr>
          <w:rFonts w:hint="cs"/>
          <w:rtl/>
        </w:rPr>
        <w:tab/>
        <w:t xml:space="preserve">באשר לעבירת האיומים </w:t>
      </w:r>
      <w:r w:rsidRPr="009C69CF">
        <w:rPr>
          <w:rtl/>
        </w:rPr>
        <w:t>–</w:t>
      </w:r>
      <w:r w:rsidRPr="009C69CF">
        <w:rPr>
          <w:rFonts w:hint="cs"/>
          <w:rtl/>
        </w:rPr>
        <w:t xml:space="preserve"> לנוכח העובדה </w:t>
      </w:r>
      <w:r>
        <w:rPr>
          <w:rFonts w:hint="cs"/>
          <w:rtl/>
        </w:rPr>
        <w:t xml:space="preserve">כי </w:t>
      </w:r>
      <w:r w:rsidRPr="009C69CF">
        <w:rPr>
          <w:rFonts w:hint="cs"/>
          <w:rtl/>
        </w:rPr>
        <w:t xml:space="preserve">מעשיו של הנאשם נועדו להגן על עצמו ולא להתקיף, הרי שמתחם הענישה נע בין עונש מאסר על תנאי לעונש מאסר בעבודות שירות קצר. </w:t>
      </w:r>
    </w:p>
    <w:p w14:paraId="0AEA3D4C" w14:textId="77777777" w:rsidR="00B44A57" w:rsidRPr="00EA3380" w:rsidRDefault="00B44A57" w:rsidP="00B44A57">
      <w:pPr>
        <w:spacing w:before="240" w:line="360" w:lineRule="auto"/>
        <w:ind w:left="720" w:hanging="720"/>
        <w:jc w:val="both"/>
        <w:rPr>
          <w:sz w:val="2"/>
          <w:szCs w:val="2"/>
          <w:rtl/>
        </w:rPr>
      </w:pPr>
    </w:p>
    <w:p w14:paraId="573E4375" w14:textId="77777777" w:rsidR="00B44A57" w:rsidRDefault="00B44A57" w:rsidP="00B44A57">
      <w:pPr>
        <w:spacing w:before="240" w:line="360" w:lineRule="auto"/>
        <w:ind w:left="720" w:hanging="720"/>
        <w:jc w:val="both"/>
        <w:rPr>
          <w:rtl/>
        </w:rPr>
      </w:pPr>
      <w:r w:rsidRPr="009C69CF">
        <w:rPr>
          <w:rFonts w:hint="cs"/>
          <w:rtl/>
        </w:rPr>
        <w:t>15.</w:t>
      </w:r>
      <w:r w:rsidRPr="009C69CF">
        <w:rPr>
          <w:rFonts w:hint="cs"/>
          <w:rtl/>
        </w:rPr>
        <w:tab/>
        <w:t xml:space="preserve">ובאשר לעבירת הנשק </w:t>
      </w:r>
      <w:r w:rsidRPr="009C69CF">
        <w:rPr>
          <w:rtl/>
        </w:rPr>
        <w:t>–</w:t>
      </w:r>
      <w:r w:rsidRPr="009C69CF">
        <w:rPr>
          <w:rFonts w:hint="cs"/>
          <w:rtl/>
        </w:rPr>
        <w:t xml:space="preserve"> בפני בית המשפט לא נטען מה היו נסיבות החזקת האקדח על ידי הנאשם</w:t>
      </w:r>
      <w:r>
        <w:rPr>
          <w:rFonts w:hint="cs"/>
          <w:rtl/>
        </w:rPr>
        <w:t xml:space="preserve">. </w:t>
      </w:r>
      <w:r w:rsidRPr="009C69CF">
        <w:rPr>
          <w:rFonts w:hint="cs"/>
          <w:rtl/>
        </w:rPr>
        <w:t>מכאן</w:t>
      </w:r>
      <w:r>
        <w:rPr>
          <w:rFonts w:hint="cs"/>
          <w:rtl/>
        </w:rPr>
        <w:t>,</w:t>
      </w:r>
      <w:r w:rsidRPr="009C69CF">
        <w:rPr>
          <w:rFonts w:hint="cs"/>
          <w:rtl/>
        </w:rPr>
        <w:t xml:space="preserve"> שחסר לבית המשפט נתון חשוב לשם הערכת מידת החומרה של המעשה. לא ברור האם הנאשם החזיק את האקדח בקשר לסכסוך שיש לו עם משפחת שוויקי, ואם כן </w:t>
      </w:r>
      <w:r w:rsidRPr="009C69CF">
        <w:rPr>
          <w:rtl/>
        </w:rPr>
        <w:t>–</w:t>
      </w:r>
      <w:r w:rsidRPr="009C69CF">
        <w:rPr>
          <w:rFonts w:hint="cs"/>
          <w:rtl/>
        </w:rPr>
        <w:t xml:space="preserve"> האם האקדח הוחזק על ידו למטרות הגנה או למטרות התקפה. הנאשם מסר הסבר מסוים במשטרה, ואולם המאשימה אינה מקבלת הסבר זה. בהסדר הטיעון אליו הגיעו הצדדים לא הייתה התייחסות לנסיבות החזקת הנשק, ובין הצדדים הוסכם כי איש מהם לא יוסיף על עובדות כתב האישום, לכאן או לכאן. מכאן, שנסיבות החזקת ה</w:t>
      </w:r>
      <w:r>
        <w:rPr>
          <w:rFonts w:hint="cs"/>
          <w:rtl/>
        </w:rPr>
        <w:t xml:space="preserve">אקדח </w:t>
      </w:r>
      <w:r w:rsidRPr="009C69CF">
        <w:rPr>
          <w:rFonts w:hint="cs"/>
          <w:rtl/>
        </w:rPr>
        <w:t>על ידי הנאשם נותרה לא ברורה. בהינתן כל אלה, מצאתי כי יש להעמיד את מתחם הענישה ביחס לעבירה זו</w:t>
      </w:r>
      <w:r>
        <w:rPr>
          <w:rFonts w:hint="cs"/>
          <w:rtl/>
        </w:rPr>
        <w:t>,</w:t>
      </w:r>
      <w:r w:rsidRPr="009C69CF">
        <w:rPr>
          <w:rFonts w:hint="cs"/>
          <w:rtl/>
        </w:rPr>
        <w:t xml:space="preserve"> מעונש מאסר בעבודות שירות ועד לארבע שנות מאסר. </w:t>
      </w:r>
    </w:p>
    <w:p w14:paraId="0AAEB7D9" w14:textId="77777777" w:rsidR="00B44A57" w:rsidRPr="00D47A69" w:rsidRDefault="00B44A57" w:rsidP="00B44A57">
      <w:pPr>
        <w:spacing w:before="240" w:line="360" w:lineRule="auto"/>
        <w:ind w:left="720" w:hanging="720"/>
        <w:jc w:val="both"/>
        <w:rPr>
          <w:sz w:val="2"/>
          <w:szCs w:val="2"/>
          <w:rtl/>
        </w:rPr>
      </w:pPr>
    </w:p>
    <w:p w14:paraId="6BCFB93A" w14:textId="77777777" w:rsidR="00B44A57" w:rsidRDefault="00B44A57" w:rsidP="00B44A57">
      <w:pPr>
        <w:spacing w:before="240" w:line="360" w:lineRule="auto"/>
        <w:ind w:left="720" w:hanging="720"/>
        <w:jc w:val="both"/>
        <w:rPr>
          <w:rtl/>
        </w:rPr>
      </w:pPr>
      <w:r w:rsidRPr="009C69CF">
        <w:rPr>
          <w:rFonts w:hint="cs"/>
          <w:rtl/>
        </w:rPr>
        <w:t>16.</w:t>
      </w:r>
      <w:r w:rsidRPr="009C69CF">
        <w:rPr>
          <w:rFonts w:hint="cs"/>
          <w:rtl/>
        </w:rPr>
        <w:tab/>
      </w:r>
      <w:r>
        <w:rPr>
          <w:rFonts w:hint="cs"/>
          <w:rtl/>
        </w:rPr>
        <w:t xml:space="preserve">בצד החומרה הידועה הקיימת בעבירות נשק ומדיניות הענישה המחמירה הנוהגת ביחס לעבירות מסוג זה, </w:t>
      </w:r>
      <w:r w:rsidRPr="009C69CF">
        <w:rPr>
          <w:rFonts w:hint="cs"/>
          <w:rtl/>
        </w:rPr>
        <w:t xml:space="preserve">בבואי לגזור את דינו של הנאשם אני סבור כי יש לתת משקל לפער המשמעותי שקיים בין כתב האישום המקורי שהוגש נגד הנאשם לבין כתב האישום המתוקן שהוגש במסגרת הסדר הטיעון. אין להוציא מכלל אפשרות שאילו מלכתחילה היה מוגש נגד הנאשם כתב האישום המתוקן, או כתב אישום הדומה לו, היה הליך זה מסתיים זה מכבר. </w:t>
      </w:r>
    </w:p>
    <w:p w14:paraId="1B01C528" w14:textId="77777777" w:rsidR="00B44A57" w:rsidRPr="00EA3380" w:rsidRDefault="00B44A57" w:rsidP="00B44A57">
      <w:pPr>
        <w:spacing w:before="240" w:line="360" w:lineRule="auto"/>
        <w:ind w:left="720" w:hanging="720"/>
        <w:jc w:val="both"/>
        <w:rPr>
          <w:sz w:val="2"/>
          <w:szCs w:val="2"/>
          <w:rtl/>
        </w:rPr>
      </w:pPr>
    </w:p>
    <w:p w14:paraId="2DF55657" w14:textId="77777777" w:rsidR="00B44A57" w:rsidRDefault="00B44A57" w:rsidP="00B44A57">
      <w:pPr>
        <w:spacing w:before="240" w:line="360" w:lineRule="auto"/>
        <w:ind w:left="720" w:hanging="720"/>
        <w:jc w:val="both"/>
        <w:rPr>
          <w:rtl/>
        </w:rPr>
      </w:pPr>
      <w:r w:rsidRPr="009C69CF">
        <w:rPr>
          <w:rFonts w:hint="cs"/>
          <w:rtl/>
        </w:rPr>
        <w:t>17.</w:t>
      </w:r>
      <w:r w:rsidRPr="009C69CF">
        <w:rPr>
          <w:rFonts w:hint="cs"/>
          <w:rtl/>
        </w:rPr>
        <w:tab/>
        <w:t xml:space="preserve">עוד יש לתת משקל לעובדה, שמנסיבות העניין עולה כי הנאשם מנהל אורח חיים נורמטיבי, כי עברו הפלילי כמעט נקי, וכי במסגרת הליך זה הוא היה נתון במעצר ממש; במעצר בפיקוח אלקטרוני; במעצר בית מלא; ובמעצר בית חלקי, במשך תקופות לא מבוטלות כמפורט לעיל. </w:t>
      </w:r>
    </w:p>
    <w:p w14:paraId="37FE1408" w14:textId="77777777" w:rsidR="00B44A57" w:rsidRPr="00EA3380" w:rsidRDefault="00B44A57" w:rsidP="00B44A57">
      <w:pPr>
        <w:spacing w:before="240" w:line="360" w:lineRule="auto"/>
        <w:ind w:left="720" w:hanging="720"/>
        <w:jc w:val="both"/>
        <w:rPr>
          <w:sz w:val="2"/>
          <w:szCs w:val="2"/>
          <w:rtl/>
        </w:rPr>
      </w:pPr>
    </w:p>
    <w:p w14:paraId="29535B3D" w14:textId="77777777" w:rsidR="00B44A57" w:rsidRPr="009C69CF" w:rsidRDefault="00B44A57" w:rsidP="00B44A57">
      <w:pPr>
        <w:spacing w:before="240" w:line="360" w:lineRule="auto"/>
        <w:ind w:left="720" w:hanging="720"/>
        <w:jc w:val="both"/>
        <w:rPr>
          <w:rtl/>
        </w:rPr>
      </w:pPr>
      <w:r w:rsidRPr="009C69CF">
        <w:rPr>
          <w:rFonts w:hint="cs"/>
          <w:rtl/>
        </w:rPr>
        <w:t>18.</w:t>
      </w:r>
      <w:r w:rsidRPr="009C69CF">
        <w:rPr>
          <w:rFonts w:hint="cs"/>
          <w:rtl/>
        </w:rPr>
        <w:tab/>
        <w:t xml:space="preserve">לאחר שנתתי דעתי לנסיבות העניין ולטענות הצדדים, אני מחליט להטיל על הנאשם את העונשים הבאים: </w:t>
      </w:r>
    </w:p>
    <w:p w14:paraId="7DDFEEF3" w14:textId="77777777" w:rsidR="00B44A57" w:rsidRPr="009C69CF" w:rsidRDefault="00B44A57" w:rsidP="00B44A57">
      <w:pPr>
        <w:spacing w:before="240" w:line="360" w:lineRule="auto"/>
        <w:ind w:left="1440" w:hanging="720"/>
        <w:jc w:val="both"/>
        <w:rPr>
          <w:rtl/>
        </w:rPr>
      </w:pPr>
      <w:r w:rsidRPr="009C69CF">
        <w:rPr>
          <w:rFonts w:hint="cs"/>
          <w:rtl/>
        </w:rPr>
        <w:t>א.</w:t>
      </w:r>
      <w:r w:rsidRPr="009C69CF">
        <w:rPr>
          <w:rFonts w:hint="cs"/>
          <w:rtl/>
        </w:rPr>
        <w:tab/>
        <w:t xml:space="preserve">שישה חודשי מאסר מהם שלושה חודשים לריצוי בפועל ושלושה חודשים בעבודות שירות. עונש המאסר </w:t>
      </w:r>
      <w:r>
        <w:rPr>
          <w:rFonts w:hint="cs"/>
          <w:rtl/>
        </w:rPr>
        <w:t xml:space="preserve">לריצוי </w:t>
      </w:r>
      <w:r w:rsidRPr="009C69CF">
        <w:rPr>
          <w:rFonts w:hint="cs"/>
          <w:rtl/>
        </w:rPr>
        <w:t>בפועל יקוזז מהתקופה בה הנאשם היה נתון במעצר ממש, כך שאין עליו לרצות עונש מאסר נוסף. שלושת חודשי עבודות השירות יבוצעו בהתאם לחוות דעתו של הממונה על עבודות השירות מיום 14.10.18. תחילת ביצוע העבודות ביום 25.11.18. מובהר בזה לנאשם, כי עליו לעמוד בדרישות ובתנאים של מסגרת מאסר בד</w:t>
      </w:r>
      <w:r>
        <w:rPr>
          <w:rFonts w:hint="cs"/>
          <w:rtl/>
        </w:rPr>
        <w:t>ר</w:t>
      </w:r>
      <w:r w:rsidRPr="009C69CF">
        <w:rPr>
          <w:rFonts w:hint="cs"/>
          <w:rtl/>
        </w:rPr>
        <w:t xml:space="preserve">ך של עבודות שירות. כל הפרה של התנאים או </w:t>
      </w:r>
      <w:r>
        <w:rPr>
          <w:rFonts w:hint="cs"/>
          <w:rtl/>
        </w:rPr>
        <w:t xml:space="preserve">אי </w:t>
      </w:r>
      <w:r w:rsidRPr="009C69CF">
        <w:rPr>
          <w:rFonts w:hint="cs"/>
          <w:rtl/>
        </w:rPr>
        <w:t xml:space="preserve">עמידה בהנחיות הממונה, עלולה להוביל לנקיטת צעדים כלפי הנאשם ולהפסקה מנהלית של עבודות השירות. </w:t>
      </w:r>
    </w:p>
    <w:p w14:paraId="12DEDE89" w14:textId="77777777" w:rsidR="00B44A57" w:rsidRPr="009C69CF" w:rsidRDefault="00B44A57" w:rsidP="00B44A57">
      <w:pPr>
        <w:spacing w:before="240" w:line="360" w:lineRule="auto"/>
        <w:ind w:left="1440" w:hanging="720"/>
        <w:jc w:val="both"/>
        <w:rPr>
          <w:rtl/>
        </w:rPr>
      </w:pPr>
      <w:r w:rsidRPr="009C69CF">
        <w:rPr>
          <w:rFonts w:hint="cs"/>
          <w:rtl/>
        </w:rPr>
        <w:t>ב.</w:t>
      </w:r>
      <w:r w:rsidRPr="009C69CF">
        <w:rPr>
          <w:rFonts w:hint="cs"/>
          <w:rtl/>
        </w:rPr>
        <w:tab/>
        <w:t xml:space="preserve">שישה חודשי מאסר על תנאי, והתנאי הוא שהנאשם לא יעבור בתוך שלוש שנים כל עבירת אלימות פיזית או מילולית, לרבות ניסיון לעבור עבירה כזו. </w:t>
      </w:r>
    </w:p>
    <w:p w14:paraId="0B0BE3CC" w14:textId="77777777" w:rsidR="00B44A57" w:rsidRPr="009C69CF" w:rsidRDefault="00B44A57" w:rsidP="00B44A57">
      <w:pPr>
        <w:spacing w:before="240" w:line="360" w:lineRule="auto"/>
        <w:ind w:left="1440" w:hanging="720"/>
        <w:jc w:val="both"/>
        <w:rPr>
          <w:rtl/>
        </w:rPr>
      </w:pPr>
      <w:r w:rsidRPr="009C69CF">
        <w:rPr>
          <w:rFonts w:hint="cs"/>
          <w:rtl/>
        </w:rPr>
        <w:t>ג.</w:t>
      </w:r>
      <w:r w:rsidRPr="009C69CF">
        <w:rPr>
          <w:rFonts w:hint="cs"/>
          <w:rtl/>
        </w:rPr>
        <w:tab/>
        <w:t>קנס בסך 5,000 ₪ או חודשיים מאסר תמורתו. הקנס ישולם ב</w:t>
      </w:r>
      <w:r>
        <w:rPr>
          <w:rFonts w:hint="cs"/>
          <w:rtl/>
        </w:rPr>
        <w:t>חמישה</w:t>
      </w:r>
      <w:r w:rsidRPr="009C69CF">
        <w:rPr>
          <w:rFonts w:hint="cs"/>
          <w:rtl/>
        </w:rPr>
        <w:t xml:space="preserve"> תשלומים שווים ורצופים החל מיום 1.2.19. </w:t>
      </w:r>
    </w:p>
    <w:p w14:paraId="622EBB29" w14:textId="77777777" w:rsidR="00B44A57" w:rsidRPr="00D47A69" w:rsidRDefault="00B44A57" w:rsidP="00B44A57">
      <w:pPr>
        <w:rPr>
          <w:sz w:val="32"/>
          <w:szCs w:val="32"/>
          <w:rtl/>
        </w:rPr>
      </w:pPr>
    </w:p>
    <w:p w14:paraId="35CEFA9F" w14:textId="77777777" w:rsidR="00B44A57" w:rsidRDefault="00B44A57" w:rsidP="00B44A57">
      <w:pPr>
        <w:rPr>
          <w:rtl/>
        </w:rPr>
      </w:pPr>
    </w:p>
    <w:p w14:paraId="607180B9" w14:textId="77777777" w:rsidR="00B44A57" w:rsidRPr="009C69CF" w:rsidRDefault="00B44A57" w:rsidP="00B44A57">
      <w:pPr>
        <w:rPr>
          <w:b/>
          <w:bCs/>
          <w:rtl/>
        </w:rPr>
      </w:pPr>
      <w:r w:rsidRPr="009C69CF">
        <w:rPr>
          <w:rtl/>
        </w:rPr>
        <w:tab/>
      </w:r>
      <w:r w:rsidRPr="009C69CF">
        <w:rPr>
          <w:rFonts w:hint="cs"/>
          <w:b/>
          <w:bCs/>
          <w:rtl/>
        </w:rPr>
        <w:t xml:space="preserve">זכות ערעור לבית המשפט העליון בתוך 45 ימים. </w:t>
      </w:r>
    </w:p>
    <w:p w14:paraId="7D6426AD" w14:textId="77777777" w:rsidR="00B44A57" w:rsidRDefault="00B44A57" w:rsidP="00B44A57">
      <w:pPr>
        <w:rPr>
          <w:rtl/>
        </w:rPr>
      </w:pPr>
    </w:p>
    <w:p w14:paraId="062CA327" w14:textId="77777777" w:rsidR="00B44A57" w:rsidRPr="009C69CF" w:rsidRDefault="00B44A57" w:rsidP="00B44A57">
      <w:pPr>
        <w:rPr>
          <w:rtl/>
        </w:rPr>
      </w:pPr>
    </w:p>
    <w:p w14:paraId="797BBCA5" w14:textId="77777777" w:rsidR="00B44A57" w:rsidRPr="00EA3380" w:rsidRDefault="00B44A57" w:rsidP="00B44A57">
      <w:pPr>
        <w:rPr>
          <w:b/>
          <w:bCs/>
          <w:rtl/>
        </w:rPr>
      </w:pPr>
      <w:r>
        <w:rPr>
          <w:rtl/>
        </w:rPr>
        <w:tab/>
      </w:r>
      <w:r>
        <w:rPr>
          <w:rFonts w:hint="cs"/>
          <w:b/>
          <w:bCs/>
          <w:rtl/>
        </w:rPr>
        <w:t xml:space="preserve">המזכירות תשלח העתק מגזר הדין לממונה על עבודות השירות. </w:t>
      </w:r>
    </w:p>
    <w:p w14:paraId="1B010FF6" w14:textId="77777777" w:rsidR="00B44A57" w:rsidRPr="00A5695E" w:rsidRDefault="00A5695E" w:rsidP="00B44A57">
      <w:pPr>
        <w:rPr>
          <w:color w:val="FFFFFF"/>
          <w:sz w:val="2"/>
          <w:szCs w:val="2"/>
          <w:rtl/>
        </w:rPr>
      </w:pPr>
      <w:r w:rsidRPr="00A5695E">
        <w:rPr>
          <w:color w:val="FFFFFF"/>
          <w:sz w:val="2"/>
          <w:szCs w:val="2"/>
          <w:rtl/>
        </w:rPr>
        <w:t>5129371</w:t>
      </w:r>
    </w:p>
    <w:p w14:paraId="12CE1A53" w14:textId="77777777" w:rsidR="00B44A57" w:rsidRPr="00A5695E" w:rsidRDefault="00A5695E" w:rsidP="00B44A57">
      <w:pPr>
        <w:spacing w:line="360" w:lineRule="auto"/>
        <w:jc w:val="both"/>
        <w:rPr>
          <w:rFonts w:ascii="Arial" w:hAnsi="Arial"/>
          <w:color w:val="FFFFFF"/>
          <w:sz w:val="2"/>
          <w:szCs w:val="2"/>
          <w:rtl/>
        </w:rPr>
      </w:pPr>
      <w:r w:rsidRPr="00A5695E">
        <w:rPr>
          <w:rFonts w:ascii="Arial" w:hAnsi="Arial"/>
          <w:color w:val="FFFFFF"/>
          <w:sz w:val="2"/>
          <w:szCs w:val="2"/>
          <w:rtl/>
        </w:rPr>
        <w:t>54678313</w:t>
      </w:r>
    </w:p>
    <w:p w14:paraId="07D4A059" w14:textId="77777777" w:rsidR="00B44A57" w:rsidRPr="009C69CF" w:rsidRDefault="00A5695E" w:rsidP="00B44A57">
      <w:pPr>
        <w:jc w:val="center"/>
      </w:pPr>
      <w:r>
        <w:rPr>
          <w:rFonts w:ascii="Arial" w:hAnsi="Arial"/>
          <w:rtl/>
        </w:rPr>
        <w:t xml:space="preserve">ניתן היום,  י"ג חשוון תשע"ט, 22 אוקטובר 2018, במעמד הצדדים. </w:t>
      </w:r>
      <w:r w:rsidR="00B44A57" w:rsidRPr="009C69CF">
        <w:rPr>
          <w:rFonts w:hint="cs"/>
          <w:rtl/>
        </w:rPr>
        <w:t xml:space="preserve">   </w:t>
      </w:r>
      <w:r w:rsidR="00B44A57" w:rsidRPr="009C69CF">
        <w:rPr>
          <w:rFonts w:hint="cs"/>
          <w:rtl/>
        </w:rPr>
        <w:tab/>
      </w:r>
      <w:r w:rsidR="00B44A57" w:rsidRPr="009C69CF">
        <w:rPr>
          <w:rFonts w:hint="cs"/>
          <w:rtl/>
        </w:rPr>
        <w:tab/>
      </w:r>
      <w:r w:rsidR="00B44A57" w:rsidRPr="009C69CF">
        <w:rPr>
          <w:rFonts w:hint="cs"/>
          <w:rtl/>
        </w:rPr>
        <w:tab/>
      </w:r>
      <w:r w:rsidR="00B44A57" w:rsidRPr="009C69CF">
        <w:rPr>
          <w:rFonts w:hint="cs"/>
          <w:rtl/>
        </w:rPr>
        <w:tab/>
      </w:r>
      <w:r w:rsidR="00B44A57" w:rsidRPr="009C69CF">
        <w:rPr>
          <w:rFonts w:hint="cs"/>
          <w:rtl/>
        </w:rPr>
        <w:tab/>
      </w:r>
      <w:r w:rsidR="00B44A57">
        <w:rPr>
          <w:rtl/>
        </w:rPr>
        <w:t xml:space="preserve">     </w:t>
      </w:r>
    </w:p>
    <w:p w14:paraId="031820AC" w14:textId="77777777" w:rsidR="00B44A57" w:rsidRPr="009C69CF" w:rsidRDefault="00B44A57" w:rsidP="00B44A57">
      <w:pPr>
        <w:jc w:val="center"/>
        <w:rPr>
          <w:rFonts w:ascii="Arial" w:hAnsi="Arial"/>
          <w:sz w:val="28"/>
          <w:szCs w:val="28"/>
          <w:rtl/>
        </w:rPr>
      </w:pPr>
    </w:p>
    <w:p w14:paraId="4FAA0BA6" w14:textId="77777777" w:rsidR="00B44A57" w:rsidRPr="009C69CF" w:rsidRDefault="00B44A57" w:rsidP="00B44A57">
      <w:pPr>
        <w:rPr>
          <w:sz w:val="28"/>
          <w:szCs w:val="28"/>
          <w:rtl/>
        </w:rPr>
      </w:pPr>
    </w:p>
    <w:p w14:paraId="498DBCBE" w14:textId="77777777" w:rsidR="00B44A57" w:rsidRPr="00BB0585" w:rsidRDefault="00BB0585" w:rsidP="00B44A57">
      <w:pPr>
        <w:pStyle w:val="a3"/>
        <w:jc w:val="center"/>
        <w:rPr>
          <w:color w:val="FFFFFF"/>
          <w:sz w:val="2"/>
          <w:szCs w:val="2"/>
          <w:rtl/>
        </w:rPr>
      </w:pPr>
      <w:r w:rsidRPr="00BB0585">
        <w:rPr>
          <w:color w:val="FFFFFF"/>
          <w:sz w:val="2"/>
          <w:szCs w:val="2"/>
          <w:rtl/>
        </w:rPr>
        <w:t>5129371</w:t>
      </w:r>
    </w:p>
    <w:p w14:paraId="5D8EA2E8" w14:textId="77777777" w:rsidR="0080560E" w:rsidRPr="00BB0585" w:rsidRDefault="00BB0585" w:rsidP="00A5695E">
      <w:pPr>
        <w:keepNext/>
        <w:rPr>
          <w:rFonts w:ascii="David" w:hAnsi="David"/>
          <w:color w:val="FFFFFF"/>
          <w:sz w:val="2"/>
          <w:szCs w:val="2"/>
          <w:rtl/>
        </w:rPr>
      </w:pPr>
      <w:r w:rsidRPr="00BB0585">
        <w:rPr>
          <w:rFonts w:ascii="David" w:hAnsi="David"/>
          <w:color w:val="FFFFFF"/>
          <w:sz w:val="2"/>
          <w:szCs w:val="2"/>
          <w:rtl/>
        </w:rPr>
        <w:t>54678313</w:t>
      </w:r>
    </w:p>
    <w:p w14:paraId="440C8EF9" w14:textId="77777777" w:rsidR="00A5695E" w:rsidRPr="00A5695E" w:rsidRDefault="00A5695E" w:rsidP="00A5695E">
      <w:pPr>
        <w:keepNext/>
        <w:rPr>
          <w:rFonts w:ascii="David" w:hAnsi="David"/>
          <w:color w:val="000000"/>
          <w:sz w:val="22"/>
          <w:szCs w:val="22"/>
          <w:rtl/>
        </w:rPr>
      </w:pPr>
      <w:r w:rsidRPr="00A5695E">
        <w:rPr>
          <w:rFonts w:ascii="David" w:hAnsi="David"/>
          <w:color w:val="000000"/>
          <w:sz w:val="22"/>
          <w:szCs w:val="22"/>
          <w:rtl/>
        </w:rPr>
        <w:t>אריה רומנוב 54678313</w:t>
      </w:r>
    </w:p>
    <w:p w14:paraId="30D5C77E" w14:textId="77777777" w:rsidR="00A5695E" w:rsidRDefault="00A5695E" w:rsidP="00A5695E">
      <w:r w:rsidRPr="00A5695E">
        <w:rPr>
          <w:color w:val="000000"/>
          <w:rtl/>
        </w:rPr>
        <w:t>נוסח מסמך זה כפוף לשינויי ניסוח ועריכה</w:t>
      </w:r>
    </w:p>
    <w:p w14:paraId="1452E8DE" w14:textId="77777777" w:rsidR="00A5695E" w:rsidRDefault="00A5695E" w:rsidP="00A5695E">
      <w:pPr>
        <w:rPr>
          <w:rtl/>
        </w:rPr>
      </w:pPr>
    </w:p>
    <w:p w14:paraId="4BBC5A0D" w14:textId="77777777" w:rsidR="00A5695E" w:rsidRDefault="00A5695E" w:rsidP="00A5695E">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13D7708E" w14:textId="77777777" w:rsidR="00BB0585" w:rsidRPr="00BB0585" w:rsidRDefault="00BB0585" w:rsidP="00BB0585">
      <w:pPr>
        <w:keepNext/>
        <w:rPr>
          <w:rFonts w:ascii="David" w:hAnsi="David"/>
          <w:color w:val="000000"/>
          <w:sz w:val="22"/>
          <w:szCs w:val="22"/>
          <w:rtl/>
        </w:rPr>
      </w:pPr>
    </w:p>
    <w:p w14:paraId="4B05A42B" w14:textId="77777777" w:rsidR="00A5695E" w:rsidRPr="00A5695E" w:rsidRDefault="00A5695E" w:rsidP="00BB0585">
      <w:pPr>
        <w:rPr>
          <w:color w:val="0000FF"/>
          <w:u w:val="single"/>
        </w:rPr>
      </w:pPr>
    </w:p>
    <w:sectPr w:rsidR="00A5695E" w:rsidRPr="00A5695E" w:rsidSect="00BB0585">
      <w:headerReference w:type="even" r:id="rId22"/>
      <w:headerReference w:type="default" r:id="rId23"/>
      <w:footerReference w:type="even" r:id="rId24"/>
      <w:footerReference w:type="default" r:id="rId25"/>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8AE98" w14:textId="77777777" w:rsidR="00543D44" w:rsidRDefault="00543D44" w:rsidP="002E5D9A">
      <w:r>
        <w:separator/>
      </w:r>
    </w:p>
  </w:endnote>
  <w:endnote w:type="continuationSeparator" w:id="0">
    <w:p w14:paraId="0C1E4417" w14:textId="77777777" w:rsidR="00543D44" w:rsidRDefault="00543D44" w:rsidP="002E5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01BD0" w14:textId="77777777" w:rsidR="00BB0585" w:rsidRDefault="00BB0585" w:rsidP="00BB058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CE7D12F" w14:textId="77777777" w:rsidR="007D2748" w:rsidRPr="00BB0585" w:rsidRDefault="00BB0585" w:rsidP="00BB0585">
    <w:pPr>
      <w:pStyle w:val="a5"/>
      <w:pBdr>
        <w:top w:val="single" w:sz="4" w:space="1" w:color="auto"/>
        <w:between w:val="single" w:sz="4" w:space="0" w:color="auto"/>
      </w:pBdr>
      <w:spacing w:after="60"/>
      <w:jc w:val="center"/>
      <w:rPr>
        <w:rFonts w:ascii="FrankRuehl" w:hAnsi="FrankRuehl" w:cs="FrankRuehl"/>
        <w:color w:val="000000"/>
      </w:rPr>
    </w:pPr>
    <w:r w:rsidRPr="00BB058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F9373" w14:textId="77777777" w:rsidR="00BB0585" w:rsidRDefault="00BB0585" w:rsidP="00BB058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933D1">
      <w:rPr>
        <w:rFonts w:ascii="FrankRuehl" w:hAnsi="FrankRuehl" w:cs="FrankRuehl"/>
        <w:noProof/>
        <w:rtl/>
      </w:rPr>
      <w:t>1</w:t>
    </w:r>
    <w:r>
      <w:rPr>
        <w:rFonts w:ascii="FrankRuehl" w:hAnsi="FrankRuehl" w:cs="FrankRuehl"/>
        <w:rtl/>
      </w:rPr>
      <w:fldChar w:fldCharType="end"/>
    </w:r>
  </w:p>
  <w:p w14:paraId="5BB860E4" w14:textId="77777777" w:rsidR="00A5695E" w:rsidRPr="00BB0585" w:rsidRDefault="00BB0585" w:rsidP="00BB0585">
    <w:pPr>
      <w:pStyle w:val="a5"/>
      <w:pBdr>
        <w:top w:val="single" w:sz="4" w:space="1" w:color="auto"/>
        <w:between w:val="single" w:sz="4" w:space="0" w:color="auto"/>
      </w:pBdr>
      <w:spacing w:after="60"/>
      <w:jc w:val="center"/>
      <w:rPr>
        <w:rFonts w:ascii="FrankRuehl" w:hAnsi="FrankRuehl" w:cs="FrankRuehl"/>
        <w:color w:val="000000"/>
      </w:rPr>
    </w:pPr>
    <w:r w:rsidRPr="00BB0585">
      <w:rPr>
        <w:rFonts w:ascii="FrankRuehl" w:hAnsi="FrankRuehl" w:cs="FrankRuehl"/>
        <w:color w:val="000000"/>
      </w:rPr>
      <w:pict w14:anchorId="1C112F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49E7F" w14:textId="77777777" w:rsidR="00543D44" w:rsidRDefault="00543D44" w:rsidP="002E5D9A">
      <w:r>
        <w:separator/>
      </w:r>
    </w:p>
  </w:footnote>
  <w:footnote w:type="continuationSeparator" w:id="0">
    <w:p w14:paraId="2FFB00D0" w14:textId="77777777" w:rsidR="00543D44" w:rsidRDefault="00543D44" w:rsidP="002E5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2A7D5" w14:textId="77777777" w:rsidR="00A5695E" w:rsidRPr="00BB0585" w:rsidRDefault="00BB0585" w:rsidP="00BB058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43990-06-14</w:t>
    </w:r>
    <w:r>
      <w:rPr>
        <w:rFonts w:ascii="David" w:hAnsi="David"/>
        <w:color w:val="000000"/>
        <w:sz w:val="22"/>
        <w:szCs w:val="22"/>
        <w:rtl/>
      </w:rPr>
      <w:tab/>
      <w:t xml:space="preserve"> מדינת ישראל נ' הישאם עאבדין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9B32A" w14:textId="77777777" w:rsidR="00A5695E" w:rsidRPr="00BB0585" w:rsidRDefault="00BB0585" w:rsidP="00BB058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43990-06-14</w:t>
    </w:r>
    <w:r>
      <w:rPr>
        <w:rFonts w:ascii="David" w:hAnsi="David"/>
        <w:color w:val="000000"/>
        <w:sz w:val="22"/>
        <w:szCs w:val="22"/>
        <w:rtl/>
      </w:rPr>
      <w:tab/>
      <w:t xml:space="preserve"> מדינת ישראל נ' הישאם עאבדין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44A57"/>
    <w:rsid w:val="000C2D66"/>
    <w:rsid w:val="000E5B15"/>
    <w:rsid w:val="00276382"/>
    <w:rsid w:val="002E5D9A"/>
    <w:rsid w:val="0044208B"/>
    <w:rsid w:val="00493269"/>
    <w:rsid w:val="00543D44"/>
    <w:rsid w:val="007D2748"/>
    <w:rsid w:val="0080560E"/>
    <w:rsid w:val="008933D1"/>
    <w:rsid w:val="008D2859"/>
    <w:rsid w:val="00A5695E"/>
    <w:rsid w:val="00B44A57"/>
    <w:rsid w:val="00BB05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042A7E4"/>
  <w15:chartTrackingRefBased/>
  <w15:docId w15:val="{3192B2E8-D40F-4891-8E81-226A2E8E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4A5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44A57"/>
    <w:pPr>
      <w:tabs>
        <w:tab w:val="center" w:pos="4153"/>
        <w:tab w:val="right" w:pos="8306"/>
      </w:tabs>
    </w:pPr>
  </w:style>
  <w:style w:type="character" w:customStyle="1" w:styleId="a4">
    <w:name w:val="כותרת עליונה תו"/>
    <w:link w:val="a3"/>
    <w:rsid w:val="00B44A57"/>
    <w:rPr>
      <w:rFonts w:ascii="Times New Roman" w:eastAsia="Times New Roman" w:hAnsi="Times New Roman" w:cs="David"/>
      <w:sz w:val="24"/>
      <w:szCs w:val="24"/>
    </w:rPr>
  </w:style>
  <w:style w:type="paragraph" w:styleId="a5">
    <w:name w:val="footer"/>
    <w:basedOn w:val="a"/>
    <w:link w:val="a6"/>
    <w:rsid w:val="00B44A57"/>
    <w:pPr>
      <w:tabs>
        <w:tab w:val="center" w:pos="4153"/>
        <w:tab w:val="right" w:pos="8306"/>
      </w:tabs>
    </w:pPr>
  </w:style>
  <w:style w:type="character" w:customStyle="1" w:styleId="a6">
    <w:name w:val="כותרת תחתונה תו"/>
    <w:link w:val="a5"/>
    <w:rsid w:val="00B44A57"/>
    <w:rPr>
      <w:rFonts w:ascii="Times New Roman" w:eastAsia="Times New Roman" w:hAnsi="Times New Roman" w:cs="David"/>
      <w:sz w:val="24"/>
      <w:szCs w:val="24"/>
    </w:rPr>
  </w:style>
  <w:style w:type="table" w:styleId="a7">
    <w:name w:val="Table Grid"/>
    <w:basedOn w:val="a1"/>
    <w:rsid w:val="00B44A5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44A57"/>
  </w:style>
  <w:style w:type="paragraph" w:styleId="a9">
    <w:name w:val="Balloon Text"/>
    <w:basedOn w:val="a"/>
    <w:link w:val="aa"/>
    <w:rsid w:val="00B44A57"/>
    <w:rPr>
      <w:rFonts w:ascii="Tahoma" w:hAnsi="Tahoma" w:cs="Tahoma"/>
      <w:sz w:val="16"/>
      <w:szCs w:val="16"/>
    </w:rPr>
  </w:style>
  <w:style w:type="character" w:customStyle="1" w:styleId="aa">
    <w:name w:val="טקסט בלונים תו"/>
    <w:link w:val="a9"/>
    <w:rsid w:val="00B44A57"/>
    <w:rPr>
      <w:rFonts w:ascii="Tahoma" w:eastAsia="Times New Roman" w:hAnsi="Tahoma" w:cs="Tahoma"/>
      <w:sz w:val="16"/>
      <w:szCs w:val="16"/>
    </w:rPr>
  </w:style>
  <w:style w:type="character" w:styleId="Hyperlink">
    <w:name w:val="Hyperlink"/>
    <w:rsid w:val="00A569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92"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144.b"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70301/144.b"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192" TargetMode="External"/><Relationship Id="rId20"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92"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eader" Target="header2.xml"/><Relationship Id="rId10" Type="http://schemas.openxmlformats.org/officeDocument/2006/relationships/hyperlink" Target="http://www.nevo.co.il/law/70301/144.b" TargetMode="External"/><Relationship Id="rId19" Type="http://schemas.openxmlformats.org/officeDocument/2006/relationships/hyperlink" Target="http://www.nevo.co.il/law/70301/144.b"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144.b"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1544</Words>
  <Characters>7723</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9249</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7995492</vt:i4>
      </vt:variant>
      <vt:variant>
        <vt:i4>9</vt:i4>
      </vt:variant>
      <vt:variant>
        <vt:i4>0</vt:i4>
      </vt:variant>
      <vt:variant>
        <vt:i4>5</vt:i4>
      </vt:variant>
      <vt:variant>
        <vt:lpwstr>http://www.nevo.co.il/law/70301</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2025-01-19T15:53:00Z</dcterms:created>
  <dcterms:modified xsi:type="dcterms:W3CDTF">2025-01-19T15:53:00Z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43990</vt:lpwstr>
  </property>
  <property fmtid="{D5CDD505-2E9C-101B-9397-08002B2CF9AE}" pid="6" name="NEWPARTB">
    <vt:lpwstr>06</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הישאם עאבדין</vt:lpwstr>
  </property>
  <property fmtid="{D5CDD505-2E9C-101B-9397-08002B2CF9AE}" pid="10" name="LAWYER">
    <vt:lpwstr>מיכל בלומנטל;מוחמד חלאילה</vt:lpwstr>
  </property>
  <property fmtid="{D5CDD505-2E9C-101B-9397-08002B2CF9AE}" pid="11" name="JUDGE">
    <vt:lpwstr>אריה רומנוב</vt:lpwstr>
  </property>
  <property fmtid="{D5CDD505-2E9C-101B-9397-08002B2CF9AE}" pid="12" name="CITY">
    <vt:lpwstr>י-ם</vt:lpwstr>
  </property>
  <property fmtid="{D5CDD505-2E9C-101B-9397-08002B2CF9AE}" pid="13" name="DATE">
    <vt:lpwstr>20181022</vt:lpwstr>
  </property>
  <property fmtid="{D5CDD505-2E9C-101B-9397-08002B2CF9AE}" pid="14" name="TYPE_N_DATE">
    <vt:lpwstr>39020181022</vt:lpwstr>
  </property>
  <property fmtid="{D5CDD505-2E9C-101B-9397-08002B2CF9AE}" pid="15" name="WORDNUMPAGES">
    <vt:lpwstr>5</vt:lpwstr>
  </property>
  <property fmtid="{D5CDD505-2E9C-101B-9397-08002B2CF9AE}" pid="16" name="TYPE_ABS_DATE">
    <vt:lpwstr>390020181022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70301/144.b:4;192</vt:lpwstr>
  </property>
</Properties>
</file>