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C31195" w:rsidRPr="00C550CD" w14:paraId="3CC8AEA4" w14:textId="77777777">
        <w:trPr>
          <w:trHeight w:hRule="exact" w:val="418"/>
          <w:jc w:val="center"/>
        </w:trPr>
        <w:tc>
          <w:tcPr>
            <w:tcW w:w="8720" w:type="dxa"/>
            <w:gridSpan w:val="3"/>
          </w:tcPr>
          <w:p w14:paraId="6B9135C5" w14:textId="77777777" w:rsidR="00C31195" w:rsidRPr="00C550CD" w:rsidRDefault="00FC3443" w:rsidP="00FC3443">
            <w:pPr>
              <w:pStyle w:val="a5"/>
              <w:tabs>
                <w:tab w:val="clear" w:pos="8306"/>
              </w:tabs>
              <w:jc w:val="center"/>
              <w:rPr>
                <w:rFonts w:ascii="Tahoma" w:hAnsi="Tahoma" w:cs="Tahoma"/>
                <w:b/>
                <w:bCs/>
                <w:color w:val="000080"/>
                <w:sz w:val="20"/>
                <w:szCs w:val="20"/>
                <w:rtl/>
              </w:rPr>
            </w:pPr>
            <w:bookmarkStart w:id="0" w:name="LastJudge"/>
            <w:r w:rsidRPr="00C550CD">
              <w:rPr>
                <w:rFonts w:ascii="Tahoma" w:hAnsi="Tahoma" w:cs="Tahoma"/>
                <w:b/>
                <w:bCs/>
                <w:color w:val="000080"/>
                <w:sz w:val="20"/>
                <w:szCs w:val="20"/>
                <w:rtl/>
              </w:rPr>
              <w:t>בית</w:t>
            </w:r>
            <w:r>
              <w:rPr>
                <w:rFonts w:ascii="Tahoma" w:hAnsi="Tahoma" w:cs="Tahoma" w:hint="cs"/>
                <w:b/>
                <w:bCs/>
                <w:color w:val="000080"/>
                <w:sz w:val="20"/>
                <w:szCs w:val="20"/>
                <w:rtl/>
              </w:rPr>
              <w:t>-</w:t>
            </w:r>
            <w:r w:rsidR="00C550CD" w:rsidRPr="00C550CD">
              <w:rPr>
                <w:rFonts w:ascii="Tahoma" w:hAnsi="Tahoma" w:cs="Tahoma"/>
                <w:b/>
                <w:bCs/>
                <w:color w:val="000080"/>
                <w:sz w:val="20"/>
                <w:szCs w:val="20"/>
                <w:rtl/>
              </w:rPr>
              <w:t>המשפט המחוזי בנצרת</w:t>
            </w:r>
          </w:p>
        </w:tc>
      </w:tr>
      <w:tr w:rsidR="00C31195" w:rsidRPr="00C550CD" w14:paraId="2A1B54E1" w14:textId="77777777">
        <w:trPr>
          <w:trHeight w:val="337"/>
          <w:jc w:val="center"/>
        </w:trPr>
        <w:tc>
          <w:tcPr>
            <w:tcW w:w="6396" w:type="dxa"/>
          </w:tcPr>
          <w:p w14:paraId="79E0AEF4" w14:textId="77777777" w:rsidR="00C31195" w:rsidRPr="00C550CD" w:rsidRDefault="00C550CD">
            <w:pPr>
              <w:rPr>
                <w:b/>
                <w:bCs/>
                <w:sz w:val="26"/>
                <w:szCs w:val="26"/>
                <w:rtl/>
              </w:rPr>
            </w:pPr>
            <w:r w:rsidRPr="00C550CD">
              <w:rPr>
                <w:b/>
                <w:bCs/>
                <w:sz w:val="26"/>
                <w:szCs w:val="26"/>
                <w:rtl/>
              </w:rPr>
              <w:t>ת"פ</w:t>
            </w:r>
            <w:r w:rsidRPr="00C550CD">
              <w:rPr>
                <w:rFonts w:hint="cs"/>
                <w:b/>
                <w:bCs/>
                <w:sz w:val="26"/>
                <w:szCs w:val="26"/>
                <w:rtl/>
              </w:rPr>
              <w:t xml:space="preserve"> </w:t>
            </w:r>
            <w:r w:rsidRPr="00C550CD">
              <w:rPr>
                <w:b/>
                <w:bCs/>
                <w:sz w:val="26"/>
                <w:szCs w:val="26"/>
                <w:rtl/>
              </w:rPr>
              <w:t>31467-07-14</w:t>
            </w:r>
            <w:r w:rsidRPr="00C550CD">
              <w:rPr>
                <w:rFonts w:hint="cs"/>
                <w:b/>
                <w:bCs/>
                <w:sz w:val="26"/>
                <w:szCs w:val="26"/>
                <w:rtl/>
              </w:rPr>
              <w:t xml:space="preserve"> </w:t>
            </w:r>
            <w:r w:rsidRPr="00C550CD">
              <w:rPr>
                <w:b/>
                <w:bCs/>
                <w:sz w:val="26"/>
                <w:szCs w:val="26"/>
                <w:rtl/>
              </w:rPr>
              <w:t>מדינת ישראל נ' הוארי(עציר)</w:t>
            </w:r>
          </w:p>
          <w:p w14:paraId="3BA4BDA1" w14:textId="77777777" w:rsidR="00C31195" w:rsidRPr="00C550CD" w:rsidRDefault="00C31195">
            <w:pPr>
              <w:rPr>
                <w:b/>
                <w:bCs/>
                <w:sz w:val="26"/>
                <w:szCs w:val="26"/>
                <w:rtl/>
              </w:rPr>
            </w:pPr>
          </w:p>
        </w:tc>
        <w:tc>
          <w:tcPr>
            <w:tcW w:w="236" w:type="dxa"/>
          </w:tcPr>
          <w:p w14:paraId="3A0B8E0C" w14:textId="77777777" w:rsidR="00C31195" w:rsidRPr="00C550CD" w:rsidRDefault="00C31195">
            <w:pPr>
              <w:pStyle w:val="a5"/>
              <w:jc w:val="right"/>
              <w:rPr>
                <w:b/>
                <w:bCs/>
                <w:sz w:val="26"/>
                <w:szCs w:val="26"/>
                <w:rtl/>
              </w:rPr>
            </w:pPr>
          </w:p>
        </w:tc>
        <w:tc>
          <w:tcPr>
            <w:tcW w:w="2088" w:type="dxa"/>
          </w:tcPr>
          <w:p w14:paraId="685543EA" w14:textId="77777777" w:rsidR="00C31195" w:rsidRPr="00C550CD" w:rsidRDefault="00C550CD">
            <w:pPr>
              <w:pStyle w:val="a5"/>
              <w:tabs>
                <w:tab w:val="clear" w:pos="4153"/>
              </w:tabs>
              <w:jc w:val="right"/>
              <w:rPr>
                <w:b/>
                <w:bCs/>
                <w:sz w:val="26"/>
                <w:szCs w:val="26"/>
                <w:rtl/>
              </w:rPr>
            </w:pPr>
            <w:r w:rsidRPr="00C550CD">
              <w:rPr>
                <w:b/>
                <w:bCs/>
                <w:sz w:val="26"/>
                <w:szCs w:val="26"/>
                <w:rtl/>
              </w:rPr>
              <w:t>29 מרץ 2015</w:t>
            </w:r>
          </w:p>
        </w:tc>
      </w:tr>
    </w:tbl>
    <w:p w14:paraId="759412A7" w14:textId="77777777" w:rsidR="00C31195" w:rsidRPr="00C550CD" w:rsidRDefault="00C31195">
      <w:pPr>
        <w:pStyle w:val="a5"/>
        <w:jc w:val="center"/>
        <w:rPr>
          <w:rFonts w:ascii="Tahoma" w:hAnsi="Tahoma" w:cs="Tahoma"/>
          <w:b/>
          <w:bCs/>
          <w:color w:val="000080"/>
          <w:sz w:val="20"/>
          <w:szCs w:val="20"/>
          <w:rtl/>
        </w:rPr>
      </w:pPr>
    </w:p>
    <w:p w14:paraId="4C9C857B" w14:textId="77777777" w:rsidR="00C31195" w:rsidRPr="00C550CD" w:rsidRDefault="00C31195">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C31195" w:rsidRPr="00C550CD" w14:paraId="7B2E1306" w14:textId="77777777">
        <w:trPr>
          <w:trHeight w:val="337"/>
          <w:jc w:val="center"/>
        </w:trPr>
        <w:tc>
          <w:tcPr>
            <w:tcW w:w="1592" w:type="dxa"/>
          </w:tcPr>
          <w:p w14:paraId="2BB9A06B" w14:textId="77777777" w:rsidR="00C31195" w:rsidRPr="00C550CD" w:rsidRDefault="00C550CD">
            <w:pPr>
              <w:pStyle w:val="a5"/>
              <w:bidi w:val="0"/>
              <w:spacing w:line="360" w:lineRule="auto"/>
              <w:jc w:val="both"/>
              <w:rPr>
                <w:rFonts w:ascii="Times New Roman" w:hAnsi="Times New Roman"/>
              </w:rPr>
            </w:pPr>
            <w:r w:rsidRPr="00C550CD">
              <w:rPr>
                <w:rFonts w:ascii="Times New Roman" w:hAnsi="Times New Roman"/>
              </w:rPr>
              <w:t xml:space="preserve">  </w:t>
            </w:r>
          </w:p>
        </w:tc>
        <w:tc>
          <w:tcPr>
            <w:tcW w:w="7128" w:type="dxa"/>
          </w:tcPr>
          <w:p w14:paraId="0B4BEF75" w14:textId="77777777" w:rsidR="00C31195" w:rsidRPr="00C550CD" w:rsidRDefault="00C550CD">
            <w:pPr>
              <w:pStyle w:val="a5"/>
              <w:jc w:val="right"/>
              <w:rPr>
                <w:b/>
                <w:bCs/>
                <w:sz w:val="26"/>
                <w:szCs w:val="26"/>
                <w:rtl/>
              </w:rPr>
            </w:pPr>
            <w:r w:rsidRPr="00C550CD">
              <w:rPr>
                <w:rFonts w:hint="cs"/>
                <w:rtl/>
              </w:rPr>
              <w:t xml:space="preserve"> 31483-07-14</w:t>
            </w:r>
          </w:p>
        </w:tc>
      </w:tr>
    </w:tbl>
    <w:p w14:paraId="319CBDDF" w14:textId="77777777" w:rsidR="00C31195" w:rsidRPr="00C550CD" w:rsidRDefault="00C31195">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C31195" w:rsidRPr="00C550CD" w14:paraId="03C2F48C" w14:textId="77777777">
        <w:trPr>
          <w:gridAfter w:val="1"/>
          <w:wAfter w:w="55" w:type="dxa"/>
        </w:trPr>
        <w:tc>
          <w:tcPr>
            <w:tcW w:w="8719" w:type="dxa"/>
            <w:gridSpan w:val="2"/>
          </w:tcPr>
          <w:p w14:paraId="652CF50B" w14:textId="77777777" w:rsidR="00C31195" w:rsidRPr="00C550CD" w:rsidRDefault="00C550CD" w:rsidP="00FC3443">
            <w:pPr>
              <w:rPr>
                <w:rStyle w:val="TimesNewRomanTimesNewRoman"/>
                <w:rFonts w:eastAsia="Times New Roman"/>
                <w:rtl/>
              </w:rPr>
            </w:pPr>
            <w:r w:rsidRPr="00C550CD">
              <w:rPr>
                <w:rFonts w:ascii="Times New Roman" w:eastAsia="Times New Roman" w:hAnsi="Times New Roman" w:hint="cs"/>
                <w:b/>
                <w:bCs/>
                <w:sz w:val="26"/>
                <w:szCs w:val="26"/>
                <w:rtl/>
              </w:rPr>
              <w:t>בפני כב</w:t>
            </w:r>
            <w:r w:rsidR="00FC3443">
              <w:rPr>
                <w:rFonts w:ascii="Times New Roman" w:eastAsia="Times New Roman" w:hAnsi="Times New Roman" w:hint="cs"/>
                <w:b/>
                <w:bCs/>
                <w:sz w:val="26"/>
                <w:szCs w:val="26"/>
                <w:rtl/>
              </w:rPr>
              <w:t>וד</w:t>
            </w:r>
            <w:r w:rsidRPr="00C550CD">
              <w:rPr>
                <w:rFonts w:ascii="Times New Roman" w:eastAsia="Times New Roman" w:hAnsi="Times New Roman" w:hint="cs"/>
                <w:b/>
                <w:bCs/>
                <w:sz w:val="26"/>
                <w:szCs w:val="26"/>
                <w:rtl/>
              </w:rPr>
              <w:t xml:space="preserve"> ה</w:t>
            </w:r>
            <w:r w:rsidRPr="00C550CD">
              <w:rPr>
                <w:rFonts w:ascii="Times New Roman" w:eastAsia="Times New Roman" w:hAnsi="Times New Roman"/>
                <w:b/>
                <w:bCs/>
                <w:sz w:val="26"/>
                <w:szCs w:val="26"/>
                <w:rtl/>
              </w:rPr>
              <w:t>שופטת נחמה מוניץ</w:t>
            </w:r>
            <w:r w:rsidRPr="00C550CD">
              <w:rPr>
                <w:rStyle w:val="TimesNewRomanTimesNewRoman"/>
                <w:rFonts w:eastAsia="Times New Roman"/>
                <w:rtl/>
              </w:rPr>
              <w:t xml:space="preserve"> </w:t>
            </w:r>
          </w:p>
          <w:p w14:paraId="08C18975" w14:textId="77777777" w:rsidR="00C31195" w:rsidRPr="00C550CD" w:rsidRDefault="00C31195">
            <w:pPr>
              <w:spacing w:line="360" w:lineRule="auto"/>
              <w:rPr>
                <w:rFonts w:ascii="Times New Roman" w:eastAsia="Times New Roman" w:hAnsi="Times New Roman"/>
                <w:b/>
                <w:bCs/>
                <w:sz w:val="26"/>
                <w:szCs w:val="26"/>
                <w:rtl/>
              </w:rPr>
            </w:pPr>
          </w:p>
        </w:tc>
      </w:tr>
      <w:tr w:rsidR="00C31195" w:rsidRPr="00C550CD" w14:paraId="312556D8" w14:textId="77777777">
        <w:tc>
          <w:tcPr>
            <w:tcW w:w="2880" w:type="dxa"/>
          </w:tcPr>
          <w:p w14:paraId="692C4452" w14:textId="77777777" w:rsidR="00C31195" w:rsidRPr="00C550CD" w:rsidRDefault="00C550CD">
            <w:pPr>
              <w:ind w:left="26"/>
              <w:rPr>
                <w:rFonts w:ascii="Times New Roman" w:eastAsia="Times New Roman" w:hAnsi="Times New Roman"/>
                <w:b/>
                <w:bCs/>
                <w:sz w:val="26"/>
                <w:szCs w:val="26"/>
                <w:rtl/>
              </w:rPr>
            </w:pPr>
            <w:bookmarkStart w:id="1" w:name="FirstAppellant"/>
            <w:r w:rsidRPr="00C550CD">
              <w:rPr>
                <w:rFonts w:ascii="Times New Roman" w:eastAsia="Times New Roman" w:hAnsi="Times New Roman" w:hint="cs"/>
                <w:b/>
                <w:bCs/>
                <w:sz w:val="26"/>
                <w:szCs w:val="26"/>
                <w:rtl/>
              </w:rPr>
              <w:t>ה</w:t>
            </w:r>
            <w:r w:rsidRPr="00C550CD">
              <w:rPr>
                <w:rFonts w:ascii="Times New Roman" w:eastAsia="Times New Roman" w:hAnsi="Times New Roman"/>
                <w:b/>
                <w:bCs/>
                <w:sz w:val="26"/>
                <w:szCs w:val="26"/>
                <w:rtl/>
              </w:rPr>
              <w:t>מאשימה</w:t>
            </w:r>
          </w:p>
        </w:tc>
        <w:tc>
          <w:tcPr>
            <w:tcW w:w="5922" w:type="dxa"/>
            <w:gridSpan w:val="2"/>
          </w:tcPr>
          <w:p w14:paraId="6245F719" w14:textId="77777777" w:rsidR="00C31195" w:rsidRPr="00C550CD" w:rsidRDefault="00C550CD">
            <w:pPr>
              <w:rPr>
                <w:rFonts w:ascii="Times New Roman" w:eastAsia="Times New Roman" w:hAnsi="Times New Roman"/>
                <w:b/>
                <w:bCs/>
                <w:sz w:val="26"/>
                <w:szCs w:val="26"/>
                <w:rtl/>
              </w:rPr>
            </w:pPr>
            <w:r w:rsidRPr="00C550CD">
              <w:rPr>
                <w:rFonts w:ascii="Times New Roman" w:eastAsia="Times New Roman" w:hAnsi="Times New Roman"/>
                <w:b/>
                <w:bCs/>
                <w:sz w:val="26"/>
                <w:szCs w:val="26"/>
                <w:rtl/>
              </w:rPr>
              <w:t>מדינת ישראל</w:t>
            </w:r>
          </w:p>
        </w:tc>
      </w:tr>
      <w:bookmarkEnd w:id="1"/>
      <w:tr w:rsidR="00C31195" w:rsidRPr="00C550CD" w14:paraId="319C771F" w14:textId="77777777">
        <w:tc>
          <w:tcPr>
            <w:tcW w:w="8802" w:type="dxa"/>
            <w:gridSpan w:val="3"/>
          </w:tcPr>
          <w:p w14:paraId="0081715E" w14:textId="77777777" w:rsidR="00C31195" w:rsidRPr="00C550CD" w:rsidRDefault="00C550CD">
            <w:pPr>
              <w:jc w:val="center"/>
              <w:rPr>
                <w:rFonts w:ascii="Arial" w:eastAsia="Times New Roman" w:hAnsi="Arial"/>
                <w:b/>
                <w:bCs/>
                <w:sz w:val="26"/>
                <w:szCs w:val="26"/>
                <w:rtl/>
              </w:rPr>
            </w:pPr>
            <w:r w:rsidRPr="00C550CD">
              <w:rPr>
                <w:rFonts w:ascii="Arial" w:eastAsia="Times New Roman" w:hAnsi="Arial"/>
                <w:b/>
                <w:bCs/>
                <w:sz w:val="26"/>
                <w:szCs w:val="26"/>
                <w:rtl/>
              </w:rPr>
              <w:t>נגד</w:t>
            </w:r>
          </w:p>
          <w:p w14:paraId="00E6CEE9" w14:textId="77777777" w:rsidR="00C31195" w:rsidRPr="00C550CD" w:rsidRDefault="00C31195">
            <w:pPr>
              <w:jc w:val="center"/>
              <w:rPr>
                <w:rFonts w:ascii="Arial" w:eastAsia="Times New Roman" w:hAnsi="Arial"/>
                <w:b/>
                <w:bCs/>
                <w:sz w:val="26"/>
                <w:szCs w:val="26"/>
              </w:rPr>
            </w:pPr>
          </w:p>
        </w:tc>
      </w:tr>
      <w:tr w:rsidR="00C31195" w:rsidRPr="00C550CD" w14:paraId="52334633" w14:textId="77777777">
        <w:tc>
          <w:tcPr>
            <w:tcW w:w="2880" w:type="dxa"/>
          </w:tcPr>
          <w:p w14:paraId="5A92A142" w14:textId="77777777" w:rsidR="00C31195" w:rsidRPr="00C550CD" w:rsidRDefault="00C550CD">
            <w:pPr>
              <w:ind w:left="26"/>
              <w:rPr>
                <w:rFonts w:ascii="Times New Roman" w:eastAsia="Times New Roman" w:hAnsi="Times New Roman"/>
                <w:b/>
                <w:bCs/>
                <w:sz w:val="26"/>
                <w:szCs w:val="26"/>
                <w:rtl/>
              </w:rPr>
            </w:pPr>
            <w:r w:rsidRPr="00C550CD">
              <w:rPr>
                <w:rFonts w:ascii="Times New Roman" w:eastAsia="Times New Roman" w:hAnsi="Times New Roman" w:hint="cs"/>
                <w:b/>
                <w:bCs/>
                <w:sz w:val="26"/>
                <w:szCs w:val="26"/>
                <w:rtl/>
              </w:rPr>
              <w:t>הנאשם</w:t>
            </w:r>
          </w:p>
        </w:tc>
        <w:tc>
          <w:tcPr>
            <w:tcW w:w="5922" w:type="dxa"/>
            <w:gridSpan w:val="2"/>
          </w:tcPr>
          <w:p w14:paraId="46414CFC" w14:textId="77777777" w:rsidR="00C31195" w:rsidRPr="00C550CD" w:rsidRDefault="00C550CD">
            <w:pPr>
              <w:rPr>
                <w:rFonts w:ascii="Times New Roman" w:eastAsia="Times New Roman" w:hAnsi="Times New Roman"/>
                <w:b/>
                <w:bCs/>
                <w:sz w:val="26"/>
                <w:szCs w:val="26"/>
                <w:rtl/>
              </w:rPr>
            </w:pPr>
            <w:r w:rsidRPr="00C550CD">
              <w:rPr>
                <w:rFonts w:ascii="Times New Roman" w:eastAsia="Times New Roman" w:hAnsi="Times New Roman"/>
                <w:b/>
                <w:bCs/>
                <w:sz w:val="26"/>
                <w:szCs w:val="26"/>
                <w:rtl/>
              </w:rPr>
              <w:t xml:space="preserve">עאוני הוארי </w:t>
            </w:r>
          </w:p>
        </w:tc>
      </w:tr>
    </w:tbl>
    <w:p w14:paraId="1418E686" w14:textId="77777777" w:rsidR="00C31195" w:rsidRPr="00C550CD" w:rsidRDefault="00C31195">
      <w:pPr>
        <w:spacing w:line="360" w:lineRule="auto"/>
        <w:jc w:val="both"/>
        <w:rPr>
          <w:rtl/>
        </w:rPr>
      </w:pPr>
    </w:p>
    <w:p w14:paraId="1A506DE9" w14:textId="77777777" w:rsidR="00C31195" w:rsidRPr="00C550CD" w:rsidRDefault="00C550CD">
      <w:pPr>
        <w:spacing w:line="360" w:lineRule="auto"/>
        <w:jc w:val="both"/>
        <w:rPr>
          <w:sz w:val="6"/>
          <w:szCs w:val="6"/>
          <w:rtl/>
        </w:rPr>
      </w:pPr>
      <w:r w:rsidRPr="00C550CD">
        <w:rPr>
          <w:sz w:val="6"/>
          <w:szCs w:val="6"/>
          <w:rtl/>
        </w:rPr>
        <w:t>&lt;#2#&gt;</w:t>
      </w:r>
    </w:p>
    <w:p w14:paraId="1A954536" w14:textId="77777777" w:rsidR="00C31195" w:rsidRPr="00C550CD" w:rsidRDefault="00C550CD">
      <w:pPr>
        <w:pStyle w:val="12"/>
        <w:rPr>
          <w:u w:val="none"/>
          <w:rtl/>
        </w:rPr>
      </w:pPr>
      <w:r w:rsidRPr="00C550CD">
        <w:rPr>
          <w:rFonts w:hint="cs"/>
          <w:u w:val="none"/>
          <w:rtl/>
        </w:rPr>
        <w:t>נוכחים:</w:t>
      </w:r>
    </w:p>
    <w:p w14:paraId="6B8CD99E" w14:textId="77777777" w:rsidR="00C31195" w:rsidRPr="00C550CD" w:rsidRDefault="00C550CD">
      <w:pPr>
        <w:pStyle w:val="12"/>
        <w:rPr>
          <w:u w:val="none"/>
          <w:rtl/>
        </w:rPr>
      </w:pPr>
      <w:bookmarkStart w:id="2" w:name="FirstLawyer"/>
      <w:r w:rsidRPr="00C550CD">
        <w:rPr>
          <w:rFonts w:hint="cs"/>
          <w:u w:val="none"/>
          <w:rtl/>
        </w:rPr>
        <w:t>בשם</w:t>
      </w:r>
      <w:bookmarkEnd w:id="2"/>
      <w:r w:rsidRPr="00C550CD">
        <w:rPr>
          <w:rFonts w:hint="cs"/>
          <w:u w:val="none"/>
          <w:rtl/>
        </w:rPr>
        <w:t xml:space="preserve"> המאשימה: עו"ד רועי אלפסי </w:t>
      </w:r>
    </w:p>
    <w:p w14:paraId="15857AA9" w14:textId="77777777" w:rsidR="00C31195" w:rsidRPr="00C550CD" w:rsidRDefault="00C550CD">
      <w:pPr>
        <w:pStyle w:val="12"/>
        <w:rPr>
          <w:u w:val="none"/>
          <w:rtl/>
        </w:rPr>
      </w:pPr>
      <w:r w:rsidRPr="00C550CD">
        <w:rPr>
          <w:rFonts w:hint="cs"/>
          <w:u w:val="none"/>
          <w:rtl/>
        </w:rPr>
        <w:t>בשם הנאשם: עו"ד אלעד אלימלח</w:t>
      </w:r>
    </w:p>
    <w:p w14:paraId="3CBF6D67" w14:textId="77777777" w:rsidR="00C31195" w:rsidRPr="00C550CD" w:rsidRDefault="00C550CD">
      <w:pPr>
        <w:pStyle w:val="12"/>
        <w:rPr>
          <w:u w:val="none"/>
          <w:rtl/>
        </w:rPr>
      </w:pPr>
      <w:r w:rsidRPr="00C550CD">
        <w:rPr>
          <w:rFonts w:hint="cs"/>
          <w:u w:val="none"/>
          <w:rtl/>
        </w:rPr>
        <w:t>הנאשם: בעצמו [הובא באמצעות ליווי שב"ס]</w:t>
      </w:r>
    </w:p>
    <w:p w14:paraId="16D4D140" w14:textId="77777777" w:rsidR="00C31195" w:rsidRPr="00C550CD" w:rsidRDefault="00C31195">
      <w:pPr>
        <w:pStyle w:val="12"/>
        <w:rPr>
          <w:b w:val="0"/>
          <w:bCs w:val="0"/>
          <w:u w:val="none"/>
          <w:rtl/>
        </w:rPr>
      </w:pPr>
    </w:p>
    <w:p w14:paraId="7D6C4D00" w14:textId="77777777" w:rsidR="007C1E92" w:rsidRPr="000E3409" w:rsidRDefault="007C1E92" w:rsidP="007C1E92">
      <w:pPr>
        <w:spacing w:after="120" w:line="240" w:lineRule="exact"/>
        <w:ind w:left="283" w:hanging="283"/>
        <w:jc w:val="both"/>
        <w:rPr>
          <w:rStyle w:val="Hyperlink"/>
          <w:rFonts w:ascii="FrankRuehl" w:hAnsi="FrankRuehl" w:cs="FrankRuehl"/>
          <w:color w:val="auto"/>
          <w:rtl/>
        </w:rPr>
      </w:pPr>
      <w:r w:rsidRPr="000E3409">
        <w:rPr>
          <w:rFonts w:ascii="FrankRuehl" w:hAnsi="FrankRuehl" w:cs="FrankRuehl"/>
          <w:rtl/>
        </w:rPr>
        <w:t>כתבי עת:</w:t>
      </w:r>
      <w:r w:rsidRPr="000E3409">
        <w:rPr>
          <w:rFonts w:ascii="FrankRuehl" w:hAnsi="FrankRuehl" w:cs="FrankRuehl"/>
          <w:u w:val="single"/>
          <w:rtl/>
        </w:rPr>
        <w:fldChar w:fldCharType="begin"/>
      </w:r>
      <w:r w:rsidRPr="000E3409">
        <w:rPr>
          <w:rFonts w:ascii="FrankRuehl" w:hAnsi="FrankRuehl" w:cs="FrankRuehl"/>
          <w:u w:val="single"/>
          <w:rtl/>
        </w:rPr>
        <w:instrText xml:space="preserve"> </w:instrText>
      </w:r>
      <w:r w:rsidRPr="000E3409">
        <w:rPr>
          <w:rFonts w:ascii="FrankRuehl" w:hAnsi="FrankRuehl" w:cs="FrankRuehl"/>
          <w:u w:val="single"/>
        </w:rPr>
        <w:instrText>HYPERLINK</w:instrText>
      </w:r>
      <w:r w:rsidRPr="000E3409">
        <w:rPr>
          <w:rFonts w:ascii="FrankRuehl" w:hAnsi="FrankRuehl" w:cs="FrankRuehl"/>
          <w:u w:val="single"/>
          <w:rtl/>
        </w:rPr>
        <w:instrText xml:space="preserve"> "</w:instrText>
      </w:r>
      <w:r w:rsidRPr="000E3409">
        <w:rPr>
          <w:rFonts w:ascii="FrankRuehl" w:hAnsi="FrankRuehl" w:cs="FrankRuehl"/>
          <w:u w:val="single"/>
        </w:rPr>
        <w:instrText>http://www.nevo.co.il/safrut/book/3366</w:instrText>
      </w:r>
      <w:r w:rsidRPr="000E3409">
        <w:rPr>
          <w:rFonts w:ascii="FrankRuehl" w:hAnsi="FrankRuehl" w:cs="FrankRuehl"/>
          <w:u w:val="single"/>
          <w:rtl/>
        </w:rPr>
        <w:instrText xml:space="preserve">" </w:instrText>
      </w:r>
      <w:r w:rsidRPr="000E3409">
        <w:rPr>
          <w:rFonts w:ascii="FrankRuehl" w:hAnsi="FrankRuehl" w:cs="FrankRuehl"/>
          <w:u w:val="single"/>
          <w:rtl/>
        </w:rPr>
      </w:r>
      <w:r w:rsidRPr="000E3409">
        <w:rPr>
          <w:rFonts w:ascii="FrankRuehl" w:hAnsi="FrankRuehl" w:cs="FrankRuehl"/>
          <w:u w:val="single"/>
          <w:rtl/>
        </w:rPr>
        <w:fldChar w:fldCharType="separate"/>
      </w:r>
    </w:p>
    <w:p w14:paraId="3ED30784" w14:textId="77777777" w:rsidR="007C1E92" w:rsidRPr="007C1E92" w:rsidRDefault="007C1E92" w:rsidP="007C1E92">
      <w:pPr>
        <w:spacing w:after="120" w:line="240" w:lineRule="exact"/>
        <w:ind w:left="283" w:hanging="283"/>
        <w:jc w:val="both"/>
        <w:rPr>
          <w:rFonts w:ascii="FrankRuehl" w:hAnsi="FrankRuehl" w:cs="FrankRuehl"/>
          <w:color w:val="FF0000"/>
          <w:rtl/>
        </w:rPr>
      </w:pPr>
      <w:r w:rsidRPr="000E3409">
        <w:rPr>
          <w:rStyle w:val="Hyperlink"/>
          <w:rFonts w:ascii="FrankRuehl" w:hAnsi="FrankRuehl" w:cs="FrankRuehl"/>
          <w:color w:val="auto"/>
          <w:rtl/>
        </w:rPr>
        <w:t xml:space="preserve">רון שפירא, "הגיעה העת לסולחה", הפרקליט, כרך מח (תשס"ה-תשס"ו) </w:t>
      </w:r>
      <w:r w:rsidRPr="000E3409">
        <w:rPr>
          <w:rStyle w:val="Hyperlink"/>
          <w:rFonts w:ascii="FrankRuehl" w:hAnsi="FrankRuehl" w:cs="FrankRuehl"/>
          <w:color w:val="auto"/>
          <w:u w:val="none"/>
          <w:rtl/>
        </w:rPr>
        <w:t>433</w:t>
      </w:r>
      <w:r w:rsidRPr="000E3409">
        <w:rPr>
          <w:rFonts w:ascii="FrankRuehl" w:hAnsi="FrankRuehl" w:cs="FrankRuehl"/>
          <w:rtl/>
        </w:rPr>
        <w:fldChar w:fldCharType="end"/>
      </w:r>
    </w:p>
    <w:p w14:paraId="40D41903" w14:textId="77777777" w:rsidR="007C1E92" w:rsidRDefault="00C550CD">
      <w:pPr>
        <w:spacing w:line="360" w:lineRule="auto"/>
        <w:jc w:val="center"/>
        <w:rPr>
          <w:rFonts w:ascii="Arial" w:hAnsi="Arial"/>
          <w:sz w:val="28"/>
          <w:szCs w:val="28"/>
          <w:rtl/>
        </w:rPr>
      </w:pPr>
      <w:bookmarkStart w:id="3" w:name="Links_Kitvei_End"/>
      <w:bookmarkEnd w:id="3"/>
      <w:r w:rsidRPr="007C1E92">
        <w:rPr>
          <w:rFonts w:ascii="Arial" w:hAnsi="Arial"/>
          <w:b/>
          <w:color w:val="FF0000"/>
          <w:sz w:val="28"/>
          <w:rtl/>
        </w:rPr>
        <w:t>במסמך</w:t>
      </w:r>
      <w:r w:rsidRPr="00C550CD">
        <w:rPr>
          <w:rFonts w:ascii="Arial" w:hAnsi="Arial"/>
          <w:b/>
          <w:color w:val="FF0000"/>
          <w:sz w:val="28"/>
          <w:rtl/>
        </w:rPr>
        <w:t xml:space="preserve"> זה הושמטו פרוטוקולים</w:t>
      </w:r>
      <w:bookmarkStart w:id="4" w:name="LawTable"/>
      <w:bookmarkEnd w:id="4"/>
    </w:p>
    <w:p w14:paraId="23D05B90" w14:textId="77777777" w:rsidR="007C1E92" w:rsidRPr="007C1E92" w:rsidRDefault="007C1E92" w:rsidP="007C1E92">
      <w:pPr>
        <w:spacing w:after="120" w:line="240" w:lineRule="exact"/>
        <w:ind w:left="283" w:hanging="283"/>
        <w:jc w:val="both"/>
        <w:rPr>
          <w:rFonts w:ascii="FrankRuehl" w:hAnsi="FrankRuehl" w:cs="FrankRuehl"/>
          <w:rtl/>
        </w:rPr>
      </w:pPr>
    </w:p>
    <w:p w14:paraId="0B556421" w14:textId="77777777" w:rsidR="007C1E92" w:rsidRPr="007C1E92" w:rsidRDefault="007C1E92" w:rsidP="007C1E92">
      <w:pPr>
        <w:spacing w:after="120" w:line="240" w:lineRule="exact"/>
        <w:ind w:left="283" w:hanging="283"/>
        <w:jc w:val="both"/>
        <w:rPr>
          <w:rFonts w:ascii="FrankRuehl" w:hAnsi="FrankRuehl" w:cs="FrankRuehl"/>
          <w:rtl/>
        </w:rPr>
      </w:pPr>
      <w:r w:rsidRPr="007C1E92">
        <w:rPr>
          <w:rFonts w:ascii="FrankRuehl" w:hAnsi="FrankRuehl" w:cs="FrankRuehl"/>
          <w:rtl/>
        </w:rPr>
        <w:t xml:space="preserve">חקיקה שאוזכרה: </w:t>
      </w:r>
    </w:p>
    <w:p w14:paraId="65EEFE08" w14:textId="77777777" w:rsidR="007C1E92" w:rsidRPr="007C1E92" w:rsidRDefault="007C1E92" w:rsidP="007C1E92">
      <w:pPr>
        <w:spacing w:after="120" w:line="240" w:lineRule="exact"/>
        <w:ind w:left="283" w:hanging="283"/>
        <w:jc w:val="both"/>
        <w:rPr>
          <w:rFonts w:ascii="FrankRuehl" w:hAnsi="FrankRuehl" w:cs="FrankRuehl"/>
          <w:rtl/>
        </w:rPr>
      </w:pPr>
      <w:hyperlink r:id="rId7" w:history="1">
        <w:r w:rsidRPr="007C1E92">
          <w:rPr>
            <w:rFonts w:ascii="FrankRuehl" w:hAnsi="FrankRuehl" w:cs="FrankRuehl"/>
            <w:color w:val="0000FF"/>
            <w:u w:val="single"/>
            <w:rtl/>
          </w:rPr>
          <w:t>חוק העונשין, תשל"ז-1977</w:t>
        </w:r>
      </w:hyperlink>
      <w:r w:rsidRPr="007C1E92">
        <w:rPr>
          <w:rFonts w:ascii="FrankRuehl" w:hAnsi="FrankRuehl" w:cs="FrankRuehl"/>
          <w:rtl/>
        </w:rPr>
        <w:t xml:space="preserve">: סע'  </w:t>
      </w:r>
      <w:hyperlink r:id="rId8" w:history="1">
        <w:r w:rsidRPr="007C1E92">
          <w:rPr>
            <w:rFonts w:ascii="FrankRuehl" w:hAnsi="FrankRuehl" w:cs="FrankRuehl"/>
            <w:color w:val="0000FF"/>
            <w:u w:val="single"/>
            <w:rtl/>
          </w:rPr>
          <w:t>40ב</w:t>
        </w:r>
      </w:hyperlink>
      <w:r w:rsidRPr="007C1E92">
        <w:rPr>
          <w:rFonts w:ascii="FrankRuehl" w:hAnsi="FrankRuehl" w:cs="FrankRuehl"/>
          <w:rtl/>
        </w:rPr>
        <w:t xml:space="preserve">, </w:t>
      </w:r>
      <w:hyperlink r:id="rId9" w:history="1">
        <w:r w:rsidRPr="007C1E92">
          <w:rPr>
            <w:rFonts w:ascii="FrankRuehl" w:hAnsi="FrankRuehl" w:cs="FrankRuehl"/>
            <w:color w:val="0000FF"/>
            <w:u w:val="single"/>
            <w:rtl/>
          </w:rPr>
          <w:t>40ג(א)</w:t>
        </w:r>
      </w:hyperlink>
      <w:r w:rsidRPr="007C1E92">
        <w:rPr>
          <w:rFonts w:ascii="FrankRuehl" w:hAnsi="FrankRuehl" w:cs="FrankRuehl"/>
          <w:rtl/>
        </w:rPr>
        <w:t xml:space="preserve">, </w:t>
      </w:r>
      <w:hyperlink r:id="rId10" w:history="1">
        <w:r w:rsidRPr="007C1E92">
          <w:rPr>
            <w:rFonts w:ascii="FrankRuehl" w:hAnsi="FrankRuehl" w:cs="FrankRuehl"/>
            <w:color w:val="0000FF"/>
            <w:u w:val="single"/>
            <w:rtl/>
          </w:rPr>
          <w:t>40ד</w:t>
        </w:r>
      </w:hyperlink>
      <w:r w:rsidRPr="007C1E92">
        <w:rPr>
          <w:rFonts w:ascii="FrankRuehl" w:hAnsi="FrankRuehl" w:cs="FrankRuehl"/>
          <w:rtl/>
        </w:rPr>
        <w:t xml:space="preserve">, </w:t>
      </w:r>
      <w:hyperlink r:id="rId11" w:history="1">
        <w:r w:rsidRPr="007C1E92">
          <w:rPr>
            <w:rFonts w:ascii="FrankRuehl" w:hAnsi="FrankRuehl" w:cs="FrankRuehl"/>
            <w:color w:val="0000FF"/>
            <w:u w:val="single"/>
            <w:rtl/>
          </w:rPr>
          <w:t>40ה</w:t>
        </w:r>
      </w:hyperlink>
      <w:r w:rsidRPr="007C1E92">
        <w:rPr>
          <w:rFonts w:ascii="FrankRuehl" w:hAnsi="FrankRuehl" w:cs="FrankRuehl"/>
          <w:rtl/>
        </w:rPr>
        <w:t xml:space="preserve">, </w:t>
      </w:r>
      <w:hyperlink r:id="rId12" w:history="1">
        <w:r w:rsidRPr="007C1E92">
          <w:rPr>
            <w:rFonts w:ascii="FrankRuehl" w:hAnsi="FrankRuehl" w:cs="FrankRuehl"/>
            <w:color w:val="0000FF"/>
            <w:u w:val="single"/>
            <w:rtl/>
          </w:rPr>
          <w:t>40ט</w:t>
        </w:r>
      </w:hyperlink>
      <w:r w:rsidRPr="007C1E92">
        <w:rPr>
          <w:rFonts w:ascii="FrankRuehl" w:hAnsi="FrankRuehl" w:cs="FrankRuehl"/>
          <w:rtl/>
        </w:rPr>
        <w:t xml:space="preserve">, </w:t>
      </w:r>
      <w:hyperlink r:id="rId13" w:history="1">
        <w:r w:rsidRPr="007C1E92">
          <w:rPr>
            <w:rFonts w:ascii="FrankRuehl" w:hAnsi="FrankRuehl" w:cs="FrankRuehl"/>
            <w:color w:val="0000FF"/>
            <w:u w:val="single"/>
            <w:rtl/>
          </w:rPr>
          <w:t>40ט.א.6.</w:t>
        </w:r>
      </w:hyperlink>
      <w:r w:rsidRPr="007C1E92">
        <w:rPr>
          <w:rFonts w:ascii="FrankRuehl" w:hAnsi="FrankRuehl" w:cs="FrankRuehl"/>
          <w:rtl/>
        </w:rPr>
        <w:t xml:space="preserve">, </w:t>
      </w:r>
      <w:hyperlink r:id="rId14" w:history="1">
        <w:r w:rsidRPr="007C1E92">
          <w:rPr>
            <w:rFonts w:ascii="FrankRuehl" w:hAnsi="FrankRuehl" w:cs="FrankRuehl"/>
            <w:color w:val="0000FF"/>
            <w:u w:val="single"/>
            <w:rtl/>
          </w:rPr>
          <w:t>40ט.א.7.</w:t>
        </w:r>
      </w:hyperlink>
      <w:r w:rsidRPr="007C1E92">
        <w:rPr>
          <w:rFonts w:ascii="FrankRuehl" w:hAnsi="FrankRuehl" w:cs="FrankRuehl"/>
          <w:rtl/>
        </w:rPr>
        <w:t xml:space="preserve">, </w:t>
      </w:r>
      <w:hyperlink r:id="rId15" w:history="1">
        <w:r w:rsidRPr="007C1E92">
          <w:rPr>
            <w:rFonts w:ascii="FrankRuehl" w:hAnsi="FrankRuehl" w:cs="FrankRuehl"/>
            <w:color w:val="0000FF"/>
            <w:u w:val="single"/>
            <w:rtl/>
          </w:rPr>
          <w:t>40ט.א.8</w:t>
        </w:r>
      </w:hyperlink>
      <w:r w:rsidRPr="007C1E92">
        <w:rPr>
          <w:rFonts w:ascii="FrankRuehl" w:hAnsi="FrankRuehl" w:cs="FrankRuehl"/>
          <w:rtl/>
        </w:rPr>
        <w:t xml:space="preserve">, </w:t>
      </w:r>
      <w:hyperlink r:id="rId16" w:history="1">
        <w:r w:rsidRPr="007C1E92">
          <w:rPr>
            <w:rFonts w:ascii="FrankRuehl" w:hAnsi="FrankRuehl" w:cs="FrankRuehl"/>
            <w:color w:val="0000FF"/>
            <w:u w:val="single"/>
            <w:rtl/>
          </w:rPr>
          <w:t>40ט.א.9</w:t>
        </w:r>
      </w:hyperlink>
      <w:r w:rsidRPr="007C1E92">
        <w:rPr>
          <w:rFonts w:ascii="FrankRuehl" w:hAnsi="FrankRuehl" w:cs="FrankRuehl"/>
          <w:rtl/>
        </w:rPr>
        <w:t xml:space="preserve">, </w:t>
      </w:r>
      <w:hyperlink r:id="rId17" w:history="1">
        <w:r w:rsidRPr="007C1E92">
          <w:rPr>
            <w:rFonts w:ascii="FrankRuehl" w:hAnsi="FrankRuehl" w:cs="FrankRuehl"/>
            <w:color w:val="0000FF"/>
            <w:u w:val="single"/>
            <w:rtl/>
          </w:rPr>
          <w:t>144(ב)</w:t>
        </w:r>
      </w:hyperlink>
      <w:r w:rsidRPr="007C1E92">
        <w:rPr>
          <w:rFonts w:ascii="FrankRuehl" w:hAnsi="FrankRuehl" w:cs="FrankRuehl"/>
          <w:rtl/>
        </w:rPr>
        <w:t xml:space="preserve">, </w:t>
      </w:r>
      <w:hyperlink r:id="rId18" w:history="1">
        <w:r w:rsidRPr="007C1E92">
          <w:rPr>
            <w:rFonts w:ascii="FrankRuehl" w:hAnsi="FrankRuehl" w:cs="FrankRuehl"/>
            <w:color w:val="0000FF"/>
            <w:u w:val="single"/>
            <w:rtl/>
          </w:rPr>
          <w:t>333</w:t>
        </w:r>
      </w:hyperlink>
      <w:r w:rsidRPr="007C1E92">
        <w:rPr>
          <w:rFonts w:ascii="FrankRuehl" w:hAnsi="FrankRuehl" w:cs="FrankRuehl"/>
          <w:rtl/>
        </w:rPr>
        <w:t xml:space="preserve">, </w:t>
      </w:r>
      <w:hyperlink r:id="rId19" w:history="1">
        <w:r w:rsidRPr="007C1E92">
          <w:rPr>
            <w:rFonts w:ascii="FrankRuehl" w:hAnsi="FrankRuehl" w:cs="FrankRuehl"/>
            <w:color w:val="0000FF"/>
            <w:u w:val="single"/>
            <w:rtl/>
          </w:rPr>
          <w:t>335</w:t>
        </w:r>
      </w:hyperlink>
      <w:r w:rsidRPr="007C1E92">
        <w:rPr>
          <w:rFonts w:ascii="FrankRuehl" w:hAnsi="FrankRuehl" w:cs="FrankRuehl"/>
          <w:rtl/>
        </w:rPr>
        <w:t xml:space="preserve">, </w:t>
      </w:r>
      <w:hyperlink r:id="rId20" w:history="1">
        <w:r w:rsidRPr="007C1E92">
          <w:rPr>
            <w:rFonts w:ascii="FrankRuehl" w:hAnsi="FrankRuehl" w:cs="FrankRuehl"/>
            <w:color w:val="0000FF"/>
            <w:u w:val="single"/>
            <w:rtl/>
          </w:rPr>
          <w:t>40 יא'</w:t>
        </w:r>
      </w:hyperlink>
    </w:p>
    <w:p w14:paraId="1C947404" w14:textId="77777777" w:rsidR="00FC3443" w:rsidRPr="00FC3443" w:rsidRDefault="00FC3443" w:rsidP="00FC3443">
      <w:pPr>
        <w:spacing w:after="120" w:line="240" w:lineRule="exact"/>
        <w:ind w:left="283" w:hanging="283"/>
        <w:jc w:val="both"/>
        <w:rPr>
          <w:rFonts w:ascii="FrankRuehl" w:eastAsia="Times New Roman" w:hAnsi="FrankRuehl" w:cs="FrankRuehl"/>
          <w:color w:val="FFFFFF"/>
          <w:sz w:val="2"/>
          <w:szCs w:val="2"/>
        </w:rPr>
      </w:pPr>
      <w:r w:rsidRPr="00FC3443">
        <w:rPr>
          <w:rFonts w:ascii="FrankRuehl" w:hAnsi="FrankRuehl" w:cs="FrankRuehl"/>
          <w:color w:val="FFFFFF"/>
          <w:sz w:val="2"/>
          <w:szCs w:val="2"/>
          <w:rtl/>
        </w:rPr>
        <w:t>חוק ההתיישבות העותמנית  [נוסח ישן] 1916</w:t>
      </w:r>
    </w:p>
    <w:p w14:paraId="063381A4" w14:textId="77777777" w:rsidR="007C1E92" w:rsidRPr="00FC3443" w:rsidRDefault="007C1E92" w:rsidP="007C1E92">
      <w:pPr>
        <w:spacing w:after="120" w:line="240" w:lineRule="exact"/>
        <w:ind w:left="283" w:hanging="283"/>
        <w:jc w:val="both"/>
        <w:rPr>
          <w:rFonts w:ascii="FrankRuehl" w:hAnsi="FrankRuehl" w:cs="FrankRuehl"/>
          <w:rtl/>
        </w:rPr>
      </w:pPr>
    </w:p>
    <w:p w14:paraId="01012F4C" w14:textId="77777777" w:rsidR="00C550CD" w:rsidRPr="00C550CD" w:rsidRDefault="00C550CD" w:rsidP="00C550CD">
      <w:pPr>
        <w:spacing w:line="360" w:lineRule="auto"/>
        <w:jc w:val="center"/>
        <w:rPr>
          <w:rFonts w:ascii="Arial" w:hAnsi="Arial"/>
          <w:b/>
          <w:bCs/>
          <w:sz w:val="28"/>
          <w:szCs w:val="28"/>
          <w:u w:val="single"/>
          <w:rtl/>
        </w:rPr>
      </w:pPr>
      <w:bookmarkStart w:id="5" w:name="LawTable_End"/>
      <w:bookmarkStart w:id="6" w:name="PsakDin"/>
      <w:bookmarkEnd w:id="0"/>
      <w:bookmarkEnd w:id="5"/>
      <w:r w:rsidRPr="00C550CD">
        <w:rPr>
          <w:rFonts w:ascii="Arial" w:hAnsi="Arial"/>
          <w:b/>
          <w:bCs/>
          <w:sz w:val="28"/>
          <w:szCs w:val="28"/>
          <w:u w:val="single"/>
          <w:rtl/>
        </w:rPr>
        <w:t>גזר דין</w:t>
      </w:r>
    </w:p>
    <w:bookmarkEnd w:id="6"/>
    <w:p w14:paraId="25802B5C" w14:textId="77777777" w:rsidR="00C31195" w:rsidRDefault="00C31195">
      <w:pPr>
        <w:spacing w:line="360" w:lineRule="auto"/>
        <w:jc w:val="both"/>
        <w:rPr>
          <w:rFonts w:ascii="Arial" w:hAnsi="Arial"/>
        </w:rPr>
      </w:pPr>
    </w:p>
    <w:p w14:paraId="410C3D78" w14:textId="77777777" w:rsidR="00C31195" w:rsidRDefault="00C550CD">
      <w:pPr>
        <w:spacing w:line="480" w:lineRule="auto"/>
        <w:rPr>
          <w:b/>
          <w:bCs/>
          <w:u w:val="single"/>
          <w:rtl/>
        </w:rPr>
      </w:pPr>
      <w:bookmarkStart w:id="7" w:name="סוג_מסמך"/>
      <w:bookmarkEnd w:id="7"/>
      <w:r>
        <w:rPr>
          <w:b/>
          <w:bCs/>
          <w:rtl/>
        </w:rPr>
        <w:t>א</w:t>
      </w:r>
      <w:r>
        <w:rPr>
          <w:rtl/>
        </w:rPr>
        <w:t xml:space="preserve">. </w:t>
      </w:r>
      <w:r>
        <w:rPr>
          <w:rtl/>
        </w:rPr>
        <w:tab/>
      </w:r>
      <w:r>
        <w:rPr>
          <w:b/>
          <w:bCs/>
          <w:u w:val="single"/>
          <w:rtl/>
        </w:rPr>
        <w:t>מבוא</w:t>
      </w:r>
      <w:r>
        <w:rPr>
          <w:b/>
          <w:bCs/>
          <w:rtl/>
        </w:rPr>
        <w:t>:</w:t>
      </w:r>
    </w:p>
    <w:p w14:paraId="0D9EE9CB" w14:textId="77777777" w:rsidR="00C31195" w:rsidRDefault="00C550CD">
      <w:pPr>
        <w:pStyle w:val="aa"/>
        <w:ind w:left="720"/>
        <w:rPr>
          <w:sz w:val="24"/>
          <w:szCs w:val="24"/>
          <w:rtl/>
        </w:rPr>
      </w:pPr>
      <w:bookmarkStart w:id="8" w:name="ABSTRACT_START"/>
      <w:bookmarkEnd w:id="8"/>
      <w:r>
        <w:rPr>
          <w:sz w:val="24"/>
          <w:szCs w:val="24"/>
          <w:rtl/>
        </w:rPr>
        <w:t xml:space="preserve">הנאשם הורשע על פי הודאתו, במסגרת הליך גישור, בעובדות כתב האישום המתוקן, על פיו יוחסו לו העבירות הבאות: חבלה חמורה בנסיבות מחמירות- לפי </w:t>
      </w:r>
      <w:hyperlink r:id="rId21" w:history="1">
        <w:r w:rsidR="00456F14" w:rsidRPr="00456F14">
          <w:rPr>
            <w:color w:val="0000FF"/>
            <w:sz w:val="24"/>
            <w:szCs w:val="24"/>
            <w:u w:val="single"/>
            <w:rtl/>
          </w:rPr>
          <w:t>סעיף 333</w:t>
        </w:r>
      </w:hyperlink>
      <w:r>
        <w:rPr>
          <w:sz w:val="24"/>
          <w:szCs w:val="24"/>
          <w:rtl/>
        </w:rPr>
        <w:t xml:space="preserve"> בצירוף </w:t>
      </w:r>
      <w:hyperlink r:id="rId22" w:history="1">
        <w:r w:rsidR="00456F14" w:rsidRPr="00456F14">
          <w:rPr>
            <w:color w:val="0000FF"/>
            <w:sz w:val="24"/>
            <w:szCs w:val="24"/>
            <w:u w:val="single"/>
            <w:rtl/>
          </w:rPr>
          <w:t>סעיף 335</w:t>
        </w:r>
      </w:hyperlink>
      <w:r>
        <w:rPr>
          <w:sz w:val="24"/>
          <w:szCs w:val="24"/>
          <w:rtl/>
        </w:rPr>
        <w:t xml:space="preserve"> ל</w:t>
      </w:r>
      <w:hyperlink r:id="rId23" w:history="1">
        <w:r w:rsidRPr="00C550CD">
          <w:rPr>
            <w:rStyle w:val="Hyperlink"/>
            <w:sz w:val="24"/>
            <w:szCs w:val="24"/>
            <w:rtl/>
          </w:rPr>
          <w:t>חוק העונשין</w:t>
        </w:r>
      </w:hyperlink>
      <w:r>
        <w:rPr>
          <w:sz w:val="24"/>
          <w:szCs w:val="24"/>
          <w:rtl/>
        </w:rPr>
        <w:t xml:space="preserve">, התשל"ז-1977 (להלן: </w:t>
      </w:r>
      <w:r>
        <w:rPr>
          <w:b/>
          <w:bCs/>
          <w:sz w:val="24"/>
          <w:szCs w:val="24"/>
          <w:rtl/>
        </w:rPr>
        <w:t>"חוק העונשין"</w:t>
      </w:r>
      <w:r>
        <w:rPr>
          <w:sz w:val="24"/>
          <w:szCs w:val="24"/>
          <w:rtl/>
        </w:rPr>
        <w:t xml:space="preserve">); נשיאת נשק-לפי </w:t>
      </w:r>
      <w:hyperlink r:id="rId24" w:history="1">
        <w:r w:rsidR="00456F14" w:rsidRPr="00456F14">
          <w:rPr>
            <w:color w:val="0000FF"/>
            <w:sz w:val="24"/>
            <w:szCs w:val="24"/>
            <w:u w:val="single"/>
            <w:rtl/>
          </w:rPr>
          <w:t>סעיף 144(ב)</w:t>
        </w:r>
      </w:hyperlink>
      <w:r>
        <w:rPr>
          <w:sz w:val="24"/>
          <w:szCs w:val="24"/>
          <w:rtl/>
        </w:rPr>
        <w:t xml:space="preserve"> </w:t>
      </w:r>
    </w:p>
    <w:p w14:paraId="247BCD97" w14:textId="77777777" w:rsidR="00C31195" w:rsidRDefault="00C550CD">
      <w:pPr>
        <w:pStyle w:val="aa"/>
        <w:ind w:left="720"/>
        <w:rPr>
          <w:sz w:val="24"/>
          <w:szCs w:val="24"/>
          <w:rtl/>
        </w:rPr>
      </w:pPr>
      <w:r>
        <w:rPr>
          <w:sz w:val="24"/>
          <w:szCs w:val="24"/>
          <w:rtl/>
        </w:rPr>
        <w:t>ל</w:t>
      </w:r>
      <w:hyperlink r:id="rId25" w:history="1">
        <w:r w:rsidRPr="00C550CD">
          <w:rPr>
            <w:rStyle w:val="Hyperlink"/>
            <w:sz w:val="24"/>
            <w:szCs w:val="24"/>
            <w:rtl/>
          </w:rPr>
          <w:t>חוק העונשין</w:t>
        </w:r>
      </w:hyperlink>
      <w:r>
        <w:rPr>
          <w:sz w:val="24"/>
          <w:szCs w:val="24"/>
          <w:rtl/>
        </w:rPr>
        <w:t>.</w:t>
      </w:r>
    </w:p>
    <w:p w14:paraId="3C8AE037" w14:textId="77777777" w:rsidR="00C31195" w:rsidRDefault="00C550CD">
      <w:pPr>
        <w:pStyle w:val="aa"/>
        <w:ind w:left="720"/>
        <w:rPr>
          <w:sz w:val="24"/>
          <w:szCs w:val="24"/>
          <w:rtl/>
        </w:rPr>
      </w:pPr>
      <w:bookmarkStart w:id="9" w:name="ABSTRACT_END"/>
      <w:bookmarkEnd w:id="9"/>
      <w:r>
        <w:rPr>
          <w:sz w:val="24"/>
          <w:szCs w:val="24"/>
          <w:rtl/>
        </w:rPr>
        <w:t>הסדר הטיעון לא כלל הסכמה לעניין העונש, והצדדים הביאו ראיות וטענו לעניין העונש   הראוי.</w:t>
      </w:r>
    </w:p>
    <w:p w14:paraId="36C866F6" w14:textId="77777777" w:rsidR="00C31195" w:rsidRDefault="00C550CD">
      <w:pPr>
        <w:spacing w:line="480" w:lineRule="auto"/>
        <w:rPr>
          <w:color w:val="FFFFFF"/>
          <w:sz w:val="4"/>
          <w:szCs w:val="4"/>
          <w:rtl/>
        </w:rPr>
      </w:pPr>
      <w:r>
        <w:rPr>
          <w:color w:val="FFFFFF"/>
          <w:sz w:val="4"/>
          <w:szCs w:val="4"/>
          <w:rtl/>
        </w:rPr>
        <w:t>5129371</w:t>
      </w:r>
    </w:p>
    <w:p w14:paraId="4122C20F" w14:textId="77777777" w:rsidR="00C31195" w:rsidRDefault="00C550CD">
      <w:pPr>
        <w:spacing w:line="480" w:lineRule="auto"/>
        <w:rPr>
          <w:rtl/>
        </w:rPr>
      </w:pPr>
      <w:r>
        <w:rPr>
          <w:color w:val="FFFFFF"/>
          <w:sz w:val="4"/>
          <w:szCs w:val="4"/>
          <w:rtl/>
        </w:rPr>
        <w:t>5129371</w:t>
      </w:r>
      <w:r>
        <w:rPr>
          <w:rtl/>
        </w:rPr>
        <w:t xml:space="preserve"> </w:t>
      </w:r>
    </w:p>
    <w:p w14:paraId="6D7B995B" w14:textId="77777777" w:rsidR="00C31195" w:rsidRDefault="00C550CD">
      <w:pPr>
        <w:spacing w:line="480" w:lineRule="auto"/>
        <w:rPr>
          <w:b/>
          <w:bCs/>
          <w:u w:val="single"/>
          <w:rtl/>
        </w:rPr>
      </w:pPr>
      <w:r>
        <w:rPr>
          <w:b/>
          <w:bCs/>
          <w:rtl/>
        </w:rPr>
        <w:t xml:space="preserve">ב. </w:t>
      </w:r>
      <w:r>
        <w:rPr>
          <w:b/>
          <w:bCs/>
          <w:rtl/>
        </w:rPr>
        <w:tab/>
      </w:r>
      <w:r>
        <w:rPr>
          <w:b/>
          <w:bCs/>
          <w:u w:val="single"/>
          <w:rtl/>
        </w:rPr>
        <w:t>כתב האישום המתוקן</w:t>
      </w:r>
    </w:p>
    <w:p w14:paraId="39B72514" w14:textId="77777777" w:rsidR="00C31195" w:rsidRDefault="00C550CD">
      <w:pPr>
        <w:spacing w:line="360" w:lineRule="auto"/>
        <w:ind w:left="720"/>
        <w:jc w:val="both"/>
        <w:rPr>
          <w:rtl/>
        </w:rPr>
      </w:pPr>
      <w:r>
        <w:rPr>
          <w:rtl/>
        </w:rPr>
        <w:lastRenderedPageBreak/>
        <w:t>מן המפורט בכתב האישום המתוקן עולה כי ביום 22.7.</w:t>
      </w:r>
      <w:r w:rsidR="00FC3443">
        <w:rPr>
          <w:rFonts w:hint="cs"/>
          <w:rtl/>
        </w:rPr>
        <w:t>20</w:t>
      </w:r>
      <w:r>
        <w:rPr>
          <w:rtl/>
        </w:rPr>
        <w:t xml:space="preserve">12, סמוך לשעה 19:00, נהגה שמס הוארי (להלן: </w:t>
      </w:r>
      <w:r>
        <w:rPr>
          <w:b/>
          <w:bCs/>
          <w:rtl/>
        </w:rPr>
        <w:t>"שמס"</w:t>
      </w:r>
      <w:r>
        <w:rPr>
          <w:rtl/>
        </w:rPr>
        <w:t xml:space="preserve">) ברכב מסוג יונדאי, שמספרו 77-990-17 (להלן: </w:t>
      </w:r>
      <w:r>
        <w:rPr>
          <w:b/>
          <w:bCs/>
          <w:rtl/>
        </w:rPr>
        <w:t>"היונדאי"</w:t>
      </w:r>
      <w:r>
        <w:rPr>
          <w:rtl/>
        </w:rPr>
        <w:t xml:space="preserve">), באזור נצרת, כשלצידה אחיה-הנאשם. באותו עת, ובאותו אזור, נהג מאלכ חוסיני (להלן: </w:t>
      </w:r>
      <w:r>
        <w:rPr>
          <w:b/>
          <w:bCs/>
          <w:rtl/>
        </w:rPr>
        <w:t>"מאלכ"</w:t>
      </w:r>
      <w:r>
        <w:rPr>
          <w:rtl/>
        </w:rPr>
        <w:t xml:space="preserve">) ברכב מסוג רנו קנגו (להלן: </w:t>
      </w:r>
      <w:r>
        <w:rPr>
          <w:b/>
          <w:bCs/>
          <w:rtl/>
        </w:rPr>
        <w:t>"הקנגו"</w:t>
      </w:r>
      <w:r>
        <w:rPr>
          <w:rtl/>
        </w:rPr>
        <w:t xml:space="preserve">), כשלצדו ישב אחיו. </w:t>
      </w:r>
    </w:p>
    <w:p w14:paraId="42165532" w14:textId="77777777" w:rsidR="00C31195" w:rsidRDefault="00C31195">
      <w:pPr>
        <w:ind w:left="720"/>
        <w:rPr>
          <w:rtl/>
        </w:rPr>
      </w:pPr>
    </w:p>
    <w:p w14:paraId="6DCF2C56" w14:textId="77777777" w:rsidR="00C31195" w:rsidRDefault="00C550CD">
      <w:pPr>
        <w:spacing w:line="360" w:lineRule="auto"/>
        <w:ind w:left="720"/>
        <w:jc w:val="both"/>
        <w:rPr>
          <w:rtl/>
        </w:rPr>
      </w:pPr>
      <w:r>
        <w:rPr>
          <w:rtl/>
        </w:rPr>
        <w:t>באזור התעשייה ספוריה התרחש היה עימות בין שני כלי הרכב על יושביהם, במהלכו קילל אחד מיושבי הרכב את אחות הנאשם, והנאשם שלף אקדח שנשא עימו, ללא רשות על פי דין, ירה לעבר הקנגו ופגע בחלקו האחורי.</w:t>
      </w:r>
    </w:p>
    <w:p w14:paraId="3FE4E2E4" w14:textId="77777777" w:rsidR="00C31195" w:rsidRDefault="00C31195">
      <w:pPr>
        <w:ind w:left="720"/>
        <w:rPr>
          <w:rtl/>
        </w:rPr>
      </w:pPr>
    </w:p>
    <w:p w14:paraId="4AE12436" w14:textId="77777777" w:rsidR="00C31195" w:rsidRDefault="00C550CD">
      <w:pPr>
        <w:spacing w:line="360" w:lineRule="auto"/>
        <w:ind w:left="720"/>
        <w:jc w:val="both"/>
        <w:rPr>
          <w:rtl/>
        </w:rPr>
      </w:pPr>
      <w:r>
        <w:rPr>
          <w:rtl/>
        </w:rPr>
        <w:t xml:space="preserve">זמן קצר לאחר מכן, סמוך לשעה 19:40, עצרה שמס את היונדאי בתחנת דלק פז שבשכונת סאפארה בנצרת. הנאשם יצא מן היונדאי על מנת לתדלק, בעוד שמס המתינה לו במושב הנהג. במהלך ביצוע תדלוק, כשפיית התדלוק ביונדאי, נעצר הקנגו בתחנת הדלק, סמוך ליונדאי, כשבתוכו ישבו באותה עת מאלכ במושב הנהג, ולצדו בן דודו, מועאד חוסיני (להלן: </w:t>
      </w:r>
      <w:r>
        <w:rPr>
          <w:b/>
          <w:bCs/>
          <w:rtl/>
        </w:rPr>
        <w:t>"מועאד"</w:t>
      </w:r>
      <w:r>
        <w:rPr>
          <w:rtl/>
        </w:rPr>
        <w:t>).</w:t>
      </w:r>
    </w:p>
    <w:p w14:paraId="3A370E39" w14:textId="77777777" w:rsidR="00C31195" w:rsidRDefault="00C31195">
      <w:pPr>
        <w:ind w:left="720"/>
        <w:rPr>
          <w:rtl/>
        </w:rPr>
      </w:pPr>
    </w:p>
    <w:p w14:paraId="6D297C0B" w14:textId="77777777" w:rsidR="00C31195" w:rsidRDefault="00C550CD">
      <w:pPr>
        <w:spacing w:line="360" w:lineRule="auto"/>
        <w:ind w:left="720"/>
        <w:jc w:val="both"/>
        <w:rPr>
          <w:rtl/>
        </w:rPr>
      </w:pPr>
      <w:r>
        <w:rPr>
          <w:rtl/>
        </w:rPr>
        <w:t xml:space="preserve">כשראה הנאשם את הקנגו, מיהר ליונדאי, לקח משם את האקדח והתקרב במהירות לקנגו כשבידו האקדח השלוף. מאלכ נמלט והתחבא מאחורי משאית שחנתה בסמוך. הנאשם ניגש למושב שליד הנהג בו ישב מועאד, ירה לעברו ופגע ברגלו. </w:t>
      </w:r>
    </w:p>
    <w:p w14:paraId="6B889BF1" w14:textId="77777777" w:rsidR="00C31195" w:rsidRDefault="00C31195">
      <w:pPr>
        <w:ind w:left="720"/>
        <w:rPr>
          <w:rtl/>
        </w:rPr>
      </w:pPr>
    </w:p>
    <w:p w14:paraId="72D366C2" w14:textId="77777777" w:rsidR="00C31195" w:rsidRDefault="00C550CD">
      <w:pPr>
        <w:spacing w:line="360" w:lineRule="auto"/>
        <w:ind w:left="720"/>
        <w:jc w:val="both"/>
        <w:rPr>
          <w:rtl/>
        </w:rPr>
      </w:pPr>
      <w:r>
        <w:rPr>
          <w:rtl/>
        </w:rPr>
        <w:t xml:space="preserve">לאחר הירי, הנאשם שבל אל היונדאי, כדי לקחת משם חפץ. באותה עת, יצא מועאד מהקנגו וניגש לתא המטען על מנת להוציא משם חפץ, שבאמצעותו יוכל להגן על עצמו. הנאשם רדף אחרי מועאד וירה לעברו, לכיוון הרגליים. מועאד נמלט לכיוון המושב האחורי של הקנגו, אך הנאשם לא הרפה והמשיך לרודף אחריו. הנאשם ירה לכיוון מועאד מספר כדורים. לאחר מכן, נכנס הנאשם ליונדאי, ושמס נסעה מהמקום לביתם. </w:t>
      </w:r>
    </w:p>
    <w:p w14:paraId="331A0435" w14:textId="77777777" w:rsidR="00C31195" w:rsidRDefault="00C31195">
      <w:pPr>
        <w:ind w:left="720"/>
        <w:rPr>
          <w:rtl/>
        </w:rPr>
      </w:pPr>
    </w:p>
    <w:p w14:paraId="0820361B" w14:textId="77777777" w:rsidR="00C31195" w:rsidRDefault="00C550CD">
      <w:pPr>
        <w:spacing w:line="360" w:lineRule="auto"/>
        <w:ind w:left="720"/>
        <w:jc w:val="both"/>
        <w:rPr>
          <w:rtl/>
        </w:rPr>
      </w:pPr>
      <w:r>
        <w:rPr>
          <w:rtl/>
        </w:rPr>
        <w:t>הנאשם ברח מהבית, על מנת שהמשטרה לא תוכל לאתר אותו, ונתפס ביום 10.7.</w:t>
      </w:r>
      <w:r w:rsidR="00FC3443">
        <w:rPr>
          <w:rFonts w:hint="cs"/>
          <w:rtl/>
        </w:rPr>
        <w:t>20</w:t>
      </w:r>
      <w:r>
        <w:rPr>
          <w:rtl/>
        </w:rPr>
        <w:t>14 על ידי המשטרה בעפולה, במהלך ביקורת שגרתית.</w:t>
      </w:r>
    </w:p>
    <w:p w14:paraId="56C85CE9" w14:textId="77777777" w:rsidR="00C31195" w:rsidRDefault="00C31195">
      <w:pPr>
        <w:ind w:left="720"/>
        <w:rPr>
          <w:rtl/>
        </w:rPr>
      </w:pPr>
    </w:p>
    <w:p w14:paraId="5FA12BD6" w14:textId="77777777" w:rsidR="00C31195" w:rsidRDefault="00C550CD">
      <w:pPr>
        <w:spacing w:line="360" w:lineRule="auto"/>
        <w:ind w:left="720"/>
        <w:jc w:val="both"/>
        <w:rPr>
          <w:rtl/>
        </w:rPr>
      </w:pPr>
      <w:r>
        <w:rPr>
          <w:rtl/>
        </w:rPr>
        <w:t>כתוצאה מהירי שביצע הנאשם, נגרמו למועאד הפציעות הבאות: פצע כניסה ויציאה מעל שליש מרוחק לשני הקרסוליים, פצע כניסה מעל אספקט פנימי למסרק 1 כף רגל ימין ופצע יציאה מעל אספקט לטראלי לבוהן 1.</w:t>
      </w:r>
    </w:p>
    <w:p w14:paraId="451B9EBD" w14:textId="77777777" w:rsidR="00C31195" w:rsidRDefault="00C31195">
      <w:pPr>
        <w:spacing w:line="480" w:lineRule="auto"/>
        <w:rPr>
          <w:b/>
          <w:bCs/>
          <w:u w:val="single"/>
          <w:rtl/>
        </w:rPr>
      </w:pPr>
    </w:p>
    <w:p w14:paraId="4FA58503" w14:textId="77777777" w:rsidR="00C31195" w:rsidRDefault="00C550CD">
      <w:pPr>
        <w:spacing w:line="480" w:lineRule="auto"/>
        <w:rPr>
          <w:b/>
          <w:bCs/>
          <w:u w:val="single"/>
          <w:rtl/>
        </w:rPr>
      </w:pPr>
      <w:r>
        <w:rPr>
          <w:b/>
          <w:bCs/>
          <w:rtl/>
        </w:rPr>
        <w:t xml:space="preserve">ג. </w:t>
      </w:r>
      <w:r>
        <w:rPr>
          <w:b/>
          <w:bCs/>
          <w:rtl/>
        </w:rPr>
        <w:tab/>
      </w:r>
      <w:r>
        <w:rPr>
          <w:b/>
          <w:bCs/>
          <w:u w:val="single"/>
          <w:rtl/>
        </w:rPr>
        <w:t>תסקיר שירות המבחן ביחס לנאשם</w:t>
      </w:r>
      <w:r>
        <w:rPr>
          <w:b/>
          <w:bCs/>
          <w:rtl/>
        </w:rPr>
        <w:t>:</w:t>
      </w:r>
    </w:p>
    <w:p w14:paraId="1BECA174" w14:textId="77777777" w:rsidR="00C31195" w:rsidRDefault="00C550CD">
      <w:pPr>
        <w:spacing w:line="360" w:lineRule="auto"/>
        <w:ind w:left="720" w:hanging="720"/>
        <w:jc w:val="both"/>
        <w:rPr>
          <w:rtl/>
        </w:rPr>
      </w:pPr>
      <w:r>
        <w:rPr>
          <w:rtl/>
        </w:rPr>
        <w:t>1.</w:t>
      </w:r>
      <w:r>
        <w:rPr>
          <w:rtl/>
        </w:rPr>
        <w:tab/>
        <w:t>מן התסקיר שהוגש בעניינו של הנאשם ביום 19.3.</w:t>
      </w:r>
      <w:r w:rsidR="00FC3443">
        <w:rPr>
          <w:rFonts w:hint="cs"/>
          <w:rtl/>
        </w:rPr>
        <w:t>20</w:t>
      </w:r>
      <w:r>
        <w:rPr>
          <w:rtl/>
        </w:rPr>
        <w:t xml:space="preserve">15 עולה כי הנאשם, בן 23, נשוי ואב לתינוק בן שנה, תושב נצרת. הנאשם סיים 12 שנות לימוד, ועבד בשנתיים האחרונות בסופר מרקט שהיה בבעלותו, בשכונת מגוריו. לנאשם ארבע אחיות. </w:t>
      </w:r>
    </w:p>
    <w:p w14:paraId="5FFA9F0E" w14:textId="77777777" w:rsidR="00C31195" w:rsidRDefault="00C31195">
      <w:pPr>
        <w:ind w:left="720" w:hanging="720"/>
        <w:rPr>
          <w:rtl/>
        </w:rPr>
      </w:pPr>
    </w:p>
    <w:p w14:paraId="2CB4B39B" w14:textId="77777777" w:rsidR="00C31195" w:rsidRDefault="00C550CD">
      <w:pPr>
        <w:spacing w:line="360" w:lineRule="auto"/>
        <w:ind w:left="720" w:hanging="720"/>
        <w:jc w:val="both"/>
        <w:rPr>
          <w:rtl/>
        </w:rPr>
      </w:pPr>
      <w:r>
        <w:rPr>
          <w:rtl/>
        </w:rPr>
        <w:t>2.</w:t>
      </w:r>
      <w:r>
        <w:rPr>
          <w:rtl/>
        </w:rPr>
        <w:tab/>
        <w:t xml:space="preserve">הנאשם תיאר מציאות משפחתית קשה ומורכבת. בהיותו בן 9, נרצח אביו על ידי גורמים עברייניים, במסגרת סכסוך בין משפחות. מאז ילדותו ועד למעצרו, סבל לדבריו, מאיומים </w:t>
      </w:r>
      <w:r>
        <w:rPr>
          <w:rtl/>
        </w:rPr>
        <w:lastRenderedPageBreak/>
        <w:t>מצד אנשים שהיו מעורבים ברצח אביו. אביו נתפס בעיניו כדמות חזקה וכך גם בעיני אמו. מותו גרם לפגיעה בחוסן המשפחתי וכן להידרדרות במצב הרגשי שלו ושל אמו.</w:t>
      </w:r>
    </w:p>
    <w:p w14:paraId="2B5AFAC8" w14:textId="77777777" w:rsidR="00C31195" w:rsidRDefault="00C31195">
      <w:pPr>
        <w:ind w:left="720" w:hanging="720"/>
        <w:rPr>
          <w:rtl/>
        </w:rPr>
      </w:pPr>
    </w:p>
    <w:p w14:paraId="5C538A58" w14:textId="77777777" w:rsidR="00C31195" w:rsidRDefault="00C550CD">
      <w:pPr>
        <w:spacing w:line="360" w:lineRule="auto"/>
        <w:ind w:left="720" w:hanging="720"/>
        <w:jc w:val="both"/>
        <w:rPr>
          <w:rtl/>
        </w:rPr>
      </w:pPr>
      <w:r>
        <w:rPr>
          <w:rtl/>
        </w:rPr>
        <w:t>3.</w:t>
      </w:r>
      <w:r>
        <w:rPr>
          <w:rtl/>
        </w:rPr>
        <w:tab/>
        <w:t>בהתייחסותו לאיכות מערכת היחסים שלו עם בני משפחת מוצאו, תיאר הנאשם קשר רגשי קרוב במיוחד עם אחותו הבכורה, עימה היה במקום ביצוע העבירה. אמו, מורה לאומנות במשרה חלקית. הנאשם תיאר את נטייתה לגונן עליו לאורך השנים, בשל חששותיה כי ייפגע על ידי גורמים עברייניים, וכן ניסיונותיה להגבילו בתנועה חופשית בעירו. עוד הוסיף, כי בשל בעיות רגשיות מהן סבל בילדותו ובנערותו, לרבות חרדות ומצב רוח ירוד, מימנה עבורו אמו, טיפול רגשי על ידי פסיכיאטר משך מספר שנים. הנאשם תיאר את הטיפול כלא יעיל.</w:t>
      </w:r>
    </w:p>
    <w:p w14:paraId="0BEF3AF2" w14:textId="77777777" w:rsidR="00C31195" w:rsidRDefault="00C550CD">
      <w:pPr>
        <w:spacing w:line="360" w:lineRule="auto"/>
        <w:ind w:left="720" w:hanging="720"/>
        <w:jc w:val="both"/>
        <w:rPr>
          <w:rtl/>
        </w:rPr>
      </w:pPr>
      <w:r>
        <w:rPr>
          <w:rtl/>
        </w:rPr>
        <w:t>4.</w:t>
      </w:r>
      <w:r>
        <w:rPr>
          <w:rtl/>
        </w:rPr>
        <w:tab/>
        <w:t>לחובת הנאשם הרשעה אחת מיום 2.6.</w:t>
      </w:r>
      <w:r w:rsidR="00FC3443">
        <w:rPr>
          <w:rFonts w:hint="cs"/>
          <w:rtl/>
        </w:rPr>
        <w:t>20</w:t>
      </w:r>
      <w:r>
        <w:rPr>
          <w:rtl/>
        </w:rPr>
        <w:t>11 בגין הפרעה לשוטר במילוי תפקידו ושימוש פחזני באש או בחומר דליק. הנאשם נידון למאסר על תנאי והוטל עליו קנס כספי.</w:t>
      </w:r>
    </w:p>
    <w:p w14:paraId="73B51BBF" w14:textId="77777777" w:rsidR="00FC3443" w:rsidRPr="00FC3443" w:rsidRDefault="00FC3443" w:rsidP="00FC3443">
      <w:pPr>
        <w:spacing w:line="360" w:lineRule="auto"/>
        <w:jc w:val="both"/>
        <w:rPr>
          <w:rFonts w:ascii="Times New Roman" w:eastAsia="Times New Roman" w:hAnsi="Times New Roman"/>
          <w:color w:val="FFFFFF"/>
          <w:sz w:val="2"/>
          <w:szCs w:val="2"/>
        </w:rPr>
      </w:pPr>
      <w:r w:rsidRPr="00FC3443">
        <w:rPr>
          <w:color w:val="FFFFFF"/>
          <w:sz w:val="2"/>
          <w:szCs w:val="2"/>
          <w:rtl/>
        </w:rPr>
        <w:t>9992099</w:t>
      </w:r>
    </w:p>
    <w:p w14:paraId="05F65352" w14:textId="77777777" w:rsidR="00C31195" w:rsidRDefault="00C31195">
      <w:pPr>
        <w:ind w:left="720" w:hanging="720"/>
        <w:rPr>
          <w:rtl/>
        </w:rPr>
      </w:pPr>
    </w:p>
    <w:p w14:paraId="55E717AD" w14:textId="77777777" w:rsidR="00C31195" w:rsidRDefault="00C550CD">
      <w:pPr>
        <w:spacing w:line="360" w:lineRule="auto"/>
        <w:ind w:left="720" w:hanging="720"/>
        <w:jc w:val="both"/>
        <w:rPr>
          <w:rtl/>
        </w:rPr>
      </w:pPr>
      <w:r>
        <w:rPr>
          <w:rtl/>
        </w:rPr>
        <w:t>5.</w:t>
      </w:r>
      <w:r>
        <w:rPr>
          <w:rtl/>
        </w:rPr>
        <w:tab/>
        <w:t>בהתייחסותו לעבירה הנוכחית, תיאר הנאשם תחושת פחד אקוטי שליוותה אותו, בעקבות מסרים שקיבל מגורמים עברייניים, לפגיעה פוטנציאלית בו. לדבריו, בעקבות זאת, הצטייד בנשק שהשיג, ללא רישיון, בו עשה שימוש במהלך ביצוע העבירה.</w:t>
      </w:r>
    </w:p>
    <w:p w14:paraId="1D842C1B" w14:textId="77777777" w:rsidR="00C31195" w:rsidRDefault="00C31195">
      <w:pPr>
        <w:ind w:left="720" w:hanging="720"/>
        <w:rPr>
          <w:rtl/>
        </w:rPr>
      </w:pPr>
    </w:p>
    <w:p w14:paraId="729CBCA1" w14:textId="77777777" w:rsidR="00C31195" w:rsidRDefault="00C550CD">
      <w:pPr>
        <w:spacing w:line="360" w:lineRule="auto"/>
        <w:ind w:left="720" w:hanging="720"/>
        <w:jc w:val="both"/>
        <w:rPr>
          <w:rtl/>
        </w:rPr>
      </w:pPr>
      <w:r>
        <w:rPr>
          <w:rtl/>
        </w:rPr>
        <w:t>6.</w:t>
      </w:r>
      <w:r>
        <w:rPr>
          <w:rtl/>
        </w:rPr>
        <w:tab/>
        <w:t>הנאשם אישר בפני קצינת המבחן, כי ביודעין נמנע להסגיר עצמו לרשויות האכיפה, בשל חשש מה"מחיר" האישי והמשפחתי שהוא עשוי לשלם, בעקבות הפגיעה בקורבן. מסר כי בתקופה זו השתמש בסמים מסוג גראס על בסיס יומיומי, כאמצעי הרגעתי למצב הלחץ בו היה נתון. הפסיק את הסמים בכוחות עצמו, כחצי שנה עובר למעצרו.</w:t>
      </w:r>
    </w:p>
    <w:p w14:paraId="01FD6EDE" w14:textId="77777777" w:rsidR="00C31195" w:rsidRDefault="00C31195">
      <w:pPr>
        <w:ind w:left="720" w:hanging="720"/>
        <w:rPr>
          <w:rtl/>
        </w:rPr>
      </w:pPr>
    </w:p>
    <w:p w14:paraId="7292F038" w14:textId="77777777" w:rsidR="00C31195" w:rsidRDefault="00C550CD">
      <w:pPr>
        <w:spacing w:line="360" w:lineRule="auto"/>
        <w:ind w:left="720" w:hanging="720"/>
        <w:jc w:val="both"/>
        <w:rPr>
          <w:rtl/>
        </w:rPr>
      </w:pPr>
      <w:r>
        <w:rPr>
          <w:rtl/>
        </w:rPr>
        <w:t>7.</w:t>
      </w:r>
      <w:r>
        <w:rPr>
          <w:rtl/>
        </w:rPr>
        <w:tab/>
        <w:t>שירות המבחן התרשם, כי התנהלותו של הנאשם בעבירות המיוחסות לו, משקפת התחברות לדפוסים עברייניים ותפיסות מושרשות, אותם ינק בתהליך סוציאליזציה, מבית הוריו ומסביבתו המשפחתית והחברתית. כל אלה השליכו על בחירותיו ואופן התמודדותו עם מצב האיום והלחץ, בו היה שרוי.</w:t>
      </w:r>
    </w:p>
    <w:p w14:paraId="0A168FAF" w14:textId="77777777" w:rsidR="00C31195" w:rsidRDefault="00C31195">
      <w:pPr>
        <w:ind w:left="720" w:hanging="720"/>
        <w:rPr>
          <w:rtl/>
        </w:rPr>
      </w:pPr>
    </w:p>
    <w:p w14:paraId="1E92D005" w14:textId="77777777" w:rsidR="00C31195" w:rsidRDefault="00C550CD">
      <w:pPr>
        <w:spacing w:line="360" w:lineRule="auto"/>
        <w:ind w:left="720" w:hanging="720"/>
        <w:jc w:val="both"/>
        <w:rPr>
          <w:rtl/>
        </w:rPr>
      </w:pPr>
      <w:r>
        <w:rPr>
          <w:rtl/>
        </w:rPr>
        <w:t>8.</w:t>
      </w:r>
      <w:r>
        <w:rPr>
          <w:rtl/>
        </w:rPr>
        <w:tab/>
        <w:t>עוד התרשם שירות המבחן, כי לצד נטילת אחריות ראשונית להתנהלותו האלימה ולצד תחושת הצער שביטא על תוצאות האירוע, הנאשם אינו מבין לעומק את החומרה שבהתנהלותו, לרבות הפגיעה בקורבן באמצעות נשק חם.</w:t>
      </w:r>
    </w:p>
    <w:p w14:paraId="01430013" w14:textId="77777777" w:rsidR="00C31195" w:rsidRDefault="00C31195">
      <w:pPr>
        <w:ind w:left="720" w:hanging="720"/>
        <w:rPr>
          <w:rtl/>
        </w:rPr>
      </w:pPr>
    </w:p>
    <w:p w14:paraId="02668B7C" w14:textId="77777777" w:rsidR="00C31195" w:rsidRDefault="00C550CD">
      <w:pPr>
        <w:spacing w:line="360" w:lineRule="auto"/>
        <w:ind w:left="720" w:hanging="720"/>
        <w:jc w:val="both"/>
        <w:rPr>
          <w:rtl/>
        </w:rPr>
      </w:pPr>
      <w:r>
        <w:rPr>
          <w:rtl/>
        </w:rPr>
        <w:t>9.</w:t>
      </w:r>
      <w:r>
        <w:rPr>
          <w:rtl/>
        </w:rPr>
        <w:tab/>
        <w:t>להערכת שירות המבחן, נוכח נתוני אישיותו ודפוסי התנהגותו, קיים סיכון לא מבוטל להישנות התנהגות דומה בעתיד. לפיכך, סבור שירות המבחן כי קיים צורך בענישה מוחשית, אשר תחדד עבורו את הגבולות בין מותר לאסור, ותאפשר שילובו בטיפול ייעודי בנושא של שליטה בכעסים במסגרת נעולה.</w:t>
      </w:r>
    </w:p>
    <w:p w14:paraId="3301B877" w14:textId="77777777" w:rsidR="00C31195" w:rsidRDefault="00C31195">
      <w:pPr>
        <w:spacing w:line="480" w:lineRule="auto"/>
        <w:ind w:left="720" w:hanging="720"/>
        <w:rPr>
          <w:rtl/>
        </w:rPr>
      </w:pPr>
    </w:p>
    <w:p w14:paraId="640E76D8" w14:textId="77777777" w:rsidR="00C31195" w:rsidRDefault="00C550CD">
      <w:pPr>
        <w:spacing w:line="360" w:lineRule="auto"/>
        <w:ind w:left="720" w:hanging="720"/>
        <w:jc w:val="both"/>
        <w:rPr>
          <w:rtl/>
        </w:rPr>
      </w:pPr>
      <w:r>
        <w:rPr>
          <w:rtl/>
        </w:rPr>
        <w:t>10.</w:t>
      </w:r>
      <w:r>
        <w:rPr>
          <w:rtl/>
        </w:rPr>
        <w:tab/>
        <w:t>לאור כלל האמור, המליץ שירות המבחן להטיל על הנאשם מאסר בפועל, תוך בחינת אפשרות ריצויו בכלא שיקומי.</w:t>
      </w:r>
      <w:r w:rsidR="00FC3443" w:rsidRPr="00325BFB">
        <w:rPr>
          <w:color w:val="FFFFFF"/>
          <w:sz w:val="2"/>
          <w:szCs w:val="2"/>
          <w:rtl/>
        </w:rPr>
        <w:t xml:space="preserve"> </w:t>
      </w:r>
      <w:r w:rsidR="00FC3443" w:rsidRPr="00FC3443">
        <w:rPr>
          <w:color w:val="FFFFFF"/>
          <w:sz w:val="2"/>
          <w:szCs w:val="2"/>
          <w:rtl/>
        </w:rPr>
        <w:t>54678313</w:t>
      </w:r>
    </w:p>
    <w:p w14:paraId="19F22436" w14:textId="77777777" w:rsidR="00C31195" w:rsidRDefault="00C31195">
      <w:pPr>
        <w:spacing w:line="480" w:lineRule="auto"/>
      </w:pPr>
    </w:p>
    <w:p w14:paraId="7963DE6A" w14:textId="77777777" w:rsidR="00C31195" w:rsidRDefault="00C550CD">
      <w:pPr>
        <w:numPr>
          <w:ilvl w:val="0"/>
          <w:numId w:val="1"/>
        </w:numPr>
        <w:spacing w:line="480" w:lineRule="auto"/>
        <w:jc w:val="both"/>
        <w:rPr>
          <w:b/>
          <w:bCs/>
          <w:u w:val="single"/>
        </w:rPr>
      </w:pPr>
      <w:r>
        <w:rPr>
          <w:b/>
          <w:bCs/>
          <w:u w:val="single"/>
          <w:rtl/>
        </w:rPr>
        <w:t>טיעוני המאשימה:</w:t>
      </w:r>
    </w:p>
    <w:p w14:paraId="07588E8F" w14:textId="77777777" w:rsidR="00C31195" w:rsidRDefault="00C550CD">
      <w:pPr>
        <w:spacing w:line="360" w:lineRule="auto"/>
        <w:ind w:left="1049" w:hanging="1049"/>
        <w:jc w:val="both"/>
        <w:rPr>
          <w:rtl/>
        </w:rPr>
      </w:pPr>
      <w:r>
        <w:rPr>
          <w:rtl/>
        </w:rPr>
        <w:t xml:space="preserve">    1. </w:t>
      </w:r>
      <w:r>
        <w:rPr>
          <w:rtl/>
        </w:rPr>
        <w:tab/>
        <w:t>המאשימה הגישה טיעוניה לעונש בכתב, לרבות גיליון הרשעות קודמות של הנאשם. במסגרת טיעוניה, הדגישה את עובדות כתב האישום המתוקן בהן הודה הנאשם, וכן את העובדות המוסכמות בין הצדדים, שהן חלק מהסדר הטיעון. להלן העובדות המוסכמות:</w:t>
      </w:r>
    </w:p>
    <w:p w14:paraId="6B61B5C6" w14:textId="77777777" w:rsidR="00C31195" w:rsidRDefault="00C550CD">
      <w:pPr>
        <w:ind w:left="1049" w:hanging="1049"/>
        <w:rPr>
          <w:rtl/>
        </w:rPr>
      </w:pPr>
      <w:r>
        <w:rPr>
          <w:rtl/>
        </w:rPr>
        <w:tab/>
        <w:t>א. בין הנאשם לבין המתלוננים היה סכסוך שקדם למקרה.</w:t>
      </w:r>
    </w:p>
    <w:p w14:paraId="1E87651E" w14:textId="77777777" w:rsidR="00C31195" w:rsidRDefault="00C31195">
      <w:pPr>
        <w:ind w:left="1049" w:hanging="1049"/>
        <w:rPr>
          <w:rtl/>
        </w:rPr>
      </w:pPr>
    </w:p>
    <w:p w14:paraId="4B3EF0DC" w14:textId="77777777" w:rsidR="00C31195" w:rsidRDefault="00C550CD">
      <w:pPr>
        <w:spacing w:line="360" w:lineRule="auto"/>
        <w:ind w:left="1049" w:hanging="1049"/>
        <w:jc w:val="both"/>
        <w:rPr>
          <w:rtl/>
        </w:rPr>
      </w:pPr>
      <w:r>
        <w:rPr>
          <w:rtl/>
        </w:rPr>
        <w:tab/>
        <w:t>ב. אחרי האירוע הראשון שמתואר בכתב האישום, נוסעי הקנגו נסעו למקום אחר, שם התחלף אחד הנוסעים ברכב.</w:t>
      </w:r>
    </w:p>
    <w:p w14:paraId="48AB1445" w14:textId="77777777" w:rsidR="00C31195" w:rsidRDefault="00C550CD">
      <w:pPr>
        <w:spacing w:line="360" w:lineRule="auto"/>
        <w:ind w:left="1049" w:hanging="1049"/>
        <w:rPr>
          <w:rtl/>
        </w:rPr>
      </w:pPr>
      <w:r>
        <w:rPr>
          <w:rtl/>
        </w:rPr>
        <w:tab/>
        <w:t>ג. הנאשם חש מאוים מבחינה סובייקטיבית ולכן ניגש לרכב הקנגו וירה.</w:t>
      </w:r>
    </w:p>
    <w:p w14:paraId="66356791" w14:textId="77777777" w:rsidR="00C31195" w:rsidRDefault="00C550CD">
      <w:pPr>
        <w:spacing w:line="360" w:lineRule="auto"/>
        <w:ind w:left="1049" w:hanging="1049"/>
        <w:jc w:val="both"/>
        <w:rPr>
          <w:rtl/>
        </w:rPr>
      </w:pPr>
      <w:r>
        <w:rPr>
          <w:rtl/>
        </w:rPr>
        <w:tab/>
        <w:t>ד. כאשר מועאד ניגש לרכב, הנאשם סבר כי הוא ניגש לשם כדי להוציא כלי נשק (סעיף 9 לכתב האישום).</w:t>
      </w:r>
    </w:p>
    <w:p w14:paraId="29D310FA" w14:textId="77777777" w:rsidR="00C31195" w:rsidRDefault="00C550CD">
      <w:pPr>
        <w:ind w:left="1049" w:hanging="1049"/>
        <w:rPr>
          <w:rtl/>
        </w:rPr>
      </w:pPr>
      <w:r>
        <w:rPr>
          <w:rtl/>
        </w:rPr>
        <w:tab/>
        <w:t>ה. אביו ודודו של הנאשם נרצחו במסגרת סכסוך עברייני.</w:t>
      </w:r>
    </w:p>
    <w:p w14:paraId="213EFE7F" w14:textId="77777777" w:rsidR="00C31195" w:rsidRDefault="00C31195">
      <w:pPr>
        <w:ind w:left="1049"/>
        <w:rPr>
          <w:rtl/>
        </w:rPr>
      </w:pPr>
    </w:p>
    <w:p w14:paraId="08B6000B" w14:textId="77777777" w:rsidR="00C31195" w:rsidRDefault="00C550CD">
      <w:pPr>
        <w:spacing w:line="360" w:lineRule="auto"/>
        <w:ind w:left="1049" w:hanging="720"/>
        <w:jc w:val="both"/>
        <w:rPr>
          <w:rtl/>
        </w:rPr>
      </w:pPr>
      <w:r>
        <w:rPr>
          <w:rtl/>
        </w:rPr>
        <w:t>2.</w:t>
      </w:r>
      <w:r>
        <w:rPr>
          <w:rtl/>
        </w:rPr>
        <w:tab/>
        <w:t>המאשימה הדגישה את הערכים החברתיים המוגנים על ידי העבירות נשוא כתב האישום. לטענתה אלה ערכים עליונים בסולם הערכים: שלמות גוף האדם וכן שלום הציבור ובטחונו. התנהגותו של הנאשם היא התנהגות המבטאת מסוכנות ותעוזה. במעשיו, הפגין הנאשם זלזול מוחלט בערכים המפורטים.  מידת הפגיעה בערכים החברתיים המוגנים היא רבה. הנאשם השתמש בנשק חם בשני מקרים שונים תוך זמן קצר ובתוך סביבה אזרחית לא מעורבת. במהלך הירי, פגע באדם אחר שאינו מעורב בסכסוך, וגרם לו לחבלות חמורות. הנאשם נמלט מהדין משך שנתיים עד אשר נתפס בביקורת שגרתית של המשטרה. משכך, בהתאם לעקרון ההלימה, הוא ראוי לעונש חמור.</w:t>
      </w:r>
    </w:p>
    <w:p w14:paraId="492C586C" w14:textId="77777777" w:rsidR="00C31195" w:rsidRDefault="00C31195">
      <w:pPr>
        <w:ind w:left="1049" w:hanging="720"/>
        <w:rPr>
          <w:rtl/>
        </w:rPr>
      </w:pPr>
    </w:p>
    <w:p w14:paraId="45490A70" w14:textId="77777777" w:rsidR="00C31195" w:rsidRDefault="00C550CD">
      <w:pPr>
        <w:spacing w:line="360" w:lineRule="auto"/>
        <w:ind w:left="1049" w:hanging="720"/>
        <w:jc w:val="both"/>
        <w:rPr>
          <w:rtl/>
        </w:rPr>
      </w:pPr>
      <w:r>
        <w:rPr>
          <w:rtl/>
        </w:rPr>
        <w:t>3.</w:t>
      </w:r>
      <w:r>
        <w:rPr>
          <w:rtl/>
        </w:rPr>
        <w:tab/>
        <w:t xml:space="preserve">באשר לנסיבות הקשורות בביצוע העבירה, הדגישה המאשימה כי העבירות בוצעו על ידי הנאשם במלואן, והוא האחראי הבלעדי לתוצאותיהן. </w:t>
      </w:r>
    </w:p>
    <w:p w14:paraId="1E225769" w14:textId="77777777" w:rsidR="00C31195" w:rsidRDefault="00C31195">
      <w:pPr>
        <w:ind w:left="1049" w:hanging="720"/>
        <w:rPr>
          <w:rtl/>
        </w:rPr>
      </w:pPr>
    </w:p>
    <w:p w14:paraId="26802020" w14:textId="77777777" w:rsidR="00C31195" w:rsidRDefault="00C550CD">
      <w:pPr>
        <w:spacing w:line="360" w:lineRule="auto"/>
        <w:ind w:left="1049" w:hanging="720"/>
        <w:jc w:val="both"/>
        <w:rPr>
          <w:rtl/>
        </w:rPr>
      </w:pPr>
      <w:r>
        <w:rPr>
          <w:rtl/>
        </w:rPr>
        <w:t>4.</w:t>
      </w:r>
      <w:r>
        <w:rPr>
          <w:rtl/>
        </w:rPr>
        <w:tab/>
        <w:t>אשר לנזק שהיה צפוי להיגרם מביצוע העבירה- הנזק הצפוי משימוש בנשק חם, הוא פגיעה קטלנית באדם שנורה או פגיעה קטלנית בחפים מפשע שנקלעו במקרה לזירה. הנזק שנגרם בפועל מביצוע העבירה הוא חמור. אדם שלא היה חלק מהסכסוך נפגע בצורה חמורה מהירי שבוצע לעברו.</w:t>
      </w:r>
    </w:p>
    <w:p w14:paraId="1C5D4252" w14:textId="77777777" w:rsidR="00C31195" w:rsidRDefault="00C31195">
      <w:pPr>
        <w:ind w:left="1049" w:hanging="720"/>
        <w:rPr>
          <w:rtl/>
        </w:rPr>
      </w:pPr>
    </w:p>
    <w:p w14:paraId="40C5FD56" w14:textId="77777777" w:rsidR="00C31195" w:rsidRDefault="00C550CD">
      <w:pPr>
        <w:spacing w:line="360" w:lineRule="auto"/>
        <w:ind w:left="1049" w:hanging="720"/>
        <w:jc w:val="both"/>
        <w:rPr>
          <w:rtl/>
        </w:rPr>
      </w:pPr>
      <w:r>
        <w:rPr>
          <w:rtl/>
        </w:rPr>
        <w:t>5.</w:t>
      </w:r>
      <w:r>
        <w:rPr>
          <w:rtl/>
        </w:rPr>
        <w:tab/>
        <w:t>אשר לסיבות שהביאו את הנאשמים לביצוע העבירות, טענה המאשימה כי הנאשם ביצע את העבירות בהן הורשע בתגובה למפגש שהיה בינו לבין מאלכ בכביש.</w:t>
      </w:r>
    </w:p>
    <w:p w14:paraId="069492E7" w14:textId="77777777" w:rsidR="00C31195" w:rsidRDefault="00C31195">
      <w:pPr>
        <w:ind w:left="1049" w:hanging="720"/>
        <w:rPr>
          <w:rtl/>
        </w:rPr>
      </w:pPr>
    </w:p>
    <w:p w14:paraId="0CD46669" w14:textId="77777777" w:rsidR="00C31195" w:rsidRDefault="00C550CD">
      <w:pPr>
        <w:spacing w:line="360" w:lineRule="auto"/>
        <w:ind w:left="1049" w:hanging="720"/>
        <w:jc w:val="both"/>
        <w:rPr>
          <w:rtl/>
        </w:rPr>
      </w:pPr>
      <w:r>
        <w:rPr>
          <w:rtl/>
        </w:rPr>
        <w:t>6.</w:t>
      </w:r>
      <w:r>
        <w:rPr>
          <w:rtl/>
        </w:rPr>
        <w:tab/>
        <w:t xml:space="preserve">המאשימה סבורה כי אין בהוראות סעיף </w:t>
      </w:r>
      <w:hyperlink r:id="rId26" w:history="1">
        <w:r w:rsidR="00456F14" w:rsidRPr="00456F14">
          <w:rPr>
            <w:color w:val="0000FF"/>
            <w:u w:val="single"/>
            <w:rtl/>
          </w:rPr>
          <w:t>40ט(א) (6)-(9)</w:t>
        </w:r>
      </w:hyperlink>
      <w:r>
        <w:rPr>
          <w:rtl/>
        </w:rPr>
        <w:t xml:space="preserve"> כדי להפחית מחומרת העבירות שביצע הנאשם ואין בהן לגרוע מאשמו של הנאשם. הנאשם הינו בגיר אשר יכול להבין את טיב מעשיו. לא הובאו ראיות כלשהן הצביעות על כך שבשל מגבלה כלשהי נבצר ממנו להבין את הפסול שבמעשהו או את משמעות המעשים שלו.</w:t>
      </w:r>
    </w:p>
    <w:p w14:paraId="4B69905A" w14:textId="77777777" w:rsidR="00C31195" w:rsidRDefault="00C31195">
      <w:pPr>
        <w:ind w:left="1049" w:hanging="720"/>
        <w:rPr>
          <w:rtl/>
        </w:rPr>
      </w:pPr>
    </w:p>
    <w:p w14:paraId="2BD3AE1B" w14:textId="77777777" w:rsidR="00C31195" w:rsidRDefault="00C550CD">
      <w:pPr>
        <w:spacing w:line="360" w:lineRule="auto"/>
        <w:ind w:left="1049" w:hanging="720"/>
        <w:jc w:val="both"/>
        <w:rPr>
          <w:rtl/>
        </w:rPr>
      </w:pPr>
      <w:r>
        <w:rPr>
          <w:rtl/>
        </w:rPr>
        <w:t>7.</w:t>
      </w:r>
      <w:r>
        <w:rPr>
          <w:rtl/>
        </w:rPr>
        <w:tab/>
        <w:t>אשר למתחם העונש ההולם, הפנתה המאשימה למספר פסקי דין בהם נגזרו עונשי מאסר ממושכים. לטענתה, העונש הולם נע בין ארבע לשמונה שנות מאסר. לפיכך עתרה להטיל על הנאשם עונש מאסר של חמש שנים, מאסר על תנאי ופיצוי למתלונן.</w:t>
      </w:r>
    </w:p>
    <w:p w14:paraId="72CAFA60" w14:textId="77777777" w:rsidR="00C31195" w:rsidRDefault="00C31195">
      <w:pPr>
        <w:ind w:left="1049" w:hanging="720"/>
        <w:rPr>
          <w:rtl/>
        </w:rPr>
      </w:pPr>
    </w:p>
    <w:p w14:paraId="6FF43A65" w14:textId="77777777" w:rsidR="00C31195" w:rsidRDefault="00C550CD">
      <w:pPr>
        <w:spacing w:line="360" w:lineRule="auto"/>
        <w:ind w:left="1049" w:hanging="720"/>
        <w:jc w:val="both"/>
        <w:rPr>
          <w:rtl/>
        </w:rPr>
      </w:pPr>
      <w:r>
        <w:rPr>
          <w:rtl/>
        </w:rPr>
        <w:t>8.</w:t>
      </w:r>
      <w:r>
        <w:rPr>
          <w:rtl/>
        </w:rPr>
        <w:tab/>
        <w:t>אשר לנסיבות האישיות של הנאשם, הדגישה המאשימה כי לנאשם הרשעה קודמת בעבירה של הפרעה לשוטר. הנאשם לא הציג נסיבות חיים קשות שיש בהן כדי להשפיע על ביצוע העבירות. בעבירות אלימות, יש ליתן משקל רב יותר לעיקרון הגמול וההרתעה. הנאשם בגיר ועל כן, פגיעת העונש בו איננה יוצאת דופן, כפי שהייתה יכולה להיות בקטין או באדם מבוגר מאוד. פגיעת העונש במשפחתו צפויה, שכן, הנאשם נשוי ואב לתינוק בן שנה. הנאשם לא הביע חרטה כלשהי על מעשיו. הנאשם אמנם שיתף פעולה בחקירה במשטרה, אך טען להגנה עצמית.</w:t>
      </w:r>
    </w:p>
    <w:p w14:paraId="077128E9" w14:textId="77777777" w:rsidR="00C31195" w:rsidRDefault="00C31195">
      <w:pPr>
        <w:ind w:left="1049" w:hanging="720"/>
        <w:rPr>
          <w:rtl/>
        </w:rPr>
      </w:pPr>
    </w:p>
    <w:p w14:paraId="1B3B1BA2" w14:textId="77777777" w:rsidR="00C31195" w:rsidRDefault="00C550CD">
      <w:pPr>
        <w:spacing w:line="360" w:lineRule="auto"/>
        <w:ind w:left="1049" w:hanging="720"/>
        <w:jc w:val="both"/>
        <w:rPr>
          <w:rtl/>
        </w:rPr>
      </w:pPr>
      <w:r>
        <w:rPr>
          <w:rtl/>
        </w:rPr>
        <w:t>9.</w:t>
      </w:r>
      <w:r>
        <w:rPr>
          <w:rtl/>
        </w:rPr>
        <w:tab/>
        <w:t>המאשימה ציינה כי המתחם שהוצע על ידה והעונש בתוך המתחם, לוקח בחשבון את העובדות המוסכמות בין הצדדים, קרי, כי הנאשם חש מאוים מהבחינה הסובייקטיבית, ולכן ניגש לרכב הקנגו וירה. אחרת, העונש היה צריך להיות גבוה יותר.</w:t>
      </w:r>
    </w:p>
    <w:p w14:paraId="459FD70A" w14:textId="77777777" w:rsidR="00C31195" w:rsidRDefault="00C31195">
      <w:pPr>
        <w:ind w:left="1049" w:hanging="720"/>
        <w:rPr>
          <w:rtl/>
        </w:rPr>
      </w:pPr>
    </w:p>
    <w:p w14:paraId="20097586" w14:textId="77777777" w:rsidR="00C31195" w:rsidRDefault="00C550CD">
      <w:pPr>
        <w:spacing w:line="360" w:lineRule="auto"/>
        <w:ind w:left="1049" w:hanging="720"/>
        <w:jc w:val="both"/>
        <w:rPr>
          <w:rtl/>
        </w:rPr>
      </w:pPr>
      <w:r>
        <w:rPr>
          <w:rtl/>
        </w:rPr>
        <w:t>10.</w:t>
      </w:r>
      <w:r>
        <w:rPr>
          <w:rtl/>
        </w:rPr>
        <w:tab/>
        <w:t>תסקיר שירות המבחן בעניינו של הנאשם הוא מאוד שלילי. התסקיר מתאר דפוסים עברייניים ותפיסות מושרשות, אותם ינק מבית הוריו. קצינת המבחן התרשמה שהנאשם לא מבין לעומק את החומרה והבעייתיות שבהתנהלותו. שירות המבחן הביע חשש כי קיים סיכון לא מבוטל להישנות התנהגות דומה בעתיד. לפיכך, מבוקש להטיל על הנאשם עונש של חמש שנות מאסר, מאסר על תנאי ופיצוי למתלונן.</w:t>
      </w:r>
    </w:p>
    <w:p w14:paraId="25EE55D2" w14:textId="77777777" w:rsidR="00C31195" w:rsidRDefault="00C550CD">
      <w:pPr>
        <w:ind w:left="1049" w:hanging="1049"/>
        <w:rPr>
          <w:rtl/>
        </w:rPr>
      </w:pPr>
      <w:r>
        <w:rPr>
          <w:rtl/>
        </w:rPr>
        <w:tab/>
      </w:r>
    </w:p>
    <w:p w14:paraId="435F1F59" w14:textId="77777777" w:rsidR="00C31195" w:rsidRDefault="00C550CD">
      <w:pPr>
        <w:numPr>
          <w:ilvl w:val="0"/>
          <w:numId w:val="1"/>
        </w:numPr>
        <w:spacing w:line="480" w:lineRule="auto"/>
        <w:jc w:val="both"/>
        <w:rPr>
          <w:b/>
          <w:bCs/>
          <w:u w:val="single"/>
        </w:rPr>
      </w:pPr>
      <w:r>
        <w:rPr>
          <w:b/>
          <w:bCs/>
          <w:u w:val="single"/>
          <w:rtl/>
        </w:rPr>
        <w:t>טיעוני ב"כ הנאשם:</w:t>
      </w:r>
    </w:p>
    <w:p w14:paraId="33426CCE" w14:textId="77777777" w:rsidR="00C31195" w:rsidRDefault="00C550CD">
      <w:pPr>
        <w:spacing w:line="360" w:lineRule="auto"/>
        <w:ind w:left="1077" w:hanging="1077"/>
        <w:jc w:val="both"/>
        <w:rPr>
          <w:rtl/>
        </w:rPr>
      </w:pPr>
      <w:r>
        <w:rPr>
          <w:rtl/>
        </w:rPr>
        <w:t>1.</w:t>
      </w:r>
      <w:r>
        <w:rPr>
          <w:rtl/>
        </w:rPr>
        <w:tab/>
        <w:t>הסנגור הגיש טיעוניו לעונש בכתב. כן הוגש הסכם סולחה שנערך בין משפחת המתלונן למשפחת הנאשם, באמצעות המגשר מר עבד אלח'אלק אבראהים "אבו יאסר". עוד הוגש מכתב מאת הנאשם לבית משפט זה.</w:t>
      </w:r>
    </w:p>
    <w:p w14:paraId="1654DBA7" w14:textId="77777777" w:rsidR="00C31195" w:rsidRDefault="00C31195">
      <w:pPr>
        <w:spacing w:line="480" w:lineRule="auto"/>
        <w:ind w:left="1080"/>
        <w:rPr>
          <w:rtl/>
        </w:rPr>
      </w:pPr>
    </w:p>
    <w:p w14:paraId="507B4DB7" w14:textId="77777777" w:rsidR="00C31195" w:rsidRDefault="00C550CD">
      <w:pPr>
        <w:spacing w:line="360" w:lineRule="auto"/>
        <w:ind w:left="1077" w:hanging="1077"/>
        <w:jc w:val="both"/>
        <w:rPr>
          <w:rtl/>
        </w:rPr>
      </w:pPr>
      <w:r>
        <w:rPr>
          <w:rtl/>
        </w:rPr>
        <w:t>2.</w:t>
      </w:r>
      <w:r>
        <w:rPr>
          <w:rtl/>
        </w:rPr>
        <w:tab/>
        <w:t xml:space="preserve">הסנגור בטיעוניו ביקש ליתן משקל להודאתו של הנאשם בעובדות כתב האישום המתוקן, וכפועל יוצא, החיסכון הניכר בזמן השיפוטי. </w:t>
      </w:r>
    </w:p>
    <w:p w14:paraId="25613A3A" w14:textId="77777777" w:rsidR="00C31195" w:rsidRDefault="00C31195">
      <w:pPr>
        <w:spacing w:line="480" w:lineRule="auto"/>
        <w:ind w:left="1080" w:hanging="1080"/>
        <w:rPr>
          <w:rtl/>
        </w:rPr>
      </w:pPr>
    </w:p>
    <w:p w14:paraId="1E038742" w14:textId="77777777" w:rsidR="00C31195" w:rsidRDefault="00C550CD">
      <w:pPr>
        <w:spacing w:line="360" w:lineRule="auto"/>
        <w:ind w:left="1077" w:hanging="1077"/>
        <w:jc w:val="both"/>
        <w:rPr>
          <w:rtl/>
        </w:rPr>
      </w:pPr>
      <w:r>
        <w:rPr>
          <w:rtl/>
        </w:rPr>
        <w:t>3.</w:t>
      </w:r>
      <w:r>
        <w:rPr>
          <w:rtl/>
        </w:rPr>
        <w:tab/>
        <w:t>הסנגור טען להעדר תכנון מוקדם. המפגש הראשון בין הצדדים אקראי לחלוטין וההתפתחות חלה עקב חילופי הדברים בין הצדדים. הנאשם נשא אקדח לאור סיכון ספציפי שחש ואינו קשור במתלונן או באחר. התנהגות המתלוננים במהלך שני האירועים, היא שהובילה את הנאשם להרגיש מושפל ובסכנה של ממש לחייו ולחיי אחותו. הפגיעה במתלונן, היא פגיעה קלה בנסיבות העניין ואין בה כדי לסכן את חייו.</w:t>
      </w:r>
    </w:p>
    <w:p w14:paraId="0868ADB2" w14:textId="77777777" w:rsidR="00C31195" w:rsidRDefault="00C31195">
      <w:pPr>
        <w:ind w:left="1077" w:hanging="1077"/>
        <w:rPr>
          <w:rtl/>
        </w:rPr>
      </w:pPr>
    </w:p>
    <w:p w14:paraId="32DC3A6A" w14:textId="77777777" w:rsidR="00C31195" w:rsidRDefault="00C550CD">
      <w:pPr>
        <w:spacing w:line="360" w:lineRule="auto"/>
        <w:ind w:left="1077" w:hanging="1077"/>
        <w:jc w:val="both"/>
        <w:rPr>
          <w:rtl/>
        </w:rPr>
      </w:pPr>
      <w:r>
        <w:rPr>
          <w:rtl/>
        </w:rPr>
        <w:t>4.</w:t>
      </w:r>
      <w:r>
        <w:rPr>
          <w:rtl/>
        </w:rPr>
        <w:tab/>
        <w:t>מדובר בנאשם צעיר, אשר נולד למציאות קשה. יש להתחשב בגילו הצעיר בבחינת שיקול הדעת המוטעה שהופעל על ידו באירועים מושא כתב האישום.</w:t>
      </w:r>
    </w:p>
    <w:p w14:paraId="45B9C98D" w14:textId="77777777" w:rsidR="00C31195" w:rsidRDefault="00C31195">
      <w:pPr>
        <w:ind w:left="1077" w:hanging="1077"/>
        <w:rPr>
          <w:rtl/>
        </w:rPr>
      </w:pPr>
    </w:p>
    <w:p w14:paraId="03760649" w14:textId="77777777" w:rsidR="00C31195" w:rsidRDefault="00C550CD">
      <w:pPr>
        <w:spacing w:line="360" w:lineRule="auto"/>
        <w:ind w:left="1077" w:hanging="1077"/>
        <w:jc w:val="both"/>
        <w:rPr>
          <w:rtl/>
        </w:rPr>
      </w:pPr>
      <w:r>
        <w:rPr>
          <w:rtl/>
        </w:rPr>
        <w:t>5.</w:t>
      </w:r>
      <w:r>
        <w:rPr>
          <w:rtl/>
        </w:rPr>
        <w:tab/>
        <w:t>אשר לנסיבות שאינן קשורות בביצוע העבירה, טען ב"כ הנאשם כי עונש המאסר שיושת על הנאשם, יש בו כדי לפגוע באופן ממשי בנאשם ובבני משפחתו. הנאשם מנהל מערכת יחסים זוגית ונולד לו ילד. בת זוגו, הינה אזרחית גרמניה הנאלצת להתמודד עם תרבות ומדינה הזרות לה, וכן נאלצת לגדל את בנם המשותף בגפה. בתום ריצוי עונשו, יעבור הנאשם יחד עם בני משפחתו להתגורר בגרמניה, על מנת להתחיל מחדש, חיים נורמטיביים, הרחק מן הסכסוכים להם הוא חשוף כל חייו.</w:t>
      </w:r>
    </w:p>
    <w:p w14:paraId="61DBCCC0" w14:textId="77777777" w:rsidR="00C31195" w:rsidRDefault="00C31195">
      <w:pPr>
        <w:ind w:left="1077" w:hanging="1077"/>
        <w:rPr>
          <w:rtl/>
        </w:rPr>
      </w:pPr>
    </w:p>
    <w:p w14:paraId="484ABE5C" w14:textId="77777777" w:rsidR="00C31195" w:rsidRDefault="00C550CD">
      <w:pPr>
        <w:spacing w:line="360" w:lineRule="auto"/>
        <w:ind w:left="1077" w:hanging="1077"/>
        <w:jc w:val="both"/>
        <w:rPr>
          <w:rtl/>
        </w:rPr>
      </w:pPr>
      <w:r>
        <w:rPr>
          <w:rtl/>
        </w:rPr>
        <w:t xml:space="preserve">6. </w:t>
      </w:r>
      <w:r>
        <w:rPr>
          <w:rtl/>
        </w:rPr>
        <w:tab/>
        <w:t xml:space="preserve">לחובת הנאשם הרשעה אחת קודמת בלבד. לנאשם פוטנציאל גבוה לשיקום. מן התסקיר עולה כי הנאשם שיתף פעולה כבר בשלב חקירתו במשטרה. שירות המבחן המליץ לשלבו במסגרת טיפולית, ומידת האפשר, בכלא שיקומי. הנאשם נטל אחריות למעשיו בעצם הודאתו בעובדות כתב האישום המתוקן, מבלי שנשמעו ראיות. </w:t>
      </w:r>
    </w:p>
    <w:p w14:paraId="7675BCBD" w14:textId="77777777" w:rsidR="00C31195" w:rsidRDefault="00C550CD">
      <w:pPr>
        <w:ind w:left="1077" w:hanging="1077"/>
        <w:rPr>
          <w:rtl/>
        </w:rPr>
      </w:pPr>
      <w:r>
        <w:rPr>
          <w:rtl/>
        </w:rPr>
        <w:t xml:space="preserve"> </w:t>
      </w:r>
    </w:p>
    <w:p w14:paraId="1DD69F64" w14:textId="77777777" w:rsidR="00C31195" w:rsidRDefault="00C550CD">
      <w:pPr>
        <w:spacing w:line="360" w:lineRule="auto"/>
        <w:ind w:left="1077" w:hanging="1077"/>
        <w:jc w:val="both"/>
        <w:rPr>
          <w:rtl/>
        </w:rPr>
      </w:pPr>
      <w:r>
        <w:rPr>
          <w:rtl/>
        </w:rPr>
        <w:t>7.</w:t>
      </w:r>
      <w:r>
        <w:rPr>
          <w:rtl/>
        </w:rPr>
        <w:tab/>
        <w:t xml:space="preserve">אמנם לנאשם חלק בכך שחלף זמן רב מיום ביצוע העבירות ועד להרשעתו בדין. עם זאת, יש לזקוף לזכותו את העובדה שבזמן שחלף, הוא לא ביצע עבירות נוספות, וכן הקים תא משפחתי. התנהלות זו מלמדת כי המקרה המפורט בכתב האישום הינו מקרה חריג בהתנהלותו הרגילה. </w:t>
      </w:r>
    </w:p>
    <w:p w14:paraId="4DAD7533" w14:textId="77777777" w:rsidR="00C31195" w:rsidRDefault="00C31195">
      <w:pPr>
        <w:ind w:left="1077" w:hanging="1077"/>
        <w:rPr>
          <w:rtl/>
        </w:rPr>
      </w:pPr>
    </w:p>
    <w:p w14:paraId="1276165F" w14:textId="77777777" w:rsidR="00C31195" w:rsidRDefault="00C550CD" w:rsidP="00FC3443">
      <w:pPr>
        <w:spacing w:line="360" w:lineRule="auto"/>
        <w:ind w:left="1077" w:hanging="1077"/>
        <w:jc w:val="both"/>
        <w:rPr>
          <w:rtl/>
        </w:rPr>
      </w:pPr>
      <w:r>
        <w:rPr>
          <w:rtl/>
        </w:rPr>
        <w:t>8.</w:t>
      </w:r>
      <w:r>
        <w:rPr>
          <w:rtl/>
        </w:rPr>
        <w:tab/>
        <w:t>הסנגור הפנה לפסקי דין, בהם הוטלו, בעבירות דומות, מאסר שנע בין 9-36 חודשי מאסר בפועל, שהוא המתחם הראוי, לטענתו, במקרים אלה.</w:t>
      </w:r>
    </w:p>
    <w:p w14:paraId="5745031E" w14:textId="77777777" w:rsidR="00C31195" w:rsidRDefault="00C550CD">
      <w:pPr>
        <w:ind w:left="1005" w:hanging="1005"/>
        <w:rPr>
          <w:rtl/>
        </w:rPr>
      </w:pPr>
      <w:r>
        <w:rPr>
          <w:rtl/>
        </w:rPr>
        <w:t xml:space="preserve"> </w:t>
      </w:r>
    </w:p>
    <w:p w14:paraId="0D95701E" w14:textId="77777777" w:rsidR="00C31195" w:rsidRDefault="00C550CD">
      <w:pPr>
        <w:numPr>
          <w:ilvl w:val="0"/>
          <w:numId w:val="1"/>
        </w:numPr>
        <w:spacing w:line="480" w:lineRule="auto"/>
        <w:jc w:val="both"/>
        <w:rPr>
          <w:b/>
          <w:bCs/>
          <w:u w:val="single"/>
          <w:rtl/>
        </w:rPr>
      </w:pPr>
      <w:r>
        <w:rPr>
          <w:b/>
          <w:bCs/>
          <w:u w:val="single"/>
          <w:rtl/>
        </w:rPr>
        <w:t>דברי הנאשם:</w:t>
      </w:r>
    </w:p>
    <w:p w14:paraId="38FAD6B0" w14:textId="77777777" w:rsidR="00C31195" w:rsidRDefault="00C550CD">
      <w:pPr>
        <w:spacing w:line="360" w:lineRule="auto"/>
        <w:ind w:left="1080"/>
        <w:jc w:val="both"/>
        <w:rPr>
          <w:rtl/>
        </w:rPr>
      </w:pPr>
      <w:r>
        <w:rPr>
          <w:rtl/>
        </w:rPr>
        <w:t>הביע צער וחרטה  על מעשיו. במסגרת המכתב שמסר לבית המשפט, ציין את נסיבות חייו הקשות, כפי שפורטו גם בתסקיר שירות המבחן. ביקש להתחשב בו, במלאכת גזירת העונש. הסביר כי פרנסת משפחתו מוטלת על כתפו, והוא מבקש לשוב ולפרנס משפחתו מיד עם שחרורו ממאסר. הבטיח שלא יחזור לבצע עבירות מכל סוג שהוא.</w:t>
      </w:r>
    </w:p>
    <w:p w14:paraId="0A0AE2BA" w14:textId="77777777" w:rsidR="00C31195" w:rsidRDefault="00C31195">
      <w:pPr>
        <w:spacing w:line="480" w:lineRule="auto"/>
        <w:ind w:left="1080"/>
        <w:rPr>
          <w:rtl/>
        </w:rPr>
      </w:pPr>
    </w:p>
    <w:p w14:paraId="5EA8A34E" w14:textId="77777777" w:rsidR="00C31195" w:rsidRDefault="00C550CD">
      <w:pPr>
        <w:spacing w:line="480" w:lineRule="auto"/>
        <w:rPr>
          <w:b/>
          <w:bCs/>
          <w:u w:val="single"/>
          <w:rtl/>
        </w:rPr>
      </w:pPr>
      <w:r>
        <w:rPr>
          <w:b/>
          <w:bCs/>
          <w:rtl/>
        </w:rPr>
        <w:t xml:space="preserve">       ז.</w:t>
      </w:r>
      <w:r>
        <w:rPr>
          <w:b/>
          <w:bCs/>
          <w:rtl/>
        </w:rPr>
        <w:tab/>
        <w:t xml:space="preserve">      </w:t>
      </w:r>
      <w:r>
        <w:rPr>
          <w:b/>
          <w:bCs/>
          <w:u w:val="single"/>
          <w:rtl/>
        </w:rPr>
        <w:t>דיון:</w:t>
      </w:r>
    </w:p>
    <w:p w14:paraId="068DC7D9" w14:textId="77777777" w:rsidR="00C31195" w:rsidRPr="000E3409" w:rsidRDefault="00C550CD">
      <w:pPr>
        <w:pStyle w:val="aa"/>
        <w:ind w:left="1106"/>
        <w:rPr>
          <w:rFonts w:ascii="David" w:hAnsi="David" w:cs="David"/>
          <w:sz w:val="24"/>
          <w:szCs w:val="24"/>
          <w:rtl/>
        </w:rPr>
      </w:pPr>
      <w:r w:rsidRPr="000E3409">
        <w:rPr>
          <w:rFonts w:ascii="David" w:hAnsi="David" w:cs="David"/>
          <w:sz w:val="24"/>
          <w:szCs w:val="24"/>
          <w:rtl/>
        </w:rPr>
        <w:t>על המקרה שלפניי חל תיקון 113 לחוק (</w:t>
      </w:r>
      <w:hyperlink r:id="rId27" w:history="1">
        <w:r w:rsidRPr="000E3409">
          <w:rPr>
            <w:rStyle w:val="Hyperlink"/>
            <w:rFonts w:ascii="David" w:hAnsi="David" w:cs="David"/>
            <w:b/>
            <w:bCs/>
            <w:sz w:val="24"/>
            <w:szCs w:val="24"/>
            <w:rtl/>
          </w:rPr>
          <w:t>חוק העונשין</w:t>
        </w:r>
      </w:hyperlink>
      <w:r w:rsidRPr="000E3409">
        <w:rPr>
          <w:rFonts w:ascii="David" w:hAnsi="David" w:cs="David"/>
          <w:b/>
          <w:bCs/>
          <w:sz w:val="24"/>
          <w:szCs w:val="24"/>
          <w:rtl/>
        </w:rPr>
        <w:t xml:space="preserve"> (תיקון 113) התשע"ב-2012</w:t>
      </w:r>
      <w:r w:rsidRPr="000E3409">
        <w:rPr>
          <w:rFonts w:ascii="David" w:hAnsi="David" w:cs="David"/>
          <w:sz w:val="24"/>
          <w:szCs w:val="24"/>
          <w:rtl/>
        </w:rPr>
        <w:t>, ס"ח 2330, תשע"ב 10/1/</w:t>
      </w:r>
      <w:r w:rsidR="00FC3443" w:rsidRPr="000E3409">
        <w:rPr>
          <w:rFonts w:ascii="David" w:hAnsi="David" w:cs="David"/>
          <w:sz w:val="24"/>
          <w:szCs w:val="24"/>
          <w:rtl/>
        </w:rPr>
        <w:t>20</w:t>
      </w:r>
      <w:r w:rsidRPr="000E3409">
        <w:rPr>
          <w:rFonts w:ascii="David" w:hAnsi="David" w:cs="David"/>
          <w:sz w:val="24"/>
          <w:szCs w:val="24"/>
          <w:rtl/>
        </w:rPr>
        <w:t>12), אשר מתווה מדרג של עקרונות ושיקולים הצריכים לשקילת גזירת הדין.</w:t>
      </w:r>
    </w:p>
    <w:p w14:paraId="08388183" w14:textId="77777777" w:rsidR="00C31195" w:rsidRDefault="00C31195">
      <w:pPr>
        <w:pStyle w:val="aa"/>
        <w:ind w:left="1106"/>
        <w:rPr>
          <w:sz w:val="24"/>
          <w:szCs w:val="24"/>
          <w:rtl/>
        </w:rPr>
      </w:pPr>
    </w:p>
    <w:p w14:paraId="7ACD4279" w14:textId="77777777" w:rsidR="00C31195" w:rsidRPr="000E3409" w:rsidRDefault="00C550CD">
      <w:pPr>
        <w:pStyle w:val="aa"/>
        <w:ind w:left="1106"/>
        <w:rPr>
          <w:rFonts w:ascii="David" w:hAnsi="David" w:cs="David"/>
          <w:sz w:val="24"/>
          <w:szCs w:val="24"/>
          <w:rtl/>
        </w:rPr>
      </w:pPr>
      <w:r w:rsidRPr="000E3409">
        <w:rPr>
          <w:rFonts w:ascii="David" w:hAnsi="David" w:cs="David"/>
          <w:sz w:val="24"/>
          <w:szCs w:val="24"/>
          <w:rtl/>
        </w:rPr>
        <w:t xml:space="preserve">החוק קובע, </w:t>
      </w:r>
      <w:hyperlink r:id="rId28" w:history="1">
        <w:r w:rsidR="00456F14" w:rsidRPr="000E3409">
          <w:rPr>
            <w:rFonts w:ascii="David" w:hAnsi="David" w:cs="David"/>
            <w:color w:val="0000FF"/>
            <w:sz w:val="24"/>
            <w:szCs w:val="24"/>
            <w:u w:val="single"/>
            <w:rtl/>
          </w:rPr>
          <w:t>בסעיף 40ב</w:t>
        </w:r>
      </w:hyperlink>
      <w:r w:rsidRPr="000E3409">
        <w:rPr>
          <w:rFonts w:ascii="David" w:hAnsi="David" w:cs="David"/>
          <w:sz w:val="24"/>
          <w:szCs w:val="24"/>
          <w:rtl/>
        </w:rPr>
        <w:t>: "</w:t>
      </w:r>
      <w:r w:rsidRPr="000E3409">
        <w:rPr>
          <w:rFonts w:ascii="David" w:hAnsi="David" w:cs="David"/>
          <w:b/>
          <w:bCs/>
          <w:sz w:val="24"/>
          <w:szCs w:val="24"/>
          <w:rtl/>
        </w:rPr>
        <w:t>העיקרון המנחה בענישה הוא קיומו של יחס הולם בין חומרת מעשה העבירה בנסיבותיו ומידת אשמו של הנאשם ובין סוג ומידת העונש המוטל עליו".</w:t>
      </w:r>
      <w:r w:rsidRPr="000E3409">
        <w:rPr>
          <w:rFonts w:ascii="David" w:hAnsi="David" w:cs="David"/>
          <w:sz w:val="24"/>
          <w:szCs w:val="24"/>
          <w:rtl/>
        </w:rPr>
        <w:t xml:space="preserve"> בהתאם להוראות </w:t>
      </w:r>
      <w:hyperlink r:id="rId29" w:history="1">
        <w:r w:rsidR="00456F14" w:rsidRPr="000E3409">
          <w:rPr>
            <w:rFonts w:ascii="David" w:hAnsi="David" w:cs="David"/>
            <w:color w:val="0000FF"/>
            <w:sz w:val="24"/>
            <w:szCs w:val="24"/>
            <w:u w:val="single"/>
            <w:rtl/>
          </w:rPr>
          <w:t>סעיף 40ג(א)</w:t>
        </w:r>
      </w:hyperlink>
      <w:r w:rsidRPr="000E3409">
        <w:rPr>
          <w:rFonts w:ascii="David" w:hAnsi="David" w:cs="David"/>
          <w:sz w:val="24"/>
          <w:szCs w:val="24"/>
          <w:rtl/>
        </w:rPr>
        <w:t xml:space="preserve"> ל</w:t>
      </w:r>
      <w:hyperlink r:id="rId30" w:history="1">
        <w:r w:rsidRPr="000E3409">
          <w:rPr>
            <w:rStyle w:val="Hyperlink"/>
            <w:rFonts w:ascii="David" w:hAnsi="David" w:cs="David"/>
            <w:sz w:val="24"/>
            <w:szCs w:val="24"/>
            <w:rtl/>
          </w:rPr>
          <w:t>חוק העונשין</w:t>
        </w:r>
      </w:hyperlink>
      <w:r w:rsidRPr="000E3409">
        <w:rPr>
          <w:rFonts w:ascii="David" w:hAnsi="David" w:cs="David"/>
          <w:sz w:val="24"/>
          <w:szCs w:val="24"/>
          <w:rtl/>
        </w:rPr>
        <w:t xml:space="preserve"> על בית המשפט לקבוע את מתחם העונש ההולם לעבירות אותן ביצע הנאשם, בהתאם לעקרון ההלימה, תוך התחשבות בערך החברתי שנפגע מביצוע העבירות ובמידת הפגיעה בו, במדיניות הענישה הנהוגה ובנסיבות הקשורות בביצוע העבירות, כמפורט בהוראות </w:t>
      </w:r>
      <w:hyperlink r:id="rId31" w:history="1">
        <w:r w:rsidR="00456F14" w:rsidRPr="000E3409">
          <w:rPr>
            <w:rFonts w:ascii="David" w:hAnsi="David" w:cs="David"/>
            <w:color w:val="0000FF"/>
            <w:sz w:val="24"/>
            <w:szCs w:val="24"/>
            <w:u w:val="single"/>
            <w:rtl/>
          </w:rPr>
          <w:t>סעיף 40ט</w:t>
        </w:r>
      </w:hyperlink>
      <w:r w:rsidRPr="000E3409">
        <w:rPr>
          <w:rFonts w:ascii="David" w:hAnsi="David" w:cs="David"/>
          <w:sz w:val="24"/>
          <w:szCs w:val="24"/>
          <w:rtl/>
        </w:rPr>
        <w:t xml:space="preserve"> לחוק העונשין.</w:t>
      </w:r>
    </w:p>
    <w:p w14:paraId="2F7C0B87" w14:textId="77777777" w:rsidR="00C31195" w:rsidRDefault="00C31195">
      <w:pPr>
        <w:pStyle w:val="aa"/>
        <w:ind w:left="1106"/>
        <w:rPr>
          <w:sz w:val="24"/>
          <w:szCs w:val="24"/>
          <w:rtl/>
        </w:rPr>
      </w:pPr>
    </w:p>
    <w:p w14:paraId="44D2FF5A" w14:textId="77777777" w:rsidR="00C31195" w:rsidRDefault="00C550CD">
      <w:pPr>
        <w:pStyle w:val="aa"/>
        <w:ind w:left="1106"/>
        <w:rPr>
          <w:b/>
          <w:bCs/>
          <w:sz w:val="24"/>
          <w:szCs w:val="24"/>
          <w:u w:val="single"/>
          <w:rtl/>
        </w:rPr>
      </w:pPr>
      <w:r>
        <w:rPr>
          <w:b/>
          <w:bCs/>
          <w:sz w:val="24"/>
          <w:szCs w:val="24"/>
          <w:u w:val="single"/>
          <w:rtl/>
        </w:rPr>
        <w:t>מתחם הענישה:</w:t>
      </w:r>
      <w:r>
        <w:rPr>
          <w:sz w:val="24"/>
          <w:szCs w:val="24"/>
          <w:rtl/>
        </w:rPr>
        <w:tab/>
      </w:r>
    </w:p>
    <w:p w14:paraId="6D9AFA35" w14:textId="77777777" w:rsidR="00C31195" w:rsidRDefault="00C550CD">
      <w:pPr>
        <w:pStyle w:val="a0"/>
        <w:numPr>
          <w:ilvl w:val="0"/>
          <w:numId w:val="0"/>
        </w:numPr>
        <w:ind w:left="1106"/>
        <w:jc w:val="both"/>
        <w:rPr>
          <w:rtl/>
        </w:rPr>
      </w:pPr>
      <w:r>
        <w:rPr>
          <w:rFonts w:hint="eastAsia"/>
          <w:rtl/>
        </w:rPr>
        <w:t>בענייננו</w:t>
      </w:r>
      <w:r>
        <w:rPr>
          <w:rtl/>
        </w:rPr>
        <w:t xml:space="preserve">, </w:t>
      </w:r>
      <w:r>
        <w:rPr>
          <w:rFonts w:hint="eastAsia"/>
          <w:rtl/>
        </w:rPr>
        <w:t>העבירות</w:t>
      </w:r>
      <w:r>
        <w:rPr>
          <w:rtl/>
        </w:rPr>
        <w:t xml:space="preserve"> </w:t>
      </w:r>
      <w:r>
        <w:rPr>
          <w:rFonts w:hint="eastAsia"/>
          <w:rtl/>
        </w:rPr>
        <w:t>בהן</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חמורות</w:t>
      </w:r>
      <w:r>
        <w:rPr>
          <w:rtl/>
        </w:rPr>
        <w:t xml:space="preserve">, </w:t>
      </w:r>
      <w:r>
        <w:rPr>
          <w:rFonts w:hint="eastAsia"/>
          <w:rtl/>
        </w:rPr>
        <w:t>שכן</w:t>
      </w:r>
      <w:r>
        <w:rPr>
          <w:rtl/>
        </w:rPr>
        <w:t xml:space="preserve"> </w:t>
      </w:r>
      <w:r>
        <w:rPr>
          <w:rFonts w:hint="eastAsia"/>
          <w:rtl/>
        </w:rPr>
        <w:t>הן</w:t>
      </w:r>
      <w:r>
        <w:rPr>
          <w:rtl/>
        </w:rPr>
        <w:t xml:space="preserve"> </w:t>
      </w:r>
      <w:r>
        <w:rPr>
          <w:rFonts w:hint="eastAsia"/>
          <w:rtl/>
        </w:rPr>
        <w:t>פוגעות</w:t>
      </w:r>
      <w:r>
        <w:rPr>
          <w:rtl/>
        </w:rPr>
        <w:t xml:space="preserve"> </w:t>
      </w:r>
      <w:r>
        <w:rPr>
          <w:rFonts w:hint="eastAsia"/>
          <w:rtl/>
        </w:rPr>
        <w:t>בערך</w:t>
      </w:r>
      <w:r>
        <w:rPr>
          <w:rtl/>
        </w:rPr>
        <w:t xml:space="preserve"> </w:t>
      </w:r>
      <w:r>
        <w:rPr>
          <w:rFonts w:hint="eastAsia"/>
          <w:rtl/>
        </w:rPr>
        <w:t>קדושת</w:t>
      </w:r>
      <w:r>
        <w:rPr>
          <w:rtl/>
        </w:rPr>
        <w:t xml:space="preserve"> </w:t>
      </w:r>
      <w:r>
        <w:rPr>
          <w:rFonts w:hint="eastAsia"/>
          <w:rtl/>
        </w:rPr>
        <w:t>שלמות</w:t>
      </w:r>
      <w:r>
        <w:rPr>
          <w:rtl/>
        </w:rPr>
        <w:t xml:space="preserve"> </w:t>
      </w:r>
      <w:r>
        <w:rPr>
          <w:rFonts w:hint="eastAsia"/>
          <w:rtl/>
        </w:rPr>
        <w:t>גוף</w:t>
      </w:r>
      <w:r>
        <w:rPr>
          <w:rtl/>
        </w:rPr>
        <w:t xml:space="preserve"> </w:t>
      </w:r>
      <w:r>
        <w:rPr>
          <w:rFonts w:hint="eastAsia"/>
          <w:rtl/>
        </w:rPr>
        <w:t>האדם</w:t>
      </w:r>
      <w:r>
        <w:rPr>
          <w:rtl/>
        </w:rPr>
        <w:t xml:space="preserve">. </w:t>
      </w:r>
      <w:r>
        <w:rPr>
          <w:rFonts w:hint="eastAsia"/>
          <w:rtl/>
        </w:rPr>
        <w:t>ברור</w:t>
      </w:r>
      <w:r>
        <w:rPr>
          <w:rtl/>
        </w:rPr>
        <w:t xml:space="preserve"> </w:t>
      </w:r>
      <w:r>
        <w:rPr>
          <w:rFonts w:hint="eastAsia"/>
          <w:rtl/>
        </w:rPr>
        <w:t>לכל</w:t>
      </w:r>
      <w:r>
        <w:rPr>
          <w:rtl/>
        </w:rPr>
        <w:t xml:space="preserve">, </w:t>
      </w:r>
      <w:r>
        <w:rPr>
          <w:rFonts w:hint="eastAsia"/>
          <w:rtl/>
        </w:rPr>
        <w:t>כי</w:t>
      </w:r>
      <w:r>
        <w:rPr>
          <w:rtl/>
        </w:rPr>
        <w:t xml:space="preserve"> </w:t>
      </w:r>
      <w:r>
        <w:rPr>
          <w:rFonts w:hint="eastAsia"/>
          <w:rtl/>
        </w:rPr>
        <w:t>עבירות</w:t>
      </w:r>
      <w:r>
        <w:rPr>
          <w:rtl/>
        </w:rPr>
        <w:t xml:space="preserve"> </w:t>
      </w:r>
      <w:r>
        <w:rPr>
          <w:rFonts w:hint="eastAsia"/>
          <w:rtl/>
        </w:rPr>
        <w:t>בנשק</w:t>
      </w:r>
      <w:r>
        <w:rPr>
          <w:rtl/>
        </w:rPr>
        <w:t xml:space="preserve"> </w:t>
      </w:r>
      <w:r>
        <w:rPr>
          <w:rFonts w:hint="eastAsia"/>
          <w:rtl/>
        </w:rPr>
        <w:t>וגרימת</w:t>
      </w:r>
      <w:r>
        <w:rPr>
          <w:rtl/>
        </w:rPr>
        <w:t xml:space="preserve"> </w:t>
      </w:r>
      <w:r>
        <w:rPr>
          <w:rFonts w:hint="eastAsia"/>
          <w:rtl/>
        </w:rPr>
        <w:t>חבלה</w:t>
      </w:r>
      <w:r>
        <w:rPr>
          <w:rtl/>
        </w:rPr>
        <w:t xml:space="preserve"> </w:t>
      </w:r>
      <w:r>
        <w:rPr>
          <w:rFonts w:hint="eastAsia"/>
          <w:rtl/>
        </w:rPr>
        <w:t>חמורה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כתוצאה</w:t>
      </w:r>
      <w:r>
        <w:rPr>
          <w:rtl/>
        </w:rPr>
        <w:t xml:space="preserve"> </w:t>
      </w:r>
      <w:r>
        <w:rPr>
          <w:rFonts w:hint="eastAsia"/>
          <w:rtl/>
        </w:rPr>
        <w:t>מירי</w:t>
      </w:r>
      <w:r>
        <w:rPr>
          <w:rtl/>
        </w:rPr>
        <w:t xml:space="preserve">, </w:t>
      </w:r>
      <w:r>
        <w:rPr>
          <w:rFonts w:hint="eastAsia"/>
          <w:rtl/>
        </w:rPr>
        <w:t>הן</w:t>
      </w:r>
      <w:r>
        <w:rPr>
          <w:rtl/>
        </w:rPr>
        <w:t xml:space="preserve"> </w:t>
      </w:r>
      <w:r>
        <w:rPr>
          <w:rFonts w:hint="eastAsia"/>
          <w:rtl/>
        </w:rPr>
        <w:t>עבירות</w:t>
      </w:r>
      <w:r>
        <w:rPr>
          <w:rtl/>
        </w:rPr>
        <w:t xml:space="preserve"> </w:t>
      </w:r>
      <w:r>
        <w:rPr>
          <w:rFonts w:hint="eastAsia"/>
          <w:rtl/>
        </w:rPr>
        <w:t>חמורות</w:t>
      </w:r>
      <w:r>
        <w:rPr>
          <w:rtl/>
        </w:rPr>
        <w:t xml:space="preserve">. </w:t>
      </w:r>
      <w:r>
        <w:rPr>
          <w:rFonts w:hint="eastAsia"/>
          <w:rtl/>
        </w:rPr>
        <w:t>עבירות</w:t>
      </w:r>
      <w:r>
        <w:rPr>
          <w:rtl/>
        </w:rPr>
        <w:t xml:space="preserve"> </w:t>
      </w:r>
      <w:r>
        <w:rPr>
          <w:rFonts w:hint="eastAsia"/>
          <w:rtl/>
        </w:rPr>
        <w:t>אלה</w:t>
      </w:r>
      <w:r>
        <w:rPr>
          <w:rtl/>
        </w:rPr>
        <w:t xml:space="preserve"> </w:t>
      </w:r>
      <w:r>
        <w:rPr>
          <w:rFonts w:hint="eastAsia"/>
          <w:rtl/>
        </w:rPr>
        <w:t>טומנות</w:t>
      </w:r>
      <w:r>
        <w:rPr>
          <w:rtl/>
        </w:rPr>
        <w:t xml:space="preserve"> </w:t>
      </w:r>
      <w:r>
        <w:rPr>
          <w:rFonts w:hint="eastAsia"/>
          <w:rtl/>
        </w:rPr>
        <w:t>בחובן</w:t>
      </w:r>
      <w:r>
        <w:rPr>
          <w:rtl/>
        </w:rPr>
        <w:t xml:space="preserve"> </w:t>
      </w:r>
      <w:r>
        <w:rPr>
          <w:rFonts w:hint="eastAsia"/>
          <w:rtl/>
        </w:rPr>
        <w:t>פוטנציאל</w:t>
      </w:r>
      <w:r>
        <w:rPr>
          <w:rtl/>
        </w:rPr>
        <w:t xml:space="preserve"> </w:t>
      </w:r>
      <w:r>
        <w:rPr>
          <w:rFonts w:hint="eastAsia"/>
          <w:rtl/>
        </w:rPr>
        <w:t>סיכון</w:t>
      </w:r>
      <w:r>
        <w:rPr>
          <w:rtl/>
        </w:rPr>
        <w:t xml:space="preserve"> </w:t>
      </w:r>
      <w:r>
        <w:rPr>
          <w:rFonts w:hint="eastAsia"/>
          <w:rtl/>
        </w:rPr>
        <w:t>לחיי</w:t>
      </w:r>
      <w:r>
        <w:rPr>
          <w:rtl/>
        </w:rPr>
        <w:t xml:space="preserve"> </w:t>
      </w:r>
      <w:r>
        <w:rPr>
          <w:rFonts w:hint="eastAsia"/>
          <w:rtl/>
        </w:rPr>
        <w:t>אדם</w:t>
      </w:r>
      <w:r>
        <w:rPr>
          <w:rtl/>
        </w:rPr>
        <w:t xml:space="preserve"> </w:t>
      </w:r>
      <w:r>
        <w:rPr>
          <w:rFonts w:hint="eastAsia"/>
          <w:rtl/>
        </w:rPr>
        <w:t>ואף</w:t>
      </w:r>
      <w:r>
        <w:rPr>
          <w:rtl/>
        </w:rPr>
        <w:t xml:space="preserve"> </w:t>
      </w:r>
      <w:r>
        <w:rPr>
          <w:rFonts w:hint="eastAsia"/>
          <w:rtl/>
        </w:rPr>
        <w:t>פגיעה</w:t>
      </w:r>
      <w:r>
        <w:rPr>
          <w:rtl/>
        </w:rPr>
        <w:t xml:space="preserve"> </w:t>
      </w:r>
      <w:r>
        <w:rPr>
          <w:rFonts w:hint="eastAsia"/>
          <w:rtl/>
        </w:rPr>
        <w:t>בעוברי</w:t>
      </w:r>
      <w:r>
        <w:rPr>
          <w:rtl/>
        </w:rPr>
        <w:t xml:space="preserve"> </w:t>
      </w:r>
      <w:r>
        <w:rPr>
          <w:rFonts w:hint="eastAsia"/>
          <w:rtl/>
        </w:rPr>
        <w:t>אורח</w:t>
      </w:r>
      <w:r>
        <w:rPr>
          <w:rtl/>
        </w:rPr>
        <w:t xml:space="preserve"> </w:t>
      </w:r>
      <w:r>
        <w:rPr>
          <w:rFonts w:hint="eastAsia"/>
          <w:rtl/>
        </w:rPr>
        <w:t>תמימים</w:t>
      </w:r>
      <w:r>
        <w:rPr>
          <w:rtl/>
        </w:rPr>
        <w:t xml:space="preserve">, </w:t>
      </w:r>
      <w:r>
        <w:rPr>
          <w:rFonts w:hint="eastAsia"/>
          <w:rtl/>
        </w:rPr>
        <w:t>שכן</w:t>
      </w:r>
      <w:r>
        <w:rPr>
          <w:rtl/>
        </w:rPr>
        <w:t xml:space="preserve"> </w:t>
      </w:r>
      <w:r>
        <w:rPr>
          <w:rFonts w:hint="eastAsia"/>
          <w:rtl/>
        </w:rPr>
        <w:t>הירי</w:t>
      </w:r>
      <w:r>
        <w:rPr>
          <w:rtl/>
        </w:rPr>
        <w:t xml:space="preserve"> </w:t>
      </w:r>
      <w:r>
        <w:rPr>
          <w:rFonts w:hint="eastAsia"/>
          <w:rtl/>
        </w:rPr>
        <w:t>בוצע</w:t>
      </w:r>
      <w:r>
        <w:rPr>
          <w:rtl/>
        </w:rPr>
        <w:t xml:space="preserve"> </w:t>
      </w:r>
      <w:r>
        <w:rPr>
          <w:rFonts w:hint="eastAsia"/>
          <w:rtl/>
        </w:rPr>
        <w:t>בתוך</w:t>
      </w:r>
      <w:r>
        <w:rPr>
          <w:rtl/>
        </w:rPr>
        <w:t xml:space="preserve"> </w:t>
      </w:r>
      <w:r>
        <w:rPr>
          <w:rFonts w:hint="eastAsia"/>
          <w:rtl/>
        </w:rPr>
        <w:t>מתחם</w:t>
      </w:r>
      <w:r>
        <w:rPr>
          <w:rtl/>
        </w:rPr>
        <w:t xml:space="preserve"> </w:t>
      </w:r>
      <w:r>
        <w:rPr>
          <w:rFonts w:hint="eastAsia"/>
          <w:rtl/>
        </w:rPr>
        <w:t>תחנת</w:t>
      </w:r>
      <w:r>
        <w:rPr>
          <w:rtl/>
        </w:rPr>
        <w:t xml:space="preserve"> </w:t>
      </w:r>
      <w:r>
        <w:rPr>
          <w:rFonts w:hint="eastAsia"/>
          <w:rtl/>
        </w:rPr>
        <w:t>דלק</w:t>
      </w:r>
      <w:r>
        <w:rPr>
          <w:rtl/>
        </w:rPr>
        <w:t>.</w:t>
      </w:r>
    </w:p>
    <w:p w14:paraId="6D7DAD46" w14:textId="77777777" w:rsidR="00C31195" w:rsidRDefault="00C550CD">
      <w:pPr>
        <w:pStyle w:val="a0"/>
        <w:numPr>
          <w:ilvl w:val="0"/>
          <w:numId w:val="0"/>
        </w:numPr>
        <w:ind w:left="1106"/>
        <w:jc w:val="both"/>
        <w:rPr>
          <w:rtl/>
        </w:rPr>
      </w:pPr>
      <w:r>
        <w:rPr>
          <w:rFonts w:hint="eastAsia"/>
          <w:rtl/>
        </w:rPr>
        <w:t>בתי</w:t>
      </w:r>
      <w:r>
        <w:rPr>
          <w:rtl/>
        </w:rPr>
        <w:t xml:space="preserve"> </w:t>
      </w:r>
      <w:r>
        <w:rPr>
          <w:rFonts w:hint="eastAsia"/>
          <w:rtl/>
        </w:rPr>
        <w:t>המשפט</w:t>
      </w:r>
      <w:r>
        <w:rPr>
          <w:rtl/>
        </w:rPr>
        <w:t xml:space="preserve"> </w:t>
      </w:r>
      <w:r>
        <w:rPr>
          <w:rFonts w:hint="eastAsia"/>
          <w:rtl/>
        </w:rPr>
        <w:t>שבו</w:t>
      </w:r>
      <w:r>
        <w:rPr>
          <w:rtl/>
        </w:rPr>
        <w:t xml:space="preserve"> </w:t>
      </w:r>
      <w:r>
        <w:rPr>
          <w:rFonts w:hint="eastAsia"/>
          <w:rtl/>
        </w:rPr>
        <w:t>והדגישו</w:t>
      </w:r>
      <w:r>
        <w:rPr>
          <w:rtl/>
        </w:rPr>
        <w:t xml:space="preserve"> </w:t>
      </w:r>
      <w:r>
        <w:rPr>
          <w:rFonts w:hint="eastAsia"/>
          <w:rtl/>
        </w:rPr>
        <w:t>את</w:t>
      </w:r>
      <w:r>
        <w:rPr>
          <w:rtl/>
        </w:rPr>
        <w:t xml:space="preserve"> </w:t>
      </w:r>
      <w:r>
        <w:rPr>
          <w:rFonts w:hint="eastAsia"/>
          <w:rtl/>
        </w:rPr>
        <w:t>הצורך</w:t>
      </w:r>
      <w:r>
        <w:rPr>
          <w:rtl/>
        </w:rPr>
        <w:t xml:space="preserve"> </w:t>
      </w:r>
      <w:r>
        <w:rPr>
          <w:rFonts w:hint="eastAsia"/>
          <w:rtl/>
        </w:rPr>
        <w:t>להילחם</w:t>
      </w:r>
      <w:r>
        <w:rPr>
          <w:rtl/>
        </w:rPr>
        <w:t xml:space="preserve"> </w:t>
      </w:r>
      <w:r>
        <w:rPr>
          <w:rFonts w:hint="eastAsia"/>
          <w:rtl/>
        </w:rPr>
        <w:t>בתופעה</w:t>
      </w:r>
      <w:r>
        <w:rPr>
          <w:rtl/>
        </w:rPr>
        <w:t xml:space="preserve"> </w:t>
      </w:r>
      <w:r>
        <w:rPr>
          <w:rFonts w:hint="eastAsia"/>
          <w:rtl/>
        </w:rPr>
        <w:t>של</w:t>
      </w:r>
      <w:r>
        <w:rPr>
          <w:rtl/>
        </w:rPr>
        <w:t xml:space="preserve"> </w:t>
      </w:r>
      <w:r>
        <w:rPr>
          <w:rFonts w:hint="eastAsia"/>
          <w:rtl/>
        </w:rPr>
        <w:t>יישוב</w:t>
      </w:r>
      <w:r>
        <w:rPr>
          <w:rtl/>
        </w:rPr>
        <w:t xml:space="preserve"> </w:t>
      </w:r>
      <w:r>
        <w:rPr>
          <w:rFonts w:hint="eastAsia"/>
          <w:rtl/>
        </w:rPr>
        <w:t>סכסוכים</w:t>
      </w:r>
      <w:r>
        <w:rPr>
          <w:rtl/>
        </w:rPr>
        <w:t xml:space="preserve"> </w:t>
      </w:r>
      <w:r>
        <w:rPr>
          <w:rFonts w:hint="eastAsia"/>
          <w:rtl/>
        </w:rPr>
        <w:t>בדרכים</w:t>
      </w:r>
      <w:r>
        <w:rPr>
          <w:rtl/>
        </w:rPr>
        <w:t xml:space="preserve"> </w:t>
      </w:r>
      <w:r>
        <w:rPr>
          <w:rFonts w:hint="eastAsia"/>
          <w:rtl/>
        </w:rPr>
        <w:t>אלימות</w:t>
      </w:r>
      <w:r>
        <w:rPr>
          <w:rtl/>
        </w:rPr>
        <w:t xml:space="preserve">. </w:t>
      </w:r>
      <w:r>
        <w:rPr>
          <w:rFonts w:hint="eastAsia"/>
          <w:rtl/>
        </w:rPr>
        <w:t>נקבע</w:t>
      </w:r>
      <w:r>
        <w:rPr>
          <w:rtl/>
        </w:rPr>
        <w:t xml:space="preserve"> </w:t>
      </w:r>
      <w:r>
        <w:rPr>
          <w:rFonts w:hint="eastAsia"/>
          <w:rtl/>
        </w:rPr>
        <w:t>כי</w:t>
      </w:r>
      <w:r>
        <w:rPr>
          <w:rtl/>
        </w:rPr>
        <w:t xml:space="preserve"> </w:t>
      </w:r>
      <w:r>
        <w:rPr>
          <w:rFonts w:hint="eastAsia"/>
          <w:rtl/>
        </w:rPr>
        <w:t>צריך</w:t>
      </w:r>
      <w:r>
        <w:rPr>
          <w:rtl/>
        </w:rPr>
        <w:t xml:space="preserve"> </w:t>
      </w:r>
      <w:r>
        <w:rPr>
          <w:rFonts w:hint="eastAsia"/>
          <w:rtl/>
        </w:rPr>
        <w:t>שמדיניות</w:t>
      </w:r>
      <w:r>
        <w:rPr>
          <w:rtl/>
        </w:rPr>
        <w:t xml:space="preserve"> </w:t>
      </w:r>
      <w:r>
        <w:rPr>
          <w:rFonts w:hint="eastAsia"/>
          <w:rtl/>
        </w:rPr>
        <w:t>הענישה</w:t>
      </w:r>
      <w:r>
        <w:rPr>
          <w:rtl/>
        </w:rPr>
        <w:t xml:space="preserve"> </w:t>
      </w:r>
      <w:r>
        <w:rPr>
          <w:rFonts w:hint="eastAsia"/>
          <w:rtl/>
        </w:rPr>
        <w:t>בעבירות</w:t>
      </w:r>
      <w:r>
        <w:rPr>
          <w:rtl/>
        </w:rPr>
        <w:t xml:space="preserve"> </w:t>
      </w:r>
      <w:r>
        <w:rPr>
          <w:rFonts w:hint="eastAsia"/>
          <w:rtl/>
        </w:rPr>
        <w:t>כאמור</w:t>
      </w:r>
      <w:r>
        <w:rPr>
          <w:rtl/>
        </w:rPr>
        <w:t xml:space="preserve">, </w:t>
      </w:r>
      <w:r>
        <w:rPr>
          <w:rFonts w:hint="eastAsia"/>
          <w:rtl/>
        </w:rPr>
        <w:t>תהא</w:t>
      </w:r>
      <w:r>
        <w:rPr>
          <w:rtl/>
        </w:rPr>
        <w:t xml:space="preserve"> </w:t>
      </w:r>
      <w:r>
        <w:rPr>
          <w:rFonts w:hint="eastAsia"/>
          <w:rtl/>
        </w:rPr>
        <w:t>מדיניות</w:t>
      </w:r>
      <w:r>
        <w:rPr>
          <w:rtl/>
        </w:rPr>
        <w:t xml:space="preserve"> </w:t>
      </w:r>
      <w:r>
        <w:rPr>
          <w:rFonts w:hint="eastAsia"/>
          <w:rtl/>
        </w:rPr>
        <w:t>של</w:t>
      </w:r>
      <w:r>
        <w:rPr>
          <w:rtl/>
        </w:rPr>
        <w:t xml:space="preserve"> </w:t>
      </w:r>
      <w:r>
        <w:rPr>
          <w:rFonts w:hint="eastAsia"/>
          <w:rtl/>
        </w:rPr>
        <w:t>ענישה</w:t>
      </w:r>
      <w:r>
        <w:rPr>
          <w:rtl/>
        </w:rPr>
        <w:t xml:space="preserve"> </w:t>
      </w:r>
      <w:r>
        <w:rPr>
          <w:rFonts w:hint="eastAsia"/>
          <w:rtl/>
        </w:rPr>
        <w:t>מחמירה</w:t>
      </w:r>
      <w:r>
        <w:rPr>
          <w:rtl/>
        </w:rPr>
        <w:t xml:space="preserve"> (</w:t>
      </w:r>
      <w:r>
        <w:rPr>
          <w:rFonts w:hint="eastAsia"/>
          <w:rtl/>
        </w:rPr>
        <w:t>ראה</w:t>
      </w:r>
      <w:r>
        <w:rPr>
          <w:rtl/>
        </w:rPr>
        <w:t xml:space="preserve"> </w:t>
      </w:r>
      <w:hyperlink r:id="rId32" w:history="1">
        <w:r w:rsidRPr="00C550CD">
          <w:rPr>
            <w:rStyle w:val="Hyperlink"/>
            <w:rtl/>
          </w:rPr>
          <w:t>ע"פ 2918/13</w:t>
        </w:r>
      </w:hyperlink>
      <w:r>
        <w:rPr>
          <w:rtl/>
        </w:rPr>
        <w:t xml:space="preserve"> </w:t>
      </w:r>
      <w:r>
        <w:rPr>
          <w:rFonts w:hint="eastAsia"/>
          <w:b/>
          <w:bCs/>
          <w:rtl/>
        </w:rPr>
        <w:t>אחמד</w:t>
      </w:r>
      <w:r>
        <w:rPr>
          <w:b/>
          <w:bCs/>
          <w:rtl/>
        </w:rPr>
        <w:t xml:space="preserve"> </w:t>
      </w:r>
      <w:r>
        <w:rPr>
          <w:rFonts w:hint="eastAsia"/>
          <w:b/>
          <w:bCs/>
          <w:rtl/>
        </w:rPr>
        <w:t>דבס</w:t>
      </w:r>
      <w:r>
        <w:rPr>
          <w:b/>
          <w:bCs/>
          <w:rtl/>
        </w:rPr>
        <w:t xml:space="preserve"> </w:t>
      </w:r>
      <w:r>
        <w:rPr>
          <w:rFonts w:hint="eastAsia"/>
          <w:b/>
          <w:bCs/>
          <w:rtl/>
        </w:rPr>
        <w:t>ואח</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FC3443">
        <w:rPr>
          <w:rFonts w:hint="cs"/>
          <w:rtl/>
        </w:rPr>
        <w:t xml:space="preserve">פורסם בנבו, </w:t>
      </w:r>
      <w:r>
        <w:rPr>
          <w:rtl/>
        </w:rPr>
        <w:t>18.7.</w:t>
      </w:r>
      <w:r w:rsidR="00FC3443">
        <w:rPr>
          <w:rFonts w:hint="cs"/>
          <w:rtl/>
        </w:rPr>
        <w:t>20</w:t>
      </w:r>
      <w:r>
        <w:rPr>
          <w:rtl/>
        </w:rPr>
        <w:t>13)).</w:t>
      </w:r>
    </w:p>
    <w:p w14:paraId="096D5789" w14:textId="77777777" w:rsidR="00C31195" w:rsidRDefault="00C550CD" w:rsidP="00FC3443">
      <w:pPr>
        <w:pStyle w:val="a0"/>
        <w:numPr>
          <w:ilvl w:val="0"/>
          <w:numId w:val="0"/>
        </w:numPr>
        <w:ind w:left="1106"/>
        <w:jc w:val="both"/>
        <w:rPr>
          <w:rtl/>
        </w:rPr>
      </w:pPr>
      <w:r>
        <w:rPr>
          <w:rFonts w:hint="eastAsia"/>
          <w:rtl/>
        </w:rPr>
        <w:t>יפים</w:t>
      </w:r>
      <w:r>
        <w:rPr>
          <w:rtl/>
        </w:rPr>
        <w:t xml:space="preserve"> </w:t>
      </w:r>
      <w:r>
        <w:rPr>
          <w:rFonts w:hint="eastAsia"/>
          <w:rtl/>
        </w:rPr>
        <w:t>לענייננו</w:t>
      </w:r>
      <w:r>
        <w:rPr>
          <w:rtl/>
        </w:rPr>
        <w:t xml:space="preserve"> </w:t>
      </w:r>
      <w:r>
        <w:rPr>
          <w:rFonts w:hint="eastAsia"/>
          <w:rtl/>
        </w:rPr>
        <w:t>דבריו</w:t>
      </w:r>
      <w:r>
        <w:rPr>
          <w:rtl/>
        </w:rPr>
        <w:t xml:space="preserve"> </w:t>
      </w:r>
      <w:r>
        <w:rPr>
          <w:rFonts w:hint="eastAsia"/>
          <w:rtl/>
        </w:rPr>
        <w:t>של</w:t>
      </w:r>
      <w:r>
        <w:rPr>
          <w:rtl/>
        </w:rPr>
        <w:t xml:space="preserve"> </w:t>
      </w:r>
      <w:r>
        <w:rPr>
          <w:rFonts w:hint="eastAsia"/>
          <w:rtl/>
        </w:rPr>
        <w:t>כב</w:t>
      </w:r>
      <w:r w:rsidR="00FC3443">
        <w:rPr>
          <w:rFonts w:hint="cs"/>
          <w:rtl/>
        </w:rPr>
        <w:t>וד</w:t>
      </w:r>
      <w:r>
        <w:rPr>
          <w:rtl/>
        </w:rPr>
        <w:t xml:space="preserve"> </w:t>
      </w:r>
      <w:r>
        <w:rPr>
          <w:rFonts w:hint="eastAsia"/>
          <w:rtl/>
        </w:rPr>
        <w:t>השופט</w:t>
      </w:r>
      <w:r>
        <w:rPr>
          <w:rtl/>
        </w:rPr>
        <w:t xml:space="preserve"> </w:t>
      </w:r>
      <w:r>
        <w:rPr>
          <w:rFonts w:hint="eastAsia"/>
          <w:rtl/>
        </w:rPr>
        <w:t>זילברטל</w:t>
      </w:r>
      <w:r>
        <w:rPr>
          <w:rtl/>
        </w:rPr>
        <w:t xml:space="preserve"> </w:t>
      </w:r>
      <w:r>
        <w:rPr>
          <w:rFonts w:hint="eastAsia"/>
          <w:rtl/>
        </w:rPr>
        <w:t>ב</w:t>
      </w:r>
      <w:hyperlink r:id="rId33" w:history="1">
        <w:r w:rsidRPr="00C550CD">
          <w:rPr>
            <w:rStyle w:val="Hyperlink"/>
            <w:rtl/>
          </w:rPr>
          <w:t>ע"פ 6989/13</w:t>
        </w:r>
      </w:hyperlink>
      <w:r>
        <w:rPr>
          <w:rtl/>
        </w:rPr>
        <w:t xml:space="preserve"> </w:t>
      </w:r>
      <w:r>
        <w:rPr>
          <w:rFonts w:hint="eastAsia"/>
          <w:b/>
          <w:bCs/>
          <w:rtl/>
        </w:rPr>
        <w:t>פרח</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FC3443">
        <w:rPr>
          <w:rFonts w:hint="cs"/>
          <w:rtl/>
        </w:rPr>
        <w:t xml:space="preserve">פורסם בנבו, </w:t>
      </w:r>
      <w:r>
        <w:rPr>
          <w:rtl/>
        </w:rPr>
        <w:t>25.2.</w:t>
      </w:r>
      <w:r w:rsidR="00FC3443">
        <w:rPr>
          <w:rFonts w:hint="cs"/>
          <w:rtl/>
        </w:rPr>
        <w:t>20</w:t>
      </w:r>
      <w:r>
        <w:rPr>
          <w:rtl/>
        </w:rPr>
        <w:t xml:space="preserve">14) </w:t>
      </w:r>
      <w:r>
        <w:rPr>
          <w:rFonts w:hint="eastAsia"/>
          <w:rtl/>
        </w:rPr>
        <w:t>לפיהם</w:t>
      </w:r>
      <w:r>
        <w:rPr>
          <w:rtl/>
        </w:rPr>
        <w:t>:</w:t>
      </w:r>
    </w:p>
    <w:p w14:paraId="42C3D50C" w14:textId="77777777" w:rsidR="00C31195" w:rsidRDefault="00C550CD">
      <w:pPr>
        <w:tabs>
          <w:tab w:val="left" w:pos="567"/>
          <w:tab w:val="left" w:pos="1134"/>
          <w:tab w:val="left" w:pos="1701"/>
        </w:tabs>
        <w:ind w:left="1701" w:right="1134"/>
        <w:jc w:val="both"/>
        <w:rPr>
          <w:b/>
          <w:bCs/>
          <w:rtl/>
        </w:rPr>
      </w:pPr>
      <w:r>
        <w:rPr>
          <w:b/>
          <w:bCs/>
          <w:rtl/>
        </w:rPr>
        <w:t xml:space="preserve">"בית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בהתאם, מדיניות הענישה הנהוגה בעבירות אלה היא מדיניות של ענישה מחמירה המחייבת בדרך כלל הטלת עונשי מאסר לריצוי בפועל גם על מי שזו הרשעתו הראשונה... 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w:t>
      </w:r>
      <w:r>
        <w:rPr>
          <w:rtl/>
        </w:rPr>
        <w:t>(שם, בפסקה 13).</w:t>
      </w:r>
      <w:r>
        <w:rPr>
          <w:b/>
          <w:bCs/>
          <w:rtl/>
        </w:rPr>
        <w:t xml:space="preserve"> </w:t>
      </w:r>
    </w:p>
    <w:p w14:paraId="6DD102A0" w14:textId="77777777" w:rsidR="00C31195" w:rsidRDefault="00C550CD">
      <w:pPr>
        <w:tabs>
          <w:tab w:val="left" w:pos="567"/>
          <w:tab w:val="left" w:pos="1134"/>
          <w:tab w:val="left" w:pos="1701"/>
        </w:tabs>
        <w:ind w:left="567" w:hanging="567"/>
        <w:rPr>
          <w:b/>
          <w:bCs/>
          <w:rtl/>
        </w:rPr>
      </w:pPr>
      <w:r>
        <w:rPr>
          <w:b/>
          <w:bCs/>
          <w:rtl/>
        </w:rPr>
        <w:t xml:space="preserve">   </w:t>
      </w:r>
    </w:p>
    <w:p w14:paraId="065EA918" w14:textId="77777777" w:rsidR="00C31195" w:rsidRDefault="00C550CD">
      <w:pPr>
        <w:pStyle w:val="a0"/>
        <w:numPr>
          <w:ilvl w:val="0"/>
          <w:numId w:val="0"/>
        </w:numPr>
        <w:ind w:left="1076"/>
        <w:jc w:val="both"/>
        <w:rPr>
          <w:rStyle w:val="default"/>
          <w:szCs w:val="26"/>
        </w:rPr>
      </w:pPr>
      <w:r>
        <w:rPr>
          <w:rFonts w:hint="eastAsia"/>
          <w:rtl/>
        </w:rPr>
        <w:t>בחינת</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הנעים</w:t>
      </w:r>
      <w:r>
        <w:rPr>
          <w:rtl/>
        </w:rPr>
        <w:t xml:space="preserve"> </w:t>
      </w:r>
      <w:r>
        <w:rPr>
          <w:rFonts w:hint="eastAsia"/>
          <w:rtl/>
        </w:rPr>
        <w:t>בין</w:t>
      </w:r>
      <w:r>
        <w:rPr>
          <w:rtl/>
        </w:rPr>
        <w:t xml:space="preserve">  21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לארבע</w:t>
      </w:r>
      <w:r>
        <w:rPr>
          <w:rtl/>
        </w:rPr>
        <w:t xml:space="preserve"> </w:t>
      </w:r>
      <w:r>
        <w:rPr>
          <w:rFonts w:hint="eastAsia"/>
          <w:rtl/>
        </w:rPr>
        <w:t>שנים</w:t>
      </w:r>
      <w:r>
        <w:rPr>
          <w:rtl/>
        </w:rPr>
        <w:t xml:space="preserve">, </w:t>
      </w:r>
      <w:r>
        <w:rPr>
          <w:rFonts w:hint="eastAsia"/>
          <w:rtl/>
        </w:rPr>
        <w:t>כמפורט</w:t>
      </w:r>
      <w:r>
        <w:rPr>
          <w:rtl/>
        </w:rPr>
        <w:t xml:space="preserve"> </w:t>
      </w:r>
      <w:r>
        <w:rPr>
          <w:rFonts w:hint="eastAsia"/>
          <w:rtl/>
        </w:rPr>
        <w:t>להלן</w:t>
      </w:r>
      <w:r>
        <w:rPr>
          <w:rtl/>
        </w:rPr>
        <w:t xml:space="preserve">:  </w:t>
      </w:r>
    </w:p>
    <w:p w14:paraId="78899FA8" w14:textId="77777777" w:rsidR="00C31195" w:rsidRDefault="00C550CD">
      <w:pPr>
        <w:pStyle w:val="a"/>
        <w:numPr>
          <w:ilvl w:val="1"/>
          <w:numId w:val="3"/>
        </w:numPr>
        <w:tabs>
          <w:tab w:val="clear" w:pos="1620"/>
          <w:tab w:val="num" w:pos="1286"/>
        </w:tabs>
        <w:ind w:left="1287" w:right="0" w:hanging="539"/>
        <w:jc w:val="both"/>
        <w:rPr>
          <w:rStyle w:val="default"/>
        </w:rPr>
      </w:pPr>
      <w:r>
        <w:rPr>
          <w:rStyle w:val="default"/>
          <w:rtl/>
        </w:rPr>
        <w:t>ב</w:t>
      </w:r>
      <w:hyperlink r:id="rId34" w:history="1">
        <w:r w:rsidRPr="00C550CD">
          <w:rPr>
            <w:rStyle w:val="Hyperlink"/>
            <w:sz w:val="26"/>
            <w:rtl/>
          </w:rPr>
          <w:t>ע"פ 4119/14</w:t>
        </w:r>
      </w:hyperlink>
      <w:r>
        <w:rPr>
          <w:rStyle w:val="default"/>
          <w:rtl/>
        </w:rPr>
        <w:t xml:space="preserve"> </w:t>
      </w:r>
      <w:r>
        <w:rPr>
          <w:rStyle w:val="default"/>
          <w:b/>
          <w:bCs/>
          <w:rtl/>
        </w:rPr>
        <w:t>אחמד הנבוזי נ' מדינת ישראל</w:t>
      </w:r>
      <w:r>
        <w:rPr>
          <w:rStyle w:val="default"/>
          <w:rtl/>
        </w:rPr>
        <w:t xml:space="preserve"> (</w:t>
      </w:r>
      <w:r w:rsidR="00FC3443">
        <w:rPr>
          <w:rStyle w:val="default"/>
          <w:rFonts w:hint="cs"/>
          <w:rtl/>
        </w:rPr>
        <w:t xml:space="preserve">פורסם בנבו, </w:t>
      </w:r>
      <w:r>
        <w:rPr>
          <w:rStyle w:val="default"/>
          <w:rtl/>
        </w:rPr>
        <w:t>21.9.</w:t>
      </w:r>
      <w:r w:rsidR="00FC3443">
        <w:rPr>
          <w:rStyle w:val="default"/>
          <w:rFonts w:hint="cs"/>
          <w:rtl/>
        </w:rPr>
        <w:t>20</w:t>
      </w:r>
      <w:r>
        <w:rPr>
          <w:rStyle w:val="default"/>
          <w:rtl/>
        </w:rPr>
        <w:t>14) נדחה ערעור הנאשם על חומרת העונש וערעור המדינה על קולת העונש. הנאשם הורשע על פי הודאתו במסגרת הסדר טיעון בעבירות של גרימת חבלה חמורה בנסיבות מחמירות, נשיאת נשק, שלא כדין וירי באזור מגורים.  על הנאשם הוטל עונש מאסר בפועל לתקופה של שלוש שנים. בית המשפט העליון קבע כי העונש שנגזר על הנאשם משקף איזון סביר בין כלל השיקולים הצריכים לעניין.</w:t>
      </w:r>
    </w:p>
    <w:p w14:paraId="52BEFB19" w14:textId="77777777" w:rsidR="00C31195" w:rsidRDefault="00C550CD">
      <w:pPr>
        <w:pStyle w:val="a"/>
        <w:numPr>
          <w:ilvl w:val="1"/>
          <w:numId w:val="3"/>
        </w:numPr>
        <w:tabs>
          <w:tab w:val="clear" w:pos="1620"/>
          <w:tab w:val="num" w:pos="1286"/>
        </w:tabs>
        <w:ind w:left="1287" w:right="0" w:hanging="539"/>
        <w:jc w:val="both"/>
      </w:pPr>
      <w:r>
        <w:rPr>
          <w:rtl/>
        </w:rPr>
        <w:t>ב</w:t>
      </w:r>
      <w:hyperlink r:id="rId35" w:history="1">
        <w:r w:rsidRPr="00C550CD">
          <w:rPr>
            <w:rStyle w:val="Hyperlink"/>
            <w:rtl/>
          </w:rPr>
          <w:t>ת"פ 18335-02-13</w:t>
        </w:r>
      </w:hyperlink>
      <w:r>
        <w:rPr>
          <w:rtl/>
        </w:rPr>
        <w:t xml:space="preserve"> </w:t>
      </w:r>
      <w:r>
        <w:rPr>
          <w:b/>
          <w:bCs/>
          <w:rtl/>
        </w:rPr>
        <w:t>מדינת ישראל נ' עבאס</w:t>
      </w:r>
      <w:r>
        <w:rPr>
          <w:rtl/>
        </w:rPr>
        <w:t xml:space="preserve"> (</w:t>
      </w:r>
      <w:r w:rsidR="00FC3443">
        <w:rPr>
          <w:rFonts w:hint="cs"/>
          <w:rtl/>
        </w:rPr>
        <w:t xml:space="preserve">פורסם בנבו, </w:t>
      </w:r>
      <w:r>
        <w:rPr>
          <w:rtl/>
        </w:rPr>
        <w:t>17.2.</w:t>
      </w:r>
      <w:r w:rsidR="00FC3443">
        <w:rPr>
          <w:rFonts w:hint="cs"/>
          <w:rtl/>
        </w:rPr>
        <w:t>20</w:t>
      </w:r>
      <w:r>
        <w:rPr>
          <w:rtl/>
        </w:rPr>
        <w:t>14) הורשע הנאשם על פי הודאתו בחבלה חמורה בנסיבות מחמירות. העבירה בוצעה באמצעות נשק קר. הנאשם נידון ל-21 חודשי מאסר בפועל.</w:t>
      </w:r>
    </w:p>
    <w:p w14:paraId="03B3CCB8" w14:textId="77777777" w:rsidR="00C31195" w:rsidRDefault="00C550CD">
      <w:pPr>
        <w:pStyle w:val="a"/>
        <w:numPr>
          <w:ilvl w:val="1"/>
          <w:numId w:val="3"/>
        </w:numPr>
        <w:tabs>
          <w:tab w:val="clear" w:pos="1620"/>
          <w:tab w:val="num" w:pos="1286"/>
        </w:tabs>
        <w:ind w:left="1287" w:right="0" w:hanging="539"/>
        <w:jc w:val="both"/>
      </w:pPr>
      <w:r>
        <w:rPr>
          <w:rtl/>
        </w:rPr>
        <w:t>ב</w:t>
      </w:r>
      <w:hyperlink r:id="rId36" w:history="1">
        <w:r w:rsidRPr="00C550CD">
          <w:rPr>
            <w:rStyle w:val="Hyperlink"/>
            <w:rtl/>
          </w:rPr>
          <w:t>ת"פ 8314/09</w:t>
        </w:r>
      </w:hyperlink>
      <w:r>
        <w:rPr>
          <w:rtl/>
        </w:rPr>
        <w:t xml:space="preserve"> </w:t>
      </w:r>
      <w:r>
        <w:rPr>
          <w:b/>
          <w:bCs/>
          <w:rtl/>
        </w:rPr>
        <w:t>אנואר אבו מדיעם</w:t>
      </w:r>
      <w:r>
        <w:rPr>
          <w:rtl/>
        </w:rPr>
        <w:t xml:space="preserve"> (</w:t>
      </w:r>
      <w:r w:rsidR="00FC3443">
        <w:rPr>
          <w:rFonts w:hint="cs"/>
          <w:rtl/>
        </w:rPr>
        <w:t xml:space="preserve">פורסם בנבו, </w:t>
      </w:r>
      <w:r>
        <w:rPr>
          <w:rtl/>
        </w:rPr>
        <w:t>28.6.</w:t>
      </w:r>
      <w:r w:rsidR="00FC3443">
        <w:rPr>
          <w:rFonts w:hint="cs"/>
          <w:rtl/>
        </w:rPr>
        <w:t>20</w:t>
      </w:r>
      <w:r>
        <w:rPr>
          <w:rtl/>
        </w:rPr>
        <w:t>11) הורשע הנאשם במסגרת הסדר טיעון בעבירה של חבלה חמורה בנסיבות מחמירות ועבירות בנשק. הנאשם נידון ל-42 חודשי מאסר בפועל.</w:t>
      </w:r>
    </w:p>
    <w:p w14:paraId="23C17222" w14:textId="77777777" w:rsidR="00C31195" w:rsidRDefault="00C550CD">
      <w:pPr>
        <w:pStyle w:val="a"/>
        <w:numPr>
          <w:ilvl w:val="1"/>
          <w:numId w:val="3"/>
        </w:numPr>
        <w:tabs>
          <w:tab w:val="clear" w:pos="1620"/>
          <w:tab w:val="num" w:pos="1286"/>
        </w:tabs>
        <w:ind w:left="1287" w:right="0" w:hanging="539"/>
        <w:jc w:val="both"/>
        <w:rPr>
          <w:rtl/>
        </w:rPr>
      </w:pPr>
      <w:r>
        <w:rPr>
          <w:rtl/>
        </w:rPr>
        <w:t>ב</w:t>
      </w:r>
      <w:hyperlink r:id="rId37" w:history="1">
        <w:r w:rsidRPr="00C550CD">
          <w:rPr>
            <w:rStyle w:val="Hyperlink"/>
            <w:rtl/>
          </w:rPr>
          <w:t>ע"פ 2044/13</w:t>
        </w:r>
      </w:hyperlink>
      <w:r>
        <w:rPr>
          <w:rtl/>
        </w:rPr>
        <w:t xml:space="preserve"> </w:t>
      </w:r>
      <w:r>
        <w:rPr>
          <w:b/>
          <w:bCs/>
          <w:rtl/>
        </w:rPr>
        <w:t>בן שטרית נ' מדינת ישראל</w:t>
      </w:r>
      <w:r>
        <w:rPr>
          <w:rtl/>
        </w:rPr>
        <w:t xml:space="preserve"> (</w:t>
      </w:r>
      <w:r w:rsidR="00FC3443">
        <w:rPr>
          <w:rFonts w:hint="cs"/>
          <w:rtl/>
        </w:rPr>
        <w:t xml:space="preserve">פורסם בנבו, </w:t>
      </w:r>
      <w:r>
        <w:rPr>
          <w:rtl/>
        </w:rPr>
        <w:t>19.2.</w:t>
      </w:r>
      <w:r w:rsidR="00FC3443">
        <w:rPr>
          <w:rFonts w:hint="cs"/>
          <w:rtl/>
        </w:rPr>
        <w:t>20</w:t>
      </w:r>
      <w:r>
        <w:rPr>
          <w:rtl/>
        </w:rPr>
        <w:t>14), אישר בית המשפט העליון עונש של ארבע שנות מאסר שהוטל על הנאשם בגין הרשעתו בעבירות של החזקת ונשיאת נשק, חבלה בכוונה מחמירה וירי באזור מגורים. בית המשפט הדגיש כי מדובר בעונש מדוד ומאוזן המשקף את החומרה שבביצוע עבירות נשק ופתרון סכסוכים באמצעות נשק חם.</w:t>
      </w:r>
    </w:p>
    <w:p w14:paraId="4F443A2C" w14:textId="77777777" w:rsidR="00C31195" w:rsidRDefault="00C550CD">
      <w:pPr>
        <w:ind w:firstLine="720"/>
        <w:rPr>
          <w:rStyle w:val="default"/>
          <w:b/>
          <w:bCs/>
          <w:szCs w:val="26"/>
          <w:u w:val="single"/>
          <w:rtl/>
        </w:rPr>
      </w:pPr>
      <w:r>
        <w:rPr>
          <w:b/>
          <w:bCs/>
          <w:u w:val="single"/>
          <w:rtl/>
        </w:rPr>
        <w:t>הערך החברתי שנפגע מביצוע העבירה ומידת הפגיעה בו:</w:t>
      </w:r>
    </w:p>
    <w:p w14:paraId="07789031" w14:textId="77777777" w:rsidR="00C31195" w:rsidRPr="000E3409" w:rsidRDefault="00C550CD">
      <w:pPr>
        <w:pStyle w:val="aa"/>
        <w:ind w:left="720"/>
        <w:rPr>
          <w:rFonts w:ascii="David" w:hAnsi="David" w:cs="David"/>
          <w:sz w:val="24"/>
          <w:szCs w:val="24"/>
          <w:rtl/>
        </w:rPr>
      </w:pPr>
      <w:r w:rsidRPr="000E3409">
        <w:rPr>
          <w:rFonts w:ascii="David" w:hAnsi="David" w:cs="David"/>
          <w:sz w:val="24"/>
          <w:szCs w:val="24"/>
          <w:rtl/>
        </w:rPr>
        <w:t>עבירת האלימות של חבלה חמורה בנסיבות מחמירות, באמצעות ירי שביצע הנאשם, מצביעה על התנהגות פלילית חמורה ושלוחת רסן אשר חותרת תחת אושיות שלטון החוק תוך התעלמות מנורמות התנהגות ראויות שיש להקפיד עליהן (</w:t>
      </w:r>
      <w:hyperlink r:id="rId38" w:history="1">
        <w:r w:rsidRPr="000E3409">
          <w:rPr>
            <w:rStyle w:val="Hyperlink"/>
            <w:rFonts w:ascii="David" w:hAnsi="David" w:cs="David"/>
            <w:sz w:val="24"/>
            <w:szCs w:val="24"/>
            <w:rtl/>
          </w:rPr>
          <w:t>ע"פ 8704/08</w:t>
        </w:r>
      </w:hyperlink>
      <w:r w:rsidRPr="000E3409">
        <w:rPr>
          <w:rFonts w:ascii="David" w:hAnsi="David" w:cs="David"/>
          <w:sz w:val="24"/>
          <w:szCs w:val="24"/>
          <w:rtl/>
        </w:rPr>
        <w:t xml:space="preserve"> </w:t>
      </w:r>
      <w:r w:rsidRPr="000E3409">
        <w:rPr>
          <w:rFonts w:ascii="David" w:hAnsi="David" w:cs="David"/>
          <w:b/>
          <w:bCs/>
          <w:sz w:val="24"/>
          <w:szCs w:val="24"/>
          <w:rtl/>
        </w:rPr>
        <w:t>הייב נ' מ"י</w:t>
      </w:r>
      <w:r w:rsidRPr="000E3409">
        <w:rPr>
          <w:rFonts w:ascii="David" w:hAnsi="David" w:cs="David"/>
          <w:sz w:val="24"/>
          <w:szCs w:val="24"/>
          <w:rtl/>
        </w:rPr>
        <w:t>, (</w:t>
      </w:r>
      <w:r w:rsidR="00FC3443">
        <w:rPr>
          <w:rFonts w:hint="cs"/>
          <w:rtl/>
        </w:rPr>
        <w:t xml:space="preserve">פורסם בנבו, </w:t>
      </w:r>
      <w:r w:rsidRPr="000E3409">
        <w:rPr>
          <w:rFonts w:ascii="David" w:hAnsi="David" w:cs="David"/>
          <w:sz w:val="24"/>
          <w:szCs w:val="24"/>
          <w:rtl/>
        </w:rPr>
        <w:t>23.4.</w:t>
      </w:r>
      <w:r w:rsidR="00FC3443">
        <w:rPr>
          <w:rFonts w:ascii="David" w:hAnsi="David" w:cs="David" w:hint="cs"/>
          <w:sz w:val="24"/>
          <w:szCs w:val="24"/>
          <w:rtl/>
        </w:rPr>
        <w:t>20</w:t>
      </w:r>
      <w:r w:rsidRPr="000E3409">
        <w:rPr>
          <w:rFonts w:ascii="David" w:hAnsi="David" w:cs="David"/>
          <w:sz w:val="24"/>
          <w:szCs w:val="24"/>
          <w:rtl/>
        </w:rPr>
        <w:t>09)).</w:t>
      </w:r>
    </w:p>
    <w:p w14:paraId="374051FC" w14:textId="77777777" w:rsidR="00C31195" w:rsidRPr="000E3409" w:rsidRDefault="00C31195">
      <w:pPr>
        <w:pStyle w:val="aa"/>
        <w:ind w:left="720"/>
        <w:rPr>
          <w:rFonts w:ascii="David" w:hAnsi="David" w:cs="David"/>
          <w:rtl/>
        </w:rPr>
      </w:pPr>
    </w:p>
    <w:p w14:paraId="39961480" w14:textId="77777777" w:rsidR="00C31195" w:rsidRPr="000E3409" w:rsidRDefault="00C550CD">
      <w:pPr>
        <w:pStyle w:val="aa"/>
        <w:ind w:left="720"/>
        <w:rPr>
          <w:rFonts w:ascii="David" w:hAnsi="David" w:cs="David"/>
          <w:sz w:val="24"/>
          <w:szCs w:val="24"/>
          <w:rtl/>
        </w:rPr>
      </w:pPr>
      <w:r w:rsidRPr="000E3409">
        <w:rPr>
          <w:rFonts w:ascii="David" w:hAnsi="David" w:cs="David"/>
          <w:sz w:val="24"/>
          <w:szCs w:val="24"/>
          <w:rtl/>
        </w:rPr>
        <w:t xml:space="preserve">בחינת </w:t>
      </w:r>
      <w:r w:rsidRPr="000E3409">
        <w:rPr>
          <w:rFonts w:ascii="David" w:hAnsi="David" w:cs="David"/>
          <w:b/>
          <w:bCs/>
          <w:sz w:val="24"/>
          <w:szCs w:val="24"/>
          <w:rtl/>
        </w:rPr>
        <w:t xml:space="preserve">מידת הפגיעה בערכים המוגנים </w:t>
      </w:r>
      <w:r w:rsidRPr="000E3409">
        <w:rPr>
          <w:rFonts w:ascii="David" w:hAnsi="David" w:cs="David"/>
          <w:sz w:val="24"/>
          <w:szCs w:val="24"/>
          <w:rtl/>
        </w:rPr>
        <w:t>במקרה דנן</w:t>
      </w:r>
      <w:r w:rsidRPr="000E3409">
        <w:rPr>
          <w:rFonts w:ascii="David" w:hAnsi="David" w:cs="David"/>
          <w:b/>
          <w:bCs/>
          <w:sz w:val="24"/>
          <w:szCs w:val="24"/>
          <w:rtl/>
        </w:rPr>
        <w:t xml:space="preserve"> </w:t>
      </w:r>
      <w:r w:rsidRPr="000E3409">
        <w:rPr>
          <w:rFonts w:ascii="David" w:hAnsi="David" w:cs="David"/>
          <w:sz w:val="24"/>
          <w:szCs w:val="24"/>
          <w:rtl/>
        </w:rPr>
        <w:t xml:space="preserve">מובילה למסקנה כי נגרמה פגיעה ממשית בשלמות גופו של המתלונן בפרט, ובביטחון הציבור בכלל. </w:t>
      </w:r>
    </w:p>
    <w:p w14:paraId="4D9D582D" w14:textId="77777777" w:rsidR="00C31195" w:rsidRPr="000E3409" w:rsidRDefault="00C31195">
      <w:pPr>
        <w:pStyle w:val="a0"/>
        <w:numPr>
          <w:ilvl w:val="0"/>
          <w:numId w:val="0"/>
        </w:numPr>
        <w:ind w:left="720" w:hanging="720"/>
        <w:jc w:val="both"/>
        <w:rPr>
          <w:color w:val="auto"/>
          <w:rtl/>
          <w:lang w:eastAsia="he-IL"/>
        </w:rPr>
      </w:pPr>
    </w:p>
    <w:p w14:paraId="284CA2D8" w14:textId="77777777" w:rsidR="00C31195" w:rsidRPr="00FC3443" w:rsidRDefault="00C550CD">
      <w:pPr>
        <w:pStyle w:val="a0"/>
        <w:numPr>
          <w:ilvl w:val="0"/>
          <w:numId w:val="0"/>
        </w:numPr>
        <w:ind w:left="720"/>
        <w:jc w:val="both"/>
        <w:rPr>
          <w:rStyle w:val="default"/>
          <w:rFonts w:ascii="David" w:hAnsi="David"/>
          <w:szCs w:val="26"/>
          <w:rtl/>
        </w:rPr>
      </w:pPr>
      <w:r w:rsidRPr="00FC3443">
        <w:rPr>
          <w:rtl/>
        </w:rPr>
        <w:t xml:space="preserve">במסגרת </w:t>
      </w:r>
      <w:r w:rsidRPr="00FC3443">
        <w:rPr>
          <w:b/>
          <w:bCs/>
          <w:rtl/>
        </w:rPr>
        <w:t xml:space="preserve">הנסיבות הקשורות בביצוע העבירה </w:t>
      </w:r>
      <w:r w:rsidRPr="00FC3443">
        <w:rPr>
          <w:rtl/>
        </w:rPr>
        <w:t xml:space="preserve">(סעיף </w:t>
      </w:r>
      <w:hyperlink r:id="rId39" w:history="1">
        <w:r w:rsidR="00456F14" w:rsidRPr="00FC3443">
          <w:rPr>
            <w:color w:val="0000FF"/>
            <w:u w:val="single"/>
            <w:rtl/>
          </w:rPr>
          <w:t>40 ט'</w:t>
        </w:r>
      </w:hyperlink>
      <w:r w:rsidRPr="00FC3443">
        <w:rPr>
          <w:rtl/>
        </w:rPr>
        <w:t xml:space="preserve"> לחוק), יש ליתן את הדעת לשיקולים הבאים:</w:t>
      </w:r>
    </w:p>
    <w:p w14:paraId="1F1012E9" w14:textId="77777777" w:rsidR="00C31195" w:rsidRDefault="00C31195">
      <w:pPr>
        <w:rPr>
          <w:rtl/>
        </w:rPr>
      </w:pPr>
    </w:p>
    <w:p w14:paraId="46B23156" w14:textId="77777777" w:rsidR="00C31195" w:rsidRDefault="00C550CD">
      <w:pPr>
        <w:spacing w:line="360" w:lineRule="auto"/>
        <w:ind w:left="720"/>
        <w:jc w:val="both"/>
        <w:rPr>
          <w:rtl/>
        </w:rPr>
      </w:pPr>
      <w:r>
        <w:rPr>
          <w:b/>
          <w:bCs/>
          <w:u w:val="single"/>
          <w:rtl/>
        </w:rPr>
        <w:t>א. התכנון שקדם לביצוע העבירה:</w:t>
      </w:r>
      <w:r>
        <w:rPr>
          <w:rtl/>
        </w:rPr>
        <w:t xml:space="preserve"> למקרא עובדות כתב האישום המתוקן, אנו למדים כי לא קדם כל תכנון מוקדם לביצוע העבירות בהן הורשע הנאשם. האירוע הראשון התרחש, בעקבות עימות שהתפתח בין הנאשם למאלכ ואחיו, לאחר שנפגשו באקראי בצומת ספוריה. גם האירוע השני התרחש, לאחר שהנאשם ואחותו עצרו לתדלק בתחנת דלק פז בנצרת, ולפתע הגיחו למקום מאלכ ומועאד. גם במקרה זה לא קדם כל תכנון מוקדם לירי שביצע הנאשם לעברם. לפיכך, ניתן לקבוע כי קדם תכנון מוקדם לביצוע העבירות מושא כתב האישום. </w:t>
      </w:r>
    </w:p>
    <w:p w14:paraId="3D1B8F07" w14:textId="77777777" w:rsidR="00C31195" w:rsidRDefault="00C31195">
      <w:pPr>
        <w:rPr>
          <w:rtl/>
        </w:rPr>
      </w:pPr>
    </w:p>
    <w:p w14:paraId="654AD0C3" w14:textId="77777777" w:rsidR="00C31195" w:rsidRDefault="00C550CD">
      <w:pPr>
        <w:spacing w:line="360" w:lineRule="auto"/>
        <w:ind w:left="720"/>
        <w:jc w:val="both"/>
        <w:rPr>
          <w:b/>
          <w:bCs/>
          <w:u w:val="single"/>
          <w:rtl/>
        </w:rPr>
      </w:pPr>
      <w:r>
        <w:rPr>
          <w:b/>
          <w:bCs/>
          <w:u w:val="single"/>
          <w:rtl/>
        </w:rPr>
        <w:t>ב. הנזק שהיה צפוי להיגרם מביצוע העבירה:</w:t>
      </w:r>
      <w:r>
        <w:rPr>
          <w:rtl/>
        </w:rPr>
        <w:t xml:space="preserve"> </w:t>
      </w:r>
      <w:r>
        <w:rPr>
          <w:rStyle w:val="default"/>
          <w:rtl/>
        </w:rPr>
        <w:t>מביצוע העבירות, והתנהלות הנאשם במהלך האירועים, יכולה הייתה להיגרם פגיעה חמורה יותר במועאד</w:t>
      </w:r>
      <w:r>
        <w:rPr>
          <w:sz w:val="22"/>
          <w:szCs w:val="22"/>
          <w:rtl/>
        </w:rPr>
        <w:t xml:space="preserve">, </w:t>
      </w:r>
      <w:r>
        <w:rPr>
          <w:rtl/>
        </w:rPr>
        <w:t xml:space="preserve">מזו שנגרמה בפועל. נוסף על כך, ירי בתוך מתחם תחנת הדלק, יכול היה לגרום לפגיעה ופציעת עוברי אורח תמימים. </w:t>
      </w:r>
    </w:p>
    <w:p w14:paraId="0237C526" w14:textId="77777777" w:rsidR="00C31195" w:rsidRDefault="00C31195">
      <w:pPr>
        <w:rPr>
          <w:rtl/>
        </w:rPr>
      </w:pPr>
    </w:p>
    <w:p w14:paraId="30930365" w14:textId="77777777" w:rsidR="00C31195" w:rsidRDefault="00C550CD">
      <w:pPr>
        <w:pStyle w:val="a"/>
        <w:numPr>
          <w:ilvl w:val="0"/>
          <w:numId w:val="0"/>
        </w:numPr>
        <w:ind w:left="746" w:right="0"/>
        <w:jc w:val="both"/>
        <w:rPr>
          <w:rStyle w:val="default"/>
          <w:szCs w:val="26"/>
          <w:rtl/>
        </w:rPr>
      </w:pPr>
      <w:r>
        <w:rPr>
          <w:b/>
          <w:bCs/>
          <w:u w:val="single"/>
          <w:rtl/>
        </w:rPr>
        <w:t>ג. הנזק שנגרם מביצוע העבירה:</w:t>
      </w:r>
      <w:r>
        <w:rPr>
          <w:rtl/>
        </w:rPr>
        <w:t xml:space="preserve"> כתוצאה ממעשיו של הנאשם, נגרמו למועאד חבלות חמורות. פצע כניסה ויציאה מעל שליש מרוחק לשני הקרסוליים, פצע כניסה מעל אספקט פנימי למסרק 1 כף רגל ימין ופצע יציאה מעל אספקט לטראלי לבוהן 1</w:t>
      </w:r>
      <w:r>
        <w:rPr>
          <w:rStyle w:val="default"/>
          <w:szCs w:val="26"/>
          <w:rtl/>
        </w:rPr>
        <w:t>.</w:t>
      </w:r>
    </w:p>
    <w:p w14:paraId="12F60334" w14:textId="77777777" w:rsidR="00C31195" w:rsidRDefault="00C550CD">
      <w:pPr>
        <w:pStyle w:val="a"/>
        <w:numPr>
          <w:ilvl w:val="0"/>
          <w:numId w:val="0"/>
        </w:numPr>
        <w:ind w:left="746" w:right="0"/>
        <w:jc w:val="both"/>
        <w:rPr>
          <w:rStyle w:val="default"/>
          <w:szCs w:val="26"/>
          <w:rtl/>
        </w:rPr>
      </w:pPr>
      <w:r>
        <w:rPr>
          <w:rStyle w:val="default"/>
          <w:szCs w:val="26"/>
          <w:rtl/>
        </w:rPr>
        <w:t xml:space="preserve"> </w:t>
      </w:r>
    </w:p>
    <w:p w14:paraId="02E58D47" w14:textId="77777777" w:rsidR="00C31195" w:rsidRDefault="00C550CD">
      <w:pPr>
        <w:pStyle w:val="a"/>
        <w:numPr>
          <w:ilvl w:val="0"/>
          <w:numId w:val="0"/>
        </w:numPr>
        <w:ind w:left="746" w:right="0"/>
        <w:jc w:val="both"/>
        <w:rPr>
          <w:rStyle w:val="default"/>
        </w:rPr>
      </w:pPr>
      <w:r>
        <w:rPr>
          <w:b/>
          <w:bCs/>
          <w:sz w:val="22"/>
          <w:szCs w:val="22"/>
          <w:u w:val="single"/>
          <w:rtl/>
        </w:rPr>
        <w:t>ד.</w:t>
      </w:r>
      <w:r>
        <w:rPr>
          <w:rStyle w:val="default"/>
          <w:b/>
          <w:bCs/>
          <w:u w:val="single"/>
          <w:rtl/>
        </w:rPr>
        <w:t xml:space="preserve"> הנסיבות שהובילו את הנאשם לביצוע העבירות</w:t>
      </w:r>
      <w:r>
        <w:rPr>
          <w:rStyle w:val="default"/>
          <w:b/>
          <w:bCs/>
          <w:rtl/>
        </w:rPr>
        <w:t xml:space="preserve">: באירוע הראשון </w:t>
      </w:r>
      <w:r>
        <w:rPr>
          <w:rStyle w:val="default"/>
          <w:rtl/>
        </w:rPr>
        <w:t>מאלכ קילל את אחות הנאשם, על כן ירה הנאשם לעבר רכב הקנגו בו ישב מאלכ. באירוע השני, הנאשם חש מאוים מבחינה סובייקטיבית, ולכן ניגש לרכב הקנגו וירה.</w:t>
      </w:r>
    </w:p>
    <w:p w14:paraId="3B6996CA" w14:textId="77777777" w:rsidR="00C31195" w:rsidRDefault="00C31195">
      <w:pPr>
        <w:ind w:left="720"/>
        <w:rPr>
          <w:rtl/>
        </w:rPr>
      </w:pPr>
    </w:p>
    <w:p w14:paraId="5CCA8D7D" w14:textId="77777777" w:rsidR="00C31195" w:rsidRDefault="00C550CD">
      <w:pPr>
        <w:ind w:firstLine="720"/>
        <w:rPr>
          <w:b/>
          <w:bCs/>
          <w:u w:val="single"/>
          <w:rtl/>
        </w:rPr>
      </w:pPr>
      <w:r>
        <w:rPr>
          <w:b/>
          <w:bCs/>
          <w:u w:val="single"/>
          <w:rtl/>
        </w:rPr>
        <w:t>סיכום- מתחם הענישה הראוי</w:t>
      </w:r>
    </w:p>
    <w:p w14:paraId="61A2D78A" w14:textId="77777777" w:rsidR="00C31195" w:rsidRDefault="00C550CD">
      <w:pPr>
        <w:pStyle w:val="a0"/>
        <w:numPr>
          <w:ilvl w:val="0"/>
          <w:numId w:val="0"/>
        </w:numPr>
        <w:ind w:left="720"/>
        <w:jc w:val="both"/>
      </w:pPr>
      <w:r>
        <w:rPr>
          <w:rFonts w:hint="eastAsia"/>
          <w:rtl/>
        </w:rPr>
        <w:t>לאחר</w:t>
      </w:r>
      <w:r>
        <w:rPr>
          <w:rtl/>
        </w:rPr>
        <w:t xml:space="preserve"> </w:t>
      </w:r>
      <w:r>
        <w:rPr>
          <w:rFonts w:hint="eastAsia"/>
          <w:rtl/>
        </w:rPr>
        <w:t>שסקרתי</w:t>
      </w:r>
      <w:r>
        <w:rPr>
          <w:rtl/>
        </w:rPr>
        <w:t xml:space="preserve"> </w:t>
      </w:r>
      <w:r>
        <w:rPr>
          <w:rFonts w:hint="eastAsia"/>
          <w:rtl/>
        </w:rPr>
        <w:t>את</w:t>
      </w:r>
      <w:r>
        <w:rPr>
          <w:rtl/>
        </w:rPr>
        <w:t xml:space="preserve"> </w:t>
      </w:r>
      <w:r>
        <w:rPr>
          <w:rFonts w:hint="eastAsia"/>
          <w:rtl/>
        </w:rPr>
        <w:t>הערכים</w:t>
      </w:r>
      <w:r>
        <w:rPr>
          <w:rtl/>
        </w:rPr>
        <w:t xml:space="preserve"> </w:t>
      </w:r>
      <w:r>
        <w:rPr>
          <w:rFonts w:hint="eastAsia"/>
          <w:rtl/>
        </w:rPr>
        <w:t>החברתיים</w:t>
      </w:r>
      <w:r>
        <w:rPr>
          <w:rtl/>
        </w:rPr>
        <w:t xml:space="preserve"> </w:t>
      </w:r>
      <w:r>
        <w:rPr>
          <w:rFonts w:hint="eastAsia"/>
          <w:rtl/>
        </w:rPr>
        <w:t>שנפגעו</w:t>
      </w:r>
      <w:r>
        <w:rPr>
          <w:rtl/>
        </w:rPr>
        <w:t xml:space="preserve"> </w:t>
      </w:r>
      <w:r>
        <w:rPr>
          <w:rFonts w:hint="eastAsia"/>
          <w:rtl/>
        </w:rPr>
        <w:t>מביצוע</w:t>
      </w:r>
      <w:r>
        <w:rPr>
          <w:rtl/>
        </w:rPr>
        <w:t xml:space="preserve"> </w:t>
      </w:r>
      <w:r>
        <w:rPr>
          <w:rFonts w:hint="eastAsia"/>
          <w:rtl/>
        </w:rPr>
        <w:t>העבירות</w:t>
      </w:r>
      <w:r>
        <w:rPr>
          <w:rtl/>
        </w:rPr>
        <w:t xml:space="preserve"> </w:t>
      </w:r>
      <w:r>
        <w:rPr>
          <w:rFonts w:hint="eastAsia"/>
          <w:rtl/>
        </w:rPr>
        <w:t>ומידת</w:t>
      </w:r>
      <w:r>
        <w:rPr>
          <w:rtl/>
        </w:rPr>
        <w:t xml:space="preserve"> </w:t>
      </w:r>
      <w:r>
        <w:rPr>
          <w:rFonts w:hint="eastAsia"/>
          <w:rtl/>
        </w:rPr>
        <w:t>הפגיעה</w:t>
      </w:r>
      <w:r>
        <w:rPr>
          <w:rtl/>
        </w:rPr>
        <w:t xml:space="preserve"> </w:t>
      </w:r>
      <w:r>
        <w:rPr>
          <w:rFonts w:hint="eastAsia"/>
          <w:rtl/>
        </w:rPr>
        <w:t>בהם</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הנהוגה</w:t>
      </w:r>
      <w:r>
        <w:rPr>
          <w:rtl/>
        </w:rPr>
        <w:t xml:space="preserve">, </w:t>
      </w:r>
      <w:r>
        <w:rPr>
          <w:rFonts w:hint="eastAsia"/>
          <w:rtl/>
        </w:rPr>
        <w:t>והנסיבות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r>
        <w:rPr>
          <w:rFonts w:hint="eastAsia"/>
          <w:rtl/>
        </w:rPr>
        <w:t>אני</w:t>
      </w:r>
      <w:r>
        <w:rPr>
          <w:rtl/>
        </w:rPr>
        <w:t xml:space="preserve"> </w:t>
      </w:r>
      <w:r>
        <w:rPr>
          <w:rFonts w:hint="eastAsia"/>
          <w:rtl/>
        </w:rPr>
        <w:t>קובעת</w:t>
      </w:r>
      <w:r>
        <w:rPr>
          <w:rtl/>
        </w:rPr>
        <w:t xml:space="preserve">, </w:t>
      </w:r>
      <w:r>
        <w:rPr>
          <w:rFonts w:hint="eastAsia"/>
          <w:rtl/>
        </w:rPr>
        <w:t>כי</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הראוי</w:t>
      </w:r>
      <w:r>
        <w:rPr>
          <w:rtl/>
        </w:rPr>
        <w:t xml:space="preserve"> </w:t>
      </w:r>
      <w:r>
        <w:rPr>
          <w:rFonts w:hint="eastAsia"/>
          <w:rtl/>
        </w:rPr>
        <w:t>בנסיבות</w:t>
      </w:r>
      <w:r>
        <w:rPr>
          <w:rtl/>
        </w:rPr>
        <w:t xml:space="preserve"> </w:t>
      </w:r>
      <w:r>
        <w:rPr>
          <w:rFonts w:hint="eastAsia"/>
          <w:rtl/>
        </w:rPr>
        <w:t>שבכאן</w:t>
      </w:r>
      <w:r>
        <w:rPr>
          <w:rtl/>
        </w:rPr>
        <w:t xml:space="preserve"> </w:t>
      </w:r>
      <w:r>
        <w:rPr>
          <w:rFonts w:hint="eastAsia"/>
          <w:rtl/>
        </w:rPr>
        <w:t>הוא</w:t>
      </w:r>
      <w:r>
        <w:rPr>
          <w:rtl/>
        </w:rPr>
        <w:t xml:space="preserve"> </w:t>
      </w:r>
      <w:r>
        <w:rPr>
          <w:rFonts w:hint="eastAsia"/>
          <w:rtl/>
        </w:rPr>
        <w:t>בין</w:t>
      </w:r>
      <w:r>
        <w:rPr>
          <w:rtl/>
        </w:rPr>
        <w:t xml:space="preserve"> 21 </w:t>
      </w:r>
      <w:r>
        <w:rPr>
          <w:rFonts w:hint="eastAsia"/>
          <w:rtl/>
        </w:rPr>
        <w:t>חודשים</w:t>
      </w:r>
      <w:r>
        <w:rPr>
          <w:rtl/>
        </w:rPr>
        <w:t xml:space="preserve"> </w:t>
      </w:r>
      <w:r>
        <w:rPr>
          <w:rFonts w:hint="eastAsia"/>
          <w:rtl/>
        </w:rPr>
        <w:t>ל</w:t>
      </w:r>
      <w:r>
        <w:rPr>
          <w:rtl/>
        </w:rPr>
        <w:t xml:space="preserve">- 4 </w:t>
      </w:r>
      <w:r>
        <w:rPr>
          <w:rFonts w:hint="eastAsia"/>
          <w:rtl/>
        </w:rPr>
        <w:t>שנים</w:t>
      </w:r>
      <w:r>
        <w:rPr>
          <w:rtl/>
        </w:rPr>
        <w:t>.</w:t>
      </w:r>
    </w:p>
    <w:p w14:paraId="3F33AEE3" w14:textId="77777777" w:rsidR="00C31195" w:rsidRDefault="00C31195">
      <w:pPr>
        <w:rPr>
          <w:rtl/>
        </w:rPr>
      </w:pPr>
    </w:p>
    <w:p w14:paraId="3CC90791" w14:textId="77777777" w:rsidR="00C31195" w:rsidRDefault="00C550CD">
      <w:pPr>
        <w:spacing w:line="360" w:lineRule="auto"/>
        <w:ind w:firstLine="720"/>
        <w:rPr>
          <w:b/>
          <w:bCs/>
          <w:u w:val="single"/>
          <w:rtl/>
        </w:rPr>
      </w:pPr>
      <w:r>
        <w:rPr>
          <w:b/>
          <w:bCs/>
          <w:u w:val="single"/>
          <w:rtl/>
        </w:rPr>
        <w:t>האם יש מקום לחרוג ממתחם הענישה שנקבע</w:t>
      </w:r>
    </w:p>
    <w:p w14:paraId="07341BFF" w14:textId="77777777" w:rsidR="00C31195" w:rsidRDefault="00456F14">
      <w:pPr>
        <w:spacing w:line="360" w:lineRule="auto"/>
        <w:ind w:left="720"/>
        <w:jc w:val="both"/>
        <w:rPr>
          <w:rtl/>
        </w:rPr>
      </w:pPr>
      <w:hyperlink r:id="rId40" w:history="1">
        <w:r w:rsidRPr="00456F14">
          <w:rPr>
            <w:color w:val="0000FF"/>
            <w:u w:val="single"/>
            <w:rtl/>
          </w:rPr>
          <w:t>סעיף 40ד</w:t>
        </w:r>
      </w:hyperlink>
      <w:r w:rsidR="00C550CD">
        <w:rPr>
          <w:rtl/>
        </w:rPr>
        <w:t xml:space="preserve"> לחוק מאפשר לחרוג לקולא ממתחם הענישה, מטעמים של שיקום הנאשם. </w:t>
      </w:r>
      <w:hyperlink r:id="rId41" w:history="1">
        <w:r w:rsidRPr="00456F14">
          <w:rPr>
            <w:color w:val="0000FF"/>
            <w:u w:val="single"/>
            <w:rtl/>
          </w:rPr>
          <w:t>סעיף 40ה</w:t>
        </w:r>
      </w:hyperlink>
      <w:r w:rsidR="00C550CD">
        <w:rPr>
          <w:rtl/>
        </w:rPr>
        <w:t xml:space="preserve"> מאפשר לחרוג לחומרא ממתחם הענישה, אם קיים חשש ממשי שהנאשם יחזור ויבצע עבירות, ואם החמרה בעונשו והרחקתו מהציבור נדרשות כדי להגן על שלום הציבור. </w:t>
      </w:r>
    </w:p>
    <w:p w14:paraId="7522C2B3" w14:textId="77777777" w:rsidR="00C31195" w:rsidRDefault="00C550CD">
      <w:pPr>
        <w:pStyle w:val="a"/>
        <w:numPr>
          <w:ilvl w:val="0"/>
          <w:numId w:val="0"/>
        </w:numPr>
        <w:ind w:left="720" w:right="0"/>
        <w:jc w:val="both"/>
        <w:rPr>
          <w:sz w:val="26"/>
          <w:szCs w:val="26"/>
        </w:rPr>
      </w:pPr>
      <w:r>
        <w:rPr>
          <w:rtl/>
        </w:rPr>
        <w:t xml:space="preserve">במקרה דנן, לא קיימים שיקולים אשר מצדיקים סטייה מהמתחם, לחומרה או לקולא. </w:t>
      </w:r>
    </w:p>
    <w:p w14:paraId="51944EA7" w14:textId="77777777" w:rsidR="00C31195" w:rsidRDefault="00C550CD">
      <w:pPr>
        <w:pStyle w:val="a0"/>
        <w:numPr>
          <w:ilvl w:val="0"/>
          <w:numId w:val="0"/>
        </w:numPr>
        <w:ind w:left="720"/>
        <w:jc w:val="both"/>
        <w:rPr>
          <w:rStyle w:val="default"/>
          <w:szCs w:val="26"/>
          <w:rtl/>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r>
        <w:rPr>
          <w:rFonts w:hint="eastAsia"/>
          <w:rtl/>
        </w:rPr>
        <w:t>סעיף</w:t>
      </w:r>
      <w:r>
        <w:rPr>
          <w:rtl/>
        </w:rPr>
        <w:t xml:space="preserve"> </w:t>
      </w:r>
      <w:hyperlink r:id="rId42" w:history="1">
        <w:r w:rsidR="00456F14" w:rsidRPr="00456F14">
          <w:rPr>
            <w:color w:val="0000FF"/>
            <w:u w:val="single"/>
            <w:rtl/>
          </w:rPr>
          <w:t>40 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rtl/>
        </w:rPr>
        <w:t>מן הראוי ליתן את הדעת לנסיבות הבאות:</w:t>
      </w:r>
    </w:p>
    <w:p w14:paraId="419A3FCC" w14:textId="77777777" w:rsidR="00C31195" w:rsidRDefault="00C550CD">
      <w:pPr>
        <w:numPr>
          <w:ilvl w:val="0"/>
          <w:numId w:val="4"/>
        </w:numPr>
        <w:spacing w:line="360" w:lineRule="auto"/>
        <w:jc w:val="both"/>
      </w:pPr>
      <w:r>
        <w:rPr>
          <w:rStyle w:val="default"/>
          <w:b/>
          <w:bCs/>
          <w:szCs w:val="26"/>
          <w:u w:val="single"/>
          <w:rtl/>
        </w:rPr>
        <w:t>הפגיעה של העונש בנאשם, לרבות בשל גילו</w:t>
      </w:r>
      <w:r>
        <w:rPr>
          <w:rtl/>
        </w:rPr>
        <w:t xml:space="preserve">- הנאשם בן 23 שנים, נשוי ואב לילד כבן שנה. לחובת הנאשם הרשעה קודמת אחת בגין הפרעה לשוטר במילוי תפקידו. בגין הרשעה זו הושת עליו מאסר על תנאי וקנס כספי. העבירה בוצעה בהיותו בגיר-צעיר-כבן 20. עונש מאסר בפועל בהכרח יפגע בנאשם, וביכולתו לפרנס את משפחתו.  </w:t>
      </w:r>
    </w:p>
    <w:p w14:paraId="558E5ADC" w14:textId="77777777" w:rsidR="00C31195" w:rsidRDefault="00C31195">
      <w:pPr>
        <w:rPr>
          <w:b/>
          <w:bCs/>
          <w:u w:val="single"/>
          <w:rtl/>
        </w:rPr>
      </w:pPr>
    </w:p>
    <w:p w14:paraId="51409D63" w14:textId="77777777" w:rsidR="00C31195" w:rsidRDefault="00C550CD">
      <w:pPr>
        <w:numPr>
          <w:ilvl w:val="0"/>
          <w:numId w:val="4"/>
        </w:numPr>
        <w:spacing w:line="360" w:lineRule="auto"/>
        <w:jc w:val="both"/>
      </w:pPr>
      <w:r>
        <w:rPr>
          <w:b/>
          <w:bCs/>
          <w:u w:val="single"/>
          <w:rtl/>
        </w:rPr>
        <w:t xml:space="preserve">הפגיעה של העונש במשפחתו של הנאשם- </w:t>
      </w:r>
      <w:r>
        <w:rPr>
          <w:rtl/>
        </w:rPr>
        <w:t xml:space="preserve">כאמור, יש בעונש מאסר בפועל כדי לפגוע פגיעה ממשית במשפחתו של הנאשם. פרנסתם של בני המשפחה כולה מוטלת עליו. הנאשם הקים תא משפחתי, לאחר ביצוע העבירה. לנאשם בת זוג, אזרחית גרמניה, המתקשה להשתלב בתרבות ובמדינה. בת זוגו נאלצת לגדל את ילדם המשותף (כבן שנה) בגפה. </w:t>
      </w:r>
    </w:p>
    <w:p w14:paraId="36E2B548" w14:textId="77777777" w:rsidR="00C31195" w:rsidRDefault="00C31195">
      <w:pPr>
        <w:pStyle w:val="ab"/>
        <w:ind w:left="1080"/>
        <w:rPr>
          <w:rtl/>
        </w:rPr>
      </w:pPr>
    </w:p>
    <w:p w14:paraId="32516E96" w14:textId="77777777" w:rsidR="00C31195" w:rsidRDefault="00C550CD">
      <w:pPr>
        <w:numPr>
          <w:ilvl w:val="0"/>
          <w:numId w:val="4"/>
        </w:numPr>
        <w:spacing w:line="360" w:lineRule="auto"/>
        <w:jc w:val="both"/>
        <w:rPr>
          <w:rtl/>
        </w:rPr>
      </w:pPr>
      <w:r>
        <w:rPr>
          <w:b/>
          <w:bCs/>
          <w:u w:val="single"/>
          <w:rtl/>
        </w:rPr>
        <w:t xml:space="preserve">נטילת האחריות של הנאשם על מעשיו- </w:t>
      </w:r>
      <w:r>
        <w:rPr>
          <w:rtl/>
        </w:rPr>
        <w:t xml:space="preserve"> כפי שעולה מתסקירי שירות המבחן, הנאשם נטל אחריות ראשונית להתנהלותו האלימה וכן הביע חרטה וצער על תוצאות האירוע. עם זאת, הודגש כי הנאשם אינו מבין לעומק את החומרה שבהתנהלותו. לפיכך, מסקנת שירות המבחן היא כי קיים צורך בענישה מוחשית, אשר תחדד עבור הנאשם את הגבולות בין מותר לאסור. כן הומלץ על בחינת ריצוי עונשו בכלא שיקומי, ושילובו בטיפול ייעוד בנושא של שליטה בכעסים. בדבריו בפני בית המשפט, הודה הנאשם והתנצל על מעשיו.</w:t>
      </w:r>
    </w:p>
    <w:p w14:paraId="790C4BC0" w14:textId="77777777" w:rsidR="00C31195" w:rsidRDefault="00C31195"/>
    <w:p w14:paraId="67C30E17" w14:textId="77777777" w:rsidR="00C31195" w:rsidRDefault="00C550CD">
      <w:pPr>
        <w:numPr>
          <w:ilvl w:val="0"/>
          <w:numId w:val="6"/>
        </w:numPr>
        <w:spacing w:line="360" w:lineRule="auto"/>
        <w:jc w:val="both"/>
        <w:rPr>
          <w:b/>
          <w:bCs/>
          <w:u w:val="single"/>
        </w:rPr>
      </w:pPr>
      <w:r>
        <w:rPr>
          <w:b/>
          <w:bCs/>
          <w:u w:val="single"/>
          <w:rtl/>
        </w:rPr>
        <w:t>נסיבות חיים קשות של הנאשם</w:t>
      </w:r>
      <w:r>
        <w:rPr>
          <w:b/>
          <w:bCs/>
          <w:rtl/>
        </w:rPr>
        <w:t xml:space="preserve">- </w:t>
      </w:r>
      <w:r>
        <w:rPr>
          <w:rtl/>
        </w:rPr>
        <w:t>הנאשם גדל במציאות קשה ומורכבת. בהיותו בן 9, נרצח אביו על ידי גורמים עברייניים, במסגרת סכסוך בין משפחות. לאורך השנים, חש מאוים על ידי גורמים עברייניים שהיו מעורבים ברצח אביו.</w:t>
      </w:r>
    </w:p>
    <w:p w14:paraId="4100869C" w14:textId="77777777" w:rsidR="00C31195" w:rsidRDefault="00C31195">
      <w:pPr>
        <w:ind w:left="984"/>
        <w:rPr>
          <w:b/>
          <w:bCs/>
          <w:u w:val="single"/>
        </w:rPr>
      </w:pPr>
    </w:p>
    <w:p w14:paraId="4C38EAFC" w14:textId="77777777" w:rsidR="00C31195" w:rsidRDefault="00C550CD">
      <w:pPr>
        <w:numPr>
          <w:ilvl w:val="0"/>
          <w:numId w:val="6"/>
        </w:numPr>
        <w:spacing w:line="360" w:lineRule="auto"/>
        <w:jc w:val="both"/>
        <w:rPr>
          <w:b/>
          <w:bCs/>
          <w:u w:val="single"/>
        </w:rPr>
      </w:pPr>
      <w:r>
        <w:rPr>
          <w:b/>
          <w:bCs/>
          <w:u w:val="single"/>
          <w:rtl/>
        </w:rPr>
        <w:t>קיומו או העדרו של עבר פלילי</w:t>
      </w:r>
      <w:r>
        <w:rPr>
          <w:rtl/>
        </w:rPr>
        <w:t xml:space="preserve">- כמפורט לעיל, לנאשם עבר פלילי שאינו מכביד. לחובתו הרשעה קודמת אחת בגין עבירה של הפרעה לשוטר במילוי תפקידו. הנאשם נידון למאסר על תנאי. חרף זאת, לא חשש מביצוע העבירות מושא כתב האישום. לפיכך, בנסיבות דנן, אין מנוס מהטלת עונש מאסר ממשי על הנאשם. </w:t>
      </w:r>
    </w:p>
    <w:p w14:paraId="3E9B96FF" w14:textId="77777777" w:rsidR="00C31195" w:rsidRDefault="00C31195">
      <w:pPr>
        <w:ind w:left="984"/>
        <w:rPr>
          <w:b/>
          <w:bCs/>
          <w:u w:val="single"/>
          <w:rtl/>
        </w:rPr>
      </w:pPr>
    </w:p>
    <w:p w14:paraId="71FC791E" w14:textId="77777777" w:rsidR="00C31195" w:rsidRDefault="00C550CD">
      <w:pPr>
        <w:spacing w:line="360" w:lineRule="auto"/>
        <w:rPr>
          <w:b/>
          <w:bCs/>
          <w:u w:val="single"/>
          <w:rtl/>
        </w:rPr>
      </w:pPr>
      <w:r>
        <w:rPr>
          <w:b/>
          <w:bCs/>
          <w:u w:val="single"/>
          <w:rtl/>
        </w:rPr>
        <w:t>נסיבות נוספות</w:t>
      </w:r>
    </w:p>
    <w:p w14:paraId="7DBF74D9" w14:textId="77777777" w:rsidR="00C31195" w:rsidRDefault="00C550CD">
      <w:pPr>
        <w:spacing w:line="360" w:lineRule="auto"/>
        <w:jc w:val="both"/>
        <w:rPr>
          <w:rtl/>
        </w:rPr>
      </w:pPr>
      <w:r>
        <w:rPr>
          <w:rtl/>
        </w:rPr>
        <w:t xml:space="preserve">ראיתי לזקוף לחובת הנאשם את חומרת העבירה ואת הפגיעה בגופו של המתלונן. הנאשם פעל בחופזה ובאימפולסיביות, עת בחר לפתור סכסוך בדרכי אלימות, תוך שימוש בנשק חם, מבלי לחשוב על תוצאות מעשיו. האירוע יכול היה להסתיים בתוצאות קשות יותר מכפי שנסתיים בפועל. </w:t>
      </w:r>
    </w:p>
    <w:p w14:paraId="34F299E6" w14:textId="77777777" w:rsidR="00C31195" w:rsidRDefault="00C31195">
      <w:pPr>
        <w:rPr>
          <w:rtl/>
        </w:rPr>
      </w:pPr>
    </w:p>
    <w:p w14:paraId="5A06EA24" w14:textId="77777777" w:rsidR="00C31195" w:rsidRDefault="00C550CD">
      <w:pPr>
        <w:spacing w:line="360" w:lineRule="auto"/>
        <w:jc w:val="both"/>
        <w:rPr>
          <w:rtl/>
        </w:rPr>
      </w:pPr>
      <w:r>
        <w:rPr>
          <w:rtl/>
        </w:rPr>
        <w:t xml:space="preserve">לקולת העונש, ראיתי לזקוף את העובדה כי מדובר באירוע ספונטני, אשר לא קדם לו תכנון מוקדם מצד הנאשם; את גילו של הנאשם בעת ביצוע העבירה (בגיר-צעיר) ונסיבותיו האישיות, לרבות נסיבות חייו הקשות; עברו הפלילי הקל; העובדה כי הנאשם הודה לאחר שכתב האישון תוקן, הביע חרטה וצער על מעשיו, וכן העובדה כי המאסר הנוכחי יהא מאסרו הראשון מאחורי סורג ובריח.   </w:t>
      </w:r>
    </w:p>
    <w:p w14:paraId="56513BE5" w14:textId="77777777" w:rsidR="00C31195" w:rsidRDefault="00C31195">
      <w:pPr>
        <w:rPr>
          <w:rtl/>
        </w:rPr>
      </w:pPr>
    </w:p>
    <w:p w14:paraId="0573B1B6" w14:textId="77777777" w:rsidR="00C31195" w:rsidRDefault="00C550CD" w:rsidP="00FC3443">
      <w:pPr>
        <w:spacing w:line="360" w:lineRule="auto"/>
        <w:jc w:val="both"/>
        <w:rPr>
          <w:rtl/>
        </w:rPr>
      </w:pPr>
      <w:r>
        <w:rPr>
          <w:rtl/>
        </w:rPr>
        <w:t>עוד ראיתי להתחשב, כנסיבה לקולה, בעובדה שנערך בין הצדדים הסכם סולחה ביום 15.1.</w:t>
      </w:r>
      <w:r w:rsidR="00FC3443">
        <w:rPr>
          <w:rFonts w:hint="cs"/>
          <w:rtl/>
        </w:rPr>
        <w:t>20</w:t>
      </w:r>
      <w:r>
        <w:rPr>
          <w:rtl/>
        </w:rPr>
        <w:t xml:space="preserve">15. להסכם סולחה, שמור מעמד ממשי בשיקולי הענישה שבית המשפט שוקל בבואו לגזור את הדין (רון </w:t>
      </w:r>
      <w:hyperlink r:id="rId43" w:history="1">
        <w:r w:rsidRPr="00C550CD">
          <w:rPr>
            <w:rStyle w:val="Hyperlink"/>
            <w:rtl/>
          </w:rPr>
          <w:t>שפירא הגיעה העת לסולחה,</w:t>
        </w:r>
      </w:hyperlink>
      <w:r>
        <w:rPr>
          <w:rtl/>
        </w:rPr>
        <w:t xml:space="preserve"> הפרקליט מח 433, תשס"ו; </w:t>
      </w:r>
      <w:hyperlink r:id="rId44" w:history="1">
        <w:r w:rsidR="007C1E92" w:rsidRPr="007C1E92">
          <w:rPr>
            <w:color w:val="0000FF"/>
            <w:u w:val="single"/>
            <w:rtl/>
          </w:rPr>
          <w:t>ת"פ (נצרת) 1064/07</w:t>
        </w:r>
      </w:hyperlink>
      <w:r>
        <w:rPr>
          <w:rtl/>
        </w:rPr>
        <w:t xml:space="preserve"> </w:t>
      </w:r>
      <w:r>
        <w:rPr>
          <w:b/>
          <w:bCs/>
          <w:rtl/>
        </w:rPr>
        <w:t>מדינת ישראל נ' שחאדה</w:t>
      </w:r>
      <w:r>
        <w:rPr>
          <w:rtl/>
        </w:rPr>
        <w:t xml:space="preserve"> (</w:t>
      </w:r>
      <w:r w:rsidR="00FC3443">
        <w:rPr>
          <w:rFonts w:hint="cs"/>
          <w:rtl/>
        </w:rPr>
        <w:t xml:space="preserve">פורסם בנבו, </w:t>
      </w:r>
      <w:r>
        <w:rPr>
          <w:rtl/>
        </w:rPr>
        <w:t xml:space="preserve">2008); </w:t>
      </w:r>
      <w:hyperlink r:id="rId45" w:history="1">
        <w:r w:rsidRPr="00C550CD">
          <w:rPr>
            <w:rStyle w:val="Hyperlink"/>
            <w:rtl/>
          </w:rPr>
          <w:t>תפ"ח (חיפה) 5048/08</w:t>
        </w:r>
      </w:hyperlink>
      <w:r>
        <w:rPr>
          <w:rtl/>
        </w:rPr>
        <w:t xml:space="preserve"> </w:t>
      </w:r>
      <w:r>
        <w:rPr>
          <w:b/>
          <w:bCs/>
          <w:rtl/>
        </w:rPr>
        <w:t>מדינת ישראל נ' ריאן</w:t>
      </w:r>
      <w:r>
        <w:rPr>
          <w:rtl/>
        </w:rPr>
        <w:t xml:space="preserve"> (</w:t>
      </w:r>
      <w:r w:rsidR="00FC3443" w:rsidRPr="00FC3443">
        <w:rPr>
          <w:rFonts w:hint="cs"/>
          <w:rtl/>
        </w:rPr>
        <w:t xml:space="preserve"> </w:t>
      </w:r>
      <w:r w:rsidR="00FC3443">
        <w:rPr>
          <w:rFonts w:hint="cs"/>
          <w:rtl/>
        </w:rPr>
        <w:t xml:space="preserve">פורסם בנבו, </w:t>
      </w:r>
      <w:r>
        <w:rPr>
          <w:rtl/>
        </w:rPr>
        <w:t>2009)).</w:t>
      </w:r>
    </w:p>
    <w:p w14:paraId="42754DB6" w14:textId="77777777" w:rsidR="00C31195" w:rsidRDefault="00C31195">
      <w:pPr>
        <w:rPr>
          <w:rtl/>
        </w:rPr>
      </w:pPr>
    </w:p>
    <w:p w14:paraId="29331A9B" w14:textId="77777777" w:rsidR="00C31195" w:rsidRDefault="00C550CD" w:rsidP="00FC3443">
      <w:pPr>
        <w:snapToGrid w:val="0"/>
        <w:spacing w:line="360" w:lineRule="auto"/>
        <w:jc w:val="both"/>
        <w:rPr>
          <w:rtl/>
        </w:rPr>
      </w:pPr>
      <w:r>
        <w:rPr>
          <w:rtl/>
        </w:rPr>
        <w:t>כך למשל, ב-</w:t>
      </w:r>
      <w:hyperlink r:id="rId46" w:history="1">
        <w:r w:rsidRPr="00C550CD">
          <w:rPr>
            <w:rStyle w:val="Hyperlink"/>
            <w:rtl/>
          </w:rPr>
          <w:t>ע"פ 7126/04</w:t>
        </w:r>
      </w:hyperlink>
      <w:r>
        <w:rPr>
          <w:rtl/>
        </w:rPr>
        <w:t xml:space="preserve"> </w:t>
      </w:r>
      <w:r>
        <w:rPr>
          <w:b/>
          <w:bCs/>
          <w:rtl/>
        </w:rPr>
        <w:t>גדיר נ' מדינת ישראל</w:t>
      </w:r>
      <w:r>
        <w:rPr>
          <w:rtl/>
        </w:rPr>
        <w:t xml:space="preserve"> (</w:t>
      </w:r>
      <w:r w:rsidR="00FC3443">
        <w:rPr>
          <w:rFonts w:hint="cs"/>
          <w:rtl/>
        </w:rPr>
        <w:t xml:space="preserve">פורסם בנבו, </w:t>
      </w:r>
      <w:r>
        <w:rPr>
          <w:rtl/>
        </w:rPr>
        <w:t>2005), הפחית בית המשפט העליון, בדעת רוב, מעונשם של המערערים, שנאשמו בעבירות אלימות חמורות, בשל הסכם סולחה שנערך בין בני המשפחה הניצים, מתוך מטרה לשמור על המרקם העדין והשברירי שנוצר מאז הפיוס בין הצדדים.</w:t>
      </w:r>
    </w:p>
    <w:p w14:paraId="28907DD5" w14:textId="77777777" w:rsidR="00C31195" w:rsidRDefault="00C31195">
      <w:pPr>
        <w:snapToGrid w:val="0"/>
        <w:rPr>
          <w:rtl/>
        </w:rPr>
      </w:pPr>
    </w:p>
    <w:p w14:paraId="4A381FD5" w14:textId="77777777" w:rsidR="00C31195" w:rsidRDefault="00C550CD" w:rsidP="00FC3443">
      <w:pPr>
        <w:snapToGrid w:val="0"/>
        <w:spacing w:line="360" w:lineRule="auto"/>
        <w:jc w:val="both"/>
        <w:rPr>
          <w:rtl/>
        </w:rPr>
      </w:pPr>
      <w:r>
        <w:rPr>
          <w:rtl/>
        </w:rPr>
        <w:t>אף אם הסכם הסולחה, כשלעצמו, אינו בגדר שיקול מכריע במסגרת שיקולי הענישה, הרי שיש לתת לו את המשקל המתחייב בנסיבותיו של כל מקרה ומקרה (</w:t>
      </w:r>
      <w:hyperlink r:id="rId47" w:history="1">
        <w:r w:rsidRPr="00C550CD">
          <w:rPr>
            <w:rStyle w:val="Hyperlink"/>
            <w:rtl/>
          </w:rPr>
          <w:t>דנ"פ 3261/03</w:t>
        </w:r>
      </w:hyperlink>
      <w:r>
        <w:rPr>
          <w:rtl/>
        </w:rPr>
        <w:t xml:space="preserve"> </w:t>
      </w:r>
      <w:r>
        <w:rPr>
          <w:b/>
          <w:bCs/>
          <w:rtl/>
        </w:rPr>
        <w:t>סרחאן נ' מדינת ישראל</w:t>
      </w:r>
      <w:r>
        <w:rPr>
          <w:rtl/>
        </w:rPr>
        <w:t xml:space="preserve"> (</w:t>
      </w:r>
      <w:r w:rsidR="00FC3443">
        <w:rPr>
          <w:rFonts w:hint="cs"/>
          <w:rtl/>
        </w:rPr>
        <w:t xml:space="preserve">פורסם בנבו, </w:t>
      </w:r>
      <w:r>
        <w:rPr>
          <w:rtl/>
        </w:rPr>
        <w:t xml:space="preserve">2003)). </w:t>
      </w:r>
    </w:p>
    <w:p w14:paraId="662A04D8" w14:textId="77777777" w:rsidR="00C31195" w:rsidRDefault="00C31195">
      <w:pPr>
        <w:snapToGrid w:val="0"/>
        <w:rPr>
          <w:rtl/>
        </w:rPr>
      </w:pPr>
    </w:p>
    <w:p w14:paraId="7508C3D5" w14:textId="77777777" w:rsidR="00C31195" w:rsidRDefault="00C550CD">
      <w:pPr>
        <w:spacing w:line="360" w:lineRule="auto"/>
        <w:jc w:val="both"/>
        <w:rPr>
          <w:rtl/>
        </w:rPr>
      </w:pPr>
      <w:r>
        <w:rPr>
          <w:rtl/>
        </w:rPr>
        <w:t>בנסיבות העניין שלפנינו, יש לברך על השגתו של הסכם הסולחה, אשר מטרתו להביא לסיום הסכסוך בין המשפחות בכלל, ובין הצדדים בפרט, ולאפשר קיומם של יחסים טובים ושלווים בין המשפחות. לפיכך, יש להתחשב בעריכת הסולחה בעת גזירת הדין ובקביעת העונש הראוי.</w:t>
      </w:r>
    </w:p>
    <w:p w14:paraId="6C4DBBC3" w14:textId="77777777" w:rsidR="00C31195" w:rsidRDefault="00C31195">
      <w:pPr>
        <w:rPr>
          <w:rtl/>
        </w:rPr>
      </w:pPr>
    </w:p>
    <w:p w14:paraId="7D290B91" w14:textId="77777777" w:rsidR="00C31195" w:rsidRDefault="00C550CD">
      <w:pPr>
        <w:spacing w:line="360" w:lineRule="auto"/>
        <w:jc w:val="both"/>
        <w:rPr>
          <w:rtl/>
        </w:rPr>
      </w:pPr>
      <w:r>
        <w:rPr>
          <w:rStyle w:val="default"/>
          <w:rtl/>
        </w:rPr>
        <w:t>באיזון בין השיקולים השונים, לרבות שיקולי הרתעת היחיד והרתעת הרבים, ראיתי לגזור על הנאשם מאסר בפועל ממשי.</w:t>
      </w:r>
    </w:p>
    <w:p w14:paraId="2AADB0E3" w14:textId="77777777" w:rsidR="00C31195" w:rsidRDefault="00C31195">
      <w:pPr>
        <w:pStyle w:val="a0"/>
        <w:numPr>
          <w:ilvl w:val="0"/>
          <w:numId w:val="0"/>
        </w:numPr>
        <w:ind w:left="720"/>
        <w:jc w:val="both"/>
        <w:rPr>
          <w:rtl/>
        </w:rPr>
      </w:pPr>
    </w:p>
    <w:p w14:paraId="6467CE01" w14:textId="77777777" w:rsidR="00C31195" w:rsidRDefault="00C550CD">
      <w:pPr>
        <w:pStyle w:val="a0"/>
        <w:numPr>
          <w:ilvl w:val="0"/>
          <w:numId w:val="0"/>
        </w:numPr>
        <w:ind w:left="720" w:hanging="720"/>
        <w:jc w:val="both"/>
        <w:rPr>
          <w:rtl/>
        </w:rPr>
      </w:pPr>
      <w:r>
        <w:rPr>
          <w:rFonts w:hint="eastAsia"/>
          <w:rtl/>
        </w:rPr>
        <w:t>כפי</w:t>
      </w:r>
      <w:r>
        <w:rPr>
          <w:rtl/>
        </w:rPr>
        <w:t xml:space="preserve"> </w:t>
      </w:r>
      <w:r>
        <w:rPr>
          <w:rFonts w:hint="eastAsia"/>
          <w:rtl/>
        </w:rPr>
        <w:t>שקבעתי</w:t>
      </w:r>
      <w:r>
        <w:rPr>
          <w:rtl/>
        </w:rPr>
        <w:t xml:space="preserve"> </w:t>
      </w:r>
      <w:r>
        <w:rPr>
          <w:rFonts w:hint="eastAsia"/>
          <w:rtl/>
        </w:rPr>
        <w:t>מעלה</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הראוי</w:t>
      </w:r>
      <w:r>
        <w:rPr>
          <w:rtl/>
        </w:rPr>
        <w:t xml:space="preserve"> </w:t>
      </w:r>
      <w:r>
        <w:rPr>
          <w:rFonts w:hint="eastAsia"/>
          <w:rtl/>
        </w:rPr>
        <w:t>הוא</w:t>
      </w:r>
      <w:r>
        <w:rPr>
          <w:rtl/>
        </w:rPr>
        <w:t xml:space="preserve"> </w:t>
      </w:r>
      <w:r>
        <w:rPr>
          <w:rFonts w:hint="eastAsia"/>
          <w:rtl/>
        </w:rPr>
        <w:t>בין</w:t>
      </w:r>
      <w:r>
        <w:rPr>
          <w:rtl/>
        </w:rPr>
        <w:t xml:space="preserve"> 21 </w:t>
      </w:r>
      <w:r>
        <w:rPr>
          <w:rFonts w:hint="eastAsia"/>
          <w:rtl/>
        </w:rPr>
        <w:t>חודשים</w:t>
      </w:r>
      <w:r>
        <w:rPr>
          <w:rtl/>
        </w:rPr>
        <w:t xml:space="preserve"> </w:t>
      </w:r>
      <w:r>
        <w:rPr>
          <w:rFonts w:hint="eastAsia"/>
          <w:rtl/>
        </w:rPr>
        <w:t>ל</w:t>
      </w:r>
      <w:r>
        <w:rPr>
          <w:rtl/>
        </w:rPr>
        <w:t xml:space="preserve">-4 </w:t>
      </w:r>
      <w:r>
        <w:rPr>
          <w:rFonts w:hint="eastAsia"/>
          <w:rtl/>
        </w:rPr>
        <w:t>שנים</w:t>
      </w:r>
      <w:r>
        <w:rPr>
          <w:rtl/>
        </w:rPr>
        <w:t>.</w:t>
      </w:r>
    </w:p>
    <w:p w14:paraId="7D56D886" w14:textId="77777777" w:rsidR="00C31195" w:rsidRDefault="00C31195">
      <w:pPr>
        <w:pStyle w:val="a0"/>
        <w:numPr>
          <w:ilvl w:val="0"/>
          <w:numId w:val="0"/>
        </w:numPr>
        <w:ind w:left="720" w:hanging="720"/>
        <w:jc w:val="both"/>
        <w:rPr>
          <w:rtl/>
        </w:rPr>
      </w:pPr>
    </w:p>
    <w:p w14:paraId="07BD768F" w14:textId="77777777" w:rsidR="00C31195" w:rsidRDefault="00C550CD">
      <w:pPr>
        <w:spacing w:after="120" w:line="360" w:lineRule="auto"/>
        <w:jc w:val="both"/>
        <w:rPr>
          <w:rtl/>
        </w:rPr>
      </w:pPr>
      <w:r>
        <w:rPr>
          <w:rtl/>
        </w:rPr>
        <w:t xml:space="preserve">כאן המקום להדגיש כי </w:t>
      </w:r>
      <w:r>
        <w:rPr>
          <w:rFonts w:ascii="Times" w:hAnsi="Times"/>
          <w:rtl/>
        </w:rPr>
        <w:t xml:space="preserve">עיון בפסיקה שצירפה המאשימה מלמד על כך שפסיקה זו עוסקת במקרים ובנסיבות שונות מאלה שבענייננו. כך למשל </w:t>
      </w:r>
      <w:hyperlink r:id="rId48" w:history="1">
        <w:r w:rsidRPr="00C550CD">
          <w:rPr>
            <w:rStyle w:val="Hyperlink"/>
            <w:rFonts w:ascii="Times" w:hAnsi="Times"/>
            <w:rtl/>
          </w:rPr>
          <w:t>ת"פ 51546-06-11</w:t>
        </w:r>
      </w:hyperlink>
      <w:r>
        <w:rPr>
          <w:rFonts w:ascii="Times" w:hAnsi="Times"/>
          <w:rtl/>
        </w:rPr>
        <w:t xml:space="preserve"> </w:t>
      </w:r>
      <w:r>
        <w:rPr>
          <w:rFonts w:ascii="Times" w:hAnsi="Times"/>
          <w:b/>
          <w:bCs/>
          <w:rtl/>
        </w:rPr>
        <w:t>מדינת ישראל נ' זוהיר חאלד</w:t>
      </w:r>
      <w:r>
        <w:rPr>
          <w:rFonts w:ascii="Times" w:hAnsi="Times"/>
          <w:rtl/>
        </w:rPr>
        <w:t xml:space="preserve"> (</w:t>
      </w:r>
      <w:r w:rsidR="00FC3443">
        <w:rPr>
          <w:rFonts w:ascii="Times" w:hAnsi="Times" w:hint="cs"/>
          <w:rtl/>
        </w:rPr>
        <w:t xml:space="preserve">פורסם בנבו, </w:t>
      </w:r>
      <w:r>
        <w:rPr>
          <w:rFonts w:ascii="Times" w:hAnsi="Times"/>
          <w:rtl/>
        </w:rPr>
        <w:t>28.5.</w:t>
      </w:r>
      <w:r w:rsidR="00FC3443">
        <w:rPr>
          <w:rFonts w:ascii="Times" w:hAnsi="Times" w:hint="cs"/>
          <w:rtl/>
        </w:rPr>
        <w:t>20</w:t>
      </w:r>
      <w:r>
        <w:rPr>
          <w:rFonts w:ascii="Times" w:hAnsi="Times"/>
          <w:rtl/>
        </w:rPr>
        <w:t xml:space="preserve">12) אליו הפנתה המאשימה עניינו בנאשם שהורשע בעבירת חבלה חמורה בנסיבות מחמירות ונשיאת נשק, לאחר שהנאשם הגיע עם אדם נוסף למקום עבודתו של המתלונן, רדף יחד עם אדם נוסף אחר המתלונן, ירה בו, והמתלונן נפל ארצה. בשלב זה הגיע למקום אדם נוסף אשר דחף את הנאשם הצידה. רק אז עזב הנאשם את המקום. במקרה זה, קדם תכנון מוקדם מצד הנאשם, לפגוע במתלונן, ולשם כך הצטייד באקדח. אין זה המקרה שלפניי, ואינני מקלה ראש בחומרת מעשיו של הנאשם. עם זאת, הנאשם בענייננו, פעל באופן ספונטני, ללא תכנון מוקדם, ומתוך תחושת פחד סובייקטיבית. כך גם </w:t>
      </w:r>
      <w:hyperlink r:id="rId49" w:history="1">
        <w:r w:rsidRPr="00C550CD">
          <w:rPr>
            <w:rStyle w:val="Hyperlink"/>
            <w:rFonts w:ascii="Times" w:hAnsi="Times"/>
            <w:rtl/>
          </w:rPr>
          <w:t>ע"פ 6163/09</w:t>
        </w:r>
      </w:hyperlink>
      <w:r>
        <w:rPr>
          <w:rFonts w:ascii="Times" w:hAnsi="Times"/>
          <w:rtl/>
        </w:rPr>
        <w:t xml:space="preserve"> </w:t>
      </w:r>
      <w:r>
        <w:rPr>
          <w:rFonts w:ascii="Times" w:hAnsi="Times"/>
          <w:b/>
          <w:bCs/>
          <w:rtl/>
        </w:rPr>
        <w:t>מדינת ישראל נ' קיאל קשאש</w:t>
      </w:r>
      <w:r>
        <w:rPr>
          <w:rFonts w:ascii="Times" w:hAnsi="Times"/>
          <w:rtl/>
        </w:rPr>
        <w:t xml:space="preserve"> (</w:t>
      </w:r>
      <w:r w:rsidR="00FC3443">
        <w:rPr>
          <w:rFonts w:ascii="Times" w:hAnsi="Times" w:hint="cs"/>
          <w:rtl/>
        </w:rPr>
        <w:t xml:space="preserve">פורסם בנבו, </w:t>
      </w:r>
      <w:r>
        <w:rPr>
          <w:rFonts w:ascii="Times" w:hAnsi="Times"/>
          <w:rtl/>
        </w:rPr>
        <w:t>1.12.</w:t>
      </w:r>
      <w:r w:rsidR="00FC3443">
        <w:rPr>
          <w:rFonts w:ascii="Times" w:hAnsi="Times" w:hint="cs"/>
          <w:rtl/>
        </w:rPr>
        <w:t>20</w:t>
      </w:r>
      <w:r>
        <w:rPr>
          <w:rFonts w:ascii="Times" w:hAnsi="Times"/>
          <w:rtl/>
        </w:rPr>
        <w:t xml:space="preserve">09) אליו הפנתה המאשימה שונה בנסיבותיו. </w:t>
      </w:r>
      <w:r>
        <w:rPr>
          <w:rtl/>
        </w:rPr>
        <w:t xml:space="preserve">בית המשפט העליון הדגיש כי </w:t>
      </w:r>
      <w:r>
        <w:rPr>
          <w:rFonts w:ascii="Arial TUR" w:hAnsi="Arial TUR"/>
          <w:rtl/>
        </w:rPr>
        <w:t xml:space="preserve">חרף גילו הצעיר הספיק הנאשם להסתבך בעבירת נשק בעבר לא רחוק , נענש עונש קל יחסית, אולם מיהר לחזור לסורו (כחצי שנה לאחר שנגזר דינו בגין עבירת נשק קודמת). הנאשם קשר קשר עם אחר, לפגוע במתלונן, וכן לאחר תכנון מוקדם ובסיוע אדם אחר, ארבו השניים למתלונן והנאשם ירה בו. בנסיבות אלו, קבע בית המשפט העליון שיש מקום להחמיר בעונשו, והעמידו על 4 שנים. </w:t>
      </w:r>
      <w:r>
        <w:rPr>
          <w:rtl/>
        </w:rPr>
        <w:t xml:space="preserve">בנסיבות </w:t>
      </w:r>
      <w:r>
        <w:rPr>
          <w:rFonts w:ascii="Times" w:hAnsi="Times"/>
          <w:rtl/>
        </w:rPr>
        <w:t xml:space="preserve">כאמור, נסיבות אלה שונות בתכלית מנסיבות המקרה שבפניי. </w:t>
      </w:r>
    </w:p>
    <w:p w14:paraId="0A79F264" w14:textId="77777777" w:rsidR="00C31195" w:rsidRDefault="00C31195">
      <w:pPr>
        <w:spacing w:after="120"/>
        <w:rPr>
          <w:rtl/>
        </w:rPr>
      </w:pPr>
    </w:p>
    <w:p w14:paraId="0354A0C7" w14:textId="77777777" w:rsidR="00C31195" w:rsidRDefault="00C550CD">
      <w:pPr>
        <w:spacing w:after="120" w:line="360" w:lineRule="auto"/>
        <w:jc w:val="both"/>
        <w:rPr>
          <w:rtl/>
        </w:rPr>
      </w:pPr>
      <w:r>
        <w:rPr>
          <w:rtl/>
        </w:rPr>
        <w:t xml:space="preserve">עוד </w:t>
      </w:r>
      <w:r>
        <w:rPr>
          <w:rFonts w:hint="cs"/>
          <w:rtl/>
        </w:rPr>
        <w:t>יודגש</w:t>
      </w:r>
      <w:r>
        <w:rPr>
          <w:rtl/>
        </w:rPr>
        <w:t xml:space="preserve">, כי ראיתי לקבל את המלצת שירות המבחן לאפשר ריצוי עונשו של הנאשם בכלא שיקומי. לפיכך, אני קובעת כי עונש המאסר אשר יושת על הנאשם להלן, ירוצה בכלא שיקומי.  </w:t>
      </w:r>
    </w:p>
    <w:p w14:paraId="60A8997B" w14:textId="77777777" w:rsidR="00C31195" w:rsidRDefault="00C31195">
      <w:pPr>
        <w:pStyle w:val="aa"/>
        <w:rPr>
          <w:rtl/>
        </w:rPr>
      </w:pPr>
    </w:p>
    <w:p w14:paraId="3F14DD73" w14:textId="77777777" w:rsidR="00C31195" w:rsidRPr="000E3409" w:rsidRDefault="00C550CD">
      <w:pPr>
        <w:pStyle w:val="aa"/>
        <w:ind w:left="26"/>
        <w:rPr>
          <w:rFonts w:ascii="David" w:hAnsi="David" w:cs="David"/>
          <w:sz w:val="24"/>
          <w:szCs w:val="24"/>
          <w:rtl/>
        </w:rPr>
      </w:pPr>
      <w:r w:rsidRPr="000E3409">
        <w:rPr>
          <w:rFonts w:ascii="David" w:hAnsi="David" w:cs="David"/>
          <w:sz w:val="24"/>
          <w:szCs w:val="24"/>
          <w:rtl/>
        </w:rPr>
        <w:t>סוף דבר, לאחר שנתתי דעתי למכלול שיקולי הענישה ובראשם שיקול ההלימה, ולאחר בחינת כל השיקולים והנסיבות, אני גוזרת על הנאשם את העונשים הבאים:</w:t>
      </w:r>
    </w:p>
    <w:p w14:paraId="1E80667C" w14:textId="77777777" w:rsidR="00C31195" w:rsidRDefault="00C31195">
      <w:pPr>
        <w:spacing w:line="480" w:lineRule="auto"/>
        <w:rPr>
          <w:rtl/>
        </w:rPr>
      </w:pPr>
    </w:p>
    <w:p w14:paraId="3EE8777E" w14:textId="77777777" w:rsidR="00C31195" w:rsidRDefault="00C550CD">
      <w:pPr>
        <w:pStyle w:val="a"/>
        <w:numPr>
          <w:ilvl w:val="0"/>
          <w:numId w:val="5"/>
        </w:numPr>
        <w:ind w:right="0"/>
        <w:jc w:val="both"/>
        <w:rPr>
          <w:b/>
          <w:bCs/>
          <w:rtl/>
          <w:lang w:eastAsia="he-IL"/>
        </w:rPr>
      </w:pPr>
      <w:r>
        <w:rPr>
          <w:b/>
          <w:bCs/>
          <w:rtl/>
          <w:lang w:eastAsia="he-IL"/>
        </w:rPr>
        <w:t>מאסר בפועל למשך 36 חודשים, בניכוי ימי מעצרו מיום 10.7.</w:t>
      </w:r>
      <w:r w:rsidR="00FC3443">
        <w:rPr>
          <w:rFonts w:hint="cs"/>
          <w:b/>
          <w:bCs/>
          <w:rtl/>
          <w:lang w:eastAsia="he-IL"/>
        </w:rPr>
        <w:t>20</w:t>
      </w:r>
      <w:r>
        <w:rPr>
          <w:b/>
          <w:bCs/>
          <w:rtl/>
          <w:lang w:eastAsia="he-IL"/>
        </w:rPr>
        <w:t>14</w:t>
      </w:r>
    </w:p>
    <w:p w14:paraId="773CEB72" w14:textId="77777777" w:rsidR="00C31195" w:rsidRDefault="00C550CD">
      <w:pPr>
        <w:pStyle w:val="a"/>
        <w:numPr>
          <w:ilvl w:val="0"/>
          <w:numId w:val="5"/>
        </w:numPr>
        <w:ind w:right="0"/>
        <w:jc w:val="both"/>
        <w:rPr>
          <w:b/>
          <w:bCs/>
          <w:lang w:eastAsia="he-IL"/>
        </w:rPr>
      </w:pPr>
      <w:r>
        <w:rPr>
          <w:b/>
          <w:bCs/>
          <w:rtl/>
        </w:rPr>
        <w:t>18 חודשי מאסר על תנאי למשך 3 שנים מיום שחרורו, והתנאי הוא שלא יעבור עבירה מן העבירות שבהן הורשע.</w:t>
      </w:r>
    </w:p>
    <w:p w14:paraId="772169F9" w14:textId="77777777" w:rsidR="00C31195" w:rsidRDefault="00C550CD">
      <w:pPr>
        <w:pStyle w:val="a"/>
        <w:numPr>
          <w:ilvl w:val="0"/>
          <w:numId w:val="5"/>
        </w:numPr>
        <w:ind w:right="0"/>
        <w:jc w:val="both"/>
        <w:rPr>
          <w:b/>
          <w:bCs/>
          <w:lang w:eastAsia="he-IL"/>
        </w:rPr>
      </w:pPr>
      <w:r>
        <w:rPr>
          <w:b/>
          <w:bCs/>
          <w:rtl/>
        </w:rPr>
        <w:t xml:space="preserve">הנאשם ישלם למועאד פיצוי בסך 4,000  ₪, סכום זה יופקד בקופת בית המשפט עד ליום </w:t>
      </w:r>
      <w:r>
        <w:rPr>
          <w:rFonts w:hint="cs"/>
          <w:b/>
          <w:bCs/>
          <w:rtl/>
        </w:rPr>
        <w:t>1.9</w:t>
      </w:r>
      <w:r>
        <w:rPr>
          <w:b/>
          <w:bCs/>
          <w:rtl/>
        </w:rPr>
        <w:t>.</w:t>
      </w:r>
      <w:r w:rsidR="00FC3443">
        <w:rPr>
          <w:rFonts w:hint="cs"/>
          <w:b/>
          <w:bCs/>
          <w:rtl/>
        </w:rPr>
        <w:t>20</w:t>
      </w:r>
      <w:r>
        <w:rPr>
          <w:b/>
          <w:bCs/>
          <w:rtl/>
        </w:rPr>
        <w:t>15.</w:t>
      </w:r>
    </w:p>
    <w:p w14:paraId="57EB7582" w14:textId="77777777" w:rsidR="00C31195" w:rsidRDefault="00C31195">
      <w:pPr>
        <w:pStyle w:val="a"/>
        <w:numPr>
          <w:ilvl w:val="0"/>
          <w:numId w:val="0"/>
        </w:numPr>
        <w:ind w:left="360" w:right="0" w:hanging="360"/>
        <w:jc w:val="both"/>
        <w:rPr>
          <w:b/>
          <w:bCs/>
          <w:lang w:eastAsia="he-IL"/>
        </w:rPr>
      </w:pPr>
    </w:p>
    <w:p w14:paraId="7F07E665" w14:textId="77777777" w:rsidR="00C31195" w:rsidRDefault="00C550CD">
      <w:pPr>
        <w:pStyle w:val="a"/>
        <w:numPr>
          <w:ilvl w:val="0"/>
          <w:numId w:val="0"/>
        </w:numPr>
        <w:ind w:right="0" w:firstLine="720"/>
        <w:jc w:val="both"/>
        <w:rPr>
          <w:b/>
          <w:bCs/>
          <w:u w:val="single"/>
          <w:rtl/>
          <w:lang w:eastAsia="he-IL"/>
        </w:rPr>
      </w:pPr>
      <w:r>
        <w:rPr>
          <w:b/>
          <w:bCs/>
          <w:u w:val="single"/>
          <w:rtl/>
          <w:lang w:eastAsia="he-IL"/>
        </w:rPr>
        <w:t>זכות ערעור לבית-המשפט העליון תוך 45 יום מהיום.</w:t>
      </w:r>
    </w:p>
    <w:p w14:paraId="6D1EBFA7" w14:textId="77777777" w:rsidR="00C31195" w:rsidRDefault="00C31195"/>
    <w:p w14:paraId="4FAB5963" w14:textId="77777777" w:rsidR="00C31195" w:rsidRDefault="00C550CD">
      <w:pPr>
        <w:spacing w:line="360" w:lineRule="auto"/>
        <w:jc w:val="both"/>
        <w:rPr>
          <w:rtl/>
        </w:rPr>
      </w:pPr>
      <w:r>
        <w:rPr>
          <w:rtl/>
        </w:rPr>
        <w:t xml:space="preserve"> </w:t>
      </w:r>
    </w:p>
    <w:p w14:paraId="7B90FE35" w14:textId="77777777" w:rsidR="00C31195" w:rsidRDefault="00C550CD">
      <w:pPr>
        <w:spacing w:line="360" w:lineRule="auto"/>
        <w:jc w:val="both"/>
        <w:rPr>
          <w:sz w:val="6"/>
          <w:szCs w:val="6"/>
          <w:rtl/>
        </w:rPr>
      </w:pPr>
      <w:r>
        <w:rPr>
          <w:sz w:val="6"/>
          <w:szCs w:val="6"/>
          <w:rtl/>
        </w:rPr>
        <w:t>&lt;#4#&gt;</w:t>
      </w:r>
    </w:p>
    <w:p w14:paraId="04752FE4" w14:textId="77777777" w:rsidR="00C31195" w:rsidRDefault="00C31195">
      <w:pPr>
        <w:jc w:val="right"/>
        <w:rPr>
          <w:rtl/>
        </w:rPr>
      </w:pPr>
      <w:bookmarkStart w:id="10" w:name="_GoBack"/>
      <w:bookmarkEnd w:id="10"/>
    </w:p>
    <w:p w14:paraId="1EBB0264" w14:textId="77777777" w:rsidR="00C31195" w:rsidRDefault="00C550CD">
      <w:pPr>
        <w:jc w:val="center"/>
        <w:rPr>
          <w:rtl/>
        </w:rPr>
      </w:pPr>
      <w:r w:rsidRPr="00C550CD">
        <w:rPr>
          <w:b/>
          <w:bCs/>
          <w:color w:val="FFFFFF"/>
          <w:sz w:val="2"/>
          <w:szCs w:val="2"/>
          <w:rtl/>
        </w:rPr>
        <w:t>5129371</w:t>
      </w:r>
      <w:r>
        <w:rPr>
          <w:b/>
          <w:bCs/>
          <w:rtl/>
        </w:rPr>
        <w:t xml:space="preserve">ניתנה והודעה היום ט' ניסן תשע"ה, 29/03/2015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31195" w14:paraId="779A505A" w14:textId="77777777">
        <w:trPr>
          <w:trHeight w:val="316"/>
          <w:jc w:val="right"/>
        </w:trPr>
        <w:tc>
          <w:tcPr>
            <w:tcW w:w="3936" w:type="dxa"/>
          </w:tcPr>
          <w:p w14:paraId="07577186" w14:textId="77777777" w:rsidR="00C31195" w:rsidRPr="00C550CD" w:rsidRDefault="00C550CD">
            <w:pPr>
              <w:jc w:val="center"/>
              <w:rPr>
                <w:rFonts w:ascii="Times New Roman" w:eastAsia="Times New Roman" w:hAnsi="Times New Roman" w:cs="Times New Roman"/>
                <w:color w:val="FFFFFF"/>
                <w:sz w:val="2"/>
                <w:szCs w:val="2"/>
              </w:rPr>
            </w:pPr>
            <w:r w:rsidRPr="00C550CD">
              <w:rPr>
                <w:rFonts w:ascii="Times New Roman" w:eastAsia="Times New Roman" w:hAnsi="Times New Roman" w:cs="Times New Roman"/>
                <w:color w:val="FFFFFF"/>
                <w:sz w:val="2"/>
                <w:szCs w:val="2"/>
                <w:rtl/>
              </w:rPr>
              <w:t>54678313</w:t>
            </w:r>
          </w:p>
          <w:p w14:paraId="40AAE830" w14:textId="77777777" w:rsidR="00C31195" w:rsidRDefault="00C31195">
            <w:pPr>
              <w:jc w:val="center"/>
              <w:rPr>
                <w:rFonts w:ascii="Times New Roman" w:eastAsia="Times New Roman" w:hAnsi="Times New Roman" w:cs="Times New Roman"/>
                <w:rtl/>
              </w:rPr>
            </w:pPr>
          </w:p>
        </w:tc>
      </w:tr>
      <w:tr w:rsidR="00C31195" w14:paraId="65BA38F5" w14:textId="77777777">
        <w:trPr>
          <w:trHeight w:val="361"/>
          <w:jc w:val="right"/>
        </w:trPr>
        <w:tc>
          <w:tcPr>
            <w:tcW w:w="3936" w:type="dxa"/>
          </w:tcPr>
          <w:p w14:paraId="76098181" w14:textId="77777777" w:rsidR="00C31195" w:rsidRDefault="00C550CD">
            <w:pPr>
              <w:jc w:val="center"/>
              <w:rPr>
                <w:rFonts w:ascii="Times New Roman" w:eastAsia="Times New Roman" w:hAnsi="Times New Roman"/>
                <w:b/>
                <w:bCs/>
                <w:rtl/>
              </w:rPr>
            </w:pPr>
            <w:r>
              <w:rPr>
                <w:rFonts w:ascii="Times New Roman" w:eastAsia="Times New Roman" w:hAnsi="Times New Roman" w:hint="cs"/>
                <w:b/>
                <w:bCs/>
                <w:rtl/>
              </w:rPr>
              <w:t>נחמה מוניץ</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3427FC07" w14:textId="77777777" w:rsidR="00C31195" w:rsidRDefault="00C31195"/>
    <w:p w14:paraId="7CFC5708" w14:textId="77777777" w:rsidR="00C31195" w:rsidRDefault="00C31195">
      <w:pPr>
        <w:rPr>
          <w:rtl/>
        </w:rPr>
      </w:pPr>
    </w:p>
    <w:p w14:paraId="77A3BA79" w14:textId="77777777" w:rsidR="00C550CD" w:rsidRPr="00C550CD" w:rsidRDefault="00C550CD" w:rsidP="00C550CD">
      <w:pPr>
        <w:keepNext/>
        <w:rPr>
          <w:color w:val="000000"/>
          <w:sz w:val="22"/>
          <w:szCs w:val="22"/>
          <w:rtl/>
        </w:rPr>
      </w:pPr>
    </w:p>
    <w:p w14:paraId="5F35BBCD" w14:textId="77777777" w:rsidR="00C550CD" w:rsidRPr="00C550CD" w:rsidRDefault="00C550CD" w:rsidP="00C550CD">
      <w:pPr>
        <w:keepNext/>
        <w:rPr>
          <w:color w:val="000000"/>
          <w:sz w:val="22"/>
          <w:szCs w:val="22"/>
          <w:rtl/>
        </w:rPr>
      </w:pPr>
      <w:r w:rsidRPr="00C550CD">
        <w:rPr>
          <w:color w:val="000000"/>
          <w:sz w:val="22"/>
          <w:szCs w:val="22"/>
          <w:rtl/>
        </w:rPr>
        <w:t>נחמה מוניץ 54678313</w:t>
      </w:r>
    </w:p>
    <w:p w14:paraId="2B728D74" w14:textId="77777777" w:rsidR="00C550CD" w:rsidRDefault="00C550CD" w:rsidP="00C550CD">
      <w:r w:rsidRPr="00C550CD">
        <w:rPr>
          <w:color w:val="000000"/>
          <w:rtl/>
        </w:rPr>
        <w:t>נוסח מסמך זה כפוף לשינויי ניסוח ועריכה</w:t>
      </w:r>
    </w:p>
    <w:p w14:paraId="64A956C8" w14:textId="77777777" w:rsidR="00C550CD" w:rsidRDefault="00C550CD" w:rsidP="00C550CD">
      <w:pPr>
        <w:rPr>
          <w:rtl/>
        </w:rPr>
      </w:pPr>
    </w:p>
    <w:p w14:paraId="4F7326F9" w14:textId="77777777" w:rsidR="00C550CD" w:rsidRDefault="00C550CD" w:rsidP="00C550CD">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0FAB0304" w14:textId="77777777" w:rsidR="00C31195" w:rsidRPr="00C550CD" w:rsidRDefault="00D9233E" w:rsidP="00C550CD">
      <w:pPr>
        <w:jc w:val="center"/>
        <w:rPr>
          <w:color w:val="0000FF"/>
          <w:u w:val="single"/>
        </w:rPr>
      </w:pPr>
      <w:r>
        <w:rPr>
          <w:rFonts w:hint="cs"/>
          <w:color w:val="0000FF"/>
          <w:u w:val="single"/>
          <w:rtl/>
        </w:rPr>
        <w:t xml:space="preserve">  </w:t>
      </w:r>
      <w:r w:rsidR="007C1E92">
        <w:rPr>
          <w:rFonts w:hint="cs"/>
          <w:color w:val="0000FF"/>
          <w:u w:val="single"/>
          <w:rtl/>
        </w:rPr>
        <w:t xml:space="preserve">   </w:t>
      </w:r>
    </w:p>
    <w:sectPr w:rsidR="00C31195" w:rsidRPr="00C550CD" w:rsidSect="00C550CD">
      <w:headerReference w:type="even" r:id="rId51"/>
      <w:headerReference w:type="default" r:id="rId52"/>
      <w:footerReference w:type="even" r:id="rId53"/>
      <w:footerReference w:type="default" r:id="rId5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65DC1" w14:textId="77777777" w:rsidR="00586EB5" w:rsidRPr="00D44A1D" w:rsidRDefault="00586EB5">
      <w:pPr>
        <w:rPr>
          <w:rFonts w:cs="Arial"/>
          <w:szCs w:val="20"/>
        </w:rPr>
      </w:pPr>
      <w:r>
        <w:separator/>
      </w:r>
    </w:p>
  </w:endnote>
  <w:endnote w:type="continuationSeparator" w:id="0">
    <w:p w14:paraId="2C616963" w14:textId="77777777" w:rsidR="00586EB5" w:rsidRPr="00D44A1D" w:rsidRDefault="00586EB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B4EA7" w14:textId="77777777" w:rsidR="00670A0A" w:rsidRDefault="00670A0A" w:rsidP="00C550CD">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5EB55959" w14:textId="77777777" w:rsidR="00670A0A" w:rsidRPr="00C550CD" w:rsidRDefault="00670A0A" w:rsidP="00C550CD">
    <w:pPr>
      <w:pStyle w:val="a7"/>
      <w:pBdr>
        <w:top w:val="single" w:sz="4" w:space="1" w:color="auto"/>
        <w:between w:val="single" w:sz="4" w:space="0" w:color="auto"/>
      </w:pBdr>
      <w:spacing w:after="60"/>
      <w:jc w:val="center"/>
      <w:rPr>
        <w:rFonts w:ascii="FrankRuehl" w:hAnsi="FrankRuehl" w:cs="FrankRuehl"/>
        <w:color w:val="000000"/>
      </w:rPr>
    </w:pPr>
    <w:r w:rsidRPr="00C550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EAA19" w14:textId="77777777" w:rsidR="00670A0A" w:rsidRDefault="00670A0A" w:rsidP="00C550CD">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7B4C">
      <w:rPr>
        <w:rFonts w:ascii="FrankRuehl" w:hAnsi="FrankRuehl" w:cs="FrankRuehl"/>
        <w:noProof/>
        <w:rtl/>
      </w:rPr>
      <w:t>1</w:t>
    </w:r>
    <w:r>
      <w:rPr>
        <w:rFonts w:ascii="FrankRuehl" w:hAnsi="FrankRuehl" w:cs="FrankRuehl"/>
        <w:rtl/>
      </w:rPr>
      <w:fldChar w:fldCharType="end"/>
    </w:r>
  </w:p>
  <w:p w14:paraId="45108A93" w14:textId="77777777" w:rsidR="00670A0A" w:rsidRPr="00C550CD" w:rsidRDefault="00670A0A" w:rsidP="00C550CD">
    <w:pPr>
      <w:pStyle w:val="a7"/>
      <w:pBdr>
        <w:top w:val="single" w:sz="4" w:space="1" w:color="auto"/>
        <w:between w:val="single" w:sz="4" w:space="0" w:color="auto"/>
      </w:pBdr>
      <w:spacing w:after="60"/>
      <w:jc w:val="center"/>
      <w:rPr>
        <w:rFonts w:ascii="FrankRuehl" w:hAnsi="FrankRuehl" w:cs="FrankRuehl"/>
        <w:color w:val="000000"/>
      </w:rPr>
    </w:pPr>
    <w:r w:rsidRPr="00C550CD">
      <w:rPr>
        <w:rFonts w:ascii="FrankRuehl" w:hAnsi="FrankRuehl" w:cs="FrankRuehl"/>
        <w:color w:val="000000"/>
      </w:rPr>
      <w:pict w14:anchorId="16E90D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AC2E9" w14:textId="77777777" w:rsidR="00586EB5" w:rsidRPr="00D44A1D" w:rsidRDefault="00586EB5">
      <w:pPr>
        <w:rPr>
          <w:rFonts w:cs="Arial"/>
          <w:szCs w:val="20"/>
        </w:rPr>
      </w:pPr>
      <w:r>
        <w:separator/>
      </w:r>
    </w:p>
  </w:footnote>
  <w:footnote w:type="continuationSeparator" w:id="0">
    <w:p w14:paraId="3827E683" w14:textId="77777777" w:rsidR="00586EB5" w:rsidRPr="00D44A1D" w:rsidRDefault="00586EB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867C7" w14:textId="77777777" w:rsidR="00670A0A" w:rsidRPr="00C550CD" w:rsidRDefault="00670A0A" w:rsidP="00C550CD">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31467-07-14</w:t>
    </w:r>
    <w:r>
      <w:rPr>
        <w:color w:val="000000"/>
        <w:sz w:val="22"/>
        <w:szCs w:val="22"/>
        <w:rtl/>
      </w:rPr>
      <w:tab/>
      <w:t xml:space="preserve"> מדינת ישראל נ' עאוני הוארי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5A56A" w14:textId="77777777" w:rsidR="00670A0A" w:rsidRPr="00C550CD" w:rsidRDefault="00670A0A" w:rsidP="00C550CD">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31467-07-14</w:t>
    </w:r>
    <w:r>
      <w:rPr>
        <w:color w:val="000000"/>
        <w:sz w:val="22"/>
        <w:szCs w:val="22"/>
        <w:rtl/>
      </w:rPr>
      <w:tab/>
      <w:t xml:space="preserve"> מדינת ישראל נ' עאוני הוארי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6B88DA1A"/>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C5E6DF5"/>
    <w:multiLevelType w:val="hybridMultilevel"/>
    <w:tmpl w:val="49628F3A"/>
    <w:lvl w:ilvl="0" w:tplc="D85E334E">
      <w:start w:val="1"/>
      <w:numFmt w:val="decimal"/>
      <w:pStyle w:val="a0"/>
      <w:lvlText w:val="%1."/>
      <w:lvlJc w:val="left"/>
      <w:pPr>
        <w:tabs>
          <w:tab w:val="num" w:pos="720"/>
        </w:tabs>
        <w:ind w:left="720" w:hanging="720"/>
      </w:pPr>
      <w:rPr>
        <w:rFonts w:cs="Times New Roman" w:hint="default"/>
      </w:rPr>
    </w:lvl>
    <w:lvl w:ilvl="1" w:tplc="26E2FDBE">
      <w:start w:val="1"/>
      <w:numFmt w:val="hebrew1"/>
      <w:lvlText w:val="%2."/>
      <w:lvlJc w:val="left"/>
      <w:pPr>
        <w:tabs>
          <w:tab w:val="num" w:pos="1620"/>
        </w:tabs>
        <w:ind w:left="1620" w:hanging="360"/>
      </w:pPr>
      <w:rPr>
        <w:rFonts w:cs="David" w:hint="default"/>
        <w:b w:val="0"/>
        <w:bCs w:val="0"/>
        <w:sz w:val="2"/>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1EF04B9"/>
    <w:multiLevelType w:val="hybridMultilevel"/>
    <w:tmpl w:val="2D8241C2"/>
    <w:lvl w:ilvl="0" w:tplc="C0703CD0">
      <w:start w:val="4"/>
      <w:numFmt w:val="hebrew1"/>
      <w:lvlText w:val="%1."/>
      <w:lvlJc w:val="left"/>
      <w:pPr>
        <w:tabs>
          <w:tab w:val="num" w:pos="1080"/>
        </w:tabs>
        <w:ind w:left="1080" w:hanging="720"/>
      </w:pPr>
      <w:rPr>
        <w:rFonts w:cs="Times New Roman" w:hint="default"/>
        <w:u w:val="no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hint="default"/>
        <w:u w:val="none"/>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7080E8F"/>
    <w:multiLevelType w:val="hybridMultilevel"/>
    <w:tmpl w:val="9D2C0B1E"/>
    <w:lvl w:ilvl="0" w:tplc="44561108">
      <w:start w:val="1"/>
      <w:numFmt w:val="hebrew1"/>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C569B6"/>
    <w:multiLevelType w:val="hybridMultilevel"/>
    <w:tmpl w:val="55DAF236"/>
    <w:lvl w:ilvl="0" w:tplc="B484E0B8">
      <w:start w:val="4"/>
      <w:numFmt w:val="hebrew1"/>
      <w:lvlText w:val="%1."/>
      <w:lvlJc w:val="left"/>
      <w:pPr>
        <w:tabs>
          <w:tab w:val="num" w:pos="984"/>
        </w:tabs>
        <w:ind w:left="984" w:hanging="360"/>
      </w:pPr>
      <w:rPr>
        <w:rFonts w:cs="Times New Roman" w:hint="default"/>
        <w:b w:val="0"/>
        <w:bCs w:val="0"/>
        <w:sz w:val="24"/>
        <w:u w:val="none"/>
      </w:rPr>
    </w:lvl>
    <w:lvl w:ilvl="1" w:tplc="04090019" w:tentative="1">
      <w:start w:val="1"/>
      <w:numFmt w:val="lowerLetter"/>
      <w:lvlText w:val="%2."/>
      <w:lvlJc w:val="left"/>
      <w:pPr>
        <w:tabs>
          <w:tab w:val="num" w:pos="1704"/>
        </w:tabs>
        <w:ind w:left="1704" w:hanging="360"/>
      </w:pPr>
      <w:rPr>
        <w:rFonts w:cs="Times New Roman"/>
      </w:rPr>
    </w:lvl>
    <w:lvl w:ilvl="2" w:tplc="0409001B" w:tentative="1">
      <w:start w:val="1"/>
      <w:numFmt w:val="lowerRoman"/>
      <w:lvlText w:val="%3."/>
      <w:lvlJc w:val="right"/>
      <w:pPr>
        <w:tabs>
          <w:tab w:val="num" w:pos="2424"/>
        </w:tabs>
        <w:ind w:left="2424" w:hanging="180"/>
      </w:pPr>
      <w:rPr>
        <w:rFonts w:cs="Times New Roman"/>
      </w:rPr>
    </w:lvl>
    <w:lvl w:ilvl="3" w:tplc="0409000F" w:tentative="1">
      <w:start w:val="1"/>
      <w:numFmt w:val="decimal"/>
      <w:lvlText w:val="%4."/>
      <w:lvlJc w:val="left"/>
      <w:pPr>
        <w:tabs>
          <w:tab w:val="num" w:pos="3144"/>
        </w:tabs>
        <w:ind w:left="3144" w:hanging="360"/>
      </w:pPr>
      <w:rPr>
        <w:rFonts w:cs="Times New Roman"/>
      </w:rPr>
    </w:lvl>
    <w:lvl w:ilvl="4" w:tplc="04090019" w:tentative="1">
      <w:start w:val="1"/>
      <w:numFmt w:val="lowerLetter"/>
      <w:lvlText w:val="%5."/>
      <w:lvlJc w:val="left"/>
      <w:pPr>
        <w:tabs>
          <w:tab w:val="num" w:pos="3864"/>
        </w:tabs>
        <w:ind w:left="3864" w:hanging="360"/>
      </w:pPr>
      <w:rPr>
        <w:rFonts w:cs="Times New Roman"/>
      </w:rPr>
    </w:lvl>
    <w:lvl w:ilvl="5" w:tplc="0409001B" w:tentative="1">
      <w:start w:val="1"/>
      <w:numFmt w:val="lowerRoman"/>
      <w:lvlText w:val="%6."/>
      <w:lvlJc w:val="right"/>
      <w:pPr>
        <w:tabs>
          <w:tab w:val="num" w:pos="4584"/>
        </w:tabs>
        <w:ind w:left="4584" w:hanging="180"/>
      </w:pPr>
      <w:rPr>
        <w:rFonts w:cs="Times New Roman"/>
      </w:rPr>
    </w:lvl>
    <w:lvl w:ilvl="6" w:tplc="0409000F" w:tentative="1">
      <w:start w:val="1"/>
      <w:numFmt w:val="decimal"/>
      <w:lvlText w:val="%7."/>
      <w:lvlJc w:val="left"/>
      <w:pPr>
        <w:tabs>
          <w:tab w:val="num" w:pos="5304"/>
        </w:tabs>
        <w:ind w:left="5304" w:hanging="360"/>
      </w:pPr>
      <w:rPr>
        <w:rFonts w:cs="Times New Roman"/>
      </w:rPr>
    </w:lvl>
    <w:lvl w:ilvl="7" w:tplc="04090019" w:tentative="1">
      <w:start w:val="1"/>
      <w:numFmt w:val="lowerLetter"/>
      <w:lvlText w:val="%8."/>
      <w:lvlJc w:val="left"/>
      <w:pPr>
        <w:tabs>
          <w:tab w:val="num" w:pos="6024"/>
        </w:tabs>
        <w:ind w:left="6024" w:hanging="360"/>
      </w:pPr>
      <w:rPr>
        <w:rFonts w:cs="Times New Roman"/>
      </w:rPr>
    </w:lvl>
    <w:lvl w:ilvl="8" w:tplc="0409001B" w:tentative="1">
      <w:start w:val="1"/>
      <w:numFmt w:val="lowerRoman"/>
      <w:lvlText w:val="%9."/>
      <w:lvlJc w:val="right"/>
      <w:pPr>
        <w:tabs>
          <w:tab w:val="num" w:pos="6744"/>
        </w:tabs>
        <w:ind w:left="6744" w:hanging="180"/>
      </w:pPr>
      <w:rPr>
        <w:rFonts w:cs="Times New Roman"/>
      </w:rPr>
    </w:lvl>
  </w:abstractNum>
  <w:abstractNum w:abstractNumId="5" w15:restartNumberingAfterBreak="0">
    <w:nsid w:val="433D4960"/>
    <w:multiLevelType w:val="hybridMultilevel"/>
    <w:tmpl w:val="6A769560"/>
    <w:lvl w:ilvl="0" w:tplc="96C47986">
      <w:start w:val="1"/>
      <w:numFmt w:val="hebrew1"/>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460274136">
    <w:abstractNumId w:val="2"/>
  </w:num>
  <w:num w:numId="2" w16cid:durableId="1382243855">
    <w:abstractNumId w:val="0"/>
  </w:num>
  <w:num w:numId="3" w16cid:durableId="698361011">
    <w:abstractNumId w:val="1"/>
  </w:num>
  <w:num w:numId="4" w16cid:durableId="225342256">
    <w:abstractNumId w:val="5"/>
  </w:num>
  <w:num w:numId="5" w16cid:durableId="914363794">
    <w:abstractNumId w:val="3"/>
  </w:num>
  <w:num w:numId="6" w16cid:durableId="1016613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31195"/>
    <w:rsid w:val="000C3291"/>
    <w:rsid w:val="000E3409"/>
    <w:rsid w:val="002C6090"/>
    <w:rsid w:val="00325BFB"/>
    <w:rsid w:val="00357C7C"/>
    <w:rsid w:val="00456F14"/>
    <w:rsid w:val="00586EB5"/>
    <w:rsid w:val="00670A0A"/>
    <w:rsid w:val="007C1E92"/>
    <w:rsid w:val="00997B4C"/>
    <w:rsid w:val="009D102D"/>
    <w:rsid w:val="00B168C2"/>
    <w:rsid w:val="00B72990"/>
    <w:rsid w:val="00C31195"/>
    <w:rsid w:val="00C550CD"/>
    <w:rsid w:val="00CF2A7C"/>
    <w:rsid w:val="00CF3B75"/>
    <w:rsid w:val="00D9233E"/>
    <w:rsid w:val="00DE73A5"/>
    <w:rsid w:val="00E72542"/>
    <w:rsid w:val="00E97629"/>
    <w:rsid w:val="00EF1171"/>
    <w:rsid w:val="00F43A4A"/>
    <w:rsid w:val="00FC34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5C815A"/>
  <w15:chartTrackingRefBased/>
  <w15:docId w15:val="{BB4EB5E3-DB8E-4E83-AA81-E3198DD6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C31195"/>
    <w:pPr>
      <w:bidi/>
    </w:pPr>
    <w:rPr>
      <w:rFonts w:ascii="David" w:eastAsia="David" w:hAnsi="David" w:cs="David"/>
      <w:sz w:val="24"/>
      <w:szCs w:val="24"/>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link w:val="a6"/>
    <w:rsid w:val="00C31195"/>
    <w:pPr>
      <w:tabs>
        <w:tab w:val="center" w:pos="4153"/>
        <w:tab w:val="right" w:pos="8306"/>
      </w:tabs>
    </w:pPr>
  </w:style>
  <w:style w:type="paragraph" w:styleId="a7">
    <w:name w:val="footer"/>
    <w:basedOn w:val="a1"/>
    <w:rsid w:val="00C31195"/>
    <w:pPr>
      <w:tabs>
        <w:tab w:val="center" w:pos="4153"/>
        <w:tab w:val="right" w:pos="8306"/>
      </w:tabs>
    </w:pPr>
  </w:style>
  <w:style w:type="character" w:styleId="a8">
    <w:name w:val="page number"/>
    <w:basedOn w:val="a2"/>
    <w:rsid w:val="00C31195"/>
  </w:style>
  <w:style w:type="character" w:customStyle="1" w:styleId="TimesNewRomanTimesNewRoman">
    <w:name w:val="סגנון (לטיני) Times New Roman (עברית ושפות אחרות) Times New Roman..."/>
    <w:rsid w:val="00C3119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1"/>
    <w:rsid w:val="00C31195"/>
    <w:rPr>
      <w:rFonts w:ascii="Times New Roman" w:eastAsia="Times New Roman" w:hAnsi="Times New Roman"/>
      <w:b/>
      <w:bCs/>
      <w:u w:val="single"/>
    </w:rPr>
  </w:style>
  <w:style w:type="character" w:customStyle="1" w:styleId="a6">
    <w:name w:val="כותרת עליונה תו"/>
    <w:link w:val="a5"/>
    <w:locked/>
    <w:rsid w:val="00C31195"/>
    <w:rPr>
      <w:rFonts w:ascii="David" w:eastAsia="David" w:hAnsi="David" w:cs="David"/>
      <w:sz w:val="24"/>
      <w:szCs w:val="24"/>
      <w:lang w:val="en-US" w:eastAsia="en-US" w:bidi="he-IL"/>
    </w:rPr>
  </w:style>
  <w:style w:type="character" w:customStyle="1" w:styleId="a9">
    <w:name w:val="תבנית רגיל תו"/>
    <w:link w:val="aa"/>
    <w:locked/>
    <w:rsid w:val="00C31195"/>
    <w:rPr>
      <w:rFonts w:ascii="Times" w:hAnsi="Times"/>
      <w:sz w:val="26"/>
      <w:lang w:eastAsia="he-IL" w:bidi="he-IL"/>
    </w:rPr>
  </w:style>
  <w:style w:type="paragraph" w:customStyle="1" w:styleId="aa">
    <w:name w:val="תבנית רגיל"/>
    <w:basedOn w:val="a1"/>
    <w:link w:val="a9"/>
    <w:rsid w:val="00C31195"/>
    <w:pPr>
      <w:spacing w:line="360" w:lineRule="auto"/>
      <w:jc w:val="both"/>
    </w:pPr>
    <w:rPr>
      <w:rFonts w:ascii="Times" w:eastAsia="Times New Roman" w:hAnsi="Times" w:cs="Times New Roman"/>
      <w:sz w:val="26"/>
      <w:szCs w:val="20"/>
      <w:lang w:eastAsia="he-IL"/>
    </w:rPr>
  </w:style>
  <w:style w:type="paragraph" w:styleId="a">
    <w:name w:val="List Number"/>
    <w:basedOn w:val="a1"/>
    <w:rsid w:val="00C31195"/>
    <w:pPr>
      <w:numPr>
        <w:numId w:val="2"/>
      </w:numPr>
      <w:spacing w:after="120" w:line="360" w:lineRule="auto"/>
      <w:ind w:right="360"/>
    </w:pPr>
    <w:rPr>
      <w:rFonts w:ascii="Times New Roman" w:eastAsia="Times New Roman" w:hAnsi="Times New Roman"/>
    </w:rPr>
  </w:style>
  <w:style w:type="paragraph" w:customStyle="1" w:styleId="a0">
    <w:name w:val="ממוספר"/>
    <w:basedOn w:val="a1"/>
    <w:rsid w:val="00C31195"/>
    <w:pPr>
      <w:numPr>
        <w:numId w:val="3"/>
      </w:numPr>
      <w:spacing w:after="120" w:line="360" w:lineRule="auto"/>
    </w:pPr>
    <w:rPr>
      <w:rFonts w:eastAsia="Times New Roman"/>
      <w:color w:val="000000"/>
    </w:rPr>
  </w:style>
  <w:style w:type="character" w:customStyle="1" w:styleId="default">
    <w:name w:val="default"/>
    <w:rsid w:val="00C31195"/>
    <w:rPr>
      <w:rFonts w:ascii="Times New Roman" w:hAnsi="Times New Roman"/>
      <w:sz w:val="26"/>
    </w:rPr>
  </w:style>
  <w:style w:type="paragraph" w:styleId="ab">
    <w:name w:val="List Paragraph"/>
    <w:basedOn w:val="a1"/>
    <w:qFormat/>
    <w:rsid w:val="00C31195"/>
    <w:pPr>
      <w:spacing w:line="360" w:lineRule="auto"/>
      <w:ind w:left="720"/>
      <w:jc w:val="both"/>
    </w:pPr>
    <w:rPr>
      <w:rFonts w:ascii="Times New Roman" w:eastAsia="Times New Roman" w:hAnsi="Times New Roman"/>
      <w:sz w:val="20"/>
      <w:lang w:eastAsia="he-IL"/>
    </w:rPr>
  </w:style>
  <w:style w:type="character" w:styleId="ac">
    <w:name w:val="line number"/>
    <w:basedOn w:val="a2"/>
    <w:rsid w:val="00C31195"/>
  </w:style>
  <w:style w:type="character" w:styleId="Hyperlink">
    <w:name w:val="Hyperlink"/>
    <w:rsid w:val="00C550CD"/>
    <w:rPr>
      <w:color w:val="0000FF"/>
      <w:u w:val="single"/>
    </w:rPr>
  </w:style>
  <w:style w:type="paragraph" w:styleId="ad">
    <w:name w:val="Balloon Text"/>
    <w:basedOn w:val="a1"/>
    <w:link w:val="ae"/>
    <w:rsid w:val="00FC3443"/>
    <w:rPr>
      <w:rFonts w:ascii="Segoe UI" w:hAnsi="Segoe UI" w:cs="Segoe UI"/>
      <w:sz w:val="18"/>
      <w:szCs w:val="18"/>
    </w:rPr>
  </w:style>
  <w:style w:type="character" w:customStyle="1" w:styleId="ae">
    <w:name w:val="טקסט בלונים תו"/>
    <w:link w:val="ad"/>
    <w:rsid w:val="00FC3443"/>
    <w:rPr>
      <w:rFonts w:ascii="Segoe UI" w:eastAsia="David"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255022">
      <w:bodyDiv w:val="1"/>
      <w:marLeft w:val="0"/>
      <w:marRight w:val="0"/>
      <w:marTop w:val="0"/>
      <w:marBottom w:val="0"/>
      <w:divBdr>
        <w:top w:val="none" w:sz="0" w:space="0" w:color="auto"/>
        <w:left w:val="none" w:sz="0" w:space="0" w:color="auto"/>
        <w:bottom w:val="none" w:sz="0" w:space="0" w:color="auto"/>
        <w:right w:val="none" w:sz="0" w:space="0" w:color="auto"/>
      </w:divBdr>
    </w:div>
    <w:div w:id="151449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6." TargetMode="External"/><Relationship Id="rId18" Type="http://schemas.openxmlformats.org/officeDocument/2006/relationships/hyperlink" Target="http://www.nevo.co.il/law/70301/333" TargetMode="External"/><Relationship Id="rId26" Type="http://schemas.openxmlformats.org/officeDocument/2006/relationships/hyperlink" Target="http://www.nevo.co.il/law/70301/40i.a.6.;40i.a.7.;40i.a.8;40i.a.9" TargetMode="External"/><Relationship Id="rId39" Type="http://schemas.openxmlformats.org/officeDocument/2006/relationships/hyperlink" Target="http://www.nevo.co.il/law/70301/40i" TargetMode="External"/><Relationship Id="rId21" Type="http://schemas.openxmlformats.org/officeDocument/2006/relationships/hyperlink" Target="http://www.nevo.co.il/law/70301/333" TargetMode="External"/><Relationship Id="rId34" Type="http://schemas.openxmlformats.org/officeDocument/2006/relationships/hyperlink" Target="http://www.nevo.co.il/case/16987369" TargetMode="External"/><Relationship Id="rId42" Type="http://schemas.openxmlformats.org/officeDocument/2006/relationships/hyperlink" Target="http://www.nevo.co.il/law/70301/40ja" TargetMode="External"/><Relationship Id="rId47" Type="http://schemas.openxmlformats.org/officeDocument/2006/relationships/hyperlink" Target="http://www.nevo.co.il/case/5885411"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i.a.9" TargetMode="External"/><Relationship Id="rId29" Type="http://schemas.openxmlformats.org/officeDocument/2006/relationships/hyperlink" Target="http://www.nevo.co.il/law/70301/40c.a" TargetMode="External"/><Relationship Id="rId11" Type="http://schemas.openxmlformats.org/officeDocument/2006/relationships/hyperlink" Target="http://www.nevo.co.il/law/70301/40e"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6950458" TargetMode="External"/><Relationship Id="rId37" Type="http://schemas.openxmlformats.org/officeDocument/2006/relationships/hyperlink" Target="http://www.nevo.co.il/case/6842737" TargetMode="External"/><Relationship Id="rId40" Type="http://schemas.openxmlformats.org/officeDocument/2006/relationships/hyperlink" Target="http://www.nevo.co.il/law/70301/40d" TargetMode="External"/><Relationship Id="rId45" Type="http://schemas.openxmlformats.org/officeDocument/2006/relationships/hyperlink" Target="http://www.nevo.co.il/case/2253079"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40d" TargetMode="External"/><Relationship Id="rId19" Type="http://schemas.openxmlformats.org/officeDocument/2006/relationships/hyperlink" Target="http://www.nevo.co.il/law/70301/335" TargetMode="External"/><Relationship Id="rId31" Type="http://schemas.openxmlformats.org/officeDocument/2006/relationships/hyperlink" Target="http://www.nevo.co.il/law/70301/40i" TargetMode="External"/><Relationship Id="rId44" Type="http://schemas.openxmlformats.org/officeDocument/2006/relationships/hyperlink" Target="http://www.nevo.co.il/case/2243130"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4" Type="http://schemas.openxmlformats.org/officeDocument/2006/relationships/hyperlink" Target="http://www.nevo.co.il/law/70301/40i.a.7." TargetMode="External"/><Relationship Id="rId22" Type="http://schemas.openxmlformats.org/officeDocument/2006/relationships/hyperlink" Target="http://www.nevo.co.il/law/70301/33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018644" TargetMode="External"/><Relationship Id="rId43" Type="http://schemas.openxmlformats.org/officeDocument/2006/relationships/hyperlink" Target="http://www.nevo.co.il/safrut/book/3366" TargetMode="External"/><Relationship Id="rId48" Type="http://schemas.openxmlformats.org/officeDocument/2006/relationships/hyperlink" Target="http://www.nevo.co.il/case/5071995" TargetMode="External"/><Relationship Id="rId56" Type="http://schemas.openxmlformats.org/officeDocument/2006/relationships/theme" Target="theme/theme1.xml"/><Relationship Id="rId8" Type="http://schemas.openxmlformats.org/officeDocument/2006/relationships/hyperlink" Target="http://www.nevo.co.il/law/70301/40b"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8291683" TargetMode="External"/><Relationship Id="rId38" Type="http://schemas.openxmlformats.org/officeDocument/2006/relationships/hyperlink" Target="http://www.nevo.co.il/case/6135887" TargetMode="External"/><Relationship Id="rId46" Type="http://schemas.openxmlformats.org/officeDocument/2006/relationships/hyperlink" Target="http://www.nevo.co.il/case/6096035" TargetMode="External"/><Relationship Id="rId20" Type="http://schemas.openxmlformats.org/officeDocument/2006/relationships/hyperlink" Target="http://www.nevo.co.il/law/70301/40ja" TargetMode="External"/><Relationship Id="rId41" Type="http://schemas.openxmlformats.org/officeDocument/2006/relationships/hyperlink" Target="http://www.nevo.co.il/law/70301/40e"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a.8"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b" TargetMode="External"/><Relationship Id="rId36" Type="http://schemas.openxmlformats.org/officeDocument/2006/relationships/hyperlink" Target="http://www.nevo.co.il/case/2439061" TargetMode="External"/><Relationship Id="rId49" Type="http://schemas.openxmlformats.org/officeDocument/2006/relationships/hyperlink" Target="http://www.nevo.co.il/case/570467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3948</Words>
  <Characters>19741</Characters>
  <Application>Microsoft Office Word</Application>
  <DocSecurity>0</DocSecurity>
  <Lines>164</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23642</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3342448</vt:i4>
      </vt:variant>
      <vt:variant>
        <vt:i4>129</vt:i4>
      </vt:variant>
      <vt:variant>
        <vt:i4>0</vt:i4>
      </vt:variant>
      <vt:variant>
        <vt:i4>5</vt:i4>
      </vt:variant>
      <vt:variant>
        <vt:lpwstr>http://www.nevo.co.il/case/5704670</vt:lpwstr>
      </vt:variant>
      <vt:variant>
        <vt:lpwstr/>
      </vt:variant>
      <vt:variant>
        <vt:i4>4063356</vt:i4>
      </vt:variant>
      <vt:variant>
        <vt:i4>126</vt:i4>
      </vt:variant>
      <vt:variant>
        <vt:i4>0</vt:i4>
      </vt:variant>
      <vt:variant>
        <vt:i4>5</vt:i4>
      </vt:variant>
      <vt:variant>
        <vt:lpwstr>http://www.nevo.co.il/case/5071995</vt:lpwstr>
      </vt:variant>
      <vt:variant>
        <vt:lpwstr/>
      </vt:variant>
      <vt:variant>
        <vt:i4>3670136</vt:i4>
      </vt:variant>
      <vt:variant>
        <vt:i4>123</vt:i4>
      </vt:variant>
      <vt:variant>
        <vt:i4>0</vt:i4>
      </vt:variant>
      <vt:variant>
        <vt:i4>5</vt:i4>
      </vt:variant>
      <vt:variant>
        <vt:lpwstr>http://www.nevo.co.il/case/5885411</vt:lpwstr>
      </vt:variant>
      <vt:variant>
        <vt:lpwstr/>
      </vt:variant>
      <vt:variant>
        <vt:i4>3801201</vt:i4>
      </vt:variant>
      <vt:variant>
        <vt:i4>120</vt:i4>
      </vt:variant>
      <vt:variant>
        <vt:i4>0</vt:i4>
      </vt:variant>
      <vt:variant>
        <vt:i4>5</vt:i4>
      </vt:variant>
      <vt:variant>
        <vt:lpwstr>http://www.nevo.co.il/case/6096035</vt:lpwstr>
      </vt:variant>
      <vt:variant>
        <vt:lpwstr/>
      </vt:variant>
      <vt:variant>
        <vt:i4>4063346</vt:i4>
      </vt:variant>
      <vt:variant>
        <vt:i4>117</vt:i4>
      </vt:variant>
      <vt:variant>
        <vt:i4>0</vt:i4>
      </vt:variant>
      <vt:variant>
        <vt:i4>5</vt:i4>
      </vt:variant>
      <vt:variant>
        <vt:lpwstr>http://www.nevo.co.il/case/2253079</vt:lpwstr>
      </vt:variant>
      <vt:variant>
        <vt:lpwstr/>
      </vt:variant>
      <vt:variant>
        <vt:i4>3604598</vt:i4>
      </vt:variant>
      <vt:variant>
        <vt:i4>114</vt:i4>
      </vt:variant>
      <vt:variant>
        <vt:i4>0</vt:i4>
      </vt:variant>
      <vt:variant>
        <vt:i4>5</vt:i4>
      </vt:variant>
      <vt:variant>
        <vt:lpwstr>http://www.nevo.co.il/case/2243130</vt:lpwstr>
      </vt:variant>
      <vt:variant>
        <vt:lpwstr/>
      </vt:variant>
      <vt:variant>
        <vt:i4>7602229</vt:i4>
      </vt:variant>
      <vt:variant>
        <vt:i4>111</vt:i4>
      </vt:variant>
      <vt:variant>
        <vt:i4>0</vt:i4>
      </vt:variant>
      <vt:variant>
        <vt:i4>5</vt:i4>
      </vt:variant>
      <vt:variant>
        <vt:lpwstr>http://www.nevo.co.il/safrut/book/3366</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6619233</vt:i4>
      </vt:variant>
      <vt:variant>
        <vt:i4>105</vt:i4>
      </vt:variant>
      <vt:variant>
        <vt:i4>0</vt:i4>
      </vt:variant>
      <vt:variant>
        <vt:i4>5</vt:i4>
      </vt:variant>
      <vt:variant>
        <vt:lpwstr>http://www.nevo.co.il/law/70301/40e</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3801208</vt:i4>
      </vt:variant>
      <vt:variant>
        <vt:i4>96</vt:i4>
      </vt:variant>
      <vt:variant>
        <vt:i4>0</vt:i4>
      </vt:variant>
      <vt:variant>
        <vt:i4>5</vt:i4>
      </vt:variant>
      <vt:variant>
        <vt:lpwstr>http://www.nevo.co.il/case/6135887</vt:lpwstr>
      </vt:variant>
      <vt:variant>
        <vt:lpwstr/>
      </vt:variant>
      <vt:variant>
        <vt:i4>3276925</vt:i4>
      </vt:variant>
      <vt:variant>
        <vt:i4>93</vt:i4>
      </vt:variant>
      <vt:variant>
        <vt:i4>0</vt:i4>
      </vt:variant>
      <vt:variant>
        <vt:i4>5</vt:i4>
      </vt:variant>
      <vt:variant>
        <vt:lpwstr>http://www.nevo.co.il/case/6842737</vt:lpwstr>
      </vt:variant>
      <vt:variant>
        <vt:lpwstr/>
      </vt:variant>
      <vt:variant>
        <vt:i4>3145855</vt:i4>
      </vt:variant>
      <vt:variant>
        <vt:i4>90</vt:i4>
      </vt:variant>
      <vt:variant>
        <vt:i4>0</vt:i4>
      </vt:variant>
      <vt:variant>
        <vt:i4>5</vt:i4>
      </vt:variant>
      <vt:variant>
        <vt:lpwstr>http://www.nevo.co.il/case/2439061</vt:lpwstr>
      </vt:variant>
      <vt:variant>
        <vt:lpwstr/>
      </vt:variant>
      <vt:variant>
        <vt:i4>3473528</vt:i4>
      </vt:variant>
      <vt:variant>
        <vt:i4>87</vt:i4>
      </vt:variant>
      <vt:variant>
        <vt:i4>0</vt:i4>
      </vt:variant>
      <vt:variant>
        <vt:i4>5</vt:i4>
      </vt:variant>
      <vt:variant>
        <vt:lpwstr>http://www.nevo.co.il/case/6018644</vt:lpwstr>
      </vt:variant>
      <vt:variant>
        <vt:lpwstr/>
      </vt:variant>
      <vt:variant>
        <vt:i4>3735673</vt:i4>
      </vt:variant>
      <vt:variant>
        <vt:i4>84</vt:i4>
      </vt:variant>
      <vt:variant>
        <vt:i4>0</vt:i4>
      </vt:variant>
      <vt:variant>
        <vt:i4>5</vt:i4>
      </vt:variant>
      <vt:variant>
        <vt:lpwstr>http://www.nevo.co.il/case/16987369</vt:lpwstr>
      </vt:variant>
      <vt:variant>
        <vt:lpwstr/>
      </vt:variant>
      <vt:variant>
        <vt:i4>3407999</vt:i4>
      </vt:variant>
      <vt:variant>
        <vt:i4>81</vt:i4>
      </vt:variant>
      <vt:variant>
        <vt:i4>0</vt:i4>
      </vt:variant>
      <vt:variant>
        <vt:i4>5</vt:i4>
      </vt:variant>
      <vt:variant>
        <vt:lpwstr>http://www.nevo.co.il/case/8291683</vt:lpwstr>
      </vt:variant>
      <vt:variant>
        <vt:lpwstr/>
      </vt:variant>
      <vt:variant>
        <vt:i4>4128888</vt:i4>
      </vt:variant>
      <vt:variant>
        <vt:i4>78</vt:i4>
      </vt:variant>
      <vt:variant>
        <vt:i4>0</vt:i4>
      </vt:variant>
      <vt:variant>
        <vt:i4>5</vt:i4>
      </vt:variant>
      <vt:variant>
        <vt:lpwstr>http://www.nevo.co.il/case/6950458</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7995492</vt:i4>
      </vt:variant>
      <vt:variant>
        <vt:i4>72</vt:i4>
      </vt:variant>
      <vt:variant>
        <vt:i4>0</vt:i4>
      </vt:variant>
      <vt:variant>
        <vt:i4>5</vt:i4>
      </vt:variant>
      <vt:variant>
        <vt:lpwstr>http://www.nevo.co.il/law/70301</vt:lpwstr>
      </vt:variant>
      <vt:variant>
        <vt:lpwstr/>
      </vt:variant>
      <vt:variant>
        <vt:i4>4915202</vt:i4>
      </vt:variant>
      <vt:variant>
        <vt:i4>69</vt:i4>
      </vt:variant>
      <vt:variant>
        <vt:i4>0</vt:i4>
      </vt:variant>
      <vt:variant>
        <vt:i4>5</vt:i4>
      </vt:variant>
      <vt:variant>
        <vt:lpwstr>http://www.nevo.co.il/law/70301/40c.a</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7995492</vt:i4>
      </vt:variant>
      <vt:variant>
        <vt:i4>63</vt:i4>
      </vt:variant>
      <vt:variant>
        <vt:i4>0</vt:i4>
      </vt:variant>
      <vt:variant>
        <vt:i4>5</vt:i4>
      </vt:variant>
      <vt:variant>
        <vt:lpwstr>http://www.nevo.co.il/law/70301</vt:lpwstr>
      </vt:variant>
      <vt:variant>
        <vt:lpwstr/>
      </vt:variant>
      <vt:variant>
        <vt:i4>4194370</vt:i4>
      </vt:variant>
      <vt:variant>
        <vt:i4>60</vt:i4>
      </vt:variant>
      <vt:variant>
        <vt:i4>0</vt:i4>
      </vt:variant>
      <vt:variant>
        <vt:i4>5</vt:i4>
      </vt:variant>
      <vt:variant>
        <vt:lpwstr>http://www.nevo.co.il/law/70301/40i.a.6.;40i.a.7.;40i.a.8;40i.a.9</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6684774</vt:i4>
      </vt:variant>
      <vt:variant>
        <vt:i4>48</vt:i4>
      </vt:variant>
      <vt:variant>
        <vt:i4>0</vt:i4>
      </vt:variant>
      <vt:variant>
        <vt:i4>5</vt:i4>
      </vt:variant>
      <vt:variant>
        <vt:lpwstr>http://www.nevo.co.il/law/70301/335</vt:lpwstr>
      </vt:variant>
      <vt:variant>
        <vt:lpwstr/>
      </vt:variant>
      <vt:variant>
        <vt:i4>6684774</vt:i4>
      </vt:variant>
      <vt:variant>
        <vt:i4>45</vt:i4>
      </vt:variant>
      <vt:variant>
        <vt:i4>0</vt:i4>
      </vt:variant>
      <vt:variant>
        <vt:i4>5</vt:i4>
      </vt:variant>
      <vt:variant>
        <vt:lpwstr>http://www.nevo.co.il/law/70301/333</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6684774</vt:i4>
      </vt:variant>
      <vt:variant>
        <vt:i4>39</vt:i4>
      </vt:variant>
      <vt:variant>
        <vt:i4>0</vt:i4>
      </vt:variant>
      <vt:variant>
        <vt:i4>5</vt:i4>
      </vt:variant>
      <vt:variant>
        <vt:lpwstr>http://www.nevo.co.il/law/70301/335</vt:lpwstr>
      </vt:variant>
      <vt:variant>
        <vt:lpwstr/>
      </vt:variant>
      <vt:variant>
        <vt:i4>6684774</vt:i4>
      </vt:variant>
      <vt:variant>
        <vt:i4>36</vt:i4>
      </vt:variant>
      <vt:variant>
        <vt:i4>0</vt:i4>
      </vt:variant>
      <vt:variant>
        <vt:i4>5</vt:i4>
      </vt:variant>
      <vt:variant>
        <vt:lpwstr>http://www.nevo.co.il/law/70301/333</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6619241</vt:i4>
      </vt:variant>
      <vt:variant>
        <vt:i4>30</vt:i4>
      </vt:variant>
      <vt:variant>
        <vt:i4>0</vt:i4>
      </vt:variant>
      <vt:variant>
        <vt:i4>5</vt:i4>
      </vt:variant>
      <vt:variant>
        <vt:lpwstr>http://www.nevo.co.il/law/70301/40i.a.9</vt:lpwstr>
      </vt:variant>
      <vt:variant>
        <vt:lpwstr/>
      </vt:variant>
      <vt:variant>
        <vt:i4>6619241</vt:i4>
      </vt:variant>
      <vt:variant>
        <vt:i4>27</vt:i4>
      </vt:variant>
      <vt:variant>
        <vt:i4>0</vt:i4>
      </vt:variant>
      <vt:variant>
        <vt:i4>5</vt:i4>
      </vt:variant>
      <vt:variant>
        <vt:lpwstr>http://www.nevo.co.il/law/70301/40i.a.8</vt:lpwstr>
      </vt:variant>
      <vt:variant>
        <vt:lpwstr/>
      </vt:variant>
      <vt:variant>
        <vt:i4>4915294</vt:i4>
      </vt:variant>
      <vt:variant>
        <vt:i4>24</vt:i4>
      </vt:variant>
      <vt:variant>
        <vt:i4>0</vt:i4>
      </vt:variant>
      <vt:variant>
        <vt:i4>5</vt:i4>
      </vt:variant>
      <vt:variant>
        <vt:lpwstr>http://www.nevo.co.il/law/70301/40i.a.7.</vt:lpwstr>
      </vt:variant>
      <vt:variant>
        <vt:lpwstr/>
      </vt:variant>
      <vt:variant>
        <vt:i4>4915295</vt:i4>
      </vt:variant>
      <vt:variant>
        <vt:i4>21</vt:i4>
      </vt:variant>
      <vt:variant>
        <vt:i4>0</vt:i4>
      </vt:variant>
      <vt:variant>
        <vt:i4>5</vt:i4>
      </vt:variant>
      <vt:variant>
        <vt:lpwstr>http://www.nevo.co.il/law/70301/40i.a.6.</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7995492</vt:i4>
      </vt:variant>
      <vt:variant>
        <vt:i4>3</vt:i4>
      </vt:variant>
      <vt:variant>
        <vt:i4>0</vt:i4>
      </vt:variant>
      <vt:variant>
        <vt:i4>5</vt:i4>
      </vt:variant>
      <vt:variant>
        <vt:lpwstr>http://www.nevo.co.il/law/70301</vt:lpwstr>
      </vt:variant>
      <vt:variant>
        <vt:lpwstr/>
      </vt:variant>
      <vt:variant>
        <vt:i4>7602229</vt:i4>
      </vt:variant>
      <vt:variant>
        <vt:i4>0</vt:i4>
      </vt:variant>
      <vt:variant>
        <vt:i4>0</vt:i4>
      </vt:variant>
      <vt:variant>
        <vt:i4>5</vt:i4>
      </vt:variant>
      <vt:variant>
        <vt:lpwstr>http://www.nevo.co.il/safrut/book/3366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Tali Peled</dc:creator>
  <cp:keywords/>
  <dc:description/>
  <cp:lastModifiedBy>Tal Klein</cp:lastModifiedBy>
  <cp:revision>2</cp:revision>
  <dcterms:created xsi:type="dcterms:W3CDTF">2025-01-19T15:54:00Z</dcterms:created>
  <dcterms:modified xsi:type="dcterms:W3CDTF">2025-01-19T15:54:00Z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31467</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עאוני הוארי</vt:lpwstr>
  </property>
  <property fmtid="{D5CDD505-2E9C-101B-9397-08002B2CF9AE}" pid="10" name="LAWYER">
    <vt:lpwstr>רועי אלפסי;אלעד אלימלח</vt:lpwstr>
  </property>
  <property fmtid="{D5CDD505-2E9C-101B-9397-08002B2CF9AE}" pid="11" name="JUDGE">
    <vt:lpwstr>נחמה מוניץ</vt:lpwstr>
  </property>
  <property fmtid="{D5CDD505-2E9C-101B-9397-08002B2CF9AE}" pid="12" name="CITY">
    <vt:lpwstr>נצ'</vt:lpwstr>
  </property>
  <property fmtid="{D5CDD505-2E9C-101B-9397-08002B2CF9AE}" pid="13" name="DATE">
    <vt:lpwstr>20150329</vt:lpwstr>
  </property>
  <property fmtid="{D5CDD505-2E9C-101B-9397-08002B2CF9AE}" pid="14" name="TYPE_N_DATE">
    <vt:lpwstr>39020150329</vt:lpwstr>
  </property>
  <property fmtid="{D5CDD505-2E9C-101B-9397-08002B2CF9AE}" pid="15" name="WORDNUMPAGES">
    <vt:lpwstr>12</vt:lpwstr>
  </property>
  <property fmtid="{D5CDD505-2E9C-101B-9397-08002B2CF9AE}" pid="16" name="TYPE_ABS_DATE">
    <vt:lpwstr>390020150329</vt:lpwstr>
  </property>
  <property fmtid="{D5CDD505-2E9C-101B-9397-08002B2CF9AE}" pid="17" name="ISABSTRACT">
    <vt:lpwstr>Y</vt:lpwstr>
  </property>
  <property fmtid="{D5CDD505-2E9C-101B-9397-08002B2CF9AE}" pid="18" name="BOOKLISTTMP1">
    <vt:lpwstr>3366</vt:lpwstr>
  </property>
  <property fmtid="{D5CDD505-2E9C-101B-9397-08002B2CF9AE}" pid="19" name="CASESLISTTMP1">
    <vt:lpwstr>6950458;8291683;16987369;6018644;2439061;6842737;6135887;2243130;2253079;6096035;5885411;5071995;5704670</vt:lpwstr>
  </property>
  <property fmtid="{D5CDD505-2E9C-101B-9397-08002B2CF9AE}" pid="20" name="LAWLISTTMP1">
    <vt:lpwstr>70301/333;335;144.b;040i.a.6;040i.a.7;040i.a.8;040i.a.9;040b;040c.a;040i:2;040d;040e;40ja</vt:lpwstr>
  </property>
</Properties>
</file>