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E36966" w:rsidRPr="000F46D2" w14:paraId="4E284BB7" w14:textId="77777777">
        <w:trPr>
          <w:trHeight w:hRule="exact" w:val="418"/>
          <w:jc w:val="center"/>
        </w:trPr>
        <w:tc>
          <w:tcPr>
            <w:tcW w:w="8721" w:type="dxa"/>
            <w:gridSpan w:val="2"/>
          </w:tcPr>
          <w:p w14:paraId="0DE96730" w14:textId="77777777" w:rsidR="00E36966" w:rsidRPr="000F46D2" w:rsidRDefault="00E36966" w:rsidP="000F46D2">
            <w:pPr>
              <w:pStyle w:val="a3"/>
              <w:jc w:val="center"/>
              <w:rPr>
                <w:rFonts w:ascii="Tahoma" w:hAnsi="Tahoma" w:cs="Tahoma"/>
                <w:color w:val="000080"/>
                <w:rtl/>
              </w:rPr>
            </w:pPr>
            <w:bookmarkStart w:id="0" w:name="LastJudge"/>
            <w:r w:rsidRPr="000F46D2">
              <w:rPr>
                <w:rFonts w:ascii="Tahoma" w:hAnsi="Tahoma" w:cs="Tahoma"/>
                <w:b/>
                <w:bCs/>
                <w:color w:val="000080"/>
                <w:rtl/>
              </w:rPr>
              <w:t>בית המשפט המחוזי מרכז-לוד</w:t>
            </w:r>
          </w:p>
        </w:tc>
      </w:tr>
      <w:tr w:rsidR="00E36966" w:rsidRPr="000F46D2" w14:paraId="167875F2" w14:textId="77777777">
        <w:trPr>
          <w:trHeight w:val="337"/>
          <w:jc w:val="center"/>
        </w:trPr>
        <w:tc>
          <w:tcPr>
            <w:tcW w:w="5057" w:type="dxa"/>
          </w:tcPr>
          <w:p w14:paraId="7AED9CEB" w14:textId="77777777" w:rsidR="00E36966" w:rsidRPr="000F46D2" w:rsidRDefault="00E36966" w:rsidP="000F46D2">
            <w:pPr>
              <w:rPr>
                <w:rFonts w:cs="FrankRuehl"/>
                <w:sz w:val="28"/>
                <w:szCs w:val="28"/>
                <w:rtl/>
              </w:rPr>
            </w:pPr>
            <w:r w:rsidRPr="000F46D2">
              <w:rPr>
                <w:rFonts w:cs="FrankRuehl"/>
                <w:sz w:val="28"/>
                <w:szCs w:val="28"/>
                <w:rtl/>
              </w:rPr>
              <w:t>ת"פ</w:t>
            </w:r>
            <w:r w:rsidRPr="000F46D2">
              <w:rPr>
                <w:rFonts w:cs="FrankRuehl" w:hint="cs"/>
                <w:sz w:val="28"/>
                <w:szCs w:val="28"/>
                <w:rtl/>
              </w:rPr>
              <w:t xml:space="preserve"> </w:t>
            </w:r>
            <w:r w:rsidRPr="000F46D2">
              <w:rPr>
                <w:rFonts w:cs="FrankRuehl"/>
                <w:sz w:val="28"/>
                <w:szCs w:val="28"/>
                <w:rtl/>
              </w:rPr>
              <w:t>5795-07-14</w:t>
            </w:r>
            <w:r w:rsidRPr="000F46D2">
              <w:rPr>
                <w:rFonts w:cs="FrankRuehl" w:hint="cs"/>
                <w:sz w:val="28"/>
                <w:szCs w:val="28"/>
                <w:rtl/>
              </w:rPr>
              <w:t xml:space="preserve"> </w:t>
            </w:r>
            <w:r w:rsidRPr="000F46D2">
              <w:rPr>
                <w:rFonts w:cs="FrankRuehl"/>
                <w:sz w:val="28"/>
                <w:szCs w:val="28"/>
                <w:rtl/>
              </w:rPr>
              <w:t>מדינת ישראל נ' תורק(עציר)</w:t>
            </w:r>
          </w:p>
          <w:p w14:paraId="08A9E3BA" w14:textId="77777777" w:rsidR="00E36966" w:rsidRPr="000F46D2" w:rsidRDefault="00E36966" w:rsidP="000F46D2">
            <w:pPr>
              <w:pStyle w:val="a3"/>
              <w:rPr>
                <w:rFonts w:cs="FrankRuehl"/>
                <w:sz w:val="28"/>
                <w:szCs w:val="28"/>
                <w:rtl/>
              </w:rPr>
            </w:pPr>
          </w:p>
        </w:tc>
        <w:tc>
          <w:tcPr>
            <w:tcW w:w="3664" w:type="dxa"/>
          </w:tcPr>
          <w:p w14:paraId="78920FE3" w14:textId="77777777" w:rsidR="00E36966" w:rsidRPr="000F46D2" w:rsidRDefault="00E36966" w:rsidP="000F46D2">
            <w:pPr>
              <w:pStyle w:val="a3"/>
              <w:jc w:val="right"/>
              <w:rPr>
                <w:rFonts w:cs="FrankRuehl"/>
                <w:sz w:val="28"/>
                <w:szCs w:val="28"/>
                <w:rtl/>
              </w:rPr>
            </w:pPr>
          </w:p>
        </w:tc>
      </w:tr>
    </w:tbl>
    <w:p w14:paraId="26518FC5" w14:textId="77777777" w:rsidR="00E36966" w:rsidRPr="000F46D2" w:rsidRDefault="00E36966" w:rsidP="00E36966">
      <w:pPr>
        <w:pStyle w:val="a3"/>
        <w:rPr>
          <w:rtl/>
        </w:rPr>
      </w:pPr>
      <w:r w:rsidRPr="000F46D2">
        <w:rPr>
          <w:rFonts w:hint="cs"/>
          <w:rtl/>
        </w:rPr>
        <w:t xml:space="preserve"> </w:t>
      </w:r>
    </w:p>
    <w:p w14:paraId="22053DA7" w14:textId="77777777" w:rsidR="00E36966" w:rsidRPr="000F46D2" w:rsidRDefault="00E36966" w:rsidP="00E36966">
      <w:pPr>
        <w:spacing w:line="360" w:lineRule="auto"/>
        <w:rPr>
          <w:rFonts w:cs="FrankRuehl"/>
          <w:b/>
          <w:bCs/>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36966" w:rsidRPr="000F46D2" w14:paraId="58D73A33" w14:textId="77777777">
        <w:trPr>
          <w:trHeight w:val="295"/>
          <w:jc w:val="center"/>
        </w:trPr>
        <w:tc>
          <w:tcPr>
            <w:tcW w:w="923" w:type="dxa"/>
            <w:tcBorders>
              <w:top w:val="nil"/>
              <w:left w:val="nil"/>
              <w:bottom w:val="nil"/>
              <w:right w:val="nil"/>
            </w:tcBorders>
            <w:shd w:val="clear" w:color="auto" w:fill="auto"/>
          </w:tcPr>
          <w:p w14:paraId="3E1AF547" w14:textId="77777777" w:rsidR="00E36966" w:rsidRPr="000F46D2" w:rsidRDefault="00E36966" w:rsidP="000F46D2">
            <w:pPr>
              <w:spacing w:line="360" w:lineRule="auto"/>
              <w:jc w:val="both"/>
              <w:rPr>
                <w:rFonts w:ascii="Arial" w:hAnsi="Arial" w:cs="FrankRuehl"/>
                <w:b/>
                <w:bCs/>
                <w:sz w:val="28"/>
                <w:szCs w:val="28"/>
              </w:rPr>
            </w:pPr>
            <w:r w:rsidRPr="000F46D2">
              <w:rPr>
                <w:rFonts w:ascii="Arial" w:hAnsi="Arial" w:cs="FrankRuehl" w:hint="cs"/>
                <w:b/>
                <w:bCs/>
                <w:sz w:val="28"/>
                <w:szCs w:val="28"/>
                <w:rtl/>
              </w:rPr>
              <w:t>ב</w:t>
            </w:r>
            <w:r w:rsidRPr="000F46D2">
              <w:rPr>
                <w:rFonts w:ascii="Arial" w:hAnsi="Arial" w:cs="FrankRuehl"/>
                <w:b/>
                <w:bCs/>
                <w:sz w:val="28"/>
                <w:szCs w:val="28"/>
                <w:rtl/>
              </w:rPr>
              <w:t xml:space="preserve">פני </w:t>
            </w:r>
          </w:p>
        </w:tc>
        <w:tc>
          <w:tcPr>
            <w:tcW w:w="7897" w:type="dxa"/>
            <w:gridSpan w:val="2"/>
            <w:tcBorders>
              <w:top w:val="nil"/>
              <w:left w:val="nil"/>
              <w:bottom w:val="nil"/>
              <w:right w:val="nil"/>
            </w:tcBorders>
            <w:shd w:val="clear" w:color="auto" w:fill="auto"/>
          </w:tcPr>
          <w:p w14:paraId="2B4074D1" w14:textId="77777777" w:rsidR="00E36966" w:rsidRPr="000F46D2" w:rsidRDefault="00E36966" w:rsidP="000F46D2">
            <w:pPr>
              <w:spacing w:line="360" w:lineRule="auto"/>
              <w:rPr>
                <w:rFonts w:ascii="Arial" w:hAnsi="Arial" w:cs="FrankRuehl"/>
                <w:b/>
                <w:bCs/>
                <w:sz w:val="28"/>
                <w:szCs w:val="28"/>
                <w:rtl/>
              </w:rPr>
            </w:pPr>
            <w:r w:rsidRPr="000F46D2">
              <w:rPr>
                <w:rFonts w:ascii="Arial" w:hAnsi="Arial" w:cs="FrankRuehl" w:hint="cs"/>
                <w:b/>
                <w:bCs/>
                <w:sz w:val="28"/>
                <w:szCs w:val="28"/>
                <w:rtl/>
              </w:rPr>
              <w:t>כבוד ה</w:t>
            </w:r>
            <w:r w:rsidRPr="000F46D2">
              <w:rPr>
                <w:rFonts w:cs="FrankRuehl" w:hint="cs"/>
                <w:b/>
                <w:bCs/>
                <w:sz w:val="28"/>
                <w:szCs w:val="28"/>
                <w:rtl/>
              </w:rPr>
              <w:t>שופטת</w:t>
            </w:r>
            <w:r w:rsidRPr="000F46D2">
              <w:rPr>
                <w:rFonts w:ascii="Arial" w:hAnsi="Arial" w:cs="FrankRuehl" w:hint="cs"/>
                <w:b/>
                <w:bCs/>
                <w:sz w:val="28"/>
                <w:szCs w:val="28"/>
                <w:rtl/>
              </w:rPr>
              <w:t xml:space="preserve">  </w:t>
            </w:r>
            <w:r w:rsidRPr="000F46D2">
              <w:rPr>
                <w:rFonts w:cs="FrankRuehl" w:hint="cs"/>
                <w:b/>
                <w:bCs/>
                <w:sz w:val="28"/>
                <w:szCs w:val="28"/>
                <w:rtl/>
              </w:rPr>
              <w:t>מיכל ברנט</w:t>
            </w:r>
          </w:p>
          <w:p w14:paraId="62CE4F77" w14:textId="77777777" w:rsidR="00E36966" w:rsidRPr="000F46D2" w:rsidRDefault="00E36966" w:rsidP="000F46D2">
            <w:pPr>
              <w:spacing w:line="360" w:lineRule="auto"/>
              <w:rPr>
                <w:rFonts w:cs="FrankRuehl"/>
                <w:b/>
                <w:bCs/>
                <w:sz w:val="28"/>
                <w:szCs w:val="28"/>
                <w:rtl/>
              </w:rPr>
            </w:pPr>
          </w:p>
          <w:p w14:paraId="1FCB6465" w14:textId="77777777" w:rsidR="00E36966" w:rsidRPr="000F46D2" w:rsidRDefault="00E36966" w:rsidP="000F46D2">
            <w:pPr>
              <w:spacing w:line="360" w:lineRule="auto"/>
              <w:jc w:val="both"/>
              <w:rPr>
                <w:rFonts w:ascii="Arial" w:hAnsi="Arial" w:cs="FrankRuehl"/>
                <w:b/>
                <w:bCs/>
                <w:sz w:val="28"/>
                <w:szCs w:val="28"/>
              </w:rPr>
            </w:pPr>
          </w:p>
        </w:tc>
      </w:tr>
      <w:tr w:rsidR="00E36966" w:rsidRPr="000F46D2" w14:paraId="274911EC" w14:textId="77777777">
        <w:trPr>
          <w:trHeight w:val="355"/>
          <w:jc w:val="center"/>
        </w:trPr>
        <w:tc>
          <w:tcPr>
            <w:tcW w:w="923" w:type="dxa"/>
            <w:tcBorders>
              <w:top w:val="nil"/>
              <w:left w:val="nil"/>
              <w:bottom w:val="nil"/>
              <w:right w:val="nil"/>
            </w:tcBorders>
            <w:shd w:val="clear" w:color="auto" w:fill="auto"/>
          </w:tcPr>
          <w:p w14:paraId="53E0A99E" w14:textId="77777777" w:rsidR="00E36966" w:rsidRPr="000F46D2" w:rsidRDefault="00E36966" w:rsidP="000F46D2">
            <w:pPr>
              <w:spacing w:line="360" w:lineRule="auto"/>
              <w:jc w:val="both"/>
              <w:rPr>
                <w:rFonts w:ascii="Arial" w:hAnsi="Arial" w:cs="FrankRuehl"/>
                <w:b/>
                <w:bCs/>
                <w:sz w:val="28"/>
                <w:szCs w:val="28"/>
              </w:rPr>
            </w:pPr>
            <w:bookmarkStart w:id="1" w:name="FirstAppellant"/>
            <w:r w:rsidRPr="000F46D2">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6CD7EC3C" w14:textId="77777777" w:rsidR="00E36966" w:rsidRPr="000F46D2" w:rsidRDefault="00E36966" w:rsidP="000F46D2">
            <w:pPr>
              <w:spacing w:line="360" w:lineRule="auto"/>
              <w:rPr>
                <w:rFonts w:cs="FrankRuehl"/>
                <w:b/>
                <w:bCs/>
                <w:sz w:val="28"/>
                <w:szCs w:val="28"/>
              </w:rPr>
            </w:pPr>
            <w:r w:rsidRPr="000F46D2">
              <w:rPr>
                <w:rFonts w:cs="FrankRuehl" w:hint="cs"/>
                <w:b/>
                <w:bCs/>
                <w:sz w:val="28"/>
                <w:szCs w:val="28"/>
                <w:rtl/>
              </w:rPr>
              <w:t>מדינת ישראל</w:t>
            </w:r>
          </w:p>
        </w:tc>
        <w:tc>
          <w:tcPr>
            <w:tcW w:w="3771" w:type="dxa"/>
            <w:tcBorders>
              <w:top w:val="nil"/>
              <w:left w:val="nil"/>
              <w:bottom w:val="nil"/>
              <w:right w:val="nil"/>
            </w:tcBorders>
            <w:shd w:val="clear" w:color="auto" w:fill="auto"/>
          </w:tcPr>
          <w:p w14:paraId="328EB1D5" w14:textId="77777777" w:rsidR="00E36966" w:rsidRPr="000F46D2" w:rsidRDefault="00E36966" w:rsidP="000F46D2">
            <w:pPr>
              <w:spacing w:line="360" w:lineRule="auto"/>
              <w:jc w:val="both"/>
              <w:rPr>
                <w:rFonts w:ascii="Arial" w:hAnsi="Arial" w:cs="FrankRuehl"/>
                <w:b/>
                <w:bCs/>
                <w:sz w:val="28"/>
                <w:szCs w:val="28"/>
              </w:rPr>
            </w:pPr>
          </w:p>
        </w:tc>
      </w:tr>
      <w:bookmarkEnd w:id="1"/>
      <w:tr w:rsidR="00E36966" w:rsidRPr="000F46D2" w14:paraId="21CD58F1" w14:textId="77777777">
        <w:trPr>
          <w:trHeight w:val="355"/>
          <w:jc w:val="center"/>
        </w:trPr>
        <w:tc>
          <w:tcPr>
            <w:tcW w:w="923" w:type="dxa"/>
            <w:tcBorders>
              <w:top w:val="nil"/>
              <w:left w:val="nil"/>
              <w:bottom w:val="nil"/>
              <w:right w:val="nil"/>
            </w:tcBorders>
            <w:shd w:val="clear" w:color="auto" w:fill="auto"/>
          </w:tcPr>
          <w:p w14:paraId="39414089" w14:textId="77777777" w:rsidR="00E36966" w:rsidRPr="000F46D2" w:rsidRDefault="00E36966" w:rsidP="000F46D2">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17558B48" w14:textId="77777777" w:rsidR="00E36966" w:rsidRPr="000F46D2" w:rsidRDefault="00E36966" w:rsidP="000F46D2">
            <w:pPr>
              <w:spacing w:line="360" w:lineRule="auto"/>
              <w:jc w:val="both"/>
              <w:rPr>
                <w:rFonts w:cs="FrankRuehl"/>
                <w:b/>
                <w:bCs/>
                <w:sz w:val="28"/>
                <w:szCs w:val="28"/>
                <w:rtl/>
              </w:rPr>
            </w:pPr>
          </w:p>
        </w:tc>
        <w:tc>
          <w:tcPr>
            <w:tcW w:w="3771" w:type="dxa"/>
            <w:tcBorders>
              <w:top w:val="nil"/>
              <w:left w:val="nil"/>
              <w:bottom w:val="nil"/>
              <w:right w:val="nil"/>
            </w:tcBorders>
            <w:shd w:val="clear" w:color="auto" w:fill="auto"/>
          </w:tcPr>
          <w:p w14:paraId="47CD15E2" w14:textId="77777777" w:rsidR="00E36966" w:rsidRPr="000F46D2" w:rsidRDefault="00E36966" w:rsidP="000F46D2">
            <w:pPr>
              <w:spacing w:line="360" w:lineRule="auto"/>
              <w:jc w:val="right"/>
              <w:rPr>
                <w:rFonts w:ascii="Arial" w:hAnsi="Arial" w:cs="FrankRuehl"/>
                <w:b/>
                <w:bCs/>
                <w:sz w:val="28"/>
                <w:szCs w:val="28"/>
                <w:rtl/>
              </w:rPr>
            </w:pPr>
            <w:r w:rsidRPr="000F46D2">
              <w:rPr>
                <w:rFonts w:ascii="Arial" w:hAnsi="Arial" w:cs="FrankRuehl" w:hint="cs"/>
                <w:b/>
                <w:bCs/>
                <w:sz w:val="28"/>
                <w:szCs w:val="28"/>
                <w:rtl/>
              </w:rPr>
              <w:t>ה</w:t>
            </w:r>
            <w:r w:rsidRPr="000F46D2">
              <w:rPr>
                <w:rFonts w:cs="FrankRuehl" w:hint="cs"/>
                <w:b/>
                <w:bCs/>
                <w:sz w:val="28"/>
                <w:szCs w:val="28"/>
                <w:rtl/>
              </w:rPr>
              <w:t>מאשימה</w:t>
            </w:r>
          </w:p>
        </w:tc>
      </w:tr>
      <w:tr w:rsidR="00E36966" w:rsidRPr="000F46D2" w14:paraId="1A96481F" w14:textId="77777777">
        <w:trPr>
          <w:trHeight w:val="355"/>
          <w:jc w:val="center"/>
        </w:trPr>
        <w:tc>
          <w:tcPr>
            <w:tcW w:w="923" w:type="dxa"/>
            <w:tcBorders>
              <w:top w:val="nil"/>
              <w:left w:val="nil"/>
              <w:bottom w:val="nil"/>
              <w:right w:val="nil"/>
            </w:tcBorders>
            <w:shd w:val="clear" w:color="auto" w:fill="auto"/>
          </w:tcPr>
          <w:p w14:paraId="5DD9E739" w14:textId="77777777" w:rsidR="00E36966" w:rsidRPr="000F46D2" w:rsidRDefault="00E36966" w:rsidP="000F46D2">
            <w:pPr>
              <w:spacing w:line="360" w:lineRule="auto"/>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0B884F1A" w14:textId="77777777" w:rsidR="00E36966" w:rsidRPr="000F46D2" w:rsidRDefault="00E36966" w:rsidP="000F46D2">
            <w:pPr>
              <w:spacing w:line="360" w:lineRule="auto"/>
              <w:jc w:val="center"/>
              <w:rPr>
                <w:rFonts w:ascii="Arial" w:hAnsi="Arial" w:cs="FrankRuehl"/>
                <w:b/>
                <w:bCs/>
                <w:sz w:val="28"/>
                <w:szCs w:val="28"/>
                <w:rtl/>
              </w:rPr>
            </w:pPr>
          </w:p>
          <w:p w14:paraId="074F4050" w14:textId="77777777" w:rsidR="00E36966" w:rsidRPr="000F46D2" w:rsidRDefault="00E36966" w:rsidP="000F46D2">
            <w:pPr>
              <w:spacing w:line="360" w:lineRule="auto"/>
              <w:jc w:val="center"/>
              <w:rPr>
                <w:rFonts w:ascii="Arial" w:hAnsi="Arial" w:cs="FrankRuehl"/>
                <w:b/>
                <w:bCs/>
                <w:sz w:val="28"/>
                <w:szCs w:val="28"/>
                <w:rtl/>
              </w:rPr>
            </w:pPr>
            <w:r w:rsidRPr="000F46D2">
              <w:rPr>
                <w:rFonts w:ascii="Arial" w:hAnsi="Arial" w:cs="FrankRuehl"/>
                <w:b/>
                <w:bCs/>
                <w:sz w:val="28"/>
                <w:szCs w:val="28"/>
                <w:rtl/>
              </w:rPr>
              <w:t>נגד</w:t>
            </w:r>
          </w:p>
          <w:p w14:paraId="0662E275" w14:textId="77777777" w:rsidR="00E36966" w:rsidRPr="000F46D2" w:rsidRDefault="00E36966" w:rsidP="000F46D2">
            <w:pPr>
              <w:spacing w:line="360" w:lineRule="auto"/>
              <w:jc w:val="both"/>
              <w:rPr>
                <w:rFonts w:ascii="Arial" w:hAnsi="Arial" w:cs="FrankRuehl"/>
                <w:b/>
                <w:bCs/>
                <w:sz w:val="28"/>
                <w:szCs w:val="28"/>
              </w:rPr>
            </w:pPr>
          </w:p>
        </w:tc>
      </w:tr>
      <w:tr w:rsidR="00E36966" w:rsidRPr="000F46D2" w14:paraId="4C4CDA5A" w14:textId="77777777">
        <w:trPr>
          <w:trHeight w:val="355"/>
          <w:jc w:val="center"/>
        </w:trPr>
        <w:tc>
          <w:tcPr>
            <w:tcW w:w="923" w:type="dxa"/>
            <w:tcBorders>
              <w:top w:val="nil"/>
              <w:left w:val="nil"/>
              <w:bottom w:val="nil"/>
              <w:right w:val="nil"/>
            </w:tcBorders>
            <w:shd w:val="clear" w:color="auto" w:fill="auto"/>
          </w:tcPr>
          <w:p w14:paraId="125987C9" w14:textId="77777777" w:rsidR="00E36966" w:rsidRPr="000F46D2" w:rsidRDefault="00E36966" w:rsidP="000F46D2">
            <w:pPr>
              <w:spacing w:line="360" w:lineRule="auto"/>
              <w:rPr>
                <w:rFonts w:ascii="Arial" w:hAnsi="Arial" w:cs="FrankRuehl"/>
                <w:b/>
                <w:bCs/>
                <w:sz w:val="28"/>
                <w:szCs w:val="28"/>
                <w:rtl/>
              </w:rPr>
            </w:pPr>
          </w:p>
        </w:tc>
        <w:tc>
          <w:tcPr>
            <w:tcW w:w="4126" w:type="dxa"/>
            <w:tcBorders>
              <w:top w:val="nil"/>
              <w:left w:val="nil"/>
              <w:bottom w:val="nil"/>
              <w:right w:val="nil"/>
            </w:tcBorders>
            <w:shd w:val="clear" w:color="auto" w:fill="auto"/>
          </w:tcPr>
          <w:p w14:paraId="0FBAD82E" w14:textId="77777777" w:rsidR="00E36966" w:rsidRPr="000F46D2" w:rsidRDefault="00E36966" w:rsidP="000F46D2">
            <w:pPr>
              <w:spacing w:line="360" w:lineRule="auto"/>
              <w:rPr>
                <w:rFonts w:cs="FrankRuehl"/>
                <w:b/>
                <w:bCs/>
                <w:sz w:val="28"/>
                <w:szCs w:val="28"/>
                <w:rtl/>
              </w:rPr>
            </w:pPr>
            <w:r w:rsidRPr="000F46D2">
              <w:rPr>
                <w:rFonts w:cs="FrankRuehl" w:hint="cs"/>
                <w:b/>
                <w:bCs/>
                <w:sz w:val="28"/>
                <w:szCs w:val="28"/>
                <w:rtl/>
              </w:rPr>
              <w:t>רמאדן תורק (עציר)</w:t>
            </w:r>
          </w:p>
        </w:tc>
        <w:tc>
          <w:tcPr>
            <w:tcW w:w="3771" w:type="dxa"/>
            <w:tcBorders>
              <w:top w:val="nil"/>
              <w:left w:val="nil"/>
              <w:bottom w:val="nil"/>
              <w:right w:val="nil"/>
            </w:tcBorders>
            <w:shd w:val="clear" w:color="auto" w:fill="auto"/>
          </w:tcPr>
          <w:p w14:paraId="0E040BFE" w14:textId="77777777" w:rsidR="00E36966" w:rsidRPr="000F46D2" w:rsidRDefault="00E36966" w:rsidP="000F46D2">
            <w:pPr>
              <w:spacing w:line="360" w:lineRule="auto"/>
              <w:jc w:val="right"/>
              <w:rPr>
                <w:rFonts w:ascii="Arial" w:hAnsi="Arial" w:cs="FrankRuehl"/>
                <w:b/>
                <w:bCs/>
                <w:sz w:val="28"/>
                <w:szCs w:val="28"/>
              </w:rPr>
            </w:pPr>
          </w:p>
        </w:tc>
      </w:tr>
      <w:tr w:rsidR="00E36966" w:rsidRPr="000F46D2" w14:paraId="2D438EAF" w14:textId="77777777">
        <w:trPr>
          <w:trHeight w:val="355"/>
          <w:jc w:val="center"/>
        </w:trPr>
        <w:tc>
          <w:tcPr>
            <w:tcW w:w="923" w:type="dxa"/>
            <w:tcBorders>
              <w:top w:val="nil"/>
              <w:left w:val="nil"/>
              <w:bottom w:val="nil"/>
              <w:right w:val="nil"/>
            </w:tcBorders>
            <w:shd w:val="clear" w:color="auto" w:fill="auto"/>
          </w:tcPr>
          <w:p w14:paraId="3B6188AF" w14:textId="77777777" w:rsidR="00E36966" w:rsidRPr="000F46D2" w:rsidRDefault="00E36966" w:rsidP="000F46D2">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27C5812F" w14:textId="77777777" w:rsidR="00E36966" w:rsidRPr="000F46D2" w:rsidRDefault="00E36966" w:rsidP="000F46D2">
            <w:pPr>
              <w:spacing w:line="360" w:lineRule="auto"/>
              <w:jc w:val="both"/>
              <w:rPr>
                <w:rFonts w:cs="FrankRuehl"/>
                <w:b/>
                <w:bCs/>
                <w:sz w:val="28"/>
                <w:szCs w:val="28"/>
                <w:rtl/>
              </w:rPr>
            </w:pPr>
          </w:p>
        </w:tc>
        <w:tc>
          <w:tcPr>
            <w:tcW w:w="3771" w:type="dxa"/>
            <w:tcBorders>
              <w:top w:val="nil"/>
              <w:left w:val="nil"/>
              <w:bottom w:val="nil"/>
              <w:right w:val="nil"/>
            </w:tcBorders>
            <w:shd w:val="clear" w:color="auto" w:fill="auto"/>
          </w:tcPr>
          <w:p w14:paraId="5EF9B938" w14:textId="77777777" w:rsidR="00E36966" w:rsidRPr="000F46D2" w:rsidRDefault="00E36966" w:rsidP="000F46D2">
            <w:pPr>
              <w:spacing w:line="360" w:lineRule="auto"/>
              <w:jc w:val="right"/>
              <w:rPr>
                <w:rFonts w:cs="FrankRuehl"/>
                <w:b/>
                <w:bCs/>
                <w:sz w:val="28"/>
                <w:szCs w:val="28"/>
              </w:rPr>
            </w:pPr>
            <w:r w:rsidRPr="000F46D2">
              <w:rPr>
                <w:rFonts w:ascii="Arial" w:hAnsi="Arial" w:cs="FrankRuehl" w:hint="cs"/>
                <w:b/>
                <w:bCs/>
                <w:sz w:val="28"/>
                <w:szCs w:val="28"/>
                <w:rtl/>
              </w:rPr>
              <w:t>ה</w:t>
            </w:r>
            <w:r w:rsidRPr="000F46D2">
              <w:rPr>
                <w:rFonts w:cs="FrankRuehl" w:hint="cs"/>
                <w:b/>
                <w:bCs/>
                <w:sz w:val="28"/>
                <w:szCs w:val="28"/>
                <w:rtl/>
              </w:rPr>
              <w:t>נאשם</w:t>
            </w:r>
          </w:p>
        </w:tc>
      </w:tr>
    </w:tbl>
    <w:p w14:paraId="13C59449" w14:textId="77777777" w:rsidR="00E36966" w:rsidRDefault="00E36966" w:rsidP="00E36966">
      <w:pPr>
        <w:spacing w:line="360" w:lineRule="auto"/>
        <w:rPr>
          <w:rFonts w:cs="FrankRuehl" w:hint="cs"/>
          <w:b/>
          <w:bCs/>
          <w:sz w:val="28"/>
          <w:szCs w:val="28"/>
          <w:rtl/>
        </w:rPr>
      </w:pPr>
    </w:p>
    <w:p w14:paraId="1DD67DA7" w14:textId="77777777" w:rsidR="00DF6F41" w:rsidRDefault="00DF6F41" w:rsidP="00E36966">
      <w:pPr>
        <w:spacing w:line="360" w:lineRule="auto"/>
        <w:rPr>
          <w:rFonts w:cs="FrankRuehl" w:hint="cs"/>
          <w:b/>
          <w:bCs/>
          <w:sz w:val="28"/>
          <w:szCs w:val="28"/>
          <w:rtl/>
        </w:rPr>
      </w:pPr>
    </w:p>
    <w:p w14:paraId="489F2DEF" w14:textId="77777777" w:rsidR="00DF6F41" w:rsidRPr="000F46D2" w:rsidRDefault="00DF6F41" w:rsidP="00DF6F41">
      <w:pPr>
        <w:spacing w:line="360" w:lineRule="auto"/>
        <w:rPr>
          <w:rFonts w:ascii="Arial" w:hAnsi="Arial" w:cs="FrankRuehl"/>
          <w:b/>
          <w:bCs/>
          <w:sz w:val="28"/>
          <w:szCs w:val="28"/>
          <w:rtl/>
        </w:rPr>
      </w:pPr>
      <w:r w:rsidRPr="000F46D2">
        <w:rPr>
          <w:rFonts w:ascii="Arial" w:hAnsi="Arial" w:cs="FrankRuehl" w:hint="cs"/>
          <w:b/>
          <w:bCs/>
          <w:sz w:val="28"/>
          <w:szCs w:val="28"/>
          <w:rtl/>
        </w:rPr>
        <w:t>נוכחים: ב"כ המאשימה עו"ד נעמה טל והמתמחה סתיו שורצברג</w:t>
      </w:r>
    </w:p>
    <w:p w14:paraId="1DB2017E" w14:textId="77777777" w:rsidR="00DF6F41" w:rsidRPr="000F46D2" w:rsidRDefault="00DF6F41" w:rsidP="00DF6F41">
      <w:pPr>
        <w:spacing w:line="360" w:lineRule="auto"/>
        <w:rPr>
          <w:rFonts w:ascii="Arial" w:hAnsi="Arial" w:cs="FrankRuehl"/>
          <w:b/>
          <w:bCs/>
          <w:sz w:val="28"/>
          <w:szCs w:val="28"/>
          <w:rtl/>
        </w:rPr>
      </w:pPr>
      <w:r w:rsidRPr="000F46D2">
        <w:rPr>
          <w:rFonts w:ascii="Arial" w:hAnsi="Arial" w:cs="FrankRuehl" w:hint="cs"/>
          <w:b/>
          <w:bCs/>
          <w:sz w:val="28"/>
          <w:szCs w:val="28"/>
          <w:rtl/>
        </w:rPr>
        <w:t xml:space="preserve">             ב"כ הנאשם עו"ד ניר רהט</w:t>
      </w:r>
    </w:p>
    <w:p w14:paraId="50F0062E" w14:textId="77777777" w:rsidR="00DF6F41" w:rsidRDefault="00DF6F41" w:rsidP="00DF6F41">
      <w:pPr>
        <w:spacing w:line="360" w:lineRule="auto"/>
        <w:rPr>
          <w:rFonts w:ascii="Arial" w:hAnsi="Arial" w:cs="FrankRuehl" w:hint="cs"/>
          <w:b/>
          <w:bCs/>
          <w:sz w:val="28"/>
          <w:szCs w:val="28"/>
          <w:rtl/>
        </w:rPr>
      </w:pPr>
      <w:r w:rsidRPr="000F46D2">
        <w:rPr>
          <w:rFonts w:ascii="Arial" w:hAnsi="Arial" w:cs="FrankRuehl" w:hint="cs"/>
          <w:b/>
          <w:bCs/>
          <w:sz w:val="28"/>
          <w:szCs w:val="28"/>
          <w:rtl/>
        </w:rPr>
        <w:t xml:space="preserve">            הנאשם הובא על ידי שב"ס.</w:t>
      </w:r>
    </w:p>
    <w:p w14:paraId="2329F086" w14:textId="77777777" w:rsidR="00DF6F41" w:rsidRDefault="00DF6F41" w:rsidP="00DF6F41">
      <w:pPr>
        <w:spacing w:line="360" w:lineRule="auto"/>
        <w:rPr>
          <w:rFonts w:ascii="Arial" w:hAnsi="Arial" w:cs="FrankRuehl" w:hint="cs"/>
          <w:b/>
          <w:bCs/>
          <w:sz w:val="28"/>
          <w:szCs w:val="28"/>
          <w:rtl/>
        </w:rPr>
      </w:pPr>
    </w:p>
    <w:p w14:paraId="1AFD080B" w14:textId="77777777" w:rsidR="00DF6F41" w:rsidRPr="00DF6F41" w:rsidRDefault="00DF6F41" w:rsidP="00DF6F41">
      <w:pPr>
        <w:spacing w:before="120" w:after="120" w:line="240" w:lineRule="exact"/>
        <w:ind w:left="283" w:hanging="283"/>
        <w:jc w:val="both"/>
        <w:rPr>
          <w:rFonts w:ascii="FrankRuehl" w:hAnsi="FrankRuehl" w:cs="FrankRuehl"/>
          <w:rtl/>
        </w:rPr>
      </w:pPr>
      <w:bookmarkStart w:id="2" w:name="LawTable"/>
      <w:bookmarkEnd w:id="2"/>
    </w:p>
    <w:p w14:paraId="782A4CC8" w14:textId="77777777" w:rsidR="00DF6F41" w:rsidRPr="00DF6F41" w:rsidRDefault="00DF6F41" w:rsidP="00DF6F41">
      <w:pPr>
        <w:spacing w:before="120" w:after="120" w:line="240" w:lineRule="exact"/>
        <w:ind w:left="283" w:hanging="283"/>
        <w:jc w:val="both"/>
        <w:rPr>
          <w:rFonts w:ascii="FrankRuehl" w:hAnsi="FrankRuehl" w:cs="FrankRuehl"/>
          <w:rtl/>
        </w:rPr>
      </w:pPr>
    </w:p>
    <w:p w14:paraId="09D09D1B" w14:textId="77777777" w:rsidR="00DF6F41" w:rsidRPr="00DF6F41" w:rsidRDefault="00DF6F41" w:rsidP="00DF6F41">
      <w:pPr>
        <w:spacing w:before="120" w:after="120" w:line="240" w:lineRule="exact"/>
        <w:ind w:left="283" w:hanging="283"/>
        <w:jc w:val="both"/>
        <w:rPr>
          <w:rFonts w:ascii="FrankRuehl" w:hAnsi="FrankRuehl" w:cs="FrankRuehl"/>
          <w:rtl/>
        </w:rPr>
      </w:pPr>
      <w:r w:rsidRPr="00DF6F41">
        <w:rPr>
          <w:rFonts w:ascii="FrankRuehl" w:hAnsi="FrankRuehl" w:cs="FrankRuehl"/>
          <w:rtl/>
        </w:rPr>
        <w:t xml:space="preserve">חקיקה שאוזכרה: </w:t>
      </w:r>
    </w:p>
    <w:p w14:paraId="2327BF72" w14:textId="77777777" w:rsidR="00DF6F41" w:rsidRPr="00DF6F41" w:rsidRDefault="00DF6F41" w:rsidP="00DF6F41">
      <w:pPr>
        <w:spacing w:before="120" w:after="120" w:line="240" w:lineRule="exact"/>
        <w:ind w:left="283" w:hanging="283"/>
        <w:jc w:val="both"/>
        <w:rPr>
          <w:rFonts w:ascii="FrankRuehl" w:hAnsi="FrankRuehl" w:cs="FrankRuehl"/>
          <w:color w:val="0000FF"/>
          <w:rtl/>
        </w:rPr>
      </w:pPr>
      <w:hyperlink r:id="rId7" w:history="1">
        <w:r w:rsidRPr="00DF6F41">
          <w:rPr>
            <w:rStyle w:val="Hyperlink"/>
            <w:rFonts w:ascii="FrankRuehl" w:hAnsi="FrankRuehl" w:cs="FrankRuehl"/>
            <w:rtl/>
          </w:rPr>
          <w:t>חוק העונשין, תשל"ז-1977</w:t>
        </w:r>
      </w:hyperlink>
      <w:r w:rsidRPr="00DF6F41">
        <w:rPr>
          <w:rFonts w:ascii="FrankRuehl" w:hAnsi="FrankRuehl" w:cs="FrankRuehl"/>
          <w:color w:val="0000FF"/>
          <w:u w:val="single"/>
          <w:rtl/>
        </w:rPr>
        <w:t xml:space="preserve">: סע'  </w:t>
      </w:r>
      <w:hyperlink r:id="rId8" w:history="1">
        <w:r w:rsidRPr="00DF6F41">
          <w:rPr>
            <w:rStyle w:val="Hyperlink"/>
            <w:rFonts w:ascii="FrankRuehl" w:hAnsi="FrankRuehl" w:cs="FrankRuehl"/>
          </w:rPr>
          <w:t>40</w:t>
        </w:r>
        <w:r w:rsidRPr="00DF6F41">
          <w:rPr>
            <w:rStyle w:val="Hyperlink"/>
            <w:rFonts w:ascii="FrankRuehl" w:hAnsi="FrankRuehl" w:cs="FrankRuehl"/>
            <w:rtl/>
          </w:rPr>
          <w:t>ט</w:t>
        </w:r>
      </w:hyperlink>
      <w:r w:rsidRPr="00DF6F41">
        <w:rPr>
          <w:rFonts w:ascii="FrankRuehl" w:hAnsi="FrankRuehl" w:cs="FrankRuehl"/>
          <w:color w:val="0000FF"/>
          <w:rtl/>
        </w:rPr>
        <w:t xml:space="preserve">(5), </w:t>
      </w:r>
      <w:hyperlink r:id="rId9" w:history="1">
        <w:r w:rsidRPr="00DF6F41">
          <w:rPr>
            <w:rStyle w:val="Hyperlink"/>
            <w:rFonts w:ascii="FrankRuehl" w:hAnsi="FrankRuehl" w:cs="FrankRuehl"/>
          </w:rPr>
          <w:t>144</w:t>
        </w:r>
      </w:hyperlink>
      <w:r w:rsidRPr="00DF6F41">
        <w:rPr>
          <w:rFonts w:ascii="FrankRuehl" w:hAnsi="FrankRuehl" w:cs="FrankRuehl"/>
          <w:color w:val="0000FF"/>
          <w:rtl/>
        </w:rPr>
        <w:t xml:space="preserve">(ב), </w:t>
      </w:r>
      <w:hyperlink r:id="rId10" w:history="1">
        <w:r w:rsidRPr="00DF6F41">
          <w:rPr>
            <w:rStyle w:val="Hyperlink"/>
            <w:rFonts w:ascii="FrankRuehl" w:hAnsi="FrankRuehl" w:cs="FrankRuehl"/>
          </w:rPr>
          <w:t>192</w:t>
        </w:r>
      </w:hyperlink>
      <w:r w:rsidRPr="00DF6F41">
        <w:rPr>
          <w:rFonts w:ascii="FrankRuehl" w:hAnsi="FrankRuehl" w:cs="FrankRuehl"/>
          <w:color w:val="0000FF"/>
          <w:rtl/>
        </w:rPr>
        <w:t xml:space="preserve">, </w:t>
      </w:r>
      <w:hyperlink r:id="rId11" w:history="1">
        <w:r w:rsidRPr="00DF6F41">
          <w:rPr>
            <w:rStyle w:val="Hyperlink"/>
            <w:rFonts w:ascii="FrankRuehl" w:hAnsi="FrankRuehl" w:cs="FrankRuehl"/>
          </w:rPr>
          <w:t>338</w:t>
        </w:r>
      </w:hyperlink>
      <w:r w:rsidRPr="00DF6F41">
        <w:rPr>
          <w:rFonts w:ascii="FrankRuehl" w:hAnsi="FrankRuehl" w:cs="FrankRuehl"/>
          <w:color w:val="0000FF"/>
          <w:rtl/>
        </w:rPr>
        <w:t xml:space="preserve">(א)(5), </w:t>
      </w:r>
      <w:hyperlink r:id="rId12" w:history="1">
        <w:r w:rsidRPr="00DF6F41">
          <w:rPr>
            <w:rStyle w:val="Hyperlink"/>
            <w:rFonts w:ascii="FrankRuehl" w:hAnsi="FrankRuehl" w:cs="FrankRuehl"/>
          </w:rPr>
          <w:t>340</w:t>
        </w:r>
        <w:r w:rsidRPr="00DF6F41">
          <w:rPr>
            <w:rStyle w:val="Hyperlink"/>
            <w:rFonts w:ascii="FrankRuehl" w:hAnsi="FrankRuehl" w:cs="FrankRuehl"/>
            <w:rtl/>
          </w:rPr>
          <w:t>א</w:t>
        </w:r>
      </w:hyperlink>
      <w:r w:rsidRPr="00DF6F41">
        <w:rPr>
          <w:rFonts w:ascii="FrankRuehl" w:hAnsi="FrankRuehl" w:cs="FrankRuehl"/>
          <w:color w:val="0000FF"/>
          <w:rtl/>
        </w:rPr>
        <w:t xml:space="preserve">, </w:t>
      </w:r>
      <w:hyperlink r:id="rId13" w:history="1">
        <w:r w:rsidRPr="00DF6F41">
          <w:rPr>
            <w:rStyle w:val="Hyperlink"/>
            <w:rFonts w:ascii="FrankRuehl" w:hAnsi="FrankRuehl" w:cs="FrankRuehl"/>
          </w:rPr>
          <w:t>40</w:t>
        </w:r>
        <w:r w:rsidRPr="00DF6F41">
          <w:rPr>
            <w:rStyle w:val="Hyperlink"/>
            <w:rFonts w:ascii="FrankRuehl" w:hAnsi="FrankRuehl" w:cs="FrankRuehl"/>
            <w:rtl/>
          </w:rPr>
          <w:t>יב</w:t>
        </w:r>
      </w:hyperlink>
    </w:p>
    <w:p w14:paraId="46E83974" w14:textId="77777777" w:rsidR="00DF6F41" w:rsidRPr="00DF6F41" w:rsidRDefault="00DF6F41" w:rsidP="00DF6F41">
      <w:pPr>
        <w:spacing w:line="360" w:lineRule="auto"/>
        <w:rPr>
          <w:rFonts w:cs="FrankRuehl" w:hint="cs"/>
          <w:sz w:val="28"/>
          <w:szCs w:val="28"/>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36966" w:rsidRPr="000F46D2" w14:paraId="156B351A" w14:textId="77777777">
        <w:trPr>
          <w:trHeight w:val="355"/>
          <w:jc w:val="center"/>
        </w:trPr>
        <w:tc>
          <w:tcPr>
            <w:tcW w:w="8820" w:type="dxa"/>
            <w:tcBorders>
              <w:top w:val="nil"/>
              <w:left w:val="nil"/>
              <w:bottom w:val="nil"/>
              <w:right w:val="nil"/>
            </w:tcBorders>
            <w:shd w:val="clear" w:color="auto" w:fill="auto"/>
          </w:tcPr>
          <w:p w14:paraId="55F0E417" w14:textId="77777777" w:rsidR="00E36966" w:rsidRPr="000F46D2" w:rsidRDefault="00E36966" w:rsidP="000F46D2">
            <w:pPr>
              <w:spacing w:line="360" w:lineRule="auto"/>
              <w:jc w:val="center"/>
              <w:rPr>
                <w:rFonts w:ascii="Arial" w:hAnsi="Arial" w:cs="FrankRuehl"/>
                <w:b/>
                <w:bCs/>
                <w:sz w:val="28"/>
                <w:szCs w:val="28"/>
                <w:rtl/>
              </w:rPr>
            </w:pPr>
            <w:bookmarkStart w:id="4" w:name="FirstLawyer"/>
            <w:bookmarkStart w:id="5" w:name="PsakDin"/>
            <w:r w:rsidRPr="000F46D2">
              <w:rPr>
                <w:rFonts w:ascii="Arial" w:hAnsi="Arial" w:cs="FrankRuehl" w:hint="cs"/>
                <w:b/>
                <w:bCs/>
                <w:sz w:val="28"/>
                <w:szCs w:val="28"/>
                <w:rtl/>
              </w:rPr>
              <w:t>גזר דין</w:t>
            </w:r>
            <w:bookmarkEnd w:id="5"/>
          </w:p>
        </w:tc>
      </w:tr>
      <w:bookmarkEnd w:id="4"/>
      <w:tr w:rsidR="00E36966" w:rsidRPr="000F46D2" w14:paraId="6BC125A0" w14:textId="77777777">
        <w:trPr>
          <w:trHeight w:val="355"/>
          <w:jc w:val="center"/>
        </w:trPr>
        <w:tc>
          <w:tcPr>
            <w:tcW w:w="8820" w:type="dxa"/>
            <w:tcBorders>
              <w:top w:val="nil"/>
              <w:left w:val="nil"/>
              <w:bottom w:val="nil"/>
              <w:right w:val="nil"/>
            </w:tcBorders>
            <w:shd w:val="clear" w:color="auto" w:fill="auto"/>
          </w:tcPr>
          <w:p w14:paraId="4CE0EBC1" w14:textId="77777777" w:rsidR="00E36966" w:rsidRPr="000F46D2" w:rsidRDefault="00E36966" w:rsidP="000F46D2">
            <w:pPr>
              <w:spacing w:line="360" w:lineRule="auto"/>
              <w:jc w:val="center"/>
              <w:rPr>
                <w:rFonts w:ascii="Arial" w:hAnsi="Arial" w:cs="FrankRuehl"/>
                <w:b/>
                <w:bCs/>
                <w:sz w:val="28"/>
                <w:szCs w:val="28"/>
                <w:rtl/>
              </w:rPr>
            </w:pPr>
          </w:p>
        </w:tc>
      </w:tr>
    </w:tbl>
    <w:p w14:paraId="6BCD5525" w14:textId="77777777" w:rsidR="00E36966" w:rsidRPr="000F46D2" w:rsidRDefault="00E36966" w:rsidP="00E36966">
      <w:pPr>
        <w:spacing w:line="360" w:lineRule="auto"/>
        <w:rPr>
          <w:rFonts w:cs="FrankRuehl"/>
          <w:b/>
          <w:bCs/>
          <w:sz w:val="28"/>
          <w:szCs w:val="28"/>
          <w:rtl/>
        </w:rPr>
      </w:pPr>
      <w:r w:rsidRPr="000F46D2">
        <w:rPr>
          <w:rFonts w:cs="FrankRuehl" w:hint="cs"/>
          <w:b/>
          <w:bCs/>
          <w:sz w:val="28"/>
          <w:szCs w:val="28"/>
          <w:rtl/>
        </w:rPr>
        <w:t>כללי</w:t>
      </w:r>
    </w:p>
    <w:p w14:paraId="3F486D8B" w14:textId="77777777" w:rsidR="00E36966" w:rsidRPr="000F46D2" w:rsidRDefault="00E36966" w:rsidP="00E36966">
      <w:pPr>
        <w:spacing w:line="360" w:lineRule="auto"/>
        <w:ind w:left="720" w:hanging="720"/>
        <w:rPr>
          <w:rFonts w:cs="FrankRuehl"/>
          <w:sz w:val="28"/>
          <w:szCs w:val="28"/>
          <w:rtl/>
        </w:rPr>
      </w:pPr>
      <w:r w:rsidRPr="000F46D2">
        <w:rPr>
          <w:rFonts w:cs="FrankRuehl" w:hint="cs"/>
          <w:b/>
          <w:bCs/>
          <w:sz w:val="28"/>
          <w:szCs w:val="28"/>
          <w:rtl/>
        </w:rPr>
        <w:lastRenderedPageBreak/>
        <w:t>1</w:t>
      </w:r>
      <w:r w:rsidRPr="000F46D2">
        <w:rPr>
          <w:rFonts w:cs="FrankRuehl" w:hint="cs"/>
          <w:sz w:val="28"/>
          <w:szCs w:val="28"/>
          <w:rtl/>
        </w:rPr>
        <w:t>.</w:t>
      </w:r>
      <w:r w:rsidRPr="000F46D2">
        <w:rPr>
          <w:rFonts w:cs="FrankRuehl" w:hint="cs"/>
          <w:sz w:val="28"/>
          <w:szCs w:val="28"/>
          <w:rtl/>
        </w:rPr>
        <w:tab/>
      </w:r>
      <w:bookmarkStart w:id="6" w:name="ABSTRACT_START"/>
      <w:bookmarkEnd w:id="6"/>
      <w:r w:rsidRPr="000F46D2">
        <w:rPr>
          <w:rFonts w:cs="FrankRuehl" w:hint="cs"/>
          <w:sz w:val="28"/>
          <w:szCs w:val="28"/>
          <w:rtl/>
        </w:rPr>
        <w:t>הנאשם הודה במסגרת הסדר טיעון בעובדות כתב אישום מתוקן והורשע בעבירות הבאות:</w:t>
      </w:r>
    </w:p>
    <w:p w14:paraId="589F4623" w14:textId="77777777" w:rsidR="00E36966" w:rsidRPr="000F46D2" w:rsidRDefault="00E36966" w:rsidP="00E36966">
      <w:pPr>
        <w:spacing w:line="360" w:lineRule="auto"/>
        <w:ind w:left="720"/>
        <w:rPr>
          <w:rFonts w:cs="FrankRuehl"/>
          <w:sz w:val="28"/>
          <w:szCs w:val="28"/>
          <w:rtl/>
        </w:rPr>
      </w:pPr>
      <w:r w:rsidRPr="000F46D2">
        <w:rPr>
          <w:rFonts w:cs="FrankRuehl" w:hint="cs"/>
          <w:sz w:val="28"/>
          <w:szCs w:val="28"/>
          <w:rtl/>
        </w:rPr>
        <w:t xml:space="preserve">נשיאת נשק, עבירה לפי </w:t>
      </w:r>
      <w:hyperlink r:id="rId14" w:history="1">
        <w:r w:rsidR="003F7FB2" w:rsidRPr="003F7FB2">
          <w:rPr>
            <w:rFonts w:cs="FrankRuehl"/>
            <w:color w:val="0000FF"/>
            <w:sz w:val="28"/>
            <w:szCs w:val="28"/>
            <w:u w:val="single"/>
            <w:rtl/>
          </w:rPr>
          <w:t>סעיף 144(ב)</w:t>
        </w:r>
      </w:hyperlink>
      <w:r w:rsidRPr="000F46D2">
        <w:rPr>
          <w:rFonts w:cs="FrankRuehl" w:hint="cs"/>
          <w:sz w:val="28"/>
          <w:szCs w:val="28"/>
          <w:rtl/>
        </w:rPr>
        <w:t xml:space="preserve"> ל</w:t>
      </w:r>
      <w:hyperlink r:id="rId15" w:history="1">
        <w:r w:rsidR="000F46D2" w:rsidRPr="000F46D2">
          <w:rPr>
            <w:rFonts w:cs="FrankRuehl"/>
            <w:color w:val="0000FF"/>
            <w:sz w:val="28"/>
            <w:szCs w:val="28"/>
            <w:u w:val="single"/>
            <w:rtl/>
          </w:rPr>
          <w:t>חוק העונשין</w:t>
        </w:r>
      </w:hyperlink>
      <w:r w:rsidRPr="000F46D2">
        <w:rPr>
          <w:rFonts w:cs="FrankRuehl" w:hint="cs"/>
          <w:sz w:val="28"/>
          <w:szCs w:val="28"/>
          <w:rtl/>
        </w:rPr>
        <w:t xml:space="preserve">, התשל"ז-1977; מעשה פזיזות ורשלנות, עבירה לפי </w:t>
      </w:r>
      <w:hyperlink r:id="rId16" w:history="1">
        <w:r w:rsidR="003F7FB2" w:rsidRPr="003F7FB2">
          <w:rPr>
            <w:rFonts w:cs="FrankRuehl"/>
            <w:color w:val="0000FF"/>
            <w:sz w:val="28"/>
            <w:szCs w:val="28"/>
            <w:u w:val="single"/>
            <w:rtl/>
          </w:rPr>
          <w:t>סעיף 338(א)(5)</w:t>
        </w:r>
      </w:hyperlink>
      <w:r w:rsidRPr="000F46D2">
        <w:rPr>
          <w:rFonts w:cs="FrankRuehl" w:hint="cs"/>
          <w:sz w:val="28"/>
          <w:szCs w:val="28"/>
          <w:rtl/>
        </w:rPr>
        <w:t xml:space="preserve"> לחוק; איומים, עבירה לפי </w:t>
      </w:r>
      <w:hyperlink r:id="rId17" w:history="1">
        <w:r w:rsidR="003F7FB2" w:rsidRPr="003F7FB2">
          <w:rPr>
            <w:rFonts w:cs="FrankRuehl"/>
            <w:color w:val="0000FF"/>
            <w:sz w:val="28"/>
            <w:szCs w:val="28"/>
            <w:u w:val="single"/>
            <w:rtl/>
          </w:rPr>
          <w:t>סעיף 192</w:t>
        </w:r>
      </w:hyperlink>
      <w:r w:rsidRPr="000F46D2">
        <w:rPr>
          <w:rFonts w:cs="FrankRuehl" w:hint="cs"/>
          <w:sz w:val="28"/>
          <w:szCs w:val="28"/>
          <w:rtl/>
        </w:rPr>
        <w:t xml:space="preserve"> לחוק; יריות באזור מגורים, עבירה לפי </w:t>
      </w:r>
      <w:hyperlink r:id="rId18" w:history="1">
        <w:r w:rsidR="003F7FB2" w:rsidRPr="003F7FB2">
          <w:rPr>
            <w:rFonts w:cs="FrankRuehl"/>
            <w:color w:val="0000FF"/>
            <w:sz w:val="28"/>
            <w:szCs w:val="28"/>
            <w:u w:val="single"/>
            <w:rtl/>
          </w:rPr>
          <w:t>סעיף 340א</w:t>
        </w:r>
      </w:hyperlink>
      <w:r w:rsidRPr="000F46D2">
        <w:rPr>
          <w:rFonts w:cs="FrankRuehl" w:hint="cs"/>
          <w:sz w:val="28"/>
          <w:szCs w:val="28"/>
          <w:rtl/>
        </w:rPr>
        <w:t xml:space="preserve"> לחוק.</w:t>
      </w:r>
    </w:p>
    <w:p w14:paraId="715281FB" w14:textId="77777777" w:rsidR="00E36966" w:rsidRPr="000F46D2" w:rsidRDefault="00E36966" w:rsidP="00E36966">
      <w:pPr>
        <w:spacing w:line="360" w:lineRule="auto"/>
        <w:ind w:left="720"/>
        <w:rPr>
          <w:rFonts w:cs="FrankRuehl"/>
          <w:sz w:val="28"/>
          <w:szCs w:val="28"/>
          <w:rtl/>
        </w:rPr>
      </w:pPr>
      <w:bookmarkStart w:id="7" w:name="ABSTRACT_END"/>
      <w:bookmarkEnd w:id="7"/>
    </w:p>
    <w:p w14:paraId="05516F27" w14:textId="77777777" w:rsidR="00E36966" w:rsidRPr="000F46D2" w:rsidRDefault="00E36966" w:rsidP="00E36966">
      <w:pPr>
        <w:spacing w:line="360" w:lineRule="auto"/>
        <w:ind w:left="720" w:hanging="720"/>
        <w:rPr>
          <w:rFonts w:cs="FrankRuehl"/>
          <w:sz w:val="28"/>
          <w:szCs w:val="28"/>
          <w:rtl/>
        </w:rPr>
      </w:pPr>
      <w:r w:rsidRPr="000F46D2">
        <w:rPr>
          <w:rFonts w:cs="FrankRuehl" w:hint="cs"/>
          <w:sz w:val="28"/>
          <w:szCs w:val="28"/>
          <w:rtl/>
        </w:rPr>
        <w:t>2.</w:t>
      </w:r>
      <w:r w:rsidRPr="000F46D2">
        <w:rPr>
          <w:rFonts w:cs="FrankRuehl" w:hint="cs"/>
          <w:sz w:val="28"/>
          <w:szCs w:val="28"/>
          <w:rtl/>
        </w:rPr>
        <w:tab/>
        <w:t>על פי עובדות כתב האישום המתוקן, הנאשם ובני משפחתו מתגוררים בטירה ובסמוך אליהם מתגוררת משפחת נאסר. בין בתי שתי המשפחות מצוי מעבר צר המשמש למעבר הולכי רגל וכלי רכב (להלן: "המעבר").</w:t>
      </w:r>
    </w:p>
    <w:p w14:paraId="2021CD1D" w14:textId="77777777" w:rsidR="00E36966" w:rsidRPr="000F46D2" w:rsidRDefault="00E36966" w:rsidP="00E36966">
      <w:pPr>
        <w:spacing w:line="360" w:lineRule="auto"/>
        <w:ind w:left="720" w:hanging="720"/>
        <w:rPr>
          <w:rFonts w:cs="FrankRuehl"/>
          <w:sz w:val="28"/>
          <w:szCs w:val="28"/>
          <w:rtl/>
        </w:rPr>
      </w:pPr>
    </w:p>
    <w:p w14:paraId="4BC68FE0" w14:textId="77777777" w:rsidR="00E36966" w:rsidRPr="000F46D2" w:rsidRDefault="00E36966" w:rsidP="00E36966">
      <w:pPr>
        <w:spacing w:line="360" w:lineRule="auto"/>
        <w:ind w:left="720"/>
        <w:rPr>
          <w:rFonts w:cs="FrankRuehl"/>
          <w:sz w:val="28"/>
          <w:szCs w:val="28"/>
          <w:rtl/>
        </w:rPr>
      </w:pPr>
      <w:r w:rsidRPr="000F46D2">
        <w:rPr>
          <w:rFonts w:cs="FrankRuehl" w:hint="cs"/>
          <w:sz w:val="28"/>
          <w:szCs w:val="28"/>
          <w:rtl/>
        </w:rPr>
        <w:t>עובר ליום 21.6.14 התקין אחד מבני משפחת הנאשם, במעבר, מוט ברזל אשר קשה על תנועת כלי רכב במקום. בתגובה, החל מחמוד נאסר בהתקנת מוטות ברזל אחרים ברחוב בו מתגוררות משפחת נאסר ומשפחת הנאשם, בסמוך לבית משפחת נאסר , באופן שהפריע לתנועת כלי רכב במקום.</w:t>
      </w:r>
    </w:p>
    <w:p w14:paraId="1B8A6303" w14:textId="77777777" w:rsidR="00E36966" w:rsidRPr="000F46D2" w:rsidRDefault="00E36966" w:rsidP="00E36966">
      <w:pPr>
        <w:spacing w:line="360" w:lineRule="auto"/>
        <w:ind w:left="720"/>
        <w:rPr>
          <w:rFonts w:cs="FrankRuehl"/>
          <w:sz w:val="28"/>
          <w:szCs w:val="28"/>
          <w:rtl/>
        </w:rPr>
      </w:pPr>
    </w:p>
    <w:p w14:paraId="27052D61" w14:textId="77777777" w:rsidR="00E36966" w:rsidRPr="000F46D2" w:rsidRDefault="00E36966" w:rsidP="00E36966">
      <w:pPr>
        <w:spacing w:line="360" w:lineRule="auto"/>
        <w:ind w:left="720"/>
        <w:rPr>
          <w:rFonts w:cs="FrankRuehl"/>
          <w:sz w:val="28"/>
          <w:szCs w:val="28"/>
          <w:rtl/>
        </w:rPr>
      </w:pPr>
      <w:r w:rsidRPr="000F46D2">
        <w:rPr>
          <w:rFonts w:cs="FrankRuehl" w:hint="cs"/>
          <w:sz w:val="28"/>
          <w:szCs w:val="28"/>
          <w:rtl/>
        </w:rPr>
        <w:t xml:space="preserve">באותו מועד, בשעה 21:20 לערך, הגיע הנאשם עם אביו גמאל ואחיו מוחמד אל הכניסה לבית משפחת נאסר. למקום הגיעו מחמוד נאסר ובניו </w:t>
      </w:r>
      <w:r w:rsidRPr="000F46D2">
        <w:rPr>
          <w:rFonts w:cs="FrankRuehl"/>
          <w:sz w:val="28"/>
          <w:szCs w:val="28"/>
          <w:rtl/>
        </w:rPr>
        <w:t>–</w:t>
      </w:r>
      <w:r w:rsidRPr="000F46D2">
        <w:rPr>
          <w:rFonts w:cs="FrankRuehl" w:hint="cs"/>
          <w:sz w:val="28"/>
          <w:szCs w:val="28"/>
          <w:rtl/>
        </w:rPr>
        <w:t xml:space="preserve"> מוחמד ועלא </w:t>
      </w:r>
      <w:r w:rsidRPr="000F46D2">
        <w:rPr>
          <w:rFonts w:cs="FrankRuehl"/>
          <w:sz w:val="28"/>
          <w:szCs w:val="28"/>
          <w:rtl/>
        </w:rPr>
        <w:t>–</w:t>
      </w:r>
      <w:r w:rsidRPr="000F46D2">
        <w:rPr>
          <w:rFonts w:cs="FrankRuehl" w:hint="cs"/>
          <w:sz w:val="28"/>
          <w:szCs w:val="28"/>
          <w:rtl/>
        </w:rPr>
        <w:t xml:space="preserve"> ואנשים נוספים.</w:t>
      </w:r>
    </w:p>
    <w:p w14:paraId="0CAA9A10" w14:textId="77777777" w:rsidR="00E36966" w:rsidRPr="000F46D2" w:rsidRDefault="00E36966" w:rsidP="00E36966">
      <w:pPr>
        <w:spacing w:line="360" w:lineRule="auto"/>
        <w:ind w:left="720"/>
        <w:rPr>
          <w:rFonts w:cs="FrankRuehl"/>
          <w:sz w:val="28"/>
          <w:szCs w:val="28"/>
          <w:rtl/>
        </w:rPr>
      </w:pPr>
      <w:r w:rsidRPr="000F46D2">
        <w:rPr>
          <w:rFonts w:cs="FrankRuehl" w:hint="cs"/>
          <w:sz w:val="28"/>
          <w:szCs w:val="28"/>
          <w:rtl/>
        </w:rPr>
        <w:t>בין בני משפחת הנאשם לבני משפחת נאסר החל דין ודברים אודות המתואר מעלה, במהלכו דחפו חלק מן הנוכחים זה את זה, כשבמהלך התגרה החזיקו מוחמד נאסר ועלא נאסר בסכינים בהם הצטיידו קודם לכן.</w:t>
      </w:r>
    </w:p>
    <w:p w14:paraId="07E517A8" w14:textId="77777777" w:rsidR="00E36966" w:rsidRPr="000F46D2" w:rsidRDefault="00E36966" w:rsidP="00E36966">
      <w:pPr>
        <w:spacing w:line="360" w:lineRule="auto"/>
        <w:ind w:left="720"/>
        <w:rPr>
          <w:rFonts w:cs="FrankRuehl"/>
          <w:sz w:val="28"/>
          <w:szCs w:val="28"/>
          <w:rtl/>
        </w:rPr>
      </w:pPr>
    </w:p>
    <w:p w14:paraId="7AC93236" w14:textId="77777777" w:rsidR="00E36966" w:rsidRPr="000F46D2" w:rsidRDefault="00E36966" w:rsidP="00E36966">
      <w:pPr>
        <w:spacing w:line="360" w:lineRule="auto"/>
        <w:ind w:left="720"/>
        <w:rPr>
          <w:rFonts w:cs="FrankRuehl"/>
          <w:sz w:val="28"/>
          <w:szCs w:val="28"/>
          <w:rtl/>
        </w:rPr>
      </w:pPr>
      <w:r w:rsidRPr="000F46D2">
        <w:rPr>
          <w:rFonts w:cs="FrankRuehl" w:hint="cs"/>
          <w:sz w:val="28"/>
          <w:szCs w:val="28"/>
          <w:rtl/>
        </w:rPr>
        <w:t>מספר דקות לאחר שהחלה התגרה, עזבו הנאשם ואחיו את המקום ונכנסו לביתם, ומיד לאחר מכן יצאו השניים מן הבית כאשר הנאשם אחז בנשק ארוך. הנאשם רץ לעבר בית משפחת נאסר כשהנשק בידו, והחל לירות לעבר שער ביתם של בני משפחת נאסר בעוד בני משפחת נאסר עומדים בסמוך לשער, כל זאת במטרה לאיים עליהם. תוך כדי הירי אחז אביו של הנאשם בנאשם בניסיון למנוע ממנו להמשיך בירי, אולם הנאשם המשיך בירי לעבר השער עד שאביו הצליח לגרור אותו מן המקום. במהלך האירוע ירה הנאשם לפחות 17 קליעים אשר אחד מהם פגע בשער.</w:t>
      </w:r>
    </w:p>
    <w:p w14:paraId="13984BF0" w14:textId="77777777" w:rsidR="00E36966" w:rsidRPr="000F46D2" w:rsidRDefault="00E36966" w:rsidP="00E36966">
      <w:pPr>
        <w:spacing w:line="360" w:lineRule="auto"/>
        <w:ind w:left="720"/>
        <w:rPr>
          <w:rFonts w:cs="FrankRuehl"/>
          <w:sz w:val="28"/>
          <w:szCs w:val="28"/>
          <w:rtl/>
        </w:rPr>
      </w:pPr>
    </w:p>
    <w:p w14:paraId="54A5F5A7" w14:textId="77777777" w:rsidR="00E36966" w:rsidRPr="000F46D2" w:rsidRDefault="00E36966" w:rsidP="00E36966">
      <w:pPr>
        <w:spacing w:line="360" w:lineRule="auto"/>
        <w:ind w:left="720" w:hanging="720"/>
        <w:rPr>
          <w:rFonts w:cs="FrankRuehl"/>
          <w:sz w:val="28"/>
          <w:szCs w:val="28"/>
          <w:rtl/>
        </w:rPr>
      </w:pPr>
      <w:r w:rsidRPr="000F46D2">
        <w:rPr>
          <w:rFonts w:cs="FrankRuehl" w:hint="cs"/>
          <w:sz w:val="28"/>
          <w:szCs w:val="28"/>
          <w:rtl/>
        </w:rPr>
        <w:lastRenderedPageBreak/>
        <w:t>3.</w:t>
      </w:r>
      <w:r w:rsidRPr="000F46D2">
        <w:rPr>
          <w:rFonts w:cs="FrankRuehl" w:hint="cs"/>
          <w:sz w:val="28"/>
          <w:szCs w:val="28"/>
          <w:rtl/>
        </w:rPr>
        <w:tab/>
        <w:t xml:space="preserve">ב"כ המאשימה הגיש דיסק המתעד את האירוע. ואכן, צפייה בדיסק המתעד חלק מן האירוע מעלה כי אחד מבני משפחת נאסר חנק מי ממשפחת הנאשם כשהוא אוחז סכין בידו ורץ לאחר מכן לעבר אחר כשהוא אוחז סכין בידו. </w:t>
      </w:r>
    </w:p>
    <w:p w14:paraId="7DCDDBBC" w14:textId="77777777" w:rsidR="00E36966" w:rsidRPr="000F46D2" w:rsidRDefault="00E36966" w:rsidP="00E36966">
      <w:pPr>
        <w:spacing w:line="360" w:lineRule="auto"/>
        <w:rPr>
          <w:rFonts w:cs="FrankRuehl"/>
          <w:sz w:val="28"/>
          <w:szCs w:val="28"/>
          <w:rtl/>
        </w:rPr>
      </w:pPr>
    </w:p>
    <w:p w14:paraId="5D73B3DB" w14:textId="77777777" w:rsidR="00E36966" w:rsidRPr="000F46D2" w:rsidRDefault="00E36966" w:rsidP="00E36966">
      <w:pPr>
        <w:spacing w:line="360" w:lineRule="auto"/>
        <w:rPr>
          <w:rFonts w:cs="FrankRuehl"/>
          <w:sz w:val="28"/>
          <w:szCs w:val="28"/>
          <w:rtl/>
        </w:rPr>
      </w:pPr>
    </w:p>
    <w:p w14:paraId="3AC7BC70" w14:textId="77777777" w:rsidR="00E36966" w:rsidRPr="000F46D2" w:rsidRDefault="00E36966" w:rsidP="00E36966">
      <w:pPr>
        <w:spacing w:line="360" w:lineRule="auto"/>
        <w:rPr>
          <w:rFonts w:cs="FrankRuehl"/>
          <w:sz w:val="28"/>
          <w:szCs w:val="28"/>
          <w:rtl/>
        </w:rPr>
      </w:pPr>
    </w:p>
    <w:p w14:paraId="1B94F366" w14:textId="77777777" w:rsidR="00E36966" w:rsidRPr="000F46D2" w:rsidRDefault="00E36966" w:rsidP="00E36966">
      <w:pPr>
        <w:spacing w:line="360" w:lineRule="auto"/>
        <w:rPr>
          <w:rFonts w:cs="FrankRuehl"/>
          <w:b/>
          <w:bCs/>
          <w:sz w:val="28"/>
          <w:szCs w:val="28"/>
          <w:rtl/>
        </w:rPr>
      </w:pPr>
      <w:r w:rsidRPr="000F46D2">
        <w:rPr>
          <w:rFonts w:cs="FrankRuehl" w:hint="cs"/>
          <w:sz w:val="28"/>
          <w:szCs w:val="28"/>
          <w:rtl/>
        </w:rPr>
        <w:t>4.</w:t>
      </w:r>
      <w:r w:rsidRPr="000F46D2">
        <w:rPr>
          <w:rFonts w:cs="FrankRuehl" w:hint="cs"/>
          <w:sz w:val="28"/>
          <w:szCs w:val="28"/>
          <w:rtl/>
        </w:rPr>
        <w:tab/>
      </w:r>
      <w:r w:rsidRPr="000F46D2">
        <w:rPr>
          <w:rFonts w:cs="FrankRuehl" w:hint="cs"/>
          <w:b/>
          <w:bCs/>
          <w:sz w:val="28"/>
          <w:szCs w:val="28"/>
          <w:rtl/>
        </w:rPr>
        <w:t>תסקיר שירות המבחן:</w:t>
      </w:r>
    </w:p>
    <w:p w14:paraId="3C4A5A4F" w14:textId="77777777" w:rsidR="00E36966" w:rsidRPr="000F46D2" w:rsidRDefault="00E36966" w:rsidP="00E36966">
      <w:pPr>
        <w:spacing w:line="360" w:lineRule="auto"/>
        <w:ind w:left="720"/>
        <w:rPr>
          <w:rFonts w:cs="FrankRuehl"/>
          <w:sz w:val="28"/>
          <w:szCs w:val="28"/>
          <w:rtl/>
        </w:rPr>
      </w:pPr>
      <w:r w:rsidRPr="000F46D2">
        <w:rPr>
          <w:rFonts w:cs="FrankRuehl" w:hint="cs"/>
          <w:sz w:val="28"/>
          <w:szCs w:val="28"/>
          <w:rtl/>
        </w:rPr>
        <w:t xml:space="preserve">תסקיר שירות המבחן תיאר את תולדותיו של הנאשם, בן 31 רווק אשר עד למעצרו התגורר עם משפחתו בטירה ועבד בעבודות שיפוצים. הנאשם סיים 12 שנות לימוד עם תעודת בגרות מלאה ואף רכש תעודת מנהל חשבונות בלימודים באוניברסיטה הפתוחה אלא שמשכורתו לא אפשרה לו להמשיך בעיסוק זה. </w:t>
      </w:r>
    </w:p>
    <w:p w14:paraId="0B7762C4" w14:textId="77777777" w:rsidR="00E36966" w:rsidRPr="000F46D2" w:rsidRDefault="00E36966" w:rsidP="00E36966">
      <w:pPr>
        <w:spacing w:line="360" w:lineRule="auto"/>
        <w:ind w:left="720"/>
        <w:rPr>
          <w:rFonts w:cs="FrankRuehl"/>
          <w:sz w:val="28"/>
          <w:szCs w:val="28"/>
          <w:rtl/>
        </w:rPr>
      </w:pPr>
    </w:p>
    <w:p w14:paraId="7E14B96A" w14:textId="77777777" w:rsidR="00E36966" w:rsidRPr="000F46D2" w:rsidRDefault="00E36966" w:rsidP="00E36966">
      <w:pPr>
        <w:spacing w:line="360" w:lineRule="auto"/>
        <w:ind w:left="720"/>
        <w:rPr>
          <w:rFonts w:cs="FrankRuehl"/>
          <w:sz w:val="28"/>
          <w:szCs w:val="28"/>
          <w:rtl/>
        </w:rPr>
      </w:pPr>
      <w:r w:rsidRPr="000F46D2">
        <w:rPr>
          <w:rFonts w:cs="FrankRuehl" w:hint="cs"/>
          <w:sz w:val="28"/>
          <w:szCs w:val="28"/>
          <w:rtl/>
        </w:rPr>
        <w:t xml:space="preserve">הוריו של הנאשם במצב בריאותי ירוד ומתקיימים מקצבאות נכות. במסגרת פיקוח מעצר גילה הוא יכולת להתבוננות ולבחינת התנהגותו האלימה ופורצת הגבולות. </w:t>
      </w:r>
    </w:p>
    <w:p w14:paraId="7C1A0AE5" w14:textId="77777777" w:rsidR="00E36966" w:rsidRPr="000F46D2" w:rsidRDefault="00E36966" w:rsidP="00E36966">
      <w:pPr>
        <w:spacing w:line="360" w:lineRule="auto"/>
        <w:ind w:left="720"/>
        <w:rPr>
          <w:rFonts w:cs="FrankRuehl"/>
          <w:sz w:val="28"/>
          <w:szCs w:val="28"/>
          <w:rtl/>
        </w:rPr>
      </w:pPr>
    </w:p>
    <w:p w14:paraId="0E20E8E8" w14:textId="77777777" w:rsidR="003F7FB2" w:rsidRDefault="00E36966" w:rsidP="00E36966">
      <w:pPr>
        <w:spacing w:line="360" w:lineRule="auto"/>
        <w:ind w:left="720"/>
        <w:rPr>
          <w:rFonts w:cs="FrankRuehl"/>
          <w:sz w:val="28"/>
          <w:szCs w:val="28"/>
          <w:rtl/>
        </w:rPr>
      </w:pPr>
      <w:r w:rsidRPr="000F46D2">
        <w:rPr>
          <w:rFonts w:cs="FrankRuehl" w:hint="cs"/>
          <w:sz w:val="28"/>
          <w:szCs w:val="28"/>
          <w:rtl/>
        </w:rPr>
        <w:t>ביולי 2015 לאור הפחתה ברמת הסיכון המליץ שירות המבחן לאפשר לו לשוב ולהתגורר בביתו ולהשתלב בעבודה. בית המשפט התיר זאת והנאשם היה בצו פיקוח למשך 6 חודשים נוספים ובאותה עת החל בתהליך שיקום. מיד לאחר מכן נפתח כנגד הנאשם תיק</w:t>
      </w:r>
    </w:p>
    <w:p w14:paraId="1F93CD8C" w14:textId="77777777" w:rsidR="003F7FB2" w:rsidRPr="003F7FB2" w:rsidRDefault="003F7FB2" w:rsidP="003F7FB2">
      <w:pPr>
        <w:spacing w:after="120" w:line="240" w:lineRule="exact"/>
        <w:ind w:left="283" w:hanging="283"/>
        <w:jc w:val="both"/>
        <w:rPr>
          <w:rFonts w:ascii="FrankRuehl" w:hAnsi="FrankRuehl" w:cs="FrankRuehl"/>
          <w:rtl/>
        </w:rPr>
      </w:pPr>
    </w:p>
    <w:bookmarkEnd w:id="0"/>
    <w:p w14:paraId="04412F5B" w14:textId="77777777" w:rsidR="000F46D2" w:rsidRPr="000F46D2" w:rsidRDefault="000F46D2" w:rsidP="000F46D2">
      <w:pPr>
        <w:spacing w:line="360" w:lineRule="auto"/>
        <w:ind w:left="720"/>
        <w:jc w:val="center"/>
        <w:rPr>
          <w:rFonts w:cs="FrankRuehl"/>
          <w:bCs/>
          <w:sz w:val="28"/>
          <w:szCs w:val="28"/>
          <w:rtl/>
        </w:rPr>
      </w:pPr>
      <w:r w:rsidRPr="000F46D2">
        <w:rPr>
          <w:rFonts w:cs="FrankRuehl"/>
          <w:bCs/>
          <w:sz w:val="28"/>
          <w:szCs w:val="28"/>
          <w:rtl/>
        </w:rPr>
        <w:t>נוסף בו הוא מכחיש מעורבותו, ועל כן נעצר. שירות המבחן התרשם כי במהלך ביצוע</w:t>
      </w:r>
    </w:p>
    <w:p w14:paraId="53C27213" w14:textId="77777777" w:rsidR="00E36966" w:rsidRDefault="00E36966" w:rsidP="00E36966">
      <w:pPr>
        <w:spacing w:line="360" w:lineRule="auto"/>
        <w:ind w:left="720"/>
        <w:rPr>
          <w:rFonts w:cs="FrankRuehl"/>
          <w:sz w:val="28"/>
          <w:szCs w:val="28"/>
          <w:rtl/>
        </w:rPr>
      </w:pPr>
      <w:r>
        <w:rPr>
          <w:rFonts w:cs="FrankRuehl" w:hint="cs"/>
          <w:sz w:val="28"/>
          <w:szCs w:val="28"/>
          <w:rtl/>
        </w:rPr>
        <w:t>העבירה היה הנאשם במצוקה רגשית משמעותית. לימים נערכה סולחה בין שתי המשפחות אך כיום לאור האירוע החדש שאירע בחודש פברואר 2016 קיימת מתיחות.</w:t>
      </w:r>
    </w:p>
    <w:p w14:paraId="659F2FB2" w14:textId="77777777" w:rsidR="00E36966" w:rsidRDefault="00E36966" w:rsidP="00E36966">
      <w:pPr>
        <w:spacing w:line="360" w:lineRule="auto"/>
        <w:ind w:left="720"/>
        <w:rPr>
          <w:rFonts w:cs="FrankRuehl"/>
          <w:sz w:val="28"/>
          <w:szCs w:val="28"/>
          <w:rtl/>
        </w:rPr>
      </w:pPr>
    </w:p>
    <w:p w14:paraId="26F5B5FA" w14:textId="77777777" w:rsidR="00E36966" w:rsidRDefault="00E36966" w:rsidP="00E36966">
      <w:pPr>
        <w:spacing w:line="360" w:lineRule="auto"/>
        <w:ind w:left="720"/>
        <w:rPr>
          <w:rFonts w:cs="FrankRuehl"/>
          <w:sz w:val="28"/>
          <w:szCs w:val="28"/>
          <w:rtl/>
        </w:rPr>
      </w:pPr>
      <w:r>
        <w:rPr>
          <w:rFonts w:cs="FrankRuehl" w:hint="cs"/>
          <w:sz w:val="28"/>
          <w:szCs w:val="28"/>
          <w:rtl/>
        </w:rPr>
        <w:t>במהלך מעצרו מגלה התנהגות טובה וללא בעיות משמעת, תפקודו חיובי והא בקשר משמעותי עם העו"ס. בעבר היה צפוי לתפקד כחונך באגף ואף כיום מביע רצון לעשות כן ובקשתו הועברה לרכז פרויקט חונכות.</w:t>
      </w:r>
    </w:p>
    <w:p w14:paraId="3B530A64" w14:textId="77777777" w:rsidR="00E36966" w:rsidRDefault="00E36966" w:rsidP="00E36966">
      <w:pPr>
        <w:spacing w:line="360" w:lineRule="auto"/>
        <w:ind w:left="720"/>
        <w:rPr>
          <w:rFonts w:cs="FrankRuehl"/>
          <w:sz w:val="28"/>
          <w:szCs w:val="28"/>
          <w:rtl/>
        </w:rPr>
      </w:pPr>
    </w:p>
    <w:p w14:paraId="7BC27E9C" w14:textId="77777777" w:rsidR="00E36966" w:rsidRDefault="00E36966" w:rsidP="00E36966">
      <w:pPr>
        <w:spacing w:line="360" w:lineRule="auto"/>
        <w:ind w:left="720"/>
        <w:rPr>
          <w:rFonts w:cs="FrankRuehl"/>
          <w:sz w:val="28"/>
          <w:szCs w:val="28"/>
          <w:rtl/>
        </w:rPr>
      </w:pPr>
      <w:r>
        <w:rPr>
          <w:rFonts w:cs="FrankRuehl" w:hint="cs"/>
          <w:sz w:val="28"/>
          <w:szCs w:val="28"/>
          <w:rtl/>
        </w:rPr>
        <w:t>שירות המבחן התרשם כי רמת הסיכון במצבו להתנהגות אלימה בעתיד הינה בינונית ובאם תתרחש חומרתה תהא גבוהה אך מאידך סבר כי יש לקחת בחשבון את יכולתו לשתף פעולה עם גורם טיפולי, את יכולתו הוורבאלית המפותחת, יכולתו להתבונן ולשתף בקשייו, התמדתו ויציבותו במסגרת חייו והעדר עבר פלילי.</w:t>
      </w:r>
    </w:p>
    <w:p w14:paraId="6F80102B" w14:textId="77777777" w:rsidR="00E36966" w:rsidRDefault="00E36966" w:rsidP="00E36966">
      <w:pPr>
        <w:spacing w:line="360" w:lineRule="auto"/>
        <w:ind w:left="720"/>
        <w:rPr>
          <w:rFonts w:cs="FrankRuehl"/>
          <w:sz w:val="28"/>
          <w:szCs w:val="28"/>
          <w:rtl/>
        </w:rPr>
      </w:pPr>
    </w:p>
    <w:p w14:paraId="1EF9383C" w14:textId="77777777" w:rsidR="00E36966" w:rsidRPr="008253D8" w:rsidRDefault="00E36966" w:rsidP="00E36966">
      <w:pPr>
        <w:spacing w:line="360" w:lineRule="auto"/>
        <w:ind w:left="720"/>
        <w:rPr>
          <w:rFonts w:cs="FrankRuehl"/>
          <w:sz w:val="28"/>
          <w:szCs w:val="28"/>
          <w:rtl/>
        </w:rPr>
      </w:pPr>
      <w:r>
        <w:rPr>
          <w:rFonts w:cs="FrankRuehl" w:hint="cs"/>
          <w:sz w:val="28"/>
          <w:szCs w:val="28"/>
          <w:rtl/>
        </w:rPr>
        <w:t>שירות המבחן לא בא בהמלצה שיקומית נוכח העובדה כי הנאשם עצור עד החלטה אחרת בתיק האחר והמליץ על ענישה מוחשית שתיתן ביטוי לחומרת העבירות.</w:t>
      </w:r>
    </w:p>
    <w:p w14:paraId="59EF1DF4" w14:textId="77777777" w:rsidR="00E36966" w:rsidRDefault="00E36966" w:rsidP="00E36966">
      <w:pPr>
        <w:spacing w:line="360" w:lineRule="auto"/>
        <w:rPr>
          <w:rFonts w:cs="FrankRuehl"/>
          <w:sz w:val="28"/>
          <w:szCs w:val="28"/>
          <w:rtl/>
        </w:rPr>
      </w:pPr>
    </w:p>
    <w:p w14:paraId="455CF068" w14:textId="77777777" w:rsidR="00E36966" w:rsidRDefault="00E36966" w:rsidP="00E36966">
      <w:pPr>
        <w:spacing w:line="360" w:lineRule="auto"/>
        <w:rPr>
          <w:rFonts w:cs="FrankRuehl"/>
          <w:sz w:val="28"/>
          <w:szCs w:val="28"/>
          <w:rtl/>
        </w:rPr>
      </w:pPr>
    </w:p>
    <w:p w14:paraId="197FACA9" w14:textId="77777777" w:rsidR="00E36966" w:rsidRDefault="00E36966" w:rsidP="00E36966">
      <w:pPr>
        <w:spacing w:line="360" w:lineRule="auto"/>
        <w:rPr>
          <w:rFonts w:cs="FrankRuehl"/>
          <w:b/>
          <w:bCs/>
          <w:sz w:val="28"/>
          <w:szCs w:val="28"/>
          <w:u w:val="single"/>
          <w:rtl/>
        </w:rPr>
      </w:pPr>
      <w:r>
        <w:rPr>
          <w:rFonts w:cs="FrankRuehl" w:hint="cs"/>
          <w:sz w:val="28"/>
          <w:szCs w:val="28"/>
          <w:rtl/>
        </w:rPr>
        <w:t>5.</w:t>
      </w:r>
      <w:r>
        <w:rPr>
          <w:rFonts w:cs="FrankRuehl" w:hint="cs"/>
          <w:sz w:val="28"/>
          <w:szCs w:val="28"/>
          <w:rtl/>
        </w:rPr>
        <w:tab/>
      </w:r>
      <w:r>
        <w:rPr>
          <w:rFonts w:cs="FrankRuehl" w:hint="cs"/>
          <w:b/>
          <w:bCs/>
          <w:sz w:val="28"/>
          <w:szCs w:val="28"/>
          <w:u w:val="single"/>
          <w:rtl/>
        </w:rPr>
        <w:t>טיעוני ב"כ המאשימה לעונש:</w:t>
      </w:r>
    </w:p>
    <w:p w14:paraId="520F91EE" w14:textId="77777777" w:rsidR="00E36966" w:rsidRDefault="00E36966" w:rsidP="00E36966">
      <w:pPr>
        <w:spacing w:line="360" w:lineRule="auto"/>
        <w:ind w:left="720"/>
        <w:rPr>
          <w:rFonts w:cs="FrankRuehl"/>
          <w:sz w:val="28"/>
          <w:szCs w:val="28"/>
          <w:rtl/>
        </w:rPr>
      </w:pPr>
      <w:r w:rsidRPr="004F678B">
        <w:rPr>
          <w:rFonts w:cs="FrankRuehl" w:hint="cs"/>
          <w:sz w:val="28"/>
          <w:szCs w:val="28"/>
          <w:rtl/>
        </w:rPr>
        <w:t xml:space="preserve">ב"כ המאשימה טען כי בשנים האחרונות הוחמרה הענישה בעבירות נשק באופן דרמטי מתוך החשש שיעשה שימוש בנשק המוחזק שלא כדין. במעשיו של הנאשם החשש התממש. </w:t>
      </w:r>
      <w:r>
        <w:rPr>
          <w:rFonts w:cs="FrankRuehl" w:hint="cs"/>
          <w:sz w:val="28"/>
          <w:szCs w:val="28"/>
          <w:rtl/>
        </w:rPr>
        <w:t xml:space="preserve">עוד נטען, כי </w:t>
      </w:r>
      <w:r w:rsidRPr="004F678B">
        <w:rPr>
          <w:rFonts w:cs="FrankRuehl" w:hint="cs"/>
          <w:sz w:val="28"/>
          <w:szCs w:val="28"/>
          <w:rtl/>
        </w:rPr>
        <w:t xml:space="preserve">למעשיו של הנאשם לא הייתה כל הצדקה, שכן בעת הירי הסתיים העימות בין המתלוננים לבין הנאשם או מי ממשפחתו. </w:t>
      </w:r>
    </w:p>
    <w:p w14:paraId="3A5E3CB1" w14:textId="77777777" w:rsidR="00E36966" w:rsidRPr="00A60B8A" w:rsidRDefault="00E36966" w:rsidP="00E36966">
      <w:pPr>
        <w:spacing w:line="360" w:lineRule="auto"/>
        <w:ind w:left="720"/>
        <w:jc w:val="both"/>
        <w:rPr>
          <w:rFonts w:cs="FrankRuehl"/>
          <w:sz w:val="10"/>
          <w:szCs w:val="10"/>
          <w:rtl/>
        </w:rPr>
      </w:pPr>
    </w:p>
    <w:p w14:paraId="4C4B14FD" w14:textId="77777777" w:rsidR="00E36966" w:rsidRPr="002C534A" w:rsidRDefault="00E36966" w:rsidP="00E36966">
      <w:pPr>
        <w:spacing w:line="360" w:lineRule="auto"/>
        <w:ind w:left="720"/>
        <w:jc w:val="both"/>
        <w:rPr>
          <w:rFonts w:cs="FrankRuehl"/>
          <w:sz w:val="28"/>
          <w:szCs w:val="28"/>
          <w:rtl/>
        </w:rPr>
      </w:pPr>
      <w:r w:rsidRPr="002C534A">
        <w:rPr>
          <w:rFonts w:cs="FrankRuehl" w:hint="cs"/>
          <w:sz w:val="28"/>
          <w:szCs w:val="28"/>
          <w:rtl/>
        </w:rPr>
        <w:t>ב"כ המאשימה הפנה ל</w:t>
      </w:r>
      <w:hyperlink r:id="rId19" w:history="1">
        <w:r w:rsidR="000F46D2" w:rsidRPr="000F46D2">
          <w:rPr>
            <w:rFonts w:cs="FrankRuehl"/>
            <w:color w:val="0000FF"/>
            <w:sz w:val="28"/>
            <w:szCs w:val="28"/>
            <w:u w:val="single"/>
            <w:rtl/>
          </w:rPr>
          <w:t>ע"פ 43405-12-12</w:t>
        </w:r>
      </w:hyperlink>
      <w:r w:rsidRPr="002C534A">
        <w:rPr>
          <w:rFonts w:cs="FrankRuehl" w:hint="cs"/>
          <w:sz w:val="28"/>
          <w:szCs w:val="28"/>
          <w:rtl/>
        </w:rPr>
        <w:t xml:space="preserve"> (מחוזי מרכז)  </w:t>
      </w:r>
      <w:r>
        <w:rPr>
          <w:rFonts w:cs="FrankRuehl" w:hint="cs"/>
          <w:sz w:val="28"/>
          <w:szCs w:val="28"/>
          <w:rtl/>
        </w:rPr>
        <w:t>במסגרתו ב</w:t>
      </w:r>
      <w:r w:rsidRPr="002C534A">
        <w:rPr>
          <w:rFonts w:cs="FrankRuehl" w:hint="cs"/>
          <w:sz w:val="28"/>
          <w:szCs w:val="28"/>
          <w:rtl/>
        </w:rPr>
        <w:t xml:space="preserve">מקרה דומה, אם כי פחות חמור, אושר מתחם ענישה הנע בין 30 ל </w:t>
      </w:r>
      <w:r w:rsidRPr="002C534A">
        <w:rPr>
          <w:rFonts w:cs="FrankRuehl"/>
          <w:sz w:val="28"/>
          <w:szCs w:val="28"/>
          <w:rtl/>
        </w:rPr>
        <w:t>–</w:t>
      </w:r>
      <w:r w:rsidRPr="002C534A">
        <w:rPr>
          <w:rFonts w:cs="FrankRuehl" w:hint="cs"/>
          <w:sz w:val="28"/>
          <w:szCs w:val="28"/>
          <w:rtl/>
        </w:rPr>
        <w:t xml:space="preserve"> 60 חודשי מאסר. בהתחשב בעבירות שנעברו על ידי הנאשם</w:t>
      </w:r>
      <w:r>
        <w:rPr>
          <w:rFonts w:cs="FrankRuehl" w:hint="cs"/>
          <w:sz w:val="28"/>
          <w:szCs w:val="28"/>
          <w:rtl/>
        </w:rPr>
        <w:t>,</w:t>
      </w:r>
      <w:r w:rsidRPr="002C534A">
        <w:rPr>
          <w:rFonts w:cs="FrankRuehl" w:hint="cs"/>
          <w:sz w:val="28"/>
          <w:szCs w:val="28"/>
          <w:rtl/>
        </w:rPr>
        <w:t xml:space="preserve"> שהן חמורות יותר</w:t>
      </w:r>
      <w:r>
        <w:rPr>
          <w:rFonts w:cs="FrankRuehl" w:hint="cs"/>
          <w:sz w:val="28"/>
          <w:szCs w:val="28"/>
          <w:rtl/>
        </w:rPr>
        <w:t>,</w:t>
      </w:r>
      <w:r w:rsidRPr="002C534A">
        <w:rPr>
          <w:rFonts w:cs="FrankRuehl" w:hint="cs"/>
          <w:sz w:val="28"/>
          <w:szCs w:val="28"/>
          <w:rtl/>
        </w:rPr>
        <w:t xml:space="preserve"> עתר ב"כ המאשימה לקבוע מתחם הנע בין 35 </w:t>
      </w:r>
      <w:r>
        <w:rPr>
          <w:rFonts w:cs="FrankRuehl" w:hint="cs"/>
          <w:sz w:val="28"/>
          <w:szCs w:val="28"/>
          <w:rtl/>
        </w:rPr>
        <w:t>ל</w:t>
      </w:r>
      <w:r w:rsidRPr="002C534A">
        <w:rPr>
          <w:rFonts w:cs="FrankRuehl"/>
          <w:sz w:val="28"/>
          <w:szCs w:val="28"/>
          <w:rtl/>
        </w:rPr>
        <w:t>–</w:t>
      </w:r>
      <w:r w:rsidRPr="002C534A">
        <w:rPr>
          <w:rFonts w:cs="FrankRuehl" w:hint="cs"/>
          <w:sz w:val="28"/>
          <w:szCs w:val="28"/>
          <w:rtl/>
        </w:rPr>
        <w:t xml:space="preserve"> 65</w:t>
      </w:r>
      <w:r>
        <w:rPr>
          <w:rFonts w:cs="FrankRuehl" w:hint="cs"/>
          <w:sz w:val="28"/>
          <w:szCs w:val="28"/>
          <w:rtl/>
        </w:rPr>
        <w:t xml:space="preserve"> </w:t>
      </w:r>
      <w:r w:rsidRPr="002C534A">
        <w:rPr>
          <w:rFonts w:cs="FrankRuehl" w:hint="cs"/>
          <w:sz w:val="28"/>
          <w:szCs w:val="28"/>
          <w:rtl/>
        </w:rPr>
        <w:t>חודשי מאסר בפועל ולהעמיד את עונשו של הנאשם על 54 חודשי מאסר, וזאת בהתחשב בסוג הנשק</w:t>
      </w:r>
      <w:r>
        <w:rPr>
          <w:rFonts w:cs="FrankRuehl" w:hint="cs"/>
          <w:sz w:val="28"/>
          <w:szCs w:val="28"/>
          <w:rtl/>
        </w:rPr>
        <w:t>:</w:t>
      </w:r>
      <w:r w:rsidRPr="002C534A">
        <w:rPr>
          <w:rFonts w:cs="FrankRuehl" w:hint="cs"/>
          <w:sz w:val="28"/>
          <w:szCs w:val="28"/>
          <w:rtl/>
        </w:rPr>
        <w:t xml:space="preserve"> נשק ארוך אוטומטי, העובדה כי בוצע ירי של מספר כדורים גבוה לעבר השער שבסמוך לו המתלוננים, כשכדור אחד פגע בשער, הנאשם לא שיתף פעולה בחקירה, ועד היום לא החזיר את הנשק. לאלה מתווספת ההמלצה השלילית של שירות המבחן, שהמליץ על ענישה מוחשית, לאחר שהתרשם מרמת סיכון בינונית להתממשות עבירה וחומרת אירוע גבוהה אם יתרחש.</w:t>
      </w:r>
    </w:p>
    <w:p w14:paraId="7770FAB5" w14:textId="77777777" w:rsidR="00E36966" w:rsidRPr="00735E03" w:rsidRDefault="00E36966" w:rsidP="00E36966">
      <w:pPr>
        <w:spacing w:line="360" w:lineRule="auto"/>
        <w:ind w:left="720"/>
        <w:jc w:val="both"/>
        <w:rPr>
          <w:rFonts w:cs="FrankRuehl"/>
          <w:sz w:val="20"/>
          <w:szCs w:val="20"/>
          <w:rtl/>
        </w:rPr>
      </w:pPr>
    </w:p>
    <w:p w14:paraId="444EF8ED" w14:textId="77777777" w:rsidR="00E36966" w:rsidRPr="002C534A" w:rsidRDefault="00E36966" w:rsidP="00E36966">
      <w:pPr>
        <w:spacing w:line="360" w:lineRule="auto"/>
        <w:ind w:left="720"/>
        <w:jc w:val="both"/>
        <w:rPr>
          <w:rFonts w:cs="FrankRuehl"/>
          <w:sz w:val="28"/>
          <w:szCs w:val="28"/>
          <w:rtl/>
        </w:rPr>
      </w:pPr>
      <w:r>
        <w:rPr>
          <w:rFonts w:cs="FrankRuehl" w:hint="cs"/>
          <w:sz w:val="28"/>
          <w:szCs w:val="28"/>
          <w:rtl/>
        </w:rPr>
        <w:t>לקולא</w:t>
      </w:r>
      <w:r w:rsidRPr="002C534A">
        <w:rPr>
          <w:rFonts w:cs="FrankRuehl" w:hint="cs"/>
          <w:sz w:val="28"/>
          <w:szCs w:val="28"/>
          <w:rtl/>
        </w:rPr>
        <w:t xml:space="preserve"> יש לזקוף את העדרו של עבר פלילי, את העובדה שבטרם ניהול הוכחות הודה הנאשם בעובדות כתב האישום המתוקן, שנולד עקב קושי ראייתי מחד וסולחה בין המשפחות מאידך.</w:t>
      </w:r>
    </w:p>
    <w:p w14:paraId="24B069A7" w14:textId="77777777" w:rsidR="00E36966" w:rsidRPr="002C534A" w:rsidRDefault="00E36966" w:rsidP="00E36966">
      <w:pPr>
        <w:spacing w:line="360" w:lineRule="auto"/>
        <w:ind w:left="720"/>
        <w:jc w:val="both"/>
        <w:rPr>
          <w:rFonts w:cs="FrankRuehl"/>
          <w:sz w:val="28"/>
          <w:szCs w:val="28"/>
          <w:rtl/>
        </w:rPr>
      </w:pPr>
    </w:p>
    <w:p w14:paraId="1ED1DF12" w14:textId="77777777" w:rsidR="00E36966" w:rsidRDefault="00E36966" w:rsidP="00E36966">
      <w:pPr>
        <w:spacing w:line="360" w:lineRule="auto"/>
        <w:ind w:left="720"/>
        <w:jc w:val="both"/>
        <w:rPr>
          <w:rtl/>
        </w:rPr>
      </w:pPr>
      <w:r w:rsidRPr="002C534A">
        <w:rPr>
          <w:rFonts w:cs="FrankRuehl" w:hint="cs"/>
          <w:sz w:val="28"/>
          <w:szCs w:val="28"/>
          <w:rtl/>
        </w:rPr>
        <w:t>לתמיכה בעמדתו העונשית הציג ב"כ המאשימה פסיקה כמפורט להלן:</w:t>
      </w:r>
      <w:r>
        <w:rPr>
          <w:rFonts w:hint="cs"/>
          <w:rtl/>
        </w:rPr>
        <w:t xml:space="preserve"> </w:t>
      </w:r>
    </w:p>
    <w:p w14:paraId="7467803D" w14:textId="77777777" w:rsidR="00E36966" w:rsidRPr="007936CB" w:rsidRDefault="00E36966" w:rsidP="00E36966">
      <w:pPr>
        <w:spacing w:line="360" w:lineRule="auto"/>
        <w:ind w:left="1440" w:hanging="720"/>
        <w:jc w:val="both"/>
        <w:rPr>
          <w:rFonts w:cs="FrankRuehl"/>
          <w:sz w:val="28"/>
          <w:szCs w:val="28"/>
          <w:rtl/>
        </w:rPr>
      </w:pPr>
      <w:r>
        <w:rPr>
          <w:rFonts w:cs="FrankRuehl" w:hint="cs"/>
          <w:sz w:val="28"/>
          <w:szCs w:val="28"/>
          <w:rtl/>
        </w:rPr>
        <w:t>א.</w:t>
      </w:r>
      <w:r>
        <w:rPr>
          <w:rFonts w:cs="FrankRuehl" w:hint="cs"/>
          <w:sz w:val="28"/>
          <w:szCs w:val="28"/>
          <w:rtl/>
        </w:rPr>
        <w:tab/>
      </w:r>
      <w:hyperlink r:id="rId20" w:history="1">
        <w:r w:rsidR="000F46D2" w:rsidRPr="000F46D2">
          <w:rPr>
            <w:rFonts w:cs="FrankRuehl"/>
            <w:b/>
            <w:bCs/>
            <w:color w:val="0000FF"/>
            <w:sz w:val="28"/>
            <w:szCs w:val="28"/>
            <w:u w:val="single"/>
            <w:rtl/>
          </w:rPr>
          <w:t>ע.פ. 4329/10</w:t>
        </w:r>
      </w:hyperlink>
      <w:r w:rsidRPr="00755F5A">
        <w:rPr>
          <w:rFonts w:cs="FrankRuehl" w:hint="cs"/>
          <w:b/>
          <w:bCs/>
          <w:sz w:val="28"/>
          <w:szCs w:val="28"/>
          <w:rtl/>
        </w:rPr>
        <w:t xml:space="preserve"> אסמאעיל נ' מדינת ישראל</w:t>
      </w:r>
      <w:r>
        <w:rPr>
          <w:rFonts w:cs="FrankRuehl" w:hint="cs"/>
          <w:sz w:val="28"/>
          <w:szCs w:val="28"/>
          <w:rtl/>
        </w:rPr>
        <w:t xml:space="preserve"> , המערער נדון ל- 20 חודשי מאסר לאחר שהורשע בעבירות של החזקת נשק </w:t>
      </w:r>
      <w:r w:rsidRPr="007936CB">
        <w:rPr>
          <w:rFonts w:cs="FrankRuehl" w:hint="cs"/>
          <w:sz w:val="28"/>
          <w:szCs w:val="28"/>
          <w:rtl/>
        </w:rPr>
        <w:t>ונשיאתו שלא כדין כשהנשק טעון בתחמושת ונצור. המערער היה צעיר, ללא עבר פלילי , הוא היה סטודנט ושירות המבחן המליץ על מאסר שירוצה בעבודות שירות. בית המשפט העליון דחה את הערעור.</w:t>
      </w:r>
    </w:p>
    <w:p w14:paraId="41AFA809" w14:textId="77777777" w:rsidR="00E36966" w:rsidRDefault="00E36966" w:rsidP="00E36966">
      <w:pPr>
        <w:spacing w:line="360" w:lineRule="auto"/>
        <w:ind w:left="720"/>
        <w:jc w:val="both"/>
        <w:rPr>
          <w:rFonts w:cs="FrankRuehl"/>
          <w:sz w:val="28"/>
          <w:szCs w:val="28"/>
          <w:rtl/>
        </w:rPr>
      </w:pPr>
      <w:r w:rsidRPr="007936CB">
        <w:rPr>
          <w:rFonts w:cs="FrankRuehl" w:hint="cs"/>
          <w:sz w:val="28"/>
          <w:szCs w:val="28"/>
          <w:rtl/>
        </w:rPr>
        <w:t>ב.</w:t>
      </w:r>
      <w:r w:rsidRPr="007936CB">
        <w:rPr>
          <w:rFonts w:cs="FrankRuehl" w:hint="cs"/>
          <w:sz w:val="28"/>
          <w:szCs w:val="28"/>
          <w:rtl/>
        </w:rPr>
        <w:tab/>
      </w:r>
      <w:hyperlink r:id="rId21" w:history="1">
        <w:r w:rsidR="000F46D2" w:rsidRPr="000F46D2">
          <w:rPr>
            <w:rFonts w:cs="FrankRuehl"/>
            <w:b/>
            <w:bCs/>
            <w:color w:val="0000FF"/>
            <w:sz w:val="28"/>
            <w:szCs w:val="28"/>
            <w:u w:val="single"/>
            <w:rtl/>
          </w:rPr>
          <w:t>ת.פ. 12251-11-11</w:t>
        </w:r>
      </w:hyperlink>
      <w:r w:rsidRPr="00A60B8A">
        <w:rPr>
          <w:rFonts w:cs="FrankRuehl" w:hint="cs"/>
          <w:b/>
          <w:bCs/>
          <w:sz w:val="28"/>
          <w:szCs w:val="28"/>
          <w:rtl/>
        </w:rPr>
        <w:t xml:space="preserve"> מדינת ישראל נ' חליל אחמד ואח'</w:t>
      </w:r>
      <w:r w:rsidRPr="007936CB">
        <w:rPr>
          <w:rFonts w:cs="FrankRuehl" w:hint="cs"/>
          <w:sz w:val="28"/>
          <w:szCs w:val="28"/>
          <w:rtl/>
        </w:rPr>
        <w:t xml:space="preserve"> הורשע הנאשם 1 בשתי </w:t>
      </w:r>
    </w:p>
    <w:p w14:paraId="0ACE2F20" w14:textId="77777777" w:rsidR="00E36966" w:rsidRPr="007936CB" w:rsidRDefault="00E36966" w:rsidP="00E36966">
      <w:pPr>
        <w:spacing w:line="360" w:lineRule="auto"/>
        <w:ind w:left="1440"/>
        <w:jc w:val="both"/>
        <w:rPr>
          <w:rFonts w:cs="FrankRuehl"/>
          <w:sz w:val="28"/>
          <w:szCs w:val="28"/>
          <w:rtl/>
        </w:rPr>
      </w:pPr>
      <w:r w:rsidRPr="007936CB">
        <w:rPr>
          <w:rFonts w:cs="FrankRuehl" w:hint="cs"/>
          <w:sz w:val="28"/>
          <w:szCs w:val="28"/>
          <w:rtl/>
        </w:rPr>
        <w:t>עבירות של החזקת נשק, ירי באזור מגורים, ושתי עבירות של נשיאת נשק. הנאשם היה נעדר עבר פלילי ושירות המבחן המליץ להשית עליו צו מבחן, לחלופין מאסר שירוצה בעבודות שירות.</w:t>
      </w:r>
    </w:p>
    <w:p w14:paraId="22F2878A" w14:textId="77777777" w:rsidR="00E36966" w:rsidRPr="007936CB" w:rsidRDefault="00E36966" w:rsidP="00E36966">
      <w:pPr>
        <w:spacing w:line="360" w:lineRule="auto"/>
        <w:ind w:left="720" w:firstLine="720"/>
        <w:jc w:val="both"/>
        <w:rPr>
          <w:rFonts w:cs="FrankRuehl"/>
          <w:sz w:val="28"/>
          <w:szCs w:val="28"/>
          <w:rtl/>
        </w:rPr>
      </w:pPr>
      <w:r w:rsidRPr="007936CB">
        <w:rPr>
          <w:rFonts w:cs="FrankRuehl" w:hint="cs"/>
          <w:sz w:val="28"/>
          <w:szCs w:val="28"/>
          <w:rtl/>
        </w:rPr>
        <w:t>על הנאשם נגזרו 26 חודשי מאסר בפועל.</w:t>
      </w:r>
    </w:p>
    <w:p w14:paraId="4D46735A" w14:textId="77777777" w:rsidR="00E36966" w:rsidRPr="007936CB" w:rsidRDefault="00E36966" w:rsidP="00E36966">
      <w:pPr>
        <w:spacing w:line="360" w:lineRule="auto"/>
        <w:ind w:left="1440" w:hanging="720"/>
        <w:jc w:val="both"/>
        <w:rPr>
          <w:rFonts w:cs="FrankRuehl"/>
          <w:sz w:val="28"/>
          <w:szCs w:val="28"/>
          <w:rtl/>
        </w:rPr>
      </w:pPr>
      <w:r w:rsidRPr="007936CB">
        <w:rPr>
          <w:rFonts w:cs="FrankRuehl" w:hint="cs"/>
          <w:sz w:val="28"/>
          <w:szCs w:val="28"/>
          <w:rtl/>
        </w:rPr>
        <w:t>ג.</w:t>
      </w:r>
      <w:r w:rsidRPr="007936CB">
        <w:rPr>
          <w:rFonts w:cs="FrankRuehl" w:hint="cs"/>
          <w:sz w:val="28"/>
          <w:szCs w:val="28"/>
          <w:rtl/>
        </w:rPr>
        <w:tab/>
      </w:r>
      <w:hyperlink r:id="rId22" w:history="1">
        <w:r w:rsidR="000F46D2" w:rsidRPr="000F46D2">
          <w:rPr>
            <w:rFonts w:cs="FrankRuehl"/>
            <w:b/>
            <w:bCs/>
            <w:color w:val="0000FF"/>
            <w:sz w:val="28"/>
            <w:szCs w:val="28"/>
            <w:u w:val="single"/>
            <w:rtl/>
          </w:rPr>
          <w:t>ע.פ. 1357/12</w:t>
        </w:r>
      </w:hyperlink>
      <w:r w:rsidRPr="00755F5A">
        <w:rPr>
          <w:rFonts w:cs="FrankRuehl" w:hint="cs"/>
          <w:b/>
          <w:bCs/>
          <w:sz w:val="28"/>
          <w:szCs w:val="28"/>
          <w:rtl/>
        </w:rPr>
        <w:t xml:space="preserve"> דבאח סאלח נ' מדינת ישראל</w:t>
      </w:r>
      <w:r w:rsidRPr="007936CB">
        <w:rPr>
          <w:rFonts w:cs="FrankRuehl" w:hint="cs"/>
          <w:sz w:val="28"/>
          <w:szCs w:val="28"/>
          <w:rtl/>
        </w:rPr>
        <w:t xml:space="preserve"> , המערער שהיה בן 23 בעת מתן פסק הדין בערעור, ירה באזור מגורים 6 כדורים מאקדח שנשא שלא כדין, נעדר עבר פלילי, נדון ל- 42 חודשי מאסר בפועל. בית המשפט העליון הפחית מעונשו והעמידו על 28 חודשי מאסר בפועל.</w:t>
      </w:r>
    </w:p>
    <w:p w14:paraId="22C422B5" w14:textId="77777777" w:rsidR="00E36966" w:rsidRPr="007936CB" w:rsidRDefault="00E36966" w:rsidP="00E36966">
      <w:pPr>
        <w:spacing w:line="360" w:lineRule="auto"/>
        <w:ind w:left="1440" w:hanging="720"/>
        <w:jc w:val="both"/>
        <w:rPr>
          <w:rFonts w:cs="FrankRuehl"/>
          <w:sz w:val="28"/>
          <w:szCs w:val="28"/>
          <w:rtl/>
        </w:rPr>
      </w:pPr>
      <w:r w:rsidRPr="007936CB">
        <w:rPr>
          <w:rFonts w:cs="FrankRuehl" w:hint="cs"/>
          <w:sz w:val="28"/>
          <w:szCs w:val="28"/>
          <w:rtl/>
        </w:rPr>
        <w:t>ד.</w:t>
      </w:r>
      <w:r w:rsidRPr="007936CB">
        <w:rPr>
          <w:rFonts w:cs="FrankRuehl" w:hint="cs"/>
          <w:sz w:val="28"/>
          <w:szCs w:val="28"/>
          <w:rtl/>
        </w:rPr>
        <w:tab/>
      </w:r>
      <w:hyperlink r:id="rId23" w:history="1">
        <w:r w:rsidR="000F46D2" w:rsidRPr="000F46D2">
          <w:rPr>
            <w:rFonts w:cs="FrankRuehl"/>
            <w:b/>
            <w:bCs/>
            <w:color w:val="0000FF"/>
            <w:sz w:val="28"/>
            <w:szCs w:val="28"/>
            <w:u w:val="single"/>
            <w:rtl/>
          </w:rPr>
          <w:t>ת.פ. 24322-01-13</w:t>
        </w:r>
      </w:hyperlink>
      <w:r w:rsidRPr="00755F5A">
        <w:rPr>
          <w:rFonts w:cs="FrankRuehl" w:hint="cs"/>
          <w:b/>
          <w:bCs/>
          <w:sz w:val="28"/>
          <w:szCs w:val="28"/>
          <w:rtl/>
        </w:rPr>
        <w:t xml:space="preserve"> מדינת ישראל נ' ג'אבר</w:t>
      </w:r>
      <w:r>
        <w:rPr>
          <w:rFonts w:cs="FrankRuehl" w:hint="cs"/>
          <w:sz w:val="28"/>
          <w:szCs w:val="28"/>
          <w:rtl/>
        </w:rPr>
        <w:t xml:space="preserve"> </w:t>
      </w:r>
      <w:r w:rsidRPr="007936CB">
        <w:rPr>
          <w:rFonts w:cs="FrankRuehl" w:hint="cs"/>
          <w:sz w:val="28"/>
          <w:szCs w:val="28"/>
          <w:rtl/>
        </w:rPr>
        <w:t xml:space="preserve">הורשע המערער על פי הודאתו בעבירות של קשירת קשר לביצוע פשע , החזקת נשק והחזקת אביזר של נשק. נקבע מתחם הנע בין 14 ל </w:t>
      </w:r>
      <w:r w:rsidRPr="007936CB">
        <w:rPr>
          <w:rFonts w:cs="FrankRuehl"/>
          <w:sz w:val="28"/>
          <w:szCs w:val="28"/>
          <w:rtl/>
        </w:rPr>
        <w:t>–</w:t>
      </w:r>
      <w:r w:rsidRPr="007936CB">
        <w:rPr>
          <w:rFonts w:cs="FrankRuehl" w:hint="cs"/>
          <w:sz w:val="28"/>
          <w:szCs w:val="28"/>
          <w:rtl/>
        </w:rPr>
        <w:t xml:space="preserve"> 32 חודשי מאסר בפועל והנאשם נדון ל </w:t>
      </w:r>
      <w:r w:rsidRPr="007936CB">
        <w:rPr>
          <w:rFonts w:cs="FrankRuehl"/>
          <w:sz w:val="28"/>
          <w:szCs w:val="28"/>
          <w:rtl/>
        </w:rPr>
        <w:t>–</w:t>
      </w:r>
      <w:r w:rsidRPr="007936CB">
        <w:rPr>
          <w:rFonts w:cs="FrankRuehl" w:hint="cs"/>
          <w:sz w:val="28"/>
          <w:szCs w:val="28"/>
          <w:rtl/>
        </w:rPr>
        <w:t xml:space="preserve"> 19 חודשי מאסר בפועל. הערעור על חומרת העונש נדחה.</w:t>
      </w:r>
    </w:p>
    <w:p w14:paraId="59743984" w14:textId="77777777" w:rsidR="00E36966" w:rsidRDefault="00E36966" w:rsidP="00E36966">
      <w:pPr>
        <w:spacing w:line="360" w:lineRule="auto"/>
        <w:ind w:left="1440" w:hanging="720"/>
        <w:jc w:val="both"/>
        <w:rPr>
          <w:rFonts w:cs="FrankRuehl"/>
          <w:sz w:val="28"/>
          <w:szCs w:val="28"/>
          <w:rtl/>
        </w:rPr>
      </w:pPr>
      <w:r w:rsidRPr="007936CB">
        <w:rPr>
          <w:rFonts w:cs="FrankRuehl" w:hint="cs"/>
          <w:sz w:val="28"/>
          <w:szCs w:val="28"/>
          <w:rtl/>
        </w:rPr>
        <w:t>ה.</w:t>
      </w:r>
      <w:r w:rsidRPr="007936CB">
        <w:rPr>
          <w:rFonts w:cs="FrankRuehl" w:hint="cs"/>
          <w:sz w:val="28"/>
          <w:szCs w:val="28"/>
          <w:rtl/>
        </w:rPr>
        <w:tab/>
      </w:r>
      <w:hyperlink r:id="rId24" w:history="1">
        <w:r w:rsidR="000F46D2" w:rsidRPr="000F46D2">
          <w:rPr>
            <w:rFonts w:cs="FrankRuehl"/>
            <w:b/>
            <w:bCs/>
            <w:color w:val="0000FF"/>
            <w:sz w:val="28"/>
            <w:szCs w:val="28"/>
            <w:u w:val="single"/>
            <w:rtl/>
          </w:rPr>
          <w:t>ע.פ. 3156/11</w:t>
        </w:r>
      </w:hyperlink>
      <w:r w:rsidRPr="00755F5A">
        <w:rPr>
          <w:rFonts w:cs="FrankRuehl" w:hint="cs"/>
          <w:b/>
          <w:bCs/>
          <w:sz w:val="28"/>
          <w:szCs w:val="28"/>
          <w:rtl/>
        </w:rPr>
        <w:t xml:space="preserve"> זראיעה נ' מדינת ישראל </w:t>
      </w:r>
      <w:r>
        <w:rPr>
          <w:rFonts w:cs="FrankRuehl" w:hint="cs"/>
          <w:sz w:val="28"/>
          <w:szCs w:val="28"/>
          <w:rtl/>
        </w:rPr>
        <w:t xml:space="preserve">המערער הורשע עלפי הודאתו בעבירות של נשיאת והובלת נשק והסתייעות ברכב לביצוע פשע. על המערער הושתו 24 חודשי מאסר בפועל. למערער היתה הרשעה אחת ישנה, לא נעשה שימוש בנשק , הוא ניהל אורח חיים נורמטיבי , אב ל </w:t>
      </w:r>
      <w:r>
        <w:rPr>
          <w:rFonts w:cs="FrankRuehl"/>
          <w:sz w:val="28"/>
          <w:szCs w:val="28"/>
          <w:rtl/>
        </w:rPr>
        <w:t>–</w:t>
      </w:r>
      <w:r>
        <w:rPr>
          <w:rFonts w:cs="FrankRuehl" w:hint="cs"/>
          <w:sz w:val="28"/>
          <w:szCs w:val="28"/>
          <w:rtl/>
        </w:rPr>
        <w:t xml:space="preserve"> 4 ילדים ומפרנס יחיד במשפחתו. בית המשפט העליון דחה את הערעור.</w:t>
      </w:r>
    </w:p>
    <w:p w14:paraId="5ACF6CE5" w14:textId="77777777" w:rsidR="00E36966" w:rsidRDefault="00E36966" w:rsidP="00E36966">
      <w:pPr>
        <w:spacing w:line="360" w:lineRule="auto"/>
        <w:ind w:left="1440" w:hanging="720"/>
        <w:jc w:val="both"/>
        <w:rPr>
          <w:rFonts w:cs="FrankRuehl"/>
          <w:sz w:val="28"/>
          <w:szCs w:val="28"/>
          <w:rtl/>
        </w:rPr>
      </w:pPr>
      <w:r>
        <w:rPr>
          <w:rFonts w:cs="FrankRuehl" w:hint="cs"/>
          <w:sz w:val="28"/>
          <w:szCs w:val="28"/>
          <w:rtl/>
        </w:rPr>
        <w:t>ו.</w:t>
      </w:r>
      <w:r>
        <w:rPr>
          <w:rFonts w:cs="FrankRuehl" w:hint="cs"/>
          <w:sz w:val="28"/>
          <w:szCs w:val="28"/>
          <w:rtl/>
        </w:rPr>
        <w:tab/>
      </w:r>
      <w:hyperlink r:id="rId25" w:history="1">
        <w:r w:rsidR="000F46D2" w:rsidRPr="000F46D2">
          <w:rPr>
            <w:rFonts w:cs="FrankRuehl"/>
            <w:b/>
            <w:bCs/>
            <w:color w:val="0000FF"/>
            <w:sz w:val="28"/>
            <w:szCs w:val="28"/>
            <w:u w:val="single"/>
            <w:rtl/>
          </w:rPr>
          <w:t>ע.פ.43405-12-12</w:t>
        </w:r>
      </w:hyperlink>
      <w:r w:rsidRPr="00755F5A">
        <w:rPr>
          <w:rFonts w:cs="FrankRuehl" w:hint="cs"/>
          <w:b/>
          <w:bCs/>
          <w:sz w:val="28"/>
          <w:szCs w:val="28"/>
          <w:rtl/>
        </w:rPr>
        <w:t xml:space="preserve"> גלר נ' מדינת ישראל</w:t>
      </w:r>
      <w:r>
        <w:rPr>
          <w:rFonts w:cs="FrankRuehl" w:hint="cs"/>
          <w:sz w:val="28"/>
          <w:szCs w:val="28"/>
          <w:rtl/>
        </w:rPr>
        <w:t xml:space="preserve"> הורשע המערער לאחר שמיעת ראיות בעבירות של קשירת קשר לביצוע פשע, החזקת נשק ותחמושת שלא כדין, מעשי פזיזות ורשלנות, ירי באזור מגורים ושיבוש מהלכי משפט ונדון על ידי בית משפט השלום ל </w:t>
      </w:r>
      <w:r>
        <w:rPr>
          <w:rFonts w:cs="FrankRuehl"/>
          <w:sz w:val="28"/>
          <w:szCs w:val="28"/>
          <w:rtl/>
        </w:rPr>
        <w:t>–</w:t>
      </w:r>
      <w:r>
        <w:rPr>
          <w:rFonts w:cs="FrankRuehl" w:hint="cs"/>
          <w:sz w:val="28"/>
          <w:szCs w:val="28"/>
          <w:rtl/>
        </w:rPr>
        <w:t xml:space="preserve"> 48 חודשי מאסר. נקבע מתחם הנע בין 30 ל </w:t>
      </w:r>
      <w:r>
        <w:rPr>
          <w:rFonts w:cs="FrankRuehl"/>
          <w:sz w:val="28"/>
          <w:szCs w:val="28"/>
          <w:rtl/>
        </w:rPr>
        <w:t>–</w:t>
      </w:r>
      <w:r>
        <w:rPr>
          <w:rFonts w:cs="FrankRuehl" w:hint="cs"/>
          <w:sz w:val="28"/>
          <w:szCs w:val="28"/>
          <w:rtl/>
        </w:rPr>
        <w:t xml:space="preserve"> 60 חודשי מאסר בפועל. המערער ריצה מספר מאסרים בעבר. בית המשפט המחוזי אישר את מתחם הענישה והעמיד את עונשו של המערער על 44 חודשי מאסר בפועל בהתחשב בתקופה בה שהה במעצר בית.</w:t>
      </w:r>
    </w:p>
    <w:p w14:paraId="62917544" w14:textId="77777777" w:rsidR="00E36966" w:rsidRDefault="00E36966" w:rsidP="00E36966">
      <w:pPr>
        <w:spacing w:line="360" w:lineRule="auto"/>
        <w:ind w:left="1440" w:hanging="720"/>
        <w:jc w:val="both"/>
        <w:rPr>
          <w:rFonts w:cs="FrankRuehl"/>
          <w:sz w:val="28"/>
          <w:szCs w:val="28"/>
          <w:rtl/>
        </w:rPr>
      </w:pPr>
    </w:p>
    <w:p w14:paraId="014C9703" w14:textId="77777777" w:rsidR="00E36966" w:rsidRDefault="00E36966" w:rsidP="00E36966">
      <w:pPr>
        <w:spacing w:line="360" w:lineRule="auto"/>
        <w:ind w:left="1440" w:hanging="720"/>
        <w:jc w:val="both"/>
        <w:rPr>
          <w:rFonts w:cs="FrankRuehl"/>
          <w:sz w:val="28"/>
          <w:szCs w:val="28"/>
          <w:rtl/>
        </w:rPr>
      </w:pPr>
      <w:r>
        <w:rPr>
          <w:rFonts w:cs="FrankRuehl"/>
          <w:sz w:val="28"/>
          <w:szCs w:val="28"/>
          <w:rtl/>
        </w:rPr>
        <w:tab/>
      </w:r>
      <w:r>
        <w:rPr>
          <w:rFonts w:cs="FrankRuehl" w:hint="cs"/>
          <w:sz w:val="28"/>
          <w:szCs w:val="28"/>
          <w:rtl/>
        </w:rPr>
        <w:t>במקרה זה דובר בקשר שקשר המערער עם אחר לבצע ירי לעבר בית מגורים בראש העין. לשם כך הצטיידו השניים באקדח 9 מ"מ עם מחסנית ותחמושת תואמים וכובע גרב בו אך העיניים גלויות. השניים הגיעו אל המקום, המערער עטה את כובע הגרב על ראשו, עמד מול הבית וירה ארבעה כדורים לפחות, כאשר בני המשפחה שהו בבית. כתוצאה מהירי נגרם נזק לבית ולרכב, המערער החל להימלט אך נתפס על ידי שוטרים שהגיעו למקום, נכבל והובל אל ניידת המשטרה שם הצליח להחביא את האקדח אשר נתפס בניידת מספר ימים לאחר מכן.</w:t>
      </w:r>
    </w:p>
    <w:p w14:paraId="7249F161" w14:textId="77777777" w:rsidR="00E36966" w:rsidRDefault="00E36966" w:rsidP="00E36966">
      <w:pPr>
        <w:spacing w:line="360" w:lineRule="auto"/>
        <w:ind w:left="1440" w:hanging="720"/>
        <w:jc w:val="both"/>
        <w:rPr>
          <w:rFonts w:cs="FrankRuehl"/>
          <w:sz w:val="28"/>
          <w:szCs w:val="28"/>
          <w:rtl/>
        </w:rPr>
      </w:pPr>
    </w:p>
    <w:p w14:paraId="19BE0549" w14:textId="77777777" w:rsidR="00E36966" w:rsidRPr="007936CB" w:rsidRDefault="00E36966" w:rsidP="00E36966">
      <w:pPr>
        <w:spacing w:line="360" w:lineRule="auto"/>
        <w:jc w:val="both"/>
        <w:rPr>
          <w:rFonts w:cs="FrankRuehl"/>
          <w:sz w:val="28"/>
          <w:szCs w:val="28"/>
          <w:rtl/>
        </w:rPr>
      </w:pPr>
      <w:r>
        <w:rPr>
          <w:rFonts w:cs="FrankRuehl" w:hint="cs"/>
          <w:sz w:val="28"/>
          <w:szCs w:val="28"/>
          <w:rtl/>
        </w:rPr>
        <w:t>6.</w:t>
      </w:r>
      <w:r>
        <w:rPr>
          <w:rFonts w:cs="FrankRuehl" w:hint="cs"/>
          <w:sz w:val="28"/>
          <w:szCs w:val="28"/>
          <w:rtl/>
        </w:rPr>
        <w:tab/>
      </w:r>
      <w:r w:rsidRPr="00E820D4">
        <w:rPr>
          <w:rFonts w:cs="FrankRuehl" w:hint="cs"/>
          <w:b/>
          <w:bCs/>
          <w:sz w:val="28"/>
          <w:szCs w:val="28"/>
          <w:u w:val="single"/>
          <w:rtl/>
        </w:rPr>
        <w:t>טיעוני ב"כ הנאשם:</w:t>
      </w:r>
    </w:p>
    <w:p w14:paraId="29DD87E1" w14:textId="77777777" w:rsidR="00E36966" w:rsidRPr="00B36611" w:rsidRDefault="00E36966" w:rsidP="00E36966">
      <w:pPr>
        <w:spacing w:line="360" w:lineRule="auto"/>
        <w:ind w:left="720"/>
        <w:jc w:val="both"/>
        <w:rPr>
          <w:rFonts w:cs="FrankRuehl"/>
          <w:sz w:val="28"/>
          <w:szCs w:val="28"/>
          <w:rtl/>
        </w:rPr>
      </w:pPr>
      <w:r w:rsidRPr="00B36611">
        <w:rPr>
          <w:rFonts w:cs="FrankRuehl" w:hint="cs"/>
          <w:sz w:val="28"/>
          <w:szCs w:val="28"/>
          <w:rtl/>
        </w:rPr>
        <w:t xml:space="preserve">ב"כ הנאשם טען כי הנאשם הודה בעובדות כתב האישום המתוקן, תיקון התואם את גרסתו של הנאשם, מרגע הגשת כתב האישום. </w:t>
      </w:r>
    </w:p>
    <w:p w14:paraId="32B28BB8" w14:textId="77777777" w:rsidR="00E36966" w:rsidRDefault="00E36966" w:rsidP="00E36966">
      <w:pPr>
        <w:spacing w:line="360" w:lineRule="auto"/>
        <w:ind w:left="720"/>
        <w:jc w:val="both"/>
        <w:rPr>
          <w:rFonts w:cs="FrankRuehl"/>
          <w:sz w:val="28"/>
          <w:szCs w:val="28"/>
          <w:rtl/>
        </w:rPr>
      </w:pPr>
    </w:p>
    <w:p w14:paraId="06A6E88A" w14:textId="77777777" w:rsidR="00E36966" w:rsidRPr="00B36611" w:rsidRDefault="00E36966" w:rsidP="00E36966">
      <w:pPr>
        <w:spacing w:line="360" w:lineRule="auto"/>
        <w:ind w:left="720"/>
        <w:jc w:val="both"/>
        <w:rPr>
          <w:rFonts w:cs="FrankRuehl"/>
          <w:sz w:val="28"/>
          <w:szCs w:val="28"/>
          <w:rtl/>
        </w:rPr>
      </w:pPr>
      <w:r w:rsidRPr="00B36611">
        <w:rPr>
          <w:rFonts w:cs="FrankRuehl" w:hint="cs"/>
          <w:sz w:val="28"/>
          <w:szCs w:val="28"/>
          <w:rtl/>
        </w:rPr>
        <w:t>המחלוקת בין הצדדים הייתה מאוד מצומצמת ונגעה אך לעניין כוונתו, קרי: הנאשם טען שפעל מתוך לחץ ופחד, ומטרתו הייתה להרתיע ולהפחיד את המתלוננים, שלא ינסו לפגוע בו או בבני משפחתו.</w:t>
      </w:r>
    </w:p>
    <w:p w14:paraId="4C33AFAD" w14:textId="77777777" w:rsidR="00E36966" w:rsidRDefault="00E36966" w:rsidP="00E36966">
      <w:pPr>
        <w:spacing w:line="360" w:lineRule="auto"/>
        <w:ind w:left="720"/>
        <w:jc w:val="both"/>
        <w:rPr>
          <w:rFonts w:cs="FrankRuehl"/>
          <w:sz w:val="28"/>
          <w:szCs w:val="28"/>
          <w:rtl/>
        </w:rPr>
      </w:pPr>
    </w:p>
    <w:p w14:paraId="75E76CDE" w14:textId="77777777" w:rsidR="00E36966" w:rsidRPr="00B36611" w:rsidRDefault="00E36966" w:rsidP="00E36966">
      <w:pPr>
        <w:spacing w:line="360" w:lineRule="auto"/>
        <w:ind w:left="720"/>
        <w:jc w:val="both"/>
        <w:rPr>
          <w:rFonts w:cs="FrankRuehl"/>
          <w:sz w:val="28"/>
          <w:szCs w:val="28"/>
          <w:rtl/>
        </w:rPr>
      </w:pPr>
      <w:r w:rsidRPr="00B36611">
        <w:rPr>
          <w:rFonts w:cs="FrankRuehl" w:hint="cs"/>
          <w:sz w:val="28"/>
          <w:szCs w:val="28"/>
          <w:rtl/>
        </w:rPr>
        <w:t xml:space="preserve">אין חולק על חומרת המעשה, אך השאלה המרכזית היא מה הביא אותו לבצע את העבירה. </w:t>
      </w:r>
    </w:p>
    <w:p w14:paraId="4A486580" w14:textId="77777777" w:rsidR="00E36966" w:rsidRPr="00B36611" w:rsidRDefault="00E36966" w:rsidP="00E36966">
      <w:pPr>
        <w:spacing w:line="360" w:lineRule="auto"/>
        <w:ind w:left="720"/>
        <w:jc w:val="both"/>
        <w:rPr>
          <w:rFonts w:cs="FrankRuehl"/>
          <w:sz w:val="28"/>
          <w:szCs w:val="28"/>
          <w:rtl/>
        </w:rPr>
      </w:pPr>
      <w:r w:rsidRPr="00B36611">
        <w:rPr>
          <w:rFonts w:cs="FrankRuehl" w:hint="cs"/>
          <w:sz w:val="28"/>
          <w:szCs w:val="28"/>
          <w:rtl/>
        </w:rPr>
        <w:t xml:space="preserve">מדובר בנאשם צעיר, בן 31 שנים, ללא עבר פלילי, חי חיים נורמטיביים, למד ועבד, אשר עזר בפרנסת המשפחה. </w:t>
      </w:r>
    </w:p>
    <w:p w14:paraId="566ACC38" w14:textId="77777777" w:rsidR="00E36966" w:rsidRDefault="00E36966" w:rsidP="00E36966">
      <w:pPr>
        <w:spacing w:line="360" w:lineRule="auto"/>
        <w:ind w:left="720"/>
        <w:jc w:val="both"/>
        <w:rPr>
          <w:rFonts w:cs="FrankRuehl"/>
          <w:sz w:val="28"/>
          <w:szCs w:val="28"/>
          <w:rtl/>
        </w:rPr>
      </w:pPr>
    </w:p>
    <w:p w14:paraId="5A296FB0" w14:textId="77777777" w:rsidR="00E36966" w:rsidRPr="00CA06C2" w:rsidRDefault="00E36966" w:rsidP="00E36966">
      <w:pPr>
        <w:spacing w:line="360" w:lineRule="auto"/>
        <w:ind w:left="720"/>
        <w:jc w:val="both"/>
        <w:rPr>
          <w:rFonts w:cs="FrankRuehl"/>
          <w:sz w:val="28"/>
          <w:szCs w:val="28"/>
        </w:rPr>
      </w:pPr>
      <w:r w:rsidRPr="00CA06C2">
        <w:rPr>
          <w:rFonts w:cs="FrankRuehl" w:hint="cs"/>
          <w:sz w:val="28"/>
          <w:szCs w:val="28"/>
          <w:rtl/>
        </w:rPr>
        <w:t>המשפחות היריבות מתגוררות בסמיכות זו לזו, והסכסוך קיים תקופה ממושכת. ביום האירוע, הוויכוח שהחל את האירוע, היה תלונה מצד המתלוננים לגבי שיפוץ שערך הנאשם בביתו, לטענתם השיפוץ גרם לכך שיש קושי לעבור עם המכוניות באותה סמטה והם ביקשו ממנו שיוריד את מוט הברזל או הפיגומים ששימש אותו לשיפוצים, הוא סבר אחרת ולא הסיר</w:t>
      </w:r>
      <w:r>
        <w:rPr>
          <w:rFonts w:cs="FrankRuehl" w:hint="cs"/>
          <w:sz w:val="28"/>
          <w:szCs w:val="28"/>
          <w:rtl/>
        </w:rPr>
        <w:t>ו</w:t>
      </w:r>
      <w:r w:rsidRPr="00CA06C2">
        <w:rPr>
          <w:rFonts w:cs="FrankRuehl" w:hint="cs"/>
          <w:sz w:val="28"/>
          <w:szCs w:val="28"/>
          <w:rtl/>
        </w:rPr>
        <w:t xml:space="preserve"> . בתגובה הלכו המתלוננים ותקעו ברזלים לאורך כל הכביש כדי לחסום לחלוטין את הכביש. כשהנאשם , אחיו ואביו ראו את הדבר, באו לשוחח איתם. צפי</w:t>
      </w:r>
      <w:r>
        <w:rPr>
          <w:rFonts w:cs="FrankRuehl" w:hint="cs"/>
          <w:sz w:val="28"/>
          <w:szCs w:val="28"/>
          <w:rtl/>
        </w:rPr>
        <w:t>י</w:t>
      </w:r>
      <w:r w:rsidRPr="00CA06C2">
        <w:rPr>
          <w:rFonts w:cs="FrankRuehl" w:hint="cs"/>
          <w:sz w:val="28"/>
          <w:szCs w:val="28"/>
          <w:rtl/>
        </w:rPr>
        <w:t>ה בקלטת שהוגשה מעלה כי לא מדובר בקטטה הדדית</w:t>
      </w:r>
      <w:r>
        <w:rPr>
          <w:rFonts w:cs="FrankRuehl" w:hint="cs"/>
          <w:sz w:val="28"/>
          <w:szCs w:val="28"/>
          <w:rtl/>
        </w:rPr>
        <w:t>:</w:t>
      </w:r>
      <w:r w:rsidRPr="00CA06C2">
        <w:rPr>
          <w:rFonts w:cs="FrankRuehl" w:hint="cs"/>
          <w:sz w:val="28"/>
          <w:szCs w:val="28"/>
          <w:rtl/>
        </w:rPr>
        <w:t xml:space="preserve"> יש ויכוח שמתלהט, המתלוננים הם אלה שמתחילים בתקיפות ודחיפות, ומעבר למה שכתב בכתב האישום, השנים לא רק אוחזים בסכין שהביאו, אלא הם שולפים את הסכינים ועושים תנועות של שיסוף לעבר הנאשם ובני משפחתו. במונה 1:15 נראה אחד מהמתלוננים בשם עלא, חונק את הנאשם בידו האחת, וביד השנייה אוחז בסכין ומנפנף לעברו, בהמשך מנסה לרדוף אחריו עם אותה סכין. במונה 1:30, במקביל, אחיו של אותו עלא שולף סכין, ובשלב מסוים רץ לכיוון אחיו של הנאשם, וניתן לראות שהוא רץ במעלה הרחוב, ויש בידיו סכין</w:t>
      </w:r>
      <w:r>
        <w:rPr>
          <w:rFonts w:cs="FrankRuehl" w:hint="cs"/>
          <w:sz w:val="28"/>
          <w:szCs w:val="28"/>
          <w:rtl/>
        </w:rPr>
        <w:t xml:space="preserve"> </w:t>
      </w:r>
      <w:r w:rsidRPr="00CA06C2">
        <w:rPr>
          <w:rFonts w:cs="FrankRuehl" w:hint="cs"/>
          <w:sz w:val="28"/>
          <w:szCs w:val="28"/>
          <w:rtl/>
        </w:rPr>
        <w:t>ועושה לו תנועה של שיסוף.</w:t>
      </w:r>
      <w:r>
        <w:rPr>
          <w:rFonts w:cs="FrankRuehl" w:hint="cs"/>
          <w:sz w:val="28"/>
          <w:szCs w:val="28"/>
          <w:rtl/>
        </w:rPr>
        <w:t xml:space="preserve"> מי</w:t>
      </w:r>
      <w:r w:rsidRPr="00CA06C2">
        <w:rPr>
          <w:rFonts w:cs="FrankRuehl" w:hint="cs"/>
          <w:sz w:val="28"/>
          <w:szCs w:val="28"/>
          <w:rtl/>
        </w:rPr>
        <w:t xml:space="preserve"> שמונע את הדקירות, ה</w:t>
      </w:r>
      <w:r>
        <w:rPr>
          <w:rFonts w:cs="FrankRuehl" w:hint="cs"/>
          <w:sz w:val="28"/>
          <w:szCs w:val="28"/>
          <w:rtl/>
        </w:rPr>
        <w:t>ם</w:t>
      </w:r>
      <w:r w:rsidRPr="00CA06C2">
        <w:rPr>
          <w:rFonts w:cs="FrankRuehl" w:hint="cs"/>
          <w:sz w:val="28"/>
          <w:szCs w:val="28"/>
          <w:rtl/>
        </w:rPr>
        <w:t xml:space="preserve"> בני המשפחה האחרים שעוצרים את אותם שני</w:t>
      </w:r>
      <w:r>
        <w:rPr>
          <w:rFonts w:cs="FrankRuehl" w:hint="cs"/>
          <w:sz w:val="28"/>
          <w:szCs w:val="28"/>
          <w:rtl/>
        </w:rPr>
        <w:t>י</w:t>
      </w:r>
      <w:r w:rsidRPr="00CA06C2">
        <w:rPr>
          <w:rFonts w:cs="FrankRuehl" w:hint="cs"/>
          <w:sz w:val="28"/>
          <w:szCs w:val="28"/>
          <w:rtl/>
        </w:rPr>
        <w:t>ם עם הסכינים.</w:t>
      </w:r>
      <w:r w:rsidRPr="00CA06C2">
        <w:rPr>
          <w:rFonts w:cs="FrankRuehl"/>
          <w:sz w:val="28"/>
          <w:szCs w:val="28"/>
        </w:rPr>
        <w:t xml:space="preserve"> </w:t>
      </w:r>
    </w:p>
    <w:p w14:paraId="02AE89A2" w14:textId="77777777" w:rsidR="00E36966" w:rsidRDefault="00E36966" w:rsidP="00E36966">
      <w:pPr>
        <w:spacing w:line="360" w:lineRule="auto"/>
        <w:ind w:left="720"/>
        <w:jc w:val="both"/>
        <w:rPr>
          <w:rFonts w:cs="FrankRuehl"/>
          <w:sz w:val="28"/>
          <w:szCs w:val="28"/>
          <w:rtl/>
        </w:rPr>
      </w:pPr>
    </w:p>
    <w:p w14:paraId="7CE2C565" w14:textId="77777777" w:rsidR="00E36966" w:rsidRPr="00CA06C2" w:rsidRDefault="00E36966" w:rsidP="00E36966">
      <w:pPr>
        <w:spacing w:line="360" w:lineRule="auto"/>
        <w:ind w:left="720"/>
        <w:jc w:val="both"/>
        <w:rPr>
          <w:rFonts w:cs="FrankRuehl"/>
          <w:sz w:val="28"/>
          <w:szCs w:val="28"/>
          <w:rtl/>
        </w:rPr>
      </w:pPr>
      <w:r w:rsidRPr="00CA06C2">
        <w:rPr>
          <w:rFonts w:cs="FrankRuehl" w:hint="cs"/>
          <w:sz w:val="28"/>
          <w:szCs w:val="28"/>
          <w:rtl/>
        </w:rPr>
        <w:t xml:space="preserve">מדובר בנאשם ללא עבר פלילי, שניהל אורח חיים נורמטיבי, מדובר באירוע מטלטל, הוא פחד לשלומו ולשלום בני משפחתו, איבד את העשתונות, רץ הביתה, הביא את הנשק וביצע את אותו ירי, שמטרתו להרתיע את בני המשפחה היריבה ולא לפגוע בהם. </w:t>
      </w:r>
    </w:p>
    <w:p w14:paraId="22BBA0B7" w14:textId="77777777" w:rsidR="00E36966" w:rsidRDefault="00E36966" w:rsidP="00E36966">
      <w:pPr>
        <w:spacing w:line="360" w:lineRule="auto"/>
        <w:ind w:left="720"/>
        <w:jc w:val="both"/>
        <w:rPr>
          <w:rFonts w:cs="FrankRuehl"/>
          <w:sz w:val="28"/>
          <w:szCs w:val="28"/>
          <w:rtl/>
        </w:rPr>
      </w:pPr>
    </w:p>
    <w:p w14:paraId="131161FA" w14:textId="77777777" w:rsidR="00E36966" w:rsidRPr="00CA06C2" w:rsidRDefault="00E36966" w:rsidP="00E36966">
      <w:pPr>
        <w:spacing w:line="360" w:lineRule="auto"/>
        <w:ind w:left="720"/>
        <w:jc w:val="both"/>
        <w:rPr>
          <w:rFonts w:cs="FrankRuehl"/>
          <w:sz w:val="28"/>
          <w:szCs w:val="28"/>
          <w:rtl/>
        </w:rPr>
      </w:pPr>
      <w:r w:rsidRPr="00CA06C2">
        <w:rPr>
          <w:rFonts w:cs="FrankRuehl" w:hint="cs"/>
          <w:sz w:val="28"/>
          <w:szCs w:val="28"/>
          <w:rtl/>
        </w:rPr>
        <w:t xml:space="preserve">בניגוד לנאשם, לחלק מבני המשפחה של המתלוננים יש עבר פלילי, והנאשם מודע לכך. אותו עלא שמצוין בכתב האישום, ריצה מאסרים בפועל, בניגוד לנאשם ולכל בני משפחתו של הנאשם. </w:t>
      </w:r>
    </w:p>
    <w:p w14:paraId="1CE870F7" w14:textId="77777777" w:rsidR="00E36966" w:rsidRDefault="00E36966" w:rsidP="00E36966">
      <w:pPr>
        <w:spacing w:line="360" w:lineRule="auto"/>
        <w:ind w:left="720"/>
        <w:jc w:val="both"/>
        <w:rPr>
          <w:rFonts w:cs="FrankRuehl"/>
          <w:sz w:val="28"/>
          <w:szCs w:val="28"/>
          <w:rtl/>
        </w:rPr>
      </w:pPr>
    </w:p>
    <w:p w14:paraId="1C426F9A" w14:textId="77777777" w:rsidR="00E36966" w:rsidRPr="008E01EA" w:rsidRDefault="00E36966" w:rsidP="00E36966">
      <w:pPr>
        <w:spacing w:line="360" w:lineRule="auto"/>
        <w:ind w:left="720"/>
        <w:jc w:val="both"/>
        <w:rPr>
          <w:rFonts w:cs="FrankRuehl"/>
          <w:sz w:val="28"/>
          <w:szCs w:val="28"/>
          <w:rtl/>
        </w:rPr>
      </w:pPr>
      <w:r w:rsidRPr="008E01EA">
        <w:rPr>
          <w:rFonts w:cs="FrankRuehl" w:hint="cs"/>
          <w:sz w:val="28"/>
          <w:szCs w:val="28"/>
          <w:rtl/>
        </w:rPr>
        <w:t>מאחר ומדובר בסכסוך ארוך, וזמן ניכר לפני האירוע הנאשם הרגיש מאוים מפני אותם מתלוננים, הוא החליט להחזיק נשק בביתו.</w:t>
      </w:r>
    </w:p>
    <w:p w14:paraId="3BC01F71" w14:textId="77777777" w:rsidR="00E36966" w:rsidRDefault="00E36966" w:rsidP="00E36966">
      <w:pPr>
        <w:spacing w:line="360" w:lineRule="auto"/>
        <w:ind w:left="720"/>
        <w:rPr>
          <w:rFonts w:cs="FrankRuehl"/>
          <w:sz w:val="28"/>
          <w:szCs w:val="28"/>
          <w:rtl/>
        </w:rPr>
      </w:pPr>
    </w:p>
    <w:p w14:paraId="54830A3E" w14:textId="77777777" w:rsidR="00E36966" w:rsidRPr="008E01EA" w:rsidRDefault="00E36966" w:rsidP="00E36966">
      <w:pPr>
        <w:spacing w:line="360" w:lineRule="auto"/>
        <w:ind w:left="720"/>
        <w:rPr>
          <w:rFonts w:cs="FrankRuehl"/>
          <w:sz w:val="28"/>
          <w:szCs w:val="28"/>
        </w:rPr>
      </w:pPr>
      <w:r w:rsidRPr="008E01EA">
        <w:rPr>
          <w:rFonts w:cs="FrankRuehl" w:hint="cs"/>
          <w:sz w:val="28"/>
          <w:szCs w:val="28"/>
          <w:rtl/>
        </w:rPr>
        <w:t>אמנם ההחזקה לא חוקית אך קיימים מדרגים, כמפורט ב</w:t>
      </w:r>
      <w:hyperlink r:id="rId26" w:history="1">
        <w:r w:rsidR="000F46D2" w:rsidRPr="000F46D2">
          <w:rPr>
            <w:rFonts w:cs="FrankRuehl"/>
            <w:color w:val="0000FF"/>
            <w:sz w:val="28"/>
            <w:szCs w:val="28"/>
            <w:u w:val="single"/>
            <w:rtl/>
          </w:rPr>
          <w:t>ב"ש625/82</w:t>
        </w:r>
      </w:hyperlink>
      <w:r w:rsidRPr="008E01EA">
        <w:rPr>
          <w:rFonts w:cs="FrankRuehl"/>
          <w:sz w:val="28"/>
          <w:szCs w:val="28"/>
        </w:rPr>
        <w:t xml:space="preserve"> </w:t>
      </w:r>
      <w:r w:rsidRPr="008E01EA">
        <w:rPr>
          <w:rFonts w:cs="FrankRuehl"/>
          <w:sz w:val="28"/>
          <w:szCs w:val="28"/>
          <w:rtl/>
        </w:rPr>
        <w:t>אבו</w:t>
      </w:r>
      <w:r w:rsidRPr="008E01EA">
        <w:rPr>
          <w:rFonts w:cs="FrankRuehl" w:hint="cs"/>
          <w:sz w:val="28"/>
          <w:szCs w:val="28"/>
          <w:rtl/>
        </w:rPr>
        <w:t xml:space="preserve"> </w:t>
      </w:r>
      <w:r w:rsidRPr="008E01EA">
        <w:rPr>
          <w:rFonts w:cs="FrankRuehl"/>
          <w:sz w:val="28"/>
          <w:szCs w:val="28"/>
          <w:rtl/>
        </w:rPr>
        <w:t>מוך</w:t>
      </w:r>
      <w:r w:rsidRPr="008E01EA">
        <w:rPr>
          <w:rFonts w:cs="FrankRuehl" w:hint="cs"/>
          <w:sz w:val="28"/>
          <w:szCs w:val="28"/>
          <w:rtl/>
        </w:rPr>
        <w:t xml:space="preserve"> </w:t>
      </w:r>
      <w:r w:rsidRPr="008E01EA">
        <w:rPr>
          <w:rFonts w:cs="FrankRuehl"/>
          <w:sz w:val="28"/>
          <w:szCs w:val="28"/>
          <w:rtl/>
        </w:rPr>
        <w:t>רחמן</w:t>
      </w:r>
      <w:r w:rsidRPr="008E01EA">
        <w:rPr>
          <w:rFonts w:cs="FrankRuehl"/>
          <w:sz w:val="28"/>
          <w:szCs w:val="28"/>
        </w:rPr>
        <w:t xml:space="preserve"> </w:t>
      </w:r>
      <w:r w:rsidRPr="008E01EA">
        <w:rPr>
          <w:rFonts w:cs="FrankRuehl"/>
          <w:sz w:val="28"/>
          <w:szCs w:val="28"/>
          <w:rtl/>
        </w:rPr>
        <w:t>מחמוד</w:t>
      </w:r>
      <w:r w:rsidRPr="008E01EA">
        <w:rPr>
          <w:rFonts w:cs="FrankRuehl"/>
          <w:sz w:val="28"/>
          <w:szCs w:val="28"/>
        </w:rPr>
        <w:t xml:space="preserve"> </w:t>
      </w:r>
      <w:r w:rsidRPr="008E01EA">
        <w:rPr>
          <w:rFonts w:cs="FrankRuehl"/>
          <w:sz w:val="28"/>
          <w:szCs w:val="28"/>
          <w:rtl/>
        </w:rPr>
        <w:t>נ</w:t>
      </w:r>
      <w:r w:rsidRPr="008E01EA">
        <w:rPr>
          <w:rFonts w:cs="FrankRuehl"/>
          <w:sz w:val="28"/>
          <w:szCs w:val="28"/>
        </w:rPr>
        <w:t xml:space="preserve">' </w:t>
      </w:r>
      <w:r w:rsidRPr="008E01EA">
        <w:rPr>
          <w:rFonts w:cs="FrankRuehl"/>
          <w:sz w:val="28"/>
          <w:szCs w:val="28"/>
          <w:rtl/>
        </w:rPr>
        <w:t>מדינת</w:t>
      </w:r>
      <w:r w:rsidRPr="008E01EA">
        <w:rPr>
          <w:rFonts w:cs="FrankRuehl"/>
          <w:sz w:val="28"/>
          <w:szCs w:val="28"/>
        </w:rPr>
        <w:t xml:space="preserve"> </w:t>
      </w:r>
      <w:r w:rsidRPr="008E01EA">
        <w:rPr>
          <w:rFonts w:cs="FrankRuehl"/>
          <w:sz w:val="28"/>
          <w:szCs w:val="28"/>
          <w:rtl/>
        </w:rPr>
        <w:t>ישראל</w:t>
      </w:r>
      <w:r w:rsidRPr="008E01EA">
        <w:rPr>
          <w:rFonts w:cs="FrankRuehl"/>
          <w:sz w:val="28"/>
          <w:szCs w:val="28"/>
        </w:rPr>
        <w:t xml:space="preserve"> , </w:t>
      </w:r>
      <w:r w:rsidRPr="008E01EA">
        <w:rPr>
          <w:rFonts w:cs="FrankRuehl"/>
          <w:sz w:val="28"/>
          <w:szCs w:val="28"/>
          <w:rtl/>
        </w:rPr>
        <w:t>ל</w:t>
      </w:r>
      <w:r w:rsidRPr="008E01EA">
        <w:rPr>
          <w:rFonts w:cs="FrankRuehl" w:hint="cs"/>
          <w:sz w:val="28"/>
          <w:szCs w:val="28"/>
          <w:rtl/>
        </w:rPr>
        <w:t>"</w:t>
      </w:r>
      <w:r w:rsidRPr="008E01EA">
        <w:rPr>
          <w:rFonts w:cs="FrankRuehl"/>
          <w:sz w:val="28"/>
          <w:szCs w:val="28"/>
          <w:rtl/>
        </w:rPr>
        <w:t>ז</w:t>
      </w:r>
      <w:r w:rsidRPr="008E01EA">
        <w:rPr>
          <w:rFonts w:cs="FrankRuehl"/>
          <w:sz w:val="28"/>
          <w:szCs w:val="28"/>
        </w:rPr>
        <w:t xml:space="preserve"> (3) 668 </w:t>
      </w:r>
      <w:r w:rsidRPr="008E01EA">
        <w:rPr>
          <w:rFonts w:cs="FrankRuehl" w:hint="cs"/>
          <w:sz w:val="28"/>
          <w:szCs w:val="28"/>
          <w:rtl/>
        </w:rPr>
        <w:t xml:space="preserve">, החזקה לצורך הגנה עצמית. </w:t>
      </w:r>
    </w:p>
    <w:p w14:paraId="422CBE58" w14:textId="77777777" w:rsidR="00E36966" w:rsidRDefault="00E36966" w:rsidP="00E36966">
      <w:pPr>
        <w:spacing w:line="360" w:lineRule="auto"/>
        <w:ind w:left="720"/>
        <w:jc w:val="both"/>
        <w:rPr>
          <w:rFonts w:cs="FrankRuehl"/>
          <w:sz w:val="28"/>
          <w:szCs w:val="28"/>
          <w:rtl/>
        </w:rPr>
      </w:pPr>
    </w:p>
    <w:p w14:paraId="498F1D4B" w14:textId="77777777" w:rsidR="00E36966" w:rsidRPr="008E01EA" w:rsidRDefault="00E36966" w:rsidP="00E36966">
      <w:pPr>
        <w:spacing w:line="360" w:lineRule="auto"/>
        <w:ind w:left="720"/>
        <w:jc w:val="both"/>
        <w:rPr>
          <w:rFonts w:cs="FrankRuehl"/>
          <w:sz w:val="28"/>
          <w:szCs w:val="28"/>
          <w:rtl/>
        </w:rPr>
      </w:pPr>
      <w:r w:rsidRPr="008E01EA">
        <w:rPr>
          <w:rFonts w:cs="FrankRuehl" w:hint="cs"/>
          <w:sz w:val="28"/>
          <w:szCs w:val="28"/>
          <w:rtl/>
        </w:rPr>
        <w:t xml:space="preserve">הנאשם לא ביצע עבירות ולא יזם עבירות אחרות. הפעם הראשונה והיחידה שעשה שימוש בנשק הזה שהחזיק, היתה לאחר שהמתלוננים ניסו לדקור אותו ואת בני משפחתו. אין הצדקה למעשים, והנאשם יודע זאת. </w:t>
      </w:r>
      <w:r>
        <w:rPr>
          <w:rFonts w:cs="FrankRuehl" w:hint="cs"/>
          <w:sz w:val="28"/>
          <w:szCs w:val="28"/>
          <w:rtl/>
        </w:rPr>
        <w:t xml:space="preserve"> </w:t>
      </w:r>
    </w:p>
    <w:p w14:paraId="1263B298" w14:textId="77777777" w:rsidR="00E36966" w:rsidRDefault="00E36966" w:rsidP="00E36966">
      <w:pPr>
        <w:spacing w:line="360" w:lineRule="auto"/>
        <w:ind w:left="720"/>
        <w:jc w:val="both"/>
        <w:rPr>
          <w:rFonts w:cs="FrankRuehl"/>
          <w:sz w:val="28"/>
          <w:szCs w:val="28"/>
          <w:rtl/>
        </w:rPr>
      </w:pPr>
    </w:p>
    <w:p w14:paraId="15C73DB9" w14:textId="77777777" w:rsidR="00E36966" w:rsidRPr="008E01EA" w:rsidRDefault="00E36966" w:rsidP="00E36966">
      <w:pPr>
        <w:spacing w:line="360" w:lineRule="auto"/>
        <w:ind w:left="720"/>
        <w:jc w:val="both"/>
        <w:rPr>
          <w:rFonts w:cs="FrankRuehl"/>
          <w:sz w:val="28"/>
          <w:szCs w:val="28"/>
          <w:rtl/>
        </w:rPr>
      </w:pPr>
      <w:r w:rsidRPr="008E01EA">
        <w:rPr>
          <w:rFonts w:cs="FrankRuehl" w:hint="cs"/>
          <w:sz w:val="28"/>
          <w:szCs w:val="28"/>
          <w:rtl/>
        </w:rPr>
        <w:t>ב"כ הנאשם טען להגנה מן הצדק ו</w:t>
      </w:r>
      <w:r>
        <w:rPr>
          <w:rFonts w:cs="FrankRuehl" w:hint="cs"/>
          <w:sz w:val="28"/>
          <w:szCs w:val="28"/>
          <w:rtl/>
        </w:rPr>
        <w:t>ל</w:t>
      </w:r>
      <w:r w:rsidRPr="008E01EA">
        <w:rPr>
          <w:rFonts w:cs="FrankRuehl" w:hint="cs"/>
          <w:sz w:val="28"/>
          <w:szCs w:val="28"/>
          <w:rtl/>
        </w:rPr>
        <w:t xml:space="preserve">אכיפה בררנית בכל הקשור בטיפול המשטרה בניהול הסכסוך בין שתי המשפחות, כאשר בקטטה שקדמה לירי, שניים ממשפחת נאסר אחזו סכינים, וניסו לבצע דקירות, הם נחקרו תחת אזהרה אך לא הוגש כתב אישום כנגדם. </w:t>
      </w:r>
    </w:p>
    <w:p w14:paraId="1797A725" w14:textId="77777777" w:rsidR="00E36966" w:rsidRPr="008E01EA" w:rsidRDefault="00E36966" w:rsidP="00E36966">
      <w:pPr>
        <w:spacing w:line="360" w:lineRule="auto"/>
        <w:ind w:left="720"/>
        <w:jc w:val="both"/>
        <w:rPr>
          <w:rFonts w:cs="FrankRuehl"/>
          <w:sz w:val="28"/>
          <w:szCs w:val="28"/>
          <w:rtl/>
        </w:rPr>
      </w:pPr>
      <w:r w:rsidRPr="008E01EA">
        <w:rPr>
          <w:rFonts w:cs="FrankRuehl" w:hint="cs"/>
          <w:sz w:val="28"/>
          <w:szCs w:val="28"/>
          <w:rtl/>
        </w:rPr>
        <w:t xml:space="preserve">מיד לאחר הירי, ולאחר שהנאשם עזב את המקום, התפתחה מהומה במקום, המשטרה הגיעה, ומהדו"חות של כל השוטרים עולה שבני משפחת המתלוננים הקימו שם מהומה התלוננו, צעקו, קיללו, וזרקו חפצים לעבר בית הנאשם. אפילו באוזני השוטרים עצמם, לא הפסיקו לאיים שבכוונתם לפגוע בנאשם ובבני משפחתו, דבר שאילץ את השוטרים להישאר </w:t>
      </w:r>
      <w:r>
        <w:rPr>
          <w:rFonts w:cs="FrankRuehl" w:hint="cs"/>
          <w:sz w:val="28"/>
          <w:szCs w:val="28"/>
          <w:rtl/>
        </w:rPr>
        <w:t>במקום</w:t>
      </w:r>
      <w:r w:rsidRPr="008E01EA">
        <w:rPr>
          <w:rFonts w:cs="FrankRuehl" w:hint="cs"/>
          <w:sz w:val="28"/>
          <w:szCs w:val="28"/>
          <w:rtl/>
        </w:rPr>
        <w:t xml:space="preserve"> כל הלילה על מנת להפריד בין בני המשפחה לבין ביתו של הנאשם. </w:t>
      </w:r>
    </w:p>
    <w:p w14:paraId="2FF3EE1D" w14:textId="77777777" w:rsidR="00E36966" w:rsidRDefault="00E36966" w:rsidP="00E36966">
      <w:pPr>
        <w:spacing w:line="360" w:lineRule="auto"/>
        <w:ind w:left="720"/>
        <w:jc w:val="both"/>
        <w:rPr>
          <w:rFonts w:cs="FrankRuehl"/>
          <w:sz w:val="28"/>
          <w:szCs w:val="28"/>
          <w:rtl/>
        </w:rPr>
      </w:pPr>
    </w:p>
    <w:p w14:paraId="3C02A6CD" w14:textId="77777777" w:rsidR="00E36966" w:rsidRPr="008E01EA" w:rsidRDefault="00E36966" w:rsidP="00E36966">
      <w:pPr>
        <w:spacing w:line="360" w:lineRule="auto"/>
        <w:ind w:left="720"/>
        <w:jc w:val="both"/>
        <w:rPr>
          <w:rFonts w:cs="FrankRuehl"/>
          <w:sz w:val="28"/>
          <w:szCs w:val="28"/>
          <w:rtl/>
        </w:rPr>
      </w:pPr>
      <w:r w:rsidRPr="008E01EA">
        <w:rPr>
          <w:rFonts w:cs="FrankRuehl" w:hint="cs"/>
          <w:sz w:val="28"/>
          <w:szCs w:val="28"/>
          <w:rtl/>
        </w:rPr>
        <w:t xml:space="preserve">במסגרת אותה מהומה, ועל כך גם נכתב במזכרים של השוטרים, ניפצו את השמשות של הרכב של משפחה הנאשם, כאשר השוטר שבמקום לא הצליח לבצע את המעצר של מי שפגע ברכב בגלל המהומה הגדולה שהייתה למרות שבמסגרת חקירת אביו של הנאשם אשר נחקר פעמיים הוא ציין שראה מי עשה זאת. </w:t>
      </w:r>
    </w:p>
    <w:p w14:paraId="4CC5DF43" w14:textId="77777777" w:rsidR="00E36966" w:rsidRPr="008E01EA" w:rsidRDefault="00E36966" w:rsidP="00E36966">
      <w:pPr>
        <w:spacing w:line="360" w:lineRule="auto"/>
        <w:jc w:val="both"/>
        <w:rPr>
          <w:rFonts w:cs="FrankRuehl"/>
          <w:b/>
          <w:bCs/>
          <w:sz w:val="28"/>
          <w:szCs w:val="28"/>
          <w:u w:val="single"/>
          <w:rtl/>
        </w:rPr>
      </w:pPr>
    </w:p>
    <w:p w14:paraId="5E12F08B" w14:textId="77777777" w:rsidR="00E36966" w:rsidRPr="000F4A73" w:rsidRDefault="00E36966" w:rsidP="00E36966">
      <w:pPr>
        <w:spacing w:line="360" w:lineRule="auto"/>
        <w:ind w:left="720"/>
        <w:jc w:val="both"/>
        <w:rPr>
          <w:rFonts w:ascii="Calibri" w:hAnsi="Calibri" w:cs="FrankRuehl"/>
          <w:sz w:val="28"/>
          <w:szCs w:val="28"/>
          <w:rtl/>
        </w:rPr>
      </w:pPr>
      <w:r w:rsidRPr="000F4A73">
        <w:rPr>
          <w:rFonts w:ascii="Calibri" w:hAnsi="Calibri" w:cs="FrankRuehl" w:hint="cs"/>
          <w:sz w:val="28"/>
          <w:szCs w:val="28"/>
          <w:rtl/>
        </w:rPr>
        <w:t>בתגובה טען ב"כ המאשימה כי התיקים נסגרו בהעדר ראיות. האב הצביע על מוחמד ומוחמד בחקירותיו במשטרה לא נשאל ולו שאלה על כך.</w:t>
      </w:r>
    </w:p>
    <w:p w14:paraId="17A2F138" w14:textId="77777777" w:rsidR="00E36966" w:rsidRPr="000F4A73" w:rsidRDefault="00E36966" w:rsidP="00E36966">
      <w:pPr>
        <w:spacing w:line="360" w:lineRule="auto"/>
        <w:ind w:left="720"/>
        <w:jc w:val="both"/>
        <w:rPr>
          <w:rFonts w:ascii="Calibri" w:hAnsi="Calibri" w:cs="FrankRuehl"/>
          <w:sz w:val="28"/>
          <w:szCs w:val="28"/>
          <w:rtl/>
        </w:rPr>
      </w:pPr>
    </w:p>
    <w:p w14:paraId="610CBA52" w14:textId="77777777" w:rsidR="00E36966" w:rsidRPr="008E01EA" w:rsidRDefault="00E36966" w:rsidP="00E36966">
      <w:pPr>
        <w:spacing w:line="360" w:lineRule="auto"/>
        <w:ind w:left="720"/>
        <w:jc w:val="both"/>
        <w:rPr>
          <w:rFonts w:ascii="David" w:hAnsi="David" w:cs="FrankRuehl"/>
          <w:sz w:val="28"/>
          <w:szCs w:val="28"/>
          <w:rtl/>
        </w:rPr>
      </w:pPr>
      <w:r w:rsidRPr="000F4A73">
        <w:rPr>
          <w:rFonts w:ascii="Calibri" w:hAnsi="Calibri" w:cs="FrankRuehl" w:hint="cs"/>
          <w:sz w:val="28"/>
          <w:szCs w:val="28"/>
          <w:rtl/>
        </w:rPr>
        <w:t>למחרת היום עלה רכבה של משפחת הנאשם באש ו</w:t>
      </w:r>
      <w:r w:rsidRPr="008E01EA">
        <w:rPr>
          <w:rFonts w:cs="FrankRuehl" w:hint="cs"/>
          <w:sz w:val="28"/>
          <w:szCs w:val="28"/>
          <w:rtl/>
        </w:rPr>
        <w:t xml:space="preserve">בלילה שלאחר מכן, בין ה-22.6-23.6, נעשה ניסיון להצית את בית הנאשם כעולה מקלטת המנציחה את אמו של הנאשם מזעיקה את עזרת המשטרה לאחר שלטענתה זרקו לבית בלון גז בוער. </w:t>
      </w:r>
    </w:p>
    <w:p w14:paraId="4054D8D8" w14:textId="77777777" w:rsidR="00E36966" w:rsidRDefault="00E36966" w:rsidP="00E36966">
      <w:pPr>
        <w:spacing w:line="360" w:lineRule="auto"/>
        <w:ind w:left="720"/>
        <w:jc w:val="both"/>
        <w:rPr>
          <w:rFonts w:cs="FrankRuehl"/>
          <w:sz w:val="28"/>
          <w:szCs w:val="28"/>
          <w:rtl/>
        </w:rPr>
      </w:pPr>
    </w:p>
    <w:p w14:paraId="120FB661" w14:textId="77777777" w:rsidR="00E36966" w:rsidRDefault="00E36966" w:rsidP="00E36966">
      <w:pPr>
        <w:spacing w:line="360" w:lineRule="auto"/>
        <w:ind w:left="720"/>
        <w:jc w:val="both"/>
        <w:rPr>
          <w:rFonts w:cs="FrankRuehl"/>
          <w:sz w:val="28"/>
          <w:szCs w:val="28"/>
          <w:rtl/>
        </w:rPr>
      </w:pPr>
      <w:r w:rsidRPr="008E01EA">
        <w:rPr>
          <w:rFonts w:cs="FrankRuehl" w:hint="cs"/>
          <w:sz w:val="28"/>
          <w:szCs w:val="28"/>
          <w:rtl/>
        </w:rPr>
        <w:t xml:space="preserve">האם לטענתו ציינה בפני השוטרים מי עשה את הדבר, היא ראתה את אותו מג'די נאסר. </w:t>
      </w:r>
    </w:p>
    <w:p w14:paraId="7FD46DE4" w14:textId="77777777" w:rsidR="00E36966" w:rsidRDefault="00E36966" w:rsidP="00E36966">
      <w:pPr>
        <w:spacing w:line="360" w:lineRule="auto"/>
        <w:ind w:left="720"/>
        <w:jc w:val="both"/>
        <w:rPr>
          <w:rFonts w:cs="FrankRuehl"/>
          <w:sz w:val="28"/>
          <w:szCs w:val="28"/>
          <w:rtl/>
        </w:rPr>
      </w:pPr>
    </w:p>
    <w:p w14:paraId="1388CF0C" w14:textId="77777777" w:rsidR="00E36966" w:rsidRPr="008E01EA" w:rsidRDefault="00E36966" w:rsidP="00E36966">
      <w:pPr>
        <w:spacing w:line="360" w:lineRule="auto"/>
        <w:ind w:left="720"/>
        <w:jc w:val="both"/>
        <w:rPr>
          <w:rFonts w:cs="FrankRuehl"/>
          <w:sz w:val="28"/>
          <w:szCs w:val="28"/>
        </w:rPr>
      </w:pPr>
      <w:r w:rsidRPr="008E01EA">
        <w:rPr>
          <w:rFonts w:cs="FrankRuehl" w:hint="cs"/>
          <w:sz w:val="28"/>
          <w:szCs w:val="28"/>
          <w:rtl/>
        </w:rPr>
        <w:t xml:space="preserve">אותו מג'די בכלל לא נחקר על כך, ובתגובה של המאשימה נמסר כי בעקבות אירוע זה, המשטרה הזמינה את שני אבות המשפחות, הם נחקרו והוחלט לסגור את התיק. </w:t>
      </w:r>
    </w:p>
    <w:p w14:paraId="027BC5B9" w14:textId="77777777" w:rsidR="00E36966" w:rsidRPr="008E01EA" w:rsidRDefault="00E36966" w:rsidP="00E36966">
      <w:pPr>
        <w:spacing w:line="360" w:lineRule="auto"/>
        <w:ind w:firstLine="720"/>
        <w:jc w:val="both"/>
        <w:rPr>
          <w:rFonts w:cs="FrankRuehl"/>
          <w:sz w:val="28"/>
          <w:szCs w:val="28"/>
          <w:rtl/>
        </w:rPr>
      </w:pPr>
      <w:r w:rsidRPr="008E01EA">
        <w:rPr>
          <w:rFonts w:cs="FrankRuehl" w:hint="cs"/>
          <w:sz w:val="28"/>
          <w:szCs w:val="28"/>
          <w:rtl/>
        </w:rPr>
        <w:t xml:space="preserve">אירועים אלה מלמדים באיזו מציאות הנאשם חי. </w:t>
      </w:r>
    </w:p>
    <w:p w14:paraId="615CECD2" w14:textId="77777777" w:rsidR="00E36966" w:rsidRDefault="00E36966" w:rsidP="00E36966">
      <w:pPr>
        <w:spacing w:line="360" w:lineRule="auto"/>
        <w:ind w:left="720"/>
        <w:jc w:val="both"/>
        <w:rPr>
          <w:rFonts w:cs="FrankRuehl"/>
          <w:sz w:val="28"/>
          <w:szCs w:val="28"/>
          <w:rtl/>
        </w:rPr>
      </w:pPr>
    </w:p>
    <w:p w14:paraId="44F63159" w14:textId="77777777" w:rsidR="00E36966" w:rsidRPr="008E01EA" w:rsidRDefault="00E36966" w:rsidP="00E36966">
      <w:pPr>
        <w:spacing w:line="360" w:lineRule="auto"/>
        <w:ind w:left="720"/>
        <w:jc w:val="both"/>
        <w:rPr>
          <w:rFonts w:cs="FrankRuehl"/>
          <w:sz w:val="28"/>
          <w:szCs w:val="28"/>
          <w:rtl/>
        </w:rPr>
      </w:pPr>
      <w:r w:rsidRPr="008E01EA">
        <w:rPr>
          <w:rFonts w:cs="FrankRuehl" w:hint="cs"/>
          <w:sz w:val="28"/>
          <w:szCs w:val="28"/>
          <w:rtl/>
        </w:rPr>
        <w:t xml:space="preserve">כל המתואר בתסקיר שירות המבחן מראה כי הנאשם היה על דרך המלך, ומה שלמעשה טרף את הקלפים ושינה את מצבו זה המעצר הנוכחי, שארע לפני כחודש, מעצר בעקבות כתב אישום </w:t>
      </w:r>
      <w:r>
        <w:rPr>
          <w:rFonts w:cs="FrankRuehl" w:hint="cs"/>
          <w:sz w:val="28"/>
          <w:szCs w:val="28"/>
          <w:rtl/>
        </w:rPr>
        <w:t xml:space="preserve">נוסף </w:t>
      </w:r>
      <w:r w:rsidRPr="008E01EA">
        <w:rPr>
          <w:rFonts w:cs="FrankRuehl" w:hint="cs"/>
          <w:sz w:val="28"/>
          <w:szCs w:val="28"/>
          <w:rtl/>
        </w:rPr>
        <w:t xml:space="preserve">לגביו מכחיש הנאשם מעורבותו. </w:t>
      </w:r>
    </w:p>
    <w:p w14:paraId="33CFF3E2" w14:textId="77777777" w:rsidR="00E36966" w:rsidRDefault="00E36966" w:rsidP="00E36966">
      <w:pPr>
        <w:spacing w:line="360" w:lineRule="auto"/>
        <w:ind w:left="720"/>
        <w:jc w:val="both"/>
        <w:rPr>
          <w:rFonts w:cs="FrankRuehl"/>
          <w:sz w:val="28"/>
          <w:szCs w:val="28"/>
          <w:rtl/>
        </w:rPr>
      </w:pPr>
    </w:p>
    <w:p w14:paraId="4BCBE2B1" w14:textId="77777777" w:rsidR="00E36966" w:rsidRPr="00CD2407" w:rsidRDefault="00E36966" w:rsidP="00E36966">
      <w:pPr>
        <w:spacing w:line="360" w:lineRule="auto"/>
        <w:ind w:left="720"/>
        <w:jc w:val="both"/>
        <w:rPr>
          <w:rFonts w:cs="FrankRuehl"/>
          <w:sz w:val="28"/>
          <w:szCs w:val="28"/>
          <w:rtl/>
        </w:rPr>
      </w:pPr>
      <w:r w:rsidRPr="00CD2407">
        <w:rPr>
          <w:rFonts w:cs="FrankRuehl" w:hint="cs"/>
          <w:sz w:val="28"/>
          <w:szCs w:val="28"/>
          <w:rtl/>
        </w:rPr>
        <w:t>הנאשם היה עצור חודשיים, מיום 23.6.14 עד 28.8.14. בהמשך שהה שבעה חודשים במעצר בית מוחלט עם איזוק אלקטרוני. לאחר מכן יצא לתפילות במשך 4 חודשים, ובתום אותה שנה כאמור, הוסר האיזוק הוא חזר לביתו, ועד למעצרו היה בביתו עבד למחייתו והיה נתון במעצר בית לילי בלבד.</w:t>
      </w:r>
    </w:p>
    <w:p w14:paraId="67C485FA" w14:textId="77777777" w:rsidR="00E36966" w:rsidRPr="00CD2407" w:rsidRDefault="00E36966" w:rsidP="00E36966">
      <w:pPr>
        <w:spacing w:line="360" w:lineRule="auto"/>
        <w:jc w:val="both"/>
        <w:rPr>
          <w:rFonts w:cs="FrankRuehl"/>
          <w:sz w:val="28"/>
          <w:szCs w:val="28"/>
          <w:rtl/>
        </w:rPr>
      </w:pPr>
    </w:p>
    <w:p w14:paraId="7954B450" w14:textId="77777777" w:rsidR="00E36966" w:rsidRPr="00CD2407" w:rsidRDefault="00E36966" w:rsidP="00E36966">
      <w:pPr>
        <w:spacing w:line="360" w:lineRule="auto"/>
        <w:ind w:left="720"/>
        <w:jc w:val="both"/>
        <w:rPr>
          <w:rFonts w:cs="FrankRuehl"/>
          <w:sz w:val="28"/>
          <w:szCs w:val="28"/>
          <w:rtl/>
        </w:rPr>
      </w:pPr>
      <w:r w:rsidRPr="00CD2407">
        <w:rPr>
          <w:rFonts w:cs="FrankRuehl" w:hint="cs"/>
          <w:sz w:val="28"/>
          <w:szCs w:val="28"/>
          <w:rtl/>
        </w:rPr>
        <w:t xml:space="preserve">אף שהפסיקה מדברת על החמרה בענישה בעבירות מסוג זה, תיק זה מיוחד וחריג וככזה אינו מצדיק ענישה מחמירה, שכן מדובר בנאשם צעיר ונורמטיבי, שנקלע לסיטואציה שלא הוא בחר בה, ופעל מתוך מצוקה ומתוך פחד. </w:t>
      </w:r>
    </w:p>
    <w:p w14:paraId="419661DD" w14:textId="77777777" w:rsidR="00E36966" w:rsidRDefault="00E36966" w:rsidP="00E36966">
      <w:pPr>
        <w:spacing w:line="360" w:lineRule="auto"/>
        <w:ind w:firstLine="720"/>
        <w:jc w:val="both"/>
        <w:rPr>
          <w:rFonts w:cs="FrankRuehl"/>
          <w:sz w:val="28"/>
          <w:szCs w:val="28"/>
          <w:rtl/>
        </w:rPr>
      </w:pPr>
    </w:p>
    <w:p w14:paraId="41353E6A" w14:textId="77777777" w:rsidR="00E36966" w:rsidRPr="002108DD" w:rsidRDefault="00E36966" w:rsidP="00E36966">
      <w:pPr>
        <w:spacing w:line="360" w:lineRule="auto"/>
        <w:ind w:firstLine="720"/>
        <w:jc w:val="both"/>
        <w:rPr>
          <w:rFonts w:cs="FrankRuehl"/>
          <w:sz w:val="28"/>
          <w:szCs w:val="28"/>
          <w:rtl/>
        </w:rPr>
      </w:pPr>
      <w:r w:rsidRPr="002108DD">
        <w:rPr>
          <w:rFonts w:cs="FrankRuehl" w:hint="cs"/>
          <w:sz w:val="28"/>
          <w:szCs w:val="28"/>
          <w:rtl/>
        </w:rPr>
        <w:t>ב"כ הנאשם הגיש אסופת פסיקה לתמיכה בעמדתו העונשית כמפורט להלן:</w:t>
      </w:r>
    </w:p>
    <w:p w14:paraId="32A84E43" w14:textId="77777777" w:rsidR="00E36966" w:rsidRDefault="00E36966" w:rsidP="00E36966">
      <w:pPr>
        <w:spacing w:line="360" w:lineRule="auto"/>
        <w:ind w:left="720" w:hanging="720"/>
        <w:jc w:val="both"/>
        <w:rPr>
          <w:rFonts w:cs="FrankRuehl"/>
          <w:sz w:val="28"/>
          <w:szCs w:val="28"/>
          <w:rtl/>
        </w:rPr>
      </w:pPr>
      <w:r>
        <w:rPr>
          <w:rFonts w:cs="FrankRuehl" w:hint="cs"/>
          <w:sz w:val="28"/>
          <w:szCs w:val="28"/>
          <w:rtl/>
        </w:rPr>
        <w:t>א.</w:t>
      </w:r>
      <w:r>
        <w:rPr>
          <w:rFonts w:cs="FrankRuehl" w:hint="cs"/>
          <w:sz w:val="28"/>
          <w:szCs w:val="28"/>
          <w:rtl/>
        </w:rPr>
        <w:tab/>
      </w:r>
      <w:hyperlink r:id="rId27" w:history="1">
        <w:r w:rsidR="000F46D2" w:rsidRPr="000F46D2">
          <w:rPr>
            <w:rFonts w:cs="FrankRuehl"/>
            <w:b/>
            <w:bCs/>
            <w:color w:val="0000FF"/>
            <w:sz w:val="28"/>
            <w:szCs w:val="28"/>
            <w:u w:val="single"/>
            <w:rtl/>
          </w:rPr>
          <w:t>ת.פ. 15376-06-13</w:t>
        </w:r>
      </w:hyperlink>
      <w:r w:rsidRPr="00226AFC">
        <w:rPr>
          <w:rFonts w:cs="FrankRuehl" w:hint="cs"/>
          <w:b/>
          <w:bCs/>
          <w:sz w:val="28"/>
          <w:szCs w:val="28"/>
          <w:rtl/>
        </w:rPr>
        <w:t xml:space="preserve"> (מחוזי מרכז) מדינת ישראל נ' אלמוגי</w:t>
      </w:r>
      <w:r>
        <w:rPr>
          <w:rFonts w:cs="FrankRuehl" w:hint="cs"/>
          <w:b/>
          <w:bCs/>
          <w:sz w:val="28"/>
          <w:szCs w:val="28"/>
          <w:rtl/>
        </w:rPr>
        <w:t xml:space="preserve"> </w:t>
      </w:r>
      <w:r>
        <w:rPr>
          <w:rFonts w:cs="FrankRuehl" w:hint="cs"/>
          <w:sz w:val="28"/>
          <w:szCs w:val="28"/>
          <w:rtl/>
        </w:rPr>
        <w:t xml:space="preserve">הנאשם הורשע על סמך הודאתו במסגרת הסדר טיעון בעבירות של נשיאת נשק ותחמושת, מעשי פזיזות ורשלנות וירי באזור מגורים. הנאשם הגיע לרחוב מגוריו של המתלונן כשהוא נושא עמו אקדח גנוב טעון במחסנית ובה לפחות 11 כדורים, הבחין במתלונן ועשה סיבוב פרסה, המתלונן נמלט אל חצר ביתו, או אז ירה הנאשם 11 יריות לעבר המתלונן, חזר לרכבו ונמלט מהמקום. כבוד הנשיא קבע מתחם ענישה הנע בין 12 ל </w:t>
      </w:r>
      <w:r>
        <w:rPr>
          <w:rFonts w:cs="FrankRuehl"/>
          <w:sz w:val="28"/>
          <w:szCs w:val="28"/>
          <w:rtl/>
        </w:rPr>
        <w:t>–</w:t>
      </w:r>
      <w:r>
        <w:rPr>
          <w:rFonts w:cs="FrankRuehl" w:hint="cs"/>
          <w:sz w:val="28"/>
          <w:szCs w:val="28"/>
          <w:rtl/>
        </w:rPr>
        <w:t xml:space="preserve"> 18 חודשי מאסר בפועל והשית על הנאשם שנת מאסר.</w:t>
      </w:r>
    </w:p>
    <w:p w14:paraId="7DCF2D70" w14:textId="77777777" w:rsidR="00E36966" w:rsidRDefault="00E36966" w:rsidP="00E36966">
      <w:pPr>
        <w:spacing w:line="360" w:lineRule="auto"/>
        <w:ind w:left="720" w:hanging="720"/>
        <w:jc w:val="both"/>
        <w:rPr>
          <w:rFonts w:cs="FrankRuehl"/>
          <w:sz w:val="28"/>
          <w:szCs w:val="28"/>
          <w:rtl/>
        </w:rPr>
      </w:pPr>
      <w:r>
        <w:rPr>
          <w:rFonts w:cs="FrankRuehl" w:hint="cs"/>
          <w:b/>
          <w:bCs/>
          <w:sz w:val="28"/>
          <w:szCs w:val="28"/>
          <w:rtl/>
        </w:rPr>
        <w:t>ב.</w:t>
      </w:r>
      <w:r>
        <w:rPr>
          <w:rFonts w:cs="FrankRuehl" w:hint="cs"/>
          <w:b/>
          <w:bCs/>
          <w:sz w:val="28"/>
          <w:szCs w:val="28"/>
          <w:rtl/>
        </w:rPr>
        <w:tab/>
      </w:r>
      <w:hyperlink r:id="rId28" w:history="1">
        <w:r w:rsidR="000F46D2" w:rsidRPr="000F46D2">
          <w:rPr>
            <w:rFonts w:cs="FrankRuehl"/>
            <w:b/>
            <w:bCs/>
            <w:color w:val="0000FF"/>
            <w:sz w:val="28"/>
            <w:szCs w:val="28"/>
            <w:u w:val="single"/>
            <w:rtl/>
          </w:rPr>
          <w:t>ת.פ. 9579-03-09</w:t>
        </w:r>
      </w:hyperlink>
      <w:r>
        <w:rPr>
          <w:rFonts w:cs="FrankRuehl" w:hint="cs"/>
          <w:b/>
          <w:bCs/>
          <w:sz w:val="28"/>
          <w:szCs w:val="28"/>
          <w:rtl/>
        </w:rPr>
        <w:t xml:space="preserve"> (מחוזי חיפה) מדינת ישראל נ' אחמד עבד אל עאל </w:t>
      </w:r>
      <w:r>
        <w:rPr>
          <w:rFonts w:cs="FrankRuehl" w:hint="cs"/>
          <w:sz w:val="28"/>
          <w:szCs w:val="28"/>
          <w:rtl/>
        </w:rPr>
        <w:t xml:space="preserve">הנאשם הורשע בעבירות של החזקת ונשיאת נשק, איומים וירי באזור מגורים. הנאשם פגש במתלונן ובעקבות דין ודברים ביניהם, שלף אקדח ובו כדורים אותו נשא שלא כדין, איים על המתלונן בפגיעה בגופו בכך שירה באקדח בכוונה להפחידו. דובר בנאשם בן 27 אשר תפקד עד אז באורח נורמטיבי וללא עבר פלילי והוא נדון ל </w:t>
      </w:r>
      <w:r>
        <w:rPr>
          <w:rFonts w:cs="FrankRuehl"/>
          <w:sz w:val="28"/>
          <w:szCs w:val="28"/>
          <w:rtl/>
        </w:rPr>
        <w:t>–</w:t>
      </w:r>
      <w:r>
        <w:rPr>
          <w:rFonts w:cs="FrankRuehl" w:hint="cs"/>
          <w:sz w:val="28"/>
          <w:szCs w:val="28"/>
          <w:rtl/>
        </w:rPr>
        <w:t xml:space="preserve"> 9 חודשי מאסר בפועל.</w:t>
      </w:r>
    </w:p>
    <w:p w14:paraId="100F1E5F" w14:textId="77777777" w:rsidR="00E36966" w:rsidRPr="003A0EE5" w:rsidRDefault="00E36966" w:rsidP="00E36966">
      <w:pPr>
        <w:spacing w:line="360" w:lineRule="auto"/>
        <w:ind w:left="720" w:hanging="720"/>
        <w:jc w:val="both"/>
        <w:rPr>
          <w:b/>
          <w:bCs/>
          <w:rtl/>
        </w:rPr>
      </w:pPr>
      <w:r>
        <w:rPr>
          <w:rFonts w:cs="FrankRuehl" w:hint="cs"/>
          <w:sz w:val="28"/>
          <w:szCs w:val="28"/>
          <w:rtl/>
        </w:rPr>
        <w:t>ג.</w:t>
      </w:r>
      <w:r>
        <w:rPr>
          <w:rFonts w:cs="FrankRuehl" w:hint="cs"/>
          <w:sz w:val="28"/>
          <w:szCs w:val="28"/>
          <w:rtl/>
        </w:rPr>
        <w:tab/>
      </w:r>
      <w:r>
        <w:rPr>
          <w:rFonts w:cs="FrankRuehl" w:hint="cs"/>
          <w:b/>
          <w:bCs/>
          <w:sz w:val="28"/>
          <w:szCs w:val="28"/>
          <w:rtl/>
        </w:rPr>
        <w:t xml:space="preserve">ת.פ. 7036/08 מדינת ישראל נ' ענאן (מחוזי חיפה) </w:t>
      </w:r>
      <w:r w:rsidRPr="003A0EE5">
        <w:rPr>
          <w:rFonts w:cs="FrankRuehl" w:hint="cs"/>
          <w:sz w:val="28"/>
          <w:szCs w:val="28"/>
          <w:rtl/>
        </w:rPr>
        <w:t>הורשע הנאשם במסגרת הסדר טיעון בעבירות של החזקת ונשיאת נשק וירי באזור מגורים. הנאשם היה בן 23 שנים ונעדר עבר פלילי. על הנאשם הושתו 10 חודשי מאסר בפועל.</w:t>
      </w:r>
    </w:p>
    <w:p w14:paraId="2F0CDF94" w14:textId="77777777" w:rsidR="00E36966" w:rsidRDefault="00E36966" w:rsidP="00E36966">
      <w:pPr>
        <w:spacing w:line="360" w:lineRule="auto"/>
        <w:ind w:left="720" w:hanging="720"/>
        <w:jc w:val="both"/>
        <w:rPr>
          <w:rFonts w:cs="FrankRuehl"/>
          <w:sz w:val="28"/>
          <w:szCs w:val="28"/>
          <w:rtl/>
        </w:rPr>
      </w:pPr>
      <w:r>
        <w:rPr>
          <w:rFonts w:cs="FrankRuehl" w:hint="cs"/>
          <w:b/>
          <w:bCs/>
          <w:sz w:val="28"/>
          <w:szCs w:val="28"/>
          <w:rtl/>
        </w:rPr>
        <w:t>ד.</w:t>
      </w:r>
      <w:r>
        <w:rPr>
          <w:rFonts w:cs="FrankRuehl" w:hint="cs"/>
          <w:b/>
          <w:bCs/>
          <w:sz w:val="28"/>
          <w:szCs w:val="28"/>
          <w:rtl/>
        </w:rPr>
        <w:tab/>
        <w:t xml:space="preserve">ת.פ. </w:t>
      </w:r>
      <w:hyperlink r:id="rId29" w:history="1">
        <w:r w:rsidR="000236B3" w:rsidRPr="000236B3">
          <w:rPr>
            <w:rFonts w:cs="FrankRuehl"/>
            <w:b/>
            <w:bCs/>
            <w:color w:val="0000FF"/>
            <w:sz w:val="28"/>
            <w:szCs w:val="28"/>
            <w:u w:val="single"/>
            <w:rtl/>
          </w:rPr>
          <w:t xml:space="preserve">6096/07 </w:t>
        </w:r>
      </w:hyperlink>
      <w:r>
        <w:rPr>
          <w:rFonts w:cs="FrankRuehl" w:hint="cs"/>
          <w:b/>
          <w:bCs/>
          <w:sz w:val="28"/>
          <w:szCs w:val="28"/>
          <w:rtl/>
        </w:rPr>
        <w:t xml:space="preserve"> מדינת ישראל נ' טיוריקוב (מחוזי חיפה) </w:t>
      </w:r>
      <w:r>
        <w:rPr>
          <w:rFonts w:cs="FrankRuehl" w:hint="cs"/>
          <w:sz w:val="28"/>
          <w:szCs w:val="28"/>
          <w:rtl/>
        </w:rPr>
        <w:t>הנאשמת הורשעה בעבירות של נשיאת והחזקת נשק וירי באזור מגורים. הנאשמת נטלה אקדח ומחסנית של ידיד שלה המשרת כסוהר בכלא שאטה כשהלה הלך לישון, יצאה מהבית, פגשה באדם עימו התווכחה וכשאותו אדם רצה לעזוב את המקום היא שלפה את האקדח מתיקה וירתה יריה, דרכה שוב את הנשק וכדור נפלט מן הנשק.</w:t>
      </w:r>
    </w:p>
    <w:p w14:paraId="1BEA0C08" w14:textId="77777777" w:rsidR="00E36966" w:rsidRDefault="00E36966" w:rsidP="00E36966">
      <w:pPr>
        <w:spacing w:line="360" w:lineRule="auto"/>
        <w:ind w:firstLine="720"/>
        <w:jc w:val="both"/>
        <w:rPr>
          <w:rFonts w:cs="FrankRuehl"/>
          <w:sz w:val="28"/>
          <w:szCs w:val="28"/>
          <w:rtl/>
        </w:rPr>
      </w:pPr>
      <w:r>
        <w:rPr>
          <w:rFonts w:cs="FrankRuehl" w:hint="cs"/>
          <w:sz w:val="28"/>
          <w:szCs w:val="28"/>
          <w:rtl/>
        </w:rPr>
        <w:t>הנאשמת היתה אם חד הורית לשני ילדים.</w:t>
      </w:r>
    </w:p>
    <w:p w14:paraId="7CDC4B85" w14:textId="77777777" w:rsidR="00E36966" w:rsidRDefault="00E36966" w:rsidP="00E36966">
      <w:pPr>
        <w:spacing w:line="360" w:lineRule="auto"/>
        <w:ind w:left="720"/>
        <w:jc w:val="both"/>
        <w:rPr>
          <w:rFonts w:cs="FrankRuehl"/>
          <w:sz w:val="28"/>
          <w:szCs w:val="28"/>
          <w:rtl/>
        </w:rPr>
      </w:pPr>
      <w:r>
        <w:rPr>
          <w:rFonts w:cs="FrankRuehl" w:hint="cs"/>
          <w:sz w:val="28"/>
          <w:szCs w:val="28"/>
          <w:rtl/>
        </w:rPr>
        <w:t>שירות המבחן המליץ על עונש מאסר שירוצה בעבודות שירות וצו מבחן למשך שנה. שני הצדדים עתרו לאמץ את המלצת שירות המבחן ובית המשפט השית עליה עונש של 6 חודשי מאסר בעבודות שירות וצו מבחן למשך 18 חודשים.</w:t>
      </w:r>
    </w:p>
    <w:p w14:paraId="2A4A2B7F" w14:textId="77777777" w:rsidR="00E36966" w:rsidRDefault="00E36966" w:rsidP="00E36966">
      <w:pPr>
        <w:spacing w:line="360" w:lineRule="auto"/>
        <w:ind w:left="720"/>
        <w:jc w:val="both"/>
        <w:rPr>
          <w:rFonts w:cs="FrankRuehl"/>
          <w:sz w:val="28"/>
          <w:szCs w:val="28"/>
          <w:rtl/>
        </w:rPr>
      </w:pPr>
    </w:p>
    <w:p w14:paraId="7A737C7A" w14:textId="77777777" w:rsidR="00E36966" w:rsidRDefault="00E36966" w:rsidP="00E36966">
      <w:pPr>
        <w:spacing w:line="360" w:lineRule="auto"/>
        <w:ind w:left="720"/>
        <w:jc w:val="both"/>
        <w:rPr>
          <w:rFonts w:cs="FrankRuehl"/>
          <w:sz w:val="28"/>
          <w:szCs w:val="28"/>
          <w:rtl/>
        </w:rPr>
      </w:pPr>
    </w:p>
    <w:p w14:paraId="3B7B5041" w14:textId="77777777" w:rsidR="00E36966" w:rsidRDefault="00E36966" w:rsidP="00E36966">
      <w:pPr>
        <w:spacing w:line="360" w:lineRule="auto"/>
        <w:ind w:left="720"/>
        <w:jc w:val="both"/>
        <w:rPr>
          <w:rFonts w:cs="FrankRuehl"/>
          <w:sz w:val="28"/>
          <w:szCs w:val="28"/>
          <w:rtl/>
        </w:rPr>
      </w:pPr>
    </w:p>
    <w:p w14:paraId="04C291E0" w14:textId="77777777" w:rsidR="00E36966" w:rsidRDefault="00E36966" w:rsidP="00E36966">
      <w:pPr>
        <w:spacing w:line="360" w:lineRule="auto"/>
        <w:ind w:left="720" w:hanging="720"/>
        <w:jc w:val="both"/>
        <w:rPr>
          <w:rFonts w:cs="FrankRuehl"/>
          <w:sz w:val="28"/>
          <w:szCs w:val="28"/>
          <w:rtl/>
        </w:rPr>
      </w:pPr>
      <w:r>
        <w:rPr>
          <w:rFonts w:cs="FrankRuehl" w:hint="cs"/>
          <w:b/>
          <w:bCs/>
          <w:sz w:val="28"/>
          <w:szCs w:val="28"/>
          <w:rtl/>
        </w:rPr>
        <w:t>ה.</w:t>
      </w:r>
      <w:r>
        <w:rPr>
          <w:rFonts w:cs="FrankRuehl"/>
          <w:b/>
          <w:bCs/>
          <w:sz w:val="28"/>
          <w:szCs w:val="28"/>
          <w:rtl/>
        </w:rPr>
        <w:tab/>
      </w:r>
      <w:hyperlink r:id="rId30" w:history="1">
        <w:r w:rsidR="000F46D2" w:rsidRPr="000F46D2">
          <w:rPr>
            <w:rFonts w:cs="FrankRuehl"/>
            <w:b/>
            <w:bCs/>
            <w:color w:val="0000FF"/>
            <w:sz w:val="28"/>
            <w:szCs w:val="28"/>
            <w:u w:val="single"/>
            <w:rtl/>
          </w:rPr>
          <w:t>ת.פ.11059-05-12</w:t>
        </w:r>
      </w:hyperlink>
      <w:r>
        <w:rPr>
          <w:rFonts w:cs="FrankRuehl" w:hint="cs"/>
          <w:b/>
          <w:bCs/>
          <w:sz w:val="28"/>
          <w:szCs w:val="28"/>
          <w:rtl/>
        </w:rPr>
        <w:t xml:space="preserve"> מדינת ישראל נ' אבו מוסא (מחוזי מרכז) </w:t>
      </w:r>
      <w:r>
        <w:rPr>
          <w:rFonts w:cs="FrankRuehl" w:hint="cs"/>
          <w:sz w:val="28"/>
          <w:szCs w:val="28"/>
          <w:rtl/>
        </w:rPr>
        <w:t>הורשע הנאשם 1 בעבירות של החזקת נשק וירי באזור מגורים. לנאשם היתה הרשעה אחת בגין ביצוע עבירת אלימות בגינה נדון למאסר בעבודות שירות. הירי בוצע לאחר שלמקום עסקו של הנאשם 1 הגיעו אנשים רעולי פנים וירו מספר כדורים בסמוך לנאשם, לאביו וללקוחות שהיו במקום. הנאשם רץ למטבח, ירה כדור לעבר דלת המטבח, רץ לחצר האחורית ושם ירה יריות נוספות לאוויר. על הנאשם נגזרו 6 חודשי מאסר לריצוי בעבודות שירות.</w:t>
      </w:r>
    </w:p>
    <w:p w14:paraId="3763040F" w14:textId="77777777" w:rsidR="00E36966" w:rsidRDefault="00E36966" w:rsidP="00E36966">
      <w:pPr>
        <w:spacing w:line="360" w:lineRule="auto"/>
        <w:ind w:left="720" w:hanging="720"/>
        <w:jc w:val="both"/>
        <w:rPr>
          <w:rFonts w:cs="FrankRuehl"/>
          <w:sz w:val="28"/>
          <w:szCs w:val="28"/>
          <w:rtl/>
        </w:rPr>
      </w:pPr>
      <w:r>
        <w:rPr>
          <w:rFonts w:cs="FrankRuehl" w:hint="cs"/>
          <w:b/>
          <w:bCs/>
          <w:sz w:val="28"/>
          <w:szCs w:val="28"/>
          <w:rtl/>
        </w:rPr>
        <w:t>ו.</w:t>
      </w:r>
      <w:r>
        <w:rPr>
          <w:rFonts w:cs="FrankRuehl" w:hint="cs"/>
          <w:b/>
          <w:bCs/>
          <w:sz w:val="28"/>
          <w:szCs w:val="28"/>
          <w:rtl/>
        </w:rPr>
        <w:tab/>
      </w:r>
      <w:hyperlink r:id="rId31" w:history="1">
        <w:r w:rsidR="000F46D2" w:rsidRPr="000F46D2">
          <w:rPr>
            <w:rFonts w:cs="FrankRuehl"/>
            <w:b/>
            <w:bCs/>
            <w:color w:val="0000FF"/>
            <w:sz w:val="28"/>
            <w:szCs w:val="28"/>
            <w:u w:val="single"/>
            <w:rtl/>
          </w:rPr>
          <w:t>ע.פ.1505/14</w:t>
        </w:r>
      </w:hyperlink>
      <w:r>
        <w:rPr>
          <w:rFonts w:cs="FrankRuehl" w:hint="cs"/>
          <w:b/>
          <w:bCs/>
          <w:sz w:val="28"/>
          <w:szCs w:val="28"/>
          <w:rtl/>
        </w:rPr>
        <w:t xml:space="preserve"> לידאוי נ' מדינת ישראל </w:t>
      </w:r>
      <w:r>
        <w:rPr>
          <w:rFonts w:cs="FrankRuehl" w:hint="cs"/>
          <w:sz w:val="28"/>
          <w:szCs w:val="28"/>
          <w:rtl/>
        </w:rPr>
        <w:t xml:space="preserve"> המערער החזיק בארון ביתו אקדח החשוד כגנוב והורשע בעבירות של החזקת נשק שלא כדין, החזקת רכוש חשוד כגנוב, מעשי פזיזות ורשלנות והפרעה לשוטר במילוי תפקידו. בית המשפט המחוזי השית עליו 8 חודשי מאסר בפועל ובית המשפט העליון הפחית בעונשו והעמידו על 6 חודשי מאסר שירוצו בעבודות שירות אף ששירות המבחן לא בא בהמלצה טיפולית בעניינו ואף כי לחובתו עבר פלילי אם כי לא מכביד.</w:t>
      </w:r>
    </w:p>
    <w:p w14:paraId="6C9F8A70" w14:textId="77777777" w:rsidR="00E36966" w:rsidRPr="0007489A" w:rsidRDefault="00E36966" w:rsidP="00E36966">
      <w:pPr>
        <w:spacing w:line="360" w:lineRule="auto"/>
        <w:ind w:left="720" w:hanging="720"/>
        <w:jc w:val="both"/>
        <w:rPr>
          <w:rFonts w:cs="FrankRuehl"/>
          <w:sz w:val="28"/>
          <w:szCs w:val="28"/>
          <w:rtl/>
        </w:rPr>
      </w:pPr>
      <w:r>
        <w:rPr>
          <w:rFonts w:cs="FrankRuehl" w:hint="cs"/>
          <w:b/>
          <w:bCs/>
          <w:sz w:val="28"/>
          <w:szCs w:val="28"/>
          <w:rtl/>
        </w:rPr>
        <w:t>ז.</w:t>
      </w:r>
      <w:r>
        <w:rPr>
          <w:rFonts w:cs="FrankRuehl" w:hint="cs"/>
          <w:b/>
          <w:bCs/>
          <w:sz w:val="28"/>
          <w:szCs w:val="28"/>
          <w:rtl/>
        </w:rPr>
        <w:tab/>
      </w:r>
      <w:hyperlink r:id="rId32" w:history="1">
        <w:r w:rsidR="000F46D2" w:rsidRPr="000F46D2">
          <w:rPr>
            <w:rFonts w:cs="FrankRuehl"/>
            <w:b/>
            <w:bCs/>
            <w:color w:val="0000FF"/>
            <w:sz w:val="28"/>
            <w:szCs w:val="28"/>
            <w:u w:val="single"/>
            <w:rtl/>
          </w:rPr>
          <w:t>ע.פ. 2006/12</w:t>
        </w:r>
      </w:hyperlink>
      <w:r>
        <w:rPr>
          <w:rFonts w:cs="FrankRuehl" w:hint="cs"/>
          <w:b/>
          <w:bCs/>
          <w:sz w:val="28"/>
          <w:szCs w:val="28"/>
          <w:rtl/>
        </w:rPr>
        <w:t xml:space="preserve"> מדינת ישראל נ' קאסם אסדי </w:t>
      </w:r>
      <w:r>
        <w:rPr>
          <w:rFonts w:cs="FrankRuehl" w:hint="cs"/>
          <w:sz w:val="28"/>
          <w:szCs w:val="28"/>
          <w:rtl/>
        </w:rPr>
        <w:t xml:space="preserve"> המשיב </w:t>
      </w:r>
      <w:r>
        <w:rPr>
          <w:rFonts w:cs="FrankRuehl"/>
          <w:sz w:val="28"/>
          <w:szCs w:val="28"/>
          <w:rtl/>
        </w:rPr>
        <w:t>–</w:t>
      </w:r>
      <w:r>
        <w:rPr>
          <w:rFonts w:cs="FrankRuehl" w:hint="cs"/>
          <w:sz w:val="28"/>
          <w:szCs w:val="28"/>
          <w:rtl/>
        </w:rPr>
        <w:t xml:space="preserve"> צעיר ללא עבר פלילי-הורשע בעבירות של נשיאת נשק ותחמושת, איומים וירי באזור מגורים. המשיב הגיע לביתו של אדם לו אחיו היה חייב כספים, כשהוא נושא אקדח טעון בכדורים. בבית היו באותה העת גיסתו של האחר עם ילדיה (המתלוננת). המשיב  שאל את המתלוננת היכן נמצא האחר ואיים עליה בעודו מחזיק את האקדח הטעון. לאחר מכן ירה כדור לעבר חלקו העליון של הבית. המשיב הודה והביע צער על מעשיו. שירות המבחן נמנע מהמלצה טיפולית אולם המליץ על הטלת עונש מאסר לתקופה קצרה בלבד בשל גילו הצעיר. בית המשפט המחוזי הטיל על המשיב עונש של 15 חודשי מאסר בפועל,  וערעור המדינה על קולת העונש נדחה.</w:t>
      </w:r>
    </w:p>
    <w:p w14:paraId="3F8EE678" w14:textId="77777777" w:rsidR="00E36966" w:rsidRDefault="00E36966" w:rsidP="00E36966">
      <w:pPr>
        <w:spacing w:line="360" w:lineRule="auto"/>
        <w:jc w:val="both"/>
        <w:rPr>
          <w:rtl/>
        </w:rPr>
      </w:pPr>
    </w:p>
    <w:p w14:paraId="682C6621" w14:textId="77777777" w:rsidR="00E36966" w:rsidRPr="00735E03" w:rsidRDefault="00E36966" w:rsidP="00E36966">
      <w:pPr>
        <w:pStyle w:val="ListParagraph"/>
        <w:numPr>
          <w:ilvl w:val="0"/>
          <w:numId w:val="1"/>
        </w:numPr>
        <w:spacing w:line="360" w:lineRule="auto"/>
        <w:jc w:val="both"/>
      </w:pPr>
      <w:r w:rsidRPr="000570E2">
        <w:rPr>
          <w:rFonts w:cs="FrankRuehl" w:hint="cs"/>
          <w:sz w:val="28"/>
          <w:szCs w:val="28"/>
          <w:rtl/>
        </w:rPr>
        <w:t xml:space="preserve">הנאשם בדברו האחרון מסר </w:t>
      </w:r>
      <w:r>
        <w:rPr>
          <w:rFonts w:cs="FrankRuehl" w:hint="cs"/>
          <w:sz w:val="28"/>
          <w:szCs w:val="28"/>
          <w:rtl/>
        </w:rPr>
        <w:t xml:space="preserve">באריכות </w:t>
      </w:r>
      <w:r w:rsidRPr="000570E2">
        <w:rPr>
          <w:rFonts w:cs="FrankRuehl" w:hint="cs"/>
          <w:sz w:val="28"/>
          <w:szCs w:val="28"/>
          <w:rtl/>
        </w:rPr>
        <w:t>כי לאחר ש</w:t>
      </w:r>
      <w:r>
        <w:rPr>
          <w:rFonts w:cs="FrankRuehl" w:hint="cs"/>
          <w:sz w:val="28"/>
          <w:szCs w:val="28"/>
          <w:rtl/>
        </w:rPr>
        <w:t xml:space="preserve">משפחתו </w:t>
      </w:r>
      <w:r w:rsidRPr="000570E2">
        <w:rPr>
          <w:rFonts w:cs="FrankRuehl" w:hint="cs"/>
          <w:sz w:val="28"/>
          <w:szCs w:val="28"/>
          <w:rtl/>
        </w:rPr>
        <w:t>עבר</w:t>
      </w:r>
      <w:r>
        <w:rPr>
          <w:rFonts w:cs="FrankRuehl" w:hint="cs"/>
          <w:sz w:val="28"/>
          <w:szCs w:val="28"/>
          <w:rtl/>
        </w:rPr>
        <w:t>ה</w:t>
      </w:r>
      <w:r w:rsidRPr="000570E2">
        <w:rPr>
          <w:rFonts w:cs="FrankRuehl" w:hint="cs"/>
          <w:sz w:val="28"/>
          <w:szCs w:val="28"/>
          <w:rtl/>
        </w:rPr>
        <w:t xml:space="preserve"> להתגורר בסמוך למתלוננים הבחין כי התנהל</w:t>
      </w:r>
      <w:r>
        <w:rPr>
          <w:rFonts w:cs="FrankRuehl" w:hint="cs"/>
          <w:sz w:val="28"/>
          <w:szCs w:val="28"/>
          <w:rtl/>
        </w:rPr>
        <w:t>ות</w:t>
      </w:r>
      <w:r w:rsidRPr="000570E2">
        <w:rPr>
          <w:rFonts w:cs="FrankRuehl" w:hint="cs"/>
          <w:sz w:val="28"/>
          <w:szCs w:val="28"/>
          <w:rtl/>
        </w:rPr>
        <w:t>ם מאיימת, כוחנית</w:t>
      </w:r>
      <w:r>
        <w:rPr>
          <w:rFonts w:cs="FrankRuehl" w:hint="cs"/>
          <w:sz w:val="28"/>
          <w:szCs w:val="28"/>
          <w:rtl/>
        </w:rPr>
        <w:t xml:space="preserve"> ומפחידה . לטענת הנאשם </w:t>
      </w:r>
      <w:r w:rsidRPr="000570E2">
        <w:rPr>
          <w:rFonts w:cs="FrankRuehl" w:hint="cs"/>
          <w:sz w:val="28"/>
          <w:szCs w:val="28"/>
          <w:rtl/>
        </w:rPr>
        <w:t xml:space="preserve">רכבו הוצת על </w:t>
      </w:r>
      <w:r>
        <w:rPr>
          <w:rFonts w:cs="FrankRuehl" w:hint="cs"/>
          <w:sz w:val="28"/>
          <w:szCs w:val="28"/>
          <w:rtl/>
        </w:rPr>
        <w:t>מי ממשפחת המתלוננים ו</w:t>
      </w:r>
      <w:r w:rsidRPr="000570E2">
        <w:rPr>
          <w:rFonts w:cs="FrankRuehl" w:hint="cs"/>
          <w:sz w:val="28"/>
          <w:szCs w:val="28"/>
          <w:rtl/>
        </w:rPr>
        <w:t>תלונתו למשטרה לא טופלה</w:t>
      </w:r>
      <w:r>
        <w:rPr>
          <w:rFonts w:cs="FrankRuehl" w:hint="cs"/>
          <w:sz w:val="28"/>
          <w:szCs w:val="28"/>
          <w:rtl/>
        </w:rPr>
        <w:t>. כן טען</w:t>
      </w:r>
      <w:r w:rsidRPr="000570E2">
        <w:rPr>
          <w:rFonts w:cs="FrankRuehl" w:hint="cs"/>
          <w:sz w:val="28"/>
          <w:szCs w:val="28"/>
          <w:rtl/>
        </w:rPr>
        <w:t xml:space="preserve">, </w:t>
      </w:r>
      <w:r>
        <w:rPr>
          <w:rFonts w:cs="FrankRuehl" w:hint="cs"/>
          <w:sz w:val="28"/>
          <w:szCs w:val="28"/>
          <w:rtl/>
        </w:rPr>
        <w:t xml:space="preserve">כי </w:t>
      </w:r>
      <w:r w:rsidRPr="000570E2">
        <w:rPr>
          <w:rFonts w:cs="FrankRuehl" w:hint="cs"/>
          <w:sz w:val="28"/>
          <w:szCs w:val="28"/>
          <w:rtl/>
        </w:rPr>
        <w:t xml:space="preserve">באירוע אחר אחד מבני המשפחה פרץ לביתו וכמעט הכה אותם. </w:t>
      </w:r>
      <w:r>
        <w:rPr>
          <w:rFonts w:cs="FrankRuehl" w:hint="cs"/>
          <w:sz w:val="28"/>
          <w:szCs w:val="28"/>
          <w:rtl/>
        </w:rPr>
        <w:t xml:space="preserve">טענות אלה לא נתמכו בראיות כנדרש ועל כן לא אקבע ממצאים על פיהן. </w:t>
      </w:r>
    </w:p>
    <w:p w14:paraId="0A56E658" w14:textId="77777777" w:rsidR="00E36966" w:rsidRPr="00735E03" w:rsidRDefault="00E36966" w:rsidP="00E36966">
      <w:pPr>
        <w:pStyle w:val="ListParagraph"/>
        <w:spacing w:line="360" w:lineRule="auto"/>
        <w:jc w:val="both"/>
      </w:pPr>
    </w:p>
    <w:p w14:paraId="42CF7617" w14:textId="77777777" w:rsidR="00E36966" w:rsidRPr="00735E03" w:rsidRDefault="00E36966" w:rsidP="00E36966">
      <w:pPr>
        <w:pStyle w:val="ListParagraph"/>
        <w:spacing w:line="360" w:lineRule="auto"/>
        <w:jc w:val="both"/>
      </w:pPr>
      <w:r>
        <w:rPr>
          <w:rFonts w:cs="FrankRuehl" w:hint="cs"/>
          <w:sz w:val="28"/>
          <w:szCs w:val="28"/>
          <w:rtl/>
        </w:rPr>
        <w:t xml:space="preserve">לדבריו </w:t>
      </w:r>
      <w:r w:rsidRPr="000570E2">
        <w:rPr>
          <w:rFonts w:cs="FrankRuehl" w:hint="cs"/>
          <w:sz w:val="28"/>
          <w:szCs w:val="28"/>
          <w:rtl/>
        </w:rPr>
        <w:t xml:space="preserve">ביום האירוע הם ניגשו לבית משפחת המתלוננים כדי לבקש שיסירו את הברזלים מהכביש, </w:t>
      </w:r>
      <w:r w:rsidRPr="000570E2">
        <w:rPr>
          <w:rFonts w:cs="FrankRuehl" w:hint="cs"/>
          <w:sz w:val="28"/>
          <w:szCs w:val="28"/>
        </w:rPr>
        <w:t xml:space="preserve"> </w:t>
      </w:r>
      <w:r w:rsidRPr="000570E2">
        <w:rPr>
          <w:rFonts w:cs="FrankRuehl" w:hint="cs"/>
          <w:sz w:val="28"/>
          <w:szCs w:val="28"/>
          <w:rtl/>
        </w:rPr>
        <w:t xml:space="preserve">והמתלוננים החלו לתקוף אותם באמצעות סכינים. </w:t>
      </w:r>
      <w:r>
        <w:rPr>
          <w:rFonts w:cs="FrankRuehl" w:hint="cs"/>
          <w:sz w:val="28"/>
          <w:szCs w:val="28"/>
          <w:rtl/>
        </w:rPr>
        <w:t xml:space="preserve">טענה זו מגובה כאמור בראיות. </w:t>
      </w:r>
    </w:p>
    <w:p w14:paraId="2BF22C12" w14:textId="77777777" w:rsidR="00E36966" w:rsidRDefault="00E36966" w:rsidP="00E36966">
      <w:pPr>
        <w:pStyle w:val="ListParagraph"/>
        <w:spacing w:line="360" w:lineRule="auto"/>
        <w:jc w:val="both"/>
        <w:rPr>
          <w:rFonts w:cs="FrankRuehl"/>
          <w:sz w:val="28"/>
          <w:szCs w:val="28"/>
          <w:rtl/>
        </w:rPr>
      </w:pPr>
    </w:p>
    <w:p w14:paraId="04916E9B" w14:textId="77777777" w:rsidR="00E36966" w:rsidRPr="000570E2" w:rsidRDefault="00E36966" w:rsidP="00E36966">
      <w:pPr>
        <w:pStyle w:val="ListParagraph"/>
        <w:spacing w:line="360" w:lineRule="auto"/>
        <w:jc w:val="both"/>
      </w:pPr>
      <w:r w:rsidRPr="000570E2">
        <w:rPr>
          <w:rFonts w:cs="FrankRuehl" w:hint="cs"/>
          <w:sz w:val="28"/>
          <w:szCs w:val="28"/>
          <w:rtl/>
        </w:rPr>
        <w:t>הוא לבדו הלך להביא את הנשק כיוון שחשש לחיי בני משפחתו, וירה לעבר הגדר על מנת להרתיע את המתלוננים. לדבריו לחץ על ההדק פעם אחת ונור</w:t>
      </w:r>
      <w:r>
        <w:rPr>
          <w:rFonts w:cs="FrankRuehl" w:hint="cs"/>
          <w:sz w:val="28"/>
          <w:szCs w:val="28"/>
          <w:rtl/>
        </w:rPr>
        <w:t>ו</w:t>
      </w:r>
      <w:r w:rsidRPr="000570E2">
        <w:rPr>
          <w:rFonts w:cs="FrankRuehl" w:hint="cs"/>
          <w:sz w:val="28"/>
          <w:szCs w:val="28"/>
          <w:rtl/>
        </w:rPr>
        <w:t xml:space="preserve"> 17 יריות.</w:t>
      </w:r>
      <w:r>
        <w:rPr>
          <w:rFonts w:cs="FrankRuehl" w:hint="cs"/>
          <w:sz w:val="28"/>
          <w:szCs w:val="28"/>
          <w:rtl/>
        </w:rPr>
        <w:t xml:space="preserve"> </w:t>
      </w:r>
    </w:p>
    <w:p w14:paraId="5A4CEF66" w14:textId="77777777" w:rsidR="00E36966" w:rsidRPr="00735E03" w:rsidRDefault="00E36966" w:rsidP="00E36966">
      <w:pPr>
        <w:pStyle w:val="ListParagraph"/>
        <w:spacing w:line="360" w:lineRule="auto"/>
        <w:jc w:val="both"/>
        <w:rPr>
          <w:rFonts w:cs="FrankRuehl"/>
          <w:sz w:val="28"/>
          <w:szCs w:val="28"/>
          <w:rtl/>
        </w:rPr>
      </w:pPr>
    </w:p>
    <w:p w14:paraId="5488F3A5" w14:textId="77777777" w:rsidR="00E36966" w:rsidRPr="000570E2" w:rsidRDefault="00E36966" w:rsidP="00E36966">
      <w:pPr>
        <w:pStyle w:val="ListParagraph"/>
        <w:spacing w:line="360" w:lineRule="auto"/>
        <w:jc w:val="both"/>
        <w:rPr>
          <w:rtl/>
        </w:rPr>
      </w:pPr>
      <w:r w:rsidRPr="000570E2">
        <w:rPr>
          <w:rFonts w:cs="FrankRuehl" w:hint="cs"/>
          <w:sz w:val="28"/>
          <w:szCs w:val="28"/>
          <w:rtl/>
        </w:rPr>
        <w:t xml:space="preserve">לטענת הנאשם הוא זרק את הנשק לאחר האירוע מרוב פחד, ואם הנשק היה נותר </w:t>
      </w:r>
      <w:r>
        <w:rPr>
          <w:rFonts w:cs="FrankRuehl" w:hint="cs"/>
          <w:sz w:val="28"/>
          <w:szCs w:val="28"/>
          <w:rtl/>
        </w:rPr>
        <w:t>ברשותו הוא</w:t>
      </w:r>
      <w:r w:rsidRPr="000570E2">
        <w:rPr>
          <w:rFonts w:cs="FrankRuehl" w:hint="cs"/>
          <w:sz w:val="28"/>
          <w:szCs w:val="28"/>
          <w:rtl/>
        </w:rPr>
        <w:t xml:space="preserve"> היה מוסר אותו למשטרה.  הנאשם ביקש את רחמיו של בית המשפט.</w:t>
      </w:r>
    </w:p>
    <w:p w14:paraId="24F7E7BF" w14:textId="77777777" w:rsidR="00E36966" w:rsidRDefault="00E36966" w:rsidP="00E36966">
      <w:pPr>
        <w:spacing w:line="360" w:lineRule="auto"/>
        <w:jc w:val="both"/>
        <w:rPr>
          <w:rFonts w:cs="FrankRuehl"/>
          <w:sz w:val="28"/>
          <w:szCs w:val="28"/>
          <w:rtl/>
        </w:rPr>
      </w:pPr>
    </w:p>
    <w:p w14:paraId="558245F4" w14:textId="77777777" w:rsidR="00E36966" w:rsidRPr="00673F9A" w:rsidRDefault="00E36966" w:rsidP="00E36966">
      <w:pPr>
        <w:spacing w:line="360" w:lineRule="auto"/>
        <w:jc w:val="both"/>
        <w:rPr>
          <w:rFonts w:cs="FrankRuehl"/>
          <w:b/>
          <w:bCs/>
          <w:sz w:val="28"/>
          <w:szCs w:val="28"/>
          <w:u w:val="single"/>
          <w:rtl/>
        </w:rPr>
      </w:pPr>
      <w:r w:rsidRPr="00673F9A">
        <w:rPr>
          <w:rFonts w:cs="FrankRuehl" w:hint="cs"/>
          <w:b/>
          <w:bCs/>
          <w:sz w:val="28"/>
          <w:szCs w:val="28"/>
          <w:u w:val="single"/>
          <w:rtl/>
        </w:rPr>
        <w:t>דיון והכרעה</w:t>
      </w:r>
    </w:p>
    <w:p w14:paraId="01C28AFE" w14:textId="77777777" w:rsidR="00E36966" w:rsidRDefault="00E36966" w:rsidP="00E36966">
      <w:pPr>
        <w:pStyle w:val="ListParagraph"/>
        <w:numPr>
          <w:ilvl w:val="0"/>
          <w:numId w:val="1"/>
        </w:numPr>
        <w:spacing w:line="360" w:lineRule="auto"/>
        <w:jc w:val="both"/>
        <w:rPr>
          <w:rFonts w:cs="FrankRuehl"/>
          <w:sz w:val="28"/>
          <w:szCs w:val="28"/>
        </w:rPr>
      </w:pPr>
      <w:r>
        <w:rPr>
          <w:rFonts w:cs="FrankRuehl" w:hint="cs"/>
          <w:sz w:val="28"/>
          <w:szCs w:val="28"/>
          <w:rtl/>
        </w:rPr>
        <w:t>ב</w:t>
      </w:r>
      <w:hyperlink r:id="rId33" w:history="1">
        <w:r w:rsidR="000F46D2" w:rsidRPr="000F46D2">
          <w:rPr>
            <w:rFonts w:cs="FrankRuehl"/>
            <w:color w:val="0000FF"/>
            <w:sz w:val="28"/>
            <w:szCs w:val="28"/>
            <w:u w:val="single"/>
            <w:rtl/>
          </w:rPr>
          <w:t>ע"פ 3156/11</w:t>
        </w:r>
      </w:hyperlink>
      <w:r>
        <w:rPr>
          <w:rFonts w:cs="FrankRuehl" w:hint="cs"/>
          <w:sz w:val="28"/>
          <w:szCs w:val="28"/>
          <w:rtl/>
        </w:rPr>
        <w:t xml:space="preserve"> ג'מיל זראיעה נ' מדינת ישראל עמדה כבוד השופטת ארבל על הפוטנציאל להסלמה עבריינית הגלום בהחזקת נשק שלא כדין ועל הסיכון החמור לשלום הציבור ובטחונו </w:t>
      </w:r>
      <w:r>
        <w:rPr>
          <w:rFonts w:cs="FrankRuehl"/>
          <w:sz w:val="28"/>
          <w:szCs w:val="28"/>
          <w:rtl/>
        </w:rPr>
        <w:t>–</w:t>
      </w:r>
      <w:r>
        <w:rPr>
          <w:rFonts w:cs="FrankRuehl" w:hint="cs"/>
          <w:sz w:val="28"/>
          <w:szCs w:val="28"/>
          <w:rtl/>
        </w:rPr>
        <w:t xml:space="preserve"> הוא הערך המוגן בעבירה.  צודק ב"כ המאשימה כי הפוטנציאל האמור התממש בענייננו, כאשר בעקבות תגרה שהחלה פנה הנאשם ליטול מביתו נשק ארוך </w:t>
      </w:r>
      <w:r>
        <w:rPr>
          <w:rFonts w:cs="FrankRuehl"/>
          <w:sz w:val="28"/>
          <w:szCs w:val="28"/>
          <w:rtl/>
        </w:rPr>
        <w:t>–</w:t>
      </w:r>
      <w:r>
        <w:rPr>
          <w:rFonts w:cs="FrankRuehl" w:hint="cs"/>
          <w:sz w:val="28"/>
          <w:szCs w:val="28"/>
          <w:rtl/>
        </w:rPr>
        <w:t xml:space="preserve"> רובה- שהיה ברשותו שלא כדין, חזר עמו למקום התגרה, וירה לעבר שער בית המתלוננים, אף שאביו של הנאשם ניסה להניא אותו ממעשיו. בעובדה שאבי הנאשם ניסה להניאו ממעשיו יש ללמד כי לא היתה הצדקה ממשית לחשש אליו טוען הנאשם, ולירי שבוצע על ידו. ירי זה העמיד בסיכון רב את כל הנמצאים במקום ואך בנס לא נסתיים האירוע עם נפגעים בנפש. אמנם מתיעוד חלקו של האירוע עולה כי המתלוננים איימו על בני משפחת הנאשם באמצעות סכינים, אולם ברי כי תגובתו של הנאשם אינה פרופורציונאלית למעשים אלה, והיה עליו לפנות לעזרת גורמי אכיפת החוק ולא לפנות ל"עשיית דין עצמי". </w:t>
      </w:r>
    </w:p>
    <w:p w14:paraId="1F5AF496" w14:textId="77777777" w:rsidR="00E36966" w:rsidRDefault="00E36966" w:rsidP="00E36966">
      <w:pPr>
        <w:pStyle w:val="ListParagraph"/>
        <w:spacing w:line="360" w:lineRule="auto"/>
        <w:jc w:val="both"/>
        <w:rPr>
          <w:rFonts w:cs="FrankRuehl"/>
          <w:sz w:val="28"/>
          <w:szCs w:val="28"/>
          <w:rtl/>
        </w:rPr>
      </w:pPr>
    </w:p>
    <w:p w14:paraId="7F65EED0" w14:textId="77777777" w:rsidR="00E36966" w:rsidRDefault="00E36966" w:rsidP="00E36966">
      <w:pPr>
        <w:pStyle w:val="ListParagraph"/>
        <w:spacing w:line="360" w:lineRule="auto"/>
        <w:jc w:val="both"/>
        <w:rPr>
          <w:rFonts w:cs="FrankRuehl"/>
          <w:sz w:val="28"/>
          <w:szCs w:val="28"/>
          <w:rtl/>
        </w:rPr>
      </w:pPr>
      <w:r>
        <w:rPr>
          <w:rFonts w:cs="FrankRuehl" w:hint="cs"/>
          <w:sz w:val="28"/>
          <w:szCs w:val="28"/>
          <w:rtl/>
        </w:rPr>
        <w:t xml:space="preserve">בבואי לקבוע את מתחם העונש ההולם אתחשב בכך שהנאשם הצטייד בנשק ארוך אותו נשא שלא כדין וירה בו לעבר שער בית המתלוננים - בעקבות סכסוך שפרץ ביניהם - 17 יריות. </w:t>
      </w:r>
    </w:p>
    <w:p w14:paraId="0487ADFB" w14:textId="77777777" w:rsidR="00E36966" w:rsidRDefault="00E36966" w:rsidP="00E36966">
      <w:pPr>
        <w:pStyle w:val="ListParagraph"/>
        <w:spacing w:line="360" w:lineRule="auto"/>
        <w:jc w:val="both"/>
        <w:rPr>
          <w:rFonts w:cs="FrankRuehl"/>
          <w:sz w:val="28"/>
          <w:szCs w:val="28"/>
          <w:rtl/>
        </w:rPr>
      </w:pPr>
    </w:p>
    <w:p w14:paraId="642A38F1" w14:textId="77777777" w:rsidR="00E36966" w:rsidRDefault="00E36966" w:rsidP="00E36966">
      <w:pPr>
        <w:pStyle w:val="ListParagraph"/>
        <w:spacing w:line="360" w:lineRule="auto"/>
        <w:jc w:val="both"/>
        <w:rPr>
          <w:rFonts w:cs="FrankRuehl"/>
          <w:sz w:val="28"/>
          <w:szCs w:val="28"/>
          <w:rtl/>
        </w:rPr>
      </w:pPr>
      <w:r>
        <w:rPr>
          <w:rFonts w:cs="FrankRuehl" w:hint="cs"/>
          <w:sz w:val="28"/>
          <w:szCs w:val="28"/>
          <w:rtl/>
        </w:rPr>
        <w:t>מנגד, אתחשב בכך שהנאשם ביצע את המעשים לאחר שבמהלך תגרה נקטו המתלוננים כלפיו וכלפי בני משפחתו באלימות ועשו שימוש בסכינים (</w:t>
      </w:r>
      <w:hyperlink r:id="rId34" w:history="1">
        <w:r w:rsidR="003F7FB2" w:rsidRPr="003F7FB2">
          <w:rPr>
            <w:rFonts w:cs="FrankRuehl"/>
            <w:color w:val="0000FF"/>
            <w:sz w:val="28"/>
            <w:szCs w:val="28"/>
            <w:u w:val="single"/>
            <w:rtl/>
          </w:rPr>
          <w:t>סעיף 40ט(5)</w:t>
        </w:r>
      </w:hyperlink>
      <w:r>
        <w:rPr>
          <w:rFonts w:cs="FrankRuehl" w:hint="cs"/>
          <w:sz w:val="28"/>
          <w:szCs w:val="28"/>
          <w:rtl/>
        </w:rPr>
        <w:t xml:space="preserve"> ל</w:t>
      </w:r>
      <w:hyperlink r:id="rId35" w:history="1">
        <w:r w:rsidR="000F46D2" w:rsidRPr="000F46D2">
          <w:rPr>
            <w:rFonts w:cs="FrankRuehl"/>
            <w:color w:val="0000FF"/>
            <w:sz w:val="28"/>
            <w:szCs w:val="28"/>
            <w:u w:val="single"/>
            <w:rtl/>
          </w:rPr>
          <w:t>חוק העונשין</w:t>
        </w:r>
      </w:hyperlink>
      <w:r>
        <w:rPr>
          <w:rFonts w:cs="FrankRuehl" w:hint="cs"/>
          <w:sz w:val="28"/>
          <w:szCs w:val="28"/>
          <w:rtl/>
        </w:rPr>
        <w:t xml:space="preserve">), ולא זו אף זו אלא שבניגוד לנאשם </w:t>
      </w:r>
      <w:r>
        <w:rPr>
          <w:rFonts w:cs="FrankRuehl"/>
          <w:sz w:val="28"/>
          <w:szCs w:val="28"/>
          <w:rtl/>
        </w:rPr>
        <w:t>–</w:t>
      </w:r>
      <w:r>
        <w:rPr>
          <w:rFonts w:cs="FrankRuehl" w:hint="cs"/>
          <w:sz w:val="28"/>
          <w:szCs w:val="28"/>
          <w:rtl/>
        </w:rPr>
        <w:t xml:space="preserve"> אלה לא הועמדו לדין בגין חלקם באירועים (טענה מסוג הגנה מן הצדק, אשר משפיעה על מתחם העונש ההולם כעולה </w:t>
      </w:r>
      <w:hyperlink r:id="rId36" w:history="1">
        <w:r w:rsidR="003F7FB2" w:rsidRPr="003F7FB2">
          <w:rPr>
            <w:rFonts w:cs="FrankRuehl"/>
            <w:color w:val="0000FF"/>
            <w:sz w:val="28"/>
            <w:szCs w:val="28"/>
            <w:u w:val="single"/>
            <w:rtl/>
          </w:rPr>
          <w:t>מסעיף 40יב</w:t>
        </w:r>
      </w:hyperlink>
      <w:r>
        <w:rPr>
          <w:rFonts w:cs="FrankRuehl" w:hint="cs"/>
          <w:sz w:val="28"/>
          <w:szCs w:val="28"/>
          <w:rtl/>
        </w:rPr>
        <w:t xml:space="preserve"> לחוק). אף שחלקם בקטטה וחומרת מעשיהם נמוכים באופן פרופורציונאלי למעשיו של הנאשם, היה מקום לנקוט אף כלפי המתלוננים בהליכים משפטיים בשים לב לעשיית שימוש על ידם בנשק קר.</w:t>
      </w:r>
    </w:p>
    <w:p w14:paraId="42D76FAF" w14:textId="77777777" w:rsidR="00E36966" w:rsidRDefault="00E36966" w:rsidP="00E36966">
      <w:pPr>
        <w:pStyle w:val="ListParagraph"/>
        <w:spacing w:line="360" w:lineRule="auto"/>
        <w:jc w:val="both"/>
        <w:rPr>
          <w:rFonts w:cs="FrankRuehl"/>
          <w:sz w:val="28"/>
          <w:szCs w:val="28"/>
          <w:rtl/>
        </w:rPr>
      </w:pPr>
    </w:p>
    <w:p w14:paraId="5DE46942" w14:textId="77777777" w:rsidR="00E36966" w:rsidRDefault="00E36966" w:rsidP="00E36966">
      <w:pPr>
        <w:pStyle w:val="ListParagraph"/>
        <w:spacing w:line="360" w:lineRule="auto"/>
        <w:jc w:val="both"/>
        <w:rPr>
          <w:rFonts w:cs="FrankRuehl"/>
          <w:sz w:val="28"/>
          <w:szCs w:val="28"/>
        </w:rPr>
      </w:pPr>
      <w:r>
        <w:rPr>
          <w:rFonts w:cs="FrankRuehl" w:hint="cs"/>
          <w:sz w:val="28"/>
          <w:szCs w:val="28"/>
          <w:rtl/>
        </w:rPr>
        <w:t xml:space="preserve">בשים לב לדברים האמורים ולרמת הענישה הנוהגת, מצאתי לקבוע את מתחם העונש ההולם בין 26 ל-46 חודשי מאסר לריצוי בפועל. </w:t>
      </w:r>
    </w:p>
    <w:p w14:paraId="1EA6FD45" w14:textId="77777777" w:rsidR="00E36966" w:rsidRPr="00BA40F5" w:rsidRDefault="00E36966" w:rsidP="00E36966">
      <w:pPr>
        <w:spacing w:line="360" w:lineRule="auto"/>
        <w:rPr>
          <w:rFonts w:cs="FrankRuehl"/>
          <w:sz w:val="28"/>
          <w:szCs w:val="28"/>
          <w:rtl/>
        </w:rPr>
      </w:pPr>
    </w:p>
    <w:p w14:paraId="074EEFF3" w14:textId="77777777" w:rsidR="00E36966" w:rsidRDefault="00E36966" w:rsidP="00E36966">
      <w:pPr>
        <w:pStyle w:val="ListParagraph"/>
        <w:numPr>
          <w:ilvl w:val="0"/>
          <w:numId w:val="1"/>
        </w:numPr>
        <w:spacing w:line="360" w:lineRule="auto"/>
        <w:jc w:val="both"/>
        <w:rPr>
          <w:rFonts w:cs="FrankRuehl"/>
          <w:sz w:val="28"/>
          <w:szCs w:val="28"/>
        </w:rPr>
      </w:pPr>
      <w:r w:rsidRPr="00A658AF">
        <w:rPr>
          <w:rFonts w:cs="FrankRuehl" w:hint="cs"/>
          <w:sz w:val="28"/>
          <w:szCs w:val="28"/>
          <w:rtl/>
        </w:rPr>
        <w:t xml:space="preserve">אשר לקביעת העונש בתוך המתחם, </w:t>
      </w:r>
      <w:r>
        <w:rPr>
          <w:rFonts w:cs="FrankRuehl" w:hint="cs"/>
          <w:sz w:val="28"/>
          <w:szCs w:val="28"/>
          <w:rtl/>
        </w:rPr>
        <w:t xml:space="preserve">התחשבתי מחד בכך שהנאשם צעיר ונעדר עבר פלילי, בכך שהיה עצור כחודשיים ועצור במעצר בית באיזוק אלקטרוני משך שבעה חודשים נוספים, ובכך שתהליך שיקומי אותו החל נקטע בעקבות מעורבות לכאורית באירוע נוסף בגינו הוגש כנגדו כתב אישום נוסף, אף שהוא מכחיש את המיוחס לו, דבר שהוביל למעצרו פעם נוספת. </w:t>
      </w:r>
    </w:p>
    <w:p w14:paraId="7A57F35F" w14:textId="77777777" w:rsidR="00E36966" w:rsidRDefault="00E36966" w:rsidP="00E36966">
      <w:pPr>
        <w:pStyle w:val="ListParagraph"/>
        <w:spacing w:line="360" w:lineRule="auto"/>
        <w:jc w:val="both"/>
        <w:rPr>
          <w:rFonts w:cs="FrankRuehl"/>
          <w:sz w:val="28"/>
          <w:szCs w:val="28"/>
        </w:rPr>
      </w:pPr>
    </w:p>
    <w:p w14:paraId="1B208943" w14:textId="77777777" w:rsidR="00E36966" w:rsidRDefault="00E36966" w:rsidP="00E36966">
      <w:pPr>
        <w:pStyle w:val="ListParagraph"/>
        <w:numPr>
          <w:ilvl w:val="0"/>
          <w:numId w:val="1"/>
        </w:numPr>
        <w:spacing w:line="360" w:lineRule="auto"/>
        <w:jc w:val="both"/>
        <w:rPr>
          <w:rFonts w:cs="FrankRuehl"/>
          <w:sz w:val="28"/>
          <w:szCs w:val="28"/>
        </w:rPr>
      </w:pPr>
      <w:r>
        <w:rPr>
          <w:rFonts w:cs="FrankRuehl" w:hint="cs"/>
          <w:sz w:val="28"/>
          <w:szCs w:val="28"/>
          <w:rtl/>
        </w:rPr>
        <w:t>בשים לב לאמור, מצאתי לקבוע את עונשו של הנאשם ברף התחתון של המתחם, כמפורט להלן:</w:t>
      </w:r>
    </w:p>
    <w:p w14:paraId="4A3E8BA8" w14:textId="77777777" w:rsidR="00E36966" w:rsidRDefault="00E36966" w:rsidP="00E36966">
      <w:pPr>
        <w:pStyle w:val="ListParagraph"/>
        <w:spacing w:line="360" w:lineRule="auto"/>
        <w:jc w:val="both"/>
        <w:rPr>
          <w:rFonts w:cs="FrankRuehl"/>
          <w:sz w:val="28"/>
          <w:szCs w:val="28"/>
        </w:rPr>
      </w:pPr>
    </w:p>
    <w:p w14:paraId="5C808E56" w14:textId="77777777" w:rsidR="00E36966" w:rsidRDefault="00E36966" w:rsidP="00E36966">
      <w:pPr>
        <w:pStyle w:val="ListParagraph"/>
        <w:spacing w:line="360" w:lineRule="auto"/>
        <w:jc w:val="both"/>
        <w:rPr>
          <w:rFonts w:cs="FrankRuehl"/>
          <w:sz w:val="28"/>
          <w:szCs w:val="28"/>
          <w:rtl/>
        </w:rPr>
      </w:pPr>
      <w:r>
        <w:rPr>
          <w:rFonts w:cs="FrankRuehl" w:hint="cs"/>
          <w:sz w:val="28"/>
          <w:szCs w:val="28"/>
          <w:rtl/>
        </w:rPr>
        <w:t>א. 30 חודשי מאסר לריצוי בפועל, בניכוי ימי מעצרו בגין תיק זה (</w:t>
      </w:r>
      <w:r w:rsidRPr="00CD2407">
        <w:rPr>
          <w:rFonts w:cs="FrankRuehl" w:hint="cs"/>
          <w:sz w:val="28"/>
          <w:szCs w:val="28"/>
          <w:rtl/>
        </w:rPr>
        <w:t>מיום 23.6.14 עד 28.8.14</w:t>
      </w:r>
      <w:r>
        <w:rPr>
          <w:rFonts w:cs="FrankRuehl" w:hint="cs"/>
          <w:sz w:val="28"/>
          <w:szCs w:val="28"/>
          <w:rtl/>
        </w:rPr>
        <w:t>).</w:t>
      </w:r>
    </w:p>
    <w:p w14:paraId="4AE15F12" w14:textId="77777777" w:rsidR="00E36966" w:rsidRDefault="00E36966" w:rsidP="00E36966">
      <w:pPr>
        <w:pStyle w:val="ListParagraph"/>
        <w:spacing w:line="360" w:lineRule="auto"/>
        <w:jc w:val="both"/>
        <w:rPr>
          <w:rFonts w:cs="FrankRuehl"/>
          <w:sz w:val="28"/>
          <w:szCs w:val="28"/>
          <w:rtl/>
        </w:rPr>
      </w:pPr>
    </w:p>
    <w:p w14:paraId="4309099C" w14:textId="77777777" w:rsidR="00E36966" w:rsidRDefault="00E36966" w:rsidP="00E36966">
      <w:pPr>
        <w:pStyle w:val="ListParagraph"/>
        <w:spacing w:line="360" w:lineRule="auto"/>
        <w:jc w:val="both"/>
        <w:rPr>
          <w:rFonts w:cs="FrankRuehl"/>
          <w:sz w:val="28"/>
          <w:szCs w:val="28"/>
          <w:rtl/>
        </w:rPr>
      </w:pPr>
      <w:r>
        <w:rPr>
          <w:rFonts w:cs="FrankRuehl" w:hint="cs"/>
          <w:sz w:val="28"/>
          <w:szCs w:val="28"/>
          <w:rtl/>
        </w:rPr>
        <w:t>ב. 12 חודשי מאסר על תנאי, והתנאי שלא יעבור עבירות בהן הורשע למשך 3 שנים מיום שחרורו ממאסר.</w:t>
      </w:r>
    </w:p>
    <w:p w14:paraId="4CC277DE" w14:textId="77777777" w:rsidR="00E36966" w:rsidRDefault="00E36966" w:rsidP="00E36966">
      <w:pPr>
        <w:pStyle w:val="ListParagraph"/>
        <w:spacing w:line="360" w:lineRule="auto"/>
        <w:jc w:val="both"/>
        <w:rPr>
          <w:rFonts w:cs="FrankRuehl"/>
          <w:sz w:val="28"/>
          <w:szCs w:val="28"/>
          <w:rtl/>
        </w:rPr>
      </w:pPr>
    </w:p>
    <w:p w14:paraId="5B7D6374" w14:textId="77777777" w:rsidR="00E36966" w:rsidRPr="00865202" w:rsidRDefault="00E36966" w:rsidP="00E36966">
      <w:pPr>
        <w:spacing w:line="360" w:lineRule="auto"/>
        <w:ind w:left="720"/>
        <w:jc w:val="both"/>
        <w:rPr>
          <w:rFonts w:cs="FrankRuehl"/>
          <w:sz w:val="28"/>
          <w:szCs w:val="28"/>
          <w:rtl/>
        </w:rPr>
      </w:pPr>
      <w:r>
        <w:rPr>
          <w:rFonts w:cs="FrankRuehl" w:hint="cs"/>
          <w:sz w:val="28"/>
          <w:szCs w:val="28"/>
          <w:rtl/>
        </w:rPr>
        <w:t>ג.</w:t>
      </w:r>
      <w:r>
        <w:rPr>
          <w:rFonts w:cs="FrankRuehl" w:hint="cs"/>
          <w:sz w:val="28"/>
          <w:szCs w:val="28"/>
        </w:rPr>
        <w:t xml:space="preserve"> </w:t>
      </w:r>
      <w:r w:rsidRPr="00865202">
        <w:rPr>
          <w:rFonts w:cs="FrankRuehl" w:hint="cs"/>
          <w:sz w:val="28"/>
          <w:szCs w:val="28"/>
        </w:rPr>
        <w:t>6</w:t>
      </w:r>
      <w:r w:rsidRPr="00865202">
        <w:rPr>
          <w:rFonts w:cs="FrankRuehl" w:hint="cs"/>
          <w:sz w:val="28"/>
          <w:szCs w:val="28"/>
          <w:rtl/>
        </w:rPr>
        <w:t xml:space="preserve"> חודשי מאסר על תנאי, והתנאי שלא יעבור עבירות אלימות מסוג פשע למשך 3 שנים מיום שחרורו ממאסר.</w:t>
      </w:r>
    </w:p>
    <w:p w14:paraId="745D30E1" w14:textId="77777777" w:rsidR="00E36966" w:rsidRDefault="00E36966" w:rsidP="00E36966">
      <w:pPr>
        <w:pStyle w:val="ListParagraph"/>
        <w:spacing w:line="360" w:lineRule="auto"/>
        <w:jc w:val="both"/>
        <w:rPr>
          <w:rFonts w:cs="FrankRuehl"/>
          <w:sz w:val="28"/>
          <w:szCs w:val="28"/>
          <w:rtl/>
        </w:rPr>
      </w:pPr>
    </w:p>
    <w:p w14:paraId="36291C7A" w14:textId="77777777" w:rsidR="00E36966" w:rsidRDefault="00E36966" w:rsidP="00E36966">
      <w:pPr>
        <w:pStyle w:val="ListParagraph"/>
        <w:spacing w:line="360" w:lineRule="auto"/>
        <w:jc w:val="both"/>
        <w:rPr>
          <w:rFonts w:cs="FrankRuehl"/>
          <w:sz w:val="28"/>
          <w:szCs w:val="28"/>
          <w:rtl/>
        </w:rPr>
      </w:pPr>
    </w:p>
    <w:p w14:paraId="62364E28" w14:textId="77777777" w:rsidR="00E36966" w:rsidRDefault="00E36966" w:rsidP="00E36966">
      <w:pPr>
        <w:pStyle w:val="ListParagraph"/>
        <w:spacing w:line="360" w:lineRule="auto"/>
        <w:jc w:val="both"/>
        <w:rPr>
          <w:rFonts w:cs="FrankRuehl"/>
          <w:sz w:val="28"/>
          <w:szCs w:val="28"/>
          <w:rtl/>
        </w:rPr>
      </w:pPr>
      <w:r>
        <w:rPr>
          <w:rFonts w:cs="FrankRuehl" w:hint="cs"/>
          <w:sz w:val="28"/>
          <w:szCs w:val="28"/>
          <w:rtl/>
        </w:rPr>
        <w:t>בשל נסיבות ביצוע המעשה לא מצאתי להטיל פיצוי לטובת המתלוננים.</w:t>
      </w:r>
    </w:p>
    <w:p w14:paraId="58614C91" w14:textId="77777777" w:rsidR="00E36966" w:rsidRDefault="00E36966" w:rsidP="00E36966">
      <w:pPr>
        <w:spacing w:line="360" w:lineRule="auto"/>
        <w:jc w:val="both"/>
        <w:rPr>
          <w:rFonts w:cs="FrankRuehl"/>
          <w:sz w:val="28"/>
          <w:szCs w:val="28"/>
          <w:rtl/>
        </w:rPr>
      </w:pPr>
    </w:p>
    <w:p w14:paraId="27C33011" w14:textId="77777777" w:rsidR="00E36966" w:rsidRPr="00865202" w:rsidRDefault="00E36966" w:rsidP="00E36966">
      <w:pPr>
        <w:spacing w:line="360" w:lineRule="auto"/>
        <w:jc w:val="both"/>
        <w:rPr>
          <w:rFonts w:cs="FrankRuehl"/>
          <w:b/>
          <w:bCs/>
          <w:sz w:val="28"/>
          <w:szCs w:val="28"/>
          <w:rtl/>
        </w:rPr>
      </w:pPr>
      <w:r>
        <w:rPr>
          <w:rFonts w:cs="FrankRuehl" w:hint="cs"/>
          <w:b/>
          <w:bCs/>
          <w:sz w:val="28"/>
          <w:szCs w:val="28"/>
          <w:rtl/>
        </w:rPr>
        <w:t>זכות ערעור לבית המשפט העליון תוך 45 יום מהיום.</w:t>
      </w:r>
    </w:p>
    <w:p w14:paraId="0617CA68" w14:textId="77777777" w:rsidR="00E36966" w:rsidRPr="000F46D2" w:rsidRDefault="000F46D2" w:rsidP="00E36966">
      <w:pPr>
        <w:spacing w:line="360" w:lineRule="auto"/>
        <w:rPr>
          <w:rFonts w:cs="FrankRuehl"/>
          <w:b/>
          <w:bCs/>
          <w:color w:val="FFFFFF"/>
          <w:sz w:val="2"/>
          <w:szCs w:val="2"/>
          <w:rtl/>
        </w:rPr>
      </w:pPr>
      <w:r w:rsidRPr="000F46D2">
        <w:rPr>
          <w:rFonts w:cs="FrankRuehl"/>
          <w:b/>
          <w:bCs/>
          <w:color w:val="FFFFFF"/>
          <w:sz w:val="2"/>
          <w:szCs w:val="2"/>
          <w:rtl/>
        </w:rPr>
        <w:t>5129371</w:t>
      </w:r>
    </w:p>
    <w:p w14:paraId="59BC9D2B" w14:textId="77777777" w:rsidR="00E36966" w:rsidRPr="005B3C56" w:rsidRDefault="000F46D2" w:rsidP="00E36966">
      <w:pPr>
        <w:spacing w:line="360" w:lineRule="auto"/>
        <w:rPr>
          <w:rFonts w:cs="FrankRuehl"/>
          <w:b/>
          <w:bCs/>
          <w:sz w:val="28"/>
          <w:szCs w:val="28"/>
          <w:rtl/>
        </w:rPr>
      </w:pPr>
      <w:r w:rsidRPr="000F46D2">
        <w:rPr>
          <w:rFonts w:ascii="Arial" w:hAnsi="Arial" w:cs="FrankRuehl"/>
          <w:b/>
          <w:bCs/>
          <w:color w:val="FFFFFF"/>
          <w:sz w:val="2"/>
          <w:szCs w:val="2"/>
          <w:rtl/>
        </w:rPr>
        <w:t>54678313</w:t>
      </w:r>
      <w:r>
        <w:rPr>
          <w:rFonts w:ascii="Arial" w:hAnsi="Arial" w:cs="FrankRuehl"/>
          <w:b/>
          <w:bCs/>
          <w:sz w:val="28"/>
          <w:szCs w:val="28"/>
          <w:rtl/>
        </w:rPr>
        <w:t xml:space="preserve">ניתן היום,  ט' ניסן תשע"ו, 17 אפריל 2016, במעמד הצדדים. </w:t>
      </w:r>
    </w:p>
    <w:p w14:paraId="33E66CF6" w14:textId="77777777" w:rsidR="00E36966" w:rsidRPr="005B3C56" w:rsidRDefault="00E36966" w:rsidP="00E36966">
      <w:pPr>
        <w:spacing w:line="360" w:lineRule="auto"/>
        <w:jc w:val="center"/>
      </w:pPr>
      <w:r w:rsidRPr="005B3C56">
        <w:rPr>
          <w:rFonts w:cs="FrankRuehl" w:hint="cs"/>
          <w:b/>
          <w:bCs/>
          <w:sz w:val="28"/>
          <w:szCs w:val="28"/>
          <w:rtl/>
        </w:rPr>
        <w:t xml:space="preserve">   </w:t>
      </w:r>
      <w:r w:rsidRPr="005B3C56">
        <w:rPr>
          <w:rFonts w:cs="FrankRuehl" w:hint="cs"/>
          <w:b/>
          <w:bCs/>
          <w:sz w:val="28"/>
          <w:szCs w:val="28"/>
          <w:rtl/>
        </w:rPr>
        <w:tab/>
      </w:r>
      <w:r w:rsidRPr="005B3C56">
        <w:rPr>
          <w:rFonts w:cs="FrankRuehl" w:hint="cs"/>
          <w:b/>
          <w:bCs/>
          <w:sz w:val="28"/>
          <w:szCs w:val="28"/>
          <w:rtl/>
        </w:rPr>
        <w:tab/>
      </w:r>
      <w:r w:rsidRPr="005B3C56">
        <w:rPr>
          <w:rFonts w:cs="FrankRuehl" w:hint="cs"/>
          <w:b/>
          <w:bCs/>
          <w:sz w:val="28"/>
          <w:szCs w:val="28"/>
          <w:rtl/>
        </w:rPr>
        <w:tab/>
      </w:r>
      <w:r w:rsidRPr="005B3C56">
        <w:rPr>
          <w:rFonts w:cs="FrankRuehl" w:hint="cs"/>
          <w:b/>
          <w:bCs/>
          <w:sz w:val="28"/>
          <w:szCs w:val="28"/>
          <w:rtl/>
        </w:rPr>
        <w:tab/>
      </w:r>
      <w:r w:rsidRPr="005B3C56">
        <w:rPr>
          <w:rFonts w:cs="FrankRuehl" w:hint="cs"/>
          <w:b/>
          <w:bCs/>
          <w:sz w:val="28"/>
          <w:szCs w:val="28"/>
          <w:rtl/>
        </w:rPr>
        <w:tab/>
      </w:r>
    </w:p>
    <w:p w14:paraId="29EEFA40" w14:textId="77777777" w:rsidR="00E36966" w:rsidRPr="005B3C56" w:rsidRDefault="00E36966" w:rsidP="00E36966">
      <w:pPr>
        <w:spacing w:line="360" w:lineRule="auto"/>
        <w:jc w:val="center"/>
        <w:rPr>
          <w:rFonts w:ascii="Arial" w:hAnsi="Arial" w:cs="FrankRuehl"/>
          <w:b/>
          <w:bCs/>
          <w:sz w:val="28"/>
          <w:szCs w:val="28"/>
          <w:rtl/>
        </w:rPr>
      </w:pPr>
    </w:p>
    <w:p w14:paraId="50033DC5" w14:textId="77777777" w:rsidR="00E36966" w:rsidRPr="005B3C56" w:rsidRDefault="00E36966" w:rsidP="00E36966">
      <w:pPr>
        <w:spacing w:line="360" w:lineRule="auto"/>
        <w:rPr>
          <w:rFonts w:cs="FrankRuehl"/>
          <w:b/>
          <w:bCs/>
          <w:sz w:val="28"/>
          <w:szCs w:val="28"/>
          <w:rtl/>
        </w:rPr>
      </w:pPr>
    </w:p>
    <w:p w14:paraId="27658436" w14:textId="77777777" w:rsidR="00E36966" w:rsidRPr="003F7FB2" w:rsidRDefault="003F7FB2" w:rsidP="00E36966">
      <w:pPr>
        <w:pStyle w:val="a3"/>
        <w:spacing w:line="360" w:lineRule="auto"/>
        <w:jc w:val="center"/>
        <w:rPr>
          <w:rFonts w:cs="FrankRuehl"/>
          <w:b/>
          <w:bCs/>
          <w:color w:val="FFFFFF"/>
          <w:sz w:val="2"/>
          <w:szCs w:val="2"/>
          <w:rtl/>
        </w:rPr>
      </w:pPr>
      <w:r w:rsidRPr="003F7FB2">
        <w:rPr>
          <w:rFonts w:cs="FrankRuehl"/>
          <w:b/>
          <w:bCs/>
          <w:color w:val="FFFFFF"/>
          <w:sz w:val="2"/>
          <w:szCs w:val="2"/>
          <w:rtl/>
        </w:rPr>
        <w:t>5129371</w:t>
      </w:r>
    </w:p>
    <w:p w14:paraId="7C8DD6B1" w14:textId="77777777" w:rsidR="000F46D2" w:rsidRPr="003F7FB2" w:rsidRDefault="003F7FB2" w:rsidP="000F46D2">
      <w:pPr>
        <w:keepNext/>
        <w:rPr>
          <w:rFonts w:ascii="David" w:hAnsi="David"/>
          <w:color w:val="FFFFFF"/>
          <w:sz w:val="2"/>
          <w:szCs w:val="2"/>
          <w:rtl/>
        </w:rPr>
      </w:pPr>
      <w:r w:rsidRPr="003F7FB2">
        <w:rPr>
          <w:rFonts w:ascii="David" w:hAnsi="David"/>
          <w:color w:val="FFFFFF"/>
          <w:sz w:val="2"/>
          <w:szCs w:val="2"/>
          <w:rtl/>
        </w:rPr>
        <w:t>54678313</w:t>
      </w:r>
    </w:p>
    <w:p w14:paraId="687244A7" w14:textId="77777777" w:rsidR="000F46D2" w:rsidRDefault="000F46D2" w:rsidP="000F46D2">
      <w:r w:rsidRPr="000F46D2">
        <w:rPr>
          <w:color w:val="000000"/>
          <w:rtl/>
        </w:rPr>
        <w:t>נוסח מסמך זה כפוף לשינויי ניסוח ועריכה</w:t>
      </w:r>
    </w:p>
    <w:p w14:paraId="02C09A5B" w14:textId="77777777" w:rsidR="000F46D2" w:rsidRDefault="000F46D2" w:rsidP="000F46D2">
      <w:pPr>
        <w:rPr>
          <w:rtl/>
        </w:rPr>
      </w:pPr>
    </w:p>
    <w:p w14:paraId="31EE46D0" w14:textId="77777777" w:rsidR="000F46D2" w:rsidRDefault="000F46D2" w:rsidP="000F46D2">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1D1F646C" w14:textId="77777777" w:rsidR="003F7FB2" w:rsidRPr="003F7FB2" w:rsidRDefault="003F7FB2" w:rsidP="003F7FB2">
      <w:pPr>
        <w:keepNext/>
        <w:rPr>
          <w:rFonts w:ascii="David" w:hAnsi="David"/>
          <w:color w:val="000000"/>
          <w:sz w:val="22"/>
          <w:szCs w:val="22"/>
          <w:rtl/>
        </w:rPr>
      </w:pPr>
    </w:p>
    <w:p w14:paraId="585C38F5" w14:textId="77777777" w:rsidR="003F7FB2" w:rsidRDefault="003F7FB2" w:rsidP="003F7FB2">
      <w:pPr>
        <w:keepNext/>
        <w:rPr>
          <w:rFonts w:ascii="David" w:hAnsi="David" w:hint="cs"/>
          <w:color w:val="000000"/>
          <w:sz w:val="22"/>
          <w:szCs w:val="22"/>
          <w:rtl/>
        </w:rPr>
      </w:pPr>
      <w:r w:rsidRPr="003F7FB2">
        <w:rPr>
          <w:rFonts w:ascii="David" w:hAnsi="David"/>
          <w:color w:val="000000"/>
          <w:sz w:val="22"/>
          <w:szCs w:val="22"/>
          <w:rtl/>
        </w:rPr>
        <w:t>מיכל ברנט 54678313-/</w:t>
      </w:r>
    </w:p>
    <w:p w14:paraId="6501F1E8" w14:textId="77777777" w:rsidR="000236B3" w:rsidRDefault="000236B3" w:rsidP="003F7FB2">
      <w:pPr>
        <w:keepNext/>
        <w:rPr>
          <w:rFonts w:ascii="David" w:hAnsi="David" w:hint="cs"/>
          <w:color w:val="000000"/>
          <w:sz w:val="22"/>
          <w:szCs w:val="22"/>
          <w:rtl/>
        </w:rPr>
      </w:pPr>
    </w:p>
    <w:p w14:paraId="16AA487F" w14:textId="77777777" w:rsidR="00CE6F4F" w:rsidRPr="003F7FB2" w:rsidRDefault="00CE6F4F" w:rsidP="003F7FB2">
      <w:pPr>
        <w:keepNext/>
        <w:rPr>
          <w:rFonts w:ascii="David" w:hAnsi="David"/>
          <w:color w:val="000000"/>
          <w:sz w:val="22"/>
          <w:szCs w:val="22"/>
          <w:rtl/>
        </w:rPr>
      </w:pPr>
    </w:p>
    <w:sectPr w:rsidR="00CE6F4F" w:rsidRPr="003F7FB2" w:rsidSect="003F7FB2">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5BAAD2" w14:textId="77777777" w:rsidR="00710A54" w:rsidRDefault="00710A54">
      <w:r>
        <w:separator/>
      </w:r>
    </w:p>
  </w:endnote>
  <w:endnote w:type="continuationSeparator" w:id="0">
    <w:p w14:paraId="5078EBAB" w14:textId="77777777" w:rsidR="00710A54" w:rsidRDefault="00710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B127F" w14:textId="77777777" w:rsidR="00D15B7E" w:rsidRDefault="00D15B7E" w:rsidP="003F7FB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3217172" w14:textId="77777777" w:rsidR="00D15B7E" w:rsidRPr="003F7FB2" w:rsidRDefault="00D15B7E" w:rsidP="003F7FB2">
    <w:pPr>
      <w:pStyle w:val="a5"/>
      <w:pBdr>
        <w:top w:val="single" w:sz="4" w:space="1" w:color="auto"/>
        <w:between w:val="single" w:sz="4" w:space="0" w:color="auto"/>
      </w:pBdr>
      <w:spacing w:after="60"/>
      <w:jc w:val="center"/>
      <w:rPr>
        <w:rFonts w:ascii="FrankRuehl" w:hAnsi="FrankRuehl" w:cs="FrankRuehl"/>
        <w:color w:val="000000"/>
      </w:rPr>
    </w:pPr>
    <w:r w:rsidRPr="003F7FB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4182F" w14:textId="77777777" w:rsidR="00D15B7E" w:rsidRDefault="00D15B7E" w:rsidP="003F7FB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D5D35">
      <w:rPr>
        <w:rFonts w:ascii="FrankRuehl" w:hAnsi="FrankRuehl" w:cs="FrankRuehl"/>
        <w:noProof/>
        <w:rtl/>
      </w:rPr>
      <w:t>1</w:t>
    </w:r>
    <w:r>
      <w:rPr>
        <w:rFonts w:ascii="FrankRuehl" w:hAnsi="FrankRuehl" w:cs="FrankRuehl"/>
        <w:rtl/>
      </w:rPr>
      <w:fldChar w:fldCharType="end"/>
    </w:r>
  </w:p>
  <w:p w14:paraId="6A00866F" w14:textId="77777777" w:rsidR="00D15B7E" w:rsidRPr="003F7FB2" w:rsidRDefault="00D15B7E" w:rsidP="003F7FB2">
    <w:pPr>
      <w:pStyle w:val="a5"/>
      <w:pBdr>
        <w:top w:val="single" w:sz="4" w:space="1" w:color="auto"/>
        <w:between w:val="single" w:sz="4" w:space="0" w:color="auto"/>
      </w:pBdr>
      <w:spacing w:after="60"/>
      <w:jc w:val="center"/>
      <w:rPr>
        <w:rFonts w:ascii="FrankRuehl" w:hAnsi="FrankRuehl" w:cs="FrankRuehl"/>
        <w:color w:val="000000"/>
      </w:rPr>
    </w:pPr>
    <w:r w:rsidRPr="003F7FB2">
      <w:rPr>
        <w:rFonts w:ascii="FrankRuehl" w:hAnsi="FrankRuehl" w:cs="FrankRuehl"/>
        <w:color w:val="000000"/>
      </w:rPr>
      <w:pict w14:anchorId="52371F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9705A" w14:textId="77777777" w:rsidR="00710A54" w:rsidRDefault="00710A54">
      <w:r>
        <w:separator/>
      </w:r>
    </w:p>
  </w:footnote>
  <w:footnote w:type="continuationSeparator" w:id="0">
    <w:p w14:paraId="1A44C4A8" w14:textId="77777777" w:rsidR="00710A54" w:rsidRDefault="00710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5B1F5" w14:textId="77777777" w:rsidR="00D15B7E" w:rsidRPr="003F7FB2" w:rsidRDefault="00D15B7E" w:rsidP="003F7FB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5795-07-14</w:t>
    </w:r>
    <w:r>
      <w:rPr>
        <w:rFonts w:ascii="David" w:hAnsi="David"/>
        <w:color w:val="000000"/>
        <w:sz w:val="22"/>
        <w:szCs w:val="22"/>
        <w:rtl/>
      </w:rPr>
      <w:tab/>
      <w:t xml:space="preserve"> מדינת ישראל נ' רמאדן תורק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3B975" w14:textId="77777777" w:rsidR="00D15B7E" w:rsidRPr="003F7FB2" w:rsidRDefault="00D15B7E" w:rsidP="003F7FB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5795-07-14</w:t>
    </w:r>
    <w:r>
      <w:rPr>
        <w:rFonts w:ascii="David" w:hAnsi="David"/>
        <w:color w:val="000000"/>
        <w:sz w:val="22"/>
        <w:szCs w:val="22"/>
        <w:rtl/>
      </w:rPr>
      <w:tab/>
      <w:t xml:space="preserve"> מדינת ישראל נ' רמאדן תורק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EF386B"/>
    <w:multiLevelType w:val="hybridMultilevel"/>
    <w:tmpl w:val="3B5C88C8"/>
    <w:lvl w:ilvl="0" w:tplc="999097B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3321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36966"/>
    <w:rsid w:val="000236B3"/>
    <w:rsid w:val="000F46D2"/>
    <w:rsid w:val="00147E09"/>
    <w:rsid w:val="00174FB2"/>
    <w:rsid w:val="00245B99"/>
    <w:rsid w:val="003F7FB2"/>
    <w:rsid w:val="004C3B6D"/>
    <w:rsid w:val="00611E4B"/>
    <w:rsid w:val="00710A54"/>
    <w:rsid w:val="0088125E"/>
    <w:rsid w:val="00AA3EA1"/>
    <w:rsid w:val="00B1215F"/>
    <w:rsid w:val="00CB2C1E"/>
    <w:rsid w:val="00CD5D35"/>
    <w:rsid w:val="00CE6F4F"/>
    <w:rsid w:val="00D15B7E"/>
    <w:rsid w:val="00DF6F41"/>
    <w:rsid w:val="00E36966"/>
    <w:rsid w:val="00FC45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C5EA9B5"/>
  <w15:chartTrackingRefBased/>
  <w15:docId w15:val="{2B41C59D-7A76-4F29-A1A0-E9685F710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6966"/>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E36966"/>
    <w:pPr>
      <w:tabs>
        <w:tab w:val="center" w:pos="4153"/>
        <w:tab w:val="right" w:pos="8306"/>
      </w:tabs>
    </w:pPr>
  </w:style>
  <w:style w:type="paragraph" w:styleId="a5">
    <w:name w:val="footer"/>
    <w:basedOn w:val="a"/>
    <w:rsid w:val="00E36966"/>
    <w:pPr>
      <w:tabs>
        <w:tab w:val="center" w:pos="4153"/>
        <w:tab w:val="right" w:pos="8306"/>
      </w:tabs>
    </w:pPr>
  </w:style>
  <w:style w:type="character" w:styleId="a6">
    <w:name w:val="page number"/>
    <w:basedOn w:val="a0"/>
    <w:rsid w:val="00E36966"/>
  </w:style>
  <w:style w:type="character" w:customStyle="1" w:styleId="a4">
    <w:name w:val="כותרת עליונה תו"/>
    <w:link w:val="a3"/>
    <w:rsid w:val="00E36966"/>
    <w:rPr>
      <w:rFonts w:cs="David"/>
      <w:sz w:val="24"/>
      <w:szCs w:val="24"/>
      <w:lang w:val="en-US" w:eastAsia="en-US" w:bidi="he-IL"/>
    </w:rPr>
  </w:style>
  <w:style w:type="paragraph" w:customStyle="1" w:styleId="ListParagraph">
    <w:name w:val="List Paragraph"/>
    <w:basedOn w:val="a"/>
    <w:rsid w:val="00E36966"/>
    <w:pPr>
      <w:ind w:left="720"/>
      <w:contextualSpacing/>
    </w:pPr>
  </w:style>
  <w:style w:type="character" w:styleId="Hyperlink">
    <w:name w:val="Hyperlink"/>
    <w:rsid w:val="000F46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b" TargetMode="External"/><Relationship Id="rId18" Type="http://schemas.openxmlformats.org/officeDocument/2006/relationships/hyperlink" Target="http://www.nevo.co.il/law/70301/340a" TargetMode="External"/><Relationship Id="rId26" Type="http://schemas.openxmlformats.org/officeDocument/2006/relationships/hyperlink" Target="http://www.nevo.co.il/case/17929065" TargetMode="External"/><Relationship Id="rId39" Type="http://schemas.openxmlformats.org/officeDocument/2006/relationships/header" Target="header2.xml"/><Relationship Id="rId21" Type="http://schemas.openxmlformats.org/officeDocument/2006/relationships/hyperlink" Target="http://www.nevo.co.il/case/2584365" TargetMode="External"/><Relationship Id="rId34" Type="http://schemas.openxmlformats.org/officeDocument/2006/relationships/hyperlink" Target="http://www.nevo.co.il/law/70301/40i.5" TargetMode="External"/><Relationship Id="rId42"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38.a.5" TargetMode="External"/><Relationship Id="rId20" Type="http://schemas.openxmlformats.org/officeDocument/2006/relationships/hyperlink" Target="http://www.nevo.co.il/case/5950172" TargetMode="External"/><Relationship Id="rId29" Type="http://schemas.openxmlformats.org/officeDocument/2006/relationships/hyperlink" Target="http://www.nevo.co.il/case/663402"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38.a.5" TargetMode="External"/><Relationship Id="rId24" Type="http://schemas.openxmlformats.org/officeDocument/2006/relationships/hyperlink" Target="http://www.nevo.co.il/case/5878682" TargetMode="External"/><Relationship Id="rId32" Type="http://schemas.openxmlformats.org/officeDocument/2006/relationships/hyperlink" Target="http://www.nevo.co.il/case/5578534"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4853614" TargetMode="External"/><Relationship Id="rId28" Type="http://schemas.openxmlformats.org/officeDocument/2006/relationships/hyperlink" Target="http://www.nevo.co.il/case/6077814" TargetMode="External"/><Relationship Id="rId36" Type="http://schemas.openxmlformats.org/officeDocument/2006/relationships/hyperlink" Target="http://www.nevo.co.il/law/70301/40jb" TargetMode="External"/><Relationship Id="rId10" Type="http://schemas.openxmlformats.org/officeDocument/2006/relationships/hyperlink" Target="http://www.nevo.co.il/law/70301/192" TargetMode="External"/><Relationship Id="rId19" Type="http://schemas.openxmlformats.org/officeDocument/2006/relationships/hyperlink" Target="http://www.nevo.co.il/case/4118781" TargetMode="External"/><Relationship Id="rId31" Type="http://schemas.openxmlformats.org/officeDocument/2006/relationships/hyperlink" Target="http://www.nevo.co.il/case/13015506"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5575978" TargetMode="External"/><Relationship Id="rId27" Type="http://schemas.openxmlformats.org/officeDocument/2006/relationships/hyperlink" Target="http://www.nevo.co.il/case/7671124" TargetMode="External"/><Relationship Id="rId30" Type="http://schemas.openxmlformats.org/officeDocument/2006/relationships/hyperlink" Target="http://www.nevo.co.il/case/4691716" TargetMode="External"/><Relationship Id="rId35" Type="http://schemas.openxmlformats.org/officeDocument/2006/relationships/hyperlink" Target="http://www.nevo.co.il/law/70301" TargetMode="External"/><Relationship Id="rId43" Type="http://schemas.openxmlformats.org/officeDocument/2006/relationships/theme" Target="theme/theme1.xml"/><Relationship Id="rId8" Type="http://schemas.openxmlformats.org/officeDocument/2006/relationships/hyperlink" Target="http://www.nevo.co.il/law/70301/40i.5" TargetMode="External"/><Relationship Id="rId3" Type="http://schemas.openxmlformats.org/officeDocument/2006/relationships/settings" Target="settings.xml"/><Relationship Id="rId12" Type="http://schemas.openxmlformats.org/officeDocument/2006/relationships/hyperlink" Target="http://www.nevo.co.il/law/70301/340a" TargetMode="External"/><Relationship Id="rId17" Type="http://schemas.openxmlformats.org/officeDocument/2006/relationships/hyperlink" Target="http://www.nevo.co.il/law/70301/192" TargetMode="External"/><Relationship Id="rId25" Type="http://schemas.openxmlformats.org/officeDocument/2006/relationships/hyperlink" Target="http://www.nevo.co.il/case/4118781" TargetMode="External"/><Relationship Id="rId33" Type="http://schemas.openxmlformats.org/officeDocument/2006/relationships/hyperlink" Target="http://www.nevo.co.il/case/5878682"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3234</Words>
  <Characters>16170</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19366</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458763</vt:i4>
      </vt:variant>
      <vt:variant>
        <vt:i4>87</vt:i4>
      </vt:variant>
      <vt:variant>
        <vt:i4>0</vt:i4>
      </vt:variant>
      <vt:variant>
        <vt:i4>5</vt:i4>
      </vt:variant>
      <vt:variant>
        <vt:lpwstr>http://www.nevo.co.il/law/70301/40jb</vt:lpwstr>
      </vt:variant>
      <vt:variant>
        <vt:lpwstr/>
      </vt:variant>
      <vt:variant>
        <vt:i4>7995492</vt:i4>
      </vt:variant>
      <vt:variant>
        <vt:i4>84</vt:i4>
      </vt:variant>
      <vt:variant>
        <vt:i4>0</vt:i4>
      </vt:variant>
      <vt:variant>
        <vt:i4>5</vt:i4>
      </vt:variant>
      <vt:variant>
        <vt:lpwstr>http://www.nevo.co.il/law/70301</vt:lpwstr>
      </vt:variant>
      <vt:variant>
        <vt:lpwstr/>
      </vt:variant>
      <vt:variant>
        <vt:i4>4915208</vt:i4>
      </vt:variant>
      <vt:variant>
        <vt:i4>81</vt:i4>
      </vt:variant>
      <vt:variant>
        <vt:i4>0</vt:i4>
      </vt:variant>
      <vt:variant>
        <vt:i4>5</vt:i4>
      </vt:variant>
      <vt:variant>
        <vt:lpwstr>http://www.nevo.co.il/law/70301/40i.5</vt:lpwstr>
      </vt:variant>
      <vt:variant>
        <vt:lpwstr/>
      </vt:variant>
      <vt:variant>
        <vt:i4>3539068</vt:i4>
      </vt:variant>
      <vt:variant>
        <vt:i4>78</vt:i4>
      </vt:variant>
      <vt:variant>
        <vt:i4>0</vt:i4>
      </vt:variant>
      <vt:variant>
        <vt:i4>5</vt:i4>
      </vt:variant>
      <vt:variant>
        <vt:lpwstr>http://www.nevo.co.il/case/5878682</vt:lpwstr>
      </vt:variant>
      <vt:variant>
        <vt:lpwstr/>
      </vt:variant>
      <vt:variant>
        <vt:i4>3342458</vt:i4>
      </vt:variant>
      <vt:variant>
        <vt:i4>75</vt:i4>
      </vt:variant>
      <vt:variant>
        <vt:i4>0</vt:i4>
      </vt:variant>
      <vt:variant>
        <vt:i4>5</vt:i4>
      </vt:variant>
      <vt:variant>
        <vt:lpwstr>http://www.nevo.co.il/case/5578534</vt:lpwstr>
      </vt:variant>
      <vt:variant>
        <vt:lpwstr/>
      </vt:variant>
      <vt:variant>
        <vt:i4>3407987</vt:i4>
      </vt:variant>
      <vt:variant>
        <vt:i4>72</vt:i4>
      </vt:variant>
      <vt:variant>
        <vt:i4>0</vt:i4>
      </vt:variant>
      <vt:variant>
        <vt:i4>5</vt:i4>
      </vt:variant>
      <vt:variant>
        <vt:lpwstr>http://www.nevo.co.il/case/13015506</vt:lpwstr>
      </vt:variant>
      <vt:variant>
        <vt:lpwstr/>
      </vt:variant>
      <vt:variant>
        <vt:i4>3932274</vt:i4>
      </vt:variant>
      <vt:variant>
        <vt:i4>69</vt:i4>
      </vt:variant>
      <vt:variant>
        <vt:i4>0</vt:i4>
      </vt:variant>
      <vt:variant>
        <vt:i4>5</vt:i4>
      </vt:variant>
      <vt:variant>
        <vt:lpwstr>http://www.nevo.co.il/case/4691716</vt:lpwstr>
      </vt:variant>
      <vt:variant>
        <vt:lpwstr/>
      </vt:variant>
      <vt:variant>
        <vt:i4>327750</vt:i4>
      </vt:variant>
      <vt:variant>
        <vt:i4>66</vt:i4>
      </vt:variant>
      <vt:variant>
        <vt:i4>0</vt:i4>
      </vt:variant>
      <vt:variant>
        <vt:i4>5</vt:i4>
      </vt:variant>
      <vt:variant>
        <vt:lpwstr>http://www.nevo.co.il/case/663402</vt:lpwstr>
      </vt:variant>
      <vt:variant>
        <vt:lpwstr/>
      </vt:variant>
      <vt:variant>
        <vt:i4>3997810</vt:i4>
      </vt:variant>
      <vt:variant>
        <vt:i4>63</vt:i4>
      </vt:variant>
      <vt:variant>
        <vt:i4>0</vt:i4>
      </vt:variant>
      <vt:variant>
        <vt:i4>5</vt:i4>
      </vt:variant>
      <vt:variant>
        <vt:lpwstr>http://www.nevo.co.il/case/6077814</vt:lpwstr>
      </vt:variant>
      <vt:variant>
        <vt:lpwstr/>
      </vt:variant>
      <vt:variant>
        <vt:i4>3473521</vt:i4>
      </vt:variant>
      <vt:variant>
        <vt:i4>60</vt:i4>
      </vt:variant>
      <vt:variant>
        <vt:i4>0</vt:i4>
      </vt:variant>
      <vt:variant>
        <vt:i4>5</vt:i4>
      </vt:variant>
      <vt:variant>
        <vt:lpwstr>http://www.nevo.co.il/case/7671124</vt:lpwstr>
      </vt:variant>
      <vt:variant>
        <vt:lpwstr/>
      </vt:variant>
      <vt:variant>
        <vt:i4>3604593</vt:i4>
      </vt:variant>
      <vt:variant>
        <vt:i4>57</vt:i4>
      </vt:variant>
      <vt:variant>
        <vt:i4>0</vt:i4>
      </vt:variant>
      <vt:variant>
        <vt:i4>5</vt:i4>
      </vt:variant>
      <vt:variant>
        <vt:lpwstr>http://www.nevo.co.il/case/17929065</vt:lpwstr>
      </vt:variant>
      <vt:variant>
        <vt:lpwstr/>
      </vt:variant>
      <vt:variant>
        <vt:i4>3342453</vt:i4>
      </vt:variant>
      <vt:variant>
        <vt:i4>54</vt:i4>
      </vt:variant>
      <vt:variant>
        <vt:i4>0</vt:i4>
      </vt:variant>
      <vt:variant>
        <vt:i4>5</vt:i4>
      </vt:variant>
      <vt:variant>
        <vt:lpwstr>http://www.nevo.co.il/case/4118781</vt:lpwstr>
      </vt:variant>
      <vt:variant>
        <vt:lpwstr/>
      </vt:variant>
      <vt:variant>
        <vt:i4>3539068</vt:i4>
      </vt:variant>
      <vt:variant>
        <vt:i4>51</vt:i4>
      </vt:variant>
      <vt:variant>
        <vt:i4>0</vt:i4>
      </vt:variant>
      <vt:variant>
        <vt:i4>5</vt:i4>
      </vt:variant>
      <vt:variant>
        <vt:lpwstr>http://www.nevo.co.il/case/5878682</vt:lpwstr>
      </vt:variant>
      <vt:variant>
        <vt:lpwstr/>
      </vt:variant>
      <vt:variant>
        <vt:i4>3342462</vt:i4>
      </vt:variant>
      <vt:variant>
        <vt:i4>48</vt:i4>
      </vt:variant>
      <vt:variant>
        <vt:i4>0</vt:i4>
      </vt:variant>
      <vt:variant>
        <vt:i4>5</vt:i4>
      </vt:variant>
      <vt:variant>
        <vt:lpwstr>http://www.nevo.co.il/case/4853614</vt:lpwstr>
      </vt:variant>
      <vt:variant>
        <vt:lpwstr/>
      </vt:variant>
      <vt:variant>
        <vt:i4>3342451</vt:i4>
      </vt:variant>
      <vt:variant>
        <vt:i4>45</vt:i4>
      </vt:variant>
      <vt:variant>
        <vt:i4>0</vt:i4>
      </vt:variant>
      <vt:variant>
        <vt:i4>5</vt:i4>
      </vt:variant>
      <vt:variant>
        <vt:lpwstr>http://www.nevo.co.il/case/5575978</vt:lpwstr>
      </vt:variant>
      <vt:variant>
        <vt:lpwstr/>
      </vt:variant>
      <vt:variant>
        <vt:i4>3932275</vt:i4>
      </vt:variant>
      <vt:variant>
        <vt:i4>42</vt:i4>
      </vt:variant>
      <vt:variant>
        <vt:i4>0</vt:i4>
      </vt:variant>
      <vt:variant>
        <vt:i4>5</vt:i4>
      </vt:variant>
      <vt:variant>
        <vt:lpwstr>http://www.nevo.co.il/case/2584365</vt:lpwstr>
      </vt:variant>
      <vt:variant>
        <vt:lpwstr/>
      </vt:variant>
      <vt:variant>
        <vt:i4>3342458</vt:i4>
      </vt:variant>
      <vt:variant>
        <vt:i4>39</vt:i4>
      </vt:variant>
      <vt:variant>
        <vt:i4>0</vt:i4>
      </vt:variant>
      <vt:variant>
        <vt:i4>5</vt:i4>
      </vt:variant>
      <vt:variant>
        <vt:lpwstr>http://www.nevo.co.il/case/5950172</vt:lpwstr>
      </vt:variant>
      <vt:variant>
        <vt:lpwstr/>
      </vt:variant>
      <vt:variant>
        <vt:i4>3342453</vt:i4>
      </vt:variant>
      <vt:variant>
        <vt:i4>36</vt:i4>
      </vt:variant>
      <vt:variant>
        <vt:i4>0</vt:i4>
      </vt:variant>
      <vt:variant>
        <vt:i4>5</vt:i4>
      </vt:variant>
      <vt:variant>
        <vt:lpwstr>http://www.nevo.co.il/case/4118781</vt:lpwstr>
      </vt:variant>
      <vt:variant>
        <vt:lpwstr/>
      </vt:variant>
      <vt:variant>
        <vt:i4>86</vt:i4>
      </vt:variant>
      <vt:variant>
        <vt:i4>33</vt:i4>
      </vt:variant>
      <vt:variant>
        <vt:i4>0</vt:i4>
      </vt:variant>
      <vt:variant>
        <vt:i4>5</vt:i4>
      </vt:variant>
      <vt:variant>
        <vt:lpwstr>http://www.nevo.co.il/law/70301/340a</vt:lpwstr>
      </vt:variant>
      <vt:variant>
        <vt:lpwstr/>
      </vt:variant>
      <vt:variant>
        <vt:i4>7077988</vt:i4>
      </vt:variant>
      <vt:variant>
        <vt:i4>30</vt:i4>
      </vt:variant>
      <vt:variant>
        <vt:i4>0</vt:i4>
      </vt:variant>
      <vt:variant>
        <vt:i4>5</vt:i4>
      </vt:variant>
      <vt:variant>
        <vt:lpwstr>http://www.nevo.co.il/law/70301/192</vt:lpwstr>
      </vt:variant>
      <vt:variant>
        <vt:lpwstr/>
      </vt:variant>
      <vt:variant>
        <vt:i4>6684735</vt:i4>
      </vt:variant>
      <vt:variant>
        <vt:i4>27</vt:i4>
      </vt:variant>
      <vt:variant>
        <vt:i4>0</vt:i4>
      </vt:variant>
      <vt:variant>
        <vt:i4>5</vt:i4>
      </vt:variant>
      <vt:variant>
        <vt:lpwstr>http://www.nevo.co.il/law/70301/338.a.5</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458763</vt:i4>
      </vt:variant>
      <vt:variant>
        <vt:i4>18</vt:i4>
      </vt:variant>
      <vt:variant>
        <vt:i4>0</vt:i4>
      </vt:variant>
      <vt:variant>
        <vt:i4>5</vt:i4>
      </vt:variant>
      <vt:variant>
        <vt:lpwstr>http://www.nevo.co.il/law/70301/40jb</vt:lpwstr>
      </vt:variant>
      <vt:variant>
        <vt:lpwstr/>
      </vt:variant>
      <vt:variant>
        <vt:i4>86</vt:i4>
      </vt:variant>
      <vt:variant>
        <vt:i4>15</vt:i4>
      </vt:variant>
      <vt:variant>
        <vt:i4>0</vt:i4>
      </vt:variant>
      <vt:variant>
        <vt:i4>5</vt:i4>
      </vt:variant>
      <vt:variant>
        <vt:lpwstr>http://www.nevo.co.il/law/70301/340a</vt:lpwstr>
      </vt:variant>
      <vt:variant>
        <vt:lpwstr/>
      </vt:variant>
      <vt:variant>
        <vt:i4>6684735</vt:i4>
      </vt:variant>
      <vt:variant>
        <vt:i4>12</vt:i4>
      </vt:variant>
      <vt:variant>
        <vt:i4>0</vt:i4>
      </vt:variant>
      <vt:variant>
        <vt:i4>5</vt:i4>
      </vt:variant>
      <vt:variant>
        <vt:lpwstr>http://www.nevo.co.il/law/70301/338.a.5</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4915208</vt:i4>
      </vt:variant>
      <vt:variant>
        <vt:i4>3</vt:i4>
      </vt:variant>
      <vt:variant>
        <vt:i4>0</vt:i4>
      </vt:variant>
      <vt:variant>
        <vt:i4>5</vt:i4>
      </vt:variant>
      <vt:variant>
        <vt:lpwstr>http://www.nevo.co.il/law/70301/40i.5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2025-01-19T15:54:00Z</dcterms:created>
  <dcterms:modified xsi:type="dcterms:W3CDTF">2025-01-19T15:54:00Z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5795</vt:lpwstr>
  </property>
  <property fmtid="{D5CDD505-2E9C-101B-9397-08002B2CF9AE}" pid="6" name="NEWPARTB">
    <vt:lpwstr>07</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רמאדן תורק</vt:lpwstr>
  </property>
  <property fmtid="{D5CDD505-2E9C-101B-9397-08002B2CF9AE}" pid="10" name="LAWYER">
    <vt:lpwstr>נעמה טל;סתיו שורצברג ;ניר רהט </vt:lpwstr>
  </property>
  <property fmtid="{D5CDD505-2E9C-101B-9397-08002B2CF9AE}" pid="11" name="JUDGE">
    <vt:lpwstr>מיכל ברנט</vt:lpwstr>
  </property>
  <property fmtid="{D5CDD505-2E9C-101B-9397-08002B2CF9AE}" pid="12" name="CITY">
    <vt:lpwstr>מרכז</vt:lpwstr>
  </property>
  <property fmtid="{D5CDD505-2E9C-101B-9397-08002B2CF9AE}" pid="13" name="DATE">
    <vt:lpwstr>20160417</vt:lpwstr>
  </property>
  <property fmtid="{D5CDD505-2E9C-101B-9397-08002B2CF9AE}" pid="14" name="TYPE_N_DATE">
    <vt:lpwstr>39020160417</vt:lpwstr>
  </property>
  <property fmtid="{D5CDD505-2E9C-101B-9397-08002B2CF9AE}" pid="15" name="CASESLISTTMP1">
    <vt:lpwstr>4118781:2;5950172;2584365;5575978;4853614;5878682:2;17929065;7671124;6077814;4691716;13015506;5578534</vt:lpwstr>
  </property>
  <property fmtid="{D5CDD505-2E9C-101B-9397-08002B2CF9AE}" pid="16" name="CASENOTES1">
    <vt:lpwstr>ProcID=209&amp;PartA=7036&amp;PartC=08</vt:lpwstr>
  </property>
  <property fmtid="{D5CDD505-2E9C-101B-9397-08002B2CF9AE}" pid="17" name="CASENOTES2">
    <vt:lpwstr>ProcID=209&amp;PartA=6096&amp;PartC=07</vt:lpwstr>
  </property>
  <property fmtid="{D5CDD505-2E9C-101B-9397-08002B2CF9AE}" pid="18" name="WORDNUMPAGES">
    <vt:lpwstr>13</vt:lpwstr>
  </property>
  <property fmtid="{D5CDD505-2E9C-101B-9397-08002B2CF9AE}" pid="19" name="TYPE_ABS_DATE">
    <vt:lpwstr>390020160417</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70301/144.b;338.a.5;192;340a;040i.5;40jb</vt:lpwstr>
  </property>
</Properties>
</file>