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7F4C9B" w:rsidRPr="004668AD" w14:paraId="65EB10A7" w14:textId="77777777">
        <w:trPr>
          <w:trHeight w:hRule="exact" w:val="1423"/>
          <w:jc w:val="center"/>
        </w:trPr>
        <w:tc>
          <w:tcPr>
            <w:tcW w:w="8505" w:type="dxa"/>
          </w:tcPr>
          <w:p w14:paraId="0C1C2C1C" w14:textId="77777777" w:rsidR="007F4C9B" w:rsidRPr="004668AD" w:rsidRDefault="004668AD">
            <w:pPr>
              <w:pStyle w:val="a3"/>
              <w:jc w:val="center"/>
              <w:rPr>
                <w:rtl/>
              </w:rPr>
            </w:pPr>
            <w:r w:rsidRPr="004668AD">
              <w:rPr>
                <w:rFonts w:ascii="Tahoma" w:hAnsi="Tahoma" w:cs="Tahoma"/>
                <w:b/>
                <w:bCs/>
                <w:color w:val="000080"/>
                <w:rtl/>
              </w:rPr>
              <w:t>בית המשפט המחוזי בירושלים</w:t>
            </w:r>
          </w:p>
          <w:p w14:paraId="2FD4EA44" w14:textId="77777777" w:rsidR="007F4C9B" w:rsidRPr="004668AD" w:rsidRDefault="007F4C9B">
            <w:pPr>
              <w:pStyle w:val="a3"/>
              <w:jc w:val="center"/>
              <w:rPr>
                <w:rtl/>
              </w:rPr>
            </w:pPr>
          </w:p>
          <w:p w14:paraId="162C001B" w14:textId="77777777" w:rsidR="007F4C9B" w:rsidRPr="004668AD" w:rsidRDefault="004668AD">
            <w:pPr>
              <w:pStyle w:val="a3"/>
              <w:rPr>
                <w:rFonts w:ascii="Tahoma" w:hAnsi="Tahoma" w:cs="Tahoma"/>
                <w:b/>
                <w:bCs/>
                <w:color w:val="000080"/>
                <w:sz w:val="20"/>
                <w:szCs w:val="20"/>
              </w:rPr>
            </w:pPr>
            <w:r w:rsidRPr="004668AD">
              <w:rPr>
                <w:rFonts w:ascii="Tahoma" w:hAnsi="Tahoma" w:cs="Tahoma"/>
                <w:b/>
                <w:bCs/>
                <w:color w:val="000080"/>
                <w:sz w:val="20"/>
                <w:szCs w:val="20"/>
                <w:rtl/>
              </w:rPr>
              <w:t>לפני כבוד השופט רפי כרמל, אב"ד</w:t>
            </w:r>
          </w:p>
          <w:p w14:paraId="310CD7A3" w14:textId="77777777" w:rsidR="007F4C9B" w:rsidRPr="004668AD" w:rsidRDefault="004668AD">
            <w:pPr>
              <w:pStyle w:val="a3"/>
              <w:rPr>
                <w:rFonts w:ascii="Tahoma" w:hAnsi="Tahoma" w:cs="Tahoma"/>
                <w:b/>
                <w:bCs/>
                <w:color w:val="000080"/>
                <w:sz w:val="20"/>
                <w:szCs w:val="20"/>
              </w:rPr>
            </w:pPr>
            <w:r w:rsidRPr="004668AD">
              <w:rPr>
                <w:rFonts w:ascii="Tahoma" w:hAnsi="Tahoma" w:cs="Tahoma"/>
                <w:b/>
                <w:bCs/>
                <w:color w:val="000080"/>
                <w:sz w:val="20"/>
                <w:szCs w:val="20"/>
                <w:rtl/>
              </w:rPr>
              <w:t xml:space="preserve">         כבוד השופט כרמי מוסק</w:t>
            </w:r>
          </w:p>
          <w:p w14:paraId="54B95B29" w14:textId="77777777" w:rsidR="007F4C9B" w:rsidRPr="004668AD" w:rsidRDefault="004668AD">
            <w:pPr>
              <w:pStyle w:val="a3"/>
              <w:rPr>
                <w:rFonts w:ascii="Tahoma" w:hAnsi="Tahoma" w:cs="Tahoma"/>
                <w:color w:val="000080"/>
                <w:rtl/>
              </w:rPr>
            </w:pPr>
            <w:r w:rsidRPr="004668AD">
              <w:rPr>
                <w:rFonts w:ascii="Tahoma" w:hAnsi="Tahoma" w:cs="Tahoma"/>
                <w:b/>
                <w:bCs/>
                <w:color w:val="000080"/>
                <w:sz w:val="20"/>
                <w:szCs w:val="20"/>
                <w:rtl/>
              </w:rPr>
              <w:t xml:space="preserve">         כבוד השופטת שירלי רנר</w:t>
            </w:r>
            <w:r w:rsidRPr="004668AD">
              <w:rPr>
                <w:rFonts w:ascii="Tahoma" w:hAnsi="Tahoma" w:cs="Tahoma" w:hint="cs"/>
                <w:b/>
                <w:bCs/>
                <w:color w:val="000080"/>
                <w:sz w:val="20"/>
                <w:szCs w:val="20"/>
                <w:rtl/>
              </w:rPr>
              <w:t xml:space="preserve">                                                       </w:t>
            </w:r>
            <w:r w:rsidRPr="004668AD">
              <w:rPr>
                <w:rFonts w:ascii="Tahoma" w:hAnsi="Tahoma" w:cs="Tahoma"/>
                <w:b/>
                <w:bCs/>
                <w:color w:val="000080"/>
                <w:sz w:val="20"/>
                <w:szCs w:val="20"/>
                <w:rtl/>
              </w:rPr>
              <w:t xml:space="preserve"> תפ"ח</w:t>
            </w:r>
            <w:r w:rsidRPr="004668AD">
              <w:rPr>
                <w:rFonts w:ascii="Tahoma" w:hAnsi="Tahoma" w:cs="Tahoma" w:hint="cs"/>
                <w:b/>
                <w:bCs/>
                <w:color w:val="000080"/>
                <w:sz w:val="20"/>
                <w:szCs w:val="20"/>
                <w:rtl/>
              </w:rPr>
              <w:t xml:space="preserve"> </w:t>
            </w:r>
            <w:r w:rsidRPr="004668AD">
              <w:rPr>
                <w:rFonts w:ascii="Tahoma" w:hAnsi="Tahoma" w:cs="Tahoma"/>
                <w:b/>
                <w:bCs/>
                <w:color w:val="000080"/>
                <w:sz w:val="20"/>
                <w:szCs w:val="20"/>
                <w:rtl/>
              </w:rPr>
              <w:t>58351-07-14</w:t>
            </w:r>
          </w:p>
        </w:tc>
      </w:tr>
    </w:tbl>
    <w:p w14:paraId="05EAD1EE" w14:textId="77777777" w:rsidR="007F4C9B" w:rsidRPr="004668AD" w:rsidRDefault="004668AD">
      <w:pPr>
        <w:pStyle w:val="a3"/>
        <w:rPr>
          <w:rtl/>
        </w:rPr>
      </w:pPr>
      <w:bookmarkStart w:id="0" w:name="LastJudge"/>
      <w:bookmarkEnd w:id="0"/>
      <w:r w:rsidRPr="004668AD">
        <w:rPr>
          <w:rFonts w:hint="cs"/>
          <w:rtl/>
        </w:rPr>
        <w:t xml:space="preserve"> </w:t>
      </w:r>
    </w:p>
    <w:p w14:paraId="1C844339" w14:textId="77777777" w:rsidR="007F4C9B" w:rsidRPr="004668AD" w:rsidRDefault="007F4C9B">
      <w:pPr>
        <w:spacing w:line="360" w:lineRule="auto"/>
        <w:jc w:val="both"/>
        <w:rPr>
          <w:sz w:val="2"/>
          <w:szCs w:val="2"/>
          <w:rtl/>
        </w:rPr>
      </w:pPr>
    </w:p>
    <w:tbl>
      <w:tblPr>
        <w:bidiVisual/>
        <w:tblW w:w="8802" w:type="dxa"/>
        <w:tblInd w:w="-28" w:type="dxa"/>
        <w:tblLook w:val="01E0" w:firstRow="1" w:lastRow="1" w:firstColumn="1" w:lastColumn="1" w:noHBand="0" w:noVBand="0"/>
      </w:tblPr>
      <w:tblGrid>
        <w:gridCol w:w="2880"/>
        <w:gridCol w:w="5922"/>
      </w:tblGrid>
      <w:tr w:rsidR="007F4C9B" w:rsidRPr="004668AD" w14:paraId="28D8A9D5" w14:textId="77777777">
        <w:tc>
          <w:tcPr>
            <w:tcW w:w="2880" w:type="dxa"/>
            <w:shd w:val="clear" w:color="auto" w:fill="auto"/>
          </w:tcPr>
          <w:p w14:paraId="1913982F" w14:textId="77777777" w:rsidR="007F4C9B" w:rsidRPr="004668AD" w:rsidRDefault="004668AD">
            <w:pPr>
              <w:spacing w:line="360" w:lineRule="auto"/>
              <w:ind w:left="26"/>
              <w:rPr>
                <w:b/>
                <w:bCs/>
                <w:sz w:val="26"/>
                <w:szCs w:val="26"/>
              </w:rPr>
            </w:pPr>
            <w:bookmarkStart w:id="1" w:name="FirstAppellant"/>
            <w:r w:rsidRPr="004668AD">
              <w:rPr>
                <w:rFonts w:hint="cs"/>
                <w:b/>
                <w:bCs/>
                <w:sz w:val="26"/>
                <w:szCs w:val="26"/>
                <w:rtl/>
              </w:rPr>
              <w:t>המאשימה</w:t>
            </w:r>
          </w:p>
        </w:tc>
        <w:tc>
          <w:tcPr>
            <w:tcW w:w="5922" w:type="dxa"/>
            <w:shd w:val="clear" w:color="auto" w:fill="auto"/>
          </w:tcPr>
          <w:p w14:paraId="1FC1F893" w14:textId="77777777" w:rsidR="007F4C9B" w:rsidRPr="004668AD" w:rsidRDefault="004668AD">
            <w:pPr>
              <w:spacing w:line="360" w:lineRule="auto"/>
              <w:rPr>
                <w:b/>
                <w:bCs/>
                <w:sz w:val="26"/>
                <w:szCs w:val="26"/>
                <w:rtl/>
              </w:rPr>
            </w:pPr>
            <w:r w:rsidRPr="004668AD">
              <w:rPr>
                <w:rFonts w:hint="cs"/>
                <w:b/>
                <w:bCs/>
                <w:sz w:val="26"/>
                <w:szCs w:val="26"/>
                <w:rtl/>
              </w:rPr>
              <w:t xml:space="preserve"> מדינת ישראל</w:t>
            </w:r>
          </w:p>
          <w:p w14:paraId="6F69ED66" w14:textId="77777777" w:rsidR="007F4C9B" w:rsidRPr="004668AD" w:rsidRDefault="004668AD">
            <w:pPr>
              <w:spacing w:line="360" w:lineRule="auto"/>
              <w:rPr>
                <w:b/>
                <w:bCs/>
                <w:sz w:val="26"/>
                <w:szCs w:val="26"/>
                <w:rtl/>
              </w:rPr>
            </w:pPr>
            <w:r w:rsidRPr="004668AD">
              <w:rPr>
                <w:rFonts w:hint="cs"/>
                <w:b/>
                <w:bCs/>
                <w:sz w:val="26"/>
                <w:szCs w:val="26"/>
                <w:rtl/>
              </w:rPr>
              <w:t>באמצעות פרקליטות מחוז ירושלים</w:t>
            </w:r>
          </w:p>
          <w:p w14:paraId="4DC565A1" w14:textId="77777777" w:rsidR="007F4C9B" w:rsidRPr="004668AD" w:rsidRDefault="007F4C9B">
            <w:pPr>
              <w:spacing w:line="360" w:lineRule="auto"/>
              <w:rPr>
                <w:b/>
                <w:bCs/>
                <w:sz w:val="26"/>
                <w:szCs w:val="26"/>
              </w:rPr>
            </w:pPr>
          </w:p>
        </w:tc>
      </w:tr>
      <w:bookmarkEnd w:id="1"/>
      <w:tr w:rsidR="007F4C9B" w:rsidRPr="004668AD" w14:paraId="161626E6" w14:textId="77777777">
        <w:tc>
          <w:tcPr>
            <w:tcW w:w="8802" w:type="dxa"/>
            <w:gridSpan w:val="2"/>
            <w:shd w:val="clear" w:color="auto" w:fill="auto"/>
          </w:tcPr>
          <w:p w14:paraId="1AF809C7" w14:textId="77777777" w:rsidR="007F4C9B" w:rsidRPr="004668AD" w:rsidRDefault="007F4C9B">
            <w:pPr>
              <w:spacing w:line="360" w:lineRule="auto"/>
              <w:jc w:val="both"/>
              <w:rPr>
                <w:rFonts w:ascii="Arial" w:hAnsi="Arial"/>
                <w:b/>
                <w:bCs/>
                <w:sz w:val="26"/>
                <w:szCs w:val="26"/>
                <w:rtl/>
              </w:rPr>
            </w:pPr>
          </w:p>
          <w:p w14:paraId="389BD004" w14:textId="77777777" w:rsidR="007F4C9B" w:rsidRPr="004668AD" w:rsidRDefault="004668AD">
            <w:pPr>
              <w:spacing w:line="360" w:lineRule="auto"/>
              <w:rPr>
                <w:rFonts w:ascii="Arial" w:hAnsi="Arial"/>
                <w:b/>
                <w:bCs/>
                <w:sz w:val="26"/>
                <w:szCs w:val="26"/>
                <w:rtl/>
              </w:rPr>
            </w:pPr>
            <w:r w:rsidRPr="004668AD">
              <w:rPr>
                <w:rFonts w:ascii="Arial" w:hAnsi="Arial" w:hint="cs"/>
                <w:b/>
                <w:bCs/>
                <w:sz w:val="26"/>
                <w:szCs w:val="26"/>
                <w:rtl/>
              </w:rPr>
              <w:t xml:space="preserve">                                                      -נגד-</w:t>
            </w:r>
          </w:p>
          <w:p w14:paraId="4C87F02F" w14:textId="77777777" w:rsidR="007F4C9B" w:rsidRPr="004668AD" w:rsidRDefault="007F4C9B">
            <w:pPr>
              <w:spacing w:line="360" w:lineRule="auto"/>
              <w:jc w:val="center"/>
              <w:rPr>
                <w:rFonts w:ascii="Arial" w:hAnsi="Arial"/>
                <w:b/>
                <w:bCs/>
                <w:sz w:val="26"/>
                <w:szCs w:val="26"/>
              </w:rPr>
            </w:pPr>
          </w:p>
        </w:tc>
      </w:tr>
      <w:tr w:rsidR="007F4C9B" w:rsidRPr="004668AD" w14:paraId="2E70CDB8" w14:textId="77777777">
        <w:tc>
          <w:tcPr>
            <w:tcW w:w="2880" w:type="dxa"/>
            <w:shd w:val="clear" w:color="auto" w:fill="auto"/>
          </w:tcPr>
          <w:p w14:paraId="6ADF07A4" w14:textId="77777777" w:rsidR="007F4C9B" w:rsidRPr="004668AD" w:rsidRDefault="004668AD">
            <w:pPr>
              <w:spacing w:line="360" w:lineRule="auto"/>
              <w:ind w:left="26"/>
              <w:rPr>
                <w:b/>
                <w:bCs/>
                <w:sz w:val="26"/>
                <w:szCs w:val="26"/>
              </w:rPr>
            </w:pPr>
            <w:bookmarkStart w:id="2" w:name="FirstLawyer"/>
            <w:r w:rsidRPr="004668AD">
              <w:rPr>
                <w:rFonts w:hint="cs"/>
                <w:b/>
                <w:bCs/>
                <w:sz w:val="26"/>
                <w:szCs w:val="26"/>
                <w:rtl/>
              </w:rPr>
              <w:t>הנאשמים</w:t>
            </w:r>
          </w:p>
        </w:tc>
        <w:tc>
          <w:tcPr>
            <w:tcW w:w="5922" w:type="dxa"/>
            <w:shd w:val="clear" w:color="auto" w:fill="auto"/>
          </w:tcPr>
          <w:p w14:paraId="0935005D" w14:textId="77777777" w:rsidR="007F4C9B" w:rsidRPr="004668AD" w:rsidRDefault="004668AD">
            <w:pPr>
              <w:spacing w:line="360" w:lineRule="auto"/>
              <w:rPr>
                <w:b/>
                <w:bCs/>
                <w:sz w:val="26"/>
                <w:szCs w:val="26"/>
                <w:rtl/>
              </w:rPr>
            </w:pPr>
            <w:r w:rsidRPr="004668AD">
              <w:rPr>
                <w:rFonts w:hint="cs"/>
                <w:b/>
                <w:bCs/>
                <w:sz w:val="26"/>
                <w:szCs w:val="26"/>
                <w:rtl/>
              </w:rPr>
              <w:t xml:space="preserve">1. בשאר עביידי </w:t>
            </w:r>
          </w:p>
          <w:p w14:paraId="515BA4E9" w14:textId="77777777" w:rsidR="007F4C9B" w:rsidRPr="004668AD" w:rsidRDefault="004668AD">
            <w:pPr>
              <w:spacing w:line="360" w:lineRule="auto"/>
              <w:rPr>
                <w:b/>
                <w:bCs/>
                <w:sz w:val="26"/>
                <w:szCs w:val="26"/>
                <w:rtl/>
              </w:rPr>
            </w:pPr>
            <w:r w:rsidRPr="004668AD">
              <w:rPr>
                <w:rFonts w:hint="cs"/>
                <w:b/>
                <w:bCs/>
                <w:sz w:val="26"/>
                <w:szCs w:val="26"/>
                <w:rtl/>
              </w:rPr>
              <w:t>2. מוחמד חמד</w:t>
            </w:r>
          </w:p>
          <w:p w14:paraId="43D2502B" w14:textId="77777777" w:rsidR="007F4C9B" w:rsidRPr="004668AD" w:rsidRDefault="004668AD">
            <w:pPr>
              <w:spacing w:line="360" w:lineRule="auto"/>
              <w:rPr>
                <w:b/>
                <w:bCs/>
                <w:sz w:val="26"/>
                <w:szCs w:val="26"/>
                <w:rtl/>
              </w:rPr>
            </w:pPr>
            <w:r w:rsidRPr="004668AD">
              <w:rPr>
                <w:rFonts w:hint="cs"/>
                <w:b/>
                <w:bCs/>
                <w:sz w:val="26"/>
                <w:szCs w:val="26"/>
                <w:rtl/>
              </w:rPr>
              <w:t xml:space="preserve">3. באסם שלאלדה </w:t>
            </w:r>
          </w:p>
          <w:p w14:paraId="765A4D12" w14:textId="77777777" w:rsidR="007F4C9B" w:rsidRPr="004668AD" w:rsidRDefault="007F4C9B">
            <w:pPr>
              <w:spacing w:line="360" w:lineRule="auto"/>
              <w:rPr>
                <w:b/>
                <w:bCs/>
                <w:sz w:val="26"/>
                <w:szCs w:val="26"/>
                <w:rtl/>
              </w:rPr>
            </w:pPr>
          </w:p>
          <w:p w14:paraId="014BA860" w14:textId="77777777" w:rsidR="007F4C9B" w:rsidRPr="004668AD" w:rsidRDefault="004668AD">
            <w:pPr>
              <w:spacing w:line="360" w:lineRule="auto"/>
              <w:rPr>
                <w:b/>
                <w:bCs/>
                <w:sz w:val="26"/>
                <w:szCs w:val="26"/>
                <w:rtl/>
              </w:rPr>
            </w:pPr>
            <w:r w:rsidRPr="004668AD">
              <w:rPr>
                <w:rFonts w:hint="cs"/>
                <w:b/>
                <w:bCs/>
                <w:sz w:val="26"/>
                <w:szCs w:val="26"/>
                <w:rtl/>
              </w:rPr>
              <w:t xml:space="preserve">4. מוחמד אבו חדיר </w:t>
            </w:r>
          </w:p>
          <w:p w14:paraId="4E870FAA" w14:textId="77777777" w:rsidR="007F4C9B" w:rsidRPr="004668AD" w:rsidRDefault="004668AD">
            <w:pPr>
              <w:spacing w:line="360" w:lineRule="auto"/>
              <w:rPr>
                <w:b/>
                <w:bCs/>
                <w:sz w:val="26"/>
                <w:szCs w:val="26"/>
                <w:rtl/>
              </w:rPr>
            </w:pPr>
            <w:r w:rsidRPr="004668AD">
              <w:rPr>
                <w:rFonts w:hint="cs"/>
                <w:b/>
                <w:bCs/>
                <w:sz w:val="26"/>
                <w:szCs w:val="26"/>
                <w:rtl/>
              </w:rPr>
              <w:t>נאשם 4 ע"י ב"כ עו"ד רמי עותמאן</w:t>
            </w:r>
          </w:p>
        </w:tc>
      </w:tr>
    </w:tbl>
    <w:bookmarkEnd w:id="2"/>
    <w:p w14:paraId="3890CC6F" w14:textId="77777777" w:rsidR="007F4C9B" w:rsidRPr="004668AD" w:rsidRDefault="004668AD">
      <w:pPr>
        <w:spacing w:line="360" w:lineRule="auto"/>
        <w:jc w:val="both"/>
        <w:rPr>
          <w:rFonts w:ascii="David" w:hAnsi="David"/>
          <w:sz w:val="2"/>
          <w:szCs w:val="2"/>
        </w:rPr>
      </w:pPr>
      <w:r w:rsidRPr="004668AD">
        <w:rPr>
          <w:rFonts w:hint="cs"/>
          <w:sz w:val="2"/>
          <w:szCs w:val="2"/>
          <w:rtl/>
        </w:rPr>
        <w:t>&lt;#1#&gt;</w:t>
      </w:r>
    </w:p>
    <w:p w14:paraId="25FF87D5" w14:textId="77777777" w:rsidR="005033CB" w:rsidRPr="004668AD" w:rsidRDefault="005033CB" w:rsidP="005033CB">
      <w:pPr>
        <w:spacing w:after="120" w:line="240" w:lineRule="exact"/>
        <w:ind w:left="283" w:hanging="283"/>
        <w:jc w:val="both"/>
        <w:rPr>
          <w:rFonts w:ascii="FrankRuehl" w:hAnsi="FrankRuehl" w:cs="FrankRuehl"/>
          <w:rtl/>
        </w:rPr>
      </w:pPr>
    </w:p>
    <w:p w14:paraId="570AB11F" w14:textId="77777777" w:rsidR="005033CB" w:rsidRPr="005033CB" w:rsidRDefault="005033CB" w:rsidP="005033CB">
      <w:pPr>
        <w:spacing w:after="120" w:line="240" w:lineRule="exact"/>
        <w:ind w:left="283" w:hanging="283"/>
        <w:jc w:val="both"/>
        <w:rPr>
          <w:rFonts w:ascii="FrankRuehl" w:hAnsi="FrankRuehl" w:cs="FrankRuehl"/>
          <w:rtl/>
        </w:rPr>
      </w:pPr>
      <w:r w:rsidRPr="005033CB">
        <w:rPr>
          <w:rFonts w:ascii="FrankRuehl" w:hAnsi="FrankRuehl" w:cs="FrankRuehl"/>
          <w:rtl/>
        </w:rPr>
        <w:t xml:space="preserve">חקיקה שאוזכרה: </w:t>
      </w:r>
    </w:p>
    <w:p w14:paraId="5039DBAF" w14:textId="77777777" w:rsidR="005033CB" w:rsidRPr="005033CB" w:rsidRDefault="005033CB" w:rsidP="005033CB">
      <w:pPr>
        <w:spacing w:after="120" w:line="240" w:lineRule="exact"/>
        <w:ind w:left="283" w:hanging="283"/>
        <w:jc w:val="both"/>
        <w:rPr>
          <w:rFonts w:ascii="FrankRuehl" w:hAnsi="FrankRuehl" w:cs="FrankRuehl"/>
          <w:rtl/>
        </w:rPr>
      </w:pPr>
      <w:hyperlink r:id="rId6" w:history="1">
        <w:r w:rsidRPr="005033CB">
          <w:rPr>
            <w:rFonts w:ascii="FrankRuehl" w:hAnsi="FrankRuehl" w:cs="FrankRuehl"/>
            <w:color w:val="0000FF"/>
            <w:u w:val="single"/>
            <w:rtl/>
          </w:rPr>
          <w:t>חוק העונשין, תשל"ז-1977</w:t>
        </w:r>
      </w:hyperlink>
      <w:r w:rsidRPr="005033CB">
        <w:rPr>
          <w:rFonts w:ascii="FrankRuehl" w:hAnsi="FrankRuehl" w:cs="FrankRuehl"/>
          <w:rtl/>
        </w:rPr>
        <w:t xml:space="preserve">: סע'  </w:t>
      </w:r>
      <w:hyperlink r:id="rId7" w:history="1">
        <w:r w:rsidRPr="005033CB">
          <w:rPr>
            <w:rFonts w:ascii="FrankRuehl" w:hAnsi="FrankRuehl" w:cs="FrankRuehl"/>
            <w:color w:val="0000FF"/>
            <w:u w:val="single"/>
            <w:rtl/>
          </w:rPr>
          <w:t>144 (א)</w:t>
        </w:r>
      </w:hyperlink>
      <w:r w:rsidRPr="005033CB">
        <w:rPr>
          <w:rFonts w:ascii="FrankRuehl" w:hAnsi="FrankRuehl" w:cs="FrankRuehl"/>
          <w:rtl/>
        </w:rPr>
        <w:t xml:space="preserve">, </w:t>
      </w:r>
      <w:hyperlink r:id="rId8" w:history="1">
        <w:r w:rsidRPr="005033CB">
          <w:rPr>
            <w:rFonts w:ascii="FrankRuehl" w:hAnsi="FrankRuehl" w:cs="FrankRuehl"/>
            <w:color w:val="0000FF"/>
            <w:u w:val="single"/>
            <w:rtl/>
          </w:rPr>
          <w:t>244</w:t>
        </w:r>
      </w:hyperlink>
    </w:p>
    <w:p w14:paraId="56ADB837" w14:textId="77777777" w:rsidR="005033CB" w:rsidRPr="005033CB" w:rsidRDefault="005033CB" w:rsidP="005033CB">
      <w:pPr>
        <w:jc w:val="center"/>
        <w:rPr>
          <w:rFonts w:ascii="Arial" w:hAnsi="Arial" w:cs="FrankRuehl"/>
          <w:sz w:val="50"/>
          <w:szCs w:val="50"/>
          <w:rtl/>
        </w:rPr>
      </w:pPr>
    </w:p>
    <w:p w14:paraId="6181088B" w14:textId="77777777" w:rsidR="005033CB" w:rsidRPr="004668AD" w:rsidRDefault="005033CB" w:rsidP="005033CB">
      <w:pPr>
        <w:jc w:val="center"/>
        <w:rPr>
          <w:rFonts w:ascii="Arial" w:hAnsi="Arial" w:cs="FrankRuehl"/>
          <w:b/>
          <w:bCs/>
          <w:sz w:val="50"/>
          <w:szCs w:val="50"/>
          <w:u w:val="single"/>
          <w:rtl/>
        </w:rPr>
      </w:pPr>
      <w:bookmarkStart w:id="3" w:name="PsakDin"/>
      <w:r w:rsidRPr="004668AD">
        <w:rPr>
          <w:rFonts w:ascii="Arial" w:hAnsi="Arial" w:cs="FrankRuehl"/>
          <w:b/>
          <w:bCs/>
          <w:sz w:val="50"/>
          <w:szCs w:val="50"/>
          <w:u w:val="single"/>
          <w:rtl/>
        </w:rPr>
        <w:t>גזר דין</w:t>
      </w:r>
    </w:p>
    <w:bookmarkEnd w:id="3"/>
    <w:p w14:paraId="2E31B249" w14:textId="77777777" w:rsidR="007F4C9B" w:rsidRDefault="005033CB" w:rsidP="005033CB">
      <w:pPr>
        <w:spacing w:line="360" w:lineRule="auto"/>
        <w:rPr>
          <w:rFonts w:cs="FrankRuehl"/>
          <w:spacing w:val="22"/>
          <w:sz w:val="28"/>
          <w:szCs w:val="28"/>
          <w:rtl/>
        </w:rPr>
      </w:pPr>
      <w:r>
        <w:rPr>
          <w:rFonts w:ascii="Arial" w:hAnsi="Arial" w:cs="FrankRuehl" w:hint="cs"/>
          <w:b/>
          <w:bCs/>
          <w:sz w:val="50"/>
          <w:szCs w:val="50"/>
          <w:u w:val="single"/>
          <w:rtl/>
        </w:rPr>
        <w:t>בעניינו של נאשם 4</w:t>
      </w:r>
    </w:p>
    <w:p w14:paraId="439162AD" w14:textId="77777777" w:rsidR="007F4C9B" w:rsidRDefault="004668AD">
      <w:pPr>
        <w:spacing w:line="360" w:lineRule="auto"/>
        <w:jc w:val="both"/>
        <w:rPr>
          <w:rFonts w:cs="FrankRuehl"/>
          <w:spacing w:val="22"/>
          <w:sz w:val="28"/>
          <w:szCs w:val="28"/>
          <w:rtl/>
        </w:rPr>
      </w:pPr>
      <w:r>
        <w:rPr>
          <w:rFonts w:cs="FrankRuehl" w:hint="cs"/>
          <w:spacing w:val="22"/>
          <w:sz w:val="28"/>
          <w:szCs w:val="28"/>
          <w:rtl/>
        </w:rPr>
        <w:t>1.</w:t>
      </w:r>
      <w:r>
        <w:rPr>
          <w:rFonts w:cs="FrankRuehl" w:hint="cs"/>
          <w:spacing w:val="22"/>
          <w:sz w:val="28"/>
          <w:szCs w:val="28"/>
          <w:rtl/>
        </w:rPr>
        <w:tab/>
      </w:r>
      <w:bookmarkStart w:id="4" w:name="ABSTRACT_START"/>
      <w:bookmarkEnd w:id="4"/>
      <w:r>
        <w:rPr>
          <w:rFonts w:cs="FrankRuehl" w:hint="cs"/>
          <w:spacing w:val="22"/>
          <w:sz w:val="28"/>
          <w:szCs w:val="28"/>
          <w:rtl/>
        </w:rPr>
        <w:t xml:space="preserve">הנאשם הורשע על פי הודאתו בעבירה של החזקת נשק לפי </w:t>
      </w:r>
      <w:hyperlink r:id="rId9" w:history="1">
        <w:r w:rsidR="005033CB" w:rsidRPr="005033CB">
          <w:rPr>
            <w:rFonts w:cs="FrankRuehl"/>
            <w:color w:val="0000FF"/>
            <w:spacing w:val="22"/>
            <w:sz w:val="28"/>
            <w:szCs w:val="28"/>
            <w:u w:val="single"/>
            <w:rtl/>
          </w:rPr>
          <w:t>סעיף 144 (א)</w:t>
        </w:r>
      </w:hyperlink>
      <w:r>
        <w:rPr>
          <w:rFonts w:cs="FrankRuehl" w:hint="cs"/>
          <w:spacing w:val="22"/>
          <w:sz w:val="28"/>
          <w:szCs w:val="28"/>
          <w:rtl/>
        </w:rPr>
        <w:t xml:space="preserve"> ל</w:t>
      </w:r>
      <w:hyperlink r:id="rId10" w:history="1">
        <w:r w:rsidRPr="004668AD">
          <w:rPr>
            <w:rFonts w:cs="FrankRuehl"/>
            <w:color w:val="0000FF"/>
            <w:spacing w:val="22"/>
            <w:sz w:val="28"/>
            <w:szCs w:val="28"/>
            <w:u w:val="single"/>
            <w:rtl/>
          </w:rPr>
          <w:t>חוק העונשין</w:t>
        </w:r>
      </w:hyperlink>
      <w:r>
        <w:rPr>
          <w:rFonts w:cs="FrankRuehl" w:hint="cs"/>
          <w:spacing w:val="22"/>
          <w:sz w:val="28"/>
          <w:szCs w:val="28"/>
          <w:rtl/>
        </w:rPr>
        <w:t xml:space="preserve"> תשל"ז - 1977, ובעבירת שיבוש לפי </w:t>
      </w:r>
      <w:hyperlink r:id="rId11" w:history="1">
        <w:r w:rsidR="005033CB" w:rsidRPr="005033CB">
          <w:rPr>
            <w:rFonts w:cs="FrankRuehl"/>
            <w:color w:val="0000FF"/>
            <w:spacing w:val="22"/>
            <w:sz w:val="28"/>
            <w:szCs w:val="28"/>
            <w:u w:val="single"/>
            <w:rtl/>
          </w:rPr>
          <w:t>סעיף 244</w:t>
        </w:r>
      </w:hyperlink>
      <w:r>
        <w:rPr>
          <w:rFonts w:cs="FrankRuehl" w:hint="cs"/>
          <w:spacing w:val="22"/>
          <w:sz w:val="28"/>
          <w:szCs w:val="28"/>
          <w:rtl/>
        </w:rPr>
        <w:t xml:space="preserve"> לחוק. מדובר באירוע שהתרחש בחודש מאי 2014. אחרים, שעשו שימוש שלא כדין ברובה מסוג קרלו, ביקשו מהנאשם להסתיר את הנשק, זאת לאחר פנייתו של אחד המעורבים אל הנאשם 4. יצוין כבר בשלב זה כי לנאשם 4 לא מיוחסת מעורבות או מודעות לשימוש שנעשה בנשק. הנאשם החביא את הנשק בחלקת אדמה הסמוכה לבית משפחתו. בשלב מסוים, משהבחין אביו של הנאשם בשינוי </w:t>
      </w:r>
      <w:r>
        <w:rPr>
          <w:rFonts w:cs="FrankRuehl" w:hint="cs"/>
          <w:spacing w:val="22"/>
          <w:sz w:val="28"/>
          <w:szCs w:val="28"/>
          <w:rtl/>
        </w:rPr>
        <w:lastRenderedPageBreak/>
        <w:t xml:space="preserve">התנהגותו של הנאשם, שיתף הנאשם את אביו במעשיו, האב הזעיק את המשטרה והסגיר לידיה את  הנשק. </w:t>
      </w:r>
    </w:p>
    <w:p w14:paraId="3B835D9D" w14:textId="77777777" w:rsidR="007F4C9B" w:rsidRDefault="007F4C9B">
      <w:pPr>
        <w:spacing w:line="360" w:lineRule="auto"/>
        <w:jc w:val="both"/>
        <w:rPr>
          <w:rFonts w:cs="FrankRuehl"/>
          <w:spacing w:val="22"/>
          <w:sz w:val="28"/>
          <w:szCs w:val="28"/>
          <w:rtl/>
        </w:rPr>
      </w:pPr>
      <w:bookmarkStart w:id="5" w:name="ABSTRACT_END"/>
      <w:bookmarkEnd w:id="5"/>
    </w:p>
    <w:p w14:paraId="39AB36EA" w14:textId="77777777" w:rsidR="007F4C9B" w:rsidRDefault="004668AD">
      <w:pPr>
        <w:spacing w:line="360" w:lineRule="auto"/>
        <w:jc w:val="both"/>
        <w:rPr>
          <w:rFonts w:cs="FrankRuehl"/>
          <w:spacing w:val="22"/>
          <w:sz w:val="28"/>
          <w:szCs w:val="28"/>
          <w:rtl/>
        </w:rPr>
      </w:pPr>
      <w:r>
        <w:rPr>
          <w:rFonts w:cs="FrankRuehl" w:hint="cs"/>
          <w:spacing w:val="22"/>
          <w:sz w:val="28"/>
          <w:szCs w:val="28"/>
          <w:rtl/>
        </w:rPr>
        <w:t>2.</w:t>
      </w:r>
      <w:r>
        <w:rPr>
          <w:rFonts w:cs="FrankRuehl" w:hint="cs"/>
          <w:spacing w:val="22"/>
          <w:sz w:val="28"/>
          <w:szCs w:val="28"/>
          <w:rtl/>
        </w:rPr>
        <w:tab/>
        <w:t xml:space="preserve">הנאשם כבן 23, אין בעברו הרשעות קודמות. לטענת המאשימה, מדובר במעשים חמורים. הערך המוגן הנו פגיעה בשלום הגוף ובטחון הציבור, ובהחזקת נשק שלא בהיתר טמונה סכנה חמורה לציבור. נטען כי מתחם העונש במקרה זה נע בין 8 ועד 20 חודשי מאסר בפועל, ומיקום עונשו של הנאשם אמור להיות ברף העליון של השליש התחתון של המתחם המוצע. מנגד, טען הסנגור כי הנאשם החזיק בנשק פחות מיממה, לא ניתן היה לעשות שימוש בנשק שכן היה נטול תחמושת, אביו של הנאשם יידע את המשטרה בדבר הימצאות הנשק </w:t>
      </w:r>
      <w:r>
        <w:rPr>
          <w:rFonts w:cs="FrankRuehl"/>
          <w:spacing w:val="22"/>
          <w:sz w:val="28"/>
          <w:szCs w:val="28"/>
          <w:rtl/>
        </w:rPr>
        <w:t>–</w:t>
      </w:r>
      <w:r>
        <w:rPr>
          <w:rFonts w:cs="FrankRuehl" w:hint="cs"/>
          <w:spacing w:val="22"/>
          <w:sz w:val="28"/>
          <w:szCs w:val="28"/>
          <w:rtl/>
        </w:rPr>
        <w:t xml:space="preserve"> מעשה שהנו חריג ויש לעודדו. עוד נטען כי הנאשם הנו בן למשפחה נורמטיבית, סיים לימודי משפטים בירדן, ולאור הרשעתו לא יוכל לעסוק במשפטים במדינת ישראל. ההרשעה מהווה ענישה בפני עצמה. מעשיו של הנאשם נבעו מהשפעה שלילית של חברים, ובאה הפנייה לתסקיר שירות המבחן שהמליץ על מאסר בעבודות שירות ומאסר מותנה, וכן לפסקי דין בהם הוטלה ענישה מקלה יחסית. </w:t>
      </w:r>
    </w:p>
    <w:p w14:paraId="7866718B" w14:textId="77777777" w:rsidR="007F4C9B" w:rsidRDefault="007F4C9B">
      <w:pPr>
        <w:spacing w:line="360" w:lineRule="auto"/>
        <w:jc w:val="both"/>
        <w:rPr>
          <w:rFonts w:cs="FrankRuehl"/>
          <w:spacing w:val="22"/>
          <w:sz w:val="28"/>
          <w:szCs w:val="28"/>
          <w:rtl/>
        </w:rPr>
      </w:pPr>
    </w:p>
    <w:p w14:paraId="0D1EC6BA" w14:textId="77777777" w:rsidR="007F4C9B" w:rsidRDefault="004668AD">
      <w:pPr>
        <w:spacing w:line="360" w:lineRule="auto"/>
        <w:jc w:val="both"/>
        <w:rPr>
          <w:rFonts w:cs="FrankRuehl"/>
          <w:spacing w:val="22"/>
          <w:sz w:val="28"/>
          <w:szCs w:val="28"/>
          <w:rtl/>
        </w:rPr>
      </w:pPr>
      <w:r>
        <w:rPr>
          <w:rFonts w:cs="FrankRuehl" w:hint="cs"/>
          <w:spacing w:val="22"/>
          <w:sz w:val="28"/>
          <w:szCs w:val="28"/>
          <w:rtl/>
        </w:rPr>
        <w:t>3.</w:t>
      </w:r>
      <w:r>
        <w:rPr>
          <w:rFonts w:cs="FrankRuehl" w:hint="cs"/>
          <w:spacing w:val="22"/>
          <w:sz w:val="28"/>
          <w:szCs w:val="28"/>
          <w:rtl/>
        </w:rPr>
        <w:tab/>
        <w:t xml:space="preserve">בתסקיר שירות המבחן מפורט כי הנאשם הביע חרטה וקיבל אחריות למיוחס לו גם לפני שירות המבחן. לדבריו, הוא פעל מתוך רצון לסייע לאחר ללא מודעות למעורבותם של אחרים באירועים בהם לקחו חלק. שירות המבחן העריך כי רמת הסיכון העולה מהנאשם להישנות התנהגות עבריינית נוספת הנה בדרגת חומרה נמוכה ומשפחתו הנורמטיבית מסייעת בכך. גם לפנינו הביע הנאשם חרטה וצער על מעשיו. </w:t>
      </w:r>
    </w:p>
    <w:p w14:paraId="70BA9054" w14:textId="77777777" w:rsidR="007F4C9B" w:rsidRDefault="007F4C9B">
      <w:pPr>
        <w:spacing w:line="360" w:lineRule="auto"/>
        <w:jc w:val="both"/>
        <w:rPr>
          <w:rFonts w:cs="FrankRuehl"/>
          <w:spacing w:val="22"/>
          <w:sz w:val="28"/>
          <w:szCs w:val="28"/>
          <w:rtl/>
        </w:rPr>
      </w:pPr>
    </w:p>
    <w:p w14:paraId="403FE0A6" w14:textId="77777777" w:rsidR="007F4C9B" w:rsidRDefault="004668AD">
      <w:pPr>
        <w:spacing w:line="360" w:lineRule="auto"/>
        <w:jc w:val="both"/>
        <w:rPr>
          <w:rFonts w:cs="Miriam"/>
          <w:spacing w:val="22"/>
          <w:sz w:val="22"/>
          <w:szCs w:val="22"/>
          <w:rtl/>
        </w:rPr>
      </w:pPr>
      <w:r>
        <w:rPr>
          <w:rFonts w:cs="FrankRuehl"/>
          <w:spacing w:val="22"/>
          <w:sz w:val="28"/>
          <w:szCs w:val="28"/>
          <w:rtl/>
        </w:rPr>
        <w:tab/>
      </w:r>
      <w:r>
        <w:rPr>
          <w:rFonts w:cs="Miriam" w:hint="cs"/>
          <w:spacing w:val="22"/>
          <w:sz w:val="22"/>
          <w:szCs w:val="22"/>
          <w:rtl/>
        </w:rPr>
        <w:t>דיון</w:t>
      </w:r>
    </w:p>
    <w:p w14:paraId="6D9A1D23" w14:textId="77777777" w:rsidR="007F4C9B" w:rsidRDefault="004668AD">
      <w:pPr>
        <w:spacing w:line="360" w:lineRule="auto"/>
        <w:jc w:val="both"/>
        <w:rPr>
          <w:rFonts w:cs="FrankRuehl"/>
          <w:spacing w:val="22"/>
          <w:sz w:val="28"/>
          <w:szCs w:val="28"/>
          <w:rtl/>
        </w:rPr>
      </w:pPr>
      <w:r>
        <w:rPr>
          <w:rFonts w:cs="FrankRuehl" w:hint="cs"/>
          <w:spacing w:val="22"/>
          <w:sz w:val="28"/>
          <w:szCs w:val="28"/>
          <w:rtl/>
        </w:rPr>
        <w:t>4.</w:t>
      </w:r>
      <w:r>
        <w:rPr>
          <w:rFonts w:cs="FrankRuehl" w:hint="cs"/>
          <w:spacing w:val="22"/>
          <w:sz w:val="28"/>
          <w:szCs w:val="28"/>
          <w:rtl/>
        </w:rPr>
        <w:tab/>
        <w:t xml:space="preserve">בענייננו, מקום שמדובר בהחזקת נשק שלא כדין, הערך המוגן הנו הצורך בהגנה על שלום הציבור ובטחונו. החזקת נשק יכולה להוביל לתוצאות בלתי צפויות שפגיעתן רעה. המתחם הראוי בגין שתי העבירות בהן הורשע הנאשם, המהוות אירוע אחד, הנו בן שישה חודשי מאסר ועד עשרים ושניים חודשי מאסר בפועל. לזכותו של הנאשם יש לציין את גילו הצעיר, עברו הנקי, תפקודו </w:t>
      </w:r>
      <w:r>
        <w:rPr>
          <w:rFonts w:cs="FrankRuehl" w:hint="cs"/>
          <w:spacing w:val="22"/>
          <w:sz w:val="28"/>
          <w:szCs w:val="28"/>
          <w:rtl/>
        </w:rPr>
        <w:lastRenderedPageBreak/>
        <w:t xml:space="preserve">הנורמטיבי, לימודיו שיתכן שירדו לטמיון וחשיפה מהירה של החזקת הנשק באמצעות אביו. אלו נסיבות המוליכות לכך שניתן לקבוע את עונשו של הנאשם בחלקו התחתון של המתחם. יחד עם זאת, בהיעדר נסיבות חריגות, העונש בגין מעשים אלה אמור להיות משמעותי ולשגר מסר של הרתעה. הפסיקה נקטה במדיניות החמרה בעבירות נשק וכלפי הזמינות הבלתי נסבלת של נשק חם בידי מי שאינם מורשים לכך על הפוטנציאל הטמון בכך. </w:t>
      </w:r>
    </w:p>
    <w:p w14:paraId="4C5CC9F1" w14:textId="77777777" w:rsidR="007F4C9B" w:rsidRDefault="007F4C9B">
      <w:pPr>
        <w:spacing w:line="360" w:lineRule="auto"/>
        <w:jc w:val="both"/>
        <w:rPr>
          <w:rFonts w:cs="FrankRuehl"/>
          <w:spacing w:val="22"/>
          <w:sz w:val="28"/>
          <w:szCs w:val="28"/>
          <w:rtl/>
        </w:rPr>
      </w:pPr>
    </w:p>
    <w:p w14:paraId="1EBBF0B4" w14:textId="77777777" w:rsidR="007F4C9B" w:rsidRDefault="004668AD">
      <w:pPr>
        <w:spacing w:line="360" w:lineRule="auto"/>
        <w:jc w:val="both"/>
        <w:rPr>
          <w:rFonts w:cs="FrankRuehl"/>
          <w:spacing w:val="22"/>
          <w:sz w:val="28"/>
          <w:szCs w:val="28"/>
          <w:rtl/>
        </w:rPr>
      </w:pPr>
      <w:r>
        <w:rPr>
          <w:rFonts w:cs="FrankRuehl" w:hint="cs"/>
          <w:spacing w:val="22"/>
          <w:sz w:val="28"/>
          <w:szCs w:val="28"/>
          <w:rtl/>
        </w:rPr>
        <w:t>5.</w:t>
      </w:r>
      <w:r>
        <w:rPr>
          <w:rFonts w:cs="FrankRuehl" w:hint="cs"/>
          <w:spacing w:val="22"/>
          <w:sz w:val="28"/>
          <w:szCs w:val="28"/>
          <w:rtl/>
        </w:rPr>
        <w:tab/>
        <w:t xml:space="preserve">התוצאה היא שאנו גוזרים על הנאשם מאסר בפועל לתקופה של  שבעה חודשים בניכוי תקופת מעצרו. בנוסף, אנו גוזרים על הנאשם מאסר על תנאי לתקופה של 4 חודשים, והתנאי הוא שהנאשם לא יעבור עבירה מסוג פשע בתוך 3 שנים מיום שחרורו ממאסר. </w:t>
      </w:r>
    </w:p>
    <w:p w14:paraId="2B0DEE2D" w14:textId="77777777" w:rsidR="007F4C9B" w:rsidRDefault="007F4C9B">
      <w:pPr>
        <w:spacing w:line="360" w:lineRule="auto"/>
        <w:jc w:val="both"/>
        <w:rPr>
          <w:rFonts w:cs="FrankRuehl"/>
          <w:spacing w:val="22"/>
          <w:sz w:val="28"/>
          <w:szCs w:val="28"/>
          <w:rtl/>
        </w:rPr>
      </w:pPr>
    </w:p>
    <w:p w14:paraId="50770472" w14:textId="77777777" w:rsidR="007F4C9B" w:rsidRDefault="004668AD">
      <w:pPr>
        <w:rPr>
          <w:rFonts w:cs="FrankRuehl"/>
          <w:spacing w:val="22"/>
          <w:sz w:val="28"/>
          <w:szCs w:val="28"/>
          <w:rtl/>
        </w:rPr>
      </w:pPr>
      <w:r>
        <w:rPr>
          <w:rFonts w:cs="FrankRuehl"/>
          <w:spacing w:val="22"/>
          <w:sz w:val="28"/>
          <w:szCs w:val="28"/>
          <w:rtl/>
        </w:rPr>
        <w:tab/>
      </w:r>
      <w:r>
        <w:rPr>
          <w:rFonts w:cs="FrankRuehl" w:hint="cs"/>
          <w:spacing w:val="22"/>
          <w:sz w:val="28"/>
          <w:szCs w:val="28"/>
          <w:rtl/>
        </w:rPr>
        <w:t xml:space="preserve">זכות ערעור לבית המשפט העליון בתוך 45 יום מהיום. </w:t>
      </w:r>
    </w:p>
    <w:p w14:paraId="00F269ED" w14:textId="77777777" w:rsidR="007F4C9B" w:rsidRDefault="007F4C9B">
      <w:pPr>
        <w:rPr>
          <w:rFonts w:cs="FrankRuehl"/>
          <w:spacing w:val="22"/>
          <w:sz w:val="28"/>
          <w:szCs w:val="28"/>
          <w:rtl/>
        </w:rPr>
      </w:pPr>
    </w:p>
    <w:p w14:paraId="6ED65AC6" w14:textId="77777777" w:rsidR="007F4C9B" w:rsidRDefault="007F4C9B">
      <w:pPr>
        <w:rPr>
          <w:rFonts w:cs="FrankRuehl"/>
          <w:spacing w:val="22"/>
          <w:sz w:val="28"/>
          <w:szCs w:val="28"/>
          <w:rtl/>
        </w:rPr>
      </w:pPr>
    </w:p>
    <w:p w14:paraId="3065482E" w14:textId="77777777" w:rsidR="007F4C9B" w:rsidRDefault="004668AD">
      <w:pPr>
        <w:spacing w:line="360" w:lineRule="auto"/>
        <w:ind w:firstLine="720"/>
        <w:jc w:val="both"/>
        <w:rPr>
          <w:rFonts w:ascii="Arial" w:hAnsi="Arial" w:cs="FrankRuehl"/>
          <w:spacing w:val="22"/>
          <w:sz w:val="28"/>
          <w:szCs w:val="28"/>
          <w:rtl/>
        </w:rPr>
      </w:pPr>
      <w:r>
        <w:rPr>
          <w:rFonts w:ascii="Arial" w:hAnsi="Arial" w:cs="FrankRuehl"/>
          <w:spacing w:val="22"/>
          <w:sz w:val="28"/>
          <w:szCs w:val="28"/>
          <w:rtl/>
        </w:rPr>
        <w:t xml:space="preserve">ניתן היום,  כ"ד אלול תשע"ה, 08 ספטמבר 2015, במעמד ב"כ </w:t>
      </w:r>
      <w:r>
        <w:rPr>
          <w:rFonts w:ascii="Arial" w:hAnsi="Arial" w:cs="FrankRuehl" w:hint="cs"/>
          <w:spacing w:val="22"/>
          <w:sz w:val="28"/>
          <w:szCs w:val="28"/>
          <w:rtl/>
        </w:rPr>
        <w:t xml:space="preserve">המאשימה, ב"כ הנאשם והנאשם עצמו. </w:t>
      </w:r>
    </w:p>
    <w:p w14:paraId="388EE175" w14:textId="77777777" w:rsidR="007F4C9B" w:rsidRDefault="007F4C9B">
      <w:pPr>
        <w:spacing w:line="360" w:lineRule="auto"/>
        <w:jc w:val="both"/>
        <w:rPr>
          <w:rFonts w:ascii="Arial" w:hAnsi="Arial"/>
          <w:rtl/>
        </w:rPr>
      </w:pPr>
    </w:p>
    <w:p w14:paraId="5C6C09B0" w14:textId="77777777" w:rsidR="007F4C9B" w:rsidRDefault="007F4C9B">
      <w:pPr>
        <w:jc w:val="center"/>
        <w:rPr>
          <w:rtl/>
        </w:rPr>
      </w:pPr>
    </w:p>
    <w:p w14:paraId="37BC8A04" w14:textId="77777777" w:rsidR="007F4C9B" w:rsidRPr="004668AD" w:rsidRDefault="004668AD">
      <w:pPr>
        <w:jc w:val="center"/>
        <w:rPr>
          <w:color w:val="FFFFFF"/>
          <w:sz w:val="2"/>
          <w:szCs w:val="2"/>
          <w:rtl/>
        </w:rPr>
      </w:pPr>
      <w:r w:rsidRPr="004668AD">
        <w:rPr>
          <w:color w:val="FFFFFF"/>
          <w:sz w:val="2"/>
          <w:szCs w:val="2"/>
          <w:rtl/>
        </w:rPr>
        <w:t>5129371</w:t>
      </w:r>
    </w:p>
    <w:tbl>
      <w:tblPr>
        <w:bidiVisual/>
        <w:tblW w:w="0" w:type="auto"/>
        <w:tblLayout w:type="fixed"/>
        <w:tblLook w:val="01E0" w:firstRow="1" w:lastRow="1" w:firstColumn="1" w:lastColumn="1" w:noHBand="0" w:noVBand="0"/>
      </w:tblPr>
      <w:tblGrid>
        <w:gridCol w:w="2654"/>
        <w:gridCol w:w="236"/>
        <w:gridCol w:w="2284"/>
        <w:gridCol w:w="236"/>
        <w:gridCol w:w="2284"/>
      </w:tblGrid>
      <w:tr w:rsidR="007F4C9B" w14:paraId="53CB90B8" w14:textId="77777777">
        <w:tc>
          <w:tcPr>
            <w:tcW w:w="2654" w:type="dxa"/>
            <w:tcBorders>
              <w:top w:val="nil"/>
              <w:left w:val="nil"/>
              <w:bottom w:val="single" w:sz="4" w:space="0" w:color="auto"/>
              <w:right w:val="nil"/>
            </w:tcBorders>
            <w:shd w:val="clear" w:color="auto" w:fill="auto"/>
            <w:vAlign w:val="center"/>
          </w:tcPr>
          <w:p w14:paraId="57079691" w14:textId="77777777" w:rsidR="007F4C9B" w:rsidRPr="004668AD" w:rsidRDefault="004668AD">
            <w:pPr>
              <w:jc w:val="center"/>
              <w:rPr>
                <w:rFonts w:ascii="Courier New" w:hAnsi="Courier New"/>
                <w:b/>
                <w:bCs/>
                <w:color w:val="FFFFFF"/>
                <w:sz w:val="2"/>
                <w:szCs w:val="2"/>
              </w:rPr>
            </w:pPr>
            <w:r w:rsidRPr="004668AD">
              <w:rPr>
                <w:rFonts w:ascii="Courier New" w:hAnsi="Courier New"/>
                <w:b/>
                <w:bCs/>
                <w:color w:val="FFFFFF"/>
                <w:sz w:val="2"/>
                <w:szCs w:val="2"/>
                <w:rtl/>
              </w:rPr>
              <w:t>54678313</w:t>
            </w:r>
          </w:p>
        </w:tc>
        <w:tc>
          <w:tcPr>
            <w:tcW w:w="236" w:type="dxa"/>
            <w:shd w:val="clear" w:color="auto" w:fill="auto"/>
            <w:vAlign w:val="center"/>
          </w:tcPr>
          <w:p w14:paraId="59280DB8" w14:textId="77777777" w:rsidR="007F4C9B" w:rsidRDefault="007F4C9B">
            <w:pPr>
              <w:jc w:val="center"/>
              <w:rPr>
                <w:rFonts w:ascii="Courier New" w:hAnsi="Courier New"/>
                <w:b/>
                <w:bCs/>
              </w:rPr>
            </w:pPr>
          </w:p>
        </w:tc>
        <w:tc>
          <w:tcPr>
            <w:tcW w:w="2284" w:type="dxa"/>
            <w:tcBorders>
              <w:top w:val="nil"/>
              <w:left w:val="nil"/>
              <w:bottom w:val="single" w:sz="4" w:space="0" w:color="auto"/>
              <w:right w:val="nil"/>
            </w:tcBorders>
            <w:shd w:val="clear" w:color="auto" w:fill="auto"/>
            <w:vAlign w:val="center"/>
          </w:tcPr>
          <w:p w14:paraId="70A32BE6" w14:textId="77777777" w:rsidR="007F4C9B" w:rsidRDefault="007F4C9B">
            <w:pPr>
              <w:jc w:val="center"/>
              <w:rPr>
                <w:rFonts w:ascii="Courier New" w:hAnsi="Courier New"/>
                <w:b/>
                <w:bCs/>
              </w:rPr>
            </w:pPr>
          </w:p>
        </w:tc>
        <w:tc>
          <w:tcPr>
            <w:tcW w:w="236" w:type="dxa"/>
            <w:shd w:val="clear" w:color="auto" w:fill="auto"/>
            <w:vAlign w:val="center"/>
          </w:tcPr>
          <w:p w14:paraId="3ED81183" w14:textId="77777777" w:rsidR="007F4C9B" w:rsidRDefault="007F4C9B">
            <w:pPr>
              <w:jc w:val="center"/>
              <w:rPr>
                <w:rFonts w:ascii="Courier New" w:hAnsi="Courier New"/>
                <w:b/>
                <w:bCs/>
              </w:rPr>
            </w:pPr>
          </w:p>
        </w:tc>
        <w:tc>
          <w:tcPr>
            <w:tcW w:w="2284" w:type="dxa"/>
            <w:tcBorders>
              <w:top w:val="nil"/>
              <w:left w:val="nil"/>
              <w:bottom w:val="single" w:sz="4" w:space="0" w:color="auto"/>
              <w:right w:val="nil"/>
            </w:tcBorders>
            <w:shd w:val="clear" w:color="auto" w:fill="auto"/>
            <w:vAlign w:val="center"/>
          </w:tcPr>
          <w:p w14:paraId="0224AB48" w14:textId="77777777" w:rsidR="007F4C9B" w:rsidRDefault="007F4C9B">
            <w:pPr>
              <w:jc w:val="center"/>
              <w:rPr>
                <w:rFonts w:ascii="Courier New" w:hAnsi="Courier New"/>
                <w:b/>
                <w:bCs/>
              </w:rPr>
            </w:pPr>
          </w:p>
        </w:tc>
      </w:tr>
      <w:tr w:rsidR="007F4C9B" w14:paraId="05DFDA34" w14:textId="77777777">
        <w:tc>
          <w:tcPr>
            <w:tcW w:w="2654" w:type="dxa"/>
            <w:tcBorders>
              <w:top w:val="single" w:sz="4" w:space="0" w:color="auto"/>
              <w:left w:val="nil"/>
              <w:bottom w:val="nil"/>
              <w:right w:val="nil"/>
            </w:tcBorders>
            <w:shd w:val="clear" w:color="auto" w:fill="auto"/>
          </w:tcPr>
          <w:p w14:paraId="437BB917" w14:textId="77777777" w:rsidR="007F4C9B" w:rsidRDefault="004668AD">
            <w:pPr>
              <w:spacing w:before="120" w:after="120"/>
              <w:jc w:val="center"/>
              <w:rPr>
                <w:b/>
                <w:bCs/>
                <w:noProof/>
                <w:sz w:val="28"/>
                <w:rtl/>
              </w:rPr>
            </w:pPr>
            <w:r>
              <w:rPr>
                <w:rFonts w:hint="cs"/>
                <w:b/>
                <w:bCs/>
                <w:noProof/>
                <w:sz w:val="28"/>
                <w:rtl/>
              </w:rPr>
              <w:t>רפי כרמל, שופט</w:t>
            </w:r>
          </w:p>
          <w:p w14:paraId="7C787474" w14:textId="77777777" w:rsidR="007F4C9B" w:rsidRDefault="004668AD">
            <w:pPr>
              <w:spacing w:before="120" w:after="120"/>
              <w:jc w:val="center"/>
              <w:rPr>
                <w:b/>
                <w:bCs/>
                <w:noProof/>
                <w:sz w:val="28"/>
              </w:rPr>
            </w:pPr>
            <w:r>
              <w:rPr>
                <w:rFonts w:hint="cs"/>
                <w:b/>
                <w:bCs/>
                <w:noProof/>
                <w:sz w:val="28"/>
                <w:rtl/>
              </w:rPr>
              <w:t>אב"ד</w:t>
            </w:r>
          </w:p>
        </w:tc>
        <w:tc>
          <w:tcPr>
            <w:tcW w:w="236" w:type="dxa"/>
            <w:shd w:val="clear" w:color="auto" w:fill="auto"/>
          </w:tcPr>
          <w:p w14:paraId="341882D3" w14:textId="77777777" w:rsidR="007F4C9B" w:rsidRDefault="007F4C9B">
            <w:pPr>
              <w:spacing w:before="120" w:after="120"/>
              <w:jc w:val="center"/>
              <w:rPr>
                <w:b/>
                <w:bCs/>
                <w:noProof/>
                <w:color w:val="FF0000"/>
                <w:sz w:val="28"/>
              </w:rPr>
            </w:pPr>
          </w:p>
        </w:tc>
        <w:tc>
          <w:tcPr>
            <w:tcW w:w="2284" w:type="dxa"/>
            <w:tcBorders>
              <w:top w:val="single" w:sz="4" w:space="0" w:color="auto"/>
              <w:left w:val="nil"/>
              <w:bottom w:val="nil"/>
              <w:right w:val="nil"/>
            </w:tcBorders>
            <w:shd w:val="clear" w:color="auto" w:fill="auto"/>
          </w:tcPr>
          <w:p w14:paraId="2B5F95B8" w14:textId="77777777" w:rsidR="007F4C9B" w:rsidRDefault="004668AD">
            <w:pPr>
              <w:spacing w:before="120" w:after="120"/>
              <w:jc w:val="center"/>
              <w:rPr>
                <w:b/>
                <w:bCs/>
                <w:sz w:val="28"/>
              </w:rPr>
            </w:pPr>
            <w:r>
              <w:rPr>
                <w:rFonts w:hint="cs"/>
                <w:b/>
                <w:bCs/>
                <w:sz w:val="28"/>
                <w:rtl/>
              </w:rPr>
              <w:t>כרמי מוסק, שופט</w:t>
            </w:r>
          </w:p>
        </w:tc>
        <w:tc>
          <w:tcPr>
            <w:tcW w:w="236" w:type="dxa"/>
            <w:shd w:val="clear" w:color="auto" w:fill="auto"/>
          </w:tcPr>
          <w:p w14:paraId="0CFF8F1C" w14:textId="77777777" w:rsidR="007F4C9B" w:rsidRDefault="007F4C9B">
            <w:pPr>
              <w:spacing w:before="120" w:after="120"/>
              <w:jc w:val="center"/>
              <w:rPr>
                <w:b/>
                <w:bCs/>
                <w:noProof/>
                <w:color w:val="FF0000"/>
                <w:sz w:val="28"/>
              </w:rPr>
            </w:pPr>
          </w:p>
        </w:tc>
        <w:tc>
          <w:tcPr>
            <w:tcW w:w="2284" w:type="dxa"/>
            <w:tcBorders>
              <w:top w:val="single" w:sz="4" w:space="0" w:color="auto"/>
              <w:left w:val="nil"/>
              <w:bottom w:val="nil"/>
              <w:right w:val="nil"/>
            </w:tcBorders>
            <w:shd w:val="clear" w:color="auto" w:fill="auto"/>
          </w:tcPr>
          <w:p w14:paraId="4321E1CA" w14:textId="77777777" w:rsidR="007F4C9B" w:rsidRDefault="004668AD">
            <w:pPr>
              <w:tabs>
                <w:tab w:val="center" w:pos="1039"/>
              </w:tabs>
              <w:spacing w:before="120" w:after="120"/>
              <w:rPr>
                <w:b/>
                <w:bCs/>
                <w:noProof/>
              </w:rPr>
            </w:pPr>
            <w:r>
              <w:rPr>
                <w:rFonts w:hint="cs"/>
                <w:b/>
                <w:bCs/>
                <w:rtl/>
              </w:rPr>
              <w:tab/>
            </w:r>
            <w:r>
              <w:rPr>
                <w:rFonts w:hint="cs"/>
                <w:b/>
                <w:bCs/>
                <w:sz w:val="28"/>
                <w:rtl/>
              </w:rPr>
              <w:t>שירלי רנר, שופטת</w:t>
            </w:r>
          </w:p>
        </w:tc>
      </w:tr>
    </w:tbl>
    <w:p w14:paraId="77C2ABDE" w14:textId="77777777" w:rsidR="007F4C9B" w:rsidRPr="005033CB" w:rsidRDefault="005033CB">
      <w:pPr>
        <w:jc w:val="center"/>
        <w:rPr>
          <w:color w:val="FFFFFF"/>
          <w:sz w:val="2"/>
          <w:szCs w:val="2"/>
          <w:rtl/>
        </w:rPr>
      </w:pPr>
      <w:r w:rsidRPr="005033CB">
        <w:rPr>
          <w:color w:val="FFFFFF"/>
          <w:sz w:val="2"/>
          <w:szCs w:val="2"/>
          <w:rtl/>
        </w:rPr>
        <w:t>5129371</w:t>
      </w:r>
    </w:p>
    <w:p w14:paraId="02485F95" w14:textId="77777777" w:rsidR="004668AD" w:rsidRPr="005033CB" w:rsidRDefault="005033CB" w:rsidP="004668AD">
      <w:pPr>
        <w:keepNext/>
        <w:rPr>
          <w:rFonts w:ascii="David" w:hAnsi="David"/>
          <w:color w:val="FFFFFF"/>
          <w:sz w:val="2"/>
          <w:szCs w:val="2"/>
          <w:rtl/>
        </w:rPr>
      </w:pPr>
      <w:r w:rsidRPr="005033CB">
        <w:rPr>
          <w:rFonts w:ascii="David" w:hAnsi="David"/>
          <w:color w:val="FFFFFF"/>
          <w:sz w:val="2"/>
          <w:szCs w:val="2"/>
          <w:rtl/>
        </w:rPr>
        <w:t>54678313</w:t>
      </w:r>
    </w:p>
    <w:p w14:paraId="2D879B64" w14:textId="77777777" w:rsidR="004668AD" w:rsidRPr="004668AD" w:rsidRDefault="004668AD" w:rsidP="004668AD">
      <w:pPr>
        <w:keepNext/>
        <w:rPr>
          <w:rFonts w:ascii="David" w:hAnsi="David"/>
          <w:color w:val="000000"/>
          <w:sz w:val="22"/>
          <w:szCs w:val="22"/>
          <w:rtl/>
        </w:rPr>
      </w:pPr>
      <w:r w:rsidRPr="004668AD">
        <w:rPr>
          <w:rFonts w:ascii="David" w:hAnsi="David"/>
          <w:color w:val="000000"/>
          <w:sz w:val="22"/>
          <w:szCs w:val="22"/>
          <w:rtl/>
        </w:rPr>
        <w:t>בית המשפט המחוזי בירושלים 54678313</w:t>
      </w:r>
    </w:p>
    <w:p w14:paraId="46611104" w14:textId="77777777" w:rsidR="004668AD" w:rsidRDefault="004668AD" w:rsidP="004668AD">
      <w:r w:rsidRPr="004668AD">
        <w:rPr>
          <w:color w:val="000000"/>
          <w:rtl/>
        </w:rPr>
        <w:t>נוסח מסמך זה כפוף לשינויי ניסוח ועריכה</w:t>
      </w:r>
    </w:p>
    <w:p w14:paraId="14D68E16" w14:textId="77777777" w:rsidR="004668AD" w:rsidRDefault="004668AD" w:rsidP="004668AD">
      <w:pPr>
        <w:rPr>
          <w:rtl/>
        </w:rPr>
      </w:pPr>
    </w:p>
    <w:p w14:paraId="0615AE59" w14:textId="77777777" w:rsidR="004668AD" w:rsidRDefault="004668AD" w:rsidP="004668A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08CE4355" w14:textId="77777777" w:rsidR="007F4C9B" w:rsidRPr="004668AD" w:rsidRDefault="007F4C9B" w:rsidP="005033CB">
      <w:pPr>
        <w:rPr>
          <w:color w:val="0000FF"/>
          <w:u w:val="single"/>
        </w:rPr>
      </w:pPr>
    </w:p>
    <w:sectPr w:rsidR="007F4C9B" w:rsidRPr="004668AD" w:rsidSect="005033CB">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9BAB8" w14:textId="77777777" w:rsidR="004664D3" w:rsidRDefault="004664D3">
      <w:r>
        <w:separator/>
      </w:r>
    </w:p>
  </w:endnote>
  <w:endnote w:type="continuationSeparator" w:id="0">
    <w:p w14:paraId="369CBE1B" w14:textId="77777777" w:rsidR="004664D3" w:rsidRDefault="0046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90B61" w14:textId="77777777" w:rsidR="005033CB" w:rsidRDefault="005033CB" w:rsidP="00503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867290" w14:textId="77777777" w:rsidR="007F4C9B" w:rsidRPr="005033CB" w:rsidRDefault="005033CB" w:rsidP="005033CB">
    <w:pPr>
      <w:pStyle w:val="a5"/>
      <w:pBdr>
        <w:top w:val="single" w:sz="4" w:space="1" w:color="auto"/>
        <w:between w:val="single" w:sz="4" w:space="0" w:color="auto"/>
      </w:pBdr>
      <w:spacing w:after="60"/>
      <w:jc w:val="center"/>
      <w:rPr>
        <w:rFonts w:ascii="FrankRuehl" w:hAnsi="FrankRuehl" w:cs="FrankRuehl"/>
        <w:color w:val="000000"/>
      </w:rPr>
    </w:pPr>
    <w:r w:rsidRPr="005033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23264" w14:textId="77777777" w:rsidR="005033CB" w:rsidRDefault="005033CB" w:rsidP="00503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4A86">
      <w:rPr>
        <w:rFonts w:ascii="FrankRuehl" w:hAnsi="FrankRuehl" w:cs="FrankRuehl"/>
        <w:noProof/>
        <w:rtl/>
      </w:rPr>
      <w:t>1</w:t>
    </w:r>
    <w:r>
      <w:rPr>
        <w:rFonts w:ascii="FrankRuehl" w:hAnsi="FrankRuehl" w:cs="FrankRuehl"/>
        <w:rtl/>
      </w:rPr>
      <w:fldChar w:fldCharType="end"/>
    </w:r>
  </w:p>
  <w:p w14:paraId="5CC41C7D" w14:textId="77777777" w:rsidR="007F4C9B" w:rsidRPr="005033CB" w:rsidRDefault="005033CB" w:rsidP="005033CB">
    <w:pPr>
      <w:pStyle w:val="a5"/>
      <w:pBdr>
        <w:top w:val="single" w:sz="4" w:space="1" w:color="auto"/>
        <w:between w:val="single" w:sz="4" w:space="0" w:color="auto"/>
      </w:pBdr>
      <w:spacing w:after="60"/>
      <w:jc w:val="center"/>
      <w:rPr>
        <w:rFonts w:ascii="FrankRuehl" w:hAnsi="FrankRuehl" w:cs="FrankRuehl"/>
        <w:color w:val="000000"/>
      </w:rPr>
    </w:pPr>
    <w:r w:rsidRPr="005033CB">
      <w:rPr>
        <w:rFonts w:ascii="FrankRuehl" w:hAnsi="FrankRuehl" w:cs="FrankRuehl"/>
        <w:color w:val="000000"/>
      </w:rPr>
      <w:pict w14:anchorId="3A88A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EEA43" w14:textId="77777777" w:rsidR="004664D3" w:rsidRDefault="004664D3">
      <w:r>
        <w:separator/>
      </w:r>
    </w:p>
  </w:footnote>
  <w:footnote w:type="continuationSeparator" w:id="0">
    <w:p w14:paraId="4D4A3A09" w14:textId="77777777" w:rsidR="004664D3" w:rsidRDefault="0046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4B07" w14:textId="77777777" w:rsidR="004668AD" w:rsidRPr="005033CB" w:rsidRDefault="005033CB" w:rsidP="005033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58351-07-14</w:t>
    </w:r>
    <w:r>
      <w:rPr>
        <w:rFonts w:ascii="David" w:hAnsi="David"/>
        <w:color w:val="000000"/>
        <w:sz w:val="22"/>
        <w:szCs w:val="22"/>
        <w:rtl/>
      </w:rPr>
      <w:tab/>
      <w:t xml:space="preserve"> מדינת ישראל נ' בשאר עביידי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CEF2C" w14:textId="77777777" w:rsidR="004668AD" w:rsidRPr="005033CB" w:rsidRDefault="005033CB" w:rsidP="005033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58351-07-14</w:t>
    </w:r>
    <w:r>
      <w:rPr>
        <w:rFonts w:ascii="David" w:hAnsi="David"/>
        <w:color w:val="000000"/>
        <w:sz w:val="22"/>
        <w:szCs w:val="22"/>
        <w:rtl/>
      </w:rPr>
      <w:tab/>
      <w:t xml:space="preserve"> מדינת ישראל נ' בשאר עביידי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4C9B"/>
    <w:rsid w:val="00053CD2"/>
    <w:rsid w:val="001370A0"/>
    <w:rsid w:val="00234A86"/>
    <w:rsid w:val="004664D3"/>
    <w:rsid w:val="004668AD"/>
    <w:rsid w:val="005033CB"/>
    <w:rsid w:val="007B438B"/>
    <w:rsid w:val="007F4C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C952D2"/>
  <w15:chartTrackingRefBased/>
  <w15:docId w15:val="{B1847B56-4980-486E-A039-0F385D58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4C9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F4C9B"/>
    <w:pPr>
      <w:tabs>
        <w:tab w:val="center" w:pos="4153"/>
        <w:tab w:val="right" w:pos="8306"/>
      </w:tabs>
    </w:pPr>
  </w:style>
  <w:style w:type="paragraph" w:styleId="a5">
    <w:name w:val="footer"/>
    <w:basedOn w:val="a"/>
    <w:rsid w:val="007F4C9B"/>
    <w:pPr>
      <w:tabs>
        <w:tab w:val="center" w:pos="4153"/>
        <w:tab w:val="right" w:pos="8306"/>
      </w:tabs>
    </w:pPr>
  </w:style>
  <w:style w:type="character" w:styleId="a6">
    <w:name w:val="page number"/>
    <w:basedOn w:val="a0"/>
    <w:rsid w:val="007F4C9B"/>
  </w:style>
  <w:style w:type="paragraph" w:customStyle="1" w:styleId="12">
    <w:name w:val="רגיל + ‏12 נק'"/>
    <w:aliases w:val="מיושר לשני הצדדים,מרווח בין שורות:  שורה וחצי"/>
    <w:basedOn w:val="a"/>
    <w:rsid w:val="007F4C9B"/>
    <w:rPr>
      <w:b/>
      <w:bCs/>
      <w:u w:val="single"/>
    </w:rPr>
  </w:style>
  <w:style w:type="character" w:customStyle="1" w:styleId="a4">
    <w:name w:val="כותרת עליונה תו"/>
    <w:link w:val="a3"/>
    <w:rsid w:val="007F4C9B"/>
    <w:rPr>
      <w:rFonts w:cs="David"/>
      <w:sz w:val="24"/>
      <w:szCs w:val="24"/>
      <w:lang w:val="en-US" w:eastAsia="en-US" w:bidi="he-IL"/>
    </w:rPr>
  </w:style>
  <w:style w:type="character" w:styleId="Hyperlink">
    <w:name w:val="Hyperlink"/>
    <w:basedOn w:val="a0"/>
    <w:rsid w:val="00466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4"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4"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3885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58351</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בשאר עביידי;מוחמד חמד;באסם שלאלדה;מוחמד אבו חדיר</vt:lpwstr>
  </property>
  <property fmtid="{D5CDD505-2E9C-101B-9397-08002B2CF9AE}" pid="10" name="LAWYER">
    <vt:lpwstr>רמי עותמאן</vt:lpwstr>
  </property>
  <property fmtid="{D5CDD505-2E9C-101B-9397-08002B2CF9AE}" pid="11" name="JUDGE">
    <vt:lpwstr>רפי כרמל;כרמי מוסק;שירלי רנר </vt:lpwstr>
  </property>
  <property fmtid="{D5CDD505-2E9C-101B-9397-08002B2CF9AE}" pid="12" name="CITY">
    <vt:lpwstr>י-ם</vt:lpwstr>
  </property>
  <property fmtid="{D5CDD505-2E9C-101B-9397-08002B2CF9AE}" pid="13" name="DATE">
    <vt:lpwstr>20150908</vt:lpwstr>
  </property>
  <property fmtid="{D5CDD505-2E9C-101B-9397-08002B2CF9AE}" pid="14" name="TYPE_N_DATE">
    <vt:lpwstr>39020150908</vt:lpwstr>
  </property>
  <property fmtid="{D5CDD505-2E9C-101B-9397-08002B2CF9AE}" pid="15" name="WORDNUMPAGES">
    <vt:lpwstr>3</vt:lpwstr>
  </property>
  <property fmtid="{D5CDD505-2E9C-101B-9397-08002B2CF9AE}" pid="16" name="TYPE_ABS_DATE">
    <vt:lpwstr>390020150908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70301/144.a;244</vt:lpwstr>
  </property>
</Properties>
</file>