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925C61" w:rsidRPr="00392445" w14:paraId="12319157" w14:textId="77777777">
        <w:trPr>
          <w:trHeight w:hRule="exact" w:val="418"/>
          <w:jc w:val="center"/>
        </w:trPr>
        <w:tc>
          <w:tcPr>
            <w:tcW w:w="8721" w:type="dxa"/>
            <w:gridSpan w:val="2"/>
          </w:tcPr>
          <w:p w14:paraId="110BF137" w14:textId="77777777" w:rsidR="00925C61" w:rsidRPr="00392445" w:rsidRDefault="00392445">
            <w:pPr>
              <w:pStyle w:val="a3"/>
              <w:jc w:val="center"/>
              <w:rPr>
                <w:rFonts w:ascii="Tahoma" w:hAnsi="Tahoma" w:cs="Tahoma"/>
                <w:color w:val="000080"/>
                <w:rtl/>
              </w:rPr>
            </w:pPr>
            <w:bookmarkStart w:id="0" w:name="LastJudge"/>
            <w:r w:rsidRPr="00392445">
              <w:rPr>
                <w:rFonts w:ascii="Tahoma" w:hAnsi="Tahoma" w:cs="Tahoma"/>
                <w:b/>
                <w:bCs/>
                <w:color w:val="000080"/>
                <w:rtl/>
              </w:rPr>
              <w:t>בית המשפט המחוזי מרכז-לוד</w:t>
            </w:r>
          </w:p>
        </w:tc>
      </w:tr>
      <w:tr w:rsidR="00925C61" w:rsidRPr="00392445" w14:paraId="6C11A034" w14:textId="77777777">
        <w:trPr>
          <w:trHeight w:val="337"/>
          <w:jc w:val="center"/>
        </w:trPr>
        <w:tc>
          <w:tcPr>
            <w:tcW w:w="5058" w:type="dxa"/>
          </w:tcPr>
          <w:p w14:paraId="12A17F97" w14:textId="77777777" w:rsidR="00925C61" w:rsidRPr="00392445" w:rsidRDefault="00392445" w:rsidP="00686965">
            <w:pPr>
              <w:rPr>
                <w:rFonts w:cs="FrankRuehl" w:hint="cs"/>
                <w:sz w:val="28"/>
                <w:szCs w:val="28"/>
                <w:rtl/>
              </w:rPr>
            </w:pPr>
            <w:r w:rsidRPr="00392445">
              <w:rPr>
                <w:rFonts w:cs="FrankRuehl"/>
                <w:sz w:val="28"/>
                <w:szCs w:val="28"/>
                <w:rtl/>
              </w:rPr>
              <w:t>ת"פ</w:t>
            </w:r>
            <w:r w:rsidRPr="00392445">
              <w:rPr>
                <w:rFonts w:cs="FrankRuehl" w:hint="cs"/>
                <w:sz w:val="28"/>
                <w:szCs w:val="28"/>
                <w:rtl/>
              </w:rPr>
              <w:t xml:space="preserve"> </w:t>
            </w:r>
            <w:r w:rsidRPr="00392445">
              <w:rPr>
                <w:rFonts w:cs="FrankRuehl"/>
                <w:sz w:val="28"/>
                <w:szCs w:val="28"/>
                <w:rtl/>
              </w:rPr>
              <w:t>6089-07-14</w:t>
            </w:r>
            <w:r w:rsidRPr="00392445">
              <w:rPr>
                <w:rFonts w:cs="FrankRuehl" w:hint="cs"/>
                <w:sz w:val="28"/>
                <w:szCs w:val="28"/>
                <w:rtl/>
              </w:rPr>
              <w:t xml:space="preserve"> </w:t>
            </w:r>
            <w:r w:rsidR="00686965">
              <w:rPr>
                <w:rFonts w:cs="FrankRuehl"/>
                <w:sz w:val="28"/>
                <w:szCs w:val="28"/>
                <w:rtl/>
              </w:rPr>
              <w:t>מדינת ישראל נ' בתילו</w:t>
            </w:r>
          </w:p>
          <w:p w14:paraId="58A8742F" w14:textId="77777777" w:rsidR="00925C61" w:rsidRPr="00392445" w:rsidRDefault="00925C61">
            <w:pPr>
              <w:pStyle w:val="a3"/>
              <w:rPr>
                <w:rFonts w:cs="FrankRuehl"/>
                <w:sz w:val="28"/>
                <w:szCs w:val="28"/>
                <w:rtl/>
              </w:rPr>
            </w:pPr>
          </w:p>
        </w:tc>
        <w:tc>
          <w:tcPr>
            <w:tcW w:w="3663" w:type="dxa"/>
          </w:tcPr>
          <w:p w14:paraId="517E0EFB" w14:textId="77777777" w:rsidR="00925C61" w:rsidRPr="00392445" w:rsidRDefault="00925C61">
            <w:pPr>
              <w:pStyle w:val="a3"/>
              <w:jc w:val="right"/>
              <w:rPr>
                <w:rFonts w:cs="FrankRuehl"/>
                <w:sz w:val="28"/>
                <w:szCs w:val="28"/>
                <w:rtl/>
              </w:rPr>
            </w:pPr>
          </w:p>
        </w:tc>
      </w:tr>
    </w:tbl>
    <w:p w14:paraId="7B3BCFBE" w14:textId="77777777" w:rsidR="00925C61" w:rsidRPr="00392445" w:rsidRDefault="00392445">
      <w:pPr>
        <w:pStyle w:val="a3"/>
        <w:rPr>
          <w:rtl/>
        </w:rPr>
      </w:pPr>
      <w:r w:rsidRPr="00392445">
        <w:rPr>
          <w:rFonts w:hint="cs"/>
          <w:rtl/>
        </w:rPr>
        <w:t xml:space="preserve"> </w:t>
      </w:r>
    </w:p>
    <w:p w14:paraId="409D98BF" w14:textId="77777777" w:rsidR="00925C61" w:rsidRPr="00392445" w:rsidRDefault="00925C61">
      <w:pPr>
        <w:spacing w:line="360" w:lineRule="auto"/>
        <w:rPr>
          <w:rFonts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25C61" w:rsidRPr="00392445" w14:paraId="2D90940E" w14:textId="77777777">
        <w:trPr>
          <w:trHeight w:val="295"/>
          <w:jc w:val="center"/>
        </w:trPr>
        <w:tc>
          <w:tcPr>
            <w:tcW w:w="923" w:type="dxa"/>
            <w:tcBorders>
              <w:top w:val="nil"/>
              <w:left w:val="nil"/>
              <w:bottom w:val="nil"/>
              <w:right w:val="nil"/>
            </w:tcBorders>
          </w:tcPr>
          <w:p w14:paraId="78F9A070" w14:textId="77777777" w:rsidR="00925C61" w:rsidRPr="00392445" w:rsidRDefault="00392445">
            <w:pPr>
              <w:spacing w:line="360" w:lineRule="auto"/>
              <w:jc w:val="both"/>
              <w:rPr>
                <w:rFonts w:ascii="Arial" w:hAnsi="Arial" w:cs="FrankRuehl"/>
                <w:sz w:val="28"/>
                <w:szCs w:val="28"/>
              </w:rPr>
            </w:pPr>
            <w:r w:rsidRPr="00392445">
              <w:rPr>
                <w:rFonts w:ascii="Arial" w:hAnsi="Arial" w:cs="FrankRuehl" w:hint="cs"/>
                <w:sz w:val="28"/>
                <w:szCs w:val="28"/>
                <w:rtl/>
              </w:rPr>
              <w:t>ב</w:t>
            </w:r>
            <w:r w:rsidRPr="00392445">
              <w:rPr>
                <w:rFonts w:ascii="Arial" w:hAnsi="Arial" w:cs="FrankRuehl"/>
                <w:sz w:val="28"/>
                <w:szCs w:val="28"/>
                <w:rtl/>
              </w:rPr>
              <w:t xml:space="preserve">פני </w:t>
            </w:r>
          </w:p>
        </w:tc>
        <w:tc>
          <w:tcPr>
            <w:tcW w:w="7897" w:type="dxa"/>
            <w:gridSpan w:val="2"/>
            <w:tcBorders>
              <w:top w:val="nil"/>
              <w:left w:val="nil"/>
              <w:bottom w:val="nil"/>
              <w:right w:val="nil"/>
            </w:tcBorders>
          </w:tcPr>
          <w:p w14:paraId="1B8CECB7" w14:textId="77777777" w:rsidR="00925C61" w:rsidRPr="00392445" w:rsidRDefault="00392445">
            <w:pPr>
              <w:spacing w:line="360" w:lineRule="auto"/>
              <w:rPr>
                <w:rFonts w:ascii="Arial" w:hAnsi="Arial" w:cs="FrankRuehl"/>
                <w:b/>
                <w:bCs/>
                <w:sz w:val="28"/>
                <w:szCs w:val="28"/>
                <w:rtl/>
              </w:rPr>
            </w:pPr>
            <w:r w:rsidRPr="00392445">
              <w:rPr>
                <w:rFonts w:ascii="Arial" w:hAnsi="Arial" w:cs="FrankRuehl" w:hint="cs"/>
                <w:b/>
                <w:bCs/>
                <w:sz w:val="28"/>
                <w:szCs w:val="28"/>
                <w:rtl/>
              </w:rPr>
              <w:t>כב' ה</w:t>
            </w:r>
            <w:r w:rsidRPr="00392445">
              <w:rPr>
                <w:rFonts w:cs="FrankRuehl" w:hint="cs"/>
                <w:sz w:val="28"/>
                <w:szCs w:val="28"/>
                <w:rtl/>
              </w:rPr>
              <w:t>שופטת</w:t>
            </w:r>
            <w:r w:rsidRPr="00392445">
              <w:rPr>
                <w:rFonts w:ascii="Arial" w:hAnsi="Arial" w:cs="FrankRuehl" w:hint="cs"/>
                <w:b/>
                <w:bCs/>
                <w:sz w:val="28"/>
                <w:szCs w:val="28"/>
                <w:rtl/>
              </w:rPr>
              <w:t xml:space="preserve">  </w:t>
            </w:r>
            <w:r w:rsidRPr="00392445">
              <w:rPr>
                <w:rFonts w:cs="FrankRuehl" w:hint="cs"/>
                <w:sz w:val="28"/>
                <w:szCs w:val="28"/>
                <w:rtl/>
              </w:rPr>
              <w:t>מיכל ברנט</w:t>
            </w:r>
          </w:p>
          <w:p w14:paraId="0861DE0F" w14:textId="77777777" w:rsidR="00925C61" w:rsidRPr="00392445" w:rsidRDefault="00925C61">
            <w:pPr>
              <w:spacing w:line="360" w:lineRule="auto"/>
              <w:jc w:val="both"/>
              <w:rPr>
                <w:rFonts w:ascii="Arial" w:hAnsi="Arial" w:cs="FrankRuehl"/>
                <w:sz w:val="28"/>
                <w:szCs w:val="28"/>
              </w:rPr>
            </w:pPr>
          </w:p>
        </w:tc>
      </w:tr>
      <w:tr w:rsidR="00925C61" w:rsidRPr="00392445" w14:paraId="1E31D434" w14:textId="77777777">
        <w:trPr>
          <w:trHeight w:val="355"/>
          <w:jc w:val="center"/>
        </w:trPr>
        <w:tc>
          <w:tcPr>
            <w:tcW w:w="923" w:type="dxa"/>
            <w:tcBorders>
              <w:top w:val="nil"/>
              <w:left w:val="nil"/>
              <w:bottom w:val="nil"/>
              <w:right w:val="nil"/>
            </w:tcBorders>
          </w:tcPr>
          <w:p w14:paraId="1E8CB62E" w14:textId="77777777" w:rsidR="00925C61" w:rsidRPr="00392445" w:rsidRDefault="00392445">
            <w:pPr>
              <w:spacing w:line="360" w:lineRule="auto"/>
              <w:jc w:val="both"/>
              <w:rPr>
                <w:rFonts w:ascii="Arial" w:hAnsi="Arial" w:cs="FrankRuehl"/>
                <w:sz w:val="28"/>
                <w:szCs w:val="28"/>
              </w:rPr>
            </w:pPr>
            <w:bookmarkStart w:id="1" w:name="FirstAppellant"/>
            <w:r w:rsidRPr="00392445">
              <w:rPr>
                <w:rFonts w:ascii="Arial" w:hAnsi="Arial" w:cs="FrankRuehl" w:hint="cs"/>
                <w:sz w:val="28"/>
                <w:szCs w:val="28"/>
                <w:rtl/>
              </w:rPr>
              <w:t>בעניין:</w:t>
            </w:r>
          </w:p>
        </w:tc>
        <w:tc>
          <w:tcPr>
            <w:tcW w:w="4126" w:type="dxa"/>
            <w:tcBorders>
              <w:top w:val="nil"/>
              <w:left w:val="nil"/>
              <w:bottom w:val="nil"/>
              <w:right w:val="nil"/>
            </w:tcBorders>
          </w:tcPr>
          <w:p w14:paraId="1735B511" w14:textId="77777777" w:rsidR="00925C61" w:rsidRPr="00392445" w:rsidRDefault="00392445">
            <w:pPr>
              <w:spacing w:line="360" w:lineRule="auto"/>
              <w:rPr>
                <w:rFonts w:cs="FrankRuehl"/>
                <w:sz w:val="28"/>
                <w:szCs w:val="28"/>
              </w:rPr>
            </w:pPr>
            <w:r w:rsidRPr="00392445">
              <w:rPr>
                <w:rFonts w:cs="FrankRuehl" w:hint="cs"/>
                <w:sz w:val="28"/>
                <w:szCs w:val="28"/>
                <w:rtl/>
              </w:rPr>
              <w:t>מדינת ישראל</w:t>
            </w:r>
          </w:p>
        </w:tc>
        <w:tc>
          <w:tcPr>
            <w:tcW w:w="3771" w:type="dxa"/>
            <w:tcBorders>
              <w:top w:val="nil"/>
              <w:left w:val="nil"/>
              <w:bottom w:val="nil"/>
              <w:right w:val="nil"/>
            </w:tcBorders>
          </w:tcPr>
          <w:p w14:paraId="0270030E" w14:textId="77777777" w:rsidR="00925C61" w:rsidRPr="00392445" w:rsidRDefault="00925C61">
            <w:pPr>
              <w:spacing w:line="360" w:lineRule="auto"/>
              <w:jc w:val="both"/>
              <w:rPr>
                <w:rFonts w:ascii="Arial" w:hAnsi="Arial" w:cs="FrankRuehl"/>
                <w:sz w:val="28"/>
                <w:szCs w:val="28"/>
              </w:rPr>
            </w:pPr>
          </w:p>
        </w:tc>
      </w:tr>
      <w:bookmarkEnd w:id="1"/>
      <w:tr w:rsidR="00925C61" w:rsidRPr="00392445" w14:paraId="03456CED" w14:textId="77777777">
        <w:trPr>
          <w:trHeight w:val="355"/>
          <w:jc w:val="center"/>
        </w:trPr>
        <w:tc>
          <w:tcPr>
            <w:tcW w:w="923" w:type="dxa"/>
            <w:tcBorders>
              <w:top w:val="nil"/>
              <w:left w:val="nil"/>
              <w:bottom w:val="nil"/>
              <w:right w:val="nil"/>
            </w:tcBorders>
          </w:tcPr>
          <w:p w14:paraId="78A6977F" w14:textId="77777777" w:rsidR="00925C61" w:rsidRPr="00392445" w:rsidRDefault="00925C61">
            <w:pPr>
              <w:spacing w:line="360" w:lineRule="auto"/>
              <w:jc w:val="both"/>
              <w:rPr>
                <w:rFonts w:ascii="Arial" w:hAnsi="Arial" w:cs="FrankRuehl"/>
                <w:sz w:val="28"/>
                <w:szCs w:val="28"/>
                <w:rtl/>
              </w:rPr>
            </w:pPr>
          </w:p>
        </w:tc>
        <w:tc>
          <w:tcPr>
            <w:tcW w:w="4126" w:type="dxa"/>
            <w:tcBorders>
              <w:top w:val="nil"/>
              <w:left w:val="nil"/>
              <w:bottom w:val="nil"/>
              <w:right w:val="nil"/>
            </w:tcBorders>
          </w:tcPr>
          <w:p w14:paraId="2A0ED45B" w14:textId="77777777" w:rsidR="00925C61" w:rsidRPr="00392445" w:rsidRDefault="00925C61">
            <w:pPr>
              <w:spacing w:line="360" w:lineRule="auto"/>
              <w:jc w:val="both"/>
              <w:rPr>
                <w:rFonts w:cs="FrankRuehl"/>
                <w:sz w:val="28"/>
                <w:szCs w:val="28"/>
                <w:rtl/>
              </w:rPr>
            </w:pPr>
          </w:p>
        </w:tc>
        <w:tc>
          <w:tcPr>
            <w:tcW w:w="3771" w:type="dxa"/>
            <w:tcBorders>
              <w:top w:val="nil"/>
              <w:left w:val="nil"/>
              <w:bottom w:val="nil"/>
              <w:right w:val="nil"/>
            </w:tcBorders>
          </w:tcPr>
          <w:p w14:paraId="15F56C38" w14:textId="77777777" w:rsidR="00925C61" w:rsidRPr="00392445" w:rsidRDefault="00392445">
            <w:pPr>
              <w:spacing w:line="360" w:lineRule="auto"/>
              <w:jc w:val="right"/>
              <w:rPr>
                <w:rFonts w:ascii="Arial" w:hAnsi="Arial" w:cs="FrankRuehl"/>
                <w:sz w:val="28"/>
                <w:szCs w:val="28"/>
                <w:rtl/>
              </w:rPr>
            </w:pPr>
            <w:r w:rsidRPr="00392445">
              <w:rPr>
                <w:rFonts w:ascii="Arial" w:hAnsi="Arial" w:cs="FrankRuehl" w:hint="cs"/>
                <w:sz w:val="28"/>
                <w:szCs w:val="28"/>
                <w:rtl/>
              </w:rPr>
              <w:t>ה</w:t>
            </w:r>
            <w:r w:rsidRPr="00392445">
              <w:rPr>
                <w:rFonts w:cs="FrankRuehl" w:hint="cs"/>
                <w:sz w:val="28"/>
                <w:szCs w:val="28"/>
                <w:rtl/>
              </w:rPr>
              <w:t>מאשימה</w:t>
            </w:r>
          </w:p>
        </w:tc>
      </w:tr>
      <w:tr w:rsidR="00925C61" w:rsidRPr="00392445" w14:paraId="15175083" w14:textId="77777777">
        <w:trPr>
          <w:trHeight w:val="355"/>
          <w:jc w:val="center"/>
        </w:trPr>
        <w:tc>
          <w:tcPr>
            <w:tcW w:w="923" w:type="dxa"/>
            <w:tcBorders>
              <w:top w:val="nil"/>
              <w:left w:val="nil"/>
              <w:bottom w:val="nil"/>
              <w:right w:val="nil"/>
            </w:tcBorders>
          </w:tcPr>
          <w:p w14:paraId="197065A4" w14:textId="77777777" w:rsidR="00925C61" w:rsidRPr="00392445" w:rsidRDefault="00925C61">
            <w:pPr>
              <w:spacing w:line="360" w:lineRule="auto"/>
              <w:jc w:val="both"/>
              <w:rPr>
                <w:rFonts w:ascii="Arial" w:hAnsi="Arial" w:cs="FrankRuehl"/>
                <w:sz w:val="28"/>
                <w:szCs w:val="28"/>
                <w:rtl/>
              </w:rPr>
            </w:pPr>
          </w:p>
        </w:tc>
        <w:tc>
          <w:tcPr>
            <w:tcW w:w="7897" w:type="dxa"/>
            <w:gridSpan w:val="2"/>
            <w:tcBorders>
              <w:top w:val="nil"/>
              <w:left w:val="nil"/>
              <w:bottom w:val="nil"/>
              <w:right w:val="nil"/>
            </w:tcBorders>
          </w:tcPr>
          <w:p w14:paraId="07F7F823" w14:textId="77777777" w:rsidR="00925C61" w:rsidRPr="00392445" w:rsidRDefault="00925C61">
            <w:pPr>
              <w:spacing w:line="360" w:lineRule="auto"/>
              <w:jc w:val="center"/>
              <w:rPr>
                <w:rFonts w:ascii="Arial" w:hAnsi="Arial" w:cs="FrankRuehl"/>
                <w:b/>
                <w:bCs/>
                <w:sz w:val="18"/>
                <w:szCs w:val="18"/>
                <w:rtl/>
              </w:rPr>
            </w:pPr>
          </w:p>
          <w:p w14:paraId="4EF6F9A1" w14:textId="77777777" w:rsidR="00925C61" w:rsidRPr="00392445" w:rsidRDefault="00392445">
            <w:pPr>
              <w:spacing w:line="360" w:lineRule="auto"/>
              <w:jc w:val="center"/>
              <w:rPr>
                <w:rFonts w:ascii="Arial" w:hAnsi="Arial" w:cs="FrankRuehl"/>
                <w:b/>
                <w:bCs/>
                <w:sz w:val="28"/>
                <w:szCs w:val="28"/>
                <w:rtl/>
              </w:rPr>
            </w:pPr>
            <w:r w:rsidRPr="00392445">
              <w:rPr>
                <w:rFonts w:ascii="Arial" w:hAnsi="Arial" w:cs="FrankRuehl"/>
                <w:b/>
                <w:bCs/>
                <w:sz w:val="28"/>
                <w:szCs w:val="28"/>
                <w:rtl/>
              </w:rPr>
              <w:t>נגד</w:t>
            </w:r>
          </w:p>
          <w:p w14:paraId="73D3880D" w14:textId="77777777" w:rsidR="00925C61" w:rsidRPr="00392445" w:rsidRDefault="00925C61">
            <w:pPr>
              <w:spacing w:line="360" w:lineRule="auto"/>
              <w:jc w:val="both"/>
              <w:rPr>
                <w:rFonts w:ascii="Arial" w:hAnsi="Arial" w:cs="FrankRuehl"/>
                <w:sz w:val="28"/>
                <w:szCs w:val="28"/>
              </w:rPr>
            </w:pPr>
          </w:p>
        </w:tc>
      </w:tr>
      <w:tr w:rsidR="00925C61" w:rsidRPr="00392445" w14:paraId="30C5F4E6" w14:textId="77777777">
        <w:trPr>
          <w:trHeight w:val="355"/>
          <w:jc w:val="center"/>
        </w:trPr>
        <w:tc>
          <w:tcPr>
            <w:tcW w:w="923" w:type="dxa"/>
            <w:tcBorders>
              <w:top w:val="nil"/>
              <w:left w:val="nil"/>
              <w:bottom w:val="nil"/>
              <w:right w:val="nil"/>
            </w:tcBorders>
          </w:tcPr>
          <w:p w14:paraId="3A7879BF" w14:textId="77777777" w:rsidR="00925C61" w:rsidRPr="00392445" w:rsidRDefault="00925C61">
            <w:pPr>
              <w:spacing w:line="360" w:lineRule="auto"/>
              <w:rPr>
                <w:rFonts w:ascii="Arial" w:hAnsi="Arial" w:cs="FrankRuehl"/>
                <w:sz w:val="28"/>
                <w:szCs w:val="28"/>
                <w:rtl/>
              </w:rPr>
            </w:pPr>
          </w:p>
        </w:tc>
        <w:tc>
          <w:tcPr>
            <w:tcW w:w="4126" w:type="dxa"/>
            <w:tcBorders>
              <w:top w:val="nil"/>
              <w:left w:val="nil"/>
              <w:bottom w:val="nil"/>
              <w:right w:val="nil"/>
            </w:tcBorders>
          </w:tcPr>
          <w:p w14:paraId="3AE36B28" w14:textId="77777777" w:rsidR="00925C61" w:rsidRPr="00392445" w:rsidRDefault="00392445">
            <w:pPr>
              <w:spacing w:line="360" w:lineRule="auto"/>
              <w:rPr>
                <w:rFonts w:cs="FrankRuehl"/>
                <w:sz w:val="28"/>
                <w:szCs w:val="28"/>
                <w:rtl/>
              </w:rPr>
            </w:pPr>
            <w:r w:rsidRPr="00392445">
              <w:rPr>
                <w:rFonts w:cs="FrankRuehl" w:hint="cs"/>
                <w:sz w:val="28"/>
                <w:szCs w:val="28"/>
                <w:rtl/>
              </w:rPr>
              <w:t xml:space="preserve">בהג'ת בתילו </w:t>
            </w:r>
          </w:p>
        </w:tc>
        <w:tc>
          <w:tcPr>
            <w:tcW w:w="3771" w:type="dxa"/>
            <w:tcBorders>
              <w:top w:val="nil"/>
              <w:left w:val="nil"/>
              <w:bottom w:val="nil"/>
              <w:right w:val="nil"/>
            </w:tcBorders>
          </w:tcPr>
          <w:p w14:paraId="41929E0B" w14:textId="77777777" w:rsidR="00925C61" w:rsidRPr="00392445" w:rsidRDefault="00925C61">
            <w:pPr>
              <w:spacing w:line="360" w:lineRule="auto"/>
              <w:jc w:val="right"/>
              <w:rPr>
                <w:rFonts w:ascii="Arial" w:hAnsi="Arial" w:cs="FrankRuehl"/>
                <w:sz w:val="28"/>
                <w:szCs w:val="28"/>
              </w:rPr>
            </w:pPr>
          </w:p>
        </w:tc>
      </w:tr>
      <w:tr w:rsidR="00925C61" w:rsidRPr="00392445" w14:paraId="7B6725A6" w14:textId="77777777">
        <w:trPr>
          <w:trHeight w:val="355"/>
          <w:jc w:val="center"/>
        </w:trPr>
        <w:tc>
          <w:tcPr>
            <w:tcW w:w="923" w:type="dxa"/>
            <w:tcBorders>
              <w:top w:val="nil"/>
              <w:left w:val="nil"/>
              <w:bottom w:val="nil"/>
              <w:right w:val="nil"/>
            </w:tcBorders>
          </w:tcPr>
          <w:p w14:paraId="3550DA6C" w14:textId="77777777" w:rsidR="00925C61" w:rsidRPr="00392445" w:rsidRDefault="00925C61">
            <w:pPr>
              <w:spacing w:line="360" w:lineRule="auto"/>
              <w:jc w:val="both"/>
              <w:rPr>
                <w:rFonts w:ascii="Arial" w:hAnsi="Arial" w:cs="FrankRuehl"/>
                <w:sz w:val="28"/>
                <w:szCs w:val="28"/>
                <w:rtl/>
              </w:rPr>
            </w:pPr>
          </w:p>
        </w:tc>
        <w:tc>
          <w:tcPr>
            <w:tcW w:w="4126" w:type="dxa"/>
            <w:tcBorders>
              <w:top w:val="nil"/>
              <w:left w:val="nil"/>
              <w:bottom w:val="nil"/>
              <w:right w:val="nil"/>
            </w:tcBorders>
          </w:tcPr>
          <w:p w14:paraId="79D823EB" w14:textId="77777777" w:rsidR="00925C61" w:rsidRPr="00392445" w:rsidRDefault="00925C61">
            <w:pPr>
              <w:spacing w:line="360" w:lineRule="auto"/>
              <w:jc w:val="both"/>
              <w:rPr>
                <w:rFonts w:cs="FrankRuehl"/>
                <w:sz w:val="28"/>
                <w:szCs w:val="28"/>
                <w:rtl/>
              </w:rPr>
            </w:pPr>
          </w:p>
        </w:tc>
        <w:tc>
          <w:tcPr>
            <w:tcW w:w="3771" w:type="dxa"/>
            <w:tcBorders>
              <w:top w:val="nil"/>
              <w:left w:val="nil"/>
              <w:bottom w:val="nil"/>
              <w:right w:val="nil"/>
            </w:tcBorders>
          </w:tcPr>
          <w:p w14:paraId="73E6E188" w14:textId="77777777" w:rsidR="00925C61" w:rsidRPr="00392445" w:rsidRDefault="00392445">
            <w:pPr>
              <w:spacing w:line="360" w:lineRule="auto"/>
              <w:jc w:val="right"/>
              <w:rPr>
                <w:rFonts w:ascii="Arial" w:hAnsi="Arial" w:cs="FrankRuehl"/>
                <w:sz w:val="28"/>
                <w:szCs w:val="28"/>
              </w:rPr>
            </w:pPr>
            <w:r w:rsidRPr="00392445">
              <w:rPr>
                <w:rFonts w:ascii="Arial" w:hAnsi="Arial" w:cs="FrankRuehl" w:hint="cs"/>
                <w:sz w:val="28"/>
                <w:szCs w:val="28"/>
                <w:rtl/>
              </w:rPr>
              <w:t>ה</w:t>
            </w:r>
            <w:r w:rsidRPr="00392445">
              <w:rPr>
                <w:rFonts w:cs="FrankRuehl" w:hint="cs"/>
                <w:sz w:val="28"/>
                <w:szCs w:val="28"/>
                <w:rtl/>
              </w:rPr>
              <w:t>נאשם</w:t>
            </w:r>
          </w:p>
        </w:tc>
      </w:tr>
    </w:tbl>
    <w:p w14:paraId="3F1C4C43" w14:textId="77777777" w:rsidR="00925C61" w:rsidRPr="00392445" w:rsidRDefault="00925C61">
      <w:pPr>
        <w:spacing w:line="360" w:lineRule="auto"/>
        <w:rPr>
          <w:rFonts w:cs="FrankRuehl"/>
          <w:sz w:val="2"/>
          <w:szCs w:val="2"/>
          <w:rtl/>
        </w:rPr>
      </w:pPr>
    </w:p>
    <w:p w14:paraId="3BA68307" w14:textId="77777777" w:rsidR="00925C61" w:rsidRPr="00392445" w:rsidRDefault="00392445">
      <w:pPr>
        <w:spacing w:line="360" w:lineRule="auto"/>
        <w:rPr>
          <w:rFonts w:cs="FrankRuehl"/>
          <w:sz w:val="28"/>
          <w:szCs w:val="28"/>
          <w:rtl/>
        </w:rPr>
      </w:pPr>
      <w:r w:rsidRPr="00392445">
        <w:rPr>
          <w:rFonts w:cs="FrankRuehl" w:hint="cs"/>
          <w:sz w:val="28"/>
          <w:szCs w:val="28"/>
          <w:rtl/>
        </w:rPr>
        <w:t xml:space="preserve">נוכחים: </w:t>
      </w:r>
      <w:bookmarkStart w:id="2" w:name="FirstLawyer"/>
      <w:r w:rsidRPr="00392445">
        <w:rPr>
          <w:rFonts w:cs="FrankRuehl" w:hint="cs"/>
          <w:sz w:val="28"/>
          <w:szCs w:val="28"/>
          <w:rtl/>
        </w:rPr>
        <w:t>ב"כ</w:t>
      </w:r>
      <w:bookmarkEnd w:id="2"/>
      <w:r w:rsidRPr="00392445">
        <w:rPr>
          <w:rFonts w:cs="FrankRuehl" w:hint="cs"/>
          <w:sz w:val="28"/>
          <w:szCs w:val="28"/>
          <w:rtl/>
        </w:rPr>
        <w:t xml:space="preserve"> המאשימה עו"ד יעל עצמון ועו"ד ניצן ביילין</w:t>
      </w:r>
    </w:p>
    <w:p w14:paraId="7DFD7177" w14:textId="77777777" w:rsidR="00925C61" w:rsidRPr="00392445" w:rsidRDefault="00392445">
      <w:pPr>
        <w:spacing w:line="360" w:lineRule="auto"/>
        <w:rPr>
          <w:rFonts w:cs="FrankRuehl"/>
          <w:sz w:val="28"/>
          <w:szCs w:val="28"/>
          <w:rtl/>
        </w:rPr>
      </w:pPr>
      <w:r w:rsidRPr="00392445">
        <w:rPr>
          <w:rFonts w:cs="FrankRuehl" w:hint="cs"/>
          <w:sz w:val="28"/>
          <w:szCs w:val="28"/>
          <w:rtl/>
        </w:rPr>
        <w:tab/>
        <w:t xml:space="preserve"> ב"כ הנאשם עו"ד ענבוסי</w:t>
      </w:r>
    </w:p>
    <w:p w14:paraId="7EF6DED5" w14:textId="77777777" w:rsidR="00257E0C" w:rsidRDefault="00392445" w:rsidP="00686965">
      <w:pPr>
        <w:spacing w:after="120" w:line="240" w:lineRule="exact"/>
        <w:ind w:left="283" w:hanging="283"/>
        <w:jc w:val="both"/>
        <w:rPr>
          <w:rFonts w:cs="FrankRuehl"/>
          <w:sz w:val="28"/>
          <w:szCs w:val="28"/>
          <w:rtl/>
        </w:rPr>
      </w:pPr>
      <w:r w:rsidRPr="00392445">
        <w:rPr>
          <w:rFonts w:cs="FrankRuehl" w:hint="cs"/>
          <w:sz w:val="28"/>
          <w:szCs w:val="28"/>
          <w:rtl/>
        </w:rPr>
        <w:tab/>
        <w:t xml:space="preserve"> הנאשם הובא על ידי שב"</w:t>
      </w:r>
      <w:bookmarkStart w:id="3" w:name="LawTable"/>
      <w:bookmarkEnd w:id="3"/>
    </w:p>
    <w:p w14:paraId="5FCF9447" w14:textId="77777777" w:rsidR="00257E0C" w:rsidRPr="00257E0C" w:rsidRDefault="00257E0C" w:rsidP="00257E0C">
      <w:pPr>
        <w:spacing w:after="120" w:line="240" w:lineRule="exact"/>
        <w:ind w:left="283" w:hanging="283"/>
        <w:jc w:val="both"/>
        <w:rPr>
          <w:rFonts w:ascii="FrankRuehl" w:hAnsi="FrankRuehl" w:cs="FrankRuehl"/>
          <w:rtl/>
        </w:rPr>
      </w:pPr>
    </w:p>
    <w:p w14:paraId="39784E38" w14:textId="77777777" w:rsidR="00257E0C" w:rsidRPr="00257E0C" w:rsidRDefault="00257E0C" w:rsidP="00257E0C">
      <w:pPr>
        <w:spacing w:after="120" w:line="240" w:lineRule="exact"/>
        <w:ind w:left="283" w:hanging="283"/>
        <w:jc w:val="both"/>
        <w:rPr>
          <w:rFonts w:ascii="FrankRuehl" w:hAnsi="FrankRuehl" w:cs="FrankRuehl"/>
          <w:rtl/>
        </w:rPr>
      </w:pPr>
      <w:r w:rsidRPr="00257E0C">
        <w:rPr>
          <w:rFonts w:ascii="FrankRuehl" w:hAnsi="FrankRuehl" w:cs="FrankRuehl"/>
          <w:rtl/>
        </w:rPr>
        <w:t xml:space="preserve">חקיקה שאוזכרה: </w:t>
      </w:r>
    </w:p>
    <w:p w14:paraId="575D9FCC" w14:textId="77777777" w:rsidR="00257E0C" w:rsidRPr="00257E0C" w:rsidRDefault="00257E0C" w:rsidP="00257E0C">
      <w:pPr>
        <w:spacing w:after="120" w:line="240" w:lineRule="exact"/>
        <w:ind w:left="283" w:hanging="283"/>
        <w:jc w:val="both"/>
        <w:rPr>
          <w:rFonts w:ascii="FrankRuehl" w:hAnsi="FrankRuehl" w:cs="FrankRuehl"/>
          <w:color w:val="0000FF"/>
          <w:u w:val="single"/>
          <w:rtl/>
        </w:rPr>
      </w:pPr>
      <w:hyperlink r:id="rId6" w:history="1">
        <w:r w:rsidRPr="00257E0C">
          <w:rPr>
            <w:rStyle w:val="Hyperlink"/>
            <w:rFonts w:ascii="FrankRuehl" w:hAnsi="FrankRuehl" w:cs="FrankRuehl"/>
            <w:rtl/>
          </w:rPr>
          <w:t>חוק העונשין, תשל"ז-1977</w:t>
        </w:r>
      </w:hyperlink>
      <w:r w:rsidRPr="00257E0C">
        <w:rPr>
          <w:rFonts w:ascii="FrankRuehl" w:hAnsi="FrankRuehl" w:cs="FrankRuehl"/>
          <w:color w:val="0000FF"/>
          <w:u w:val="single"/>
          <w:rtl/>
        </w:rPr>
        <w:t xml:space="preserve">: סע'  </w:t>
      </w:r>
      <w:hyperlink r:id="rId7" w:history="1">
        <w:r w:rsidRPr="00257E0C">
          <w:rPr>
            <w:rStyle w:val="Hyperlink"/>
            <w:rFonts w:ascii="FrankRuehl" w:hAnsi="FrankRuehl" w:cs="FrankRuehl"/>
          </w:rPr>
          <w:t>31</w:t>
        </w:r>
      </w:hyperlink>
      <w:r w:rsidRPr="00257E0C">
        <w:rPr>
          <w:rFonts w:ascii="FrankRuehl" w:hAnsi="FrankRuehl" w:cs="FrankRuehl"/>
          <w:color w:val="0000FF"/>
          <w:u w:val="single"/>
          <w:rtl/>
        </w:rPr>
        <w:t xml:space="preserve">, </w:t>
      </w:r>
      <w:hyperlink r:id="rId8" w:history="1">
        <w:r w:rsidRPr="00257E0C">
          <w:rPr>
            <w:rStyle w:val="Hyperlink"/>
            <w:rFonts w:ascii="FrankRuehl" w:hAnsi="FrankRuehl" w:cs="FrankRuehl"/>
          </w:rPr>
          <w:t>32</w:t>
        </w:r>
      </w:hyperlink>
      <w:r w:rsidRPr="00257E0C">
        <w:rPr>
          <w:rFonts w:ascii="FrankRuehl" w:hAnsi="FrankRuehl" w:cs="FrankRuehl"/>
          <w:color w:val="0000FF"/>
          <w:u w:val="single"/>
          <w:rtl/>
        </w:rPr>
        <w:t xml:space="preserve">, </w:t>
      </w:r>
      <w:hyperlink r:id="rId9" w:history="1">
        <w:r w:rsidRPr="00257E0C">
          <w:rPr>
            <w:rStyle w:val="Hyperlink"/>
            <w:rFonts w:ascii="FrankRuehl" w:hAnsi="FrankRuehl" w:cs="FrankRuehl"/>
          </w:rPr>
          <w:t>40</w:t>
        </w:r>
        <w:r w:rsidRPr="00257E0C">
          <w:rPr>
            <w:rStyle w:val="Hyperlink"/>
            <w:rFonts w:ascii="FrankRuehl" w:hAnsi="FrankRuehl" w:cs="FrankRuehl"/>
            <w:rtl/>
          </w:rPr>
          <w:t>ט(א</w:t>
        </w:r>
        <w:r w:rsidRPr="00257E0C">
          <w:rPr>
            <w:rStyle w:val="Hyperlink"/>
            <w:rFonts w:ascii="FrankRuehl" w:hAnsi="FrankRuehl" w:cs="FrankRuehl"/>
          </w:rPr>
          <w:t>)</w:t>
        </w:r>
      </w:hyperlink>
      <w:r w:rsidRPr="00257E0C">
        <w:rPr>
          <w:rFonts w:ascii="FrankRuehl" w:hAnsi="FrankRuehl" w:cs="FrankRuehl"/>
          <w:color w:val="0000FF"/>
          <w:u w:val="single"/>
          <w:rtl/>
        </w:rPr>
        <w:t xml:space="preserve">, </w:t>
      </w:r>
      <w:hyperlink r:id="rId10" w:history="1">
        <w:r w:rsidRPr="00257E0C">
          <w:rPr>
            <w:rStyle w:val="Hyperlink"/>
            <w:rFonts w:ascii="FrankRuehl" w:hAnsi="FrankRuehl" w:cs="FrankRuehl"/>
          </w:rPr>
          <w:t>144 (</w:t>
        </w:r>
        <w:r w:rsidRPr="00257E0C">
          <w:rPr>
            <w:rStyle w:val="Hyperlink"/>
            <w:rFonts w:ascii="FrankRuehl" w:hAnsi="FrankRuehl" w:cs="FrankRuehl"/>
            <w:rtl/>
          </w:rPr>
          <w:t>א</w:t>
        </w:r>
        <w:r w:rsidRPr="00257E0C">
          <w:rPr>
            <w:rStyle w:val="Hyperlink"/>
            <w:rFonts w:ascii="FrankRuehl" w:hAnsi="FrankRuehl" w:cs="FrankRuehl"/>
          </w:rPr>
          <w:t>)</w:t>
        </w:r>
      </w:hyperlink>
      <w:r w:rsidRPr="00257E0C">
        <w:rPr>
          <w:rFonts w:ascii="FrankRuehl" w:hAnsi="FrankRuehl" w:cs="FrankRuehl"/>
          <w:color w:val="0000FF"/>
          <w:u w:val="single"/>
          <w:rtl/>
        </w:rPr>
        <w:t xml:space="preserve">, </w:t>
      </w:r>
      <w:hyperlink r:id="rId11" w:history="1">
        <w:r w:rsidRPr="00257E0C">
          <w:rPr>
            <w:rStyle w:val="Hyperlink"/>
            <w:rFonts w:ascii="FrankRuehl" w:hAnsi="FrankRuehl" w:cs="FrankRuehl"/>
          </w:rPr>
          <w:t>144 (</w:t>
        </w:r>
        <w:r w:rsidRPr="00257E0C">
          <w:rPr>
            <w:rStyle w:val="Hyperlink"/>
            <w:rFonts w:ascii="FrankRuehl" w:hAnsi="FrankRuehl" w:cs="FrankRuehl"/>
            <w:rtl/>
          </w:rPr>
          <w:t>ב</w:t>
        </w:r>
        <w:r w:rsidRPr="00257E0C">
          <w:rPr>
            <w:rStyle w:val="Hyperlink"/>
            <w:rFonts w:ascii="FrankRuehl" w:hAnsi="FrankRuehl" w:cs="FrankRuehl"/>
          </w:rPr>
          <w:t>)</w:t>
        </w:r>
      </w:hyperlink>
    </w:p>
    <w:p w14:paraId="3DC82CB3" w14:textId="77777777" w:rsidR="00257E0C" w:rsidRPr="00257E0C" w:rsidRDefault="00257E0C" w:rsidP="00257E0C">
      <w:pPr>
        <w:spacing w:after="120" w:line="240" w:lineRule="exact"/>
        <w:ind w:left="283" w:hanging="283"/>
        <w:jc w:val="both"/>
        <w:rPr>
          <w:rFonts w:ascii="FrankRuehl" w:hAnsi="FrankRuehl" w:cs="FrankRuehl"/>
          <w:rtl/>
        </w:rPr>
      </w:pPr>
    </w:p>
    <w:p w14:paraId="4367B5D4" w14:textId="77777777" w:rsidR="00257E0C" w:rsidRPr="00257E0C" w:rsidRDefault="00257E0C" w:rsidP="00686965">
      <w:pPr>
        <w:spacing w:after="120" w:line="240" w:lineRule="exact"/>
        <w:ind w:left="283" w:hanging="283"/>
        <w:jc w:val="both"/>
        <w:rPr>
          <w:rFonts w:cs="FrankRuehl"/>
          <w:sz w:val="28"/>
          <w:szCs w:val="28"/>
          <w:rtl/>
        </w:rPr>
      </w:pPr>
      <w:bookmarkStart w:id="4" w:name="LawTable_End"/>
      <w:bookmarkEnd w:id="4"/>
    </w:p>
    <w:p w14:paraId="7CB767F2" w14:textId="77777777" w:rsidR="00257E0C" w:rsidRPr="00257E0C" w:rsidRDefault="00257E0C" w:rsidP="00686965">
      <w:pPr>
        <w:spacing w:after="120" w:line="240" w:lineRule="exact"/>
        <w:ind w:left="283" w:hanging="283"/>
        <w:jc w:val="both"/>
        <w:rPr>
          <w:rFonts w:cs="FrankRuehl"/>
          <w:sz w:val="28"/>
          <w:szCs w:val="28"/>
          <w:rtl/>
        </w:rPr>
      </w:pPr>
    </w:p>
    <w:p w14:paraId="231B9844" w14:textId="77777777" w:rsidR="00686965" w:rsidRPr="00686965" w:rsidRDefault="00392445" w:rsidP="00686965">
      <w:pPr>
        <w:spacing w:after="120" w:line="240" w:lineRule="exact"/>
        <w:ind w:left="283" w:hanging="283"/>
        <w:jc w:val="both"/>
        <w:rPr>
          <w:rFonts w:ascii="FrankRuehl" w:hAnsi="FrankRuehl" w:cs="FrankRuehl"/>
          <w:rtl/>
        </w:rPr>
      </w:pPr>
      <w:r w:rsidRPr="00257E0C">
        <w:rPr>
          <w:rFonts w:cs="FrankRuehl" w:hint="cs"/>
          <w:sz w:val="28"/>
          <w:szCs w:val="28"/>
          <w:rtl/>
        </w:rPr>
        <w:t>ס</w:t>
      </w:r>
    </w:p>
    <w:p w14:paraId="74AD2B29" w14:textId="77777777" w:rsidR="00686965" w:rsidRPr="00392445" w:rsidRDefault="00686965" w:rsidP="00392445">
      <w:pPr>
        <w:spacing w:line="360" w:lineRule="auto"/>
        <w:jc w:val="center"/>
        <w:rPr>
          <w:rFonts w:ascii="Arial" w:hAnsi="Arial" w:cs="FrankRuehl"/>
          <w:b/>
          <w:bCs/>
          <w:sz w:val="28"/>
          <w:szCs w:val="28"/>
          <w:u w:val="single"/>
          <w:rtl/>
        </w:rPr>
      </w:pPr>
      <w:bookmarkStart w:id="5" w:name="PsakDin" w:colFirst="0" w:colLast="0"/>
      <w:bookmarkEnd w:id="0"/>
      <w:r w:rsidRPr="00392445">
        <w:rPr>
          <w:rFonts w:ascii="Arial" w:hAnsi="Arial" w:cs="FrankRuehl"/>
          <w:b/>
          <w:bCs/>
          <w:sz w:val="28"/>
          <w:szCs w:val="28"/>
          <w:u w:val="single"/>
          <w:rtl/>
        </w:rPr>
        <w:t>גזר דין</w:t>
      </w:r>
    </w:p>
    <w:bookmarkEnd w:id="5"/>
    <w:p w14:paraId="325DC885" w14:textId="77777777" w:rsidR="00925C61" w:rsidRDefault="00392445">
      <w:pPr>
        <w:spacing w:line="360" w:lineRule="auto"/>
        <w:rPr>
          <w:rFonts w:ascii="Arial" w:hAnsi="Arial" w:cs="FrankRuehl"/>
          <w:b/>
          <w:bCs/>
          <w:sz w:val="28"/>
          <w:szCs w:val="28"/>
          <w:u w:val="single"/>
          <w:rtl/>
        </w:rPr>
      </w:pPr>
      <w:r>
        <w:rPr>
          <w:rFonts w:ascii="Arial" w:hAnsi="Arial" w:cs="FrankRuehl" w:hint="cs"/>
          <w:b/>
          <w:bCs/>
          <w:sz w:val="28"/>
          <w:szCs w:val="28"/>
          <w:u w:val="single"/>
          <w:rtl/>
        </w:rPr>
        <w:t>כללי</w:t>
      </w:r>
    </w:p>
    <w:p w14:paraId="52E25D46" w14:textId="77777777" w:rsidR="00925C61" w:rsidRDefault="00392445">
      <w:pPr>
        <w:spacing w:line="360" w:lineRule="auto"/>
        <w:ind w:left="720" w:hanging="720"/>
        <w:jc w:val="both"/>
        <w:rPr>
          <w:rFonts w:ascii="Arial" w:hAnsi="Arial" w:cs="FrankRuehl"/>
          <w:sz w:val="28"/>
          <w:szCs w:val="28"/>
          <w:rtl/>
        </w:rPr>
      </w:pPr>
      <w:r>
        <w:rPr>
          <w:rFonts w:ascii="Arial" w:hAnsi="Arial" w:cs="FrankRuehl" w:hint="cs"/>
          <w:sz w:val="28"/>
          <w:szCs w:val="28"/>
          <w:rtl/>
        </w:rPr>
        <w:t>1.</w:t>
      </w:r>
      <w:r>
        <w:rPr>
          <w:rFonts w:ascii="Arial" w:hAnsi="Arial" w:cs="FrankRuehl" w:hint="cs"/>
          <w:sz w:val="28"/>
          <w:szCs w:val="28"/>
          <w:rtl/>
        </w:rPr>
        <w:tab/>
        <w:t xml:space="preserve">הנאשם הורשע במסגרת הסדר טיעון על יסוד הודאתו בעובדות כתב האישום המתוקן בעבירות של סיוע לרכישת נשק, עבירה לפי </w:t>
      </w:r>
      <w:hyperlink r:id="rId12" w:history="1">
        <w:r w:rsidR="00686965" w:rsidRPr="00686965">
          <w:rPr>
            <w:rStyle w:val="Hyperlink"/>
            <w:rFonts w:ascii="Arial" w:hAnsi="Arial" w:cs="FrankRuehl" w:hint="eastAsia"/>
            <w:sz w:val="28"/>
            <w:szCs w:val="28"/>
            <w:rtl/>
          </w:rPr>
          <w:t>סעיף</w:t>
        </w:r>
        <w:r w:rsidR="00686965" w:rsidRPr="00686965">
          <w:rPr>
            <w:rStyle w:val="Hyperlink"/>
            <w:rFonts w:ascii="Arial" w:hAnsi="Arial" w:cs="FrankRuehl"/>
            <w:sz w:val="28"/>
            <w:szCs w:val="28"/>
            <w:rtl/>
          </w:rPr>
          <w:t xml:space="preserve"> 144 (א)</w:t>
        </w:r>
      </w:hyperlink>
      <w:r>
        <w:rPr>
          <w:rFonts w:ascii="Arial" w:hAnsi="Arial" w:cs="FrankRuehl" w:hint="cs"/>
          <w:sz w:val="28"/>
          <w:szCs w:val="28"/>
          <w:rtl/>
        </w:rPr>
        <w:t xml:space="preserve"> בצירוף </w:t>
      </w:r>
      <w:hyperlink r:id="rId13" w:history="1">
        <w:r w:rsidR="00686965" w:rsidRPr="00686965">
          <w:rPr>
            <w:rStyle w:val="Hyperlink"/>
            <w:rFonts w:ascii="Arial" w:hAnsi="Arial" w:cs="FrankRuehl" w:hint="eastAsia"/>
            <w:sz w:val="28"/>
            <w:szCs w:val="28"/>
            <w:rtl/>
          </w:rPr>
          <w:t>סעיף</w:t>
        </w:r>
        <w:r w:rsidR="00686965" w:rsidRPr="00686965">
          <w:rPr>
            <w:rStyle w:val="Hyperlink"/>
            <w:rFonts w:ascii="Arial" w:hAnsi="Arial" w:cs="FrankRuehl"/>
            <w:sz w:val="28"/>
            <w:szCs w:val="28"/>
            <w:rtl/>
          </w:rPr>
          <w:t xml:space="preserve"> 31</w:t>
        </w:r>
      </w:hyperlink>
      <w:r>
        <w:rPr>
          <w:rFonts w:ascii="Arial" w:hAnsi="Arial" w:cs="FrankRuehl" w:hint="cs"/>
          <w:sz w:val="28"/>
          <w:szCs w:val="28"/>
          <w:rtl/>
        </w:rPr>
        <w:t xml:space="preserve"> ל</w:t>
      </w:r>
      <w:hyperlink r:id="rId14" w:history="1">
        <w:r w:rsidRPr="00392445">
          <w:rPr>
            <w:rFonts w:ascii="Arial" w:hAnsi="Arial" w:cs="FrankRuehl"/>
            <w:color w:val="0000FF"/>
            <w:sz w:val="28"/>
            <w:szCs w:val="28"/>
            <w:u w:val="single"/>
            <w:rtl/>
          </w:rPr>
          <w:t>חוק העונשין</w:t>
        </w:r>
      </w:hyperlink>
      <w:r>
        <w:rPr>
          <w:rFonts w:ascii="Arial" w:hAnsi="Arial" w:cs="FrankRuehl" w:hint="cs"/>
          <w:sz w:val="28"/>
          <w:szCs w:val="28"/>
          <w:rtl/>
        </w:rPr>
        <w:t xml:space="preserve">, התשל"ז-1977 ובעבירה של סיוע לנשיאת נשק, עבירה לפי </w:t>
      </w:r>
      <w:hyperlink r:id="rId15" w:history="1">
        <w:r w:rsidR="00686965" w:rsidRPr="00686965">
          <w:rPr>
            <w:rStyle w:val="Hyperlink"/>
            <w:rFonts w:ascii="Arial" w:hAnsi="Arial" w:cs="FrankRuehl" w:hint="eastAsia"/>
            <w:sz w:val="28"/>
            <w:szCs w:val="28"/>
            <w:rtl/>
          </w:rPr>
          <w:t>סעיף</w:t>
        </w:r>
        <w:r w:rsidR="00686965" w:rsidRPr="00686965">
          <w:rPr>
            <w:rStyle w:val="Hyperlink"/>
            <w:rFonts w:ascii="Arial" w:hAnsi="Arial" w:cs="FrankRuehl"/>
            <w:sz w:val="28"/>
            <w:szCs w:val="28"/>
            <w:rtl/>
          </w:rPr>
          <w:t xml:space="preserve"> 144 (ב)</w:t>
        </w:r>
      </w:hyperlink>
      <w:r>
        <w:rPr>
          <w:rFonts w:ascii="Arial" w:hAnsi="Arial" w:cs="FrankRuehl" w:hint="cs"/>
          <w:sz w:val="28"/>
          <w:szCs w:val="28"/>
          <w:rtl/>
        </w:rPr>
        <w:t xml:space="preserve"> ריישא בצירוף </w:t>
      </w:r>
      <w:hyperlink r:id="rId16" w:history="1">
        <w:r w:rsidR="00686965" w:rsidRPr="00686965">
          <w:rPr>
            <w:rStyle w:val="Hyperlink"/>
            <w:rFonts w:ascii="Arial" w:hAnsi="Arial" w:cs="FrankRuehl" w:hint="eastAsia"/>
            <w:sz w:val="28"/>
            <w:szCs w:val="28"/>
            <w:rtl/>
          </w:rPr>
          <w:t>סעיף</w:t>
        </w:r>
        <w:r w:rsidR="00686965" w:rsidRPr="00686965">
          <w:rPr>
            <w:rStyle w:val="Hyperlink"/>
            <w:rFonts w:ascii="Arial" w:hAnsi="Arial" w:cs="FrankRuehl"/>
            <w:sz w:val="28"/>
            <w:szCs w:val="28"/>
            <w:rtl/>
          </w:rPr>
          <w:t xml:space="preserve"> 31</w:t>
        </w:r>
      </w:hyperlink>
      <w:r>
        <w:rPr>
          <w:rFonts w:ascii="Arial" w:hAnsi="Arial" w:cs="FrankRuehl" w:hint="cs"/>
          <w:sz w:val="28"/>
          <w:szCs w:val="28"/>
          <w:rtl/>
        </w:rPr>
        <w:t xml:space="preserve"> לחוק.</w:t>
      </w:r>
    </w:p>
    <w:p w14:paraId="512120CB" w14:textId="77777777" w:rsidR="00925C61" w:rsidRDefault="00925C61">
      <w:pPr>
        <w:spacing w:line="360" w:lineRule="auto"/>
        <w:ind w:left="720" w:hanging="720"/>
        <w:jc w:val="both"/>
        <w:rPr>
          <w:rFonts w:ascii="Arial" w:hAnsi="Arial" w:cs="FrankRuehl"/>
          <w:sz w:val="28"/>
          <w:szCs w:val="28"/>
          <w:rtl/>
        </w:rPr>
      </w:pPr>
    </w:p>
    <w:p w14:paraId="7EF3E7D4" w14:textId="77777777" w:rsidR="00925C61" w:rsidRDefault="00392445">
      <w:pPr>
        <w:spacing w:line="360" w:lineRule="auto"/>
        <w:ind w:left="720" w:hanging="720"/>
        <w:jc w:val="both"/>
        <w:rPr>
          <w:rFonts w:ascii="Arial" w:hAnsi="Arial" w:cs="FrankRuehl"/>
          <w:sz w:val="28"/>
          <w:szCs w:val="28"/>
          <w:rtl/>
        </w:rPr>
      </w:pPr>
      <w:r>
        <w:rPr>
          <w:rFonts w:ascii="Arial" w:hAnsi="Arial" w:cs="FrankRuehl" w:hint="cs"/>
          <w:sz w:val="28"/>
          <w:szCs w:val="28"/>
          <w:rtl/>
        </w:rPr>
        <w:lastRenderedPageBreak/>
        <w:t>2.</w:t>
      </w:r>
      <w:r>
        <w:rPr>
          <w:rFonts w:ascii="Arial" w:hAnsi="Arial" w:cs="FrankRuehl" w:hint="cs"/>
          <w:sz w:val="28"/>
          <w:szCs w:val="28"/>
          <w:rtl/>
        </w:rPr>
        <w:tab/>
      </w:r>
      <w:bookmarkStart w:id="6" w:name="ABSTRACT_START"/>
      <w:bookmarkEnd w:id="6"/>
      <w:r>
        <w:rPr>
          <w:rFonts w:ascii="Arial" w:hAnsi="Arial" w:cs="FrankRuehl" w:hint="cs"/>
          <w:sz w:val="28"/>
          <w:szCs w:val="28"/>
          <w:rtl/>
        </w:rPr>
        <w:t xml:space="preserve">על פי עובדות כתב האישום המתוקן,  ביום 21.6.14 בסמוך לשעה 22:00 שהה הנאשם בכפר חרבתא ביחד עם אובי שריתח (להלן: "אובי") ושניים נוספים. אובי פנה אל הנאשם וביקש ממנו כי יסייע לו להשיג נשק למטרת ירי בזמן חתונות וחאפלות , הנאשם יצר בו בעת קשר טלפוני עם אדם אחר במטרה להשיג מבוקשו של אובי ולהוציא את עסקת הנשק אל הפועל. </w:t>
      </w:r>
    </w:p>
    <w:p w14:paraId="6E11B948" w14:textId="77777777" w:rsidR="00925C61" w:rsidRDefault="00925C61">
      <w:pPr>
        <w:spacing w:line="360" w:lineRule="auto"/>
        <w:jc w:val="both"/>
        <w:rPr>
          <w:rFonts w:cs="FrankRuehl"/>
          <w:sz w:val="28"/>
          <w:szCs w:val="28"/>
          <w:rtl/>
        </w:rPr>
      </w:pPr>
      <w:bookmarkStart w:id="7" w:name="ABSTRACT_END"/>
      <w:bookmarkEnd w:id="7"/>
    </w:p>
    <w:p w14:paraId="38FDF65E" w14:textId="77777777" w:rsidR="00925C61" w:rsidRDefault="00392445">
      <w:pPr>
        <w:spacing w:line="360" w:lineRule="auto"/>
        <w:ind w:left="720"/>
        <w:jc w:val="both"/>
        <w:rPr>
          <w:rFonts w:cs="FrankRuehl"/>
          <w:sz w:val="28"/>
          <w:szCs w:val="28"/>
          <w:rtl/>
        </w:rPr>
      </w:pPr>
      <w:r>
        <w:rPr>
          <w:rFonts w:cs="FrankRuehl" w:hint="cs"/>
          <w:sz w:val="28"/>
          <w:szCs w:val="28"/>
          <w:rtl/>
        </w:rPr>
        <w:t xml:space="preserve">בהמשך, עדכן הנאשם את אובי כי מחיר הנשק הינו 6,500 ₪ , או אז נסעו הנאשם , אובי ושניים אחרים לעבר נעלין, ברכבו של אובי, לשם השלמת ביצוע עסקת הנשק. עם הגעתם לנעלין בשעה 23:30, ולאחר שאובי מסר לידי הנאשם 6,500 ₪ לשם רכישת הנשק, עצר אובי את הג'יפ בו נהג ליד רכב אחר מסוג סובארו, הנאשם יצא מהג'יפ, הלך לעבר רכב הסובארו , נכנס אליו ונסע מהמקום ובחלוף עשר דקות שב ונכנס אל הג'יפ כשהוא נושא איתו נשק מאולתר מסוג תת מקלע דמוי "קארל גוסטב" , בתוכו מחסנית ובה כדור </w:t>
      </w:r>
      <w:smartTag w:uri="urn:schemas-microsoft-com:office:smarttags" w:element="metricconverter">
        <w:smartTagPr>
          <w:attr w:name="ProductID" w:val="9 מ&quot;מ"/>
        </w:smartTagPr>
        <w:r>
          <w:rPr>
            <w:rFonts w:cs="FrankRuehl" w:hint="cs"/>
            <w:sz w:val="28"/>
            <w:szCs w:val="28"/>
            <w:rtl/>
          </w:rPr>
          <w:t>9 מ"מ</w:t>
        </w:r>
      </w:smartTag>
      <w:r>
        <w:rPr>
          <w:rFonts w:cs="FrankRuehl" w:hint="cs"/>
          <w:sz w:val="28"/>
          <w:szCs w:val="28"/>
          <w:rtl/>
        </w:rPr>
        <w:t xml:space="preserve"> בודד ו </w:t>
      </w:r>
      <w:r>
        <w:rPr>
          <w:rFonts w:cs="FrankRuehl"/>
          <w:sz w:val="28"/>
          <w:szCs w:val="28"/>
          <w:rtl/>
        </w:rPr>
        <w:t>–</w:t>
      </w:r>
      <w:r>
        <w:rPr>
          <w:rFonts w:cs="FrankRuehl" w:hint="cs"/>
          <w:sz w:val="28"/>
          <w:szCs w:val="28"/>
          <w:rtl/>
        </w:rPr>
        <w:t xml:space="preserve"> 9 כדורי </w:t>
      </w:r>
      <w:smartTag w:uri="urn:schemas-microsoft-com:office:smarttags" w:element="metricconverter">
        <w:smartTagPr>
          <w:attr w:name="ProductID" w:val="9 מ&quot;מ"/>
        </w:smartTagPr>
        <w:r>
          <w:rPr>
            <w:rFonts w:cs="FrankRuehl" w:hint="cs"/>
            <w:sz w:val="28"/>
            <w:szCs w:val="28"/>
            <w:rtl/>
          </w:rPr>
          <w:t>9 מ"מ</w:t>
        </w:r>
      </w:smartTag>
      <w:r>
        <w:rPr>
          <w:rFonts w:cs="FrankRuehl" w:hint="cs"/>
          <w:sz w:val="28"/>
          <w:szCs w:val="28"/>
          <w:rtl/>
        </w:rPr>
        <w:t xml:space="preserve"> נוספים בתפזורת אותם מסר לידי אובי.</w:t>
      </w:r>
    </w:p>
    <w:p w14:paraId="01E14DB1" w14:textId="77777777" w:rsidR="00925C61" w:rsidRDefault="00925C61">
      <w:pPr>
        <w:spacing w:line="360" w:lineRule="auto"/>
        <w:jc w:val="both"/>
        <w:rPr>
          <w:rFonts w:cs="FrankRuehl"/>
          <w:sz w:val="28"/>
          <w:szCs w:val="28"/>
          <w:rtl/>
        </w:rPr>
      </w:pPr>
    </w:p>
    <w:p w14:paraId="3B6E351A" w14:textId="77777777" w:rsidR="00925C61" w:rsidRDefault="00392445">
      <w:pPr>
        <w:spacing w:line="360" w:lineRule="auto"/>
        <w:jc w:val="both"/>
        <w:rPr>
          <w:rFonts w:cs="FrankRuehl"/>
          <w:sz w:val="28"/>
          <w:szCs w:val="28"/>
          <w:rtl/>
        </w:rPr>
      </w:pPr>
      <w:r>
        <w:rPr>
          <w:rFonts w:cs="FrankRuehl" w:hint="cs"/>
          <w:sz w:val="28"/>
          <w:szCs w:val="28"/>
          <w:rtl/>
        </w:rPr>
        <w:t>3.</w:t>
      </w:r>
      <w:r>
        <w:rPr>
          <w:rFonts w:cs="FrankRuehl" w:hint="cs"/>
          <w:sz w:val="28"/>
          <w:szCs w:val="28"/>
          <w:rtl/>
        </w:rPr>
        <w:tab/>
        <w:t>הסדר הטיעון לא כלל הסכמה לעניין העונש.</w:t>
      </w:r>
    </w:p>
    <w:p w14:paraId="0DF7E9F6" w14:textId="77777777" w:rsidR="00925C61" w:rsidRDefault="00925C61">
      <w:pPr>
        <w:spacing w:line="360" w:lineRule="auto"/>
        <w:jc w:val="both"/>
        <w:rPr>
          <w:rFonts w:cs="FrankRuehl"/>
          <w:sz w:val="28"/>
          <w:szCs w:val="28"/>
          <w:rtl/>
        </w:rPr>
      </w:pPr>
    </w:p>
    <w:p w14:paraId="7AD73FBB" w14:textId="77777777" w:rsidR="00925C61" w:rsidRDefault="00392445">
      <w:pPr>
        <w:spacing w:line="360" w:lineRule="auto"/>
        <w:jc w:val="both"/>
        <w:rPr>
          <w:rFonts w:cs="FrankRuehl"/>
          <w:b/>
          <w:bCs/>
          <w:sz w:val="28"/>
          <w:szCs w:val="28"/>
          <w:u w:val="single"/>
          <w:rtl/>
        </w:rPr>
      </w:pPr>
      <w:r>
        <w:rPr>
          <w:rFonts w:cs="FrankRuehl" w:hint="cs"/>
          <w:b/>
          <w:bCs/>
          <w:sz w:val="28"/>
          <w:szCs w:val="28"/>
          <w:u w:val="single"/>
          <w:rtl/>
        </w:rPr>
        <w:t>טיעוני הצדדים לעונש:</w:t>
      </w:r>
    </w:p>
    <w:p w14:paraId="2EB4E012" w14:textId="77777777" w:rsidR="00925C61" w:rsidRDefault="00392445">
      <w:pPr>
        <w:spacing w:line="360" w:lineRule="auto"/>
        <w:ind w:left="720" w:hanging="720"/>
        <w:jc w:val="both"/>
        <w:rPr>
          <w:rStyle w:val="a6"/>
          <w:rFonts w:ascii="David" w:hAnsi="David" w:cs="FrankRuehl"/>
          <w:sz w:val="28"/>
          <w:szCs w:val="28"/>
          <w:rtl/>
        </w:rPr>
      </w:pPr>
      <w:r>
        <w:rPr>
          <w:rFonts w:cs="FrankRuehl" w:hint="cs"/>
          <w:sz w:val="28"/>
          <w:szCs w:val="28"/>
          <w:rtl/>
        </w:rPr>
        <w:t>4.</w:t>
      </w:r>
      <w:r>
        <w:rPr>
          <w:rFonts w:cs="FrankRuehl" w:hint="cs"/>
          <w:sz w:val="28"/>
          <w:szCs w:val="28"/>
          <w:rtl/>
        </w:rPr>
        <w:tab/>
        <w:t xml:space="preserve">ב"כ המאשימה </w:t>
      </w:r>
      <w:r>
        <w:rPr>
          <w:rStyle w:val="a6"/>
          <w:rFonts w:ascii="David" w:hAnsi="David" w:cs="FrankRuehl" w:hint="cs"/>
          <w:sz w:val="28"/>
          <w:szCs w:val="28"/>
          <w:rtl/>
        </w:rPr>
        <w:t xml:space="preserve">הגיש לבית המשפט את גיליון הרישום הפלילי של הנאשם, ועתר להשית על הנאשם עונש מאסר בפועל, מאסר על תנאי וקנס. לשיטתו, מתחם העונש ההולם נע בין 9 חודשים לבין 20 חודשי מאסר בפועל ויש לגזור את עונשו של הנאשם ברף הגבוה במתחם. </w:t>
      </w:r>
    </w:p>
    <w:p w14:paraId="6C04E52F" w14:textId="77777777" w:rsidR="00925C61" w:rsidRDefault="00925C61">
      <w:pPr>
        <w:spacing w:line="360" w:lineRule="auto"/>
        <w:ind w:left="720" w:hanging="720"/>
        <w:jc w:val="both"/>
        <w:rPr>
          <w:rStyle w:val="a6"/>
          <w:rFonts w:ascii="David" w:hAnsi="David" w:cs="FrankRuehl"/>
          <w:sz w:val="28"/>
          <w:szCs w:val="28"/>
          <w:rtl/>
        </w:rPr>
      </w:pPr>
    </w:p>
    <w:p w14:paraId="12D92354"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ב"כ המאשימה טען כי מדובר בעבירות שהערך המוגן בהן הינו שלום הציבור ובטחונו. בית המשפט העליון עומד  תדיר על חומרתן של עבירות הנשק, פוטנציאל הסכנה הטמונה בהן וקובע פעם אחר פעם כי יש להטיל עונשים חמורים. מעשיו של הנאשם מצדיקים ענישה מרתיעה, לאור העובדה שהנאשם היה שותף לתכנון שקדם לביצוע העבירה, והיה צמוד בכל שלבי ביצוע העבירה למבצע העיקרי, וללא יכולתו וקשריו של הנאשם העסקה לא הייתה יוצאת אל הפועל.</w:t>
      </w:r>
    </w:p>
    <w:p w14:paraId="2F2D0CAE" w14:textId="77777777" w:rsidR="00925C61" w:rsidRDefault="00925C61">
      <w:pPr>
        <w:spacing w:line="360" w:lineRule="auto"/>
        <w:jc w:val="both"/>
        <w:rPr>
          <w:rStyle w:val="a6"/>
          <w:rFonts w:ascii="David" w:hAnsi="David" w:cs="FrankRuehl"/>
          <w:sz w:val="28"/>
          <w:szCs w:val="28"/>
          <w:rtl/>
        </w:rPr>
      </w:pPr>
    </w:p>
    <w:p w14:paraId="6E4C4DC5"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lastRenderedPageBreak/>
        <w:t xml:space="preserve">הנאשם הורשע בשנת 2006 בהסעת שב"ח ובהחזקת נשק חשוד כגנוב ובעבר הורשע אף בשוד מזוין בגינו נדון למאסר בפועל. </w:t>
      </w:r>
    </w:p>
    <w:p w14:paraId="00506140" w14:textId="77777777" w:rsidR="00925C61" w:rsidRDefault="00925C61">
      <w:pPr>
        <w:spacing w:line="360" w:lineRule="auto"/>
        <w:jc w:val="both"/>
        <w:rPr>
          <w:rStyle w:val="a6"/>
          <w:rFonts w:ascii="David" w:hAnsi="David" w:cs="FrankRuehl"/>
          <w:sz w:val="28"/>
          <w:szCs w:val="28"/>
          <w:rtl/>
        </w:rPr>
      </w:pPr>
    </w:p>
    <w:p w14:paraId="26AF9045" w14:textId="77777777" w:rsidR="00925C61" w:rsidRDefault="00392445">
      <w:pPr>
        <w:spacing w:line="360" w:lineRule="auto"/>
        <w:ind w:firstLine="720"/>
        <w:jc w:val="both"/>
        <w:rPr>
          <w:rStyle w:val="a6"/>
          <w:rFonts w:ascii="David" w:hAnsi="David" w:cs="FrankRuehl"/>
          <w:sz w:val="28"/>
          <w:szCs w:val="28"/>
          <w:rtl/>
        </w:rPr>
      </w:pPr>
      <w:r>
        <w:rPr>
          <w:rStyle w:val="a6"/>
          <w:rFonts w:ascii="David" w:hAnsi="David" w:cs="FrankRuehl" w:hint="cs"/>
          <w:sz w:val="28"/>
          <w:szCs w:val="28"/>
          <w:rtl/>
        </w:rPr>
        <w:t>כן הפנה ב"כ המאשימה למספר פסקי דין מהם לטעמו ניתן לקבוע את המתחם המבוקש.</w:t>
      </w:r>
    </w:p>
    <w:p w14:paraId="383E6D80" w14:textId="77777777" w:rsidR="00925C61" w:rsidRDefault="00392445">
      <w:pPr>
        <w:spacing w:line="360" w:lineRule="auto"/>
        <w:ind w:left="720"/>
        <w:jc w:val="both"/>
        <w:rPr>
          <w:rStyle w:val="a6"/>
          <w:rFonts w:ascii="David" w:hAnsi="David" w:cs="FrankRuehl"/>
          <w:sz w:val="28"/>
          <w:szCs w:val="28"/>
          <w:rtl/>
        </w:rPr>
      </w:pPr>
      <w:hyperlink r:id="rId17" w:history="1">
        <w:r w:rsidRPr="00392445">
          <w:rPr>
            <w:rStyle w:val="a6"/>
            <w:rFonts w:ascii="David" w:hAnsi="David" w:cs="FrankRuehl"/>
            <w:color w:val="0000FF"/>
            <w:sz w:val="28"/>
            <w:szCs w:val="28"/>
            <w:u w:val="single"/>
            <w:rtl/>
          </w:rPr>
          <w:t>ע"פ  5677/12</w:t>
        </w:r>
      </w:hyperlink>
      <w:r>
        <w:rPr>
          <w:rStyle w:val="a6"/>
          <w:rFonts w:ascii="David" w:hAnsi="David" w:cs="FrankRuehl" w:hint="cs"/>
          <w:sz w:val="28"/>
          <w:szCs w:val="28"/>
          <w:rtl/>
        </w:rPr>
        <w:t xml:space="preserve"> מרעי מג'ד נגד מדינת ישראל, בו נגזרו 24 חודשי מאסר בפועל על נשיאת נשק בצוותא. </w:t>
      </w:r>
    </w:p>
    <w:p w14:paraId="4DFBA5D6" w14:textId="77777777" w:rsidR="00925C61" w:rsidRDefault="00392445">
      <w:pPr>
        <w:spacing w:line="360" w:lineRule="auto"/>
        <w:ind w:left="720"/>
        <w:jc w:val="both"/>
        <w:rPr>
          <w:rStyle w:val="a6"/>
          <w:rFonts w:ascii="David" w:hAnsi="David" w:cs="FrankRuehl"/>
          <w:sz w:val="28"/>
          <w:szCs w:val="28"/>
          <w:rtl/>
        </w:rPr>
      </w:pPr>
      <w:hyperlink r:id="rId18" w:history="1">
        <w:r w:rsidRPr="00392445">
          <w:rPr>
            <w:rStyle w:val="a6"/>
            <w:rFonts w:ascii="David" w:hAnsi="David" w:cs="FrankRuehl"/>
            <w:color w:val="0000FF"/>
            <w:sz w:val="28"/>
            <w:szCs w:val="28"/>
            <w:u w:val="single"/>
            <w:rtl/>
          </w:rPr>
          <w:t>ע"פ 2892/13</w:t>
        </w:r>
      </w:hyperlink>
      <w:r>
        <w:rPr>
          <w:rStyle w:val="a6"/>
          <w:rFonts w:ascii="David" w:hAnsi="David" w:cs="FrankRuehl" w:hint="cs"/>
          <w:sz w:val="28"/>
          <w:szCs w:val="28"/>
          <w:rtl/>
        </w:rPr>
        <w:t xml:space="preserve"> מוחמד עודתאללה נגד מדינת ישראל, בו נדון הנאשם ל-21 חודשי מאסר לאחר שהורשע בעבירות של נשיאה והובלה של נשק שלא כדין והסתייעות ברכב לביצוע פשע.</w:t>
      </w:r>
    </w:p>
    <w:p w14:paraId="4A15D084" w14:textId="77777777" w:rsidR="00925C61" w:rsidRDefault="00925C61">
      <w:pPr>
        <w:spacing w:line="360" w:lineRule="auto"/>
        <w:ind w:left="720"/>
        <w:jc w:val="both"/>
        <w:rPr>
          <w:rStyle w:val="a6"/>
          <w:rFonts w:ascii="David" w:hAnsi="David" w:cs="FrankRuehl"/>
          <w:sz w:val="28"/>
          <w:szCs w:val="28"/>
          <w:rtl/>
        </w:rPr>
      </w:pPr>
    </w:p>
    <w:p w14:paraId="41ED469F"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על אובי נגזרו 10 חודשי מאסר, אלא שלשיטת ב"כ המאשימה יש לאבחן בין שני הנאשמים באשר אובי בן 21 שנים ונעדר עבר פלילי, עבד לאורך השנים ותפקד באורך נורמטיבי. בית המשפט בעניינו ציין שהוא מתרשם מצעיר הנעדר דפוסי עבריינות.</w:t>
      </w:r>
    </w:p>
    <w:p w14:paraId="46BB2677" w14:textId="77777777" w:rsidR="00925C61" w:rsidRDefault="00925C61">
      <w:pPr>
        <w:spacing w:line="360" w:lineRule="auto"/>
        <w:jc w:val="both"/>
        <w:rPr>
          <w:rFonts w:cs="FrankRuehl"/>
          <w:sz w:val="28"/>
          <w:szCs w:val="28"/>
          <w:rtl/>
        </w:rPr>
      </w:pPr>
    </w:p>
    <w:p w14:paraId="14BF81DE" w14:textId="77777777" w:rsidR="00925C61" w:rsidRDefault="00392445">
      <w:pPr>
        <w:spacing w:line="360" w:lineRule="auto"/>
        <w:ind w:left="720" w:hanging="720"/>
        <w:jc w:val="both"/>
        <w:rPr>
          <w:rStyle w:val="a6"/>
          <w:rFonts w:ascii="David" w:hAnsi="David" w:cs="FrankRuehl"/>
          <w:sz w:val="28"/>
          <w:szCs w:val="28"/>
        </w:rPr>
      </w:pPr>
      <w:r>
        <w:rPr>
          <w:rFonts w:cs="FrankRuehl" w:hint="cs"/>
          <w:sz w:val="28"/>
          <w:szCs w:val="28"/>
          <w:rtl/>
        </w:rPr>
        <w:t>5.</w:t>
      </w:r>
      <w:r>
        <w:rPr>
          <w:rFonts w:cs="FrankRuehl" w:hint="cs"/>
          <w:sz w:val="28"/>
          <w:szCs w:val="28"/>
          <w:rtl/>
        </w:rPr>
        <w:tab/>
        <w:t xml:space="preserve">ב"כ הנאשם טעו כי </w:t>
      </w:r>
      <w:r>
        <w:rPr>
          <w:rStyle w:val="a6"/>
          <w:rFonts w:ascii="David" w:hAnsi="David" w:cs="FrankRuehl" w:hint="cs"/>
          <w:sz w:val="28"/>
          <w:szCs w:val="28"/>
          <w:rtl/>
        </w:rPr>
        <w:t>אין מחלוקת לעניין הערך החברתי שנפגע, אך מדיניות הענישה הנהוגה היא מספר חודשים בודדים של מאסר בפועל עד 18 חודשים, כאשר בדרך כלל הנטייה היא להטיל עבודות שירות או מאסר בפועל קצר, ורק במקרים חריגים העונש המושת הינו שנת מאסר בפועל.</w:t>
      </w:r>
    </w:p>
    <w:p w14:paraId="11E5E4F0" w14:textId="77777777" w:rsidR="00925C61" w:rsidRDefault="00925C61">
      <w:pPr>
        <w:spacing w:line="360" w:lineRule="auto"/>
        <w:ind w:firstLine="720"/>
        <w:jc w:val="both"/>
        <w:rPr>
          <w:rStyle w:val="a6"/>
          <w:rFonts w:ascii="David" w:hAnsi="David" w:cs="FrankRuehl"/>
          <w:sz w:val="28"/>
          <w:szCs w:val="28"/>
          <w:rtl/>
        </w:rPr>
      </w:pPr>
    </w:p>
    <w:p w14:paraId="3B8C8302"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ב"כ הנאשם הפנה ל</w:t>
      </w:r>
      <w:hyperlink r:id="rId19" w:history="1">
        <w:r w:rsidRPr="00392445">
          <w:rPr>
            <w:rStyle w:val="a6"/>
            <w:rFonts w:ascii="David" w:hAnsi="David" w:cs="FrankRuehl"/>
            <w:color w:val="0000FF"/>
            <w:sz w:val="28"/>
            <w:szCs w:val="28"/>
            <w:u w:val="single"/>
            <w:rtl/>
          </w:rPr>
          <w:t>ת"פ 15376-06-13</w:t>
        </w:r>
      </w:hyperlink>
      <w:r>
        <w:rPr>
          <w:rStyle w:val="a6"/>
          <w:rFonts w:ascii="David" w:hAnsi="David" w:cs="FrankRuehl" w:hint="cs"/>
          <w:sz w:val="28"/>
          <w:szCs w:val="28"/>
          <w:rtl/>
        </w:rPr>
        <w:t xml:space="preserve"> מדינת ישראל נגד אלמוגי, שניתן על ידי כב' הנשיא , השופט טל, בעבירות חמורות יותר, של נשיאת נשק ותחמושת, מעשה פזיזות ורשלנות, ירי באזור מגורים, כאשר מספר רב של יריות נורו לכיוון המתלונן על ידי הנאשם. המתחם שנקבע היה בין 12 ל </w:t>
      </w:r>
      <w:r>
        <w:rPr>
          <w:rStyle w:val="a6"/>
          <w:rFonts w:ascii="David" w:hAnsi="David" w:cs="FrankRuehl"/>
          <w:sz w:val="28"/>
          <w:szCs w:val="28"/>
          <w:rtl/>
        </w:rPr>
        <w:t>–</w:t>
      </w:r>
      <w:r>
        <w:rPr>
          <w:rStyle w:val="a6"/>
          <w:rFonts w:ascii="David" w:hAnsi="David" w:cs="FrankRuehl" w:hint="cs"/>
          <w:sz w:val="28"/>
          <w:szCs w:val="28"/>
          <w:rtl/>
        </w:rPr>
        <w:t xml:space="preserve"> 18 חודשי מאסר. בסופו של יום הוטל על הנאשם עונש של שנת מאסר. ב"כ הנאשם ציין כי באותו תיק דובר בעבירה המוגמרת ולא בעבירת הסיוע שעונשה מחצית.</w:t>
      </w:r>
    </w:p>
    <w:p w14:paraId="188AC9EE" w14:textId="77777777" w:rsidR="00925C61" w:rsidRDefault="00925C61">
      <w:pPr>
        <w:spacing w:line="360" w:lineRule="auto"/>
        <w:ind w:firstLine="720"/>
        <w:jc w:val="both"/>
        <w:rPr>
          <w:rStyle w:val="a6"/>
          <w:rFonts w:ascii="David" w:hAnsi="David" w:cs="FrankRuehl"/>
          <w:sz w:val="28"/>
          <w:szCs w:val="28"/>
          <w:rtl/>
        </w:rPr>
      </w:pPr>
    </w:p>
    <w:p w14:paraId="1F718003"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בנוסף הוגש גזר דינו של השותף שביצע את העבירה המושלמת, אשר נדון ל - 10 חודשי מאסר.</w:t>
      </w:r>
    </w:p>
    <w:p w14:paraId="6048B0AE" w14:textId="77777777" w:rsidR="00925C61" w:rsidRDefault="00925C61">
      <w:pPr>
        <w:spacing w:line="360" w:lineRule="auto"/>
        <w:jc w:val="both"/>
        <w:rPr>
          <w:rStyle w:val="a6"/>
          <w:rFonts w:ascii="David" w:hAnsi="David" w:cs="FrankRuehl"/>
          <w:sz w:val="28"/>
          <w:szCs w:val="28"/>
          <w:rtl/>
        </w:rPr>
      </w:pPr>
    </w:p>
    <w:p w14:paraId="5FAEE8E3"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ככל שהדבר נוגע לנסיבות הקשורות לביצוע העבירה, טען ב"כ הנאשם כי הנאשם קרוב לסייג אחריות פלילית, הגיש את חווה"ד הפסיכיאטרית שנערכה בעניינו וטען כי מדובר בנאשם המוכר למערכת הפסיכיאטרית מאשפוזים רבים במספר רב של בתי חולים, חלקם של האשפוזים היו כפויים, הנאשם אובחן כסובל מסכיזופרניה פרנואידית , אח נוסף סובל מסכיזופרניה ושלישי במצב פסיכוטי.</w:t>
      </w:r>
    </w:p>
    <w:p w14:paraId="542938F6" w14:textId="77777777" w:rsidR="00925C61" w:rsidRDefault="00925C61">
      <w:pPr>
        <w:spacing w:line="360" w:lineRule="auto"/>
        <w:ind w:firstLine="720"/>
        <w:jc w:val="both"/>
        <w:rPr>
          <w:rStyle w:val="a6"/>
          <w:rFonts w:ascii="David" w:hAnsi="David" w:cs="FrankRuehl"/>
          <w:sz w:val="28"/>
          <w:szCs w:val="28"/>
          <w:rtl/>
        </w:rPr>
      </w:pPr>
    </w:p>
    <w:p w14:paraId="4C7B0FCE" w14:textId="77777777" w:rsidR="00925C61" w:rsidRDefault="00392445">
      <w:pPr>
        <w:spacing w:line="360" w:lineRule="auto"/>
        <w:ind w:firstLine="720"/>
        <w:jc w:val="both"/>
        <w:rPr>
          <w:rStyle w:val="a6"/>
          <w:rFonts w:ascii="David" w:hAnsi="David" w:cs="FrankRuehl"/>
          <w:sz w:val="28"/>
          <w:szCs w:val="28"/>
          <w:rtl/>
        </w:rPr>
      </w:pPr>
      <w:r>
        <w:rPr>
          <w:rStyle w:val="a6"/>
          <w:rFonts w:ascii="David" w:hAnsi="David" w:cs="FrankRuehl" w:hint="cs"/>
          <w:sz w:val="28"/>
          <w:szCs w:val="28"/>
          <w:rtl/>
        </w:rPr>
        <w:t>מספר פעמים נקבע כי הנאשם אינו כשיר לעמוד לדין.</w:t>
      </w:r>
    </w:p>
    <w:p w14:paraId="281A34E5" w14:textId="77777777" w:rsidR="00925C61" w:rsidRDefault="00925C61">
      <w:pPr>
        <w:spacing w:line="360" w:lineRule="auto"/>
        <w:jc w:val="both"/>
        <w:rPr>
          <w:rStyle w:val="a6"/>
          <w:rFonts w:ascii="David" w:hAnsi="David" w:cs="FrankRuehl"/>
          <w:sz w:val="28"/>
          <w:szCs w:val="28"/>
          <w:rtl/>
        </w:rPr>
      </w:pPr>
    </w:p>
    <w:p w14:paraId="106BED9E"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 xml:space="preserve">שתי הרשעותיו הקודמות של הנאשם התיישנו, אך טרם נמחקו ואין לאותן הרשעות כל נגיעה לנושא נשק. </w:t>
      </w:r>
    </w:p>
    <w:p w14:paraId="17877143" w14:textId="77777777" w:rsidR="00925C61" w:rsidRDefault="00925C61">
      <w:pPr>
        <w:spacing w:line="360" w:lineRule="auto"/>
        <w:ind w:left="720"/>
        <w:jc w:val="both"/>
        <w:rPr>
          <w:rStyle w:val="a6"/>
          <w:rFonts w:ascii="David" w:hAnsi="David" w:cs="FrankRuehl"/>
          <w:sz w:val="28"/>
          <w:szCs w:val="28"/>
        </w:rPr>
      </w:pPr>
    </w:p>
    <w:p w14:paraId="4210C6EB"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ב"כ הנאשם עתר לקביעת מתחם הנע בין מספר חודשי מאסר שניתן לרצות בעבודות שירות ל- 18 חודשי מאסר בפועל, שזה המתחם לעבירה מושלמת ולא לעבירת הסיוע, כשהמתחם לסיוע הוא מחצית.</w:t>
      </w:r>
    </w:p>
    <w:p w14:paraId="18AC0C53" w14:textId="77777777" w:rsidR="00925C61" w:rsidRDefault="00925C61">
      <w:pPr>
        <w:spacing w:line="360" w:lineRule="auto"/>
        <w:jc w:val="both"/>
        <w:rPr>
          <w:rStyle w:val="a6"/>
          <w:rFonts w:ascii="David" w:hAnsi="David" w:cs="FrankRuehl"/>
          <w:sz w:val="28"/>
          <w:szCs w:val="28"/>
          <w:rtl/>
        </w:rPr>
      </w:pPr>
    </w:p>
    <w:p w14:paraId="1B6195A9"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לעניין קביעה בתוך המתחם, מדובר בנאשם שבנוסף למחלתו הנפשית, נסיבותיו האישיות מיוחדות: הוא הבכור מבין 7 ילדים, כאשר שניים מאחיו סובלים מבעיות נפשיות. בגין 10 הוא נשר מהלימודים בשל מצוקה כלכלית והחל לעבוד בעבודות מזדמנות כמו עוזר טבח ומלצר, על מנת לעזור לפרנסת המשפחה. לפני מספר שנים התחתן, נולד לו ילד שהיום הוא בן 3 שנים ולפני שנתיים התגרש מאשתו. הנאשם מקבל קצבת נכות מביטוח לאומי.</w:t>
      </w:r>
    </w:p>
    <w:p w14:paraId="09B72F24" w14:textId="77777777" w:rsidR="00925C61" w:rsidRDefault="00925C61">
      <w:pPr>
        <w:spacing w:line="360" w:lineRule="auto"/>
        <w:ind w:firstLine="720"/>
        <w:jc w:val="both"/>
        <w:rPr>
          <w:rStyle w:val="a6"/>
          <w:rFonts w:ascii="David" w:hAnsi="David" w:cs="FrankRuehl"/>
          <w:sz w:val="28"/>
          <w:szCs w:val="28"/>
          <w:rtl/>
        </w:rPr>
      </w:pPr>
    </w:p>
    <w:p w14:paraId="53983B23"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המאסר והמעצר פוגעים קשות הן בנאשם והן במשפחתו, שכן הנאשם מתגורר ביחד עם אמו ועוזר בפרנסת הבית, ומאז מעצרו לא ראה את ילדו.</w:t>
      </w:r>
    </w:p>
    <w:p w14:paraId="12219D5C" w14:textId="77777777" w:rsidR="00925C61" w:rsidRDefault="00925C61">
      <w:pPr>
        <w:spacing w:line="360" w:lineRule="auto"/>
        <w:ind w:firstLine="720"/>
        <w:jc w:val="both"/>
        <w:rPr>
          <w:rStyle w:val="a6"/>
          <w:rFonts w:ascii="David" w:hAnsi="David" w:cs="FrankRuehl"/>
          <w:sz w:val="28"/>
          <w:szCs w:val="28"/>
          <w:rtl/>
        </w:rPr>
      </w:pPr>
    </w:p>
    <w:p w14:paraId="2E9E9EA0" w14:textId="77777777" w:rsidR="00925C61" w:rsidRDefault="00392445">
      <w:pPr>
        <w:spacing w:line="360" w:lineRule="auto"/>
        <w:ind w:firstLine="720"/>
        <w:jc w:val="both"/>
        <w:rPr>
          <w:rStyle w:val="a6"/>
          <w:rFonts w:ascii="David" w:hAnsi="David" w:cs="FrankRuehl"/>
          <w:sz w:val="28"/>
          <w:szCs w:val="28"/>
          <w:rtl/>
        </w:rPr>
      </w:pPr>
      <w:r>
        <w:rPr>
          <w:rStyle w:val="a6"/>
          <w:rFonts w:ascii="David" w:hAnsi="David" w:cs="FrankRuehl" w:hint="cs"/>
          <w:sz w:val="28"/>
          <w:szCs w:val="28"/>
          <w:rtl/>
        </w:rPr>
        <w:t>הנאשם לקח אחריות, הודה וחסך זמן שיפוטי יקר.</w:t>
      </w:r>
    </w:p>
    <w:p w14:paraId="16382F8D" w14:textId="77777777" w:rsidR="00925C61" w:rsidRDefault="00925C61">
      <w:pPr>
        <w:spacing w:line="360" w:lineRule="auto"/>
        <w:jc w:val="both"/>
        <w:rPr>
          <w:rStyle w:val="a6"/>
          <w:rFonts w:ascii="David" w:hAnsi="David" w:cs="FrankRuehl"/>
          <w:sz w:val="28"/>
          <w:szCs w:val="28"/>
          <w:rtl/>
        </w:rPr>
      </w:pPr>
    </w:p>
    <w:p w14:paraId="0484FC62"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הנאשם טען כי הוא מקבל את הטיפול הפסיכיאטרי בכלא בזריקות, וכשיצא מבית הסוהר ימשיך את הטיפול בבית חולים 'כפר שאול'.</w:t>
      </w:r>
    </w:p>
    <w:p w14:paraId="7CD2EC00" w14:textId="77777777" w:rsidR="00925C61" w:rsidRDefault="00925C61">
      <w:pPr>
        <w:spacing w:line="360" w:lineRule="auto"/>
        <w:jc w:val="both"/>
        <w:rPr>
          <w:rStyle w:val="a6"/>
          <w:rFonts w:ascii="David" w:hAnsi="David" w:cs="FrankRuehl"/>
          <w:b/>
          <w:bCs/>
          <w:sz w:val="28"/>
          <w:szCs w:val="28"/>
          <w:u w:val="single"/>
          <w:rtl/>
        </w:rPr>
      </w:pPr>
    </w:p>
    <w:p w14:paraId="42B4C93D" w14:textId="77777777" w:rsidR="00925C61" w:rsidRDefault="00392445">
      <w:pPr>
        <w:spacing w:line="360" w:lineRule="auto"/>
        <w:jc w:val="both"/>
        <w:rPr>
          <w:rStyle w:val="a6"/>
          <w:rFonts w:ascii="David" w:hAnsi="David" w:cs="FrankRuehl"/>
          <w:b/>
          <w:bCs/>
          <w:sz w:val="28"/>
          <w:szCs w:val="28"/>
          <w:u w:val="single"/>
          <w:rtl/>
        </w:rPr>
      </w:pPr>
      <w:r>
        <w:rPr>
          <w:rStyle w:val="a6"/>
          <w:rFonts w:ascii="David" w:hAnsi="David" w:cs="FrankRuehl" w:hint="cs"/>
          <w:b/>
          <w:bCs/>
          <w:sz w:val="28"/>
          <w:szCs w:val="28"/>
          <w:u w:val="single"/>
          <w:rtl/>
        </w:rPr>
        <w:t>דיון והכרעה:</w:t>
      </w:r>
    </w:p>
    <w:p w14:paraId="2C991223" w14:textId="77777777" w:rsidR="00925C61" w:rsidRDefault="00392445">
      <w:pPr>
        <w:spacing w:line="360" w:lineRule="auto"/>
        <w:jc w:val="both"/>
        <w:rPr>
          <w:rStyle w:val="a6"/>
          <w:rFonts w:ascii="David" w:hAnsi="David" w:cs="FrankRuehl"/>
          <w:sz w:val="28"/>
          <w:szCs w:val="28"/>
          <w:u w:val="single"/>
          <w:rtl/>
        </w:rPr>
      </w:pPr>
      <w:r>
        <w:rPr>
          <w:rStyle w:val="a6"/>
          <w:rFonts w:ascii="David" w:hAnsi="David" w:cs="FrankRuehl" w:hint="cs"/>
          <w:sz w:val="28"/>
          <w:szCs w:val="28"/>
          <w:u w:val="single"/>
          <w:rtl/>
        </w:rPr>
        <w:t xml:space="preserve">מתחם העונש ההולם </w:t>
      </w:r>
      <w:r>
        <w:rPr>
          <w:rStyle w:val="a6"/>
          <w:rFonts w:ascii="David" w:hAnsi="David" w:cs="FrankRuehl"/>
          <w:sz w:val="28"/>
          <w:szCs w:val="28"/>
          <w:u w:val="single"/>
          <w:rtl/>
        </w:rPr>
        <w:t>–</w:t>
      </w:r>
      <w:r>
        <w:rPr>
          <w:rStyle w:val="a6"/>
          <w:rFonts w:ascii="David" w:hAnsi="David" w:cs="FrankRuehl" w:hint="cs"/>
          <w:sz w:val="28"/>
          <w:szCs w:val="28"/>
          <w:u w:val="single"/>
          <w:rtl/>
        </w:rPr>
        <w:t xml:space="preserve"> סיוע לדבר עבירה</w:t>
      </w:r>
    </w:p>
    <w:p w14:paraId="07598E8D" w14:textId="77777777" w:rsidR="00925C61" w:rsidRDefault="00392445">
      <w:pPr>
        <w:spacing w:line="360" w:lineRule="auto"/>
        <w:ind w:left="720" w:hanging="720"/>
        <w:jc w:val="both"/>
        <w:rPr>
          <w:rStyle w:val="a6"/>
          <w:rFonts w:ascii="David" w:hAnsi="David" w:cs="FrankRuehl"/>
          <w:sz w:val="28"/>
          <w:szCs w:val="28"/>
          <w:rtl/>
        </w:rPr>
      </w:pPr>
      <w:r>
        <w:rPr>
          <w:rStyle w:val="a6"/>
          <w:rFonts w:ascii="David" w:hAnsi="David" w:cs="FrankRuehl" w:hint="cs"/>
          <w:sz w:val="28"/>
          <w:szCs w:val="28"/>
          <w:rtl/>
        </w:rPr>
        <w:t>6.</w:t>
      </w:r>
      <w:r>
        <w:rPr>
          <w:rStyle w:val="a6"/>
          <w:rFonts w:ascii="David" w:hAnsi="David" w:cs="FrankRuehl" w:hint="cs"/>
          <w:sz w:val="28"/>
          <w:szCs w:val="28"/>
          <w:rtl/>
        </w:rPr>
        <w:tab/>
      </w:r>
      <w:r>
        <w:rPr>
          <w:rStyle w:val="a6"/>
          <w:rFonts w:ascii="David" w:hAnsi="David" w:cs="FrankRuehl"/>
          <w:sz w:val="28"/>
          <w:szCs w:val="28"/>
          <w:rtl/>
        </w:rPr>
        <w:t>"[...] כידוע, תרומתו של המסייע היא עקיפה ומשנית, משום שאין הוא נוטל חלק בביצוע העיקרי של העבירה ואין הוא אלא שותף זוטר למבצע העיקרי (ע"</w:t>
      </w:r>
      <w:hyperlink r:id="rId20" w:history="1">
        <w:r w:rsidRPr="00392445">
          <w:rPr>
            <w:rStyle w:val="a6"/>
            <w:rFonts w:ascii="David" w:hAnsi="David" w:cs="FrankRuehl"/>
            <w:color w:val="0000FF"/>
            <w:sz w:val="28"/>
            <w:szCs w:val="28"/>
            <w:u w:val="single"/>
            <w:rtl/>
          </w:rPr>
          <w:t>פ 320/99 פלונית נ' מדינת ישראל, פ"ד נה</w:t>
        </w:r>
      </w:hyperlink>
      <w:r>
        <w:rPr>
          <w:rStyle w:val="a6"/>
          <w:rFonts w:ascii="David" w:hAnsi="David" w:cs="FrankRuehl"/>
          <w:sz w:val="28"/>
          <w:szCs w:val="28"/>
          <w:rtl/>
        </w:rPr>
        <w:t xml:space="preserve">(3) 22, 34-33 (2001)). </w:t>
      </w:r>
      <w:hyperlink r:id="rId21" w:history="1">
        <w:r w:rsidR="00686965" w:rsidRPr="00686965">
          <w:rPr>
            <w:rStyle w:val="Hyperlink"/>
            <w:rFonts w:ascii="David" w:hAnsi="David" w:cs="FrankRuehl"/>
            <w:sz w:val="28"/>
            <w:szCs w:val="28"/>
            <w:rtl/>
          </w:rPr>
          <w:t>סעיף 40ט(א)</w:t>
        </w:r>
      </w:hyperlink>
      <w:r>
        <w:rPr>
          <w:rStyle w:val="a6"/>
          <w:rFonts w:ascii="David" w:hAnsi="David" w:cs="FrankRuehl"/>
          <w:sz w:val="28"/>
          <w:szCs w:val="28"/>
          <w:rtl/>
        </w:rPr>
        <w:t xml:space="preserve"> ל</w:t>
      </w:r>
      <w:hyperlink r:id="rId22" w:history="1">
        <w:r w:rsidRPr="00392445">
          <w:rPr>
            <w:rStyle w:val="a6"/>
            <w:rFonts w:ascii="David" w:hAnsi="David" w:cs="FrankRuehl"/>
            <w:color w:val="0000FF"/>
            <w:sz w:val="28"/>
            <w:szCs w:val="28"/>
            <w:u w:val="single"/>
            <w:rtl/>
          </w:rPr>
          <w:t>חוק העונשין</w:t>
        </w:r>
      </w:hyperlink>
      <w:r>
        <w:rPr>
          <w:rStyle w:val="a6"/>
          <w:rFonts w:ascii="David" w:hAnsi="David" w:cs="FrankRuehl"/>
          <w:sz w:val="28"/>
          <w:szCs w:val="28"/>
          <w:rtl/>
        </w:rPr>
        <w:t xml:space="preserve"> מונה רשימה פתוחה של נסיבות שיש להתחשב בהן לעניין קביעת מתחם העונש ההולם של העבירה העומדת לדיון. הנסיבות המנויות בסעיף זה נשקלות, בשינויים המחויבים, גם כשמדובר בעבירת סיוע, שהיא כאמור עבירה העומדת לעצמה, השונה במאפייניה ופחותה בחומרתה מהעבירה העיקרית. מבלי למצות, מתחם העונש של עבירת סיוע ייגזר מהנסיבות הבאות: אם מדובר בסיוע במעשה או סיוע במחדל; אם הסיוע קדם לביצוע העבירה העיקרית (סיוע בתכנון) או סיוע שניתן בעת ביצועה של העבירה העיקרית; מידת תרומתו של הסיוע לביצוע העבירה העיקרית; תרומת הסיוע לנזק שהיה צפוי להיגרם ולנזק שנגרם בפועל; יכולתו של הנאשם להבין את שהוא עושה, את הפסול במעשהו או את משמעותו, לרבות בשל גילו, ועוד..." (</w:t>
      </w:r>
      <w:hyperlink r:id="rId23" w:history="1">
        <w:r w:rsidRPr="00392445">
          <w:rPr>
            <w:rStyle w:val="a6"/>
            <w:rFonts w:ascii="David" w:hAnsi="David" w:cs="FrankRuehl"/>
            <w:color w:val="0000FF"/>
            <w:sz w:val="28"/>
            <w:szCs w:val="28"/>
            <w:u w:val="single"/>
            <w:rtl/>
          </w:rPr>
          <w:t>ע"פ 5214/13</w:t>
        </w:r>
      </w:hyperlink>
      <w:r>
        <w:rPr>
          <w:rStyle w:val="a6"/>
          <w:rFonts w:ascii="David" w:hAnsi="David" w:cs="FrankRuehl"/>
          <w:sz w:val="28"/>
          <w:szCs w:val="28"/>
          <w:rtl/>
        </w:rPr>
        <w:t xml:space="preserve"> מחמוד סירחאן נ' מדינת ישראל [פורסם בנבו] (30.12.2013).</w:t>
      </w:r>
    </w:p>
    <w:p w14:paraId="11BE75CA" w14:textId="77777777" w:rsidR="00925C61" w:rsidRDefault="00925C61">
      <w:pPr>
        <w:spacing w:line="360" w:lineRule="auto"/>
        <w:ind w:left="720" w:hanging="720"/>
        <w:jc w:val="both"/>
        <w:rPr>
          <w:rStyle w:val="a6"/>
          <w:rFonts w:ascii="David" w:hAnsi="David" w:cs="FrankRuehl"/>
          <w:sz w:val="28"/>
          <w:szCs w:val="28"/>
          <w:rtl/>
        </w:rPr>
      </w:pPr>
    </w:p>
    <w:p w14:paraId="52B9938F" w14:textId="77777777" w:rsidR="00925C61" w:rsidRDefault="00392445">
      <w:pPr>
        <w:spacing w:line="360" w:lineRule="auto"/>
        <w:ind w:left="720"/>
        <w:jc w:val="both"/>
        <w:rPr>
          <w:rStyle w:val="a6"/>
          <w:rFonts w:ascii="David" w:hAnsi="David" w:cs="FrankRuehl"/>
          <w:sz w:val="28"/>
          <w:szCs w:val="28"/>
          <w:rtl/>
        </w:rPr>
      </w:pPr>
      <w:r>
        <w:rPr>
          <w:rStyle w:val="a6"/>
          <w:rFonts w:ascii="David" w:hAnsi="David" w:cs="FrankRuehl" w:hint="cs"/>
          <w:sz w:val="28"/>
          <w:szCs w:val="28"/>
          <w:rtl/>
        </w:rPr>
        <w:t>העבירות בהן הורשע הנאשם חמורות. רבות נאמר אודות המסוכנות הרבה הטמונה בעבירות נשק, ובמקרה דנן סייע הנאשם במעשיו לרכוש ולשאת נשק ארוך ותחמושת, שהשימוש בהם עלול להסב פציעה ואף מוות. הנאשם גילה במעשיו נגישות מיידית לכלי נשק ולתחמושת, וסייע למכרם תמורת בצע כסף, ותרומתו של הנאשם להשלמת מעשה העבירה היתה קריטית.</w:t>
      </w:r>
    </w:p>
    <w:p w14:paraId="345EB23C" w14:textId="77777777" w:rsidR="00925C61" w:rsidRDefault="00392445">
      <w:pPr>
        <w:spacing w:line="360" w:lineRule="auto"/>
        <w:ind w:left="720" w:hanging="720"/>
        <w:jc w:val="both"/>
        <w:rPr>
          <w:rStyle w:val="a6"/>
          <w:rFonts w:ascii="David" w:hAnsi="David" w:cs="FrankRuehl"/>
          <w:sz w:val="28"/>
          <w:szCs w:val="28"/>
          <w:rtl/>
        </w:rPr>
      </w:pPr>
      <w:r>
        <w:rPr>
          <w:rStyle w:val="a6"/>
          <w:rFonts w:ascii="David" w:hAnsi="David" w:cs="FrankRuehl" w:hint="cs"/>
          <w:sz w:val="28"/>
          <w:szCs w:val="28"/>
          <w:rtl/>
        </w:rPr>
        <w:tab/>
      </w:r>
    </w:p>
    <w:p w14:paraId="2FE8871B" w14:textId="77777777" w:rsidR="00925C61" w:rsidRDefault="00392445">
      <w:pPr>
        <w:spacing w:line="360" w:lineRule="auto"/>
        <w:ind w:left="720" w:hanging="720"/>
        <w:jc w:val="both"/>
        <w:rPr>
          <w:rStyle w:val="a6"/>
          <w:rFonts w:ascii="David" w:hAnsi="David" w:cs="FrankRuehl"/>
          <w:sz w:val="28"/>
          <w:szCs w:val="28"/>
          <w:rtl/>
        </w:rPr>
      </w:pPr>
      <w:r>
        <w:rPr>
          <w:rStyle w:val="a6"/>
          <w:rFonts w:ascii="David" w:hAnsi="David" w:cs="FrankRuehl" w:hint="cs"/>
          <w:sz w:val="28"/>
          <w:szCs w:val="28"/>
          <w:rtl/>
        </w:rPr>
        <w:tab/>
        <w:t xml:space="preserve">עם זאת, נסיבה רלבנטית נוספת לקביעת המתחם היא העובדה כי הנאשם היה מודע לכך שמטרת רכישת הנשק הינה לעשיית שימוש בו במסגרת "ירי בחתונות", ולא לעשיית שימוש פלילי, וכן יש להתחשב בכך שהנשק נתפס בסופו של יום על ידי המשטרה. </w:t>
      </w:r>
    </w:p>
    <w:p w14:paraId="0693F273" w14:textId="77777777" w:rsidR="00925C61" w:rsidRDefault="00925C61">
      <w:pPr>
        <w:spacing w:line="360" w:lineRule="auto"/>
        <w:ind w:left="720" w:hanging="720"/>
        <w:jc w:val="both"/>
        <w:rPr>
          <w:rStyle w:val="a6"/>
          <w:rFonts w:ascii="David" w:hAnsi="David" w:cs="FrankRuehl"/>
          <w:sz w:val="28"/>
          <w:szCs w:val="28"/>
          <w:rtl/>
        </w:rPr>
      </w:pPr>
    </w:p>
    <w:p w14:paraId="74C8DEDF" w14:textId="77777777" w:rsidR="00925C61" w:rsidRDefault="00392445">
      <w:pPr>
        <w:spacing w:line="360" w:lineRule="auto"/>
        <w:ind w:left="720" w:hanging="720"/>
        <w:jc w:val="both"/>
        <w:rPr>
          <w:rStyle w:val="a6"/>
          <w:rFonts w:ascii="David" w:hAnsi="David" w:cs="FrankRuehl"/>
          <w:sz w:val="28"/>
          <w:szCs w:val="28"/>
          <w:rtl/>
        </w:rPr>
      </w:pPr>
      <w:r>
        <w:rPr>
          <w:rStyle w:val="a6"/>
          <w:rFonts w:ascii="David" w:hAnsi="David" w:cs="FrankRuehl" w:hint="cs"/>
          <w:sz w:val="28"/>
          <w:szCs w:val="28"/>
          <w:rtl/>
        </w:rPr>
        <w:t xml:space="preserve">7. </w:t>
      </w:r>
      <w:r>
        <w:rPr>
          <w:rStyle w:val="a6"/>
          <w:rFonts w:ascii="David" w:hAnsi="David" w:cs="FrankRuehl" w:hint="cs"/>
          <w:sz w:val="28"/>
          <w:szCs w:val="28"/>
          <w:rtl/>
        </w:rPr>
        <w:tab/>
        <w:t xml:space="preserve">רמת הענישה בעבירה המוגמרת כפי שנסקרה בפסיקה שהוזכרה לעיל נעה בטווח שבין 12 ל-36 חודשי מאסר בפועל לעבירה המוגמרת. בעניינו של אובי קבע בית משפט זה (כבוד השופטת מרוז) כי מתחם הענישה נע בין 10 ל-36 חודשי מאסר בפועל, בגין העבירה המוגמרת גם כן. </w:t>
      </w:r>
    </w:p>
    <w:p w14:paraId="591AFA96" w14:textId="77777777" w:rsidR="00925C61" w:rsidRDefault="00925C61">
      <w:pPr>
        <w:spacing w:line="360" w:lineRule="auto"/>
        <w:ind w:left="720" w:hanging="720"/>
        <w:jc w:val="both"/>
        <w:rPr>
          <w:rStyle w:val="a6"/>
          <w:rFonts w:ascii="David" w:hAnsi="David" w:cs="FrankRuehl"/>
          <w:sz w:val="28"/>
          <w:szCs w:val="28"/>
          <w:rtl/>
        </w:rPr>
      </w:pPr>
    </w:p>
    <w:p w14:paraId="7B0C23C8" w14:textId="77777777" w:rsidR="00925C61" w:rsidRDefault="00392445">
      <w:pPr>
        <w:spacing w:line="360" w:lineRule="auto"/>
        <w:ind w:left="720" w:hanging="720"/>
        <w:jc w:val="both"/>
        <w:rPr>
          <w:rStyle w:val="a6"/>
          <w:rFonts w:ascii="David" w:hAnsi="David" w:cs="FrankRuehl"/>
          <w:sz w:val="28"/>
          <w:szCs w:val="28"/>
          <w:rtl/>
        </w:rPr>
      </w:pPr>
      <w:r>
        <w:rPr>
          <w:rStyle w:val="a6"/>
          <w:rFonts w:ascii="David" w:hAnsi="David" w:cs="FrankRuehl" w:hint="cs"/>
          <w:sz w:val="28"/>
          <w:szCs w:val="28"/>
          <w:rtl/>
        </w:rPr>
        <w:tab/>
        <w:t xml:space="preserve">העונש הקבוע לצידה של עבירת רכישת הנשק הינו שבע שנים, והעונש הקבוע לצידה של עבירת נשיאת הנשק הינו עשר שנים, ומכאן, בהתאם להוראות </w:t>
      </w:r>
      <w:hyperlink r:id="rId24" w:history="1">
        <w:r w:rsidR="00686965" w:rsidRPr="00686965">
          <w:rPr>
            <w:rStyle w:val="Hyperlink"/>
            <w:rFonts w:ascii="David" w:hAnsi="David" w:cs="FrankRuehl" w:hint="eastAsia"/>
            <w:sz w:val="28"/>
            <w:szCs w:val="28"/>
            <w:rtl/>
          </w:rPr>
          <w:t>סעיף</w:t>
        </w:r>
        <w:r w:rsidR="00686965" w:rsidRPr="00686965">
          <w:rPr>
            <w:rStyle w:val="Hyperlink"/>
            <w:rFonts w:ascii="David" w:hAnsi="David" w:cs="FrankRuehl"/>
            <w:sz w:val="28"/>
            <w:szCs w:val="28"/>
            <w:rtl/>
          </w:rPr>
          <w:t xml:space="preserve"> 32</w:t>
        </w:r>
      </w:hyperlink>
      <w:r>
        <w:rPr>
          <w:rStyle w:val="a6"/>
          <w:rFonts w:ascii="David" w:hAnsi="David" w:cs="FrankRuehl" w:hint="cs"/>
          <w:sz w:val="28"/>
          <w:szCs w:val="28"/>
          <w:rtl/>
        </w:rPr>
        <w:t xml:space="preserve"> ל</w:t>
      </w:r>
      <w:hyperlink r:id="rId25" w:history="1">
        <w:r w:rsidRPr="00392445">
          <w:rPr>
            <w:rStyle w:val="a6"/>
            <w:rFonts w:ascii="David" w:hAnsi="David" w:cs="FrankRuehl"/>
            <w:color w:val="0000FF"/>
            <w:sz w:val="28"/>
            <w:szCs w:val="28"/>
            <w:u w:val="single"/>
            <w:rtl/>
          </w:rPr>
          <w:t>חוק העונשין</w:t>
        </w:r>
      </w:hyperlink>
      <w:r>
        <w:rPr>
          <w:rStyle w:val="a6"/>
          <w:rFonts w:ascii="David" w:hAnsi="David" w:cs="FrankRuehl" w:hint="cs"/>
          <w:sz w:val="28"/>
          <w:szCs w:val="28"/>
          <w:rtl/>
        </w:rPr>
        <w:t>, כי עונשו של המסייע הינו מחצית מעונשים אלה.</w:t>
      </w:r>
    </w:p>
    <w:p w14:paraId="1BC5A0F3" w14:textId="77777777" w:rsidR="00925C61" w:rsidRDefault="00925C61">
      <w:pPr>
        <w:spacing w:line="360" w:lineRule="auto"/>
        <w:ind w:left="720" w:hanging="720"/>
        <w:jc w:val="both"/>
        <w:rPr>
          <w:rStyle w:val="a6"/>
          <w:rFonts w:ascii="David" w:hAnsi="David" w:cs="FrankRuehl"/>
          <w:sz w:val="28"/>
          <w:szCs w:val="28"/>
          <w:rtl/>
        </w:rPr>
      </w:pPr>
    </w:p>
    <w:p w14:paraId="07BC5655" w14:textId="77777777" w:rsidR="00925C61" w:rsidRDefault="00392445">
      <w:pPr>
        <w:spacing w:line="360" w:lineRule="auto"/>
        <w:ind w:left="720" w:hanging="720"/>
        <w:jc w:val="both"/>
        <w:rPr>
          <w:rStyle w:val="a6"/>
          <w:rFonts w:ascii="David" w:hAnsi="David" w:cs="FrankRuehl"/>
          <w:sz w:val="28"/>
          <w:szCs w:val="28"/>
          <w:rtl/>
        </w:rPr>
      </w:pPr>
      <w:r>
        <w:rPr>
          <w:rStyle w:val="a6"/>
          <w:rFonts w:ascii="David" w:hAnsi="David" w:cs="FrankRuehl" w:hint="cs"/>
          <w:sz w:val="28"/>
          <w:szCs w:val="28"/>
          <w:rtl/>
        </w:rPr>
        <w:t xml:space="preserve">8. </w:t>
      </w:r>
      <w:r>
        <w:rPr>
          <w:rStyle w:val="a6"/>
          <w:rFonts w:ascii="David" w:hAnsi="David" w:cs="FrankRuehl" w:hint="cs"/>
          <w:sz w:val="28"/>
          <w:szCs w:val="28"/>
          <w:rtl/>
        </w:rPr>
        <w:tab/>
        <w:t>בהתחשב בכל אלה, באתי לכלל מסקנה כי מתחם הענישה למעשה העבירה דנן נע בין 6 ל-18 חודשי מאסר.</w:t>
      </w:r>
    </w:p>
    <w:p w14:paraId="5F48BC5D" w14:textId="77777777" w:rsidR="00925C61" w:rsidRDefault="00925C61">
      <w:pPr>
        <w:spacing w:line="360" w:lineRule="auto"/>
        <w:ind w:left="720" w:hanging="720"/>
        <w:jc w:val="both"/>
        <w:rPr>
          <w:rStyle w:val="a6"/>
          <w:rFonts w:ascii="David" w:hAnsi="David" w:cs="FrankRuehl"/>
          <w:sz w:val="28"/>
          <w:szCs w:val="28"/>
          <w:rtl/>
        </w:rPr>
      </w:pPr>
    </w:p>
    <w:p w14:paraId="046F328D" w14:textId="77777777" w:rsidR="00925C61" w:rsidRDefault="00392445">
      <w:pPr>
        <w:spacing w:line="360" w:lineRule="auto"/>
        <w:ind w:left="720" w:hanging="720"/>
        <w:jc w:val="both"/>
        <w:rPr>
          <w:rStyle w:val="a6"/>
          <w:rFonts w:ascii="David" w:hAnsi="David" w:cs="FrankRuehl"/>
          <w:sz w:val="28"/>
          <w:szCs w:val="28"/>
          <w:u w:val="single"/>
          <w:rtl/>
        </w:rPr>
      </w:pPr>
      <w:r>
        <w:rPr>
          <w:rStyle w:val="a6"/>
          <w:rFonts w:ascii="David" w:hAnsi="David" w:cs="FrankRuehl" w:hint="cs"/>
          <w:sz w:val="28"/>
          <w:szCs w:val="28"/>
          <w:u w:val="single"/>
          <w:rtl/>
        </w:rPr>
        <w:t>קביעת העונש ההולם בתוך המתחם</w:t>
      </w:r>
    </w:p>
    <w:p w14:paraId="38F2FAE1" w14:textId="77777777" w:rsidR="00925C61" w:rsidRDefault="00392445">
      <w:pPr>
        <w:spacing w:line="360" w:lineRule="auto"/>
        <w:ind w:left="720" w:hanging="720"/>
        <w:jc w:val="both"/>
        <w:rPr>
          <w:rStyle w:val="a6"/>
          <w:rFonts w:ascii="Calibri" w:hAnsi="Calibri" w:cs="FrankRuehl"/>
          <w:sz w:val="28"/>
          <w:szCs w:val="28"/>
          <w:rtl/>
        </w:rPr>
      </w:pPr>
      <w:r>
        <w:rPr>
          <w:rStyle w:val="a6"/>
          <w:rFonts w:ascii="David" w:hAnsi="David" w:cs="FrankRuehl" w:hint="cs"/>
          <w:sz w:val="28"/>
          <w:szCs w:val="28"/>
          <w:rtl/>
        </w:rPr>
        <w:t>9</w:t>
      </w:r>
      <w:r>
        <w:rPr>
          <w:rStyle w:val="a6"/>
          <w:rFonts w:ascii="Calibri" w:hAnsi="Calibri" w:cs="FrankRuehl" w:hint="cs"/>
          <w:sz w:val="28"/>
          <w:szCs w:val="28"/>
          <w:rtl/>
        </w:rPr>
        <w:t>.</w:t>
      </w:r>
      <w:r>
        <w:rPr>
          <w:rStyle w:val="a6"/>
          <w:rFonts w:ascii="Calibri" w:hAnsi="Calibri" w:cs="FrankRuehl" w:hint="cs"/>
          <w:sz w:val="28"/>
          <w:szCs w:val="28"/>
          <w:rtl/>
        </w:rPr>
        <w:tab/>
        <w:t xml:space="preserve">בבואי לקבוע את עונשו של הנאשם בתוך המתחם, עליי להתחשב בנסיבותיו האישיות, כפי שפורטו בהרחבה על ידי בא כוחו, ובכלל זה במצבו הנפשי, האישי והמשפחתי. כן מצאתי להתחשב בהודאתו של הנאשם, ובלקיחת האחריות מצידו. </w:t>
      </w:r>
    </w:p>
    <w:p w14:paraId="5C8F514B" w14:textId="77777777" w:rsidR="00925C61" w:rsidRDefault="00392445">
      <w:pPr>
        <w:spacing w:line="360" w:lineRule="auto"/>
        <w:ind w:left="720" w:hanging="720"/>
        <w:jc w:val="both"/>
        <w:rPr>
          <w:rStyle w:val="a6"/>
          <w:rFonts w:ascii="Calibri" w:hAnsi="Calibri" w:cs="FrankRuehl"/>
          <w:sz w:val="22"/>
          <w:szCs w:val="22"/>
          <w:rtl/>
        </w:rPr>
      </w:pPr>
      <w:r>
        <w:rPr>
          <w:rStyle w:val="a6"/>
          <w:rFonts w:ascii="Calibri" w:hAnsi="Calibri" w:cs="FrankRuehl" w:hint="cs"/>
          <w:sz w:val="28"/>
          <w:szCs w:val="28"/>
          <w:rtl/>
        </w:rPr>
        <w:tab/>
      </w:r>
    </w:p>
    <w:p w14:paraId="012E95FF" w14:textId="77777777" w:rsidR="00925C61" w:rsidRDefault="00392445">
      <w:pPr>
        <w:spacing w:line="360" w:lineRule="auto"/>
        <w:ind w:left="720"/>
        <w:jc w:val="both"/>
        <w:rPr>
          <w:rStyle w:val="a6"/>
          <w:rFonts w:ascii="Calibri" w:hAnsi="Calibri" w:cs="FrankRuehl"/>
          <w:sz w:val="28"/>
          <w:szCs w:val="28"/>
          <w:rtl/>
        </w:rPr>
      </w:pPr>
      <w:r>
        <w:rPr>
          <w:rStyle w:val="a6"/>
          <w:rFonts w:ascii="Calibri" w:hAnsi="Calibri" w:cs="FrankRuehl" w:hint="cs"/>
          <w:sz w:val="28"/>
          <w:szCs w:val="28"/>
          <w:rtl/>
        </w:rPr>
        <w:t xml:space="preserve">כמו כן, שקלתי את עברו הפלילי של הנאשם שאינו מכביד ואינו מן העת האחרונה. </w:t>
      </w:r>
    </w:p>
    <w:p w14:paraId="733D12C1" w14:textId="77777777" w:rsidR="00925C61" w:rsidRDefault="00925C61">
      <w:pPr>
        <w:spacing w:line="360" w:lineRule="auto"/>
        <w:ind w:left="720"/>
        <w:jc w:val="both"/>
        <w:rPr>
          <w:rStyle w:val="a6"/>
          <w:rFonts w:ascii="Calibri" w:hAnsi="Calibri" w:cs="FrankRuehl"/>
          <w:sz w:val="28"/>
          <w:szCs w:val="28"/>
          <w:rtl/>
        </w:rPr>
      </w:pPr>
    </w:p>
    <w:p w14:paraId="09055C05" w14:textId="77777777" w:rsidR="00925C61" w:rsidRDefault="00392445">
      <w:pPr>
        <w:spacing w:line="360" w:lineRule="auto"/>
        <w:ind w:left="720"/>
        <w:jc w:val="both"/>
        <w:rPr>
          <w:rStyle w:val="a6"/>
          <w:rFonts w:ascii="Calibri" w:hAnsi="Calibri" w:cs="FrankRuehl"/>
          <w:sz w:val="28"/>
          <w:szCs w:val="28"/>
          <w:rtl/>
        </w:rPr>
      </w:pPr>
      <w:r>
        <w:rPr>
          <w:rStyle w:val="a6"/>
          <w:rFonts w:ascii="Calibri" w:hAnsi="Calibri" w:cs="FrankRuehl" w:hint="cs"/>
          <w:sz w:val="28"/>
          <w:szCs w:val="28"/>
          <w:rtl/>
        </w:rPr>
        <w:t>בהתחשב בכל אלה, ובחלקו היחסי במעשה העבירה ביחס לשותפו אובי, עליו נגזרו בסופו של יום 10 חודשי מאסר בפועל, מצאתי להטיל על הנאשם את העונשים הבאים:</w:t>
      </w:r>
    </w:p>
    <w:p w14:paraId="2DA7EC08" w14:textId="77777777" w:rsidR="00925C61" w:rsidRDefault="00925C61">
      <w:pPr>
        <w:spacing w:line="360" w:lineRule="auto"/>
        <w:ind w:left="720"/>
        <w:jc w:val="both"/>
        <w:rPr>
          <w:rStyle w:val="a6"/>
          <w:rFonts w:ascii="Calibri" w:hAnsi="Calibri" w:cs="FrankRuehl"/>
          <w:sz w:val="22"/>
          <w:szCs w:val="22"/>
          <w:rtl/>
        </w:rPr>
      </w:pPr>
    </w:p>
    <w:p w14:paraId="1E16BBEF" w14:textId="77777777" w:rsidR="00925C61" w:rsidRDefault="00392445">
      <w:pPr>
        <w:spacing w:line="360" w:lineRule="auto"/>
        <w:ind w:left="720"/>
        <w:jc w:val="both"/>
        <w:rPr>
          <w:rStyle w:val="a6"/>
          <w:rFonts w:ascii="Calibri" w:hAnsi="Calibri" w:cs="FrankRuehl"/>
          <w:sz w:val="28"/>
          <w:szCs w:val="28"/>
          <w:rtl/>
        </w:rPr>
      </w:pPr>
      <w:r>
        <w:rPr>
          <w:rStyle w:val="a6"/>
          <w:rFonts w:ascii="Calibri" w:hAnsi="Calibri" w:cs="FrankRuehl" w:hint="cs"/>
          <w:sz w:val="28"/>
          <w:szCs w:val="28"/>
          <w:rtl/>
        </w:rPr>
        <w:t xml:space="preserve">א. 8 חודשי מאסר לריצוי בפועל, בניכוי ימי מעצרו מיום 22.6.2014. </w:t>
      </w:r>
    </w:p>
    <w:p w14:paraId="69348F2C" w14:textId="77777777" w:rsidR="00925C61" w:rsidRDefault="00925C61">
      <w:pPr>
        <w:spacing w:line="360" w:lineRule="auto"/>
        <w:ind w:left="720"/>
        <w:jc w:val="both"/>
        <w:rPr>
          <w:rStyle w:val="a6"/>
          <w:rFonts w:ascii="Calibri" w:hAnsi="Calibri" w:cs="FrankRuehl"/>
          <w:sz w:val="10"/>
          <w:szCs w:val="10"/>
          <w:rtl/>
        </w:rPr>
      </w:pPr>
    </w:p>
    <w:p w14:paraId="2065728A" w14:textId="77777777" w:rsidR="00925C61" w:rsidRDefault="00392445">
      <w:pPr>
        <w:spacing w:line="360" w:lineRule="auto"/>
        <w:ind w:left="720"/>
        <w:jc w:val="both"/>
        <w:rPr>
          <w:rStyle w:val="a6"/>
          <w:rFonts w:ascii="Calibri" w:hAnsi="Calibri" w:cs="FrankRuehl"/>
          <w:sz w:val="28"/>
          <w:szCs w:val="28"/>
          <w:rtl/>
        </w:rPr>
      </w:pPr>
      <w:r>
        <w:rPr>
          <w:rStyle w:val="a6"/>
          <w:rFonts w:ascii="Calibri" w:hAnsi="Calibri" w:cs="FrankRuehl" w:hint="cs"/>
          <w:sz w:val="28"/>
          <w:szCs w:val="28"/>
          <w:rtl/>
        </w:rPr>
        <w:t xml:space="preserve">ב. 12 חודשי מאסר על תנאי, והתנאי שלא יעבור עבירה בה הורשע משך 3 שנים מתום ריצוי מאסרו. </w:t>
      </w:r>
    </w:p>
    <w:p w14:paraId="6EE7CCA8" w14:textId="77777777" w:rsidR="00925C61" w:rsidRDefault="00925C61">
      <w:pPr>
        <w:spacing w:line="360" w:lineRule="auto"/>
        <w:ind w:left="720"/>
        <w:jc w:val="both"/>
        <w:rPr>
          <w:rStyle w:val="a6"/>
          <w:rFonts w:ascii="Calibri" w:hAnsi="Calibri" w:cs="FrankRuehl"/>
          <w:sz w:val="6"/>
          <w:szCs w:val="6"/>
          <w:rtl/>
        </w:rPr>
      </w:pPr>
    </w:p>
    <w:p w14:paraId="4DA32F88" w14:textId="77777777" w:rsidR="00925C61" w:rsidRDefault="00392445">
      <w:pPr>
        <w:spacing w:line="360" w:lineRule="auto"/>
        <w:ind w:left="720"/>
        <w:jc w:val="both"/>
        <w:rPr>
          <w:rStyle w:val="a6"/>
          <w:rFonts w:ascii="Calibri" w:hAnsi="Calibri" w:cs="FrankRuehl"/>
          <w:sz w:val="28"/>
          <w:szCs w:val="28"/>
          <w:rtl/>
        </w:rPr>
      </w:pPr>
      <w:r>
        <w:rPr>
          <w:rStyle w:val="a6"/>
          <w:rFonts w:ascii="Calibri" w:hAnsi="Calibri" w:cs="FrankRuehl" w:hint="cs"/>
          <w:sz w:val="28"/>
          <w:szCs w:val="28"/>
          <w:rtl/>
        </w:rPr>
        <w:t xml:space="preserve">ג. לאור המניע הכספי בביצועה של העבירה מחד ומצבו הכלכלי של הנאשם מאידך, מצאתי להסתפק בהטלת קנס כספי סמלי בסך 750 </w:t>
      </w:r>
      <w:r>
        <w:rPr>
          <w:rStyle w:val="a6"/>
          <w:rFonts w:ascii="Calibri" w:hAnsi="Calibri" w:cs="FrankRuehl" w:hint="eastAsia"/>
          <w:sz w:val="28"/>
          <w:szCs w:val="28"/>
          <w:rtl/>
        </w:rPr>
        <w:t>₪</w:t>
      </w:r>
      <w:r>
        <w:rPr>
          <w:rStyle w:val="a6"/>
          <w:rFonts w:ascii="Calibri" w:hAnsi="Calibri" w:cs="FrankRuehl" w:hint="cs"/>
          <w:sz w:val="28"/>
          <w:szCs w:val="28"/>
          <w:rtl/>
        </w:rPr>
        <w:t xml:space="preserve">, אשר ישולם על ידי הנאשם בשלושה תשלומים שווים החל מ-30 יום לאחר שחרורו  ממאסר.  </w:t>
      </w:r>
    </w:p>
    <w:p w14:paraId="086360D5" w14:textId="77777777" w:rsidR="00925C61" w:rsidRDefault="00925C61">
      <w:pPr>
        <w:spacing w:line="360" w:lineRule="auto"/>
        <w:ind w:left="720" w:hanging="720"/>
        <w:jc w:val="both"/>
        <w:rPr>
          <w:rStyle w:val="a6"/>
          <w:rFonts w:ascii="Calibri" w:hAnsi="Calibri" w:cs="FrankRuehl"/>
          <w:sz w:val="14"/>
          <w:szCs w:val="14"/>
          <w:rtl/>
        </w:rPr>
      </w:pPr>
    </w:p>
    <w:p w14:paraId="6786787C" w14:textId="77777777" w:rsidR="00925C61" w:rsidRDefault="00392445">
      <w:pPr>
        <w:spacing w:line="360" w:lineRule="auto"/>
        <w:jc w:val="both"/>
        <w:rPr>
          <w:rStyle w:val="a6"/>
          <w:rFonts w:ascii="David" w:hAnsi="David" w:cs="FrankRuehl"/>
          <w:b/>
          <w:bCs/>
          <w:sz w:val="28"/>
          <w:szCs w:val="28"/>
          <w:rtl/>
        </w:rPr>
      </w:pPr>
      <w:r>
        <w:rPr>
          <w:rStyle w:val="a6"/>
          <w:rFonts w:ascii="David" w:hAnsi="David" w:cs="FrankRuehl" w:hint="cs"/>
          <w:b/>
          <w:bCs/>
          <w:sz w:val="28"/>
          <w:szCs w:val="28"/>
          <w:rtl/>
        </w:rPr>
        <w:t xml:space="preserve">זכות ערעור לבית המשפט העליון תוך 45 יום. </w:t>
      </w:r>
    </w:p>
    <w:p w14:paraId="2CC9143A" w14:textId="77777777" w:rsidR="00925C61" w:rsidRPr="00392445" w:rsidRDefault="00392445">
      <w:pPr>
        <w:spacing w:line="360" w:lineRule="auto"/>
        <w:jc w:val="both"/>
        <w:rPr>
          <w:rFonts w:ascii="Arial" w:hAnsi="Arial" w:cs="FrankRuehl"/>
          <w:color w:val="FFFFFF"/>
          <w:sz w:val="2"/>
          <w:szCs w:val="2"/>
          <w:rtl/>
        </w:rPr>
      </w:pPr>
      <w:r w:rsidRPr="00392445">
        <w:rPr>
          <w:rFonts w:ascii="Arial" w:hAnsi="Arial" w:cs="FrankRuehl"/>
          <w:color w:val="FFFFFF"/>
          <w:sz w:val="2"/>
          <w:szCs w:val="2"/>
          <w:rtl/>
        </w:rPr>
        <w:t>5129371</w:t>
      </w:r>
    </w:p>
    <w:p w14:paraId="3919AD1E" w14:textId="77777777" w:rsidR="00925C61" w:rsidRDefault="00392445">
      <w:pPr>
        <w:spacing w:line="360" w:lineRule="auto"/>
        <w:jc w:val="both"/>
        <w:rPr>
          <w:rFonts w:cs="FrankRuehl"/>
          <w:sz w:val="28"/>
          <w:szCs w:val="28"/>
          <w:rtl/>
        </w:rPr>
      </w:pPr>
      <w:r w:rsidRPr="00392445">
        <w:rPr>
          <w:rFonts w:ascii="Arial" w:hAnsi="Arial" w:cs="FrankRuehl"/>
          <w:color w:val="FFFFFF"/>
          <w:sz w:val="2"/>
          <w:szCs w:val="2"/>
          <w:rtl/>
        </w:rPr>
        <w:t>54678313</w:t>
      </w:r>
      <w:r>
        <w:rPr>
          <w:rFonts w:ascii="Arial" w:hAnsi="Arial" w:cs="FrankRuehl"/>
          <w:sz w:val="28"/>
          <w:szCs w:val="28"/>
          <w:rtl/>
        </w:rPr>
        <w:t xml:space="preserve">ניתן היום,  ט"ו שבט תשע"ה, 04 פברואר 2015, במעמד הנאשם וב"כ הצדדים. </w:t>
      </w:r>
    </w:p>
    <w:p w14:paraId="29132CA5" w14:textId="77777777" w:rsidR="00925C61" w:rsidRDefault="00392445">
      <w:pPr>
        <w:spacing w:line="360" w:lineRule="auto"/>
        <w:jc w:val="both"/>
      </w:pPr>
      <w:r>
        <w:rPr>
          <w:rFonts w:cs="FrankRuehl" w:hint="cs"/>
          <w:sz w:val="28"/>
          <w:szCs w:val="28"/>
          <w:rtl/>
        </w:rPr>
        <w:t xml:space="preserve">   </w:t>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r>
        <w:rPr>
          <w:rFonts w:cs="FrankRuehl" w:hint="cs"/>
          <w:sz w:val="28"/>
          <w:szCs w:val="28"/>
          <w:rtl/>
        </w:rPr>
        <w:tab/>
      </w:r>
    </w:p>
    <w:p w14:paraId="5FA47A20" w14:textId="77777777" w:rsidR="00925C61" w:rsidRDefault="00925C61">
      <w:pPr>
        <w:pStyle w:val="a3"/>
        <w:spacing w:line="360" w:lineRule="auto"/>
        <w:jc w:val="center"/>
        <w:rPr>
          <w:rFonts w:cs="FrankRuehl"/>
          <w:sz w:val="28"/>
          <w:szCs w:val="28"/>
          <w:rtl/>
        </w:rPr>
      </w:pPr>
    </w:p>
    <w:p w14:paraId="43EE02B4" w14:textId="77777777" w:rsidR="00392445" w:rsidRPr="00392445" w:rsidRDefault="00392445" w:rsidP="00392445">
      <w:pPr>
        <w:keepNext/>
        <w:rPr>
          <w:rFonts w:ascii="David" w:hAnsi="David"/>
          <w:color w:val="000000"/>
          <w:sz w:val="22"/>
          <w:szCs w:val="22"/>
          <w:rtl/>
        </w:rPr>
      </w:pPr>
    </w:p>
    <w:p w14:paraId="1CEA8E82" w14:textId="77777777" w:rsidR="00392445" w:rsidRPr="00392445" w:rsidRDefault="00392445" w:rsidP="00392445">
      <w:pPr>
        <w:keepNext/>
        <w:rPr>
          <w:rFonts w:ascii="David" w:hAnsi="David"/>
          <w:color w:val="000000"/>
          <w:sz w:val="22"/>
          <w:szCs w:val="22"/>
          <w:rtl/>
        </w:rPr>
      </w:pPr>
      <w:r w:rsidRPr="00392445">
        <w:rPr>
          <w:rFonts w:ascii="David" w:hAnsi="David"/>
          <w:color w:val="000000"/>
          <w:sz w:val="22"/>
          <w:szCs w:val="22"/>
          <w:rtl/>
        </w:rPr>
        <w:t>מיכל ברנט 54678313</w:t>
      </w:r>
    </w:p>
    <w:p w14:paraId="6D69BFE8" w14:textId="77777777" w:rsidR="00392445" w:rsidRDefault="00392445" w:rsidP="00392445">
      <w:r w:rsidRPr="00392445">
        <w:rPr>
          <w:color w:val="000000"/>
          <w:rtl/>
        </w:rPr>
        <w:t>נוסח מסמך זה כפוף לשינויי ניסוח ועריכה</w:t>
      </w:r>
    </w:p>
    <w:p w14:paraId="0CF40758" w14:textId="77777777" w:rsidR="00392445" w:rsidRDefault="00392445" w:rsidP="00392445">
      <w:pPr>
        <w:rPr>
          <w:rtl/>
        </w:rPr>
      </w:pPr>
    </w:p>
    <w:p w14:paraId="08CA695A" w14:textId="77777777" w:rsidR="00392445" w:rsidRDefault="00392445" w:rsidP="00392445">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583865E1" w14:textId="77777777" w:rsidR="00925C61" w:rsidRPr="00392445" w:rsidRDefault="00E14E42" w:rsidP="00392445">
      <w:pPr>
        <w:jc w:val="center"/>
        <w:rPr>
          <w:color w:val="0000FF"/>
          <w:u w:val="single"/>
        </w:rPr>
      </w:pPr>
      <w:r>
        <w:rPr>
          <w:rFonts w:hint="cs"/>
          <w:color w:val="0000FF"/>
          <w:u w:val="single"/>
          <w:rtl/>
        </w:rPr>
        <w:t xml:space="preserve">  </w:t>
      </w:r>
    </w:p>
    <w:sectPr w:rsidR="00925C61" w:rsidRPr="00392445" w:rsidSect="00392445">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67C10" w14:textId="77777777" w:rsidR="003B059B" w:rsidRDefault="003B059B">
      <w:r>
        <w:separator/>
      </w:r>
    </w:p>
  </w:endnote>
  <w:endnote w:type="continuationSeparator" w:id="0">
    <w:p w14:paraId="08D40BE8" w14:textId="77777777" w:rsidR="003B059B" w:rsidRDefault="003B0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2C73E" w14:textId="77777777" w:rsidR="003B059B" w:rsidRDefault="003B059B" w:rsidP="003924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4246C1" w14:textId="77777777" w:rsidR="003B059B" w:rsidRPr="00392445" w:rsidRDefault="003B059B" w:rsidP="00392445">
    <w:pPr>
      <w:pStyle w:val="a4"/>
      <w:pBdr>
        <w:top w:val="single" w:sz="4" w:space="1" w:color="auto"/>
        <w:between w:val="single" w:sz="4" w:space="0" w:color="auto"/>
      </w:pBdr>
      <w:spacing w:after="60"/>
      <w:jc w:val="center"/>
      <w:rPr>
        <w:rFonts w:ascii="FrankRuehl" w:hAnsi="FrankRuehl" w:cs="FrankRuehl"/>
        <w:color w:val="000000"/>
      </w:rPr>
    </w:pPr>
    <w:r w:rsidRPr="0039244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47528" w14:textId="77777777" w:rsidR="003B059B" w:rsidRDefault="003B059B" w:rsidP="00392445">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40147">
      <w:rPr>
        <w:rFonts w:ascii="FrankRuehl" w:hAnsi="FrankRuehl" w:cs="FrankRuehl"/>
        <w:noProof/>
        <w:rtl/>
      </w:rPr>
      <w:t>1</w:t>
    </w:r>
    <w:r>
      <w:rPr>
        <w:rFonts w:ascii="FrankRuehl" w:hAnsi="FrankRuehl" w:cs="FrankRuehl"/>
        <w:rtl/>
      </w:rPr>
      <w:fldChar w:fldCharType="end"/>
    </w:r>
  </w:p>
  <w:p w14:paraId="448F4284" w14:textId="77777777" w:rsidR="003B059B" w:rsidRPr="00392445" w:rsidRDefault="003B059B" w:rsidP="00392445">
    <w:pPr>
      <w:pStyle w:val="a4"/>
      <w:pBdr>
        <w:top w:val="single" w:sz="4" w:space="1" w:color="auto"/>
        <w:between w:val="single" w:sz="4" w:space="0" w:color="auto"/>
      </w:pBdr>
      <w:spacing w:after="60"/>
      <w:jc w:val="center"/>
      <w:rPr>
        <w:rFonts w:ascii="FrankRuehl" w:hAnsi="FrankRuehl" w:cs="FrankRuehl"/>
        <w:color w:val="000000"/>
      </w:rPr>
    </w:pPr>
    <w:r w:rsidRPr="00392445">
      <w:rPr>
        <w:rFonts w:ascii="FrankRuehl" w:hAnsi="FrankRuehl" w:cs="FrankRuehl"/>
        <w:color w:val="000000"/>
      </w:rPr>
      <w:pict w14:anchorId="5A2DA4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B260A" w14:textId="77777777" w:rsidR="003B059B" w:rsidRDefault="003B059B">
      <w:r>
        <w:separator/>
      </w:r>
    </w:p>
  </w:footnote>
  <w:footnote w:type="continuationSeparator" w:id="0">
    <w:p w14:paraId="723226E7" w14:textId="77777777" w:rsidR="003B059B" w:rsidRDefault="003B0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53D7E" w14:textId="77777777" w:rsidR="003B059B" w:rsidRPr="00392445" w:rsidRDefault="003B059B" w:rsidP="003924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6089-07-14</w:t>
    </w:r>
    <w:r>
      <w:rPr>
        <w:rFonts w:ascii="David" w:hAnsi="David"/>
        <w:color w:val="000000"/>
        <w:sz w:val="22"/>
        <w:szCs w:val="22"/>
        <w:rtl/>
      </w:rPr>
      <w:tab/>
      <w:t xml:space="preserve"> מדינת ישראל נ' בהג'ת בתילו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564B1" w14:textId="77777777" w:rsidR="003B059B" w:rsidRPr="00392445" w:rsidRDefault="003B059B" w:rsidP="0039244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6089-07-14</w:t>
    </w:r>
    <w:r>
      <w:rPr>
        <w:rFonts w:ascii="David" w:hAnsi="David"/>
        <w:color w:val="000000"/>
        <w:sz w:val="22"/>
        <w:szCs w:val="22"/>
        <w:rtl/>
      </w:rPr>
      <w:tab/>
      <w:t xml:space="preserve"> מדינת ישראל נ' בהג'ת בתילו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5C61"/>
    <w:rsid w:val="00257E0C"/>
    <w:rsid w:val="002C4D6E"/>
    <w:rsid w:val="00392445"/>
    <w:rsid w:val="003B059B"/>
    <w:rsid w:val="00465EAE"/>
    <w:rsid w:val="00686965"/>
    <w:rsid w:val="00925C61"/>
    <w:rsid w:val="009E1C95"/>
    <w:rsid w:val="00B40147"/>
    <w:rsid w:val="00B51058"/>
    <w:rsid w:val="00BF4B14"/>
    <w:rsid w:val="00E14E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76FBF7E"/>
  <w15:chartTrackingRefBased/>
  <w15:docId w15:val="{AA92A47E-CD9D-4B5E-8B2E-B7DE6C9E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5C6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25C61"/>
    <w:pPr>
      <w:tabs>
        <w:tab w:val="center" w:pos="4153"/>
        <w:tab w:val="right" w:pos="8306"/>
      </w:tabs>
    </w:pPr>
  </w:style>
  <w:style w:type="paragraph" w:styleId="a4">
    <w:name w:val="footer"/>
    <w:basedOn w:val="a"/>
    <w:rsid w:val="00925C61"/>
    <w:pPr>
      <w:tabs>
        <w:tab w:val="center" w:pos="4153"/>
        <w:tab w:val="right" w:pos="8306"/>
      </w:tabs>
    </w:pPr>
  </w:style>
  <w:style w:type="character" w:styleId="a5">
    <w:name w:val="page number"/>
    <w:basedOn w:val="a0"/>
    <w:rsid w:val="00925C61"/>
  </w:style>
  <w:style w:type="character" w:styleId="a6">
    <w:name w:val="line number"/>
    <w:rsid w:val="00925C61"/>
    <w:rPr>
      <w:rFonts w:ascii="Arial" w:hAnsi="Arial" w:cs="Arial" w:hint="default"/>
      <w:szCs w:val="20"/>
    </w:rPr>
  </w:style>
  <w:style w:type="character" w:styleId="Hyperlink">
    <w:name w:val="Hyperlink"/>
    <w:rsid w:val="00392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2" TargetMode="External"/><Relationship Id="rId13" Type="http://schemas.openxmlformats.org/officeDocument/2006/relationships/hyperlink" Target="http://www.nevo.co.il/law/70301/31" TargetMode="External"/><Relationship Id="rId18" Type="http://schemas.openxmlformats.org/officeDocument/2006/relationships/hyperlink" Target="http://www.nevo.co.il/case/6949290"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70301/40i.a" TargetMode="External"/><Relationship Id="rId7" Type="http://schemas.openxmlformats.org/officeDocument/2006/relationships/hyperlink" Target="http://www.nevo.co.il/law/70301/3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5591782" TargetMode="External"/><Relationship Id="rId25" Type="http://schemas.openxmlformats.org/officeDocument/2006/relationships/hyperlink" Target="http://www.nevo.co.il/law/70301" TargetMode="External"/><Relationship Id="rId2" Type="http://schemas.openxmlformats.org/officeDocument/2006/relationships/settings" Target="settings.xml"/><Relationship Id="rId16" Type="http://schemas.openxmlformats.org/officeDocument/2006/relationships/hyperlink" Target="http://www.nevo.co.il/law/70301/31" TargetMode="External"/><Relationship Id="rId20" Type="http://schemas.openxmlformats.org/officeDocument/2006/relationships/hyperlink" Target="http://www.nevo.co.il/case/5760328"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2"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case/7807298" TargetMode="External"/><Relationship Id="rId28"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7671124"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i.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1505</Words>
  <Characters>7530</Characters>
  <Application>Microsoft Office Word</Application>
  <DocSecurity>0</DocSecurity>
  <Lines>62</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9017</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6750310</vt:i4>
      </vt:variant>
      <vt:variant>
        <vt:i4>54</vt:i4>
      </vt:variant>
      <vt:variant>
        <vt:i4>0</vt:i4>
      </vt:variant>
      <vt:variant>
        <vt:i4>5</vt:i4>
      </vt:variant>
      <vt:variant>
        <vt:lpwstr>http://www.nevo.co.il/law/70301/32</vt:lpwstr>
      </vt:variant>
      <vt:variant>
        <vt:lpwstr/>
      </vt:variant>
      <vt:variant>
        <vt:i4>3997810</vt:i4>
      </vt:variant>
      <vt:variant>
        <vt:i4>51</vt:i4>
      </vt:variant>
      <vt:variant>
        <vt:i4>0</vt:i4>
      </vt:variant>
      <vt:variant>
        <vt:i4>5</vt:i4>
      </vt:variant>
      <vt:variant>
        <vt:lpwstr>http://www.nevo.co.il/case/7807298</vt:lpwstr>
      </vt:variant>
      <vt:variant>
        <vt:lpwstr/>
      </vt:variant>
      <vt:variant>
        <vt:i4>7995492</vt:i4>
      </vt:variant>
      <vt:variant>
        <vt:i4>48</vt:i4>
      </vt:variant>
      <vt:variant>
        <vt:i4>0</vt:i4>
      </vt:variant>
      <vt:variant>
        <vt:i4>5</vt:i4>
      </vt:variant>
      <vt:variant>
        <vt:lpwstr>http://www.nevo.co.il/law/70301</vt:lpwstr>
      </vt:variant>
      <vt:variant>
        <vt:lpwstr/>
      </vt:variant>
      <vt:variant>
        <vt:i4>4915208</vt:i4>
      </vt:variant>
      <vt:variant>
        <vt:i4>45</vt:i4>
      </vt:variant>
      <vt:variant>
        <vt:i4>0</vt:i4>
      </vt:variant>
      <vt:variant>
        <vt:i4>5</vt:i4>
      </vt:variant>
      <vt:variant>
        <vt:lpwstr>http://www.nevo.co.il/law/70301/40i.a</vt:lpwstr>
      </vt:variant>
      <vt:variant>
        <vt:lpwstr/>
      </vt:variant>
      <vt:variant>
        <vt:i4>3670129</vt:i4>
      </vt:variant>
      <vt:variant>
        <vt:i4>42</vt:i4>
      </vt:variant>
      <vt:variant>
        <vt:i4>0</vt:i4>
      </vt:variant>
      <vt:variant>
        <vt:i4>5</vt:i4>
      </vt:variant>
      <vt:variant>
        <vt:lpwstr>http://www.nevo.co.il/case/5760328</vt:lpwstr>
      </vt:variant>
      <vt:variant>
        <vt:lpwstr/>
      </vt:variant>
      <vt:variant>
        <vt:i4>3473521</vt:i4>
      </vt:variant>
      <vt:variant>
        <vt:i4>39</vt:i4>
      </vt:variant>
      <vt:variant>
        <vt:i4>0</vt:i4>
      </vt:variant>
      <vt:variant>
        <vt:i4>5</vt:i4>
      </vt:variant>
      <vt:variant>
        <vt:lpwstr>http://www.nevo.co.il/case/7671124</vt:lpwstr>
      </vt:variant>
      <vt:variant>
        <vt:lpwstr/>
      </vt:variant>
      <vt:variant>
        <vt:i4>3145853</vt:i4>
      </vt:variant>
      <vt:variant>
        <vt:i4>36</vt:i4>
      </vt:variant>
      <vt:variant>
        <vt:i4>0</vt:i4>
      </vt:variant>
      <vt:variant>
        <vt:i4>5</vt:i4>
      </vt:variant>
      <vt:variant>
        <vt:lpwstr>http://www.nevo.co.il/case/6949290</vt:lpwstr>
      </vt:variant>
      <vt:variant>
        <vt:lpwstr/>
      </vt:variant>
      <vt:variant>
        <vt:i4>3735672</vt:i4>
      </vt:variant>
      <vt:variant>
        <vt:i4>33</vt:i4>
      </vt:variant>
      <vt:variant>
        <vt:i4>0</vt:i4>
      </vt:variant>
      <vt:variant>
        <vt:i4>5</vt:i4>
      </vt:variant>
      <vt:variant>
        <vt:lpwstr>http://www.nevo.co.il/case/5591782</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4915208</vt:i4>
      </vt:variant>
      <vt:variant>
        <vt:i4>9</vt:i4>
      </vt:variant>
      <vt:variant>
        <vt:i4>0</vt:i4>
      </vt:variant>
      <vt:variant>
        <vt:i4>5</vt:i4>
      </vt:variant>
      <vt:variant>
        <vt:lpwstr>http://www.nevo.co.il/law/70301/40i.a</vt:lpwstr>
      </vt:variant>
      <vt:variant>
        <vt:lpwstr/>
      </vt:variant>
      <vt:variant>
        <vt:i4>6750310</vt:i4>
      </vt:variant>
      <vt:variant>
        <vt:i4>6</vt:i4>
      </vt:variant>
      <vt:variant>
        <vt:i4>0</vt:i4>
      </vt:variant>
      <vt:variant>
        <vt:i4>5</vt:i4>
      </vt:variant>
      <vt:variant>
        <vt:lpwstr>http://www.nevo.co.il/law/70301/32</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2025-01-19T15:55:00Z</dcterms:created>
  <dcterms:modified xsi:type="dcterms:W3CDTF">2025-01-19T15:55:00Z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בהג'ת בתילו</vt:lpwstr>
  </property>
  <property fmtid="{D5CDD505-2E9C-101B-9397-08002B2CF9AE}" pid="10" name="LAWYER">
    <vt:lpwstr>יעל עצמון;  ניצן ביילין;ענבוסי</vt:lpwstr>
  </property>
  <property fmtid="{D5CDD505-2E9C-101B-9397-08002B2CF9AE}" pid="11" name="JUDGE">
    <vt:lpwstr>מיכל ברנט</vt:lpwstr>
  </property>
  <property fmtid="{D5CDD505-2E9C-101B-9397-08002B2CF9AE}" pid="12" name="CITY">
    <vt:lpwstr>מרכז</vt:lpwstr>
  </property>
  <property fmtid="{D5CDD505-2E9C-101B-9397-08002B2CF9AE}" pid="13" name="DATE">
    <vt:lpwstr>20150204</vt:lpwstr>
  </property>
  <property fmtid="{D5CDD505-2E9C-101B-9397-08002B2CF9AE}" pid="14" name="TYPE_N_DATE">
    <vt:lpwstr>39020150204</vt:lpwstr>
  </property>
  <property fmtid="{D5CDD505-2E9C-101B-9397-08002B2CF9AE}" pid="15" name="WORDNUMPAGES">
    <vt:lpwstr>6</vt:lpwstr>
  </property>
  <property fmtid="{D5CDD505-2E9C-101B-9397-08002B2CF9AE}" pid="16" name="TYPE_ABS_DATE">
    <vt:lpwstr>390020150204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5591782;6949290;7671124;5760328;7807298</vt:lpwstr>
  </property>
  <property fmtid="{D5CDD505-2E9C-101B-9397-08002B2CF9AE}" pid="36" name="LAWLISTTMP1">
    <vt:lpwstr>70301/144.a;031:2;144.b;040i.a;032</vt:lpwstr>
  </property>
</Properties>
</file>