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965FA2" w:rsidRPr="00B079C6" w14:paraId="4D1C47F9" w14:textId="77777777">
        <w:trPr>
          <w:trHeight w:hRule="exact" w:val="418"/>
          <w:jc w:val="center"/>
        </w:trPr>
        <w:tc>
          <w:tcPr>
            <w:tcW w:w="8721" w:type="dxa"/>
            <w:gridSpan w:val="2"/>
          </w:tcPr>
          <w:p w14:paraId="081C9F6A" w14:textId="77777777" w:rsidR="00965FA2" w:rsidRPr="00B079C6" w:rsidRDefault="00965FA2" w:rsidP="00B079C6">
            <w:pPr>
              <w:pStyle w:val="a3"/>
              <w:jc w:val="center"/>
              <w:rPr>
                <w:rFonts w:ascii="Tahoma" w:hAnsi="Tahoma" w:cs="Tahoma"/>
                <w:color w:val="000080"/>
                <w:rtl/>
              </w:rPr>
            </w:pPr>
            <w:r w:rsidRPr="00B079C6">
              <w:rPr>
                <w:rFonts w:ascii="Tahoma" w:hAnsi="Tahoma" w:cs="Tahoma"/>
                <w:b/>
                <w:bCs/>
                <w:color w:val="000080"/>
                <w:rtl/>
              </w:rPr>
              <w:t>בית המשפט המחוזי בחיפה</w:t>
            </w:r>
          </w:p>
        </w:tc>
      </w:tr>
      <w:tr w:rsidR="00965FA2" w:rsidRPr="00B079C6" w14:paraId="59275FAB" w14:textId="77777777">
        <w:trPr>
          <w:trHeight w:val="337"/>
          <w:jc w:val="center"/>
        </w:trPr>
        <w:tc>
          <w:tcPr>
            <w:tcW w:w="5060" w:type="dxa"/>
          </w:tcPr>
          <w:p w14:paraId="51020A93" w14:textId="77777777" w:rsidR="00965FA2" w:rsidRPr="00B079C6" w:rsidRDefault="00965FA2" w:rsidP="00B079C6">
            <w:pPr>
              <w:rPr>
                <w:rFonts w:cs="FrankRuehl"/>
                <w:sz w:val="28"/>
                <w:szCs w:val="28"/>
                <w:rtl/>
              </w:rPr>
            </w:pPr>
            <w:r w:rsidRPr="00B079C6">
              <w:rPr>
                <w:b/>
                <w:bCs/>
                <w:sz w:val="26"/>
                <w:szCs w:val="26"/>
                <w:rtl/>
              </w:rPr>
              <w:t>תפ"ח</w:t>
            </w:r>
            <w:r w:rsidRPr="00B079C6">
              <w:rPr>
                <w:rFonts w:cs="FrankRuehl" w:hint="cs"/>
                <w:sz w:val="28"/>
                <w:szCs w:val="28"/>
                <w:rtl/>
              </w:rPr>
              <w:t xml:space="preserve"> </w:t>
            </w:r>
            <w:r w:rsidRPr="00B079C6">
              <w:rPr>
                <w:b/>
                <w:bCs/>
                <w:sz w:val="26"/>
                <w:szCs w:val="26"/>
                <w:rtl/>
              </w:rPr>
              <w:t>866-07-14</w:t>
            </w:r>
            <w:r w:rsidRPr="00B079C6">
              <w:rPr>
                <w:rFonts w:cs="FrankRuehl" w:hint="cs"/>
                <w:sz w:val="28"/>
                <w:szCs w:val="28"/>
                <w:rtl/>
              </w:rPr>
              <w:t xml:space="preserve"> </w:t>
            </w:r>
            <w:r w:rsidRPr="00B079C6">
              <w:rPr>
                <w:b/>
                <w:bCs/>
                <w:sz w:val="26"/>
                <w:szCs w:val="26"/>
                <w:rtl/>
              </w:rPr>
              <w:t>מדינת ישראל נ' שלומוב</w:t>
            </w:r>
            <w:r w:rsidR="0019648F">
              <w:rPr>
                <w:rFonts w:hint="cs"/>
                <w:b/>
                <w:bCs/>
                <w:sz w:val="26"/>
                <w:szCs w:val="26"/>
                <w:rtl/>
              </w:rPr>
              <w:t xml:space="preserve"> </w:t>
            </w:r>
            <w:r w:rsidRPr="00B079C6">
              <w:rPr>
                <w:b/>
                <w:bCs/>
                <w:sz w:val="26"/>
                <w:szCs w:val="26"/>
                <w:rtl/>
              </w:rPr>
              <w:t>(עציר) ואח'</w:t>
            </w:r>
          </w:p>
          <w:p w14:paraId="565C918D" w14:textId="77777777" w:rsidR="00965FA2" w:rsidRPr="00B079C6" w:rsidRDefault="00965FA2" w:rsidP="00B079C6">
            <w:pPr>
              <w:pStyle w:val="a3"/>
              <w:rPr>
                <w:rFonts w:cs="FrankRuehl"/>
                <w:sz w:val="28"/>
                <w:szCs w:val="28"/>
                <w:rtl/>
              </w:rPr>
            </w:pPr>
          </w:p>
        </w:tc>
        <w:tc>
          <w:tcPr>
            <w:tcW w:w="3661" w:type="dxa"/>
          </w:tcPr>
          <w:p w14:paraId="3848BA7F" w14:textId="77777777" w:rsidR="00965FA2" w:rsidRPr="00B079C6" w:rsidRDefault="00965FA2" w:rsidP="00B079C6">
            <w:pPr>
              <w:pStyle w:val="a3"/>
              <w:jc w:val="right"/>
              <w:rPr>
                <w:rFonts w:cs="FrankRuehl"/>
                <w:sz w:val="28"/>
                <w:szCs w:val="28"/>
                <w:rtl/>
              </w:rPr>
            </w:pPr>
          </w:p>
        </w:tc>
      </w:tr>
    </w:tbl>
    <w:p w14:paraId="568E128A" w14:textId="77777777" w:rsidR="00965FA2" w:rsidRPr="00B079C6" w:rsidRDefault="00965FA2" w:rsidP="00965FA2">
      <w:pPr>
        <w:pStyle w:val="a3"/>
        <w:rPr>
          <w:rtl/>
        </w:rPr>
      </w:pPr>
      <w:r w:rsidRPr="00B079C6">
        <w:rPr>
          <w:rFonts w:hint="cs"/>
          <w:rtl/>
        </w:rPr>
        <w:t xml:space="preserve"> </w:t>
      </w:r>
    </w:p>
    <w:p w14:paraId="236A15CC" w14:textId="77777777" w:rsidR="00965FA2" w:rsidRPr="00B079C6" w:rsidRDefault="00965FA2" w:rsidP="00965FA2"/>
    <w:tbl>
      <w:tblPr>
        <w:bidiVisual/>
        <w:tblW w:w="8802" w:type="dxa"/>
        <w:tblInd w:w="-28" w:type="dxa"/>
        <w:tblLook w:val="01E0" w:firstRow="1" w:lastRow="1" w:firstColumn="1" w:lastColumn="1" w:noHBand="0" w:noVBand="0"/>
      </w:tblPr>
      <w:tblGrid>
        <w:gridCol w:w="2880"/>
        <w:gridCol w:w="5839"/>
        <w:gridCol w:w="83"/>
      </w:tblGrid>
      <w:tr w:rsidR="00965FA2" w:rsidRPr="00B079C6" w14:paraId="17486171" w14:textId="77777777">
        <w:trPr>
          <w:gridAfter w:val="1"/>
          <w:wAfter w:w="55" w:type="dxa"/>
        </w:trPr>
        <w:tc>
          <w:tcPr>
            <w:tcW w:w="8719" w:type="dxa"/>
            <w:gridSpan w:val="2"/>
            <w:shd w:val="clear" w:color="auto" w:fill="auto"/>
          </w:tcPr>
          <w:p w14:paraId="37D2E889" w14:textId="77777777" w:rsidR="00965FA2" w:rsidRPr="00B079C6" w:rsidRDefault="00965FA2" w:rsidP="00B079C6">
            <w:pPr>
              <w:spacing w:line="360" w:lineRule="auto"/>
              <w:rPr>
                <w:b/>
                <w:bCs/>
                <w:sz w:val="26"/>
                <w:szCs w:val="26"/>
                <w:rtl/>
              </w:rPr>
            </w:pPr>
            <w:r w:rsidRPr="00B079C6">
              <w:rPr>
                <w:rFonts w:hint="cs"/>
                <w:b/>
                <w:bCs/>
                <w:sz w:val="26"/>
                <w:szCs w:val="26"/>
                <w:rtl/>
              </w:rPr>
              <w:t>בפני הרכב כב' השופטים:</w:t>
            </w:r>
          </w:p>
          <w:p w14:paraId="312F96CE" w14:textId="77777777" w:rsidR="00965FA2" w:rsidRPr="00B079C6" w:rsidRDefault="00965FA2" w:rsidP="00B079C6">
            <w:pPr>
              <w:spacing w:line="360" w:lineRule="auto"/>
              <w:rPr>
                <w:rStyle w:val="TimesNewRomanTimesNewRoman"/>
                <w:rtl/>
              </w:rPr>
            </w:pPr>
            <w:r w:rsidRPr="00B079C6">
              <w:rPr>
                <w:rStyle w:val="TimesNewRomanTimesNewRoman"/>
                <w:rFonts w:hint="cs"/>
                <w:rtl/>
              </w:rPr>
              <w:t xml:space="preserve">      רון שפירא, סגן נשיא [אב"ד]</w:t>
            </w:r>
          </w:p>
          <w:p w14:paraId="09B917CF" w14:textId="77777777" w:rsidR="00965FA2" w:rsidRPr="00B079C6" w:rsidRDefault="00965FA2" w:rsidP="00B079C6">
            <w:pPr>
              <w:spacing w:line="360" w:lineRule="auto"/>
              <w:rPr>
                <w:rStyle w:val="TimesNewRomanTimesNewRoman"/>
                <w:rtl/>
              </w:rPr>
            </w:pPr>
            <w:r w:rsidRPr="00B079C6">
              <w:rPr>
                <w:rStyle w:val="TimesNewRomanTimesNewRoman"/>
                <w:rFonts w:hint="cs"/>
                <w:rtl/>
              </w:rPr>
              <w:t xml:space="preserve">      אברהם אליקים, סגן נשיא</w:t>
            </w:r>
          </w:p>
          <w:p w14:paraId="1CD311CE" w14:textId="77777777" w:rsidR="00965FA2" w:rsidRPr="00B079C6" w:rsidRDefault="00965FA2" w:rsidP="00B079C6">
            <w:pPr>
              <w:spacing w:line="360" w:lineRule="auto"/>
              <w:rPr>
                <w:rStyle w:val="TimesNewRomanTimesNewRoman"/>
                <w:rtl/>
              </w:rPr>
            </w:pPr>
            <w:r w:rsidRPr="00B079C6">
              <w:rPr>
                <w:rStyle w:val="TimesNewRomanTimesNewRoman"/>
                <w:rFonts w:hint="cs"/>
                <w:rtl/>
              </w:rPr>
              <w:t xml:space="preserve">      תמר נאות פרי</w:t>
            </w:r>
          </w:p>
          <w:p w14:paraId="685EC8C0" w14:textId="77777777" w:rsidR="00965FA2" w:rsidRPr="00B079C6" w:rsidRDefault="00965FA2" w:rsidP="00B079C6">
            <w:pPr>
              <w:rPr>
                <w:rtl/>
              </w:rPr>
            </w:pPr>
            <w:r w:rsidRPr="00B079C6">
              <w:rPr>
                <w:rStyle w:val="TimesNewRomanTimesNewRoman"/>
                <w:rFonts w:hint="cs"/>
                <w:rtl/>
              </w:rPr>
              <w:t xml:space="preserve"> </w:t>
            </w:r>
          </w:p>
        </w:tc>
      </w:tr>
      <w:tr w:rsidR="00965FA2" w:rsidRPr="00B079C6" w14:paraId="0C46C05B" w14:textId="77777777">
        <w:tc>
          <w:tcPr>
            <w:tcW w:w="2880" w:type="dxa"/>
            <w:shd w:val="clear" w:color="auto" w:fill="auto"/>
          </w:tcPr>
          <w:p w14:paraId="4ECEF0E9" w14:textId="77777777" w:rsidR="00965FA2" w:rsidRPr="0019648F" w:rsidRDefault="00965FA2" w:rsidP="0019648F">
            <w:pPr>
              <w:spacing w:before="120" w:after="120"/>
              <w:ind w:left="26"/>
              <w:rPr>
                <w:b/>
                <w:bCs/>
                <w:sz w:val="26"/>
                <w:szCs w:val="26"/>
                <w:rtl/>
              </w:rPr>
            </w:pPr>
            <w:bookmarkStart w:id="0" w:name="FirstAppellant"/>
            <w:bookmarkStart w:id="1" w:name="LastJudge"/>
            <w:bookmarkEnd w:id="1"/>
            <w:r w:rsidRPr="0019648F">
              <w:rPr>
                <w:rFonts w:hint="cs"/>
                <w:b/>
                <w:bCs/>
                <w:sz w:val="26"/>
                <w:szCs w:val="26"/>
                <w:rtl/>
              </w:rPr>
              <w:t>המאשימה</w:t>
            </w:r>
          </w:p>
        </w:tc>
        <w:tc>
          <w:tcPr>
            <w:tcW w:w="5922" w:type="dxa"/>
            <w:gridSpan w:val="2"/>
            <w:shd w:val="clear" w:color="auto" w:fill="auto"/>
          </w:tcPr>
          <w:p w14:paraId="73FCF1B5" w14:textId="77777777" w:rsidR="00965FA2" w:rsidRPr="0019648F" w:rsidRDefault="00965FA2" w:rsidP="0019648F">
            <w:pPr>
              <w:spacing w:before="120" w:after="120"/>
              <w:rPr>
                <w:b/>
                <w:bCs/>
                <w:sz w:val="26"/>
                <w:szCs w:val="26"/>
                <w:rtl/>
              </w:rPr>
            </w:pPr>
            <w:r w:rsidRPr="0019648F">
              <w:rPr>
                <w:rFonts w:hint="cs"/>
                <w:b/>
                <w:bCs/>
                <w:sz w:val="26"/>
                <w:szCs w:val="26"/>
                <w:rtl/>
              </w:rPr>
              <w:t>מדינת ישראל</w:t>
            </w:r>
          </w:p>
          <w:p w14:paraId="49D1AF81" w14:textId="77777777" w:rsidR="00965FA2" w:rsidRPr="0019648F" w:rsidRDefault="00965FA2" w:rsidP="0019648F">
            <w:pPr>
              <w:spacing w:before="120" w:after="120"/>
              <w:rPr>
                <w:b/>
                <w:bCs/>
                <w:sz w:val="26"/>
                <w:szCs w:val="26"/>
                <w:rtl/>
              </w:rPr>
            </w:pPr>
            <w:r w:rsidRPr="0019648F">
              <w:rPr>
                <w:rFonts w:hint="cs"/>
                <w:b/>
                <w:bCs/>
                <w:sz w:val="26"/>
                <w:szCs w:val="26"/>
                <w:rtl/>
              </w:rPr>
              <w:t>ע"י פרקליטות מחוז חיפה - פלילי</w:t>
            </w:r>
          </w:p>
        </w:tc>
      </w:tr>
      <w:bookmarkEnd w:id="0"/>
      <w:tr w:rsidR="00965FA2" w:rsidRPr="00B079C6" w14:paraId="1738BA29" w14:textId="77777777">
        <w:tc>
          <w:tcPr>
            <w:tcW w:w="8802" w:type="dxa"/>
            <w:gridSpan w:val="3"/>
            <w:shd w:val="clear" w:color="auto" w:fill="auto"/>
          </w:tcPr>
          <w:p w14:paraId="114E2A65" w14:textId="77777777" w:rsidR="00965FA2" w:rsidRPr="0019648F" w:rsidRDefault="00965FA2" w:rsidP="0019648F">
            <w:pPr>
              <w:spacing w:before="120" w:after="120"/>
              <w:jc w:val="center"/>
              <w:rPr>
                <w:rFonts w:ascii="Arial" w:hAnsi="Arial"/>
                <w:b/>
                <w:bCs/>
                <w:sz w:val="26"/>
                <w:szCs w:val="26"/>
              </w:rPr>
            </w:pPr>
          </w:p>
          <w:p w14:paraId="7EBD152B" w14:textId="77777777" w:rsidR="00965FA2" w:rsidRPr="0019648F" w:rsidRDefault="00965FA2" w:rsidP="0019648F">
            <w:pPr>
              <w:spacing w:before="120" w:after="120"/>
              <w:jc w:val="center"/>
              <w:rPr>
                <w:rFonts w:ascii="Arial" w:hAnsi="Arial"/>
                <w:b/>
                <w:bCs/>
                <w:sz w:val="26"/>
                <w:szCs w:val="26"/>
              </w:rPr>
            </w:pPr>
            <w:r w:rsidRPr="0019648F">
              <w:rPr>
                <w:rFonts w:ascii="Arial" w:hAnsi="Arial" w:hint="cs"/>
                <w:b/>
                <w:bCs/>
                <w:sz w:val="26"/>
                <w:szCs w:val="26"/>
                <w:rtl/>
              </w:rPr>
              <w:t>נגד</w:t>
            </w:r>
          </w:p>
          <w:p w14:paraId="36E20078" w14:textId="77777777" w:rsidR="00965FA2" w:rsidRPr="0019648F" w:rsidRDefault="00965FA2" w:rsidP="0019648F">
            <w:pPr>
              <w:spacing w:before="120" w:after="120"/>
              <w:jc w:val="center"/>
              <w:rPr>
                <w:rFonts w:ascii="Arial" w:hAnsi="Arial"/>
                <w:b/>
                <w:bCs/>
                <w:sz w:val="26"/>
                <w:szCs w:val="26"/>
                <w:rtl/>
              </w:rPr>
            </w:pPr>
          </w:p>
        </w:tc>
      </w:tr>
      <w:tr w:rsidR="00965FA2" w:rsidRPr="00B079C6" w14:paraId="76402810" w14:textId="77777777">
        <w:tc>
          <w:tcPr>
            <w:tcW w:w="2880" w:type="dxa"/>
            <w:shd w:val="clear" w:color="auto" w:fill="auto"/>
          </w:tcPr>
          <w:p w14:paraId="764A8411" w14:textId="77777777" w:rsidR="00965FA2" w:rsidRPr="0019648F" w:rsidRDefault="00965FA2" w:rsidP="0019648F">
            <w:pPr>
              <w:spacing w:before="120" w:after="120"/>
              <w:ind w:left="26"/>
              <w:rPr>
                <w:b/>
                <w:bCs/>
                <w:sz w:val="26"/>
                <w:szCs w:val="26"/>
                <w:rtl/>
              </w:rPr>
            </w:pPr>
            <w:bookmarkStart w:id="2" w:name="FirstLawyer"/>
            <w:r w:rsidRPr="0019648F">
              <w:rPr>
                <w:rFonts w:hint="cs"/>
                <w:b/>
                <w:bCs/>
                <w:sz w:val="26"/>
                <w:szCs w:val="26"/>
                <w:rtl/>
              </w:rPr>
              <w:t>הנאשמים</w:t>
            </w:r>
          </w:p>
        </w:tc>
        <w:tc>
          <w:tcPr>
            <w:tcW w:w="5922" w:type="dxa"/>
            <w:gridSpan w:val="2"/>
            <w:shd w:val="clear" w:color="auto" w:fill="auto"/>
          </w:tcPr>
          <w:p w14:paraId="23B983D4" w14:textId="77777777" w:rsidR="00965FA2" w:rsidRPr="0019648F" w:rsidRDefault="00565A63" w:rsidP="0019648F">
            <w:pPr>
              <w:spacing w:before="120" w:after="120"/>
              <w:rPr>
                <w:b/>
                <w:bCs/>
                <w:sz w:val="26"/>
                <w:szCs w:val="26"/>
                <w:rtl/>
              </w:rPr>
            </w:pPr>
            <w:r w:rsidRPr="0019648F">
              <w:rPr>
                <w:rFonts w:hint="cs"/>
                <w:b/>
                <w:bCs/>
                <w:sz w:val="26"/>
                <w:szCs w:val="26"/>
                <w:rtl/>
              </w:rPr>
              <w:t>1. רפי שלומוב (עציר)</w:t>
            </w:r>
          </w:p>
          <w:p w14:paraId="1F03150A" w14:textId="77777777" w:rsidR="00965FA2" w:rsidRPr="0019648F" w:rsidRDefault="00965FA2" w:rsidP="0019648F">
            <w:pPr>
              <w:spacing w:before="120" w:after="120"/>
              <w:rPr>
                <w:b/>
                <w:bCs/>
                <w:sz w:val="26"/>
                <w:szCs w:val="26"/>
              </w:rPr>
            </w:pPr>
            <w:r w:rsidRPr="0019648F">
              <w:rPr>
                <w:rFonts w:hint="cs"/>
                <w:b/>
                <w:bCs/>
                <w:sz w:val="26"/>
                <w:szCs w:val="26"/>
                <w:rtl/>
              </w:rPr>
              <w:t>ע"י ב"כ עו"ד ישי ניב</w:t>
            </w:r>
          </w:p>
          <w:p w14:paraId="544ADCE0" w14:textId="77777777" w:rsidR="00965FA2" w:rsidRPr="0019648F" w:rsidRDefault="00565A63" w:rsidP="0019648F">
            <w:pPr>
              <w:spacing w:before="120" w:after="120"/>
              <w:rPr>
                <w:b/>
                <w:bCs/>
                <w:sz w:val="26"/>
                <w:szCs w:val="26"/>
                <w:rtl/>
              </w:rPr>
            </w:pPr>
            <w:r w:rsidRPr="0019648F">
              <w:rPr>
                <w:rFonts w:hint="cs"/>
                <w:b/>
                <w:bCs/>
                <w:sz w:val="26"/>
                <w:szCs w:val="26"/>
                <w:rtl/>
              </w:rPr>
              <w:t>2. רוני שלומוב (עציר)</w:t>
            </w:r>
          </w:p>
          <w:p w14:paraId="570858B6" w14:textId="77777777" w:rsidR="00965FA2" w:rsidRPr="0019648F" w:rsidRDefault="00965FA2" w:rsidP="0019648F">
            <w:pPr>
              <w:spacing w:before="120" w:after="120"/>
              <w:rPr>
                <w:b/>
                <w:bCs/>
                <w:sz w:val="26"/>
                <w:szCs w:val="26"/>
              </w:rPr>
            </w:pPr>
            <w:r w:rsidRPr="0019648F">
              <w:rPr>
                <w:rFonts w:hint="cs"/>
                <w:b/>
                <w:bCs/>
                <w:sz w:val="26"/>
                <w:szCs w:val="26"/>
                <w:rtl/>
              </w:rPr>
              <w:t>ע"י ב"כ עו"ד פלג קימלוב ועו"ד גולן שטיינברג</w:t>
            </w:r>
          </w:p>
        </w:tc>
      </w:tr>
    </w:tbl>
    <w:p w14:paraId="164DE7E0" w14:textId="77777777" w:rsidR="00565A63" w:rsidRDefault="00565A63" w:rsidP="00965FA2">
      <w:pPr>
        <w:spacing w:line="360" w:lineRule="auto"/>
        <w:jc w:val="both"/>
        <w:rPr>
          <w:rtl/>
        </w:rPr>
      </w:pPr>
      <w:bookmarkStart w:id="3" w:name="LawTable"/>
      <w:bookmarkEnd w:id="2"/>
      <w:bookmarkEnd w:id="3"/>
    </w:p>
    <w:p w14:paraId="45C52BCE" w14:textId="77777777" w:rsidR="00565A63" w:rsidRPr="00565A63" w:rsidRDefault="00565A63" w:rsidP="00565A63">
      <w:pPr>
        <w:spacing w:after="120" w:line="240" w:lineRule="exact"/>
        <w:ind w:left="283" w:hanging="283"/>
        <w:jc w:val="both"/>
        <w:rPr>
          <w:rFonts w:ascii="FrankRuehl" w:hAnsi="FrankRuehl" w:cs="FrankRuehl"/>
          <w:rtl/>
        </w:rPr>
      </w:pPr>
      <w:r w:rsidRPr="00565A63">
        <w:rPr>
          <w:rFonts w:ascii="FrankRuehl" w:hAnsi="FrankRuehl" w:cs="FrankRuehl"/>
          <w:rtl/>
        </w:rPr>
        <w:t xml:space="preserve">חקיקה שאוזכרה: </w:t>
      </w:r>
    </w:p>
    <w:p w14:paraId="382E56DA" w14:textId="77777777" w:rsidR="00565A63" w:rsidRPr="00565A63" w:rsidRDefault="00565A63" w:rsidP="00565A63">
      <w:pPr>
        <w:spacing w:after="120" w:line="240" w:lineRule="exact"/>
        <w:ind w:left="283" w:hanging="283"/>
        <w:jc w:val="both"/>
        <w:rPr>
          <w:rFonts w:ascii="FrankRuehl" w:hAnsi="FrankRuehl" w:cs="FrankRuehl"/>
          <w:rtl/>
        </w:rPr>
      </w:pPr>
      <w:hyperlink r:id="rId6" w:history="1">
        <w:r w:rsidRPr="00565A63">
          <w:rPr>
            <w:rFonts w:ascii="FrankRuehl" w:hAnsi="FrankRuehl" w:cs="FrankRuehl"/>
            <w:color w:val="0000FF"/>
            <w:u w:val="single"/>
            <w:rtl/>
          </w:rPr>
          <w:t>חוק העונשין, תשל"ז-1977</w:t>
        </w:r>
      </w:hyperlink>
      <w:r w:rsidRPr="00565A63">
        <w:rPr>
          <w:rFonts w:ascii="FrankRuehl" w:hAnsi="FrankRuehl" w:cs="FrankRuehl"/>
          <w:rtl/>
        </w:rPr>
        <w:t xml:space="preserve">: סע'  </w:t>
      </w:r>
      <w:hyperlink r:id="rId7" w:history="1">
        <w:r w:rsidRPr="00565A63">
          <w:rPr>
            <w:rFonts w:ascii="FrankRuehl" w:hAnsi="FrankRuehl" w:cs="FrankRuehl"/>
            <w:color w:val="0000FF"/>
            <w:u w:val="single"/>
            <w:rtl/>
          </w:rPr>
          <w:t>29</w:t>
        </w:r>
      </w:hyperlink>
      <w:r w:rsidRPr="00565A63">
        <w:rPr>
          <w:rFonts w:ascii="FrankRuehl" w:hAnsi="FrankRuehl" w:cs="FrankRuehl"/>
          <w:rtl/>
        </w:rPr>
        <w:t xml:space="preserve">, </w:t>
      </w:r>
      <w:hyperlink r:id="rId8" w:history="1">
        <w:r w:rsidRPr="00565A63">
          <w:rPr>
            <w:rFonts w:ascii="FrankRuehl" w:hAnsi="FrankRuehl" w:cs="FrankRuehl"/>
            <w:color w:val="0000FF"/>
            <w:u w:val="single"/>
            <w:rtl/>
          </w:rPr>
          <w:t>31</w:t>
        </w:r>
      </w:hyperlink>
      <w:r w:rsidRPr="00565A63">
        <w:rPr>
          <w:rFonts w:ascii="FrankRuehl" w:hAnsi="FrankRuehl" w:cs="FrankRuehl"/>
          <w:rtl/>
        </w:rPr>
        <w:t xml:space="preserve">, </w:t>
      </w:r>
      <w:hyperlink r:id="rId9" w:history="1">
        <w:r w:rsidRPr="00565A63">
          <w:rPr>
            <w:rFonts w:ascii="FrankRuehl" w:hAnsi="FrankRuehl" w:cs="FrankRuehl"/>
            <w:color w:val="0000FF"/>
            <w:u w:val="single"/>
            <w:rtl/>
          </w:rPr>
          <w:t>32(1)</w:t>
        </w:r>
      </w:hyperlink>
      <w:r w:rsidRPr="00565A63">
        <w:rPr>
          <w:rFonts w:ascii="FrankRuehl" w:hAnsi="FrankRuehl" w:cs="FrankRuehl"/>
          <w:rtl/>
        </w:rPr>
        <w:t xml:space="preserve">, </w:t>
      </w:r>
      <w:hyperlink r:id="rId10" w:history="1">
        <w:r w:rsidRPr="00565A63">
          <w:rPr>
            <w:rFonts w:ascii="FrankRuehl" w:hAnsi="FrankRuehl" w:cs="FrankRuehl"/>
            <w:color w:val="0000FF"/>
            <w:u w:val="single"/>
            <w:rtl/>
          </w:rPr>
          <w:t>40ב'</w:t>
        </w:r>
      </w:hyperlink>
      <w:r w:rsidRPr="00565A63">
        <w:rPr>
          <w:rFonts w:ascii="FrankRuehl" w:hAnsi="FrankRuehl" w:cs="FrankRuehl"/>
          <w:rtl/>
        </w:rPr>
        <w:t xml:space="preserve">, </w:t>
      </w:r>
      <w:hyperlink r:id="rId11" w:history="1">
        <w:r w:rsidRPr="00565A63">
          <w:rPr>
            <w:rFonts w:ascii="FrankRuehl" w:hAnsi="FrankRuehl" w:cs="FrankRuehl"/>
            <w:color w:val="0000FF"/>
            <w:u w:val="single"/>
            <w:rtl/>
          </w:rPr>
          <w:t>40ג(א)</w:t>
        </w:r>
      </w:hyperlink>
      <w:r w:rsidRPr="00565A63">
        <w:rPr>
          <w:rFonts w:ascii="FrankRuehl" w:hAnsi="FrankRuehl" w:cs="FrankRuehl"/>
          <w:rtl/>
        </w:rPr>
        <w:t xml:space="preserve">, </w:t>
      </w:r>
      <w:hyperlink r:id="rId12" w:history="1">
        <w:r w:rsidRPr="00565A63">
          <w:rPr>
            <w:rFonts w:ascii="FrankRuehl" w:hAnsi="FrankRuehl" w:cs="FrankRuehl"/>
            <w:color w:val="0000FF"/>
            <w:u w:val="single"/>
            <w:rtl/>
          </w:rPr>
          <w:t>40ו</w:t>
        </w:r>
      </w:hyperlink>
      <w:r w:rsidRPr="00565A63">
        <w:rPr>
          <w:rFonts w:ascii="FrankRuehl" w:hAnsi="FrankRuehl" w:cs="FrankRuehl"/>
          <w:rtl/>
        </w:rPr>
        <w:t xml:space="preserve">, </w:t>
      </w:r>
      <w:hyperlink r:id="rId13" w:history="1">
        <w:r w:rsidRPr="00565A63">
          <w:rPr>
            <w:rFonts w:ascii="FrankRuehl" w:hAnsi="FrankRuehl" w:cs="FrankRuehl"/>
            <w:color w:val="0000FF"/>
            <w:u w:val="single"/>
            <w:rtl/>
          </w:rPr>
          <w:t>40ט'</w:t>
        </w:r>
      </w:hyperlink>
      <w:r w:rsidRPr="00565A63">
        <w:rPr>
          <w:rFonts w:ascii="FrankRuehl" w:hAnsi="FrankRuehl" w:cs="FrankRuehl"/>
          <w:rtl/>
        </w:rPr>
        <w:t xml:space="preserve">, </w:t>
      </w:r>
      <w:hyperlink r:id="rId14" w:history="1">
        <w:r w:rsidRPr="00565A63">
          <w:rPr>
            <w:rFonts w:ascii="FrankRuehl" w:hAnsi="FrankRuehl" w:cs="FrankRuehl"/>
            <w:color w:val="0000FF"/>
            <w:u w:val="single"/>
            <w:rtl/>
          </w:rPr>
          <w:t>77</w:t>
        </w:r>
      </w:hyperlink>
      <w:r w:rsidRPr="00565A63">
        <w:rPr>
          <w:rFonts w:ascii="FrankRuehl" w:hAnsi="FrankRuehl" w:cs="FrankRuehl"/>
          <w:rtl/>
        </w:rPr>
        <w:t xml:space="preserve">, </w:t>
      </w:r>
      <w:hyperlink r:id="rId15" w:history="1">
        <w:r w:rsidRPr="00565A63">
          <w:rPr>
            <w:rFonts w:ascii="FrankRuehl" w:hAnsi="FrankRuehl" w:cs="FrankRuehl"/>
            <w:color w:val="0000FF"/>
            <w:u w:val="single"/>
            <w:rtl/>
          </w:rPr>
          <w:t>144(א)</w:t>
        </w:r>
      </w:hyperlink>
      <w:r w:rsidRPr="00565A63">
        <w:rPr>
          <w:rFonts w:ascii="FrankRuehl" w:hAnsi="FrankRuehl" w:cs="FrankRuehl"/>
          <w:rtl/>
        </w:rPr>
        <w:t xml:space="preserve">, </w:t>
      </w:r>
      <w:hyperlink r:id="rId16" w:history="1">
        <w:r w:rsidRPr="00565A63">
          <w:rPr>
            <w:rFonts w:ascii="FrankRuehl" w:hAnsi="FrankRuehl" w:cs="FrankRuehl"/>
            <w:color w:val="0000FF"/>
            <w:u w:val="single"/>
            <w:rtl/>
          </w:rPr>
          <w:t>144(ב)</w:t>
        </w:r>
      </w:hyperlink>
      <w:r w:rsidRPr="00565A63">
        <w:rPr>
          <w:rFonts w:ascii="FrankRuehl" w:hAnsi="FrankRuehl" w:cs="FrankRuehl"/>
          <w:rtl/>
        </w:rPr>
        <w:t xml:space="preserve">, </w:t>
      </w:r>
      <w:hyperlink r:id="rId17" w:history="1">
        <w:r w:rsidRPr="00565A63">
          <w:rPr>
            <w:rFonts w:ascii="FrankRuehl" w:hAnsi="FrankRuehl" w:cs="FrankRuehl"/>
            <w:color w:val="0000FF"/>
            <w:u w:val="single"/>
            <w:rtl/>
          </w:rPr>
          <w:t>300(א)(2)</w:t>
        </w:r>
      </w:hyperlink>
      <w:r w:rsidRPr="00565A63">
        <w:rPr>
          <w:rFonts w:ascii="FrankRuehl" w:hAnsi="FrankRuehl" w:cs="FrankRuehl"/>
          <w:rtl/>
        </w:rPr>
        <w:t xml:space="preserve">, </w:t>
      </w:r>
      <w:hyperlink r:id="rId18" w:history="1">
        <w:r w:rsidRPr="00565A63">
          <w:rPr>
            <w:rFonts w:ascii="FrankRuehl" w:hAnsi="FrankRuehl" w:cs="FrankRuehl"/>
            <w:color w:val="0000FF"/>
            <w:u w:val="single"/>
            <w:rtl/>
          </w:rPr>
          <w:t>40יא'</w:t>
        </w:r>
      </w:hyperlink>
      <w:r w:rsidRPr="00565A63">
        <w:rPr>
          <w:rFonts w:ascii="FrankRuehl" w:hAnsi="FrankRuehl" w:cs="FrankRuehl"/>
          <w:rtl/>
        </w:rPr>
        <w:t xml:space="preserve">, </w:t>
      </w:r>
      <w:hyperlink r:id="rId19" w:history="1">
        <w:r w:rsidRPr="00565A63">
          <w:rPr>
            <w:rFonts w:ascii="FrankRuehl" w:hAnsi="FrankRuehl" w:cs="FrankRuehl"/>
            <w:color w:val="0000FF"/>
            <w:u w:val="single"/>
            <w:rtl/>
          </w:rPr>
          <w:t>499</w:t>
        </w:r>
      </w:hyperlink>
    </w:p>
    <w:p w14:paraId="64C6BAF1" w14:textId="77777777" w:rsidR="00565A63" w:rsidRPr="00565A63" w:rsidRDefault="00565A63" w:rsidP="00565A63">
      <w:pPr>
        <w:spacing w:after="120" w:line="240" w:lineRule="exact"/>
        <w:ind w:left="283" w:hanging="283"/>
        <w:jc w:val="both"/>
        <w:rPr>
          <w:rFonts w:ascii="FrankRuehl" w:hAnsi="FrankRuehl" w:cs="FrankRuehl"/>
          <w:rtl/>
        </w:rPr>
      </w:pPr>
      <w:hyperlink r:id="rId20" w:history="1">
        <w:r w:rsidRPr="00565A63">
          <w:rPr>
            <w:rFonts w:ascii="FrankRuehl" w:hAnsi="FrankRuehl" w:cs="FrankRuehl"/>
            <w:color w:val="0000FF"/>
            <w:u w:val="single"/>
            <w:rtl/>
          </w:rPr>
          <w:t>חוק המרשם הפלילי ותקנת השבים, תשמ"א-1981</w:t>
        </w:r>
      </w:hyperlink>
    </w:p>
    <w:p w14:paraId="36FE8FE9" w14:textId="77777777" w:rsidR="00B079C6" w:rsidRPr="00565A63" w:rsidRDefault="00565A63" w:rsidP="00565A63">
      <w:pPr>
        <w:spacing w:after="120" w:line="240" w:lineRule="exact"/>
        <w:ind w:left="283" w:hanging="283"/>
        <w:jc w:val="both"/>
        <w:rPr>
          <w:rFonts w:ascii="FrankRuehl" w:hAnsi="FrankRuehl" w:cs="FrankRuehl" w:hint="cs"/>
          <w:rtl/>
        </w:rPr>
      </w:pPr>
      <w:r w:rsidRPr="00565A63">
        <w:rPr>
          <w:rFonts w:ascii="FrankRuehl" w:hAnsi="FrankRuehl" w:cs="FrankRuehl"/>
          <w:color w:val="0000FF"/>
          <w:u w:val="single"/>
          <w:rtl/>
        </w:rPr>
        <w:t>חוק סדר הדין הפלילי [נוסח משולב], תשמ"ב-1982</w:t>
      </w:r>
    </w:p>
    <w:p w14:paraId="5EE3A7BF" w14:textId="77777777" w:rsidR="00965FA2" w:rsidRDefault="00965FA2" w:rsidP="00965FA2">
      <w:pPr>
        <w:rPr>
          <w:rFonts w:hint="cs"/>
          <w:rtl/>
        </w:rPr>
      </w:pPr>
    </w:p>
    <w:p w14:paraId="5EA73CE0" w14:textId="77777777" w:rsidR="0080705D" w:rsidRDefault="0080705D" w:rsidP="0080705D">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Pr>
          <w:rFonts w:cs="FrankRuehl"/>
          <w:szCs w:val="26"/>
          <w:rtl/>
        </w:rPr>
        <w:t>מיני-רציו:</w:t>
      </w:r>
    </w:p>
    <w:p w14:paraId="50D74C31" w14:textId="77777777" w:rsidR="0080705D" w:rsidRPr="0080705D" w:rsidRDefault="0080705D" w:rsidP="0080705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80705D">
        <w:rPr>
          <w:rFonts w:cs="FrankRuehl" w:hint="cs"/>
          <w:szCs w:val="26"/>
          <w:rtl/>
        </w:rPr>
        <w:t xml:space="preserve">בית המשפט גזר את דינם של נאשמים שהורשעו ברצח וסיוע לרצח, קשירת קשר לביצוע פשע ועבירות בנשק. על הנאשם שהורשע ברצח הוטל מאסר עולם ופיצוי נפגעי העבירה ועל המסייע </w:t>
      </w:r>
      <w:r w:rsidRPr="0080705D">
        <w:rPr>
          <w:rFonts w:cs="FrankRuehl"/>
          <w:szCs w:val="26"/>
          <w:rtl/>
        </w:rPr>
        <w:t>–</w:t>
      </w:r>
      <w:r w:rsidRPr="0080705D">
        <w:rPr>
          <w:rFonts w:cs="FrankRuehl" w:hint="cs"/>
          <w:szCs w:val="26"/>
          <w:rtl/>
        </w:rPr>
        <w:t xml:space="preserve"> 13 שנות מאסר, מאסר מותנה, ופיצוי.</w:t>
      </w:r>
    </w:p>
    <w:p w14:paraId="6E92E670" w14:textId="77777777" w:rsidR="0080705D" w:rsidRDefault="0080705D" w:rsidP="0080705D">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עבירת רצח</w:t>
      </w:r>
    </w:p>
    <w:p w14:paraId="149F5372" w14:textId="77777777" w:rsidR="0080705D" w:rsidRDefault="0080705D" w:rsidP="0080705D">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אחדות הענישה</w:t>
      </w:r>
    </w:p>
    <w:p w14:paraId="3F510086" w14:textId="77777777" w:rsidR="0080705D" w:rsidRDefault="0080705D" w:rsidP="0080705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דרכי ענישה: פיצויים</w:t>
      </w:r>
    </w:p>
    <w:p w14:paraId="218DF2CB" w14:textId="77777777" w:rsidR="0080705D" w:rsidRDefault="0080705D" w:rsidP="0080705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A80E9D" w14:textId="77777777" w:rsidR="0080705D" w:rsidRPr="0080705D" w:rsidRDefault="0080705D" w:rsidP="0080705D">
      <w:pPr>
        <w:pBdr>
          <w:top w:val="single" w:sz="4" w:space="1" w:color="auto"/>
          <w:bottom w:val="single" w:sz="4" w:space="1" w:color="auto"/>
        </w:pBdr>
        <w:spacing w:after="120" w:line="320" w:lineRule="exact"/>
        <w:jc w:val="both"/>
        <w:rPr>
          <w:rFonts w:cs="FrankRuehl" w:hint="cs"/>
          <w:szCs w:val="26"/>
          <w:rtl/>
        </w:rPr>
      </w:pPr>
      <w:r w:rsidRPr="0080705D">
        <w:rPr>
          <w:rFonts w:cs="FrankRuehl" w:hint="cs"/>
          <w:szCs w:val="26"/>
          <w:rtl/>
        </w:rPr>
        <w:t>נאשם 2 הורשע ברצח ונאשם 1 הורשע בסיוע לרצח. בנוסף הורשעו שני הנאשמים בביצוע עבירות של קשירת קשר לביצוע פשע ובעבירות בנשק.</w:t>
      </w:r>
    </w:p>
    <w:p w14:paraId="13459812" w14:textId="77777777" w:rsidR="0080705D" w:rsidRDefault="0080705D" w:rsidP="0080705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lastRenderedPageBreak/>
        <w:t>.</w:t>
      </w:r>
    </w:p>
    <w:p w14:paraId="6FE7A7C1" w14:textId="77777777" w:rsidR="0080705D" w:rsidRPr="0080705D" w:rsidRDefault="0080705D" w:rsidP="0080705D">
      <w:pPr>
        <w:pBdr>
          <w:top w:val="single" w:sz="4" w:space="1" w:color="auto"/>
          <w:bottom w:val="single" w:sz="4" w:space="1" w:color="auto"/>
        </w:pBdr>
        <w:spacing w:after="120" w:line="320" w:lineRule="exact"/>
        <w:jc w:val="both"/>
        <w:rPr>
          <w:rFonts w:cs="FrankRuehl" w:hint="cs"/>
          <w:szCs w:val="26"/>
          <w:rtl/>
        </w:rPr>
      </w:pPr>
      <w:r w:rsidRPr="0080705D">
        <w:rPr>
          <w:rFonts w:cs="FrankRuehl"/>
          <w:szCs w:val="26"/>
          <w:rtl/>
        </w:rPr>
        <w:t>בית המשפט המחוזי</w:t>
      </w:r>
      <w:r w:rsidRPr="0080705D">
        <w:rPr>
          <w:rFonts w:cs="FrankRuehl" w:hint="cs"/>
          <w:szCs w:val="26"/>
          <w:rtl/>
        </w:rPr>
        <w:t xml:space="preserve"> גזר את הדין ופסק:</w:t>
      </w:r>
    </w:p>
    <w:p w14:paraId="251B8051" w14:textId="77777777" w:rsidR="0080705D" w:rsidRPr="0080705D" w:rsidRDefault="0080705D" w:rsidP="0080705D">
      <w:pPr>
        <w:pBdr>
          <w:top w:val="single" w:sz="4" w:space="1" w:color="auto"/>
          <w:bottom w:val="single" w:sz="4" w:space="1" w:color="auto"/>
        </w:pBdr>
        <w:spacing w:after="120" w:line="320" w:lineRule="exact"/>
        <w:jc w:val="both"/>
        <w:rPr>
          <w:rFonts w:cs="FrankRuehl" w:hint="cs"/>
          <w:szCs w:val="26"/>
          <w:rtl/>
        </w:rPr>
      </w:pPr>
      <w:r w:rsidRPr="0080705D">
        <w:rPr>
          <w:rFonts w:cs="FrankRuehl" w:hint="cs"/>
          <w:szCs w:val="26"/>
          <w:rtl/>
        </w:rPr>
        <w:t xml:space="preserve">ביחס לנאשם 1, בהתחשב בערכים החברתיים שנפגעו מביצוע העבירות, במידת הפגיעה בהם, במדיניות הענישה הנהוגה ובנסיבות הקשורות בביצוע העבירות, מתחם העונש ההולם נע בין 10 ל-15 שנות מאסר בפועל. אשר לנאשם 2, שותפם של הנאשמים הורשע בפני מותב אחר באותן עבירות שהורשע בהן נאשם 2. בהתאם לעקרון אחידות הענישה, ככלל יש להשית עונשים דומים על מי שהורשעו במסגרת פרשה אחת בביצוע עבירות דומות ובנסיבות דומות. לכן יש לקבוע גם ביחס לנאשם 2 מתחם עונש הולם ועונש זהים. באשר לפיצוי לנפגעי העבירה, </w:t>
      </w:r>
      <w:r w:rsidRPr="0080705D">
        <w:rPr>
          <w:rFonts w:cs="FrankRuehl"/>
          <w:szCs w:val="26"/>
          <w:rtl/>
        </w:rPr>
        <w:t>לאור גובה הנזק והתקרה המקסימ</w:t>
      </w:r>
      <w:r>
        <w:rPr>
          <w:rFonts w:cs="FrankRuehl" w:hint="cs"/>
          <w:szCs w:val="26"/>
          <w:rtl/>
        </w:rPr>
        <w:t>א</w:t>
      </w:r>
      <w:r w:rsidRPr="0080705D">
        <w:rPr>
          <w:rFonts w:cs="FrankRuehl"/>
          <w:szCs w:val="26"/>
          <w:rtl/>
        </w:rPr>
        <w:t>לית הקבועה בחוק, יש להטיל על שני</w:t>
      </w:r>
      <w:r w:rsidRPr="0080705D">
        <w:rPr>
          <w:rFonts w:cs="FrankRuehl" w:hint="cs"/>
          <w:szCs w:val="26"/>
          <w:rtl/>
        </w:rPr>
        <w:t xml:space="preserve"> </w:t>
      </w:r>
      <w:r w:rsidRPr="0080705D">
        <w:rPr>
          <w:rFonts w:cs="FrankRuehl"/>
          <w:szCs w:val="26"/>
          <w:rtl/>
        </w:rPr>
        <w:t>ה</w:t>
      </w:r>
      <w:r w:rsidRPr="0080705D">
        <w:rPr>
          <w:rFonts w:cs="FrankRuehl" w:hint="cs"/>
          <w:szCs w:val="26"/>
          <w:rtl/>
        </w:rPr>
        <w:t>נאשמי</w:t>
      </w:r>
      <w:r w:rsidRPr="0080705D">
        <w:rPr>
          <w:rFonts w:cs="FrankRuehl"/>
          <w:szCs w:val="26"/>
          <w:rtl/>
        </w:rPr>
        <w:t>ם את אותו גובה פיצוי</w:t>
      </w:r>
      <w:r w:rsidRPr="0080705D">
        <w:rPr>
          <w:rFonts w:cs="FrankRuehl" w:hint="cs"/>
          <w:szCs w:val="26"/>
          <w:rtl/>
        </w:rPr>
        <w:t xml:space="preserve"> שנפסק בעניינו של שותפם, שכן הנזק שגרמו שלושתם זהה. לפיכך, הושתו על נאשם 1 </w:t>
      </w:r>
      <w:r w:rsidRPr="0080705D">
        <w:rPr>
          <w:rFonts w:cs="FrankRuehl"/>
          <w:szCs w:val="26"/>
          <w:rtl/>
        </w:rPr>
        <w:t>–</w:t>
      </w:r>
      <w:r w:rsidRPr="0080705D">
        <w:rPr>
          <w:rFonts w:cs="FrankRuehl" w:hint="cs"/>
          <w:szCs w:val="26"/>
          <w:rtl/>
        </w:rPr>
        <w:t xml:space="preserve"> 13 שנות מאסר בפועל מיום מעצרו, מאסר על תנאי של 24 חודשים ופיצוי לנפגעי העבירה בסכום של 200,000 ₪ ועל נאשם 2 </w:t>
      </w:r>
      <w:r w:rsidRPr="0080705D">
        <w:rPr>
          <w:rFonts w:cs="FrankRuehl"/>
          <w:szCs w:val="26"/>
          <w:rtl/>
        </w:rPr>
        <w:t>–</w:t>
      </w:r>
      <w:r w:rsidRPr="0080705D">
        <w:rPr>
          <w:rFonts w:cs="FrankRuehl" w:hint="cs"/>
          <w:szCs w:val="26"/>
          <w:rtl/>
        </w:rPr>
        <w:t xml:space="preserve"> מאסר עולם, 3 שנות מאסר בפועל שירוצו בחופף למאסר העולם ופיצוי לנפגעי העבירה בסכום של 200,000 ₪.</w:t>
      </w:r>
    </w:p>
    <w:p w14:paraId="2B1657CD" w14:textId="77777777" w:rsidR="0080705D" w:rsidRDefault="0080705D" w:rsidP="00965FA2">
      <w:pPr>
        <w:rPr>
          <w:rFonts w:hint="cs"/>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65FA2" w:rsidRPr="00A12207" w14:paraId="3D7A288C" w14:textId="77777777">
        <w:trPr>
          <w:trHeight w:val="355"/>
          <w:jc w:val="center"/>
        </w:trPr>
        <w:tc>
          <w:tcPr>
            <w:tcW w:w="8820" w:type="dxa"/>
            <w:tcBorders>
              <w:top w:val="nil"/>
              <w:left w:val="nil"/>
              <w:bottom w:val="nil"/>
              <w:right w:val="nil"/>
            </w:tcBorders>
            <w:shd w:val="clear" w:color="auto" w:fill="auto"/>
          </w:tcPr>
          <w:p w14:paraId="13332C0A" w14:textId="77777777" w:rsidR="00B079C6" w:rsidRPr="00B079C6" w:rsidRDefault="00B079C6" w:rsidP="00B079C6">
            <w:pPr>
              <w:jc w:val="center"/>
              <w:rPr>
                <w:rFonts w:ascii="Arial" w:hAnsi="Arial"/>
                <w:b/>
                <w:bCs/>
                <w:sz w:val="28"/>
                <w:szCs w:val="28"/>
                <w:u w:val="single"/>
                <w:rtl/>
              </w:rPr>
            </w:pPr>
            <w:bookmarkStart w:id="6" w:name="PsakDin" w:colFirst="0" w:colLast="0"/>
            <w:r w:rsidRPr="00B079C6">
              <w:rPr>
                <w:rFonts w:ascii="Arial" w:hAnsi="Arial"/>
                <w:b/>
                <w:bCs/>
                <w:sz w:val="28"/>
                <w:szCs w:val="28"/>
                <w:u w:val="single"/>
                <w:rtl/>
              </w:rPr>
              <w:t>גזר דין</w:t>
            </w:r>
          </w:p>
          <w:p w14:paraId="2D2D49EF" w14:textId="77777777" w:rsidR="00965FA2" w:rsidRPr="00B079C6" w:rsidRDefault="00965FA2" w:rsidP="00B079C6">
            <w:pPr>
              <w:jc w:val="center"/>
              <w:rPr>
                <w:rFonts w:ascii="Arial" w:hAnsi="Arial"/>
                <w:bCs/>
                <w:sz w:val="28"/>
                <w:szCs w:val="28"/>
                <w:u w:val="single"/>
                <w:rtl/>
              </w:rPr>
            </w:pPr>
          </w:p>
        </w:tc>
      </w:tr>
      <w:bookmarkEnd w:id="6"/>
    </w:tbl>
    <w:p w14:paraId="12724AB8" w14:textId="77777777" w:rsidR="00965FA2" w:rsidRPr="00A12207" w:rsidRDefault="00965FA2" w:rsidP="00965FA2">
      <w:pPr>
        <w:spacing w:line="360" w:lineRule="auto"/>
        <w:jc w:val="both"/>
        <w:rPr>
          <w:rtl/>
        </w:rPr>
      </w:pPr>
    </w:p>
    <w:p w14:paraId="45A92FBD" w14:textId="77777777" w:rsidR="00965FA2" w:rsidRPr="00A12207" w:rsidRDefault="00965FA2" w:rsidP="00965FA2">
      <w:pPr>
        <w:pStyle w:val="david0"/>
        <w:spacing w:line="360" w:lineRule="auto"/>
        <w:jc w:val="both"/>
        <w:rPr>
          <w:b/>
          <w:bCs/>
          <w:rtl/>
        </w:rPr>
      </w:pPr>
      <w:r w:rsidRPr="00A12207">
        <w:rPr>
          <w:rFonts w:hint="cs"/>
          <w:b/>
          <w:bCs/>
          <w:rtl/>
        </w:rPr>
        <w:t>השופט אברהם אליקים, סגן נשיא:</w:t>
      </w:r>
    </w:p>
    <w:p w14:paraId="069936A9" w14:textId="77777777" w:rsidR="00965FA2" w:rsidRPr="00A12207" w:rsidRDefault="00965FA2" w:rsidP="00965FA2">
      <w:pPr>
        <w:pStyle w:val="david0"/>
        <w:spacing w:line="360" w:lineRule="auto"/>
        <w:jc w:val="both"/>
        <w:rPr>
          <w:u w:val="single"/>
          <w:rtl/>
        </w:rPr>
      </w:pPr>
      <w:r w:rsidRPr="00A12207">
        <w:rPr>
          <w:rFonts w:hint="cs"/>
          <w:u w:val="single"/>
          <w:rtl/>
        </w:rPr>
        <w:t>מבוא</w:t>
      </w:r>
    </w:p>
    <w:p w14:paraId="3ED2B26F" w14:textId="77777777" w:rsidR="00965FA2" w:rsidRPr="00A12207" w:rsidRDefault="00965FA2" w:rsidP="00965FA2">
      <w:pPr>
        <w:spacing w:line="360" w:lineRule="auto"/>
        <w:jc w:val="both"/>
        <w:rPr>
          <w:rFonts w:ascii="Arial (W1)" w:hAnsi="Arial (W1)"/>
          <w:rtl/>
        </w:rPr>
      </w:pPr>
      <w:r w:rsidRPr="00A12207">
        <w:rPr>
          <w:rFonts w:ascii="Arial (W1)" w:hAnsi="Arial (W1)" w:hint="cs"/>
          <w:rtl/>
        </w:rPr>
        <w:t>ביום ראשון 23.5.2010 לקראת השעה 6:00 בבוקר, עת הגיעו עובדים למפעל "לפידות" (להלן-המפעל) הנמצא באזור התעשייה הדרומי בקיסריה, נגלתה לעיניהם גופתו של בוריס זרצר ז"ל (להלן- המנוח) ששהה במקום כשומר במשמרת הלילה.</w:t>
      </w:r>
    </w:p>
    <w:p w14:paraId="34141947" w14:textId="77777777" w:rsidR="00965FA2" w:rsidRPr="00A12207" w:rsidRDefault="00965FA2" w:rsidP="00965FA2">
      <w:pPr>
        <w:spacing w:line="360" w:lineRule="auto"/>
        <w:jc w:val="both"/>
        <w:rPr>
          <w:sz w:val="26"/>
          <w:lang w:eastAsia="he-IL"/>
        </w:rPr>
      </w:pPr>
    </w:p>
    <w:p w14:paraId="021A812E" w14:textId="77777777" w:rsidR="00965FA2" w:rsidRPr="00A12207" w:rsidRDefault="00965FA2" w:rsidP="00965FA2">
      <w:pPr>
        <w:spacing w:line="360" w:lineRule="auto"/>
        <w:jc w:val="both"/>
        <w:rPr>
          <w:rFonts w:ascii="Arial (W1)" w:hAnsi="Arial (W1)"/>
        </w:rPr>
      </w:pPr>
      <w:r w:rsidRPr="00A12207">
        <w:rPr>
          <w:rFonts w:ascii="Arial (W1)" w:hAnsi="Arial (W1)" w:hint="cs"/>
          <w:rtl/>
        </w:rPr>
        <w:t>בדיקת הנתונים הראתה כי המנוח נורה בהיותו בסמוך לשער המפעל האחורי, מצפייה בסרטון מצלמת האבטחה עלה כי כשש שעות לפני כן, לקראת השעה 00:07 נורה המנוח על ידי שני אנשים לבושים כחיילים כשבידי אחד מהם רובה. סמוך למקום נמצאו ארבעה בדלי סיגריות. חקירה מאומצת לא הביאה למציאת חשודים וגם לא לקיום מניע לרצח.</w:t>
      </w:r>
    </w:p>
    <w:p w14:paraId="4DDA60A8" w14:textId="77777777" w:rsidR="00965FA2" w:rsidRPr="00A12207" w:rsidRDefault="00965FA2" w:rsidP="00965FA2">
      <w:pPr>
        <w:spacing w:line="360" w:lineRule="auto"/>
        <w:jc w:val="both"/>
        <w:rPr>
          <w:sz w:val="26"/>
          <w:lang w:eastAsia="he-IL"/>
        </w:rPr>
      </w:pPr>
    </w:p>
    <w:p w14:paraId="4DBAE78C" w14:textId="77777777" w:rsidR="00965FA2" w:rsidRPr="00A12207" w:rsidRDefault="00965FA2" w:rsidP="0019648F">
      <w:pPr>
        <w:spacing w:line="360" w:lineRule="auto"/>
        <w:jc w:val="both"/>
        <w:rPr>
          <w:rFonts w:ascii="Arial (W1)" w:hAnsi="Arial (W1)"/>
          <w:rtl/>
        </w:rPr>
      </w:pPr>
      <w:r w:rsidRPr="00A12207">
        <w:rPr>
          <w:rFonts w:ascii="Arial (W1)" w:hAnsi="Arial (W1)" w:hint="cs"/>
          <w:rtl/>
        </w:rPr>
        <w:t xml:space="preserve">בחלוף כארבע שנים, בינואר 2014 נמצאה באקראי התאמה בין הפרופיל הגנטי של נאשם 2 לבין פרופיל  </w:t>
      </w:r>
      <w:r w:rsidRPr="00A12207">
        <w:rPr>
          <w:rFonts w:ascii="Arial (W1)" w:hAnsi="Arial (W1)"/>
          <w:sz w:val="22"/>
          <w:szCs w:val="22"/>
        </w:rPr>
        <w:t>DNA</w:t>
      </w:r>
      <w:r w:rsidRPr="00A12207">
        <w:rPr>
          <w:rFonts w:ascii="Arial (W1)" w:hAnsi="Arial (W1)" w:hint="cs"/>
          <w:rtl/>
        </w:rPr>
        <w:t xml:space="preserve"> של שניים מתוך ארבעת בדלי הסיגריות, חקירה סמויה הובילה ליורי סולימנוב (להלן-יורי) שלו קשרים עם נאשם 1 ובהמשך לקשר ביניהם לבין נאשם 1 שהוא אחיו של נאשם 2. לאחר פעולות חקירה שונות נעצרו השלושה והוגשו נגדם כתבי האישום לפיו הם הואשמו ברצח של המנוח, משפטו של יורי נוהל בנפרד  בפני מותב אחר במסגרת </w:t>
      </w:r>
      <w:hyperlink r:id="rId21" w:history="1">
        <w:r w:rsidR="00B079C6" w:rsidRPr="00B079C6">
          <w:rPr>
            <w:rFonts w:ascii="Arial (W1)" w:hAnsi="Arial (W1)" w:hint="eastAsia"/>
            <w:color w:val="0000FF"/>
            <w:u w:val="single"/>
            <w:rtl/>
          </w:rPr>
          <w:t>תפ</w:t>
        </w:r>
        <w:r w:rsidR="00B079C6" w:rsidRPr="00B079C6">
          <w:rPr>
            <w:rFonts w:ascii="Arial (W1)" w:hAnsi="Arial (W1)"/>
            <w:color w:val="0000FF"/>
            <w:u w:val="single"/>
            <w:rtl/>
          </w:rPr>
          <w:t>"</w:t>
        </w:r>
        <w:r w:rsidR="00B079C6" w:rsidRPr="00B079C6">
          <w:rPr>
            <w:rFonts w:ascii="Arial (W1)" w:hAnsi="Arial (W1)" w:hint="eastAsia"/>
            <w:color w:val="0000FF"/>
            <w:u w:val="single"/>
            <w:rtl/>
          </w:rPr>
          <w:t>ח</w:t>
        </w:r>
        <w:r w:rsidR="00B079C6" w:rsidRPr="00B079C6">
          <w:rPr>
            <w:rFonts w:ascii="Arial (W1)" w:hAnsi="Arial (W1)"/>
            <w:color w:val="0000FF"/>
            <w:u w:val="single"/>
            <w:rtl/>
          </w:rPr>
          <w:t xml:space="preserve"> 793-</w:t>
        </w:r>
        <w:r w:rsidR="00B079C6" w:rsidRPr="00B079C6">
          <w:rPr>
            <w:rFonts w:ascii="Arial (W1)" w:hAnsi="Arial (W1)"/>
            <w:color w:val="0000FF"/>
            <w:u w:val="single"/>
            <w:rtl/>
          </w:rPr>
          <w:t>0</w:t>
        </w:r>
        <w:r w:rsidR="00B079C6" w:rsidRPr="00B079C6">
          <w:rPr>
            <w:rFonts w:ascii="Arial (W1)" w:hAnsi="Arial (W1)"/>
            <w:color w:val="0000FF"/>
            <w:u w:val="single"/>
            <w:rtl/>
          </w:rPr>
          <w:t>7-14</w:t>
        </w:r>
      </w:hyperlink>
      <w:r w:rsidR="0019648F">
        <w:rPr>
          <w:rFonts w:ascii="Arial (W1)" w:hAnsi="Arial (W1)" w:hint="cs"/>
          <w:rtl/>
        </w:rPr>
        <w:t xml:space="preserve"> </w:t>
      </w:r>
      <w:r w:rsidR="0019648F" w:rsidRPr="0019648F">
        <w:rPr>
          <w:sz w:val="22"/>
          <w:rtl/>
        </w:rPr>
        <w:t>[</w:t>
      </w:r>
      <w:r w:rsidR="0019648F" w:rsidRPr="0019648F">
        <w:rPr>
          <w:rFonts w:hint="eastAsia"/>
          <w:sz w:val="22"/>
          <w:rtl/>
        </w:rPr>
        <w:t>פורסם</w:t>
      </w:r>
      <w:r w:rsidR="0019648F" w:rsidRPr="0019648F">
        <w:rPr>
          <w:sz w:val="22"/>
          <w:rtl/>
        </w:rPr>
        <w:t xml:space="preserve"> </w:t>
      </w:r>
      <w:r w:rsidR="0019648F" w:rsidRPr="0019648F">
        <w:rPr>
          <w:rFonts w:hint="eastAsia"/>
          <w:sz w:val="22"/>
          <w:rtl/>
        </w:rPr>
        <w:t>בנבו</w:t>
      </w:r>
      <w:r w:rsidR="0019648F" w:rsidRPr="0019648F">
        <w:rPr>
          <w:sz w:val="22"/>
          <w:rtl/>
        </w:rPr>
        <w:t>]</w:t>
      </w:r>
      <w:r w:rsidRPr="00A12207">
        <w:rPr>
          <w:rFonts w:ascii="Arial (W1)" w:hAnsi="Arial (W1)" w:hint="cs"/>
          <w:rtl/>
        </w:rPr>
        <w:t>.</w:t>
      </w:r>
    </w:p>
    <w:p w14:paraId="1651C087" w14:textId="77777777" w:rsidR="00965FA2" w:rsidRPr="00A12207" w:rsidRDefault="00965FA2" w:rsidP="00965FA2">
      <w:pPr>
        <w:spacing w:line="360" w:lineRule="auto"/>
        <w:jc w:val="both"/>
        <w:rPr>
          <w:rFonts w:ascii="Arial (W1)" w:hAnsi="Arial (W1)"/>
          <w:rtl/>
        </w:rPr>
      </w:pPr>
    </w:p>
    <w:p w14:paraId="5953A646" w14:textId="77777777" w:rsidR="00965FA2" w:rsidRPr="00A12207" w:rsidRDefault="00965FA2" w:rsidP="00965FA2">
      <w:pPr>
        <w:pStyle w:val="david0"/>
        <w:spacing w:line="360" w:lineRule="auto"/>
        <w:jc w:val="both"/>
      </w:pPr>
      <w:r w:rsidRPr="00A12207">
        <w:rPr>
          <w:rFonts w:hint="cs"/>
          <w:rtl/>
        </w:rPr>
        <w:t xml:space="preserve">לאחר שמיעת הראיות הרשענו את נאשם 2 בעבירה של רצח לפי </w:t>
      </w:r>
      <w:hyperlink r:id="rId22" w:history="1">
        <w:r w:rsidR="00565A63" w:rsidRPr="00565A63">
          <w:rPr>
            <w:color w:val="0000FF"/>
            <w:u w:val="single"/>
            <w:rtl/>
          </w:rPr>
          <w:t>סעיף 300(א)(2)</w:t>
        </w:r>
      </w:hyperlink>
      <w:r w:rsidRPr="00A12207">
        <w:rPr>
          <w:rFonts w:hint="cs"/>
          <w:rtl/>
        </w:rPr>
        <w:t xml:space="preserve"> + </w:t>
      </w:r>
      <w:hyperlink r:id="rId23" w:history="1">
        <w:r w:rsidR="00565A63" w:rsidRPr="00565A63">
          <w:rPr>
            <w:color w:val="0000FF"/>
            <w:u w:val="single"/>
            <w:rtl/>
          </w:rPr>
          <w:t xml:space="preserve">29 </w:t>
        </w:r>
      </w:hyperlink>
      <w:r w:rsidRPr="00A12207">
        <w:rPr>
          <w:rFonts w:hint="cs"/>
          <w:rtl/>
        </w:rPr>
        <w:t xml:space="preserve"> </w:t>
      </w:r>
      <w:r w:rsidRPr="00A12207">
        <w:rPr>
          <w:rFonts w:hint="cs"/>
          <w:b/>
          <w:bCs/>
          <w:rtl/>
        </w:rPr>
        <w:t xml:space="preserve"> ל</w:t>
      </w:r>
      <w:hyperlink r:id="rId24" w:history="1">
        <w:r w:rsidR="00B079C6" w:rsidRPr="00B079C6">
          <w:rPr>
            <w:b/>
            <w:bCs/>
            <w:color w:val="0000FF"/>
            <w:u w:val="single"/>
            <w:rtl/>
          </w:rPr>
          <w:t>חוק העונשין</w:t>
        </w:r>
      </w:hyperlink>
      <w:r w:rsidRPr="00A12207">
        <w:rPr>
          <w:rFonts w:hint="cs"/>
          <w:rtl/>
        </w:rPr>
        <w:t xml:space="preserve"> התשל"ז-1997 (להלן- החוק) ונאשם 1 הורשע בעבירה של סיוע לרצח לפי </w:t>
      </w:r>
      <w:hyperlink r:id="rId25" w:history="1">
        <w:r w:rsidR="00565A63" w:rsidRPr="00565A63">
          <w:rPr>
            <w:color w:val="0000FF"/>
            <w:u w:val="single"/>
            <w:rtl/>
          </w:rPr>
          <w:t>סעיפים 31</w:t>
        </w:r>
      </w:hyperlink>
      <w:r w:rsidRPr="00A12207">
        <w:rPr>
          <w:rFonts w:hint="cs"/>
          <w:rtl/>
        </w:rPr>
        <w:t xml:space="preserve"> ו-</w:t>
      </w:r>
      <w:hyperlink r:id="rId26" w:history="1">
        <w:r w:rsidR="00565A63" w:rsidRPr="00565A63">
          <w:rPr>
            <w:color w:val="0000FF"/>
            <w:u w:val="single"/>
            <w:rtl/>
          </w:rPr>
          <w:t>300(א)(2)</w:t>
        </w:r>
      </w:hyperlink>
      <w:r w:rsidRPr="00A12207">
        <w:rPr>
          <w:rFonts w:hint="cs"/>
          <w:rtl/>
        </w:rPr>
        <w:t xml:space="preserve"> לחוק.</w:t>
      </w:r>
    </w:p>
    <w:p w14:paraId="791EC436" w14:textId="77777777" w:rsidR="00965FA2" w:rsidRPr="00A12207" w:rsidRDefault="00965FA2" w:rsidP="00965FA2">
      <w:pPr>
        <w:pStyle w:val="david0"/>
        <w:spacing w:line="360" w:lineRule="auto"/>
        <w:jc w:val="both"/>
        <w:rPr>
          <w:rtl/>
        </w:rPr>
      </w:pPr>
      <w:r w:rsidRPr="00A12207">
        <w:rPr>
          <w:rFonts w:hint="cs"/>
          <w:rtl/>
        </w:rPr>
        <w:t xml:space="preserve">שני הנאשמים הורשעו בנוסף בביצוע עבירות של קשירת קשר לביצוע פשע לפי </w:t>
      </w:r>
      <w:hyperlink r:id="rId27" w:history="1">
        <w:r w:rsidR="00565A63" w:rsidRPr="00565A63">
          <w:rPr>
            <w:color w:val="0000FF"/>
            <w:u w:val="single"/>
            <w:rtl/>
          </w:rPr>
          <w:t>סעיף 499</w:t>
        </w:r>
      </w:hyperlink>
      <w:r w:rsidRPr="00A12207">
        <w:rPr>
          <w:rFonts w:hint="cs"/>
          <w:rtl/>
        </w:rPr>
        <w:t xml:space="preserve"> לחוק, ובעבירות בנשק לפי </w:t>
      </w:r>
      <w:hyperlink r:id="rId28" w:history="1">
        <w:r w:rsidR="00565A63" w:rsidRPr="00565A63">
          <w:rPr>
            <w:color w:val="0000FF"/>
            <w:u w:val="single"/>
            <w:rtl/>
          </w:rPr>
          <w:t>סעיפים 144(א)</w:t>
        </w:r>
      </w:hyperlink>
      <w:r w:rsidRPr="00A12207">
        <w:rPr>
          <w:rFonts w:hint="cs"/>
          <w:rtl/>
        </w:rPr>
        <w:t xml:space="preserve"> + </w:t>
      </w:r>
      <w:hyperlink r:id="rId29" w:history="1">
        <w:r w:rsidR="00565A63" w:rsidRPr="00565A63">
          <w:rPr>
            <w:color w:val="0000FF"/>
            <w:u w:val="single"/>
            <w:rtl/>
          </w:rPr>
          <w:t>144(ב)</w:t>
        </w:r>
      </w:hyperlink>
      <w:r w:rsidRPr="00A12207">
        <w:rPr>
          <w:rFonts w:hint="cs"/>
          <w:rtl/>
        </w:rPr>
        <w:t xml:space="preserve"> + </w:t>
      </w:r>
      <w:hyperlink r:id="rId30" w:history="1">
        <w:r w:rsidR="00565A63" w:rsidRPr="00565A63">
          <w:rPr>
            <w:color w:val="0000FF"/>
            <w:u w:val="single"/>
            <w:rtl/>
          </w:rPr>
          <w:t>29</w:t>
        </w:r>
      </w:hyperlink>
      <w:r w:rsidRPr="00A12207">
        <w:rPr>
          <w:rFonts w:hint="cs"/>
          <w:rtl/>
        </w:rPr>
        <w:t xml:space="preserve"> לחוק. </w:t>
      </w:r>
    </w:p>
    <w:p w14:paraId="2C5A4454" w14:textId="77777777" w:rsidR="00965FA2" w:rsidRPr="00A12207" w:rsidRDefault="00965FA2" w:rsidP="00965FA2">
      <w:pPr>
        <w:pStyle w:val="david0"/>
        <w:spacing w:line="360" w:lineRule="auto"/>
        <w:jc w:val="both"/>
      </w:pPr>
      <w:r w:rsidRPr="00A12207">
        <w:rPr>
          <w:rFonts w:hint="cs"/>
          <w:rtl/>
        </w:rPr>
        <w:lastRenderedPageBreak/>
        <w:t>יורי הורשע בפני מותב אחר בעבירת רצח, קשירת קשר לביצוע פשע ועבירות בנשק ונגזר עליו מאסר עולם בגין הרצח ו-3 שנות מאסר בגין עבירות הנשק וקשירת הקשר בהם יישא בחופף לעונש מאסר העולם, מאסר על תנאי למשך שנתיים ופיצוי כספי לשני נפגעי העבירה (אלמנת המנוח ובנו) בסכום כולל של 200,000 ₪.</w:t>
      </w:r>
    </w:p>
    <w:p w14:paraId="1DFC15F9" w14:textId="77777777" w:rsidR="00965FA2" w:rsidRPr="00A12207" w:rsidRDefault="00965FA2" w:rsidP="00965FA2">
      <w:pPr>
        <w:pStyle w:val="david0"/>
        <w:spacing w:line="360" w:lineRule="auto"/>
        <w:jc w:val="both"/>
        <w:rPr>
          <w:rtl/>
        </w:rPr>
      </w:pPr>
    </w:p>
    <w:p w14:paraId="6AE3A18F" w14:textId="77777777" w:rsidR="00965FA2" w:rsidRPr="00A12207" w:rsidRDefault="00965FA2" w:rsidP="00965FA2">
      <w:pPr>
        <w:pStyle w:val="david0"/>
        <w:spacing w:line="360" w:lineRule="auto"/>
        <w:jc w:val="both"/>
      </w:pPr>
      <w:r w:rsidRPr="00A12207">
        <w:rPr>
          <w:rFonts w:hint="cs"/>
          <w:rtl/>
        </w:rPr>
        <w:t xml:space="preserve">על פי הכרעת הדין קבענו כי במועד שקדם לרצח המנוח, קשרו הנאשמים ויורי קשר לשם רציחתו של אדם, תכננו את מהלכו, את תפקידו של כל אחד מהם ואת דרכי המילוט. </w:t>
      </w:r>
    </w:p>
    <w:p w14:paraId="39B9DC51" w14:textId="77777777" w:rsidR="00965FA2" w:rsidRPr="00A12207" w:rsidRDefault="00965FA2" w:rsidP="00965FA2">
      <w:pPr>
        <w:pStyle w:val="david0"/>
        <w:spacing w:line="360" w:lineRule="auto"/>
        <w:jc w:val="both"/>
        <w:rPr>
          <w:rtl/>
        </w:rPr>
      </w:pPr>
    </w:p>
    <w:p w14:paraId="2A45E286" w14:textId="77777777" w:rsidR="00965FA2" w:rsidRPr="00A12207" w:rsidRDefault="00965FA2" w:rsidP="00965FA2">
      <w:pPr>
        <w:pStyle w:val="david0"/>
        <w:spacing w:line="360" w:lineRule="auto"/>
        <w:jc w:val="both"/>
        <w:rPr>
          <w:rtl/>
        </w:rPr>
      </w:pPr>
      <w:r w:rsidRPr="00A12207">
        <w:rPr>
          <w:rFonts w:hint="cs"/>
          <w:rtl/>
        </w:rPr>
        <w:t>עוד קבענו כי בלילה שבין  22.5.2010 ל-23.5.2010 לקראת השעה 00:03 הגיעו נאשם 2 ויורי מאזור תחנת הממסר סמוך לצידו החיצוני של השער האחורי של המפעל כאשר בידי אחד מהם רובה ארוך. טרם הגיעם לשער האחורי של המפעל נעצרו השניים ליד שיח שהיה באזור, עישנו סיגריות וצפו לעבר רחבת המפעל. סמוך לשעה 00:07 המנוח נרצח על ידם באמצעות  5 יריות ממרחק קצר, אחת היריות הייתה כשהמנוח שוכב על משטח האספלט והקליע שיצא מהירך פגע במשטח האספלט וחדר לתוך בטנו. אחת היריות הייתה בגבו ממרחק שבין 0.6 מטר ל- 2 מטר. יריות אלה גרמו למותו של המנוח  אשר לא היה חמוש ולא קנטר את הנאשמים טרם הירצחו.</w:t>
      </w:r>
    </w:p>
    <w:p w14:paraId="560FF303" w14:textId="77777777" w:rsidR="00965FA2" w:rsidRPr="00A12207" w:rsidRDefault="00965FA2" w:rsidP="00965FA2">
      <w:pPr>
        <w:pStyle w:val="david0"/>
        <w:jc w:val="both"/>
        <w:rPr>
          <w:rtl/>
        </w:rPr>
      </w:pPr>
    </w:p>
    <w:p w14:paraId="3CEAAD1B" w14:textId="77777777" w:rsidR="00965FA2" w:rsidRPr="00A12207" w:rsidRDefault="00965FA2" w:rsidP="00965FA2">
      <w:pPr>
        <w:pStyle w:val="david0"/>
        <w:spacing w:line="360" w:lineRule="auto"/>
        <w:jc w:val="both"/>
        <w:rPr>
          <w:rtl/>
        </w:rPr>
      </w:pPr>
      <w:r w:rsidRPr="00A12207">
        <w:rPr>
          <w:rFonts w:hint="cs"/>
          <w:rtl/>
        </w:rPr>
        <w:t xml:space="preserve">לפי הכרעת הדין, כל שלושת המעורבים פעלו בהרמוניה, נאשם 2 ויורי הפסיקו את פעולת מכשירי הטלפון הנייד שלהם כשלוש וחצי שעות לפני הרצח וחידשו את פעילותו כמעט באותה דקה, כעשרים דקות לאחר הרצח, חידוש פעילות שהתבטא מיידית בשיחה מנאשם 1 ליורי ומיורי לנאשם 1, שיחות  בצורת חיוג ומיד ניתוק. </w:t>
      </w:r>
    </w:p>
    <w:p w14:paraId="11FFB7AF" w14:textId="77777777" w:rsidR="00965FA2" w:rsidRPr="00A12207" w:rsidRDefault="00965FA2" w:rsidP="00965FA2">
      <w:pPr>
        <w:pStyle w:val="david0"/>
        <w:jc w:val="both"/>
        <w:rPr>
          <w:rtl/>
        </w:rPr>
      </w:pPr>
    </w:p>
    <w:p w14:paraId="1A366402" w14:textId="77777777" w:rsidR="00965FA2" w:rsidRPr="00A12207" w:rsidRDefault="00965FA2" w:rsidP="00965FA2">
      <w:pPr>
        <w:pStyle w:val="david0"/>
        <w:spacing w:line="360" w:lineRule="auto"/>
        <w:jc w:val="both"/>
        <w:rPr>
          <w:rtl/>
        </w:rPr>
      </w:pPr>
      <w:r w:rsidRPr="00A12207">
        <w:rPr>
          <w:rFonts w:hint="cs"/>
          <w:rtl/>
        </w:rPr>
        <w:t>קבענו בהכרעת הדין כי נאשם 1 הסיע את נאשם 2 ויורי לאזור המפעל  כאשר הוא יודע שהם עומדים לבצע עבירה הקשורה בהמתת אדם באמצעות כלי ירייה, דהיינו הרצח הנ"ל ובנוסף קבענו כי נאשם 1 אסף את השניים לאחר ביצוע הרצח ולקח אותם לביתו.</w:t>
      </w:r>
    </w:p>
    <w:p w14:paraId="33A75361" w14:textId="77777777" w:rsidR="00965FA2" w:rsidRPr="00A12207" w:rsidRDefault="00965FA2" w:rsidP="00965FA2">
      <w:pPr>
        <w:pStyle w:val="david0"/>
        <w:spacing w:line="360" w:lineRule="auto"/>
        <w:jc w:val="both"/>
        <w:rPr>
          <w:rtl/>
        </w:rPr>
      </w:pPr>
    </w:p>
    <w:p w14:paraId="353681FC" w14:textId="77777777" w:rsidR="00965FA2" w:rsidRPr="00A12207" w:rsidRDefault="00965FA2" w:rsidP="00965FA2">
      <w:pPr>
        <w:pStyle w:val="david0"/>
        <w:spacing w:line="360" w:lineRule="auto"/>
        <w:jc w:val="both"/>
        <w:rPr>
          <w:u w:val="single"/>
          <w:rtl/>
        </w:rPr>
      </w:pPr>
      <w:r w:rsidRPr="00A12207">
        <w:rPr>
          <w:rFonts w:hint="cs"/>
          <w:u w:val="single"/>
          <w:rtl/>
        </w:rPr>
        <w:t>ראיות לעונש</w:t>
      </w:r>
    </w:p>
    <w:p w14:paraId="072580E9" w14:textId="77777777" w:rsidR="00965FA2" w:rsidRPr="00A12207" w:rsidRDefault="00965FA2" w:rsidP="00965FA2">
      <w:pPr>
        <w:pStyle w:val="david0"/>
        <w:jc w:val="both"/>
      </w:pPr>
      <w:r w:rsidRPr="00A12207">
        <w:rPr>
          <w:rFonts w:hint="cs"/>
          <w:rtl/>
        </w:rPr>
        <w:t xml:space="preserve">המאשימה הציגה את הרישומים הפליליים של שני הנאשמים: </w:t>
      </w:r>
    </w:p>
    <w:p w14:paraId="44CF0E63" w14:textId="77777777" w:rsidR="00965FA2" w:rsidRPr="00A12207" w:rsidRDefault="00965FA2" w:rsidP="00965FA2">
      <w:pPr>
        <w:pStyle w:val="david0"/>
        <w:jc w:val="both"/>
        <w:rPr>
          <w:rtl/>
        </w:rPr>
      </w:pPr>
    </w:p>
    <w:p w14:paraId="5667B817" w14:textId="77777777" w:rsidR="00965FA2" w:rsidRPr="00A12207" w:rsidRDefault="00965FA2" w:rsidP="00965FA2">
      <w:pPr>
        <w:pStyle w:val="david0"/>
        <w:spacing w:line="360" w:lineRule="auto"/>
        <w:jc w:val="both"/>
        <w:rPr>
          <w:rFonts w:ascii="Arial TUR" w:hAnsi="Arial TUR"/>
          <w:spacing w:val="10"/>
          <w:rtl/>
        </w:rPr>
      </w:pPr>
      <w:r w:rsidRPr="00A12207">
        <w:rPr>
          <w:rFonts w:hint="cs"/>
          <w:rtl/>
        </w:rPr>
        <w:t xml:space="preserve">-נאשם 1 – עבירות רכוש ועבירות מסוגים נוספים שהתיישנו על פי </w:t>
      </w:r>
      <w:hyperlink r:id="rId31" w:history="1">
        <w:r w:rsidR="00B079C6" w:rsidRPr="00B079C6">
          <w:rPr>
            <w:b/>
            <w:bCs/>
            <w:color w:val="0000FF"/>
            <w:u w:val="single"/>
            <w:rtl/>
          </w:rPr>
          <w:t>חוק המרשם הפלילי ותקנת השבים</w:t>
        </w:r>
      </w:hyperlink>
      <w:r w:rsidRPr="00A12207">
        <w:rPr>
          <w:rFonts w:hint="cs"/>
          <w:b/>
          <w:bCs/>
          <w:rtl/>
        </w:rPr>
        <w:t xml:space="preserve"> התשמ"א-1981. </w:t>
      </w:r>
      <w:r w:rsidRPr="00A12207">
        <w:rPr>
          <w:rFonts w:hint="cs"/>
          <w:rtl/>
        </w:rPr>
        <w:t xml:space="preserve">העבירות בוצעו בין השנים 1996-2005, בין עבירות אלה פריצה וניסיון פריצה לבניין שאינו דירה לביצוע גניבה,  החזקת נכס החשוד כגנוב, היזק לרכוש במזיד, קשירת קשר לביצוע פשע, הצתה של מבנה במזיד, גניבת כרטיס חיוב והונאה בכרטיס חיוב, הסתתרות בבניין לביצוע פשע וגניבת רכב.  על מעשים אלה הוטלו על הנאשם פעם אחר פעם מאסר על תנאי, קנסות וצווי מבחן. באחת הפעמים הוטל מאסר לתקופה של 6 חודשים אשר בוצע בעבודות שירות. לעניין זה יובהר, כי לעניין הרישום הפלילי, ניתן להסתמך גם על עבירות שהתיישנו (ראו </w:t>
      </w:r>
      <w:hyperlink r:id="rId32" w:history="1">
        <w:r w:rsidR="00B079C6" w:rsidRPr="00B079C6">
          <w:rPr>
            <w:color w:val="0000FF"/>
            <w:u w:val="single"/>
            <w:rtl/>
          </w:rPr>
          <w:t>רע"פ 7997/12</w:t>
        </w:r>
      </w:hyperlink>
      <w:r w:rsidRPr="00A12207">
        <w:rPr>
          <w:rFonts w:hint="cs"/>
          <w:rtl/>
        </w:rPr>
        <w:t xml:space="preserve"> </w:t>
      </w:r>
      <w:r w:rsidRPr="00A12207">
        <w:rPr>
          <w:rFonts w:hint="cs"/>
          <w:b/>
          <w:bCs/>
          <w:rtl/>
        </w:rPr>
        <w:t>עיני נגד מדינת ישראל</w:t>
      </w:r>
      <w:r w:rsidRPr="00A12207">
        <w:rPr>
          <w:rFonts w:hint="cs"/>
          <w:rtl/>
        </w:rPr>
        <w:t xml:space="preserve"> </w:t>
      </w:r>
      <w:r w:rsidR="0019648F" w:rsidRPr="0019648F">
        <w:rPr>
          <w:rFonts w:cs="David"/>
          <w:sz w:val="22"/>
          <w:rtl/>
        </w:rPr>
        <w:t xml:space="preserve">[פורסם בנבו] </w:t>
      </w:r>
      <w:r w:rsidRPr="00A12207">
        <w:rPr>
          <w:rFonts w:hint="cs"/>
          <w:rtl/>
        </w:rPr>
        <w:t>(12.11.12)</w:t>
      </w:r>
      <w:r w:rsidRPr="00A12207">
        <w:rPr>
          <w:rFonts w:ascii="Arial TUR" w:hAnsi="Arial TUR" w:hint="cs"/>
          <w:spacing w:val="10"/>
          <w:rtl/>
        </w:rPr>
        <w:t>).</w:t>
      </w:r>
    </w:p>
    <w:p w14:paraId="640E392C" w14:textId="77777777" w:rsidR="00965FA2" w:rsidRPr="00A12207" w:rsidRDefault="00965FA2" w:rsidP="00965FA2">
      <w:pPr>
        <w:pStyle w:val="david0"/>
        <w:spacing w:line="360" w:lineRule="auto"/>
        <w:jc w:val="both"/>
        <w:rPr>
          <w:rFonts w:ascii="Arial TUR" w:hAnsi="Arial TUR"/>
          <w:spacing w:val="10"/>
          <w:rtl/>
        </w:rPr>
      </w:pPr>
    </w:p>
    <w:p w14:paraId="10B43FA1" w14:textId="77777777" w:rsidR="00965FA2" w:rsidRPr="00A12207" w:rsidRDefault="00965FA2" w:rsidP="00965FA2">
      <w:pPr>
        <w:pStyle w:val="david0"/>
        <w:spacing w:line="360" w:lineRule="auto"/>
        <w:jc w:val="both"/>
        <w:rPr>
          <w:rFonts w:ascii="Arial TUR" w:hAnsi="Arial TUR"/>
          <w:spacing w:val="10"/>
          <w:rtl/>
        </w:rPr>
      </w:pPr>
      <w:r w:rsidRPr="00A12207">
        <w:rPr>
          <w:rFonts w:ascii="Arial TUR" w:hAnsi="Arial TUR" w:hint="cs"/>
          <w:spacing w:val="10"/>
          <w:rtl/>
        </w:rPr>
        <w:t>-נאשם 2 – הורשע בעבירות של קשירת קשר לביצוע פשע ושוד מזוין בפסק דין מיום 29.01.2014, בגינו נגזר עליו מאסר בפועל לתקופה של 28 חודשים, מאסר מותנה ופיצויים, בנוסף הורשע בעבירה של העדר מן השירות שלא ברשות בגינה  נשא במאסר בפועל לתקופה של 135 ימים.</w:t>
      </w:r>
    </w:p>
    <w:p w14:paraId="6DF9B384" w14:textId="77777777" w:rsidR="00965FA2" w:rsidRPr="00A12207" w:rsidRDefault="00965FA2" w:rsidP="00965FA2">
      <w:pPr>
        <w:pStyle w:val="david0"/>
        <w:spacing w:line="360" w:lineRule="auto"/>
        <w:jc w:val="both"/>
        <w:rPr>
          <w:rFonts w:ascii="Arial TUR" w:hAnsi="Arial TUR"/>
          <w:spacing w:val="10"/>
          <w:rtl/>
        </w:rPr>
      </w:pPr>
    </w:p>
    <w:p w14:paraId="1F68B95B" w14:textId="77777777" w:rsidR="00965FA2" w:rsidRPr="00A12207" w:rsidRDefault="00965FA2" w:rsidP="00965FA2">
      <w:pPr>
        <w:pStyle w:val="david0"/>
        <w:spacing w:line="360" w:lineRule="auto"/>
        <w:jc w:val="both"/>
        <w:rPr>
          <w:rFonts w:ascii="Arial TUR" w:hAnsi="Arial TUR"/>
          <w:spacing w:val="10"/>
          <w:rtl/>
        </w:rPr>
      </w:pPr>
      <w:r w:rsidRPr="00A12207">
        <w:rPr>
          <w:rFonts w:ascii="Arial TUR" w:hAnsi="Arial TUR" w:hint="cs"/>
          <w:spacing w:val="10"/>
          <w:rtl/>
        </w:rPr>
        <w:t>בנוסף, צירפה המאשימה שני תצהירים של נפגעי העבירה – אשת המנוח ובנו.</w:t>
      </w:r>
    </w:p>
    <w:p w14:paraId="0F9B88D7" w14:textId="77777777" w:rsidR="00965FA2" w:rsidRPr="00A12207" w:rsidRDefault="00965FA2" w:rsidP="00965FA2">
      <w:pPr>
        <w:pStyle w:val="david0"/>
        <w:spacing w:line="360" w:lineRule="auto"/>
        <w:jc w:val="both"/>
        <w:rPr>
          <w:rFonts w:ascii="Arial TUR" w:hAnsi="Arial TUR"/>
          <w:spacing w:val="10"/>
          <w:rtl/>
        </w:rPr>
      </w:pPr>
      <w:r w:rsidRPr="00A12207">
        <w:rPr>
          <w:rFonts w:ascii="Arial TUR" w:hAnsi="Arial TUR" w:hint="cs"/>
          <w:spacing w:val="10"/>
          <w:rtl/>
        </w:rPr>
        <w:t>אשת המנוח הייתה נשואה לו למעלה מ-7 שנים, תיארה את בעלה כאיש טוב ובעל למופת שלא עשה רע לאף אחד, תיארה כי מאז הרצח חייה אינם אותם חיים, היא סובלת בלילות מסיוטים ומתחושת בדידות קשה מנשוא, היא לוקחת כדורי הרגעה ואינה יכולה להמשיך הלאה, כאשר בכל יום היא נשברת מתפרקת וממררת בבכי, עוד תיארה כי מאז הרצח יכולתה בעבודה ירדה והיא נאלצה לעזוב את מקום עבודתה והיא אינה יכולה להתמיד בעבודה כשכירה ועל כן היא עובדת כעצמאית ובקושי מרוויחה כסף כדי לכלכל את עצמה. לבסוף ביקשה למצות את הדין עם רוצחי בעלה וכן כי יוטל עליהם לשלם לה פיצוי על כל אשר הם גרמו לה.</w:t>
      </w:r>
    </w:p>
    <w:p w14:paraId="5CDD5D18" w14:textId="77777777" w:rsidR="00965FA2" w:rsidRPr="00A12207" w:rsidRDefault="00965FA2" w:rsidP="00965FA2">
      <w:pPr>
        <w:pStyle w:val="david0"/>
        <w:spacing w:line="360" w:lineRule="auto"/>
        <w:jc w:val="both"/>
        <w:rPr>
          <w:rFonts w:ascii="Arial TUR" w:hAnsi="Arial TUR"/>
          <w:spacing w:val="10"/>
          <w:rtl/>
        </w:rPr>
      </w:pPr>
    </w:p>
    <w:p w14:paraId="33495C61" w14:textId="77777777" w:rsidR="00965FA2" w:rsidRPr="00A12207" w:rsidRDefault="00965FA2" w:rsidP="00965FA2">
      <w:pPr>
        <w:pStyle w:val="david0"/>
        <w:spacing w:line="360" w:lineRule="auto"/>
        <w:jc w:val="both"/>
        <w:rPr>
          <w:rFonts w:ascii="Arial TUR" w:hAnsi="Arial TUR"/>
          <w:spacing w:val="10"/>
        </w:rPr>
      </w:pPr>
      <w:r w:rsidRPr="00A12207">
        <w:rPr>
          <w:rFonts w:ascii="Arial TUR" w:hAnsi="Arial TUR" w:hint="cs"/>
          <w:spacing w:val="10"/>
          <w:rtl/>
        </w:rPr>
        <w:t>בנו של המנוח פירט כי רצח אביו הרס את חייהם. המעשים האכזריים של הנאשמים הכניסו את משפחתו לסחרור בתפקוד היום יומי, למתח וללחץ הפוגעים באיכות חייהם. בתצהירו פירט את תחושותיו הקשות עת נודע לו במקרה משמיעה ברדיו כי אביו נרצח, את הצורך לזהות את אביו ואת תחושות אי הוודאות הקשה לגבי השאלה למה האב נרצח. בנוסף תיאר את הקשר המיוחד שהיה לאביו עם נכדו וכי נכדיו הנוספים לא יכירו אותו כלל וביקש להטיל על הנאשמים פיצוי בגובה הסכום המקסימאלי האפשרי בחוק.</w:t>
      </w:r>
    </w:p>
    <w:p w14:paraId="2069B5FB" w14:textId="77777777" w:rsidR="00965FA2" w:rsidRPr="00A12207" w:rsidRDefault="00965FA2" w:rsidP="00965FA2">
      <w:pPr>
        <w:pStyle w:val="david0"/>
        <w:spacing w:line="360" w:lineRule="auto"/>
        <w:jc w:val="both"/>
        <w:rPr>
          <w:rFonts w:ascii="Arial TUR" w:hAnsi="Arial TUR"/>
          <w:spacing w:val="10"/>
          <w:rtl/>
        </w:rPr>
      </w:pPr>
    </w:p>
    <w:p w14:paraId="12770F44" w14:textId="77777777" w:rsidR="00965FA2" w:rsidRPr="00A12207" w:rsidRDefault="00965FA2" w:rsidP="00965FA2">
      <w:pPr>
        <w:pStyle w:val="david0"/>
        <w:spacing w:line="360" w:lineRule="auto"/>
        <w:jc w:val="both"/>
        <w:rPr>
          <w:rFonts w:ascii="Arial TUR" w:hAnsi="Arial TUR"/>
          <w:spacing w:val="10"/>
          <w:rtl/>
        </w:rPr>
      </w:pPr>
      <w:r w:rsidRPr="00A12207">
        <w:rPr>
          <w:rFonts w:ascii="Arial TUR" w:hAnsi="Arial TUR" w:hint="cs"/>
          <w:spacing w:val="10"/>
          <w:rtl/>
        </w:rPr>
        <w:t>נאשם 1 צירף מטעמו את המכתבים והמסמכים הבאים:</w:t>
      </w:r>
    </w:p>
    <w:p w14:paraId="7C915634" w14:textId="77777777" w:rsidR="00965FA2" w:rsidRDefault="00965FA2" w:rsidP="00965FA2">
      <w:pPr>
        <w:pStyle w:val="david0"/>
        <w:spacing w:line="360" w:lineRule="auto"/>
        <w:jc w:val="both"/>
        <w:rPr>
          <w:rFonts w:ascii="Arial TUR" w:hAnsi="Arial TUR"/>
          <w:spacing w:val="10"/>
          <w:rtl/>
        </w:rPr>
      </w:pPr>
      <w:r w:rsidRPr="00A12207">
        <w:rPr>
          <w:rFonts w:ascii="Arial TUR" w:hAnsi="Arial TUR" w:hint="cs"/>
          <w:spacing w:val="10"/>
          <w:rtl/>
        </w:rPr>
        <w:t>-מכתב מאתי בת זוגו, בו ביקשה להתחשב במצב הקשה שלהם, תיארה את הקושי הנפשי, הפיזי והכלכלי בגידול שלושה ילדים לבד, כאשר השניים הקטנים הם ילדיו של נאשם 1. לבנה הגדול לקות ראיה ובעיות קשב וריכוז (בעניין זה הוגש מסמך רפואי מיום 22.9.2016) ולכן הוא זקוק לעזרה ותמיכה. ביקשה להתחשב בה ובילדיה ולהקל בעונשו של הנאשם 1 כדי שיחזור הביתה במהרה כדי לגדל ולחנך את ילדיו.</w:t>
      </w:r>
    </w:p>
    <w:p w14:paraId="6EA4F310" w14:textId="77777777" w:rsidR="00965FA2" w:rsidRPr="00A12207" w:rsidRDefault="00965FA2" w:rsidP="00965FA2">
      <w:pPr>
        <w:pStyle w:val="david0"/>
        <w:spacing w:line="360" w:lineRule="auto"/>
        <w:jc w:val="both"/>
        <w:rPr>
          <w:rFonts w:ascii="Arial TUR" w:hAnsi="Arial TUR"/>
          <w:spacing w:val="10"/>
        </w:rPr>
      </w:pPr>
    </w:p>
    <w:p w14:paraId="490D957D" w14:textId="77777777" w:rsidR="00965FA2" w:rsidRPr="00A12207" w:rsidRDefault="00965FA2" w:rsidP="00965FA2">
      <w:pPr>
        <w:pStyle w:val="david0"/>
        <w:spacing w:line="360" w:lineRule="auto"/>
        <w:jc w:val="both"/>
        <w:rPr>
          <w:rFonts w:ascii="Arial TUR" w:hAnsi="Arial TUR"/>
          <w:spacing w:val="10"/>
        </w:rPr>
      </w:pPr>
      <w:r w:rsidRPr="00A12207">
        <w:rPr>
          <w:rFonts w:ascii="Arial TUR" w:hAnsi="Arial TUR" w:hint="cs"/>
          <w:spacing w:val="10"/>
          <w:rtl/>
        </w:rPr>
        <w:t>-הסכם השכירות של אתי שנחתם ביום 8.4.2016, ומסמך המעיד על יתרת הלוואה שלקחה.</w:t>
      </w:r>
    </w:p>
    <w:p w14:paraId="292CACCF" w14:textId="77777777" w:rsidR="00965FA2" w:rsidRPr="00A12207" w:rsidRDefault="00965FA2" w:rsidP="00965FA2">
      <w:pPr>
        <w:pStyle w:val="david0"/>
        <w:spacing w:line="360" w:lineRule="auto"/>
        <w:jc w:val="both"/>
        <w:rPr>
          <w:rFonts w:ascii="Arial TUR" w:hAnsi="Arial TUR"/>
          <w:spacing w:val="10"/>
        </w:rPr>
      </w:pPr>
      <w:r w:rsidRPr="00A12207">
        <w:rPr>
          <w:rFonts w:ascii="Arial TUR" w:hAnsi="Arial TUR" w:hint="cs"/>
          <w:spacing w:val="10"/>
          <w:rtl/>
        </w:rPr>
        <w:t>-צילום תעודת הזהות של נאשם 1 לפיה הוא גרוש ואב ל-5 ילדים בגילאים שונים. -מסמך מבית הדין הרבני האזורי בחיפה מיום 14.12.2010 לפיו נאשם 1 ובת זוגו לשעבר הסכימו כי המשמורת על שלושת ילדיהם תהיה שלו.</w:t>
      </w:r>
    </w:p>
    <w:p w14:paraId="31EE5738" w14:textId="77777777" w:rsidR="00965FA2" w:rsidRPr="00A12207" w:rsidRDefault="00965FA2" w:rsidP="00965FA2">
      <w:pPr>
        <w:pStyle w:val="david0"/>
        <w:spacing w:line="360" w:lineRule="auto"/>
        <w:jc w:val="both"/>
        <w:rPr>
          <w:rFonts w:ascii="Arial TUR" w:hAnsi="Arial TUR"/>
          <w:spacing w:val="10"/>
        </w:rPr>
      </w:pPr>
      <w:r w:rsidRPr="00A12207">
        <w:rPr>
          <w:rFonts w:ascii="Arial TUR" w:hAnsi="Arial TUR" w:hint="cs"/>
          <w:spacing w:val="10"/>
          <w:rtl/>
        </w:rPr>
        <w:t>-מכתב פנייה מטעם נאשם 1 לעמידר לקבלת סיוע במגורים. מכתבים מאגף הרווחה של עיריית חדרה מתאריכים 29.3.2011  ו-7.8.2011 לפיהם נאשם 1 ושלושת ילדיו במצב כלכלי קשה.</w:t>
      </w:r>
    </w:p>
    <w:p w14:paraId="1F94C6E7" w14:textId="77777777" w:rsidR="00965FA2" w:rsidRPr="00A12207" w:rsidRDefault="00965FA2" w:rsidP="00965FA2">
      <w:pPr>
        <w:pStyle w:val="david0"/>
        <w:spacing w:line="360" w:lineRule="auto"/>
        <w:jc w:val="both"/>
        <w:rPr>
          <w:rFonts w:ascii="Arial TUR" w:hAnsi="Arial TUR"/>
          <w:spacing w:val="10"/>
        </w:rPr>
      </w:pPr>
      <w:r w:rsidRPr="00A12207">
        <w:rPr>
          <w:rFonts w:ascii="Arial TUR" w:hAnsi="Arial TUR" w:hint="cs"/>
          <w:spacing w:val="10"/>
          <w:rtl/>
        </w:rPr>
        <w:t xml:space="preserve">-פרטי תשלומי סיוע לשכר דירה שקבל נאשם 1, פרטי תשלומי המזונות ששילם נאשם 1 לגרושתו ביחד עם הסכם המזונות והמשמורת. </w:t>
      </w:r>
    </w:p>
    <w:p w14:paraId="299F514E" w14:textId="77777777" w:rsidR="00965FA2" w:rsidRPr="00A12207" w:rsidRDefault="00965FA2" w:rsidP="00965FA2">
      <w:pPr>
        <w:pStyle w:val="david0"/>
        <w:spacing w:line="360" w:lineRule="auto"/>
        <w:jc w:val="both"/>
        <w:rPr>
          <w:rFonts w:ascii="Arial TUR" w:hAnsi="Arial TUR"/>
          <w:spacing w:val="10"/>
        </w:rPr>
      </w:pPr>
      <w:r w:rsidRPr="00A12207">
        <w:rPr>
          <w:rFonts w:ascii="Arial TUR" w:hAnsi="Arial TUR" w:hint="cs"/>
          <w:spacing w:val="10"/>
          <w:rtl/>
        </w:rPr>
        <w:t xml:space="preserve">-מכתב משירות בתי הסוהר מיום 30.11.2016 לפיו במהלך מעצרו התנהגותו חיובית והוא נוטל חלק בקבוצות טיפוליות רבות. </w:t>
      </w:r>
    </w:p>
    <w:p w14:paraId="5FFED874" w14:textId="77777777" w:rsidR="00965FA2" w:rsidRPr="00A12207" w:rsidRDefault="00965FA2" w:rsidP="00965FA2">
      <w:pPr>
        <w:pStyle w:val="david0"/>
        <w:spacing w:line="360" w:lineRule="auto"/>
        <w:jc w:val="both"/>
        <w:rPr>
          <w:rFonts w:ascii="Arial TUR" w:hAnsi="Arial TUR"/>
          <w:spacing w:val="10"/>
          <w:rtl/>
        </w:rPr>
      </w:pPr>
    </w:p>
    <w:p w14:paraId="4EC2C00B" w14:textId="77777777" w:rsidR="00965FA2" w:rsidRPr="00A12207" w:rsidRDefault="00965FA2" w:rsidP="00965FA2">
      <w:pPr>
        <w:pStyle w:val="david0"/>
        <w:spacing w:line="360" w:lineRule="auto"/>
        <w:jc w:val="both"/>
        <w:rPr>
          <w:rFonts w:ascii="Arial TUR" w:hAnsi="Arial TUR"/>
          <w:spacing w:val="10"/>
        </w:rPr>
      </w:pPr>
      <w:r w:rsidRPr="00A12207">
        <w:rPr>
          <w:rFonts w:ascii="Arial TUR" w:hAnsi="Arial TUR" w:hint="cs"/>
          <w:spacing w:val="10"/>
          <w:rtl/>
        </w:rPr>
        <w:t>מטעם נאשם 2 לא צורפו ראיות לעניין העונש.</w:t>
      </w:r>
    </w:p>
    <w:p w14:paraId="204E4109" w14:textId="77777777" w:rsidR="00965FA2" w:rsidRPr="00A12207" w:rsidRDefault="00965FA2" w:rsidP="00965FA2">
      <w:pPr>
        <w:pStyle w:val="david0"/>
        <w:spacing w:line="360" w:lineRule="auto"/>
        <w:jc w:val="both"/>
        <w:rPr>
          <w:rFonts w:ascii="Arial TUR" w:hAnsi="Arial TUR"/>
          <w:spacing w:val="10"/>
        </w:rPr>
      </w:pPr>
    </w:p>
    <w:p w14:paraId="7521C458" w14:textId="77777777" w:rsidR="00965FA2" w:rsidRPr="00A12207" w:rsidRDefault="00965FA2" w:rsidP="00965FA2">
      <w:pPr>
        <w:pStyle w:val="david0"/>
        <w:spacing w:line="360" w:lineRule="auto"/>
        <w:jc w:val="both"/>
        <w:rPr>
          <w:u w:val="single"/>
        </w:rPr>
      </w:pPr>
      <w:r w:rsidRPr="00A12207">
        <w:rPr>
          <w:rFonts w:hint="cs"/>
          <w:u w:val="single"/>
          <w:rtl/>
        </w:rPr>
        <w:t>תמצית טענות הצדדים</w:t>
      </w:r>
    </w:p>
    <w:p w14:paraId="2B764826" w14:textId="77777777" w:rsidR="00965FA2" w:rsidRPr="00A12207" w:rsidRDefault="00965FA2" w:rsidP="00965FA2">
      <w:pPr>
        <w:pStyle w:val="david0"/>
        <w:spacing w:line="360" w:lineRule="auto"/>
        <w:jc w:val="both"/>
      </w:pPr>
      <w:r w:rsidRPr="00A12207">
        <w:rPr>
          <w:rFonts w:hint="cs"/>
          <w:rtl/>
        </w:rPr>
        <w:t xml:space="preserve">ב"כ המאשימה בטיעונים בכתב ובעל פה ביקשה שיושת על נאשם 2 שהורשע בביצוע עבירת רצח, קשירת קשר לביצוע פשע ועבירות נשק, עונש החובה הקבוע בחוק, היינו מאסר עולם ועונש נפרד על העבירות הנוספות בהן הורשע, אולם ביקשה כי העונש לכל העבירות יופעל בחופף. </w:t>
      </w:r>
    </w:p>
    <w:p w14:paraId="73BAAE19" w14:textId="77777777" w:rsidR="00965FA2" w:rsidRPr="00A12207" w:rsidRDefault="00965FA2" w:rsidP="00965FA2">
      <w:pPr>
        <w:pStyle w:val="david0"/>
        <w:spacing w:line="360" w:lineRule="auto"/>
        <w:jc w:val="both"/>
      </w:pPr>
    </w:p>
    <w:p w14:paraId="5BB5DC2F" w14:textId="77777777" w:rsidR="00965FA2" w:rsidRPr="00A12207" w:rsidRDefault="00965FA2" w:rsidP="00965FA2">
      <w:pPr>
        <w:pStyle w:val="david0"/>
        <w:spacing w:line="360" w:lineRule="auto"/>
        <w:jc w:val="both"/>
        <w:rPr>
          <w:rtl/>
        </w:rPr>
      </w:pPr>
      <w:r w:rsidRPr="00A12207">
        <w:rPr>
          <w:rFonts w:hint="cs"/>
          <w:rtl/>
        </w:rPr>
        <w:t>בעניין נאשם 1 שהורשע בעבירה של סיוע לרצח, קשירת קשר לביצוע פשע ועבירות נשק, ביקשה לקבוע כי מתחם העונש ההולם לכל האירוע נע בין 15 ל-19 שנות מאסר בפועל כאשר העונש המתאים עומד לשיטתה בקצה העליון של המתחם. ב"כ המאשימה צירפה פסיקה לתמיכה בטענותיה וטענה כי  נאשם 1 ידע כי הוא מסיע את שאר המעורבים לזירת הרצח וממנה כאשר הם נושאים רובה לשם ביצוע רצח. הוא חיזק את ידיהם ורוחם של שותפיו, דווקא בהיותו בוגר מהם בשנים רבות, כמי שנחשב על ידם כדמות אחראית וסמכותית, אחיו הבכור של נאשם 2, אשר לפרקים בחייו פרס עליו חסות ויש לראות בכך נסיבה לחומרה.</w:t>
      </w:r>
    </w:p>
    <w:p w14:paraId="6ACCCE83" w14:textId="77777777" w:rsidR="00965FA2" w:rsidRPr="00A12207" w:rsidRDefault="00965FA2" w:rsidP="00965FA2">
      <w:pPr>
        <w:pStyle w:val="david0"/>
        <w:spacing w:line="360" w:lineRule="auto"/>
        <w:jc w:val="both"/>
      </w:pPr>
    </w:p>
    <w:p w14:paraId="4E1B76D1" w14:textId="77777777" w:rsidR="00965FA2" w:rsidRPr="00A12207" w:rsidRDefault="00965FA2" w:rsidP="00965FA2">
      <w:pPr>
        <w:pStyle w:val="david0"/>
        <w:spacing w:line="360" w:lineRule="auto"/>
        <w:jc w:val="both"/>
        <w:rPr>
          <w:rtl/>
        </w:rPr>
      </w:pPr>
      <w:r w:rsidRPr="00A12207">
        <w:rPr>
          <w:rFonts w:hint="cs"/>
          <w:rtl/>
        </w:rPr>
        <w:t>עוד הפנתה ב"כ המאשימה לעברו הפלילי של נאשם 1, אשר אומנם הוא לא מהשנים האחרונות אולם מדובר על כ-15 עבירות רכוש.</w:t>
      </w:r>
    </w:p>
    <w:p w14:paraId="0EAA1A41" w14:textId="77777777" w:rsidR="00965FA2" w:rsidRPr="00A12207" w:rsidRDefault="00965FA2" w:rsidP="00965FA2">
      <w:pPr>
        <w:pStyle w:val="david0"/>
        <w:spacing w:line="360" w:lineRule="auto"/>
        <w:jc w:val="both"/>
        <w:rPr>
          <w:rtl/>
        </w:rPr>
      </w:pPr>
    </w:p>
    <w:p w14:paraId="2EBDD96D" w14:textId="77777777" w:rsidR="00965FA2" w:rsidRPr="00A12207" w:rsidRDefault="00965FA2" w:rsidP="00965FA2">
      <w:pPr>
        <w:pStyle w:val="david0"/>
        <w:spacing w:line="360" w:lineRule="auto"/>
        <w:jc w:val="both"/>
      </w:pPr>
      <w:r w:rsidRPr="00A12207">
        <w:rPr>
          <w:rFonts w:hint="cs"/>
          <w:rtl/>
        </w:rPr>
        <w:t xml:space="preserve">בקשר לשני הנאשמים ביקשה שיוטל עליהם מאסר על תנאי משמעותי וכן שיוטל על כל אחד מהנאשמים ביחד ולחוד לפצות את אלמנת המנוח ובנו בפיצויים בגובה המקסימאלי בסך 258,000 ₪ שיחולק ביניהם בחלקים שווים. </w:t>
      </w:r>
    </w:p>
    <w:p w14:paraId="444AEBB6" w14:textId="77777777" w:rsidR="00965FA2" w:rsidRPr="00A12207" w:rsidRDefault="00965FA2" w:rsidP="00965FA2">
      <w:pPr>
        <w:pStyle w:val="david0"/>
        <w:spacing w:line="360" w:lineRule="auto"/>
        <w:jc w:val="both"/>
      </w:pPr>
      <w:r w:rsidRPr="00A12207">
        <w:rPr>
          <w:rFonts w:hint="cs"/>
          <w:rtl/>
        </w:rPr>
        <w:t>ב"כ נאשם 1 ביקש להעמיד את מתחם הענישה על כל האירוע במתחם שבין 4  ל-9 או 10 שנות מאסר בפועל כאשר במקרה זה לשיטתו מדובר בעבירה המתאימה לרף הנמוך של המתחם, לתמיכה בטענותיו ניתח פסקי דין שונים.</w:t>
      </w:r>
    </w:p>
    <w:p w14:paraId="0941790A" w14:textId="77777777" w:rsidR="00965FA2" w:rsidRPr="00A12207" w:rsidRDefault="00965FA2" w:rsidP="00965FA2">
      <w:pPr>
        <w:pStyle w:val="david0"/>
        <w:spacing w:line="360" w:lineRule="auto"/>
        <w:jc w:val="both"/>
      </w:pPr>
      <w:r w:rsidRPr="00A12207">
        <w:rPr>
          <w:rFonts w:hint="cs"/>
          <w:rtl/>
        </w:rPr>
        <w:t>עוד טען כי לפי הכרעת הדין נקבע כי מעשיו של נאשם 1 התבטאו בהסעה והחזרה של שותפיו לצורך ביצוע רצח אך מעבר לזה הוא לא ידע שום דבר ולא נכח בזירת הרצח.  נאשם 1 לא קיבל כסף על הסיוע ולכן לטענתו מדובר במקרה בו מידת האחריות והאשמה פחותה.</w:t>
      </w:r>
    </w:p>
    <w:p w14:paraId="2FCD38E5" w14:textId="77777777" w:rsidR="00965FA2" w:rsidRPr="00A12207" w:rsidRDefault="00965FA2" w:rsidP="00965FA2">
      <w:pPr>
        <w:pStyle w:val="david0"/>
        <w:spacing w:line="360" w:lineRule="auto"/>
        <w:jc w:val="both"/>
        <w:rPr>
          <w:rtl/>
        </w:rPr>
      </w:pPr>
    </w:p>
    <w:p w14:paraId="6F0C6EDF" w14:textId="77777777" w:rsidR="00965FA2" w:rsidRPr="00A12207" w:rsidRDefault="00965FA2" w:rsidP="00965FA2">
      <w:pPr>
        <w:pStyle w:val="david0"/>
        <w:spacing w:line="360" w:lineRule="auto"/>
        <w:jc w:val="both"/>
        <w:rPr>
          <w:rtl/>
        </w:rPr>
      </w:pPr>
      <w:r w:rsidRPr="00A12207">
        <w:rPr>
          <w:rFonts w:hint="cs"/>
          <w:rtl/>
        </w:rPr>
        <w:t>עוד טען כי, נאשם 1 מעולם לא נשא בעונש של מאסר בפועל, את המעשים המפורטים בגיליון הרשעותיו עשה לפני שנים רבות כאשר היה על סף הקטינות ומאז לא היה מעורב בפלילים בצורה כלשהי, עוד תיאר כי הוריו נפטרו כאשר היה צעיר, המשפחה עלתה מקווקז, אביו היה שתיין ולאחר פטירת ההורים נשארו הילדים לבדם, נאשם 2 היה רק בן  10 ונאשם 1 לקח את גידולו על עצמו והפך להיות האפוטרופוס שלו. עוד תיאר כי נאשם 1 נאלץ לעבוד מגיל צעיר לפרנסתו ועזב את בית הספר בלי להשלים אפילו 8 שנות לימוד.</w:t>
      </w:r>
    </w:p>
    <w:p w14:paraId="4B065E5E" w14:textId="77777777" w:rsidR="00965FA2" w:rsidRPr="00A12207" w:rsidRDefault="00965FA2" w:rsidP="00965FA2">
      <w:pPr>
        <w:pStyle w:val="david0"/>
        <w:spacing w:line="360" w:lineRule="auto"/>
        <w:jc w:val="both"/>
      </w:pPr>
    </w:p>
    <w:p w14:paraId="4E5F11A4" w14:textId="77777777" w:rsidR="00965FA2" w:rsidRPr="00A12207" w:rsidRDefault="00965FA2" w:rsidP="00965FA2">
      <w:pPr>
        <w:pStyle w:val="david0"/>
        <w:spacing w:line="360" w:lineRule="auto"/>
        <w:jc w:val="both"/>
        <w:rPr>
          <w:rtl/>
        </w:rPr>
      </w:pPr>
      <w:r w:rsidRPr="00A12207">
        <w:rPr>
          <w:rFonts w:hint="cs"/>
          <w:rtl/>
        </w:rPr>
        <w:t xml:space="preserve">בנוסף תיאר כי לנאשם 1 יש  5 ילדים, 3 ילדים מקשר קודם בגילאי – 17.5, 15 ו-12.5, אשר למספר שנים לאחר שאימם עזבה לאנגליה הוא היה המשמורן היחיד עליהם, אולם לאחר חזרתה הוא תומך בהם כלכלית במידת יכולתו, ועם בת זוגו הנוכחית יש לו שני ילדים – בגילאי 4.5 ו-3.5 והמצב הכלכלי בבית קשה ביותר במיוחד נוכח כך כי בנה של בת זוגו מקשר קודם הוא נכה בעל לקויות שונות המונעות ממנה לצאת לעבודה ולכן הפגיעה  של העונש בנאשם 1 ומשפחתו היא קשה ביותר. עוד ציין כי נוכח המצב הכלכלי הקשה לא באים לבקרו ואין לו כמעט כסף לרכישת מוצרים בקנטינה של הכלא, ילדיו נפגעו מאד מהנטישה הפתאומית על ידו. </w:t>
      </w:r>
    </w:p>
    <w:p w14:paraId="3034A416" w14:textId="77777777" w:rsidR="00965FA2" w:rsidRPr="00A12207" w:rsidRDefault="00965FA2" w:rsidP="00965FA2">
      <w:pPr>
        <w:pStyle w:val="david0"/>
        <w:spacing w:line="360" w:lineRule="auto"/>
        <w:jc w:val="both"/>
        <w:rPr>
          <w:rtl/>
        </w:rPr>
      </w:pPr>
    </w:p>
    <w:p w14:paraId="6E879BDB" w14:textId="77777777" w:rsidR="00965FA2" w:rsidRPr="00A12207" w:rsidRDefault="00965FA2" w:rsidP="00965FA2">
      <w:pPr>
        <w:pStyle w:val="david0"/>
        <w:spacing w:line="360" w:lineRule="auto"/>
        <w:jc w:val="both"/>
        <w:rPr>
          <w:rtl/>
        </w:rPr>
      </w:pPr>
      <w:r w:rsidRPr="00A12207">
        <w:rPr>
          <w:rFonts w:hint="cs"/>
          <w:rtl/>
        </w:rPr>
        <w:t>לדבריו נאשם 1 מתפקד היום תפקוד טוב, משתתף בקבוצות טיפול והוא עצור חיובי כמתואר במכתב של שירות בתי הסוהר.</w:t>
      </w:r>
    </w:p>
    <w:p w14:paraId="637325C7" w14:textId="77777777" w:rsidR="00965FA2" w:rsidRPr="00A12207" w:rsidRDefault="00965FA2" w:rsidP="00965FA2">
      <w:pPr>
        <w:pStyle w:val="david0"/>
        <w:spacing w:line="360" w:lineRule="auto"/>
        <w:jc w:val="both"/>
        <w:rPr>
          <w:rtl/>
        </w:rPr>
      </w:pPr>
    </w:p>
    <w:p w14:paraId="537D41FF" w14:textId="77777777" w:rsidR="00965FA2" w:rsidRPr="00A12207" w:rsidRDefault="00965FA2" w:rsidP="00965FA2">
      <w:pPr>
        <w:pStyle w:val="david0"/>
        <w:spacing w:line="360" w:lineRule="auto"/>
        <w:jc w:val="both"/>
      </w:pPr>
      <w:r w:rsidRPr="00A12207">
        <w:rPr>
          <w:rFonts w:hint="cs"/>
          <w:rtl/>
        </w:rPr>
        <w:t>ב"כ נאשם 2 הסכימו עם עמדת ב"כ המאשימה כי יש לגזור על העבירות הנלוות ענישה החופפת לעבירת הרצח. לעניין רכיב הפיצוי הכספי טענו כי נאשם 2 התייתם בגיל צעיר מאד ובניגוד לאסירים אחרים אין לו עזרה בקבלת כספים לרכישת מוצרים בקנטינה ובשל יכולתו הכלכלית הנמוכה הוא מקבל של 100 ש"ח משירות בתי הסוהר.</w:t>
      </w:r>
    </w:p>
    <w:p w14:paraId="0759B366" w14:textId="77777777" w:rsidR="00965FA2" w:rsidRPr="00A12207" w:rsidRDefault="00965FA2" w:rsidP="00965FA2">
      <w:pPr>
        <w:pStyle w:val="david0"/>
        <w:spacing w:line="360" w:lineRule="auto"/>
        <w:jc w:val="both"/>
      </w:pPr>
    </w:p>
    <w:p w14:paraId="174408C7" w14:textId="77777777" w:rsidR="00965FA2" w:rsidRPr="00A12207" w:rsidRDefault="00965FA2" w:rsidP="00965FA2">
      <w:pPr>
        <w:pStyle w:val="david0"/>
        <w:spacing w:line="360" w:lineRule="auto"/>
        <w:jc w:val="both"/>
      </w:pPr>
      <w:r w:rsidRPr="00A12207">
        <w:rPr>
          <w:rFonts w:hint="cs"/>
          <w:rtl/>
        </w:rPr>
        <w:t>בסיום שלב הטיעונים לעונש מסרו שני הנאשמים כי אין להם מה לומר.</w:t>
      </w:r>
    </w:p>
    <w:p w14:paraId="28118107" w14:textId="77777777" w:rsidR="00965FA2" w:rsidRDefault="00965FA2" w:rsidP="00965FA2">
      <w:pPr>
        <w:pStyle w:val="david0"/>
        <w:spacing w:line="360" w:lineRule="auto"/>
        <w:jc w:val="both"/>
        <w:rPr>
          <w:rtl/>
        </w:rPr>
      </w:pPr>
    </w:p>
    <w:p w14:paraId="428FAF00" w14:textId="77777777" w:rsidR="00965FA2" w:rsidRPr="00A12207" w:rsidRDefault="00965FA2" w:rsidP="00965FA2">
      <w:pPr>
        <w:pStyle w:val="david0"/>
        <w:spacing w:line="360" w:lineRule="auto"/>
        <w:jc w:val="both"/>
        <w:rPr>
          <w:u w:val="single"/>
          <w:rtl/>
        </w:rPr>
      </w:pPr>
      <w:r w:rsidRPr="00A12207">
        <w:rPr>
          <w:rFonts w:hint="cs"/>
          <w:u w:val="single"/>
          <w:rtl/>
        </w:rPr>
        <w:t>דיון</w:t>
      </w:r>
    </w:p>
    <w:p w14:paraId="1D397B74" w14:textId="77777777" w:rsidR="00965FA2" w:rsidRPr="00993756" w:rsidRDefault="00965FA2" w:rsidP="00965FA2">
      <w:pPr>
        <w:pStyle w:val="david0"/>
        <w:spacing w:line="360" w:lineRule="auto"/>
        <w:jc w:val="both"/>
        <w:rPr>
          <w:rFonts w:ascii="Arial" w:hAnsi="Arial"/>
          <w:u w:val="single"/>
          <w:rtl/>
        </w:rPr>
      </w:pPr>
      <w:r w:rsidRPr="00993756">
        <w:rPr>
          <w:rFonts w:ascii="Arial" w:hAnsi="Arial" w:hint="cs"/>
          <w:u w:val="single"/>
          <w:rtl/>
        </w:rPr>
        <w:t>לעניין נאשם 1</w:t>
      </w:r>
    </w:p>
    <w:p w14:paraId="4141CC8F" w14:textId="77777777" w:rsidR="00965FA2" w:rsidRPr="00A12207" w:rsidRDefault="00965FA2" w:rsidP="00965FA2">
      <w:pPr>
        <w:pStyle w:val="david0"/>
        <w:spacing w:line="360" w:lineRule="auto"/>
        <w:jc w:val="both"/>
        <w:rPr>
          <w:u w:val="single"/>
          <w:rtl/>
        </w:rPr>
      </w:pPr>
      <w:r w:rsidRPr="00A12207">
        <w:rPr>
          <w:rFonts w:hint="cs"/>
          <w:u w:val="single"/>
          <w:rtl/>
        </w:rPr>
        <w:t>מתחם העונש ההולם לעבירת סיוע לרצח ולעבירות קשירת הקשר והנשק הנלוות</w:t>
      </w:r>
    </w:p>
    <w:p w14:paraId="1451655D" w14:textId="77777777" w:rsidR="00965FA2" w:rsidRPr="00A12207" w:rsidRDefault="00965FA2" w:rsidP="00965FA2">
      <w:pPr>
        <w:pStyle w:val="david0"/>
        <w:spacing w:line="360" w:lineRule="auto"/>
        <w:jc w:val="both"/>
        <w:rPr>
          <w:color w:val="000000"/>
          <w:rtl/>
        </w:rPr>
      </w:pPr>
      <w:r w:rsidRPr="00A12207">
        <w:rPr>
          <w:rFonts w:hint="cs"/>
          <w:color w:val="000000"/>
          <w:rtl/>
        </w:rPr>
        <w:t>במקרה זה חל תיקון 113 לחוק שקובע כי "</w:t>
      </w:r>
      <w:r w:rsidRPr="00A12207">
        <w:rPr>
          <w:rFonts w:hint="cs"/>
          <w:rtl/>
        </w:rPr>
        <w:t xml:space="preserve">העיקרון המנחה בענישה הוא קיומו של יחס הולם בין חומרת מעשה העבירה בנסיבותיו ומידת אשמו של הנאשם ובין סוג ומידת </w:t>
      </w:r>
      <w:r w:rsidRPr="00A12207">
        <w:rPr>
          <w:rFonts w:hint="cs"/>
          <w:color w:val="000000"/>
          <w:rtl/>
        </w:rPr>
        <w:t>העונש המוטל עליו" (</w:t>
      </w:r>
      <w:hyperlink r:id="rId33" w:history="1">
        <w:r w:rsidR="00565A63" w:rsidRPr="00565A63">
          <w:rPr>
            <w:color w:val="0000FF"/>
            <w:u w:val="single"/>
            <w:rtl/>
          </w:rPr>
          <w:t>סעיף 40ב'</w:t>
        </w:r>
      </w:hyperlink>
      <w:r w:rsidRPr="00A12207">
        <w:rPr>
          <w:rFonts w:hint="cs"/>
          <w:color w:val="000000"/>
          <w:rtl/>
        </w:rPr>
        <w:t xml:space="preserve"> לחוק). </w:t>
      </w:r>
    </w:p>
    <w:p w14:paraId="11AA6B58" w14:textId="77777777" w:rsidR="00965FA2" w:rsidRPr="00A12207" w:rsidRDefault="00965FA2" w:rsidP="00965FA2">
      <w:pPr>
        <w:pStyle w:val="david0"/>
        <w:spacing w:line="360" w:lineRule="auto"/>
        <w:jc w:val="both"/>
        <w:rPr>
          <w:color w:val="000000"/>
        </w:rPr>
      </w:pPr>
      <w:r w:rsidRPr="00A12207">
        <w:rPr>
          <w:rFonts w:hint="cs"/>
          <w:color w:val="000000"/>
          <w:rtl/>
        </w:rPr>
        <w:t>על פי הכרעת הדין כל שלוש העבירות היו חלק מתוכנית עבריינית אחת והן בוצעו באותו זמן ומקום ולכן מדובר באירוע אחד, זו גם עמדת שני הצדדים.</w:t>
      </w:r>
    </w:p>
    <w:p w14:paraId="51E4B82E" w14:textId="77777777" w:rsidR="00965FA2" w:rsidRPr="00A12207" w:rsidRDefault="00965FA2" w:rsidP="00965FA2">
      <w:pPr>
        <w:pStyle w:val="david0"/>
        <w:spacing w:line="360" w:lineRule="auto"/>
        <w:jc w:val="both"/>
        <w:rPr>
          <w:color w:val="000000"/>
        </w:rPr>
      </w:pPr>
    </w:p>
    <w:p w14:paraId="4E7A92CE" w14:textId="77777777" w:rsidR="00965FA2" w:rsidRPr="00A12207" w:rsidRDefault="00965FA2" w:rsidP="00965FA2">
      <w:pPr>
        <w:pStyle w:val="david0"/>
        <w:spacing w:line="360" w:lineRule="auto"/>
        <w:jc w:val="both"/>
      </w:pPr>
      <w:r w:rsidRPr="00A12207">
        <w:rPr>
          <w:rFonts w:hint="cs"/>
          <w:color w:val="000000"/>
          <w:rtl/>
        </w:rPr>
        <w:t xml:space="preserve">המעשה אשר ביצע נאשם 1 הוא חמור מאד. נאשם 1  קשר קשר ביחד עם שותפיו לאירוע כדי לרצוח אדם. </w:t>
      </w:r>
      <w:r w:rsidRPr="00A12207">
        <w:rPr>
          <w:rFonts w:hint="cs"/>
          <w:rtl/>
        </w:rPr>
        <w:t>כל השלושה תכננו ביחד את מהלכו, את תפקידו של כל אחד מהם ואת דרכי המילוט וכל זאת כאשר עד היום לא ברורה הסיבה או המניע לכך.</w:t>
      </w:r>
    </w:p>
    <w:p w14:paraId="4F5EB75C" w14:textId="77777777" w:rsidR="00965FA2" w:rsidRPr="00A12207" w:rsidRDefault="00965FA2" w:rsidP="00965FA2">
      <w:pPr>
        <w:pStyle w:val="david0"/>
        <w:spacing w:line="360" w:lineRule="auto"/>
        <w:jc w:val="both"/>
        <w:rPr>
          <w:color w:val="000000"/>
          <w:rtl/>
        </w:rPr>
      </w:pPr>
    </w:p>
    <w:p w14:paraId="7FAD2C0B" w14:textId="77777777" w:rsidR="00965FA2" w:rsidRPr="00A12207" w:rsidRDefault="00965FA2" w:rsidP="00965FA2">
      <w:pPr>
        <w:pStyle w:val="david0"/>
        <w:spacing w:line="360" w:lineRule="auto"/>
        <w:jc w:val="both"/>
        <w:rPr>
          <w:color w:val="000000"/>
        </w:rPr>
      </w:pPr>
      <w:r w:rsidRPr="00A12207">
        <w:rPr>
          <w:rFonts w:hint="cs"/>
          <w:color w:val="000000"/>
          <w:rtl/>
        </w:rPr>
        <w:t>כך בלילה שבין 22.5.2010 ל- 23.5.2010 הסיע נאשם 1 את שני שותפיו לזירת האירוע, כאשר הוא יודע שהם אמורים לבצע עבירה הקשורה בהמתת אדם באמצעות כלי ירייה. הוא עזב את זירת האירוע והמתין  עד שהם רצחו באמצעות כלי הנשק את המנוח ולאחר שהם שלחו לו הודעה בדרך של חיוג ניתוק לפיה סיימו את מעשיהם אסף את השניים חזרה לאחר ביצוע הרצח ולקח אותם לביתו. אין חולק כי מעשים אלה הינם חמורים מאד כאשר במהלכם יכול היה במספר הזדמנויות להתחרט ולהציל את חיי המנוח.</w:t>
      </w:r>
    </w:p>
    <w:p w14:paraId="317FAA38" w14:textId="77777777" w:rsidR="00965FA2" w:rsidRPr="00A12207" w:rsidRDefault="00965FA2" w:rsidP="00965FA2">
      <w:pPr>
        <w:pStyle w:val="david0"/>
        <w:spacing w:line="360" w:lineRule="auto"/>
        <w:jc w:val="both"/>
        <w:rPr>
          <w:color w:val="000000"/>
          <w:rtl/>
        </w:rPr>
      </w:pPr>
      <w:r w:rsidRPr="00A12207">
        <w:rPr>
          <w:rFonts w:hint="cs"/>
          <w:color w:val="000000"/>
          <w:rtl/>
        </w:rPr>
        <w:t>בסיועו למעשה הרצח שביצעו שותפיו, פגע נאשם 1 פגיעה חמורה מאד בערך החשוב ביותר – ערך קדושת החיים בנוסף  לפגיעה חמורה בערכים החברתיים שעניינם הגנה על שלמות הגוף ובטחון הציבור.</w:t>
      </w:r>
    </w:p>
    <w:p w14:paraId="09B1E284" w14:textId="77777777" w:rsidR="00965FA2" w:rsidRPr="00A12207" w:rsidRDefault="00965FA2" w:rsidP="00965FA2">
      <w:pPr>
        <w:pStyle w:val="david0"/>
        <w:spacing w:line="360" w:lineRule="auto"/>
        <w:jc w:val="both"/>
        <w:rPr>
          <w:color w:val="000000"/>
        </w:rPr>
      </w:pPr>
      <w:r w:rsidRPr="00A12207">
        <w:rPr>
          <w:rFonts w:hint="cs"/>
          <w:color w:val="000000"/>
          <w:rtl/>
        </w:rPr>
        <w:t>אשר למדיניות הענישה הנהוגה, שני הצדדים ציינו וצירפו כל אחד פסיקה התואמת למתחם אשר ביקש לקבוע.</w:t>
      </w:r>
    </w:p>
    <w:p w14:paraId="084B8FF6" w14:textId="77777777" w:rsidR="00965FA2" w:rsidRPr="00A12207" w:rsidRDefault="00965FA2" w:rsidP="00965FA2">
      <w:pPr>
        <w:pStyle w:val="david0"/>
        <w:spacing w:line="360" w:lineRule="auto"/>
        <w:jc w:val="both"/>
        <w:rPr>
          <w:color w:val="000000"/>
        </w:rPr>
      </w:pPr>
      <w:r w:rsidRPr="00A12207">
        <w:rPr>
          <w:rFonts w:hint="cs"/>
          <w:color w:val="000000"/>
          <w:rtl/>
        </w:rPr>
        <w:t xml:space="preserve">ב"כ המאשימה </w:t>
      </w:r>
      <w:r w:rsidRPr="00A12207">
        <w:rPr>
          <w:rFonts w:hint="cs"/>
          <w:rtl/>
        </w:rPr>
        <w:t>הפנתה לפסקי דין בהם הוטלה ענישה הנעה בין 14 ל- 18 שנות מאסר בפועל:</w:t>
      </w:r>
      <w:r w:rsidRPr="00A12207">
        <w:rPr>
          <w:rFonts w:hint="cs"/>
          <w:color w:val="000000"/>
          <w:rtl/>
        </w:rPr>
        <w:t xml:space="preserve"> </w:t>
      </w:r>
      <w:hyperlink r:id="rId34" w:history="1">
        <w:r w:rsidR="00B079C6" w:rsidRPr="00B079C6">
          <w:rPr>
            <w:color w:val="0000FF"/>
            <w:u w:val="single"/>
            <w:rtl/>
          </w:rPr>
          <w:t>ע"פ 6672/03</w:t>
        </w:r>
      </w:hyperlink>
      <w:r w:rsidRPr="00A12207">
        <w:rPr>
          <w:rFonts w:hint="cs"/>
          <w:color w:val="000000"/>
          <w:rtl/>
        </w:rPr>
        <w:t xml:space="preserve"> </w:t>
      </w:r>
      <w:r w:rsidRPr="00A12207">
        <w:rPr>
          <w:rFonts w:hint="cs"/>
          <w:b/>
          <w:bCs/>
          <w:color w:val="000000"/>
          <w:rtl/>
        </w:rPr>
        <w:t>קמינסקי נ' מדינת ישראל</w:t>
      </w:r>
      <w:r w:rsidRPr="00A12207">
        <w:rPr>
          <w:rFonts w:hint="cs"/>
          <w:color w:val="000000"/>
          <w:rtl/>
        </w:rPr>
        <w:t xml:space="preserve"> </w:t>
      </w:r>
      <w:r w:rsidR="0019648F" w:rsidRPr="0019648F">
        <w:rPr>
          <w:rFonts w:cs="David"/>
          <w:sz w:val="22"/>
          <w:rtl/>
        </w:rPr>
        <w:t xml:space="preserve">[פורסם בנבו] </w:t>
      </w:r>
      <w:r w:rsidRPr="00A12207">
        <w:rPr>
          <w:rFonts w:hint="cs"/>
          <w:color w:val="000000"/>
          <w:rtl/>
        </w:rPr>
        <w:t xml:space="preserve">(25.12.2003) (להלן – עניין קמינסקי);   </w:t>
      </w:r>
      <w:hyperlink r:id="rId35" w:history="1">
        <w:r w:rsidR="00B079C6" w:rsidRPr="00B079C6">
          <w:rPr>
            <w:color w:val="0000FF"/>
            <w:u w:val="single"/>
            <w:rtl/>
          </w:rPr>
          <w:t>ע"פ 5812/14</w:t>
        </w:r>
      </w:hyperlink>
      <w:r w:rsidRPr="00A12207">
        <w:rPr>
          <w:rFonts w:hint="cs"/>
          <w:color w:val="000000"/>
          <w:rtl/>
        </w:rPr>
        <w:t xml:space="preserve"> </w:t>
      </w:r>
      <w:r w:rsidRPr="00A12207">
        <w:rPr>
          <w:rFonts w:hint="cs"/>
          <w:b/>
          <w:bCs/>
          <w:color w:val="000000"/>
          <w:rtl/>
        </w:rPr>
        <w:t xml:space="preserve">גורליק נ' מדינת ישראל </w:t>
      </w:r>
      <w:r w:rsidR="0019648F" w:rsidRPr="0019648F">
        <w:rPr>
          <w:rFonts w:cs="David"/>
          <w:sz w:val="22"/>
          <w:rtl/>
        </w:rPr>
        <w:t xml:space="preserve">[פורסם בנבו] </w:t>
      </w:r>
      <w:r w:rsidRPr="00A12207">
        <w:rPr>
          <w:rFonts w:hint="cs"/>
          <w:color w:val="000000"/>
          <w:rtl/>
        </w:rPr>
        <w:t xml:space="preserve">(29.11.2015) (להלן – עניין גורליק); </w:t>
      </w:r>
      <w:hyperlink r:id="rId36" w:history="1">
        <w:r w:rsidR="00B079C6" w:rsidRPr="00B079C6">
          <w:rPr>
            <w:color w:val="0000FF"/>
            <w:u w:val="single"/>
            <w:rtl/>
          </w:rPr>
          <w:t>ע"פ 635/05</w:t>
        </w:r>
      </w:hyperlink>
      <w:r w:rsidRPr="00A12207">
        <w:rPr>
          <w:rFonts w:hint="cs"/>
          <w:b/>
          <w:bCs/>
          <w:color w:val="000000"/>
          <w:rtl/>
        </w:rPr>
        <w:t xml:space="preserve"> דענא נ' מדינת ישראל</w:t>
      </w:r>
      <w:r w:rsidRPr="00A12207">
        <w:rPr>
          <w:rFonts w:hint="cs"/>
          <w:color w:val="000000"/>
          <w:rtl/>
        </w:rPr>
        <w:t xml:space="preserve"> </w:t>
      </w:r>
      <w:r w:rsidR="0019648F" w:rsidRPr="0019648F">
        <w:rPr>
          <w:rFonts w:cs="David"/>
          <w:sz w:val="22"/>
          <w:rtl/>
        </w:rPr>
        <w:t xml:space="preserve">[פורסם בנבו] </w:t>
      </w:r>
      <w:r w:rsidRPr="00A12207">
        <w:rPr>
          <w:rFonts w:hint="cs"/>
          <w:color w:val="000000"/>
          <w:rtl/>
        </w:rPr>
        <w:t>(26.11.2007) (להלן – עניין דענא). אעיר כי בעניין קמינסקי הורשע המערער בעבירה של סיוע לרצח ביחד עם עבירת שוד בנסיבות מחמירות, מה שלא תואם את הרשעת הנאשם במקרה שבפנינו.</w:t>
      </w:r>
    </w:p>
    <w:p w14:paraId="55DE9813" w14:textId="77777777" w:rsidR="00965FA2" w:rsidRPr="00A12207" w:rsidRDefault="00965FA2" w:rsidP="00965FA2">
      <w:pPr>
        <w:pStyle w:val="david0"/>
        <w:spacing w:line="360" w:lineRule="auto"/>
        <w:jc w:val="both"/>
        <w:rPr>
          <w:color w:val="000000"/>
          <w:rtl/>
        </w:rPr>
      </w:pPr>
    </w:p>
    <w:p w14:paraId="577CE439" w14:textId="77777777" w:rsidR="00965FA2" w:rsidRPr="00A12207" w:rsidRDefault="00965FA2" w:rsidP="00965FA2">
      <w:pPr>
        <w:pStyle w:val="david0"/>
        <w:spacing w:line="360" w:lineRule="auto"/>
        <w:jc w:val="both"/>
        <w:rPr>
          <w:color w:val="000000"/>
          <w:rtl/>
        </w:rPr>
      </w:pPr>
      <w:r w:rsidRPr="00A12207">
        <w:rPr>
          <w:rFonts w:hint="cs"/>
          <w:color w:val="000000"/>
          <w:rtl/>
        </w:rPr>
        <w:t xml:space="preserve">הסניגור צירף לטיעוניו את </w:t>
      </w:r>
      <w:hyperlink r:id="rId37" w:history="1">
        <w:r w:rsidR="00B079C6" w:rsidRPr="00B079C6">
          <w:rPr>
            <w:color w:val="0000FF"/>
            <w:u w:val="single"/>
            <w:rtl/>
          </w:rPr>
          <w:t>ע"פ 4770/14</w:t>
        </w:r>
      </w:hyperlink>
      <w:r w:rsidRPr="00A12207">
        <w:rPr>
          <w:rFonts w:hint="cs"/>
          <w:color w:val="000000"/>
          <w:rtl/>
        </w:rPr>
        <w:t xml:space="preserve"> </w:t>
      </w:r>
      <w:r w:rsidRPr="00A12207">
        <w:rPr>
          <w:rFonts w:hint="cs"/>
          <w:b/>
          <w:bCs/>
          <w:color w:val="000000"/>
          <w:rtl/>
        </w:rPr>
        <w:t>אגייב נ' מ"י ואח'</w:t>
      </w:r>
      <w:r w:rsidRPr="00A12207">
        <w:rPr>
          <w:rFonts w:hint="cs"/>
          <w:color w:val="000000"/>
          <w:rtl/>
        </w:rPr>
        <w:t xml:space="preserve"> </w:t>
      </w:r>
      <w:r w:rsidR="0019648F" w:rsidRPr="0019648F">
        <w:rPr>
          <w:rFonts w:cs="David"/>
          <w:sz w:val="22"/>
          <w:rtl/>
        </w:rPr>
        <w:t xml:space="preserve">[פורסם בנבו] </w:t>
      </w:r>
      <w:r w:rsidRPr="00A12207">
        <w:rPr>
          <w:rFonts w:hint="cs"/>
          <w:color w:val="000000"/>
          <w:rtl/>
        </w:rPr>
        <w:t>(5.11.2015) בו הוטל על המערער עונש של 8.5 שנות מאסר (להלן- עניין אגייב)  ופסיקה נוספת של בית משפט מחוזי.</w:t>
      </w:r>
    </w:p>
    <w:p w14:paraId="6D4C37F2" w14:textId="77777777" w:rsidR="00965FA2" w:rsidRDefault="00965FA2" w:rsidP="00965FA2">
      <w:pPr>
        <w:pStyle w:val="david0"/>
        <w:spacing w:line="360" w:lineRule="auto"/>
        <w:jc w:val="both"/>
        <w:rPr>
          <w:color w:val="000000"/>
          <w:rtl/>
        </w:rPr>
      </w:pPr>
    </w:p>
    <w:p w14:paraId="200B2591" w14:textId="77777777" w:rsidR="00965FA2" w:rsidRPr="00A12207" w:rsidRDefault="00965FA2" w:rsidP="00965FA2">
      <w:pPr>
        <w:pStyle w:val="david0"/>
        <w:spacing w:line="360" w:lineRule="auto"/>
        <w:jc w:val="both"/>
        <w:rPr>
          <w:color w:val="000000"/>
          <w:rtl/>
        </w:rPr>
      </w:pPr>
    </w:p>
    <w:p w14:paraId="66ACFFD1" w14:textId="77777777" w:rsidR="00965FA2" w:rsidRPr="00A12207" w:rsidRDefault="00965FA2" w:rsidP="00965FA2">
      <w:pPr>
        <w:pStyle w:val="david0"/>
        <w:spacing w:line="360" w:lineRule="auto"/>
        <w:jc w:val="both"/>
        <w:rPr>
          <w:color w:val="000000"/>
          <w:rtl/>
        </w:rPr>
      </w:pPr>
      <w:r w:rsidRPr="00A12207">
        <w:rPr>
          <w:rFonts w:hint="cs"/>
          <w:color w:val="000000"/>
          <w:rtl/>
        </w:rPr>
        <w:t xml:space="preserve">מן הראוי להזכיר כי על פי </w:t>
      </w:r>
      <w:hyperlink r:id="rId38" w:history="1">
        <w:r w:rsidR="00565A63" w:rsidRPr="00565A63">
          <w:rPr>
            <w:color w:val="0000FF"/>
            <w:u w:val="single"/>
            <w:rtl/>
          </w:rPr>
          <w:t>סעיף 32(1)</w:t>
        </w:r>
      </w:hyperlink>
      <w:r w:rsidRPr="00A12207">
        <w:rPr>
          <w:rFonts w:hint="cs"/>
          <w:color w:val="000000"/>
          <w:rtl/>
        </w:rPr>
        <w:t xml:space="preserve"> לחוק העונש המקסימאלי בגין עבירה של ניסיון לרצח עומד על 20 שנות מאסר.  בית משפט חזר לא פעם על החומרה הרבה כאשר עסקינן בעבירות המתה וכך קבע:</w:t>
      </w:r>
    </w:p>
    <w:p w14:paraId="15DEF475" w14:textId="77777777" w:rsidR="00965FA2" w:rsidRDefault="00965FA2" w:rsidP="00965FA2">
      <w:pPr>
        <w:pStyle w:val="david0"/>
        <w:spacing w:line="360" w:lineRule="auto"/>
        <w:ind w:left="1134" w:right="1134"/>
        <w:jc w:val="both"/>
        <w:rPr>
          <w:color w:val="000000"/>
          <w:rtl/>
        </w:rPr>
      </w:pPr>
      <w:r w:rsidRPr="00A12207">
        <w:rPr>
          <w:rFonts w:hint="cs"/>
          <w:color w:val="000000"/>
          <w:rtl/>
        </w:rPr>
        <w:t xml:space="preserve">"העיקר הוא שהענישה חייבת לבטא את הערך של קדושת החיים. עונש קל... יבטא זילות בערכם של חיי אדם. העונש צריך להיות גמול הולם ותמרור אזהרה למערער ולאחרים שכמותו" </w:t>
      </w:r>
    </w:p>
    <w:p w14:paraId="2554E5D3" w14:textId="77777777" w:rsidR="00965FA2" w:rsidRPr="00A12207" w:rsidRDefault="00965FA2" w:rsidP="00965FA2">
      <w:pPr>
        <w:pStyle w:val="david0"/>
        <w:spacing w:line="360" w:lineRule="auto"/>
        <w:ind w:left="1134" w:right="1134"/>
        <w:jc w:val="both"/>
        <w:rPr>
          <w:color w:val="000000"/>
          <w:rtl/>
        </w:rPr>
      </w:pPr>
      <w:r w:rsidRPr="00A12207">
        <w:rPr>
          <w:rFonts w:hint="cs"/>
          <w:color w:val="000000"/>
          <w:rtl/>
        </w:rPr>
        <w:t>(</w:t>
      </w:r>
      <w:hyperlink r:id="rId39" w:history="1">
        <w:r w:rsidR="00B079C6" w:rsidRPr="00B079C6">
          <w:rPr>
            <w:color w:val="0000FF"/>
            <w:u w:val="single"/>
            <w:rtl/>
          </w:rPr>
          <w:t>ע"פ 2772/11</w:t>
        </w:r>
      </w:hyperlink>
      <w:r w:rsidRPr="00A12207">
        <w:rPr>
          <w:rFonts w:hint="cs"/>
          <w:color w:val="000000"/>
          <w:rtl/>
        </w:rPr>
        <w:t xml:space="preserve"> </w:t>
      </w:r>
      <w:r w:rsidRPr="00A12207">
        <w:rPr>
          <w:rFonts w:hint="cs"/>
          <w:b/>
          <w:bCs/>
          <w:color w:val="000000"/>
          <w:rtl/>
        </w:rPr>
        <w:t>נחמני נ' מדינת ישראל</w:t>
      </w:r>
      <w:r w:rsidRPr="00A12207">
        <w:rPr>
          <w:rFonts w:hint="cs"/>
          <w:color w:val="000000"/>
          <w:rtl/>
        </w:rPr>
        <w:t xml:space="preserve"> </w:t>
      </w:r>
      <w:r w:rsidR="0019648F" w:rsidRPr="0019648F">
        <w:rPr>
          <w:rFonts w:cs="David"/>
          <w:sz w:val="22"/>
          <w:rtl/>
        </w:rPr>
        <w:t xml:space="preserve">[פורסם בנבו] </w:t>
      </w:r>
      <w:r w:rsidRPr="00A12207">
        <w:rPr>
          <w:rFonts w:hint="cs"/>
          <w:color w:val="000000"/>
          <w:rtl/>
        </w:rPr>
        <w:t>(21.2.2012)).</w:t>
      </w:r>
    </w:p>
    <w:p w14:paraId="4501A7C5" w14:textId="77777777" w:rsidR="00965FA2" w:rsidRPr="00A12207" w:rsidRDefault="00965FA2" w:rsidP="00965FA2">
      <w:pPr>
        <w:pStyle w:val="david0"/>
        <w:spacing w:line="360" w:lineRule="auto"/>
        <w:jc w:val="both"/>
        <w:rPr>
          <w:color w:val="000000"/>
          <w:rtl/>
        </w:rPr>
      </w:pPr>
    </w:p>
    <w:p w14:paraId="6B8DFB6B" w14:textId="77777777" w:rsidR="00965FA2" w:rsidRPr="00A12207" w:rsidRDefault="00965FA2" w:rsidP="00965FA2">
      <w:pPr>
        <w:pStyle w:val="david0"/>
        <w:spacing w:line="360" w:lineRule="auto"/>
        <w:jc w:val="both"/>
        <w:rPr>
          <w:color w:val="000000"/>
          <w:rtl/>
        </w:rPr>
      </w:pPr>
      <w:r w:rsidRPr="00A12207">
        <w:rPr>
          <w:rFonts w:hint="cs"/>
          <w:color w:val="000000"/>
          <w:rtl/>
        </w:rPr>
        <w:t>בעניין גורליק הנ"ל נקבע בבית המשפט המחוזי מתחם ענישה הולם שנע בין 12 ל-16 שנות מאסר והוטל על המערערת עונש של 15 שנות מאסר. היא הורשעה על פי הודאתה בסיוע לרצח של גרושתו של בעלה והעלמת הגופה באמצעות חומצה. המערערת הייתה מעורבת בכל שלבי התכנון שאפשרו את הרצח וסילוק הגופה, ערעורה נדחה.</w:t>
      </w:r>
    </w:p>
    <w:p w14:paraId="40F32352" w14:textId="77777777" w:rsidR="00965FA2" w:rsidRPr="00A12207" w:rsidRDefault="00965FA2" w:rsidP="00965FA2">
      <w:pPr>
        <w:pStyle w:val="david0"/>
        <w:spacing w:line="360" w:lineRule="auto"/>
        <w:jc w:val="both"/>
        <w:rPr>
          <w:color w:val="000000"/>
          <w:rtl/>
        </w:rPr>
      </w:pPr>
    </w:p>
    <w:p w14:paraId="4A9EC68C" w14:textId="77777777" w:rsidR="00965FA2" w:rsidRPr="00A12207" w:rsidRDefault="00965FA2" w:rsidP="00965FA2">
      <w:pPr>
        <w:pStyle w:val="david0"/>
        <w:spacing w:line="360" w:lineRule="auto"/>
        <w:jc w:val="both"/>
        <w:rPr>
          <w:color w:val="000000"/>
          <w:rtl/>
        </w:rPr>
      </w:pPr>
      <w:r w:rsidRPr="00A12207">
        <w:rPr>
          <w:rFonts w:hint="cs"/>
          <w:color w:val="000000"/>
          <w:rtl/>
        </w:rPr>
        <w:t>בעניין דענא הנ"ל הוטל על המערער אשר הודה בכך שסייע לאחיו באופן פעיל לרצוח את המנוח עונש של 14 שנות מאסר, באותו מקרה היה הסכם סולחה בין הצדדים ונסיבות רפואיות קשות של המערער. ערעור לעניין העונש נדחה.</w:t>
      </w:r>
    </w:p>
    <w:p w14:paraId="4833C6D2" w14:textId="77777777" w:rsidR="00965FA2" w:rsidRPr="00A12207" w:rsidRDefault="00965FA2" w:rsidP="00965FA2">
      <w:pPr>
        <w:pStyle w:val="david0"/>
        <w:spacing w:line="360" w:lineRule="auto"/>
        <w:jc w:val="both"/>
        <w:rPr>
          <w:color w:val="000000"/>
          <w:rtl/>
        </w:rPr>
      </w:pPr>
    </w:p>
    <w:p w14:paraId="055F3797" w14:textId="77777777" w:rsidR="00965FA2" w:rsidRPr="00A12207" w:rsidRDefault="00965FA2" w:rsidP="00965FA2">
      <w:pPr>
        <w:pStyle w:val="david0"/>
        <w:spacing w:line="360" w:lineRule="auto"/>
        <w:jc w:val="both"/>
        <w:rPr>
          <w:color w:val="000000"/>
          <w:rtl/>
        </w:rPr>
      </w:pPr>
      <w:r w:rsidRPr="00A12207">
        <w:rPr>
          <w:rFonts w:hint="cs"/>
          <w:color w:val="000000"/>
          <w:rtl/>
        </w:rPr>
        <w:t xml:space="preserve">בעניין אגייב אליו הפנה הסניגור, דחה בית המשפט העליון את ערעורו של המערער על הרשעתו בעבירה של סיוע לרצח, קשירת קשר לביצוע פשע ונהיגה ללא רישיון.  בבית המשפט המחוזי נקבע מתחם שבין 7 ל-11 שנות מאסר בפועל והוטל על המערער עונש של 8.5 שנות מאסר בפועל, יצוין כי נקבע בהכרעת הדין כי חלקו בביצוע העבירות היה קטן, המערער לא היה חוליה דומיננטית. </w:t>
      </w:r>
    </w:p>
    <w:p w14:paraId="30E45268" w14:textId="77777777" w:rsidR="00965FA2" w:rsidRPr="00A12207" w:rsidRDefault="00965FA2" w:rsidP="00965FA2">
      <w:pPr>
        <w:pStyle w:val="david0"/>
        <w:spacing w:line="360" w:lineRule="auto"/>
        <w:jc w:val="both"/>
        <w:rPr>
          <w:color w:val="000000"/>
          <w:rtl/>
        </w:rPr>
      </w:pPr>
    </w:p>
    <w:p w14:paraId="423A1C40" w14:textId="77777777" w:rsidR="00965FA2" w:rsidRPr="00A12207" w:rsidRDefault="00965FA2" w:rsidP="00965FA2">
      <w:pPr>
        <w:pStyle w:val="david0"/>
        <w:spacing w:line="360" w:lineRule="auto"/>
        <w:jc w:val="both"/>
        <w:rPr>
          <w:color w:val="000000"/>
          <w:rtl/>
        </w:rPr>
      </w:pPr>
      <w:r w:rsidRPr="00A12207">
        <w:rPr>
          <w:rFonts w:hint="cs"/>
          <w:rtl/>
        </w:rPr>
        <w:t xml:space="preserve">אשר לנסיבות הקשורות בביצוע העבירה (לפי </w:t>
      </w:r>
      <w:hyperlink r:id="rId40" w:history="1">
        <w:r w:rsidR="00565A63" w:rsidRPr="00565A63">
          <w:rPr>
            <w:color w:val="0000FF"/>
            <w:u w:val="single"/>
            <w:rtl/>
          </w:rPr>
          <w:t>סעיף 40ט'</w:t>
        </w:r>
      </w:hyperlink>
      <w:r w:rsidRPr="00A12207">
        <w:rPr>
          <w:rFonts w:hint="cs"/>
          <w:rtl/>
        </w:rPr>
        <w:t xml:space="preserve"> לחוק): </w:t>
      </w:r>
    </w:p>
    <w:p w14:paraId="4A5A8D21" w14:textId="77777777" w:rsidR="00965FA2" w:rsidRPr="00A12207" w:rsidRDefault="00965FA2" w:rsidP="00965FA2">
      <w:pPr>
        <w:pStyle w:val="david0"/>
        <w:spacing w:line="360" w:lineRule="auto"/>
        <w:jc w:val="both"/>
        <w:rPr>
          <w:color w:val="000000"/>
        </w:rPr>
      </w:pPr>
      <w:r w:rsidRPr="00A12207">
        <w:rPr>
          <w:rFonts w:hint="cs"/>
          <w:color w:val="000000"/>
          <w:rtl/>
        </w:rPr>
        <w:t>נאשם 1 לקח חלק בתכנון הרצח, ידע כי שותפיו הולכים לבצע אותו באישון לילה כאשר הם חמושים ברובה. במסגרת אותה תכנית כיבו הנאשם ויורי את מכשירי הטלפון שלהם עד סמוך לאחר הרצח והם תאמו מראש צורת תקשורת של "חיוג-ניתוק". נאשם 1 לא היה בזירת הרצח וחלקו  התבטא בסיוע לרצח בדרך של הסעת והחזרת שותפיו מזירת האירוע כאשר הוא יודע מה המעשה שהם עתידים לבצע. את העבירות בנשק ביצע מכוח דיני השותפות.</w:t>
      </w:r>
    </w:p>
    <w:p w14:paraId="0EE50894" w14:textId="77777777" w:rsidR="00965FA2" w:rsidRPr="00A12207" w:rsidRDefault="00965FA2" w:rsidP="00965FA2">
      <w:pPr>
        <w:pStyle w:val="david0"/>
        <w:spacing w:line="360" w:lineRule="auto"/>
        <w:jc w:val="both"/>
        <w:rPr>
          <w:color w:val="000000"/>
          <w:rtl/>
        </w:rPr>
      </w:pPr>
    </w:p>
    <w:p w14:paraId="0386C43A" w14:textId="77777777" w:rsidR="00965FA2" w:rsidRPr="00A12207" w:rsidRDefault="00965FA2" w:rsidP="00965FA2">
      <w:pPr>
        <w:pStyle w:val="david0"/>
        <w:spacing w:line="360" w:lineRule="auto"/>
        <w:jc w:val="both"/>
        <w:rPr>
          <w:color w:val="000000"/>
          <w:rtl/>
        </w:rPr>
      </w:pPr>
      <w:r w:rsidRPr="00A12207">
        <w:rPr>
          <w:rFonts w:hint="cs"/>
          <w:color w:val="000000"/>
          <w:rtl/>
        </w:rPr>
        <w:t xml:space="preserve">עוד יש לזכור  בעת קביעת מידת אשמו של נאשם 1 ביחס לשותפיו, כי הוא מבוגר ב-10 שנים משניהם ושימש דמות סמכותית כלפי אחיו הקטן נאשם 2. </w:t>
      </w:r>
    </w:p>
    <w:p w14:paraId="642289DC" w14:textId="77777777" w:rsidR="00965FA2" w:rsidRPr="00A12207" w:rsidRDefault="00965FA2" w:rsidP="00965FA2">
      <w:pPr>
        <w:pStyle w:val="david0"/>
        <w:spacing w:line="360" w:lineRule="auto"/>
        <w:jc w:val="both"/>
        <w:rPr>
          <w:color w:val="000000"/>
          <w:rtl/>
        </w:rPr>
      </w:pPr>
    </w:p>
    <w:p w14:paraId="1C0F9DE2" w14:textId="77777777" w:rsidR="00965FA2" w:rsidRPr="00A12207" w:rsidRDefault="00965FA2" w:rsidP="00965FA2">
      <w:pPr>
        <w:pStyle w:val="david0"/>
        <w:spacing w:line="360" w:lineRule="auto"/>
        <w:jc w:val="both"/>
        <w:rPr>
          <w:color w:val="000000"/>
          <w:rtl/>
        </w:rPr>
      </w:pPr>
      <w:r w:rsidRPr="00A12207">
        <w:rPr>
          <w:rFonts w:hint="cs"/>
          <w:rtl/>
        </w:rPr>
        <w:t xml:space="preserve">הנזק </w:t>
      </w:r>
      <w:r w:rsidRPr="00A12207">
        <w:rPr>
          <w:rFonts w:hint="cs"/>
          <w:color w:val="000000"/>
          <w:rtl/>
        </w:rPr>
        <w:t xml:space="preserve">שנגרם ממעשיו הינו הנזק החמור ביותר שיש – במעשיו סייע להמתת אדם אחר. </w:t>
      </w:r>
    </w:p>
    <w:p w14:paraId="1E289C3A" w14:textId="77777777" w:rsidR="00965FA2" w:rsidRPr="00A12207" w:rsidRDefault="00965FA2" w:rsidP="00965FA2">
      <w:pPr>
        <w:pStyle w:val="david0"/>
        <w:spacing w:line="360" w:lineRule="auto"/>
        <w:jc w:val="both"/>
        <w:rPr>
          <w:color w:val="000000"/>
          <w:rtl/>
        </w:rPr>
      </w:pPr>
    </w:p>
    <w:p w14:paraId="16FE2E98" w14:textId="77777777" w:rsidR="00965FA2" w:rsidRPr="00A12207" w:rsidRDefault="00965FA2" w:rsidP="00965FA2">
      <w:pPr>
        <w:pStyle w:val="david0"/>
        <w:spacing w:line="360" w:lineRule="auto"/>
        <w:jc w:val="both"/>
        <w:rPr>
          <w:rtl/>
        </w:rPr>
      </w:pPr>
      <w:r w:rsidRPr="00A12207">
        <w:rPr>
          <w:rFonts w:hint="cs"/>
          <w:rtl/>
        </w:rPr>
        <w:t xml:space="preserve">הסיבות שהביאו את נאשם 1 לבצע את העבירות  לא הוכחו במשפט. </w:t>
      </w:r>
    </w:p>
    <w:p w14:paraId="304E48AC" w14:textId="77777777" w:rsidR="00965FA2" w:rsidRPr="00A12207" w:rsidRDefault="00965FA2" w:rsidP="00965FA2">
      <w:pPr>
        <w:pStyle w:val="david0"/>
        <w:spacing w:line="360" w:lineRule="auto"/>
        <w:jc w:val="both"/>
        <w:rPr>
          <w:rtl/>
        </w:rPr>
      </w:pPr>
    </w:p>
    <w:p w14:paraId="4646C4F4" w14:textId="77777777" w:rsidR="00965FA2" w:rsidRPr="00A12207" w:rsidRDefault="00965FA2" w:rsidP="00965FA2">
      <w:pPr>
        <w:pStyle w:val="david0"/>
        <w:spacing w:line="360" w:lineRule="auto"/>
        <w:jc w:val="both"/>
        <w:rPr>
          <w:color w:val="000000"/>
          <w:rtl/>
        </w:rPr>
      </w:pPr>
      <w:r w:rsidRPr="00A12207">
        <w:rPr>
          <w:rFonts w:hint="cs"/>
          <w:rtl/>
        </w:rPr>
        <w:t xml:space="preserve">בהתחשב בערכים החברתיים שנפגעו מביצוע העבירות, במידת הפגיעה בהם, במדיניות הענישה הנהוגה ובנסיבות הקשורות בביצוע העבירות אמליץ לחבריי לקבוע כי העונש ההולם במקרה זה הוא מאסר במתחם שבין </w:t>
      </w:r>
      <w:r w:rsidRPr="00A12207">
        <w:rPr>
          <w:rFonts w:hint="cs"/>
          <w:u w:val="single"/>
          <w:rtl/>
        </w:rPr>
        <w:t>10</w:t>
      </w:r>
      <w:r w:rsidRPr="00A12207">
        <w:rPr>
          <w:rFonts w:hint="cs"/>
          <w:rtl/>
        </w:rPr>
        <w:t xml:space="preserve"> ל-</w:t>
      </w:r>
      <w:r w:rsidRPr="00A12207">
        <w:rPr>
          <w:rFonts w:hint="cs"/>
          <w:u w:val="single"/>
          <w:rtl/>
        </w:rPr>
        <w:t>15</w:t>
      </w:r>
      <w:r w:rsidRPr="00A12207">
        <w:rPr>
          <w:rFonts w:hint="cs"/>
          <w:rtl/>
        </w:rPr>
        <w:t xml:space="preserve"> שנות מאסר בפועל.</w:t>
      </w:r>
    </w:p>
    <w:p w14:paraId="23FE8FA5" w14:textId="77777777" w:rsidR="00965FA2" w:rsidRPr="00A12207" w:rsidRDefault="00965FA2" w:rsidP="00965FA2">
      <w:pPr>
        <w:pStyle w:val="david0"/>
        <w:spacing w:line="360" w:lineRule="auto"/>
        <w:jc w:val="both"/>
        <w:rPr>
          <w:u w:val="single"/>
          <w:rtl/>
        </w:rPr>
      </w:pPr>
      <w:r w:rsidRPr="00A12207">
        <w:rPr>
          <w:rFonts w:hint="cs"/>
          <w:u w:val="single"/>
          <w:rtl/>
        </w:rPr>
        <w:t>העונש המתאים – נאשם 1</w:t>
      </w:r>
    </w:p>
    <w:p w14:paraId="77D97FF5" w14:textId="77777777" w:rsidR="00965FA2" w:rsidRPr="00A12207" w:rsidRDefault="00965FA2" w:rsidP="00965FA2">
      <w:pPr>
        <w:pStyle w:val="david0"/>
        <w:spacing w:line="360" w:lineRule="auto"/>
        <w:jc w:val="both"/>
        <w:rPr>
          <w:color w:val="000000"/>
          <w:rtl/>
        </w:rPr>
      </w:pPr>
      <w:r w:rsidRPr="00A12207">
        <w:rPr>
          <w:rFonts w:hint="cs"/>
          <w:color w:val="000000"/>
          <w:rtl/>
        </w:rPr>
        <w:t xml:space="preserve">בהתאם </w:t>
      </w:r>
      <w:hyperlink r:id="rId41" w:history="1">
        <w:r w:rsidR="00565A63" w:rsidRPr="00565A63">
          <w:rPr>
            <w:color w:val="0000FF"/>
            <w:u w:val="single"/>
            <w:rtl/>
          </w:rPr>
          <w:t>לסעיף 40ג(א)</w:t>
        </w:r>
      </w:hyperlink>
      <w:r w:rsidRPr="00A12207">
        <w:rPr>
          <w:rFonts w:hint="cs"/>
          <w:color w:val="000000"/>
          <w:rtl/>
        </w:rPr>
        <w:t xml:space="preserve"> לחוק אמליץ לחבריי לגזור על נאשם 1 עונש אחד כולל, עיקרו בגין העבירה החמורה של סיוע לרצח.</w:t>
      </w:r>
    </w:p>
    <w:p w14:paraId="6E0EE418" w14:textId="77777777" w:rsidR="00965FA2" w:rsidRPr="00A12207" w:rsidRDefault="00965FA2" w:rsidP="00965FA2">
      <w:pPr>
        <w:pStyle w:val="david0"/>
        <w:jc w:val="both"/>
        <w:rPr>
          <w:color w:val="000000"/>
        </w:rPr>
      </w:pPr>
    </w:p>
    <w:p w14:paraId="4C5163EE" w14:textId="77777777" w:rsidR="00965FA2" w:rsidRPr="00A12207" w:rsidRDefault="00965FA2" w:rsidP="00965FA2">
      <w:pPr>
        <w:pStyle w:val="david0"/>
        <w:spacing w:line="360" w:lineRule="auto"/>
        <w:jc w:val="both"/>
        <w:rPr>
          <w:color w:val="000000"/>
          <w:rtl/>
        </w:rPr>
      </w:pPr>
      <w:r w:rsidRPr="00A12207">
        <w:rPr>
          <w:rFonts w:hint="cs"/>
          <w:rtl/>
        </w:rPr>
        <w:t>במקרה זה לא עומדת שאלת שיקום על הפרק</w:t>
      </w:r>
      <w:r w:rsidRPr="00A12207">
        <w:rPr>
          <w:rFonts w:hint="cs"/>
          <w:color w:val="000000"/>
          <w:rtl/>
        </w:rPr>
        <w:t xml:space="preserve"> ולכן אין לחרוג ממתחם העונש ההולם וגם לא התבקשנו לחרוג כאמור.</w:t>
      </w:r>
    </w:p>
    <w:p w14:paraId="69737AFF" w14:textId="77777777" w:rsidR="00965FA2" w:rsidRPr="00A12207" w:rsidRDefault="00965FA2" w:rsidP="00965FA2">
      <w:pPr>
        <w:pStyle w:val="david0"/>
        <w:jc w:val="both"/>
        <w:rPr>
          <w:color w:val="000000"/>
          <w:rtl/>
        </w:rPr>
      </w:pPr>
    </w:p>
    <w:p w14:paraId="0E428B2A" w14:textId="77777777" w:rsidR="00965FA2" w:rsidRPr="00A12207" w:rsidRDefault="00965FA2" w:rsidP="00965FA2">
      <w:pPr>
        <w:pStyle w:val="david0"/>
        <w:spacing w:line="360" w:lineRule="auto"/>
        <w:jc w:val="both"/>
        <w:rPr>
          <w:color w:val="000000"/>
        </w:rPr>
      </w:pPr>
      <w:r w:rsidRPr="00A12207">
        <w:rPr>
          <w:rFonts w:hint="cs"/>
          <w:color w:val="000000"/>
          <w:rtl/>
        </w:rPr>
        <w:t xml:space="preserve">בהתייחס לנסיבות שאינן קשורות לביצוע העבירה לפי </w:t>
      </w:r>
      <w:hyperlink r:id="rId42" w:history="1">
        <w:r w:rsidR="00565A63" w:rsidRPr="00565A63">
          <w:rPr>
            <w:color w:val="0000FF"/>
            <w:u w:val="single"/>
            <w:rtl/>
          </w:rPr>
          <w:t>סעיף 40יא'</w:t>
        </w:r>
      </w:hyperlink>
      <w:r w:rsidRPr="00A12207">
        <w:rPr>
          <w:rFonts w:hint="cs"/>
          <w:color w:val="000000"/>
          <w:rtl/>
        </w:rPr>
        <w:t xml:space="preserve"> לחוק, יש לקחת בחשבון את הפגיעה של העונש בנאשם 1 ומשפחתו אשר לפי מכתבה של בת זוגו הנוכחית היא וילדיו הקטנים בגילאי 3.5 ו-4.5 שנה זקוקים לו הן בצורה רגשית והן על מנת לתמוך בהם כלכלית בשל מצבם הכלכלי הקשה כפי שתואר במכתב ובטיעוני הסניגור. בנוסף לנאשם 1 שלושה ילדים נוספים אשר גם הם מתמודדים עם מצב כלכלי קשה ואף בהם נאשם 1 צריך לתמוך לטענתו. נסיבות חיים קשות אלו אמליץ לשקול לזכותו. </w:t>
      </w:r>
    </w:p>
    <w:p w14:paraId="29E18DC5" w14:textId="77777777" w:rsidR="00965FA2" w:rsidRPr="00A12207" w:rsidRDefault="00965FA2" w:rsidP="00965FA2">
      <w:pPr>
        <w:pStyle w:val="david0"/>
        <w:jc w:val="both"/>
        <w:rPr>
          <w:color w:val="000000"/>
        </w:rPr>
      </w:pPr>
    </w:p>
    <w:p w14:paraId="4D088B4B" w14:textId="77777777" w:rsidR="00965FA2" w:rsidRPr="00A12207" w:rsidRDefault="00965FA2" w:rsidP="00965FA2">
      <w:pPr>
        <w:pStyle w:val="david0"/>
        <w:spacing w:line="360" w:lineRule="auto"/>
        <w:jc w:val="both"/>
      </w:pPr>
      <w:r w:rsidRPr="00A12207">
        <w:rPr>
          <w:rFonts w:hint="cs"/>
          <w:color w:val="000000"/>
          <w:rtl/>
        </w:rPr>
        <w:t xml:space="preserve">הנאשם 1 לא לקח  אחריות על מעשיו, אך כמובן </w:t>
      </w:r>
      <w:r w:rsidRPr="00A12207">
        <w:rPr>
          <w:rFonts w:hint="cs"/>
          <w:rtl/>
        </w:rPr>
        <w:t xml:space="preserve">שהכפירה באשמה וניהול המשפט לא ייזקפו לחובתו.  </w:t>
      </w:r>
    </w:p>
    <w:p w14:paraId="5BD49615" w14:textId="77777777" w:rsidR="00965FA2" w:rsidRPr="00A12207" w:rsidRDefault="00965FA2" w:rsidP="00965FA2">
      <w:pPr>
        <w:pStyle w:val="david0"/>
        <w:jc w:val="both"/>
        <w:rPr>
          <w:rtl/>
        </w:rPr>
      </w:pPr>
    </w:p>
    <w:p w14:paraId="058E9BAB" w14:textId="77777777" w:rsidR="00965FA2" w:rsidRPr="00A12207" w:rsidRDefault="00965FA2" w:rsidP="00965FA2">
      <w:pPr>
        <w:pStyle w:val="david0"/>
        <w:spacing w:line="360" w:lineRule="auto"/>
        <w:jc w:val="both"/>
      </w:pPr>
      <w:r w:rsidRPr="00A12207">
        <w:rPr>
          <w:rFonts w:hint="cs"/>
          <w:rtl/>
        </w:rPr>
        <w:t>לחובת נאשם 1 יש לזקוף את הרשעותיו הרבות, הראשונה מיום 4.3.1996 בבית  משפט לנוער עת היה כבן 17.5 שנים והאחרונה מיום 10.7.2005, עבירות רכוש רבות וגם עבירה בנשק.</w:t>
      </w:r>
    </w:p>
    <w:p w14:paraId="4AF6A226" w14:textId="77777777" w:rsidR="00965FA2" w:rsidRPr="00A12207" w:rsidRDefault="00965FA2" w:rsidP="00965FA2">
      <w:pPr>
        <w:pStyle w:val="david0"/>
        <w:jc w:val="both"/>
        <w:rPr>
          <w:rtl/>
        </w:rPr>
      </w:pPr>
    </w:p>
    <w:p w14:paraId="72B75A07" w14:textId="77777777" w:rsidR="00965FA2" w:rsidRPr="00A12207" w:rsidRDefault="00965FA2" w:rsidP="00965FA2">
      <w:pPr>
        <w:pStyle w:val="david0"/>
        <w:spacing w:line="360" w:lineRule="auto"/>
        <w:jc w:val="both"/>
      </w:pPr>
      <w:r w:rsidRPr="00A12207">
        <w:rPr>
          <w:rFonts w:hint="cs"/>
          <w:rtl/>
        </w:rPr>
        <w:t xml:space="preserve">עוד אני סבור כי במקרה זה ונוכח מעשיו החמורים והמתוכננים מראש של הנאשם 1 ושותפיו, אשר לא חמל על המנוח, אדם שכלל לא הכיר, החליט ביחד עם שותפיו להמיתו ואף סייע בהוצאת התכנית אל הפועל, יש צורך להרתיע את הנאשם 1 מביצוע עבירות דומות ויש סיכוי של ממש  כי העונש המתאים יביא להרתעתו (לפי </w:t>
      </w:r>
      <w:hyperlink r:id="rId43" w:history="1">
        <w:r w:rsidR="00565A63" w:rsidRPr="00565A63">
          <w:rPr>
            <w:color w:val="0000FF"/>
            <w:u w:val="single"/>
            <w:rtl/>
          </w:rPr>
          <w:t>סעיף 40ו</w:t>
        </w:r>
      </w:hyperlink>
      <w:r w:rsidRPr="00A12207">
        <w:rPr>
          <w:rFonts w:hint="cs"/>
          <w:rtl/>
        </w:rPr>
        <w:t xml:space="preserve"> לחוק). </w:t>
      </w:r>
    </w:p>
    <w:p w14:paraId="7F05B0A8" w14:textId="77777777" w:rsidR="00965FA2" w:rsidRPr="00A12207" w:rsidRDefault="00965FA2" w:rsidP="00965FA2">
      <w:pPr>
        <w:pStyle w:val="david0"/>
        <w:jc w:val="both"/>
        <w:rPr>
          <w:rtl/>
        </w:rPr>
      </w:pPr>
    </w:p>
    <w:p w14:paraId="18570F73" w14:textId="77777777" w:rsidR="00965FA2" w:rsidRPr="00A12207" w:rsidRDefault="00965FA2" w:rsidP="00965FA2">
      <w:pPr>
        <w:pStyle w:val="david0"/>
        <w:spacing w:line="360" w:lineRule="auto"/>
        <w:jc w:val="both"/>
      </w:pPr>
      <w:r w:rsidRPr="00A12207">
        <w:rPr>
          <w:rFonts w:hint="cs"/>
          <w:rtl/>
        </w:rPr>
        <w:t>לשאלת פיצוי נפגעי העבירה אתייחס בהמשך במשותף לשני הנאשמים.</w:t>
      </w:r>
    </w:p>
    <w:p w14:paraId="5EF87057" w14:textId="77777777" w:rsidR="00965FA2" w:rsidRPr="00A12207" w:rsidRDefault="00965FA2" w:rsidP="00965FA2">
      <w:pPr>
        <w:pStyle w:val="david0"/>
        <w:spacing w:line="360" w:lineRule="auto"/>
        <w:jc w:val="both"/>
        <w:rPr>
          <w:rtl/>
        </w:rPr>
      </w:pPr>
    </w:p>
    <w:p w14:paraId="7BFA90F8" w14:textId="77777777" w:rsidR="00965FA2" w:rsidRPr="00993756" w:rsidRDefault="00965FA2" w:rsidP="00965FA2">
      <w:pPr>
        <w:pStyle w:val="david0"/>
        <w:spacing w:line="360" w:lineRule="auto"/>
        <w:jc w:val="both"/>
        <w:rPr>
          <w:rFonts w:ascii="Arial" w:hAnsi="Arial"/>
          <w:u w:val="single"/>
        </w:rPr>
      </w:pPr>
      <w:r w:rsidRPr="00993756">
        <w:rPr>
          <w:rFonts w:ascii="Arial" w:hAnsi="Arial" w:hint="cs"/>
          <w:u w:val="single"/>
          <w:rtl/>
        </w:rPr>
        <w:t>לעניין נאשם 2</w:t>
      </w:r>
    </w:p>
    <w:p w14:paraId="5698725A" w14:textId="77777777" w:rsidR="00965FA2" w:rsidRPr="00A12207" w:rsidRDefault="00965FA2" w:rsidP="00965FA2">
      <w:pPr>
        <w:pStyle w:val="david0"/>
        <w:spacing w:line="360" w:lineRule="auto"/>
        <w:jc w:val="both"/>
        <w:rPr>
          <w:u w:val="single"/>
          <w:rtl/>
        </w:rPr>
      </w:pPr>
      <w:r w:rsidRPr="00A12207">
        <w:rPr>
          <w:rFonts w:hint="cs"/>
          <w:u w:val="single"/>
          <w:rtl/>
        </w:rPr>
        <w:t>מתחם העונש ההולם לעבירות קשירת הקשר והנשק הנלוות והעונש המתאים</w:t>
      </w:r>
    </w:p>
    <w:p w14:paraId="3167D511" w14:textId="77777777" w:rsidR="00965FA2" w:rsidRPr="00A12207" w:rsidRDefault="00965FA2" w:rsidP="00965FA2">
      <w:pPr>
        <w:pStyle w:val="david0"/>
        <w:spacing w:line="360" w:lineRule="auto"/>
        <w:jc w:val="both"/>
        <w:rPr>
          <w:rtl/>
        </w:rPr>
      </w:pPr>
      <w:r w:rsidRPr="00A12207">
        <w:rPr>
          <w:rFonts w:hint="cs"/>
          <w:rtl/>
        </w:rPr>
        <w:t>נאשם 2 הורשע בביצוע שלוש עבירות: קשירת קשר לפשע, עבירות בנשק ורצח. אין מחלוקת בין הצדדים כי מדובר באירוע אחד. ב"כ המאשימה ביקשה לגזור על הנאשם עונש של מאסר עולם בגין עבירת הרצח וכן עונש נפרד בגין ביצוע העבירות הנלוות, אולם לפנים משורת הדין ביקשה כי העונשים שיגזרו יבוצעו בחופף. הסנגוריות הסכימו לעמדתה זאת של המאשימה אף שמלכתחילה לשיטתן לא היה מקום להטיל עונש נוסף בגין העבירות הנלוות.</w:t>
      </w:r>
    </w:p>
    <w:p w14:paraId="7765B601" w14:textId="77777777" w:rsidR="00965FA2" w:rsidRPr="00A12207" w:rsidRDefault="00965FA2" w:rsidP="00965FA2">
      <w:pPr>
        <w:pStyle w:val="david0"/>
        <w:spacing w:line="360" w:lineRule="auto"/>
        <w:jc w:val="both"/>
      </w:pPr>
    </w:p>
    <w:p w14:paraId="1404337C" w14:textId="77777777" w:rsidR="00965FA2" w:rsidRPr="00A12207" w:rsidRDefault="00965FA2" w:rsidP="00965FA2">
      <w:pPr>
        <w:pStyle w:val="david0"/>
        <w:spacing w:line="360" w:lineRule="auto"/>
        <w:jc w:val="both"/>
      </w:pPr>
      <w:r w:rsidRPr="00A12207">
        <w:rPr>
          <w:rFonts w:hint="cs"/>
          <w:rtl/>
        </w:rPr>
        <w:t>העובדה שמדובר באירוע אחד אינה מבליעה בתוכו את כל המעשים כאילו לא נעשו ובקביעת קצהו העליון של המתחם יש להתייחס לכך שמדובר ברצח בתוספת עבירות נלוות, האחת דינה עונש מאסר עולם חובה בתוספת הענישה שתיקבע לגבי העבירות הנלוות.    ב</w:t>
      </w:r>
      <w:hyperlink r:id="rId44" w:history="1">
        <w:r w:rsidR="00B079C6" w:rsidRPr="00B079C6">
          <w:rPr>
            <w:color w:val="0000FF"/>
            <w:u w:val="single"/>
            <w:rtl/>
          </w:rPr>
          <w:t>ע"פ 4910/13</w:t>
        </w:r>
      </w:hyperlink>
      <w:r w:rsidRPr="00A12207">
        <w:rPr>
          <w:rFonts w:hint="cs"/>
          <w:rtl/>
        </w:rPr>
        <w:t xml:space="preserve"> </w:t>
      </w:r>
      <w:r w:rsidRPr="00A12207">
        <w:rPr>
          <w:rFonts w:hint="cs"/>
          <w:b/>
          <w:bCs/>
          <w:rtl/>
        </w:rPr>
        <w:t>ג'אבר נ' מדינת ישראל</w:t>
      </w:r>
      <w:r w:rsidRPr="00A12207">
        <w:rPr>
          <w:rFonts w:hint="cs"/>
          <w:rtl/>
        </w:rPr>
        <w:t xml:space="preserve"> </w:t>
      </w:r>
      <w:r w:rsidR="0019648F" w:rsidRPr="0019648F">
        <w:rPr>
          <w:rFonts w:cs="David"/>
          <w:sz w:val="22"/>
          <w:rtl/>
        </w:rPr>
        <w:t xml:space="preserve">[פורסם בנבו] </w:t>
      </w:r>
      <w:r w:rsidRPr="00A12207">
        <w:rPr>
          <w:rFonts w:hint="cs"/>
          <w:rtl/>
        </w:rPr>
        <w:t>(29.10.2014) נקבע כי  "העונש המקסימאלי האפשרי שניתן להטיל בגין האירוע כולו הוא העונש שמתקבל מצבירת עונשי המקסימום בגין כל אחד מ"המעשים" הכלולים ב"אירוע"".</w:t>
      </w:r>
    </w:p>
    <w:p w14:paraId="0037DDEA" w14:textId="77777777" w:rsidR="00965FA2" w:rsidRPr="00A12207" w:rsidRDefault="00965FA2" w:rsidP="00965FA2">
      <w:pPr>
        <w:pStyle w:val="david0"/>
        <w:spacing w:line="360" w:lineRule="auto"/>
        <w:jc w:val="both"/>
        <w:rPr>
          <w:rFonts w:ascii="Arial" w:hAnsi="Arial"/>
          <w:sz w:val="24"/>
          <w:rtl/>
        </w:rPr>
      </w:pPr>
      <w:r w:rsidRPr="00A12207">
        <w:rPr>
          <w:rFonts w:ascii="Arial" w:hAnsi="Arial" w:hint="cs"/>
          <w:sz w:val="24"/>
          <w:rtl/>
        </w:rPr>
        <w:t xml:space="preserve">ולעניין אופן קביעת המתחם ראו </w:t>
      </w:r>
      <w:hyperlink r:id="rId45" w:history="1">
        <w:r w:rsidR="00B079C6" w:rsidRPr="00B079C6">
          <w:rPr>
            <w:rFonts w:ascii="Arial" w:hAnsi="Arial"/>
            <w:color w:val="0000FF"/>
            <w:sz w:val="24"/>
            <w:u w:val="single"/>
            <w:rtl/>
          </w:rPr>
          <w:t>ע"פ 1127/13</w:t>
        </w:r>
      </w:hyperlink>
      <w:r w:rsidRPr="00A12207">
        <w:rPr>
          <w:rFonts w:ascii="Arial" w:hAnsi="Arial" w:hint="cs"/>
          <w:sz w:val="24"/>
          <w:rtl/>
        </w:rPr>
        <w:t xml:space="preserve"> </w:t>
      </w:r>
      <w:r w:rsidRPr="00A12207">
        <w:rPr>
          <w:rFonts w:ascii="Arial" w:hAnsi="Arial" w:hint="cs"/>
          <w:b/>
          <w:bCs/>
          <w:sz w:val="24"/>
          <w:rtl/>
        </w:rPr>
        <w:t>גברזגיי נגד מדינת ישראל</w:t>
      </w:r>
      <w:r w:rsidRPr="00A12207">
        <w:rPr>
          <w:rFonts w:ascii="Arial" w:hAnsi="Arial" w:hint="cs"/>
          <w:sz w:val="24"/>
          <w:rtl/>
        </w:rPr>
        <w:t xml:space="preserve"> </w:t>
      </w:r>
      <w:r w:rsidR="0019648F" w:rsidRPr="0019648F">
        <w:rPr>
          <w:rFonts w:cs="David"/>
          <w:sz w:val="22"/>
          <w:rtl/>
        </w:rPr>
        <w:t xml:space="preserve">[פורסם בנבו] </w:t>
      </w:r>
      <w:r w:rsidRPr="00A12207">
        <w:rPr>
          <w:rFonts w:ascii="Arial" w:hAnsi="Arial" w:hint="cs"/>
          <w:sz w:val="24"/>
          <w:rtl/>
        </w:rPr>
        <w:t>(15.1.2014) בו נקבע:</w:t>
      </w:r>
    </w:p>
    <w:p w14:paraId="7A490085" w14:textId="77777777" w:rsidR="00965FA2" w:rsidRPr="00A12207" w:rsidRDefault="00965FA2" w:rsidP="00965FA2">
      <w:pPr>
        <w:pStyle w:val="david0"/>
        <w:spacing w:line="360" w:lineRule="auto"/>
        <w:jc w:val="both"/>
        <w:rPr>
          <w:rtl/>
        </w:rPr>
      </w:pPr>
      <w:r w:rsidRPr="00A12207">
        <w:rPr>
          <w:rFonts w:hint="cs"/>
          <w:rtl/>
        </w:rPr>
        <w:t>"אחת השאלות המרכזיות בהקשר זה, היא כיצד יש לקבוע את מתחם הענישה כאשר לפני בית המשפט מספר עבירות המהוות אירוע אחד. לטעמי, גם בעניין זה, הכלל המנחה הוא שמירת ההלימה בין חומרת המעשה וגובה העונש, זאת בהתחשבות בערך החברתי שמגלות כל העבירות יחדיו; מדיניות הענישה הנוהגת של כל אחת מן העבירות ולבסוף גם הנסיבות של כל העבירות. ייתכן ובמקרה אחד, עבירה אחת תהיה הדומיננטית, והעבירות האחרות יהיו קשורות באותה העבירה. במקרה מסוג כזה, ייתכן ויהיה ראוי לומר כי מתחם הענישה ההולם את העבירות, מבוסס בעיקרו על העבירה הדומיננטית. אך כאמור, אין תשובה אחת ויחידה לעניין זה, וכל מקרה ידרוש הנמקה יסודית (וראו סעיף 40יד(1))".</w:t>
      </w:r>
    </w:p>
    <w:p w14:paraId="5DA5D618" w14:textId="77777777" w:rsidR="00965FA2" w:rsidRPr="00A12207" w:rsidRDefault="00965FA2" w:rsidP="00965FA2">
      <w:pPr>
        <w:pStyle w:val="david0"/>
        <w:jc w:val="both"/>
        <w:rPr>
          <w:rtl/>
        </w:rPr>
      </w:pPr>
    </w:p>
    <w:p w14:paraId="3E132E9C" w14:textId="77777777" w:rsidR="00965FA2" w:rsidRPr="00A12207" w:rsidRDefault="00965FA2" w:rsidP="0019648F">
      <w:pPr>
        <w:pStyle w:val="david0"/>
        <w:spacing w:line="360" w:lineRule="auto"/>
        <w:jc w:val="both"/>
        <w:rPr>
          <w:rtl/>
        </w:rPr>
      </w:pPr>
      <w:r w:rsidRPr="00A12207">
        <w:rPr>
          <w:rFonts w:hint="cs"/>
          <w:rtl/>
        </w:rPr>
        <w:t>במקרה שבפנינו, יורי, שותפם של הנאשמים כאן, הורשע  בפני הרכב אחר של בית משפט זה בגין אותן עבירות שהורשע בהן נאשם 2 כאן (</w:t>
      </w:r>
      <w:hyperlink r:id="rId46" w:history="1">
        <w:r w:rsidR="00B079C6" w:rsidRPr="00B079C6">
          <w:rPr>
            <w:color w:val="0000FF"/>
            <w:u w:val="single"/>
            <w:rtl/>
          </w:rPr>
          <w:t>תפ"ח 793-07-14</w:t>
        </w:r>
      </w:hyperlink>
      <w:r w:rsidRPr="00A12207">
        <w:rPr>
          <w:rFonts w:hint="cs"/>
          <w:rtl/>
        </w:rPr>
        <w:t>)</w:t>
      </w:r>
      <w:r w:rsidR="0019648F">
        <w:rPr>
          <w:rFonts w:hint="cs"/>
          <w:rtl/>
        </w:rPr>
        <w:t xml:space="preserve"> </w:t>
      </w:r>
      <w:r w:rsidR="0019648F" w:rsidRPr="0019648F">
        <w:rPr>
          <w:rFonts w:cs="David"/>
          <w:sz w:val="22"/>
          <w:rtl/>
        </w:rPr>
        <w:t>[פורסם בנבו]</w:t>
      </w:r>
      <w:r w:rsidRPr="00A12207">
        <w:rPr>
          <w:rFonts w:hint="cs"/>
          <w:rtl/>
        </w:rPr>
        <w:t xml:space="preserve">. עקרון אחידות הענישה שהוא נגזרת חשובה של עיקרון השוויון לפני החוק – מורה כי ככלל, יש להשית עונשים דומים על מי שהורשעו במסגרת פרשה אחת בביצוע עבירות דומות ובנסיבות דומות. </w:t>
      </w:r>
    </w:p>
    <w:p w14:paraId="00EFF2FD" w14:textId="77777777" w:rsidR="00965FA2" w:rsidRPr="00A12207" w:rsidRDefault="00965FA2" w:rsidP="00965FA2">
      <w:pPr>
        <w:pStyle w:val="david0"/>
        <w:spacing w:line="360" w:lineRule="auto"/>
        <w:jc w:val="both"/>
      </w:pPr>
      <w:r w:rsidRPr="00A12207">
        <w:rPr>
          <w:rFonts w:hint="cs"/>
          <w:rtl/>
        </w:rPr>
        <w:t>ב</w:t>
      </w:r>
      <w:hyperlink r:id="rId47" w:history="1">
        <w:r w:rsidR="00B079C6" w:rsidRPr="00B079C6">
          <w:rPr>
            <w:color w:val="0000FF"/>
            <w:u w:val="single"/>
            <w:rtl/>
          </w:rPr>
          <w:t>ע"פ 8204/14</w:t>
        </w:r>
      </w:hyperlink>
      <w:r w:rsidRPr="00A12207">
        <w:rPr>
          <w:rFonts w:hint="cs"/>
          <w:rtl/>
        </w:rPr>
        <w:t xml:space="preserve"> </w:t>
      </w:r>
      <w:r w:rsidRPr="00A12207">
        <w:rPr>
          <w:rFonts w:hint="cs"/>
          <w:b/>
          <w:bCs/>
          <w:rtl/>
        </w:rPr>
        <w:t>זלום נ' מדינת ישראל</w:t>
      </w:r>
      <w:r w:rsidRPr="00A12207">
        <w:rPr>
          <w:rFonts w:hint="cs"/>
          <w:rtl/>
        </w:rPr>
        <w:t xml:space="preserve"> </w:t>
      </w:r>
      <w:r w:rsidR="0019648F" w:rsidRPr="0019648F">
        <w:rPr>
          <w:rFonts w:cs="David"/>
          <w:sz w:val="22"/>
          <w:rtl/>
        </w:rPr>
        <w:t xml:space="preserve">[פורסם בנבו] </w:t>
      </w:r>
      <w:r w:rsidRPr="00A12207">
        <w:rPr>
          <w:rFonts w:hint="cs"/>
          <w:rtl/>
        </w:rPr>
        <w:t xml:space="preserve">(15.4.2015) נקבע: </w:t>
      </w:r>
    </w:p>
    <w:p w14:paraId="10497EFF" w14:textId="77777777" w:rsidR="00965FA2" w:rsidRPr="00A12207" w:rsidRDefault="00965FA2" w:rsidP="00965FA2">
      <w:pPr>
        <w:pStyle w:val="david0"/>
        <w:spacing w:line="360" w:lineRule="auto"/>
        <w:jc w:val="both"/>
        <w:rPr>
          <w:rtl/>
        </w:rPr>
      </w:pPr>
      <w:r w:rsidRPr="00A12207">
        <w:rPr>
          <w:rFonts w:hint="cs"/>
          <w:rtl/>
        </w:rPr>
        <w:t>"עקרון אחידות הענישה מנחה את בית המשפט לגזור עונשים דומים על נאשמים שהורשעו בביצוע אותן עבירות, בנסיבות דומות... כאשר עסקינן בנאשמים שהורשעו  באותה פרשה, על בית המשפט ליתן את הדעת ליַחס בין חלקם של הנאשמים באירוע הפלילי, ובהתאם לכך לגזור את עונשו של כל אחד מהם".</w:t>
      </w:r>
    </w:p>
    <w:p w14:paraId="6E99C11F" w14:textId="77777777" w:rsidR="00965FA2" w:rsidRPr="00A12207" w:rsidRDefault="00965FA2" w:rsidP="00965FA2">
      <w:pPr>
        <w:pStyle w:val="david0"/>
        <w:spacing w:line="360" w:lineRule="auto"/>
        <w:jc w:val="both"/>
        <w:rPr>
          <w:rtl/>
        </w:rPr>
      </w:pPr>
      <w:r w:rsidRPr="00A12207">
        <w:rPr>
          <w:rFonts w:hint="cs"/>
          <w:rtl/>
        </w:rPr>
        <w:t>בית המשפט בהרכב המקביל ניתח את הנסיבות  הקשורות בביצוע העבירות-שהן אותן נסיבות ואת מדיניות הענישה בעבירות הנשק וקשירת קשר לפשע וקבע כי בגין עבירות אלו מתחם העונש ההולם נע בין 2 ל-4 שנים ולאחר שקילת הנסיבות כולן השית עליו עונש של 3 שנות מאסר.</w:t>
      </w:r>
    </w:p>
    <w:p w14:paraId="1B92A85B" w14:textId="77777777" w:rsidR="00965FA2" w:rsidRPr="00A12207" w:rsidRDefault="00965FA2" w:rsidP="00965FA2">
      <w:pPr>
        <w:pStyle w:val="david0"/>
        <w:spacing w:line="360" w:lineRule="auto"/>
        <w:jc w:val="both"/>
        <w:rPr>
          <w:rtl/>
        </w:rPr>
      </w:pPr>
      <w:r w:rsidRPr="00A12207">
        <w:rPr>
          <w:rFonts w:hint="cs"/>
          <w:rtl/>
        </w:rPr>
        <w:t xml:space="preserve">משיקולי אחידות הענישה אמליץ לחבריי לקבוע גם במקרה שלנו מתחם עונש הולם ועונש מתאים זהים,  ולכן גם על נאשם 2 נטיל עונש של 3 שנות מאסר בפועל, בדיוק כפי שנגזר על יורי ביום 12.9.2016 בו ישא בחופף לעונש המאסר עולם בהתאם לעמדת המאשימה. </w:t>
      </w:r>
    </w:p>
    <w:p w14:paraId="64515E15" w14:textId="77777777" w:rsidR="00965FA2" w:rsidRPr="00A12207" w:rsidRDefault="00965FA2" w:rsidP="00965FA2">
      <w:pPr>
        <w:pStyle w:val="david0"/>
        <w:jc w:val="both"/>
        <w:rPr>
          <w:rtl/>
        </w:rPr>
      </w:pPr>
    </w:p>
    <w:p w14:paraId="20934038" w14:textId="77777777" w:rsidR="00965FA2" w:rsidRPr="00A12207" w:rsidRDefault="00965FA2" w:rsidP="00965FA2">
      <w:pPr>
        <w:pStyle w:val="david0"/>
        <w:spacing w:line="360" w:lineRule="auto"/>
        <w:jc w:val="both"/>
        <w:rPr>
          <w:u w:val="single"/>
          <w:rtl/>
        </w:rPr>
      </w:pPr>
      <w:r w:rsidRPr="00A12207">
        <w:rPr>
          <w:rFonts w:hint="cs"/>
          <w:u w:val="single"/>
          <w:rtl/>
        </w:rPr>
        <w:t xml:space="preserve">פיצוי לנפגעי העבירה </w:t>
      </w:r>
    </w:p>
    <w:p w14:paraId="4C137019" w14:textId="77777777" w:rsidR="00965FA2" w:rsidRPr="00A12207" w:rsidRDefault="00965FA2" w:rsidP="00965FA2">
      <w:pPr>
        <w:pStyle w:val="david0"/>
        <w:spacing w:line="360" w:lineRule="auto"/>
        <w:jc w:val="both"/>
        <w:rPr>
          <w:rtl/>
        </w:rPr>
      </w:pPr>
      <w:r w:rsidRPr="00A12207">
        <w:rPr>
          <w:rFonts w:hint="cs"/>
          <w:rtl/>
        </w:rPr>
        <w:t xml:space="preserve">נחשפה בפנינו באמצעות תצהירי נפגעי העבירות וטיעוני המאשימה הפגיעה הקשה שנפגעו אלמנתו ובנו של המנוח שלעולם לא יחזור עולמם להיות כפי שהיה ואזכיר כי בתי המשפט הכירו בזכותם של נפגעי עבירה "לקבלת פיצוי על הנזקים השונים - הרכושיים, הגופניים והנפשיים - שנגרמו להם", ראו  </w:t>
      </w:r>
      <w:hyperlink r:id="rId48" w:history="1">
        <w:r w:rsidR="00B079C6" w:rsidRPr="00B079C6">
          <w:rPr>
            <w:color w:val="0000FF"/>
            <w:u w:val="single"/>
            <w:rtl/>
          </w:rPr>
          <w:t>ע"פ 7033/04</w:t>
        </w:r>
      </w:hyperlink>
      <w:r w:rsidRPr="00A12207">
        <w:rPr>
          <w:rFonts w:hint="cs"/>
          <w:rtl/>
        </w:rPr>
        <w:t xml:space="preserve"> </w:t>
      </w:r>
      <w:r w:rsidRPr="00A12207">
        <w:rPr>
          <w:rFonts w:hint="cs"/>
          <w:b/>
          <w:bCs/>
          <w:rtl/>
        </w:rPr>
        <w:t>יאיר נ' מדינת ישראל</w:t>
      </w:r>
      <w:r w:rsidRPr="00A12207">
        <w:rPr>
          <w:rFonts w:hint="cs"/>
          <w:rtl/>
        </w:rPr>
        <w:t xml:space="preserve"> </w:t>
      </w:r>
      <w:r w:rsidR="0019648F" w:rsidRPr="0019648F">
        <w:rPr>
          <w:rFonts w:cs="David"/>
          <w:sz w:val="22"/>
          <w:rtl/>
        </w:rPr>
        <w:t xml:space="preserve">[פורסם בנבו] </w:t>
      </w:r>
      <w:r w:rsidRPr="00A12207">
        <w:rPr>
          <w:rFonts w:hint="cs"/>
          <w:rtl/>
        </w:rPr>
        <w:t>(11.9.2006) בו נקבעה גם זכותם של ילדי מנוחה לקבל "פצוי בגין הסבל כגון הסבל הרב שנפסק להם".</w:t>
      </w:r>
    </w:p>
    <w:p w14:paraId="20C03B10" w14:textId="77777777" w:rsidR="00965FA2" w:rsidRPr="00A12207" w:rsidRDefault="00965FA2" w:rsidP="00965FA2">
      <w:pPr>
        <w:pStyle w:val="david0"/>
        <w:jc w:val="both"/>
        <w:rPr>
          <w:rtl/>
        </w:rPr>
      </w:pPr>
    </w:p>
    <w:p w14:paraId="09A68F56" w14:textId="77777777" w:rsidR="00965FA2" w:rsidRDefault="00965FA2" w:rsidP="00965FA2">
      <w:pPr>
        <w:pStyle w:val="david0"/>
        <w:spacing w:line="360" w:lineRule="auto"/>
        <w:jc w:val="both"/>
        <w:rPr>
          <w:rtl/>
        </w:rPr>
      </w:pPr>
      <w:r w:rsidRPr="00A12207">
        <w:rPr>
          <w:rFonts w:hint="cs"/>
          <w:rtl/>
        </w:rPr>
        <w:t xml:space="preserve">האלמנה ובנו של המנוח זכאים לפיצוי גבוה משמעותית מגובה הפיצוי המקסימלי הקבוע  בחוק ובמסגרת ההליך שלפנינו ידינו כבולות לפסיקת פיצוי בגדר הסכום הנ"ל, אך כמובן שאין בכך כדי למנוע מהם לתבוע פיצוי על מלוא נזקיהם בהליך מתאים אחר. והלכה ידועה היא כי הפיצוי הנפסק </w:t>
      </w:r>
      <w:r w:rsidRPr="00084309">
        <w:rPr>
          <w:rFonts w:hint="cs"/>
          <w:rtl/>
        </w:rPr>
        <w:t xml:space="preserve">בגדרו של </w:t>
      </w:r>
      <w:hyperlink r:id="rId49" w:history="1">
        <w:r w:rsidR="00565A63" w:rsidRPr="00565A63">
          <w:rPr>
            <w:rStyle w:val="Hyperlink"/>
            <w:rFonts w:hint="eastAsia"/>
            <w:rtl/>
          </w:rPr>
          <w:t>סעיף</w:t>
        </w:r>
        <w:r w:rsidR="00565A63" w:rsidRPr="00565A63">
          <w:rPr>
            <w:rStyle w:val="Hyperlink"/>
            <w:rtl/>
          </w:rPr>
          <w:t xml:space="preserve"> 77</w:t>
        </w:r>
      </w:hyperlink>
      <w:r w:rsidRPr="00084309">
        <w:rPr>
          <w:rFonts w:hint="cs"/>
          <w:rtl/>
        </w:rPr>
        <w:t xml:space="preserve"> ל</w:t>
      </w:r>
      <w:hyperlink r:id="rId50" w:history="1">
        <w:r w:rsidR="00B079C6" w:rsidRPr="00B079C6">
          <w:rPr>
            <w:color w:val="0000FF"/>
            <w:u w:val="single"/>
            <w:rtl/>
          </w:rPr>
          <w:t>חוק העונשין</w:t>
        </w:r>
      </w:hyperlink>
      <w:r w:rsidRPr="00084309">
        <w:rPr>
          <w:rFonts w:hint="cs"/>
          <w:rtl/>
        </w:rPr>
        <w:t xml:space="preserve"> לא נועד להוות תחליף מלא לפסיקת פיצויים המבוססת על הוכחת </w:t>
      </w:r>
      <w:r w:rsidRPr="00A12207">
        <w:rPr>
          <w:rFonts w:hint="cs"/>
          <w:rtl/>
        </w:rPr>
        <w:t>שיעור הנזק. פיצוי זה נועד, בראש ובראשונה, להעניק תרופה ראשונית ומיידית לנפגע.</w:t>
      </w:r>
    </w:p>
    <w:p w14:paraId="55D58466" w14:textId="77777777" w:rsidR="00965FA2" w:rsidRDefault="00965FA2" w:rsidP="00965FA2">
      <w:pPr>
        <w:pStyle w:val="david0"/>
        <w:spacing w:line="360" w:lineRule="auto"/>
        <w:jc w:val="both"/>
        <w:rPr>
          <w:rtl/>
        </w:rPr>
      </w:pPr>
    </w:p>
    <w:p w14:paraId="7B4512B2" w14:textId="77777777" w:rsidR="00965FA2" w:rsidRDefault="00965FA2" w:rsidP="00965FA2">
      <w:pPr>
        <w:pStyle w:val="david0"/>
        <w:spacing w:line="360" w:lineRule="auto"/>
        <w:jc w:val="both"/>
        <w:rPr>
          <w:rtl/>
        </w:rPr>
      </w:pPr>
      <w:r w:rsidRPr="00F52AD0">
        <w:rPr>
          <w:rtl/>
        </w:rPr>
        <w:t>לכאורה ניתן היה לחשוב כי בשל חלקו של נאשם 1- סיוע לרצח ביחס לחלקו של נאשם 2 שהורשע ברצח, הרי שגובה הפיצוי שהוא אמור להיות מוטל עליו צריך להיות נמוך יותר. הסנגור לא העלה טענה זו ובצדק מאחר ולדעתי לאור גובה הנזק מצד אחד והתקרה המקסימלית הקבועה בחוק מצד שני, יש לטעמי להטיל על שניהם במסגרת זו את אותו גובה פיצוי.</w:t>
      </w:r>
    </w:p>
    <w:p w14:paraId="23EB281C" w14:textId="77777777" w:rsidR="00965FA2" w:rsidRPr="00A12207" w:rsidRDefault="00965FA2" w:rsidP="00965FA2">
      <w:pPr>
        <w:pStyle w:val="david0"/>
        <w:jc w:val="both"/>
        <w:rPr>
          <w:rtl/>
        </w:rPr>
      </w:pPr>
    </w:p>
    <w:p w14:paraId="0F6E6DF3" w14:textId="77777777" w:rsidR="00965FA2" w:rsidRPr="00A12207" w:rsidRDefault="00965FA2" w:rsidP="00965FA2">
      <w:pPr>
        <w:pStyle w:val="david0"/>
        <w:spacing w:line="360" w:lineRule="auto"/>
        <w:jc w:val="both"/>
        <w:rPr>
          <w:sz w:val="24"/>
          <w:rtl/>
        </w:rPr>
      </w:pPr>
      <w:r w:rsidRPr="00A12207">
        <w:rPr>
          <w:rFonts w:hint="cs"/>
          <w:sz w:val="24"/>
          <w:rtl/>
        </w:rPr>
        <w:t xml:space="preserve">הפיצוי כולל היבטיים אזרחיים ועונשיים, לו היה עומד לפנינו בעת גזירת הדין רק נאשם 1 שסייע לרצח של המנוח, הייתי סבור כי גובה הפיצוי בו עליו לשאת כלפי שני נפגעי העבירה, אלמנתו ובנו של המנוח הוא גבוה בצורה משמעותית מהסכום המקסימלי הקבוע בחוק 258,000 ש"ח ולכן למרות שנאשם 1 הורשע בסיוע לרצח המנוח ונאשם 2 ברצח איני סבור כי יש לאבחן ביניהם באשר לגובה הפיצוי שיוטל על כל אחד מהם. </w:t>
      </w:r>
    </w:p>
    <w:p w14:paraId="1A7CCA76" w14:textId="77777777" w:rsidR="00965FA2" w:rsidRPr="00A12207" w:rsidRDefault="00965FA2" w:rsidP="00965FA2">
      <w:pPr>
        <w:pStyle w:val="david0"/>
        <w:jc w:val="both"/>
        <w:rPr>
          <w:sz w:val="24"/>
          <w:rtl/>
        </w:rPr>
      </w:pPr>
    </w:p>
    <w:p w14:paraId="406FD9C6" w14:textId="77777777" w:rsidR="00965FA2" w:rsidRPr="00993756" w:rsidRDefault="00965FA2" w:rsidP="00965FA2">
      <w:pPr>
        <w:pStyle w:val="david0"/>
        <w:spacing w:line="360" w:lineRule="auto"/>
        <w:jc w:val="both"/>
        <w:rPr>
          <w:spacing w:val="10"/>
          <w:sz w:val="24"/>
          <w:rtl/>
        </w:rPr>
      </w:pPr>
      <w:r w:rsidRPr="00A12207">
        <w:rPr>
          <w:rFonts w:hint="cs"/>
          <w:sz w:val="24"/>
          <w:rtl/>
        </w:rPr>
        <w:t xml:space="preserve">לעניין אמות המידה בעת קביעת גובה הפיצוי אפנה לפסק דינה של כב' השופטת דפנה ברק ארז בפסק הדין המנחה שניתן בע"פ </w:t>
      </w:r>
      <w:hyperlink r:id="rId51" w:history="1">
        <w:r w:rsidR="00B079C6" w:rsidRPr="00B079C6">
          <w:rPr>
            <w:color w:val="0000FF"/>
            <w:spacing w:val="10"/>
            <w:sz w:val="24"/>
            <w:u w:val="single"/>
            <w:rtl/>
          </w:rPr>
          <w:t>ע"פ 1076/15</w:t>
        </w:r>
      </w:hyperlink>
      <w:r w:rsidRPr="00993756">
        <w:rPr>
          <w:rFonts w:hint="cs"/>
          <w:spacing w:val="10"/>
          <w:sz w:val="24"/>
          <w:rtl/>
        </w:rPr>
        <w:t xml:space="preserve"> </w:t>
      </w:r>
      <w:r w:rsidRPr="00993756">
        <w:rPr>
          <w:rFonts w:hint="cs"/>
          <w:b/>
          <w:bCs/>
          <w:spacing w:val="10"/>
          <w:sz w:val="24"/>
          <w:rtl/>
        </w:rPr>
        <w:t>טווק נגד מדינת ישראל</w:t>
      </w:r>
      <w:r w:rsidRPr="00993756">
        <w:rPr>
          <w:rFonts w:hint="cs"/>
          <w:spacing w:val="10"/>
          <w:sz w:val="24"/>
          <w:rtl/>
        </w:rPr>
        <w:t xml:space="preserve"> </w:t>
      </w:r>
      <w:r w:rsidR="0019648F" w:rsidRPr="0019648F">
        <w:rPr>
          <w:rFonts w:cs="David"/>
          <w:sz w:val="22"/>
          <w:rtl/>
        </w:rPr>
        <w:t xml:space="preserve">[פורסם בנבו] </w:t>
      </w:r>
      <w:r w:rsidRPr="00993756">
        <w:rPr>
          <w:rFonts w:hint="cs"/>
          <w:spacing w:val="10"/>
          <w:sz w:val="24"/>
          <w:rtl/>
        </w:rPr>
        <w:t>(7.6.2016):</w:t>
      </w:r>
    </w:p>
    <w:p w14:paraId="1E0250A8" w14:textId="77777777" w:rsidR="00965FA2" w:rsidRPr="00993756" w:rsidRDefault="00965FA2" w:rsidP="00965FA2">
      <w:pPr>
        <w:pStyle w:val="david0"/>
        <w:spacing w:line="360" w:lineRule="auto"/>
        <w:jc w:val="both"/>
        <w:rPr>
          <w:spacing w:val="10"/>
          <w:sz w:val="24"/>
          <w:rtl/>
        </w:rPr>
      </w:pPr>
      <w:r w:rsidRPr="00A12207">
        <w:rPr>
          <w:rFonts w:hint="cs"/>
          <w:sz w:val="24"/>
          <w:rtl/>
        </w:rPr>
        <w:t xml:space="preserve">"בבואו לפסוק פיצוי במסגרת </w:t>
      </w:r>
      <w:hyperlink r:id="rId52" w:history="1">
        <w:r w:rsidR="00565A63" w:rsidRPr="00565A63">
          <w:rPr>
            <w:rStyle w:val="Hyperlink"/>
            <w:rFonts w:hint="eastAsia"/>
            <w:sz w:val="24"/>
            <w:rtl/>
          </w:rPr>
          <w:t>סעיף</w:t>
        </w:r>
        <w:r w:rsidR="00565A63" w:rsidRPr="00565A63">
          <w:rPr>
            <w:rStyle w:val="Hyperlink"/>
            <w:sz w:val="24"/>
            <w:rtl/>
          </w:rPr>
          <w:t xml:space="preserve"> 77</w:t>
        </w:r>
      </w:hyperlink>
      <w:r w:rsidRPr="00A12207">
        <w:rPr>
          <w:rFonts w:hint="cs"/>
          <w:sz w:val="24"/>
          <w:rtl/>
        </w:rPr>
        <w:t xml:space="preserve"> ל</w:t>
      </w:r>
      <w:hyperlink r:id="rId53" w:history="1">
        <w:r w:rsidR="00B079C6" w:rsidRPr="00B079C6">
          <w:rPr>
            <w:color w:val="0000FF"/>
            <w:sz w:val="24"/>
            <w:u w:val="single"/>
            <w:rtl/>
          </w:rPr>
          <w:t>חוק העונשין</w:t>
        </w:r>
      </w:hyperlink>
      <w:r w:rsidRPr="00A12207">
        <w:rPr>
          <w:rFonts w:hint="cs"/>
          <w:sz w:val="24"/>
          <w:rtl/>
        </w:rPr>
        <w:t xml:space="preserve"> בית המשפט אינו נדרש להוכחה מדויקת של שיעור הנזק שנגרם לנפגע העבירה. בית המשפט אמנם יכול ללמוד על מצבו של הנפגע מתסקיר נפגע העבירה המוגש לפי סעיף 187(ב) ל</w:t>
      </w:r>
      <w:hyperlink r:id="rId54" w:history="1">
        <w:r w:rsidR="00B079C6" w:rsidRPr="00B079C6">
          <w:rPr>
            <w:color w:val="0000FF"/>
            <w:sz w:val="24"/>
            <w:u w:val="single"/>
            <w:rtl/>
          </w:rPr>
          <w:t>חוק סדר הדין הפלילי</w:t>
        </w:r>
      </w:hyperlink>
      <w:r w:rsidRPr="00A12207">
        <w:rPr>
          <w:rFonts w:hint="cs"/>
          <w:sz w:val="24"/>
          <w:rtl/>
        </w:rPr>
        <w:t xml:space="preserve"> [נוסח חדש], התשמ"ב-1982 או מעדויות אחרות שנשמעות בשלב של טיעונים לעונש, אך גם כך פסיקת הפיצוי נעשית בדרך של אומד</w:t>
      </w:r>
      <w:r w:rsidRPr="00993756">
        <w:rPr>
          <w:rFonts w:hint="cs"/>
          <w:spacing w:val="10"/>
          <w:sz w:val="24"/>
          <w:rtl/>
        </w:rPr>
        <w:t>ן...</w:t>
      </w:r>
      <w:r w:rsidRPr="00A12207">
        <w:rPr>
          <w:rFonts w:hint="cs"/>
          <w:sz w:val="24"/>
          <w:rtl/>
        </w:rPr>
        <w:t xml:space="preserve"> ההליך הפלילי אינו הופך להיות הליך אזרחי לכל דבר ועניין, ולכן פסיקת הפיצויים נעשית, כפי שהוסבר, תוך ריכוך של חלק מן התנאים והמגבלות החלים בדין האזרחי. בזיקה לנושא שבפנינו, למשל, בית המשפט פסק פיצויים בגין נזק נפשי לא-ממוני לנפגעי עבירה שהם קרובים של הניזוק הישיר מבלי לבחון האם עמדו בדרישותיה של הלכת אלסוחה והפסיקה שבאה בעקבותיה".</w:t>
      </w:r>
    </w:p>
    <w:p w14:paraId="59DCFAB2" w14:textId="77777777" w:rsidR="00965FA2" w:rsidRPr="00A12207" w:rsidRDefault="00965FA2" w:rsidP="00965FA2">
      <w:pPr>
        <w:pStyle w:val="david0"/>
        <w:jc w:val="both"/>
        <w:rPr>
          <w:rtl/>
        </w:rPr>
      </w:pPr>
    </w:p>
    <w:p w14:paraId="0D8A6B50" w14:textId="77777777" w:rsidR="00965FA2" w:rsidRPr="00A12207" w:rsidRDefault="00965FA2" w:rsidP="00965FA2">
      <w:pPr>
        <w:pStyle w:val="david0"/>
        <w:spacing w:line="360" w:lineRule="auto"/>
        <w:jc w:val="both"/>
        <w:rPr>
          <w:rtl/>
        </w:rPr>
      </w:pPr>
      <w:r w:rsidRPr="00A12207">
        <w:rPr>
          <w:rFonts w:hint="cs"/>
          <w:rtl/>
        </w:rPr>
        <w:t>לאור עקרון אחידות הענישה אמליץ לחבריי להעמיד את גובה הפיצוי בהתאם לסכום שנפסק בעניינו של יורי שהיה שותף לאותה פרשה-200,000 ש"ח, מעשיו של יורי זהים למעשיו של נאשם 2 והנזק שגרמו יורי ושני הנאשמים ביחד הוא אותו נזק.</w:t>
      </w:r>
    </w:p>
    <w:p w14:paraId="12439E14" w14:textId="77777777" w:rsidR="00965FA2" w:rsidRPr="00A12207" w:rsidRDefault="00965FA2" w:rsidP="00965FA2">
      <w:pPr>
        <w:pStyle w:val="david0"/>
        <w:jc w:val="both"/>
        <w:rPr>
          <w:rtl/>
        </w:rPr>
      </w:pPr>
    </w:p>
    <w:p w14:paraId="471419B7" w14:textId="77777777" w:rsidR="00965FA2" w:rsidRPr="00A12207" w:rsidRDefault="00965FA2" w:rsidP="00965FA2">
      <w:pPr>
        <w:pStyle w:val="david0"/>
        <w:spacing w:line="360" w:lineRule="auto"/>
        <w:jc w:val="both"/>
      </w:pPr>
      <w:r w:rsidRPr="00A12207">
        <w:rPr>
          <w:rFonts w:hint="cs"/>
          <w:rtl/>
        </w:rPr>
        <w:t xml:space="preserve">לטענת הסנגורים שני הנאשמים נעדרי יכולות כלכלית ממשית, אולם הלכה היא כי יכולותיו הכלכליות של הנאשם אינן מהוות שיקול בקביעת שיעור הפיצוי לטובת משפחת המנוח, בדיוק כפי שנעשה בעת קביעת פיצוי נזיקי בהליך אזרחי, ועל כן אין לקחת רכיב זה בחשבון בעת קביעת גובה הפיצוי (ראו לעניין זה: </w:t>
      </w:r>
      <w:hyperlink r:id="rId55" w:history="1">
        <w:r w:rsidR="00B079C6" w:rsidRPr="00B079C6">
          <w:rPr>
            <w:color w:val="0000FF"/>
            <w:u w:val="single"/>
            <w:rtl/>
          </w:rPr>
          <w:t>ע"פ 5761/05</w:t>
        </w:r>
      </w:hyperlink>
      <w:r w:rsidRPr="00A12207">
        <w:rPr>
          <w:rFonts w:hint="cs"/>
          <w:rtl/>
        </w:rPr>
        <w:t xml:space="preserve"> </w:t>
      </w:r>
      <w:r w:rsidRPr="00A12207">
        <w:rPr>
          <w:rFonts w:hint="cs"/>
          <w:b/>
          <w:bCs/>
          <w:rtl/>
        </w:rPr>
        <w:t>מג'דלאוי נ' מדינת ישראל</w:t>
      </w:r>
      <w:r w:rsidRPr="00A12207">
        <w:rPr>
          <w:rFonts w:hint="cs"/>
          <w:rtl/>
        </w:rPr>
        <w:t xml:space="preserve"> </w:t>
      </w:r>
      <w:r w:rsidR="0019648F" w:rsidRPr="0019648F">
        <w:rPr>
          <w:rFonts w:cs="David"/>
          <w:sz w:val="22"/>
          <w:rtl/>
        </w:rPr>
        <w:t xml:space="preserve">[פורסם בנבו] </w:t>
      </w:r>
      <w:r w:rsidRPr="00A12207">
        <w:rPr>
          <w:rFonts w:hint="cs"/>
          <w:rtl/>
        </w:rPr>
        <w:t xml:space="preserve"> (24.7.2006)).</w:t>
      </w:r>
    </w:p>
    <w:p w14:paraId="692B6103" w14:textId="77777777" w:rsidR="00965FA2" w:rsidRPr="00A12207" w:rsidRDefault="00965FA2" w:rsidP="00965FA2">
      <w:pPr>
        <w:pStyle w:val="david0"/>
        <w:jc w:val="both"/>
        <w:rPr>
          <w:rtl/>
        </w:rPr>
      </w:pPr>
    </w:p>
    <w:p w14:paraId="4035A0A2" w14:textId="77777777" w:rsidR="00965FA2" w:rsidRPr="00A12207" w:rsidRDefault="00965FA2" w:rsidP="00965FA2">
      <w:pPr>
        <w:pStyle w:val="david0"/>
        <w:spacing w:line="360" w:lineRule="auto"/>
        <w:jc w:val="both"/>
        <w:rPr>
          <w:sz w:val="24"/>
        </w:rPr>
      </w:pPr>
      <w:r w:rsidRPr="00A12207">
        <w:rPr>
          <w:rFonts w:hint="cs"/>
          <w:rtl/>
        </w:rPr>
        <w:t>נוכח האמור, אמליץ  לחבריי לקבוע כי גובה הפיצוי בו יישא כל אחד מנאשמים 1 ו-2,  יהיה בגובה 200,000 ₪</w:t>
      </w:r>
      <w:r w:rsidRPr="00A12207">
        <w:rPr>
          <w:rFonts w:hint="cs"/>
          <w:sz w:val="24"/>
          <w:rtl/>
        </w:rPr>
        <w:t>, אותו סכום שנקבע בהליך המקביל.</w:t>
      </w:r>
    </w:p>
    <w:p w14:paraId="646039F2" w14:textId="77777777" w:rsidR="00965FA2" w:rsidRDefault="00965FA2" w:rsidP="00965FA2">
      <w:pPr>
        <w:pStyle w:val="david0"/>
        <w:spacing w:line="360" w:lineRule="auto"/>
        <w:jc w:val="both"/>
        <w:rPr>
          <w:u w:val="single"/>
          <w:rtl/>
        </w:rPr>
      </w:pPr>
    </w:p>
    <w:p w14:paraId="5A9BE39C" w14:textId="77777777" w:rsidR="00965FA2" w:rsidRPr="007B0294" w:rsidRDefault="00965FA2" w:rsidP="00965FA2">
      <w:pPr>
        <w:pStyle w:val="david0"/>
        <w:spacing w:line="360" w:lineRule="auto"/>
        <w:jc w:val="both"/>
        <w:rPr>
          <w:b/>
          <w:bCs/>
          <w:u w:val="single"/>
          <w:rtl/>
        </w:rPr>
      </w:pPr>
      <w:r w:rsidRPr="007B0294">
        <w:rPr>
          <w:rFonts w:hint="cs"/>
          <w:b/>
          <w:bCs/>
          <w:u w:val="single"/>
          <w:rtl/>
        </w:rPr>
        <w:t>סיכום</w:t>
      </w:r>
    </w:p>
    <w:p w14:paraId="2977CAB0" w14:textId="77777777" w:rsidR="00965FA2" w:rsidRPr="00A12207" w:rsidRDefault="00965FA2" w:rsidP="00965FA2">
      <w:pPr>
        <w:pStyle w:val="david0"/>
        <w:spacing w:line="360" w:lineRule="auto"/>
        <w:jc w:val="both"/>
        <w:rPr>
          <w:sz w:val="28"/>
          <w:rtl/>
        </w:rPr>
      </w:pPr>
      <w:r w:rsidRPr="00A12207">
        <w:rPr>
          <w:rFonts w:hint="cs"/>
          <w:sz w:val="28"/>
          <w:rtl/>
        </w:rPr>
        <w:t>לאור האמור לעיל אמליץ לחבריי לדון את הנאשמים לעונשים הבאים:</w:t>
      </w:r>
    </w:p>
    <w:p w14:paraId="73A794CE" w14:textId="77777777" w:rsidR="00965FA2" w:rsidRDefault="00965FA2" w:rsidP="00965FA2">
      <w:pPr>
        <w:pStyle w:val="david0"/>
        <w:spacing w:line="360" w:lineRule="auto"/>
        <w:jc w:val="both"/>
        <w:rPr>
          <w:u w:val="single"/>
          <w:rtl/>
        </w:rPr>
      </w:pPr>
    </w:p>
    <w:p w14:paraId="7F049EFD" w14:textId="77777777" w:rsidR="00965FA2" w:rsidRPr="00A12207" w:rsidRDefault="00965FA2" w:rsidP="00965FA2">
      <w:pPr>
        <w:pStyle w:val="david0"/>
        <w:spacing w:line="360" w:lineRule="auto"/>
        <w:jc w:val="both"/>
        <w:rPr>
          <w:u w:val="single"/>
          <w:rtl/>
        </w:rPr>
      </w:pPr>
      <w:r w:rsidRPr="00A12207">
        <w:rPr>
          <w:rFonts w:hint="cs"/>
          <w:u w:val="single"/>
          <w:rtl/>
        </w:rPr>
        <w:t>נאשם 1:</w:t>
      </w:r>
    </w:p>
    <w:p w14:paraId="6F544F5C" w14:textId="77777777" w:rsidR="00965FA2" w:rsidRPr="00A12207" w:rsidRDefault="00965FA2" w:rsidP="00965FA2">
      <w:pPr>
        <w:pStyle w:val="david0"/>
        <w:spacing w:line="360" w:lineRule="auto"/>
        <w:jc w:val="both"/>
        <w:rPr>
          <w:rtl/>
        </w:rPr>
      </w:pPr>
      <w:r w:rsidRPr="00A12207">
        <w:rPr>
          <w:rFonts w:hint="cs"/>
          <w:rtl/>
        </w:rPr>
        <w:t>-עונש של 13 שנות מאסר בפועל. תחילת ריצוי המאסר מיום מעצרו - 1.6.2014.</w:t>
      </w:r>
    </w:p>
    <w:p w14:paraId="10757B94" w14:textId="77777777" w:rsidR="00965FA2" w:rsidRPr="00A12207" w:rsidRDefault="00965FA2" w:rsidP="00965FA2">
      <w:pPr>
        <w:pStyle w:val="david0"/>
        <w:spacing w:line="360" w:lineRule="auto"/>
        <w:jc w:val="both"/>
      </w:pPr>
      <w:r w:rsidRPr="00A12207">
        <w:rPr>
          <w:rFonts w:hint="cs"/>
          <w:rtl/>
        </w:rPr>
        <w:t>-עונש מאסר על תנאי של 24 חודשים למשך שנתיים, והתנאי הוא שהנאשם לא יעבור עבירת אלימות מסוג פשע או עבירת נשק מסוג פשע ויורשע בגינן.</w:t>
      </w:r>
    </w:p>
    <w:p w14:paraId="061299B0" w14:textId="77777777" w:rsidR="00965FA2" w:rsidRPr="00A12207" w:rsidRDefault="00965FA2" w:rsidP="00965FA2">
      <w:pPr>
        <w:pStyle w:val="david0"/>
        <w:spacing w:line="360" w:lineRule="auto"/>
        <w:jc w:val="both"/>
      </w:pPr>
      <w:r w:rsidRPr="00A12207">
        <w:rPr>
          <w:rFonts w:hint="cs"/>
          <w:rtl/>
        </w:rPr>
        <w:t xml:space="preserve">-פיצוי כספי לנפגעי העבירה (אשתו ובנו של המנוח שפרטיהם יימסרו למזכירות על ידי המאשימה) בסכום כולל של 200,000 ₪ אשר יחולק בין שניהם בחלקים שווים. הפיצוי ישולם עד לא יאוחר מתאריך 1.7.2017 ויופקד במזכירות בית המשפט המחוזי בחיפה. </w:t>
      </w:r>
    </w:p>
    <w:p w14:paraId="129E9BE7" w14:textId="77777777" w:rsidR="00965FA2" w:rsidRPr="00A12207" w:rsidRDefault="00965FA2" w:rsidP="00965FA2">
      <w:pPr>
        <w:pStyle w:val="david0"/>
        <w:spacing w:line="360" w:lineRule="auto"/>
        <w:jc w:val="both"/>
        <w:rPr>
          <w:rtl/>
        </w:rPr>
      </w:pPr>
    </w:p>
    <w:p w14:paraId="69CFB1C6" w14:textId="77777777" w:rsidR="00965FA2" w:rsidRPr="00A12207" w:rsidRDefault="00965FA2" w:rsidP="00965FA2">
      <w:pPr>
        <w:pStyle w:val="david0"/>
        <w:spacing w:line="360" w:lineRule="auto"/>
        <w:jc w:val="both"/>
        <w:rPr>
          <w:u w:val="single"/>
          <w:rtl/>
        </w:rPr>
      </w:pPr>
      <w:r w:rsidRPr="00A12207">
        <w:rPr>
          <w:rFonts w:hint="cs"/>
          <w:u w:val="single"/>
          <w:rtl/>
        </w:rPr>
        <w:t>נאשם 2:</w:t>
      </w:r>
    </w:p>
    <w:p w14:paraId="5FE3F65C" w14:textId="77777777" w:rsidR="00965FA2" w:rsidRPr="00A12207" w:rsidRDefault="00965FA2" w:rsidP="00965FA2">
      <w:pPr>
        <w:pStyle w:val="david0"/>
        <w:spacing w:line="360" w:lineRule="auto"/>
        <w:jc w:val="both"/>
        <w:rPr>
          <w:rtl/>
        </w:rPr>
      </w:pPr>
      <w:r w:rsidRPr="00A12207">
        <w:rPr>
          <w:rFonts w:hint="cs"/>
          <w:rtl/>
        </w:rPr>
        <w:t>-מאסר עולם בגין רצח המנוח.</w:t>
      </w:r>
    </w:p>
    <w:p w14:paraId="476F03CF" w14:textId="77777777" w:rsidR="00965FA2" w:rsidRPr="00A12207" w:rsidRDefault="00965FA2" w:rsidP="00965FA2">
      <w:pPr>
        <w:pStyle w:val="david0"/>
        <w:spacing w:line="360" w:lineRule="auto"/>
        <w:jc w:val="both"/>
      </w:pPr>
      <w:r w:rsidRPr="00A12207">
        <w:rPr>
          <w:rFonts w:hint="cs"/>
          <w:rtl/>
        </w:rPr>
        <w:t>-3 שנות מאסר בפועל בגין עבירות הנשק וקשירת הקשר לפשע אשר ירוצו בחופף לעונש מאסר העולם, כך שבסה"כ ישא הנאשם 2 בעונש של מאסר עולם שתחילתו מיום מעצרו 2.6.2014.</w:t>
      </w:r>
    </w:p>
    <w:p w14:paraId="08F1F49E" w14:textId="77777777" w:rsidR="00965FA2" w:rsidRPr="00A12207" w:rsidRDefault="00965FA2" w:rsidP="00965FA2">
      <w:pPr>
        <w:pStyle w:val="david0"/>
        <w:jc w:val="both"/>
        <w:rPr>
          <w:rtl/>
        </w:rPr>
      </w:pPr>
    </w:p>
    <w:p w14:paraId="454211C3" w14:textId="77777777" w:rsidR="00965FA2" w:rsidRPr="00A12207" w:rsidRDefault="00965FA2" w:rsidP="00965FA2">
      <w:pPr>
        <w:pStyle w:val="david0"/>
        <w:spacing w:line="360" w:lineRule="auto"/>
        <w:jc w:val="both"/>
        <w:rPr>
          <w:rtl/>
        </w:rPr>
      </w:pPr>
      <w:r w:rsidRPr="00A12207">
        <w:rPr>
          <w:rFonts w:hint="cs"/>
          <w:rtl/>
        </w:rPr>
        <w:t>בהתחשב במועד סיומו של עונש המאסר בפועל אמליץ לחבריי שלא להטיל על נאשם 2 עונש של מאסר על תנאי.</w:t>
      </w:r>
    </w:p>
    <w:p w14:paraId="12B040CE" w14:textId="77777777" w:rsidR="00965FA2" w:rsidRPr="00A12207" w:rsidRDefault="00965FA2" w:rsidP="00965FA2">
      <w:pPr>
        <w:pStyle w:val="david0"/>
        <w:jc w:val="both"/>
        <w:rPr>
          <w:rtl/>
        </w:rPr>
      </w:pPr>
    </w:p>
    <w:p w14:paraId="0EB2E5F2" w14:textId="77777777" w:rsidR="00965FA2" w:rsidRDefault="00965FA2" w:rsidP="00965FA2">
      <w:pPr>
        <w:pStyle w:val="david0"/>
        <w:spacing w:line="360" w:lineRule="auto"/>
        <w:jc w:val="both"/>
        <w:rPr>
          <w:rtl/>
        </w:rPr>
      </w:pPr>
      <w:r w:rsidRPr="00A12207">
        <w:rPr>
          <w:rFonts w:hint="cs"/>
          <w:rtl/>
        </w:rPr>
        <w:t xml:space="preserve">-פיצוי כספי לנפגעי העבירה (אשתו ובנו של המנוח שפרטיהם יימסרו למזכירות על ידי המאשימה) בסכום כולל של 200,000 ₪ אשר יחולק בין שניהם בחלקים שווים. הפיצוי ישולם עד לא יאוחר מתאריך 1.7.2017 ויופקד במזכירות בית המשפט המחוזי בחיפה. </w:t>
      </w:r>
    </w:p>
    <w:p w14:paraId="002C36DB" w14:textId="77777777" w:rsidR="00965FA2" w:rsidRDefault="00965FA2" w:rsidP="00965FA2">
      <w:pPr>
        <w:pStyle w:val="david0"/>
        <w:jc w:val="both"/>
        <w:rPr>
          <w:rtl/>
        </w:rPr>
      </w:pPr>
    </w:p>
    <w:tbl>
      <w:tblPr>
        <w:bidiVisual/>
        <w:tblW w:w="0" w:type="auto"/>
        <w:tblLook w:val="01E0" w:firstRow="1" w:lastRow="1" w:firstColumn="1" w:lastColumn="1" w:noHBand="0" w:noVBand="0"/>
      </w:tblPr>
      <w:tblGrid>
        <w:gridCol w:w="2816"/>
        <w:gridCol w:w="359"/>
        <w:gridCol w:w="2390"/>
        <w:gridCol w:w="345"/>
        <w:gridCol w:w="2595"/>
      </w:tblGrid>
      <w:tr w:rsidR="00965FA2" w:rsidRPr="00D03339" w14:paraId="00C93EC2" w14:textId="77777777">
        <w:tc>
          <w:tcPr>
            <w:tcW w:w="2816" w:type="dxa"/>
            <w:tcBorders>
              <w:top w:val="nil"/>
              <w:left w:val="nil"/>
              <w:right w:val="nil"/>
            </w:tcBorders>
            <w:shd w:val="clear" w:color="auto" w:fill="auto"/>
            <w:vAlign w:val="center"/>
          </w:tcPr>
          <w:p w14:paraId="3B411D0A" w14:textId="77777777" w:rsidR="00965FA2" w:rsidRPr="00993756" w:rsidRDefault="00965FA2" w:rsidP="00B079C6">
            <w:pPr>
              <w:jc w:val="center"/>
              <w:rPr>
                <w:rFonts w:ascii="Courier New" w:hAnsi="Courier New"/>
                <w:b/>
                <w:bCs/>
                <w:noProof/>
              </w:rPr>
            </w:pPr>
          </w:p>
        </w:tc>
        <w:tc>
          <w:tcPr>
            <w:tcW w:w="359" w:type="dxa"/>
            <w:shd w:val="clear" w:color="auto" w:fill="auto"/>
            <w:vAlign w:val="center"/>
          </w:tcPr>
          <w:p w14:paraId="4C03EC4A" w14:textId="77777777" w:rsidR="00965FA2" w:rsidRPr="00993756" w:rsidRDefault="00965FA2" w:rsidP="00B079C6">
            <w:pPr>
              <w:jc w:val="center"/>
              <w:rPr>
                <w:rFonts w:ascii="Courier New" w:hAnsi="Courier New"/>
                <w:b/>
                <w:bCs/>
                <w:noProof/>
              </w:rPr>
            </w:pPr>
          </w:p>
        </w:tc>
        <w:tc>
          <w:tcPr>
            <w:tcW w:w="2390" w:type="dxa"/>
            <w:tcBorders>
              <w:top w:val="nil"/>
              <w:left w:val="nil"/>
              <w:right w:val="nil"/>
            </w:tcBorders>
            <w:shd w:val="clear" w:color="auto" w:fill="auto"/>
            <w:vAlign w:val="center"/>
          </w:tcPr>
          <w:p w14:paraId="4D8CAB13" w14:textId="77777777" w:rsidR="00965FA2" w:rsidRPr="00993756" w:rsidRDefault="00965FA2" w:rsidP="00B079C6">
            <w:pPr>
              <w:jc w:val="center"/>
              <w:rPr>
                <w:rFonts w:ascii="Courier New" w:hAnsi="Courier New"/>
                <w:b/>
                <w:bCs/>
                <w:noProof/>
              </w:rPr>
            </w:pPr>
          </w:p>
        </w:tc>
        <w:tc>
          <w:tcPr>
            <w:tcW w:w="345" w:type="dxa"/>
            <w:shd w:val="clear" w:color="auto" w:fill="auto"/>
            <w:vAlign w:val="center"/>
          </w:tcPr>
          <w:p w14:paraId="288BC9BA" w14:textId="77777777" w:rsidR="00965FA2" w:rsidRPr="00993756" w:rsidRDefault="00965FA2" w:rsidP="00B079C6">
            <w:pPr>
              <w:jc w:val="center"/>
              <w:rPr>
                <w:rFonts w:ascii="Courier New" w:hAnsi="Courier New"/>
                <w:b/>
                <w:bCs/>
                <w:noProof/>
              </w:rPr>
            </w:pPr>
          </w:p>
        </w:tc>
        <w:tc>
          <w:tcPr>
            <w:tcW w:w="2595" w:type="dxa"/>
            <w:tcBorders>
              <w:top w:val="nil"/>
              <w:left w:val="nil"/>
              <w:bottom w:val="single" w:sz="4" w:space="0" w:color="auto"/>
              <w:right w:val="nil"/>
            </w:tcBorders>
            <w:shd w:val="clear" w:color="auto" w:fill="auto"/>
            <w:vAlign w:val="center"/>
          </w:tcPr>
          <w:p w14:paraId="15C6A589" w14:textId="77777777" w:rsidR="00965FA2" w:rsidRPr="00993756" w:rsidRDefault="00965FA2" w:rsidP="00B079C6">
            <w:pPr>
              <w:jc w:val="center"/>
              <w:rPr>
                <w:rFonts w:ascii="Courier New" w:hAnsi="Courier New"/>
                <w:b/>
                <w:bCs/>
                <w:noProof/>
              </w:rPr>
            </w:pPr>
          </w:p>
        </w:tc>
      </w:tr>
      <w:tr w:rsidR="00965FA2" w:rsidRPr="00D03339" w14:paraId="1DC7DF93" w14:textId="77777777">
        <w:tc>
          <w:tcPr>
            <w:tcW w:w="2816" w:type="dxa"/>
            <w:tcBorders>
              <w:left w:val="nil"/>
              <w:bottom w:val="nil"/>
              <w:right w:val="nil"/>
            </w:tcBorders>
            <w:shd w:val="clear" w:color="auto" w:fill="auto"/>
          </w:tcPr>
          <w:p w14:paraId="43793E9D" w14:textId="77777777" w:rsidR="00965FA2" w:rsidRPr="00993756" w:rsidRDefault="00965FA2" w:rsidP="00B079C6">
            <w:pPr>
              <w:jc w:val="center"/>
              <w:rPr>
                <w:b/>
                <w:bCs/>
                <w:noProof/>
              </w:rPr>
            </w:pPr>
          </w:p>
        </w:tc>
        <w:tc>
          <w:tcPr>
            <w:tcW w:w="359" w:type="dxa"/>
            <w:shd w:val="clear" w:color="auto" w:fill="auto"/>
          </w:tcPr>
          <w:p w14:paraId="1D63F856" w14:textId="77777777" w:rsidR="00965FA2" w:rsidRPr="00993756" w:rsidRDefault="00965FA2" w:rsidP="00B079C6">
            <w:pPr>
              <w:jc w:val="center"/>
              <w:rPr>
                <w:b/>
                <w:bCs/>
                <w:noProof/>
              </w:rPr>
            </w:pPr>
          </w:p>
        </w:tc>
        <w:tc>
          <w:tcPr>
            <w:tcW w:w="2390" w:type="dxa"/>
            <w:tcBorders>
              <w:left w:val="nil"/>
              <w:bottom w:val="nil"/>
              <w:right w:val="nil"/>
            </w:tcBorders>
            <w:shd w:val="clear" w:color="auto" w:fill="auto"/>
          </w:tcPr>
          <w:p w14:paraId="1F3ABE61" w14:textId="77777777" w:rsidR="00965FA2" w:rsidRPr="00993756" w:rsidRDefault="00965FA2" w:rsidP="00B079C6">
            <w:pPr>
              <w:jc w:val="center"/>
              <w:rPr>
                <w:b/>
                <w:bCs/>
                <w:noProof/>
              </w:rPr>
            </w:pPr>
          </w:p>
        </w:tc>
        <w:tc>
          <w:tcPr>
            <w:tcW w:w="345" w:type="dxa"/>
            <w:shd w:val="clear" w:color="auto" w:fill="auto"/>
          </w:tcPr>
          <w:p w14:paraId="2BA65F7D" w14:textId="77777777" w:rsidR="00965FA2" w:rsidRPr="00993756" w:rsidRDefault="00965FA2" w:rsidP="00B079C6">
            <w:pPr>
              <w:jc w:val="center"/>
              <w:rPr>
                <w:b/>
                <w:bCs/>
                <w:noProof/>
              </w:rPr>
            </w:pPr>
          </w:p>
        </w:tc>
        <w:tc>
          <w:tcPr>
            <w:tcW w:w="2595" w:type="dxa"/>
            <w:tcBorders>
              <w:top w:val="single" w:sz="4" w:space="0" w:color="auto"/>
              <w:left w:val="nil"/>
              <w:bottom w:val="nil"/>
              <w:right w:val="nil"/>
            </w:tcBorders>
            <w:shd w:val="clear" w:color="auto" w:fill="auto"/>
          </w:tcPr>
          <w:p w14:paraId="28AA067E" w14:textId="77777777" w:rsidR="00965FA2" w:rsidRPr="00993756" w:rsidRDefault="00965FA2" w:rsidP="00B079C6">
            <w:pPr>
              <w:jc w:val="center"/>
              <w:rPr>
                <w:b/>
                <w:bCs/>
                <w:noProof/>
              </w:rPr>
            </w:pPr>
            <w:r w:rsidRPr="00993756">
              <w:rPr>
                <w:rFonts w:hint="cs"/>
                <w:b/>
                <w:bCs/>
                <w:rtl/>
              </w:rPr>
              <w:t xml:space="preserve">אברהם אליקים, </w:t>
            </w:r>
            <w:r w:rsidRPr="00993756">
              <w:rPr>
                <w:b/>
                <w:bCs/>
                <w:rtl/>
              </w:rPr>
              <w:br/>
            </w:r>
            <w:r w:rsidRPr="00993756">
              <w:rPr>
                <w:rFonts w:hint="cs"/>
                <w:b/>
                <w:bCs/>
                <w:rtl/>
              </w:rPr>
              <w:t>סגן נשיא</w:t>
            </w:r>
          </w:p>
        </w:tc>
      </w:tr>
    </w:tbl>
    <w:p w14:paraId="17D8CF0A" w14:textId="77777777" w:rsidR="00965FA2" w:rsidRDefault="00965FA2" w:rsidP="00965FA2">
      <w:pPr>
        <w:pStyle w:val="david0"/>
        <w:spacing w:line="360" w:lineRule="auto"/>
        <w:rPr>
          <w:rStyle w:val="default"/>
          <w:rFonts w:ascii="Century" w:hAnsi="Century" w:cs="FrankRuehl"/>
          <w:sz w:val="28"/>
          <w:szCs w:val="28"/>
          <w:rtl/>
        </w:rPr>
      </w:pPr>
    </w:p>
    <w:p w14:paraId="738B74CB" w14:textId="77777777" w:rsidR="00965FA2" w:rsidRDefault="00965FA2" w:rsidP="00965FA2">
      <w:pPr>
        <w:pStyle w:val="david0"/>
        <w:spacing w:line="360" w:lineRule="auto"/>
        <w:rPr>
          <w:rStyle w:val="default"/>
          <w:rFonts w:ascii="Century" w:hAnsi="Century" w:cs="FrankRuehl"/>
          <w:sz w:val="28"/>
          <w:szCs w:val="28"/>
          <w:rtl/>
        </w:rPr>
      </w:pPr>
      <w:r w:rsidRPr="00A12207">
        <w:rPr>
          <w:rStyle w:val="default"/>
          <w:rFonts w:ascii="Century" w:hAnsi="Century" w:cs="FrankRuehl" w:hint="cs"/>
          <w:sz w:val="28"/>
          <w:szCs w:val="28"/>
          <w:rtl/>
        </w:rPr>
        <w:tab/>
      </w:r>
      <w:r w:rsidRPr="00A12207">
        <w:rPr>
          <w:rStyle w:val="default"/>
          <w:rFonts w:ascii="Century" w:hAnsi="Century" w:cs="FrankRuehl" w:hint="cs"/>
          <w:sz w:val="28"/>
          <w:szCs w:val="28"/>
          <w:rtl/>
        </w:rPr>
        <w:tab/>
      </w:r>
    </w:p>
    <w:p w14:paraId="480C787F" w14:textId="77777777" w:rsidR="00965FA2" w:rsidRPr="00084309" w:rsidRDefault="00965FA2" w:rsidP="00965FA2">
      <w:pPr>
        <w:pStyle w:val="david0"/>
        <w:jc w:val="both"/>
        <w:rPr>
          <w:b/>
          <w:bCs/>
          <w:u w:val="single"/>
          <w:rtl/>
        </w:rPr>
      </w:pPr>
      <w:r w:rsidRPr="00084309">
        <w:rPr>
          <w:rFonts w:hint="cs"/>
          <w:b/>
          <w:bCs/>
          <w:u w:val="single"/>
          <w:rtl/>
        </w:rPr>
        <w:t>השופט רון שפירא, סגן נשיא [אב"ד]</w:t>
      </w:r>
    </w:p>
    <w:p w14:paraId="21777795" w14:textId="77777777" w:rsidR="00965FA2" w:rsidRDefault="00965FA2" w:rsidP="00965FA2">
      <w:pPr>
        <w:pStyle w:val="david0"/>
        <w:jc w:val="both"/>
        <w:rPr>
          <w:rtl/>
        </w:rPr>
      </w:pPr>
    </w:p>
    <w:p w14:paraId="7F3341A1" w14:textId="77777777" w:rsidR="00965FA2" w:rsidRDefault="00965FA2" w:rsidP="00965FA2">
      <w:pPr>
        <w:pStyle w:val="david0"/>
        <w:jc w:val="both"/>
        <w:rPr>
          <w:rtl/>
        </w:rPr>
      </w:pPr>
      <w:r>
        <w:rPr>
          <w:rFonts w:hint="cs"/>
          <w:rtl/>
        </w:rPr>
        <w:t xml:space="preserve">אני מסכים. </w:t>
      </w:r>
    </w:p>
    <w:p w14:paraId="6C69A7A9" w14:textId="77777777" w:rsidR="00965FA2" w:rsidRDefault="00965FA2" w:rsidP="00965FA2">
      <w:pPr>
        <w:pStyle w:val="david0"/>
        <w:spacing w:line="360" w:lineRule="auto"/>
        <w:jc w:val="both"/>
        <w:rPr>
          <w:rtl/>
        </w:rPr>
      </w:pPr>
    </w:p>
    <w:tbl>
      <w:tblPr>
        <w:bidiVisual/>
        <w:tblW w:w="9073" w:type="dxa"/>
        <w:tblLook w:val="01E0" w:firstRow="1" w:lastRow="1" w:firstColumn="1" w:lastColumn="1" w:noHBand="0" w:noVBand="0"/>
      </w:tblPr>
      <w:tblGrid>
        <w:gridCol w:w="2825"/>
        <w:gridCol w:w="360"/>
        <w:gridCol w:w="2400"/>
        <w:gridCol w:w="236"/>
        <w:gridCol w:w="3252"/>
      </w:tblGrid>
      <w:tr w:rsidR="00965FA2" w:rsidRPr="00D03339" w14:paraId="3A6DCB65" w14:textId="77777777">
        <w:tc>
          <w:tcPr>
            <w:tcW w:w="2825" w:type="dxa"/>
            <w:tcBorders>
              <w:top w:val="nil"/>
              <w:left w:val="nil"/>
              <w:right w:val="nil"/>
            </w:tcBorders>
            <w:shd w:val="clear" w:color="auto" w:fill="auto"/>
            <w:vAlign w:val="center"/>
          </w:tcPr>
          <w:p w14:paraId="2C51E712" w14:textId="77777777" w:rsidR="00965FA2" w:rsidRPr="00993756" w:rsidRDefault="00965FA2" w:rsidP="00B079C6">
            <w:pPr>
              <w:jc w:val="center"/>
              <w:rPr>
                <w:rFonts w:ascii="Courier New" w:hAnsi="Courier New"/>
                <w:b/>
                <w:bCs/>
                <w:noProof/>
              </w:rPr>
            </w:pPr>
          </w:p>
        </w:tc>
        <w:tc>
          <w:tcPr>
            <w:tcW w:w="360" w:type="dxa"/>
            <w:shd w:val="clear" w:color="auto" w:fill="auto"/>
            <w:vAlign w:val="center"/>
          </w:tcPr>
          <w:p w14:paraId="5D1A6DF0" w14:textId="77777777" w:rsidR="00965FA2" w:rsidRPr="00993756" w:rsidRDefault="00965FA2" w:rsidP="00B079C6">
            <w:pPr>
              <w:jc w:val="center"/>
              <w:rPr>
                <w:rFonts w:ascii="Courier New" w:hAnsi="Courier New"/>
                <w:b/>
                <w:bCs/>
                <w:noProof/>
              </w:rPr>
            </w:pPr>
          </w:p>
        </w:tc>
        <w:tc>
          <w:tcPr>
            <w:tcW w:w="2400" w:type="dxa"/>
            <w:tcBorders>
              <w:top w:val="nil"/>
              <w:left w:val="nil"/>
              <w:right w:val="nil"/>
            </w:tcBorders>
            <w:shd w:val="clear" w:color="auto" w:fill="auto"/>
            <w:vAlign w:val="center"/>
          </w:tcPr>
          <w:p w14:paraId="59F86634" w14:textId="77777777" w:rsidR="00965FA2" w:rsidRPr="00993756" w:rsidRDefault="00965FA2" w:rsidP="00B079C6">
            <w:pPr>
              <w:jc w:val="center"/>
              <w:rPr>
                <w:rFonts w:ascii="Courier New" w:hAnsi="Courier New"/>
                <w:b/>
                <w:bCs/>
                <w:noProof/>
              </w:rPr>
            </w:pPr>
          </w:p>
        </w:tc>
        <w:tc>
          <w:tcPr>
            <w:tcW w:w="236" w:type="dxa"/>
            <w:shd w:val="clear" w:color="auto" w:fill="auto"/>
            <w:vAlign w:val="center"/>
          </w:tcPr>
          <w:p w14:paraId="2975C6D0" w14:textId="77777777" w:rsidR="00965FA2" w:rsidRPr="00993756" w:rsidRDefault="00965FA2" w:rsidP="00B079C6">
            <w:pPr>
              <w:jc w:val="center"/>
              <w:rPr>
                <w:rFonts w:ascii="Courier New" w:hAnsi="Courier New"/>
                <w:b/>
                <w:bCs/>
                <w:noProof/>
              </w:rPr>
            </w:pPr>
          </w:p>
        </w:tc>
        <w:tc>
          <w:tcPr>
            <w:tcW w:w="3252" w:type="dxa"/>
            <w:tcBorders>
              <w:top w:val="nil"/>
              <w:left w:val="nil"/>
              <w:bottom w:val="single" w:sz="4" w:space="0" w:color="auto"/>
              <w:right w:val="nil"/>
            </w:tcBorders>
            <w:shd w:val="clear" w:color="auto" w:fill="auto"/>
            <w:vAlign w:val="center"/>
          </w:tcPr>
          <w:p w14:paraId="2658DEF3" w14:textId="77777777" w:rsidR="00965FA2" w:rsidRPr="00993756" w:rsidRDefault="00965FA2" w:rsidP="00B079C6">
            <w:pPr>
              <w:jc w:val="center"/>
              <w:rPr>
                <w:rFonts w:ascii="Courier New" w:hAnsi="Courier New"/>
                <w:b/>
                <w:bCs/>
                <w:noProof/>
              </w:rPr>
            </w:pPr>
          </w:p>
        </w:tc>
      </w:tr>
      <w:tr w:rsidR="00965FA2" w:rsidRPr="00D03339" w14:paraId="7ABACE98" w14:textId="77777777">
        <w:tc>
          <w:tcPr>
            <w:tcW w:w="2825" w:type="dxa"/>
            <w:tcBorders>
              <w:left w:val="nil"/>
              <w:bottom w:val="nil"/>
              <w:right w:val="nil"/>
            </w:tcBorders>
            <w:shd w:val="clear" w:color="auto" w:fill="auto"/>
          </w:tcPr>
          <w:p w14:paraId="2120C799" w14:textId="77777777" w:rsidR="00965FA2" w:rsidRPr="00993756" w:rsidRDefault="00965FA2" w:rsidP="00B079C6">
            <w:pPr>
              <w:jc w:val="center"/>
              <w:rPr>
                <w:b/>
                <w:bCs/>
                <w:noProof/>
              </w:rPr>
            </w:pPr>
          </w:p>
        </w:tc>
        <w:tc>
          <w:tcPr>
            <w:tcW w:w="360" w:type="dxa"/>
            <w:shd w:val="clear" w:color="auto" w:fill="auto"/>
          </w:tcPr>
          <w:p w14:paraId="0195ED43" w14:textId="77777777" w:rsidR="00965FA2" w:rsidRPr="00993756" w:rsidRDefault="00965FA2" w:rsidP="00B079C6">
            <w:pPr>
              <w:jc w:val="center"/>
              <w:rPr>
                <w:b/>
                <w:bCs/>
                <w:noProof/>
              </w:rPr>
            </w:pPr>
          </w:p>
        </w:tc>
        <w:tc>
          <w:tcPr>
            <w:tcW w:w="2400" w:type="dxa"/>
            <w:tcBorders>
              <w:left w:val="nil"/>
              <w:bottom w:val="nil"/>
              <w:right w:val="nil"/>
            </w:tcBorders>
            <w:shd w:val="clear" w:color="auto" w:fill="auto"/>
          </w:tcPr>
          <w:p w14:paraId="6FBBCB0D" w14:textId="77777777" w:rsidR="00965FA2" w:rsidRPr="00993756" w:rsidRDefault="00965FA2" w:rsidP="00B079C6">
            <w:pPr>
              <w:jc w:val="center"/>
              <w:rPr>
                <w:b/>
                <w:bCs/>
                <w:noProof/>
              </w:rPr>
            </w:pPr>
          </w:p>
        </w:tc>
        <w:tc>
          <w:tcPr>
            <w:tcW w:w="236" w:type="dxa"/>
            <w:shd w:val="clear" w:color="auto" w:fill="auto"/>
          </w:tcPr>
          <w:p w14:paraId="126995E8" w14:textId="77777777" w:rsidR="00965FA2" w:rsidRPr="00993756" w:rsidRDefault="00965FA2" w:rsidP="00B079C6">
            <w:pPr>
              <w:jc w:val="center"/>
              <w:rPr>
                <w:b/>
                <w:bCs/>
                <w:noProof/>
              </w:rPr>
            </w:pPr>
          </w:p>
        </w:tc>
        <w:tc>
          <w:tcPr>
            <w:tcW w:w="3252" w:type="dxa"/>
            <w:tcBorders>
              <w:top w:val="single" w:sz="4" w:space="0" w:color="auto"/>
              <w:left w:val="nil"/>
              <w:bottom w:val="nil"/>
              <w:right w:val="nil"/>
            </w:tcBorders>
            <w:shd w:val="clear" w:color="auto" w:fill="auto"/>
          </w:tcPr>
          <w:p w14:paraId="77A89EC0" w14:textId="77777777" w:rsidR="00965FA2" w:rsidRPr="00993756" w:rsidRDefault="00965FA2" w:rsidP="00B079C6">
            <w:pPr>
              <w:jc w:val="center"/>
              <w:rPr>
                <w:b/>
                <w:bCs/>
                <w:noProof/>
                <w:rtl/>
              </w:rPr>
            </w:pPr>
            <w:r w:rsidRPr="00993756">
              <w:rPr>
                <w:rFonts w:hint="cs"/>
                <w:b/>
                <w:bCs/>
                <w:rtl/>
              </w:rPr>
              <w:t>רון שפירא, סגן נשיא</w:t>
            </w:r>
          </w:p>
          <w:p w14:paraId="1ADF11CE" w14:textId="77777777" w:rsidR="00965FA2" w:rsidRPr="00993756" w:rsidRDefault="00965FA2" w:rsidP="00B079C6">
            <w:pPr>
              <w:jc w:val="center"/>
              <w:rPr>
                <w:b/>
                <w:bCs/>
                <w:noProof/>
              </w:rPr>
            </w:pPr>
            <w:r w:rsidRPr="00993756">
              <w:rPr>
                <w:rFonts w:hint="cs"/>
                <w:b/>
                <w:bCs/>
                <w:rtl/>
              </w:rPr>
              <w:t>[אב"ד]</w:t>
            </w:r>
          </w:p>
        </w:tc>
      </w:tr>
    </w:tbl>
    <w:p w14:paraId="6B949759" w14:textId="77777777" w:rsidR="00965FA2" w:rsidRDefault="00965FA2" w:rsidP="00965FA2">
      <w:pPr>
        <w:pStyle w:val="david0"/>
        <w:spacing w:line="360" w:lineRule="auto"/>
        <w:jc w:val="both"/>
        <w:rPr>
          <w:sz w:val="24"/>
          <w:rtl/>
        </w:rPr>
      </w:pPr>
    </w:p>
    <w:p w14:paraId="3E7F3488" w14:textId="77777777" w:rsidR="00965FA2" w:rsidRDefault="00965FA2" w:rsidP="00965FA2">
      <w:pPr>
        <w:pStyle w:val="david0"/>
        <w:spacing w:line="360" w:lineRule="auto"/>
        <w:jc w:val="both"/>
        <w:rPr>
          <w:sz w:val="24"/>
          <w:rtl/>
        </w:rPr>
      </w:pPr>
    </w:p>
    <w:p w14:paraId="310F2158" w14:textId="77777777" w:rsidR="00965FA2" w:rsidRDefault="00965FA2" w:rsidP="00965FA2">
      <w:pPr>
        <w:pStyle w:val="david0"/>
        <w:jc w:val="both"/>
        <w:rPr>
          <w:b/>
          <w:bCs/>
          <w:u w:val="single"/>
          <w:rtl/>
        </w:rPr>
      </w:pPr>
      <w:r w:rsidRPr="00084309">
        <w:rPr>
          <w:rFonts w:hint="cs"/>
          <w:b/>
          <w:bCs/>
          <w:u w:val="single"/>
          <w:rtl/>
        </w:rPr>
        <w:t>השופטת תמר נאות פרי:</w:t>
      </w:r>
    </w:p>
    <w:p w14:paraId="2C7F01F0" w14:textId="77777777" w:rsidR="00965FA2" w:rsidRDefault="00965FA2" w:rsidP="00965FA2">
      <w:pPr>
        <w:pStyle w:val="david0"/>
        <w:jc w:val="both"/>
        <w:rPr>
          <w:b/>
          <w:bCs/>
          <w:u w:val="single"/>
          <w:rtl/>
        </w:rPr>
      </w:pPr>
    </w:p>
    <w:p w14:paraId="1F7A2D48" w14:textId="77777777" w:rsidR="00965FA2" w:rsidRDefault="00965FA2" w:rsidP="00965FA2">
      <w:pPr>
        <w:pStyle w:val="david0"/>
        <w:spacing w:line="360" w:lineRule="auto"/>
        <w:jc w:val="both"/>
        <w:rPr>
          <w:rtl/>
        </w:rPr>
      </w:pPr>
      <w:r w:rsidRPr="00084309">
        <w:rPr>
          <w:rFonts w:hint="cs"/>
          <w:rtl/>
        </w:rPr>
        <w:t>אני מסכימה</w:t>
      </w:r>
      <w:r>
        <w:rPr>
          <w:rFonts w:hint="cs"/>
          <w:rtl/>
        </w:rPr>
        <w:t xml:space="preserve">. </w:t>
      </w:r>
    </w:p>
    <w:p w14:paraId="2D27D582" w14:textId="77777777" w:rsidR="00965FA2" w:rsidRDefault="00965FA2" w:rsidP="00965FA2">
      <w:pPr>
        <w:pStyle w:val="david0"/>
        <w:spacing w:line="360" w:lineRule="auto"/>
        <w:jc w:val="both"/>
        <w:rPr>
          <w:rtl/>
        </w:rPr>
      </w:pPr>
    </w:p>
    <w:tbl>
      <w:tblPr>
        <w:bidiVisual/>
        <w:tblW w:w="0" w:type="auto"/>
        <w:tblLook w:val="01E0" w:firstRow="1" w:lastRow="1" w:firstColumn="1" w:lastColumn="1" w:noHBand="0" w:noVBand="0"/>
      </w:tblPr>
      <w:tblGrid>
        <w:gridCol w:w="2834"/>
        <w:gridCol w:w="360"/>
        <w:gridCol w:w="2406"/>
        <w:gridCol w:w="346"/>
        <w:gridCol w:w="2576"/>
      </w:tblGrid>
      <w:tr w:rsidR="00965FA2" w:rsidRPr="00D03339" w14:paraId="5DA5FC3A" w14:textId="77777777">
        <w:tc>
          <w:tcPr>
            <w:tcW w:w="2834" w:type="dxa"/>
            <w:tcBorders>
              <w:top w:val="nil"/>
              <w:left w:val="nil"/>
              <w:right w:val="nil"/>
            </w:tcBorders>
            <w:shd w:val="clear" w:color="auto" w:fill="auto"/>
            <w:vAlign w:val="center"/>
          </w:tcPr>
          <w:p w14:paraId="6C36B876" w14:textId="77777777" w:rsidR="00965FA2" w:rsidRPr="00993756" w:rsidRDefault="00965FA2" w:rsidP="00B079C6">
            <w:pPr>
              <w:jc w:val="center"/>
              <w:rPr>
                <w:rFonts w:ascii="Courier New" w:hAnsi="Courier New"/>
                <w:b/>
                <w:bCs/>
                <w:noProof/>
              </w:rPr>
            </w:pPr>
          </w:p>
        </w:tc>
        <w:tc>
          <w:tcPr>
            <w:tcW w:w="360" w:type="dxa"/>
            <w:shd w:val="clear" w:color="auto" w:fill="auto"/>
            <w:vAlign w:val="center"/>
          </w:tcPr>
          <w:p w14:paraId="0A4F77B6" w14:textId="77777777" w:rsidR="00965FA2" w:rsidRPr="00993756" w:rsidRDefault="00965FA2" w:rsidP="00B079C6">
            <w:pPr>
              <w:jc w:val="center"/>
              <w:rPr>
                <w:rFonts w:ascii="Courier New" w:hAnsi="Courier New"/>
                <w:b/>
                <w:bCs/>
                <w:noProof/>
              </w:rPr>
            </w:pPr>
          </w:p>
        </w:tc>
        <w:tc>
          <w:tcPr>
            <w:tcW w:w="2406" w:type="dxa"/>
            <w:tcBorders>
              <w:top w:val="nil"/>
              <w:left w:val="nil"/>
              <w:right w:val="nil"/>
            </w:tcBorders>
            <w:shd w:val="clear" w:color="auto" w:fill="auto"/>
            <w:vAlign w:val="center"/>
          </w:tcPr>
          <w:p w14:paraId="25B049E0" w14:textId="77777777" w:rsidR="00965FA2" w:rsidRPr="00993756" w:rsidRDefault="00965FA2" w:rsidP="00B079C6">
            <w:pPr>
              <w:jc w:val="center"/>
              <w:rPr>
                <w:rFonts w:ascii="Courier New" w:hAnsi="Courier New"/>
                <w:b/>
                <w:bCs/>
                <w:noProof/>
              </w:rPr>
            </w:pPr>
          </w:p>
        </w:tc>
        <w:tc>
          <w:tcPr>
            <w:tcW w:w="346" w:type="dxa"/>
            <w:shd w:val="clear" w:color="auto" w:fill="auto"/>
            <w:vAlign w:val="center"/>
          </w:tcPr>
          <w:p w14:paraId="770ED829" w14:textId="77777777" w:rsidR="00965FA2" w:rsidRPr="00993756" w:rsidRDefault="00965FA2" w:rsidP="00B079C6">
            <w:pPr>
              <w:jc w:val="center"/>
              <w:rPr>
                <w:rFonts w:ascii="Courier New" w:hAnsi="Courier New"/>
                <w:b/>
                <w:bCs/>
                <w:noProof/>
              </w:rPr>
            </w:pPr>
          </w:p>
        </w:tc>
        <w:tc>
          <w:tcPr>
            <w:tcW w:w="2576" w:type="dxa"/>
            <w:tcBorders>
              <w:top w:val="nil"/>
              <w:left w:val="nil"/>
              <w:bottom w:val="single" w:sz="4" w:space="0" w:color="auto"/>
              <w:right w:val="nil"/>
            </w:tcBorders>
            <w:shd w:val="clear" w:color="auto" w:fill="auto"/>
            <w:vAlign w:val="center"/>
          </w:tcPr>
          <w:p w14:paraId="0F87892B" w14:textId="77777777" w:rsidR="00965FA2" w:rsidRPr="00993756" w:rsidRDefault="00965FA2" w:rsidP="00B079C6">
            <w:pPr>
              <w:jc w:val="center"/>
              <w:rPr>
                <w:rFonts w:ascii="Courier New" w:hAnsi="Courier New"/>
                <w:b/>
                <w:bCs/>
                <w:noProof/>
              </w:rPr>
            </w:pPr>
          </w:p>
        </w:tc>
      </w:tr>
      <w:tr w:rsidR="00965FA2" w:rsidRPr="00D03339" w14:paraId="03D5DA12" w14:textId="77777777">
        <w:tc>
          <w:tcPr>
            <w:tcW w:w="2834" w:type="dxa"/>
            <w:tcBorders>
              <w:left w:val="nil"/>
              <w:bottom w:val="nil"/>
              <w:right w:val="nil"/>
            </w:tcBorders>
            <w:shd w:val="clear" w:color="auto" w:fill="auto"/>
          </w:tcPr>
          <w:p w14:paraId="43CA3375" w14:textId="77777777" w:rsidR="00965FA2" w:rsidRPr="00993756" w:rsidRDefault="00965FA2" w:rsidP="00B079C6">
            <w:pPr>
              <w:jc w:val="center"/>
              <w:rPr>
                <w:b/>
                <w:bCs/>
                <w:noProof/>
              </w:rPr>
            </w:pPr>
          </w:p>
        </w:tc>
        <w:tc>
          <w:tcPr>
            <w:tcW w:w="360" w:type="dxa"/>
            <w:shd w:val="clear" w:color="auto" w:fill="auto"/>
          </w:tcPr>
          <w:p w14:paraId="3F24E90B" w14:textId="77777777" w:rsidR="00965FA2" w:rsidRPr="00993756" w:rsidRDefault="00965FA2" w:rsidP="00B079C6">
            <w:pPr>
              <w:jc w:val="center"/>
              <w:rPr>
                <w:b/>
                <w:bCs/>
                <w:noProof/>
              </w:rPr>
            </w:pPr>
          </w:p>
        </w:tc>
        <w:tc>
          <w:tcPr>
            <w:tcW w:w="2406" w:type="dxa"/>
            <w:tcBorders>
              <w:left w:val="nil"/>
              <w:bottom w:val="nil"/>
              <w:right w:val="nil"/>
            </w:tcBorders>
            <w:shd w:val="clear" w:color="auto" w:fill="auto"/>
          </w:tcPr>
          <w:p w14:paraId="060D2729" w14:textId="77777777" w:rsidR="00965FA2" w:rsidRPr="00993756" w:rsidRDefault="00965FA2" w:rsidP="00B079C6">
            <w:pPr>
              <w:jc w:val="center"/>
              <w:rPr>
                <w:b/>
                <w:bCs/>
                <w:noProof/>
              </w:rPr>
            </w:pPr>
          </w:p>
        </w:tc>
        <w:tc>
          <w:tcPr>
            <w:tcW w:w="346" w:type="dxa"/>
            <w:shd w:val="clear" w:color="auto" w:fill="auto"/>
          </w:tcPr>
          <w:p w14:paraId="41A41368" w14:textId="77777777" w:rsidR="00965FA2" w:rsidRPr="00993756" w:rsidRDefault="00965FA2" w:rsidP="00B079C6">
            <w:pPr>
              <w:jc w:val="center"/>
              <w:rPr>
                <w:b/>
                <w:bCs/>
                <w:noProof/>
              </w:rPr>
            </w:pPr>
          </w:p>
        </w:tc>
        <w:tc>
          <w:tcPr>
            <w:tcW w:w="2576" w:type="dxa"/>
            <w:tcBorders>
              <w:top w:val="single" w:sz="4" w:space="0" w:color="auto"/>
              <w:left w:val="nil"/>
              <w:bottom w:val="nil"/>
              <w:right w:val="nil"/>
            </w:tcBorders>
            <w:shd w:val="clear" w:color="auto" w:fill="auto"/>
          </w:tcPr>
          <w:p w14:paraId="4E894982" w14:textId="77777777" w:rsidR="00965FA2" w:rsidRPr="00993756" w:rsidRDefault="00965FA2" w:rsidP="00B079C6">
            <w:pPr>
              <w:jc w:val="center"/>
              <w:rPr>
                <w:b/>
                <w:bCs/>
                <w:noProof/>
              </w:rPr>
            </w:pPr>
            <w:r w:rsidRPr="00993756">
              <w:rPr>
                <w:rFonts w:hint="cs"/>
                <w:b/>
                <w:bCs/>
                <w:rtl/>
              </w:rPr>
              <w:t>תמר נאות פרי, שופטת</w:t>
            </w:r>
          </w:p>
        </w:tc>
      </w:tr>
    </w:tbl>
    <w:p w14:paraId="3E1B8FD9" w14:textId="77777777" w:rsidR="00965FA2" w:rsidRDefault="00965FA2" w:rsidP="00965FA2">
      <w:pPr>
        <w:pStyle w:val="david0"/>
        <w:spacing w:line="360" w:lineRule="auto"/>
        <w:jc w:val="both"/>
        <w:rPr>
          <w:rtl/>
        </w:rPr>
      </w:pPr>
    </w:p>
    <w:p w14:paraId="426A5139" w14:textId="77777777" w:rsidR="00965FA2" w:rsidRDefault="00965FA2" w:rsidP="00965FA2">
      <w:pPr>
        <w:pStyle w:val="david0"/>
        <w:spacing w:line="360" w:lineRule="auto"/>
        <w:jc w:val="both"/>
        <w:rPr>
          <w:rtl/>
        </w:rPr>
      </w:pPr>
    </w:p>
    <w:p w14:paraId="03BAC5F0" w14:textId="77777777" w:rsidR="00965FA2" w:rsidRDefault="00965FA2" w:rsidP="00965FA2">
      <w:pPr>
        <w:pStyle w:val="david0"/>
        <w:spacing w:line="360" w:lineRule="auto"/>
        <w:jc w:val="both"/>
        <w:rPr>
          <w:rtl/>
        </w:rPr>
      </w:pPr>
      <w:r>
        <w:rPr>
          <w:rFonts w:hint="cs"/>
          <w:rtl/>
        </w:rPr>
        <w:t>הוחלט כאמור בגזר דינו של סגן הנשיא, השופט אליקים. בהתאם הוחלט לגזור על כל אחד מהנאשמים את העונשים הבאים:</w:t>
      </w:r>
    </w:p>
    <w:p w14:paraId="2F482D94" w14:textId="77777777" w:rsidR="00965FA2" w:rsidRDefault="00965FA2" w:rsidP="00965FA2">
      <w:pPr>
        <w:pStyle w:val="david0"/>
        <w:spacing w:line="360" w:lineRule="auto"/>
        <w:rPr>
          <w:rtl/>
        </w:rPr>
      </w:pPr>
    </w:p>
    <w:p w14:paraId="7F0952BD" w14:textId="77777777" w:rsidR="00965FA2" w:rsidRPr="00A029FB" w:rsidRDefault="00965FA2" w:rsidP="00965FA2">
      <w:pPr>
        <w:pStyle w:val="david0"/>
        <w:spacing w:line="360" w:lineRule="auto"/>
        <w:rPr>
          <w:b/>
          <w:bCs/>
          <w:u w:val="single"/>
          <w:rtl/>
        </w:rPr>
      </w:pPr>
      <w:r w:rsidRPr="00A029FB">
        <w:rPr>
          <w:b/>
          <w:bCs/>
          <w:u w:val="single"/>
          <w:rtl/>
        </w:rPr>
        <w:t>נאשם 1:</w:t>
      </w:r>
    </w:p>
    <w:p w14:paraId="23B823E8" w14:textId="77777777" w:rsidR="00965FA2" w:rsidRDefault="00965FA2" w:rsidP="00965FA2">
      <w:pPr>
        <w:pStyle w:val="david0"/>
        <w:spacing w:line="360" w:lineRule="auto"/>
        <w:rPr>
          <w:rtl/>
        </w:rPr>
      </w:pPr>
      <w:r>
        <w:rPr>
          <w:rtl/>
        </w:rPr>
        <w:t>-</w:t>
      </w:r>
      <w:r>
        <w:rPr>
          <w:rFonts w:hint="cs"/>
          <w:rtl/>
        </w:rPr>
        <w:t xml:space="preserve"> </w:t>
      </w:r>
      <w:r>
        <w:rPr>
          <w:rtl/>
        </w:rPr>
        <w:t>עונש של 13 שנות מאסר בפועל. תחילת ריצוי המאסר מיום מעצרו - 1.6.2014.</w:t>
      </w:r>
    </w:p>
    <w:p w14:paraId="6A464FDF" w14:textId="77777777" w:rsidR="00965FA2" w:rsidRDefault="00965FA2" w:rsidP="00965FA2">
      <w:pPr>
        <w:pStyle w:val="david0"/>
        <w:rPr>
          <w:rtl/>
        </w:rPr>
      </w:pPr>
    </w:p>
    <w:p w14:paraId="267320FD" w14:textId="77777777" w:rsidR="00965FA2" w:rsidRDefault="00965FA2" w:rsidP="00965FA2">
      <w:pPr>
        <w:pStyle w:val="david0"/>
        <w:spacing w:line="360" w:lineRule="auto"/>
        <w:rPr>
          <w:rtl/>
        </w:rPr>
      </w:pPr>
      <w:r>
        <w:rPr>
          <w:rtl/>
        </w:rPr>
        <w:t>-</w:t>
      </w:r>
      <w:r>
        <w:rPr>
          <w:rFonts w:hint="cs"/>
          <w:rtl/>
        </w:rPr>
        <w:t xml:space="preserve"> </w:t>
      </w:r>
      <w:r>
        <w:rPr>
          <w:rtl/>
        </w:rPr>
        <w:t>עונש מאסר על תנאי של 24 חודשים למשך שנתיים, והתנאי הוא שהנאשם לא יעבור עבירת אלימות מסוג פשע או עבירת נשק מסוג פשע ויורשע בגינן.</w:t>
      </w:r>
    </w:p>
    <w:p w14:paraId="29C550DE" w14:textId="77777777" w:rsidR="00965FA2" w:rsidRDefault="00965FA2" w:rsidP="00965FA2">
      <w:pPr>
        <w:pStyle w:val="david0"/>
        <w:rPr>
          <w:rtl/>
        </w:rPr>
      </w:pPr>
    </w:p>
    <w:p w14:paraId="11BC2F04" w14:textId="77777777" w:rsidR="00965FA2" w:rsidRDefault="00965FA2" w:rsidP="00965FA2">
      <w:pPr>
        <w:pStyle w:val="david0"/>
        <w:spacing w:line="360" w:lineRule="auto"/>
        <w:rPr>
          <w:rtl/>
        </w:rPr>
      </w:pPr>
      <w:r>
        <w:rPr>
          <w:rtl/>
        </w:rPr>
        <w:t>-</w:t>
      </w:r>
      <w:r>
        <w:rPr>
          <w:rFonts w:hint="cs"/>
          <w:rtl/>
        </w:rPr>
        <w:t xml:space="preserve"> </w:t>
      </w:r>
      <w:r>
        <w:rPr>
          <w:rtl/>
        </w:rPr>
        <w:t xml:space="preserve">פיצוי כספי לנפגעי העבירה (אשתו ובנו של המנוח שפרטיהם יימסרו למזכירות על ידי המאשימה) בסכום כולל של 200,000 ₪ אשר יחולק בין שניהם בחלקים שווים. הפיצוי ישולם עד לא יאוחר מתאריך 1.7.2017 ויופקד במזכירות בית המשפט המחוזי בחיפה. </w:t>
      </w:r>
    </w:p>
    <w:p w14:paraId="7B64622C" w14:textId="77777777" w:rsidR="00965FA2" w:rsidRDefault="00965FA2" w:rsidP="00965FA2">
      <w:pPr>
        <w:pStyle w:val="david0"/>
        <w:rPr>
          <w:b/>
          <w:bCs/>
          <w:u w:val="single"/>
          <w:rtl/>
        </w:rPr>
      </w:pPr>
    </w:p>
    <w:p w14:paraId="55173B41" w14:textId="77777777" w:rsidR="00965FA2" w:rsidRPr="00A029FB" w:rsidRDefault="00965FA2" w:rsidP="00965FA2">
      <w:pPr>
        <w:pStyle w:val="david0"/>
        <w:spacing w:line="360" w:lineRule="auto"/>
        <w:rPr>
          <w:b/>
          <w:bCs/>
          <w:u w:val="single"/>
          <w:rtl/>
        </w:rPr>
      </w:pPr>
      <w:r w:rsidRPr="00A029FB">
        <w:rPr>
          <w:b/>
          <w:bCs/>
          <w:u w:val="single"/>
          <w:rtl/>
        </w:rPr>
        <w:t>נאשם 2:</w:t>
      </w:r>
    </w:p>
    <w:p w14:paraId="7748FD75" w14:textId="77777777" w:rsidR="00965FA2" w:rsidRDefault="00965FA2" w:rsidP="00965FA2">
      <w:pPr>
        <w:pStyle w:val="david0"/>
        <w:spacing w:line="360" w:lineRule="auto"/>
        <w:rPr>
          <w:rtl/>
        </w:rPr>
      </w:pPr>
      <w:r>
        <w:rPr>
          <w:rtl/>
        </w:rPr>
        <w:t>-</w:t>
      </w:r>
      <w:r>
        <w:rPr>
          <w:rFonts w:hint="cs"/>
          <w:rtl/>
        </w:rPr>
        <w:t xml:space="preserve"> </w:t>
      </w:r>
      <w:r>
        <w:rPr>
          <w:rtl/>
        </w:rPr>
        <w:t>מאסר עולם בגין רצח המנוח.</w:t>
      </w:r>
    </w:p>
    <w:p w14:paraId="46307155" w14:textId="77777777" w:rsidR="00965FA2" w:rsidRDefault="00965FA2" w:rsidP="00965FA2">
      <w:pPr>
        <w:pStyle w:val="david0"/>
        <w:rPr>
          <w:rtl/>
        </w:rPr>
      </w:pPr>
    </w:p>
    <w:p w14:paraId="4B789F39" w14:textId="77777777" w:rsidR="00965FA2" w:rsidRDefault="00965FA2" w:rsidP="00965FA2">
      <w:pPr>
        <w:pStyle w:val="david0"/>
        <w:spacing w:line="360" w:lineRule="auto"/>
        <w:rPr>
          <w:rtl/>
        </w:rPr>
      </w:pPr>
      <w:r>
        <w:rPr>
          <w:rtl/>
        </w:rPr>
        <w:t>-</w:t>
      </w:r>
      <w:r>
        <w:rPr>
          <w:rFonts w:hint="cs"/>
          <w:rtl/>
        </w:rPr>
        <w:t xml:space="preserve"> </w:t>
      </w:r>
      <w:r>
        <w:rPr>
          <w:rtl/>
        </w:rPr>
        <w:t>3 שנות מאסר בפועל בגין עבירות הנשק וקשירת הקשר לפשע אשר ירוצו בחופף לעונש מאסר העולם, כך שבסה"כ ישא הנאשם 2 בעונש של מאסר עולם שתחילתו מיום מעצרו 2.6.2014.</w:t>
      </w:r>
    </w:p>
    <w:p w14:paraId="6D812346" w14:textId="77777777" w:rsidR="00965FA2" w:rsidRDefault="00965FA2" w:rsidP="00965FA2">
      <w:pPr>
        <w:pStyle w:val="david0"/>
        <w:spacing w:line="360" w:lineRule="auto"/>
        <w:rPr>
          <w:rtl/>
        </w:rPr>
      </w:pPr>
    </w:p>
    <w:p w14:paraId="0E331EE8" w14:textId="77777777" w:rsidR="00965FA2" w:rsidRDefault="00965FA2" w:rsidP="00965FA2">
      <w:pPr>
        <w:pStyle w:val="david0"/>
        <w:spacing w:line="360" w:lineRule="auto"/>
        <w:rPr>
          <w:rtl/>
        </w:rPr>
      </w:pPr>
      <w:r>
        <w:rPr>
          <w:rtl/>
        </w:rPr>
        <w:t xml:space="preserve">בהתחשב במועד סיומו של עונש המאסר בפועל </w:t>
      </w:r>
      <w:r>
        <w:rPr>
          <w:rFonts w:hint="cs"/>
          <w:rtl/>
        </w:rPr>
        <w:t>החלטנו</w:t>
      </w:r>
      <w:r>
        <w:rPr>
          <w:rtl/>
        </w:rPr>
        <w:t xml:space="preserve"> שלא להטיל על נאשם 2 עונש של מאסר על תנאי.</w:t>
      </w:r>
    </w:p>
    <w:p w14:paraId="5A35621A" w14:textId="77777777" w:rsidR="00965FA2" w:rsidRDefault="00965FA2" w:rsidP="00965FA2">
      <w:pPr>
        <w:pStyle w:val="david0"/>
        <w:rPr>
          <w:rtl/>
        </w:rPr>
      </w:pPr>
    </w:p>
    <w:p w14:paraId="4D0165A6" w14:textId="77777777" w:rsidR="00965FA2" w:rsidRDefault="00965FA2" w:rsidP="00965FA2">
      <w:pPr>
        <w:pStyle w:val="david0"/>
        <w:spacing w:line="360" w:lineRule="auto"/>
        <w:jc w:val="both"/>
        <w:rPr>
          <w:rtl/>
        </w:rPr>
      </w:pPr>
      <w:r>
        <w:rPr>
          <w:rtl/>
        </w:rPr>
        <w:t>-</w:t>
      </w:r>
      <w:r>
        <w:rPr>
          <w:rFonts w:hint="cs"/>
          <w:rtl/>
        </w:rPr>
        <w:t xml:space="preserve"> </w:t>
      </w:r>
      <w:r>
        <w:rPr>
          <w:rtl/>
        </w:rPr>
        <w:t>פיצוי כספי לנפגעי העבירה (אשתו ובנו של המנוח שפרטיהם יימסרו למזכירות על ידי המאשימה) בסכום כולל של 200,000 ₪ אשר יחולק בין שניהם בחלקים שווים. הפיצוי ישולם עד לא יאוחר מתאריך 1.7.2017 ויופקד במזכירות בית המשפט המחוזי בחיפה.</w:t>
      </w:r>
    </w:p>
    <w:p w14:paraId="49A561DA" w14:textId="77777777" w:rsidR="00965FA2" w:rsidRDefault="00965FA2" w:rsidP="00965FA2">
      <w:pPr>
        <w:pStyle w:val="david0"/>
        <w:spacing w:line="360" w:lineRule="auto"/>
        <w:jc w:val="both"/>
        <w:rPr>
          <w:rtl/>
        </w:rPr>
      </w:pPr>
    </w:p>
    <w:p w14:paraId="68A7CC26" w14:textId="77777777" w:rsidR="00965FA2" w:rsidRDefault="00965FA2" w:rsidP="00965FA2">
      <w:pPr>
        <w:pStyle w:val="david0"/>
        <w:spacing w:line="360" w:lineRule="auto"/>
        <w:jc w:val="both"/>
        <w:rPr>
          <w:rtl/>
        </w:rPr>
      </w:pPr>
      <w:r>
        <w:rPr>
          <w:rFonts w:hint="cs"/>
          <w:rtl/>
        </w:rPr>
        <w:t xml:space="preserve">אנו מבהירים כי לבני משפחת נפגע העבירה, שהם נפגעי עבירה, שמורה הזכות למצות את סעדיהם בהליך אזרחי ולתבוע פיצוי נוסף וזאת מעבר לסכום הפיצויים שנפסק על ידנו במסגרת ההליך הפלילי. נבהיר כי אין בסכום שנפסק כדי למצות את הנזק שנגרם למשפחתו של נפגע העבירה. הפיצוי בהליך הפלילי מיועד להקל על נפגעי עבירה ובני משפחתם, בגדר של סיוע ראשוני, ושמורה הזכות לתבוע פיצוי אשר ישקף את הנזק במלואו. </w:t>
      </w:r>
    </w:p>
    <w:p w14:paraId="084FB37C" w14:textId="77777777" w:rsidR="00965FA2" w:rsidRDefault="00965FA2" w:rsidP="00965FA2">
      <w:pPr>
        <w:pStyle w:val="david0"/>
        <w:spacing w:line="360" w:lineRule="auto"/>
        <w:jc w:val="both"/>
        <w:rPr>
          <w:rtl/>
        </w:rPr>
      </w:pPr>
    </w:p>
    <w:p w14:paraId="74A5622D" w14:textId="77777777" w:rsidR="00965FA2" w:rsidRDefault="00965FA2" w:rsidP="00965FA2">
      <w:pPr>
        <w:pStyle w:val="david0"/>
        <w:spacing w:line="360" w:lineRule="auto"/>
        <w:jc w:val="both"/>
        <w:rPr>
          <w:rtl/>
        </w:rPr>
      </w:pPr>
      <w:r>
        <w:rPr>
          <w:rFonts w:hint="cs"/>
          <w:rtl/>
        </w:rPr>
        <w:t xml:space="preserve">אין לנו אלא לקוות כי משפחת המנוח לא תדע עוד צער. </w:t>
      </w:r>
    </w:p>
    <w:p w14:paraId="07B45927" w14:textId="77777777" w:rsidR="00965FA2" w:rsidRDefault="00965FA2" w:rsidP="00965FA2">
      <w:pPr>
        <w:pStyle w:val="david0"/>
        <w:spacing w:line="360" w:lineRule="auto"/>
        <w:jc w:val="both"/>
        <w:rPr>
          <w:rtl/>
        </w:rPr>
      </w:pPr>
    </w:p>
    <w:p w14:paraId="2CCCE9F0" w14:textId="77777777" w:rsidR="00965FA2" w:rsidRPr="000539F1" w:rsidRDefault="00965FA2" w:rsidP="00965FA2">
      <w:pPr>
        <w:pStyle w:val="david0"/>
        <w:spacing w:line="360" w:lineRule="auto"/>
        <w:jc w:val="both"/>
        <w:rPr>
          <w:b/>
          <w:bCs/>
          <w:rtl/>
        </w:rPr>
      </w:pPr>
      <w:r w:rsidRPr="000539F1">
        <w:rPr>
          <w:rFonts w:hint="cs"/>
          <w:b/>
          <w:bCs/>
          <w:rtl/>
        </w:rPr>
        <w:t>הודעה לנאשמים זכותם לערער על הכרעת הדין ועל גזר הדין לבית המשפט העליון בתוך 45 יום.</w:t>
      </w:r>
    </w:p>
    <w:p w14:paraId="4C375B94" w14:textId="77777777" w:rsidR="00965FA2" w:rsidRDefault="00965FA2" w:rsidP="00965FA2">
      <w:pPr>
        <w:spacing w:line="360" w:lineRule="auto"/>
        <w:jc w:val="both"/>
        <w:rPr>
          <w:rtl/>
        </w:rPr>
      </w:pPr>
    </w:p>
    <w:p w14:paraId="02C109DF" w14:textId="77777777" w:rsidR="00965FA2" w:rsidRPr="00A12207" w:rsidRDefault="00965FA2" w:rsidP="00965FA2">
      <w:pPr>
        <w:spacing w:line="360" w:lineRule="auto"/>
        <w:jc w:val="both"/>
        <w:rPr>
          <w:rtl/>
        </w:rPr>
      </w:pPr>
    </w:p>
    <w:p w14:paraId="42A45FF7" w14:textId="77777777" w:rsidR="00965FA2" w:rsidRPr="0019648F" w:rsidRDefault="00B079C6" w:rsidP="00965FA2">
      <w:pPr>
        <w:jc w:val="both"/>
        <w:rPr>
          <w:rFonts w:ascii="Arial" w:hAnsi="Arial" w:hint="cs"/>
          <w:b/>
          <w:bCs/>
          <w:rtl/>
        </w:rPr>
      </w:pPr>
      <w:r w:rsidRPr="0019648F">
        <w:rPr>
          <w:rFonts w:ascii="Arial" w:hAnsi="Arial"/>
          <w:b/>
          <w:bCs/>
          <w:rtl/>
        </w:rPr>
        <w:t xml:space="preserve">ניתן היום,  י"א טבת תשע"ז, 09 ינואר 2017, במעמד הנאשמים וב"כ הצדדים.  </w:t>
      </w:r>
    </w:p>
    <w:p w14:paraId="37026A2A" w14:textId="77777777" w:rsidR="0019648F" w:rsidRDefault="0019648F" w:rsidP="00965FA2">
      <w:pPr>
        <w:jc w:val="both"/>
        <w:rPr>
          <w:rFonts w:ascii="Arial" w:hAnsi="Arial" w:hint="cs"/>
          <w:rtl/>
        </w:rPr>
      </w:pPr>
    </w:p>
    <w:p w14:paraId="72AF9928" w14:textId="77777777" w:rsidR="0019648F" w:rsidRDefault="0019648F" w:rsidP="00965FA2">
      <w:pPr>
        <w:jc w:val="both"/>
        <w:rPr>
          <w:rFonts w:ascii="Arial" w:hAnsi="Arial" w:hint="cs"/>
          <w:rtl/>
        </w:rPr>
      </w:pPr>
    </w:p>
    <w:p w14:paraId="559393CF" w14:textId="77777777" w:rsidR="00965FA2" w:rsidRPr="00B079C6" w:rsidRDefault="00B079C6" w:rsidP="00965FA2">
      <w:pPr>
        <w:jc w:val="both"/>
        <w:rPr>
          <w:rFonts w:ascii="Arial" w:hAnsi="Arial"/>
          <w:color w:val="FFFFFF"/>
          <w:sz w:val="2"/>
          <w:szCs w:val="2"/>
          <w:rtl/>
        </w:rPr>
      </w:pPr>
      <w:r w:rsidRPr="00B079C6">
        <w:rPr>
          <w:rFonts w:ascii="Arial" w:hAnsi="Arial"/>
          <w:color w:val="FFFFFF"/>
          <w:sz w:val="2"/>
          <w:szCs w:val="2"/>
          <w:rtl/>
        </w:rPr>
        <w:t>5129371</w:t>
      </w:r>
    </w:p>
    <w:tbl>
      <w:tblPr>
        <w:bidiVisual/>
        <w:tblW w:w="0" w:type="auto"/>
        <w:tblLook w:val="01E0" w:firstRow="1" w:lastRow="1" w:firstColumn="1" w:lastColumn="1" w:noHBand="0" w:noVBand="0"/>
      </w:tblPr>
      <w:tblGrid>
        <w:gridCol w:w="2806"/>
        <w:gridCol w:w="356"/>
        <w:gridCol w:w="2406"/>
        <w:gridCol w:w="342"/>
        <w:gridCol w:w="2595"/>
      </w:tblGrid>
      <w:tr w:rsidR="00965FA2" w:rsidRPr="00D03339" w14:paraId="7B05F5C2" w14:textId="77777777">
        <w:tc>
          <w:tcPr>
            <w:tcW w:w="2806" w:type="dxa"/>
            <w:tcBorders>
              <w:top w:val="nil"/>
              <w:left w:val="nil"/>
              <w:bottom w:val="single" w:sz="4" w:space="0" w:color="auto"/>
              <w:right w:val="nil"/>
            </w:tcBorders>
            <w:shd w:val="clear" w:color="auto" w:fill="auto"/>
            <w:vAlign w:val="center"/>
          </w:tcPr>
          <w:p w14:paraId="199A44D8" w14:textId="77777777" w:rsidR="00965FA2" w:rsidRPr="00B079C6" w:rsidRDefault="00B079C6" w:rsidP="00B079C6">
            <w:pPr>
              <w:jc w:val="center"/>
              <w:rPr>
                <w:rFonts w:ascii="Courier New" w:hAnsi="Courier New"/>
                <w:b/>
                <w:bCs/>
                <w:noProof/>
                <w:color w:val="FFFFFF"/>
                <w:sz w:val="2"/>
                <w:szCs w:val="2"/>
              </w:rPr>
            </w:pPr>
            <w:r w:rsidRPr="00B079C6">
              <w:rPr>
                <w:rFonts w:ascii="Courier New" w:hAnsi="Courier New"/>
                <w:b/>
                <w:bCs/>
                <w:noProof/>
                <w:color w:val="FFFFFF"/>
                <w:sz w:val="2"/>
                <w:szCs w:val="2"/>
                <w:rtl/>
              </w:rPr>
              <w:t>54678313</w:t>
            </w:r>
          </w:p>
        </w:tc>
        <w:tc>
          <w:tcPr>
            <w:tcW w:w="356" w:type="dxa"/>
            <w:shd w:val="clear" w:color="auto" w:fill="auto"/>
            <w:vAlign w:val="center"/>
          </w:tcPr>
          <w:p w14:paraId="4E4FC160" w14:textId="77777777" w:rsidR="00965FA2" w:rsidRPr="00993756" w:rsidRDefault="00965FA2" w:rsidP="00B079C6">
            <w:pPr>
              <w:jc w:val="center"/>
              <w:rPr>
                <w:rFonts w:ascii="Courier New" w:hAnsi="Courier New"/>
                <w:b/>
                <w:bCs/>
                <w:noProof/>
              </w:rPr>
            </w:pPr>
          </w:p>
        </w:tc>
        <w:tc>
          <w:tcPr>
            <w:tcW w:w="2406" w:type="dxa"/>
            <w:tcBorders>
              <w:top w:val="nil"/>
              <w:left w:val="nil"/>
              <w:bottom w:val="single" w:sz="4" w:space="0" w:color="auto"/>
              <w:right w:val="nil"/>
            </w:tcBorders>
            <w:shd w:val="clear" w:color="auto" w:fill="auto"/>
            <w:vAlign w:val="center"/>
          </w:tcPr>
          <w:p w14:paraId="64BA4E79" w14:textId="77777777" w:rsidR="00965FA2" w:rsidRPr="00993756" w:rsidRDefault="00965FA2" w:rsidP="00B079C6">
            <w:pPr>
              <w:jc w:val="center"/>
              <w:rPr>
                <w:rFonts w:ascii="Courier New" w:hAnsi="Courier New"/>
                <w:b/>
                <w:bCs/>
                <w:noProof/>
              </w:rPr>
            </w:pPr>
          </w:p>
        </w:tc>
        <w:tc>
          <w:tcPr>
            <w:tcW w:w="342" w:type="dxa"/>
            <w:shd w:val="clear" w:color="auto" w:fill="auto"/>
            <w:vAlign w:val="center"/>
          </w:tcPr>
          <w:p w14:paraId="5A61668D" w14:textId="77777777" w:rsidR="00965FA2" w:rsidRPr="00993756" w:rsidRDefault="00965FA2" w:rsidP="00B079C6">
            <w:pPr>
              <w:jc w:val="center"/>
              <w:rPr>
                <w:rFonts w:ascii="Courier New" w:hAnsi="Courier New"/>
                <w:b/>
                <w:bCs/>
                <w:noProof/>
              </w:rPr>
            </w:pPr>
          </w:p>
        </w:tc>
        <w:tc>
          <w:tcPr>
            <w:tcW w:w="2595" w:type="dxa"/>
            <w:tcBorders>
              <w:top w:val="nil"/>
              <w:left w:val="nil"/>
              <w:bottom w:val="single" w:sz="4" w:space="0" w:color="auto"/>
              <w:right w:val="nil"/>
            </w:tcBorders>
            <w:shd w:val="clear" w:color="auto" w:fill="auto"/>
            <w:vAlign w:val="center"/>
          </w:tcPr>
          <w:p w14:paraId="65A80CF5" w14:textId="77777777" w:rsidR="00965FA2" w:rsidRPr="00993756" w:rsidRDefault="00965FA2" w:rsidP="00B079C6">
            <w:pPr>
              <w:jc w:val="center"/>
              <w:rPr>
                <w:rFonts w:ascii="Courier New" w:hAnsi="Courier New"/>
                <w:b/>
                <w:bCs/>
                <w:noProof/>
              </w:rPr>
            </w:pPr>
          </w:p>
        </w:tc>
      </w:tr>
      <w:tr w:rsidR="00965FA2" w:rsidRPr="00D03339" w14:paraId="7632E7E1" w14:textId="77777777">
        <w:tc>
          <w:tcPr>
            <w:tcW w:w="2806" w:type="dxa"/>
            <w:tcBorders>
              <w:top w:val="single" w:sz="4" w:space="0" w:color="auto"/>
              <w:left w:val="nil"/>
              <w:bottom w:val="nil"/>
              <w:right w:val="nil"/>
            </w:tcBorders>
            <w:shd w:val="clear" w:color="auto" w:fill="auto"/>
          </w:tcPr>
          <w:p w14:paraId="2EB1FCC1" w14:textId="77777777" w:rsidR="00965FA2" w:rsidRPr="00993756" w:rsidRDefault="00965FA2" w:rsidP="00B079C6">
            <w:pPr>
              <w:jc w:val="center"/>
              <w:rPr>
                <w:b/>
                <w:bCs/>
                <w:noProof/>
                <w:rtl/>
              </w:rPr>
            </w:pPr>
            <w:r w:rsidRPr="00993756">
              <w:rPr>
                <w:rFonts w:hint="cs"/>
                <w:b/>
                <w:bCs/>
                <w:rtl/>
              </w:rPr>
              <w:t>רון שפירא, סגן נשיא</w:t>
            </w:r>
          </w:p>
          <w:p w14:paraId="7D3A3387" w14:textId="77777777" w:rsidR="00965FA2" w:rsidRPr="00993756" w:rsidRDefault="00965FA2" w:rsidP="00B079C6">
            <w:pPr>
              <w:jc w:val="center"/>
              <w:rPr>
                <w:b/>
                <w:bCs/>
                <w:noProof/>
              </w:rPr>
            </w:pPr>
            <w:r w:rsidRPr="00993756">
              <w:rPr>
                <w:rFonts w:hint="cs"/>
                <w:b/>
                <w:bCs/>
                <w:rtl/>
              </w:rPr>
              <w:t>[אב"ד]</w:t>
            </w:r>
          </w:p>
        </w:tc>
        <w:tc>
          <w:tcPr>
            <w:tcW w:w="356" w:type="dxa"/>
            <w:shd w:val="clear" w:color="auto" w:fill="auto"/>
          </w:tcPr>
          <w:p w14:paraId="3CD7C3D2" w14:textId="77777777" w:rsidR="00965FA2" w:rsidRPr="00993756" w:rsidRDefault="00965FA2" w:rsidP="00B079C6">
            <w:pPr>
              <w:jc w:val="center"/>
              <w:rPr>
                <w:b/>
                <w:bCs/>
                <w:noProof/>
              </w:rPr>
            </w:pPr>
          </w:p>
        </w:tc>
        <w:tc>
          <w:tcPr>
            <w:tcW w:w="2406" w:type="dxa"/>
            <w:tcBorders>
              <w:top w:val="single" w:sz="4" w:space="0" w:color="auto"/>
              <w:left w:val="nil"/>
              <w:bottom w:val="nil"/>
              <w:right w:val="nil"/>
            </w:tcBorders>
            <w:shd w:val="clear" w:color="auto" w:fill="auto"/>
          </w:tcPr>
          <w:p w14:paraId="3C8019D8" w14:textId="77777777" w:rsidR="00965FA2" w:rsidRPr="00993756" w:rsidRDefault="00965FA2" w:rsidP="00B079C6">
            <w:pPr>
              <w:jc w:val="center"/>
              <w:rPr>
                <w:b/>
                <w:bCs/>
                <w:noProof/>
              </w:rPr>
            </w:pPr>
            <w:r w:rsidRPr="00993756">
              <w:rPr>
                <w:rFonts w:hint="cs"/>
                <w:b/>
                <w:bCs/>
                <w:rtl/>
              </w:rPr>
              <w:t xml:space="preserve">אברהם אליקים, </w:t>
            </w:r>
            <w:r w:rsidRPr="00993756">
              <w:rPr>
                <w:b/>
                <w:bCs/>
                <w:rtl/>
              </w:rPr>
              <w:br/>
            </w:r>
            <w:r w:rsidRPr="00993756">
              <w:rPr>
                <w:rFonts w:hint="cs"/>
                <w:b/>
                <w:bCs/>
                <w:rtl/>
              </w:rPr>
              <w:t>סגן נשיא</w:t>
            </w:r>
          </w:p>
        </w:tc>
        <w:tc>
          <w:tcPr>
            <w:tcW w:w="342" w:type="dxa"/>
            <w:shd w:val="clear" w:color="auto" w:fill="auto"/>
          </w:tcPr>
          <w:p w14:paraId="196C430C" w14:textId="77777777" w:rsidR="00965FA2" w:rsidRPr="00993756" w:rsidRDefault="00965FA2" w:rsidP="00B079C6">
            <w:pPr>
              <w:jc w:val="center"/>
              <w:rPr>
                <w:b/>
                <w:bCs/>
                <w:noProof/>
              </w:rPr>
            </w:pPr>
          </w:p>
        </w:tc>
        <w:tc>
          <w:tcPr>
            <w:tcW w:w="2595" w:type="dxa"/>
            <w:tcBorders>
              <w:top w:val="single" w:sz="4" w:space="0" w:color="auto"/>
              <w:left w:val="nil"/>
              <w:bottom w:val="nil"/>
              <w:right w:val="nil"/>
            </w:tcBorders>
            <w:shd w:val="clear" w:color="auto" w:fill="auto"/>
          </w:tcPr>
          <w:p w14:paraId="6954D316" w14:textId="77777777" w:rsidR="00965FA2" w:rsidRPr="00993756" w:rsidRDefault="00965FA2" w:rsidP="00B079C6">
            <w:pPr>
              <w:jc w:val="center"/>
              <w:rPr>
                <w:b/>
                <w:bCs/>
                <w:noProof/>
              </w:rPr>
            </w:pPr>
            <w:r w:rsidRPr="00993756">
              <w:rPr>
                <w:rFonts w:hint="cs"/>
                <w:b/>
                <w:bCs/>
                <w:rtl/>
              </w:rPr>
              <w:t>תמר נאות פרי, שופטת</w:t>
            </w:r>
          </w:p>
        </w:tc>
      </w:tr>
    </w:tbl>
    <w:p w14:paraId="19F68A5E" w14:textId="77777777" w:rsidR="00965FA2" w:rsidRPr="00565A63" w:rsidRDefault="00565A63" w:rsidP="00965FA2">
      <w:pPr>
        <w:rPr>
          <w:color w:val="FFFFFF"/>
          <w:sz w:val="2"/>
          <w:szCs w:val="2"/>
        </w:rPr>
      </w:pPr>
      <w:r w:rsidRPr="00565A63">
        <w:rPr>
          <w:color w:val="FFFFFF"/>
          <w:sz w:val="2"/>
          <w:szCs w:val="2"/>
          <w:rtl/>
        </w:rPr>
        <w:t>5129371</w:t>
      </w:r>
    </w:p>
    <w:p w14:paraId="2226F3B8" w14:textId="77777777" w:rsidR="00B079C6" w:rsidRPr="00565A63" w:rsidRDefault="0019648F" w:rsidP="00B079C6">
      <w:pPr>
        <w:keepNext/>
        <w:rPr>
          <w:rFonts w:ascii="David" w:hAnsi="David"/>
          <w:color w:val="FFFFFF"/>
          <w:sz w:val="2"/>
          <w:szCs w:val="2"/>
          <w:rtl/>
        </w:rPr>
      </w:pPr>
      <w:r w:rsidRPr="0019648F">
        <w:rPr>
          <w:rFonts w:ascii="David" w:hAnsi="David"/>
          <w:color w:val="FFFFFF"/>
          <w:sz w:val="2"/>
          <w:szCs w:val="2"/>
          <w:rtl/>
        </w:rPr>
        <w:t>5129371</w:t>
      </w:r>
      <w:r w:rsidR="00565A63" w:rsidRPr="00565A63">
        <w:rPr>
          <w:rFonts w:ascii="David" w:hAnsi="David"/>
          <w:color w:val="FFFFFF"/>
          <w:sz w:val="2"/>
          <w:szCs w:val="2"/>
          <w:rtl/>
        </w:rPr>
        <w:t>54678313</w:t>
      </w:r>
    </w:p>
    <w:p w14:paraId="4B609CD4" w14:textId="77777777" w:rsidR="00B079C6" w:rsidRDefault="00B079C6" w:rsidP="00B079C6">
      <w:pPr>
        <w:rPr>
          <w:rtl/>
        </w:rPr>
      </w:pPr>
    </w:p>
    <w:p w14:paraId="546D59B1" w14:textId="77777777" w:rsidR="00B079C6" w:rsidRDefault="00B079C6" w:rsidP="00B079C6">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0216ABA1" w14:textId="77777777" w:rsidR="00565A63" w:rsidRPr="00565A63" w:rsidRDefault="00565A63" w:rsidP="00565A63">
      <w:pPr>
        <w:keepNext/>
        <w:rPr>
          <w:rFonts w:ascii="David" w:hAnsi="David"/>
          <w:color w:val="000000"/>
          <w:sz w:val="22"/>
          <w:szCs w:val="22"/>
          <w:rtl/>
        </w:rPr>
      </w:pPr>
    </w:p>
    <w:p w14:paraId="3AC2E82D" w14:textId="77777777" w:rsidR="0019648F" w:rsidRPr="0019648F" w:rsidRDefault="0019648F" w:rsidP="0019648F">
      <w:pPr>
        <w:keepNext/>
        <w:rPr>
          <w:rFonts w:ascii="David" w:hAnsi="David"/>
          <w:color w:val="000000"/>
          <w:sz w:val="22"/>
          <w:szCs w:val="22"/>
          <w:rtl/>
        </w:rPr>
      </w:pPr>
    </w:p>
    <w:p w14:paraId="6251D207" w14:textId="77777777" w:rsidR="0019648F" w:rsidRPr="0019648F" w:rsidRDefault="0019648F" w:rsidP="0019648F">
      <w:pPr>
        <w:keepNext/>
        <w:rPr>
          <w:rFonts w:ascii="David" w:hAnsi="David"/>
          <w:color w:val="000000"/>
          <w:sz w:val="22"/>
          <w:szCs w:val="22"/>
          <w:rtl/>
        </w:rPr>
      </w:pPr>
      <w:r w:rsidRPr="0019648F">
        <w:rPr>
          <w:rFonts w:ascii="David" w:hAnsi="David"/>
          <w:color w:val="000000"/>
          <w:sz w:val="22"/>
          <w:szCs w:val="22"/>
          <w:rtl/>
        </w:rPr>
        <w:t>רון שפירא 54678313-/</w:t>
      </w:r>
    </w:p>
    <w:p w14:paraId="77F3328D" w14:textId="77777777" w:rsidR="00B35717" w:rsidRPr="00B079C6" w:rsidRDefault="0019648F" w:rsidP="0019648F">
      <w:pPr>
        <w:rPr>
          <w:color w:val="0000FF"/>
          <w:u w:val="single"/>
        </w:rPr>
      </w:pPr>
      <w:r w:rsidRPr="0019648F">
        <w:rPr>
          <w:color w:val="000000"/>
          <w:u w:val="single"/>
          <w:rtl/>
        </w:rPr>
        <w:t>נוסח מסמך זה כפוף לשינויי ניסוח ועריכה</w:t>
      </w:r>
    </w:p>
    <w:sectPr w:rsidR="00B35717" w:rsidRPr="00B079C6" w:rsidSect="0019648F">
      <w:headerReference w:type="even" r:id="rId57"/>
      <w:headerReference w:type="default" r:id="rId58"/>
      <w:footerReference w:type="even" r:id="rId59"/>
      <w:footerReference w:type="default" r:id="rId60"/>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C6FDAB" w14:textId="77777777" w:rsidR="00606E4D" w:rsidRDefault="00606E4D">
      <w:r>
        <w:separator/>
      </w:r>
    </w:p>
  </w:endnote>
  <w:endnote w:type="continuationSeparator" w:id="0">
    <w:p w14:paraId="7FEE22A4" w14:textId="77777777" w:rsidR="00606E4D" w:rsidRDefault="00606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Arial TUR">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B5E20" w14:textId="77777777" w:rsidR="0019648F" w:rsidRDefault="0019648F" w:rsidP="001964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14</w:t>
    </w:r>
    <w:r>
      <w:rPr>
        <w:rFonts w:ascii="FrankRuehl" w:hAnsi="FrankRuehl" w:cs="FrankRuehl"/>
        <w:rtl/>
      </w:rPr>
      <w:fldChar w:fldCharType="end"/>
    </w:r>
  </w:p>
  <w:p w14:paraId="1EC6C339" w14:textId="77777777" w:rsidR="00EB7231" w:rsidRPr="0019648F" w:rsidRDefault="0019648F" w:rsidP="0019648F">
    <w:pPr>
      <w:pStyle w:val="a4"/>
      <w:pBdr>
        <w:top w:val="single" w:sz="4" w:space="1" w:color="auto"/>
        <w:between w:val="single" w:sz="4" w:space="0" w:color="auto"/>
      </w:pBdr>
      <w:spacing w:after="60"/>
      <w:jc w:val="center"/>
      <w:rPr>
        <w:rFonts w:ascii="FrankRuehl" w:hAnsi="FrankRuehl" w:cs="FrankRuehl"/>
        <w:color w:val="000000"/>
      </w:rPr>
    </w:pPr>
    <w:r w:rsidRPr="0019648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8A857" w14:textId="77777777" w:rsidR="0019648F" w:rsidRDefault="0019648F" w:rsidP="0019648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0C7A">
      <w:rPr>
        <w:rFonts w:ascii="FrankRuehl" w:hAnsi="FrankRuehl" w:cs="FrankRuehl"/>
        <w:noProof/>
        <w:rtl/>
      </w:rPr>
      <w:t>1</w:t>
    </w:r>
    <w:r>
      <w:rPr>
        <w:rFonts w:ascii="FrankRuehl" w:hAnsi="FrankRuehl" w:cs="FrankRuehl"/>
        <w:rtl/>
      </w:rPr>
      <w:fldChar w:fldCharType="end"/>
    </w:r>
  </w:p>
  <w:p w14:paraId="1B4EB69F" w14:textId="77777777" w:rsidR="00EB7231" w:rsidRPr="0019648F" w:rsidRDefault="0019648F" w:rsidP="0019648F">
    <w:pPr>
      <w:pStyle w:val="a4"/>
      <w:pBdr>
        <w:top w:val="single" w:sz="4" w:space="1" w:color="auto"/>
        <w:between w:val="single" w:sz="4" w:space="0" w:color="auto"/>
      </w:pBdr>
      <w:spacing w:after="60"/>
      <w:jc w:val="center"/>
      <w:rPr>
        <w:rFonts w:ascii="FrankRuehl" w:hAnsi="FrankRuehl" w:cs="FrankRuehl"/>
        <w:color w:val="000000"/>
      </w:rPr>
    </w:pPr>
    <w:r w:rsidRPr="0019648F">
      <w:rPr>
        <w:rFonts w:ascii="FrankRuehl" w:hAnsi="FrankRuehl" w:cs="FrankRuehl"/>
        <w:color w:val="000000"/>
      </w:rPr>
      <w:pict w14:anchorId="5BE87E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5E2BA" w14:textId="77777777" w:rsidR="00606E4D" w:rsidRDefault="00606E4D">
      <w:r>
        <w:separator/>
      </w:r>
    </w:p>
  </w:footnote>
  <w:footnote w:type="continuationSeparator" w:id="0">
    <w:p w14:paraId="02150C4D" w14:textId="77777777" w:rsidR="00606E4D" w:rsidRDefault="00606E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315255" w14:textId="77777777" w:rsidR="00EB7231" w:rsidRPr="0019648F" w:rsidRDefault="0019648F" w:rsidP="001964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866-07-14</w:t>
    </w:r>
    <w:r>
      <w:rPr>
        <w:rFonts w:ascii="David" w:hAnsi="David"/>
        <w:color w:val="000000"/>
        <w:sz w:val="22"/>
        <w:szCs w:val="22"/>
        <w:rtl/>
      </w:rPr>
      <w:tab/>
      <w:t xml:space="preserve"> מדינת ישראל נ' רפי שלומוב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FC509" w14:textId="77777777" w:rsidR="00EB7231" w:rsidRPr="0019648F" w:rsidRDefault="0019648F" w:rsidP="0019648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(חי') 866-07-14</w:t>
    </w:r>
    <w:r>
      <w:rPr>
        <w:rFonts w:ascii="David" w:hAnsi="David"/>
        <w:color w:val="000000"/>
        <w:sz w:val="22"/>
        <w:szCs w:val="22"/>
        <w:rtl/>
      </w:rPr>
      <w:tab/>
      <w:t xml:space="preserve"> מדינת ישראל נ' רפי שלומוב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65FA2"/>
    <w:rsid w:val="00004B4A"/>
    <w:rsid w:val="000258C6"/>
    <w:rsid w:val="0003377E"/>
    <w:rsid w:val="00092DB2"/>
    <w:rsid w:val="000B222D"/>
    <w:rsid w:val="000F3716"/>
    <w:rsid w:val="000F776E"/>
    <w:rsid w:val="001163D9"/>
    <w:rsid w:val="00123268"/>
    <w:rsid w:val="0013605C"/>
    <w:rsid w:val="0015154B"/>
    <w:rsid w:val="0017711A"/>
    <w:rsid w:val="0019648F"/>
    <w:rsid w:val="00203146"/>
    <w:rsid w:val="002474C9"/>
    <w:rsid w:val="002B1389"/>
    <w:rsid w:val="002D2C1C"/>
    <w:rsid w:val="002E4BA2"/>
    <w:rsid w:val="00327617"/>
    <w:rsid w:val="00371D27"/>
    <w:rsid w:val="00374124"/>
    <w:rsid w:val="003C709F"/>
    <w:rsid w:val="003D65D3"/>
    <w:rsid w:val="003E51B4"/>
    <w:rsid w:val="003F02C5"/>
    <w:rsid w:val="004D1A95"/>
    <w:rsid w:val="004D5997"/>
    <w:rsid w:val="00533D5C"/>
    <w:rsid w:val="00551C5E"/>
    <w:rsid w:val="005638FB"/>
    <w:rsid w:val="00565A63"/>
    <w:rsid w:val="00582B08"/>
    <w:rsid w:val="005847C1"/>
    <w:rsid w:val="005B4DDE"/>
    <w:rsid w:val="005E305D"/>
    <w:rsid w:val="00606E4D"/>
    <w:rsid w:val="00643A10"/>
    <w:rsid w:val="00671477"/>
    <w:rsid w:val="006D14FE"/>
    <w:rsid w:val="006D1E81"/>
    <w:rsid w:val="00710EDB"/>
    <w:rsid w:val="007171C2"/>
    <w:rsid w:val="00720984"/>
    <w:rsid w:val="007900C5"/>
    <w:rsid w:val="00790A9B"/>
    <w:rsid w:val="007A3B68"/>
    <w:rsid w:val="007D10E0"/>
    <w:rsid w:val="007D4CDC"/>
    <w:rsid w:val="007E62CB"/>
    <w:rsid w:val="008043FC"/>
    <w:rsid w:val="008057C3"/>
    <w:rsid w:val="0080705D"/>
    <w:rsid w:val="00860D56"/>
    <w:rsid w:val="00866CE3"/>
    <w:rsid w:val="00875CAA"/>
    <w:rsid w:val="008760F0"/>
    <w:rsid w:val="008A2539"/>
    <w:rsid w:val="008B2C82"/>
    <w:rsid w:val="008D4AF6"/>
    <w:rsid w:val="00901DEA"/>
    <w:rsid w:val="00913EC5"/>
    <w:rsid w:val="00946CA3"/>
    <w:rsid w:val="00965FA2"/>
    <w:rsid w:val="009A4E50"/>
    <w:rsid w:val="009A720E"/>
    <w:rsid w:val="009B4682"/>
    <w:rsid w:val="00A03304"/>
    <w:rsid w:val="00A24369"/>
    <w:rsid w:val="00A472AB"/>
    <w:rsid w:val="00A52B25"/>
    <w:rsid w:val="00A96648"/>
    <w:rsid w:val="00AE1669"/>
    <w:rsid w:val="00B07251"/>
    <w:rsid w:val="00B079C6"/>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308EF"/>
    <w:rsid w:val="00D357B5"/>
    <w:rsid w:val="00D40041"/>
    <w:rsid w:val="00D56203"/>
    <w:rsid w:val="00D60C7A"/>
    <w:rsid w:val="00D807AC"/>
    <w:rsid w:val="00D9471F"/>
    <w:rsid w:val="00DD36BA"/>
    <w:rsid w:val="00DE1662"/>
    <w:rsid w:val="00E45CCB"/>
    <w:rsid w:val="00E61C95"/>
    <w:rsid w:val="00EA60CD"/>
    <w:rsid w:val="00EB7231"/>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6B592C1"/>
  <w15:chartTrackingRefBased/>
  <w15:docId w15:val="{CD8AD692-8A6E-469C-96DE-C136069B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65FA2"/>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65FA2"/>
    <w:pPr>
      <w:tabs>
        <w:tab w:val="center" w:pos="4153"/>
        <w:tab w:val="right" w:pos="8306"/>
      </w:tabs>
    </w:pPr>
  </w:style>
  <w:style w:type="paragraph" w:styleId="a4">
    <w:name w:val="footer"/>
    <w:basedOn w:val="a"/>
    <w:rsid w:val="00965FA2"/>
    <w:pPr>
      <w:tabs>
        <w:tab w:val="center" w:pos="4153"/>
        <w:tab w:val="right" w:pos="8306"/>
      </w:tabs>
    </w:pPr>
  </w:style>
  <w:style w:type="character" w:styleId="a5">
    <w:name w:val="page number"/>
    <w:basedOn w:val="a0"/>
    <w:rsid w:val="00965FA2"/>
  </w:style>
  <w:style w:type="character" w:customStyle="1" w:styleId="TimesNewRomanTimesNewRoman">
    <w:name w:val="סגנון (לטיני) Times New Roman (עברית ושפות אחרות) Times New Roman..."/>
    <w:rsid w:val="00965FA2"/>
    <w:rPr>
      <w:rFonts w:ascii="Times New Roman" w:hAnsi="Times New Roman" w:cs="David" w:hint="default"/>
      <w:b/>
      <w:bCs/>
      <w:sz w:val="26"/>
      <w:szCs w:val="26"/>
    </w:rPr>
  </w:style>
  <w:style w:type="character" w:customStyle="1" w:styleId="david">
    <w:name w:val="david תו"/>
    <w:link w:val="david0"/>
    <w:locked/>
    <w:rsid w:val="00965FA2"/>
    <w:rPr>
      <w:szCs w:val="24"/>
      <w:lang w:bidi="he-IL"/>
    </w:rPr>
  </w:style>
  <w:style w:type="paragraph" w:customStyle="1" w:styleId="david0">
    <w:name w:val="david"/>
    <w:basedOn w:val="a"/>
    <w:link w:val="david"/>
    <w:rsid w:val="00965FA2"/>
    <w:rPr>
      <w:rFonts w:cs="Times New Roman"/>
      <w:sz w:val="20"/>
    </w:rPr>
  </w:style>
  <w:style w:type="character" w:customStyle="1" w:styleId="default">
    <w:name w:val="default"/>
    <w:rsid w:val="00965FA2"/>
    <w:rPr>
      <w:rFonts w:ascii="Times New Roman" w:hAnsi="Times New Roman" w:cs="Times New Roman" w:hint="default"/>
      <w:sz w:val="26"/>
      <w:szCs w:val="26"/>
    </w:rPr>
  </w:style>
  <w:style w:type="character" w:styleId="Hyperlink">
    <w:name w:val="Hyperlink"/>
    <w:rsid w:val="00965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70301/40ja" TargetMode="External"/><Relationship Id="rId26" Type="http://schemas.openxmlformats.org/officeDocument/2006/relationships/hyperlink" Target="http://www.nevo.co.il/law/70301/300.a.2" TargetMode="External"/><Relationship Id="rId39" Type="http://schemas.openxmlformats.org/officeDocument/2006/relationships/hyperlink" Target="http://www.nevo.co.il/case/5856504" TargetMode="External"/><Relationship Id="rId21" Type="http://schemas.openxmlformats.org/officeDocument/2006/relationships/hyperlink" Target="http://www.nevo.co.il/case/17018276" TargetMode="External"/><Relationship Id="rId34" Type="http://schemas.openxmlformats.org/officeDocument/2006/relationships/hyperlink" Target="http://www.nevo.co.il/case/6078350" TargetMode="External"/><Relationship Id="rId42" Type="http://schemas.openxmlformats.org/officeDocument/2006/relationships/hyperlink" Target="http://www.nevo.co.il/law/70301/40ja" TargetMode="External"/><Relationship Id="rId47" Type="http://schemas.openxmlformats.org/officeDocument/2006/relationships/hyperlink" Target="http://www.nevo.co.il/case/20191648"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6031891" TargetMode="External"/><Relationship Id="rId7" Type="http://schemas.openxmlformats.org/officeDocument/2006/relationships/hyperlink" Target="http://www.nevo.co.il/law/70301/29"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605461" TargetMode="External"/><Relationship Id="rId37" Type="http://schemas.openxmlformats.org/officeDocument/2006/relationships/hyperlink" Target="http://www.nevo.co.il/case/17045921" TargetMode="External"/><Relationship Id="rId40" Type="http://schemas.openxmlformats.org/officeDocument/2006/relationships/hyperlink" Target="http://www.nevo.co.il/law/70301/40i" TargetMode="External"/><Relationship Id="rId45" Type="http://schemas.openxmlformats.org/officeDocument/2006/relationships/hyperlink" Target="http://www.nevo.co.il/case/6018516" TargetMode="External"/><Relationship Id="rId53" Type="http://schemas.openxmlformats.org/officeDocument/2006/relationships/hyperlink" Target="http://www.nevo.co.il/law/70301"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70301/499" TargetMode="External"/><Relationship Id="rId14" Type="http://schemas.openxmlformats.org/officeDocument/2006/relationships/hyperlink" Target="http://www.nevo.co.il/law/70301/77" TargetMode="External"/><Relationship Id="rId22" Type="http://schemas.openxmlformats.org/officeDocument/2006/relationships/hyperlink" Target="http://www.nevo.co.il/law/70301/300.a.2" TargetMode="External"/><Relationship Id="rId27" Type="http://schemas.openxmlformats.org/officeDocument/2006/relationships/hyperlink" Target="http://www.nevo.co.il/law/70301/499" TargetMode="External"/><Relationship Id="rId30" Type="http://schemas.openxmlformats.org/officeDocument/2006/relationships/hyperlink" Target="http://www.nevo.co.il/law/70301/29" TargetMode="External"/><Relationship Id="rId35" Type="http://schemas.openxmlformats.org/officeDocument/2006/relationships/hyperlink" Target="http://www.nevo.co.il/case/17948129" TargetMode="External"/><Relationship Id="rId43" Type="http://schemas.openxmlformats.org/officeDocument/2006/relationships/hyperlink" Target="http://www.nevo.co.il/law/70301/40f" TargetMode="External"/><Relationship Id="rId48" Type="http://schemas.openxmlformats.org/officeDocument/2006/relationships/hyperlink" Target="http://www.nevo.co.il/case/5676752"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31" TargetMode="External"/><Relationship Id="rId51" Type="http://schemas.openxmlformats.org/officeDocument/2006/relationships/hyperlink" Target="http://www.nevo.co.il/case/20770422" TargetMode="External"/><Relationship Id="rId3" Type="http://schemas.openxmlformats.org/officeDocument/2006/relationships/webSettings" Target="webSettings.xml"/><Relationship Id="rId12" Type="http://schemas.openxmlformats.org/officeDocument/2006/relationships/hyperlink" Target="http://www.nevo.co.il/law/70301/40f" TargetMode="External"/><Relationship Id="rId17" Type="http://schemas.openxmlformats.org/officeDocument/2006/relationships/hyperlink" Target="http://www.nevo.co.il/law/70301/300.a.2" TargetMode="External"/><Relationship Id="rId25" Type="http://schemas.openxmlformats.org/officeDocument/2006/relationships/hyperlink" Target="http://www.nevo.co.il/law/70301/31" TargetMode="External"/><Relationship Id="rId33" Type="http://schemas.openxmlformats.org/officeDocument/2006/relationships/hyperlink" Target="http://www.nevo.co.il/law/70301/40b" TargetMode="External"/><Relationship Id="rId38" Type="http://schemas.openxmlformats.org/officeDocument/2006/relationships/hyperlink" Target="http://www.nevo.co.il/law/70301/32.1" TargetMode="External"/><Relationship Id="rId46" Type="http://schemas.openxmlformats.org/officeDocument/2006/relationships/hyperlink" Target="http://www.nevo.co.il/case/17018276" TargetMode="External"/><Relationship Id="rId59" Type="http://schemas.openxmlformats.org/officeDocument/2006/relationships/footer" Target="footer1.xml"/><Relationship Id="rId20" Type="http://schemas.openxmlformats.org/officeDocument/2006/relationships/hyperlink" Target="http://www.nevo.co.il/law/70302" TargetMode="External"/><Relationship Id="rId41" Type="http://schemas.openxmlformats.org/officeDocument/2006/relationships/hyperlink" Target="http://www.nevo.co.il/law/70301/40c.a" TargetMode="External"/><Relationship Id="rId54" Type="http://schemas.openxmlformats.org/officeDocument/2006/relationships/hyperlink" Target="http://www.nevo.co.il/law/74903"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23" Type="http://schemas.openxmlformats.org/officeDocument/2006/relationships/hyperlink" Target="http://www.nevo.co.il/law/70301/29" TargetMode="External"/><Relationship Id="rId28" Type="http://schemas.openxmlformats.org/officeDocument/2006/relationships/hyperlink" Target="http://www.nevo.co.il/law/70301/144.a" TargetMode="External"/><Relationship Id="rId36" Type="http://schemas.openxmlformats.org/officeDocument/2006/relationships/hyperlink" Target="http://www.nevo.co.il/case/5714901" TargetMode="External"/><Relationship Id="rId49" Type="http://schemas.openxmlformats.org/officeDocument/2006/relationships/hyperlink" Target="http://www.nevo.co.il/law/70301/77" TargetMode="External"/><Relationship Id="rId57" Type="http://schemas.openxmlformats.org/officeDocument/2006/relationships/header" Target="header1.xml"/><Relationship Id="rId10" Type="http://schemas.openxmlformats.org/officeDocument/2006/relationships/hyperlink" Target="http://www.nevo.co.il/law/70301/40b" TargetMode="External"/><Relationship Id="rId31" Type="http://schemas.openxmlformats.org/officeDocument/2006/relationships/hyperlink" Target="http://www.nevo.co.il/law/70302" TargetMode="External"/><Relationship Id="rId44" Type="http://schemas.openxmlformats.org/officeDocument/2006/relationships/hyperlink" Target="http://www.nevo.co.il/case/13093721" TargetMode="External"/><Relationship Id="rId52" Type="http://schemas.openxmlformats.org/officeDocument/2006/relationships/hyperlink" Target="http://www.nevo.co.il/law/70301/77"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32.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4616</Words>
  <Characters>23085</Characters>
  <Application>Microsoft Office Word</Application>
  <DocSecurity>0</DocSecurity>
  <Lines>192</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27646</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3932284</vt:i4>
      </vt:variant>
      <vt:variant>
        <vt:i4>147</vt:i4>
      </vt:variant>
      <vt:variant>
        <vt:i4>0</vt:i4>
      </vt:variant>
      <vt:variant>
        <vt:i4>5</vt:i4>
      </vt:variant>
      <vt:variant>
        <vt:lpwstr>http://www.nevo.co.il/case/6031891</vt:lpwstr>
      </vt:variant>
      <vt:variant>
        <vt:lpwstr/>
      </vt:variant>
      <vt:variant>
        <vt:i4>8257646</vt:i4>
      </vt:variant>
      <vt:variant>
        <vt:i4>144</vt:i4>
      </vt:variant>
      <vt:variant>
        <vt:i4>0</vt:i4>
      </vt:variant>
      <vt:variant>
        <vt:i4>5</vt:i4>
      </vt:variant>
      <vt:variant>
        <vt:lpwstr>http://www.nevo.co.il/law/74903</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6422626</vt:i4>
      </vt:variant>
      <vt:variant>
        <vt:i4>138</vt:i4>
      </vt:variant>
      <vt:variant>
        <vt:i4>0</vt:i4>
      </vt:variant>
      <vt:variant>
        <vt:i4>5</vt:i4>
      </vt:variant>
      <vt:variant>
        <vt:lpwstr>http://www.nevo.co.il/law/70301/77</vt:lpwstr>
      </vt:variant>
      <vt:variant>
        <vt:lpwstr/>
      </vt:variant>
      <vt:variant>
        <vt:i4>3604599</vt:i4>
      </vt:variant>
      <vt:variant>
        <vt:i4>135</vt:i4>
      </vt:variant>
      <vt:variant>
        <vt:i4>0</vt:i4>
      </vt:variant>
      <vt:variant>
        <vt:i4>5</vt:i4>
      </vt:variant>
      <vt:variant>
        <vt:lpwstr>http://www.nevo.co.il/case/20770422</vt:lpwstr>
      </vt:variant>
      <vt:variant>
        <vt:lpwstr/>
      </vt:variant>
      <vt:variant>
        <vt:i4>7995492</vt:i4>
      </vt:variant>
      <vt:variant>
        <vt:i4>132</vt:i4>
      </vt:variant>
      <vt:variant>
        <vt:i4>0</vt:i4>
      </vt:variant>
      <vt:variant>
        <vt:i4>5</vt:i4>
      </vt:variant>
      <vt:variant>
        <vt:lpwstr>http://www.nevo.co.il/law/70301</vt:lpwstr>
      </vt:variant>
      <vt:variant>
        <vt:lpwstr/>
      </vt:variant>
      <vt:variant>
        <vt:i4>6422626</vt:i4>
      </vt:variant>
      <vt:variant>
        <vt:i4>129</vt:i4>
      </vt:variant>
      <vt:variant>
        <vt:i4>0</vt:i4>
      </vt:variant>
      <vt:variant>
        <vt:i4>5</vt:i4>
      </vt:variant>
      <vt:variant>
        <vt:lpwstr>http://www.nevo.co.il/law/70301/77</vt:lpwstr>
      </vt:variant>
      <vt:variant>
        <vt:lpwstr/>
      </vt:variant>
      <vt:variant>
        <vt:i4>3604593</vt:i4>
      </vt:variant>
      <vt:variant>
        <vt:i4>126</vt:i4>
      </vt:variant>
      <vt:variant>
        <vt:i4>0</vt:i4>
      </vt:variant>
      <vt:variant>
        <vt:i4>5</vt:i4>
      </vt:variant>
      <vt:variant>
        <vt:lpwstr>http://www.nevo.co.il/case/5676752</vt:lpwstr>
      </vt:variant>
      <vt:variant>
        <vt:lpwstr/>
      </vt:variant>
      <vt:variant>
        <vt:i4>3539067</vt:i4>
      </vt:variant>
      <vt:variant>
        <vt:i4>123</vt:i4>
      </vt:variant>
      <vt:variant>
        <vt:i4>0</vt:i4>
      </vt:variant>
      <vt:variant>
        <vt:i4>5</vt:i4>
      </vt:variant>
      <vt:variant>
        <vt:lpwstr>http://www.nevo.co.il/case/20191648</vt:lpwstr>
      </vt:variant>
      <vt:variant>
        <vt:lpwstr/>
      </vt:variant>
      <vt:variant>
        <vt:i4>4063344</vt:i4>
      </vt:variant>
      <vt:variant>
        <vt:i4>120</vt:i4>
      </vt:variant>
      <vt:variant>
        <vt:i4>0</vt:i4>
      </vt:variant>
      <vt:variant>
        <vt:i4>5</vt:i4>
      </vt:variant>
      <vt:variant>
        <vt:lpwstr>http://www.nevo.co.il/case/17018276</vt:lpwstr>
      </vt:variant>
      <vt:variant>
        <vt:lpwstr/>
      </vt:variant>
      <vt:variant>
        <vt:i4>3407997</vt:i4>
      </vt:variant>
      <vt:variant>
        <vt:i4>117</vt:i4>
      </vt:variant>
      <vt:variant>
        <vt:i4>0</vt:i4>
      </vt:variant>
      <vt:variant>
        <vt:i4>5</vt:i4>
      </vt:variant>
      <vt:variant>
        <vt:lpwstr>http://www.nevo.co.il/case/6018516</vt:lpwstr>
      </vt:variant>
      <vt:variant>
        <vt:lpwstr/>
      </vt:variant>
      <vt:variant>
        <vt:i4>3145849</vt:i4>
      </vt:variant>
      <vt:variant>
        <vt:i4>114</vt:i4>
      </vt:variant>
      <vt:variant>
        <vt:i4>0</vt:i4>
      </vt:variant>
      <vt:variant>
        <vt:i4>5</vt:i4>
      </vt:variant>
      <vt:variant>
        <vt:lpwstr>http://www.nevo.co.il/case/13093721</vt:lpwstr>
      </vt:variant>
      <vt:variant>
        <vt:lpwstr/>
      </vt:variant>
      <vt:variant>
        <vt:i4>6619233</vt:i4>
      </vt:variant>
      <vt:variant>
        <vt:i4>111</vt:i4>
      </vt:variant>
      <vt:variant>
        <vt:i4>0</vt:i4>
      </vt:variant>
      <vt:variant>
        <vt:i4>5</vt:i4>
      </vt:variant>
      <vt:variant>
        <vt:lpwstr>http://www.nevo.co.il/law/70301/40f</vt:lpwstr>
      </vt:variant>
      <vt:variant>
        <vt:lpwstr/>
      </vt:variant>
      <vt:variant>
        <vt:i4>262155</vt:i4>
      </vt:variant>
      <vt:variant>
        <vt:i4>108</vt:i4>
      </vt:variant>
      <vt:variant>
        <vt:i4>0</vt:i4>
      </vt:variant>
      <vt:variant>
        <vt:i4>5</vt:i4>
      </vt:variant>
      <vt:variant>
        <vt:lpwstr>http://www.nevo.co.il/law/70301/40ja</vt:lpwstr>
      </vt:variant>
      <vt:variant>
        <vt:lpwstr/>
      </vt:variant>
      <vt:variant>
        <vt:i4>4915202</vt:i4>
      </vt:variant>
      <vt:variant>
        <vt:i4>105</vt:i4>
      </vt:variant>
      <vt:variant>
        <vt:i4>0</vt:i4>
      </vt:variant>
      <vt:variant>
        <vt:i4>5</vt:i4>
      </vt:variant>
      <vt:variant>
        <vt:lpwstr>http://www.nevo.co.il/law/70301/40c.a</vt:lpwstr>
      </vt:variant>
      <vt:variant>
        <vt:lpwstr/>
      </vt:variant>
      <vt:variant>
        <vt:i4>6619233</vt:i4>
      </vt:variant>
      <vt:variant>
        <vt:i4>102</vt:i4>
      </vt:variant>
      <vt:variant>
        <vt:i4>0</vt:i4>
      </vt:variant>
      <vt:variant>
        <vt:i4>5</vt:i4>
      </vt:variant>
      <vt:variant>
        <vt:lpwstr>http://www.nevo.co.il/law/70301/40i</vt:lpwstr>
      </vt:variant>
      <vt:variant>
        <vt:lpwstr/>
      </vt:variant>
      <vt:variant>
        <vt:i4>3211386</vt:i4>
      </vt:variant>
      <vt:variant>
        <vt:i4>99</vt:i4>
      </vt:variant>
      <vt:variant>
        <vt:i4>0</vt:i4>
      </vt:variant>
      <vt:variant>
        <vt:i4>5</vt:i4>
      </vt:variant>
      <vt:variant>
        <vt:lpwstr>http://www.nevo.co.il/case/5856504</vt:lpwstr>
      </vt:variant>
      <vt:variant>
        <vt:lpwstr/>
      </vt:variant>
      <vt:variant>
        <vt:i4>5636168</vt:i4>
      </vt:variant>
      <vt:variant>
        <vt:i4>96</vt:i4>
      </vt:variant>
      <vt:variant>
        <vt:i4>0</vt:i4>
      </vt:variant>
      <vt:variant>
        <vt:i4>5</vt:i4>
      </vt:variant>
      <vt:variant>
        <vt:lpwstr>http://www.nevo.co.il/law/70301/32.1</vt:lpwstr>
      </vt:variant>
      <vt:variant>
        <vt:lpwstr/>
      </vt:variant>
      <vt:variant>
        <vt:i4>3539070</vt:i4>
      </vt:variant>
      <vt:variant>
        <vt:i4>93</vt:i4>
      </vt:variant>
      <vt:variant>
        <vt:i4>0</vt:i4>
      </vt:variant>
      <vt:variant>
        <vt:i4>5</vt:i4>
      </vt:variant>
      <vt:variant>
        <vt:lpwstr>http://www.nevo.co.il/case/17045921</vt:lpwstr>
      </vt:variant>
      <vt:variant>
        <vt:lpwstr/>
      </vt:variant>
      <vt:variant>
        <vt:i4>3932279</vt:i4>
      </vt:variant>
      <vt:variant>
        <vt:i4>90</vt:i4>
      </vt:variant>
      <vt:variant>
        <vt:i4>0</vt:i4>
      </vt:variant>
      <vt:variant>
        <vt:i4>5</vt:i4>
      </vt:variant>
      <vt:variant>
        <vt:lpwstr>http://www.nevo.co.il/case/5714901</vt:lpwstr>
      </vt:variant>
      <vt:variant>
        <vt:lpwstr/>
      </vt:variant>
      <vt:variant>
        <vt:i4>3276918</vt:i4>
      </vt:variant>
      <vt:variant>
        <vt:i4>87</vt:i4>
      </vt:variant>
      <vt:variant>
        <vt:i4>0</vt:i4>
      </vt:variant>
      <vt:variant>
        <vt:i4>5</vt:i4>
      </vt:variant>
      <vt:variant>
        <vt:lpwstr>http://www.nevo.co.il/case/17948129</vt:lpwstr>
      </vt:variant>
      <vt:variant>
        <vt:lpwstr/>
      </vt:variant>
      <vt:variant>
        <vt:i4>3276921</vt:i4>
      </vt:variant>
      <vt:variant>
        <vt:i4>84</vt:i4>
      </vt:variant>
      <vt:variant>
        <vt:i4>0</vt:i4>
      </vt:variant>
      <vt:variant>
        <vt:i4>5</vt:i4>
      </vt:variant>
      <vt:variant>
        <vt:lpwstr>http://www.nevo.co.il/case/6078350</vt:lpwstr>
      </vt:variant>
      <vt:variant>
        <vt:lpwstr/>
      </vt:variant>
      <vt:variant>
        <vt:i4>6619233</vt:i4>
      </vt:variant>
      <vt:variant>
        <vt:i4>81</vt:i4>
      </vt:variant>
      <vt:variant>
        <vt:i4>0</vt:i4>
      </vt:variant>
      <vt:variant>
        <vt:i4>5</vt:i4>
      </vt:variant>
      <vt:variant>
        <vt:lpwstr>http://www.nevo.co.il/law/70301/40b</vt:lpwstr>
      </vt:variant>
      <vt:variant>
        <vt:lpwstr/>
      </vt:variant>
      <vt:variant>
        <vt:i4>3145841</vt:i4>
      </vt:variant>
      <vt:variant>
        <vt:i4>78</vt:i4>
      </vt:variant>
      <vt:variant>
        <vt:i4>0</vt:i4>
      </vt:variant>
      <vt:variant>
        <vt:i4>5</vt:i4>
      </vt:variant>
      <vt:variant>
        <vt:lpwstr>http://www.nevo.co.il/case/5605461</vt:lpwstr>
      </vt:variant>
      <vt:variant>
        <vt:lpwstr/>
      </vt:variant>
      <vt:variant>
        <vt:i4>7995492</vt:i4>
      </vt:variant>
      <vt:variant>
        <vt:i4>75</vt:i4>
      </vt:variant>
      <vt:variant>
        <vt:i4>0</vt:i4>
      </vt:variant>
      <vt:variant>
        <vt:i4>5</vt:i4>
      </vt:variant>
      <vt:variant>
        <vt:lpwstr>http://www.nevo.co.il/law/70302</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5177424</vt:i4>
      </vt:variant>
      <vt:variant>
        <vt:i4>66</vt:i4>
      </vt:variant>
      <vt:variant>
        <vt:i4>0</vt:i4>
      </vt:variant>
      <vt:variant>
        <vt:i4>5</vt:i4>
      </vt:variant>
      <vt:variant>
        <vt:lpwstr>http://www.nevo.co.il/law/70301/144.a</vt:lpwstr>
      </vt:variant>
      <vt:variant>
        <vt:lpwstr/>
      </vt:variant>
      <vt:variant>
        <vt:i4>7077985</vt:i4>
      </vt:variant>
      <vt:variant>
        <vt:i4>63</vt:i4>
      </vt:variant>
      <vt:variant>
        <vt:i4>0</vt:i4>
      </vt:variant>
      <vt:variant>
        <vt:i4>5</vt:i4>
      </vt:variant>
      <vt:variant>
        <vt:lpwstr>http://www.nevo.co.il/law/70301/499</vt:lpwstr>
      </vt:variant>
      <vt:variant>
        <vt:lpwstr/>
      </vt:variant>
      <vt:variant>
        <vt:i4>6619191</vt:i4>
      </vt:variant>
      <vt:variant>
        <vt:i4>60</vt:i4>
      </vt:variant>
      <vt:variant>
        <vt:i4>0</vt:i4>
      </vt:variant>
      <vt:variant>
        <vt:i4>5</vt:i4>
      </vt:variant>
      <vt:variant>
        <vt:lpwstr>http://www.nevo.co.il/law/70301/300.a.2</vt:lpwstr>
      </vt:variant>
      <vt:variant>
        <vt:lpwstr/>
      </vt:variant>
      <vt:variant>
        <vt:i4>6553702</vt:i4>
      </vt:variant>
      <vt:variant>
        <vt:i4>57</vt:i4>
      </vt:variant>
      <vt:variant>
        <vt:i4>0</vt:i4>
      </vt:variant>
      <vt:variant>
        <vt:i4>5</vt:i4>
      </vt:variant>
      <vt:variant>
        <vt:lpwstr>http://www.nevo.co.il/law/70301/31</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6619191</vt:i4>
      </vt:variant>
      <vt:variant>
        <vt:i4>48</vt:i4>
      </vt:variant>
      <vt:variant>
        <vt:i4>0</vt:i4>
      </vt:variant>
      <vt:variant>
        <vt:i4>5</vt:i4>
      </vt:variant>
      <vt:variant>
        <vt:lpwstr>http://www.nevo.co.il/law/70301/300.a.2</vt:lpwstr>
      </vt:variant>
      <vt:variant>
        <vt:lpwstr/>
      </vt:variant>
      <vt:variant>
        <vt:i4>4063344</vt:i4>
      </vt:variant>
      <vt:variant>
        <vt:i4>45</vt:i4>
      </vt:variant>
      <vt:variant>
        <vt:i4>0</vt:i4>
      </vt:variant>
      <vt:variant>
        <vt:i4>5</vt:i4>
      </vt:variant>
      <vt:variant>
        <vt:lpwstr>http://www.nevo.co.il/case/17018276</vt:lpwstr>
      </vt:variant>
      <vt:variant>
        <vt:lpwstr/>
      </vt:variant>
      <vt:variant>
        <vt:i4>7995492</vt:i4>
      </vt:variant>
      <vt:variant>
        <vt:i4>42</vt:i4>
      </vt:variant>
      <vt:variant>
        <vt:i4>0</vt:i4>
      </vt:variant>
      <vt:variant>
        <vt:i4>5</vt:i4>
      </vt:variant>
      <vt:variant>
        <vt:lpwstr>http://www.nevo.co.il/law/70302</vt:lpwstr>
      </vt:variant>
      <vt:variant>
        <vt:lpwstr/>
      </vt:variant>
      <vt:variant>
        <vt:i4>7077985</vt:i4>
      </vt:variant>
      <vt:variant>
        <vt:i4>39</vt:i4>
      </vt:variant>
      <vt:variant>
        <vt:i4>0</vt:i4>
      </vt:variant>
      <vt:variant>
        <vt:i4>5</vt:i4>
      </vt:variant>
      <vt:variant>
        <vt:lpwstr>http://www.nevo.co.il/law/70301/499</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6619191</vt:i4>
      </vt:variant>
      <vt:variant>
        <vt:i4>33</vt:i4>
      </vt:variant>
      <vt:variant>
        <vt:i4>0</vt:i4>
      </vt:variant>
      <vt:variant>
        <vt:i4>5</vt:i4>
      </vt:variant>
      <vt:variant>
        <vt:lpwstr>http://www.nevo.co.il/law/70301/300.a.2</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6422626</vt:i4>
      </vt:variant>
      <vt:variant>
        <vt:i4>24</vt:i4>
      </vt:variant>
      <vt:variant>
        <vt:i4>0</vt:i4>
      </vt:variant>
      <vt:variant>
        <vt:i4>5</vt:i4>
      </vt:variant>
      <vt:variant>
        <vt:lpwstr>http://www.nevo.co.il/law/70301/77</vt:lpwstr>
      </vt:variant>
      <vt:variant>
        <vt:lpwstr/>
      </vt:variant>
      <vt:variant>
        <vt:i4>6619233</vt:i4>
      </vt:variant>
      <vt:variant>
        <vt:i4>21</vt:i4>
      </vt:variant>
      <vt:variant>
        <vt:i4>0</vt:i4>
      </vt:variant>
      <vt:variant>
        <vt:i4>5</vt:i4>
      </vt:variant>
      <vt:variant>
        <vt:lpwstr>http://www.nevo.co.il/law/70301/40i</vt:lpwstr>
      </vt:variant>
      <vt:variant>
        <vt:lpwstr/>
      </vt:variant>
      <vt:variant>
        <vt:i4>6619233</vt:i4>
      </vt:variant>
      <vt:variant>
        <vt:i4>18</vt:i4>
      </vt:variant>
      <vt:variant>
        <vt:i4>0</vt:i4>
      </vt:variant>
      <vt:variant>
        <vt:i4>5</vt:i4>
      </vt:variant>
      <vt:variant>
        <vt:lpwstr>http://www.nevo.co.il/law/70301/40f</vt:lpwstr>
      </vt:variant>
      <vt:variant>
        <vt:lpwstr/>
      </vt:variant>
      <vt:variant>
        <vt:i4>4915202</vt:i4>
      </vt:variant>
      <vt:variant>
        <vt:i4>15</vt:i4>
      </vt:variant>
      <vt:variant>
        <vt:i4>0</vt:i4>
      </vt:variant>
      <vt:variant>
        <vt:i4>5</vt:i4>
      </vt:variant>
      <vt:variant>
        <vt:lpwstr>http://www.nevo.co.il/law/70301/40c.a</vt:lpwstr>
      </vt:variant>
      <vt:variant>
        <vt:lpwstr/>
      </vt:variant>
      <vt:variant>
        <vt:i4>6619233</vt:i4>
      </vt:variant>
      <vt:variant>
        <vt:i4>12</vt:i4>
      </vt:variant>
      <vt:variant>
        <vt:i4>0</vt:i4>
      </vt:variant>
      <vt:variant>
        <vt:i4>5</vt:i4>
      </vt:variant>
      <vt:variant>
        <vt:lpwstr>http://www.nevo.co.il/law/70301/40b</vt:lpwstr>
      </vt:variant>
      <vt:variant>
        <vt:lpwstr/>
      </vt:variant>
      <vt:variant>
        <vt:i4>5636168</vt:i4>
      </vt:variant>
      <vt:variant>
        <vt:i4>9</vt:i4>
      </vt:variant>
      <vt:variant>
        <vt:i4>0</vt:i4>
      </vt:variant>
      <vt:variant>
        <vt:i4>5</vt:i4>
      </vt:variant>
      <vt:variant>
        <vt:lpwstr>http://www.nevo.co.il/law/70301/32.1</vt:lpwstr>
      </vt:variant>
      <vt:variant>
        <vt:lpwstr/>
      </vt:variant>
      <vt:variant>
        <vt:i4>6553702</vt:i4>
      </vt:variant>
      <vt:variant>
        <vt:i4>6</vt:i4>
      </vt:variant>
      <vt:variant>
        <vt:i4>0</vt:i4>
      </vt:variant>
      <vt:variant>
        <vt:i4>5</vt:i4>
      </vt:variant>
      <vt:variant>
        <vt:lpwstr>http://www.nevo.co.il/law/70301/31</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866</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רפי שלומוב;רוני שלומוב</vt:lpwstr>
  </property>
  <property fmtid="{D5CDD505-2E9C-101B-9397-08002B2CF9AE}" pid="10" name="LAWYER">
    <vt:lpwstr>ישי ניב;פלג קימלוב;גולן שטיינברג</vt:lpwstr>
  </property>
  <property fmtid="{D5CDD505-2E9C-101B-9397-08002B2CF9AE}" pid="11" name="JUDGE">
    <vt:lpwstr>רון שפירא;אברהם אליקים;תמר נאות פרי</vt:lpwstr>
  </property>
  <property fmtid="{D5CDD505-2E9C-101B-9397-08002B2CF9AE}" pid="12" name="CITY">
    <vt:lpwstr>חי'</vt:lpwstr>
  </property>
  <property fmtid="{D5CDD505-2E9C-101B-9397-08002B2CF9AE}" pid="13" name="DATE">
    <vt:lpwstr>20170109</vt:lpwstr>
  </property>
  <property fmtid="{D5CDD505-2E9C-101B-9397-08002B2CF9AE}" pid="14" name="TYPE_N_DATE">
    <vt:lpwstr>39020170109</vt:lpwstr>
  </property>
  <property fmtid="{D5CDD505-2E9C-101B-9397-08002B2CF9AE}" pid="15" name="CASESLISTTMP1">
    <vt:lpwstr>17018276:2;5605461;6078350;17948129;5714901;17045921;5856504;13093721;6018516;20191648;5676752;20770422;6031891</vt:lpwstr>
  </property>
  <property fmtid="{D5CDD505-2E9C-101B-9397-08002B2CF9AE}" pid="16" name="WORDNUMPAGES">
    <vt:lpwstr>14</vt:lpwstr>
  </property>
  <property fmtid="{D5CDD505-2E9C-101B-9397-08002B2CF9AE}" pid="17" name="TYPE_ABS_DATE">
    <vt:lpwstr>390120170109</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70301/300.a.2:2;029:2;031;499;144.a;144.b;040b;032.1;040i;040c.a;40ja;040f;077:2</vt:lpwstr>
  </property>
  <property fmtid="{D5CDD505-2E9C-101B-9397-08002B2CF9AE}" pid="37" name="LAWLISTTMP2">
    <vt:lpwstr>70302</vt:lpwstr>
  </property>
  <property fmtid="{D5CDD505-2E9C-101B-9397-08002B2CF9AE}" pid="38" name="LAWLISTTMP3">
    <vt:lpwstr>74903</vt:lpwstr>
  </property>
  <property fmtid="{D5CDD505-2E9C-101B-9397-08002B2CF9AE}" pid="39" name="NOSE1ID">
    <vt:lpwstr>77;77;77</vt:lpwstr>
  </property>
  <property fmtid="{D5CDD505-2E9C-101B-9397-08002B2CF9AE}" pid="40" name="NOSE2ID">
    <vt:lpwstr>1446;1446;1446</vt:lpwstr>
  </property>
  <property fmtid="{D5CDD505-2E9C-101B-9397-08002B2CF9AE}" pid="41" name="NOSE3ID">
    <vt:lpwstr>14615;12547;8968</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עבירת רצח</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אחדות הענישה</vt:lpwstr>
  </property>
  <property fmtid="{D5CDD505-2E9C-101B-9397-08002B2CF9AE}" pid="48" name="NOSE13">
    <vt:lpwstr>עונשין</vt:lpwstr>
  </property>
  <property fmtid="{D5CDD505-2E9C-101B-9397-08002B2CF9AE}" pid="49" name="NOSE23">
    <vt:lpwstr>ענישה</vt:lpwstr>
  </property>
  <property fmtid="{D5CDD505-2E9C-101B-9397-08002B2CF9AE}" pid="50" name="NOSE33">
    <vt:lpwstr>דרכי ענישה: פיצויים</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20170126</vt:lpwstr>
  </property>
  <property fmtid="{D5CDD505-2E9C-101B-9397-08002B2CF9AE}" pid="73" name="METAKZER">
    <vt:lpwstr>מיכל</vt:lpwstr>
  </property>
</Properties>
</file>