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130B4" w:rsidRPr="00D553C7" w14:paraId="188E956F" w14:textId="77777777">
        <w:trPr>
          <w:trHeight w:hRule="exact" w:val="418"/>
          <w:jc w:val="center"/>
        </w:trPr>
        <w:tc>
          <w:tcPr>
            <w:tcW w:w="8721" w:type="dxa"/>
            <w:gridSpan w:val="2"/>
          </w:tcPr>
          <w:p w14:paraId="683A1D9A" w14:textId="77777777" w:rsidR="00F130B4" w:rsidRPr="00D553C7" w:rsidRDefault="002D5881">
            <w:pPr>
              <w:pStyle w:val="a3"/>
              <w:jc w:val="center"/>
              <w:rPr>
                <w:rFonts w:ascii="Tahoma" w:hAnsi="Tahoma"/>
                <w:color w:val="000080"/>
                <w:rtl/>
              </w:rPr>
            </w:pPr>
            <w:bookmarkStart w:id="0" w:name="FirstLawyer"/>
            <w:bookmarkStart w:id="1" w:name="LastJudge"/>
            <w:r w:rsidRPr="00D553C7">
              <w:rPr>
                <w:rFonts w:ascii="Tahoma" w:hAnsi="Tahoma"/>
                <w:b/>
                <w:bCs/>
                <w:color w:val="000080"/>
                <w:rtl/>
              </w:rPr>
              <w:t>בית המשפט המחוזי בירושלים</w:t>
            </w:r>
          </w:p>
        </w:tc>
      </w:tr>
      <w:tr w:rsidR="00F130B4" w:rsidRPr="00D553C7" w14:paraId="2B063DB7" w14:textId="77777777">
        <w:trPr>
          <w:trHeight w:val="337"/>
          <w:jc w:val="center"/>
        </w:trPr>
        <w:tc>
          <w:tcPr>
            <w:tcW w:w="5058" w:type="dxa"/>
          </w:tcPr>
          <w:p w14:paraId="310779CC" w14:textId="77777777" w:rsidR="00F130B4" w:rsidRPr="00D553C7" w:rsidRDefault="002D5881">
            <w:pPr>
              <w:rPr>
                <w:rFonts w:hint="cs"/>
                <w:sz w:val="28"/>
                <w:szCs w:val="28"/>
                <w:rtl/>
              </w:rPr>
            </w:pPr>
            <w:r w:rsidRPr="00D553C7">
              <w:rPr>
                <w:sz w:val="28"/>
                <w:szCs w:val="28"/>
                <w:rtl/>
              </w:rPr>
              <w:t>ת"פ</w:t>
            </w:r>
            <w:r w:rsidRPr="00D553C7">
              <w:rPr>
                <w:rFonts w:hint="cs"/>
                <w:sz w:val="28"/>
                <w:szCs w:val="28"/>
                <w:rtl/>
              </w:rPr>
              <w:t xml:space="preserve"> </w:t>
            </w:r>
            <w:r w:rsidRPr="00D553C7">
              <w:rPr>
                <w:sz w:val="28"/>
                <w:szCs w:val="28"/>
                <w:rtl/>
              </w:rPr>
              <w:t>998-08-14</w:t>
            </w:r>
            <w:r w:rsidRPr="00D553C7">
              <w:rPr>
                <w:rFonts w:hint="cs"/>
                <w:sz w:val="28"/>
                <w:szCs w:val="28"/>
                <w:rtl/>
              </w:rPr>
              <w:t xml:space="preserve"> </w:t>
            </w:r>
            <w:r w:rsidR="00D553C7" w:rsidRPr="00D553C7">
              <w:rPr>
                <w:sz w:val="28"/>
                <w:szCs w:val="28"/>
                <w:rtl/>
              </w:rPr>
              <w:t>מדינת ישראל נ' ניירוך</w:t>
            </w:r>
          </w:p>
          <w:p w14:paraId="06D862FA" w14:textId="77777777" w:rsidR="00F130B4" w:rsidRPr="00D553C7" w:rsidRDefault="00F130B4">
            <w:pPr>
              <w:pStyle w:val="a3"/>
              <w:rPr>
                <w:sz w:val="28"/>
                <w:szCs w:val="28"/>
                <w:rtl/>
              </w:rPr>
            </w:pPr>
          </w:p>
        </w:tc>
        <w:tc>
          <w:tcPr>
            <w:tcW w:w="3663" w:type="dxa"/>
          </w:tcPr>
          <w:p w14:paraId="3659B875" w14:textId="77777777" w:rsidR="00F130B4" w:rsidRPr="00D553C7" w:rsidRDefault="00F130B4">
            <w:pPr>
              <w:pStyle w:val="a3"/>
              <w:jc w:val="right"/>
              <w:rPr>
                <w:sz w:val="28"/>
                <w:szCs w:val="28"/>
                <w:rtl/>
              </w:rPr>
            </w:pPr>
          </w:p>
        </w:tc>
      </w:tr>
    </w:tbl>
    <w:p w14:paraId="297A6DD3" w14:textId="77777777" w:rsidR="00F130B4" w:rsidRPr="00D553C7" w:rsidRDefault="002D5881">
      <w:pPr>
        <w:pStyle w:val="a3"/>
        <w:rPr>
          <w:rtl/>
        </w:rPr>
      </w:pPr>
      <w:r w:rsidRPr="00D553C7">
        <w:rPr>
          <w:rFonts w:hint="cs"/>
          <w:rtl/>
        </w:rPr>
        <w:t xml:space="preserve"> </w:t>
      </w:r>
    </w:p>
    <w:p w14:paraId="58D3F10C" w14:textId="77777777" w:rsidR="00F130B4" w:rsidRPr="00D553C7" w:rsidRDefault="00F130B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30B4" w:rsidRPr="00D553C7" w14:paraId="43358450" w14:textId="77777777">
        <w:trPr>
          <w:trHeight w:val="295"/>
          <w:jc w:val="center"/>
        </w:trPr>
        <w:tc>
          <w:tcPr>
            <w:tcW w:w="923" w:type="dxa"/>
            <w:tcBorders>
              <w:top w:val="nil"/>
              <w:left w:val="nil"/>
              <w:bottom w:val="nil"/>
              <w:right w:val="nil"/>
            </w:tcBorders>
          </w:tcPr>
          <w:p w14:paraId="55D33871" w14:textId="77777777" w:rsidR="00F130B4" w:rsidRPr="00D553C7" w:rsidRDefault="002D5881">
            <w:pPr>
              <w:jc w:val="both"/>
              <w:rPr>
                <w:rFonts w:ascii="Arial" w:hAnsi="Arial"/>
                <w:sz w:val="28"/>
                <w:szCs w:val="28"/>
              </w:rPr>
            </w:pPr>
            <w:r w:rsidRPr="00D553C7">
              <w:rPr>
                <w:rFonts w:ascii="Arial" w:hAnsi="Arial" w:hint="cs"/>
                <w:sz w:val="28"/>
                <w:szCs w:val="28"/>
                <w:rtl/>
              </w:rPr>
              <w:t>ב</w:t>
            </w:r>
            <w:r w:rsidRPr="00D553C7">
              <w:rPr>
                <w:rFonts w:ascii="Arial" w:hAnsi="Arial"/>
                <w:sz w:val="28"/>
                <w:szCs w:val="28"/>
                <w:rtl/>
              </w:rPr>
              <w:t xml:space="preserve">פני </w:t>
            </w:r>
          </w:p>
        </w:tc>
        <w:tc>
          <w:tcPr>
            <w:tcW w:w="7897" w:type="dxa"/>
            <w:gridSpan w:val="2"/>
            <w:tcBorders>
              <w:top w:val="nil"/>
              <w:left w:val="nil"/>
              <w:bottom w:val="nil"/>
              <w:right w:val="nil"/>
            </w:tcBorders>
          </w:tcPr>
          <w:p w14:paraId="23293426" w14:textId="77777777" w:rsidR="00F130B4" w:rsidRPr="00D553C7" w:rsidRDefault="002D5881">
            <w:pPr>
              <w:rPr>
                <w:rFonts w:ascii="Arial" w:hAnsi="Arial"/>
                <w:b/>
                <w:bCs/>
                <w:rtl/>
              </w:rPr>
            </w:pPr>
            <w:r w:rsidRPr="00D553C7">
              <w:rPr>
                <w:rFonts w:ascii="Arial" w:hAnsi="Arial" w:hint="cs"/>
                <w:b/>
                <w:bCs/>
                <w:rtl/>
              </w:rPr>
              <w:t>כב' ה</w:t>
            </w:r>
            <w:r w:rsidRPr="00D553C7">
              <w:rPr>
                <w:rFonts w:hint="cs"/>
                <w:rtl/>
              </w:rPr>
              <w:t>שופטת</w:t>
            </w:r>
            <w:r w:rsidRPr="00D553C7">
              <w:rPr>
                <w:rFonts w:ascii="Arial" w:hAnsi="Arial" w:hint="cs"/>
                <w:b/>
                <w:bCs/>
                <w:rtl/>
              </w:rPr>
              <w:t xml:space="preserve">  </w:t>
            </w:r>
            <w:r w:rsidRPr="00D553C7">
              <w:rPr>
                <w:rFonts w:hint="cs"/>
                <w:rtl/>
              </w:rPr>
              <w:t>שירלי רנר</w:t>
            </w:r>
          </w:p>
          <w:p w14:paraId="7EC25B42" w14:textId="77777777" w:rsidR="00F130B4" w:rsidRPr="00D553C7" w:rsidRDefault="00F130B4">
            <w:pPr>
              <w:rPr>
                <w:rtl/>
              </w:rPr>
            </w:pPr>
          </w:p>
          <w:p w14:paraId="013401CB" w14:textId="77777777" w:rsidR="00F130B4" w:rsidRPr="00D553C7" w:rsidRDefault="00F130B4">
            <w:pPr>
              <w:jc w:val="both"/>
              <w:rPr>
                <w:rFonts w:ascii="Arial" w:hAnsi="Arial"/>
                <w:sz w:val="28"/>
                <w:szCs w:val="28"/>
              </w:rPr>
            </w:pPr>
          </w:p>
        </w:tc>
      </w:tr>
      <w:tr w:rsidR="00F130B4" w:rsidRPr="00D553C7" w14:paraId="338F8D19" w14:textId="77777777">
        <w:trPr>
          <w:trHeight w:val="355"/>
          <w:jc w:val="center"/>
        </w:trPr>
        <w:tc>
          <w:tcPr>
            <w:tcW w:w="923" w:type="dxa"/>
            <w:tcBorders>
              <w:top w:val="nil"/>
              <w:left w:val="nil"/>
              <w:bottom w:val="nil"/>
              <w:right w:val="nil"/>
            </w:tcBorders>
          </w:tcPr>
          <w:p w14:paraId="7721DA69" w14:textId="77777777" w:rsidR="00F130B4" w:rsidRPr="00D553C7" w:rsidRDefault="002D5881">
            <w:pPr>
              <w:jc w:val="both"/>
              <w:rPr>
                <w:rFonts w:ascii="Arial" w:hAnsi="Arial"/>
                <w:sz w:val="28"/>
                <w:szCs w:val="28"/>
              </w:rPr>
            </w:pPr>
            <w:bookmarkStart w:id="2" w:name="FirstAppellant"/>
            <w:r w:rsidRPr="00D553C7">
              <w:rPr>
                <w:rFonts w:ascii="Arial" w:hAnsi="Arial" w:hint="cs"/>
                <w:sz w:val="28"/>
                <w:szCs w:val="28"/>
                <w:rtl/>
              </w:rPr>
              <w:t>בעניין:</w:t>
            </w:r>
          </w:p>
        </w:tc>
        <w:tc>
          <w:tcPr>
            <w:tcW w:w="4126" w:type="dxa"/>
            <w:tcBorders>
              <w:top w:val="nil"/>
              <w:left w:val="nil"/>
              <w:bottom w:val="nil"/>
              <w:right w:val="nil"/>
            </w:tcBorders>
          </w:tcPr>
          <w:p w14:paraId="68C4E248" w14:textId="77777777" w:rsidR="00F130B4" w:rsidRPr="00D553C7" w:rsidRDefault="002D5881">
            <w:r w:rsidRPr="00D553C7">
              <w:rPr>
                <w:rFonts w:hint="cs"/>
                <w:rtl/>
              </w:rPr>
              <w:t>מדינת ישראל</w:t>
            </w:r>
            <w:r w:rsidRPr="00D553C7">
              <w:rPr>
                <w:rFonts w:hint="cs"/>
                <w:rtl/>
              </w:rPr>
              <w:br/>
              <w:t>ע"י ב"כ עו"ד מרים בן גל מפרקליטות מחוז ירושלים</w:t>
            </w:r>
          </w:p>
        </w:tc>
        <w:tc>
          <w:tcPr>
            <w:tcW w:w="3771" w:type="dxa"/>
            <w:tcBorders>
              <w:top w:val="nil"/>
              <w:left w:val="nil"/>
              <w:bottom w:val="nil"/>
              <w:right w:val="nil"/>
            </w:tcBorders>
          </w:tcPr>
          <w:p w14:paraId="6429D2F9" w14:textId="77777777" w:rsidR="00F130B4" w:rsidRPr="00D553C7" w:rsidRDefault="00F130B4">
            <w:pPr>
              <w:jc w:val="both"/>
              <w:rPr>
                <w:rFonts w:ascii="Arial" w:hAnsi="Arial"/>
                <w:sz w:val="28"/>
                <w:szCs w:val="28"/>
              </w:rPr>
            </w:pPr>
          </w:p>
        </w:tc>
      </w:tr>
      <w:bookmarkEnd w:id="2"/>
      <w:tr w:rsidR="00F130B4" w:rsidRPr="00D553C7" w14:paraId="51B34BE2" w14:textId="77777777">
        <w:trPr>
          <w:trHeight w:val="355"/>
          <w:jc w:val="center"/>
        </w:trPr>
        <w:tc>
          <w:tcPr>
            <w:tcW w:w="923" w:type="dxa"/>
            <w:tcBorders>
              <w:top w:val="nil"/>
              <w:left w:val="nil"/>
              <w:bottom w:val="nil"/>
              <w:right w:val="nil"/>
            </w:tcBorders>
          </w:tcPr>
          <w:p w14:paraId="2524CE7A" w14:textId="77777777" w:rsidR="00F130B4" w:rsidRPr="00D553C7" w:rsidRDefault="00F130B4">
            <w:pPr>
              <w:jc w:val="both"/>
              <w:rPr>
                <w:rFonts w:ascii="Arial" w:hAnsi="Arial"/>
                <w:sz w:val="28"/>
                <w:szCs w:val="28"/>
                <w:rtl/>
              </w:rPr>
            </w:pPr>
          </w:p>
        </w:tc>
        <w:tc>
          <w:tcPr>
            <w:tcW w:w="4126" w:type="dxa"/>
            <w:tcBorders>
              <w:top w:val="nil"/>
              <w:left w:val="nil"/>
              <w:bottom w:val="nil"/>
              <w:right w:val="nil"/>
            </w:tcBorders>
          </w:tcPr>
          <w:p w14:paraId="1011E25C" w14:textId="77777777" w:rsidR="00F130B4" w:rsidRPr="00D553C7" w:rsidRDefault="00F130B4">
            <w:pPr>
              <w:jc w:val="both"/>
              <w:rPr>
                <w:rtl/>
              </w:rPr>
            </w:pPr>
          </w:p>
        </w:tc>
        <w:tc>
          <w:tcPr>
            <w:tcW w:w="3771" w:type="dxa"/>
            <w:tcBorders>
              <w:top w:val="nil"/>
              <w:left w:val="nil"/>
              <w:bottom w:val="nil"/>
              <w:right w:val="nil"/>
            </w:tcBorders>
          </w:tcPr>
          <w:p w14:paraId="19259434" w14:textId="77777777" w:rsidR="00F130B4" w:rsidRPr="00D553C7" w:rsidRDefault="002D5881">
            <w:pPr>
              <w:jc w:val="right"/>
              <w:rPr>
                <w:rFonts w:ascii="Arial" w:hAnsi="Arial"/>
                <w:sz w:val="28"/>
                <w:szCs w:val="28"/>
                <w:rtl/>
              </w:rPr>
            </w:pPr>
            <w:r w:rsidRPr="00D553C7">
              <w:rPr>
                <w:rFonts w:ascii="Arial" w:hAnsi="Arial" w:hint="cs"/>
                <w:sz w:val="28"/>
                <w:szCs w:val="28"/>
                <w:rtl/>
              </w:rPr>
              <w:t>ה</w:t>
            </w:r>
            <w:r w:rsidRPr="00D553C7">
              <w:rPr>
                <w:rFonts w:hint="cs"/>
                <w:rtl/>
              </w:rPr>
              <w:t>מאשימה</w:t>
            </w:r>
          </w:p>
        </w:tc>
      </w:tr>
      <w:tr w:rsidR="00F130B4" w:rsidRPr="00D553C7" w14:paraId="09AC9F26" w14:textId="77777777">
        <w:trPr>
          <w:trHeight w:val="355"/>
          <w:jc w:val="center"/>
        </w:trPr>
        <w:tc>
          <w:tcPr>
            <w:tcW w:w="923" w:type="dxa"/>
            <w:tcBorders>
              <w:top w:val="nil"/>
              <w:left w:val="nil"/>
              <w:bottom w:val="nil"/>
              <w:right w:val="nil"/>
            </w:tcBorders>
          </w:tcPr>
          <w:p w14:paraId="6672F165" w14:textId="77777777" w:rsidR="00F130B4" w:rsidRPr="00D553C7" w:rsidRDefault="00F130B4">
            <w:pPr>
              <w:jc w:val="both"/>
              <w:rPr>
                <w:rFonts w:ascii="Arial" w:hAnsi="Arial"/>
                <w:sz w:val="28"/>
                <w:szCs w:val="28"/>
                <w:rtl/>
              </w:rPr>
            </w:pPr>
          </w:p>
        </w:tc>
        <w:tc>
          <w:tcPr>
            <w:tcW w:w="7897" w:type="dxa"/>
            <w:gridSpan w:val="2"/>
            <w:tcBorders>
              <w:top w:val="nil"/>
              <w:left w:val="nil"/>
              <w:bottom w:val="nil"/>
              <w:right w:val="nil"/>
            </w:tcBorders>
          </w:tcPr>
          <w:p w14:paraId="62A396CA" w14:textId="77777777" w:rsidR="00F130B4" w:rsidRPr="00D553C7" w:rsidRDefault="00F130B4">
            <w:pPr>
              <w:jc w:val="center"/>
              <w:rPr>
                <w:rFonts w:ascii="Arial" w:hAnsi="Arial"/>
                <w:b/>
                <w:bCs/>
                <w:sz w:val="28"/>
                <w:szCs w:val="28"/>
                <w:rtl/>
              </w:rPr>
            </w:pPr>
          </w:p>
          <w:p w14:paraId="38DCC130" w14:textId="77777777" w:rsidR="00F130B4" w:rsidRPr="00D553C7" w:rsidRDefault="002D5881">
            <w:pPr>
              <w:jc w:val="center"/>
              <w:rPr>
                <w:rFonts w:ascii="Arial" w:hAnsi="Arial"/>
                <w:b/>
                <w:bCs/>
                <w:sz w:val="28"/>
                <w:szCs w:val="28"/>
                <w:rtl/>
              </w:rPr>
            </w:pPr>
            <w:r w:rsidRPr="00D553C7">
              <w:rPr>
                <w:rFonts w:ascii="Arial" w:hAnsi="Arial"/>
                <w:b/>
                <w:bCs/>
                <w:sz w:val="28"/>
                <w:szCs w:val="28"/>
                <w:rtl/>
              </w:rPr>
              <w:t>נגד</w:t>
            </w:r>
          </w:p>
          <w:p w14:paraId="07EC274E" w14:textId="77777777" w:rsidR="00F130B4" w:rsidRPr="00D553C7" w:rsidRDefault="00F130B4">
            <w:pPr>
              <w:jc w:val="both"/>
              <w:rPr>
                <w:rFonts w:ascii="Arial" w:hAnsi="Arial"/>
                <w:sz w:val="28"/>
                <w:szCs w:val="28"/>
              </w:rPr>
            </w:pPr>
          </w:p>
        </w:tc>
      </w:tr>
      <w:tr w:rsidR="00F130B4" w:rsidRPr="00D553C7" w14:paraId="5AA1FCF3" w14:textId="77777777">
        <w:trPr>
          <w:trHeight w:val="355"/>
          <w:jc w:val="center"/>
        </w:trPr>
        <w:tc>
          <w:tcPr>
            <w:tcW w:w="923" w:type="dxa"/>
            <w:tcBorders>
              <w:top w:val="nil"/>
              <w:left w:val="nil"/>
              <w:bottom w:val="nil"/>
              <w:right w:val="nil"/>
            </w:tcBorders>
          </w:tcPr>
          <w:p w14:paraId="3E62370B" w14:textId="77777777" w:rsidR="00F130B4" w:rsidRPr="00D553C7" w:rsidRDefault="00F130B4">
            <w:pPr>
              <w:rPr>
                <w:rFonts w:ascii="Arial" w:hAnsi="Arial"/>
                <w:sz w:val="28"/>
                <w:szCs w:val="28"/>
                <w:rtl/>
              </w:rPr>
            </w:pPr>
          </w:p>
        </w:tc>
        <w:tc>
          <w:tcPr>
            <w:tcW w:w="4126" w:type="dxa"/>
            <w:tcBorders>
              <w:top w:val="nil"/>
              <w:left w:val="nil"/>
              <w:bottom w:val="nil"/>
              <w:right w:val="nil"/>
            </w:tcBorders>
          </w:tcPr>
          <w:p w14:paraId="58E66A5A" w14:textId="77777777" w:rsidR="00F130B4" w:rsidRPr="00D553C7" w:rsidRDefault="002D5881">
            <w:pPr>
              <w:rPr>
                <w:rtl/>
              </w:rPr>
            </w:pPr>
            <w:r w:rsidRPr="00D553C7">
              <w:rPr>
                <w:rFonts w:hint="cs"/>
                <w:rtl/>
              </w:rPr>
              <w:t xml:space="preserve">מוחמד ניירוך </w:t>
            </w:r>
          </w:p>
        </w:tc>
        <w:tc>
          <w:tcPr>
            <w:tcW w:w="3771" w:type="dxa"/>
            <w:tcBorders>
              <w:top w:val="nil"/>
              <w:left w:val="nil"/>
              <w:bottom w:val="nil"/>
              <w:right w:val="nil"/>
            </w:tcBorders>
          </w:tcPr>
          <w:p w14:paraId="1A8AD1DE" w14:textId="77777777" w:rsidR="00F130B4" w:rsidRPr="00D553C7" w:rsidRDefault="00F130B4">
            <w:pPr>
              <w:jc w:val="right"/>
              <w:rPr>
                <w:rFonts w:ascii="Arial" w:hAnsi="Arial"/>
                <w:sz w:val="28"/>
                <w:szCs w:val="28"/>
              </w:rPr>
            </w:pPr>
          </w:p>
        </w:tc>
      </w:tr>
      <w:tr w:rsidR="00F130B4" w:rsidRPr="00D553C7" w14:paraId="317BC52A" w14:textId="77777777">
        <w:trPr>
          <w:trHeight w:val="355"/>
          <w:jc w:val="center"/>
        </w:trPr>
        <w:tc>
          <w:tcPr>
            <w:tcW w:w="923" w:type="dxa"/>
            <w:tcBorders>
              <w:top w:val="nil"/>
              <w:left w:val="nil"/>
              <w:bottom w:val="nil"/>
              <w:right w:val="nil"/>
            </w:tcBorders>
          </w:tcPr>
          <w:p w14:paraId="1371E52D" w14:textId="77777777" w:rsidR="00F130B4" w:rsidRPr="00D553C7" w:rsidRDefault="00F130B4">
            <w:pPr>
              <w:jc w:val="both"/>
              <w:rPr>
                <w:rFonts w:ascii="Arial" w:hAnsi="Arial"/>
                <w:sz w:val="28"/>
                <w:szCs w:val="28"/>
                <w:rtl/>
              </w:rPr>
            </w:pPr>
          </w:p>
        </w:tc>
        <w:tc>
          <w:tcPr>
            <w:tcW w:w="4126" w:type="dxa"/>
            <w:tcBorders>
              <w:top w:val="nil"/>
              <w:left w:val="nil"/>
              <w:bottom w:val="nil"/>
              <w:right w:val="nil"/>
            </w:tcBorders>
          </w:tcPr>
          <w:p w14:paraId="13719C3C" w14:textId="77777777" w:rsidR="00F130B4" w:rsidRPr="00D553C7" w:rsidRDefault="002D5881">
            <w:pPr>
              <w:jc w:val="both"/>
              <w:rPr>
                <w:rtl/>
              </w:rPr>
            </w:pPr>
            <w:r w:rsidRPr="00D553C7">
              <w:rPr>
                <w:rFonts w:hint="cs"/>
                <w:rtl/>
              </w:rPr>
              <w:t>ע"י ב"כ עו"ד רמי עותמאן</w:t>
            </w:r>
          </w:p>
        </w:tc>
        <w:tc>
          <w:tcPr>
            <w:tcW w:w="3771" w:type="dxa"/>
            <w:tcBorders>
              <w:top w:val="nil"/>
              <w:left w:val="nil"/>
              <w:bottom w:val="nil"/>
              <w:right w:val="nil"/>
            </w:tcBorders>
          </w:tcPr>
          <w:p w14:paraId="088355B5" w14:textId="77777777" w:rsidR="00F130B4" w:rsidRPr="00D553C7" w:rsidRDefault="002D5881">
            <w:pPr>
              <w:jc w:val="right"/>
              <w:rPr>
                <w:rFonts w:ascii="Arial" w:hAnsi="Arial"/>
                <w:sz w:val="28"/>
                <w:szCs w:val="28"/>
              </w:rPr>
            </w:pPr>
            <w:r w:rsidRPr="00D553C7">
              <w:rPr>
                <w:rFonts w:ascii="Arial" w:hAnsi="Arial" w:hint="cs"/>
                <w:sz w:val="28"/>
                <w:szCs w:val="28"/>
                <w:rtl/>
              </w:rPr>
              <w:t>ה</w:t>
            </w:r>
            <w:r w:rsidRPr="00D553C7">
              <w:rPr>
                <w:rFonts w:hint="cs"/>
                <w:rtl/>
              </w:rPr>
              <w:t>נאשם</w:t>
            </w:r>
          </w:p>
        </w:tc>
      </w:tr>
    </w:tbl>
    <w:p w14:paraId="7447AFE0" w14:textId="77777777" w:rsidR="000379C8" w:rsidRDefault="000379C8">
      <w:pPr>
        <w:rPr>
          <w:rtl/>
        </w:rPr>
      </w:pPr>
      <w:bookmarkStart w:id="3" w:name="LawTable"/>
      <w:bookmarkEnd w:id="3"/>
    </w:p>
    <w:p w14:paraId="7D33197C" w14:textId="77777777" w:rsidR="000379C8" w:rsidRPr="000379C8" w:rsidRDefault="000379C8" w:rsidP="000379C8">
      <w:pPr>
        <w:spacing w:after="120" w:line="240" w:lineRule="exact"/>
        <w:ind w:left="283" w:hanging="283"/>
        <w:jc w:val="both"/>
        <w:rPr>
          <w:rFonts w:ascii="FrankRuehl" w:hAnsi="FrankRuehl" w:cs="FrankRuehl"/>
          <w:rtl/>
        </w:rPr>
      </w:pPr>
    </w:p>
    <w:p w14:paraId="2C65A6A7" w14:textId="77777777" w:rsidR="000379C8" w:rsidRPr="000379C8" w:rsidRDefault="000379C8" w:rsidP="000379C8">
      <w:pPr>
        <w:spacing w:after="120" w:line="240" w:lineRule="exact"/>
        <w:ind w:left="283" w:hanging="283"/>
        <w:jc w:val="both"/>
        <w:rPr>
          <w:rFonts w:ascii="FrankRuehl" w:hAnsi="FrankRuehl" w:cs="FrankRuehl"/>
          <w:rtl/>
        </w:rPr>
      </w:pPr>
      <w:r w:rsidRPr="000379C8">
        <w:rPr>
          <w:rFonts w:ascii="FrankRuehl" w:hAnsi="FrankRuehl" w:cs="FrankRuehl"/>
          <w:rtl/>
        </w:rPr>
        <w:t xml:space="preserve">חקיקה שאוזכרה: </w:t>
      </w:r>
    </w:p>
    <w:p w14:paraId="52B73134" w14:textId="77777777" w:rsidR="000379C8" w:rsidRPr="000379C8" w:rsidRDefault="000379C8" w:rsidP="000379C8">
      <w:pPr>
        <w:spacing w:after="120" w:line="240" w:lineRule="exact"/>
        <w:ind w:left="283" w:hanging="283"/>
        <w:jc w:val="both"/>
        <w:rPr>
          <w:rFonts w:ascii="FrankRuehl" w:hAnsi="FrankRuehl" w:cs="FrankRuehl"/>
          <w:color w:val="0000FF"/>
          <w:u w:val="single"/>
          <w:rtl/>
        </w:rPr>
      </w:pPr>
      <w:hyperlink r:id="rId6" w:history="1">
        <w:r w:rsidRPr="000379C8">
          <w:rPr>
            <w:rStyle w:val="Hyperlink"/>
            <w:rFonts w:ascii="FrankRuehl" w:hAnsi="FrankRuehl" w:cs="FrankRuehl"/>
            <w:rtl/>
          </w:rPr>
          <w:t>חוק העונשין, תשל"ז-1977</w:t>
        </w:r>
      </w:hyperlink>
      <w:r w:rsidRPr="000379C8">
        <w:rPr>
          <w:rFonts w:ascii="FrankRuehl" w:hAnsi="FrankRuehl" w:cs="FrankRuehl"/>
          <w:color w:val="0000FF"/>
          <w:u w:val="single"/>
          <w:rtl/>
        </w:rPr>
        <w:t xml:space="preserve">: סע'  </w:t>
      </w:r>
      <w:hyperlink r:id="rId7" w:history="1">
        <w:r w:rsidRPr="000379C8">
          <w:rPr>
            <w:rStyle w:val="Hyperlink"/>
            <w:rFonts w:ascii="FrankRuehl" w:hAnsi="FrankRuehl" w:cs="FrankRuehl"/>
          </w:rPr>
          <w:t>31</w:t>
        </w:r>
      </w:hyperlink>
      <w:r w:rsidRPr="000379C8">
        <w:rPr>
          <w:rFonts w:ascii="FrankRuehl" w:hAnsi="FrankRuehl" w:cs="FrankRuehl"/>
          <w:color w:val="0000FF"/>
          <w:u w:val="single"/>
          <w:rtl/>
        </w:rPr>
        <w:t xml:space="preserve">, </w:t>
      </w:r>
      <w:hyperlink r:id="rId8" w:history="1">
        <w:r w:rsidRPr="000379C8">
          <w:rPr>
            <w:rStyle w:val="Hyperlink"/>
            <w:rFonts w:ascii="FrankRuehl" w:hAnsi="FrankRuehl" w:cs="FrankRuehl"/>
          </w:rPr>
          <w:t>32</w:t>
        </w:r>
      </w:hyperlink>
      <w:r w:rsidRPr="000379C8">
        <w:rPr>
          <w:rFonts w:ascii="FrankRuehl" w:hAnsi="FrankRuehl" w:cs="FrankRuehl"/>
          <w:color w:val="0000FF"/>
          <w:u w:val="single"/>
          <w:rtl/>
        </w:rPr>
        <w:t xml:space="preserve">, </w:t>
      </w:r>
      <w:hyperlink r:id="rId9" w:history="1">
        <w:r w:rsidRPr="000379C8">
          <w:rPr>
            <w:rStyle w:val="Hyperlink"/>
            <w:rFonts w:ascii="FrankRuehl" w:hAnsi="FrankRuehl" w:cs="FrankRuehl"/>
          </w:rPr>
          <w:t>40</w:t>
        </w:r>
        <w:r w:rsidRPr="000379C8">
          <w:rPr>
            <w:rStyle w:val="Hyperlink"/>
            <w:rFonts w:ascii="FrankRuehl" w:hAnsi="FrankRuehl" w:cs="FrankRuehl"/>
            <w:rtl/>
          </w:rPr>
          <w:t>ב</w:t>
        </w:r>
      </w:hyperlink>
      <w:r w:rsidRPr="000379C8">
        <w:rPr>
          <w:rFonts w:ascii="FrankRuehl" w:hAnsi="FrankRuehl" w:cs="FrankRuehl"/>
          <w:color w:val="0000FF"/>
          <w:u w:val="single"/>
          <w:rtl/>
        </w:rPr>
        <w:t xml:space="preserve">, </w:t>
      </w:r>
      <w:hyperlink r:id="rId10" w:history="1">
        <w:r w:rsidRPr="000379C8">
          <w:rPr>
            <w:rStyle w:val="Hyperlink"/>
            <w:rFonts w:ascii="FrankRuehl" w:hAnsi="FrankRuehl" w:cs="FrankRuehl"/>
          </w:rPr>
          <w:t>40</w:t>
        </w:r>
        <w:r w:rsidRPr="000379C8">
          <w:rPr>
            <w:rStyle w:val="Hyperlink"/>
            <w:rFonts w:ascii="FrankRuehl" w:hAnsi="FrankRuehl" w:cs="FrankRuehl"/>
            <w:rtl/>
          </w:rPr>
          <w:t>ג(א</w:t>
        </w:r>
        <w:r w:rsidRPr="000379C8">
          <w:rPr>
            <w:rStyle w:val="Hyperlink"/>
            <w:rFonts w:ascii="FrankRuehl" w:hAnsi="FrankRuehl" w:cs="FrankRuehl"/>
          </w:rPr>
          <w:t>)</w:t>
        </w:r>
      </w:hyperlink>
      <w:r w:rsidRPr="000379C8">
        <w:rPr>
          <w:rFonts w:ascii="FrankRuehl" w:hAnsi="FrankRuehl" w:cs="FrankRuehl"/>
          <w:color w:val="0000FF"/>
          <w:u w:val="single"/>
          <w:rtl/>
        </w:rPr>
        <w:t xml:space="preserve">, </w:t>
      </w:r>
      <w:hyperlink r:id="rId11" w:history="1">
        <w:r w:rsidRPr="000379C8">
          <w:rPr>
            <w:rStyle w:val="Hyperlink"/>
            <w:rFonts w:ascii="FrankRuehl" w:hAnsi="FrankRuehl" w:cs="FrankRuehl"/>
          </w:rPr>
          <w:t>144(</w:t>
        </w:r>
        <w:r w:rsidRPr="000379C8">
          <w:rPr>
            <w:rStyle w:val="Hyperlink"/>
            <w:rFonts w:ascii="FrankRuehl" w:hAnsi="FrankRuehl" w:cs="FrankRuehl"/>
            <w:rtl/>
          </w:rPr>
          <w:t>א</w:t>
        </w:r>
        <w:r w:rsidRPr="000379C8">
          <w:rPr>
            <w:rStyle w:val="Hyperlink"/>
            <w:rFonts w:ascii="FrankRuehl" w:hAnsi="FrankRuehl" w:cs="FrankRuehl"/>
          </w:rPr>
          <w:t>)</w:t>
        </w:r>
      </w:hyperlink>
      <w:r w:rsidRPr="000379C8">
        <w:rPr>
          <w:rFonts w:ascii="FrankRuehl" w:hAnsi="FrankRuehl" w:cs="FrankRuehl"/>
          <w:color w:val="0000FF"/>
          <w:u w:val="single"/>
          <w:rtl/>
        </w:rPr>
        <w:t xml:space="preserve">, </w:t>
      </w:r>
      <w:hyperlink r:id="rId12" w:history="1">
        <w:r w:rsidRPr="000379C8">
          <w:rPr>
            <w:rStyle w:val="Hyperlink"/>
            <w:rFonts w:ascii="FrankRuehl" w:hAnsi="FrankRuehl" w:cs="FrankRuehl"/>
          </w:rPr>
          <w:t>(</w:t>
        </w:r>
        <w:r w:rsidRPr="000379C8">
          <w:rPr>
            <w:rStyle w:val="Hyperlink"/>
            <w:rFonts w:ascii="FrankRuehl" w:hAnsi="FrankRuehl" w:cs="FrankRuehl"/>
            <w:rtl/>
          </w:rPr>
          <w:t>ב</w:t>
        </w:r>
        <w:r w:rsidRPr="000379C8">
          <w:rPr>
            <w:rStyle w:val="Hyperlink"/>
            <w:rFonts w:ascii="FrankRuehl" w:hAnsi="FrankRuehl" w:cs="FrankRuehl"/>
          </w:rPr>
          <w:t>)</w:t>
        </w:r>
      </w:hyperlink>
      <w:r w:rsidRPr="000379C8">
        <w:rPr>
          <w:rFonts w:ascii="FrankRuehl" w:hAnsi="FrankRuehl" w:cs="FrankRuehl"/>
          <w:color w:val="0000FF"/>
          <w:u w:val="single"/>
          <w:rtl/>
        </w:rPr>
        <w:t xml:space="preserve">, </w:t>
      </w:r>
      <w:hyperlink r:id="rId13" w:history="1">
        <w:r w:rsidRPr="000379C8">
          <w:rPr>
            <w:rStyle w:val="Hyperlink"/>
            <w:rFonts w:ascii="FrankRuehl" w:hAnsi="FrankRuehl" w:cs="FrankRuehl"/>
          </w:rPr>
          <w:t>144(</w:t>
        </w:r>
        <w:r w:rsidRPr="000379C8">
          <w:rPr>
            <w:rStyle w:val="Hyperlink"/>
            <w:rFonts w:ascii="FrankRuehl" w:hAnsi="FrankRuehl" w:cs="FrankRuehl"/>
            <w:rtl/>
          </w:rPr>
          <w:t>ב2</w:t>
        </w:r>
        <w:r w:rsidRPr="000379C8">
          <w:rPr>
            <w:rStyle w:val="Hyperlink"/>
            <w:rFonts w:ascii="FrankRuehl" w:hAnsi="FrankRuehl" w:cs="FrankRuehl"/>
          </w:rPr>
          <w:t>)</w:t>
        </w:r>
      </w:hyperlink>
      <w:r w:rsidRPr="000379C8">
        <w:rPr>
          <w:rFonts w:ascii="FrankRuehl" w:hAnsi="FrankRuehl" w:cs="FrankRuehl"/>
          <w:color w:val="0000FF"/>
          <w:u w:val="single"/>
          <w:rtl/>
        </w:rPr>
        <w:t xml:space="preserve">, </w:t>
      </w:r>
      <w:hyperlink r:id="rId14" w:history="1">
        <w:r w:rsidRPr="000379C8">
          <w:rPr>
            <w:rStyle w:val="Hyperlink"/>
            <w:rFonts w:ascii="FrankRuehl" w:hAnsi="FrankRuehl" w:cs="FrankRuehl"/>
          </w:rPr>
          <w:t>499 (</w:t>
        </w:r>
        <w:r w:rsidRPr="000379C8">
          <w:rPr>
            <w:rStyle w:val="Hyperlink"/>
            <w:rFonts w:ascii="FrankRuehl" w:hAnsi="FrankRuehl" w:cs="FrankRuehl"/>
            <w:rtl/>
          </w:rPr>
          <w:t>א)(1</w:t>
        </w:r>
        <w:r w:rsidRPr="000379C8">
          <w:rPr>
            <w:rStyle w:val="Hyperlink"/>
            <w:rFonts w:ascii="FrankRuehl" w:hAnsi="FrankRuehl" w:cs="FrankRuehl"/>
          </w:rPr>
          <w:t>)</w:t>
        </w:r>
      </w:hyperlink>
    </w:p>
    <w:p w14:paraId="58E77E3E" w14:textId="77777777" w:rsidR="000379C8" w:rsidRPr="000379C8" w:rsidRDefault="000379C8" w:rsidP="000379C8">
      <w:pPr>
        <w:spacing w:after="120" w:line="240" w:lineRule="exact"/>
        <w:ind w:left="283" w:hanging="283"/>
        <w:jc w:val="both"/>
        <w:rPr>
          <w:rFonts w:ascii="FrankRuehl" w:hAnsi="FrankRuehl" w:cs="FrankRuehl"/>
          <w:rtl/>
        </w:rPr>
      </w:pPr>
    </w:p>
    <w:p w14:paraId="43E2EF02" w14:textId="77777777" w:rsidR="000379C8" w:rsidRPr="000379C8" w:rsidRDefault="000379C8">
      <w:pPr>
        <w:rPr>
          <w:rtl/>
        </w:rPr>
      </w:pPr>
      <w:bookmarkStart w:id="4" w:name="LawTable_End"/>
      <w:bookmarkEnd w:id="4"/>
    </w:p>
    <w:p w14:paraId="73F7FB70" w14:textId="77777777" w:rsidR="00F130B4" w:rsidRPr="00D553C7" w:rsidRDefault="00F130B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30B4" w:rsidRPr="00D553C7" w14:paraId="25F81860" w14:textId="77777777">
        <w:trPr>
          <w:trHeight w:val="355"/>
          <w:jc w:val="center"/>
        </w:trPr>
        <w:tc>
          <w:tcPr>
            <w:tcW w:w="8820" w:type="dxa"/>
            <w:tcBorders>
              <w:top w:val="nil"/>
              <w:left w:val="nil"/>
              <w:bottom w:val="nil"/>
              <w:right w:val="nil"/>
            </w:tcBorders>
          </w:tcPr>
          <w:p w14:paraId="0B75DE1E" w14:textId="77777777" w:rsidR="002D5881" w:rsidRPr="00D553C7" w:rsidRDefault="002D5881" w:rsidP="002D5881">
            <w:pPr>
              <w:jc w:val="center"/>
              <w:rPr>
                <w:rFonts w:ascii="Arial" w:hAnsi="Arial"/>
                <w:b/>
                <w:bCs/>
                <w:sz w:val="32"/>
                <w:szCs w:val="32"/>
                <w:u w:val="single"/>
                <w:rtl/>
              </w:rPr>
            </w:pPr>
            <w:bookmarkStart w:id="5" w:name="PsakDin" w:colFirst="0" w:colLast="0"/>
            <w:bookmarkEnd w:id="0"/>
            <w:bookmarkEnd w:id="1"/>
            <w:r w:rsidRPr="00D553C7">
              <w:rPr>
                <w:rFonts w:ascii="Arial" w:hAnsi="Arial"/>
                <w:b/>
                <w:bCs/>
                <w:sz w:val="32"/>
                <w:szCs w:val="32"/>
                <w:u w:val="single"/>
                <w:rtl/>
              </w:rPr>
              <w:t>גזר דין</w:t>
            </w:r>
          </w:p>
          <w:p w14:paraId="43D6E410" w14:textId="77777777" w:rsidR="00F130B4" w:rsidRPr="00D553C7" w:rsidRDefault="00F130B4" w:rsidP="002D5881">
            <w:pPr>
              <w:jc w:val="center"/>
              <w:rPr>
                <w:rFonts w:ascii="Arial" w:hAnsi="Arial"/>
                <w:bCs/>
                <w:sz w:val="32"/>
                <w:szCs w:val="32"/>
                <w:u w:val="single"/>
                <w:rtl/>
              </w:rPr>
            </w:pPr>
          </w:p>
        </w:tc>
      </w:tr>
      <w:bookmarkEnd w:id="5"/>
    </w:tbl>
    <w:p w14:paraId="39CBD731" w14:textId="77777777" w:rsidR="00F130B4" w:rsidRPr="00D553C7" w:rsidRDefault="00F130B4">
      <w:pPr>
        <w:rPr>
          <w:rFonts w:ascii="Arial" w:hAnsi="Arial"/>
          <w:rtl/>
        </w:rPr>
      </w:pPr>
    </w:p>
    <w:p w14:paraId="5C0B551B" w14:textId="77777777" w:rsidR="00F130B4" w:rsidRPr="00D553C7" w:rsidRDefault="002D5881">
      <w:pPr>
        <w:rPr>
          <w:rFonts w:ascii="Arial" w:hAnsi="Arial"/>
          <w:b/>
          <w:bCs/>
          <w:u w:val="single"/>
          <w:rtl/>
        </w:rPr>
      </w:pPr>
      <w:r w:rsidRPr="00D553C7">
        <w:rPr>
          <w:rFonts w:ascii="Arial" w:hAnsi="Arial" w:hint="cs"/>
          <w:b/>
          <w:bCs/>
          <w:u w:val="single"/>
          <w:rtl/>
        </w:rPr>
        <w:t>כתב האישום</w:t>
      </w:r>
    </w:p>
    <w:p w14:paraId="39CCD2A3" w14:textId="77777777" w:rsidR="00F130B4" w:rsidRPr="00D553C7" w:rsidRDefault="00F130B4">
      <w:pPr>
        <w:rPr>
          <w:rFonts w:ascii="Arial" w:hAnsi="Arial"/>
          <w:b/>
          <w:bCs/>
          <w:u w:val="single"/>
          <w:rtl/>
        </w:rPr>
      </w:pPr>
    </w:p>
    <w:p w14:paraId="01B98B4A" w14:textId="77777777" w:rsidR="00F130B4" w:rsidRPr="00D553C7" w:rsidRDefault="002D5881">
      <w:pPr>
        <w:spacing w:line="360" w:lineRule="auto"/>
        <w:jc w:val="both"/>
        <w:rPr>
          <w:rFonts w:ascii="Arial" w:hAnsi="Arial"/>
          <w:rtl/>
        </w:rPr>
      </w:pPr>
      <w:r w:rsidRPr="00D553C7">
        <w:rPr>
          <w:rFonts w:ascii="Arial" w:hAnsi="Arial" w:hint="cs"/>
          <w:rtl/>
        </w:rPr>
        <w:t xml:space="preserve">1. הנאשם הורשע על פי הודאתו במסגרת הסדר טיעון בכתב אישום מתוקן בעבירות של קשר לפשע לפי </w:t>
      </w:r>
      <w:hyperlink r:id="rId15" w:history="1">
        <w:r w:rsidR="00D553C7" w:rsidRPr="00D553C7">
          <w:rPr>
            <w:rStyle w:val="Hyperlink"/>
            <w:rFonts w:ascii="Arial" w:hAnsi="Arial" w:hint="eastAsia"/>
            <w:rtl/>
          </w:rPr>
          <w:t>סעיף</w:t>
        </w:r>
        <w:r w:rsidR="00D553C7" w:rsidRPr="00D553C7">
          <w:rPr>
            <w:rStyle w:val="Hyperlink"/>
            <w:rFonts w:ascii="Arial" w:hAnsi="Arial"/>
            <w:rtl/>
          </w:rPr>
          <w:t xml:space="preserve"> 499 (א)(1)</w:t>
        </w:r>
      </w:hyperlink>
      <w:r w:rsidRPr="00D553C7">
        <w:rPr>
          <w:rFonts w:ascii="Arial" w:hAnsi="Arial" w:hint="cs"/>
          <w:rtl/>
        </w:rPr>
        <w:t xml:space="preserve"> ל</w:t>
      </w:r>
      <w:hyperlink r:id="rId16" w:history="1">
        <w:r w:rsidRPr="00D553C7">
          <w:rPr>
            <w:rFonts w:ascii="Arial" w:hAnsi="Arial"/>
            <w:color w:val="0000FF"/>
            <w:u w:val="single"/>
            <w:rtl/>
          </w:rPr>
          <w:t>חוק העונשין</w:t>
        </w:r>
      </w:hyperlink>
      <w:r w:rsidRPr="00D553C7">
        <w:rPr>
          <w:rFonts w:ascii="Arial" w:hAnsi="Arial" w:hint="cs"/>
          <w:rtl/>
        </w:rPr>
        <w:t xml:space="preserve">, התשל"ז-1977 ובעבירה של סיוע לעבירה בנשק (עסקה בנשק) לפי </w:t>
      </w:r>
      <w:hyperlink r:id="rId17" w:history="1">
        <w:r w:rsidR="00D553C7" w:rsidRPr="00D553C7">
          <w:rPr>
            <w:rStyle w:val="Hyperlink"/>
            <w:rFonts w:ascii="Arial" w:hAnsi="Arial" w:hint="eastAsia"/>
            <w:rtl/>
          </w:rPr>
          <w:t>סעיף</w:t>
        </w:r>
        <w:r w:rsidR="00D553C7" w:rsidRPr="00D553C7">
          <w:rPr>
            <w:rStyle w:val="Hyperlink"/>
            <w:rFonts w:ascii="Arial" w:hAnsi="Arial"/>
            <w:rtl/>
          </w:rPr>
          <w:t xml:space="preserve"> 144(ב2)</w:t>
        </w:r>
      </w:hyperlink>
      <w:r w:rsidRPr="00D553C7">
        <w:rPr>
          <w:rFonts w:ascii="Arial" w:hAnsi="Arial" w:hint="cs"/>
          <w:rtl/>
        </w:rPr>
        <w:t xml:space="preserve"> לחוק + </w:t>
      </w:r>
      <w:hyperlink r:id="rId18" w:history="1">
        <w:r w:rsidR="00D553C7" w:rsidRPr="00D553C7">
          <w:rPr>
            <w:rStyle w:val="Hyperlink"/>
            <w:rFonts w:ascii="Arial" w:hAnsi="Arial" w:hint="eastAsia"/>
            <w:rtl/>
          </w:rPr>
          <w:t>סעיף</w:t>
        </w:r>
        <w:r w:rsidR="00D553C7" w:rsidRPr="00D553C7">
          <w:rPr>
            <w:rStyle w:val="Hyperlink"/>
            <w:rFonts w:ascii="Arial" w:hAnsi="Arial"/>
            <w:rtl/>
          </w:rPr>
          <w:t xml:space="preserve"> 31</w:t>
        </w:r>
      </w:hyperlink>
      <w:r w:rsidRPr="00D553C7">
        <w:rPr>
          <w:rFonts w:ascii="Arial" w:hAnsi="Arial" w:hint="cs"/>
          <w:rtl/>
        </w:rPr>
        <w:t xml:space="preserve"> לחוק.</w:t>
      </w:r>
    </w:p>
    <w:p w14:paraId="462141B7" w14:textId="77777777" w:rsidR="00F130B4" w:rsidRPr="00D553C7" w:rsidRDefault="00F130B4">
      <w:pPr>
        <w:spacing w:line="360" w:lineRule="auto"/>
        <w:jc w:val="both"/>
        <w:rPr>
          <w:rFonts w:ascii="Arial" w:hAnsi="Arial"/>
          <w:rtl/>
        </w:rPr>
      </w:pPr>
    </w:p>
    <w:p w14:paraId="04E2ED4B" w14:textId="77777777" w:rsidR="00F130B4" w:rsidRPr="00D553C7" w:rsidRDefault="002D5881">
      <w:pPr>
        <w:spacing w:line="360" w:lineRule="auto"/>
        <w:jc w:val="both"/>
        <w:rPr>
          <w:rFonts w:ascii="Arial" w:hAnsi="Arial"/>
          <w:rtl/>
        </w:rPr>
      </w:pPr>
      <w:r w:rsidRPr="00D553C7">
        <w:rPr>
          <w:rFonts w:ascii="Arial" w:hAnsi="Arial" w:hint="cs"/>
          <w:rtl/>
        </w:rPr>
        <w:t xml:space="preserve">2. </w:t>
      </w:r>
      <w:bookmarkStart w:id="6" w:name="ABSTRACT_START"/>
      <w:bookmarkEnd w:id="6"/>
      <w:r w:rsidRPr="00D553C7">
        <w:rPr>
          <w:rFonts w:ascii="Arial" w:hAnsi="Arial" w:hint="cs"/>
          <w:rtl/>
        </w:rPr>
        <w:t>על פי כתב האישום במהלך החודשים מרץ-אפריל פנה אל הנאשם גיסו וסיפר לו כי ברצונו לרכוש נשק. הנאשם מסר לגיס מספר טלפון של אדם שממנו ניתן יהיה לרכוש נשק.</w:t>
      </w:r>
    </w:p>
    <w:p w14:paraId="10B5F844" w14:textId="77777777" w:rsidR="00F130B4" w:rsidRPr="00D553C7" w:rsidRDefault="00F130B4">
      <w:pPr>
        <w:spacing w:line="360" w:lineRule="auto"/>
        <w:jc w:val="both"/>
        <w:rPr>
          <w:rFonts w:ascii="Arial" w:hAnsi="Arial"/>
          <w:rtl/>
        </w:rPr>
      </w:pPr>
    </w:p>
    <w:p w14:paraId="30020E03" w14:textId="77777777" w:rsidR="00F130B4" w:rsidRPr="00D553C7" w:rsidRDefault="002D5881">
      <w:pPr>
        <w:spacing w:line="360" w:lineRule="auto"/>
        <w:jc w:val="both"/>
        <w:rPr>
          <w:rFonts w:ascii="Arial" w:hAnsi="Arial"/>
          <w:rtl/>
        </w:rPr>
      </w:pPr>
      <w:r w:rsidRPr="00D553C7">
        <w:rPr>
          <w:rFonts w:ascii="Arial" w:hAnsi="Arial" w:hint="cs"/>
          <w:rtl/>
        </w:rPr>
        <w:t>כעבור מספר ימים פנה הנאשם לגיס ולחבר של הגיס ומסר להם כי ישנה אפשרות לרכוש נשק מסוג "קרלו" ממוכר הנשק. הגיס והחבר אמרו לנאשם כי ברצונם לרכוש את הנשק ובעקבות זאת נסעו שלושתם ברכבו של הנאשם למחנה הפליטים בשועפט שם פגשו את מוכר הנשק.</w:t>
      </w:r>
    </w:p>
    <w:p w14:paraId="59E0639A" w14:textId="77777777" w:rsidR="00F130B4" w:rsidRPr="00D553C7" w:rsidRDefault="00F130B4">
      <w:pPr>
        <w:spacing w:line="360" w:lineRule="auto"/>
        <w:jc w:val="both"/>
        <w:rPr>
          <w:rFonts w:ascii="Arial" w:hAnsi="Arial"/>
          <w:rtl/>
        </w:rPr>
      </w:pPr>
      <w:bookmarkStart w:id="7" w:name="ABSTRACT_END"/>
      <w:bookmarkEnd w:id="7"/>
    </w:p>
    <w:p w14:paraId="1059F4F9" w14:textId="77777777" w:rsidR="00F130B4" w:rsidRPr="00D553C7" w:rsidRDefault="002D5881">
      <w:pPr>
        <w:spacing w:line="360" w:lineRule="auto"/>
        <w:jc w:val="both"/>
        <w:rPr>
          <w:rFonts w:ascii="Arial" w:hAnsi="Arial"/>
          <w:rtl/>
        </w:rPr>
      </w:pPr>
      <w:r w:rsidRPr="00D553C7">
        <w:rPr>
          <w:rFonts w:ascii="Arial" w:hAnsi="Arial" w:hint="cs"/>
          <w:rtl/>
        </w:rPr>
        <w:lastRenderedPageBreak/>
        <w:t>מוכר הנשק הראה בתוך הרכב לגיס ולחבר של הגיס תת מקלע אוטומטי מסוג "קרלו גוסטב", מחסנית וכן 45 קליעים. סמוך לאחר מכן נסע הנאשם מהמקום ולא היה מודע להתרחשות שלאחר מכן.</w:t>
      </w:r>
    </w:p>
    <w:p w14:paraId="6617A8C1" w14:textId="77777777" w:rsidR="00F130B4" w:rsidRPr="00D553C7" w:rsidRDefault="00F130B4">
      <w:pPr>
        <w:spacing w:line="360" w:lineRule="auto"/>
        <w:jc w:val="both"/>
        <w:rPr>
          <w:rFonts w:ascii="Arial" w:hAnsi="Arial"/>
          <w:rtl/>
        </w:rPr>
      </w:pPr>
    </w:p>
    <w:p w14:paraId="34B1EC13" w14:textId="77777777" w:rsidR="00F130B4" w:rsidRPr="00D553C7" w:rsidRDefault="002D5881">
      <w:pPr>
        <w:spacing w:line="360" w:lineRule="auto"/>
        <w:jc w:val="both"/>
        <w:rPr>
          <w:rFonts w:ascii="Arial" w:hAnsi="Arial"/>
          <w:rtl/>
        </w:rPr>
      </w:pPr>
      <w:r w:rsidRPr="00D553C7">
        <w:rPr>
          <w:rFonts w:ascii="Arial" w:hAnsi="Arial" w:hint="cs"/>
          <w:rtl/>
        </w:rPr>
        <w:t>הגיס והחבר רכשו את הנשק והתחמושת בסכום של כ- 8,450 ₪ והשתמשו בו במספר הזדמנויות, לרבות לצורך פיגוע ירי ביהודי בשכונת רמת שלמה בירושלים.</w:t>
      </w:r>
    </w:p>
    <w:p w14:paraId="28BA6753" w14:textId="77777777" w:rsidR="00F130B4" w:rsidRPr="00D553C7" w:rsidRDefault="00F130B4">
      <w:pPr>
        <w:spacing w:line="360" w:lineRule="auto"/>
        <w:jc w:val="both"/>
        <w:rPr>
          <w:rFonts w:ascii="Arial" w:hAnsi="Arial"/>
          <w:rtl/>
        </w:rPr>
      </w:pPr>
    </w:p>
    <w:p w14:paraId="121AAD80" w14:textId="77777777" w:rsidR="00F130B4" w:rsidRPr="00D553C7" w:rsidRDefault="00F130B4">
      <w:pPr>
        <w:spacing w:line="360" w:lineRule="auto"/>
        <w:jc w:val="both"/>
        <w:rPr>
          <w:rFonts w:ascii="Arial" w:hAnsi="Arial"/>
          <w:b/>
          <w:bCs/>
          <w:u w:val="single"/>
          <w:rtl/>
        </w:rPr>
      </w:pPr>
    </w:p>
    <w:p w14:paraId="247ED2E1" w14:textId="77777777" w:rsidR="00F130B4" w:rsidRPr="00D553C7" w:rsidRDefault="002D5881">
      <w:pPr>
        <w:spacing w:line="360" w:lineRule="auto"/>
        <w:jc w:val="both"/>
        <w:rPr>
          <w:rFonts w:ascii="Arial" w:hAnsi="Arial"/>
          <w:rtl/>
        </w:rPr>
      </w:pPr>
      <w:r w:rsidRPr="00D553C7">
        <w:rPr>
          <w:rFonts w:ascii="Arial" w:hAnsi="Arial" w:hint="cs"/>
          <w:b/>
          <w:bCs/>
          <w:u w:val="single"/>
          <w:rtl/>
        </w:rPr>
        <w:t>התסקיר</w:t>
      </w:r>
    </w:p>
    <w:p w14:paraId="306CD13D" w14:textId="77777777" w:rsidR="00F130B4" w:rsidRPr="00D553C7" w:rsidRDefault="002D5881">
      <w:pPr>
        <w:spacing w:line="360" w:lineRule="auto"/>
        <w:jc w:val="both"/>
        <w:rPr>
          <w:rFonts w:ascii="Arial" w:hAnsi="Arial"/>
          <w:rtl/>
        </w:rPr>
      </w:pPr>
      <w:r w:rsidRPr="00D553C7">
        <w:rPr>
          <w:rFonts w:ascii="Arial" w:hAnsi="Arial" w:hint="cs"/>
          <w:rtl/>
        </w:rPr>
        <w:t>3. על פי התסקיר הנאשם הוא בעל תעודת בגרות, בהמשך למד קורס תיקון מחשבים ומשהתקשה למצוא מקום עבודה עם פרנסה מספקת השתלם בעבודה באלומיניום, שם עבד עד למעצרו במשך כ- 7 שנים. כחודש קודם למעצרו התחתן.</w:t>
      </w:r>
    </w:p>
    <w:p w14:paraId="59A3E048" w14:textId="77777777" w:rsidR="00F130B4" w:rsidRPr="00D553C7" w:rsidRDefault="00F130B4">
      <w:pPr>
        <w:spacing w:line="360" w:lineRule="auto"/>
        <w:jc w:val="both"/>
        <w:rPr>
          <w:rFonts w:ascii="Arial" w:hAnsi="Arial"/>
          <w:rtl/>
        </w:rPr>
      </w:pPr>
    </w:p>
    <w:p w14:paraId="7EE02329" w14:textId="77777777" w:rsidR="00F130B4" w:rsidRPr="00D553C7" w:rsidRDefault="002D5881">
      <w:pPr>
        <w:spacing w:line="360" w:lineRule="auto"/>
        <w:jc w:val="both"/>
        <w:rPr>
          <w:rFonts w:ascii="Arial" w:hAnsi="Arial"/>
          <w:rtl/>
        </w:rPr>
      </w:pPr>
      <w:r w:rsidRPr="00D553C7">
        <w:rPr>
          <w:rFonts w:ascii="Arial" w:hAnsi="Arial" w:hint="cs"/>
          <w:rtl/>
        </w:rPr>
        <w:t>בעברו של הנאשם שתי הרשעות קודמות, האחת משנת 2011 בגין עבירת התפרעות והפרעה לשוטר בעת מילוי תפקידו, עליה נידון לשישים ימי מאסר בפועל והשנייה משנת 2009 בגין עבירה של החזקת סמים לצריכה עצמית עליה נידון לעונש מותנה ולקנס.</w:t>
      </w:r>
    </w:p>
    <w:p w14:paraId="77B1E982" w14:textId="77777777" w:rsidR="00F130B4" w:rsidRPr="00D553C7" w:rsidRDefault="00F130B4">
      <w:pPr>
        <w:spacing w:line="360" w:lineRule="auto"/>
        <w:jc w:val="both"/>
        <w:rPr>
          <w:rFonts w:ascii="Arial" w:hAnsi="Arial"/>
          <w:rtl/>
        </w:rPr>
      </w:pPr>
    </w:p>
    <w:p w14:paraId="7F5805C0" w14:textId="77777777" w:rsidR="00F130B4" w:rsidRPr="00D553C7" w:rsidRDefault="002D5881">
      <w:pPr>
        <w:spacing w:line="360" w:lineRule="auto"/>
        <w:jc w:val="both"/>
        <w:rPr>
          <w:rFonts w:ascii="Arial" w:hAnsi="Arial"/>
          <w:rtl/>
        </w:rPr>
      </w:pPr>
      <w:r w:rsidRPr="00D553C7">
        <w:rPr>
          <w:rFonts w:ascii="Arial" w:hAnsi="Arial" w:hint="cs"/>
          <w:rtl/>
        </w:rPr>
        <w:t>4. על פי התסקיר הנאשם נטל אחריות מלאה על מעשיו אך הדגיש כי לא היה לו מושג על הכוונה לעשות שימוש בנשק.</w:t>
      </w:r>
    </w:p>
    <w:p w14:paraId="6EE19BBF" w14:textId="77777777" w:rsidR="00F130B4" w:rsidRPr="00D553C7" w:rsidRDefault="00F130B4">
      <w:pPr>
        <w:spacing w:line="360" w:lineRule="auto"/>
        <w:jc w:val="both"/>
        <w:rPr>
          <w:rFonts w:ascii="Arial" w:hAnsi="Arial"/>
          <w:rtl/>
        </w:rPr>
      </w:pPr>
    </w:p>
    <w:p w14:paraId="6020D81C" w14:textId="77777777" w:rsidR="00F130B4" w:rsidRPr="00D553C7" w:rsidRDefault="002D5881">
      <w:pPr>
        <w:spacing w:line="360" w:lineRule="auto"/>
        <w:jc w:val="both"/>
        <w:rPr>
          <w:rFonts w:ascii="Arial" w:hAnsi="Arial"/>
          <w:rtl/>
        </w:rPr>
      </w:pPr>
      <w:r w:rsidRPr="00D553C7">
        <w:rPr>
          <w:rFonts w:ascii="Arial" w:hAnsi="Arial" w:hint="cs"/>
          <w:rtl/>
        </w:rPr>
        <w:t>הערכת שירות המבחן היא כי לנוכח נתוני אישיותו כמפורט בתסקיר, התקשה הנאשם לסרב לבקשת גיסו לתווך בינו לבין מוכר הנשק אף כי היה מודע להשלכות האפשריות של מעשיו.</w:t>
      </w:r>
    </w:p>
    <w:p w14:paraId="670F8F66" w14:textId="77777777" w:rsidR="00F130B4" w:rsidRPr="00D553C7" w:rsidRDefault="00F130B4">
      <w:pPr>
        <w:spacing w:line="360" w:lineRule="auto"/>
        <w:jc w:val="both"/>
        <w:rPr>
          <w:rFonts w:ascii="Arial" w:hAnsi="Arial"/>
          <w:rtl/>
        </w:rPr>
      </w:pPr>
    </w:p>
    <w:p w14:paraId="5AFD251A" w14:textId="77777777" w:rsidR="00F130B4" w:rsidRPr="00D553C7" w:rsidRDefault="002D5881">
      <w:pPr>
        <w:spacing w:line="360" w:lineRule="auto"/>
        <w:jc w:val="both"/>
        <w:rPr>
          <w:rFonts w:ascii="Arial" w:hAnsi="Arial"/>
          <w:rtl/>
        </w:rPr>
      </w:pPr>
      <w:r w:rsidRPr="00D553C7">
        <w:rPr>
          <w:rFonts w:ascii="Arial" w:hAnsi="Arial" w:hint="cs"/>
          <w:rtl/>
        </w:rPr>
        <w:t>כגורמי סיכוי מציין שירות המבחן את המחויבות הגבוהה שגילה הנאשם לעבודתו, את העובדה שבמסגרת בית המעצר עבד הנאשם כאסיר חוליה באגף לאסירי עבודה, נמצא בקשר עקבי עם עובדת סוציאלית ובמקביל משתתף בקבוצת "התמודדות עם כעס, לחץ ומשבר", ואת העובדה שמקבל אחריות למעשיו ומביע מוטיבציה לשינוי התנהגותו. מנגד, כגורמי סיכון מציין שירות המבחן את העובדה כי הנאשם על אף גילו מצוי עדיין בשלבי גיבוש זהותו ואישיותו כשניכר כי נוטה לריצוי סביבתו. לאור כל אלו העריך שירות המבחן את הסיכון להישנות התנהגות פוגענית כבינוני.</w:t>
      </w:r>
    </w:p>
    <w:p w14:paraId="3C85499C" w14:textId="77777777" w:rsidR="00F130B4" w:rsidRPr="00D553C7" w:rsidRDefault="00F130B4">
      <w:pPr>
        <w:spacing w:line="360" w:lineRule="auto"/>
        <w:jc w:val="both"/>
        <w:rPr>
          <w:rFonts w:ascii="Arial" w:hAnsi="Arial"/>
          <w:rtl/>
        </w:rPr>
      </w:pPr>
    </w:p>
    <w:p w14:paraId="6065C67A" w14:textId="77777777" w:rsidR="00F130B4" w:rsidRPr="00D553C7" w:rsidRDefault="002D5881">
      <w:pPr>
        <w:spacing w:line="360" w:lineRule="auto"/>
        <w:jc w:val="both"/>
        <w:rPr>
          <w:rFonts w:ascii="Arial" w:hAnsi="Arial"/>
          <w:rtl/>
        </w:rPr>
      </w:pPr>
      <w:r w:rsidRPr="00D553C7">
        <w:rPr>
          <w:rFonts w:ascii="Arial" w:hAnsi="Arial" w:hint="cs"/>
          <w:rtl/>
        </w:rPr>
        <w:t>שירות המבחן המליץ כי תוטל על הנאשם תקופת מאסר קצרה ככל שניתן, כשתילקח בחשבון תקופת מעצרו. כן המליץ שירות המבחן על עונש צופה פני עתיד כגורם מרתיע.</w:t>
      </w:r>
    </w:p>
    <w:p w14:paraId="3B7C2A3C" w14:textId="77777777" w:rsidR="00F130B4" w:rsidRPr="00D553C7" w:rsidRDefault="00F130B4">
      <w:pPr>
        <w:spacing w:line="360" w:lineRule="auto"/>
        <w:jc w:val="both"/>
        <w:rPr>
          <w:rFonts w:ascii="Arial" w:hAnsi="Arial"/>
          <w:rtl/>
        </w:rPr>
      </w:pPr>
    </w:p>
    <w:p w14:paraId="256D1990" w14:textId="77777777" w:rsidR="00F130B4" w:rsidRPr="00D553C7" w:rsidRDefault="002D5881">
      <w:pPr>
        <w:spacing w:line="360" w:lineRule="auto"/>
        <w:jc w:val="both"/>
        <w:rPr>
          <w:rFonts w:ascii="Arial" w:hAnsi="Arial"/>
          <w:rtl/>
        </w:rPr>
      </w:pPr>
      <w:r w:rsidRPr="00D553C7">
        <w:rPr>
          <w:rFonts w:ascii="Arial" w:hAnsi="Arial" w:hint="cs"/>
          <w:b/>
          <w:bCs/>
          <w:u w:val="single"/>
          <w:rtl/>
        </w:rPr>
        <w:t>עיקר טענות הצדדים</w:t>
      </w:r>
    </w:p>
    <w:p w14:paraId="657A7404" w14:textId="77777777" w:rsidR="00F130B4" w:rsidRPr="00D553C7" w:rsidRDefault="002D5881">
      <w:pPr>
        <w:spacing w:line="360" w:lineRule="auto"/>
        <w:jc w:val="both"/>
        <w:rPr>
          <w:rFonts w:ascii="Arial" w:hAnsi="Arial"/>
          <w:rtl/>
        </w:rPr>
      </w:pPr>
      <w:r w:rsidRPr="00D553C7">
        <w:rPr>
          <w:rFonts w:ascii="Arial" w:hAnsi="Arial" w:hint="cs"/>
          <w:rtl/>
        </w:rPr>
        <w:lastRenderedPageBreak/>
        <w:t>5. לטענת ב"כ המאשימה המיוחס לנאשם הוא בגדר סיוע בדרגה גבוהה מאוד. באשר לערך החברתי שנפגע, התוצאה הסופית היא שהנשק שימש לפיגוע חבלני, והעובדה שהסיכון התממש שלא בידיעתו של הנאשם, אינה רלוונטית. לטענת ב"כ המאשימה הנסיבות הרלוונטיות של ביצוע העבירה על פי תיקון 113 כוללות גם את התוצאות ואין חובה כי הנאשם יהיה מודע לתוצאות אלה.</w:t>
      </w:r>
    </w:p>
    <w:p w14:paraId="25C19AF7" w14:textId="77777777" w:rsidR="00F130B4" w:rsidRPr="00D553C7" w:rsidRDefault="00F130B4">
      <w:pPr>
        <w:spacing w:line="360" w:lineRule="auto"/>
        <w:jc w:val="both"/>
        <w:rPr>
          <w:rFonts w:ascii="Arial" w:hAnsi="Arial"/>
          <w:rtl/>
        </w:rPr>
      </w:pPr>
    </w:p>
    <w:p w14:paraId="0F62C396" w14:textId="77777777" w:rsidR="00F130B4" w:rsidRPr="00D553C7" w:rsidRDefault="002D5881">
      <w:pPr>
        <w:spacing w:line="360" w:lineRule="auto"/>
        <w:jc w:val="both"/>
        <w:rPr>
          <w:rFonts w:ascii="Arial" w:hAnsi="Arial"/>
          <w:rtl/>
        </w:rPr>
      </w:pPr>
      <w:r w:rsidRPr="00D553C7">
        <w:rPr>
          <w:rFonts w:ascii="Arial" w:hAnsi="Arial" w:hint="cs"/>
          <w:rtl/>
        </w:rPr>
        <w:t>לטענת ב"כ המאשימה מאחר ומדובר בסיוע מתחם העונש ההולם הינו בין 30-18 חודשי מאסר, כמחצית ממתחם הענישה ההולם לו היה מדובר בעבירה המלאה. אשר למיקומו של הנאשם בתוך המתחם טוענת ב"כ המאשימה כי בשים לב לעברו של הנאשם, לכך שלא ניהל הליך הוכחות, לאינטרס הציבורי שנפגע פה בצורה גבוהה וחמורה ולעקרון ההלימה, יש למקם את הנאשם באמצעיתו של המתחם.</w:t>
      </w:r>
    </w:p>
    <w:p w14:paraId="5AF5FA67" w14:textId="77777777" w:rsidR="00F130B4" w:rsidRPr="00D553C7" w:rsidRDefault="00F130B4">
      <w:pPr>
        <w:spacing w:line="360" w:lineRule="auto"/>
        <w:jc w:val="both"/>
        <w:rPr>
          <w:rFonts w:ascii="Arial" w:hAnsi="Arial"/>
          <w:rtl/>
        </w:rPr>
      </w:pPr>
    </w:p>
    <w:p w14:paraId="29942201" w14:textId="77777777" w:rsidR="00F130B4" w:rsidRPr="00D553C7" w:rsidRDefault="002D5881">
      <w:pPr>
        <w:spacing w:line="360" w:lineRule="auto"/>
        <w:jc w:val="both"/>
        <w:rPr>
          <w:rFonts w:ascii="Arial" w:hAnsi="Arial"/>
          <w:rtl/>
        </w:rPr>
      </w:pPr>
      <w:r w:rsidRPr="00D553C7">
        <w:rPr>
          <w:rFonts w:ascii="Arial" w:hAnsi="Arial" w:hint="cs"/>
          <w:rtl/>
        </w:rPr>
        <w:t xml:space="preserve">6. לטענת ב"כ הנאשם בטיעוניה המתייחסים לתוצאות למעשה סוטה ב"כ המאשימה מהסדר הטיעון. קשירת הקשר המיוחסת לנאשם היא רק לעבירה של סיוע לסחר בנשק, לנאשם לא צמחה כל תועלת מביצוע העבירות על ידו והוא אף לא היה נוכח בעת קבלת הנשק. הנאשם הוא בחור צעיר שהתפתה לעזור לגיסו, והיום הוא במקום אחר </w:t>
      </w:r>
      <w:r w:rsidRPr="00D553C7">
        <w:rPr>
          <w:rFonts w:ascii="Arial" w:hAnsi="Arial"/>
          <w:rtl/>
        </w:rPr>
        <w:t>–</w:t>
      </w:r>
      <w:r w:rsidRPr="00D553C7">
        <w:rPr>
          <w:rFonts w:ascii="Arial" w:hAnsi="Arial" w:hint="cs"/>
          <w:rtl/>
        </w:rPr>
        <w:t xml:space="preserve"> מודה בטעותו ונוטל אחריות עליה. כעולה מהתסקיר הנאשם גם החל בהליך שיקומי במסגרת הכלא.</w:t>
      </w:r>
    </w:p>
    <w:p w14:paraId="32E93903" w14:textId="77777777" w:rsidR="00F130B4" w:rsidRPr="00D553C7" w:rsidRDefault="00F130B4">
      <w:pPr>
        <w:spacing w:line="360" w:lineRule="auto"/>
        <w:jc w:val="both"/>
        <w:rPr>
          <w:rFonts w:ascii="Arial" w:hAnsi="Arial"/>
          <w:rtl/>
        </w:rPr>
      </w:pPr>
    </w:p>
    <w:p w14:paraId="383CE7DB" w14:textId="77777777" w:rsidR="00F130B4" w:rsidRPr="00D553C7" w:rsidRDefault="002D5881">
      <w:pPr>
        <w:spacing w:line="360" w:lineRule="auto"/>
        <w:jc w:val="both"/>
        <w:rPr>
          <w:rFonts w:ascii="Arial" w:hAnsi="Arial"/>
          <w:rtl/>
        </w:rPr>
      </w:pPr>
      <w:r w:rsidRPr="00D553C7">
        <w:rPr>
          <w:rFonts w:ascii="Arial" w:hAnsi="Arial" w:hint="cs"/>
          <w:rtl/>
        </w:rPr>
        <w:t>לטענת ב"כ הנאשם מהפסיקה עולה כי מתחם הענישה ההולם בגין עבירה אחת של סחר בנשק נע בין 12 ל- 18 חודשי מאסר בפועל ואילו בגין העבירה בה הורשע הנאשם המתחם ההולם בנסיבות נע בין עבודות שירות למאסר קצר בפועל.</w:t>
      </w:r>
    </w:p>
    <w:p w14:paraId="13978624" w14:textId="77777777" w:rsidR="00F130B4" w:rsidRPr="00D553C7" w:rsidRDefault="00F130B4">
      <w:pPr>
        <w:spacing w:line="360" w:lineRule="auto"/>
        <w:jc w:val="both"/>
        <w:rPr>
          <w:rFonts w:ascii="Arial" w:hAnsi="Arial"/>
          <w:rtl/>
        </w:rPr>
      </w:pPr>
    </w:p>
    <w:p w14:paraId="3701D4CB" w14:textId="77777777" w:rsidR="00F130B4" w:rsidRPr="00D553C7" w:rsidRDefault="002D5881">
      <w:pPr>
        <w:spacing w:line="360" w:lineRule="auto"/>
        <w:jc w:val="both"/>
        <w:rPr>
          <w:rFonts w:ascii="Arial" w:hAnsi="Arial"/>
          <w:rtl/>
        </w:rPr>
      </w:pPr>
      <w:r w:rsidRPr="00D553C7">
        <w:rPr>
          <w:rFonts w:ascii="Arial" w:hAnsi="Arial" w:hint="cs"/>
          <w:rtl/>
        </w:rPr>
        <w:t>לנוכח האמור מבקש ב"כ הנאשם להסתפק בימי מעצרו של הנאשם עד כה, כ- 8 חודשים.</w:t>
      </w:r>
    </w:p>
    <w:p w14:paraId="5C4D2EAF" w14:textId="77777777" w:rsidR="00F130B4" w:rsidRPr="00D553C7" w:rsidRDefault="00F130B4">
      <w:pPr>
        <w:jc w:val="both"/>
        <w:rPr>
          <w:rtl/>
        </w:rPr>
      </w:pPr>
    </w:p>
    <w:p w14:paraId="1804DF98" w14:textId="77777777" w:rsidR="00F130B4" w:rsidRPr="00D553C7" w:rsidRDefault="002D5881">
      <w:pPr>
        <w:spacing w:line="360" w:lineRule="auto"/>
        <w:jc w:val="both"/>
        <w:rPr>
          <w:b/>
          <w:bCs/>
          <w:u w:val="single"/>
          <w:rtl/>
        </w:rPr>
      </w:pPr>
      <w:r w:rsidRPr="00D553C7">
        <w:rPr>
          <w:rFonts w:hint="cs"/>
          <w:b/>
          <w:bCs/>
          <w:u w:val="single"/>
          <w:rtl/>
        </w:rPr>
        <w:t>דיון והכרעה</w:t>
      </w:r>
    </w:p>
    <w:p w14:paraId="0E0292E7" w14:textId="77777777" w:rsidR="00F130B4" w:rsidRPr="00D553C7" w:rsidRDefault="002D5881">
      <w:pPr>
        <w:spacing w:line="360" w:lineRule="auto"/>
        <w:jc w:val="both"/>
        <w:rPr>
          <w:rtl/>
        </w:rPr>
      </w:pPr>
      <w:r w:rsidRPr="00D553C7">
        <w:rPr>
          <w:rFonts w:hint="cs"/>
          <w:rtl/>
        </w:rPr>
        <w:t xml:space="preserve">7. על גזר הדין להינתן בהתאם לעקרון ההלימה שנקבע </w:t>
      </w:r>
      <w:hyperlink r:id="rId19" w:history="1">
        <w:r w:rsidR="00D553C7" w:rsidRPr="00D553C7">
          <w:rPr>
            <w:rStyle w:val="Hyperlink"/>
            <w:rFonts w:hint="eastAsia"/>
            <w:rtl/>
          </w:rPr>
          <w:t>בסעיף</w:t>
        </w:r>
        <w:r w:rsidR="00D553C7" w:rsidRPr="00D553C7">
          <w:rPr>
            <w:rStyle w:val="Hyperlink"/>
            <w:rtl/>
          </w:rPr>
          <w:t xml:space="preserve"> 40ב</w:t>
        </w:r>
      </w:hyperlink>
      <w:r w:rsidRPr="00D553C7">
        <w:rPr>
          <w:rFonts w:hint="cs"/>
          <w:rtl/>
        </w:rPr>
        <w:t xml:space="preserve"> ל</w:t>
      </w:r>
      <w:hyperlink r:id="rId20" w:history="1">
        <w:r w:rsidRPr="00D553C7">
          <w:rPr>
            <w:color w:val="0000FF"/>
            <w:u w:val="single"/>
            <w:rtl/>
          </w:rPr>
          <w:t>חוק העונשין</w:t>
        </w:r>
      </w:hyperlink>
      <w:r w:rsidRPr="00D553C7">
        <w:rPr>
          <w:rFonts w:hint="cs"/>
          <w:rtl/>
        </w:rPr>
        <w:t xml:space="preserve"> בין "</w:t>
      </w:r>
      <w:r w:rsidRPr="00D553C7">
        <w:rPr>
          <w:rFonts w:hint="cs"/>
          <w:b/>
          <w:bCs/>
          <w:rtl/>
        </w:rPr>
        <w:t>חומרת מעשה העבירה בנסיבותיו ומידת אשמו של הנאשם ובין סוג ומידת העונש המוטל עליו</w:t>
      </w:r>
      <w:r w:rsidRPr="00D553C7">
        <w:rPr>
          <w:rFonts w:hint="cs"/>
          <w:rtl/>
        </w:rPr>
        <w:t xml:space="preserve">". </w:t>
      </w:r>
    </w:p>
    <w:p w14:paraId="13CA62BD" w14:textId="77777777" w:rsidR="00F130B4" w:rsidRPr="00D553C7" w:rsidRDefault="00F130B4">
      <w:pPr>
        <w:jc w:val="both"/>
        <w:rPr>
          <w:rtl/>
        </w:rPr>
      </w:pPr>
    </w:p>
    <w:p w14:paraId="563AB6B0" w14:textId="77777777" w:rsidR="00F130B4" w:rsidRPr="00D553C7" w:rsidRDefault="002D5881">
      <w:pPr>
        <w:spacing w:line="360" w:lineRule="auto"/>
        <w:jc w:val="both"/>
        <w:rPr>
          <w:rtl/>
        </w:rPr>
      </w:pPr>
      <w:r w:rsidRPr="00D553C7">
        <w:rPr>
          <w:rFonts w:hint="cs"/>
          <w:rtl/>
        </w:rPr>
        <w:t>בקביעת מתחם הענישה ההולם למעשה העבירה על בית המשפט להתחשב "</w:t>
      </w:r>
      <w:r w:rsidRPr="00D553C7">
        <w:rPr>
          <w:rFonts w:hint="cs"/>
          <w:b/>
          <w:bCs/>
          <w:rtl/>
        </w:rPr>
        <w:t>בערך החברתי שנפגע מביצוע העבירה, במידת הפגיעה בו, במדיניות הענישה הנהוגה ובנסיבות הקשורות בביצוע העבירה...</w:t>
      </w:r>
      <w:r w:rsidRPr="00D553C7">
        <w:rPr>
          <w:rFonts w:hint="cs"/>
          <w:rtl/>
        </w:rPr>
        <w:t xml:space="preserve">" (ר' </w:t>
      </w:r>
      <w:hyperlink r:id="rId21" w:history="1">
        <w:r w:rsidR="00D553C7" w:rsidRPr="00D553C7">
          <w:rPr>
            <w:rStyle w:val="Hyperlink"/>
            <w:rFonts w:hint="eastAsia"/>
            <w:rtl/>
          </w:rPr>
          <w:t>סעיף</w:t>
        </w:r>
        <w:r w:rsidR="00D553C7" w:rsidRPr="00D553C7">
          <w:rPr>
            <w:rStyle w:val="Hyperlink"/>
            <w:rtl/>
          </w:rPr>
          <w:t xml:space="preserve"> 40ג(א)</w:t>
        </w:r>
      </w:hyperlink>
      <w:r w:rsidRPr="00D553C7">
        <w:rPr>
          <w:rFonts w:hint="cs"/>
          <w:rtl/>
        </w:rPr>
        <w:t xml:space="preserve"> לחוק). </w:t>
      </w:r>
    </w:p>
    <w:p w14:paraId="257F6976" w14:textId="77777777" w:rsidR="00F130B4" w:rsidRPr="00D553C7" w:rsidRDefault="00F130B4">
      <w:pPr>
        <w:spacing w:line="360" w:lineRule="auto"/>
        <w:jc w:val="both"/>
        <w:rPr>
          <w:rtl/>
        </w:rPr>
      </w:pPr>
    </w:p>
    <w:p w14:paraId="23FDA072" w14:textId="77777777" w:rsidR="00F130B4" w:rsidRPr="00D553C7" w:rsidRDefault="002D5881">
      <w:pPr>
        <w:spacing w:line="360" w:lineRule="auto"/>
        <w:jc w:val="both"/>
        <w:rPr>
          <w:rtl/>
        </w:rPr>
      </w:pPr>
      <w:r w:rsidRPr="00D553C7">
        <w:rPr>
          <w:rFonts w:hint="cs"/>
          <w:rtl/>
        </w:rPr>
        <w:t xml:space="preserve">8. הערך המוגן שנפגע מביצוע העבירה הינו שלום הציבור מפני פגיעות בגוף ובנפש. במדרג עבירות הנשק מצויה העבירה של עסקה בנשק בדרגה הגבוהה ביותר מבחינתה חומרתה ורמת הענישה עליה (ר' הוראת </w:t>
      </w:r>
      <w:hyperlink r:id="rId22" w:history="1">
        <w:r w:rsidR="00D553C7" w:rsidRPr="00D553C7">
          <w:rPr>
            <w:rStyle w:val="Hyperlink"/>
            <w:rFonts w:hint="eastAsia"/>
            <w:rtl/>
          </w:rPr>
          <w:t>סעיף</w:t>
        </w:r>
        <w:r w:rsidR="00D553C7" w:rsidRPr="00D553C7">
          <w:rPr>
            <w:rStyle w:val="Hyperlink"/>
            <w:rtl/>
          </w:rPr>
          <w:t xml:space="preserve"> 144(א)</w:t>
        </w:r>
      </w:hyperlink>
      <w:r w:rsidRPr="00D553C7">
        <w:rPr>
          <w:rFonts w:hint="cs"/>
          <w:rtl/>
        </w:rPr>
        <w:t xml:space="preserve">, </w:t>
      </w:r>
      <w:hyperlink r:id="rId23" w:history="1">
        <w:r w:rsidR="00D553C7" w:rsidRPr="00D553C7">
          <w:rPr>
            <w:rStyle w:val="Hyperlink"/>
            <w:rtl/>
          </w:rPr>
          <w:t>(ב)</w:t>
        </w:r>
      </w:hyperlink>
      <w:r w:rsidRPr="00D553C7">
        <w:rPr>
          <w:rFonts w:hint="cs"/>
          <w:rtl/>
        </w:rPr>
        <w:t xml:space="preserve"> ו-</w:t>
      </w:r>
      <w:hyperlink r:id="rId24" w:history="1">
        <w:r w:rsidR="00D553C7" w:rsidRPr="00D553C7">
          <w:rPr>
            <w:rStyle w:val="Hyperlink"/>
            <w:rtl/>
          </w:rPr>
          <w:t>(ב2)</w:t>
        </w:r>
      </w:hyperlink>
      <w:r w:rsidRPr="00D553C7">
        <w:rPr>
          <w:rFonts w:hint="cs"/>
          <w:rtl/>
        </w:rPr>
        <w:t xml:space="preserve"> ל</w:t>
      </w:r>
      <w:hyperlink r:id="rId25" w:history="1">
        <w:r w:rsidRPr="00D553C7">
          <w:rPr>
            <w:color w:val="0000FF"/>
            <w:u w:val="single"/>
            <w:rtl/>
          </w:rPr>
          <w:t>חוק העונשין</w:t>
        </w:r>
      </w:hyperlink>
      <w:r w:rsidRPr="00D553C7">
        <w:rPr>
          <w:rFonts w:hint="cs"/>
          <w:rtl/>
        </w:rPr>
        <w:t xml:space="preserve">). עם זאת, המיוחס לנאשם הינו סיוע בלבד, אשר עונשו בהתאם להוראת </w:t>
      </w:r>
      <w:hyperlink r:id="rId26" w:history="1">
        <w:r w:rsidR="00D553C7" w:rsidRPr="00D553C7">
          <w:rPr>
            <w:rStyle w:val="Hyperlink"/>
            <w:rFonts w:hint="eastAsia"/>
            <w:rtl/>
          </w:rPr>
          <w:t>סעיף</w:t>
        </w:r>
        <w:r w:rsidR="00D553C7" w:rsidRPr="00D553C7">
          <w:rPr>
            <w:rStyle w:val="Hyperlink"/>
            <w:rtl/>
          </w:rPr>
          <w:t xml:space="preserve"> 32</w:t>
        </w:r>
      </w:hyperlink>
      <w:r w:rsidRPr="00D553C7">
        <w:rPr>
          <w:rFonts w:hint="cs"/>
          <w:rtl/>
        </w:rPr>
        <w:t xml:space="preserve"> לחוק הינו מחצית מזה של המבצע העיקרי. </w:t>
      </w:r>
    </w:p>
    <w:p w14:paraId="54010151" w14:textId="77777777" w:rsidR="00F130B4" w:rsidRPr="00D553C7" w:rsidRDefault="00F130B4">
      <w:pPr>
        <w:spacing w:line="360" w:lineRule="auto"/>
        <w:jc w:val="both"/>
        <w:rPr>
          <w:rtl/>
        </w:rPr>
      </w:pPr>
    </w:p>
    <w:p w14:paraId="459C5A57" w14:textId="77777777" w:rsidR="00F130B4" w:rsidRPr="00D553C7" w:rsidRDefault="002D5881">
      <w:pPr>
        <w:spacing w:line="360" w:lineRule="auto"/>
        <w:jc w:val="both"/>
        <w:rPr>
          <w:rtl/>
        </w:rPr>
      </w:pPr>
      <w:r w:rsidRPr="00D553C7">
        <w:rPr>
          <w:rFonts w:hint="cs"/>
          <w:rtl/>
        </w:rPr>
        <w:t xml:space="preserve">ההלכה היא כי יש להחמיר בעבירות מסוג זה  שכן </w:t>
      </w:r>
      <w:r w:rsidRPr="00D553C7">
        <w:rPr>
          <w:rtl/>
        </w:rPr>
        <w:t>"</w:t>
      </w:r>
      <w:r w:rsidRPr="00D553C7">
        <w:rPr>
          <w:b/>
          <w:bCs/>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לידים עברייניות, עניין חמור לעצמו, כי אם לידיהם של אלה המבקשים להוציא אל הפועל פעילות חבלנית עוינת</w:t>
      </w:r>
      <w:r w:rsidRPr="00D553C7">
        <w:rPr>
          <w:rtl/>
        </w:rPr>
        <w:t>" (</w:t>
      </w:r>
      <w:hyperlink r:id="rId27" w:history="1">
        <w:r w:rsidRPr="00D553C7">
          <w:rPr>
            <w:color w:val="0000FF"/>
            <w:u w:val="single"/>
            <w:rtl/>
          </w:rPr>
          <w:t>ע"פ 2251/11</w:t>
        </w:r>
      </w:hyperlink>
      <w:r w:rsidRPr="00D553C7">
        <w:rPr>
          <w:rtl/>
        </w:rPr>
        <w:t xml:space="preserve"> </w:t>
      </w:r>
      <w:r w:rsidRPr="00D553C7">
        <w:rPr>
          <w:b/>
          <w:bCs/>
          <w:rtl/>
        </w:rPr>
        <w:t>נפעא נ' מדינת ישראל</w:t>
      </w:r>
      <w:r w:rsidRPr="00D553C7">
        <w:rPr>
          <w:rtl/>
        </w:rPr>
        <w:t xml:space="preserve"> פסקה 5</w:t>
      </w:r>
      <w:r w:rsidRPr="00D553C7">
        <w:rPr>
          <w:rFonts w:hint="cs"/>
          <w:rtl/>
        </w:rPr>
        <w:t xml:space="preserve">; ר' גם </w:t>
      </w:r>
      <w:hyperlink r:id="rId28" w:history="1">
        <w:r w:rsidRPr="00D553C7">
          <w:rPr>
            <w:color w:val="0000FF"/>
            <w:u w:val="single"/>
            <w:rtl/>
          </w:rPr>
          <w:t>ע"פ 1768/14</w:t>
        </w:r>
      </w:hyperlink>
      <w:r w:rsidRPr="00D553C7">
        <w:rPr>
          <w:rFonts w:hint="cs"/>
          <w:rtl/>
        </w:rPr>
        <w:t xml:space="preserve"> </w:t>
      </w:r>
      <w:r w:rsidRPr="00D553C7">
        <w:rPr>
          <w:rFonts w:hint="cs"/>
          <w:b/>
          <w:bCs/>
          <w:rtl/>
        </w:rPr>
        <w:t>בהא גנאיים נ. מדינת ישראל</w:t>
      </w:r>
      <w:r w:rsidRPr="00D553C7">
        <w:rPr>
          <w:rFonts w:hint="cs"/>
          <w:rtl/>
        </w:rPr>
        <w:t>)</w:t>
      </w:r>
    </w:p>
    <w:p w14:paraId="1A429440" w14:textId="77777777" w:rsidR="00F130B4" w:rsidRPr="00D553C7" w:rsidRDefault="00F130B4">
      <w:pPr>
        <w:spacing w:line="360" w:lineRule="auto"/>
        <w:jc w:val="both"/>
        <w:rPr>
          <w:rtl/>
        </w:rPr>
      </w:pPr>
    </w:p>
    <w:p w14:paraId="073E0A29" w14:textId="77777777" w:rsidR="00F130B4" w:rsidRPr="00D553C7" w:rsidRDefault="00F130B4">
      <w:pPr>
        <w:spacing w:line="360" w:lineRule="auto"/>
        <w:jc w:val="both"/>
        <w:rPr>
          <w:rtl/>
        </w:rPr>
      </w:pPr>
    </w:p>
    <w:p w14:paraId="72186F21" w14:textId="77777777" w:rsidR="00F130B4" w:rsidRPr="00D553C7" w:rsidRDefault="002D5881">
      <w:pPr>
        <w:spacing w:line="360" w:lineRule="auto"/>
        <w:jc w:val="both"/>
        <w:rPr>
          <w:rtl/>
        </w:rPr>
      </w:pPr>
      <w:r w:rsidRPr="00D553C7">
        <w:rPr>
          <w:rFonts w:hint="cs"/>
          <w:rtl/>
        </w:rPr>
        <w:t xml:space="preserve">9. אשר למדיניות הענישה הנוהגת.                                                                                                                                                                                                                                                                                                                                                                                                                                                                                                                                                                                                                                                                                                                                                                                                                                                                                                                                                                                                                                                                                                                                                                                                                                                                                                                                                                                                                                                                                                                                                                                                                                                                                                                                                                                                                                                                                                                                                                                                                                                                                                                                                                            </w:t>
      </w:r>
    </w:p>
    <w:p w14:paraId="2E6C3395" w14:textId="77777777" w:rsidR="00F130B4" w:rsidRPr="00D553C7" w:rsidRDefault="00F130B4">
      <w:pPr>
        <w:jc w:val="both"/>
        <w:rPr>
          <w:rtl/>
        </w:rPr>
      </w:pPr>
    </w:p>
    <w:p w14:paraId="0803B8DE" w14:textId="77777777" w:rsidR="00F130B4" w:rsidRPr="00D553C7" w:rsidRDefault="002D5881">
      <w:pPr>
        <w:spacing w:line="360" w:lineRule="auto"/>
        <w:jc w:val="both"/>
        <w:rPr>
          <w:rtl/>
        </w:rPr>
      </w:pPr>
      <w:r w:rsidRPr="00D553C7">
        <w:rPr>
          <w:rFonts w:hint="cs"/>
          <w:rtl/>
        </w:rPr>
        <w:t>ב"כ המאשימה היפנתה לגזר דין שניתן ב</w:t>
      </w:r>
      <w:hyperlink r:id="rId29" w:history="1">
        <w:r w:rsidRPr="00D553C7">
          <w:rPr>
            <w:color w:val="0000FF"/>
            <w:u w:val="single"/>
            <w:rtl/>
          </w:rPr>
          <w:t>ת.פ. 24215-06-13</w:t>
        </w:r>
      </w:hyperlink>
      <w:r w:rsidRPr="00D553C7">
        <w:rPr>
          <w:rFonts w:hint="cs"/>
          <w:rtl/>
        </w:rPr>
        <w:t xml:space="preserve"> </w:t>
      </w:r>
      <w:r w:rsidRPr="00D553C7">
        <w:rPr>
          <w:rFonts w:hint="cs"/>
          <w:b/>
          <w:bCs/>
          <w:rtl/>
        </w:rPr>
        <w:t>מדינת ישראל נ. פואד דוידאר</w:t>
      </w:r>
      <w:r w:rsidRPr="00D553C7">
        <w:rPr>
          <w:rFonts w:hint="cs"/>
          <w:rtl/>
        </w:rPr>
        <w:t xml:space="preserve"> שם נקבע מתחם ענישה הולם לעבירה של סחר בנשק לפי </w:t>
      </w:r>
      <w:hyperlink r:id="rId30" w:history="1">
        <w:r w:rsidR="00D553C7" w:rsidRPr="00D553C7">
          <w:rPr>
            <w:rStyle w:val="Hyperlink"/>
            <w:rFonts w:hint="eastAsia"/>
            <w:rtl/>
          </w:rPr>
          <w:t>סעיף</w:t>
        </w:r>
        <w:r w:rsidR="00D553C7" w:rsidRPr="00D553C7">
          <w:rPr>
            <w:rStyle w:val="Hyperlink"/>
            <w:rtl/>
          </w:rPr>
          <w:t xml:space="preserve"> 144(ב2)</w:t>
        </w:r>
      </w:hyperlink>
      <w:r w:rsidRPr="00D553C7">
        <w:rPr>
          <w:rFonts w:hint="cs"/>
          <w:rtl/>
        </w:rPr>
        <w:t xml:space="preserve"> שנע בין 24 ל-48 חודשים. יצויין כי באותן נסיבות מדובר היה כאמור במבצע העיקרי אשר הביא את הרובה וקיבל את מלוא התמורה עבורו. העונש שהוטל באותן נסיבות היה של 36 חודשי מאסר בפועל וערעור על גזר הדין נדחה (ר' </w:t>
      </w:r>
      <w:hyperlink r:id="rId31" w:history="1">
        <w:r w:rsidRPr="00D553C7">
          <w:rPr>
            <w:color w:val="0000FF"/>
            <w:u w:val="single"/>
            <w:rtl/>
          </w:rPr>
          <w:t>ע"פ 2422/14</w:t>
        </w:r>
      </w:hyperlink>
      <w:r w:rsidRPr="00D553C7">
        <w:rPr>
          <w:rFonts w:hint="cs"/>
          <w:rtl/>
        </w:rPr>
        <w:t xml:space="preserve"> </w:t>
      </w:r>
      <w:r w:rsidRPr="00D553C7">
        <w:rPr>
          <w:rFonts w:hint="cs"/>
          <w:b/>
          <w:bCs/>
          <w:rtl/>
        </w:rPr>
        <w:t>עלי ח'דר נ. מדינת ישראל</w:t>
      </w:r>
      <w:r w:rsidRPr="00D553C7">
        <w:rPr>
          <w:rFonts w:hint="cs"/>
          <w:rtl/>
        </w:rPr>
        <w:t xml:space="preserve">). </w:t>
      </w:r>
    </w:p>
    <w:p w14:paraId="11D7D90B" w14:textId="77777777" w:rsidR="00F130B4" w:rsidRPr="00D553C7" w:rsidRDefault="00F130B4">
      <w:pPr>
        <w:spacing w:line="360" w:lineRule="auto"/>
        <w:jc w:val="both"/>
        <w:rPr>
          <w:rtl/>
        </w:rPr>
      </w:pPr>
    </w:p>
    <w:p w14:paraId="20AE3DE9" w14:textId="77777777" w:rsidR="00F130B4" w:rsidRPr="00D553C7" w:rsidRDefault="002D5881">
      <w:pPr>
        <w:spacing w:line="360" w:lineRule="auto"/>
        <w:jc w:val="both"/>
        <w:rPr>
          <w:rtl/>
        </w:rPr>
      </w:pPr>
      <w:r w:rsidRPr="00D553C7">
        <w:rPr>
          <w:rFonts w:hint="cs"/>
          <w:rtl/>
        </w:rPr>
        <w:t>ב"כ הנאשם מצדו היפנה לסדרת פסקי דין בהם נגזרו על נאשמים שהורשעו בסיוע לעבירה של סחר בנשק עונשי מאסר שנעו בין שישה חודשים לריצוי בעבודות שירות (</w:t>
      </w:r>
      <w:hyperlink r:id="rId32" w:history="1">
        <w:r w:rsidRPr="00D553C7">
          <w:rPr>
            <w:color w:val="0000FF"/>
            <w:u w:val="single"/>
            <w:rtl/>
          </w:rPr>
          <w:t>ת"פ 36196-12-11</w:t>
        </w:r>
      </w:hyperlink>
      <w:r w:rsidRPr="00D553C7">
        <w:rPr>
          <w:rFonts w:hint="cs"/>
          <w:rtl/>
        </w:rPr>
        <w:t xml:space="preserve"> </w:t>
      </w:r>
      <w:r w:rsidRPr="00D553C7">
        <w:rPr>
          <w:rFonts w:hint="cs"/>
          <w:b/>
          <w:bCs/>
          <w:rtl/>
        </w:rPr>
        <w:t>מדינת ישראל נ. מוחמד בדרה</w:t>
      </w:r>
      <w:r w:rsidRPr="00D553C7">
        <w:rPr>
          <w:rFonts w:hint="cs"/>
          <w:rtl/>
        </w:rPr>
        <w:t xml:space="preserve">), ועד ל-9 חודשים (ר' </w:t>
      </w:r>
      <w:hyperlink r:id="rId33" w:history="1">
        <w:r w:rsidRPr="00D553C7">
          <w:rPr>
            <w:color w:val="0000FF"/>
            <w:u w:val="single"/>
            <w:rtl/>
          </w:rPr>
          <w:t>ת.פ. 3070-05-10</w:t>
        </w:r>
      </w:hyperlink>
      <w:r w:rsidRPr="00D553C7">
        <w:rPr>
          <w:rFonts w:hint="cs"/>
          <w:rtl/>
        </w:rPr>
        <w:t xml:space="preserve"> </w:t>
      </w:r>
      <w:r w:rsidRPr="00D553C7">
        <w:rPr>
          <w:rFonts w:hint="cs"/>
          <w:b/>
          <w:bCs/>
          <w:rtl/>
        </w:rPr>
        <w:t>מדינת ישראל נ. בשיר בשיר</w:t>
      </w:r>
      <w:r w:rsidRPr="00D553C7">
        <w:rPr>
          <w:rFonts w:hint="cs"/>
          <w:rtl/>
        </w:rPr>
        <w:t xml:space="preserve">; </w:t>
      </w:r>
      <w:hyperlink r:id="rId34" w:history="1">
        <w:r w:rsidRPr="00D553C7">
          <w:rPr>
            <w:color w:val="0000FF"/>
            <w:u w:val="single"/>
            <w:rtl/>
          </w:rPr>
          <w:t>ע"פ 8866/11</w:t>
        </w:r>
      </w:hyperlink>
      <w:r w:rsidRPr="00D553C7">
        <w:rPr>
          <w:rFonts w:hint="cs"/>
          <w:rtl/>
        </w:rPr>
        <w:t xml:space="preserve"> </w:t>
      </w:r>
      <w:r w:rsidRPr="00D553C7">
        <w:rPr>
          <w:rFonts w:hint="cs"/>
          <w:b/>
          <w:bCs/>
          <w:rtl/>
        </w:rPr>
        <w:t>חמזה חאג' נ. מדינת ישראל,</w:t>
      </w:r>
      <w:r w:rsidRPr="00D553C7">
        <w:rPr>
          <w:rFonts w:hint="cs"/>
          <w:rtl/>
        </w:rPr>
        <w:t xml:space="preserve"> במקרה אחרון זה מדובר בנסיון לסיוע בסחר), כאשר בגין העבירה המושלמת היפנה ב"כ הנאשם לפסיקה שהטילה 13 חודשי מאסר (ר' </w:t>
      </w:r>
      <w:hyperlink r:id="rId35" w:history="1">
        <w:r w:rsidRPr="00D553C7">
          <w:rPr>
            <w:color w:val="0000FF"/>
            <w:u w:val="single"/>
            <w:rtl/>
          </w:rPr>
          <w:t>ת.פ. 2120/06</w:t>
        </w:r>
      </w:hyperlink>
      <w:r w:rsidRPr="00D553C7">
        <w:rPr>
          <w:rFonts w:hint="cs"/>
          <w:rtl/>
        </w:rPr>
        <w:t xml:space="preserve"> </w:t>
      </w:r>
      <w:r w:rsidRPr="00D553C7">
        <w:rPr>
          <w:rFonts w:hint="cs"/>
          <w:b/>
          <w:bCs/>
          <w:rtl/>
        </w:rPr>
        <w:t>מדינת ישראל נ. מוראד בן אחמד חושיה</w:t>
      </w:r>
      <w:r w:rsidRPr="00D553C7">
        <w:rPr>
          <w:rFonts w:hint="cs"/>
          <w:rtl/>
        </w:rPr>
        <w:t>) ו-18 חודשי מאסר (</w:t>
      </w:r>
      <w:hyperlink r:id="rId36" w:history="1">
        <w:r w:rsidRPr="00D553C7">
          <w:rPr>
            <w:color w:val="0000FF"/>
            <w:u w:val="single"/>
            <w:rtl/>
          </w:rPr>
          <w:t>ת.פ. 26299-08-10</w:t>
        </w:r>
      </w:hyperlink>
      <w:r w:rsidRPr="00D553C7">
        <w:rPr>
          <w:rFonts w:hint="cs"/>
          <w:rtl/>
        </w:rPr>
        <w:t xml:space="preserve"> </w:t>
      </w:r>
      <w:r w:rsidRPr="00D553C7">
        <w:rPr>
          <w:rFonts w:hint="cs"/>
          <w:b/>
          <w:bCs/>
          <w:rtl/>
        </w:rPr>
        <w:t>מדינת ישראל נ. גולאני</w:t>
      </w:r>
      <w:r w:rsidRPr="00D553C7">
        <w:rPr>
          <w:rFonts w:hint="cs"/>
          <w:rtl/>
        </w:rPr>
        <w:t xml:space="preserve">). </w:t>
      </w:r>
    </w:p>
    <w:p w14:paraId="5789CEFD" w14:textId="77777777" w:rsidR="00F130B4" w:rsidRPr="00D553C7" w:rsidRDefault="00F130B4">
      <w:pPr>
        <w:spacing w:line="360" w:lineRule="auto"/>
        <w:jc w:val="both"/>
        <w:rPr>
          <w:rtl/>
        </w:rPr>
      </w:pPr>
    </w:p>
    <w:p w14:paraId="5CD6945A" w14:textId="77777777" w:rsidR="00F130B4" w:rsidRPr="00D553C7" w:rsidRDefault="002D5881">
      <w:pPr>
        <w:spacing w:line="360" w:lineRule="auto"/>
        <w:jc w:val="both"/>
        <w:rPr>
          <w:rtl/>
        </w:rPr>
      </w:pPr>
      <w:r w:rsidRPr="00D553C7">
        <w:rPr>
          <w:rFonts w:hint="cs"/>
          <w:rtl/>
        </w:rPr>
        <w:t xml:space="preserve">10. אשר לנסיבות הקשורות בביצוע העבירה. בעניין זה יש לשקול את העובדה שאמנם נכונות הנאשם לסייע נבעה מבקשת הגיס, לה ככל הנראה התקשה לסרב, והוא גם לא קיבל תמורה בגין ביצוע העיסקה ואף לא נכח ברגע הביצוע ממש, ואולם הסיוע שהושיט הנאשם היה אקטיבי שאינו אך תולדה של קושי לסרב. הנאשם לא הסתפק במסירת הטלפון לגיס, אלא פנה אליו ואל חברו מספר ימים מאוחר יותר ומסר להם כי קיימת אפשרות לרכוש נשק מסוג "קרלו" ואף נסע עימם לפגוש את מוכר הנשק. זאת ועוד. מדובר בתת מקלע אוטומאטי מסוג "קרלו גוסטב" אשר ההשלכות האפשריות של השימוש בו ברורות, כפי שאכן אירע במקרה הנוכחי. </w:t>
      </w:r>
    </w:p>
    <w:p w14:paraId="2F0635BC" w14:textId="77777777" w:rsidR="00F130B4" w:rsidRPr="00D553C7" w:rsidRDefault="00F130B4">
      <w:pPr>
        <w:spacing w:line="360" w:lineRule="auto"/>
        <w:jc w:val="both"/>
        <w:rPr>
          <w:rtl/>
        </w:rPr>
      </w:pPr>
    </w:p>
    <w:p w14:paraId="1C483C80" w14:textId="77777777" w:rsidR="00F130B4" w:rsidRPr="00D553C7" w:rsidRDefault="002D5881">
      <w:pPr>
        <w:spacing w:line="360" w:lineRule="auto"/>
        <w:jc w:val="both"/>
        <w:rPr>
          <w:rFonts w:ascii="Arial" w:hAnsi="Arial"/>
          <w:rtl/>
        </w:rPr>
      </w:pPr>
      <w:r w:rsidRPr="00D553C7">
        <w:rPr>
          <w:rFonts w:hint="cs"/>
          <w:rtl/>
        </w:rPr>
        <w:t xml:space="preserve">בשוקלי את כל האמור סבורה אני מתחם הענישה ההולם בעניינו של הנאשם הוא בין 12 ל-30  חודשי מאסר. </w:t>
      </w:r>
    </w:p>
    <w:p w14:paraId="1A45ADC1" w14:textId="77777777" w:rsidR="00F130B4" w:rsidRPr="00D553C7" w:rsidRDefault="00F130B4">
      <w:pPr>
        <w:spacing w:line="360" w:lineRule="auto"/>
        <w:jc w:val="both"/>
        <w:rPr>
          <w:rFonts w:ascii="Arial" w:hAnsi="Arial"/>
          <w:rtl/>
        </w:rPr>
      </w:pPr>
    </w:p>
    <w:p w14:paraId="7E2781E0" w14:textId="77777777" w:rsidR="00F130B4" w:rsidRPr="00D553C7" w:rsidRDefault="002D5881">
      <w:pPr>
        <w:spacing w:line="360" w:lineRule="auto"/>
        <w:jc w:val="both"/>
        <w:rPr>
          <w:rFonts w:ascii="Arial" w:hAnsi="Arial"/>
          <w:rtl/>
        </w:rPr>
      </w:pPr>
      <w:r w:rsidRPr="00D553C7">
        <w:rPr>
          <w:rFonts w:ascii="Arial" w:hAnsi="Arial" w:hint="cs"/>
          <w:rtl/>
        </w:rPr>
        <w:t xml:space="preserve">11. אשר לעונש המתאים בתוך המתחם. </w:t>
      </w:r>
    </w:p>
    <w:p w14:paraId="4CAE7A7E" w14:textId="77777777" w:rsidR="00F130B4" w:rsidRPr="00D553C7" w:rsidRDefault="00F130B4">
      <w:pPr>
        <w:spacing w:line="360" w:lineRule="auto"/>
        <w:jc w:val="both"/>
        <w:rPr>
          <w:rFonts w:ascii="Arial" w:hAnsi="Arial"/>
          <w:rtl/>
        </w:rPr>
      </w:pPr>
    </w:p>
    <w:p w14:paraId="5C9E0106" w14:textId="77777777" w:rsidR="00F130B4" w:rsidRPr="00D553C7" w:rsidRDefault="002D5881">
      <w:pPr>
        <w:spacing w:line="360" w:lineRule="auto"/>
        <w:jc w:val="both"/>
        <w:rPr>
          <w:rFonts w:ascii="Arial" w:hAnsi="Arial"/>
          <w:rtl/>
        </w:rPr>
      </w:pPr>
      <w:r w:rsidRPr="00D553C7">
        <w:rPr>
          <w:rFonts w:ascii="Arial" w:hAnsi="Arial" w:hint="cs"/>
          <w:rtl/>
        </w:rPr>
        <w:t xml:space="preserve">הנאשם יליד 1986 והתחתן זמן קצר לפני מעצרו. כעולה מהתסקיר הוא בעל תעודת בגרות, אף למד מעבר לכך וגילה יציבות תעסוקתית במהלך השנים עד למעצרו. הנאשם נטל אחריות על מעשיו והודה בהם, ואף על פי התסקיר הוא נוטל אחריות על מעשיו, מגלה מוטיבציה לשנוי בהתנהגותו ואף החל בהליכי שיקום במסגרת הכלא. מנגד יש לשקול את העובדה ששיקולי השיקום אינם עיקר בעבירות מהסוג המיוחס לנאשם ושאין המדובר בהסתבכות חד-פעמית של הנאשם בפלילים, בעברו שתי הרשעות, וכעולה מהתסקיר בשל מאפייניו של הנאשם, יש צורך בהרתעתו מפני מעורבות נוספת. </w:t>
      </w:r>
    </w:p>
    <w:p w14:paraId="349A276F" w14:textId="77777777" w:rsidR="00F130B4" w:rsidRPr="00D553C7" w:rsidRDefault="00F130B4">
      <w:pPr>
        <w:spacing w:line="360" w:lineRule="auto"/>
        <w:jc w:val="both"/>
        <w:rPr>
          <w:rFonts w:ascii="Arial" w:hAnsi="Arial"/>
          <w:rtl/>
        </w:rPr>
      </w:pPr>
    </w:p>
    <w:p w14:paraId="18E7A884" w14:textId="77777777" w:rsidR="00F130B4" w:rsidRPr="00D553C7" w:rsidRDefault="002D5881">
      <w:pPr>
        <w:spacing w:line="360" w:lineRule="auto"/>
        <w:jc w:val="both"/>
        <w:rPr>
          <w:rFonts w:ascii="Arial" w:hAnsi="Arial"/>
          <w:rtl/>
        </w:rPr>
      </w:pPr>
      <w:r w:rsidRPr="00D553C7">
        <w:rPr>
          <w:rFonts w:ascii="Arial" w:hAnsi="Arial" w:hint="cs"/>
          <w:rtl/>
        </w:rPr>
        <w:t xml:space="preserve">בנסיבות, רואה אני לנכון למקם את הנאשם ב"מתחם האמצע" של המתחם. </w:t>
      </w:r>
    </w:p>
    <w:p w14:paraId="0A38859B" w14:textId="77777777" w:rsidR="00F130B4" w:rsidRPr="00D553C7" w:rsidRDefault="00F130B4">
      <w:pPr>
        <w:spacing w:line="360" w:lineRule="auto"/>
        <w:jc w:val="both"/>
        <w:rPr>
          <w:rFonts w:ascii="Arial" w:hAnsi="Arial"/>
          <w:rtl/>
        </w:rPr>
      </w:pPr>
    </w:p>
    <w:p w14:paraId="356A40E2" w14:textId="77777777" w:rsidR="00F130B4" w:rsidRPr="00D553C7" w:rsidRDefault="002D5881">
      <w:pPr>
        <w:spacing w:line="360" w:lineRule="auto"/>
        <w:jc w:val="both"/>
        <w:rPr>
          <w:rFonts w:ascii="Arial" w:hAnsi="Arial"/>
          <w:rtl/>
        </w:rPr>
      </w:pPr>
      <w:r w:rsidRPr="00D553C7">
        <w:rPr>
          <w:rFonts w:ascii="Arial" w:hAnsi="Arial" w:hint="cs"/>
          <w:rtl/>
        </w:rPr>
        <w:t>12. אני גוזרת על הנאשם את העונשים הבאים:</w:t>
      </w:r>
    </w:p>
    <w:p w14:paraId="4847F312" w14:textId="77777777" w:rsidR="00F130B4" w:rsidRPr="00D553C7" w:rsidRDefault="00F130B4">
      <w:pPr>
        <w:spacing w:line="360" w:lineRule="auto"/>
        <w:jc w:val="both"/>
        <w:rPr>
          <w:rFonts w:ascii="Arial" w:hAnsi="Arial"/>
          <w:rtl/>
        </w:rPr>
      </w:pPr>
    </w:p>
    <w:p w14:paraId="0B44D2A2" w14:textId="77777777" w:rsidR="00F130B4" w:rsidRPr="00D553C7" w:rsidRDefault="002D5881">
      <w:pPr>
        <w:spacing w:line="360" w:lineRule="auto"/>
        <w:jc w:val="both"/>
        <w:rPr>
          <w:rFonts w:ascii="Arial" w:hAnsi="Arial"/>
          <w:rtl/>
        </w:rPr>
      </w:pPr>
      <w:r w:rsidRPr="00D553C7">
        <w:rPr>
          <w:rFonts w:ascii="Arial" w:hAnsi="Arial" w:hint="cs"/>
          <w:rtl/>
        </w:rPr>
        <w:t>א. מאסר בפועל בן 20 חודשים החל מיום מעצרו 28.7.14.</w:t>
      </w:r>
    </w:p>
    <w:p w14:paraId="6A514333" w14:textId="77777777" w:rsidR="00F130B4" w:rsidRPr="00D553C7" w:rsidRDefault="00F130B4">
      <w:pPr>
        <w:spacing w:line="360" w:lineRule="auto"/>
        <w:jc w:val="both"/>
        <w:rPr>
          <w:rFonts w:ascii="Arial" w:hAnsi="Arial"/>
          <w:rtl/>
        </w:rPr>
      </w:pPr>
    </w:p>
    <w:p w14:paraId="4A8BFE21" w14:textId="77777777" w:rsidR="00F130B4" w:rsidRPr="00D553C7" w:rsidRDefault="002D5881">
      <w:pPr>
        <w:spacing w:line="360" w:lineRule="auto"/>
        <w:jc w:val="both"/>
        <w:rPr>
          <w:rFonts w:ascii="Arial" w:hAnsi="Arial"/>
          <w:rtl/>
        </w:rPr>
      </w:pPr>
      <w:r w:rsidRPr="00D553C7">
        <w:rPr>
          <w:rFonts w:ascii="Arial" w:hAnsi="Arial" w:hint="cs"/>
          <w:rtl/>
        </w:rPr>
        <w:t xml:space="preserve">ב. מאסר על תנאי למשך 6 חודשים כשהתנאי הוא שבמשך שנתיים מיום שחרורו ממאסר לא יעבור עבירת נשק. </w:t>
      </w:r>
    </w:p>
    <w:p w14:paraId="77A10277" w14:textId="77777777" w:rsidR="00F130B4" w:rsidRPr="00D553C7" w:rsidRDefault="00F130B4">
      <w:pPr>
        <w:spacing w:line="360" w:lineRule="auto"/>
        <w:jc w:val="both"/>
        <w:rPr>
          <w:rFonts w:ascii="Arial" w:hAnsi="Arial"/>
          <w:rtl/>
        </w:rPr>
      </w:pPr>
    </w:p>
    <w:p w14:paraId="76E87E32" w14:textId="77777777" w:rsidR="00F130B4" w:rsidRPr="00D553C7" w:rsidRDefault="002D5881">
      <w:pPr>
        <w:spacing w:line="360" w:lineRule="auto"/>
        <w:jc w:val="both"/>
        <w:rPr>
          <w:rFonts w:ascii="Arial" w:hAnsi="Arial"/>
          <w:rtl/>
        </w:rPr>
      </w:pPr>
      <w:r w:rsidRPr="00D553C7">
        <w:rPr>
          <w:rFonts w:ascii="Arial" w:hAnsi="Arial" w:hint="cs"/>
          <w:rtl/>
        </w:rPr>
        <w:t xml:space="preserve">זכות ערעור לבית המשפט העליון בתוך 45 יום מהיום. </w:t>
      </w:r>
    </w:p>
    <w:p w14:paraId="503E44D1" w14:textId="77777777" w:rsidR="00F130B4" w:rsidRPr="00D553C7" w:rsidRDefault="00F130B4">
      <w:pPr>
        <w:spacing w:line="360" w:lineRule="auto"/>
        <w:jc w:val="both"/>
        <w:rPr>
          <w:rFonts w:ascii="Arial" w:hAnsi="Arial"/>
          <w:rtl/>
        </w:rPr>
      </w:pPr>
    </w:p>
    <w:p w14:paraId="7FE2DB1E" w14:textId="77777777" w:rsidR="00F130B4" w:rsidRPr="00D553C7" w:rsidRDefault="00F130B4">
      <w:pPr>
        <w:spacing w:line="360" w:lineRule="auto"/>
        <w:jc w:val="both"/>
        <w:rPr>
          <w:rFonts w:ascii="Arial" w:hAnsi="Arial"/>
          <w:rtl/>
        </w:rPr>
      </w:pPr>
    </w:p>
    <w:p w14:paraId="3CFCFBE5" w14:textId="77777777" w:rsidR="00F130B4" w:rsidRPr="00D553C7" w:rsidRDefault="00F130B4">
      <w:pPr>
        <w:spacing w:line="360" w:lineRule="auto"/>
        <w:jc w:val="both"/>
        <w:rPr>
          <w:rFonts w:ascii="Arial" w:hAnsi="Arial"/>
          <w:rtl/>
        </w:rPr>
      </w:pPr>
    </w:p>
    <w:p w14:paraId="50584C8B" w14:textId="77777777" w:rsidR="00F130B4" w:rsidRPr="00D553C7" w:rsidRDefault="002D5881">
      <w:pPr>
        <w:rPr>
          <w:color w:val="FFFFFF"/>
          <w:sz w:val="2"/>
          <w:szCs w:val="2"/>
          <w:rtl/>
        </w:rPr>
      </w:pPr>
      <w:r w:rsidRPr="00D553C7">
        <w:rPr>
          <w:color w:val="FFFFFF"/>
          <w:sz w:val="2"/>
          <w:szCs w:val="2"/>
          <w:rtl/>
        </w:rPr>
        <w:t>5129371</w:t>
      </w:r>
    </w:p>
    <w:p w14:paraId="667D4DDB" w14:textId="77777777" w:rsidR="00F130B4" w:rsidRPr="00D553C7" w:rsidRDefault="002D5881">
      <w:pPr>
        <w:rPr>
          <w:sz w:val="28"/>
          <w:szCs w:val="28"/>
          <w:rtl/>
        </w:rPr>
      </w:pPr>
      <w:r w:rsidRPr="00D553C7">
        <w:rPr>
          <w:rFonts w:ascii="Arial" w:hAnsi="Arial"/>
          <w:color w:val="FFFFFF"/>
          <w:sz w:val="2"/>
          <w:szCs w:val="2"/>
          <w:rtl/>
        </w:rPr>
        <w:t>54678313</w:t>
      </w:r>
      <w:r w:rsidRPr="00D553C7">
        <w:rPr>
          <w:rFonts w:ascii="Arial" w:hAnsi="Arial"/>
          <w:rtl/>
        </w:rPr>
        <w:t xml:space="preserve">ניתן היום,  ט' ניסן תשע"ה, 29 מרץ 2015, במעמד הנוכחים. </w:t>
      </w:r>
    </w:p>
    <w:p w14:paraId="7020B0D5" w14:textId="77777777" w:rsidR="00F130B4" w:rsidRPr="00D553C7" w:rsidRDefault="002D5881">
      <w:pPr>
        <w:jc w:val="center"/>
      </w:pPr>
      <w:r w:rsidRPr="00D553C7">
        <w:rPr>
          <w:rFonts w:hint="cs"/>
          <w:rtl/>
        </w:rPr>
        <w:t xml:space="preserve">   </w:t>
      </w:r>
      <w:r w:rsidRPr="00D553C7">
        <w:rPr>
          <w:rFonts w:hint="cs"/>
          <w:rtl/>
        </w:rPr>
        <w:tab/>
      </w:r>
      <w:r w:rsidRPr="00D553C7">
        <w:rPr>
          <w:rFonts w:hint="cs"/>
          <w:rtl/>
        </w:rPr>
        <w:tab/>
      </w:r>
      <w:r w:rsidRPr="00D553C7">
        <w:rPr>
          <w:rFonts w:hint="cs"/>
          <w:rtl/>
        </w:rPr>
        <w:tab/>
      </w:r>
      <w:r w:rsidRPr="00D553C7">
        <w:rPr>
          <w:rFonts w:hint="cs"/>
          <w:rtl/>
        </w:rPr>
        <w:tab/>
      </w:r>
      <w:r w:rsidRPr="00D553C7">
        <w:rPr>
          <w:rFonts w:hint="cs"/>
          <w:rtl/>
        </w:rPr>
        <w:tab/>
      </w:r>
    </w:p>
    <w:p w14:paraId="312CD942" w14:textId="77777777" w:rsidR="00F130B4" w:rsidRPr="00D553C7" w:rsidRDefault="00F130B4">
      <w:pPr>
        <w:jc w:val="center"/>
        <w:rPr>
          <w:rFonts w:ascii="Arial" w:hAnsi="Arial"/>
          <w:sz w:val="28"/>
          <w:szCs w:val="28"/>
          <w:rtl/>
        </w:rPr>
      </w:pPr>
    </w:p>
    <w:p w14:paraId="209798D0" w14:textId="77777777" w:rsidR="00F130B4" w:rsidRPr="00D553C7" w:rsidRDefault="00F130B4">
      <w:pPr>
        <w:rPr>
          <w:sz w:val="28"/>
          <w:szCs w:val="28"/>
          <w:rtl/>
        </w:rPr>
      </w:pPr>
    </w:p>
    <w:p w14:paraId="72CE2340" w14:textId="77777777" w:rsidR="00F130B4" w:rsidRPr="00D553C7" w:rsidRDefault="00F130B4">
      <w:pPr>
        <w:pStyle w:val="a3"/>
        <w:jc w:val="center"/>
        <w:rPr>
          <w:rtl/>
        </w:rPr>
      </w:pPr>
    </w:p>
    <w:p w14:paraId="692B3739" w14:textId="77777777" w:rsidR="002D5881" w:rsidRPr="00D553C7" w:rsidRDefault="002D5881" w:rsidP="002D5881">
      <w:pPr>
        <w:keepNext/>
        <w:rPr>
          <w:rFonts w:ascii="David" w:hAnsi="David"/>
          <w:color w:val="000000"/>
          <w:sz w:val="22"/>
          <w:szCs w:val="22"/>
          <w:rtl/>
        </w:rPr>
      </w:pPr>
    </w:p>
    <w:p w14:paraId="39F271FB" w14:textId="77777777" w:rsidR="002D5881" w:rsidRPr="00D553C7" w:rsidRDefault="002D5881" w:rsidP="002D5881">
      <w:pPr>
        <w:keepNext/>
        <w:rPr>
          <w:rFonts w:ascii="David" w:hAnsi="David"/>
          <w:color w:val="000000"/>
          <w:sz w:val="22"/>
          <w:szCs w:val="22"/>
          <w:rtl/>
        </w:rPr>
      </w:pPr>
      <w:r w:rsidRPr="00D553C7">
        <w:rPr>
          <w:rFonts w:ascii="David" w:hAnsi="David"/>
          <w:color w:val="000000"/>
          <w:sz w:val="22"/>
          <w:szCs w:val="22"/>
          <w:rtl/>
        </w:rPr>
        <w:t>שירלי רנר 54678313</w:t>
      </w:r>
    </w:p>
    <w:p w14:paraId="250B6FB8" w14:textId="77777777" w:rsidR="002D5881" w:rsidRPr="00D553C7" w:rsidRDefault="002D5881" w:rsidP="002D5881">
      <w:r w:rsidRPr="00D553C7">
        <w:rPr>
          <w:color w:val="000000"/>
          <w:rtl/>
        </w:rPr>
        <w:t>נוסח מסמך זה כפוף לשינויי ניסוח ועריכה</w:t>
      </w:r>
    </w:p>
    <w:p w14:paraId="42C9AEE6" w14:textId="77777777" w:rsidR="002D5881" w:rsidRPr="00D553C7" w:rsidRDefault="002D5881" w:rsidP="002D5881">
      <w:pPr>
        <w:rPr>
          <w:rtl/>
        </w:rPr>
      </w:pPr>
    </w:p>
    <w:p w14:paraId="4E478B37" w14:textId="77777777" w:rsidR="002D5881" w:rsidRPr="00D553C7" w:rsidRDefault="002D5881" w:rsidP="002D5881">
      <w:pPr>
        <w:jc w:val="center"/>
        <w:rPr>
          <w:color w:val="0000FF"/>
          <w:u w:val="single"/>
        </w:rPr>
      </w:pPr>
      <w:hyperlink r:id="rId37" w:history="1">
        <w:r w:rsidRPr="00D553C7">
          <w:rPr>
            <w:color w:val="0000FF"/>
            <w:u w:val="single"/>
            <w:rtl/>
          </w:rPr>
          <w:t>בעניין עריכה ושינויים במסמכי פסיקה, חקיקה ועוד באתר נבו – הקש כאן</w:t>
        </w:r>
      </w:hyperlink>
    </w:p>
    <w:p w14:paraId="29B498C5" w14:textId="77777777" w:rsidR="00F130B4" w:rsidRPr="00D553C7" w:rsidRDefault="001E1967" w:rsidP="002D5881">
      <w:pPr>
        <w:jc w:val="center"/>
        <w:rPr>
          <w:color w:val="0000FF"/>
          <w:u w:val="single"/>
        </w:rPr>
      </w:pPr>
      <w:r>
        <w:rPr>
          <w:rFonts w:hint="cs"/>
          <w:color w:val="0000FF"/>
          <w:u w:val="single"/>
          <w:rtl/>
        </w:rPr>
        <w:t xml:space="preserve">  </w:t>
      </w:r>
    </w:p>
    <w:sectPr w:rsidR="00F130B4" w:rsidRPr="00D553C7" w:rsidSect="002D5881">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E6C5" w14:textId="77777777" w:rsidR="003D3BFD" w:rsidRPr="008C1258" w:rsidRDefault="003D3BFD">
      <w:pPr>
        <w:rPr>
          <w:rFonts w:cs="Arial"/>
          <w:szCs w:val="20"/>
        </w:rPr>
      </w:pPr>
      <w:r>
        <w:separator/>
      </w:r>
    </w:p>
  </w:endnote>
  <w:endnote w:type="continuationSeparator" w:id="0">
    <w:p w14:paraId="5E50253D" w14:textId="77777777" w:rsidR="003D3BFD" w:rsidRPr="008C1258" w:rsidRDefault="003D3BF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CC0C8" w14:textId="77777777" w:rsidR="003D3BFD" w:rsidRDefault="003D3BFD" w:rsidP="002D58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CC9C4F" w14:textId="77777777" w:rsidR="003D3BFD" w:rsidRPr="002D5881" w:rsidRDefault="003D3BFD" w:rsidP="002D5881">
    <w:pPr>
      <w:pStyle w:val="a4"/>
      <w:pBdr>
        <w:top w:val="single" w:sz="4" w:space="1" w:color="auto"/>
        <w:between w:val="single" w:sz="4" w:space="0" w:color="auto"/>
      </w:pBdr>
      <w:spacing w:after="60"/>
      <w:jc w:val="center"/>
      <w:rPr>
        <w:rFonts w:ascii="FrankRuehl" w:hAnsi="FrankRuehl" w:cs="FrankRuehl"/>
        <w:color w:val="000000"/>
      </w:rPr>
    </w:pPr>
    <w:r w:rsidRPr="002D58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48556" w14:textId="77777777" w:rsidR="003D3BFD" w:rsidRDefault="003D3BFD" w:rsidP="002D58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3A1">
      <w:rPr>
        <w:rFonts w:ascii="FrankRuehl" w:hAnsi="FrankRuehl" w:cs="FrankRuehl"/>
        <w:noProof/>
        <w:rtl/>
      </w:rPr>
      <w:t>1</w:t>
    </w:r>
    <w:r>
      <w:rPr>
        <w:rFonts w:ascii="FrankRuehl" w:hAnsi="FrankRuehl" w:cs="FrankRuehl"/>
        <w:rtl/>
      </w:rPr>
      <w:fldChar w:fldCharType="end"/>
    </w:r>
  </w:p>
  <w:p w14:paraId="715C3A83" w14:textId="77777777" w:rsidR="003D3BFD" w:rsidRPr="002D5881" w:rsidRDefault="003D3BFD" w:rsidP="002D5881">
    <w:pPr>
      <w:pStyle w:val="a4"/>
      <w:pBdr>
        <w:top w:val="single" w:sz="4" w:space="1" w:color="auto"/>
        <w:between w:val="single" w:sz="4" w:space="0" w:color="auto"/>
      </w:pBdr>
      <w:spacing w:after="60"/>
      <w:jc w:val="center"/>
      <w:rPr>
        <w:rFonts w:ascii="FrankRuehl" w:hAnsi="FrankRuehl" w:cs="FrankRuehl"/>
        <w:color w:val="000000"/>
      </w:rPr>
    </w:pPr>
    <w:r w:rsidRPr="002D5881">
      <w:rPr>
        <w:rFonts w:ascii="FrankRuehl" w:hAnsi="FrankRuehl" w:cs="FrankRuehl"/>
        <w:color w:val="000000"/>
      </w:rPr>
      <w:pict w14:anchorId="33119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CC2EA" w14:textId="77777777" w:rsidR="003D3BFD" w:rsidRPr="008C1258" w:rsidRDefault="003D3BFD">
      <w:pPr>
        <w:rPr>
          <w:rFonts w:cs="Arial"/>
          <w:szCs w:val="20"/>
        </w:rPr>
      </w:pPr>
      <w:r>
        <w:separator/>
      </w:r>
    </w:p>
  </w:footnote>
  <w:footnote w:type="continuationSeparator" w:id="0">
    <w:p w14:paraId="7507CDBC" w14:textId="77777777" w:rsidR="003D3BFD" w:rsidRPr="008C1258" w:rsidRDefault="003D3BF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58722" w14:textId="77777777" w:rsidR="003D3BFD" w:rsidRPr="002D5881" w:rsidRDefault="003D3BFD" w:rsidP="002D5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998-08-14</w:t>
    </w:r>
    <w:r>
      <w:rPr>
        <w:rFonts w:ascii="David" w:hAnsi="David"/>
        <w:color w:val="000000"/>
        <w:sz w:val="22"/>
        <w:szCs w:val="22"/>
        <w:rtl/>
      </w:rPr>
      <w:tab/>
      <w:t xml:space="preserve"> מדינת ישראל נ' מוחמד ניירוך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272C0" w14:textId="77777777" w:rsidR="003D3BFD" w:rsidRPr="002D5881" w:rsidRDefault="003D3BFD" w:rsidP="002D5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998-08-14</w:t>
    </w:r>
    <w:r>
      <w:rPr>
        <w:rFonts w:ascii="David" w:hAnsi="David"/>
        <w:color w:val="000000"/>
        <w:sz w:val="22"/>
        <w:szCs w:val="22"/>
        <w:rtl/>
      </w:rPr>
      <w:tab/>
      <w:t xml:space="preserve"> מדינת ישראל נ' מוחמד ניירוך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30B4"/>
    <w:rsid w:val="000379C8"/>
    <w:rsid w:val="00083BD2"/>
    <w:rsid w:val="001653A1"/>
    <w:rsid w:val="001E1967"/>
    <w:rsid w:val="002D5881"/>
    <w:rsid w:val="003D3BFD"/>
    <w:rsid w:val="004579C6"/>
    <w:rsid w:val="009C2D96"/>
    <w:rsid w:val="00A5421C"/>
    <w:rsid w:val="00AA57A3"/>
    <w:rsid w:val="00AE31F6"/>
    <w:rsid w:val="00D553C7"/>
    <w:rsid w:val="00EF1171"/>
    <w:rsid w:val="00F13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A6200E"/>
  <w15:chartTrackingRefBased/>
  <w15:docId w15:val="{9DD77BC7-F6E5-4C47-B617-A7D4BC84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30B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130B4"/>
    <w:pPr>
      <w:tabs>
        <w:tab w:val="center" w:pos="4153"/>
        <w:tab w:val="right" w:pos="8306"/>
      </w:tabs>
    </w:pPr>
  </w:style>
  <w:style w:type="paragraph" w:styleId="a4">
    <w:name w:val="footer"/>
    <w:basedOn w:val="a"/>
    <w:rsid w:val="00F130B4"/>
    <w:pPr>
      <w:tabs>
        <w:tab w:val="center" w:pos="4153"/>
        <w:tab w:val="right" w:pos="8306"/>
      </w:tabs>
    </w:pPr>
  </w:style>
  <w:style w:type="character" w:styleId="a5">
    <w:name w:val="page number"/>
    <w:basedOn w:val="a0"/>
    <w:rsid w:val="00F130B4"/>
  </w:style>
  <w:style w:type="character" w:styleId="Hyperlink">
    <w:name w:val="Hyperlink"/>
    <w:rsid w:val="002D5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32" TargetMode="External"/><Relationship Id="rId39" Type="http://schemas.openxmlformats.org/officeDocument/2006/relationships/header" Target="header2.xml"/><Relationship Id="rId21" Type="http://schemas.openxmlformats.org/officeDocument/2006/relationships/hyperlink" Target="http://www.nevo.co.il/law/70301/40c.a" TargetMode="External"/><Relationship Id="rId34" Type="http://schemas.openxmlformats.org/officeDocument/2006/relationships/hyperlink" Target="http://www.nevo.co.il/case/5610199" TargetMode="External"/><Relationship Id="rId42" Type="http://schemas.openxmlformats.org/officeDocument/2006/relationships/fontTable" Target="fontTable.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7827259"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case/4454747"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13023134" TargetMode="External"/><Relationship Id="rId36" Type="http://schemas.openxmlformats.org/officeDocument/2006/relationships/hyperlink" Target="http://www.nevo.co.il/case/4260463"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13090914" TargetMode="External"/><Relationship Id="rId4" Type="http://schemas.openxmlformats.org/officeDocument/2006/relationships/footnotes" Target="footnotes.xml"/><Relationship Id="rId9" Type="http://schemas.openxmlformats.org/officeDocument/2006/relationships/hyperlink" Target="http://www.nevo.co.il/law/70301/40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5821327"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492644" TargetMode="External"/><Relationship Id="rId43" Type="http://schemas.openxmlformats.org/officeDocument/2006/relationships/theme" Target="theme/theme1.xml"/><Relationship Id="rId8" Type="http://schemas.openxmlformats.org/officeDocument/2006/relationships/hyperlink" Target="http://www.nevo.co.il/law/70301/32"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4241747"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1902</Words>
  <Characters>9511</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11391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3473520</vt:i4>
      </vt:variant>
      <vt:variant>
        <vt:i4>90</vt:i4>
      </vt:variant>
      <vt:variant>
        <vt:i4>0</vt:i4>
      </vt:variant>
      <vt:variant>
        <vt:i4>5</vt:i4>
      </vt:variant>
      <vt:variant>
        <vt:lpwstr>http://www.nevo.co.il/case/4260463</vt:lpwstr>
      </vt:variant>
      <vt:variant>
        <vt:lpwstr/>
      </vt:variant>
      <vt:variant>
        <vt:i4>131147</vt:i4>
      </vt:variant>
      <vt:variant>
        <vt:i4>87</vt:i4>
      </vt:variant>
      <vt:variant>
        <vt:i4>0</vt:i4>
      </vt:variant>
      <vt:variant>
        <vt:i4>5</vt:i4>
      </vt:variant>
      <vt:variant>
        <vt:lpwstr>http://www.nevo.co.il/case/492644</vt:lpwstr>
      </vt:variant>
      <vt:variant>
        <vt:lpwstr/>
      </vt:variant>
      <vt:variant>
        <vt:i4>3932283</vt:i4>
      </vt:variant>
      <vt:variant>
        <vt:i4>84</vt:i4>
      </vt:variant>
      <vt:variant>
        <vt:i4>0</vt:i4>
      </vt:variant>
      <vt:variant>
        <vt:i4>5</vt:i4>
      </vt:variant>
      <vt:variant>
        <vt:lpwstr>http://www.nevo.co.il/case/5610199</vt:lpwstr>
      </vt:variant>
      <vt:variant>
        <vt:lpwstr/>
      </vt:variant>
      <vt:variant>
        <vt:i4>3145843</vt:i4>
      </vt:variant>
      <vt:variant>
        <vt:i4>81</vt:i4>
      </vt:variant>
      <vt:variant>
        <vt:i4>0</vt:i4>
      </vt:variant>
      <vt:variant>
        <vt:i4>5</vt:i4>
      </vt:variant>
      <vt:variant>
        <vt:lpwstr>http://www.nevo.co.il/case/4241747</vt:lpwstr>
      </vt:variant>
      <vt:variant>
        <vt:lpwstr/>
      </vt:variant>
      <vt:variant>
        <vt:i4>3211376</vt:i4>
      </vt:variant>
      <vt:variant>
        <vt:i4>78</vt:i4>
      </vt:variant>
      <vt:variant>
        <vt:i4>0</vt:i4>
      </vt:variant>
      <vt:variant>
        <vt:i4>5</vt:i4>
      </vt:variant>
      <vt:variant>
        <vt:lpwstr>http://www.nevo.co.il/case/4454747</vt:lpwstr>
      </vt:variant>
      <vt:variant>
        <vt:lpwstr/>
      </vt:variant>
      <vt:variant>
        <vt:i4>3145847</vt:i4>
      </vt:variant>
      <vt:variant>
        <vt:i4>75</vt:i4>
      </vt:variant>
      <vt:variant>
        <vt:i4>0</vt:i4>
      </vt:variant>
      <vt:variant>
        <vt:i4>5</vt:i4>
      </vt:variant>
      <vt:variant>
        <vt:lpwstr>http://www.nevo.co.il/case/13090914</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4063358</vt:i4>
      </vt:variant>
      <vt:variant>
        <vt:i4>69</vt:i4>
      </vt:variant>
      <vt:variant>
        <vt:i4>0</vt:i4>
      </vt:variant>
      <vt:variant>
        <vt:i4>5</vt:i4>
      </vt:variant>
      <vt:variant>
        <vt:lpwstr>http://www.nevo.co.il/case/7827259</vt:lpwstr>
      </vt:variant>
      <vt:variant>
        <vt:lpwstr/>
      </vt:variant>
      <vt:variant>
        <vt:i4>3211380</vt:i4>
      </vt:variant>
      <vt:variant>
        <vt:i4>66</vt:i4>
      </vt:variant>
      <vt:variant>
        <vt:i4>0</vt:i4>
      </vt:variant>
      <vt:variant>
        <vt:i4>5</vt:i4>
      </vt:variant>
      <vt:variant>
        <vt:lpwstr>http://www.nevo.co.il/case/13023134</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6750310</vt:i4>
      </vt:variant>
      <vt:variant>
        <vt:i4>60</vt:i4>
      </vt:variant>
      <vt:variant>
        <vt:i4>0</vt:i4>
      </vt:variant>
      <vt:variant>
        <vt:i4>5</vt:i4>
      </vt:variant>
      <vt:variant>
        <vt:lpwstr>http://www.nevo.co.il/law/70301/32</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998</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ניירוך</vt:lpwstr>
  </property>
  <property fmtid="{D5CDD505-2E9C-101B-9397-08002B2CF9AE}" pid="10" name="LAWYER">
    <vt:lpwstr>מרים בן גל ;רמי עותמאן</vt:lpwstr>
  </property>
  <property fmtid="{D5CDD505-2E9C-101B-9397-08002B2CF9AE}" pid="11" name="JUDGE">
    <vt:lpwstr>שירלי רנר</vt:lpwstr>
  </property>
  <property fmtid="{D5CDD505-2E9C-101B-9397-08002B2CF9AE}" pid="12" name="CITY">
    <vt:lpwstr>י-ם</vt:lpwstr>
  </property>
  <property fmtid="{D5CDD505-2E9C-101B-9397-08002B2CF9AE}" pid="13" name="DATE">
    <vt:lpwstr>20150329</vt:lpwstr>
  </property>
  <property fmtid="{D5CDD505-2E9C-101B-9397-08002B2CF9AE}" pid="14" name="TYPE_N_DATE">
    <vt:lpwstr>39020150329</vt:lpwstr>
  </property>
  <property fmtid="{D5CDD505-2E9C-101B-9397-08002B2CF9AE}" pid="15" name="WORDNUMPAGES">
    <vt:lpwstr>5</vt:lpwstr>
  </property>
  <property fmtid="{D5CDD505-2E9C-101B-9397-08002B2CF9AE}" pid="16" name="TYPE_ABS_DATE">
    <vt:lpwstr>390020150329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5821327;13023134;7827259;13090914;4454747;4241747;5610199;492644;4260463</vt:lpwstr>
  </property>
  <property fmtid="{D5CDD505-2E9C-101B-9397-08002B2CF9AE}" pid="36" name="LAWLISTTMP1">
    <vt:lpwstr>70301/499.a.1;144.b2:3;031;040b;040c.a;144.a;144.b;032</vt:lpwstr>
  </property>
</Properties>
</file>