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E7572" w:rsidRPr="002452DD" w14:paraId="6151FE6F" w14:textId="77777777">
        <w:trPr>
          <w:trHeight w:hRule="exact" w:val="418"/>
          <w:jc w:val="center"/>
        </w:trPr>
        <w:tc>
          <w:tcPr>
            <w:tcW w:w="8721" w:type="dxa"/>
            <w:gridSpan w:val="2"/>
          </w:tcPr>
          <w:p w14:paraId="31FD6680" w14:textId="77777777" w:rsidR="00AE7572" w:rsidRPr="002452DD" w:rsidRDefault="002452DD">
            <w:pPr>
              <w:pStyle w:val="a3"/>
              <w:jc w:val="center"/>
              <w:rPr>
                <w:rFonts w:ascii="Tahoma" w:hAnsi="Tahoma" w:cs="Tahoma"/>
                <w:color w:val="000080"/>
                <w:rtl/>
              </w:rPr>
            </w:pPr>
            <w:bookmarkStart w:id="0" w:name="LastJudge"/>
            <w:r w:rsidRPr="002452DD">
              <w:rPr>
                <w:rFonts w:ascii="Tahoma" w:hAnsi="Tahoma" w:cs="Tahoma"/>
                <w:b/>
                <w:bCs/>
                <w:color w:val="000080"/>
                <w:rtl/>
              </w:rPr>
              <w:t>בית המשפט המחוזי בחיפה</w:t>
            </w:r>
          </w:p>
        </w:tc>
      </w:tr>
      <w:tr w:rsidR="00AE7572" w:rsidRPr="002452DD" w14:paraId="77492E03" w14:textId="77777777">
        <w:trPr>
          <w:trHeight w:val="337"/>
          <w:jc w:val="center"/>
        </w:trPr>
        <w:tc>
          <w:tcPr>
            <w:tcW w:w="5058" w:type="dxa"/>
          </w:tcPr>
          <w:p w14:paraId="219AE289" w14:textId="77777777" w:rsidR="00AE7572" w:rsidRPr="002452DD" w:rsidRDefault="002452DD">
            <w:pPr>
              <w:rPr>
                <w:rFonts w:cs="FrankRuehl"/>
                <w:sz w:val="28"/>
                <w:szCs w:val="28"/>
                <w:rtl/>
              </w:rPr>
            </w:pPr>
            <w:r w:rsidRPr="002452DD">
              <w:rPr>
                <w:rFonts w:cs="FrankRuehl"/>
                <w:sz w:val="28"/>
                <w:szCs w:val="28"/>
                <w:rtl/>
              </w:rPr>
              <w:t>ת"פ</w:t>
            </w:r>
            <w:r w:rsidRPr="002452DD">
              <w:rPr>
                <w:rFonts w:cs="FrankRuehl" w:hint="cs"/>
                <w:sz w:val="28"/>
                <w:szCs w:val="28"/>
                <w:rtl/>
              </w:rPr>
              <w:t xml:space="preserve"> </w:t>
            </w:r>
            <w:r w:rsidRPr="002452DD">
              <w:rPr>
                <w:rFonts w:cs="FrankRuehl"/>
                <w:sz w:val="28"/>
                <w:szCs w:val="28"/>
                <w:rtl/>
              </w:rPr>
              <w:t>41562-09-14</w:t>
            </w:r>
            <w:r w:rsidRPr="002452DD">
              <w:rPr>
                <w:rFonts w:cs="FrankRuehl" w:hint="cs"/>
                <w:sz w:val="28"/>
                <w:szCs w:val="28"/>
                <w:rtl/>
              </w:rPr>
              <w:t xml:space="preserve"> </w:t>
            </w:r>
            <w:r w:rsidRPr="002452DD">
              <w:rPr>
                <w:rFonts w:cs="FrankRuehl"/>
                <w:sz w:val="28"/>
                <w:szCs w:val="28"/>
                <w:rtl/>
              </w:rPr>
              <w:t>מדינת ישראל נ' חמוד(עציר)</w:t>
            </w:r>
          </w:p>
          <w:p w14:paraId="4DF15F0F" w14:textId="77777777" w:rsidR="00AE7572" w:rsidRPr="002452DD" w:rsidRDefault="00AE7572">
            <w:pPr>
              <w:pStyle w:val="a3"/>
              <w:rPr>
                <w:rFonts w:cs="FrankRuehl"/>
                <w:sz w:val="28"/>
                <w:szCs w:val="28"/>
                <w:rtl/>
              </w:rPr>
            </w:pPr>
          </w:p>
        </w:tc>
        <w:tc>
          <w:tcPr>
            <w:tcW w:w="3663" w:type="dxa"/>
          </w:tcPr>
          <w:p w14:paraId="3FD8B29E" w14:textId="77777777" w:rsidR="00AE7572" w:rsidRPr="002452DD" w:rsidRDefault="00AE7572">
            <w:pPr>
              <w:pStyle w:val="a3"/>
              <w:jc w:val="right"/>
              <w:rPr>
                <w:rFonts w:cs="FrankRuehl"/>
                <w:sz w:val="28"/>
                <w:szCs w:val="28"/>
                <w:rtl/>
              </w:rPr>
            </w:pPr>
          </w:p>
        </w:tc>
      </w:tr>
    </w:tbl>
    <w:p w14:paraId="4D772864" w14:textId="77777777" w:rsidR="00AE7572" w:rsidRPr="002452DD" w:rsidRDefault="002452DD">
      <w:pPr>
        <w:pStyle w:val="a3"/>
        <w:rPr>
          <w:rtl/>
        </w:rPr>
      </w:pPr>
      <w:r w:rsidRPr="002452DD">
        <w:rPr>
          <w:rFonts w:hint="cs"/>
          <w:rtl/>
        </w:rPr>
        <w:t xml:space="preserve"> </w:t>
      </w:r>
    </w:p>
    <w:p w14:paraId="6F55758B" w14:textId="77777777" w:rsidR="00AE7572" w:rsidRPr="002452DD" w:rsidRDefault="00AE75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3888"/>
        <w:gridCol w:w="3515"/>
      </w:tblGrid>
      <w:tr w:rsidR="00AE7572" w:rsidRPr="002452DD" w14:paraId="4FFFE207" w14:textId="77777777">
        <w:trPr>
          <w:trHeight w:val="295"/>
          <w:jc w:val="center"/>
        </w:trPr>
        <w:tc>
          <w:tcPr>
            <w:tcW w:w="923" w:type="dxa"/>
            <w:tcBorders>
              <w:top w:val="nil"/>
              <w:left w:val="nil"/>
              <w:bottom w:val="nil"/>
              <w:right w:val="nil"/>
            </w:tcBorders>
          </w:tcPr>
          <w:p w14:paraId="3C8B40F2" w14:textId="77777777" w:rsidR="00AE7572" w:rsidRPr="002452DD" w:rsidRDefault="002452DD">
            <w:pPr>
              <w:jc w:val="both"/>
              <w:rPr>
                <w:rFonts w:ascii="Arial" w:hAnsi="Arial"/>
                <w:b/>
                <w:bCs/>
                <w:sz w:val="30"/>
                <w:szCs w:val="30"/>
              </w:rPr>
            </w:pPr>
            <w:r w:rsidRPr="002452DD">
              <w:rPr>
                <w:rFonts w:ascii="Arial" w:hAnsi="Arial" w:hint="cs"/>
                <w:sz w:val="30"/>
                <w:szCs w:val="30"/>
                <w:rtl/>
              </w:rPr>
              <w:t xml:space="preserve">          </w:t>
            </w:r>
            <w:r w:rsidRPr="002452DD">
              <w:rPr>
                <w:rFonts w:ascii="Arial" w:hAnsi="Arial" w:hint="cs"/>
                <w:b/>
                <w:bCs/>
                <w:sz w:val="30"/>
                <w:szCs w:val="30"/>
                <w:rtl/>
              </w:rPr>
              <w:t>ב</w:t>
            </w:r>
            <w:r w:rsidRPr="002452DD">
              <w:rPr>
                <w:rFonts w:ascii="Arial" w:hAnsi="Arial"/>
                <w:b/>
                <w:bCs/>
                <w:sz w:val="30"/>
                <w:szCs w:val="30"/>
                <w:rtl/>
              </w:rPr>
              <w:t xml:space="preserve">פני </w:t>
            </w:r>
          </w:p>
        </w:tc>
        <w:tc>
          <w:tcPr>
            <w:tcW w:w="7897" w:type="dxa"/>
            <w:gridSpan w:val="2"/>
            <w:tcBorders>
              <w:top w:val="nil"/>
              <w:left w:val="nil"/>
              <w:bottom w:val="nil"/>
              <w:right w:val="nil"/>
            </w:tcBorders>
          </w:tcPr>
          <w:p w14:paraId="454749AC" w14:textId="77777777" w:rsidR="00AE7572" w:rsidRPr="002452DD" w:rsidRDefault="002452DD">
            <w:pPr>
              <w:rPr>
                <w:rFonts w:ascii="Arial" w:hAnsi="Arial"/>
                <w:b/>
                <w:bCs/>
                <w:sz w:val="30"/>
                <w:szCs w:val="30"/>
                <w:rtl/>
              </w:rPr>
            </w:pPr>
            <w:r w:rsidRPr="002452DD">
              <w:rPr>
                <w:rFonts w:ascii="Arial" w:hAnsi="Arial" w:hint="cs"/>
                <w:b/>
                <w:bCs/>
                <w:sz w:val="30"/>
                <w:szCs w:val="30"/>
                <w:rtl/>
              </w:rPr>
              <w:t>כב' ה</w:t>
            </w:r>
            <w:r w:rsidRPr="002452DD">
              <w:rPr>
                <w:rFonts w:hint="cs"/>
                <w:sz w:val="30"/>
                <w:szCs w:val="30"/>
                <w:rtl/>
              </w:rPr>
              <w:t>שופט</w:t>
            </w:r>
            <w:r w:rsidRPr="002452DD">
              <w:rPr>
                <w:rFonts w:ascii="Arial" w:hAnsi="Arial" w:hint="cs"/>
                <w:b/>
                <w:bCs/>
                <w:sz w:val="30"/>
                <w:szCs w:val="30"/>
                <w:rtl/>
              </w:rPr>
              <w:t xml:space="preserve">  </w:t>
            </w:r>
            <w:r w:rsidRPr="002452DD">
              <w:rPr>
                <w:rFonts w:hint="cs"/>
                <w:sz w:val="30"/>
                <w:szCs w:val="30"/>
                <w:rtl/>
              </w:rPr>
              <w:t>אמיר טובי</w:t>
            </w:r>
          </w:p>
          <w:p w14:paraId="5AE22971" w14:textId="77777777" w:rsidR="00AE7572" w:rsidRPr="002452DD" w:rsidRDefault="00AE7572">
            <w:pPr>
              <w:rPr>
                <w:sz w:val="30"/>
                <w:szCs w:val="30"/>
                <w:rtl/>
              </w:rPr>
            </w:pPr>
          </w:p>
          <w:p w14:paraId="315CCBB6" w14:textId="77777777" w:rsidR="00AE7572" w:rsidRPr="002452DD" w:rsidRDefault="00AE7572">
            <w:pPr>
              <w:jc w:val="both"/>
              <w:rPr>
                <w:rFonts w:ascii="Arial" w:hAnsi="Arial"/>
                <w:sz w:val="30"/>
                <w:szCs w:val="30"/>
              </w:rPr>
            </w:pPr>
          </w:p>
        </w:tc>
      </w:tr>
      <w:tr w:rsidR="00AE7572" w:rsidRPr="002452DD" w14:paraId="43D065D9" w14:textId="77777777">
        <w:trPr>
          <w:trHeight w:val="355"/>
          <w:jc w:val="center"/>
        </w:trPr>
        <w:tc>
          <w:tcPr>
            <w:tcW w:w="923" w:type="dxa"/>
            <w:tcBorders>
              <w:top w:val="nil"/>
              <w:left w:val="nil"/>
              <w:bottom w:val="nil"/>
              <w:right w:val="nil"/>
            </w:tcBorders>
          </w:tcPr>
          <w:p w14:paraId="268F0960" w14:textId="77777777" w:rsidR="00AE7572" w:rsidRPr="002452DD" w:rsidRDefault="002452DD">
            <w:pPr>
              <w:jc w:val="both"/>
              <w:rPr>
                <w:rFonts w:ascii="Arial" w:hAnsi="Arial"/>
                <w:b/>
                <w:bCs/>
                <w:sz w:val="28"/>
                <w:szCs w:val="28"/>
              </w:rPr>
            </w:pPr>
            <w:bookmarkStart w:id="1" w:name="FirstAppellant"/>
            <w:r w:rsidRPr="002452DD">
              <w:rPr>
                <w:rFonts w:ascii="Arial" w:hAnsi="Arial" w:hint="cs"/>
                <w:b/>
                <w:bCs/>
                <w:sz w:val="28"/>
                <w:szCs w:val="28"/>
                <w:rtl/>
              </w:rPr>
              <w:t>המאשימה:</w:t>
            </w:r>
          </w:p>
        </w:tc>
        <w:tc>
          <w:tcPr>
            <w:tcW w:w="4126" w:type="dxa"/>
            <w:tcBorders>
              <w:top w:val="nil"/>
              <w:left w:val="nil"/>
              <w:bottom w:val="nil"/>
              <w:right w:val="nil"/>
            </w:tcBorders>
          </w:tcPr>
          <w:p w14:paraId="586771C1" w14:textId="77777777" w:rsidR="00AE7572" w:rsidRPr="002452DD" w:rsidRDefault="002452DD">
            <w:pPr>
              <w:rPr>
                <w:b/>
                <w:bCs/>
              </w:rPr>
            </w:pPr>
            <w:r w:rsidRPr="002452DD">
              <w:rPr>
                <w:rFonts w:hint="cs"/>
                <w:b/>
                <w:bCs/>
                <w:rtl/>
              </w:rPr>
              <w:t>מדינת ישראל</w:t>
            </w:r>
          </w:p>
        </w:tc>
        <w:tc>
          <w:tcPr>
            <w:tcW w:w="3771" w:type="dxa"/>
            <w:tcBorders>
              <w:top w:val="nil"/>
              <w:left w:val="nil"/>
              <w:bottom w:val="nil"/>
              <w:right w:val="nil"/>
            </w:tcBorders>
          </w:tcPr>
          <w:p w14:paraId="1383D6B4" w14:textId="77777777" w:rsidR="00AE7572" w:rsidRPr="002452DD" w:rsidRDefault="00AE7572">
            <w:pPr>
              <w:jc w:val="both"/>
              <w:rPr>
                <w:rFonts w:ascii="Arial" w:hAnsi="Arial"/>
                <w:b/>
                <w:bCs/>
                <w:sz w:val="28"/>
                <w:szCs w:val="28"/>
              </w:rPr>
            </w:pPr>
          </w:p>
        </w:tc>
      </w:tr>
      <w:bookmarkEnd w:id="1"/>
      <w:tr w:rsidR="00AE7572" w:rsidRPr="002452DD" w14:paraId="37228238" w14:textId="77777777">
        <w:trPr>
          <w:trHeight w:val="355"/>
          <w:jc w:val="center"/>
        </w:trPr>
        <w:tc>
          <w:tcPr>
            <w:tcW w:w="923" w:type="dxa"/>
            <w:tcBorders>
              <w:top w:val="nil"/>
              <w:left w:val="nil"/>
              <w:bottom w:val="nil"/>
              <w:right w:val="nil"/>
            </w:tcBorders>
          </w:tcPr>
          <w:p w14:paraId="2CE000FD" w14:textId="77777777" w:rsidR="00AE7572" w:rsidRPr="002452DD" w:rsidRDefault="00AE7572">
            <w:pPr>
              <w:jc w:val="both"/>
              <w:rPr>
                <w:rFonts w:ascii="Arial" w:hAnsi="Arial"/>
                <w:b/>
                <w:bCs/>
                <w:sz w:val="28"/>
                <w:szCs w:val="28"/>
                <w:rtl/>
              </w:rPr>
            </w:pPr>
          </w:p>
        </w:tc>
        <w:tc>
          <w:tcPr>
            <w:tcW w:w="4126" w:type="dxa"/>
            <w:tcBorders>
              <w:top w:val="nil"/>
              <w:left w:val="nil"/>
              <w:bottom w:val="nil"/>
              <w:right w:val="nil"/>
            </w:tcBorders>
          </w:tcPr>
          <w:p w14:paraId="2892A481" w14:textId="77777777" w:rsidR="00AE7572" w:rsidRPr="002452DD" w:rsidRDefault="00AE7572">
            <w:pPr>
              <w:jc w:val="both"/>
              <w:rPr>
                <w:b/>
                <w:bCs/>
                <w:rtl/>
              </w:rPr>
            </w:pPr>
          </w:p>
        </w:tc>
        <w:tc>
          <w:tcPr>
            <w:tcW w:w="3771" w:type="dxa"/>
            <w:tcBorders>
              <w:top w:val="nil"/>
              <w:left w:val="nil"/>
              <w:bottom w:val="nil"/>
              <w:right w:val="nil"/>
            </w:tcBorders>
          </w:tcPr>
          <w:p w14:paraId="1CBDC45A" w14:textId="77777777" w:rsidR="00AE7572" w:rsidRPr="002452DD" w:rsidRDefault="00AE7572">
            <w:pPr>
              <w:jc w:val="right"/>
              <w:rPr>
                <w:rFonts w:ascii="Arial" w:hAnsi="Arial"/>
                <w:b/>
                <w:bCs/>
                <w:sz w:val="28"/>
                <w:szCs w:val="28"/>
                <w:rtl/>
              </w:rPr>
            </w:pPr>
          </w:p>
        </w:tc>
      </w:tr>
      <w:tr w:rsidR="00AE7572" w:rsidRPr="002452DD" w14:paraId="53D9CF39" w14:textId="77777777">
        <w:trPr>
          <w:trHeight w:val="355"/>
          <w:jc w:val="center"/>
        </w:trPr>
        <w:tc>
          <w:tcPr>
            <w:tcW w:w="923" w:type="dxa"/>
            <w:tcBorders>
              <w:top w:val="nil"/>
              <w:left w:val="nil"/>
              <w:bottom w:val="nil"/>
              <w:right w:val="nil"/>
            </w:tcBorders>
          </w:tcPr>
          <w:p w14:paraId="41EA69CC" w14:textId="77777777" w:rsidR="00AE7572" w:rsidRPr="002452DD" w:rsidRDefault="00AE7572">
            <w:pPr>
              <w:jc w:val="both"/>
              <w:rPr>
                <w:rFonts w:ascii="Arial" w:hAnsi="Arial"/>
                <w:b/>
                <w:bCs/>
                <w:sz w:val="28"/>
                <w:szCs w:val="28"/>
                <w:rtl/>
              </w:rPr>
            </w:pPr>
          </w:p>
        </w:tc>
        <w:tc>
          <w:tcPr>
            <w:tcW w:w="7897" w:type="dxa"/>
            <w:gridSpan w:val="2"/>
            <w:tcBorders>
              <w:top w:val="nil"/>
              <w:left w:val="nil"/>
              <w:bottom w:val="nil"/>
              <w:right w:val="nil"/>
            </w:tcBorders>
          </w:tcPr>
          <w:p w14:paraId="58E98D93" w14:textId="77777777" w:rsidR="00AE7572" w:rsidRPr="002452DD" w:rsidRDefault="00AE7572">
            <w:pPr>
              <w:jc w:val="center"/>
              <w:rPr>
                <w:rFonts w:ascii="Arial" w:hAnsi="Arial"/>
                <w:b/>
                <w:bCs/>
                <w:sz w:val="28"/>
                <w:szCs w:val="28"/>
                <w:rtl/>
              </w:rPr>
            </w:pPr>
          </w:p>
          <w:p w14:paraId="12E931C6" w14:textId="77777777" w:rsidR="00AE7572" w:rsidRPr="002452DD" w:rsidRDefault="002452DD">
            <w:pPr>
              <w:rPr>
                <w:rFonts w:ascii="Arial" w:hAnsi="Arial"/>
                <w:b/>
                <w:bCs/>
                <w:sz w:val="28"/>
                <w:szCs w:val="28"/>
                <w:rtl/>
              </w:rPr>
            </w:pPr>
            <w:r w:rsidRPr="002452DD">
              <w:rPr>
                <w:rFonts w:ascii="Arial" w:hAnsi="Arial" w:hint="cs"/>
                <w:b/>
                <w:bCs/>
                <w:sz w:val="28"/>
                <w:szCs w:val="28"/>
                <w:rtl/>
              </w:rPr>
              <w:t xml:space="preserve">           </w:t>
            </w:r>
            <w:r w:rsidRPr="002452DD">
              <w:rPr>
                <w:rFonts w:ascii="Arial" w:hAnsi="Arial"/>
                <w:b/>
                <w:bCs/>
                <w:sz w:val="28"/>
                <w:szCs w:val="28"/>
                <w:rtl/>
              </w:rPr>
              <w:t>נגד</w:t>
            </w:r>
          </w:p>
          <w:p w14:paraId="17272597" w14:textId="77777777" w:rsidR="00AE7572" w:rsidRPr="002452DD" w:rsidRDefault="00AE7572">
            <w:pPr>
              <w:jc w:val="both"/>
              <w:rPr>
                <w:rFonts w:ascii="Arial" w:hAnsi="Arial"/>
                <w:b/>
                <w:bCs/>
                <w:sz w:val="28"/>
                <w:szCs w:val="28"/>
              </w:rPr>
            </w:pPr>
          </w:p>
        </w:tc>
      </w:tr>
      <w:tr w:rsidR="00AE7572" w:rsidRPr="002452DD" w14:paraId="6B92A8CC" w14:textId="77777777">
        <w:trPr>
          <w:trHeight w:val="355"/>
          <w:jc w:val="center"/>
        </w:trPr>
        <w:tc>
          <w:tcPr>
            <w:tcW w:w="923" w:type="dxa"/>
            <w:tcBorders>
              <w:top w:val="nil"/>
              <w:left w:val="nil"/>
              <w:bottom w:val="nil"/>
              <w:right w:val="nil"/>
            </w:tcBorders>
          </w:tcPr>
          <w:p w14:paraId="65EF8E7A" w14:textId="77777777" w:rsidR="00AE7572" w:rsidRPr="002452DD" w:rsidRDefault="002452DD">
            <w:pPr>
              <w:rPr>
                <w:rFonts w:ascii="Arial" w:hAnsi="Arial"/>
                <w:b/>
                <w:bCs/>
                <w:sz w:val="28"/>
                <w:szCs w:val="28"/>
                <w:rtl/>
              </w:rPr>
            </w:pPr>
            <w:r w:rsidRPr="002452DD">
              <w:rPr>
                <w:rFonts w:ascii="Arial" w:hAnsi="Arial" w:hint="cs"/>
                <w:b/>
                <w:bCs/>
                <w:sz w:val="28"/>
                <w:szCs w:val="28"/>
                <w:rtl/>
              </w:rPr>
              <w:t>הנאשם:</w:t>
            </w:r>
          </w:p>
        </w:tc>
        <w:tc>
          <w:tcPr>
            <w:tcW w:w="4126" w:type="dxa"/>
            <w:tcBorders>
              <w:top w:val="nil"/>
              <w:left w:val="nil"/>
              <w:bottom w:val="nil"/>
              <w:right w:val="nil"/>
            </w:tcBorders>
          </w:tcPr>
          <w:p w14:paraId="3239D72E" w14:textId="77777777" w:rsidR="00AE7572" w:rsidRPr="002452DD" w:rsidRDefault="002452DD">
            <w:pPr>
              <w:rPr>
                <w:b/>
                <w:bCs/>
                <w:rtl/>
              </w:rPr>
            </w:pPr>
            <w:r w:rsidRPr="002452DD">
              <w:rPr>
                <w:rFonts w:hint="cs"/>
                <w:b/>
                <w:bCs/>
                <w:rtl/>
              </w:rPr>
              <w:t>עמאר חמוד (עציר)</w:t>
            </w:r>
          </w:p>
        </w:tc>
        <w:tc>
          <w:tcPr>
            <w:tcW w:w="3771" w:type="dxa"/>
            <w:tcBorders>
              <w:top w:val="nil"/>
              <w:left w:val="nil"/>
              <w:bottom w:val="nil"/>
              <w:right w:val="nil"/>
            </w:tcBorders>
          </w:tcPr>
          <w:p w14:paraId="7000D906" w14:textId="77777777" w:rsidR="00AE7572" w:rsidRPr="002452DD" w:rsidRDefault="00AE7572">
            <w:pPr>
              <w:jc w:val="right"/>
              <w:rPr>
                <w:rFonts w:ascii="Arial" w:hAnsi="Arial"/>
                <w:b/>
                <w:bCs/>
                <w:sz w:val="28"/>
                <w:szCs w:val="28"/>
              </w:rPr>
            </w:pPr>
          </w:p>
        </w:tc>
      </w:tr>
      <w:tr w:rsidR="00AE7572" w:rsidRPr="002452DD" w14:paraId="4F88AE28" w14:textId="77777777">
        <w:trPr>
          <w:trHeight w:val="355"/>
          <w:jc w:val="center"/>
        </w:trPr>
        <w:tc>
          <w:tcPr>
            <w:tcW w:w="923" w:type="dxa"/>
            <w:tcBorders>
              <w:top w:val="nil"/>
              <w:left w:val="nil"/>
              <w:bottom w:val="nil"/>
              <w:right w:val="nil"/>
            </w:tcBorders>
          </w:tcPr>
          <w:p w14:paraId="7462906B" w14:textId="77777777" w:rsidR="00AE7572" w:rsidRPr="002452DD" w:rsidRDefault="00AE7572">
            <w:pPr>
              <w:jc w:val="both"/>
              <w:rPr>
                <w:rFonts w:ascii="Arial" w:hAnsi="Arial"/>
                <w:b/>
                <w:bCs/>
                <w:sz w:val="28"/>
                <w:szCs w:val="28"/>
                <w:rtl/>
              </w:rPr>
            </w:pPr>
          </w:p>
        </w:tc>
        <w:tc>
          <w:tcPr>
            <w:tcW w:w="4126" w:type="dxa"/>
            <w:tcBorders>
              <w:top w:val="nil"/>
              <w:left w:val="nil"/>
              <w:bottom w:val="nil"/>
              <w:right w:val="nil"/>
            </w:tcBorders>
          </w:tcPr>
          <w:p w14:paraId="044B51E2" w14:textId="77777777" w:rsidR="00AE7572" w:rsidRPr="002452DD" w:rsidRDefault="00AE7572">
            <w:pPr>
              <w:jc w:val="both"/>
              <w:rPr>
                <w:b/>
                <w:bCs/>
                <w:rtl/>
              </w:rPr>
            </w:pPr>
          </w:p>
        </w:tc>
        <w:tc>
          <w:tcPr>
            <w:tcW w:w="3771" w:type="dxa"/>
            <w:tcBorders>
              <w:top w:val="nil"/>
              <w:left w:val="nil"/>
              <w:bottom w:val="nil"/>
              <w:right w:val="nil"/>
            </w:tcBorders>
          </w:tcPr>
          <w:p w14:paraId="58910C10" w14:textId="77777777" w:rsidR="00AE7572" w:rsidRPr="002452DD" w:rsidRDefault="00AE7572">
            <w:pPr>
              <w:jc w:val="right"/>
              <w:rPr>
                <w:rFonts w:ascii="Arial" w:hAnsi="Arial"/>
                <w:b/>
                <w:bCs/>
                <w:sz w:val="28"/>
                <w:szCs w:val="28"/>
              </w:rPr>
            </w:pPr>
          </w:p>
        </w:tc>
      </w:tr>
    </w:tbl>
    <w:p w14:paraId="498E2765" w14:textId="77777777" w:rsidR="00AE7572" w:rsidRPr="002452DD" w:rsidRDefault="00AE7572">
      <w:pPr>
        <w:rPr>
          <w:b/>
          <w:bCs/>
          <w:rtl/>
        </w:rPr>
      </w:pPr>
    </w:p>
    <w:p w14:paraId="6D8A38FC" w14:textId="77777777" w:rsidR="00AE7572" w:rsidRPr="002452DD" w:rsidRDefault="002452DD">
      <w:pPr>
        <w:rPr>
          <w:b/>
          <w:bCs/>
          <w:rtl/>
        </w:rPr>
      </w:pPr>
      <w:r w:rsidRPr="002452DD">
        <w:rPr>
          <w:rFonts w:hint="cs"/>
          <w:b/>
          <w:bCs/>
          <w:rtl/>
        </w:rPr>
        <w:t>נוכחים:</w:t>
      </w:r>
    </w:p>
    <w:p w14:paraId="6AB91FF1" w14:textId="77777777" w:rsidR="00AE7572" w:rsidRPr="002452DD" w:rsidRDefault="002452DD">
      <w:pPr>
        <w:rPr>
          <w:rtl/>
        </w:rPr>
      </w:pPr>
      <w:bookmarkStart w:id="2" w:name="FirstLawyer"/>
      <w:r w:rsidRPr="002452DD">
        <w:rPr>
          <w:rFonts w:hint="cs"/>
          <w:rtl/>
        </w:rPr>
        <w:t>ב"כ</w:t>
      </w:r>
      <w:bookmarkEnd w:id="2"/>
      <w:r w:rsidRPr="002452DD">
        <w:rPr>
          <w:rFonts w:hint="cs"/>
          <w:rtl/>
        </w:rPr>
        <w:t xml:space="preserve"> המאשימה: עו"ד גב' אילנה קוזמינר</w:t>
      </w:r>
    </w:p>
    <w:p w14:paraId="5B0B5F41" w14:textId="77777777" w:rsidR="00AE7572" w:rsidRPr="002452DD" w:rsidRDefault="002452DD">
      <w:pPr>
        <w:rPr>
          <w:rtl/>
        </w:rPr>
      </w:pPr>
      <w:r w:rsidRPr="002452DD">
        <w:rPr>
          <w:rFonts w:hint="cs"/>
          <w:rtl/>
        </w:rPr>
        <w:t>ב"כ הנאשם: עו"ד  וואסים שחאדה ממשרד עו"ד באסל פלאח</w:t>
      </w:r>
    </w:p>
    <w:p w14:paraId="5E52205F" w14:textId="77777777" w:rsidR="00FA2B09" w:rsidRDefault="002452DD" w:rsidP="00D96340">
      <w:pPr>
        <w:rPr>
          <w:rtl/>
        </w:rPr>
      </w:pPr>
      <w:r w:rsidRPr="002452DD">
        <w:rPr>
          <w:rFonts w:hint="cs"/>
          <w:rtl/>
        </w:rPr>
        <w:t>הנאשם באמצעות הליוו</w:t>
      </w:r>
      <w:bookmarkStart w:id="3" w:name="LawTable"/>
      <w:bookmarkEnd w:id="3"/>
    </w:p>
    <w:p w14:paraId="0FB0BB99" w14:textId="77777777" w:rsidR="00FA2B09" w:rsidRPr="00FA2B09" w:rsidRDefault="00FA2B09" w:rsidP="00FA2B09">
      <w:pPr>
        <w:spacing w:after="120" w:line="240" w:lineRule="exact"/>
        <w:ind w:left="283" w:hanging="283"/>
        <w:jc w:val="both"/>
        <w:rPr>
          <w:rFonts w:ascii="FrankRuehl" w:hAnsi="FrankRuehl" w:cs="FrankRuehl"/>
          <w:rtl/>
        </w:rPr>
      </w:pPr>
    </w:p>
    <w:p w14:paraId="0A19A351" w14:textId="77777777" w:rsidR="00FA2B09" w:rsidRPr="00FA2B09" w:rsidRDefault="00FA2B09" w:rsidP="00FA2B09">
      <w:pPr>
        <w:spacing w:after="120" w:line="240" w:lineRule="exact"/>
        <w:ind w:left="283" w:hanging="283"/>
        <w:jc w:val="both"/>
        <w:rPr>
          <w:rFonts w:ascii="FrankRuehl" w:hAnsi="FrankRuehl" w:cs="FrankRuehl"/>
          <w:rtl/>
        </w:rPr>
      </w:pPr>
      <w:r w:rsidRPr="00FA2B09">
        <w:rPr>
          <w:rFonts w:ascii="FrankRuehl" w:hAnsi="FrankRuehl" w:cs="FrankRuehl"/>
          <w:rtl/>
        </w:rPr>
        <w:t xml:space="preserve">חקיקה שאוזכרה: </w:t>
      </w:r>
    </w:p>
    <w:p w14:paraId="149B1FE3" w14:textId="77777777" w:rsidR="00FA2B09" w:rsidRPr="00FA2B09" w:rsidRDefault="00FA2B09" w:rsidP="00FA2B09">
      <w:pPr>
        <w:spacing w:after="120" w:line="240" w:lineRule="exact"/>
        <w:ind w:left="283" w:hanging="283"/>
        <w:jc w:val="both"/>
        <w:rPr>
          <w:rFonts w:ascii="FrankRuehl" w:hAnsi="FrankRuehl" w:cs="FrankRuehl"/>
          <w:color w:val="0000FF"/>
          <w:u w:val="single"/>
          <w:rtl/>
        </w:rPr>
      </w:pPr>
      <w:hyperlink r:id="rId6" w:history="1">
        <w:r w:rsidRPr="00FA2B09">
          <w:rPr>
            <w:rStyle w:val="Hyperlink"/>
            <w:rFonts w:ascii="FrankRuehl" w:hAnsi="FrankRuehl" w:cs="FrankRuehl"/>
            <w:rtl/>
          </w:rPr>
          <w:t>חוק העונשין, תשל"ז-1977</w:t>
        </w:r>
      </w:hyperlink>
      <w:r w:rsidRPr="00FA2B09">
        <w:rPr>
          <w:rFonts w:ascii="FrankRuehl" w:hAnsi="FrankRuehl" w:cs="FrankRuehl"/>
          <w:color w:val="0000FF"/>
          <w:u w:val="single"/>
          <w:rtl/>
        </w:rPr>
        <w:t xml:space="preserve">: סע'  </w:t>
      </w:r>
      <w:hyperlink r:id="rId7" w:history="1">
        <w:r w:rsidRPr="00FA2B09">
          <w:rPr>
            <w:rStyle w:val="Hyperlink"/>
            <w:rFonts w:ascii="FrankRuehl" w:hAnsi="FrankRuehl" w:cs="FrankRuehl"/>
          </w:rPr>
          <w:t>40</w:t>
        </w:r>
        <w:r w:rsidRPr="00FA2B09">
          <w:rPr>
            <w:rStyle w:val="Hyperlink"/>
            <w:rFonts w:ascii="FrankRuehl" w:hAnsi="FrankRuehl" w:cs="FrankRuehl"/>
            <w:rtl/>
          </w:rPr>
          <w:t>ט'(א</w:t>
        </w:r>
        <w:r w:rsidRPr="00FA2B09">
          <w:rPr>
            <w:rStyle w:val="Hyperlink"/>
            <w:rFonts w:ascii="FrankRuehl" w:hAnsi="FrankRuehl" w:cs="FrankRuehl"/>
          </w:rPr>
          <w:t>)</w:t>
        </w:r>
      </w:hyperlink>
      <w:r w:rsidRPr="00FA2B09">
        <w:rPr>
          <w:rFonts w:ascii="FrankRuehl" w:hAnsi="FrankRuehl" w:cs="FrankRuehl"/>
          <w:color w:val="0000FF"/>
          <w:u w:val="single"/>
          <w:rtl/>
        </w:rPr>
        <w:t xml:space="preserve">, </w:t>
      </w:r>
      <w:hyperlink r:id="rId8" w:history="1">
        <w:r w:rsidRPr="00FA2B09">
          <w:rPr>
            <w:rStyle w:val="Hyperlink"/>
            <w:rFonts w:ascii="FrankRuehl" w:hAnsi="FrankRuehl" w:cs="FrankRuehl"/>
          </w:rPr>
          <w:t>144(</w:t>
        </w:r>
        <w:r w:rsidRPr="00FA2B09">
          <w:rPr>
            <w:rStyle w:val="Hyperlink"/>
            <w:rFonts w:ascii="FrankRuehl" w:hAnsi="FrankRuehl" w:cs="FrankRuehl"/>
            <w:rtl/>
          </w:rPr>
          <w:t>א</w:t>
        </w:r>
        <w:r w:rsidRPr="00FA2B09">
          <w:rPr>
            <w:rStyle w:val="Hyperlink"/>
            <w:rFonts w:ascii="FrankRuehl" w:hAnsi="FrankRuehl" w:cs="FrankRuehl"/>
          </w:rPr>
          <w:t>)</w:t>
        </w:r>
      </w:hyperlink>
      <w:r w:rsidRPr="00FA2B09">
        <w:rPr>
          <w:rFonts w:ascii="FrankRuehl" w:hAnsi="FrankRuehl" w:cs="FrankRuehl"/>
          <w:color w:val="0000FF"/>
          <w:u w:val="single"/>
          <w:rtl/>
        </w:rPr>
        <w:t xml:space="preserve">, </w:t>
      </w:r>
      <w:hyperlink r:id="rId9" w:history="1">
        <w:r w:rsidRPr="00FA2B09">
          <w:rPr>
            <w:rStyle w:val="Hyperlink"/>
            <w:rFonts w:ascii="FrankRuehl" w:hAnsi="FrankRuehl" w:cs="FrankRuehl"/>
          </w:rPr>
          <w:t>40</w:t>
        </w:r>
        <w:r w:rsidRPr="00FA2B09">
          <w:rPr>
            <w:rStyle w:val="Hyperlink"/>
            <w:rFonts w:ascii="FrankRuehl" w:hAnsi="FrankRuehl" w:cs="FrankRuehl"/>
            <w:rtl/>
          </w:rPr>
          <w:t>יא</w:t>
        </w:r>
      </w:hyperlink>
    </w:p>
    <w:p w14:paraId="1E23098E" w14:textId="77777777" w:rsidR="00FA2B09" w:rsidRPr="00FA2B09" w:rsidRDefault="00FA2B09" w:rsidP="00FA2B09">
      <w:pPr>
        <w:spacing w:after="120" w:line="240" w:lineRule="exact"/>
        <w:ind w:left="283" w:hanging="283"/>
        <w:jc w:val="both"/>
        <w:rPr>
          <w:rFonts w:ascii="FrankRuehl" w:hAnsi="FrankRuehl" w:cs="FrankRuehl"/>
          <w:rtl/>
        </w:rPr>
      </w:pPr>
    </w:p>
    <w:p w14:paraId="41324801" w14:textId="77777777" w:rsidR="00FA2B09" w:rsidRPr="00FA2B09" w:rsidRDefault="00FA2B09" w:rsidP="00D96340">
      <w:pPr>
        <w:rPr>
          <w:rtl/>
        </w:rPr>
      </w:pPr>
      <w:bookmarkStart w:id="4" w:name="LawTable_End"/>
      <w:bookmarkEnd w:id="4"/>
    </w:p>
    <w:p w14:paraId="410129C7" w14:textId="77777777" w:rsidR="00FA2B09" w:rsidRPr="00FA2B09" w:rsidRDefault="00FA2B09" w:rsidP="00D96340">
      <w:pPr>
        <w:rPr>
          <w:rtl/>
        </w:rPr>
      </w:pPr>
    </w:p>
    <w:p w14:paraId="64AC81D8" w14:textId="77777777" w:rsidR="00D96340" w:rsidRPr="00D96340" w:rsidRDefault="002452DD" w:rsidP="00D96340">
      <w:pPr>
        <w:rPr>
          <w:rtl/>
        </w:rPr>
      </w:pPr>
      <w:r w:rsidRPr="00FA2B09">
        <w:rPr>
          <w:rFonts w:hint="cs"/>
          <w:rtl/>
        </w:rPr>
        <w:t>י</w:t>
      </w:r>
    </w:p>
    <w:p w14:paraId="48FE3168" w14:textId="77777777" w:rsidR="00D96340" w:rsidRPr="00D96340" w:rsidRDefault="00D96340" w:rsidP="00D96340">
      <w:pPr>
        <w:rPr>
          <w:rtl/>
        </w:rPr>
      </w:pPr>
    </w:p>
    <w:p w14:paraId="5ABA38DF" w14:textId="77777777" w:rsidR="00664BE7" w:rsidRPr="00664BE7" w:rsidRDefault="002452DD" w:rsidP="00D96340">
      <w:pPr>
        <w:rPr>
          <w:rFonts w:ascii="FrankRuehl" w:hAnsi="FrankRuehl" w:cs="FrankRuehl"/>
          <w:rtl/>
        </w:rPr>
      </w:pPr>
      <w:r w:rsidRPr="00D96340">
        <w:rPr>
          <w:rFonts w:hint="cs"/>
          <w:rtl/>
        </w:rPr>
        <w:t xml:space="preserve"> </w:t>
      </w:r>
    </w:p>
    <w:p w14:paraId="3524B7E7" w14:textId="77777777" w:rsidR="00AE7572" w:rsidRPr="00664BE7" w:rsidRDefault="00AE75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7572" w14:paraId="20B9B50F" w14:textId="77777777">
        <w:trPr>
          <w:trHeight w:val="355"/>
          <w:jc w:val="center"/>
        </w:trPr>
        <w:tc>
          <w:tcPr>
            <w:tcW w:w="8820" w:type="dxa"/>
            <w:tcBorders>
              <w:top w:val="nil"/>
              <w:left w:val="nil"/>
              <w:bottom w:val="nil"/>
              <w:right w:val="nil"/>
            </w:tcBorders>
          </w:tcPr>
          <w:p w14:paraId="5CAFDA2E" w14:textId="77777777" w:rsidR="002452DD" w:rsidRPr="002452DD" w:rsidRDefault="002452DD" w:rsidP="002452DD">
            <w:pPr>
              <w:jc w:val="center"/>
              <w:rPr>
                <w:rFonts w:ascii="Arial" w:hAnsi="Arial" w:cs="FrankRuehl"/>
                <w:b/>
                <w:bCs/>
                <w:sz w:val="32"/>
                <w:szCs w:val="32"/>
                <w:u w:val="single"/>
                <w:rtl/>
              </w:rPr>
            </w:pPr>
            <w:bookmarkStart w:id="5" w:name="PsakDin" w:colFirst="0" w:colLast="0"/>
            <w:bookmarkEnd w:id="0"/>
            <w:r w:rsidRPr="002452DD">
              <w:rPr>
                <w:rFonts w:ascii="Arial" w:hAnsi="Arial" w:cs="FrankRuehl"/>
                <w:b/>
                <w:bCs/>
                <w:sz w:val="32"/>
                <w:szCs w:val="32"/>
                <w:u w:val="single"/>
                <w:rtl/>
              </w:rPr>
              <w:t>גזר דין</w:t>
            </w:r>
          </w:p>
          <w:p w14:paraId="6151F891" w14:textId="77777777" w:rsidR="00AE7572" w:rsidRPr="002452DD" w:rsidRDefault="00AE7572" w:rsidP="002452DD">
            <w:pPr>
              <w:jc w:val="center"/>
              <w:rPr>
                <w:rFonts w:ascii="Arial" w:hAnsi="Arial" w:cs="FrankRuehl"/>
                <w:bCs/>
                <w:sz w:val="32"/>
                <w:szCs w:val="32"/>
                <w:u w:val="single"/>
                <w:rtl/>
              </w:rPr>
            </w:pPr>
          </w:p>
        </w:tc>
      </w:tr>
      <w:bookmarkEnd w:id="5"/>
    </w:tbl>
    <w:p w14:paraId="0F63C6E3" w14:textId="77777777" w:rsidR="00AE7572" w:rsidRDefault="00AE7572">
      <w:pPr>
        <w:rPr>
          <w:rFonts w:ascii="Arial" w:hAnsi="Arial"/>
          <w:rtl/>
        </w:rPr>
      </w:pPr>
    </w:p>
    <w:p w14:paraId="01D19C0E" w14:textId="77777777" w:rsidR="00AE7572" w:rsidRDefault="002452DD">
      <w:pPr>
        <w:spacing w:line="360" w:lineRule="auto"/>
        <w:jc w:val="both"/>
        <w:rPr>
          <w:u w:val="single"/>
          <w:rtl/>
        </w:rPr>
      </w:pPr>
      <w:r>
        <w:rPr>
          <w:rFonts w:hint="cs"/>
          <w:u w:val="single"/>
          <w:rtl/>
        </w:rPr>
        <w:t>כתב האישום</w:t>
      </w:r>
    </w:p>
    <w:p w14:paraId="615C714B" w14:textId="77777777" w:rsidR="00AE7572" w:rsidRDefault="00AE7572">
      <w:pPr>
        <w:spacing w:line="360" w:lineRule="auto"/>
        <w:jc w:val="both"/>
        <w:rPr>
          <w:u w:val="single"/>
        </w:rPr>
      </w:pPr>
    </w:p>
    <w:p w14:paraId="32732A88" w14:textId="77777777" w:rsidR="00AE7572" w:rsidRDefault="002452DD">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סמך הודייתו בכתב אישום שתוקן במסגרת הסדר טיעון, בעבירות  בנשק לפי סעיף </w:t>
      </w:r>
      <w:hyperlink r:id="rId10" w:history="1">
        <w:r w:rsidR="00664BE7" w:rsidRPr="00664BE7">
          <w:rPr>
            <w:color w:val="0000FF"/>
            <w:u w:val="single"/>
            <w:rtl/>
          </w:rPr>
          <w:t>144(א)</w:t>
        </w:r>
      </w:hyperlink>
      <w:r>
        <w:rPr>
          <w:rFonts w:hint="cs"/>
          <w:rtl/>
        </w:rPr>
        <w:t>(רישא+סיפא) ל</w:t>
      </w:r>
      <w:hyperlink r:id="rId11" w:history="1">
        <w:r w:rsidRPr="002452DD">
          <w:rPr>
            <w:color w:val="0000FF"/>
            <w:u w:val="single"/>
            <w:rtl/>
          </w:rPr>
          <w:t>חוק העונשין</w:t>
        </w:r>
      </w:hyperlink>
      <w:r>
        <w:rPr>
          <w:rFonts w:hint="cs"/>
          <w:rtl/>
        </w:rPr>
        <w:t>, התשל"ז-1977 (להלן: "חוק העונשין"). ההסדר לא כלל הסכמה לגבי העונש והוסכם שכל צד יעלה טענותיו לעניין זה באופן חופשי.</w:t>
      </w:r>
    </w:p>
    <w:p w14:paraId="07337D8C" w14:textId="77777777" w:rsidR="00AE7572" w:rsidRDefault="00AE7572">
      <w:pPr>
        <w:spacing w:line="360" w:lineRule="auto"/>
        <w:jc w:val="both"/>
        <w:rPr>
          <w:rtl/>
        </w:rPr>
      </w:pPr>
      <w:bookmarkStart w:id="7" w:name="ABSTRACT_END"/>
      <w:bookmarkEnd w:id="7"/>
    </w:p>
    <w:p w14:paraId="5D642B0A" w14:textId="77777777" w:rsidR="00AE7572" w:rsidRDefault="002452DD">
      <w:pPr>
        <w:spacing w:line="360" w:lineRule="auto"/>
        <w:ind w:left="720" w:hanging="720"/>
        <w:jc w:val="both"/>
        <w:rPr>
          <w:rtl/>
        </w:rPr>
      </w:pPr>
      <w:r>
        <w:rPr>
          <w:rFonts w:hint="cs"/>
          <w:rtl/>
        </w:rPr>
        <w:lastRenderedPageBreak/>
        <w:tab/>
        <w:t xml:space="preserve">בעובדות כתב האישום נאמר כי ביום 30.8.14 החזיק הנאשם ברכב מסוג מזדה, מתחת למושב הנהג, אקדח מסוג תופי טאורוס (להלן: "האקדח") שמסוגל לירות כדור שבכוחו להמית אדם, וזאת בלא רשות על פי דין להחזקתו. האקדח היה טעון בששה כדורי אקדח. </w:t>
      </w:r>
    </w:p>
    <w:p w14:paraId="66D40DE6" w14:textId="77777777" w:rsidR="00AE7572" w:rsidRDefault="00AE7572">
      <w:pPr>
        <w:spacing w:line="360" w:lineRule="auto"/>
        <w:jc w:val="both"/>
        <w:rPr>
          <w:rtl/>
        </w:rPr>
      </w:pPr>
    </w:p>
    <w:p w14:paraId="702626A4" w14:textId="77777777" w:rsidR="00AE7572" w:rsidRDefault="002452DD">
      <w:pPr>
        <w:spacing w:line="360" w:lineRule="auto"/>
        <w:ind w:left="720" w:hanging="720"/>
        <w:jc w:val="both"/>
        <w:rPr>
          <w:rtl/>
        </w:rPr>
      </w:pPr>
      <w:r>
        <w:rPr>
          <w:rFonts w:hint="cs"/>
          <w:rtl/>
        </w:rPr>
        <w:tab/>
        <w:t xml:space="preserve">כאמור, ביום 3.2.15, הורשע הנאשם על סמך הודאתו בעבירה שיוחסה לו בכתב האישום המתוקן. </w:t>
      </w:r>
    </w:p>
    <w:p w14:paraId="02A5459D" w14:textId="77777777" w:rsidR="00AE7572" w:rsidRDefault="00AE7572">
      <w:pPr>
        <w:spacing w:line="360" w:lineRule="auto"/>
        <w:jc w:val="both"/>
        <w:rPr>
          <w:rtl/>
        </w:rPr>
      </w:pPr>
    </w:p>
    <w:p w14:paraId="196C3808" w14:textId="77777777" w:rsidR="00AE7572" w:rsidRDefault="002452DD">
      <w:pPr>
        <w:spacing w:line="360" w:lineRule="auto"/>
        <w:jc w:val="both"/>
        <w:rPr>
          <w:u w:val="single"/>
          <w:rtl/>
        </w:rPr>
      </w:pPr>
      <w:r>
        <w:rPr>
          <w:rFonts w:hint="cs"/>
          <w:u w:val="single"/>
          <w:rtl/>
        </w:rPr>
        <w:t>ראיות לעונש</w:t>
      </w:r>
    </w:p>
    <w:p w14:paraId="67AE53E3" w14:textId="77777777" w:rsidR="00AE7572" w:rsidRDefault="00AE7572">
      <w:pPr>
        <w:spacing w:line="360" w:lineRule="auto"/>
        <w:jc w:val="both"/>
        <w:rPr>
          <w:rtl/>
        </w:rPr>
      </w:pPr>
    </w:p>
    <w:p w14:paraId="25D51929" w14:textId="77777777" w:rsidR="00AE7572" w:rsidRDefault="002452DD">
      <w:pPr>
        <w:spacing w:line="360" w:lineRule="auto"/>
        <w:ind w:left="720" w:hanging="720"/>
        <w:jc w:val="both"/>
        <w:rPr>
          <w:rtl/>
        </w:rPr>
      </w:pPr>
      <w:r>
        <w:rPr>
          <w:rFonts w:hint="cs"/>
          <w:rtl/>
        </w:rPr>
        <w:t>2.</w:t>
      </w:r>
      <w:r>
        <w:rPr>
          <w:rFonts w:hint="cs"/>
          <w:rtl/>
        </w:rPr>
        <w:tab/>
        <w:t xml:space="preserve">בטרם טענו הצדדים לעונש, הציגה המאשימה את ראיותיה אשר כללו את רישומו הפלילי של הנאשם (מ/3), הכרעת דין וגזר דין שניתנו בתיק </w:t>
      </w:r>
      <w:hyperlink r:id="rId12" w:history="1">
        <w:r w:rsidR="00D96340" w:rsidRPr="00D96340">
          <w:rPr>
            <w:color w:val="0000FF"/>
            <w:u w:val="single"/>
            <w:rtl/>
          </w:rPr>
          <w:t>22710-09-10</w:t>
        </w:r>
      </w:hyperlink>
      <w:r>
        <w:rPr>
          <w:rFonts w:hint="cs"/>
          <w:rtl/>
        </w:rPr>
        <w:t xml:space="preserve"> בבית משפט השלום בחיפה (מ/4), כתב אישום, הכרעת דין וגזר דין בתיק 34049-10-11 בבית משפט השלום בחיפה (מ/5) וכתב אישום והכרעת דין בתיק 50898-09-14 בבית משפט השלום בחיפה (מ/6). </w:t>
      </w:r>
    </w:p>
    <w:p w14:paraId="7B3310BC" w14:textId="77777777" w:rsidR="00AE7572" w:rsidRDefault="00AE7572">
      <w:pPr>
        <w:spacing w:line="360" w:lineRule="auto"/>
        <w:jc w:val="both"/>
        <w:rPr>
          <w:rtl/>
        </w:rPr>
      </w:pPr>
    </w:p>
    <w:p w14:paraId="7115EA24" w14:textId="77777777" w:rsidR="00AE7572" w:rsidRDefault="002452DD">
      <w:pPr>
        <w:spacing w:line="360" w:lineRule="auto"/>
        <w:jc w:val="both"/>
        <w:rPr>
          <w:rtl/>
        </w:rPr>
      </w:pPr>
      <w:r>
        <w:rPr>
          <w:rFonts w:hint="cs"/>
          <w:rtl/>
        </w:rPr>
        <w:t>3.</w:t>
      </w:r>
      <w:r>
        <w:rPr>
          <w:rFonts w:hint="cs"/>
          <w:rtl/>
        </w:rPr>
        <w:tab/>
        <w:t>מטעם הנאשם לא הובאו ראיות לעונש.</w:t>
      </w:r>
    </w:p>
    <w:p w14:paraId="70C44C01" w14:textId="77777777" w:rsidR="00AE7572" w:rsidRDefault="00AE7572">
      <w:pPr>
        <w:spacing w:line="360" w:lineRule="auto"/>
        <w:jc w:val="both"/>
        <w:rPr>
          <w:rtl/>
        </w:rPr>
      </w:pPr>
    </w:p>
    <w:p w14:paraId="35A4B5FB" w14:textId="77777777" w:rsidR="00AE7572" w:rsidRDefault="002452DD">
      <w:pPr>
        <w:spacing w:line="360" w:lineRule="auto"/>
        <w:jc w:val="both"/>
        <w:rPr>
          <w:u w:val="single"/>
          <w:rtl/>
        </w:rPr>
      </w:pPr>
      <w:r>
        <w:rPr>
          <w:rFonts w:hint="cs"/>
          <w:u w:val="single"/>
          <w:rtl/>
        </w:rPr>
        <w:t>טיעוני הצדדים לעונש</w:t>
      </w:r>
    </w:p>
    <w:p w14:paraId="0AE61C27" w14:textId="77777777" w:rsidR="00AE7572" w:rsidRDefault="00AE7572">
      <w:pPr>
        <w:spacing w:line="360" w:lineRule="auto"/>
        <w:jc w:val="both"/>
        <w:rPr>
          <w:rtl/>
        </w:rPr>
      </w:pPr>
    </w:p>
    <w:p w14:paraId="38D2BFF6" w14:textId="77777777" w:rsidR="00AE7572" w:rsidRDefault="002452DD">
      <w:pPr>
        <w:spacing w:line="360" w:lineRule="auto"/>
        <w:ind w:left="720" w:hanging="720"/>
        <w:jc w:val="both"/>
        <w:rPr>
          <w:rtl/>
        </w:rPr>
      </w:pPr>
      <w:r>
        <w:rPr>
          <w:rFonts w:hint="cs"/>
          <w:rtl/>
        </w:rPr>
        <w:t>4.</w:t>
      </w:r>
      <w:r>
        <w:rPr>
          <w:rFonts w:hint="cs"/>
          <w:rtl/>
        </w:rPr>
        <w:tab/>
        <w:t xml:space="preserve">בפתח טיעוניה לעונש, הפנתה המאשימה להרשעותיו הקודמות של הנאשם במגוון עבירות. לנאשם שתי הרשעות קודמות בגין עבירות של החזקת סכין למטרה לא כשרה, היזק לרכוש במזיד, תקיפה הגורמת חבלה של ממש, תקיפה סתם, תקיפת שוטר בעת מילוי תפקידו ואיומים. נאמר כי אחת העבירות של החזקת סכין למטרה לא כשרה נעשתה כאשר ניסה הנאשם להיכנס להיכל בית המשפט בחיפה כשהוא מחזיק סכין שאורך להבה </w:t>
      </w:r>
      <w:smartTag w:uri="urn:schemas-microsoft-com:office:smarttags" w:element="metricconverter">
        <w:smartTagPr>
          <w:attr w:name="ProductID" w:val="9 ס&quot;מ"/>
        </w:smartTagPr>
        <w:r>
          <w:rPr>
            <w:rFonts w:hint="cs"/>
            <w:rtl/>
          </w:rPr>
          <w:t>9 ס"מ</w:t>
        </w:r>
      </w:smartTag>
      <w:r>
        <w:rPr>
          <w:rFonts w:hint="cs"/>
          <w:rtl/>
        </w:rPr>
        <w:t>. בגין עבירה זו הושת על הנאשם עונש מאסר בפועל בן 6 חודשים ותלוי ועומד נגדו מאסר מותנה.</w:t>
      </w:r>
    </w:p>
    <w:p w14:paraId="081B1843" w14:textId="77777777" w:rsidR="00AE7572" w:rsidRDefault="00AE7572">
      <w:pPr>
        <w:spacing w:line="360" w:lineRule="auto"/>
        <w:jc w:val="both"/>
        <w:rPr>
          <w:rtl/>
        </w:rPr>
      </w:pPr>
    </w:p>
    <w:p w14:paraId="127E784B" w14:textId="77777777" w:rsidR="00AE7572" w:rsidRDefault="002452DD">
      <w:pPr>
        <w:spacing w:line="360" w:lineRule="auto"/>
        <w:ind w:left="720" w:hanging="720"/>
        <w:jc w:val="both"/>
        <w:rPr>
          <w:rtl/>
        </w:rPr>
      </w:pPr>
      <w:r>
        <w:rPr>
          <w:rFonts w:hint="cs"/>
          <w:rtl/>
        </w:rPr>
        <w:tab/>
        <w:t xml:space="preserve">בנוסף, הורשע הנאשם, על סמך הודייתו, בתיק אחר המתנהל בבית משפט השלום בחיפה (תיק 50898-09-14) בעבירות של סחר בסם מסוכן (7 עבירות), סיוע לסחר בסם מסוכן (2 עבירות) וקשירת קשר לביצוע פשע (4 עבירות). נטען כי חרף גילו הצעיר, הורשע הנאשם, כאמור, בביצוע שלל עבירות ביחס ל-15 תיקי משטרה שונים. </w:t>
      </w:r>
    </w:p>
    <w:p w14:paraId="18D98055" w14:textId="77777777" w:rsidR="00AE7572" w:rsidRDefault="00AE7572">
      <w:pPr>
        <w:spacing w:line="360" w:lineRule="auto"/>
        <w:jc w:val="both"/>
        <w:rPr>
          <w:rtl/>
        </w:rPr>
      </w:pPr>
    </w:p>
    <w:p w14:paraId="6B1D015C" w14:textId="77777777" w:rsidR="00AE7572" w:rsidRDefault="002452DD">
      <w:pPr>
        <w:spacing w:line="360" w:lineRule="auto"/>
        <w:ind w:left="720" w:hanging="720"/>
        <w:jc w:val="both"/>
        <w:rPr>
          <w:rtl/>
        </w:rPr>
      </w:pPr>
      <w:r>
        <w:rPr>
          <w:rFonts w:hint="cs"/>
          <w:rtl/>
        </w:rPr>
        <w:t>5.</w:t>
      </w:r>
      <w:r>
        <w:rPr>
          <w:rFonts w:hint="cs"/>
          <w:rtl/>
        </w:rPr>
        <w:tab/>
        <w:t xml:space="preserve">ביחס להרשעתו בתיק זה, טענה המאשימה כי העונש הקבוע בצד העבירה בה הורשע הנאשם הינו עונש של 7 שנות מאסר. לטענת המאשימה, חומרתן של עבירות בנשק והפוטנציאל של סיכון חיי אדם הגלום בהן, תדירותן ההולכת וגוברת וההסתברות לעבירות </w:t>
      </w:r>
      <w:r>
        <w:rPr>
          <w:rFonts w:hint="cs"/>
          <w:rtl/>
        </w:rPr>
        <w:lastRenderedPageBreak/>
        <w:t xml:space="preserve">נלוות מחייבים ענישה מרתיעה. בעבירות מסוג זה נסוג משקלן של הנסיבות האישיות מפני חומרת העבירה. </w:t>
      </w:r>
    </w:p>
    <w:p w14:paraId="52CA275F" w14:textId="77777777" w:rsidR="00AE7572" w:rsidRDefault="00AE7572">
      <w:pPr>
        <w:spacing w:line="360" w:lineRule="auto"/>
        <w:jc w:val="both"/>
        <w:rPr>
          <w:rtl/>
        </w:rPr>
      </w:pPr>
    </w:p>
    <w:p w14:paraId="30555894" w14:textId="77777777" w:rsidR="00AE7572" w:rsidRDefault="002452DD">
      <w:pPr>
        <w:spacing w:line="360" w:lineRule="auto"/>
        <w:ind w:left="720" w:hanging="720"/>
        <w:jc w:val="both"/>
        <w:rPr>
          <w:rtl/>
        </w:rPr>
      </w:pPr>
      <w:r>
        <w:rPr>
          <w:rFonts w:hint="cs"/>
          <w:rtl/>
        </w:rPr>
        <w:t>6.</w:t>
      </w:r>
      <w:r>
        <w:rPr>
          <w:rFonts w:hint="cs"/>
          <w:rtl/>
        </w:rPr>
        <w:tab/>
        <w:t xml:space="preserve">בשים לב לנסיבות ביצוע העבירה, לחומרתה ולפסיקה הנוהגת, עתרה  המאשימה לקבוע כי מתחם הענישה ההולם הינו 18 עד 36 חודשי מאסר בפועל וכן מאסר מותנה וקנס. המאשימה ביקשה עוד כי העונש שיושת על הנאשם יהיה קרוב לרף העליון של מתחם הענישה, בשים לב להלכה הפסוקה לפיה יש ליתן משקל בכורה לשיקולי הגמול וההרתעה על פני שיקוליו האישיים של הנאשם. בענייננו הנאשם הודה אמנם בביצוע העבירה ונטל אחריות על מעשיו, אך עברו הפלילי מלמד כי מדובר במי שבחר באורח חיים עברייני ולא השכיל להפיק לקחים מהעונשים שהוטלו עליו בעבר. כמו כן, ביקשה המאשימה כי כל עונש מאסר שיושת על הנאשם יוטל באופן מצטבר לעונש שיוטל עליו בתיק האחר המתנהל נגדו בבית משפט השלום בחיפה בגין עבירות סחר בסמים, כפי שצוין לעיל. </w:t>
      </w:r>
    </w:p>
    <w:p w14:paraId="55340346" w14:textId="77777777" w:rsidR="00AE7572" w:rsidRDefault="00AE7572">
      <w:pPr>
        <w:spacing w:line="360" w:lineRule="auto"/>
        <w:jc w:val="both"/>
        <w:rPr>
          <w:rtl/>
        </w:rPr>
      </w:pPr>
    </w:p>
    <w:p w14:paraId="476E88A5" w14:textId="77777777" w:rsidR="00AE7572" w:rsidRDefault="002452DD">
      <w:pPr>
        <w:spacing w:line="360" w:lineRule="auto"/>
        <w:ind w:left="720" w:hanging="720"/>
        <w:jc w:val="both"/>
        <w:rPr>
          <w:rtl/>
        </w:rPr>
      </w:pPr>
      <w:r>
        <w:rPr>
          <w:rFonts w:hint="cs"/>
          <w:rtl/>
        </w:rPr>
        <w:t>7.</w:t>
      </w:r>
      <w:r>
        <w:rPr>
          <w:rFonts w:hint="cs"/>
          <w:rtl/>
        </w:rPr>
        <w:tab/>
        <w:t>ב"כ הנאשם טען מצדו כי מתחם הענישה הראוי נע בין מספר חודשי מאסר לריצוי בעבודות שירות למאסר בפועל של 10 חודשים. בהתייחס לנסיבות הקשורות לביצוע העבירה הפנה הסנגור לכך  שמדובר בעבירה שלא בוצעה בשיטתיות אלא במעידה חד-פעמית וכן לעובדה שהנאשם הודה בהזדמנות הראשונה וחסך בכך זמן שיפוטי יקר וצורך בשמיעת עדים.</w:t>
      </w:r>
    </w:p>
    <w:p w14:paraId="767CF136" w14:textId="77777777" w:rsidR="00AE7572" w:rsidRDefault="00AE7572">
      <w:pPr>
        <w:spacing w:line="360" w:lineRule="auto"/>
        <w:jc w:val="both"/>
        <w:rPr>
          <w:rtl/>
        </w:rPr>
      </w:pPr>
    </w:p>
    <w:p w14:paraId="323EAB90" w14:textId="77777777" w:rsidR="00AE7572" w:rsidRDefault="002452DD">
      <w:pPr>
        <w:spacing w:line="360" w:lineRule="auto"/>
        <w:ind w:left="720" w:hanging="720"/>
        <w:jc w:val="both"/>
        <w:rPr>
          <w:rtl/>
        </w:rPr>
      </w:pPr>
      <w:r>
        <w:rPr>
          <w:rFonts w:hint="cs"/>
          <w:rtl/>
        </w:rPr>
        <w:t>8.</w:t>
      </w:r>
      <w:r>
        <w:rPr>
          <w:rFonts w:hint="cs"/>
          <w:rtl/>
        </w:rPr>
        <w:tab/>
        <w:t xml:space="preserve">בהתייחס לשיקולי ההרתעה, טען הסנגור כי בית המשפט רשאי להתחשב בשיקולים אלה כשיש סיכוי של ממש שהטלת עונש מאסר תצליח להרתיע את הנאשם. נטען כי בענייננו אין צורך להחמיר עם הנאשם כדי להרתיעו, ובכל מקרה הרתעה אינה מחייבת בהכרח מאסר ממושך בפועל. </w:t>
      </w:r>
    </w:p>
    <w:p w14:paraId="29489266" w14:textId="77777777" w:rsidR="00AE7572" w:rsidRDefault="00AE7572">
      <w:pPr>
        <w:spacing w:line="360" w:lineRule="auto"/>
        <w:jc w:val="both"/>
        <w:rPr>
          <w:rtl/>
        </w:rPr>
      </w:pPr>
    </w:p>
    <w:p w14:paraId="602519C9" w14:textId="77777777" w:rsidR="00AE7572" w:rsidRDefault="002452DD">
      <w:pPr>
        <w:spacing w:line="360" w:lineRule="auto"/>
        <w:ind w:left="720" w:hanging="720"/>
        <w:jc w:val="both"/>
        <w:rPr>
          <w:rtl/>
        </w:rPr>
      </w:pPr>
      <w:r>
        <w:rPr>
          <w:rFonts w:hint="cs"/>
          <w:rtl/>
        </w:rPr>
        <w:t>9.</w:t>
      </w:r>
      <w:r>
        <w:rPr>
          <w:rFonts w:hint="cs"/>
          <w:rtl/>
        </w:rPr>
        <w:tab/>
        <w:t xml:space="preserve">באשר לנסיבותיו האישיות טען ב"כ הנאשם כי מדובר בצעיר, יליד 1990, שעברו הפלילי אינו מכביד ואינו כולל עבירה מסוג זה בה הורשע בתיק דנא. נטען כי הודייתו של הנאשם מגלמת בחובה נטילת אחריות וצער על המעשים. </w:t>
      </w:r>
    </w:p>
    <w:p w14:paraId="0A5B1FD8" w14:textId="77777777" w:rsidR="00AE7572" w:rsidRDefault="00AE7572">
      <w:pPr>
        <w:spacing w:line="360" w:lineRule="auto"/>
        <w:jc w:val="both"/>
        <w:rPr>
          <w:rtl/>
        </w:rPr>
      </w:pPr>
    </w:p>
    <w:p w14:paraId="64E1638E" w14:textId="77777777" w:rsidR="00AE7572" w:rsidRDefault="002452DD">
      <w:pPr>
        <w:spacing w:line="360" w:lineRule="auto"/>
        <w:ind w:left="720" w:hanging="720"/>
        <w:jc w:val="both"/>
        <w:rPr>
          <w:rtl/>
        </w:rPr>
      </w:pPr>
      <w:r>
        <w:rPr>
          <w:rFonts w:hint="cs"/>
          <w:rtl/>
        </w:rPr>
        <w:t>10.</w:t>
      </w:r>
      <w:r>
        <w:rPr>
          <w:rFonts w:hint="cs"/>
          <w:rtl/>
        </w:rPr>
        <w:tab/>
        <w:t>הנאשם, בדברו האחרון, הביע חרטה וצער על מעשיו וביקש שבית המשפט יתחשב בו ככל הניתן וישית עליו עונש קל.</w:t>
      </w:r>
      <w:r>
        <w:t xml:space="preserve">   </w:t>
      </w:r>
      <w:r>
        <w:rPr>
          <w:rFonts w:hint="cs"/>
          <w:rtl/>
        </w:rPr>
        <w:t xml:space="preserve"> </w:t>
      </w:r>
    </w:p>
    <w:p w14:paraId="35B5205E" w14:textId="77777777" w:rsidR="00AE7572" w:rsidRDefault="00AE7572">
      <w:pPr>
        <w:spacing w:line="360" w:lineRule="auto"/>
        <w:jc w:val="both"/>
        <w:rPr>
          <w:rtl/>
        </w:rPr>
      </w:pPr>
    </w:p>
    <w:p w14:paraId="00A79191" w14:textId="77777777" w:rsidR="00AE7572" w:rsidRDefault="002452DD">
      <w:pPr>
        <w:spacing w:line="360" w:lineRule="auto"/>
        <w:jc w:val="both"/>
        <w:rPr>
          <w:u w:val="single"/>
          <w:rtl/>
        </w:rPr>
      </w:pPr>
      <w:r>
        <w:rPr>
          <w:rFonts w:hint="cs"/>
          <w:u w:val="single"/>
          <w:rtl/>
        </w:rPr>
        <w:t>דיון והכרעה</w:t>
      </w:r>
    </w:p>
    <w:p w14:paraId="37880BDE" w14:textId="77777777" w:rsidR="00AE7572" w:rsidRDefault="002452DD">
      <w:pPr>
        <w:spacing w:line="360" w:lineRule="auto"/>
        <w:jc w:val="both"/>
        <w:rPr>
          <w:u w:val="single"/>
          <w:rtl/>
        </w:rPr>
      </w:pPr>
      <w:r>
        <w:rPr>
          <w:rFonts w:hint="cs"/>
          <w:u w:val="single"/>
          <w:rtl/>
        </w:rPr>
        <w:t>מתחם העונש ההולם</w:t>
      </w:r>
    </w:p>
    <w:p w14:paraId="793C1338" w14:textId="77777777" w:rsidR="00AE7572" w:rsidRDefault="00AE7572">
      <w:pPr>
        <w:spacing w:line="360" w:lineRule="auto"/>
        <w:jc w:val="both"/>
        <w:rPr>
          <w:rtl/>
        </w:rPr>
      </w:pPr>
    </w:p>
    <w:p w14:paraId="10BA5344" w14:textId="77777777" w:rsidR="00AE7572" w:rsidRDefault="002452DD">
      <w:pPr>
        <w:spacing w:line="360" w:lineRule="auto"/>
        <w:ind w:left="720" w:hanging="720"/>
        <w:jc w:val="both"/>
        <w:rPr>
          <w:rtl/>
        </w:rPr>
      </w:pPr>
      <w:r>
        <w:rPr>
          <w:rFonts w:hint="cs"/>
          <w:rtl/>
        </w:rPr>
        <w:t>11.</w:t>
      </w:r>
      <w:r>
        <w:rPr>
          <w:rFonts w:hint="cs"/>
          <w:rtl/>
        </w:rPr>
        <w:tab/>
        <w:t xml:space="preserve">את מתחם העונש ההולם יש לקבוע בהתאם לעיקרון ההלימה ועל בית המשפט להתחשב לצורך כך בערכים החברתיים שנפגעו מביצוע העבירה, במידת הפגיעה בהם, במדיניות הענישה הנהוגה ובנסיבות הקשורות בביצוע העבירה, תוך מתן הדעת לרשימה המפורטת </w:t>
      </w:r>
      <w:hyperlink r:id="rId13" w:history="1">
        <w:r w:rsidR="00664BE7" w:rsidRPr="00664BE7">
          <w:rPr>
            <w:color w:val="0000FF"/>
            <w:u w:val="single"/>
            <w:rtl/>
          </w:rPr>
          <w:t>בסעיף 40ט'(א)</w:t>
        </w:r>
      </w:hyperlink>
      <w:r>
        <w:rPr>
          <w:rFonts w:hint="cs"/>
          <w:rtl/>
        </w:rPr>
        <w:t xml:space="preserve"> ל</w:t>
      </w:r>
      <w:hyperlink r:id="rId14" w:history="1">
        <w:r w:rsidRPr="002452DD">
          <w:rPr>
            <w:color w:val="0000FF"/>
            <w:u w:val="single"/>
            <w:rtl/>
          </w:rPr>
          <w:t>חוק העונשין</w:t>
        </w:r>
      </w:hyperlink>
      <w:r>
        <w:rPr>
          <w:rFonts w:hint="cs"/>
          <w:rtl/>
        </w:rPr>
        <w:t xml:space="preserve">. </w:t>
      </w:r>
    </w:p>
    <w:p w14:paraId="57191E5C" w14:textId="77777777" w:rsidR="00AE7572" w:rsidRDefault="00AE7572">
      <w:pPr>
        <w:spacing w:line="360" w:lineRule="auto"/>
        <w:jc w:val="both"/>
        <w:rPr>
          <w:rtl/>
        </w:rPr>
      </w:pPr>
    </w:p>
    <w:p w14:paraId="79AE9446" w14:textId="77777777" w:rsidR="00AE7572" w:rsidRDefault="002452DD">
      <w:pPr>
        <w:spacing w:line="360" w:lineRule="auto"/>
        <w:ind w:left="720" w:hanging="720"/>
        <w:jc w:val="both"/>
        <w:rPr>
          <w:rtl/>
        </w:rPr>
      </w:pPr>
      <w:r>
        <w:rPr>
          <w:rFonts w:hint="cs"/>
          <w:rtl/>
        </w:rPr>
        <w:t>12.</w:t>
      </w:r>
      <w:r>
        <w:rPr>
          <w:rFonts w:hint="cs"/>
          <w:rtl/>
        </w:rPr>
        <w:tab/>
        <w:t>העבירה בה הורשע הנאשם חמורה והמחוקק ראה לקבוע בצידה עונש של 7 שנות מאסר בגין נשיאת הנשק ועונש של 3 שנים בגין נשיאת תחמושת. חומרתה של העבירה מתבטאת בעיקר בפוטנציאל ההרסני הטמון בה. ב</w:t>
      </w:r>
      <w:hyperlink r:id="rId15" w:history="1">
        <w:r w:rsidRPr="002452DD">
          <w:rPr>
            <w:color w:val="0000FF"/>
            <w:u w:val="single"/>
            <w:rtl/>
          </w:rPr>
          <w:t>ע"פ 1323/13</w:t>
        </w:r>
      </w:hyperlink>
      <w:r>
        <w:rPr>
          <w:rFonts w:hint="cs"/>
          <w:rtl/>
        </w:rPr>
        <w:t xml:space="preserve"> </w:t>
      </w:r>
      <w:r>
        <w:rPr>
          <w:rFonts w:hint="cs"/>
          <w:b/>
          <w:bCs/>
          <w:rtl/>
        </w:rPr>
        <w:t>רך נ' מדינת ישראל</w:t>
      </w:r>
      <w:r>
        <w:rPr>
          <w:rFonts w:hint="cs"/>
          <w:rtl/>
        </w:rPr>
        <w:t xml:space="preserve"> (5.6.2013) נאמר כי: </w:t>
      </w:r>
    </w:p>
    <w:p w14:paraId="397B2E00" w14:textId="77777777" w:rsidR="00AE7572" w:rsidRDefault="00AE7572">
      <w:pPr>
        <w:spacing w:line="360" w:lineRule="auto"/>
        <w:jc w:val="both"/>
        <w:rPr>
          <w:rtl/>
        </w:rPr>
      </w:pPr>
    </w:p>
    <w:p w14:paraId="45A0977B" w14:textId="77777777" w:rsidR="00AE7572" w:rsidRDefault="002452DD">
      <w:pPr>
        <w:pStyle w:val="Quote"/>
        <w:rPr>
          <w:rtl/>
        </w:rPr>
      </w:pPr>
      <w:r>
        <w:rPr>
          <w:rFonts w:hint="cs"/>
          <w:rtl/>
        </w:rPr>
        <w:t xml:space="preserve">"הסכנה הנשקפת לציבור כתוצאה מעבירות אלה, לצד המימדים אליהם הגיעו מחייבים לתת ביטוי הולם וכבד משקל להגנה על הערך החברתי שנפגע כתוצאה מפעילות עבריינית זו,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 </w:t>
      </w:r>
    </w:p>
    <w:p w14:paraId="3CE02F96" w14:textId="77777777" w:rsidR="00AE7572" w:rsidRDefault="00AE7572">
      <w:pPr>
        <w:spacing w:line="360" w:lineRule="auto"/>
        <w:jc w:val="both"/>
        <w:rPr>
          <w:rtl/>
        </w:rPr>
      </w:pPr>
    </w:p>
    <w:p w14:paraId="7F8E6887" w14:textId="77777777" w:rsidR="00AE7572" w:rsidRDefault="002452DD">
      <w:pPr>
        <w:spacing w:line="360" w:lineRule="auto"/>
        <w:jc w:val="both"/>
        <w:rPr>
          <w:rtl/>
        </w:rPr>
      </w:pPr>
      <w:r>
        <w:rPr>
          <w:rFonts w:hint="cs"/>
          <w:rtl/>
        </w:rPr>
        <w:tab/>
        <w:t>ב</w:t>
      </w:r>
      <w:hyperlink r:id="rId16" w:history="1">
        <w:r w:rsidRPr="002452DD">
          <w:rPr>
            <w:color w:val="0000FF"/>
            <w:u w:val="single"/>
            <w:rtl/>
          </w:rPr>
          <w:t>ע"פ 5220/09</w:t>
        </w:r>
      </w:hyperlink>
      <w:r>
        <w:rPr>
          <w:rFonts w:hint="cs"/>
          <w:rtl/>
        </w:rPr>
        <w:t xml:space="preserve"> </w:t>
      </w:r>
      <w:r>
        <w:rPr>
          <w:rFonts w:hint="cs"/>
          <w:b/>
          <w:bCs/>
          <w:rtl/>
        </w:rPr>
        <w:t xml:space="preserve">עוואעדה נ' מדינת ישראל </w:t>
      </w:r>
      <w:r>
        <w:rPr>
          <w:rFonts w:hint="cs"/>
          <w:rtl/>
        </w:rPr>
        <w:t>(30.12.2009) נאמר כי:</w:t>
      </w:r>
    </w:p>
    <w:p w14:paraId="154CF77C" w14:textId="77777777" w:rsidR="00AE7572" w:rsidRDefault="00AE7572">
      <w:pPr>
        <w:spacing w:line="360" w:lineRule="auto"/>
        <w:jc w:val="both"/>
        <w:rPr>
          <w:rtl/>
        </w:rPr>
      </w:pPr>
    </w:p>
    <w:p w14:paraId="44BF0E03" w14:textId="77777777" w:rsidR="00AE7572" w:rsidRDefault="002452DD">
      <w:pPr>
        <w:pStyle w:val="Quote"/>
        <w:rPr>
          <w:rtl/>
        </w:rPr>
      </w:pPr>
      <w:r>
        <w:rPr>
          <w:rFonts w:hint="cs"/>
          <w:rt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70896B3E" w14:textId="77777777" w:rsidR="00AE7572" w:rsidRDefault="00AE7572">
      <w:pPr>
        <w:spacing w:line="360" w:lineRule="auto"/>
        <w:jc w:val="both"/>
        <w:rPr>
          <w:rtl/>
        </w:rPr>
      </w:pPr>
    </w:p>
    <w:p w14:paraId="62E427C7" w14:textId="77777777" w:rsidR="00AE7572" w:rsidRDefault="002452DD">
      <w:pPr>
        <w:spacing w:line="360" w:lineRule="auto"/>
        <w:ind w:left="720" w:hanging="720"/>
        <w:jc w:val="both"/>
        <w:rPr>
          <w:rtl/>
        </w:rPr>
      </w:pPr>
      <w:r>
        <w:rPr>
          <w:rFonts w:hint="cs"/>
          <w:rtl/>
        </w:rPr>
        <w:tab/>
        <w:t>בית המשפט העליון שב ונדרש לאחרונה להחמרה המתחייבת מעבירות נשק בציינו ב</w:t>
      </w:r>
      <w:hyperlink r:id="rId17" w:history="1">
        <w:r w:rsidRPr="002452DD">
          <w:rPr>
            <w:color w:val="0000FF"/>
            <w:u w:val="single"/>
            <w:rtl/>
          </w:rPr>
          <w:t>ע"פ 2398/14</w:t>
        </w:r>
      </w:hyperlink>
      <w:r>
        <w:rPr>
          <w:rFonts w:hint="cs"/>
          <w:rtl/>
        </w:rPr>
        <w:t xml:space="preserve"> </w:t>
      </w:r>
      <w:r>
        <w:rPr>
          <w:rFonts w:hint="cs"/>
          <w:b/>
          <w:bCs/>
          <w:rtl/>
        </w:rPr>
        <w:t>אלהזייל נ' מדינת ישראל</w:t>
      </w:r>
      <w:r>
        <w:rPr>
          <w:rFonts w:hint="cs"/>
          <w:rtl/>
        </w:rPr>
        <w:t xml:space="preserve"> (8.7.2014) את הדברים הבאים:</w:t>
      </w:r>
    </w:p>
    <w:p w14:paraId="65D6D9AD" w14:textId="77777777" w:rsidR="00AE7572" w:rsidRDefault="00AE7572">
      <w:pPr>
        <w:spacing w:line="360" w:lineRule="auto"/>
        <w:jc w:val="both"/>
        <w:rPr>
          <w:rtl/>
        </w:rPr>
      </w:pPr>
    </w:p>
    <w:p w14:paraId="7E69C09F" w14:textId="77777777" w:rsidR="00AE7572" w:rsidRDefault="002452DD">
      <w:pPr>
        <w:pStyle w:val="Quote"/>
        <w:rPr>
          <w:rtl/>
        </w:rPr>
      </w:pPr>
      <w:r>
        <w:rPr>
          <w:rFonts w:hint="cs"/>
          <w:rtl/>
        </w:rPr>
        <w:t xml:space="preserve">"לבסוף, ולא אחרון בסדר חשיבותו, אחזור ואדגיש את מדיניות ההחמרה בעבירות נשק, שבאה לידי ביטוי בשורה ארוכה של פסקי דין של בית משפט זה בשנים האחרונות (ראו, לדוגמא, </w:t>
      </w:r>
      <w:hyperlink r:id="rId18" w:history="1">
        <w:r w:rsidRPr="002452DD">
          <w:rPr>
            <w:color w:val="0000FF"/>
            <w:u w:val="single"/>
            <w:rtl/>
          </w:rPr>
          <w:t>ע"פ 4945/13</w:t>
        </w:r>
      </w:hyperlink>
      <w:r>
        <w:rPr>
          <w:rFonts w:hint="cs"/>
          <w:rtl/>
        </w:rPr>
        <w:t xml:space="preserve"> </w:t>
      </w:r>
      <w:r>
        <w:rPr>
          <w:rFonts w:hint="cs"/>
          <w:b/>
          <w:bCs/>
          <w:rtl/>
        </w:rPr>
        <w:t>מדינת ישראל נ' עבד אל כרים סלימאן</w:t>
      </w:r>
      <w:r>
        <w:rPr>
          <w:rFonts w:hint="cs"/>
          <w:rtl/>
        </w:rPr>
        <w:t xml:space="preserve"> (19.1.2014)). לזמינות הבלתי נסבלת של נשק חם בידי מי שאינם מורשים לכך יש פוטנציאל לשמש ל'חיסול חשבונות' ול'פתרון סכסוכים' כמו גם לעבירות חמורות נוספות. המציאות בארצנו מוכיחה כי הקלישאה אודות האקדח במערכה הראשונה אינה מדויקת, באשר לעתים מזומנות האקדח אינו ממתין עד למערכה האחרונה ויורה עוד קודם לכן. מכאן, שבעבירות כגון דא, גם לשיקולי ההרתעה משקל של ממש". </w:t>
      </w:r>
    </w:p>
    <w:p w14:paraId="3A0FA0DA" w14:textId="77777777" w:rsidR="00AE7572" w:rsidRDefault="00AE7572">
      <w:pPr>
        <w:pStyle w:val="Quote"/>
        <w:rPr>
          <w:rtl/>
        </w:rPr>
      </w:pPr>
    </w:p>
    <w:p w14:paraId="049AA63D" w14:textId="77777777" w:rsidR="00AE7572" w:rsidRDefault="002452DD">
      <w:pPr>
        <w:spacing w:line="360" w:lineRule="auto"/>
        <w:ind w:left="720" w:hanging="720"/>
        <w:jc w:val="both"/>
        <w:rPr>
          <w:rtl/>
        </w:rPr>
      </w:pPr>
      <w:r>
        <w:rPr>
          <w:rFonts w:hint="cs"/>
          <w:rtl/>
        </w:rPr>
        <w:t>13.</w:t>
      </w:r>
      <w:r>
        <w:rPr>
          <w:rFonts w:hint="cs"/>
          <w:rtl/>
        </w:rPr>
        <w:tab/>
        <w:t xml:space="preserve">בנסיבות הקשורות לביצוע העבירה יש להביא בחשבון בנוסף לחומרת העבירה כשלעצמה, אף את סוג הנשק שבו מדובר וכמות התחמושת שנתפסה. לא הרי החזקת רימון הלם כהחזקת אקדח הטעון בכדורים. בעבירות המבוצעות בנשק קיים מדרג ענישה הנקבע, בין היתר, על פי סוג, איכות וכמות הנשק שנעשה בו שימוש. </w:t>
      </w:r>
      <w:hyperlink r:id="rId19" w:history="1">
        <w:r w:rsidR="00D96340" w:rsidRPr="00D96340">
          <w:rPr>
            <w:color w:val="0000FF"/>
            <w:u w:val="single"/>
            <w:rtl/>
          </w:rPr>
          <w:t>בע"פ 1332/04</w:t>
        </w:r>
      </w:hyperlink>
      <w:r>
        <w:rPr>
          <w:rFonts w:hint="cs"/>
          <w:rtl/>
        </w:rPr>
        <w:t xml:space="preserve"> </w:t>
      </w:r>
      <w:r>
        <w:rPr>
          <w:rFonts w:hint="cs"/>
          <w:b/>
          <w:bCs/>
          <w:rtl/>
        </w:rPr>
        <w:t>מדינת ישראל נ' פס</w:t>
      </w:r>
      <w:r>
        <w:rPr>
          <w:rFonts w:hint="cs"/>
          <w:rtl/>
        </w:rPr>
        <w:t>, פ"ד נח(5) 541 נאמר כי:</w:t>
      </w:r>
    </w:p>
    <w:p w14:paraId="3BE819DF" w14:textId="77777777" w:rsidR="00AE7572" w:rsidRDefault="00AE7572">
      <w:pPr>
        <w:spacing w:line="360" w:lineRule="auto"/>
        <w:jc w:val="both"/>
        <w:rPr>
          <w:rtl/>
        </w:rPr>
      </w:pPr>
    </w:p>
    <w:p w14:paraId="52356431" w14:textId="77777777" w:rsidR="00AE7572" w:rsidRDefault="002452DD">
      <w:pPr>
        <w:pStyle w:val="Quote"/>
        <w:rPr>
          <w:rtl/>
        </w:rPr>
      </w:pPr>
      <w:r>
        <w:rPr>
          <w:rFonts w:hint="cs"/>
          <w:rtl/>
        </w:rPr>
        <w:t xml:space="preserve">"בבוא בית המשפט לגזור את הדין בעבירה של החזקה ונשיאה של נשק, עליו להתחשב בנסיבות שבהן באה לידי ביטוי  החומרה המיוחדת שבעבירה, בין היתר, יתן בית המשפט את דעתו על סוג הנשק המוחזק שלא כדין, על כמותו, על התכלית שלשמה הוא מוחזק ועל הסכנה המוחשית שיעשה בו שימוש". </w:t>
      </w:r>
    </w:p>
    <w:p w14:paraId="65518005" w14:textId="77777777" w:rsidR="00AE7572" w:rsidRDefault="00AE7572">
      <w:pPr>
        <w:spacing w:line="360" w:lineRule="auto"/>
        <w:jc w:val="both"/>
        <w:rPr>
          <w:rtl/>
        </w:rPr>
      </w:pPr>
    </w:p>
    <w:p w14:paraId="02A91FF4" w14:textId="77777777" w:rsidR="00AE7572" w:rsidRDefault="002452DD">
      <w:pPr>
        <w:spacing w:line="360" w:lineRule="auto"/>
        <w:ind w:left="720" w:hanging="720"/>
        <w:jc w:val="both"/>
        <w:rPr>
          <w:rtl/>
        </w:rPr>
      </w:pPr>
      <w:r>
        <w:rPr>
          <w:rFonts w:hint="cs"/>
          <w:rtl/>
        </w:rPr>
        <w:t>14.</w:t>
      </w:r>
      <w:r>
        <w:rPr>
          <w:rFonts w:hint="cs"/>
          <w:rtl/>
        </w:rPr>
        <w:tab/>
        <w:t>בהתחשב בנסיבות ביצוע העבירה, הפגיעה בערכים המוגנים ומדיניות הענישה הנהוגה, אני קובע כי מתחם הענישה הראוי במקרה דידן נע בין מאסר לתקופה של 10 עד 36 חודשים.</w:t>
      </w:r>
    </w:p>
    <w:p w14:paraId="2D3B88D7" w14:textId="77777777" w:rsidR="00AE7572" w:rsidRDefault="00AE7572">
      <w:pPr>
        <w:spacing w:line="360" w:lineRule="auto"/>
        <w:jc w:val="both"/>
        <w:rPr>
          <w:rtl/>
        </w:rPr>
      </w:pPr>
    </w:p>
    <w:p w14:paraId="5FFD7899" w14:textId="77777777" w:rsidR="00AE7572" w:rsidRDefault="002452DD">
      <w:pPr>
        <w:spacing w:line="360" w:lineRule="auto"/>
        <w:jc w:val="both"/>
        <w:rPr>
          <w:u w:val="single"/>
          <w:rtl/>
        </w:rPr>
      </w:pPr>
      <w:r>
        <w:rPr>
          <w:rFonts w:hint="cs"/>
          <w:u w:val="single"/>
          <w:rtl/>
        </w:rPr>
        <w:t>גזירת העונש בתוך המתחם</w:t>
      </w:r>
    </w:p>
    <w:p w14:paraId="1A0863EB" w14:textId="77777777" w:rsidR="00AE7572" w:rsidRDefault="00AE7572">
      <w:pPr>
        <w:spacing w:line="360" w:lineRule="auto"/>
        <w:jc w:val="both"/>
        <w:rPr>
          <w:rtl/>
        </w:rPr>
      </w:pPr>
    </w:p>
    <w:p w14:paraId="4EEDFC25" w14:textId="77777777" w:rsidR="00AE7572" w:rsidRDefault="002452DD">
      <w:pPr>
        <w:spacing w:line="360" w:lineRule="auto"/>
        <w:ind w:left="720" w:hanging="720"/>
        <w:jc w:val="both"/>
        <w:rPr>
          <w:rtl/>
        </w:rPr>
      </w:pPr>
      <w:r>
        <w:rPr>
          <w:rFonts w:hint="cs"/>
          <w:rtl/>
        </w:rPr>
        <w:t>15.</w:t>
      </w:r>
      <w:r>
        <w:rPr>
          <w:rFonts w:hint="cs"/>
          <w:rtl/>
        </w:rPr>
        <w:tab/>
        <w:t xml:space="preserve">בגזירת העונש בתוך המתחם שנקבע, על בית המשפט להתחשב בנסיבות שאינן קשורות בביצוע העבירה, כאמור </w:t>
      </w:r>
      <w:hyperlink r:id="rId20" w:history="1">
        <w:r w:rsidR="00664BE7" w:rsidRPr="00664BE7">
          <w:rPr>
            <w:color w:val="0000FF"/>
            <w:u w:val="single"/>
            <w:rtl/>
          </w:rPr>
          <w:t>בסעיף 40יא</w:t>
        </w:r>
      </w:hyperlink>
      <w:r>
        <w:rPr>
          <w:rFonts w:hint="cs"/>
          <w:rtl/>
        </w:rPr>
        <w:t xml:space="preserve"> ל</w:t>
      </w:r>
      <w:hyperlink r:id="rId21" w:history="1">
        <w:r w:rsidRPr="002452DD">
          <w:rPr>
            <w:color w:val="0000FF"/>
            <w:u w:val="single"/>
            <w:rtl/>
          </w:rPr>
          <w:t>חוק העונשין</w:t>
        </w:r>
      </w:hyperlink>
      <w:r>
        <w:rPr>
          <w:rFonts w:hint="cs"/>
          <w:rtl/>
        </w:rPr>
        <w:t xml:space="preserve">. </w:t>
      </w:r>
    </w:p>
    <w:p w14:paraId="1AEF061D" w14:textId="77777777" w:rsidR="00AE7572" w:rsidRDefault="00AE7572">
      <w:pPr>
        <w:spacing w:line="360" w:lineRule="auto"/>
        <w:jc w:val="both"/>
        <w:rPr>
          <w:rtl/>
        </w:rPr>
      </w:pPr>
    </w:p>
    <w:p w14:paraId="5ECA44E0" w14:textId="77777777" w:rsidR="00AE7572" w:rsidRDefault="002452DD">
      <w:pPr>
        <w:spacing w:line="360" w:lineRule="auto"/>
        <w:ind w:left="720" w:hanging="720"/>
        <w:jc w:val="both"/>
        <w:rPr>
          <w:rtl/>
        </w:rPr>
      </w:pPr>
      <w:r>
        <w:rPr>
          <w:rFonts w:hint="cs"/>
          <w:rtl/>
        </w:rPr>
        <w:t>16.</w:t>
      </w:r>
      <w:r>
        <w:rPr>
          <w:rFonts w:hint="cs"/>
          <w:rtl/>
        </w:rPr>
        <w:tab/>
        <w:t xml:space="preserve">בשיקולים לקולא ראיתי להביא בחשבון את גילו הצעיר של הנאשם ואת הודייתו במיוחס לו בשלב מוקדם של ההליך. לא זו בלבד שהודייה זו הביאה לחסכון בזמן שיפוטי יקר אלא שהיא מבטאת נטילת אחריות מצד הנאשם על מעשיו. </w:t>
      </w:r>
    </w:p>
    <w:p w14:paraId="10C12403" w14:textId="77777777" w:rsidR="00AE7572" w:rsidRDefault="00AE7572">
      <w:pPr>
        <w:spacing w:line="360" w:lineRule="auto"/>
        <w:jc w:val="both"/>
        <w:rPr>
          <w:rtl/>
        </w:rPr>
      </w:pPr>
    </w:p>
    <w:p w14:paraId="5C8F4A60" w14:textId="77777777" w:rsidR="00AE7572" w:rsidRDefault="002452DD">
      <w:pPr>
        <w:spacing w:line="360" w:lineRule="auto"/>
        <w:ind w:left="720" w:hanging="720"/>
        <w:jc w:val="both"/>
        <w:rPr>
          <w:rtl/>
        </w:rPr>
      </w:pPr>
      <w:r>
        <w:rPr>
          <w:rFonts w:hint="cs"/>
          <w:rtl/>
        </w:rPr>
        <w:t>17.</w:t>
      </w:r>
      <w:r>
        <w:rPr>
          <w:rFonts w:hint="cs"/>
          <w:rtl/>
        </w:rPr>
        <w:tab/>
        <w:t>לצד זאת, לא ניתן להתעלם מעברו של הנאשם שהצליח לצבור לחובתו, חרף גילו הצעיר, שובל של הרשעות בעבירות מגוונות הכוללות בין היתר החזקת סכין למטרה לא כשרה, היזק לרכוש במזיד, תקיפה הגורמת חבלה של ממש ואיומים. הנאשם ביצע את העבירה נשוא ענייננו כשתלויים ועומדים מעל ראשו שני עונשי מאסר על תנאי: האחד הוטל עליו ב</w:t>
      </w:r>
      <w:hyperlink r:id="rId22" w:history="1">
        <w:r w:rsidRPr="002452DD">
          <w:rPr>
            <w:color w:val="0000FF"/>
            <w:u w:val="single"/>
            <w:rtl/>
          </w:rPr>
          <w:t>תיק פלילי 22710-09-10</w:t>
        </w:r>
      </w:hyperlink>
      <w:r>
        <w:rPr>
          <w:rFonts w:hint="cs"/>
          <w:rtl/>
        </w:rPr>
        <w:t xml:space="preserve"> בבית משפט השלום בחיפה בגזר דין מיום 27.4.11 והתנאי הוא לבל יעבור עבירת אלימות משך 3 שנים ממועד מתן גזר הדין. המאסר המותנה האחר הוטל על הנאשם במסגרת </w:t>
      </w:r>
      <w:hyperlink r:id="rId23" w:history="1">
        <w:r w:rsidRPr="002452DD">
          <w:rPr>
            <w:color w:val="0000FF"/>
            <w:u w:val="single"/>
            <w:rtl/>
          </w:rPr>
          <w:t>תיק פלילי 34049-10-11</w:t>
        </w:r>
      </w:hyperlink>
      <w:r>
        <w:rPr>
          <w:rFonts w:hint="cs"/>
          <w:rtl/>
        </w:rPr>
        <w:t xml:space="preserve">, ביום 21.2.12, לאחר שהורשע בהחזקת סכין למטרה לא כשרה, והמאסר המותנה בן 6 חודשים הוטל לבל יעבור משך 3 שנים העבירה שבה הורשע. </w:t>
      </w:r>
    </w:p>
    <w:p w14:paraId="00252310" w14:textId="77777777" w:rsidR="00AE7572" w:rsidRDefault="00AE7572">
      <w:pPr>
        <w:spacing w:line="360" w:lineRule="auto"/>
        <w:jc w:val="both"/>
        <w:rPr>
          <w:rtl/>
        </w:rPr>
      </w:pPr>
    </w:p>
    <w:p w14:paraId="2BBEDCA7" w14:textId="77777777" w:rsidR="00AE7572" w:rsidRDefault="00AE7572">
      <w:pPr>
        <w:spacing w:line="360" w:lineRule="auto"/>
        <w:jc w:val="both"/>
        <w:rPr>
          <w:rtl/>
        </w:rPr>
      </w:pPr>
    </w:p>
    <w:p w14:paraId="5423C337" w14:textId="77777777" w:rsidR="00AE7572" w:rsidRDefault="00AE7572">
      <w:pPr>
        <w:spacing w:line="360" w:lineRule="auto"/>
        <w:jc w:val="both"/>
        <w:rPr>
          <w:rtl/>
        </w:rPr>
      </w:pPr>
    </w:p>
    <w:p w14:paraId="7B050751" w14:textId="77777777" w:rsidR="00AE7572" w:rsidRDefault="002452DD">
      <w:pPr>
        <w:spacing w:line="360" w:lineRule="auto"/>
        <w:ind w:left="720" w:hanging="720"/>
        <w:jc w:val="both"/>
        <w:rPr>
          <w:rtl/>
        </w:rPr>
      </w:pPr>
      <w:r>
        <w:rPr>
          <w:rFonts w:hint="cs"/>
          <w:rtl/>
        </w:rPr>
        <w:tab/>
        <w:t xml:space="preserve">נכון הוא שהעונשים המותנים הנ"ל אינם ברי הפעלה באשר העבירה בה הורשע הנאשם כאן אינה נמנית על העבירות נשוא אותם עונשים מותנים. יחד עם זאת, העובדה שהנאשם הרהיב עוז וביצע את העבירה כשאך לאחרונה נגזר עליו עונש מאסר בפועל ומאסרים מותנים, מלמדת על בחירתו באורח חיים עברייני.  </w:t>
      </w:r>
    </w:p>
    <w:p w14:paraId="0AF6B5AD" w14:textId="77777777" w:rsidR="00AE7572" w:rsidRDefault="00AE7572">
      <w:pPr>
        <w:spacing w:line="360" w:lineRule="auto"/>
        <w:ind w:left="720" w:hanging="720"/>
        <w:jc w:val="both"/>
        <w:rPr>
          <w:rtl/>
        </w:rPr>
      </w:pPr>
    </w:p>
    <w:p w14:paraId="35A45C14" w14:textId="77777777" w:rsidR="00AE7572" w:rsidRDefault="002452DD">
      <w:pPr>
        <w:spacing w:line="360" w:lineRule="auto"/>
        <w:ind w:left="720" w:hanging="720"/>
        <w:jc w:val="both"/>
        <w:rPr>
          <w:rtl/>
        </w:rPr>
      </w:pPr>
      <w:r>
        <w:rPr>
          <w:rFonts w:hint="cs"/>
          <w:rtl/>
        </w:rPr>
        <w:tab/>
        <w:t xml:space="preserve">אם לא די בכך, הרי שבתיק 50898-09-14 הורשע הנאשם, על סמך הודייתו, ביום 24.12.14, בעבירות סחר בסם מסוכן, סיוע לסחר בסם מסוכן וקשירת קשר לביצוע פשע. </w:t>
      </w:r>
    </w:p>
    <w:p w14:paraId="7D6D47E0" w14:textId="77777777" w:rsidR="00AE7572" w:rsidRDefault="00AE7572">
      <w:pPr>
        <w:spacing w:line="360" w:lineRule="auto"/>
        <w:jc w:val="both"/>
        <w:rPr>
          <w:rtl/>
        </w:rPr>
      </w:pPr>
    </w:p>
    <w:p w14:paraId="646B49B2" w14:textId="77777777" w:rsidR="00AE7572" w:rsidRDefault="002452DD">
      <w:pPr>
        <w:spacing w:line="360" w:lineRule="auto"/>
        <w:ind w:left="720" w:hanging="720"/>
        <w:jc w:val="both"/>
        <w:rPr>
          <w:rtl/>
        </w:rPr>
      </w:pPr>
      <w:r>
        <w:rPr>
          <w:rFonts w:hint="cs"/>
          <w:rtl/>
        </w:rPr>
        <w:tab/>
        <w:t>בהתחשב בגילו הצעיר, אין כל מקום לטענה כי מדובר בעבר שאינו מכביד. לדעתי, יש להשית על הנאשם עונש הולם על מנת להבהיר לו כי התנהגותו העבריינית אינה משתלמת ולהציב לו גבולות ברורים בין מותר לאסור.</w:t>
      </w:r>
    </w:p>
    <w:p w14:paraId="02F70C1B" w14:textId="77777777" w:rsidR="00AE7572" w:rsidRDefault="00AE7572">
      <w:pPr>
        <w:spacing w:line="360" w:lineRule="auto"/>
        <w:jc w:val="both"/>
        <w:rPr>
          <w:rtl/>
        </w:rPr>
      </w:pPr>
    </w:p>
    <w:p w14:paraId="5A982480" w14:textId="77777777" w:rsidR="00AE7572" w:rsidRDefault="002452DD">
      <w:pPr>
        <w:spacing w:line="360" w:lineRule="auto"/>
        <w:jc w:val="both"/>
        <w:rPr>
          <w:rtl/>
        </w:rPr>
      </w:pPr>
      <w:r>
        <w:rPr>
          <w:rFonts w:hint="cs"/>
          <w:rtl/>
        </w:rPr>
        <w:t>18.</w:t>
      </w:r>
      <w:r>
        <w:rPr>
          <w:rFonts w:hint="cs"/>
          <w:rtl/>
        </w:rPr>
        <w:tab/>
        <w:t>בשים לב למכלול השיקולים שמניתי לעיל, אני גוזר על הנאשם את העונשים הבאים:</w:t>
      </w:r>
    </w:p>
    <w:p w14:paraId="19BD214A" w14:textId="77777777" w:rsidR="00AE7572" w:rsidRDefault="00AE7572">
      <w:pPr>
        <w:spacing w:line="360" w:lineRule="auto"/>
        <w:jc w:val="both"/>
        <w:rPr>
          <w:rtl/>
        </w:rPr>
      </w:pPr>
    </w:p>
    <w:p w14:paraId="07B2D5C0" w14:textId="77777777" w:rsidR="00AE7572" w:rsidRDefault="002452DD">
      <w:pPr>
        <w:spacing w:line="360" w:lineRule="auto"/>
        <w:ind w:left="1134"/>
        <w:jc w:val="both"/>
        <w:rPr>
          <w:rtl/>
        </w:rPr>
      </w:pPr>
      <w:r>
        <w:rPr>
          <w:rFonts w:hint="cs"/>
          <w:rtl/>
        </w:rPr>
        <w:t>א.</w:t>
      </w:r>
      <w:r>
        <w:rPr>
          <w:rFonts w:hint="cs"/>
          <w:rtl/>
        </w:rPr>
        <w:tab/>
        <w:t>מאסר בפועל למשך 12 חודשים בניכוי תקופת מעצרו מיום 30.8.14.</w:t>
      </w:r>
    </w:p>
    <w:p w14:paraId="72BECD43" w14:textId="77777777" w:rsidR="00AE7572" w:rsidRDefault="00AE7572">
      <w:pPr>
        <w:spacing w:line="360" w:lineRule="auto"/>
        <w:ind w:left="1134"/>
        <w:jc w:val="both"/>
        <w:rPr>
          <w:rtl/>
        </w:rPr>
      </w:pPr>
    </w:p>
    <w:p w14:paraId="1CD56B1E" w14:textId="77777777" w:rsidR="00AE7572" w:rsidRDefault="002452DD">
      <w:pPr>
        <w:spacing w:line="360" w:lineRule="auto"/>
        <w:ind w:left="1440" w:hanging="306"/>
        <w:jc w:val="both"/>
        <w:rPr>
          <w:rtl/>
        </w:rPr>
      </w:pPr>
      <w:r>
        <w:rPr>
          <w:rFonts w:hint="cs"/>
          <w:rtl/>
        </w:rPr>
        <w:t>ב.</w:t>
      </w:r>
      <w:r>
        <w:rPr>
          <w:rFonts w:hint="cs"/>
          <w:rtl/>
        </w:rPr>
        <w:tab/>
        <w:t>מאסר מותנה למשך 9 חודשים לבל יעבור בתוך 3 שנים את העבירה בה הורשע בתיק זה.</w:t>
      </w:r>
    </w:p>
    <w:p w14:paraId="427B2767" w14:textId="77777777" w:rsidR="00AE7572" w:rsidRDefault="00AE7572">
      <w:pPr>
        <w:spacing w:line="360" w:lineRule="auto"/>
        <w:jc w:val="both"/>
        <w:rPr>
          <w:rtl/>
        </w:rPr>
      </w:pPr>
    </w:p>
    <w:p w14:paraId="09A37B87" w14:textId="77777777" w:rsidR="00AE7572" w:rsidRDefault="002452DD">
      <w:pPr>
        <w:spacing w:line="360" w:lineRule="auto"/>
        <w:jc w:val="both"/>
        <w:rPr>
          <w:b/>
          <w:bCs/>
          <w:u w:val="single"/>
          <w:rtl/>
        </w:rPr>
      </w:pPr>
      <w:r>
        <w:rPr>
          <w:rFonts w:hint="cs"/>
          <w:b/>
          <w:bCs/>
          <w:u w:val="single"/>
          <w:rtl/>
        </w:rPr>
        <w:t xml:space="preserve">זכות ערעור לבית המשפט העליון בתוך 45 יום. </w:t>
      </w:r>
    </w:p>
    <w:p w14:paraId="5FC6AD1A" w14:textId="77777777" w:rsidR="00AE7572" w:rsidRPr="002452DD" w:rsidRDefault="002452DD">
      <w:pPr>
        <w:spacing w:line="360" w:lineRule="auto"/>
        <w:jc w:val="both"/>
        <w:rPr>
          <w:color w:val="FFFFFF"/>
          <w:sz w:val="2"/>
          <w:szCs w:val="2"/>
          <w:rtl/>
        </w:rPr>
      </w:pPr>
      <w:r w:rsidRPr="002452DD">
        <w:rPr>
          <w:color w:val="FFFFFF"/>
          <w:sz w:val="2"/>
          <w:szCs w:val="2"/>
          <w:rtl/>
        </w:rPr>
        <w:t>5129371</w:t>
      </w:r>
    </w:p>
    <w:p w14:paraId="63EBAE16" w14:textId="77777777" w:rsidR="00AE7572" w:rsidRDefault="002452DD">
      <w:pPr>
        <w:spacing w:line="360" w:lineRule="auto"/>
        <w:jc w:val="both"/>
        <w:rPr>
          <w:rtl/>
        </w:rPr>
      </w:pPr>
      <w:r w:rsidRPr="002452DD">
        <w:rPr>
          <w:rFonts w:ascii="Arial" w:hAnsi="Arial"/>
          <w:color w:val="FFFFFF"/>
          <w:sz w:val="2"/>
          <w:szCs w:val="2"/>
          <w:rtl/>
        </w:rPr>
        <w:t>54678313</w:t>
      </w:r>
      <w:r>
        <w:rPr>
          <w:rFonts w:ascii="Arial" w:hAnsi="Arial"/>
          <w:rtl/>
        </w:rPr>
        <w:t xml:space="preserve">ניתן היום,  ה' אדר תשע"ה, 24 פברואר 2015, בנוכחות הצדדים. </w:t>
      </w:r>
    </w:p>
    <w:p w14:paraId="6382748E" w14:textId="77777777" w:rsidR="00AE7572" w:rsidRDefault="002452DD">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EBE6160" w14:textId="77777777" w:rsidR="002452DD" w:rsidRPr="002452DD" w:rsidRDefault="002452DD" w:rsidP="002452DD">
      <w:pPr>
        <w:keepNext/>
        <w:rPr>
          <w:rFonts w:ascii="David" w:hAnsi="David"/>
          <w:color w:val="000000"/>
          <w:sz w:val="22"/>
          <w:szCs w:val="22"/>
          <w:rtl/>
        </w:rPr>
      </w:pPr>
      <w:r w:rsidRPr="002452DD">
        <w:rPr>
          <w:rFonts w:ascii="David" w:hAnsi="David"/>
          <w:color w:val="000000"/>
          <w:sz w:val="22"/>
          <w:szCs w:val="22"/>
          <w:rtl/>
        </w:rPr>
        <w:t>אמיר טובי 54678313</w:t>
      </w:r>
    </w:p>
    <w:p w14:paraId="08AA6809" w14:textId="77777777" w:rsidR="002452DD" w:rsidRDefault="002452DD" w:rsidP="002452DD">
      <w:r w:rsidRPr="002452DD">
        <w:rPr>
          <w:color w:val="000000"/>
          <w:rtl/>
        </w:rPr>
        <w:t>נוסח מסמך זה כפוף לשינויי ניסוח ועריכה</w:t>
      </w:r>
    </w:p>
    <w:p w14:paraId="0C65D1AD" w14:textId="77777777" w:rsidR="002452DD" w:rsidRDefault="002452DD" w:rsidP="002452DD">
      <w:pPr>
        <w:rPr>
          <w:rtl/>
        </w:rPr>
      </w:pPr>
    </w:p>
    <w:p w14:paraId="39299A5D" w14:textId="77777777" w:rsidR="002452DD" w:rsidRDefault="002452DD" w:rsidP="002452D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C13A453" w14:textId="77777777" w:rsidR="00AE7572" w:rsidRPr="002452DD" w:rsidRDefault="00D96340" w:rsidP="002452DD">
      <w:pPr>
        <w:jc w:val="center"/>
        <w:rPr>
          <w:color w:val="0000FF"/>
          <w:u w:val="single"/>
        </w:rPr>
      </w:pPr>
      <w:r>
        <w:rPr>
          <w:rFonts w:hint="cs"/>
          <w:color w:val="0000FF"/>
          <w:u w:val="single"/>
          <w:rtl/>
        </w:rPr>
        <w:t xml:space="preserve">  </w:t>
      </w:r>
    </w:p>
    <w:sectPr w:rsidR="00AE7572" w:rsidRPr="002452DD" w:rsidSect="002452DD">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CEAD5" w14:textId="77777777" w:rsidR="00C3353C" w:rsidRPr="00A90350" w:rsidRDefault="00C3353C">
      <w:pPr>
        <w:rPr>
          <w:rFonts w:cs="Arial"/>
          <w:szCs w:val="20"/>
        </w:rPr>
      </w:pPr>
      <w:r>
        <w:separator/>
      </w:r>
    </w:p>
  </w:endnote>
  <w:endnote w:type="continuationSeparator" w:id="0">
    <w:p w14:paraId="2E8798ED" w14:textId="77777777" w:rsidR="00C3353C" w:rsidRPr="00A90350" w:rsidRDefault="00C3353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33329" w14:textId="77777777" w:rsidR="00C3353C" w:rsidRDefault="00C3353C" w:rsidP="002452D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9E93F8" w14:textId="77777777" w:rsidR="00C3353C" w:rsidRPr="002452DD" w:rsidRDefault="00C3353C" w:rsidP="002452DD">
    <w:pPr>
      <w:pStyle w:val="a4"/>
      <w:pBdr>
        <w:top w:val="single" w:sz="4" w:space="1" w:color="auto"/>
        <w:between w:val="single" w:sz="4" w:space="0" w:color="auto"/>
      </w:pBdr>
      <w:spacing w:after="60"/>
      <w:jc w:val="center"/>
      <w:rPr>
        <w:rFonts w:ascii="FrankRuehl" w:hAnsi="FrankRuehl" w:cs="FrankRuehl"/>
        <w:color w:val="000000"/>
      </w:rPr>
    </w:pPr>
    <w:r w:rsidRPr="002452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DF0B6" w14:textId="77777777" w:rsidR="00C3353C" w:rsidRDefault="00C3353C" w:rsidP="002452D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7063">
      <w:rPr>
        <w:rFonts w:ascii="FrankRuehl" w:hAnsi="FrankRuehl" w:cs="FrankRuehl"/>
        <w:noProof/>
        <w:rtl/>
      </w:rPr>
      <w:t>1</w:t>
    </w:r>
    <w:r>
      <w:rPr>
        <w:rFonts w:ascii="FrankRuehl" w:hAnsi="FrankRuehl" w:cs="FrankRuehl"/>
        <w:rtl/>
      </w:rPr>
      <w:fldChar w:fldCharType="end"/>
    </w:r>
  </w:p>
  <w:p w14:paraId="3B583ECC" w14:textId="77777777" w:rsidR="00C3353C" w:rsidRPr="002452DD" w:rsidRDefault="00C3353C" w:rsidP="002452DD">
    <w:pPr>
      <w:pStyle w:val="a4"/>
      <w:pBdr>
        <w:top w:val="single" w:sz="4" w:space="1" w:color="auto"/>
        <w:between w:val="single" w:sz="4" w:space="0" w:color="auto"/>
      </w:pBdr>
      <w:spacing w:after="60"/>
      <w:jc w:val="center"/>
      <w:rPr>
        <w:rFonts w:ascii="FrankRuehl" w:hAnsi="FrankRuehl" w:cs="FrankRuehl"/>
        <w:color w:val="000000"/>
      </w:rPr>
    </w:pPr>
    <w:r w:rsidRPr="002452DD">
      <w:rPr>
        <w:rFonts w:ascii="FrankRuehl" w:hAnsi="FrankRuehl" w:cs="FrankRuehl"/>
        <w:color w:val="000000"/>
      </w:rPr>
      <w:pict w14:anchorId="6D097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D5982" w14:textId="77777777" w:rsidR="00C3353C" w:rsidRPr="00A90350" w:rsidRDefault="00C3353C">
      <w:pPr>
        <w:rPr>
          <w:rFonts w:cs="Arial"/>
          <w:szCs w:val="20"/>
        </w:rPr>
      </w:pPr>
      <w:r>
        <w:separator/>
      </w:r>
    </w:p>
  </w:footnote>
  <w:footnote w:type="continuationSeparator" w:id="0">
    <w:p w14:paraId="23883891" w14:textId="77777777" w:rsidR="00C3353C" w:rsidRPr="00A90350" w:rsidRDefault="00C3353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2FE8D" w14:textId="77777777" w:rsidR="00C3353C" w:rsidRPr="002452DD" w:rsidRDefault="00C3353C" w:rsidP="002452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41562-09-14</w:t>
    </w:r>
    <w:r>
      <w:rPr>
        <w:rFonts w:ascii="David" w:hAnsi="David"/>
        <w:color w:val="000000"/>
        <w:sz w:val="22"/>
        <w:szCs w:val="22"/>
        <w:rtl/>
      </w:rPr>
      <w:tab/>
      <w:t xml:space="preserve"> מדינת ישראל נ' עמאר 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88D8" w14:textId="77777777" w:rsidR="00C3353C" w:rsidRPr="002452DD" w:rsidRDefault="00C3353C" w:rsidP="002452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41562-09-14</w:t>
    </w:r>
    <w:r>
      <w:rPr>
        <w:rFonts w:ascii="David" w:hAnsi="David"/>
        <w:color w:val="000000"/>
        <w:sz w:val="22"/>
        <w:szCs w:val="22"/>
        <w:rtl/>
      </w:rPr>
      <w:tab/>
      <w:t xml:space="preserve"> מדינת ישראל נ' עמאר חמוד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7572"/>
    <w:rsid w:val="002452DD"/>
    <w:rsid w:val="005A340E"/>
    <w:rsid w:val="00664BE7"/>
    <w:rsid w:val="006E4F83"/>
    <w:rsid w:val="00A07063"/>
    <w:rsid w:val="00AE7572"/>
    <w:rsid w:val="00B16F3C"/>
    <w:rsid w:val="00C3353C"/>
    <w:rsid w:val="00D96340"/>
    <w:rsid w:val="00E0215D"/>
    <w:rsid w:val="00E25EE0"/>
    <w:rsid w:val="00FA2B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2E4ED30"/>
  <w15:chartTrackingRefBased/>
  <w15:docId w15:val="{13ABCB35-1DF3-4E1E-A8E9-8A92B1D8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757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E7572"/>
    <w:pPr>
      <w:tabs>
        <w:tab w:val="center" w:pos="4153"/>
        <w:tab w:val="right" w:pos="8306"/>
      </w:tabs>
    </w:pPr>
  </w:style>
  <w:style w:type="paragraph" w:styleId="a4">
    <w:name w:val="footer"/>
    <w:basedOn w:val="a"/>
    <w:rsid w:val="00AE7572"/>
    <w:pPr>
      <w:tabs>
        <w:tab w:val="center" w:pos="4153"/>
        <w:tab w:val="right" w:pos="8306"/>
      </w:tabs>
    </w:pPr>
  </w:style>
  <w:style w:type="character" w:styleId="a5">
    <w:name w:val="page number"/>
    <w:basedOn w:val="a0"/>
    <w:rsid w:val="00AE7572"/>
  </w:style>
  <w:style w:type="paragraph" w:customStyle="1" w:styleId="Quote">
    <w:name w:val="Quote"/>
    <w:basedOn w:val="a"/>
    <w:link w:val="a6"/>
    <w:autoRedefine/>
    <w:rsid w:val="00AE7572"/>
    <w:pPr>
      <w:tabs>
        <w:tab w:val="left" w:pos="567"/>
        <w:tab w:val="left" w:pos="1134"/>
        <w:tab w:val="left" w:pos="1701"/>
      </w:tabs>
      <w:spacing w:line="360" w:lineRule="auto"/>
      <w:ind w:left="1134" w:right="1134"/>
      <w:jc w:val="both"/>
    </w:pPr>
    <w:rPr>
      <w:lang w:eastAsia="he-IL"/>
    </w:rPr>
  </w:style>
  <w:style w:type="character" w:customStyle="1" w:styleId="a6">
    <w:name w:val="הצעת מחיר תו"/>
    <w:link w:val="Quote"/>
    <w:rsid w:val="00AE7572"/>
    <w:rPr>
      <w:rFonts w:cs="David"/>
      <w:sz w:val="24"/>
      <w:szCs w:val="24"/>
      <w:lang w:val="en-US" w:eastAsia="he-IL" w:bidi="he-IL"/>
    </w:rPr>
  </w:style>
  <w:style w:type="character" w:styleId="Hyperlink">
    <w:name w:val="Hyperlink"/>
    <w:rsid w:val="00245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40i.a" TargetMode="External"/><Relationship Id="rId18" Type="http://schemas.openxmlformats.org/officeDocument/2006/relationships/hyperlink" Target="http://www.nevo.co.il/case/7791493"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40i.a" TargetMode="External"/><Relationship Id="rId12" Type="http://schemas.openxmlformats.org/officeDocument/2006/relationships/hyperlink" Target="http://www.nevo.co.il/case/4836319" TargetMode="External"/><Relationship Id="rId17" Type="http://schemas.openxmlformats.org/officeDocument/2006/relationships/hyperlink" Target="http://www.nevo.co.il/case/13093744"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6000182" TargetMode="External"/><Relationship Id="rId20" Type="http://schemas.openxmlformats.org/officeDocument/2006/relationships/hyperlink" Target="http://www.nevo.co.il/law/70301/40j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yperlink" Target="http://www.nevo.co.il/case/4241005"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5762686" TargetMode="External"/><Relationship Id="rId4" Type="http://schemas.openxmlformats.org/officeDocument/2006/relationships/footnotes" Target="footnotes.xml"/><Relationship Id="rId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483631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1647</Words>
  <Characters>8240</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9868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3473527</vt:i4>
      </vt:variant>
      <vt:variant>
        <vt:i4>51</vt:i4>
      </vt:variant>
      <vt:variant>
        <vt:i4>0</vt:i4>
      </vt:variant>
      <vt:variant>
        <vt:i4>5</vt:i4>
      </vt:variant>
      <vt:variant>
        <vt:lpwstr>http://www.nevo.co.il/case/4241005</vt:lpwstr>
      </vt:variant>
      <vt:variant>
        <vt:lpwstr/>
      </vt:variant>
      <vt:variant>
        <vt:i4>3997819</vt:i4>
      </vt:variant>
      <vt:variant>
        <vt:i4>48</vt:i4>
      </vt:variant>
      <vt:variant>
        <vt:i4>0</vt:i4>
      </vt:variant>
      <vt:variant>
        <vt:i4>5</vt:i4>
      </vt:variant>
      <vt:variant>
        <vt:lpwstr>http://www.nevo.co.il/case/4836319</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3342457</vt:i4>
      </vt:variant>
      <vt:variant>
        <vt:i4>39</vt:i4>
      </vt:variant>
      <vt:variant>
        <vt:i4>0</vt:i4>
      </vt:variant>
      <vt:variant>
        <vt:i4>5</vt:i4>
      </vt:variant>
      <vt:variant>
        <vt:lpwstr>http://www.nevo.co.il/case/5762686</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3539065</vt:i4>
      </vt:variant>
      <vt:variant>
        <vt:i4>33</vt:i4>
      </vt:variant>
      <vt:variant>
        <vt:i4>0</vt:i4>
      </vt:variant>
      <vt:variant>
        <vt:i4>5</vt:i4>
      </vt:variant>
      <vt:variant>
        <vt:lpwstr>http://www.nevo.co.il/case/13093744</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3997819</vt:i4>
      </vt:variant>
      <vt:variant>
        <vt:i4>18</vt:i4>
      </vt:variant>
      <vt:variant>
        <vt:i4>0</vt:i4>
      </vt:variant>
      <vt:variant>
        <vt:i4>5</vt:i4>
      </vt:variant>
      <vt:variant>
        <vt:lpwstr>http://www.nevo.co.il/case/4836319</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41562</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עמאר חמוד</vt:lpwstr>
  </property>
  <property fmtid="{D5CDD505-2E9C-101B-9397-08002B2CF9AE}" pid="10" name="LAWYER">
    <vt:lpwstr>גב' אילנה קוזמינר;וואסים שחאדה ממשרד באסל פלאח</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20150224</vt:lpwstr>
  </property>
  <property fmtid="{D5CDD505-2E9C-101B-9397-08002B2CF9AE}" pid="14" name="TYPE_N_DATE">
    <vt:lpwstr>39020150224</vt:lpwstr>
  </property>
  <property fmtid="{D5CDD505-2E9C-101B-9397-08002B2CF9AE}" pid="15" name="WORDNUMPAGES">
    <vt:lpwstr>6</vt:lpwstr>
  </property>
  <property fmtid="{D5CDD505-2E9C-101B-9397-08002B2CF9AE}" pid="16" name="TYPE_ABS_DATE">
    <vt:lpwstr>390020150224</vt:lpwstr>
  </property>
  <property fmtid="{D5CDD505-2E9C-101B-9397-08002B2CF9AE}" pid="17" name="ISABSTRACT">
    <vt:lpwstr>Y</vt:lpwstr>
  </property>
  <property fmtid="{D5CDD505-2E9C-101B-9397-08002B2CF9AE}" pid="18" name="CASESLISTTMP1">
    <vt:lpwstr>4836319:2;6473037;6000182;13093744;7791493;5762686;4241005</vt:lpwstr>
  </property>
  <property fmtid="{D5CDD505-2E9C-101B-9397-08002B2CF9AE}" pid="19" name="LAWLISTTMP1">
    <vt:lpwstr>70301/144.a;040i.a;40ja</vt:lpwstr>
  </property>
</Properties>
</file>