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A85B0" w14:textId="77777777" w:rsidR="00A31217" w:rsidRDefault="00A31217"/>
    <w:tbl>
      <w:tblPr>
        <w:bidiVisual/>
        <w:tblW w:w="0" w:type="auto"/>
        <w:jc w:val="center"/>
        <w:tblLook w:val="0000" w:firstRow="0" w:lastRow="0" w:firstColumn="0" w:lastColumn="0" w:noHBand="0" w:noVBand="0"/>
      </w:tblPr>
      <w:tblGrid>
        <w:gridCol w:w="5054"/>
        <w:gridCol w:w="3667"/>
      </w:tblGrid>
      <w:tr w:rsidR="001044EA" w:rsidRPr="005B3CF2" w14:paraId="634BD27E" w14:textId="77777777">
        <w:trPr>
          <w:trHeight w:hRule="exact" w:val="418"/>
          <w:jc w:val="center"/>
        </w:trPr>
        <w:tc>
          <w:tcPr>
            <w:tcW w:w="8721" w:type="dxa"/>
            <w:gridSpan w:val="2"/>
          </w:tcPr>
          <w:p w14:paraId="2537A89A" w14:textId="77777777" w:rsidR="001044EA" w:rsidRPr="005B3CF2" w:rsidRDefault="005B3CF2">
            <w:pPr>
              <w:pStyle w:val="a3"/>
              <w:jc w:val="center"/>
              <w:rPr>
                <w:rFonts w:ascii="Tahoma" w:hAnsi="Tahoma" w:cs="Tahoma"/>
                <w:color w:val="000080"/>
                <w:rtl/>
              </w:rPr>
            </w:pPr>
            <w:bookmarkStart w:id="0" w:name="LastJudge"/>
            <w:r w:rsidRPr="005B3CF2">
              <w:rPr>
                <w:rFonts w:ascii="Tahoma" w:hAnsi="Tahoma" w:cs="Tahoma"/>
                <w:b/>
                <w:bCs/>
                <w:color w:val="000080"/>
                <w:rtl/>
              </w:rPr>
              <w:t>בית המשפט המחוזי בחיפה</w:t>
            </w:r>
          </w:p>
        </w:tc>
      </w:tr>
      <w:tr w:rsidR="001044EA" w:rsidRPr="005B3CF2" w14:paraId="04F557BE" w14:textId="77777777">
        <w:trPr>
          <w:trHeight w:val="337"/>
          <w:jc w:val="center"/>
        </w:trPr>
        <w:tc>
          <w:tcPr>
            <w:tcW w:w="5054" w:type="dxa"/>
          </w:tcPr>
          <w:p w14:paraId="6ED70E9A" w14:textId="77777777" w:rsidR="001044EA" w:rsidRPr="005B3CF2" w:rsidRDefault="005B3CF2">
            <w:pPr>
              <w:rPr>
                <w:rFonts w:cs="FrankRuehl"/>
                <w:sz w:val="28"/>
                <w:szCs w:val="28"/>
                <w:rtl/>
              </w:rPr>
            </w:pPr>
            <w:r w:rsidRPr="005B3CF2">
              <w:rPr>
                <w:rFonts w:cs="FrankRuehl"/>
                <w:sz w:val="28"/>
                <w:szCs w:val="28"/>
                <w:rtl/>
              </w:rPr>
              <w:t>ת"פ</w:t>
            </w:r>
            <w:r w:rsidRPr="005B3CF2">
              <w:rPr>
                <w:rFonts w:cs="FrankRuehl" w:hint="cs"/>
                <w:sz w:val="28"/>
                <w:szCs w:val="28"/>
                <w:rtl/>
              </w:rPr>
              <w:t xml:space="preserve"> </w:t>
            </w:r>
            <w:r w:rsidRPr="005B3CF2">
              <w:rPr>
                <w:rFonts w:cs="FrankRuehl"/>
                <w:sz w:val="28"/>
                <w:szCs w:val="28"/>
                <w:rtl/>
              </w:rPr>
              <w:t>51186-09-14</w:t>
            </w:r>
            <w:r w:rsidRPr="005B3CF2">
              <w:rPr>
                <w:rFonts w:cs="FrankRuehl" w:hint="cs"/>
                <w:sz w:val="28"/>
                <w:szCs w:val="28"/>
                <w:rtl/>
              </w:rPr>
              <w:t xml:space="preserve"> </w:t>
            </w:r>
            <w:r w:rsidRPr="005B3CF2">
              <w:rPr>
                <w:rFonts w:cs="FrankRuehl"/>
                <w:sz w:val="28"/>
                <w:szCs w:val="28"/>
                <w:rtl/>
              </w:rPr>
              <w:t>מדינת ישראל נ' אלעל</w:t>
            </w:r>
          </w:p>
          <w:p w14:paraId="4B581A30" w14:textId="77777777" w:rsidR="001044EA" w:rsidRPr="005B3CF2" w:rsidRDefault="001044EA">
            <w:pPr>
              <w:pStyle w:val="a3"/>
              <w:rPr>
                <w:rFonts w:cs="FrankRuehl"/>
                <w:sz w:val="28"/>
                <w:szCs w:val="28"/>
                <w:rtl/>
              </w:rPr>
            </w:pPr>
          </w:p>
        </w:tc>
        <w:tc>
          <w:tcPr>
            <w:tcW w:w="3667" w:type="dxa"/>
          </w:tcPr>
          <w:p w14:paraId="0DF1812D" w14:textId="77777777" w:rsidR="001044EA" w:rsidRPr="005B3CF2" w:rsidRDefault="001044EA">
            <w:pPr>
              <w:pStyle w:val="a3"/>
              <w:jc w:val="right"/>
              <w:rPr>
                <w:rFonts w:cs="FrankRuehl"/>
                <w:sz w:val="28"/>
                <w:szCs w:val="28"/>
                <w:rtl/>
              </w:rPr>
            </w:pPr>
          </w:p>
        </w:tc>
      </w:tr>
    </w:tbl>
    <w:p w14:paraId="5333D6EF" w14:textId="77777777" w:rsidR="001044EA" w:rsidRPr="005B3CF2" w:rsidRDefault="005B3CF2">
      <w:pPr>
        <w:pStyle w:val="a3"/>
        <w:rPr>
          <w:rtl/>
        </w:rPr>
      </w:pPr>
      <w:r w:rsidRPr="005B3CF2">
        <w:rPr>
          <w:rFonts w:hint="cs"/>
          <w:rtl/>
        </w:rPr>
        <w:t xml:space="preserve"> </w:t>
      </w:r>
    </w:p>
    <w:p w14:paraId="06C97089" w14:textId="77777777" w:rsidR="001044EA" w:rsidRPr="005B3CF2" w:rsidRDefault="001044EA">
      <w:pPr>
        <w:rPr>
          <w:rtl/>
        </w:rPr>
      </w:pPr>
    </w:p>
    <w:tbl>
      <w:tblPr>
        <w:bidiVisual/>
        <w:tblW w:w="8802" w:type="dxa"/>
        <w:tblInd w:w="-28" w:type="dxa"/>
        <w:tblLook w:val="01E0" w:firstRow="1" w:lastRow="1" w:firstColumn="1" w:lastColumn="1" w:noHBand="0" w:noVBand="0"/>
      </w:tblPr>
      <w:tblGrid>
        <w:gridCol w:w="2880"/>
        <w:gridCol w:w="5839"/>
        <w:gridCol w:w="83"/>
      </w:tblGrid>
      <w:tr w:rsidR="001044EA" w:rsidRPr="005B3CF2" w14:paraId="7FF4AADE" w14:textId="77777777">
        <w:trPr>
          <w:gridAfter w:val="1"/>
          <w:wAfter w:w="55" w:type="dxa"/>
        </w:trPr>
        <w:tc>
          <w:tcPr>
            <w:tcW w:w="8719" w:type="dxa"/>
            <w:gridSpan w:val="2"/>
            <w:shd w:val="clear" w:color="auto" w:fill="auto"/>
          </w:tcPr>
          <w:p w14:paraId="78EEE5D9" w14:textId="77777777" w:rsidR="001044EA" w:rsidRPr="005B3CF2" w:rsidRDefault="005B3CF2">
            <w:pPr>
              <w:spacing w:line="360" w:lineRule="auto"/>
              <w:rPr>
                <w:b/>
                <w:bCs/>
                <w:sz w:val="26"/>
                <w:szCs w:val="26"/>
                <w:rtl/>
              </w:rPr>
            </w:pPr>
            <w:r w:rsidRPr="005B3CF2">
              <w:rPr>
                <w:rFonts w:hint="cs"/>
                <w:b/>
                <w:bCs/>
                <w:sz w:val="26"/>
                <w:szCs w:val="26"/>
                <w:rtl/>
              </w:rPr>
              <w:t>בפני כב' ה</w:t>
            </w:r>
            <w:r w:rsidRPr="005B3CF2">
              <w:rPr>
                <w:rFonts w:hint="cs"/>
                <w:rtl/>
              </w:rPr>
              <w:t>שופט אברהם אליקים</w:t>
            </w:r>
            <w:r w:rsidRPr="005B3CF2">
              <w:rPr>
                <w:rStyle w:val="TimesNewRomanTimesNewRoman"/>
                <w:rFonts w:hint="cs"/>
                <w:rtl/>
              </w:rPr>
              <w:t xml:space="preserve"> </w:t>
            </w:r>
          </w:p>
        </w:tc>
      </w:tr>
      <w:tr w:rsidR="001044EA" w:rsidRPr="005B3CF2" w14:paraId="433C3B5D" w14:textId="77777777">
        <w:tc>
          <w:tcPr>
            <w:tcW w:w="2880" w:type="dxa"/>
            <w:shd w:val="clear" w:color="auto" w:fill="auto"/>
          </w:tcPr>
          <w:p w14:paraId="684BFC5C" w14:textId="77777777" w:rsidR="001044EA" w:rsidRPr="005B3CF2" w:rsidRDefault="005B3CF2">
            <w:pPr>
              <w:ind w:left="26"/>
              <w:rPr>
                <w:b/>
                <w:bCs/>
                <w:sz w:val="26"/>
                <w:szCs w:val="26"/>
                <w:rtl/>
              </w:rPr>
            </w:pPr>
            <w:bookmarkStart w:id="1" w:name="FirstAppellant"/>
            <w:r w:rsidRPr="005B3CF2">
              <w:rPr>
                <w:rFonts w:hint="cs"/>
                <w:b/>
                <w:bCs/>
                <w:sz w:val="26"/>
                <w:szCs w:val="26"/>
                <w:rtl/>
              </w:rPr>
              <w:t>ה</w:t>
            </w:r>
            <w:r w:rsidRPr="005B3CF2">
              <w:rPr>
                <w:rFonts w:hint="cs"/>
                <w:rtl/>
              </w:rPr>
              <w:t>מאשימה</w:t>
            </w:r>
          </w:p>
        </w:tc>
        <w:tc>
          <w:tcPr>
            <w:tcW w:w="5922" w:type="dxa"/>
            <w:gridSpan w:val="2"/>
            <w:shd w:val="clear" w:color="auto" w:fill="auto"/>
          </w:tcPr>
          <w:p w14:paraId="461D3D0C" w14:textId="77777777" w:rsidR="001044EA" w:rsidRPr="005B3CF2" w:rsidRDefault="005B3CF2">
            <w:pPr>
              <w:rPr>
                <w:b/>
                <w:bCs/>
                <w:sz w:val="26"/>
                <w:szCs w:val="26"/>
                <w:rtl/>
              </w:rPr>
            </w:pPr>
            <w:r w:rsidRPr="005B3CF2">
              <w:rPr>
                <w:rFonts w:hint="cs"/>
                <w:rtl/>
              </w:rPr>
              <w:t>מדינת ישראל</w:t>
            </w:r>
          </w:p>
          <w:p w14:paraId="6ABBD737" w14:textId="77777777" w:rsidR="001044EA" w:rsidRPr="005B3CF2" w:rsidRDefault="001044EA">
            <w:pPr>
              <w:rPr>
                <w:b/>
                <w:bCs/>
                <w:sz w:val="26"/>
                <w:szCs w:val="26"/>
                <w:rtl/>
              </w:rPr>
            </w:pPr>
          </w:p>
        </w:tc>
      </w:tr>
      <w:bookmarkEnd w:id="1"/>
      <w:tr w:rsidR="001044EA" w:rsidRPr="005B3CF2" w14:paraId="612000E4" w14:textId="77777777">
        <w:tc>
          <w:tcPr>
            <w:tcW w:w="8802" w:type="dxa"/>
            <w:gridSpan w:val="3"/>
            <w:shd w:val="clear" w:color="auto" w:fill="auto"/>
          </w:tcPr>
          <w:p w14:paraId="78BE2537" w14:textId="77777777" w:rsidR="001044EA" w:rsidRPr="005B3CF2" w:rsidRDefault="005B3CF2">
            <w:pPr>
              <w:jc w:val="center"/>
              <w:rPr>
                <w:rFonts w:ascii="Arial" w:hAnsi="Arial"/>
                <w:b/>
                <w:bCs/>
                <w:sz w:val="26"/>
                <w:szCs w:val="26"/>
                <w:rtl/>
              </w:rPr>
            </w:pPr>
            <w:r w:rsidRPr="005B3CF2">
              <w:rPr>
                <w:rFonts w:ascii="Arial" w:hAnsi="Arial" w:hint="cs"/>
                <w:b/>
                <w:bCs/>
                <w:sz w:val="26"/>
                <w:szCs w:val="26"/>
                <w:rtl/>
              </w:rPr>
              <w:t>נגד</w:t>
            </w:r>
          </w:p>
          <w:p w14:paraId="31A6A54B" w14:textId="77777777" w:rsidR="001044EA" w:rsidRPr="005B3CF2" w:rsidRDefault="001044EA">
            <w:pPr>
              <w:rPr>
                <w:rFonts w:ascii="Arial" w:hAnsi="Arial"/>
                <w:b/>
                <w:bCs/>
                <w:sz w:val="26"/>
                <w:szCs w:val="26"/>
                <w:rtl/>
              </w:rPr>
            </w:pPr>
          </w:p>
        </w:tc>
      </w:tr>
      <w:tr w:rsidR="001044EA" w:rsidRPr="005B3CF2" w14:paraId="37A28091" w14:textId="77777777">
        <w:tc>
          <w:tcPr>
            <w:tcW w:w="2880" w:type="dxa"/>
            <w:shd w:val="clear" w:color="auto" w:fill="auto"/>
          </w:tcPr>
          <w:p w14:paraId="23CF1215" w14:textId="77777777" w:rsidR="001044EA" w:rsidRPr="005B3CF2" w:rsidRDefault="005B3CF2">
            <w:pPr>
              <w:ind w:left="26"/>
              <w:rPr>
                <w:b/>
                <w:bCs/>
                <w:sz w:val="26"/>
                <w:szCs w:val="26"/>
              </w:rPr>
            </w:pPr>
            <w:r w:rsidRPr="005B3CF2">
              <w:rPr>
                <w:rFonts w:hint="cs"/>
                <w:b/>
                <w:bCs/>
                <w:sz w:val="26"/>
                <w:szCs w:val="26"/>
                <w:rtl/>
              </w:rPr>
              <w:t>ה</w:t>
            </w:r>
            <w:r w:rsidRPr="005B3CF2">
              <w:rPr>
                <w:rFonts w:hint="cs"/>
                <w:rtl/>
              </w:rPr>
              <w:t>נאשם</w:t>
            </w:r>
          </w:p>
        </w:tc>
        <w:tc>
          <w:tcPr>
            <w:tcW w:w="5922" w:type="dxa"/>
            <w:gridSpan w:val="2"/>
            <w:shd w:val="clear" w:color="auto" w:fill="auto"/>
          </w:tcPr>
          <w:p w14:paraId="59F56EA4" w14:textId="77777777" w:rsidR="001044EA" w:rsidRPr="005B3CF2" w:rsidRDefault="005B3CF2">
            <w:pPr>
              <w:rPr>
                <w:b/>
                <w:bCs/>
                <w:sz w:val="26"/>
                <w:szCs w:val="26"/>
                <w:rtl/>
              </w:rPr>
            </w:pPr>
            <w:r w:rsidRPr="005B3CF2">
              <w:rPr>
                <w:rFonts w:hint="cs"/>
                <w:rtl/>
              </w:rPr>
              <w:t xml:space="preserve">חוסאם אלעל </w:t>
            </w:r>
          </w:p>
        </w:tc>
      </w:tr>
    </w:tbl>
    <w:p w14:paraId="702AFF3C" w14:textId="77777777" w:rsidR="000E688E" w:rsidRDefault="000E688E">
      <w:pPr>
        <w:rPr>
          <w:rtl/>
        </w:rPr>
      </w:pPr>
      <w:bookmarkStart w:id="2" w:name="LawTable"/>
      <w:bookmarkEnd w:id="2"/>
    </w:p>
    <w:p w14:paraId="3C8E825B" w14:textId="77777777" w:rsidR="000E688E" w:rsidRPr="000E688E" w:rsidRDefault="000E688E" w:rsidP="000E688E">
      <w:pPr>
        <w:spacing w:after="120" w:line="240" w:lineRule="exact"/>
        <w:ind w:left="283" w:hanging="283"/>
        <w:jc w:val="both"/>
        <w:rPr>
          <w:rFonts w:ascii="FrankRuehl" w:hAnsi="FrankRuehl" w:cs="FrankRuehl"/>
          <w:rtl/>
        </w:rPr>
      </w:pPr>
    </w:p>
    <w:p w14:paraId="422BA3B7" w14:textId="77777777" w:rsidR="000E688E" w:rsidRPr="000E688E" w:rsidRDefault="000E688E" w:rsidP="000E688E">
      <w:pPr>
        <w:spacing w:after="120" w:line="240" w:lineRule="exact"/>
        <w:ind w:left="283" w:hanging="283"/>
        <w:jc w:val="both"/>
        <w:rPr>
          <w:rFonts w:ascii="FrankRuehl" w:hAnsi="FrankRuehl" w:cs="FrankRuehl"/>
          <w:rtl/>
        </w:rPr>
      </w:pPr>
      <w:r w:rsidRPr="000E688E">
        <w:rPr>
          <w:rFonts w:ascii="FrankRuehl" w:hAnsi="FrankRuehl" w:cs="FrankRuehl"/>
          <w:rtl/>
        </w:rPr>
        <w:t xml:space="preserve">חקיקה שאוזכרה: </w:t>
      </w:r>
    </w:p>
    <w:p w14:paraId="1F348856" w14:textId="77777777" w:rsidR="000E688E" w:rsidRPr="000E688E" w:rsidRDefault="000E688E" w:rsidP="000E688E">
      <w:pPr>
        <w:spacing w:after="120" w:line="240" w:lineRule="exact"/>
        <w:ind w:left="283" w:hanging="283"/>
        <w:jc w:val="both"/>
        <w:rPr>
          <w:rFonts w:ascii="FrankRuehl" w:hAnsi="FrankRuehl" w:cs="FrankRuehl"/>
          <w:rtl/>
        </w:rPr>
      </w:pPr>
      <w:hyperlink r:id="rId7" w:history="1">
        <w:r w:rsidRPr="000E688E">
          <w:rPr>
            <w:rFonts w:ascii="FrankRuehl" w:hAnsi="FrankRuehl" w:cs="FrankRuehl"/>
            <w:color w:val="0000FF"/>
            <w:u w:val="single"/>
            <w:rtl/>
          </w:rPr>
          <w:t>חוק העונשין, תשל"ז-1977</w:t>
        </w:r>
      </w:hyperlink>
      <w:r w:rsidRPr="000E688E">
        <w:rPr>
          <w:rFonts w:ascii="FrankRuehl" w:hAnsi="FrankRuehl" w:cs="FrankRuehl"/>
          <w:rtl/>
        </w:rPr>
        <w:t xml:space="preserve">: סע'  </w:t>
      </w:r>
      <w:hyperlink r:id="rId8" w:history="1">
        <w:r w:rsidRPr="000E688E">
          <w:rPr>
            <w:rFonts w:ascii="FrankRuehl" w:hAnsi="FrankRuehl" w:cs="FrankRuehl"/>
            <w:color w:val="0000FF"/>
            <w:u w:val="single"/>
            <w:rtl/>
          </w:rPr>
          <w:t>25</w:t>
        </w:r>
      </w:hyperlink>
      <w:r w:rsidRPr="000E688E">
        <w:rPr>
          <w:rFonts w:ascii="FrankRuehl" w:hAnsi="FrankRuehl" w:cs="FrankRuehl"/>
          <w:rtl/>
        </w:rPr>
        <w:t xml:space="preserve">, </w:t>
      </w:r>
      <w:hyperlink r:id="rId9" w:history="1">
        <w:r w:rsidRPr="000E688E">
          <w:rPr>
            <w:rFonts w:ascii="FrankRuehl" w:hAnsi="FrankRuehl" w:cs="FrankRuehl"/>
            <w:color w:val="0000FF"/>
            <w:u w:val="single"/>
            <w:rtl/>
          </w:rPr>
          <w:t>40ב'</w:t>
        </w:r>
      </w:hyperlink>
      <w:r w:rsidRPr="000E688E">
        <w:rPr>
          <w:rFonts w:ascii="FrankRuehl" w:hAnsi="FrankRuehl" w:cs="FrankRuehl"/>
          <w:rtl/>
        </w:rPr>
        <w:t xml:space="preserve">, </w:t>
      </w:r>
      <w:hyperlink r:id="rId10" w:history="1">
        <w:r w:rsidRPr="000E688E">
          <w:rPr>
            <w:rFonts w:ascii="FrankRuehl" w:hAnsi="FrankRuehl" w:cs="FrankRuehl"/>
            <w:color w:val="0000FF"/>
            <w:u w:val="single"/>
            <w:rtl/>
          </w:rPr>
          <w:t>144(א)</w:t>
        </w:r>
      </w:hyperlink>
      <w:r w:rsidRPr="000E688E">
        <w:rPr>
          <w:rFonts w:ascii="FrankRuehl" w:hAnsi="FrankRuehl" w:cs="FrankRuehl"/>
          <w:rtl/>
        </w:rPr>
        <w:t xml:space="preserve">, </w:t>
      </w:r>
      <w:hyperlink r:id="rId11" w:history="1">
        <w:r w:rsidRPr="000E688E">
          <w:rPr>
            <w:rFonts w:ascii="FrankRuehl" w:hAnsi="FrankRuehl" w:cs="FrankRuehl"/>
            <w:color w:val="0000FF"/>
            <w:u w:val="single"/>
            <w:rtl/>
          </w:rPr>
          <w:t>152</w:t>
        </w:r>
      </w:hyperlink>
      <w:r w:rsidRPr="000E688E">
        <w:rPr>
          <w:rFonts w:ascii="FrankRuehl" w:hAnsi="FrankRuehl" w:cs="FrankRuehl"/>
          <w:rtl/>
        </w:rPr>
        <w:t xml:space="preserve">, </w:t>
      </w:r>
      <w:hyperlink r:id="rId12" w:history="1">
        <w:r w:rsidRPr="000E688E">
          <w:rPr>
            <w:rFonts w:ascii="FrankRuehl" w:hAnsi="FrankRuehl" w:cs="FrankRuehl"/>
            <w:color w:val="0000FF"/>
            <w:u w:val="single"/>
            <w:rtl/>
          </w:rPr>
          <w:t>274(1)(2)</w:t>
        </w:r>
      </w:hyperlink>
      <w:r w:rsidRPr="000E688E">
        <w:rPr>
          <w:rFonts w:ascii="FrankRuehl" w:hAnsi="FrankRuehl" w:cs="FrankRuehl"/>
          <w:rtl/>
        </w:rPr>
        <w:t xml:space="preserve">, </w:t>
      </w:r>
      <w:hyperlink r:id="rId13" w:history="1">
        <w:r w:rsidRPr="000E688E">
          <w:rPr>
            <w:rFonts w:ascii="FrankRuehl" w:hAnsi="FrankRuehl" w:cs="FrankRuehl"/>
            <w:color w:val="0000FF"/>
            <w:u w:val="single"/>
            <w:rtl/>
          </w:rPr>
          <w:t>275א</w:t>
        </w:r>
      </w:hyperlink>
      <w:r w:rsidRPr="000E688E">
        <w:rPr>
          <w:rFonts w:ascii="FrankRuehl" w:hAnsi="FrankRuehl" w:cs="FrankRuehl"/>
          <w:rtl/>
        </w:rPr>
        <w:t xml:space="preserve">, </w:t>
      </w:r>
      <w:hyperlink r:id="rId14" w:history="1">
        <w:r w:rsidRPr="000E688E">
          <w:rPr>
            <w:rFonts w:ascii="FrankRuehl" w:hAnsi="FrankRuehl" w:cs="FrankRuehl"/>
            <w:color w:val="0000FF"/>
            <w:u w:val="single"/>
            <w:rtl/>
          </w:rPr>
          <w:t>329(א)(2)</w:t>
        </w:r>
      </w:hyperlink>
      <w:r w:rsidRPr="000E688E">
        <w:rPr>
          <w:rFonts w:ascii="FrankRuehl" w:hAnsi="FrankRuehl" w:cs="FrankRuehl"/>
          <w:rtl/>
        </w:rPr>
        <w:t xml:space="preserve">, </w:t>
      </w:r>
      <w:hyperlink r:id="rId15" w:history="1">
        <w:r w:rsidRPr="000E688E">
          <w:rPr>
            <w:rFonts w:ascii="FrankRuehl" w:hAnsi="FrankRuehl" w:cs="FrankRuehl"/>
            <w:color w:val="0000FF"/>
            <w:u w:val="single"/>
            <w:rtl/>
          </w:rPr>
          <w:t>332</w:t>
        </w:r>
      </w:hyperlink>
    </w:p>
    <w:p w14:paraId="3D5F1173" w14:textId="77777777" w:rsidR="000E688E" w:rsidRPr="000E688E" w:rsidRDefault="000E688E" w:rsidP="000E688E">
      <w:pPr>
        <w:spacing w:after="120" w:line="240" w:lineRule="exact"/>
        <w:ind w:left="283" w:hanging="283"/>
        <w:jc w:val="both"/>
        <w:rPr>
          <w:rFonts w:ascii="FrankRuehl" w:hAnsi="FrankRuehl" w:cs="FrankRuehl"/>
          <w:rtl/>
        </w:rPr>
      </w:pPr>
    </w:p>
    <w:p w14:paraId="032D4A30" w14:textId="77777777" w:rsidR="000E688E" w:rsidRPr="000E688E" w:rsidRDefault="000E688E">
      <w:pPr>
        <w:rPr>
          <w:rtl/>
        </w:rPr>
      </w:pPr>
      <w:bookmarkStart w:id="3" w:name="LawTable_End"/>
      <w:bookmarkEnd w:id="3"/>
    </w:p>
    <w:p w14:paraId="7B83CC01" w14:textId="77777777" w:rsidR="005B3CF2" w:rsidRPr="005B3CF2" w:rsidRDefault="005B3CF2">
      <w:pPr>
        <w:rPr>
          <w:rtl/>
        </w:rPr>
      </w:pPr>
    </w:p>
    <w:p w14:paraId="0A3647E4" w14:textId="77777777" w:rsidR="001044EA" w:rsidRPr="005B3CF2" w:rsidRDefault="001044E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44EA" w14:paraId="2DA27527" w14:textId="77777777">
        <w:trPr>
          <w:trHeight w:val="355"/>
          <w:jc w:val="center"/>
        </w:trPr>
        <w:tc>
          <w:tcPr>
            <w:tcW w:w="8820" w:type="dxa"/>
            <w:tcBorders>
              <w:top w:val="nil"/>
              <w:left w:val="nil"/>
              <w:bottom w:val="nil"/>
              <w:right w:val="nil"/>
            </w:tcBorders>
            <w:shd w:val="clear" w:color="auto" w:fill="auto"/>
          </w:tcPr>
          <w:p w14:paraId="5F70B43E" w14:textId="77777777" w:rsidR="005B3CF2" w:rsidRPr="005B3CF2" w:rsidRDefault="005B3CF2" w:rsidP="005B3CF2">
            <w:pPr>
              <w:jc w:val="center"/>
              <w:rPr>
                <w:rFonts w:ascii="Arial" w:hAnsi="Arial" w:cs="FrankRuehl"/>
                <w:b/>
                <w:bCs/>
                <w:sz w:val="32"/>
                <w:szCs w:val="32"/>
                <w:u w:val="single"/>
                <w:rtl/>
              </w:rPr>
            </w:pPr>
            <w:bookmarkStart w:id="4" w:name="PsakDin" w:colFirst="0" w:colLast="0"/>
            <w:bookmarkEnd w:id="0"/>
            <w:r w:rsidRPr="005B3CF2">
              <w:rPr>
                <w:rFonts w:ascii="Arial" w:hAnsi="Arial" w:cs="FrankRuehl"/>
                <w:b/>
                <w:bCs/>
                <w:sz w:val="32"/>
                <w:szCs w:val="32"/>
                <w:u w:val="single"/>
                <w:rtl/>
              </w:rPr>
              <w:t>גזר דין</w:t>
            </w:r>
          </w:p>
          <w:p w14:paraId="01BF9421" w14:textId="77777777" w:rsidR="001044EA" w:rsidRPr="005B3CF2" w:rsidRDefault="001044EA" w:rsidP="005B3CF2">
            <w:pPr>
              <w:jc w:val="center"/>
              <w:rPr>
                <w:rFonts w:ascii="Arial" w:hAnsi="Arial" w:cs="FrankRuehl"/>
                <w:bCs/>
                <w:sz w:val="32"/>
                <w:szCs w:val="32"/>
                <w:u w:val="single"/>
                <w:rtl/>
              </w:rPr>
            </w:pPr>
          </w:p>
        </w:tc>
      </w:tr>
      <w:bookmarkEnd w:id="4"/>
    </w:tbl>
    <w:p w14:paraId="4C7537BB" w14:textId="77777777" w:rsidR="001044EA" w:rsidRDefault="001044EA">
      <w:pPr>
        <w:rPr>
          <w:rFonts w:ascii="Arial" w:hAnsi="Arial"/>
          <w:rtl/>
        </w:rPr>
      </w:pPr>
    </w:p>
    <w:p w14:paraId="47E7D441" w14:textId="77777777" w:rsidR="001044EA" w:rsidRDefault="001044EA">
      <w:pPr>
        <w:rPr>
          <w:rFonts w:ascii="Arial" w:hAnsi="Arial"/>
          <w:rtl/>
        </w:rPr>
      </w:pPr>
    </w:p>
    <w:p w14:paraId="23C69ADB" w14:textId="77777777" w:rsidR="001044EA" w:rsidRDefault="001044EA">
      <w:pPr>
        <w:rPr>
          <w:rtl/>
        </w:rPr>
      </w:pPr>
    </w:p>
    <w:p w14:paraId="152F83DA" w14:textId="77777777" w:rsidR="001044EA" w:rsidRDefault="005B3CF2">
      <w:pPr>
        <w:spacing w:line="360" w:lineRule="auto"/>
        <w:ind w:left="360" w:firstLine="360"/>
        <w:jc w:val="both"/>
        <w:rPr>
          <w:rFonts w:ascii="Arial" w:hAnsi="Arial" w:cs="Miriam"/>
        </w:rPr>
      </w:pPr>
      <w:r>
        <w:rPr>
          <w:rFonts w:ascii="Arial" w:hAnsi="Arial" w:cs="Miriam"/>
          <w:rtl/>
        </w:rPr>
        <w:t>מבוא</w:t>
      </w:r>
    </w:p>
    <w:p w14:paraId="5AE1EFD3"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הנאשם הורשע במסגרת הסדר טעון שאינו כולל הסכמה לעניין העונש ולאחר שהודה בעובדותיו של כתב אישום מתוקן (סומן א).  </w:t>
      </w:r>
    </w:p>
    <w:p w14:paraId="28BA633F" w14:textId="77777777" w:rsidR="001044EA" w:rsidRDefault="001044EA">
      <w:pPr>
        <w:spacing w:line="360" w:lineRule="auto"/>
        <w:ind w:left="720"/>
        <w:jc w:val="both"/>
        <w:rPr>
          <w:rFonts w:ascii="Arial" w:hAnsi="Arial" w:cs="FrankRuehl"/>
          <w:sz w:val="28"/>
          <w:szCs w:val="28"/>
        </w:rPr>
      </w:pPr>
    </w:p>
    <w:p w14:paraId="117E2974"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על פי עובדות כתב האישום המתוקן, </w:t>
      </w:r>
      <w:bookmarkStart w:id="5" w:name="ABSTRACT_START"/>
      <w:bookmarkEnd w:id="5"/>
      <w:r>
        <w:rPr>
          <w:rFonts w:ascii="Arial" w:hAnsi="Arial" w:cs="FrankRuehl"/>
          <w:sz w:val="28"/>
          <w:szCs w:val="28"/>
          <w:rtl/>
        </w:rPr>
        <w:t>במהלך חודשים יוני-יולי 2014 התקיימו הפרות סדר על רקע רצח הנער מחמד אבו חדר על ידי יהודים (כך נכתב בעובדות כתב האישום המתוקן). בתחילת חודש יולי 2014 השתתף הנאשם באחת ההתפרעויות, במהלכה השליך מספר אבנים לעבר השוטרים. בשלב מסוים קיבל לידיו בקבוק מלא בנוזל דליק ובפתחו פיסת בד בוערת, הוא החזיק אותו בידיו והשליכו.</w:t>
      </w:r>
      <w:bookmarkStart w:id="6" w:name="ABSTRACT_END"/>
      <w:bookmarkEnd w:id="6"/>
    </w:p>
    <w:p w14:paraId="3008F825" w14:textId="77777777" w:rsidR="001044EA" w:rsidRDefault="001044EA">
      <w:pPr>
        <w:spacing w:line="360" w:lineRule="auto"/>
        <w:ind w:left="720"/>
        <w:jc w:val="both"/>
        <w:rPr>
          <w:rFonts w:ascii="Arial" w:hAnsi="Arial" w:cs="FrankRuehl"/>
          <w:sz w:val="28"/>
          <w:szCs w:val="28"/>
        </w:rPr>
      </w:pPr>
    </w:p>
    <w:p w14:paraId="63247556"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בהתאם להודאתו הורשע הנאשם בעבירות של התפרעות-עבירה לפי </w:t>
      </w:r>
      <w:hyperlink r:id="rId16" w:history="1">
        <w:r w:rsidR="0052363B" w:rsidRPr="0052363B">
          <w:rPr>
            <w:rStyle w:val="Hyperlink"/>
            <w:rFonts w:ascii="Arial" w:hAnsi="Arial" w:cs="FrankRuehl"/>
            <w:sz w:val="28"/>
            <w:szCs w:val="28"/>
            <w:rtl/>
          </w:rPr>
          <w:t>סעיף 152</w:t>
        </w:r>
      </w:hyperlink>
      <w:r>
        <w:rPr>
          <w:rFonts w:ascii="Arial" w:hAnsi="Arial" w:cs="FrankRuehl"/>
          <w:sz w:val="28"/>
          <w:szCs w:val="28"/>
          <w:rtl/>
        </w:rPr>
        <w:t xml:space="preserve"> </w:t>
      </w:r>
      <w:r>
        <w:rPr>
          <w:rFonts w:ascii="Arial" w:hAnsi="Arial" w:cs="Miriam"/>
          <w:rtl/>
        </w:rPr>
        <w:t>ל</w:t>
      </w:r>
      <w:hyperlink r:id="rId17" w:history="1">
        <w:r w:rsidRPr="005B3CF2">
          <w:rPr>
            <w:rFonts w:ascii="Arial" w:hAnsi="Arial" w:cs="Miriam"/>
            <w:color w:val="0000FF"/>
            <w:u w:val="single"/>
            <w:rtl/>
          </w:rPr>
          <w:t>חוק העונשין</w:t>
        </w:r>
      </w:hyperlink>
      <w:r>
        <w:rPr>
          <w:rFonts w:ascii="Arial" w:hAnsi="Arial" w:cs="Miriam"/>
          <w:rtl/>
        </w:rPr>
        <w:t>, התשל"ז</w:t>
      </w:r>
      <w:r>
        <w:rPr>
          <w:rFonts w:ascii="Arial" w:hAnsi="Arial" w:cs="FrankRuehl"/>
          <w:sz w:val="28"/>
          <w:szCs w:val="28"/>
          <w:rtl/>
        </w:rPr>
        <w:t xml:space="preserve">-1977 (להלן-החוק), ניסיון לתקיפת שוטר בנסיבות מחמירות-עבירה לפי </w:t>
      </w:r>
      <w:hyperlink r:id="rId18" w:history="1">
        <w:r w:rsidR="00AF580D" w:rsidRPr="00AF580D">
          <w:rPr>
            <w:rStyle w:val="Hyperlink"/>
            <w:rFonts w:ascii="Arial" w:hAnsi="Arial" w:cs="FrankRuehl"/>
            <w:sz w:val="28"/>
            <w:szCs w:val="28"/>
            <w:rtl/>
          </w:rPr>
          <w:t>סעיפים 25</w:t>
        </w:r>
      </w:hyperlink>
      <w:r>
        <w:rPr>
          <w:rFonts w:ascii="Arial" w:hAnsi="Arial" w:cs="FrankRuehl"/>
          <w:sz w:val="28"/>
          <w:szCs w:val="28"/>
          <w:rtl/>
        </w:rPr>
        <w:t xml:space="preserve"> ו-</w:t>
      </w:r>
      <w:hyperlink r:id="rId19" w:history="1">
        <w:r w:rsidR="00AF580D" w:rsidRPr="00AF580D">
          <w:rPr>
            <w:rStyle w:val="Hyperlink"/>
            <w:rFonts w:ascii="Arial" w:hAnsi="Arial" w:cs="FrankRuehl"/>
            <w:sz w:val="28"/>
            <w:szCs w:val="28"/>
            <w:rtl/>
          </w:rPr>
          <w:t>274(1)(2)</w:t>
        </w:r>
      </w:hyperlink>
      <w:r>
        <w:rPr>
          <w:rFonts w:ascii="Arial" w:hAnsi="Arial" w:cs="FrankRuehl"/>
          <w:sz w:val="28"/>
          <w:szCs w:val="28"/>
          <w:rtl/>
        </w:rPr>
        <w:t xml:space="preserve"> לחוק ועבירות בנשק- עבירה לפי </w:t>
      </w:r>
      <w:hyperlink r:id="rId20" w:history="1">
        <w:r w:rsidR="00AF580D" w:rsidRPr="00AF580D">
          <w:rPr>
            <w:rStyle w:val="Hyperlink"/>
            <w:rFonts w:ascii="Arial" w:hAnsi="Arial" w:cs="FrankRuehl"/>
            <w:sz w:val="28"/>
            <w:szCs w:val="28"/>
            <w:rtl/>
          </w:rPr>
          <w:t>סעיף 144(א)</w:t>
        </w:r>
      </w:hyperlink>
      <w:r>
        <w:rPr>
          <w:rFonts w:ascii="Arial" w:hAnsi="Arial" w:cs="FrankRuehl"/>
          <w:sz w:val="28"/>
          <w:szCs w:val="28"/>
          <w:rtl/>
        </w:rPr>
        <w:t xml:space="preserve"> לחוק.</w:t>
      </w:r>
    </w:p>
    <w:p w14:paraId="08B6528A" w14:textId="77777777" w:rsidR="001044EA" w:rsidRDefault="001044EA">
      <w:pPr>
        <w:spacing w:line="360" w:lineRule="auto"/>
        <w:ind w:left="720"/>
        <w:jc w:val="both"/>
        <w:rPr>
          <w:rFonts w:ascii="Arial" w:hAnsi="Arial" w:cs="FrankRuehl"/>
          <w:sz w:val="28"/>
          <w:szCs w:val="28"/>
        </w:rPr>
      </w:pPr>
    </w:p>
    <w:p w14:paraId="558939FE"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במסגרת הסדר הטיעון הוסכם כי הנאשם (יליד 28.4.1993 כבן 21 במועד ביצוע העבירות) ישלח לקבלת תסקיר משירות המבחן וכך נעשה.</w:t>
      </w:r>
    </w:p>
    <w:p w14:paraId="0C82B884" w14:textId="77777777" w:rsidR="001044EA" w:rsidRDefault="001044EA">
      <w:pPr>
        <w:spacing w:line="360" w:lineRule="auto"/>
        <w:ind w:left="720"/>
        <w:jc w:val="both"/>
        <w:rPr>
          <w:rFonts w:ascii="Arial" w:hAnsi="Arial" w:cs="FrankRuehl"/>
          <w:sz w:val="28"/>
          <w:szCs w:val="28"/>
          <w:rtl/>
        </w:rPr>
      </w:pPr>
    </w:p>
    <w:p w14:paraId="0DED615E" w14:textId="77777777" w:rsidR="001044EA" w:rsidRDefault="001044EA">
      <w:pPr>
        <w:spacing w:line="360" w:lineRule="auto"/>
        <w:ind w:left="720"/>
        <w:jc w:val="both"/>
        <w:rPr>
          <w:rFonts w:ascii="Arial" w:hAnsi="Arial" w:cs="FrankRuehl"/>
          <w:sz w:val="28"/>
          <w:szCs w:val="28"/>
          <w:rtl/>
        </w:rPr>
      </w:pPr>
    </w:p>
    <w:p w14:paraId="66BD1C93" w14:textId="77777777" w:rsidR="001044EA" w:rsidRDefault="001044EA">
      <w:pPr>
        <w:spacing w:line="360" w:lineRule="auto"/>
        <w:ind w:left="720"/>
        <w:jc w:val="both"/>
        <w:rPr>
          <w:rFonts w:ascii="Arial" w:hAnsi="Arial" w:cs="FrankRuehl"/>
          <w:sz w:val="28"/>
          <w:szCs w:val="28"/>
        </w:rPr>
      </w:pPr>
    </w:p>
    <w:p w14:paraId="7FFE33E7" w14:textId="77777777" w:rsidR="001044EA" w:rsidRDefault="005B3CF2">
      <w:pPr>
        <w:spacing w:line="360" w:lineRule="auto"/>
        <w:ind w:left="720"/>
        <w:jc w:val="both"/>
        <w:rPr>
          <w:rFonts w:ascii="Arial" w:hAnsi="Arial" w:cs="Miriam"/>
        </w:rPr>
      </w:pPr>
      <w:r>
        <w:rPr>
          <w:rFonts w:ascii="Arial" w:hAnsi="Arial" w:cs="Miriam"/>
          <w:rtl/>
        </w:rPr>
        <w:t>תסקיר שירות המבחן/חוות דעת הממונה</w:t>
      </w:r>
    </w:p>
    <w:p w14:paraId="561A1276"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קצין המבחן נפגש עם הנאשם בחן את הנסיבות, התרשם מקיומו של סיכון נמוך להישנות עבירות אלימות. בהעדר נזקקות טיפולית, לא מצא צורך להמליץ המלצה טיפולית ובסופו של דבר המליץ על הטלת עונש מאסר קצר שירוצה בעבודות  שירות, כענישה בעלת אלמנטים קונקרטיים ומרתיעים.</w:t>
      </w:r>
    </w:p>
    <w:p w14:paraId="41432849" w14:textId="77777777" w:rsidR="001044EA" w:rsidRDefault="001044EA">
      <w:pPr>
        <w:spacing w:line="360" w:lineRule="auto"/>
        <w:ind w:left="720"/>
        <w:jc w:val="both"/>
        <w:rPr>
          <w:rFonts w:ascii="Arial" w:hAnsi="Arial" w:cs="FrankRuehl"/>
          <w:sz w:val="28"/>
          <w:szCs w:val="28"/>
        </w:rPr>
      </w:pPr>
    </w:p>
    <w:p w14:paraId="486D562E"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בתום שמיעת הטיעונים לעונש ובטרם גיבשתי עמדה לגופו של ענין, הוריתי לממונה על עבודות שירות לבחון כשירותו של הנאשם. בהתאם לחוות דעת הממונה מיו</w:t>
      </w:r>
      <w:r>
        <w:rPr>
          <w:rFonts w:ascii="Arial" w:hAnsi="Arial" w:cs="FrankRuehl" w:hint="cs"/>
          <w:sz w:val="28"/>
          <w:szCs w:val="28"/>
          <w:rtl/>
        </w:rPr>
        <w:t>ם 5.11.2015</w:t>
      </w:r>
      <w:r>
        <w:rPr>
          <w:rFonts w:ascii="Arial" w:hAnsi="Arial" w:cs="FrankRuehl"/>
          <w:sz w:val="28"/>
          <w:szCs w:val="28"/>
          <w:rtl/>
        </w:rPr>
        <w:t xml:space="preserve"> </w:t>
      </w:r>
      <w:r>
        <w:rPr>
          <w:rFonts w:ascii="Arial" w:hAnsi="Arial" w:cs="FrankRuehl" w:hint="cs"/>
          <w:sz w:val="28"/>
          <w:szCs w:val="28"/>
          <w:rtl/>
        </w:rPr>
        <w:t xml:space="preserve">נקבע </w:t>
      </w:r>
      <w:r>
        <w:rPr>
          <w:rFonts w:ascii="Arial" w:hAnsi="Arial" w:cs="FrankRuehl"/>
          <w:sz w:val="28"/>
          <w:szCs w:val="28"/>
          <w:rtl/>
        </w:rPr>
        <w:t>כי הנאשם כשיר לבצע עבודות שירות.</w:t>
      </w:r>
    </w:p>
    <w:p w14:paraId="258FFE80" w14:textId="77777777" w:rsidR="001044EA" w:rsidRDefault="001044EA">
      <w:pPr>
        <w:spacing w:line="360" w:lineRule="auto"/>
        <w:ind w:left="720"/>
        <w:jc w:val="both"/>
        <w:rPr>
          <w:rFonts w:ascii="Arial" w:hAnsi="Arial" w:cs="FrankRuehl"/>
          <w:sz w:val="28"/>
          <w:szCs w:val="28"/>
        </w:rPr>
      </w:pPr>
    </w:p>
    <w:p w14:paraId="20233B89" w14:textId="77777777" w:rsidR="001044EA" w:rsidRDefault="005B3CF2">
      <w:pPr>
        <w:spacing w:line="360" w:lineRule="auto"/>
        <w:ind w:left="720"/>
        <w:jc w:val="both"/>
        <w:rPr>
          <w:rFonts w:ascii="Arial" w:hAnsi="Arial" w:cs="Miriam"/>
        </w:rPr>
      </w:pPr>
      <w:r>
        <w:rPr>
          <w:rFonts w:ascii="Arial" w:hAnsi="Arial" w:cs="Miriam"/>
          <w:rtl/>
        </w:rPr>
        <w:t>תמצית טענות הצדדים</w:t>
      </w:r>
    </w:p>
    <w:p w14:paraId="02AFB1BE"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יובהר כי לנאשם אין הרשעות קודמות והצדדים לא הציגו ראיות לעניין העונש.</w:t>
      </w:r>
    </w:p>
    <w:p w14:paraId="294277A1" w14:textId="77777777" w:rsidR="001044EA" w:rsidRDefault="005B3CF2">
      <w:pPr>
        <w:numPr>
          <w:ilvl w:val="0"/>
          <w:numId w:val="1"/>
        </w:numPr>
        <w:spacing w:line="360" w:lineRule="auto"/>
        <w:jc w:val="both"/>
        <w:rPr>
          <w:rFonts w:ascii="Arial" w:hAnsi="Arial" w:cs="FrankRuehl"/>
          <w:sz w:val="28"/>
          <w:szCs w:val="28"/>
        </w:rPr>
      </w:pPr>
      <w:r>
        <w:rPr>
          <w:rFonts w:ascii="Arial" w:hAnsi="Arial" w:cs="FrankRuehl"/>
          <w:sz w:val="28"/>
          <w:szCs w:val="28"/>
          <w:rtl/>
        </w:rPr>
        <w:t xml:space="preserve">ב"כ המאשימה בטיעוניו בכתב (ט/1) ובעל פה ביקש לקבוע כי מדובר באירוע אחד, כי מתחם </w:t>
      </w:r>
      <w:r>
        <w:rPr>
          <w:rFonts w:ascii="Arial" w:hAnsi="Arial" w:cs="FrankRuehl" w:hint="cs"/>
          <w:sz w:val="28"/>
          <w:szCs w:val="28"/>
          <w:rtl/>
        </w:rPr>
        <w:t>ה</w:t>
      </w:r>
      <w:r>
        <w:rPr>
          <w:rFonts w:ascii="Arial" w:hAnsi="Arial" w:cs="FrankRuehl"/>
          <w:sz w:val="28"/>
          <w:szCs w:val="28"/>
          <w:rtl/>
        </w:rPr>
        <w:t xml:space="preserve">עונש </w:t>
      </w:r>
      <w:r>
        <w:rPr>
          <w:rFonts w:ascii="Arial" w:hAnsi="Arial" w:cs="FrankRuehl" w:hint="cs"/>
          <w:sz w:val="28"/>
          <w:szCs w:val="28"/>
          <w:rtl/>
        </w:rPr>
        <w:t>ה</w:t>
      </w:r>
      <w:r>
        <w:rPr>
          <w:rFonts w:ascii="Arial" w:hAnsi="Arial" w:cs="FrankRuehl"/>
          <w:sz w:val="28"/>
          <w:szCs w:val="28"/>
          <w:rtl/>
        </w:rPr>
        <w:t xml:space="preserve">הולם </w:t>
      </w:r>
      <w:r>
        <w:rPr>
          <w:rFonts w:ascii="Arial" w:hAnsi="Arial" w:cs="FrankRuehl" w:hint="cs"/>
          <w:sz w:val="28"/>
          <w:szCs w:val="28"/>
          <w:rtl/>
        </w:rPr>
        <w:t xml:space="preserve">נע </w:t>
      </w:r>
      <w:r>
        <w:rPr>
          <w:rFonts w:ascii="Arial" w:hAnsi="Arial" w:cs="FrankRuehl"/>
          <w:sz w:val="28"/>
          <w:szCs w:val="28"/>
          <w:rtl/>
        </w:rPr>
        <w:t>בין 18 ל-36 חודשי מאסר בפועל, להטיל על הנאשם עונש של מאסר בפועל בתוך המתחם ביחד עם מאסר מותנה וקנס.</w:t>
      </w:r>
    </w:p>
    <w:p w14:paraId="75F41868"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בטיעוניו שם דגש על חומרת העבירות, מעשים המבוצעים נגד אנשי חוק במהלך מילוי תפקידם, תוך סיכון בני אדם, לתמיכה בטענותיו הפנה למדיניות שנקבעה בפסקי דין של בית המשפט העליון תוך הדגשה כי מדובר בעבירות המבוצעות על רקע אידיאולוגי ובעבריינות שכזו יש להעדיף את ההרתעה על השיקום. </w:t>
      </w:r>
    </w:p>
    <w:p w14:paraId="3059321D" w14:textId="77777777" w:rsidR="001044EA" w:rsidRDefault="001044EA">
      <w:pPr>
        <w:spacing w:line="360" w:lineRule="auto"/>
        <w:ind w:left="720"/>
        <w:jc w:val="both"/>
        <w:rPr>
          <w:rFonts w:ascii="Arial" w:hAnsi="Arial" w:cs="FrankRuehl"/>
          <w:sz w:val="28"/>
          <w:szCs w:val="28"/>
        </w:rPr>
      </w:pPr>
    </w:p>
    <w:p w14:paraId="68E43E67" w14:textId="77777777" w:rsidR="001044EA" w:rsidRDefault="005B3CF2">
      <w:pPr>
        <w:numPr>
          <w:ilvl w:val="0"/>
          <w:numId w:val="1"/>
        </w:numPr>
        <w:spacing w:line="360" w:lineRule="auto"/>
        <w:jc w:val="both"/>
        <w:rPr>
          <w:rFonts w:ascii="Arial" w:hAnsi="Arial" w:cs="FrankRuehl"/>
          <w:sz w:val="28"/>
          <w:szCs w:val="28"/>
        </w:rPr>
      </w:pPr>
      <w:r>
        <w:rPr>
          <w:rFonts w:ascii="Arial" w:hAnsi="Arial" w:cs="FrankRuehl"/>
          <w:sz w:val="28"/>
          <w:szCs w:val="28"/>
          <w:rtl/>
        </w:rPr>
        <w:t xml:space="preserve">ב"כ הנאשם טען כי מדובר באירוע אחד, נקודתי, מתחם העונש ההולם בנסיבות מקרה זה נע לטענתו בין מאסר על תנאי ומאסר שירוצה בעבודות שירות לבין מאסר בפועל של </w:t>
      </w:r>
      <w:r>
        <w:rPr>
          <w:rFonts w:ascii="Arial" w:hAnsi="Arial" w:cs="FrankRuehl"/>
          <w:sz w:val="28"/>
          <w:szCs w:val="28"/>
          <w:rtl/>
        </w:rPr>
        <w:lastRenderedPageBreak/>
        <w:t>מספר חודשים וביקש במקרה זה משיקולי שיקום לאמץ את עמדת שירות המבחן ולקבוע כי הנאשם יישא בעונש של מאסר בעבודות שירות.</w:t>
      </w:r>
    </w:p>
    <w:p w14:paraId="173AD448" w14:textId="77777777" w:rsidR="001044EA" w:rsidRDefault="005B3CF2">
      <w:pPr>
        <w:spacing w:line="360" w:lineRule="auto"/>
        <w:ind w:left="720"/>
        <w:jc w:val="both"/>
        <w:rPr>
          <w:rFonts w:ascii="David" w:hAnsi="David" w:cs="FrankRuehl"/>
          <w:sz w:val="28"/>
          <w:szCs w:val="28"/>
          <w:rtl/>
        </w:rPr>
      </w:pPr>
      <w:r>
        <w:rPr>
          <w:rFonts w:ascii="Arial" w:hAnsi="Arial" w:cs="FrankRuehl"/>
          <w:sz w:val="28"/>
          <w:szCs w:val="28"/>
          <w:rtl/>
        </w:rPr>
        <w:t xml:space="preserve">בטיעוניו שם דגש על העובדה כי הנאשם לא פעל על רקע אידיאולוגי, </w:t>
      </w:r>
      <w:r>
        <w:rPr>
          <w:rFonts w:ascii="David" w:hAnsi="David" w:cs="FrankRuehl" w:hint="eastAsia"/>
          <w:sz w:val="28"/>
          <w:szCs w:val="28"/>
          <w:rtl/>
        </w:rPr>
        <w:t>השתתפותו</w:t>
      </w:r>
      <w:r>
        <w:rPr>
          <w:rFonts w:ascii="David" w:hAnsi="David" w:cs="FrankRuehl"/>
          <w:sz w:val="28"/>
          <w:szCs w:val="28"/>
          <w:rtl/>
        </w:rPr>
        <w:t xml:space="preserve"> </w:t>
      </w:r>
      <w:r>
        <w:rPr>
          <w:rFonts w:ascii="David" w:hAnsi="David" w:cs="FrankRuehl" w:hint="eastAsia"/>
          <w:sz w:val="28"/>
          <w:szCs w:val="28"/>
          <w:rtl/>
        </w:rPr>
        <w:t>הייתה</w:t>
      </w:r>
      <w:r>
        <w:rPr>
          <w:rFonts w:ascii="David" w:hAnsi="David" w:cs="FrankRuehl"/>
          <w:sz w:val="28"/>
          <w:szCs w:val="28"/>
          <w:rtl/>
        </w:rPr>
        <w:t xml:space="preserve"> </w:t>
      </w:r>
      <w:r>
        <w:rPr>
          <w:rFonts w:ascii="David" w:hAnsi="David" w:cs="FrankRuehl" w:hint="eastAsia"/>
          <w:sz w:val="28"/>
          <w:szCs w:val="28"/>
          <w:rtl/>
        </w:rPr>
        <w:t>באירוע</w:t>
      </w:r>
      <w:r>
        <w:rPr>
          <w:rFonts w:ascii="David" w:hAnsi="David" w:cs="FrankRuehl"/>
          <w:sz w:val="28"/>
          <w:szCs w:val="28"/>
          <w:rtl/>
        </w:rPr>
        <w:t xml:space="preserve"> </w:t>
      </w:r>
      <w:r>
        <w:rPr>
          <w:rFonts w:ascii="David" w:hAnsi="David" w:cs="FrankRuehl" w:hint="eastAsia"/>
          <w:sz w:val="28"/>
          <w:szCs w:val="28"/>
          <w:rtl/>
        </w:rPr>
        <w:t>ספציפי</w:t>
      </w:r>
      <w:r>
        <w:rPr>
          <w:rFonts w:ascii="David" w:hAnsi="David" w:cs="FrankRuehl"/>
          <w:sz w:val="28"/>
          <w:szCs w:val="28"/>
          <w:rtl/>
        </w:rPr>
        <w:t xml:space="preserve"> </w:t>
      </w:r>
      <w:r>
        <w:rPr>
          <w:rFonts w:ascii="David" w:hAnsi="David" w:cs="FrankRuehl" w:hint="eastAsia"/>
          <w:sz w:val="28"/>
          <w:szCs w:val="28"/>
          <w:rtl/>
        </w:rPr>
        <w:t>אחד</w:t>
      </w:r>
      <w:r>
        <w:rPr>
          <w:rFonts w:ascii="David" w:hAnsi="David" w:cs="FrankRuehl"/>
          <w:sz w:val="28"/>
          <w:szCs w:val="28"/>
          <w:rtl/>
        </w:rPr>
        <w:t xml:space="preserve">, </w:t>
      </w:r>
      <w:r>
        <w:rPr>
          <w:rFonts w:ascii="David" w:hAnsi="David" w:cs="FrankRuehl" w:hint="eastAsia"/>
          <w:sz w:val="28"/>
          <w:szCs w:val="28"/>
          <w:rtl/>
        </w:rPr>
        <w:t>למרות</w:t>
      </w:r>
      <w:r>
        <w:rPr>
          <w:rFonts w:ascii="David" w:hAnsi="David" w:cs="FrankRuehl"/>
          <w:sz w:val="28"/>
          <w:szCs w:val="28"/>
          <w:rtl/>
        </w:rPr>
        <w:t xml:space="preserve"> </w:t>
      </w:r>
      <w:r>
        <w:rPr>
          <w:rFonts w:ascii="David" w:hAnsi="David" w:cs="FrankRuehl" w:hint="eastAsia"/>
          <w:sz w:val="28"/>
          <w:szCs w:val="28"/>
          <w:rtl/>
        </w:rPr>
        <w:t>שהייתה</w:t>
      </w:r>
      <w:r>
        <w:rPr>
          <w:rFonts w:ascii="David" w:hAnsi="David" w:cs="FrankRuehl"/>
          <w:sz w:val="28"/>
          <w:szCs w:val="28"/>
          <w:rtl/>
        </w:rPr>
        <w:t xml:space="preserve"> </w:t>
      </w:r>
      <w:r>
        <w:rPr>
          <w:rFonts w:ascii="David" w:hAnsi="David" w:cs="FrankRuehl" w:hint="eastAsia"/>
          <w:sz w:val="28"/>
          <w:szCs w:val="28"/>
          <w:rtl/>
        </w:rPr>
        <w:t>סדרת</w:t>
      </w:r>
      <w:r>
        <w:rPr>
          <w:rFonts w:ascii="David" w:hAnsi="David" w:cs="FrankRuehl"/>
          <w:sz w:val="28"/>
          <w:szCs w:val="28"/>
          <w:rtl/>
        </w:rPr>
        <w:t xml:space="preserve"> </w:t>
      </w:r>
      <w:r>
        <w:rPr>
          <w:rFonts w:ascii="David" w:hAnsi="David" w:cs="FrankRuehl" w:hint="eastAsia"/>
          <w:sz w:val="28"/>
          <w:szCs w:val="28"/>
          <w:rtl/>
        </w:rPr>
        <w:t>התפרעויות</w:t>
      </w:r>
      <w:r>
        <w:rPr>
          <w:rFonts w:ascii="David" w:hAnsi="David" w:cs="FrankRuehl"/>
          <w:sz w:val="28"/>
          <w:szCs w:val="28"/>
          <w:rtl/>
        </w:rPr>
        <w:t xml:space="preserve"> </w:t>
      </w:r>
      <w:r>
        <w:rPr>
          <w:rFonts w:ascii="David" w:hAnsi="David" w:cs="FrankRuehl" w:hint="eastAsia"/>
          <w:sz w:val="28"/>
          <w:szCs w:val="28"/>
          <w:rtl/>
        </w:rPr>
        <w:t>לפני</w:t>
      </w:r>
      <w:r>
        <w:rPr>
          <w:rFonts w:ascii="David" w:hAnsi="David" w:cs="FrankRuehl"/>
          <w:sz w:val="28"/>
          <w:szCs w:val="28"/>
          <w:rtl/>
        </w:rPr>
        <w:t xml:space="preserve"> </w:t>
      </w:r>
      <w:r>
        <w:rPr>
          <w:rFonts w:ascii="David" w:hAnsi="David" w:cs="FrankRuehl" w:hint="eastAsia"/>
          <w:sz w:val="28"/>
          <w:szCs w:val="28"/>
          <w:rtl/>
        </w:rPr>
        <w:t>ואחרי</w:t>
      </w:r>
      <w:r>
        <w:rPr>
          <w:rFonts w:ascii="David" w:hAnsi="David" w:cs="FrankRuehl"/>
          <w:sz w:val="28"/>
          <w:szCs w:val="28"/>
          <w:rtl/>
        </w:rPr>
        <w:t xml:space="preserve"> </w:t>
      </w:r>
      <w:r>
        <w:rPr>
          <w:rFonts w:ascii="David" w:hAnsi="David" w:cs="FrankRuehl" w:hint="eastAsia"/>
          <w:sz w:val="28"/>
          <w:szCs w:val="28"/>
          <w:rtl/>
        </w:rPr>
        <w:t>אותו</w:t>
      </w:r>
      <w:r>
        <w:rPr>
          <w:rFonts w:ascii="David" w:hAnsi="David" w:cs="FrankRuehl"/>
          <w:sz w:val="28"/>
          <w:szCs w:val="28"/>
          <w:rtl/>
        </w:rPr>
        <w:t xml:space="preserve"> </w:t>
      </w:r>
      <w:r>
        <w:rPr>
          <w:rFonts w:ascii="David" w:hAnsi="David" w:cs="FrankRuehl" w:hint="eastAsia"/>
          <w:sz w:val="28"/>
          <w:szCs w:val="28"/>
          <w:rtl/>
        </w:rPr>
        <w:t>מקרה</w:t>
      </w:r>
      <w:r>
        <w:rPr>
          <w:rFonts w:ascii="David" w:hAnsi="David" w:cs="FrankRuehl"/>
          <w:sz w:val="28"/>
          <w:szCs w:val="28"/>
          <w:rtl/>
        </w:rPr>
        <w:t xml:space="preserve">. </w:t>
      </w:r>
      <w:r>
        <w:rPr>
          <w:rFonts w:ascii="David" w:hAnsi="David" w:cs="FrankRuehl" w:hint="eastAsia"/>
          <w:sz w:val="28"/>
          <w:szCs w:val="28"/>
          <w:rtl/>
        </w:rPr>
        <w:t>הוא</w:t>
      </w:r>
      <w:r>
        <w:rPr>
          <w:rFonts w:ascii="David" w:hAnsi="David" w:cs="FrankRuehl"/>
          <w:sz w:val="28"/>
          <w:szCs w:val="28"/>
          <w:rtl/>
        </w:rPr>
        <w:t xml:space="preserve"> </w:t>
      </w:r>
      <w:r>
        <w:rPr>
          <w:rFonts w:ascii="David" w:hAnsi="David" w:cs="FrankRuehl" w:hint="eastAsia"/>
          <w:sz w:val="28"/>
          <w:szCs w:val="28"/>
          <w:rtl/>
        </w:rPr>
        <w:t>נקלע</w:t>
      </w:r>
      <w:r>
        <w:rPr>
          <w:rFonts w:ascii="David" w:hAnsi="David" w:cs="FrankRuehl"/>
          <w:sz w:val="28"/>
          <w:szCs w:val="28"/>
          <w:rtl/>
        </w:rPr>
        <w:t xml:space="preserve"> </w:t>
      </w:r>
      <w:r>
        <w:rPr>
          <w:rFonts w:ascii="David" w:hAnsi="David" w:cs="FrankRuehl" w:hint="eastAsia"/>
          <w:sz w:val="28"/>
          <w:szCs w:val="28"/>
          <w:rtl/>
        </w:rPr>
        <w:t>למקום</w:t>
      </w:r>
      <w:r>
        <w:rPr>
          <w:rFonts w:ascii="David" w:hAnsi="David" w:cs="FrankRuehl"/>
          <w:sz w:val="28"/>
          <w:szCs w:val="28"/>
          <w:rtl/>
        </w:rPr>
        <w:t xml:space="preserve"> </w:t>
      </w:r>
      <w:r>
        <w:rPr>
          <w:rFonts w:ascii="David" w:hAnsi="David" w:cs="FrankRuehl" w:hint="eastAsia"/>
          <w:sz w:val="28"/>
          <w:szCs w:val="28"/>
          <w:rtl/>
        </w:rPr>
        <w:t>באקראי</w:t>
      </w:r>
      <w:r>
        <w:rPr>
          <w:rFonts w:ascii="David" w:hAnsi="David" w:cs="FrankRuehl"/>
          <w:sz w:val="28"/>
          <w:szCs w:val="28"/>
          <w:rtl/>
        </w:rPr>
        <w:t xml:space="preserve">, </w:t>
      </w:r>
      <w:r>
        <w:rPr>
          <w:rFonts w:ascii="David" w:hAnsi="David" w:cs="FrankRuehl" w:hint="eastAsia"/>
          <w:sz w:val="28"/>
          <w:szCs w:val="28"/>
          <w:rtl/>
        </w:rPr>
        <w:t>ללא</w:t>
      </w:r>
      <w:r>
        <w:rPr>
          <w:rFonts w:ascii="David" w:hAnsi="David" w:cs="FrankRuehl"/>
          <w:sz w:val="28"/>
          <w:szCs w:val="28"/>
          <w:rtl/>
        </w:rPr>
        <w:t xml:space="preserve"> </w:t>
      </w:r>
      <w:r>
        <w:rPr>
          <w:rFonts w:ascii="David" w:hAnsi="David" w:cs="FrankRuehl" w:hint="eastAsia"/>
          <w:sz w:val="28"/>
          <w:szCs w:val="28"/>
          <w:rtl/>
        </w:rPr>
        <w:t>תכנון</w:t>
      </w:r>
      <w:r>
        <w:rPr>
          <w:rFonts w:ascii="David" w:hAnsi="David" w:cs="FrankRuehl"/>
          <w:sz w:val="28"/>
          <w:szCs w:val="28"/>
          <w:rtl/>
        </w:rPr>
        <w:t xml:space="preserve"> </w:t>
      </w:r>
      <w:r>
        <w:rPr>
          <w:rFonts w:ascii="David" w:hAnsi="David" w:cs="FrankRuehl" w:hint="eastAsia"/>
          <w:sz w:val="28"/>
          <w:szCs w:val="28"/>
          <w:rtl/>
        </w:rPr>
        <w:t>מוקדם</w:t>
      </w:r>
      <w:r>
        <w:rPr>
          <w:rFonts w:ascii="David" w:hAnsi="David" w:cs="FrankRuehl"/>
          <w:sz w:val="28"/>
          <w:szCs w:val="28"/>
          <w:rtl/>
        </w:rPr>
        <w:t xml:space="preserve">, </w:t>
      </w:r>
      <w:r>
        <w:rPr>
          <w:rFonts w:ascii="David" w:hAnsi="David" w:cs="FrankRuehl" w:hint="eastAsia"/>
          <w:sz w:val="28"/>
          <w:szCs w:val="28"/>
          <w:rtl/>
        </w:rPr>
        <w:t>את</w:t>
      </w:r>
      <w:r>
        <w:rPr>
          <w:rFonts w:ascii="David" w:hAnsi="David" w:cs="FrankRuehl"/>
          <w:sz w:val="28"/>
          <w:szCs w:val="28"/>
          <w:rtl/>
        </w:rPr>
        <w:t xml:space="preserve"> </w:t>
      </w:r>
      <w:r>
        <w:rPr>
          <w:rFonts w:ascii="David" w:hAnsi="David" w:cs="FrankRuehl" w:hint="eastAsia"/>
          <w:sz w:val="28"/>
          <w:szCs w:val="28"/>
          <w:rtl/>
        </w:rPr>
        <w:t>בקבוק</w:t>
      </w:r>
      <w:r>
        <w:rPr>
          <w:rFonts w:ascii="David" w:hAnsi="David" w:cs="FrankRuehl"/>
          <w:sz w:val="28"/>
          <w:szCs w:val="28"/>
          <w:rtl/>
        </w:rPr>
        <w:t xml:space="preserve"> </w:t>
      </w:r>
      <w:r>
        <w:rPr>
          <w:rFonts w:ascii="David" w:hAnsi="David" w:cs="FrankRuehl" w:hint="eastAsia"/>
          <w:sz w:val="28"/>
          <w:szCs w:val="28"/>
          <w:rtl/>
        </w:rPr>
        <w:t>התבערה</w:t>
      </w:r>
      <w:r>
        <w:rPr>
          <w:rFonts w:ascii="David" w:hAnsi="David" w:cs="FrankRuehl"/>
          <w:sz w:val="28"/>
          <w:szCs w:val="28"/>
          <w:rtl/>
        </w:rPr>
        <w:t xml:space="preserve"> </w:t>
      </w:r>
      <w:r>
        <w:rPr>
          <w:rFonts w:ascii="David" w:hAnsi="David" w:cs="FrankRuehl" w:hint="eastAsia"/>
          <w:sz w:val="28"/>
          <w:szCs w:val="28"/>
          <w:rtl/>
        </w:rPr>
        <w:t>לא</w:t>
      </w:r>
      <w:r>
        <w:rPr>
          <w:rFonts w:ascii="David" w:hAnsi="David" w:cs="FrankRuehl"/>
          <w:sz w:val="28"/>
          <w:szCs w:val="28"/>
          <w:rtl/>
        </w:rPr>
        <w:t xml:space="preserve"> </w:t>
      </w:r>
      <w:r>
        <w:rPr>
          <w:rFonts w:ascii="David" w:hAnsi="David" w:cs="FrankRuehl" w:hint="eastAsia"/>
          <w:sz w:val="28"/>
          <w:szCs w:val="28"/>
          <w:rtl/>
        </w:rPr>
        <w:t>השליך</w:t>
      </w:r>
      <w:r>
        <w:rPr>
          <w:rFonts w:ascii="David" w:hAnsi="David" w:cs="FrankRuehl"/>
          <w:sz w:val="28"/>
          <w:szCs w:val="28"/>
          <w:rtl/>
        </w:rPr>
        <w:t xml:space="preserve"> </w:t>
      </w:r>
      <w:r>
        <w:rPr>
          <w:rFonts w:ascii="David" w:hAnsi="David" w:cs="FrankRuehl" w:hint="eastAsia"/>
          <w:sz w:val="28"/>
          <w:szCs w:val="28"/>
          <w:rtl/>
        </w:rPr>
        <w:t>לעבר</w:t>
      </w:r>
      <w:r>
        <w:rPr>
          <w:rFonts w:ascii="David" w:hAnsi="David" w:cs="FrankRuehl"/>
          <w:sz w:val="28"/>
          <w:szCs w:val="28"/>
          <w:rtl/>
        </w:rPr>
        <w:t xml:space="preserve"> </w:t>
      </w:r>
      <w:r>
        <w:rPr>
          <w:rFonts w:ascii="David" w:hAnsi="David" w:cs="FrankRuehl" w:hint="eastAsia"/>
          <w:sz w:val="28"/>
          <w:szCs w:val="28"/>
          <w:rtl/>
        </w:rPr>
        <w:t>השוטרים</w:t>
      </w:r>
      <w:r>
        <w:rPr>
          <w:rFonts w:ascii="David" w:hAnsi="David" w:cs="FrankRuehl"/>
          <w:sz w:val="28"/>
          <w:szCs w:val="28"/>
          <w:rtl/>
        </w:rPr>
        <w:t xml:space="preserve"> </w:t>
      </w:r>
      <w:r>
        <w:rPr>
          <w:rFonts w:ascii="David" w:hAnsi="David" w:cs="FrankRuehl" w:hint="eastAsia"/>
          <w:sz w:val="28"/>
          <w:szCs w:val="28"/>
          <w:rtl/>
        </w:rPr>
        <w:t>או</w:t>
      </w:r>
      <w:r>
        <w:rPr>
          <w:rFonts w:ascii="David" w:hAnsi="David" w:cs="FrankRuehl"/>
          <w:sz w:val="28"/>
          <w:szCs w:val="28"/>
          <w:rtl/>
        </w:rPr>
        <w:t xml:space="preserve"> </w:t>
      </w:r>
      <w:r>
        <w:rPr>
          <w:rFonts w:ascii="David" w:hAnsi="David" w:cs="FrankRuehl" w:hint="eastAsia"/>
          <w:sz w:val="28"/>
          <w:szCs w:val="28"/>
          <w:rtl/>
        </w:rPr>
        <w:t>לכוון</w:t>
      </w:r>
      <w:r>
        <w:rPr>
          <w:rFonts w:ascii="David" w:hAnsi="David" w:cs="FrankRuehl"/>
          <w:sz w:val="28"/>
          <w:szCs w:val="28"/>
          <w:rtl/>
        </w:rPr>
        <w:t xml:space="preserve"> </w:t>
      </w:r>
      <w:r>
        <w:rPr>
          <w:rFonts w:ascii="David" w:hAnsi="David" w:cs="FrankRuehl" w:hint="eastAsia"/>
          <w:sz w:val="28"/>
          <w:szCs w:val="28"/>
          <w:rtl/>
        </w:rPr>
        <w:t>אדם</w:t>
      </w:r>
      <w:r>
        <w:rPr>
          <w:rFonts w:ascii="David" w:hAnsi="David" w:cs="FrankRuehl"/>
          <w:sz w:val="28"/>
          <w:szCs w:val="28"/>
          <w:rtl/>
        </w:rPr>
        <w:t xml:space="preserve"> </w:t>
      </w:r>
      <w:r>
        <w:rPr>
          <w:rFonts w:ascii="David" w:hAnsi="David" w:cs="FrankRuehl" w:hint="eastAsia"/>
          <w:sz w:val="28"/>
          <w:szCs w:val="28"/>
          <w:rtl/>
        </w:rPr>
        <w:t>כל</w:t>
      </w:r>
      <w:r>
        <w:rPr>
          <w:rFonts w:ascii="David" w:hAnsi="David" w:cs="FrankRuehl"/>
          <w:sz w:val="28"/>
          <w:szCs w:val="28"/>
          <w:rtl/>
        </w:rPr>
        <w:t xml:space="preserve"> </w:t>
      </w:r>
      <w:r>
        <w:rPr>
          <w:rFonts w:ascii="David" w:hAnsi="David" w:cs="FrankRuehl" w:hint="eastAsia"/>
          <w:sz w:val="28"/>
          <w:szCs w:val="28"/>
          <w:rtl/>
        </w:rPr>
        <w:t>שהוא</w:t>
      </w:r>
      <w:r>
        <w:rPr>
          <w:rFonts w:ascii="David" w:hAnsi="David" w:cs="FrankRuehl"/>
          <w:sz w:val="28"/>
          <w:szCs w:val="28"/>
          <w:rtl/>
        </w:rPr>
        <w:t xml:space="preserve">. </w:t>
      </w:r>
      <w:r>
        <w:rPr>
          <w:rFonts w:ascii="David" w:hAnsi="David" w:cs="FrankRuehl" w:hint="eastAsia"/>
          <w:sz w:val="28"/>
          <w:szCs w:val="28"/>
          <w:rtl/>
        </w:rPr>
        <w:t>מעצרו</w:t>
      </w:r>
      <w:r>
        <w:rPr>
          <w:rFonts w:ascii="David" w:hAnsi="David" w:cs="FrankRuehl"/>
          <w:sz w:val="28"/>
          <w:szCs w:val="28"/>
          <w:rtl/>
        </w:rPr>
        <w:t xml:space="preserve"> </w:t>
      </w:r>
      <w:r>
        <w:rPr>
          <w:rFonts w:ascii="David" w:hAnsi="David" w:cs="FrankRuehl" w:hint="eastAsia"/>
          <w:sz w:val="28"/>
          <w:szCs w:val="28"/>
          <w:rtl/>
        </w:rPr>
        <w:t>היווה</w:t>
      </w:r>
      <w:r>
        <w:rPr>
          <w:rFonts w:ascii="David" w:hAnsi="David" w:cs="FrankRuehl"/>
          <w:sz w:val="28"/>
          <w:szCs w:val="28"/>
          <w:rtl/>
        </w:rPr>
        <w:t xml:space="preserve"> </w:t>
      </w:r>
      <w:r>
        <w:rPr>
          <w:rFonts w:ascii="David" w:hAnsi="David" w:cs="FrankRuehl" w:hint="eastAsia"/>
          <w:sz w:val="28"/>
          <w:szCs w:val="28"/>
          <w:rtl/>
        </w:rPr>
        <w:t>עבורו</w:t>
      </w:r>
      <w:r>
        <w:rPr>
          <w:rFonts w:ascii="David" w:hAnsi="David" w:cs="FrankRuehl"/>
          <w:sz w:val="28"/>
          <w:szCs w:val="28"/>
          <w:rtl/>
        </w:rPr>
        <w:t xml:space="preserve"> </w:t>
      </w:r>
      <w:r>
        <w:rPr>
          <w:rFonts w:ascii="David" w:hAnsi="David" w:cs="FrankRuehl" w:hint="eastAsia"/>
          <w:sz w:val="28"/>
          <w:szCs w:val="28"/>
          <w:rtl/>
        </w:rPr>
        <w:t>חוויה</w:t>
      </w:r>
      <w:r>
        <w:rPr>
          <w:rFonts w:ascii="David" w:hAnsi="David" w:cs="FrankRuehl"/>
          <w:sz w:val="28"/>
          <w:szCs w:val="28"/>
          <w:rtl/>
        </w:rPr>
        <w:t xml:space="preserve"> </w:t>
      </w:r>
      <w:r>
        <w:rPr>
          <w:rFonts w:ascii="David" w:hAnsi="David" w:cs="FrankRuehl" w:hint="eastAsia"/>
          <w:sz w:val="28"/>
          <w:szCs w:val="28"/>
          <w:rtl/>
        </w:rPr>
        <w:t>קשה</w:t>
      </w:r>
      <w:r>
        <w:rPr>
          <w:rFonts w:ascii="David" w:hAnsi="David" w:cs="FrankRuehl"/>
          <w:sz w:val="28"/>
          <w:szCs w:val="28"/>
          <w:rtl/>
        </w:rPr>
        <w:t xml:space="preserve">, </w:t>
      </w:r>
      <w:r>
        <w:rPr>
          <w:rFonts w:ascii="David" w:hAnsi="David" w:cs="FrankRuehl" w:hint="eastAsia"/>
          <w:sz w:val="28"/>
          <w:szCs w:val="28"/>
          <w:rtl/>
        </w:rPr>
        <w:t>מעצר</w:t>
      </w:r>
      <w:r>
        <w:rPr>
          <w:rFonts w:ascii="David" w:hAnsi="David" w:cs="FrankRuehl"/>
          <w:sz w:val="28"/>
          <w:szCs w:val="28"/>
          <w:rtl/>
        </w:rPr>
        <w:t xml:space="preserve"> </w:t>
      </w:r>
      <w:r>
        <w:rPr>
          <w:rFonts w:ascii="David" w:hAnsi="David" w:cs="FrankRuehl" w:hint="eastAsia"/>
          <w:sz w:val="28"/>
          <w:szCs w:val="28"/>
          <w:rtl/>
        </w:rPr>
        <w:t>במהלכו</w:t>
      </w:r>
      <w:r>
        <w:rPr>
          <w:rFonts w:ascii="David" w:hAnsi="David" w:cs="FrankRuehl"/>
          <w:sz w:val="28"/>
          <w:szCs w:val="28"/>
          <w:rtl/>
        </w:rPr>
        <w:t xml:space="preserve"> </w:t>
      </w:r>
      <w:r>
        <w:rPr>
          <w:rFonts w:ascii="David" w:hAnsi="David" w:cs="FrankRuehl" w:hint="eastAsia"/>
          <w:sz w:val="28"/>
          <w:szCs w:val="28"/>
          <w:rtl/>
        </w:rPr>
        <w:t>הודה</w:t>
      </w:r>
      <w:r>
        <w:rPr>
          <w:rFonts w:ascii="David" w:hAnsi="David" w:cs="FrankRuehl"/>
          <w:sz w:val="28"/>
          <w:szCs w:val="28"/>
          <w:rtl/>
        </w:rPr>
        <w:t xml:space="preserve"> </w:t>
      </w:r>
      <w:r>
        <w:rPr>
          <w:rFonts w:ascii="David" w:hAnsi="David" w:cs="FrankRuehl" w:hint="eastAsia"/>
          <w:sz w:val="28"/>
          <w:szCs w:val="28"/>
          <w:rtl/>
        </w:rPr>
        <w:t>ונטל</w:t>
      </w:r>
      <w:r>
        <w:rPr>
          <w:rFonts w:ascii="David" w:hAnsi="David" w:cs="FrankRuehl"/>
          <w:sz w:val="28"/>
          <w:szCs w:val="28"/>
          <w:rtl/>
        </w:rPr>
        <w:t xml:space="preserve"> </w:t>
      </w:r>
      <w:r>
        <w:rPr>
          <w:rFonts w:ascii="David" w:hAnsi="David" w:cs="FrankRuehl" w:hint="eastAsia"/>
          <w:sz w:val="28"/>
          <w:szCs w:val="28"/>
          <w:rtl/>
        </w:rPr>
        <w:t>אחריות</w:t>
      </w:r>
      <w:r>
        <w:rPr>
          <w:rFonts w:ascii="David" w:hAnsi="David" w:cs="FrankRuehl"/>
          <w:sz w:val="28"/>
          <w:szCs w:val="28"/>
          <w:rtl/>
        </w:rPr>
        <w:t xml:space="preserve">. </w:t>
      </w:r>
      <w:r>
        <w:rPr>
          <w:rFonts w:ascii="David" w:hAnsi="David" w:cs="FrankRuehl" w:hint="eastAsia"/>
          <w:sz w:val="28"/>
          <w:szCs w:val="28"/>
          <w:rtl/>
        </w:rPr>
        <w:t>הנאשם</w:t>
      </w:r>
      <w:r>
        <w:rPr>
          <w:rFonts w:ascii="David" w:hAnsi="David" w:cs="FrankRuehl"/>
          <w:sz w:val="28"/>
          <w:szCs w:val="28"/>
          <w:rtl/>
        </w:rPr>
        <w:t xml:space="preserve"> </w:t>
      </w:r>
      <w:r>
        <w:rPr>
          <w:rFonts w:ascii="David" w:hAnsi="David" w:cs="FrankRuehl" w:hint="eastAsia"/>
          <w:sz w:val="28"/>
          <w:szCs w:val="28"/>
          <w:rtl/>
        </w:rPr>
        <w:t>ללא</w:t>
      </w:r>
      <w:r>
        <w:rPr>
          <w:rFonts w:ascii="David" w:hAnsi="David" w:cs="FrankRuehl"/>
          <w:sz w:val="28"/>
          <w:szCs w:val="28"/>
          <w:rtl/>
        </w:rPr>
        <w:t xml:space="preserve"> </w:t>
      </w:r>
      <w:r>
        <w:rPr>
          <w:rFonts w:ascii="David" w:hAnsi="David" w:cs="FrankRuehl" w:hint="eastAsia"/>
          <w:sz w:val="28"/>
          <w:szCs w:val="28"/>
          <w:rtl/>
        </w:rPr>
        <w:t>עבר</w:t>
      </w:r>
      <w:r>
        <w:rPr>
          <w:rFonts w:ascii="David" w:hAnsi="David" w:cs="FrankRuehl"/>
          <w:sz w:val="28"/>
          <w:szCs w:val="28"/>
          <w:rtl/>
        </w:rPr>
        <w:t xml:space="preserve"> </w:t>
      </w:r>
      <w:r>
        <w:rPr>
          <w:rFonts w:ascii="David" w:hAnsi="David" w:cs="FrankRuehl" w:hint="eastAsia"/>
          <w:sz w:val="28"/>
          <w:szCs w:val="28"/>
          <w:rtl/>
        </w:rPr>
        <w:t>פלילי</w:t>
      </w:r>
      <w:r>
        <w:rPr>
          <w:rFonts w:ascii="David" w:hAnsi="David" w:cs="FrankRuehl"/>
          <w:sz w:val="28"/>
          <w:szCs w:val="28"/>
          <w:rtl/>
        </w:rPr>
        <w:t xml:space="preserve">, </w:t>
      </w:r>
      <w:r>
        <w:rPr>
          <w:rFonts w:ascii="David" w:hAnsi="David" w:cs="FrankRuehl" w:hint="eastAsia"/>
          <w:sz w:val="28"/>
          <w:szCs w:val="28"/>
          <w:rtl/>
        </w:rPr>
        <w:t>בן</w:t>
      </w:r>
      <w:r>
        <w:rPr>
          <w:rFonts w:ascii="David" w:hAnsi="David" w:cs="FrankRuehl"/>
          <w:sz w:val="28"/>
          <w:szCs w:val="28"/>
          <w:rtl/>
        </w:rPr>
        <w:t xml:space="preserve"> </w:t>
      </w:r>
      <w:r>
        <w:rPr>
          <w:rFonts w:ascii="David" w:hAnsi="David" w:cs="FrankRuehl" w:hint="eastAsia"/>
          <w:sz w:val="28"/>
          <w:szCs w:val="28"/>
          <w:rtl/>
        </w:rPr>
        <w:t>למשפחה</w:t>
      </w:r>
      <w:r>
        <w:rPr>
          <w:rFonts w:ascii="David" w:hAnsi="David" w:cs="FrankRuehl"/>
          <w:sz w:val="28"/>
          <w:szCs w:val="28"/>
          <w:rtl/>
        </w:rPr>
        <w:t xml:space="preserve"> </w:t>
      </w:r>
      <w:r>
        <w:rPr>
          <w:rFonts w:ascii="David" w:hAnsi="David" w:cs="FrankRuehl" w:hint="eastAsia"/>
          <w:sz w:val="28"/>
          <w:szCs w:val="28"/>
          <w:rtl/>
        </w:rPr>
        <w:t>נורמטיבית</w:t>
      </w:r>
      <w:r>
        <w:rPr>
          <w:rFonts w:ascii="David" w:hAnsi="David" w:cs="FrankRuehl"/>
          <w:sz w:val="28"/>
          <w:szCs w:val="28"/>
          <w:rtl/>
        </w:rPr>
        <w:t xml:space="preserve">, </w:t>
      </w:r>
      <w:r>
        <w:rPr>
          <w:rFonts w:ascii="David" w:hAnsi="David" w:cs="FrankRuehl" w:hint="eastAsia"/>
          <w:sz w:val="28"/>
          <w:szCs w:val="28"/>
          <w:rtl/>
        </w:rPr>
        <w:t>בתקופה</w:t>
      </w:r>
      <w:r>
        <w:rPr>
          <w:rFonts w:ascii="David" w:hAnsi="David" w:cs="FrankRuehl"/>
          <w:sz w:val="28"/>
          <w:szCs w:val="28"/>
          <w:rtl/>
        </w:rPr>
        <w:t xml:space="preserve"> </w:t>
      </w:r>
      <w:r>
        <w:rPr>
          <w:rFonts w:ascii="David" w:hAnsi="David" w:cs="FrankRuehl" w:hint="eastAsia"/>
          <w:sz w:val="28"/>
          <w:szCs w:val="28"/>
          <w:rtl/>
        </w:rPr>
        <w:t>הקרובה</w:t>
      </w:r>
      <w:r>
        <w:rPr>
          <w:rFonts w:ascii="David" w:hAnsi="David" w:cs="FrankRuehl"/>
          <w:sz w:val="28"/>
          <w:szCs w:val="28"/>
          <w:rtl/>
        </w:rPr>
        <w:t xml:space="preserve"> </w:t>
      </w:r>
      <w:r>
        <w:rPr>
          <w:rFonts w:ascii="David" w:hAnsi="David" w:cs="FrankRuehl" w:hint="eastAsia"/>
          <w:sz w:val="28"/>
          <w:szCs w:val="28"/>
          <w:rtl/>
        </w:rPr>
        <w:t>הוא</w:t>
      </w:r>
      <w:r>
        <w:rPr>
          <w:rFonts w:ascii="David" w:hAnsi="David" w:cs="FrankRuehl"/>
          <w:sz w:val="28"/>
          <w:szCs w:val="28"/>
          <w:rtl/>
        </w:rPr>
        <w:t xml:space="preserve"> </w:t>
      </w:r>
      <w:r>
        <w:rPr>
          <w:rFonts w:ascii="David" w:hAnsi="David" w:cs="FrankRuehl" w:hint="eastAsia"/>
          <w:sz w:val="28"/>
          <w:szCs w:val="28"/>
          <w:rtl/>
        </w:rPr>
        <w:t>עומד</w:t>
      </w:r>
      <w:r>
        <w:rPr>
          <w:rFonts w:ascii="David" w:hAnsi="David" w:cs="FrankRuehl"/>
          <w:sz w:val="28"/>
          <w:szCs w:val="28"/>
          <w:rtl/>
        </w:rPr>
        <w:t xml:space="preserve"> </w:t>
      </w:r>
      <w:r>
        <w:rPr>
          <w:rFonts w:ascii="David" w:hAnsi="David" w:cs="FrankRuehl" w:hint="eastAsia"/>
          <w:sz w:val="28"/>
          <w:szCs w:val="28"/>
          <w:rtl/>
        </w:rPr>
        <w:t>להתארס</w:t>
      </w:r>
      <w:r>
        <w:rPr>
          <w:rFonts w:ascii="David" w:hAnsi="David" w:cs="FrankRuehl"/>
          <w:sz w:val="28"/>
          <w:szCs w:val="28"/>
          <w:rtl/>
        </w:rPr>
        <w:t xml:space="preserve">, </w:t>
      </w:r>
      <w:r>
        <w:rPr>
          <w:rFonts w:ascii="David" w:hAnsi="David" w:cs="FrankRuehl" w:hint="eastAsia"/>
          <w:sz w:val="28"/>
          <w:szCs w:val="28"/>
          <w:rtl/>
        </w:rPr>
        <w:t>להתחתן</w:t>
      </w:r>
      <w:r>
        <w:rPr>
          <w:rFonts w:ascii="David" w:hAnsi="David" w:cs="FrankRuehl"/>
          <w:sz w:val="28"/>
          <w:szCs w:val="28"/>
          <w:rtl/>
        </w:rPr>
        <w:t xml:space="preserve"> </w:t>
      </w:r>
      <w:r>
        <w:rPr>
          <w:rFonts w:ascii="David" w:hAnsi="David" w:cs="FrankRuehl" w:hint="eastAsia"/>
          <w:sz w:val="28"/>
          <w:szCs w:val="28"/>
          <w:rtl/>
        </w:rPr>
        <w:t>ולהקים</w:t>
      </w:r>
      <w:r>
        <w:rPr>
          <w:rFonts w:ascii="David" w:hAnsi="David" w:cs="FrankRuehl"/>
          <w:sz w:val="28"/>
          <w:szCs w:val="28"/>
          <w:rtl/>
        </w:rPr>
        <w:t xml:space="preserve"> </w:t>
      </w:r>
      <w:r>
        <w:rPr>
          <w:rFonts w:ascii="David" w:hAnsi="David" w:cs="FrankRuehl" w:hint="eastAsia"/>
          <w:sz w:val="28"/>
          <w:szCs w:val="28"/>
          <w:rtl/>
        </w:rPr>
        <w:t>בית</w:t>
      </w:r>
      <w:r>
        <w:rPr>
          <w:rFonts w:ascii="David" w:hAnsi="David" w:cs="FrankRuehl"/>
          <w:sz w:val="28"/>
          <w:szCs w:val="28"/>
          <w:rtl/>
        </w:rPr>
        <w:t xml:space="preserve"> </w:t>
      </w:r>
      <w:r>
        <w:rPr>
          <w:rFonts w:ascii="David" w:hAnsi="David" w:cs="FrankRuehl" w:hint="eastAsia"/>
          <w:sz w:val="28"/>
          <w:szCs w:val="28"/>
          <w:rtl/>
        </w:rPr>
        <w:t>חדש</w:t>
      </w:r>
      <w:r>
        <w:rPr>
          <w:rFonts w:ascii="David" w:hAnsi="David" w:cs="FrankRuehl"/>
          <w:sz w:val="28"/>
          <w:szCs w:val="28"/>
          <w:rtl/>
        </w:rPr>
        <w:t xml:space="preserve">. </w:t>
      </w:r>
      <w:r>
        <w:rPr>
          <w:rFonts w:ascii="David" w:hAnsi="David" w:cs="FrankRuehl" w:hint="eastAsia"/>
          <w:sz w:val="28"/>
          <w:szCs w:val="28"/>
          <w:rtl/>
        </w:rPr>
        <w:t>לתמיכה</w:t>
      </w:r>
      <w:r>
        <w:rPr>
          <w:rFonts w:ascii="David" w:hAnsi="David" w:cs="FrankRuehl"/>
          <w:sz w:val="28"/>
          <w:szCs w:val="28"/>
          <w:rtl/>
        </w:rPr>
        <w:t xml:space="preserve"> </w:t>
      </w:r>
      <w:r>
        <w:rPr>
          <w:rFonts w:ascii="David" w:hAnsi="David" w:cs="FrankRuehl" w:hint="eastAsia"/>
          <w:sz w:val="28"/>
          <w:szCs w:val="28"/>
          <w:rtl/>
        </w:rPr>
        <w:t>בטיעוניו</w:t>
      </w:r>
      <w:r>
        <w:rPr>
          <w:rFonts w:ascii="David" w:hAnsi="David" w:cs="FrankRuehl"/>
          <w:sz w:val="28"/>
          <w:szCs w:val="28"/>
          <w:rtl/>
        </w:rPr>
        <w:t xml:space="preserve"> </w:t>
      </w:r>
      <w:r>
        <w:rPr>
          <w:rFonts w:ascii="David" w:hAnsi="David" w:cs="FrankRuehl" w:hint="eastAsia"/>
          <w:sz w:val="28"/>
          <w:szCs w:val="28"/>
          <w:rtl/>
        </w:rPr>
        <w:t>הפנה</w:t>
      </w:r>
      <w:r>
        <w:rPr>
          <w:rFonts w:ascii="David" w:hAnsi="David" w:cs="FrankRuehl"/>
          <w:sz w:val="28"/>
          <w:szCs w:val="28"/>
          <w:rtl/>
        </w:rPr>
        <w:t xml:space="preserve"> </w:t>
      </w:r>
      <w:r>
        <w:rPr>
          <w:rFonts w:ascii="David" w:hAnsi="David" w:cs="FrankRuehl" w:hint="eastAsia"/>
          <w:sz w:val="28"/>
          <w:szCs w:val="28"/>
          <w:rtl/>
        </w:rPr>
        <w:t>לפסקי</w:t>
      </w:r>
      <w:r>
        <w:rPr>
          <w:rFonts w:ascii="David" w:hAnsi="David" w:cs="FrankRuehl"/>
          <w:sz w:val="28"/>
          <w:szCs w:val="28"/>
          <w:rtl/>
        </w:rPr>
        <w:t xml:space="preserve"> </w:t>
      </w:r>
      <w:r>
        <w:rPr>
          <w:rFonts w:ascii="David" w:hAnsi="David" w:cs="FrankRuehl" w:hint="eastAsia"/>
          <w:sz w:val="28"/>
          <w:szCs w:val="28"/>
          <w:rtl/>
        </w:rPr>
        <w:t>דין</w:t>
      </w:r>
      <w:r>
        <w:rPr>
          <w:rFonts w:ascii="David" w:hAnsi="David" w:cs="FrankRuehl"/>
          <w:sz w:val="28"/>
          <w:szCs w:val="28"/>
          <w:rtl/>
        </w:rPr>
        <w:t xml:space="preserve"> </w:t>
      </w:r>
      <w:r>
        <w:rPr>
          <w:rFonts w:ascii="David" w:hAnsi="David" w:cs="FrankRuehl" w:hint="eastAsia"/>
          <w:sz w:val="28"/>
          <w:szCs w:val="28"/>
          <w:rtl/>
        </w:rPr>
        <w:t>בהם</w:t>
      </w:r>
      <w:r>
        <w:rPr>
          <w:rFonts w:ascii="David" w:hAnsi="David" w:cs="FrankRuehl"/>
          <w:sz w:val="28"/>
          <w:szCs w:val="28"/>
          <w:rtl/>
        </w:rPr>
        <w:t xml:space="preserve"> </w:t>
      </w:r>
      <w:r>
        <w:rPr>
          <w:rFonts w:ascii="David" w:hAnsi="David" w:cs="FrankRuehl" w:hint="eastAsia"/>
          <w:sz w:val="28"/>
          <w:szCs w:val="28"/>
          <w:rtl/>
        </w:rPr>
        <w:t>הוטלו</w:t>
      </w:r>
      <w:r>
        <w:rPr>
          <w:rFonts w:ascii="David" w:hAnsi="David" w:cs="FrankRuehl"/>
          <w:sz w:val="28"/>
          <w:szCs w:val="28"/>
          <w:rtl/>
        </w:rPr>
        <w:t xml:space="preserve"> </w:t>
      </w:r>
      <w:r>
        <w:rPr>
          <w:rFonts w:ascii="David" w:hAnsi="David" w:cs="FrankRuehl" w:hint="eastAsia"/>
          <w:sz w:val="28"/>
          <w:szCs w:val="28"/>
          <w:rtl/>
        </w:rPr>
        <w:t>עונשים</w:t>
      </w:r>
      <w:r>
        <w:rPr>
          <w:rFonts w:ascii="David" w:hAnsi="David" w:cs="FrankRuehl"/>
          <w:sz w:val="28"/>
          <w:szCs w:val="28"/>
          <w:rtl/>
        </w:rPr>
        <w:t xml:space="preserve"> </w:t>
      </w:r>
      <w:r>
        <w:rPr>
          <w:rFonts w:ascii="David" w:hAnsi="David" w:cs="FrankRuehl" w:hint="eastAsia"/>
          <w:sz w:val="28"/>
          <w:szCs w:val="28"/>
          <w:rtl/>
        </w:rPr>
        <w:t>של</w:t>
      </w:r>
      <w:r>
        <w:rPr>
          <w:rFonts w:ascii="David" w:hAnsi="David" w:cs="FrankRuehl"/>
          <w:sz w:val="28"/>
          <w:szCs w:val="28"/>
          <w:rtl/>
        </w:rPr>
        <w:t xml:space="preserve"> </w:t>
      </w:r>
      <w:r>
        <w:rPr>
          <w:rFonts w:ascii="David" w:hAnsi="David" w:cs="FrankRuehl" w:hint="eastAsia"/>
          <w:sz w:val="28"/>
          <w:szCs w:val="28"/>
          <w:rtl/>
        </w:rPr>
        <w:t>מאסר</w:t>
      </w:r>
      <w:r>
        <w:rPr>
          <w:rFonts w:ascii="David" w:hAnsi="David" w:cs="FrankRuehl"/>
          <w:sz w:val="28"/>
          <w:szCs w:val="28"/>
          <w:rtl/>
        </w:rPr>
        <w:t xml:space="preserve"> </w:t>
      </w:r>
      <w:r>
        <w:rPr>
          <w:rFonts w:ascii="David" w:hAnsi="David" w:cs="FrankRuehl" w:hint="eastAsia"/>
          <w:sz w:val="28"/>
          <w:szCs w:val="28"/>
          <w:rtl/>
        </w:rPr>
        <w:t>בעבודות</w:t>
      </w:r>
      <w:r>
        <w:rPr>
          <w:rFonts w:ascii="David" w:hAnsi="David" w:cs="FrankRuehl"/>
          <w:sz w:val="28"/>
          <w:szCs w:val="28"/>
          <w:rtl/>
        </w:rPr>
        <w:t xml:space="preserve"> </w:t>
      </w:r>
      <w:r>
        <w:rPr>
          <w:rFonts w:ascii="David" w:hAnsi="David" w:cs="FrankRuehl" w:hint="eastAsia"/>
          <w:sz w:val="28"/>
          <w:szCs w:val="28"/>
          <w:rtl/>
        </w:rPr>
        <w:t>שירות</w:t>
      </w:r>
      <w:r>
        <w:rPr>
          <w:rFonts w:ascii="David" w:hAnsi="David" w:cs="FrankRuehl"/>
          <w:sz w:val="28"/>
          <w:szCs w:val="28"/>
          <w:rtl/>
        </w:rPr>
        <w:t>.</w:t>
      </w:r>
    </w:p>
    <w:p w14:paraId="46EE7FFC" w14:textId="77777777" w:rsidR="001044EA" w:rsidRDefault="001044EA">
      <w:pPr>
        <w:spacing w:line="360" w:lineRule="auto"/>
        <w:ind w:left="720"/>
        <w:jc w:val="both"/>
        <w:rPr>
          <w:rFonts w:ascii="David" w:hAnsi="David" w:cs="FrankRuehl"/>
          <w:sz w:val="28"/>
          <w:szCs w:val="28"/>
        </w:rPr>
      </w:pPr>
    </w:p>
    <w:p w14:paraId="46B0B85E" w14:textId="77777777" w:rsidR="001044EA" w:rsidRDefault="005B3CF2">
      <w:pPr>
        <w:spacing w:line="360" w:lineRule="auto"/>
        <w:ind w:left="720"/>
        <w:jc w:val="both"/>
        <w:rPr>
          <w:rFonts w:ascii="David" w:hAnsi="David" w:cs="FrankRuehl"/>
          <w:sz w:val="28"/>
          <w:szCs w:val="28"/>
        </w:rPr>
      </w:pPr>
      <w:r>
        <w:rPr>
          <w:rFonts w:ascii="David" w:hAnsi="David" w:cs="FrankRuehl" w:hint="eastAsia"/>
          <w:sz w:val="28"/>
          <w:szCs w:val="28"/>
          <w:rtl/>
        </w:rPr>
        <w:t>בתום</w:t>
      </w:r>
      <w:r>
        <w:rPr>
          <w:rFonts w:ascii="David" w:hAnsi="David" w:cs="FrankRuehl"/>
          <w:sz w:val="28"/>
          <w:szCs w:val="28"/>
          <w:rtl/>
        </w:rPr>
        <w:t xml:space="preserve"> </w:t>
      </w:r>
      <w:r>
        <w:rPr>
          <w:rFonts w:ascii="David" w:hAnsi="David" w:cs="FrankRuehl" w:hint="eastAsia"/>
          <w:sz w:val="28"/>
          <w:szCs w:val="28"/>
          <w:rtl/>
        </w:rPr>
        <w:t>הטיעונים</w:t>
      </w:r>
      <w:r>
        <w:rPr>
          <w:rFonts w:ascii="David" w:hAnsi="David" w:cs="FrankRuehl"/>
          <w:sz w:val="28"/>
          <w:szCs w:val="28"/>
          <w:rtl/>
        </w:rPr>
        <w:t xml:space="preserve"> </w:t>
      </w:r>
      <w:r>
        <w:rPr>
          <w:rFonts w:ascii="David" w:hAnsi="David" w:cs="FrankRuehl" w:hint="eastAsia"/>
          <w:sz w:val="28"/>
          <w:szCs w:val="28"/>
          <w:rtl/>
        </w:rPr>
        <w:t>הביע</w:t>
      </w:r>
      <w:r>
        <w:rPr>
          <w:rFonts w:ascii="David" w:hAnsi="David" w:cs="FrankRuehl"/>
          <w:sz w:val="28"/>
          <w:szCs w:val="28"/>
          <w:rtl/>
        </w:rPr>
        <w:t xml:space="preserve"> </w:t>
      </w:r>
      <w:r>
        <w:rPr>
          <w:rFonts w:ascii="David" w:hAnsi="David" w:cs="FrankRuehl" w:hint="eastAsia"/>
          <w:sz w:val="28"/>
          <w:szCs w:val="28"/>
          <w:rtl/>
        </w:rPr>
        <w:t>הנאשם</w:t>
      </w:r>
      <w:r>
        <w:rPr>
          <w:rFonts w:ascii="David" w:hAnsi="David" w:cs="FrankRuehl"/>
          <w:sz w:val="28"/>
          <w:szCs w:val="28"/>
          <w:rtl/>
        </w:rPr>
        <w:t xml:space="preserve"> </w:t>
      </w:r>
      <w:r>
        <w:rPr>
          <w:rFonts w:ascii="David" w:hAnsi="David" w:cs="FrankRuehl" w:hint="eastAsia"/>
          <w:sz w:val="28"/>
          <w:szCs w:val="28"/>
          <w:rtl/>
        </w:rPr>
        <w:t>צער</w:t>
      </w:r>
      <w:r>
        <w:rPr>
          <w:rFonts w:ascii="David" w:hAnsi="David" w:cs="FrankRuehl"/>
          <w:sz w:val="28"/>
          <w:szCs w:val="28"/>
          <w:rtl/>
        </w:rPr>
        <w:t xml:space="preserve"> </w:t>
      </w:r>
      <w:r>
        <w:rPr>
          <w:rFonts w:ascii="David" w:hAnsi="David" w:cs="FrankRuehl" w:hint="eastAsia"/>
          <w:sz w:val="28"/>
          <w:szCs w:val="28"/>
          <w:rtl/>
        </w:rPr>
        <w:t>וחרטה</w:t>
      </w:r>
      <w:r>
        <w:rPr>
          <w:rFonts w:ascii="David" w:hAnsi="David" w:cs="FrankRuehl"/>
          <w:sz w:val="28"/>
          <w:szCs w:val="28"/>
          <w:rtl/>
        </w:rPr>
        <w:t xml:space="preserve"> </w:t>
      </w:r>
      <w:r>
        <w:rPr>
          <w:rFonts w:ascii="David" w:hAnsi="David" w:cs="FrankRuehl" w:hint="eastAsia"/>
          <w:sz w:val="28"/>
          <w:szCs w:val="28"/>
          <w:rtl/>
        </w:rPr>
        <w:t>על</w:t>
      </w:r>
      <w:r>
        <w:rPr>
          <w:rFonts w:ascii="David" w:hAnsi="David" w:cs="FrankRuehl"/>
          <w:sz w:val="28"/>
          <w:szCs w:val="28"/>
          <w:rtl/>
        </w:rPr>
        <w:t xml:space="preserve"> </w:t>
      </w:r>
      <w:r>
        <w:rPr>
          <w:rFonts w:ascii="David" w:hAnsi="David" w:cs="FrankRuehl" w:hint="eastAsia"/>
          <w:sz w:val="28"/>
          <w:szCs w:val="28"/>
          <w:rtl/>
        </w:rPr>
        <w:t>מעשיו</w:t>
      </w:r>
      <w:r>
        <w:rPr>
          <w:rFonts w:ascii="David" w:hAnsi="David" w:cs="FrankRuehl"/>
          <w:sz w:val="28"/>
          <w:szCs w:val="28"/>
          <w:rtl/>
        </w:rPr>
        <w:t>.</w:t>
      </w:r>
    </w:p>
    <w:p w14:paraId="049DD57A" w14:textId="77777777" w:rsidR="001044EA" w:rsidRDefault="005B3CF2">
      <w:pPr>
        <w:spacing w:line="360" w:lineRule="auto"/>
        <w:ind w:left="720"/>
        <w:jc w:val="both"/>
        <w:rPr>
          <w:rFonts w:ascii="Arial" w:hAnsi="Arial" w:cs="Miriam"/>
        </w:rPr>
      </w:pPr>
      <w:r>
        <w:rPr>
          <w:rFonts w:ascii="Arial" w:hAnsi="Arial" w:cs="Miriam"/>
          <w:rtl/>
        </w:rPr>
        <w:t>דיון</w:t>
      </w:r>
    </w:p>
    <w:p w14:paraId="36136F4E" w14:textId="77777777" w:rsidR="001044EA" w:rsidRDefault="005B3CF2">
      <w:pPr>
        <w:spacing w:line="360" w:lineRule="auto"/>
        <w:ind w:left="360" w:firstLine="360"/>
        <w:jc w:val="both"/>
        <w:rPr>
          <w:rFonts w:ascii="Arial" w:hAnsi="Arial" w:cs="Miriam"/>
          <w:highlight w:val="green"/>
          <w:rtl/>
        </w:rPr>
      </w:pPr>
      <w:r>
        <w:rPr>
          <w:rFonts w:ascii="Arial" w:hAnsi="Arial" w:cs="Miriam"/>
          <w:b/>
          <w:bCs/>
          <w:rtl/>
        </w:rPr>
        <w:t>אקדמת מילין</w:t>
      </w:r>
    </w:p>
    <w:p w14:paraId="22A1CFD7"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כאשר מדובר בכתב אישום שהוא תוצר של הסדר טיעון, אל לו לבית המשפט להיזקק לעובדות או לנסיבות שלא נכללו בכתב האישום, שבעובדותיו הודה הנאשם </w:t>
      </w:r>
      <w:hyperlink r:id="rId21" w:history="1">
        <w:r w:rsidRPr="005B3CF2">
          <w:rPr>
            <w:rFonts w:ascii="Arial" w:hAnsi="Arial" w:cs="FrankRuehl"/>
            <w:color w:val="0000FF"/>
            <w:sz w:val="28"/>
            <w:szCs w:val="28"/>
            <w:u w:val="single"/>
            <w:rtl/>
          </w:rPr>
          <w:t>ע"פ 3060/15</w:t>
        </w:r>
      </w:hyperlink>
      <w:r>
        <w:rPr>
          <w:rFonts w:ascii="Arial" w:hAnsi="Arial" w:cs="FrankRuehl"/>
          <w:sz w:val="28"/>
          <w:szCs w:val="28"/>
          <w:rtl/>
        </w:rPr>
        <w:t xml:space="preserve"> </w:t>
      </w:r>
      <w:r>
        <w:rPr>
          <w:rFonts w:ascii="Arial" w:hAnsi="Arial" w:cs="Miriam"/>
          <w:rtl/>
        </w:rPr>
        <w:t>אבו רגייג נגד מדינית ישראל</w:t>
      </w:r>
      <w:r>
        <w:rPr>
          <w:rFonts w:ascii="Arial" w:hAnsi="Arial" w:cs="FrankRuehl"/>
          <w:sz w:val="28"/>
          <w:szCs w:val="28"/>
          <w:rtl/>
        </w:rPr>
        <w:t xml:space="preserve"> (21.7.2015). עוד ראו </w:t>
      </w:r>
      <w:hyperlink r:id="rId22" w:history="1">
        <w:r w:rsidRPr="005B3CF2">
          <w:rPr>
            <w:rFonts w:ascii="Arial" w:hAnsi="Arial" w:cs="FrankRuehl"/>
            <w:color w:val="0000FF"/>
            <w:sz w:val="28"/>
            <w:szCs w:val="28"/>
            <w:u w:val="single"/>
            <w:rtl/>
          </w:rPr>
          <w:t>ע"פ 5841/14</w:t>
        </w:r>
      </w:hyperlink>
      <w:r>
        <w:rPr>
          <w:rFonts w:ascii="Arial" w:hAnsi="Arial" w:cs="FrankRuehl"/>
          <w:sz w:val="28"/>
          <w:szCs w:val="28"/>
          <w:rtl/>
        </w:rPr>
        <w:t xml:space="preserve"> </w:t>
      </w:r>
      <w:r>
        <w:rPr>
          <w:rFonts w:ascii="Arial" w:hAnsi="Arial" w:cs="Miriam"/>
          <w:rtl/>
        </w:rPr>
        <w:t>ארקאן נגד מדינת ישראל</w:t>
      </w:r>
      <w:r>
        <w:rPr>
          <w:rFonts w:ascii="Arial" w:hAnsi="Arial" w:cs="FrankRuehl"/>
          <w:sz w:val="28"/>
          <w:szCs w:val="28"/>
          <w:rtl/>
        </w:rPr>
        <w:t xml:space="preserve"> (8.7.2015):</w:t>
      </w:r>
    </w:p>
    <w:p w14:paraId="34AF300A" w14:textId="77777777" w:rsidR="001044EA" w:rsidRDefault="005B3CF2">
      <w:pPr>
        <w:tabs>
          <w:tab w:val="left" w:pos="800"/>
        </w:tabs>
        <w:overflowPunct w:val="0"/>
        <w:adjustRightInd w:val="0"/>
        <w:ind w:left="1440" w:right="540"/>
        <w:jc w:val="both"/>
        <w:rPr>
          <w:rFonts w:ascii="Arial TUR" w:hAnsi="Arial TUR" w:cs="FrankRuehl"/>
          <w:spacing w:val="10"/>
          <w:sz w:val="28"/>
          <w:szCs w:val="28"/>
          <w:rtl/>
        </w:rPr>
      </w:pPr>
      <w:r>
        <w:rPr>
          <w:rFonts w:ascii="Arial TUR" w:hAnsi="Arial TUR" w:cs="FrankRuehl"/>
          <w:spacing w:val="10"/>
          <w:sz w:val="28"/>
          <w:szCs w:val="28"/>
          <w:rtl/>
        </w:rPr>
        <w:t xml:space="preserve">"על כתב האישום, ובפרט אם מדובר בכתב אישום מתוקן שהוגש במסגרת הסדר טיעון, לכלול את כל העובדות והנסיבות הרלבנטיות לביצוע העבירה... כאשר מדובר בכתב אישום שהוא תוצר של הסדר טיעון, אל לו לבית המשפט להיזקק לעובדות או לנסיבות שלא נכללו בכתב האישום, שבעובדותיו הודה הנאשם". </w:t>
      </w:r>
    </w:p>
    <w:p w14:paraId="3FD2CDAB" w14:textId="77777777" w:rsidR="001044EA" w:rsidRDefault="001044EA">
      <w:pPr>
        <w:tabs>
          <w:tab w:val="left" w:pos="800"/>
        </w:tabs>
        <w:overflowPunct w:val="0"/>
        <w:adjustRightInd w:val="0"/>
        <w:spacing w:line="360" w:lineRule="auto"/>
        <w:ind w:left="1440" w:right="540"/>
        <w:jc w:val="both"/>
        <w:rPr>
          <w:rFonts w:ascii="Arial TUR" w:hAnsi="Arial TUR" w:cs="FrankRuehl"/>
          <w:spacing w:val="10"/>
          <w:sz w:val="28"/>
          <w:szCs w:val="28"/>
          <w:rtl/>
        </w:rPr>
      </w:pPr>
    </w:p>
    <w:p w14:paraId="1528F164" w14:textId="77777777" w:rsidR="001044EA" w:rsidRDefault="005B3CF2">
      <w:pPr>
        <w:spacing w:line="360" w:lineRule="auto"/>
        <w:ind w:left="720"/>
        <w:jc w:val="both"/>
        <w:rPr>
          <w:rFonts w:ascii="Arial" w:hAnsi="Arial" w:cs="FrankRuehl"/>
          <w:color w:val="000000"/>
          <w:sz w:val="28"/>
          <w:szCs w:val="28"/>
          <w:rtl/>
        </w:rPr>
      </w:pPr>
      <w:r>
        <w:rPr>
          <w:rFonts w:ascii="Arial" w:hAnsi="Arial" w:cs="FrankRuehl"/>
          <w:color w:val="000000"/>
          <w:sz w:val="28"/>
          <w:szCs w:val="28"/>
          <w:rtl/>
        </w:rPr>
        <w:t>כל טיעוני המאשימה ופסקי הדין אליהם הפנתה מתבססים על טענה כי הנאשם פעל ממניעים אידיאולוגיים, מבלי שיש לכך ביטוי בעובדות כתב האישום המתוקן. על פי כתב האישום המתוקן, במהלך חודשים יוני-יולי 2014 התקיימו הפרות סדר במקומות שונים, הנאשם השתתף בהתפרעות אחת בתחילת חודש יולי 2014, במהלכה השליך מספר אבנים לעבר שוטרים והחזיק בידיו בקבוק תבערה והשליכו (מבלי שצוין לאן השליכו). גם בתסקיר שירות המבחן אין ביטוי למניעים איד</w:t>
      </w:r>
      <w:r>
        <w:rPr>
          <w:rFonts w:ascii="Arial" w:hAnsi="Arial" w:cs="FrankRuehl" w:hint="cs"/>
          <w:color w:val="000000"/>
          <w:sz w:val="28"/>
          <w:szCs w:val="28"/>
          <w:rtl/>
        </w:rPr>
        <w:t>י</w:t>
      </w:r>
      <w:r>
        <w:rPr>
          <w:rFonts w:ascii="Arial" w:hAnsi="Arial" w:cs="FrankRuehl"/>
          <w:color w:val="000000"/>
          <w:sz w:val="28"/>
          <w:szCs w:val="28"/>
          <w:rtl/>
        </w:rPr>
        <w:t xml:space="preserve">אולוגיים, הנאשם לא פעיל בפעילות פוליטית, הוא נקלע באקראי למקום ההתפרעות ולא מעבר לכך ולכן אתעלם מנסיבות חמורות אלו שנטענו על ידי ב"כ המאשימה. </w:t>
      </w:r>
    </w:p>
    <w:p w14:paraId="5EC13BC1" w14:textId="77777777" w:rsidR="001044EA" w:rsidRDefault="001044EA">
      <w:pPr>
        <w:spacing w:line="360" w:lineRule="auto"/>
        <w:ind w:left="720"/>
        <w:jc w:val="both"/>
        <w:rPr>
          <w:rFonts w:ascii="Arial" w:hAnsi="Arial" w:cs="FrankRuehl"/>
          <w:color w:val="000000"/>
          <w:sz w:val="28"/>
          <w:szCs w:val="28"/>
          <w:rtl/>
        </w:rPr>
      </w:pPr>
    </w:p>
    <w:p w14:paraId="361E3E52" w14:textId="77777777" w:rsidR="001044EA" w:rsidRDefault="005B3CF2">
      <w:pPr>
        <w:spacing w:line="360" w:lineRule="auto"/>
        <w:ind w:left="720"/>
        <w:jc w:val="both"/>
        <w:rPr>
          <w:rFonts w:ascii="Arial" w:hAnsi="Arial" w:cs="FrankRuehl"/>
          <w:color w:val="000000"/>
          <w:sz w:val="28"/>
          <w:szCs w:val="28"/>
          <w:rtl/>
        </w:rPr>
      </w:pPr>
      <w:r>
        <w:rPr>
          <w:rFonts w:ascii="Arial" w:hAnsi="Arial" w:cs="FrankRuehl"/>
          <w:color w:val="000000"/>
          <w:sz w:val="28"/>
          <w:szCs w:val="28"/>
          <w:rtl/>
        </w:rPr>
        <w:t>מנגד לא אתייחס גם לטיעוני הסנגור באשר לעובדות שאינן מוזכרות בכתב האישום המתוקן, כגון המרחק שהיה בין הנאשם לבין השוטרים והסיכון בו היו עקב כך.</w:t>
      </w:r>
    </w:p>
    <w:p w14:paraId="41499626" w14:textId="77777777" w:rsidR="001044EA" w:rsidRDefault="001044EA">
      <w:pPr>
        <w:spacing w:line="360" w:lineRule="auto"/>
        <w:ind w:left="720"/>
        <w:jc w:val="both"/>
        <w:rPr>
          <w:rFonts w:ascii="Arial" w:hAnsi="Arial" w:cs="FrankRuehl"/>
          <w:color w:val="000000"/>
          <w:sz w:val="28"/>
          <w:szCs w:val="28"/>
          <w:rtl/>
        </w:rPr>
      </w:pPr>
    </w:p>
    <w:p w14:paraId="3F11F8C9" w14:textId="77777777" w:rsidR="001044EA" w:rsidRDefault="001044EA">
      <w:pPr>
        <w:spacing w:line="360" w:lineRule="auto"/>
        <w:ind w:left="720"/>
        <w:jc w:val="both"/>
        <w:rPr>
          <w:rFonts w:ascii="Arial" w:hAnsi="Arial" w:cs="FrankRuehl"/>
          <w:color w:val="000000"/>
          <w:sz w:val="28"/>
          <w:szCs w:val="28"/>
          <w:rtl/>
        </w:rPr>
      </w:pPr>
    </w:p>
    <w:p w14:paraId="2F820DB7" w14:textId="77777777" w:rsidR="001044EA" w:rsidRDefault="005B3CF2">
      <w:pPr>
        <w:spacing w:line="360" w:lineRule="auto"/>
        <w:ind w:left="720"/>
        <w:jc w:val="both"/>
        <w:rPr>
          <w:rFonts w:ascii="Arial" w:hAnsi="Arial" w:cs="FrankRuehl"/>
          <w:color w:val="000000"/>
          <w:sz w:val="28"/>
          <w:szCs w:val="28"/>
          <w:rtl/>
        </w:rPr>
      </w:pPr>
      <w:r>
        <w:rPr>
          <w:rFonts w:ascii="Arial" w:hAnsi="Arial" w:cs="FrankRuehl"/>
          <w:color w:val="000000"/>
          <w:sz w:val="28"/>
          <w:szCs w:val="28"/>
          <w:rtl/>
        </w:rPr>
        <w:t>במקרה זה חל תיקון 113 לחוק שקובע כי "</w:t>
      </w:r>
      <w:r>
        <w:rPr>
          <w:rFonts w:ascii="Arial" w:hAnsi="Arial" w:cs="FrankRuehl"/>
          <w:sz w:val="28"/>
          <w:szCs w:val="28"/>
          <w:rtl/>
        </w:rPr>
        <w:t>העיקרון המנחה בענישה הוא קיומו של יחס הולם בין חומרת מעשה העבירה בנסיבותיו ומידת אשמו של הנאשם ובין סוג ומידת העונש המוטל עלי</w:t>
      </w:r>
      <w:r>
        <w:rPr>
          <w:rFonts w:ascii="Arial" w:hAnsi="Arial" w:cs="FrankRuehl"/>
          <w:color w:val="000000"/>
          <w:sz w:val="28"/>
          <w:szCs w:val="28"/>
          <w:rtl/>
        </w:rPr>
        <w:t>ו" (</w:t>
      </w:r>
      <w:hyperlink r:id="rId23" w:history="1">
        <w:r w:rsidR="00AF580D" w:rsidRPr="00AF580D">
          <w:rPr>
            <w:rStyle w:val="Hyperlink"/>
            <w:rFonts w:ascii="Arial" w:hAnsi="Arial" w:cs="FrankRuehl"/>
            <w:sz w:val="28"/>
            <w:szCs w:val="28"/>
            <w:rtl/>
          </w:rPr>
          <w:t>סעיף 40ב'</w:t>
        </w:r>
      </w:hyperlink>
      <w:r>
        <w:rPr>
          <w:rFonts w:ascii="Arial" w:hAnsi="Arial" w:cs="FrankRuehl"/>
          <w:color w:val="000000"/>
          <w:sz w:val="28"/>
          <w:szCs w:val="28"/>
          <w:rtl/>
        </w:rPr>
        <w:t xml:space="preserve"> לחוק).</w:t>
      </w:r>
    </w:p>
    <w:p w14:paraId="2B54DF07" w14:textId="77777777" w:rsidR="001044EA" w:rsidRDefault="001044EA">
      <w:pPr>
        <w:spacing w:line="360" w:lineRule="auto"/>
        <w:ind w:left="720"/>
        <w:jc w:val="both"/>
        <w:rPr>
          <w:rFonts w:ascii="Arial" w:hAnsi="Arial" w:cs="FrankRuehl"/>
          <w:color w:val="000000"/>
          <w:sz w:val="28"/>
          <w:szCs w:val="28"/>
          <w:rtl/>
        </w:rPr>
      </w:pPr>
    </w:p>
    <w:p w14:paraId="71FCD633" w14:textId="77777777" w:rsidR="001044EA" w:rsidRDefault="005B3CF2">
      <w:pPr>
        <w:spacing w:line="360" w:lineRule="auto"/>
        <w:ind w:left="720"/>
        <w:jc w:val="both"/>
        <w:rPr>
          <w:rFonts w:ascii="Arial" w:hAnsi="Arial" w:cs="FrankRuehl"/>
          <w:sz w:val="28"/>
          <w:szCs w:val="28"/>
          <w:rtl/>
        </w:rPr>
      </w:pPr>
      <w:r>
        <w:rPr>
          <w:rFonts w:ascii="Arial" w:hAnsi="Arial" w:cs="FrankRuehl"/>
          <w:color w:val="000000"/>
          <w:sz w:val="28"/>
          <w:szCs w:val="28"/>
          <w:rtl/>
        </w:rPr>
        <w:t>מקובלת עליי עמדת שני הצדדים כי במקרה זה מדובר באירוע אחד</w:t>
      </w:r>
      <w:r>
        <w:rPr>
          <w:rFonts w:ascii="Arial" w:hAnsi="Arial" w:cs="FrankRuehl" w:hint="cs"/>
          <w:color w:val="000000"/>
          <w:sz w:val="28"/>
          <w:szCs w:val="28"/>
          <w:rtl/>
        </w:rPr>
        <w:t xml:space="preserve">. </w:t>
      </w:r>
      <w:r>
        <w:rPr>
          <w:rFonts w:ascii="Arial" w:hAnsi="Arial" w:cs="FrankRuehl"/>
          <w:color w:val="000000"/>
          <w:sz w:val="28"/>
          <w:szCs w:val="28"/>
          <w:rtl/>
        </w:rPr>
        <w:t xml:space="preserve">השלכת האבנים ובקבוק התבערה, הייתה חלק מאירוע אחד-התפרעות אחת, במהלכה באותה מסגרת זמנים וכשיש קשר הדוק בין המעשים, ביצע הנאשם את מעשיו, </w:t>
      </w:r>
      <w:r>
        <w:rPr>
          <w:rFonts w:ascii="Arial" w:hAnsi="Arial" w:cs="FrankRuehl"/>
          <w:spacing w:val="6"/>
          <w:sz w:val="28"/>
          <w:szCs w:val="28"/>
          <w:rtl/>
        </w:rPr>
        <w:t xml:space="preserve">בהתאם לכך אקבע מתחם עונש הולם אחד לאירוע הכולל. </w:t>
      </w:r>
    </w:p>
    <w:p w14:paraId="0BB24762" w14:textId="77777777" w:rsidR="001044EA" w:rsidRDefault="001044EA">
      <w:pPr>
        <w:spacing w:line="360" w:lineRule="auto"/>
        <w:ind w:left="720"/>
        <w:jc w:val="both"/>
        <w:outlineLvl w:val="0"/>
        <w:rPr>
          <w:rFonts w:ascii="Arial" w:hAnsi="Arial" w:cs="FrankRuehl"/>
          <w:sz w:val="28"/>
          <w:szCs w:val="28"/>
          <w:rtl/>
        </w:rPr>
      </w:pPr>
    </w:p>
    <w:p w14:paraId="516940F5" w14:textId="77777777" w:rsidR="001044EA" w:rsidRDefault="005B3CF2">
      <w:pPr>
        <w:spacing w:line="360" w:lineRule="auto"/>
        <w:ind w:left="360" w:firstLine="360"/>
        <w:jc w:val="both"/>
        <w:rPr>
          <w:rFonts w:ascii="Arial" w:hAnsi="Arial" w:cs="Miriam"/>
          <w:rtl/>
        </w:rPr>
      </w:pPr>
      <w:r>
        <w:rPr>
          <w:rFonts w:ascii="Arial" w:hAnsi="Arial" w:cs="Miriam"/>
          <w:rtl/>
        </w:rPr>
        <w:t>מתחם העונש ההולם</w:t>
      </w:r>
    </w:p>
    <w:p w14:paraId="4DEDE659"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הנאשם פגע במעשיו, פגיעה קלה בערכים חברתיים של שלום הציבור ובטחונו, לרבות ההגנה על כוחות בטחון. </w:t>
      </w:r>
    </w:p>
    <w:p w14:paraId="3AAABB06" w14:textId="77777777" w:rsidR="001044EA" w:rsidRDefault="001044EA">
      <w:pPr>
        <w:spacing w:line="360" w:lineRule="auto"/>
        <w:ind w:left="720"/>
        <w:jc w:val="both"/>
        <w:rPr>
          <w:rFonts w:ascii="Arial" w:hAnsi="Arial" w:cs="FrankRuehl"/>
          <w:sz w:val="28"/>
          <w:szCs w:val="28"/>
          <w:rtl/>
        </w:rPr>
      </w:pPr>
    </w:p>
    <w:p w14:paraId="42D5B517"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לנאשם יוחסו עבירות שבפועל על פי הנסיבות אינן על הרף הגבוה, עבירה של התפרעות, העונש המרבי הקבוע לצידה בחוק הוא שנתיים מאסר (להבדיל מעבירות החמורות של סיכון חיי אדם בנתיב תחבורה, עבירות לפי </w:t>
      </w:r>
      <w:hyperlink r:id="rId24" w:history="1">
        <w:r w:rsidR="00AF580D" w:rsidRPr="00AF580D">
          <w:rPr>
            <w:rStyle w:val="Hyperlink"/>
            <w:rFonts w:ascii="Arial" w:hAnsi="Arial" w:cs="FrankRuehl"/>
            <w:sz w:val="28"/>
            <w:szCs w:val="28"/>
            <w:rtl/>
          </w:rPr>
          <w:t>סעיף 332</w:t>
        </w:r>
      </w:hyperlink>
      <w:r>
        <w:rPr>
          <w:rFonts w:ascii="Arial" w:hAnsi="Arial" w:cs="FrankRuehl"/>
          <w:sz w:val="28"/>
          <w:szCs w:val="28"/>
          <w:rtl/>
        </w:rPr>
        <w:t xml:space="preserve"> לחוק), עבירה של ניסיון לתקיפת שוטר בנסיבות מחמירות, העונש הקבוע לצידה הוא מעונש מינימום של 3 חודשים ועד</w:t>
      </w:r>
      <w:r>
        <w:rPr>
          <w:rFonts w:ascii="Arial" w:hAnsi="Arial" w:cs="FrankRuehl" w:hint="cs"/>
          <w:sz w:val="28"/>
          <w:szCs w:val="28"/>
          <w:rtl/>
        </w:rPr>
        <w:t xml:space="preserve"> עונש מרבי של </w:t>
      </w:r>
      <w:r>
        <w:rPr>
          <w:rFonts w:ascii="Arial" w:hAnsi="Arial" w:cs="FrankRuehl"/>
          <w:sz w:val="28"/>
          <w:szCs w:val="28"/>
          <w:rtl/>
        </w:rPr>
        <w:t>5 שנים ואפנה בעניין זה לתיקון 119 לחוק, שאינו חל במקרה זה,</w:t>
      </w:r>
      <w:r>
        <w:rPr>
          <w:rFonts w:ascii="Arial" w:hAnsi="Arial" w:cs="FrankRuehl" w:hint="cs"/>
          <w:sz w:val="28"/>
          <w:szCs w:val="28"/>
          <w:rtl/>
        </w:rPr>
        <w:t xml:space="preserve"> </w:t>
      </w:r>
      <w:r>
        <w:rPr>
          <w:rFonts w:ascii="Arial" w:hAnsi="Arial" w:cs="FrankRuehl"/>
          <w:sz w:val="28"/>
          <w:szCs w:val="28"/>
          <w:rtl/>
        </w:rPr>
        <w:t xml:space="preserve">אך מבטא את מדיניות ההחמרה בענישה, גם לגבי השלכת אבנים או חפצים לעבר שוטרים (ראו </w:t>
      </w:r>
      <w:hyperlink r:id="rId25" w:history="1">
        <w:r w:rsidR="00AF580D" w:rsidRPr="00AF580D">
          <w:rPr>
            <w:rStyle w:val="Hyperlink"/>
            <w:rFonts w:ascii="Arial" w:hAnsi="Arial" w:cs="FrankRuehl"/>
            <w:sz w:val="28"/>
            <w:szCs w:val="28"/>
            <w:rtl/>
          </w:rPr>
          <w:t>סעיף 275א</w:t>
        </w:r>
      </w:hyperlink>
      <w:r>
        <w:rPr>
          <w:rFonts w:ascii="Arial" w:hAnsi="Arial" w:cs="FrankRuehl"/>
          <w:sz w:val="28"/>
          <w:szCs w:val="28"/>
          <w:rtl/>
        </w:rPr>
        <w:t xml:space="preserve"> לחוק הקובע עונש של 5 שנות מאסר).</w:t>
      </w:r>
    </w:p>
    <w:p w14:paraId="1B90FA04" w14:textId="77777777" w:rsidR="001044EA" w:rsidRDefault="001044EA">
      <w:pPr>
        <w:spacing w:line="360" w:lineRule="auto"/>
        <w:ind w:left="720"/>
        <w:jc w:val="both"/>
        <w:rPr>
          <w:rFonts w:ascii="Arial" w:hAnsi="Arial" w:cs="FrankRuehl"/>
          <w:sz w:val="28"/>
          <w:szCs w:val="28"/>
          <w:rtl/>
        </w:rPr>
      </w:pPr>
    </w:p>
    <w:p w14:paraId="23D429F2"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לגבי העבירות בנשק, במקרה זה </w:t>
      </w:r>
      <w:r>
        <w:rPr>
          <w:rFonts w:ascii="Arial" w:hAnsi="Arial" w:cs="FrankRuehl" w:hint="cs"/>
          <w:sz w:val="28"/>
          <w:szCs w:val="28"/>
          <w:rtl/>
        </w:rPr>
        <w:t xml:space="preserve">עבירה של </w:t>
      </w:r>
      <w:r>
        <w:rPr>
          <w:rFonts w:ascii="Arial" w:hAnsi="Arial" w:cs="FrankRuehl"/>
          <w:sz w:val="28"/>
          <w:szCs w:val="28"/>
          <w:rtl/>
        </w:rPr>
        <w:t xml:space="preserve">החזקת בקבוק תבערה לזמן קצר אותו </w:t>
      </w:r>
      <w:r>
        <w:rPr>
          <w:rFonts w:ascii="Arial" w:hAnsi="Arial" w:cs="FrankRuehl" w:hint="cs"/>
          <w:sz w:val="28"/>
          <w:szCs w:val="28"/>
          <w:rtl/>
        </w:rPr>
        <w:t>ק</w:t>
      </w:r>
      <w:r>
        <w:rPr>
          <w:rFonts w:ascii="Arial" w:hAnsi="Arial" w:cs="FrankRuehl"/>
          <w:sz w:val="28"/>
          <w:szCs w:val="28"/>
          <w:rtl/>
        </w:rPr>
        <w:t xml:space="preserve">יבל והשלכתו, ללא ציון לאן השליך. </w:t>
      </w:r>
    </w:p>
    <w:p w14:paraId="1D59EF20" w14:textId="77777777" w:rsidR="001044EA" w:rsidRDefault="001044EA">
      <w:pPr>
        <w:spacing w:line="360" w:lineRule="auto"/>
        <w:ind w:left="720"/>
        <w:jc w:val="both"/>
        <w:rPr>
          <w:rFonts w:ascii="Arial" w:hAnsi="Arial" w:cs="FrankRuehl"/>
          <w:sz w:val="28"/>
          <w:szCs w:val="28"/>
          <w:rtl/>
        </w:rPr>
      </w:pPr>
    </w:p>
    <w:p w14:paraId="1E3759AC"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פסקי הדין אליהם הפנתה המאשימה שונים בנסיבותיהם מהמקרה שלפניי ולכן חשוב להדגיש את הנסיבות הקשורות בביצוע העבירה ( 40ט' לחוק). </w:t>
      </w:r>
    </w:p>
    <w:p w14:paraId="4C77D40E" w14:textId="77777777" w:rsidR="001044EA" w:rsidRDefault="001044EA">
      <w:pPr>
        <w:spacing w:line="360" w:lineRule="auto"/>
        <w:ind w:left="720"/>
        <w:jc w:val="both"/>
        <w:rPr>
          <w:rFonts w:ascii="Arial" w:hAnsi="Arial" w:cs="FrankRuehl"/>
          <w:sz w:val="28"/>
          <w:szCs w:val="28"/>
          <w:rtl/>
        </w:rPr>
      </w:pPr>
    </w:p>
    <w:p w14:paraId="2C0EFC3F"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בצדק ציין הסנגור כי הנאשם השתתף באירוע נקודתי אחד, למרות שהפרות הסדר לפי הנטען בכתב האישום התרחשו במהלך חודשים יוני-יולי 2014, הנאשם </w:t>
      </w:r>
      <w:r>
        <w:rPr>
          <w:rFonts w:ascii="Arial" w:hAnsi="Arial" w:cs="FrankRuehl" w:hint="cs"/>
          <w:sz w:val="28"/>
          <w:szCs w:val="28"/>
          <w:rtl/>
        </w:rPr>
        <w:t>נטל חלק רק ב</w:t>
      </w:r>
      <w:r>
        <w:rPr>
          <w:rFonts w:ascii="Arial" w:hAnsi="Arial" w:cs="FrankRuehl"/>
          <w:sz w:val="28"/>
          <w:szCs w:val="28"/>
          <w:rtl/>
        </w:rPr>
        <w:t>פעם אחת בהתפרעות בתחילת חודש יולי 2014, אל</w:t>
      </w:r>
      <w:r>
        <w:rPr>
          <w:rFonts w:ascii="Arial" w:hAnsi="Arial" w:cs="FrankRuehl" w:hint="cs"/>
          <w:sz w:val="28"/>
          <w:szCs w:val="28"/>
          <w:rtl/>
        </w:rPr>
        <w:t xml:space="preserve">יה </w:t>
      </w:r>
      <w:r>
        <w:rPr>
          <w:rFonts w:ascii="Arial" w:hAnsi="Arial" w:cs="FrankRuehl"/>
          <w:sz w:val="28"/>
          <w:szCs w:val="28"/>
          <w:rtl/>
        </w:rPr>
        <w:t xml:space="preserve">נקלע ללא תכנון מוקדם, ללא שיחות ותיאומים עם אחרים, היקלעות אקראית בדרכו לבית דודתו. </w:t>
      </w:r>
      <w:r>
        <w:rPr>
          <w:rFonts w:ascii="Arial" w:hAnsi="Arial" w:cs="FrankRuehl" w:hint="cs"/>
          <w:sz w:val="28"/>
          <w:szCs w:val="28"/>
          <w:rtl/>
        </w:rPr>
        <w:t xml:space="preserve">אני משוכנע כי </w:t>
      </w:r>
      <w:r>
        <w:rPr>
          <w:rFonts w:ascii="Arial" w:hAnsi="Arial" w:cs="FrankRuehl"/>
          <w:sz w:val="28"/>
          <w:szCs w:val="28"/>
          <w:rtl/>
        </w:rPr>
        <w:t>לו היה ביטוי בחומר החקירה למעורבות ממניעים אידאולוגיים, לרבות בחקירת השב"כ, הי</w:t>
      </w:r>
      <w:r>
        <w:rPr>
          <w:rFonts w:ascii="Arial" w:hAnsi="Arial" w:cs="FrankRuehl" w:hint="cs"/>
          <w:sz w:val="28"/>
          <w:szCs w:val="28"/>
          <w:rtl/>
        </w:rPr>
        <w:t>י</w:t>
      </w:r>
      <w:r>
        <w:rPr>
          <w:rFonts w:ascii="Arial" w:hAnsi="Arial" w:cs="FrankRuehl"/>
          <w:sz w:val="28"/>
          <w:szCs w:val="28"/>
          <w:rtl/>
        </w:rPr>
        <w:t>תה המאשימה מצ</w:t>
      </w:r>
      <w:r>
        <w:rPr>
          <w:rFonts w:ascii="Arial" w:hAnsi="Arial" w:cs="FrankRuehl" w:hint="cs"/>
          <w:sz w:val="28"/>
          <w:szCs w:val="28"/>
          <w:rtl/>
        </w:rPr>
        <w:t>י</w:t>
      </w:r>
      <w:r>
        <w:rPr>
          <w:rFonts w:ascii="Arial" w:hAnsi="Arial" w:cs="FrankRuehl"/>
          <w:sz w:val="28"/>
          <w:szCs w:val="28"/>
          <w:rtl/>
        </w:rPr>
        <w:t>גה עובדות אלו בכתב האישום.</w:t>
      </w:r>
    </w:p>
    <w:p w14:paraId="55EFCA96" w14:textId="77777777" w:rsidR="001044EA" w:rsidRDefault="001044EA">
      <w:pPr>
        <w:spacing w:line="360" w:lineRule="auto"/>
        <w:ind w:left="720"/>
        <w:jc w:val="both"/>
        <w:rPr>
          <w:rFonts w:ascii="Arial" w:hAnsi="Arial" w:cs="FrankRuehl"/>
          <w:sz w:val="28"/>
          <w:szCs w:val="28"/>
          <w:rtl/>
        </w:rPr>
      </w:pPr>
    </w:p>
    <w:p w14:paraId="6B3BC431"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עוד חשוב להבהיר כי המסגרת העובדתית נקבעה בכתב האישום המתוקן וניתן לראות כי לא נטען שהנאשם השליך את בקבוק התבערה לעבר שוטרים או אנשים כל שהם. לא נטען כי ייצר את בקבוק התבערה או כי הייתה לו מעורבות דומיננטית באירוע, חלקו היחסי של הנאשם בביצוע העבירה הוא קטן.</w:t>
      </w:r>
      <w:r>
        <w:rPr>
          <w:rFonts w:ascii="Arial" w:hAnsi="Arial" w:cs="FrankRuehl" w:hint="cs"/>
          <w:sz w:val="28"/>
          <w:szCs w:val="28"/>
          <w:rtl/>
        </w:rPr>
        <w:t xml:space="preserve"> </w:t>
      </w:r>
    </w:p>
    <w:p w14:paraId="6EE2749F" w14:textId="77777777" w:rsidR="001044EA" w:rsidRDefault="001044EA">
      <w:pPr>
        <w:spacing w:line="360" w:lineRule="auto"/>
        <w:ind w:left="720"/>
        <w:jc w:val="both"/>
        <w:rPr>
          <w:rFonts w:ascii="Arial" w:hAnsi="Arial" w:cs="FrankRuehl"/>
          <w:sz w:val="28"/>
          <w:szCs w:val="28"/>
          <w:rtl/>
        </w:rPr>
      </w:pPr>
    </w:p>
    <w:p w14:paraId="00A0FC77"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אין מחלוקת כי השלכת אבן לעבר שוטרים יכולה לגרום נזק חמור שבמקרה זה לא נגרם ולכן הנאשם הור</w:t>
      </w:r>
      <w:r>
        <w:rPr>
          <w:rFonts w:ascii="Arial" w:hAnsi="Arial" w:cs="FrankRuehl" w:hint="cs"/>
          <w:sz w:val="28"/>
          <w:szCs w:val="28"/>
          <w:rtl/>
        </w:rPr>
        <w:t>ש</w:t>
      </w:r>
      <w:r>
        <w:rPr>
          <w:rFonts w:ascii="Arial" w:hAnsi="Arial" w:cs="FrankRuehl"/>
          <w:sz w:val="28"/>
          <w:szCs w:val="28"/>
          <w:rtl/>
        </w:rPr>
        <w:t>ע בניסיון לתקיפת השוטרים, גם השלכת בקבוק תבערה יכולה להביא לתוצאות קטלניות וכבר נפסק כי יש לראותו כנשק חם לכל דבר ועניין, (</w:t>
      </w:r>
      <w:hyperlink r:id="rId26" w:history="1">
        <w:r w:rsidRPr="005B3CF2">
          <w:rPr>
            <w:rFonts w:ascii="Arial" w:hAnsi="Arial" w:cs="FrankRuehl"/>
            <w:color w:val="0000FF"/>
            <w:sz w:val="28"/>
            <w:szCs w:val="28"/>
            <w:u w:val="single"/>
            <w:rtl/>
          </w:rPr>
          <w:t>ע"פ 262/06</w:t>
        </w:r>
      </w:hyperlink>
      <w:r>
        <w:rPr>
          <w:rFonts w:ascii="Arial" w:hAnsi="Arial" w:cs="FrankRuehl"/>
          <w:sz w:val="28"/>
          <w:szCs w:val="28"/>
          <w:rtl/>
        </w:rPr>
        <w:t xml:space="preserve"> </w:t>
      </w:r>
      <w:r>
        <w:rPr>
          <w:rFonts w:cs="Miriam"/>
          <w:rtl/>
        </w:rPr>
        <w:t>פלוני נ' מדינת ישראל</w:t>
      </w:r>
      <w:r>
        <w:rPr>
          <w:rFonts w:ascii="Arial" w:hAnsi="Arial" w:cs="FrankRuehl"/>
          <w:sz w:val="28"/>
          <w:szCs w:val="28"/>
          <w:rtl/>
        </w:rPr>
        <w:t xml:space="preserve"> (6.7.2006))</w:t>
      </w:r>
      <w:r>
        <w:rPr>
          <w:rFonts w:ascii="Arial" w:hAnsi="Arial" w:cs="FrankRuehl" w:hint="cs"/>
          <w:sz w:val="28"/>
          <w:szCs w:val="28"/>
          <w:rtl/>
        </w:rPr>
        <w:t xml:space="preserve"> אולם חשוב לזכור כי במקרה זה לא הואשם ולא הורשע הנאשם בעבירה של חבלה בכוונה מחמירה- עבירה לפי </w:t>
      </w:r>
      <w:hyperlink r:id="rId27" w:history="1">
        <w:r w:rsidR="00AF580D" w:rsidRPr="00AF580D">
          <w:rPr>
            <w:rStyle w:val="Hyperlink"/>
            <w:rFonts w:ascii="Arial" w:hAnsi="Arial" w:cs="FrankRuehl" w:hint="eastAsia"/>
            <w:sz w:val="28"/>
            <w:szCs w:val="28"/>
            <w:rtl/>
          </w:rPr>
          <w:t>סעיף</w:t>
        </w:r>
        <w:r w:rsidR="00AF580D" w:rsidRPr="00AF580D">
          <w:rPr>
            <w:rStyle w:val="Hyperlink"/>
            <w:rFonts w:ascii="Arial" w:hAnsi="Arial" w:cs="FrankRuehl"/>
            <w:sz w:val="28"/>
            <w:szCs w:val="28"/>
            <w:rtl/>
          </w:rPr>
          <w:t xml:space="preserve"> 329(א)(2)</w:t>
        </w:r>
      </w:hyperlink>
      <w:r>
        <w:rPr>
          <w:rFonts w:ascii="Arial" w:hAnsi="Arial" w:cs="FrankRuehl" w:hint="cs"/>
          <w:sz w:val="28"/>
          <w:szCs w:val="28"/>
          <w:rtl/>
        </w:rPr>
        <w:t xml:space="preserve"> לחוק, שבמהותה היא חלה גם על המנסה שלא כדין לחבול חבלה בכוונה מחמירה.</w:t>
      </w:r>
    </w:p>
    <w:p w14:paraId="3B0208B8" w14:textId="77777777" w:rsidR="001044EA" w:rsidRDefault="001044EA">
      <w:pPr>
        <w:spacing w:line="360" w:lineRule="auto"/>
        <w:ind w:left="720"/>
        <w:jc w:val="both"/>
        <w:rPr>
          <w:rFonts w:ascii="Arial" w:hAnsi="Arial" w:cs="FrankRuehl"/>
          <w:sz w:val="28"/>
          <w:szCs w:val="28"/>
          <w:rtl/>
        </w:rPr>
      </w:pPr>
    </w:p>
    <w:p w14:paraId="58154A1E" w14:textId="77777777" w:rsidR="001044EA" w:rsidRDefault="005B3CF2">
      <w:pPr>
        <w:spacing w:line="360" w:lineRule="auto"/>
        <w:ind w:left="720"/>
        <w:jc w:val="both"/>
        <w:rPr>
          <w:rFonts w:ascii="Arial" w:hAnsi="Arial" w:cs="FrankRuehl"/>
          <w:sz w:val="28"/>
          <w:szCs w:val="28"/>
          <w:rtl/>
        </w:rPr>
      </w:pPr>
      <w:r>
        <w:rPr>
          <w:rFonts w:ascii="Arial" w:hAnsi="Arial" w:cs="FrankRuehl" w:hint="cs"/>
          <w:sz w:val="28"/>
          <w:szCs w:val="28"/>
          <w:rtl/>
        </w:rPr>
        <w:t>ב</w:t>
      </w:r>
      <w:hyperlink r:id="rId28" w:history="1">
        <w:r w:rsidRPr="005B3CF2">
          <w:rPr>
            <w:rFonts w:ascii="Arial" w:hAnsi="Arial" w:cs="FrankRuehl"/>
            <w:color w:val="0000FF"/>
            <w:sz w:val="28"/>
            <w:szCs w:val="28"/>
            <w:u w:val="single"/>
            <w:rtl/>
          </w:rPr>
          <w:t>ע"פ 5961/13</w:t>
        </w:r>
      </w:hyperlink>
      <w:r>
        <w:rPr>
          <w:rFonts w:ascii="Arial" w:hAnsi="Arial" w:cs="FrankRuehl" w:hint="cs"/>
          <w:sz w:val="28"/>
          <w:szCs w:val="28"/>
          <w:rtl/>
        </w:rPr>
        <w:t xml:space="preserve"> שנדון במאוחד עם </w:t>
      </w:r>
      <w:hyperlink r:id="rId29" w:history="1">
        <w:r w:rsidRPr="005B3CF2">
          <w:rPr>
            <w:rFonts w:ascii="Arial" w:hAnsi="Arial" w:cs="FrankRuehl"/>
            <w:color w:val="0000FF"/>
            <w:sz w:val="28"/>
            <w:szCs w:val="28"/>
            <w:u w:val="single"/>
            <w:rtl/>
          </w:rPr>
          <w:t>ע"פ 6004/13</w:t>
        </w:r>
      </w:hyperlink>
      <w:r>
        <w:rPr>
          <w:rFonts w:ascii="Arial" w:hAnsi="Arial" w:cs="FrankRuehl" w:hint="cs"/>
          <w:sz w:val="28"/>
          <w:szCs w:val="28"/>
          <w:rtl/>
        </w:rPr>
        <w:t xml:space="preserve"> </w:t>
      </w:r>
      <w:r>
        <w:rPr>
          <w:rFonts w:ascii="Arial" w:hAnsi="Arial" w:cs="Miriam" w:hint="cs"/>
          <w:rtl/>
        </w:rPr>
        <w:t>פלוני נגד מדינת ישראל</w:t>
      </w:r>
      <w:r>
        <w:rPr>
          <w:rFonts w:ascii="Arial" w:hAnsi="Arial" w:cs="FrankRuehl" w:hint="cs"/>
          <w:sz w:val="28"/>
          <w:szCs w:val="28"/>
          <w:rtl/>
        </w:rPr>
        <w:t xml:space="preserve">, (26.3.2014) (להלן-ענין פלוני),  נדונו שני קטינים לעונש של 7 חודשי מאסר בפועל, </w:t>
      </w:r>
      <w:r>
        <w:rPr>
          <w:rFonts w:cs="FrankRuehl"/>
          <w:sz w:val="28"/>
          <w:szCs w:val="28"/>
          <w:rtl/>
        </w:rPr>
        <w:t>בע</w:t>
      </w:r>
      <w:r>
        <w:rPr>
          <w:rFonts w:cs="FrankRuehl" w:hint="cs"/>
          <w:sz w:val="28"/>
          <w:szCs w:val="28"/>
          <w:rtl/>
        </w:rPr>
        <w:t>קבות הרשעתם בבית משפט לנוער בע</w:t>
      </w:r>
      <w:r>
        <w:rPr>
          <w:rFonts w:cs="FrankRuehl"/>
          <w:sz w:val="28"/>
          <w:szCs w:val="28"/>
          <w:rtl/>
        </w:rPr>
        <w:t>בירות של ניסיון לחבלה בכוונה מחמירה, ניסיון לחבול בחומר נפיץ, ניסיון תקיפת שוטרים בנסיבות מחמירות והתפרעות</w:t>
      </w:r>
      <w:r>
        <w:rPr>
          <w:rFonts w:cs="FrankRuehl" w:hint="cs"/>
          <w:sz w:val="28"/>
          <w:szCs w:val="28"/>
          <w:rtl/>
        </w:rPr>
        <w:t xml:space="preserve">. כב' השופטת </w:t>
      </w:r>
      <w:r>
        <w:rPr>
          <w:rFonts w:cs="Miriam" w:hint="cs"/>
          <w:rtl/>
        </w:rPr>
        <w:t>א' חיות</w:t>
      </w:r>
      <w:r>
        <w:rPr>
          <w:rFonts w:cs="FrankRuehl" w:hint="cs"/>
          <w:sz w:val="28"/>
          <w:szCs w:val="28"/>
          <w:rtl/>
        </w:rPr>
        <w:t xml:space="preserve"> קבעה כי "</w:t>
      </w:r>
      <w:r>
        <w:rPr>
          <w:rFonts w:cs="FrankRuehl"/>
          <w:sz w:val="28"/>
          <w:szCs w:val="28"/>
          <w:rtl/>
        </w:rPr>
        <w:t>במקרים של מעשי תקיפה כגון זה שלפנינו, בולטת בפסיקה המגמה להטיל עונש של מאסר בפועל מאחורי סורג ובריח גם כאשר מדובר בעניינם של קטינים</w:t>
      </w:r>
      <w:r>
        <w:rPr>
          <w:rFonts w:ascii="Arial" w:hAnsi="Arial" w:cs="FrankRuehl" w:hint="cs"/>
          <w:sz w:val="28"/>
          <w:szCs w:val="28"/>
          <w:rtl/>
        </w:rPr>
        <w:t xml:space="preserve">", בסופו של יום הועמד עונשם על 5 חודשי מאסר לריצוי מאחורי סורג ובריח, כב' השופט </w:t>
      </w:r>
      <w:r>
        <w:rPr>
          <w:rFonts w:ascii="Arial" w:hAnsi="Arial" w:cs="Miriam" w:hint="cs"/>
          <w:rtl/>
        </w:rPr>
        <w:t>ח' מלצר</w:t>
      </w:r>
      <w:r>
        <w:rPr>
          <w:rFonts w:ascii="Arial" w:hAnsi="Arial" w:cs="FrankRuehl" w:hint="cs"/>
          <w:sz w:val="28"/>
          <w:szCs w:val="28"/>
          <w:rtl/>
        </w:rPr>
        <w:t xml:space="preserve">, בדעת מיעוט ומשיקולי שיקום סבר כי </w:t>
      </w:r>
      <w:r>
        <w:rPr>
          <w:rFonts w:cs="FrankRuehl"/>
          <w:sz w:val="28"/>
          <w:szCs w:val="28"/>
          <w:rtl/>
        </w:rPr>
        <w:t>ראוי לקבוע כי עונש המאסר יבוצע על דרך של עבודות שירות</w:t>
      </w:r>
      <w:r>
        <w:rPr>
          <w:rFonts w:ascii="Arial" w:hAnsi="Arial" w:cs="FrankRuehl" w:hint="cs"/>
          <w:sz w:val="28"/>
          <w:szCs w:val="28"/>
          <w:rtl/>
        </w:rPr>
        <w:t>.</w:t>
      </w:r>
    </w:p>
    <w:p w14:paraId="43C94CF2" w14:textId="77777777" w:rsidR="001044EA" w:rsidRDefault="001044EA">
      <w:pPr>
        <w:spacing w:line="360" w:lineRule="auto"/>
        <w:ind w:left="720"/>
        <w:jc w:val="both"/>
        <w:rPr>
          <w:rFonts w:ascii="Arial" w:hAnsi="Arial" w:cs="FrankRuehl"/>
          <w:sz w:val="28"/>
          <w:szCs w:val="28"/>
          <w:rtl/>
        </w:rPr>
      </w:pPr>
    </w:p>
    <w:p w14:paraId="1C99B6E9" w14:textId="77777777" w:rsidR="001044EA" w:rsidRDefault="005B3CF2">
      <w:pPr>
        <w:spacing w:line="360" w:lineRule="auto"/>
        <w:ind w:left="720"/>
        <w:jc w:val="both"/>
        <w:rPr>
          <w:rFonts w:ascii="Arial" w:hAnsi="Arial" w:cs="FrankRuehl"/>
          <w:sz w:val="28"/>
          <w:szCs w:val="28"/>
          <w:rtl/>
        </w:rPr>
      </w:pPr>
      <w:r>
        <w:rPr>
          <w:rFonts w:ascii="Arial" w:hAnsi="Arial" w:cs="FrankRuehl" w:hint="cs"/>
          <w:sz w:val="28"/>
          <w:szCs w:val="28"/>
          <w:rtl/>
        </w:rPr>
        <w:t>ב</w:t>
      </w:r>
      <w:hyperlink r:id="rId30" w:history="1">
        <w:r w:rsidRPr="005B3CF2">
          <w:rPr>
            <w:rFonts w:ascii="Arial" w:hAnsi="Arial" w:cs="FrankRuehl"/>
            <w:color w:val="0000FF"/>
            <w:sz w:val="28"/>
            <w:szCs w:val="28"/>
            <w:u w:val="single"/>
            <w:rtl/>
          </w:rPr>
          <w:t>ע"פ 3261/15</w:t>
        </w:r>
      </w:hyperlink>
      <w:r>
        <w:rPr>
          <w:rFonts w:ascii="Arial" w:hAnsi="Arial" w:cs="FrankRuehl" w:hint="cs"/>
          <w:sz w:val="28"/>
          <w:szCs w:val="28"/>
          <w:rtl/>
        </w:rPr>
        <w:t xml:space="preserve"> שנדון במאוחד עם </w:t>
      </w:r>
      <w:hyperlink r:id="rId31" w:history="1">
        <w:r w:rsidRPr="005B3CF2">
          <w:rPr>
            <w:rFonts w:ascii="Arial" w:hAnsi="Arial" w:cs="FrankRuehl"/>
            <w:color w:val="0000FF"/>
            <w:sz w:val="28"/>
            <w:szCs w:val="28"/>
            <w:u w:val="single"/>
            <w:rtl/>
          </w:rPr>
          <w:t>ע"פ 3306/15</w:t>
        </w:r>
      </w:hyperlink>
      <w:r>
        <w:rPr>
          <w:rFonts w:ascii="Arial" w:hAnsi="Arial" w:cs="FrankRuehl" w:hint="cs"/>
          <w:sz w:val="28"/>
          <w:szCs w:val="28"/>
          <w:rtl/>
        </w:rPr>
        <w:t xml:space="preserve"> וע"פ 4418/15 </w:t>
      </w:r>
      <w:r>
        <w:rPr>
          <w:rFonts w:ascii="Arial" w:hAnsi="Arial" w:cs="Miriam" w:hint="cs"/>
          <w:rtl/>
        </w:rPr>
        <w:t>פלוני נגד מדינת ישראל</w:t>
      </w:r>
      <w:r>
        <w:rPr>
          <w:rFonts w:ascii="Arial" w:hAnsi="Arial" w:cs="FrankRuehl" w:hint="cs"/>
          <w:sz w:val="28"/>
          <w:szCs w:val="28"/>
          <w:rtl/>
        </w:rPr>
        <w:t xml:space="preserve">, (9.11.2015) שב וקבע בית המשפט העליון כי </w:t>
      </w:r>
      <w:r>
        <w:rPr>
          <w:rFonts w:cs="FrankRuehl" w:hint="cs"/>
          <w:sz w:val="28"/>
          <w:szCs w:val="28"/>
          <w:rtl/>
        </w:rPr>
        <w:t>"</w:t>
      </w:r>
      <w:r>
        <w:rPr>
          <w:rFonts w:cs="FrankRuehl"/>
          <w:sz w:val="28"/>
          <w:szCs w:val="28"/>
          <w:rtl/>
        </w:rPr>
        <w:t>לא היה מקום להימנע בעניינו של מ' מהשתת עונש מאסר משמעותי מאחורי סורג ובריח</w:t>
      </w:r>
      <w:r>
        <w:rPr>
          <w:rFonts w:cs="FrankRuehl" w:hint="cs"/>
          <w:sz w:val="28"/>
          <w:szCs w:val="28"/>
          <w:rtl/>
        </w:rPr>
        <w:t>"</w:t>
      </w:r>
      <w:r>
        <w:rPr>
          <w:rFonts w:cs="FrankRuehl"/>
          <w:sz w:val="28"/>
          <w:szCs w:val="28"/>
          <w:rtl/>
        </w:rPr>
        <w:t>.</w:t>
      </w:r>
      <w:r>
        <w:rPr>
          <w:rFonts w:ascii="Arial" w:hAnsi="Arial" w:cs="FrankRuehl" w:hint="cs"/>
          <w:sz w:val="28"/>
          <w:szCs w:val="28"/>
          <w:rtl/>
        </w:rPr>
        <w:t xml:space="preserve"> מ' הוא קטין שהורשע בתיק שנדון לפניי בעבירות של חבלה בכוונה מחמירה, התפרעות, ניסיון לתקיפת שוטר בנסיבות מחמירות בצוותא ונשיאה והובלת נשק בצוותא. </w:t>
      </w:r>
    </w:p>
    <w:p w14:paraId="500AB7B3" w14:textId="77777777" w:rsidR="001044EA" w:rsidRDefault="005B3CF2">
      <w:pPr>
        <w:spacing w:line="360" w:lineRule="auto"/>
        <w:ind w:left="720"/>
        <w:jc w:val="both"/>
        <w:rPr>
          <w:rFonts w:ascii="Arial" w:hAnsi="Arial" w:cs="FrankRuehl"/>
          <w:sz w:val="28"/>
          <w:szCs w:val="28"/>
          <w:rtl/>
        </w:rPr>
      </w:pPr>
      <w:r>
        <w:rPr>
          <w:rFonts w:ascii="Arial" w:hAnsi="Arial" w:cs="FrankRuehl" w:hint="cs"/>
          <w:sz w:val="28"/>
          <w:szCs w:val="28"/>
          <w:rtl/>
        </w:rPr>
        <w:t>רק בשל תחילת ריצוי עבודות השל"צ, לא התערב בית המשפט העליון בעונשו של מ'.</w:t>
      </w:r>
    </w:p>
    <w:p w14:paraId="46362A90" w14:textId="77777777" w:rsidR="001044EA" w:rsidRDefault="001044EA">
      <w:pPr>
        <w:spacing w:line="360" w:lineRule="auto"/>
        <w:ind w:left="720"/>
        <w:jc w:val="both"/>
        <w:rPr>
          <w:rFonts w:ascii="Arial" w:hAnsi="Arial" w:cs="FrankRuehl"/>
          <w:sz w:val="28"/>
          <w:szCs w:val="28"/>
          <w:rtl/>
        </w:rPr>
      </w:pPr>
    </w:p>
    <w:p w14:paraId="270BBCAB"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חשוב להדגיש את הנסיבות המקלות המשפיעות על קצהו התחתון של המתחם, השלכת האבנים או בקבוק התבערה לא היו לעבר רכב נוסע, להבדיל מהמקרים המוזכרים בפסקי הדין אליהם הפנתה המאשימה, הנאשם לא פעל על רקע אידאולוגי, מדובר בניסיון תקיפת שוטרים על ידי </w:t>
      </w:r>
      <w:r>
        <w:rPr>
          <w:rFonts w:ascii="Arial" w:hAnsi="Arial" w:cs="FrankRuehl" w:hint="cs"/>
          <w:sz w:val="28"/>
          <w:szCs w:val="28"/>
          <w:rtl/>
        </w:rPr>
        <w:t xml:space="preserve">זריקת </w:t>
      </w:r>
      <w:r>
        <w:rPr>
          <w:rFonts w:ascii="Arial" w:hAnsi="Arial" w:cs="FrankRuehl"/>
          <w:sz w:val="28"/>
          <w:szCs w:val="28"/>
          <w:rtl/>
        </w:rPr>
        <w:t>האבנים והשלכ</w:t>
      </w:r>
      <w:r>
        <w:rPr>
          <w:rFonts w:ascii="Arial" w:hAnsi="Arial" w:cs="FrankRuehl" w:hint="cs"/>
          <w:sz w:val="28"/>
          <w:szCs w:val="28"/>
          <w:rtl/>
        </w:rPr>
        <w:t xml:space="preserve">ה </w:t>
      </w:r>
      <w:r>
        <w:rPr>
          <w:rFonts w:ascii="Arial" w:hAnsi="Arial" w:cs="FrankRuehl"/>
          <w:sz w:val="28"/>
          <w:szCs w:val="28"/>
          <w:rtl/>
        </w:rPr>
        <w:t>לכוון לא ידוע של בקבוק תבערה</w:t>
      </w:r>
      <w:r>
        <w:rPr>
          <w:rFonts w:ascii="Arial" w:hAnsi="Arial" w:cs="FrankRuehl" w:hint="cs"/>
          <w:sz w:val="28"/>
          <w:szCs w:val="28"/>
          <w:rtl/>
        </w:rPr>
        <w:t xml:space="preserve"> ובמקרה זה בניגוד לפסקי הדין אליהם הפניתי לעיל, לא דובר על עבירה של חבלה בכוונה מחמירה (שהעונש המירבי הקבוע לצידה הוא עונש של 20 שנות מאסר).</w:t>
      </w:r>
    </w:p>
    <w:p w14:paraId="0851A43F" w14:textId="77777777" w:rsidR="001044EA" w:rsidRDefault="001044EA">
      <w:pPr>
        <w:spacing w:line="360" w:lineRule="auto"/>
        <w:ind w:left="720"/>
        <w:jc w:val="both"/>
        <w:rPr>
          <w:rFonts w:ascii="Arial" w:hAnsi="Arial" w:cs="FrankRuehl"/>
          <w:sz w:val="28"/>
          <w:szCs w:val="28"/>
          <w:rtl/>
        </w:rPr>
      </w:pPr>
    </w:p>
    <w:p w14:paraId="3F16BA3C" w14:textId="77777777" w:rsidR="001044EA" w:rsidRDefault="005B3CF2">
      <w:pPr>
        <w:spacing w:line="360" w:lineRule="auto"/>
        <w:ind w:left="720"/>
        <w:jc w:val="both"/>
        <w:rPr>
          <w:rFonts w:ascii="Arial" w:hAnsi="Arial" w:cs="FrankRuehl"/>
          <w:sz w:val="28"/>
          <w:szCs w:val="28"/>
          <w:u w:val="single"/>
          <w:rtl/>
        </w:rPr>
      </w:pPr>
      <w:r>
        <w:rPr>
          <w:rFonts w:ascii="Arial" w:hAnsi="Arial" w:cs="FrankRuehl"/>
          <w:sz w:val="28"/>
          <w:szCs w:val="28"/>
          <w:rtl/>
        </w:rPr>
        <w:t>בהתחשב בערך החברתי שנפגע מביצוע העביר</w:t>
      </w:r>
      <w:r>
        <w:rPr>
          <w:rFonts w:ascii="Arial" w:hAnsi="Arial" w:cs="FrankRuehl" w:hint="cs"/>
          <w:sz w:val="28"/>
          <w:szCs w:val="28"/>
          <w:rtl/>
        </w:rPr>
        <w:t>ות</w:t>
      </w:r>
      <w:r>
        <w:rPr>
          <w:rFonts w:ascii="Arial" w:hAnsi="Arial" w:cs="FrankRuehl"/>
          <w:sz w:val="28"/>
          <w:szCs w:val="28"/>
          <w:rtl/>
        </w:rPr>
        <w:t>, במידת הפגיעה בו, במדיניות הענישה הנהוגה ובנסיבות הקשורות בביצוע העביר</w:t>
      </w:r>
      <w:r>
        <w:rPr>
          <w:rFonts w:ascii="Arial" w:hAnsi="Arial" w:cs="FrankRuehl" w:hint="cs"/>
          <w:sz w:val="28"/>
          <w:szCs w:val="28"/>
          <w:rtl/>
        </w:rPr>
        <w:t xml:space="preserve">ות, </w:t>
      </w:r>
      <w:r>
        <w:rPr>
          <w:rFonts w:ascii="Arial" w:hAnsi="Arial" w:cs="FrankRuehl"/>
          <w:sz w:val="28"/>
          <w:szCs w:val="28"/>
          <w:rtl/>
        </w:rPr>
        <w:t xml:space="preserve">אני קובע כי העונש ההולם במקרה זה הוא מאסר במתחם שבין </w:t>
      </w:r>
      <w:r>
        <w:rPr>
          <w:rFonts w:ascii="Arial" w:hAnsi="Arial" w:cs="FrankRuehl" w:hint="cs"/>
          <w:sz w:val="28"/>
          <w:szCs w:val="28"/>
          <w:u w:val="single"/>
          <w:rtl/>
        </w:rPr>
        <w:t>3</w:t>
      </w:r>
      <w:r>
        <w:rPr>
          <w:rFonts w:ascii="Arial" w:hAnsi="Arial" w:cs="FrankRuehl"/>
          <w:sz w:val="28"/>
          <w:szCs w:val="28"/>
          <w:rtl/>
        </w:rPr>
        <w:t xml:space="preserve"> חודשי </w:t>
      </w:r>
      <w:r>
        <w:rPr>
          <w:rFonts w:ascii="Arial" w:hAnsi="Arial" w:cs="FrankRuehl" w:hint="cs"/>
          <w:sz w:val="28"/>
          <w:szCs w:val="28"/>
          <w:rtl/>
        </w:rPr>
        <w:t>מאסר שיכול ויבוצעו ב</w:t>
      </w:r>
      <w:r>
        <w:rPr>
          <w:rFonts w:ascii="Arial" w:hAnsi="Arial" w:cs="FrankRuehl"/>
          <w:sz w:val="28"/>
          <w:szCs w:val="28"/>
          <w:rtl/>
        </w:rPr>
        <w:t>עבוד</w:t>
      </w:r>
      <w:r>
        <w:rPr>
          <w:rFonts w:ascii="Arial" w:hAnsi="Arial" w:cs="FrankRuehl" w:hint="cs"/>
          <w:sz w:val="28"/>
          <w:szCs w:val="28"/>
          <w:rtl/>
        </w:rPr>
        <w:t>ו</w:t>
      </w:r>
      <w:r>
        <w:rPr>
          <w:rFonts w:ascii="Arial" w:hAnsi="Arial" w:cs="FrankRuehl"/>
          <w:sz w:val="28"/>
          <w:szCs w:val="28"/>
          <w:rtl/>
        </w:rPr>
        <w:t>ת שירות ל</w:t>
      </w:r>
      <w:r>
        <w:rPr>
          <w:rFonts w:ascii="Arial" w:hAnsi="Arial" w:cs="FrankRuehl" w:hint="cs"/>
          <w:sz w:val="28"/>
          <w:szCs w:val="28"/>
          <w:rtl/>
        </w:rPr>
        <w:t xml:space="preserve">בין </w:t>
      </w:r>
      <w:r>
        <w:rPr>
          <w:rFonts w:ascii="Arial" w:hAnsi="Arial" w:cs="FrankRuehl"/>
          <w:sz w:val="28"/>
          <w:szCs w:val="28"/>
          <w:u w:val="single"/>
          <w:rtl/>
        </w:rPr>
        <w:t>18</w:t>
      </w:r>
      <w:r>
        <w:rPr>
          <w:rFonts w:ascii="Arial" w:hAnsi="Arial" w:cs="FrankRuehl"/>
          <w:sz w:val="28"/>
          <w:szCs w:val="28"/>
          <w:rtl/>
        </w:rPr>
        <w:t xml:space="preserve"> חודשי מאסר בפועל.</w:t>
      </w:r>
    </w:p>
    <w:p w14:paraId="65F37639" w14:textId="77777777" w:rsidR="001044EA" w:rsidRDefault="001044EA">
      <w:pPr>
        <w:spacing w:line="360" w:lineRule="auto"/>
        <w:ind w:left="720"/>
        <w:jc w:val="both"/>
        <w:rPr>
          <w:rFonts w:ascii="Arial" w:hAnsi="Arial" w:cs="FrankRuehl"/>
          <w:sz w:val="28"/>
          <w:szCs w:val="28"/>
          <w:u w:val="single"/>
          <w:rtl/>
        </w:rPr>
      </w:pPr>
    </w:p>
    <w:p w14:paraId="480B4E29" w14:textId="77777777" w:rsidR="001044EA" w:rsidRDefault="005B3CF2">
      <w:pPr>
        <w:spacing w:line="360" w:lineRule="auto"/>
        <w:ind w:left="720"/>
        <w:jc w:val="both"/>
        <w:rPr>
          <w:rFonts w:ascii="Arial" w:hAnsi="Arial" w:cs="Miriam"/>
          <w:rtl/>
        </w:rPr>
      </w:pPr>
      <w:r>
        <w:rPr>
          <w:rFonts w:ascii="Arial" w:hAnsi="Arial" w:cs="Miriam"/>
          <w:rtl/>
        </w:rPr>
        <w:t>העונש המתאים</w:t>
      </w:r>
    </w:p>
    <w:p w14:paraId="74C2527C"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 xml:space="preserve">הנאשם כבן 21 במועד ביצוע בעבירה, מעולם לא היה מעורב באירוע פלילי, עד להשתתפותו באותה התפרעות, וגם ב-14 החודשים שחלפו מאז לא ביצע עבירות וגם לא נפתחו לו תיקים בגין עבירות חדשות. </w:t>
      </w:r>
    </w:p>
    <w:p w14:paraId="5DE345D9" w14:textId="77777777" w:rsidR="001044EA" w:rsidRDefault="005B3CF2">
      <w:pPr>
        <w:spacing w:line="360" w:lineRule="auto"/>
        <w:ind w:left="720"/>
        <w:jc w:val="both"/>
        <w:rPr>
          <w:rFonts w:ascii="Arial" w:hAnsi="Arial" w:cs="FrankRuehl"/>
          <w:sz w:val="28"/>
          <w:szCs w:val="28"/>
          <w:rtl/>
        </w:rPr>
      </w:pPr>
      <w:r>
        <w:rPr>
          <w:rFonts w:ascii="Arial" w:hAnsi="Arial" w:cs="FrankRuehl"/>
          <w:sz w:val="28"/>
          <w:szCs w:val="28"/>
          <w:rtl/>
        </w:rPr>
        <w:t>על פי תסקיר שירות המבחן קיים סיכון נמוך להישנות עבירות אלימות בדרגת חומרה נמוכה ומאסר בפועל עלול לחשוף אותו לגורמים עבריינים ולפגוע בו</w:t>
      </w:r>
      <w:r>
        <w:rPr>
          <w:rFonts w:ascii="Arial" w:hAnsi="Arial" w:cs="FrankRuehl" w:hint="cs"/>
          <w:sz w:val="28"/>
          <w:szCs w:val="28"/>
          <w:rtl/>
        </w:rPr>
        <w:t>, על פי חוות דעת הממונה הנאשם כשיר לבצע עבודות שירות.</w:t>
      </w:r>
    </w:p>
    <w:p w14:paraId="72FB77C3" w14:textId="77777777" w:rsidR="001044EA" w:rsidRDefault="001044EA">
      <w:pPr>
        <w:spacing w:line="360" w:lineRule="auto"/>
        <w:ind w:left="720"/>
        <w:jc w:val="both"/>
        <w:rPr>
          <w:rFonts w:ascii="Arial" w:hAnsi="Arial" w:cs="FrankRuehl"/>
          <w:sz w:val="28"/>
          <w:szCs w:val="28"/>
          <w:rtl/>
        </w:rPr>
      </w:pPr>
    </w:p>
    <w:p w14:paraId="342E5D31" w14:textId="77777777" w:rsidR="001044EA" w:rsidRDefault="005B3CF2">
      <w:pPr>
        <w:spacing w:line="360" w:lineRule="auto"/>
        <w:ind w:left="720"/>
        <w:jc w:val="both"/>
        <w:rPr>
          <w:rFonts w:ascii="Arial" w:hAnsi="Arial" w:cs="FrankRuehl"/>
          <w:sz w:val="28"/>
          <w:szCs w:val="28"/>
          <w:rtl/>
        </w:rPr>
      </w:pPr>
      <w:r>
        <w:rPr>
          <w:rFonts w:ascii="Arial" w:hAnsi="Arial" w:cs="FrankRuehl" w:hint="cs"/>
          <w:sz w:val="28"/>
          <w:szCs w:val="28"/>
          <w:rtl/>
        </w:rPr>
        <w:t>אציין כי בעניין פלוני הנ"ל (</w:t>
      </w:r>
      <w:hyperlink r:id="rId32" w:history="1">
        <w:r w:rsidRPr="005B3CF2">
          <w:rPr>
            <w:rFonts w:ascii="Arial" w:hAnsi="Arial" w:cs="FrankRuehl"/>
            <w:color w:val="0000FF"/>
            <w:sz w:val="28"/>
            <w:szCs w:val="28"/>
            <w:u w:val="single"/>
            <w:rtl/>
          </w:rPr>
          <w:t>ע"פ 5961/13</w:t>
        </w:r>
      </w:hyperlink>
      <w:r>
        <w:rPr>
          <w:rFonts w:ascii="Arial" w:hAnsi="Arial" w:cs="FrankRuehl" w:hint="cs"/>
          <w:sz w:val="28"/>
          <w:szCs w:val="28"/>
          <w:rtl/>
        </w:rPr>
        <w:t>), בית המשפט העליון קבע כי יש להטיל עונש של מאסר בפועל מאחורי סורג ובריח גם במקרים של קטינים, באותו מקרה הוטלו על הקטינים עונשי מאסר של 5 חודשים, גם משום שלא לקחו אחריות ואזכיר כי הם הורשעו גם בעבירה של חבלה בכוונה מחמירה.</w:t>
      </w:r>
    </w:p>
    <w:p w14:paraId="71B9E342" w14:textId="77777777" w:rsidR="001044EA" w:rsidRDefault="001044EA">
      <w:pPr>
        <w:spacing w:line="360" w:lineRule="auto"/>
        <w:ind w:left="720"/>
        <w:jc w:val="both"/>
        <w:rPr>
          <w:rFonts w:ascii="Arial" w:hAnsi="Arial" w:cs="FrankRuehl"/>
          <w:sz w:val="28"/>
          <w:szCs w:val="28"/>
          <w:rtl/>
        </w:rPr>
      </w:pPr>
    </w:p>
    <w:p w14:paraId="03505F9B" w14:textId="77777777" w:rsidR="001044EA" w:rsidRDefault="005B3CF2">
      <w:pPr>
        <w:spacing w:line="360" w:lineRule="auto"/>
        <w:ind w:left="720"/>
        <w:jc w:val="both"/>
        <w:rPr>
          <w:rFonts w:cs="FrankRuehl"/>
          <w:spacing w:val="10"/>
          <w:sz w:val="22"/>
          <w:szCs w:val="28"/>
          <w:rtl/>
        </w:rPr>
      </w:pPr>
      <w:r>
        <w:rPr>
          <w:rFonts w:ascii="Arial" w:hAnsi="Arial" w:cs="FrankRuehl" w:hint="cs"/>
          <w:sz w:val="28"/>
          <w:szCs w:val="28"/>
          <w:rtl/>
        </w:rPr>
        <w:t xml:space="preserve">בנסיבותיו של מקרה זה אין </w:t>
      </w:r>
      <w:r>
        <w:rPr>
          <w:rFonts w:ascii="Arial" w:hAnsi="Arial" w:cs="FrankRuehl"/>
          <w:sz w:val="28"/>
          <w:szCs w:val="28"/>
          <w:rtl/>
        </w:rPr>
        <w:t>לאמץ את האמור בתסקיר שירות המבחן</w:t>
      </w:r>
      <w:r>
        <w:rPr>
          <w:rFonts w:ascii="Arial" w:hAnsi="Arial" w:cs="FrankRuehl" w:hint="cs"/>
          <w:sz w:val="28"/>
          <w:szCs w:val="28"/>
          <w:rtl/>
        </w:rPr>
        <w:t xml:space="preserve"> או בחוות דעת הממונה על עבודות השירות. </w:t>
      </w:r>
    </w:p>
    <w:p w14:paraId="3D705DE7" w14:textId="77777777" w:rsidR="001044EA" w:rsidRDefault="005B3CF2">
      <w:pPr>
        <w:ind w:left="1440" w:right="851"/>
        <w:jc w:val="both"/>
        <w:rPr>
          <w:rFonts w:ascii="Arial TUR" w:hAnsi="Arial TUR" w:cs="FrankRuehl"/>
          <w:spacing w:val="10"/>
          <w:sz w:val="28"/>
          <w:szCs w:val="28"/>
          <w:rtl/>
        </w:rPr>
      </w:pPr>
      <w:r>
        <w:rPr>
          <w:rFonts w:cs="FrankRuehl" w:hint="cs"/>
          <w:spacing w:val="10"/>
          <w:sz w:val="22"/>
          <w:szCs w:val="28"/>
          <w:rtl/>
        </w:rPr>
        <w:t>"</w:t>
      </w:r>
      <w:r>
        <w:rPr>
          <w:rFonts w:cs="FrankRuehl"/>
          <w:spacing w:val="10"/>
          <w:sz w:val="22"/>
          <w:szCs w:val="28"/>
          <w:rtl/>
        </w:rPr>
        <w:t xml:space="preserve">כבר נפסק כי </w:t>
      </w:r>
      <w:r>
        <w:rPr>
          <w:rFonts w:ascii="Arial TUR" w:hAnsi="Arial TUR" w:cs="FrankRuehl"/>
          <w:spacing w:val="10"/>
          <w:sz w:val="22"/>
          <w:szCs w:val="28"/>
          <w:rtl/>
        </w:rPr>
        <w:t xml:space="preserve">חרף מעמדו של שירות המבחן ותרומתו החשובה להליך השיפוטי, המלצתו מבטאת פן אחד מתוך שיקולי הענישה שבית המשפט מחויב לשקול (ראו, למשל, </w:t>
      </w:r>
      <w:hyperlink r:id="rId33" w:history="1">
        <w:r w:rsidRPr="005B3CF2">
          <w:rPr>
            <w:rFonts w:ascii="Arial TUR" w:hAnsi="Arial TUR" w:cs="FrankRuehl"/>
            <w:color w:val="0000FF"/>
            <w:spacing w:val="10"/>
            <w:sz w:val="22"/>
            <w:szCs w:val="28"/>
            <w:u w:val="single"/>
            <w:rtl/>
          </w:rPr>
          <w:t>ע"פ 8659/13</w:t>
        </w:r>
      </w:hyperlink>
      <w:r>
        <w:rPr>
          <w:rFonts w:ascii="FrankRuehl" w:hAnsi="FrankRuehl" w:cs="FrankRuehl"/>
          <w:color w:val="0000FF"/>
          <w:spacing w:val="10"/>
          <w:sz w:val="28"/>
          <w:szCs w:val="28"/>
          <w:rtl/>
        </w:rPr>
        <w:t xml:space="preserve"> </w:t>
      </w:r>
      <w:r>
        <w:rPr>
          <w:rFonts w:ascii="Century" w:hAnsi="Century" w:cs="Miriam" w:hint="eastAsia"/>
          <w:b/>
          <w:sz w:val="22"/>
          <w:rtl/>
        </w:rPr>
        <w:t>אלמליח</w:t>
      </w:r>
      <w:r>
        <w:rPr>
          <w:rFonts w:ascii="Century" w:hAnsi="Century" w:cs="Miriam"/>
          <w:b/>
          <w:sz w:val="22"/>
          <w:rtl/>
        </w:rPr>
        <w:t xml:space="preserve"> </w:t>
      </w:r>
      <w:r>
        <w:rPr>
          <w:rFonts w:ascii="Century" w:hAnsi="Century" w:cs="Miriam" w:hint="eastAsia"/>
          <w:b/>
          <w:sz w:val="22"/>
          <w:rtl/>
        </w:rPr>
        <w:t>נ</w:t>
      </w:r>
      <w:r>
        <w:rPr>
          <w:rFonts w:ascii="Century" w:hAnsi="Century" w:cs="Miriam"/>
          <w:b/>
          <w:sz w:val="22"/>
          <w:rtl/>
        </w:rPr>
        <w:t xml:space="preserve">' </w:t>
      </w:r>
      <w:r>
        <w:rPr>
          <w:rFonts w:ascii="Century" w:hAnsi="Century" w:cs="Miriam" w:hint="eastAsia"/>
          <w:b/>
          <w:sz w:val="22"/>
          <w:rtl/>
        </w:rPr>
        <w:t>מדינת</w:t>
      </w:r>
      <w:r>
        <w:rPr>
          <w:rFonts w:ascii="Century" w:hAnsi="Century" w:cs="Miriam"/>
          <w:b/>
          <w:sz w:val="22"/>
          <w:rtl/>
        </w:rPr>
        <w:t xml:space="preserve"> </w:t>
      </w:r>
      <w:r>
        <w:rPr>
          <w:rFonts w:ascii="Century" w:hAnsi="Century" w:cs="Miriam" w:hint="eastAsia"/>
          <w:b/>
          <w:sz w:val="22"/>
          <w:rtl/>
        </w:rPr>
        <w:t>ישראל</w:t>
      </w:r>
      <w:r>
        <w:rPr>
          <w:rFonts w:ascii="FrankRuehl" w:hAnsi="FrankRuehl" w:cs="FrankRuehl"/>
          <w:color w:val="000000"/>
          <w:spacing w:val="10"/>
          <w:sz w:val="28"/>
          <w:szCs w:val="28"/>
          <w:rtl/>
        </w:rPr>
        <w:t xml:space="preserve">, </w:t>
      </w:r>
      <w:r>
        <w:rPr>
          <w:rFonts w:ascii="FrankRuehl" w:hAnsi="FrankRuehl" w:cs="FrankRuehl" w:hint="eastAsia"/>
          <w:color w:val="000000"/>
          <w:spacing w:val="10"/>
          <w:sz w:val="28"/>
          <w:szCs w:val="28"/>
          <w:rtl/>
        </w:rPr>
        <w:t>פס</w:t>
      </w:r>
      <w:r>
        <w:rPr>
          <w:rFonts w:ascii="FrankRuehl" w:hAnsi="FrankRuehl" w:cs="FrankRuehl"/>
          <w:color w:val="000000"/>
          <w:spacing w:val="10"/>
          <w:sz w:val="28"/>
          <w:szCs w:val="28"/>
          <w:rtl/>
        </w:rPr>
        <w:t>' 16 (14.5.2014)</w:t>
      </w:r>
      <w:r>
        <w:rPr>
          <w:rFonts w:ascii="Arial TUR" w:hAnsi="Arial TUR" w:cs="FrankRuehl"/>
          <w:spacing w:val="10"/>
          <w:sz w:val="22"/>
          <w:szCs w:val="28"/>
          <w:rtl/>
        </w:rPr>
        <w:t>), ועל</w:t>
      </w:r>
      <w:r>
        <w:rPr>
          <w:rFonts w:ascii="Arial TUR" w:hAnsi="Arial TUR" w:cs="FrankRuehl"/>
          <w:spacing w:val="10"/>
          <w:sz w:val="28"/>
          <w:szCs w:val="28"/>
          <w:rtl/>
        </w:rPr>
        <w:t xml:space="preserve"> השופט לאזן בין המלצה זו לשיקולים אחרים שביסוד רציונל הענישה הפלילית (</w:t>
      </w:r>
      <w:hyperlink r:id="rId34" w:history="1">
        <w:r w:rsidRPr="005B3CF2">
          <w:rPr>
            <w:rFonts w:ascii="Arial TUR" w:hAnsi="Arial TUR" w:cs="FrankRuehl"/>
            <w:color w:val="0000FF"/>
            <w:spacing w:val="10"/>
            <w:sz w:val="28"/>
            <w:szCs w:val="28"/>
            <w:u w:val="single"/>
            <w:rtl/>
          </w:rPr>
          <w:t>ע"פ 344/81 מדינת ישראל נ' סגל, פ"ד לה</w:t>
        </w:r>
      </w:hyperlink>
      <w:r>
        <w:rPr>
          <w:rFonts w:ascii="Arial TUR" w:hAnsi="Arial TUR" w:cs="FrankRuehl"/>
          <w:spacing w:val="10"/>
          <w:sz w:val="28"/>
          <w:szCs w:val="28"/>
          <w:rtl/>
        </w:rPr>
        <w:t xml:space="preserve"> (4) 313, 324-323 (1981)) ובהם: הגמול, ההרתעה והצורך בהגנה על הציבור</w:t>
      </w:r>
      <w:r>
        <w:rPr>
          <w:rFonts w:ascii="Arial TUR" w:hAnsi="Arial TUR" w:cs="FrankRuehl" w:hint="cs"/>
          <w:spacing w:val="10"/>
          <w:sz w:val="28"/>
          <w:szCs w:val="28"/>
          <w:rtl/>
        </w:rPr>
        <w:t>",</w:t>
      </w:r>
    </w:p>
    <w:p w14:paraId="1ACF4149" w14:textId="77777777" w:rsidR="001044EA" w:rsidRDefault="005B3CF2">
      <w:pPr>
        <w:ind w:left="1440" w:right="851"/>
        <w:jc w:val="both"/>
        <w:rPr>
          <w:rFonts w:ascii="Arial TUR" w:hAnsi="Arial TUR" w:cs="FrankRuehl"/>
          <w:spacing w:val="10"/>
          <w:sz w:val="22"/>
          <w:szCs w:val="28"/>
          <w:rtl/>
        </w:rPr>
      </w:pPr>
      <w:hyperlink r:id="rId35" w:history="1">
        <w:r w:rsidRPr="005B3CF2">
          <w:rPr>
            <w:rFonts w:ascii="Arial TUR" w:hAnsi="Arial TUR" w:cs="FrankRuehl"/>
            <w:color w:val="0000FF"/>
            <w:spacing w:val="10"/>
            <w:sz w:val="28"/>
            <w:szCs w:val="28"/>
            <w:u w:val="single"/>
            <w:rtl/>
          </w:rPr>
          <w:t>ע"פ 1472/15</w:t>
        </w:r>
      </w:hyperlink>
      <w:r>
        <w:rPr>
          <w:rFonts w:ascii="Arial TUR" w:hAnsi="Arial TUR" w:cs="FrankRuehl" w:hint="cs"/>
          <w:spacing w:val="10"/>
          <w:sz w:val="28"/>
          <w:szCs w:val="28"/>
          <w:rtl/>
        </w:rPr>
        <w:t xml:space="preserve"> </w:t>
      </w:r>
      <w:r>
        <w:rPr>
          <w:rFonts w:ascii="Arial TUR" w:hAnsi="Arial TUR" w:cs="Miriam" w:hint="cs"/>
          <w:spacing w:val="10"/>
          <w:rtl/>
        </w:rPr>
        <w:t>שעשוע נגד מדינת ישראל</w:t>
      </w:r>
      <w:r>
        <w:rPr>
          <w:rFonts w:ascii="Arial TUR" w:hAnsi="Arial TUR" w:cs="FrankRuehl" w:hint="cs"/>
          <w:spacing w:val="10"/>
          <w:sz w:val="28"/>
          <w:szCs w:val="28"/>
          <w:rtl/>
        </w:rPr>
        <w:t xml:space="preserve"> </w:t>
      </w:r>
      <w:r>
        <w:rPr>
          <w:rFonts w:ascii="Arial TUR" w:hAnsi="Arial TUR" w:cs="FrankRuehl"/>
          <w:spacing w:val="10"/>
          <w:sz w:val="22"/>
          <w:szCs w:val="28"/>
          <w:rtl/>
        </w:rPr>
        <w:t>(‏17.5.2015).</w:t>
      </w:r>
    </w:p>
    <w:p w14:paraId="1C085A40" w14:textId="77777777" w:rsidR="001044EA" w:rsidRDefault="001044EA">
      <w:pPr>
        <w:ind w:left="720"/>
        <w:jc w:val="both"/>
        <w:rPr>
          <w:rFonts w:ascii="Arial" w:hAnsi="Arial" w:cs="FrankRuehl"/>
          <w:sz w:val="28"/>
          <w:szCs w:val="28"/>
          <w:rtl/>
        </w:rPr>
      </w:pPr>
    </w:p>
    <w:p w14:paraId="077AFCBB" w14:textId="77777777" w:rsidR="001044EA" w:rsidRDefault="001044EA">
      <w:pPr>
        <w:spacing w:line="360" w:lineRule="auto"/>
        <w:ind w:left="720"/>
        <w:jc w:val="both"/>
        <w:rPr>
          <w:rFonts w:ascii="Arial" w:hAnsi="Arial" w:cs="FrankRuehl"/>
          <w:sz w:val="28"/>
          <w:szCs w:val="28"/>
          <w:rtl/>
        </w:rPr>
      </w:pPr>
    </w:p>
    <w:p w14:paraId="143E3D3F" w14:textId="77777777" w:rsidR="001044EA" w:rsidRDefault="005B3CF2">
      <w:pPr>
        <w:spacing w:line="360" w:lineRule="auto"/>
        <w:ind w:left="720"/>
        <w:jc w:val="both"/>
        <w:rPr>
          <w:rFonts w:ascii="Arial" w:hAnsi="Arial" w:cs="FrankRuehl"/>
          <w:sz w:val="28"/>
          <w:szCs w:val="28"/>
          <w:rtl/>
        </w:rPr>
      </w:pPr>
      <w:r>
        <w:rPr>
          <w:rFonts w:ascii="Arial" w:hAnsi="Arial" w:cs="FrankRuehl" w:hint="cs"/>
          <w:sz w:val="28"/>
          <w:szCs w:val="28"/>
          <w:rtl/>
        </w:rPr>
        <w:t xml:space="preserve">לזכות </w:t>
      </w:r>
      <w:r>
        <w:rPr>
          <w:rFonts w:ascii="Arial" w:hAnsi="Arial" w:cs="FrankRuehl"/>
          <w:sz w:val="28"/>
          <w:szCs w:val="28"/>
          <w:rtl/>
        </w:rPr>
        <w:t xml:space="preserve">הנאשם </w:t>
      </w:r>
      <w:r>
        <w:rPr>
          <w:rFonts w:ascii="Arial" w:hAnsi="Arial" w:cs="FrankRuehl" w:hint="cs"/>
          <w:sz w:val="28"/>
          <w:szCs w:val="28"/>
          <w:rtl/>
        </w:rPr>
        <w:t xml:space="preserve">עומדים הנתונים הבאים- </w:t>
      </w:r>
      <w:r>
        <w:rPr>
          <w:rFonts w:ascii="Arial" w:hAnsi="Arial" w:cs="FrankRuehl"/>
          <w:sz w:val="28"/>
          <w:szCs w:val="28"/>
          <w:rtl/>
        </w:rPr>
        <w:t>צעיר בן למשפחה נורמטיבי</w:t>
      </w:r>
      <w:r>
        <w:rPr>
          <w:rFonts w:ascii="Arial" w:hAnsi="Arial" w:cs="FrankRuehl" w:hint="cs"/>
          <w:sz w:val="28"/>
          <w:szCs w:val="28"/>
          <w:rtl/>
        </w:rPr>
        <w:t>ת</w:t>
      </w:r>
      <w:r>
        <w:rPr>
          <w:rFonts w:ascii="Arial" w:hAnsi="Arial" w:cs="FrankRuehl"/>
          <w:sz w:val="28"/>
          <w:szCs w:val="28"/>
          <w:rtl/>
        </w:rPr>
        <w:t>, האירוע בו היה מעורב הוא חריג לאורח חייו ולהתנהגותו, נטל אחריות מלאה על מעשיו, משפחתו הביע</w:t>
      </w:r>
      <w:r>
        <w:rPr>
          <w:rFonts w:ascii="Arial" w:hAnsi="Arial" w:cs="FrankRuehl" w:hint="cs"/>
          <w:sz w:val="28"/>
          <w:szCs w:val="28"/>
          <w:rtl/>
        </w:rPr>
        <w:t>ה</w:t>
      </w:r>
      <w:r>
        <w:rPr>
          <w:rFonts w:ascii="Arial" w:hAnsi="Arial" w:cs="FrankRuehl"/>
          <w:sz w:val="28"/>
          <w:szCs w:val="28"/>
          <w:rtl/>
        </w:rPr>
        <w:t xml:space="preserve"> יחס מגנה וביקורתי על מעשיו וגם הנאשם הבהיר בפני קצין המבחן כי פעל בפזיזות מתוך שיקול דעת מוטעה וללא מניע בטחוני או אידאולוגי ותקופת מעצרו היוותה חוויה קשה ומתקנת</w:t>
      </w:r>
      <w:r>
        <w:rPr>
          <w:rFonts w:ascii="Arial" w:hAnsi="Arial" w:cs="FrankRuehl" w:hint="cs"/>
          <w:sz w:val="28"/>
          <w:szCs w:val="28"/>
          <w:rtl/>
        </w:rPr>
        <w:t>, עוד התייחסתי לטענת הנאשם כי הוא עומד להתחתן ו</w:t>
      </w:r>
      <w:r>
        <w:rPr>
          <w:rFonts w:ascii="Arial" w:hAnsi="Arial" w:cs="FrankRuehl"/>
          <w:sz w:val="28"/>
          <w:szCs w:val="28"/>
          <w:rtl/>
        </w:rPr>
        <w:t>להקים בית חדש.</w:t>
      </w:r>
    </w:p>
    <w:p w14:paraId="32C04CEA" w14:textId="77777777" w:rsidR="001044EA" w:rsidRDefault="001044EA">
      <w:pPr>
        <w:spacing w:line="360" w:lineRule="auto"/>
        <w:ind w:left="720"/>
        <w:jc w:val="both"/>
        <w:rPr>
          <w:rFonts w:ascii="Arial" w:hAnsi="Arial" w:cs="FrankRuehl"/>
          <w:sz w:val="28"/>
          <w:szCs w:val="28"/>
          <w:rtl/>
        </w:rPr>
      </w:pPr>
    </w:p>
    <w:p w14:paraId="16537B3C" w14:textId="77777777" w:rsidR="001044EA" w:rsidRDefault="005B3CF2">
      <w:pPr>
        <w:spacing w:line="360" w:lineRule="auto"/>
        <w:ind w:left="720"/>
        <w:jc w:val="both"/>
        <w:rPr>
          <w:rFonts w:ascii="Arial" w:hAnsi="Arial" w:cs="FrankRuehl"/>
          <w:sz w:val="28"/>
          <w:szCs w:val="28"/>
          <w:rtl/>
        </w:rPr>
      </w:pPr>
      <w:r>
        <w:rPr>
          <w:rFonts w:ascii="Arial" w:hAnsi="Arial" w:cs="FrankRuehl" w:hint="cs"/>
          <w:sz w:val="28"/>
          <w:szCs w:val="28"/>
          <w:rtl/>
        </w:rPr>
        <w:t>אך לא  ניתן להתעלם מהאינטרס הציבורי וממדיניות בית המשפט העליון כפי שנקבעה ב</w:t>
      </w:r>
      <w:hyperlink r:id="rId36" w:history="1">
        <w:r w:rsidRPr="005B3CF2">
          <w:rPr>
            <w:rFonts w:ascii="Arial" w:hAnsi="Arial" w:cs="FrankRuehl"/>
            <w:color w:val="0000FF"/>
            <w:sz w:val="28"/>
            <w:szCs w:val="28"/>
            <w:u w:val="single"/>
            <w:rtl/>
          </w:rPr>
          <w:t>ע"פ 3261/15</w:t>
        </w:r>
      </w:hyperlink>
      <w:r>
        <w:rPr>
          <w:rFonts w:ascii="Arial" w:hAnsi="Arial" w:cs="FrankRuehl" w:hint="cs"/>
          <w:sz w:val="28"/>
          <w:szCs w:val="28"/>
          <w:rtl/>
        </w:rPr>
        <w:t xml:space="preserve"> שנדון במאוחד עם </w:t>
      </w:r>
      <w:hyperlink r:id="rId37" w:history="1">
        <w:r w:rsidRPr="005B3CF2">
          <w:rPr>
            <w:rFonts w:ascii="Arial" w:hAnsi="Arial" w:cs="FrankRuehl"/>
            <w:color w:val="0000FF"/>
            <w:sz w:val="28"/>
            <w:szCs w:val="28"/>
            <w:u w:val="single"/>
            <w:rtl/>
          </w:rPr>
          <w:t>ע"פ 3306/15</w:t>
        </w:r>
      </w:hyperlink>
      <w:r>
        <w:rPr>
          <w:rFonts w:ascii="Arial" w:hAnsi="Arial" w:cs="FrankRuehl" w:hint="cs"/>
          <w:sz w:val="28"/>
          <w:szCs w:val="28"/>
          <w:rtl/>
        </w:rPr>
        <w:t xml:space="preserve"> וע"פ 4418/15 </w:t>
      </w:r>
      <w:r>
        <w:rPr>
          <w:rFonts w:ascii="Arial" w:hAnsi="Arial" w:cs="Miriam" w:hint="cs"/>
          <w:rtl/>
        </w:rPr>
        <w:t>פלוני נגד מדינת ישראל</w:t>
      </w:r>
      <w:r>
        <w:rPr>
          <w:rFonts w:ascii="Arial" w:hAnsi="Arial" w:cs="FrankRuehl" w:hint="cs"/>
          <w:sz w:val="28"/>
          <w:szCs w:val="28"/>
          <w:rtl/>
        </w:rPr>
        <w:t>, (9.11.2015), תוך הפנייה לעניין פלוני הנ"ל:</w:t>
      </w:r>
    </w:p>
    <w:p w14:paraId="1BAB788D" w14:textId="77777777" w:rsidR="001044EA" w:rsidRDefault="005B3CF2">
      <w:pPr>
        <w:ind w:left="1440" w:right="851"/>
        <w:jc w:val="both"/>
        <w:rPr>
          <w:rFonts w:ascii="Arial TUR" w:hAnsi="Arial TUR" w:cs="FrankRuehl"/>
          <w:spacing w:val="10"/>
          <w:sz w:val="28"/>
          <w:szCs w:val="28"/>
          <w:rtl/>
        </w:rPr>
      </w:pPr>
      <w:r>
        <w:rPr>
          <w:rFonts w:cs="FrankRuehl" w:hint="cs"/>
          <w:sz w:val="28"/>
          <w:szCs w:val="28"/>
          <w:rtl/>
        </w:rPr>
        <w:t>"</w:t>
      </w:r>
      <w:r>
        <w:rPr>
          <w:rFonts w:cs="FrankRuehl"/>
          <w:sz w:val="28"/>
          <w:szCs w:val="28"/>
          <w:rtl/>
        </w:rPr>
        <w:t>לא נעלם מעיננו גילם הצעיר של המערערים שאחד מהם קטין. דא עקא שעל רקע חומרת המעשים – ייצור בקבוקי תבערה והשלכתם לעבר אנשי אכיפת חוק במהלך התפרעות ביחד עם אחרים, באופן שעלול לגרום לפציעות קשות ואף לסיכון חיים – עקרון ההלימה מחייב, ככלל, מאסר מאחורי סורג ובריח</w:t>
      </w:r>
      <w:r>
        <w:rPr>
          <w:rFonts w:ascii="Arial TUR" w:hAnsi="Arial TUR" w:cs="FrankRuehl" w:hint="cs"/>
          <w:spacing w:val="10"/>
          <w:sz w:val="28"/>
          <w:szCs w:val="28"/>
          <w:rtl/>
        </w:rPr>
        <w:t>".</w:t>
      </w:r>
    </w:p>
    <w:p w14:paraId="1C3C8534" w14:textId="77777777" w:rsidR="001044EA" w:rsidRDefault="001044EA">
      <w:pPr>
        <w:ind w:right="851"/>
        <w:jc w:val="both"/>
        <w:rPr>
          <w:rFonts w:ascii="Arial TUR" w:hAnsi="Arial TUR" w:cs="FrankRuehl"/>
          <w:spacing w:val="10"/>
          <w:sz w:val="28"/>
          <w:szCs w:val="28"/>
          <w:rtl/>
        </w:rPr>
      </w:pPr>
    </w:p>
    <w:p w14:paraId="58CED669" w14:textId="77777777" w:rsidR="001044EA" w:rsidRDefault="005B3CF2">
      <w:pPr>
        <w:spacing w:line="360" w:lineRule="auto"/>
        <w:jc w:val="both"/>
        <w:rPr>
          <w:rFonts w:ascii="Arial TUR" w:hAnsi="Arial TUR" w:cs="FrankRuehl"/>
          <w:spacing w:val="10"/>
          <w:sz w:val="28"/>
          <w:szCs w:val="28"/>
          <w:rtl/>
        </w:rPr>
      </w:pPr>
      <w:r>
        <w:rPr>
          <w:rFonts w:ascii="Arial TUR" w:hAnsi="Arial TUR" w:cs="FrankRuehl" w:hint="cs"/>
          <w:spacing w:val="10"/>
          <w:sz w:val="28"/>
          <w:szCs w:val="28"/>
          <w:rtl/>
        </w:rPr>
        <w:t>לעובדות שהנאשם הודה בהזדמנות הראשונה  וכי הוא לא מואשם בהשלכת בקבוק התבערה לעבר השוטרים או בייצורו וחלקו הצטמצם להחזקת בקבוק התבערה ביחד עם ניסיון תקיפת שוטרים בדרך של השלכת מספר אבנים לעברם, אתן ביטוי במשך המאסר.</w:t>
      </w:r>
    </w:p>
    <w:p w14:paraId="12044EAB" w14:textId="77777777" w:rsidR="001044EA" w:rsidRDefault="001044EA">
      <w:pPr>
        <w:ind w:right="851"/>
        <w:jc w:val="both"/>
        <w:rPr>
          <w:rFonts w:ascii="Arial TUR" w:hAnsi="Arial TUR" w:cs="FrankRuehl"/>
          <w:spacing w:val="10"/>
          <w:sz w:val="28"/>
          <w:szCs w:val="28"/>
          <w:rtl/>
        </w:rPr>
      </w:pPr>
    </w:p>
    <w:p w14:paraId="4A4AA567" w14:textId="77777777" w:rsidR="001044EA" w:rsidRDefault="001044EA">
      <w:pPr>
        <w:ind w:right="851"/>
        <w:jc w:val="both"/>
        <w:rPr>
          <w:rFonts w:ascii="Arial TUR" w:hAnsi="Arial TUR" w:cs="FrankRuehl"/>
          <w:spacing w:val="10"/>
          <w:sz w:val="28"/>
          <w:szCs w:val="28"/>
          <w:rtl/>
        </w:rPr>
      </w:pPr>
    </w:p>
    <w:p w14:paraId="2CB82B7F" w14:textId="77777777" w:rsidR="001044EA" w:rsidRDefault="001044EA">
      <w:pPr>
        <w:ind w:right="851"/>
        <w:jc w:val="both"/>
        <w:rPr>
          <w:rFonts w:ascii="Arial TUR" w:hAnsi="Arial TUR" w:cs="FrankRuehl"/>
          <w:spacing w:val="10"/>
          <w:sz w:val="28"/>
          <w:szCs w:val="28"/>
          <w:rtl/>
        </w:rPr>
      </w:pPr>
    </w:p>
    <w:p w14:paraId="30698120" w14:textId="77777777" w:rsidR="001044EA" w:rsidRDefault="001044EA">
      <w:pPr>
        <w:ind w:right="851"/>
        <w:jc w:val="both"/>
        <w:rPr>
          <w:rFonts w:ascii="Arial TUR" w:hAnsi="Arial TUR" w:cs="FrankRuehl"/>
          <w:spacing w:val="10"/>
          <w:sz w:val="28"/>
          <w:szCs w:val="28"/>
          <w:rtl/>
        </w:rPr>
      </w:pPr>
    </w:p>
    <w:p w14:paraId="5A8B883B" w14:textId="77777777" w:rsidR="001044EA" w:rsidRDefault="005B3CF2">
      <w:pPr>
        <w:spacing w:line="360" w:lineRule="auto"/>
        <w:jc w:val="both"/>
        <w:rPr>
          <w:rFonts w:ascii="Arial" w:hAnsi="Arial" w:cs="Miriam"/>
        </w:rPr>
      </w:pPr>
      <w:r>
        <w:rPr>
          <w:rFonts w:ascii="Arial" w:hAnsi="Arial" w:cs="Miriam"/>
          <w:rtl/>
        </w:rPr>
        <w:t>סיכום</w:t>
      </w:r>
    </w:p>
    <w:p w14:paraId="35F636F2" w14:textId="77777777" w:rsidR="001044EA" w:rsidRDefault="005B3CF2">
      <w:pPr>
        <w:spacing w:line="360" w:lineRule="auto"/>
        <w:jc w:val="both"/>
        <w:rPr>
          <w:rFonts w:ascii="Arial" w:hAnsi="Arial" w:cs="FrankRuehl"/>
          <w:sz w:val="28"/>
          <w:szCs w:val="28"/>
          <w:rtl/>
        </w:rPr>
      </w:pPr>
      <w:r>
        <w:rPr>
          <w:rFonts w:ascii="Arial" w:hAnsi="Arial" w:cs="FrankRuehl"/>
          <w:sz w:val="28"/>
          <w:szCs w:val="28"/>
          <w:rtl/>
        </w:rPr>
        <w:t>לאור האמור לעיל אני דן את הנאשם לעונש המתאים הבא:</w:t>
      </w:r>
    </w:p>
    <w:p w14:paraId="41A6B0E4" w14:textId="77777777" w:rsidR="001044EA" w:rsidRDefault="005B3CF2">
      <w:pPr>
        <w:pStyle w:val="ListParagraph"/>
        <w:numPr>
          <w:ilvl w:val="0"/>
          <w:numId w:val="2"/>
        </w:numPr>
        <w:spacing w:line="360" w:lineRule="auto"/>
        <w:jc w:val="both"/>
        <w:rPr>
          <w:rFonts w:ascii="Arial" w:hAnsi="Arial" w:cs="FrankRuehl"/>
          <w:sz w:val="28"/>
          <w:szCs w:val="28"/>
        </w:rPr>
      </w:pPr>
      <w:r>
        <w:rPr>
          <w:rFonts w:ascii="Arial" w:hAnsi="Arial" w:cs="FrankRuehl"/>
          <w:sz w:val="28"/>
          <w:szCs w:val="28"/>
          <w:rtl/>
        </w:rPr>
        <w:t xml:space="preserve">עונש של </w:t>
      </w:r>
      <w:r>
        <w:rPr>
          <w:rFonts w:ascii="Arial" w:hAnsi="Arial" w:cs="FrankRuehl" w:hint="cs"/>
          <w:sz w:val="28"/>
          <w:szCs w:val="28"/>
          <w:rtl/>
        </w:rPr>
        <w:t xml:space="preserve">4 </w:t>
      </w:r>
      <w:r>
        <w:rPr>
          <w:rFonts w:ascii="Arial" w:hAnsi="Arial" w:cs="FrankRuehl"/>
          <w:sz w:val="28"/>
          <w:szCs w:val="28"/>
          <w:rtl/>
        </w:rPr>
        <w:t xml:space="preserve"> חודשי מאסר ב</w:t>
      </w:r>
      <w:r>
        <w:rPr>
          <w:rFonts w:ascii="Arial" w:hAnsi="Arial" w:cs="FrankRuehl" w:hint="cs"/>
          <w:sz w:val="28"/>
          <w:szCs w:val="28"/>
          <w:rtl/>
        </w:rPr>
        <w:t>פועל, ב</w:t>
      </w:r>
      <w:r>
        <w:rPr>
          <w:rFonts w:ascii="Arial" w:hAnsi="Arial" w:cs="FrankRuehl"/>
          <w:sz w:val="28"/>
          <w:szCs w:val="28"/>
          <w:rtl/>
        </w:rPr>
        <w:t>ניכוי הימים בהם שהה הנאשם במעצר, מיום 2.9.2014 ועד ליום 29.9.14. הנאשם יתייצב למאסרו בבית סוהר ימ"ר קישון ביום</w:t>
      </w:r>
      <w:r>
        <w:rPr>
          <w:rFonts w:ascii="Arial" w:hAnsi="Arial" w:cs="FrankRuehl" w:hint="cs"/>
          <w:sz w:val="28"/>
          <w:szCs w:val="28"/>
          <w:rtl/>
        </w:rPr>
        <w:t xml:space="preserve"> 20.12.15 </w:t>
      </w:r>
      <w:r>
        <w:rPr>
          <w:rFonts w:ascii="Arial" w:hAnsi="Arial" w:cs="FrankRuehl"/>
          <w:sz w:val="28"/>
          <w:szCs w:val="28"/>
          <w:rtl/>
        </w:rPr>
        <w:t>עד השעה 10:00, או על פי החלטת שב"ס, כשברשותו תעודת זהות או דרכון.</w:t>
      </w:r>
      <w:r>
        <w:rPr>
          <w:rFonts w:ascii="Arial" w:hAnsi="Arial" w:cs="FrankRuehl" w:hint="cs"/>
          <w:sz w:val="28"/>
          <w:szCs w:val="28"/>
          <w:rtl/>
        </w:rPr>
        <w:t xml:space="preserve"> </w:t>
      </w:r>
      <w:r>
        <w:rPr>
          <w:rFonts w:ascii="Arial" w:hAnsi="Arial" w:cs="FrankRuehl"/>
          <w:sz w:val="28"/>
          <w:szCs w:val="28"/>
          <w:rtl/>
        </w:rPr>
        <w:t>על הנאשם לתאם את הכניסה למאסר, כולל האפשרות למיון מוקדם, עם ענף אבחון ומיון של שב"ס, טלפונים: 08-9787377, 08-9787336.</w:t>
      </w:r>
    </w:p>
    <w:p w14:paraId="32DCDF8A" w14:textId="77777777" w:rsidR="001044EA" w:rsidRDefault="005B3CF2">
      <w:pPr>
        <w:pStyle w:val="ListParagraph"/>
        <w:numPr>
          <w:ilvl w:val="0"/>
          <w:numId w:val="2"/>
        </w:numPr>
        <w:spacing w:line="360" w:lineRule="auto"/>
        <w:jc w:val="both"/>
        <w:rPr>
          <w:rFonts w:ascii="Arial" w:hAnsi="Arial" w:cs="FrankRuehl"/>
          <w:sz w:val="28"/>
          <w:szCs w:val="28"/>
        </w:rPr>
      </w:pPr>
      <w:r>
        <w:rPr>
          <w:rFonts w:ascii="Arial" w:hAnsi="Arial" w:cs="FrankRuehl"/>
          <w:sz w:val="28"/>
          <w:szCs w:val="28"/>
          <w:rtl/>
        </w:rPr>
        <w:t xml:space="preserve">4 חודשי מאסר על תנאי, הנאשם לא יישא את עונש המאסר על  תנאי </w:t>
      </w:r>
      <w:r>
        <w:rPr>
          <w:rFonts w:cs="FrankRuehl"/>
          <w:sz w:val="28"/>
          <w:szCs w:val="28"/>
          <w:rtl/>
        </w:rPr>
        <w:t xml:space="preserve">אלא אם יעבור תוך שנתיים עבירת אלימות מסוג עוון או כל עבירה נגד שוטרים לרבות ניסיון לעבור עבירות אלו ויורשע בשל עבירה כזאת תוך תקופת התנאי או לאחריה. </w:t>
      </w:r>
    </w:p>
    <w:p w14:paraId="5E787A43" w14:textId="77777777" w:rsidR="001044EA" w:rsidRDefault="005B3CF2">
      <w:pPr>
        <w:pStyle w:val="ListParagraph"/>
        <w:numPr>
          <w:ilvl w:val="0"/>
          <w:numId w:val="2"/>
        </w:numPr>
        <w:spacing w:line="360" w:lineRule="auto"/>
        <w:jc w:val="both"/>
        <w:rPr>
          <w:rFonts w:ascii="Century" w:hAnsi="Century" w:cs="FrankRuehl"/>
          <w:sz w:val="28"/>
          <w:szCs w:val="28"/>
          <w:rtl/>
        </w:rPr>
      </w:pPr>
      <w:r>
        <w:rPr>
          <w:rFonts w:ascii="Arial" w:hAnsi="Arial" w:cs="FrankRuehl"/>
          <w:sz w:val="28"/>
          <w:szCs w:val="28"/>
          <w:rtl/>
        </w:rPr>
        <w:t xml:space="preserve">8 חודשי מאסר על תנאי, הנאשם לא יישא את עונש המאסר על  תנאי </w:t>
      </w:r>
      <w:r>
        <w:rPr>
          <w:rFonts w:cs="FrankRuehl"/>
          <w:sz w:val="28"/>
          <w:szCs w:val="28"/>
          <w:rtl/>
        </w:rPr>
        <w:t xml:space="preserve">אלא אם יעבור תוך שנתיים עבירה בנשק ויורשע בשל עבירה כזאת תוך תקופת התנאי או לאחריה. </w:t>
      </w:r>
    </w:p>
    <w:p w14:paraId="4EF740F8" w14:textId="77777777" w:rsidR="001044EA" w:rsidRDefault="005B3CF2">
      <w:pPr>
        <w:pStyle w:val="ListParagraph"/>
        <w:numPr>
          <w:ilvl w:val="0"/>
          <w:numId w:val="2"/>
        </w:numPr>
        <w:spacing w:line="360" w:lineRule="auto"/>
        <w:jc w:val="both"/>
        <w:rPr>
          <w:rFonts w:ascii="Century" w:hAnsi="Century" w:cs="FrankRuehl"/>
          <w:sz w:val="28"/>
          <w:szCs w:val="28"/>
        </w:rPr>
      </w:pPr>
      <w:r>
        <w:rPr>
          <w:rFonts w:ascii="Century" w:hAnsi="Century" w:cs="FrankRuehl" w:hint="eastAsia"/>
          <w:sz w:val="28"/>
          <w:szCs w:val="28"/>
          <w:rtl/>
        </w:rPr>
        <w:t>אני</w:t>
      </w:r>
      <w:r>
        <w:rPr>
          <w:rFonts w:ascii="Century" w:hAnsi="Century" w:cs="FrankRuehl"/>
          <w:sz w:val="28"/>
          <w:szCs w:val="28"/>
          <w:rtl/>
        </w:rPr>
        <w:t xml:space="preserve"> </w:t>
      </w:r>
      <w:r>
        <w:rPr>
          <w:rFonts w:ascii="Century" w:hAnsi="Century" w:cs="FrankRuehl" w:hint="eastAsia"/>
          <w:sz w:val="28"/>
          <w:szCs w:val="28"/>
          <w:rtl/>
        </w:rPr>
        <w:t>מחייב</w:t>
      </w:r>
      <w:r>
        <w:rPr>
          <w:rFonts w:ascii="Century" w:hAnsi="Century" w:cs="FrankRuehl"/>
          <w:sz w:val="28"/>
          <w:szCs w:val="28"/>
          <w:rtl/>
        </w:rPr>
        <w:t xml:space="preserve"> </w:t>
      </w:r>
      <w:r>
        <w:rPr>
          <w:rFonts w:ascii="Century" w:hAnsi="Century" w:cs="FrankRuehl" w:hint="eastAsia"/>
          <w:sz w:val="28"/>
          <w:szCs w:val="28"/>
          <w:rtl/>
        </w:rPr>
        <w:t>את</w:t>
      </w:r>
      <w:r>
        <w:rPr>
          <w:rFonts w:ascii="Century" w:hAnsi="Century" w:cs="FrankRuehl"/>
          <w:sz w:val="28"/>
          <w:szCs w:val="28"/>
          <w:rtl/>
        </w:rPr>
        <w:t xml:space="preserve"> </w:t>
      </w:r>
      <w:r>
        <w:rPr>
          <w:rFonts w:ascii="Century" w:hAnsi="Century" w:cs="FrankRuehl" w:hint="eastAsia"/>
          <w:sz w:val="28"/>
          <w:szCs w:val="28"/>
          <w:rtl/>
        </w:rPr>
        <w:t>הנאשם</w:t>
      </w:r>
      <w:r>
        <w:rPr>
          <w:rFonts w:ascii="Century" w:hAnsi="Century" w:cs="FrankRuehl"/>
          <w:sz w:val="28"/>
          <w:szCs w:val="28"/>
          <w:rtl/>
        </w:rPr>
        <w:t xml:space="preserve"> </w:t>
      </w:r>
      <w:r>
        <w:rPr>
          <w:rFonts w:ascii="Century" w:hAnsi="Century" w:cs="FrankRuehl" w:hint="eastAsia"/>
          <w:sz w:val="28"/>
          <w:szCs w:val="28"/>
          <w:rtl/>
        </w:rPr>
        <w:t>לשלם</w:t>
      </w:r>
      <w:r>
        <w:rPr>
          <w:rFonts w:ascii="Century" w:hAnsi="Century" w:cs="FrankRuehl"/>
          <w:sz w:val="28"/>
          <w:szCs w:val="28"/>
          <w:rtl/>
        </w:rPr>
        <w:t xml:space="preserve"> </w:t>
      </w:r>
      <w:r>
        <w:rPr>
          <w:rFonts w:ascii="Century" w:hAnsi="Century" w:cs="FrankRuehl" w:hint="eastAsia"/>
          <w:sz w:val="28"/>
          <w:szCs w:val="28"/>
          <w:rtl/>
        </w:rPr>
        <w:t>קנס</w:t>
      </w:r>
      <w:r>
        <w:rPr>
          <w:rFonts w:ascii="Century" w:hAnsi="Century" w:cs="FrankRuehl"/>
          <w:sz w:val="28"/>
          <w:szCs w:val="28"/>
          <w:rtl/>
        </w:rPr>
        <w:t xml:space="preserve"> </w:t>
      </w:r>
      <w:r>
        <w:rPr>
          <w:rFonts w:ascii="Century" w:hAnsi="Century" w:cs="FrankRuehl" w:hint="eastAsia"/>
          <w:sz w:val="28"/>
          <w:szCs w:val="28"/>
          <w:rtl/>
        </w:rPr>
        <w:t>בשיעור</w:t>
      </w:r>
      <w:r>
        <w:rPr>
          <w:rFonts w:ascii="Century" w:hAnsi="Century" w:cs="FrankRuehl"/>
          <w:sz w:val="28"/>
          <w:szCs w:val="28"/>
          <w:rtl/>
        </w:rPr>
        <w:t xml:space="preserve"> </w:t>
      </w:r>
      <w:r>
        <w:rPr>
          <w:rFonts w:ascii="Century" w:hAnsi="Century" w:cs="FrankRuehl" w:hint="eastAsia"/>
          <w:sz w:val="28"/>
          <w:szCs w:val="28"/>
          <w:rtl/>
        </w:rPr>
        <w:t>של</w:t>
      </w:r>
      <w:r>
        <w:rPr>
          <w:rFonts w:ascii="Century" w:hAnsi="Century" w:cs="FrankRuehl"/>
          <w:sz w:val="28"/>
          <w:szCs w:val="28"/>
          <w:rtl/>
        </w:rPr>
        <w:t xml:space="preserve"> 5,000 </w:t>
      </w:r>
      <w:r>
        <w:rPr>
          <w:rFonts w:ascii="Century" w:hAnsi="Century" w:cs="FrankRuehl" w:hint="eastAsia"/>
          <w:sz w:val="28"/>
          <w:szCs w:val="28"/>
          <w:rtl/>
        </w:rPr>
        <w:t>ש</w:t>
      </w:r>
      <w:r>
        <w:rPr>
          <w:rFonts w:ascii="Century" w:hAnsi="Century" w:cs="FrankRuehl"/>
          <w:sz w:val="28"/>
          <w:szCs w:val="28"/>
          <w:rtl/>
        </w:rPr>
        <w:t>"</w:t>
      </w:r>
      <w:r>
        <w:rPr>
          <w:rFonts w:ascii="Century" w:hAnsi="Century" w:cs="FrankRuehl" w:hint="eastAsia"/>
          <w:sz w:val="28"/>
          <w:szCs w:val="28"/>
          <w:rtl/>
        </w:rPr>
        <w:t>ח</w:t>
      </w:r>
      <w:r>
        <w:rPr>
          <w:rFonts w:ascii="Century" w:hAnsi="Century" w:cs="FrankRuehl"/>
          <w:sz w:val="28"/>
          <w:szCs w:val="28"/>
          <w:rtl/>
        </w:rPr>
        <w:t xml:space="preserve"> </w:t>
      </w:r>
      <w:r>
        <w:rPr>
          <w:rFonts w:ascii="Century" w:hAnsi="Century" w:cs="FrankRuehl" w:hint="eastAsia"/>
          <w:sz w:val="28"/>
          <w:szCs w:val="28"/>
          <w:rtl/>
        </w:rPr>
        <w:t>או</w:t>
      </w:r>
      <w:r>
        <w:rPr>
          <w:rFonts w:ascii="Century" w:hAnsi="Century" w:cs="FrankRuehl"/>
          <w:sz w:val="28"/>
          <w:szCs w:val="28"/>
          <w:rtl/>
        </w:rPr>
        <w:t xml:space="preserve">  5 </w:t>
      </w:r>
      <w:r>
        <w:rPr>
          <w:rFonts w:ascii="Century" w:hAnsi="Century" w:cs="FrankRuehl" w:hint="eastAsia"/>
          <w:sz w:val="28"/>
          <w:szCs w:val="28"/>
          <w:rtl/>
        </w:rPr>
        <w:t>חודשי</w:t>
      </w:r>
      <w:r>
        <w:rPr>
          <w:rFonts w:ascii="Century" w:hAnsi="Century" w:cs="FrankRuehl"/>
          <w:sz w:val="28"/>
          <w:szCs w:val="28"/>
          <w:rtl/>
        </w:rPr>
        <w:t xml:space="preserve"> </w:t>
      </w:r>
      <w:r>
        <w:rPr>
          <w:rFonts w:ascii="Century" w:hAnsi="Century" w:cs="FrankRuehl" w:hint="eastAsia"/>
          <w:sz w:val="28"/>
          <w:szCs w:val="28"/>
          <w:rtl/>
        </w:rPr>
        <w:t>מאסר</w:t>
      </w:r>
      <w:r>
        <w:rPr>
          <w:rFonts w:ascii="Century" w:hAnsi="Century" w:cs="FrankRuehl"/>
          <w:sz w:val="28"/>
          <w:szCs w:val="28"/>
          <w:rtl/>
        </w:rPr>
        <w:t xml:space="preserve"> </w:t>
      </w:r>
      <w:r>
        <w:rPr>
          <w:rFonts w:ascii="Century" w:hAnsi="Century" w:cs="FrankRuehl" w:hint="eastAsia"/>
          <w:sz w:val="28"/>
          <w:szCs w:val="28"/>
          <w:rtl/>
        </w:rPr>
        <w:t>תמורתו</w:t>
      </w:r>
      <w:r>
        <w:rPr>
          <w:rFonts w:ascii="Century" w:hAnsi="Century" w:cs="FrankRuehl"/>
          <w:sz w:val="28"/>
          <w:szCs w:val="28"/>
          <w:rtl/>
        </w:rPr>
        <w:t xml:space="preserve">, </w:t>
      </w:r>
      <w:r>
        <w:rPr>
          <w:rFonts w:ascii="Century" w:hAnsi="Century" w:cs="FrankRuehl" w:hint="eastAsia"/>
          <w:sz w:val="28"/>
          <w:szCs w:val="28"/>
          <w:rtl/>
        </w:rPr>
        <w:t>הקנס</w:t>
      </w:r>
      <w:r>
        <w:rPr>
          <w:rFonts w:ascii="Century" w:hAnsi="Century" w:cs="FrankRuehl"/>
          <w:sz w:val="28"/>
          <w:szCs w:val="28"/>
          <w:rtl/>
        </w:rPr>
        <w:t xml:space="preserve"> </w:t>
      </w:r>
      <w:r>
        <w:rPr>
          <w:rFonts w:ascii="Century" w:hAnsi="Century" w:cs="FrankRuehl" w:hint="eastAsia"/>
          <w:sz w:val="28"/>
          <w:szCs w:val="28"/>
          <w:rtl/>
        </w:rPr>
        <w:t>ישולם</w:t>
      </w:r>
      <w:r>
        <w:rPr>
          <w:rFonts w:ascii="Century" w:hAnsi="Century" w:cs="FrankRuehl"/>
          <w:sz w:val="28"/>
          <w:szCs w:val="28"/>
          <w:rtl/>
        </w:rPr>
        <w:t xml:space="preserve"> </w:t>
      </w:r>
      <w:r>
        <w:rPr>
          <w:rFonts w:ascii="Century" w:hAnsi="Century" w:cs="FrankRuehl" w:hint="eastAsia"/>
          <w:sz w:val="28"/>
          <w:szCs w:val="28"/>
          <w:rtl/>
        </w:rPr>
        <w:t>ב</w:t>
      </w:r>
      <w:r>
        <w:rPr>
          <w:rFonts w:ascii="Century" w:hAnsi="Century" w:cs="FrankRuehl"/>
          <w:sz w:val="28"/>
          <w:szCs w:val="28"/>
          <w:rtl/>
        </w:rPr>
        <w:t xml:space="preserve">-10 </w:t>
      </w:r>
      <w:r>
        <w:rPr>
          <w:rFonts w:ascii="Century" w:hAnsi="Century" w:cs="FrankRuehl" w:hint="eastAsia"/>
          <w:sz w:val="28"/>
          <w:szCs w:val="28"/>
          <w:rtl/>
        </w:rPr>
        <w:t>תשלומים</w:t>
      </w:r>
      <w:r>
        <w:rPr>
          <w:rFonts w:ascii="Century" w:hAnsi="Century" w:cs="FrankRuehl"/>
          <w:sz w:val="28"/>
          <w:szCs w:val="28"/>
          <w:rtl/>
        </w:rPr>
        <w:t xml:space="preserve"> </w:t>
      </w:r>
      <w:r>
        <w:rPr>
          <w:rFonts w:ascii="Century" w:hAnsi="Century" w:cs="FrankRuehl" w:hint="eastAsia"/>
          <w:sz w:val="28"/>
          <w:szCs w:val="28"/>
          <w:rtl/>
        </w:rPr>
        <w:t>שווים</w:t>
      </w:r>
      <w:r>
        <w:rPr>
          <w:rFonts w:ascii="Century" w:hAnsi="Century" w:cs="FrankRuehl"/>
          <w:sz w:val="28"/>
          <w:szCs w:val="28"/>
          <w:rtl/>
        </w:rPr>
        <w:t xml:space="preserve"> </w:t>
      </w:r>
      <w:r>
        <w:rPr>
          <w:rFonts w:ascii="Century" w:hAnsi="Century" w:cs="FrankRuehl" w:hint="eastAsia"/>
          <w:sz w:val="28"/>
          <w:szCs w:val="28"/>
          <w:rtl/>
        </w:rPr>
        <w:t>החל</w:t>
      </w:r>
      <w:r>
        <w:rPr>
          <w:rFonts w:ascii="Century" w:hAnsi="Century" w:cs="FrankRuehl"/>
          <w:sz w:val="28"/>
          <w:szCs w:val="28"/>
          <w:rtl/>
        </w:rPr>
        <w:t xml:space="preserve"> </w:t>
      </w:r>
      <w:r>
        <w:rPr>
          <w:rFonts w:ascii="Century" w:hAnsi="Century" w:cs="FrankRuehl" w:hint="eastAsia"/>
          <w:sz w:val="28"/>
          <w:szCs w:val="28"/>
          <w:rtl/>
        </w:rPr>
        <w:t>מיום</w:t>
      </w:r>
      <w:r>
        <w:rPr>
          <w:rFonts w:ascii="Century" w:hAnsi="Century" w:cs="FrankRuehl"/>
          <w:sz w:val="28"/>
          <w:szCs w:val="28"/>
          <w:rtl/>
        </w:rPr>
        <w:t xml:space="preserve"> 1.7.2016 </w:t>
      </w:r>
      <w:r>
        <w:rPr>
          <w:rFonts w:ascii="Century" w:hAnsi="Century" w:cs="FrankRuehl" w:hint="eastAsia"/>
          <w:sz w:val="28"/>
          <w:szCs w:val="28"/>
          <w:rtl/>
        </w:rPr>
        <w:t>ובכל</w:t>
      </w:r>
      <w:r>
        <w:rPr>
          <w:rFonts w:ascii="Century" w:hAnsi="Century" w:cs="FrankRuehl"/>
          <w:sz w:val="28"/>
          <w:szCs w:val="28"/>
          <w:rtl/>
        </w:rPr>
        <w:t xml:space="preserve"> </w:t>
      </w:r>
      <w:r>
        <w:rPr>
          <w:rFonts w:ascii="Century" w:hAnsi="Century" w:cs="FrankRuehl" w:hint="eastAsia"/>
          <w:sz w:val="28"/>
          <w:szCs w:val="28"/>
          <w:rtl/>
        </w:rPr>
        <w:t>ראשון</w:t>
      </w:r>
      <w:r>
        <w:rPr>
          <w:rFonts w:ascii="Century" w:hAnsi="Century" w:cs="FrankRuehl"/>
          <w:sz w:val="28"/>
          <w:szCs w:val="28"/>
          <w:rtl/>
        </w:rPr>
        <w:t xml:space="preserve"> </w:t>
      </w:r>
      <w:r>
        <w:rPr>
          <w:rFonts w:ascii="Century" w:hAnsi="Century" w:cs="FrankRuehl" w:hint="eastAsia"/>
          <w:sz w:val="28"/>
          <w:szCs w:val="28"/>
          <w:rtl/>
        </w:rPr>
        <w:t>לחו</w:t>
      </w:r>
      <w:r>
        <w:rPr>
          <w:rFonts w:ascii="Century" w:hAnsi="Century" w:cs="FrankRuehl" w:hint="cs"/>
          <w:sz w:val="28"/>
          <w:szCs w:val="28"/>
          <w:rtl/>
        </w:rPr>
        <w:t>ד</w:t>
      </w:r>
      <w:r>
        <w:rPr>
          <w:rFonts w:ascii="Century" w:hAnsi="Century" w:cs="FrankRuehl" w:hint="eastAsia"/>
          <w:sz w:val="28"/>
          <w:szCs w:val="28"/>
          <w:rtl/>
        </w:rPr>
        <w:t>ש</w:t>
      </w:r>
      <w:r>
        <w:rPr>
          <w:rFonts w:ascii="Century" w:hAnsi="Century" w:cs="FrankRuehl"/>
          <w:sz w:val="28"/>
          <w:szCs w:val="28"/>
          <w:rtl/>
        </w:rPr>
        <w:t xml:space="preserve"> </w:t>
      </w:r>
      <w:r>
        <w:rPr>
          <w:rFonts w:ascii="Century" w:hAnsi="Century" w:cs="FrankRuehl" w:hint="eastAsia"/>
          <w:sz w:val="28"/>
          <w:szCs w:val="28"/>
          <w:rtl/>
        </w:rPr>
        <w:t>לאחר</w:t>
      </w:r>
      <w:r>
        <w:rPr>
          <w:rFonts w:ascii="Century" w:hAnsi="Century" w:cs="FrankRuehl"/>
          <w:sz w:val="28"/>
          <w:szCs w:val="28"/>
          <w:rtl/>
        </w:rPr>
        <w:t xml:space="preserve"> </w:t>
      </w:r>
      <w:r>
        <w:rPr>
          <w:rFonts w:ascii="Century" w:hAnsi="Century" w:cs="FrankRuehl" w:hint="eastAsia"/>
          <w:sz w:val="28"/>
          <w:szCs w:val="28"/>
          <w:rtl/>
        </w:rPr>
        <w:t>מכן</w:t>
      </w:r>
      <w:r>
        <w:rPr>
          <w:rFonts w:ascii="Century" w:hAnsi="Century" w:cs="FrankRuehl"/>
          <w:sz w:val="28"/>
          <w:szCs w:val="28"/>
          <w:rtl/>
        </w:rPr>
        <w:t xml:space="preserve">, </w:t>
      </w:r>
      <w:r>
        <w:rPr>
          <w:rFonts w:ascii="Century" w:hAnsi="Century" w:cs="FrankRuehl" w:hint="eastAsia"/>
          <w:sz w:val="28"/>
          <w:szCs w:val="28"/>
          <w:rtl/>
        </w:rPr>
        <w:t>אי</w:t>
      </w:r>
      <w:r>
        <w:rPr>
          <w:rFonts w:ascii="Century" w:hAnsi="Century" w:cs="FrankRuehl"/>
          <w:sz w:val="28"/>
          <w:szCs w:val="28"/>
          <w:rtl/>
        </w:rPr>
        <w:t xml:space="preserve"> </w:t>
      </w:r>
      <w:r>
        <w:rPr>
          <w:rFonts w:ascii="Century" w:hAnsi="Century" w:cs="FrankRuehl" w:hint="eastAsia"/>
          <w:sz w:val="28"/>
          <w:szCs w:val="28"/>
          <w:rtl/>
        </w:rPr>
        <w:t>עמידה</w:t>
      </w:r>
      <w:r>
        <w:rPr>
          <w:rFonts w:ascii="Century" w:hAnsi="Century" w:cs="FrankRuehl"/>
          <w:sz w:val="28"/>
          <w:szCs w:val="28"/>
          <w:rtl/>
        </w:rPr>
        <w:t xml:space="preserve"> </w:t>
      </w:r>
      <w:r>
        <w:rPr>
          <w:rFonts w:ascii="Century" w:hAnsi="Century" w:cs="FrankRuehl" w:hint="eastAsia"/>
          <w:sz w:val="28"/>
          <w:szCs w:val="28"/>
          <w:rtl/>
        </w:rPr>
        <w:t>באחד</w:t>
      </w:r>
      <w:r>
        <w:rPr>
          <w:rFonts w:ascii="Century" w:hAnsi="Century" w:cs="FrankRuehl"/>
          <w:sz w:val="28"/>
          <w:szCs w:val="28"/>
          <w:rtl/>
        </w:rPr>
        <w:t xml:space="preserve"> </w:t>
      </w:r>
      <w:r>
        <w:rPr>
          <w:rFonts w:ascii="Century" w:hAnsi="Century" w:cs="FrankRuehl" w:hint="eastAsia"/>
          <w:sz w:val="28"/>
          <w:szCs w:val="28"/>
          <w:rtl/>
        </w:rPr>
        <w:t>התשלומים</w:t>
      </w:r>
      <w:r>
        <w:rPr>
          <w:rFonts w:ascii="Century" w:hAnsi="Century" w:cs="FrankRuehl"/>
          <w:sz w:val="28"/>
          <w:szCs w:val="28"/>
          <w:rtl/>
        </w:rPr>
        <w:t xml:space="preserve"> </w:t>
      </w:r>
      <w:r>
        <w:rPr>
          <w:rFonts w:ascii="Century" w:hAnsi="Century" w:cs="FrankRuehl" w:hint="eastAsia"/>
          <w:sz w:val="28"/>
          <w:szCs w:val="28"/>
          <w:rtl/>
        </w:rPr>
        <w:t>תעמיד</w:t>
      </w:r>
      <w:r>
        <w:rPr>
          <w:rFonts w:ascii="Century" w:hAnsi="Century" w:cs="FrankRuehl"/>
          <w:sz w:val="28"/>
          <w:szCs w:val="28"/>
          <w:rtl/>
        </w:rPr>
        <w:t xml:space="preserve"> </w:t>
      </w:r>
      <w:r>
        <w:rPr>
          <w:rFonts w:ascii="Century" w:hAnsi="Century" w:cs="FrankRuehl" w:hint="eastAsia"/>
          <w:sz w:val="28"/>
          <w:szCs w:val="28"/>
          <w:rtl/>
        </w:rPr>
        <w:t>את</w:t>
      </w:r>
      <w:r>
        <w:rPr>
          <w:rFonts w:ascii="Century" w:hAnsi="Century" w:cs="FrankRuehl"/>
          <w:sz w:val="28"/>
          <w:szCs w:val="28"/>
          <w:rtl/>
        </w:rPr>
        <w:t xml:space="preserve"> </w:t>
      </w:r>
      <w:r>
        <w:rPr>
          <w:rFonts w:ascii="Century" w:hAnsi="Century" w:cs="FrankRuehl" w:hint="eastAsia"/>
          <w:sz w:val="28"/>
          <w:szCs w:val="28"/>
          <w:rtl/>
        </w:rPr>
        <w:t>יתרת</w:t>
      </w:r>
      <w:r>
        <w:rPr>
          <w:rFonts w:ascii="Century" w:hAnsi="Century" w:cs="FrankRuehl"/>
          <w:sz w:val="28"/>
          <w:szCs w:val="28"/>
          <w:rtl/>
        </w:rPr>
        <w:t xml:space="preserve"> </w:t>
      </w:r>
      <w:r>
        <w:rPr>
          <w:rFonts w:ascii="Century" w:hAnsi="Century" w:cs="FrankRuehl" w:hint="eastAsia"/>
          <w:sz w:val="28"/>
          <w:szCs w:val="28"/>
          <w:rtl/>
        </w:rPr>
        <w:t>הקנס</w:t>
      </w:r>
      <w:r>
        <w:rPr>
          <w:rFonts w:ascii="Century" w:hAnsi="Century" w:cs="FrankRuehl"/>
          <w:sz w:val="28"/>
          <w:szCs w:val="28"/>
          <w:rtl/>
        </w:rPr>
        <w:t xml:space="preserve"> </w:t>
      </w:r>
      <w:r>
        <w:rPr>
          <w:rFonts w:ascii="Century" w:hAnsi="Century" w:cs="FrankRuehl" w:hint="eastAsia"/>
          <w:sz w:val="28"/>
          <w:szCs w:val="28"/>
          <w:rtl/>
        </w:rPr>
        <w:t>לפירעון</w:t>
      </w:r>
      <w:r>
        <w:rPr>
          <w:rFonts w:ascii="Century" w:hAnsi="Century" w:cs="FrankRuehl"/>
          <w:sz w:val="28"/>
          <w:szCs w:val="28"/>
          <w:rtl/>
        </w:rPr>
        <w:t xml:space="preserve"> </w:t>
      </w:r>
      <w:r>
        <w:rPr>
          <w:rFonts w:ascii="Century" w:hAnsi="Century" w:cs="FrankRuehl" w:hint="eastAsia"/>
          <w:sz w:val="28"/>
          <w:szCs w:val="28"/>
          <w:rtl/>
        </w:rPr>
        <w:t>מיידי</w:t>
      </w:r>
      <w:r>
        <w:rPr>
          <w:rFonts w:ascii="Century" w:hAnsi="Century" w:cs="FrankRuehl"/>
          <w:sz w:val="28"/>
          <w:szCs w:val="28"/>
          <w:rtl/>
        </w:rPr>
        <w:t>.</w:t>
      </w:r>
    </w:p>
    <w:p w14:paraId="7E8441C2" w14:textId="77777777" w:rsidR="001044EA" w:rsidRDefault="001044EA">
      <w:pPr>
        <w:pStyle w:val="ListParagraph"/>
        <w:spacing w:line="360" w:lineRule="auto"/>
        <w:jc w:val="both"/>
        <w:rPr>
          <w:rFonts w:ascii="Century" w:hAnsi="Century" w:cs="FrankRuehl"/>
          <w:sz w:val="28"/>
          <w:szCs w:val="28"/>
        </w:rPr>
      </w:pPr>
    </w:p>
    <w:p w14:paraId="32DB9D3F" w14:textId="77777777" w:rsidR="001044EA" w:rsidRDefault="005B3CF2">
      <w:pPr>
        <w:pStyle w:val="ListParagraph"/>
        <w:rPr>
          <w:rFonts w:ascii="Century" w:hAnsi="Century" w:cs="FrankRuehl"/>
          <w:sz w:val="28"/>
          <w:szCs w:val="28"/>
          <w:rtl/>
        </w:rPr>
      </w:pPr>
      <w:r>
        <w:rPr>
          <w:rFonts w:ascii="Century" w:hAnsi="Century" w:cs="FrankRuehl" w:hint="cs"/>
          <w:sz w:val="28"/>
          <w:szCs w:val="28"/>
          <w:rtl/>
        </w:rPr>
        <w:t>המזכירות תשלח העתק מגזר הדין לשירות המבחן ולממונה על עבודות השירות.</w:t>
      </w:r>
    </w:p>
    <w:p w14:paraId="2E2C57C6" w14:textId="77777777" w:rsidR="001044EA" w:rsidRDefault="001044EA">
      <w:pPr>
        <w:pStyle w:val="ListParagraph"/>
        <w:rPr>
          <w:rFonts w:ascii="Century" w:hAnsi="Century" w:cs="FrankRuehl"/>
          <w:sz w:val="28"/>
          <w:szCs w:val="28"/>
          <w:rtl/>
        </w:rPr>
      </w:pPr>
    </w:p>
    <w:p w14:paraId="76301141" w14:textId="77777777" w:rsidR="001044EA" w:rsidRDefault="005B3CF2">
      <w:pPr>
        <w:spacing w:line="360" w:lineRule="auto"/>
        <w:ind w:left="720"/>
        <w:jc w:val="both"/>
        <w:rPr>
          <w:rFonts w:ascii="Arial" w:hAnsi="Arial" w:cs="FrankRuehl"/>
          <w:sz w:val="28"/>
          <w:szCs w:val="28"/>
          <w:u w:val="single"/>
        </w:rPr>
      </w:pPr>
      <w:r>
        <w:rPr>
          <w:rFonts w:ascii="Arial" w:hAnsi="Arial" w:cs="FrankRuehl"/>
          <w:sz w:val="28"/>
          <w:szCs w:val="28"/>
          <w:u w:val="single"/>
          <w:rtl/>
        </w:rPr>
        <w:t>זכות ערעור לבית המשפט העליון תוך 45 יום.</w:t>
      </w:r>
    </w:p>
    <w:p w14:paraId="2D12F203" w14:textId="77777777" w:rsidR="001044EA" w:rsidRDefault="005B3CF2">
      <w:pPr>
        <w:spacing w:line="360" w:lineRule="auto"/>
        <w:jc w:val="both"/>
        <w:rPr>
          <w:rFonts w:ascii="Arial" w:hAnsi="Arial" w:cs="FrankRuehl"/>
          <w:sz w:val="28"/>
          <w:szCs w:val="28"/>
        </w:rPr>
      </w:pPr>
      <w:r w:rsidRPr="005B3CF2">
        <w:rPr>
          <w:rFonts w:ascii="Arial" w:hAnsi="Arial" w:cs="FrankRuehl"/>
          <w:color w:val="FFFFFF"/>
          <w:sz w:val="2"/>
          <w:szCs w:val="2"/>
          <w:rtl/>
        </w:rPr>
        <w:t>5129371</w:t>
      </w:r>
      <w:r>
        <w:rPr>
          <w:rFonts w:ascii="Arial" w:hAnsi="Arial" w:cs="FrankRuehl"/>
          <w:sz w:val="28"/>
          <w:szCs w:val="28"/>
          <w:rtl/>
        </w:rPr>
        <w:t xml:space="preserve">ניתן היוםי"ז כסלו תשע"ו, 29 נובמבר 2015, בנוכחות ב"כ המאשימה עו"ד גויכמן, הסנגור עו"ד </w:t>
      </w:r>
      <w:r>
        <w:rPr>
          <w:rFonts w:ascii="Arial" w:hAnsi="Arial" w:cs="FrankRuehl" w:hint="cs"/>
          <w:sz w:val="28"/>
          <w:szCs w:val="28"/>
          <w:rtl/>
        </w:rPr>
        <w:t>רסלאן מחאג'נה והנאשם בעצמו.</w:t>
      </w:r>
    </w:p>
    <w:p w14:paraId="4ADB1942" w14:textId="77777777" w:rsidR="001044EA" w:rsidRPr="005B3CF2" w:rsidRDefault="005B3CF2">
      <w:pPr>
        <w:rPr>
          <w:rFonts w:cs="FrankRuehl"/>
          <w:color w:val="FFFFFF"/>
          <w:sz w:val="2"/>
          <w:szCs w:val="2"/>
          <w:rtl/>
        </w:rPr>
      </w:pPr>
      <w:r w:rsidRPr="005B3CF2">
        <w:rPr>
          <w:rFonts w:cs="FrankRuehl"/>
          <w:color w:val="FFFFFF"/>
          <w:sz w:val="2"/>
          <w:szCs w:val="2"/>
          <w:rtl/>
        </w:rPr>
        <w:t>54678313</w:t>
      </w:r>
    </w:p>
    <w:p w14:paraId="5264CD58" w14:textId="77777777" w:rsidR="001044EA" w:rsidRDefault="005B3CF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026970B" w14:textId="77777777" w:rsidR="001044EA" w:rsidRDefault="001044EA">
      <w:pPr>
        <w:jc w:val="center"/>
        <w:rPr>
          <w:rFonts w:ascii="Arial" w:hAnsi="Arial" w:cs="FrankRuehl"/>
          <w:sz w:val="28"/>
          <w:szCs w:val="28"/>
          <w:rtl/>
        </w:rPr>
      </w:pPr>
    </w:p>
    <w:p w14:paraId="637D2DF4" w14:textId="77777777" w:rsidR="001044EA" w:rsidRDefault="001044EA">
      <w:pPr>
        <w:rPr>
          <w:rFonts w:cs="FrankRuehl"/>
          <w:sz w:val="28"/>
          <w:szCs w:val="28"/>
          <w:rtl/>
        </w:rPr>
      </w:pPr>
    </w:p>
    <w:p w14:paraId="5458C2E1" w14:textId="77777777" w:rsidR="005B3CF2" w:rsidRPr="005B3CF2" w:rsidRDefault="005B3CF2" w:rsidP="005B3CF2">
      <w:pPr>
        <w:keepNext/>
        <w:rPr>
          <w:rFonts w:ascii="David" w:hAnsi="David"/>
          <w:color w:val="000000"/>
          <w:sz w:val="22"/>
          <w:szCs w:val="22"/>
          <w:rtl/>
        </w:rPr>
      </w:pPr>
    </w:p>
    <w:p w14:paraId="6C3926C6" w14:textId="77777777" w:rsidR="005B3CF2" w:rsidRPr="005B3CF2" w:rsidRDefault="005B3CF2" w:rsidP="005B3CF2">
      <w:pPr>
        <w:keepNext/>
        <w:rPr>
          <w:rFonts w:ascii="David" w:hAnsi="David"/>
          <w:color w:val="000000"/>
          <w:sz w:val="22"/>
          <w:szCs w:val="22"/>
          <w:rtl/>
        </w:rPr>
      </w:pPr>
      <w:r w:rsidRPr="005B3CF2">
        <w:rPr>
          <w:rFonts w:ascii="David" w:hAnsi="David"/>
          <w:color w:val="000000"/>
          <w:sz w:val="22"/>
          <w:szCs w:val="22"/>
          <w:rtl/>
        </w:rPr>
        <w:t>אברהם אליקים 54678313</w:t>
      </w:r>
    </w:p>
    <w:p w14:paraId="67916F7D" w14:textId="77777777" w:rsidR="005B3CF2" w:rsidRDefault="005B3CF2" w:rsidP="005B3CF2">
      <w:r w:rsidRPr="005B3CF2">
        <w:rPr>
          <w:color w:val="000000"/>
          <w:rtl/>
        </w:rPr>
        <w:t>נוסח מסמך זה כפוף לשינויי ניסוח ועריכה</w:t>
      </w:r>
    </w:p>
    <w:p w14:paraId="516F0E76" w14:textId="77777777" w:rsidR="005B3CF2" w:rsidRDefault="005B3CF2" w:rsidP="005B3CF2">
      <w:pPr>
        <w:rPr>
          <w:rtl/>
        </w:rPr>
      </w:pPr>
    </w:p>
    <w:p w14:paraId="2C8AAEF8" w14:textId="77777777" w:rsidR="005B3CF2" w:rsidRDefault="005B3CF2" w:rsidP="005B3CF2">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F671B5C" w14:textId="77777777" w:rsidR="001044EA" w:rsidRPr="005B3CF2" w:rsidRDefault="001044EA" w:rsidP="005B3CF2">
      <w:pPr>
        <w:jc w:val="center"/>
        <w:rPr>
          <w:color w:val="0000FF"/>
          <w:u w:val="single"/>
        </w:rPr>
      </w:pPr>
    </w:p>
    <w:sectPr w:rsidR="001044EA" w:rsidRPr="005B3CF2" w:rsidSect="005B3CF2">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2A191" w14:textId="77777777" w:rsidR="003A6162" w:rsidRDefault="003A6162">
      <w:r>
        <w:separator/>
      </w:r>
    </w:p>
  </w:endnote>
  <w:endnote w:type="continuationSeparator" w:id="0">
    <w:p w14:paraId="47E09E38" w14:textId="77777777" w:rsidR="003A6162" w:rsidRDefault="003A6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4FA0" w14:textId="77777777" w:rsidR="00DE3732" w:rsidRDefault="00DE3732" w:rsidP="005B3C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6C6877" w14:textId="77777777" w:rsidR="00DE3732" w:rsidRPr="005B3CF2" w:rsidRDefault="00DE3732" w:rsidP="005B3CF2">
    <w:pPr>
      <w:pStyle w:val="a5"/>
      <w:pBdr>
        <w:top w:val="single" w:sz="4" w:space="1" w:color="auto"/>
        <w:between w:val="single" w:sz="4" w:space="0" w:color="auto"/>
      </w:pBdr>
      <w:spacing w:after="60"/>
      <w:jc w:val="center"/>
      <w:rPr>
        <w:rFonts w:ascii="FrankRuehl" w:hAnsi="FrankRuehl" w:cs="FrankRuehl"/>
        <w:color w:val="000000"/>
      </w:rPr>
    </w:pPr>
    <w:r w:rsidRPr="005B3C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8662" w14:textId="77777777" w:rsidR="00DE3732" w:rsidRDefault="00DE3732" w:rsidP="005B3C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49ED">
      <w:rPr>
        <w:rFonts w:ascii="FrankRuehl" w:hAnsi="FrankRuehl" w:cs="FrankRuehl"/>
        <w:noProof/>
        <w:rtl/>
      </w:rPr>
      <w:t>1</w:t>
    </w:r>
    <w:r>
      <w:rPr>
        <w:rFonts w:ascii="FrankRuehl" w:hAnsi="FrankRuehl" w:cs="FrankRuehl"/>
        <w:rtl/>
      </w:rPr>
      <w:fldChar w:fldCharType="end"/>
    </w:r>
  </w:p>
  <w:p w14:paraId="300133D8" w14:textId="77777777" w:rsidR="00DE3732" w:rsidRPr="005B3CF2" w:rsidRDefault="00DE3732" w:rsidP="005B3CF2">
    <w:pPr>
      <w:pStyle w:val="a5"/>
      <w:pBdr>
        <w:top w:val="single" w:sz="4" w:space="1" w:color="auto"/>
        <w:between w:val="single" w:sz="4" w:space="0" w:color="auto"/>
      </w:pBdr>
      <w:spacing w:after="60"/>
      <w:jc w:val="center"/>
      <w:rPr>
        <w:rFonts w:ascii="FrankRuehl" w:hAnsi="FrankRuehl" w:cs="FrankRuehl"/>
        <w:color w:val="000000"/>
      </w:rPr>
    </w:pPr>
    <w:r w:rsidRPr="005B3CF2">
      <w:rPr>
        <w:rFonts w:ascii="FrankRuehl" w:hAnsi="FrankRuehl" w:cs="FrankRuehl"/>
        <w:color w:val="000000"/>
      </w:rPr>
      <w:pict w14:anchorId="19578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EB923" w14:textId="77777777" w:rsidR="003A6162" w:rsidRDefault="003A6162">
      <w:r>
        <w:separator/>
      </w:r>
    </w:p>
  </w:footnote>
  <w:footnote w:type="continuationSeparator" w:id="0">
    <w:p w14:paraId="18F28545" w14:textId="77777777" w:rsidR="003A6162" w:rsidRDefault="003A6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A105C" w14:textId="77777777" w:rsidR="00DE3732" w:rsidRPr="005B3CF2" w:rsidRDefault="00DE3732" w:rsidP="005B3C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51186-09-14</w:t>
    </w:r>
    <w:r>
      <w:rPr>
        <w:rFonts w:ascii="David" w:hAnsi="David"/>
        <w:color w:val="000000"/>
        <w:sz w:val="22"/>
        <w:szCs w:val="22"/>
        <w:rtl/>
      </w:rPr>
      <w:tab/>
      <w:t xml:space="preserve"> מדינת ישראל נ' חוסאם אלעל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11920" w14:textId="77777777" w:rsidR="00DE3732" w:rsidRPr="005B3CF2" w:rsidRDefault="00DE3732" w:rsidP="005B3C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51186-09-14</w:t>
    </w:r>
    <w:r>
      <w:rPr>
        <w:rFonts w:ascii="David" w:hAnsi="David"/>
        <w:color w:val="000000"/>
        <w:sz w:val="22"/>
        <w:szCs w:val="22"/>
        <w:rtl/>
      </w:rPr>
      <w:tab/>
      <w:t xml:space="preserve"> מדינת ישראל נ' חוסאם אלעל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6C0"/>
    <w:multiLevelType w:val="hybridMultilevel"/>
    <w:tmpl w:val="4B66F01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94C6DD14">
      <w:numFmt w:val="bullet"/>
      <w:lvlText w:val="-"/>
      <w:lvlJc w:val="left"/>
      <w:pPr>
        <w:tabs>
          <w:tab w:val="num" w:pos="2340"/>
        </w:tabs>
        <w:ind w:left="2340" w:hanging="360"/>
      </w:pPr>
      <w:rPr>
        <w:rFonts w:ascii="Arial" w:eastAsia="Times New Roman" w:hAnsi="Aria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99E51A8"/>
    <w:multiLevelType w:val="hybridMultilevel"/>
    <w:tmpl w:val="790A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166284">
    <w:abstractNumId w:val="0"/>
  </w:num>
  <w:num w:numId="2" w16cid:durableId="211697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44EA"/>
    <w:rsid w:val="000021B3"/>
    <w:rsid w:val="000449ED"/>
    <w:rsid w:val="000E688E"/>
    <w:rsid w:val="001044EA"/>
    <w:rsid w:val="001A5A57"/>
    <w:rsid w:val="00324B2D"/>
    <w:rsid w:val="003A6162"/>
    <w:rsid w:val="0052363B"/>
    <w:rsid w:val="005B3CF2"/>
    <w:rsid w:val="00624956"/>
    <w:rsid w:val="00A31217"/>
    <w:rsid w:val="00AF580D"/>
    <w:rsid w:val="00B531E7"/>
    <w:rsid w:val="00DE3732"/>
    <w:rsid w:val="00EF3D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D4B91B"/>
  <w15:chartTrackingRefBased/>
  <w15:docId w15:val="{1EBC76C6-7E17-4262-9138-9E8D37F5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4E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044EA"/>
    <w:pPr>
      <w:tabs>
        <w:tab w:val="center" w:pos="4153"/>
        <w:tab w:val="right" w:pos="8306"/>
      </w:tabs>
    </w:pPr>
  </w:style>
  <w:style w:type="paragraph" w:styleId="a5">
    <w:name w:val="footer"/>
    <w:basedOn w:val="a"/>
    <w:rsid w:val="001044EA"/>
    <w:pPr>
      <w:tabs>
        <w:tab w:val="center" w:pos="4153"/>
        <w:tab w:val="right" w:pos="8306"/>
      </w:tabs>
    </w:pPr>
  </w:style>
  <w:style w:type="character" w:styleId="a6">
    <w:name w:val="page number"/>
    <w:basedOn w:val="a0"/>
    <w:rsid w:val="001044EA"/>
  </w:style>
  <w:style w:type="character" w:customStyle="1" w:styleId="a4">
    <w:name w:val="כותרת עליונה תו"/>
    <w:link w:val="a3"/>
    <w:rsid w:val="001044EA"/>
    <w:rPr>
      <w:rFonts w:cs="David"/>
      <w:sz w:val="24"/>
      <w:szCs w:val="24"/>
      <w:lang w:val="en-US" w:eastAsia="en-US" w:bidi="he-IL"/>
    </w:rPr>
  </w:style>
  <w:style w:type="character" w:customStyle="1" w:styleId="TimesNewRomanTimesNewRoman">
    <w:name w:val="סגנון (לטיני) Times New Roman (עברית ושפות אחרות) Times New Roman..."/>
    <w:rsid w:val="001044EA"/>
    <w:rPr>
      <w:rFonts w:ascii="Times New Roman" w:hAnsi="Times New Roman" w:cs="David" w:hint="default"/>
      <w:b/>
      <w:bCs/>
      <w:sz w:val="26"/>
      <w:szCs w:val="26"/>
    </w:rPr>
  </w:style>
  <w:style w:type="paragraph" w:customStyle="1" w:styleId="ListParagraph">
    <w:name w:val="List Paragraph"/>
    <w:basedOn w:val="a"/>
    <w:rsid w:val="001044EA"/>
    <w:pPr>
      <w:ind w:left="720"/>
      <w:contextualSpacing/>
    </w:pPr>
  </w:style>
  <w:style w:type="character" w:styleId="Hyperlink">
    <w:name w:val="Hyperlink"/>
    <w:rsid w:val="005B3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a"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6188919" TargetMode="External"/><Relationship Id="rId39" Type="http://schemas.openxmlformats.org/officeDocument/2006/relationships/header" Target="header1.xml"/><Relationship Id="rId21" Type="http://schemas.openxmlformats.org/officeDocument/2006/relationships/hyperlink" Target="http://www.nevo.co.il/case/20245898" TargetMode="External"/><Relationship Id="rId34" Type="http://schemas.openxmlformats.org/officeDocument/2006/relationships/hyperlink" Target="http://www.nevo.co.il/case/17939098"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52" TargetMode="External"/><Relationship Id="rId20" Type="http://schemas.openxmlformats.org/officeDocument/2006/relationships/hyperlink" Target="http://www.nevo.co.il/law/70301/144.a" TargetMode="External"/><Relationship Id="rId29" Type="http://schemas.openxmlformats.org/officeDocument/2006/relationships/hyperlink" Target="http://www.nevo.co.il/case/1053032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52" TargetMode="External"/><Relationship Id="rId24" Type="http://schemas.openxmlformats.org/officeDocument/2006/relationships/hyperlink" Target="http://www.nevo.co.il/law/70301/332" TargetMode="External"/><Relationship Id="rId32" Type="http://schemas.openxmlformats.org/officeDocument/2006/relationships/hyperlink" Target="http://www.nevo.co.il/case/10521289" TargetMode="External"/><Relationship Id="rId37" Type="http://schemas.openxmlformats.org/officeDocument/2006/relationships/hyperlink" Target="http://www.nevo.co.il/case/20275730"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32"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10521289" TargetMode="External"/><Relationship Id="rId36" Type="http://schemas.openxmlformats.org/officeDocument/2006/relationships/hyperlink" Target="http://www.nevo.co.il/case/20267029"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274.1.2" TargetMode="External"/><Relationship Id="rId31" Type="http://schemas.openxmlformats.org/officeDocument/2006/relationships/hyperlink" Target="http://www.nevo.co.il/case/2027573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case/17948082" TargetMode="External"/><Relationship Id="rId27" Type="http://schemas.openxmlformats.org/officeDocument/2006/relationships/hyperlink" Target="http://www.nevo.co.il/law/70301/329.a.2" TargetMode="External"/><Relationship Id="rId30" Type="http://schemas.openxmlformats.org/officeDocument/2006/relationships/hyperlink" Target="http://www.nevo.co.il/case/20267029" TargetMode="External"/><Relationship Id="rId35" Type="http://schemas.openxmlformats.org/officeDocument/2006/relationships/hyperlink" Target="http://www.nevo.co.il/case/20053795" TargetMode="External"/><Relationship Id="rId43"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274.1.2"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275a" TargetMode="External"/><Relationship Id="rId33" Type="http://schemas.openxmlformats.org/officeDocument/2006/relationships/hyperlink" Target="http://www.nevo.co.il/case/1054103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2239</Words>
  <Characters>11197</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13410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3539060</vt:i4>
      </vt:variant>
      <vt:variant>
        <vt:i4>90</vt:i4>
      </vt:variant>
      <vt:variant>
        <vt:i4>0</vt:i4>
      </vt:variant>
      <vt:variant>
        <vt:i4>5</vt:i4>
      </vt:variant>
      <vt:variant>
        <vt:lpwstr>http://www.nevo.co.il/case/20275730</vt:lpwstr>
      </vt:variant>
      <vt:variant>
        <vt:lpwstr/>
      </vt:variant>
      <vt:variant>
        <vt:i4>3473522</vt:i4>
      </vt:variant>
      <vt:variant>
        <vt:i4>87</vt:i4>
      </vt:variant>
      <vt:variant>
        <vt:i4>0</vt:i4>
      </vt:variant>
      <vt:variant>
        <vt:i4>5</vt:i4>
      </vt:variant>
      <vt:variant>
        <vt:lpwstr>http://www.nevo.co.il/case/20267029</vt:lpwstr>
      </vt:variant>
      <vt:variant>
        <vt:lpwstr/>
      </vt:variant>
      <vt:variant>
        <vt:i4>3670134</vt:i4>
      </vt:variant>
      <vt:variant>
        <vt:i4>84</vt:i4>
      </vt:variant>
      <vt:variant>
        <vt:i4>0</vt:i4>
      </vt:variant>
      <vt:variant>
        <vt:i4>5</vt:i4>
      </vt:variant>
      <vt:variant>
        <vt:lpwstr>http://www.nevo.co.il/case/20053795</vt:lpwstr>
      </vt:variant>
      <vt:variant>
        <vt:lpwstr/>
      </vt:variant>
      <vt:variant>
        <vt:i4>3670128</vt:i4>
      </vt:variant>
      <vt:variant>
        <vt:i4>81</vt:i4>
      </vt:variant>
      <vt:variant>
        <vt:i4>0</vt:i4>
      </vt:variant>
      <vt:variant>
        <vt:i4>5</vt:i4>
      </vt:variant>
      <vt:variant>
        <vt:lpwstr>http://www.nevo.co.il/case/17939098</vt:lpwstr>
      </vt:variant>
      <vt:variant>
        <vt:lpwstr/>
      </vt:variant>
      <vt:variant>
        <vt:i4>3539056</vt:i4>
      </vt:variant>
      <vt:variant>
        <vt:i4>78</vt:i4>
      </vt:variant>
      <vt:variant>
        <vt:i4>0</vt:i4>
      </vt:variant>
      <vt:variant>
        <vt:i4>5</vt:i4>
      </vt:variant>
      <vt:variant>
        <vt:lpwstr>http://www.nevo.co.il/case/10541031</vt:lpwstr>
      </vt:variant>
      <vt:variant>
        <vt:lpwstr/>
      </vt:variant>
      <vt:variant>
        <vt:i4>3997812</vt:i4>
      </vt:variant>
      <vt:variant>
        <vt:i4>75</vt:i4>
      </vt:variant>
      <vt:variant>
        <vt:i4>0</vt:i4>
      </vt:variant>
      <vt:variant>
        <vt:i4>5</vt:i4>
      </vt:variant>
      <vt:variant>
        <vt:lpwstr>http://www.nevo.co.il/case/10521289</vt:lpwstr>
      </vt:variant>
      <vt:variant>
        <vt:lpwstr/>
      </vt:variant>
      <vt:variant>
        <vt:i4>3539060</vt:i4>
      </vt:variant>
      <vt:variant>
        <vt:i4>72</vt:i4>
      </vt:variant>
      <vt:variant>
        <vt:i4>0</vt:i4>
      </vt:variant>
      <vt:variant>
        <vt:i4>5</vt:i4>
      </vt:variant>
      <vt:variant>
        <vt:lpwstr>http://www.nevo.co.il/case/20275730</vt:lpwstr>
      </vt:variant>
      <vt:variant>
        <vt:lpwstr/>
      </vt:variant>
      <vt:variant>
        <vt:i4>3473522</vt:i4>
      </vt:variant>
      <vt:variant>
        <vt:i4>69</vt:i4>
      </vt:variant>
      <vt:variant>
        <vt:i4>0</vt:i4>
      </vt:variant>
      <vt:variant>
        <vt:i4>5</vt:i4>
      </vt:variant>
      <vt:variant>
        <vt:lpwstr>http://www.nevo.co.il/case/20267029</vt:lpwstr>
      </vt:variant>
      <vt:variant>
        <vt:lpwstr/>
      </vt:variant>
      <vt:variant>
        <vt:i4>3539060</vt:i4>
      </vt:variant>
      <vt:variant>
        <vt:i4>66</vt:i4>
      </vt:variant>
      <vt:variant>
        <vt:i4>0</vt:i4>
      </vt:variant>
      <vt:variant>
        <vt:i4>5</vt:i4>
      </vt:variant>
      <vt:variant>
        <vt:lpwstr>http://www.nevo.co.il/case/10530322</vt:lpwstr>
      </vt:variant>
      <vt:variant>
        <vt:lpwstr/>
      </vt:variant>
      <vt:variant>
        <vt:i4>3997812</vt:i4>
      </vt:variant>
      <vt:variant>
        <vt:i4>63</vt:i4>
      </vt:variant>
      <vt:variant>
        <vt:i4>0</vt:i4>
      </vt:variant>
      <vt:variant>
        <vt:i4>5</vt:i4>
      </vt:variant>
      <vt:variant>
        <vt:lpwstr>http://www.nevo.co.il/case/10521289</vt:lpwstr>
      </vt:variant>
      <vt:variant>
        <vt:lpwstr/>
      </vt:variant>
      <vt:variant>
        <vt:i4>6750270</vt:i4>
      </vt:variant>
      <vt:variant>
        <vt:i4>60</vt:i4>
      </vt:variant>
      <vt:variant>
        <vt:i4>0</vt:i4>
      </vt:variant>
      <vt:variant>
        <vt:i4>5</vt:i4>
      </vt:variant>
      <vt:variant>
        <vt:lpwstr>http://www.nevo.co.il/law/70301/329.a.2</vt:lpwstr>
      </vt:variant>
      <vt:variant>
        <vt:lpwstr/>
      </vt:variant>
      <vt:variant>
        <vt:i4>4063356</vt:i4>
      </vt:variant>
      <vt:variant>
        <vt:i4>57</vt:i4>
      </vt:variant>
      <vt:variant>
        <vt:i4>0</vt:i4>
      </vt:variant>
      <vt:variant>
        <vt:i4>5</vt:i4>
      </vt:variant>
      <vt:variant>
        <vt:lpwstr>http://www.nevo.co.il/case/6188919</vt:lpwstr>
      </vt:variant>
      <vt:variant>
        <vt:lpwstr/>
      </vt:variant>
      <vt:variant>
        <vt:i4>196690</vt:i4>
      </vt:variant>
      <vt:variant>
        <vt:i4>54</vt:i4>
      </vt:variant>
      <vt:variant>
        <vt:i4>0</vt:i4>
      </vt:variant>
      <vt:variant>
        <vt:i4>5</vt:i4>
      </vt:variant>
      <vt:variant>
        <vt:lpwstr>http://www.nevo.co.il/law/70301/275a</vt:lpwstr>
      </vt:variant>
      <vt:variant>
        <vt:lpwstr/>
      </vt:variant>
      <vt:variant>
        <vt:i4>6684774</vt:i4>
      </vt:variant>
      <vt:variant>
        <vt:i4>51</vt:i4>
      </vt:variant>
      <vt:variant>
        <vt:i4>0</vt:i4>
      </vt:variant>
      <vt:variant>
        <vt:i4>5</vt:i4>
      </vt:variant>
      <vt:variant>
        <vt:lpwstr>http://www.nevo.co.il/law/70301/332</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3670135</vt:i4>
      </vt:variant>
      <vt:variant>
        <vt:i4>45</vt:i4>
      </vt:variant>
      <vt:variant>
        <vt:i4>0</vt:i4>
      </vt:variant>
      <vt:variant>
        <vt:i4>5</vt:i4>
      </vt:variant>
      <vt:variant>
        <vt:lpwstr>http://www.nevo.co.il/case/17948082</vt:lpwstr>
      </vt:variant>
      <vt:variant>
        <vt:lpwstr/>
      </vt:variant>
      <vt:variant>
        <vt:i4>3932280</vt:i4>
      </vt:variant>
      <vt:variant>
        <vt:i4>42</vt:i4>
      </vt:variant>
      <vt:variant>
        <vt:i4>0</vt:i4>
      </vt:variant>
      <vt:variant>
        <vt:i4>5</vt:i4>
      </vt:variant>
      <vt:variant>
        <vt:lpwstr>http://www.nevo.co.il/case/20245898</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6422626</vt:i4>
      </vt:variant>
      <vt:variant>
        <vt:i4>36</vt:i4>
      </vt:variant>
      <vt:variant>
        <vt:i4>0</vt:i4>
      </vt:variant>
      <vt:variant>
        <vt:i4>5</vt:i4>
      </vt:variant>
      <vt:variant>
        <vt:lpwstr>http://www.nevo.co.il/law/70301/274.1.2</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6291556</vt:i4>
      </vt:variant>
      <vt:variant>
        <vt:i4>27</vt:i4>
      </vt:variant>
      <vt:variant>
        <vt:i4>0</vt:i4>
      </vt:variant>
      <vt:variant>
        <vt:i4>5</vt:i4>
      </vt:variant>
      <vt:variant>
        <vt:lpwstr>http://www.nevo.co.il/law/70301/152</vt:lpwstr>
      </vt:variant>
      <vt:variant>
        <vt:lpwstr/>
      </vt:variant>
      <vt:variant>
        <vt:i4>6684774</vt:i4>
      </vt:variant>
      <vt:variant>
        <vt:i4>24</vt:i4>
      </vt:variant>
      <vt:variant>
        <vt:i4>0</vt:i4>
      </vt:variant>
      <vt:variant>
        <vt:i4>5</vt:i4>
      </vt:variant>
      <vt:variant>
        <vt:lpwstr>http://www.nevo.co.il/law/70301/332</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196690</vt:i4>
      </vt:variant>
      <vt:variant>
        <vt:i4>18</vt:i4>
      </vt:variant>
      <vt:variant>
        <vt:i4>0</vt:i4>
      </vt:variant>
      <vt:variant>
        <vt:i4>5</vt:i4>
      </vt:variant>
      <vt:variant>
        <vt:lpwstr>http://www.nevo.co.il/law/70301/275a</vt:lpwstr>
      </vt:variant>
      <vt:variant>
        <vt:lpwstr/>
      </vt:variant>
      <vt:variant>
        <vt:i4>6422626</vt:i4>
      </vt:variant>
      <vt:variant>
        <vt:i4>15</vt:i4>
      </vt:variant>
      <vt:variant>
        <vt:i4>0</vt:i4>
      </vt:variant>
      <vt:variant>
        <vt:i4>5</vt:i4>
      </vt:variant>
      <vt:variant>
        <vt:lpwstr>http://www.nevo.co.il/law/70301/274.1.2</vt:lpwstr>
      </vt:variant>
      <vt:variant>
        <vt:lpwstr/>
      </vt:variant>
      <vt:variant>
        <vt:i4>6291556</vt:i4>
      </vt:variant>
      <vt:variant>
        <vt:i4>12</vt:i4>
      </vt:variant>
      <vt:variant>
        <vt:i4>0</vt:i4>
      </vt:variant>
      <vt:variant>
        <vt:i4>5</vt:i4>
      </vt:variant>
      <vt:variant>
        <vt:lpwstr>http://www.nevo.co.il/law/70301/152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2025-01-19T15:56:00Z</dcterms:created>
  <dcterms:modified xsi:type="dcterms:W3CDTF">2025-01-19T15:56:00Z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51186</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חוסאם אלעל</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20151129</vt:lpwstr>
  </property>
  <property fmtid="{D5CDD505-2E9C-101B-9397-08002B2CF9AE}" pid="13" name="TYPE_N_DATE">
    <vt:lpwstr>39020151129</vt:lpwstr>
  </property>
  <property fmtid="{D5CDD505-2E9C-101B-9397-08002B2CF9AE}" pid="14" name="WORDNUMPAGES">
    <vt:lpwstr>8</vt:lpwstr>
  </property>
  <property fmtid="{D5CDD505-2E9C-101B-9397-08002B2CF9AE}" pid="15" name="TYPE_ABS_DATE">
    <vt:lpwstr>390020151129</vt:lpwstr>
  </property>
  <property fmtid="{D5CDD505-2E9C-101B-9397-08002B2CF9AE}" pid="16" name="ISABSTRACT">
    <vt:lpwstr>Y</vt:lpwstr>
  </property>
  <property fmtid="{D5CDD505-2E9C-101B-9397-08002B2CF9AE}" pid="17" name="CASESLISTTMP1">
    <vt:lpwstr>20245898;17948082;6188919;10521289:2;10530322;20267029:2;20275730:2;10541031;17939098;20053795</vt:lpwstr>
  </property>
  <property fmtid="{D5CDD505-2E9C-101B-9397-08002B2CF9AE}" pid="18" name="LAWLISTTMP1">
    <vt:lpwstr>70301/152;025;274.1.2;144.a;040b;332;275a;329.a.2</vt:lpwstr>
  </property>
</Properties>
</file>