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251"/>
        <w:gridCol w:w="661"/>
        <w:gridCol w:w="3592"/>
      </w:tblGrid>
      <w:tr w:rsidR="000E0E50" w:rsidRPr="00173259" w14:paraId="4A47328D" w14:textId="77777777">
        <w:trPr>
          <w:trHeight w:hRule="exact" w:val="418"/>
          <w:jc w:val="center"/>
        </w:trPr>
        <w:tc>
          <w:tcPr>
            <w:tcW w:w="8504" w:type="dxa"/>
            <w:gridSpan w:val="3"/>
          </w:tcPr>
          <w:p w14:paraId="138401D6" w14:textId="77777777" w:rsidR="000E0E50" w:rsidRPr="00173259" w:rsidRDefault="00173259">
            <w:pPr>
              <w:pStyle w:val="a4"/>
              <w:tabs>
                <w:tab w:val="clear" w:pos="8306"/>
              </w:tabs>
              <w:jc w:val="center"/>
              <w:rPr>
                <w:rFonts w:ascii="Tahoma" w:hAnsi="Tahoma" w:cs="Tahoma"/>
                <w:b/>
                <w:bCs/>
                <w:color w:val="000080"/>
                <w:sz w:val="20"/>
                <w:szCs w:val="20"/>
                <w:rtl/>
              </w:rPr>
            </w:pPr>
            <w:bookmarkStart w:id="0" w:name="FirstLawyer"/>
            <w:r w:rsidRPr="00173259">
              <w:rPr>
                <w:rFonts w:ascii="Tahoma" w:hAnsi="Tahoma" w:cs="Tahoma"/>
                <w:b/>
                <w:bCs/>
                <w:color w:val="000080"/>
                <w:sz w:val="20"/>
                <w:szCs w:val="20"/>
                <w:rtl/>
              </w:rPr>
              <w:t>בית המשפט המחוזי בנצרת</w:t>
            </w:r>
          </w:p>
        </w:tc>
      </w:tr>
      <w:tr w:rsidR="000E0E50" w:rsidRPr="00173259" w14:paraId="7F7CBC86" w14:textId="77777777">
        <w:trPr>
          <w:trHeight w:val="337"/>
          <w:jc w:val="center"/>
        </w:trPr>
        <w:tc>
          <w:tcPr>
            <w:tcW w:w="4251" w:type="dxa"/>
          </w:tcPr>
          <w:p w14:paraId="286B33D3" w14:textId="77777777" w:rsidR="000E0E50" w:rsidRPr="00173259" w:rsidRDefault="00173259">
            <w:pPr>
              <w:rPr>
                <w:b/>
                <w:bCs/>
                <w:sz w:val="26"/>
                <w:szCs w:val="26"/>
                <w:rtl/>
              </w:rPr>
            </w:pPr>
            <w:r w:rsidRPr="00173259">
              <w:rPr>
                <w:b/>
                <w:bCs/>
                <w:sz w:val="26"/>
                <w:szCs w:val="26"/>
                <w:rtl/>
              </w:rPr>
              <w:t>ת"פ</w:t>
            </w:r>
            <w:r w:rsidRPr="00173259">
              <w:rPr>
                <w:rFonts w:hint="cs"/>
                <w:b/>
                <w:bCs/>
                <w:sz w:val="26"/>
                <w:szCs w:val="26"/>
                <w:rtl/>
              </w:rPr>
              <w:t xml:space="preserve"> </w:t>
            </w:r>
            <w:r w:rsidRPr="00173259">
              <w:rPr>
                <w:b/>
                <w:bCs/>
                <w:sz w:val="26"/>
                <w:szCs w:val="26"/>
                <w:rtl/>
              </w:rPr>
              <w:t>16506-10-14</w:t>
            </w:r>
            <w:r w:rsidRPr="00173259">
              <w:rPr>
                <w:rFonts w:hint="cs"/>
                <w:b/>
                <w:bCs/>
                <w:sz w:val="26"/>
                <w:szCs w:val="26"/>
                <w:rtl/>
              </w:rPr>
              <w:t xml:space="preserve"> </w:t>
            </w:r>
            <w:r w:rsidRPr="00173259">
              <w:rPr>
                <w:b/>
                <w:bCs/>
                <w:sz w:val="26"/>
                <w:szCs w:val="26"/>
                <w:rtl/>
              </w:rPr>
              <w:t>מדינת ישראל נ' הייב</w:t>
            </w:r>
          </w:p>
          <w:p w14:paraId="33AFEF02" w14:textId="77777777" w:rsidR="000E0E50" w:rsidRPr="00173259" w:rsidRDefault="000E0E50">
            <w:pPr>
              <w:rPr>
                <w:b/>
                <w:bCs/>
                <w:sz w:val="26"/>
                <w:szCs w:val="26"/>
                <w:rtl/>
              </w:rPr>
            </w:pPr>
          </w:p>
        </w:tc>
        <w:tc>
          <w:tcPr>
            <w:tcW w:w="661" w:type="dxa"/>
          </w:tcPr>
          <w:p w14:paraId="7F70F2E5" w14:textId="77777777" w:rsidR="000E0E50" w:rsidRPr="00173259" w:rsidRDefault="000E0E50">
            <w:pPr>
              <w:pStyle w:val="a4"/>
              <w:jc w:val="right"/>
              <w:rPr>
                <w:b/>
                <w:bCs/>
                <w:sz w:val="26"/>
                <w:szCs w:val="26"/>
                <w:rtl/>
              </w:rPr>
            </w:pPr>
          </w:p>
        </w:tc>
        <w:tc>
          <w:tcPr>
            <w:tcW w:w="3592" w:type="dxa"/>
          </w:tcPr>
          <w:p w14:paraId="2B232CDC" w14:textId="77777777" w:rsidR="000E0E50" w:rsidRPr="00173259" w:rsidRDefault="00173259">
            <w:pPr>
              <w:pStyle w:val="a4"/>
              <w:tabs>
                <w:tab w:val="clear" w:pos="4153"/>
              </w:tabs>
              <w:jc w:val="right"/>
              <w:rPr>
                <w:b/>
                <w:bCs/>
                <w:sz w:val="26"/>
                <w:szCs w:val="26"/>
                <w:rtl/>
              </w:rPr>
            </w:pPr>
            <w:r w:rsidRPr="00173259">
              <w:rPr>
                <w:b/>
                <w:bCs/>
                <w:sz w:val="26"/>
                <w:szCs w:val="26"/>
                <w:rtl/>
              </w:rPr>
              <w:t>02 ספטמבר 2015</w:t>
            </w:r>
          </w:p>
        </w:tc>
      </w:tr>
    </w:tbl>
    <w:p w14:paraId="6F596141" w14:textId="77777777" w:rsidR="000E0E50" w:rsidRPr="00173259" w:rsidRDefault="000E0E50">
      <w:pPr>
        <w:pStyle w:val="a4"/>
        <w:jc w:val="center"/>
        <w:rPr>
          <w:rFonts w:ascii="Tahoma" w:hAnsi="Tahoma" w:cs="Tahoma"/>
          <w:b/>
          <w:bCs/>
          <w:color w:val="000080"/>
          <w:sz w:val="20"/>
          <w:szCs w:val="20"/>
          <w:rtl/>
        </w:rPr>
      </w:pPr>
    </w:p>
    <w:p w14:paraId="52F4EF20" w14:textId="77777777" w:rsidR="000E0E50" w:rsidRPr="00173259" w:rsidRDefault="000E0E50">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0E0E50" w:rsidRPr="00173259" w14:paraId="596320E6" w14:textId="77777777">
        <w:trPr>
          <w:gridAfter w:val="1"/>
          <w:wAfter w:w="55" w:type="dxa"/>
        </w:trPr>
        <w:tc>
          <w:tcPr>
            <w:tcW w:w="8719" w:type="dxa"/>
            <w:gridSpan w:val="2"/>
            <w:shd w:val="clear" w:color="auto" w:fill="auto"/>
          </w:tcPr>
          <w:p w14:paraId="198689DA" w14:textId="77777777" w:rsidR="000E0E50" w:rsidRPr="00173259" w:rsidRDefault="00173259">
            <w:pPr>
              <w:spacing w:line="360" w:lineRule="auto"/>
              <w:jc w:val="both"/>
              <w:rPr>
                <w:rFonts w:ascii="Arial" w:eastAsia="Times New Roman" w:hAnsi="Arial"/>
                <w:sz w:val="26"/>
                <w:szCs w:val="26"/>
                <w:rtl/>
              </w:rPr>
            </w:pPr>
            <w:r w:rsidRPr="00173259">
              <w:rPr>
                <w:rFonts w:ascii="Times New Roman" w:eastAsia="Times New Roman" w:hAnsi="Times New Roman" w:hint="cs"/>
                <w:b/>
                <w:bCs/>
                <w:sz w:val="26"/>
                <w:szCs w:val="26"/>
                <w:rtl/>
              </w:rPr>
              <w:t>בפני כבוד סגן הנשיא, השופט – תאופיק כתילי</w:t>
            </w:r>
          </w:p>
        </w:tc>
      </w:tr>
      <w:tr w:rsidR="000E0E50" w:rsidRPr="00173259" w14:paraId="73DF8177" w14:textId="77777777">
        <w:tc>
          <w:tcPr>
            <w:tcW w:w="2880" w:type="dxa"/>
            <w:shd w:val="clear" w:color="auto" w:fill="auto"/>
          </w:tcPr>
          <w:p w14:paraId="4AF1F3F1" w14:textId="77777777" w:rsidR="000E0E50" w:rsidRPr="00173259" w:rsidRDefault="00173259">
            <w:pPr>
              <w:ind w:left="26"/>
              <w:rPr>
                <w:rFonts w:ascii="Times New Roman" w:eastAsia="Times New Roman" w:hAnsi="Times New Roman"/>
                <w:b/>
                <w:bCs/>
                <w:sz w:val="26"/>
                <w:szCs w:val="26"/>
                <w:rtl/>
              </w:rPr>
            </w:pPr>
            <w:bookmarkStart w:id="1" w:name="FirstAppellant"/>
            <w:bookmarkStart w:id="2" w:name="LastJudge"/>
            <w:bookmarkEnd w:id="2"/>
            <w:r w:rsidRPr="00173259">
              <w:rPr>
                <w:rFonts w:ascii="Times New Roman" w:eastAsia="Times New Roman" w:hAnsi="Times New Roman" w:hint="cs"/>
                <w:b/>
                <w:bCs/>
                <w:sz w:val="26"/>
                <w:szCs w:val="26"/>
                <w:rtl/>
              </w:rPr>
              <w:t>המאשימה</w:t>
            </w:r>
          </w:p>
        </w:tc>
        <w:tc>
          <w:tcPr>
            <w:tcW w:w="5922" w:type="dxa"/>
            <w:gridSpan w:val="2"/>
            <w:shd w:val="clear" w:color="auto" w:fill="auto"/>
          </w:tcPr>
          <w:p w14:paraId="3F283CF7" w14:textId="77777777" w:rsidR="000E0E50" w:rsidRPr="00173259" w:rsidRDefault="00173259">
            <w:pPr>
              <w:rPr>
                <w:rFonts w:ascii="Times New Roman" w:eastAsia="Times New Roman" w:hAnsi="Times New Roman"/>
                <w:b/>
                <w:bCs/>
                <w:sz w:val="26"/>
                <w:szCs w:val="26"/>
              </w:rPr>
            </w:pPr>
            <w:r w:rsidRPr="00173259">
              <w:rPr>
                <w:rFonts w:ascii="Times New Roman" w:eastAsia="Times New Roman" w:hAnsi="Times New Roman" w:hint="cs"/>
                <w:b/>
                <w:bCs/>
                <w:sz w:val="26"/>
                <w:szCs w:val="26"/>
                <w:rtl/>
              </w:rPr>
              <w:t>מדינת ישראל</w:t>
            </w:r>
          </w:p>
          <w:p w14:paraId="05B7B676" w14:textId="77777777" w:rsidR="000E0E50" w:rsidRPr="00173259" w:rsidRDefault="00173259">
            <w:pPr>
              <w:rPr>
                <w:rFonts w:ascii="Times New Roman" w:eastAsia="Times New Roman" w:hAnsi="Times New Roman"/>
                <w:b/>
                <w:bCs/>
                <w:sz w:val="22"/>
                <w:szCs w:val="22"/>
                <w:rtl/>
              </w:rPr>
            </w:pPr>
            <w:r w:rsidRPr="00173259">
              <w:rPr>
                <w:rFonts w:ascii="Times New Roman" w:eastAsia="Times New Roman" w:hAnsi="Times New Roman" w:hint="cs"/>
                <w:b/>
                <w:bCs/>
                <w:sz w:val="22"/>
                <w:szCs w:val="22"/>
                <w:rtl/>
              </w:rPr>
              <w:t>באמצעות פרקליטות מחוז צפון</w:t>
            </w:r>
          </w:p>
        </w:tc>
      </w:tr>
      <w:bookmarkEnd w:id="1"/>
      <w:tr w:rsidR="000E0E50" w:rsidRPr="00173259" w14:paraId="6F2286F7" w14:textId="77777777">
        <w:tc>
          <w:tcPr>
            <w:tcW w:w="8802" w:type="dxa"/>
            <w:gridSpan w:val="3"/>
            <w:shd w:val="clear" w:color="auto" w:fill="auto"/>
          </w:tcPr>
          <w:p w14:paraId="60769FB3" w14:textId="77777777" w:rsidR="000E0E50" w:rsidRPr="00173259" w:rsidRDefault="000E0E50">
            <w:pPr>
              <w:jc w:val="both"/>
              <w:rPr>
                <w:rFonts w:ascii="Arial" w:eastAsia="Times New Roman" w:hAnsi="Arial"/>
                <w:b/>
                <w:bCs/>
                <w:sz w:val="26"/>
                <w:szCs w:val="26"/>
                <w:rtl/>
              </w:rPr>
            </w:pPr>
          </w:p>
          <w:p w14:paraId="41D97E67" w14:textId="77777777" w:rsidR="000E0E50" w:rsidRPr="00173259" w:rsidRDefault="00173259">
            <w:pPr>
              <w:jc w:val="center"/>
              <w:rPr>
                <w:rFonts w:ascii="Arial" w:eastAsia="Times New Roman" w:hAnsi="Arial"/>
                <w:b/>
                <w:bCs/>
                <w:sz w:val="26"/>
                <w:szCs w:val="26"/>
                <w:rtl/>
              </w:rPr>
            </w:pPr>
            <w:r w:rsidRPr="00173259">
              <w:rPr>
                <w:rFonts w:ascii="Arial" w:eastAsia="Times New Roman" w:hAnsi="Arial"/>
                <w:b/>
                <w:bCs/>
                <w:sz w:val="26"/>
                <w:szCs w:val="26"/>
                <w:rtl/>
              </w:rPr>
              <w:t>נגד</w:t>
            </w:r>
          </w:p>
          <w:p w14:paraId="4FD3103B" w14:textId="77777777" w:rsidR="000E0E50" w:rsidRPr="00173259" w:rsidRDefault="000E0E50">
            <w:pPr>
              <w:jc w:val="center"/>
              <w:rPr>
                <w:rFonts w:ascii="Arial" w:eastAsia="Times New Roman" w:hAnsi="Arial"/>
                <w:b/>
                <w:bCs/>
                <w:sz w:val="26"/>
                <w:szCs w:val="26"/>
              </w:rPr>
            </w:pPr>
          </w:p>
        </w:tc>
      </w:tr>
      <w:tr w:rsidR="000E0E50" w:rsidRPr="00173259" w14:paraId="4638011E" w14:textId="77777777">
        <w:tc>
          <w:tcPr>
            <w:tcW w:w="2880" w:type="dxa"/>
            <w:shd w:val="clear" w:color="auto" w:fill="auto"/>
          </w:tcPr>
          <w:p w14:paraId="1AA0A246" w14:textId="77777777" w:rsidR="000E0E50" w:rsidRPr="00173259" w:rsidRDefault="00173259">
            <w:pPr>
              <w:ind w:left="26"/>
              <w:rPr>
                <w:rFonts w:ascii="Times New Roman" w:eastAsia="Times New Roman" w:hAnsi="Times New Roman"/>
                <w:b/>
                <w:bCs/>
                <w:sz w:val="26"/>
                <w:szCs w:val="26"/>
                <w:rtl/>
              </w:rPr>
            </w:pPr>
            <w:r w:rsidRPr="00173259">
              <w:rPr>
                <w:rFonts w:ascii="Times New Roman" w:eastAsia="Times New Roman" w:hAnsi="Times New Roman" w:hint="cs"/>
                <w:b/>
                <w:bCs/>
                <w:sz w:val="26"/>
                <w:szCs w:val="26"/>
                <w:rtl/>
              </w:rPr>
              <w:t>הנאשם</w:t>
            </w:r>
          </w:p>
        </w:tc>
        <w:tc>
          <w:tcPr>
            <w:tcW w:w="5922" w:type="dxa"/>
            <w:gridSpan w:val="2"/>
            <w:shd w:val="clear" w:color="auto" w:fill="auto"/>
          </w:tcPr>
          <w:p w14:paraId="1F7E2AAD" w14:textId="77777777" w:rsidR="000E0E50" w:rsidRPr="00173259" w:rsidRDefault="00173259">
            <w:pPr>
              <w:rPr>
                <w:rFonts w:ascii="Times New Roman" w:eastAsia="Times New Roman" w:hAnsi="Times New Roman"/>
                <w:b/>
                <w:bCs/>
                <w:sz w:val="26"/>
                <w:szCs w:val="26"/>
                <w:rtl/>
              </w:rPr>
            </w:pPr>
            <w:r w:rsidRPr="00173259">
              <w:rPr>
                <w:rFonts w:ascii="Times New Roman" w:eastAsia="Times New Roman" w:hAnsi="Times New Roman" w:hint="cs"/>
                <w:rtl/>
              </w:rPr>
              <w:t xml:space="preserve">מוחמד הייב </w:t>
            </w:r>
          </w:p>
        </w:tc>
      </w:tr>
    </w:tbl>
    <w:p w14:paraId="6D8FC6AB" w14:textId="77777777" w:rsidR="000E0E50" w:rsidRPr="00173259" w:rsidRDefault="000E0E50">
      <w:pPr>
        <w:spacing w:line="360" w:lineRule="auto"/>
        <w:jc w:val="both"/>
        <w:rPr>
          <w:rFonts w:ascii="Arial" w:hAnsi="Arial"/>
          <w:rtl/>
        </w:rPr>
      </w:pPr>
    </w:p>
    <w:p w14:paraId="3FC5881B" w14:textId="77777777" w:rsidR="000E0E50" w:rsidRPr="00173259" w:rsidRDefault="00173259">
      <w:pPr>
        <w:spacing w:line="360" w:lineRule="auto"/>
        <w:jc w:val="both"/>
        <w:rPr>
          <w:rFonts w:ascii="Arial" w:hAnsi="Arial"/>
          <w:b/>
          <w:bCs/>
        </w:rPr>
      </w:pPr>
      <w:r w:rsidRPr="00173259">
        <w:rPr>
          <w:rFonts w:ascii="Arial" w:hAnsi="Arial" w:hint="cs"/>
          <w:b/>
          <w:bCs/>
          <w:rtl/>
        </w:rPr>
        <w:t>נוכחים:</w:t>
      </w:r>
    </w:p>
    <w:p w14:paraId="18034290" w14:textId="77777777" w:rsidR="000E0E50" w:rsidRPr="00173259" w:rsidRDefault="00173259">
      <w:pPr>
        <w:spacing w:line="360" w:lineRule="auto"/>
        <w:jc w:val="both"/>
        <w:rPr>
          <w:rFonts w:ascii="Arial" w:hAnsi="Arial"/>
          <w:b/>
          <w:bCs/>
          <w:rtl/>
        </w:rPr>
      </w:pPr>
      <w:r w:rsidRPr="00173259">
        <w:rPr>
          <w:rFonts w:ascii="Arial" w:hAnsi="Arial" w:hint="cs"/>
          <w:b/>
          <w:bCs/>
          <w:rtl/>
        </w:rPr>
        <w:t xml:space="preserve">מטעם המאשימה: עו"ד בני משה </w:t>
      </w:r>
    </w:p>
    <w:p w14:paraId="501D3E1E" w14:textId="77777777" w:rsidR="000E0E50" w:rsidRPr="00173259" w:rsidRDefault="00173259">
      <w:pPr>
        <w:spacing w:line="360" w:lineRule="auto"/>
        <w:jc w:val="both"/>
        <w:rPr>
          <w:rFonts w:ascii="Arial" w:hAnsi="Arial"/>
          <w:b/>
          <w:bCs/>
          <w:rtl/>
        </w:rPr>
      </w:pPr>
      <w:r w:rsidRPr="00173259">
        <w:rPr>
          <w:rFonts w:ascii="Arial" w:hAnsi="Arial" w:hint="cs"/>
          <w:b/>
          <w:bCs/>
          <w:rtl/>
        </w:rPr>
        <w:t>הנאשם: הובא וע"י ב"כ עו"ד דודו בן אשר</w:t>
      </w:r>
    </w:p>
    <w:p w14:paraId="0CE4DA65" w14:textId="77777777" w:rsidR="00EE4C49" w:rsidRDefault="00173259">
      <w:pPr>
        <w:spacing w:line="360" w:lineRule="auto"/>
        <w:jc w:val="both"/>
        <w:rPr>
          <w:rFonts w:ascii="Arial" w:hAnsi="Arial"/>
          <w:b/>
          <w:bCs/>
          <w:sz w:val="6"/>
          <w:szCs w:val="6"/>
          <w:rtl/>
        </w:rPr>
      </w:pPr>
      <w:r w:rsidRPr="00173259">
        <w:rPr>
          <w:rFonts w:ascii="Arial" w:hAnsi="Arial"/>
          <w:b/>
          <w:bCs/>
          <w:sz w:val="6"/>
          <w:szCs w:val="6"/>
          <w:rtl/>
        </w:rPr>
        <w:t>&lt;#2#</w:t>
      </w:r>
      <w:bookmarkStart w:id="3" w:name="LawTable"/>
      <w:bookmarkEnd w:id="3"/>
    </w:p>
    <w:p w14:paraId="429B11D5" w14:textId="77777777" w:rsidR="00EE4C49" w:rsidRPr="00EE4C49" w:rsidRDefault="00EE4C49" w:rsidP="00EE4C49">
      <w:pPr>
        <w:spacing w:after="120" w:line="240" w:lineRule="exact"/>
        <w:ind w:left="283" w:hanging="283"/>
        <w:jc w:val="both"/>
        <w:rPr>
          <w:rFonts w:ascii="FrankRuehl" w:hAnsi="FrankRuehl" w:cs="FrankRuehl"/>
          <w:rtl/>
        </w:rPr>
      </w:pPr>
    </w:p>
    <w:p w14:paraId="5207FA9C" w14:textId="77777777" w:rsidR="00EE4C49" w:rsidRPr="00EE4C49" w:rsidRDefault="00EE4C49" w:rsidP="00EE4C49">
      <w:pPr>
        <w:spacing w:after="120" w:line="240" w:lineRule="exact"/>
        <w:ind w:left="283" w:hanging="283"/>
        <w:jc w:val="both"/>
        <w:rPr>
          <w:rFonts w:ascii="FrankRuehl" w:hAnsi="FrankRuehl" w:cs="FrankRuehl"/>
          <w:rtl/>
        </w:rPr>
      </w:pPr>
      <w:r w:rsidRPr="00EE4C49">
        <w:rPr>
          <w:rFonts w:ascii="FrankRuehl" w:hAnsi="FrankRuehl" w:cs="FrankRuehl"/>
          <w:rtl/>
        </w:rPr>
        <w:t xml:space="preserve">חקיקה שאוזכרה: </w:t>
      </w:r>
    </w:p>
    <w:p w14:paraId="17261189" w14:textId="77777777" w:rsidR="00EE4C49" w:rsidRPr="00EE4C49" w:rsidRDefault="00EE4C49" w:rsidP="00EE4C49">
      <w:pPr>
        <w:spacing w:after="120" w:line="240" w:lineRule="exact"/>
        <w:ind w:left="283" w:hanging="283"/>
        <w:jc w:val="both"/>
        <w:rPr>
          <w:rFonts w:ascii="FrankRuehl" w:hAnsi="FrankRuehl" w:cs="FrankRuehl"/>
          <w:color w:val="0000FF"/>
          <w:u w:val="single"/>
          <w:rtl/>
        </w:rPr>
      </w:pPr>
      <w:hyperlink r:id="rId7" w:history="1">
        <w:r w:rsidRPr="00EE4C49">
          <w:rPr>
            <w:rStyle w:val="Hyperlink"/>
            <w:rFonts w:ascii="FrankRuehl" w:hAnsi="FrankRuehl" w:cs="FrankRuehl"/>
            <w:rtl/>
          </w:rPr>
          <w:t>חוק העונשין, תשל"ז-1977</w:t>
        </w:r>
      </w:hyperlink>
      <w:r w:rsidRPr="00EE4C49">
        <w:rPr>
          <w:rFonts w:ascii="FrankRuehl" w:hAnsi="FrankRuehl" w:cs="FrankRuehl"/>
          <w:color w:val="0000FF"/>
          <w:u w:val="single"/>
          <w:rtl/>
        </w:rPr>
        <w:t xml:space="preserve">: סע'  </w:t>
      </w:r>
      <w:hyperlink r:id="rId8" w:history="1">
        <w:r w:rsidRPr="00EE4C49">
          <w:rPr>
            <w:rStyle w:val="Hyperlink"/>
            <w:rFonts w:ascii="FrankRuehl" w:hAnsi="FrankRuehl" w:cs="FrankRuehl"/>
          </w:rPr>
          <w:t>29</w:t>
        </w:r>
      </w:hyperlink>
      <w:r w:rsidRPr="00EE4C49">
        <w:rPr>
          <w:rFonts w:ascii="FrankRuehl" w:hAnsi="FrankRuehl" w:cs="FrankRuehl"/>
          <w:color w:val="0000FF"/>
          <w:u w:val="single"/>
          <w:rtl/>
        </w:rPr>
        <w:t xml:space="preserve">, </w:t>
      </w:r>
      <w:hyperlink r:id="rId9" w:history="1">
        <w:r w:rsidRPr="00EE4C49">
          <w:rPr>
            <w:rStyle w:val="Hyperlink"/>
            <w:rFonts w:ascii="FrankRuehl" w:hAnsi="FrankRuehl" w:cs="FrankRuehl"/>
          </w:rPr>
          <w:t>144(</w:t>
        </w:r>
        <w:r w:rsidRPr="00EE4C49">
          <w:rPr>
            <w:rStyle w:val="Hyperlink"/>
            <w:rFonts w:ascii="FrankRuehl" w:hAnsi="FrankRuehl" w:cs="FrankRuehl"/>
            <w:rtl/>
          </w:rPr>
          <w:t>ב</w:t>
        </w:r>
        <w:r w:rsidRPr="00EE4C49">
          <w:rPr>
            <w:rStyle w:val="Hyperlink"/>
            <w:rFonts w:ascii="FrankRuehl" w:hAnsi="FrankRuehl" w:cs="FrankRuehl"/>
          </w:rPr>
          <w:t>)</w:t>
        </w:r>
      </w:hyperlink>
      <w:r w:rsidRPr="00EE4C49">
        <w:rPr>
          <w:rFonts w:ascii="FrankRuehl" w:hAnsi="FrankRuehl" w:cs="FrankRuehl"/>
          <w:color w:val="0000FF"/>
          <w:u w:val="single"/>
          <w:rtl/>
        </w:rPr>
        <w:t xml:space="preserve">, </w:t>
      </w:r>
      <w:hyperlink r:id="rId10" w:history="1">
        <w:r w:rsidRPr="00EE4C49">
          <w:rPr>
            <w:rStyle w:val="Hyperlink"/>
            <w:rFonts w:ascii="FrankRuehl" w:hAnsi="FrankRuehl" w:cs="FrankRuehl"/>
          </w:rPr>
          <w:t>144(</w:t>
        </w:r>
        <w:r w:rsidRPr="00EE4C49">
          <w:rPr>
            <w:rStyle w:val="Hyperlink"/>
            <w:rFonts w:ascii="FrankRuehl" w:hAnsi="FrankRuehl" w:cs="FrankRuehl"/>
            <w:rtl/>
          </w:rPr>
          <w:t>ב2</w:t>
        </w:r>
        <w:r w:rsidRPr="00EE4C49">
          <w:rPr>
            <w:rStyle w:val="Hyperlink"/>
            <w:rFonts w:ascii="FrankRuehl" w:hAnsi="FrankRuehl" w:cs="FrankRuehl"/>
          </w:rPr>
          <w:t>)</w:t>
        </w:r>
      </w:hyperlink>
      <w:r w:rsidRPr="00EE4C49">
        <w:rPr>
          <w:rFonts w:ascii="FrankRuehl" w:hAnsi="FrankRuehl" w:cs="FrankRuehl"/>
          <w:color w:val="0000FF"/>
          <w:u w:val="single"/>
          <w:rtl/>
        </w:rPr>
        <w:t xml:space="preserve">, </w:t>
      </w:r>
      <w:hyperlink r:id="rId11" w:history="1">
        <w:r w:rsidRPr="00EE4C49">
          <w:rPr>
            <w:rStyle w:val="Hyperlink"/>
            <w:rFonts w:ascii="FrankRuehl" w:hAnsi="FrankRuehl" w:cs="FrankRuehl"/>
          </w:rPr>
          <w:t>284</w:t>
        </w:r>
      </w:hyperlink>
      <w:r w:rsidRPr="00EE4C49">
        <w:rPr>
          <w:rFonts w:ascii="FrankRuehl" w:hAnsi="FrankRuehl" w:cs="FrankRuehl"/>
          <w:color w:val="0000FF"/>
          <w:u w:val="single"/>
          <w:rtl/>
        </w:rPr>
        <w:t xml:space="preserve">, </w:t>
      </w:r>
      <w:hyperlink r:id="rId12" w:history="1">
        <w:r w:rsidRPr="00EE4C49">
          <w:rPr>
            <w:rStyle w:val="Hyperlink"/>
            <w:rFonts w:ascii="FrankRuehl" w:hAnsi="FrankRuehl" w:cs="FrankRuehl"/>
          </w:rPr>
          <w:t>384</w:t>
        </w:r>
      </w:hyperlink>
      <w:r w:rsidRPr="00EE4C49">
        <w:rPr>
          <w:rFonts w:ascii="FrankRuehl" w:hAnsi="FrankRuehl" w:cs="FrankRuehl"/>
          <w:color w:val="0000FF"/>
          <w:u w:val="single"/>
          <w:rtl/>
        </w:rPr>
        <w:t xml:space="preserve">, </w:t>
      </w:r>
      <w:hyperlink r:id="rId13" w:history="1">
        <w:r w:rsidRPr="00EE4C49">
          <w:rPr>
            <w:rStyle w:val="Hyperlink"/>
            <w:rFonts w:ascii="FrankRuehl" w:hAnsi="FrankRuehl" w:cs="FrankRuehl"/>
          </w:rPr>
          <w:t>390</w:t>
        </w:r>
      </w:hyperlink>
      <w:r w:rsidRPr="00EE4C49">
        <w:rPr>
          <w:rFonts w:ascii="FrankRuehl" w:hAnsi="FrankRuehl" w:cs="FrankRuehl"/>
          <w:color w:val="0000FF"/>
          <w:u w:val="single"/>
          <w:rtl/>
        </w:rPr>
        <w:t xml:space="preserve">, </w:t>
      </w:r>
      <w:hyperlink r:id="rId14" w:history="1">
        <w:r w:rsidRPr="00EE4C49">
          <w:rPr>
            <w:rStyle w:val="Hyperlink"/>
            <w:rFonts w:ascii="FrankRuehl" w:hAnsi="FrankRuehl" w:cs="FrankRuehl"/>
          </w:rPr>
          <w:t>499(</w:t>
        </w:r>
        <w:r w:rsidRPr="00EE4C49">
          <w:rPr>
            <w:rStyle w:val="Hyperlink"/>
            <w:rFonts w:ascii="FrankRuehl" w:hAnsi="FrankRuehl" w:cs="FrankRuehl"/>
            <w:rtl/>
          </w:rPr>
          <w:t>א)(1</w:t>
        </w:r>
        <w:r w:rsidRPr="00EE4C49">
          <w:rPr>
            <w:rStyle w:val="Hyperlink"/>
            <w:rFonts w:ascii="FrankRuehl" w:hAnsi="FrankRuehl" w:cs="FrankRuehl"/>
          </w:rPr>
          <w:t>)</w:t>
        </w:r>
      </w:hyperlink>
    </w:p>
    <w:p w14:paraId="2A7B6699" w14:textId="77777777" w:rsidR="00EE4C49" w:rsidRPr="00EE4C49" w:rsidRDefault="00EE4C49" w:rsidP="00EE4C49">
      <w:pPr>
        <w:spacing w:after="120" w:line="240" w:lineRule="exact"/>
        <w:ind w:left="283" w:hanging="283"/>
        <w:jc w:val="both"/>
        <w:rPr>
          <w:rFonts w:ascii="FrankRuehl" w:hAnsi="FrankRuehl" w:cs="FrankRuehl"/>
          <w:rtl/>
        </w:rPr>
      </w:pPr>
    </w:p>
    <w:p w14:paraId="5B1BCD67" w14:textId="77777777" w:rsidR="00EE4C49" w:rsidRPr="00EE4C49" w:rsidRDefault="00EE4C49">
      <w:pPr>
        <w:spacing w:line="360" w:lineRule="auto"/>
        <w:jc w:val="both"/>
        <w:rPr>
          <w:rFonts w:ascii="Arial" w:hAnsi="Arial"/>
          <w:sz w:val="6"/>
          <w:szCs w:val="6"/>
          <w:rtl/>
        </w:rPr>
      </w:pPr>
      <w:bookmarkStart w:id="4" w:name="LawTable_End"/>
      <w:bookmarkEnd w:id="4"/>
    </w:p>
    <w:p w14:paraId="54A3CFBE" w14:textId="77777777" w:rsidR="00EE4C49" w:rsidRPr="00EE4C49" w:rsidRDefault="00EE4C49">
      <w:pPr>
        <w:spacing w:line="360" w:lineRule="auto"/>
        <w:jc w:val="both"/>
        <w:rPr>
          <w:rFonts w:ascii="Arial" w:hAnsi="Arial"/>
          <w:b/>
          <w:bCs/>
          <w:sz w:val="6"/>
          <w:szCs w:val="6"/>
          <w:rtl/>
        </w:rPr>
      </w:pPr>
    </w:p>
    <w:p w14:paraId="2B65985F" w14:textId="77777777" w:rsidR="000E0E50" w:rsidRPr="00616262" w:rsidRDefault="00173259">
      <w:pPr>
        <w:spacing w:line="360" w:lineRule="auto"/>
        <w:jc w:val="both"/>
        <w:rPr>
          <w:rFonts w:ascii="Arial" w:hAnsi="Arial"/>
          <w:b/>
          <w:bCs/>
          <w:sz w:val="6"/>
          <w:szCs w:val="6"/>
          <w:rtl/>
        </w:rPr>
      </w:pPr>
      <w:r w:rsidRPr="00EE4C49">
        <w:rPr>
          <w:rFonts w:ascii="Arial" w:hAnsi="Arial"/>
          <w:b/>
          <w:bCs/>
          <w:sz w:val="6"/>
          <w:szCs w:val="6"/>
          <w:rtl/>
        </w:rPr>
        <w:t>&gt;</w:t>
      </w:r>
    </w:p>
    <w:p w14:paraId="73934103" w14:textId="77777777" w:rsidR="00173259" w:rsidRPr="00173259" w:rsidRDefault="00173259" w:rsidP="00173259">
      <w:pPr>
        <w:spacing w:line="360" w:lineRule="auto"/>
        <w:jc w:val="center"/>
        <w:rPr>
          <w:rFonts w:ascii="Arial" w:hAnsi="Arial"/>
          <w:b/>
          <w:bCs/>
          <w:sz w:val="28"/>
          <w:szCs w:val="28"/>
          <w:u w:val="single"/>
          <w:rtl/>
        </w:rPr>
      </w:pPr>
      <w:bookmarkStart w:id="5" w:name="PsakDin"/>
      <w:bookmarkEnd w:id="0"/>
      <w:r w:rsidRPr="00173259">
        <w:rPr>
          <w:rFonts w:ascii="Arial" w:hAnsi="Arial"/>
          <w:b/>
          <w:bCs/>
          <w:sz w:val="28"/>
          <w:szCs w:val="28"/>
          <w:u w:val="single"/>
          <w:rtl/>
        </w:rPr>
        <w:t>גזר דין</w:t>
      </w:r>
    </w:p>
    <w:bookmarkEnd w:id="5"/>
    <w:p w14:paraId="7331FB62" w14:textId="77777777" w:rsidR="000E0E50" w:rsidRDefault="000E0E50">
      <w:pPr>
        <w:spacing w:line="360" w:lineRule="auto"/>
        <w:jc w:val="both"/>
        <w:rPr>
          <w:rFonts w:ascii="Arial" w:hAnsi="Arial"/>
        </w:rPr>
      </w:pPr>
    </w:p>
    <w:p w14:paraId="5F85E300" w14:textId="77777777" w:rsidR="000E0E50" w:rsidRDefault="00173259">
      <w:pPr>
        <w:pStyle w:val="ListParagraph"/>
        <w:numPr>
          <w:ilvl w:val="0"/>
          <w:numId w:val="1"/>
        </w:numPr>
        <w:jc w:val="both"/>
        <w:rPr>
          <w:rtl/>
        </w:rPr>
      </w:pPr>
      <w:bookmarkStart w:id="6" w:name="ABSTRACT_START"/>
      <w:bookmarkEnd w:id="6"/>
      <w:r>
        <w:rPr>
          <w:rFonts w:hint="cs"/>
          <w:rtl/>
        </w:rPr>
        <w:t>הנאשם לפניי הורשע, על-פי הודאתו בעובדות כתב-אישום מתוקן מיום 29.04.15 (להלן: "</w:t>
      </w:r>
      <w:r>
        <w:rPr>
          <w:rFonts w:hint="cs"/>
          <w:b/>
          <w:bCs/>
          <w:rtl/>
        </w:rPr>
        <w:t>כתב-האישום</w:t>
      </w:r>
      <w:r>
        <w:rPr>
          <w:rFonts w:hint="cs"/>
          <w:rtl/>
        </w:rPr>
        <w:t xml:space="preserve">"), בעבירות של </w:t>
      </w:r>
      <w:r>
        <w:rPr>
          <w:rFonts w:hint="cs"/>
          <w:u w:val="single"/>
          <w:rtl/>
        </w:rPr>
        <w:t>נשיאה והובלת נשק</w:t>
      </w:r>
      <w:r>
        <w:rPr>
          <w:rFonts w:hint="cs"/>
          <w:rtl/>
        </w:rPr>
        <w:t xml:space="preserve">, לפי </w:t>
      </w:r>
      <w:hyperlink r:id="rId15" w:history="1">
        <w:r w:rsidR="00616262" w:rsidRPr="00616262">
          <w:rPr>
            <w:color w:val="0000FF"/>
            <w:u w:val="single"/>
            <w:rtl/>
          </w:rPr>
          <w:t>סעיף 144(ב)</w:t>
        </w:r>
      </w:hyperlink>
      <w:r>
        <w:rPr>
          <w:rFonts w:hint="cs"/>
          <w:rtl/>
        </w:rPr>
        <w:t xml:space="preserve"> רישא ו-</w:t>
      </w:r>
      <w:hyperlink r:id="rId16" w:history="1">
        <w:r w:rsidR="00616262" w:rsidRPr="00616262">
          <w:rPr>
            <w:color w:val="0000FF"/>
            <w:u w:val="single"/>
            <w:rtl/>
          </w:rPr>
          <w:t>29</w:t>
        </w:r>
      </w:hyperlink>
      <w:r>
        <w:rPr>
          <w:rFonts w:hint="cs"/>
          <w:rtl/>
        </w:rPr>
        <w:t xml:space="preserve"> ל</w:t>
      </w:r>
      <w:hyperlink r:id="rId17" w:history="1">
        <w:r w:rsidRPr="00173259">
          <w:rPr>
            <w:color w:val="0000FF"/>
            <w:u w:val="single"/>
            <w:rtl/>
          </w:rPr>
          <w:t>חוק העונשין</w:t>
        </w:r>
      </w:hyperlink>
      <w:r>
        <w:rPr>
          <w:rFonts w:hint="cs"/>
          <w:rtl/>
        </w:rPr>
        <w:t>, התשל"ז-1977 (להלן: "</w:t>
      </w:r>
      <w:r>
        <w:rPr>
          <w:rFonts w:hint="cs"/>
          <w:b/>
          <w:bCs/>
          <w:rtl/>
        </w:rPr>
        <w:t>החוק</w:t>
      </w:r>
      <w:r>
        <w:rPr>
          <w:rFonts w:hint="cs"/>
          <w:rtl/>
        </w:rPr>
        <w:t xml:space="preserve">"); </w:t>
      </w:r>
      <w:r>
        <w:rPr>
          <w:rFonts w:hint="cs"/>
          <w:u w:val="single"/>
          <w:rtl/>
        </w:rPr>
        <w:t>קשירת קשר לביצוע פשע</w:t>
      </w:r>
      <w:r>
        <w:rPr>
          <w:rFonts w:hint="cs"/>
          <w:rtl/>
        </w:rPr>
        <w:t xml:space="preserve">, לפי </w:t>
      </w:r>
      <w:hyperlink r:id="rId18" w:history="1">
        <w:r w:rsidR="00616262" w:rsidRPr="00616262">
          <w:rPr>
            <w:color w:val="0000FF"/>
            <w:u w:val="single"/>
            <w:rtl/>
          </w:rPr>
          <w:t>סעיף 499(א)(1)</w:t>
        </w:r>
      </w:hyperlink>
      <w:r>
        <w:rPr>
          <w:rFonts w:hint="cs"/>
          <w:rtl/>
        </w:rPr>
        <w:t xml:space="preserve"> לחוק; ו</w:t>
      </w:r>
      <w:r>
        <w:rPr>
          <w:rFonts w:hint="cs"/>
          <w:u w:val="single"/>
          <w:rtl/>
        </w:rPr>
        <w:t>גניבה</w:t>
      </w:r>
      <w:r>
        <w:rPr>
          <w:rFonts w:hint="cs"/>
          <w:rtl/>
        </w:rPr>
        <w:t xml:space="preserve">, לפי </w:t>
      </w:r>
      <w:hyperlink r:id="rId19" w:history="1">
        <w:r w:rsidR="00616262" w:rsidRPr="00616262">
          <w:rPr>
            <w:color w:val="0000FF"/>
            <w:u w:val="single"/>
            <w:rtl/>
          </w:rPr>
          <w:t>סעיפים 384</w:t>
        </w:r>
      </w:hyperlink>
      <w:r>
        <w:rPr>
          <w:rFonts w:hint="cs"/>
          <w:rtl/>
        </w:rPr>
        <w:t xml:space="preserve"> ו-</w:t>
      </w:r>
      <w:hyperlink r:id="rId20" w:history="1">
        <w:r w:rsidR="00616262" w:rsidRPr="00616262">
          <w:rPr>
            <w:color w:val="0000FF"/>
            <w:u w:val="single"/>
            <w:rtl/>
          </w:rPr>
          <w:t>29</w:t>
        </w:r>
      </w:hyperlink>
      <w:r>
        <w:rPr>
          <w:rFonts w:hint="cs"/>
          <w:rtl/>
        </w:rPr>
        <w:t xml:space="preserve"> לחוק.</w:t>
      </w:r>
    </w:p>
    <w:p w14:paraId="2E624F58" w14:textId="77777777" w:rsidR="000E0E50" w:rsidRDefault="000E0E50">
      <w:pPr>
        <w:pStyle w:val="ListParagraph"/>
        <w:jc w:val="both"/>
      </w:pPr>
      <w:bookmarkStart w:id="7" w:name="ABSTRACT_END"/>
      <w:bookmarkEnd w:id="7"/>
    </w:p>
    <w:p w14:paraId="0C8A9C5E" w14:textId="77777777" w:rsidR="000E0E50" w:rsidRDefault="00173259">
      <w:pPr>
        <w:pStyle w:val="ListParagraph"/>
        <w:numPr>
          <w:ilvl w:val="0"/>
          <w:numId w:val="1"/>
        </w:numPr>
        <w:jc w:val="both"/>
        <w:rPr>
          <w:rtl/>
        </w:rPr>
      </w:pPr>
      <w:r>
        <w:rPr>
          <w:rFonts w:hint="cs"/>
          <w:rtl/>
        </w:rPr>
        <w:t>על-פי המפורט בכתב האישום, במועדים הרלבנטיים שירת דיאב הייב (להלן: "</w:t>
      </w:r>
      <w:r>
        <w:rPr>
          <w:rFonts w:hint="cs"/>
          <w:b/>
          <w:bCs/>
          <w:rtl/>
        </w:rPr>
        <w:t>דיאב</w:t>
      </w:r>
      <w:r>
        <w:rPr>
          <w:rFonts w:hint="cs"/>
          <w:rtl/>
        </w:rPr>
        <w:t>") כחייל בשירות סדיר בבסיס מפקדת חטיבה 188 (בסיס "עליקה") שברמת הגולן (להלן: "</w:t>
      </w:r>
      <w:r>
        <w:rPr>
          <w:rFonts w:hint="cs"/>
          <w:b/>
          <w:bCs/>
          <w:rtl/>
        </w:rPr>
        <w:t>הבסיס</w:t>
      </w:r>
      <w:r>
        <w:rPr>
          <w:rFonts w:hint="cs"/>
          <w:rtl/>
        </w:rPr>
        <w:t>").</w:t>
      </w:r>
    </w:p>
    <w:p w14:paraId="3C9D7ADF" w14:textId="77777777" w:rsidR="000E0E50" w:rsidRDefault="00173259">
      <w:pPr>
        <w:pStyle w:val="ListParagraph"/>
        <w:jc w:val="both"/>
        <w:rPr>
          <w:rtl/>
        </w:rPr>
      </w:pPr>
      <w:r>
        <w:rPr>
          <w:rFonts w:hint="cs"/>
          <w:rtl/>
        </w:rPr>
        <w:t>ביום 22.09.14 או סמוך לו, קשר הנאשם קשר עם דיאב, לפיו יגנבו השניים נשק מסוג 16-</w:t>
      </w:r>
      <w:r>
        <w:t>M</w:t>
      </w:r>
      <w:r>
        <w:rPr>
          <w:rFonts w:hint="cs"/>
          <w:rtl/>
        </w:rPr>
        <w:t xml:space="preserve"> מהבסיס. בהתאם לקשר ולשם מימושו, במהלך הלילה שבין התאריכים 22.09.14 ל- 23.09.14 סמוך לשעה 02:20, הגיע הנאשם ברכב אל הבסיס. סמוך לשעה זו נטל דיאב מחדר מגוריו בבסיס את נשקו האישי של החייל קבלאן רשאד, נשק מסוג 16-</w:t>
      </w:r>
      <w:r>
        <w:t>M</w:t>
      </w:r>
      <w:r>
        <w:rPr>
          <w:rFonts w:hint="cs"/>
          <w:rtl/>
        </w:rPr>
        <w:t xml:space="preserve"> (להלן: "</w:t>
      </w:r>
      <w:r>
        <w:rPr>
          <w:rFonts w:hint="cs"/>
          <w:b/>
          <w:bCs/>
          <w:rtl/>
        </w:rPr>
        <w:t>הנשק</w:t>
      </w:r>
      <w:r>
        <w:rPr>
          <w:rFonts w:hint="cs"/>
          <w:rtl/>
        </w:rPr>
        <w:t>"), הוציאו מהבסיס והעבירו לנאשם, שקיבל את הנשק ועזב את המקום.</w:t>
      </w:r>
    </w:p>
    <w:p w14:paraId="007F83C0" w14:textId="77777777" w:rsidR="000E0E50" w:rsidRDefault="000E0E50">
      <w:pPr>
        <w:pStyle w:val="ListParagraph"/>
        <w:jc w:val="both"/>
        <w:rPr>
          <w:rtl/>
        </w:rPr>
      </w:pPr>
    </w:p>
    <w:p w14:paraId="36EDFBD9" w14:textId="77777777" w:rsidR="000E0E50" w:rsidRDefault="00173259">
      <w:pPr>
        <w:pStyle w:val="ListParagraph"/>
        <w:jc w:val="both"/>
        <w:rPr>
          <w:b/>
          <w:bCs/>
          <w:u w:val="single"/>
          <w:rtl/>
        </w:rPr>
      </w:pPr>
      <w:r>
        <w:rPr>
          <w:rFonts w:hint="cs"/>
          <w:b/>
          <w:bCs/>
          <w:u w:val="single"/>
          <w:rtl/>
        </w:rPr>
        <w:t>תסקיר שירות המבחן</w:t>
      </w:r>
    </w:p>
    <w:p w14:paraId="62E375EB" w14:textId="77777777" w:rsidR="000E0E50" w:rsidRDefault="00173259">
      <w:pPr>
        <w:pStyle w:val="ListParagraph"/>
        <w:numPr>
          <w:ilvl w:val="0"/>
          <w:numId w:val="1"/>
        </w:numPr>
        <w:jc w:val="both"/>
        <w:rPr>
          <w:rtl/>
        </w:rPr>
      </w:pPr>
      <w:r>
        <w:rPr>
          <w:rFonts w:hint="cs"/>
          <w:rtl/>
        </w:rPr>
        <w:lastRenderedPageBreak/>
        <w:t>הנאשם הנו בחור כבן 23, רווק, בעל השכלה תיכונית. מאז סיום לימודיו ועד למעצרו עבד במסעדות שונות, וגילה יציבות תעסוקתית. הדינמיקה המשפחתית מתוארת כתקינה, כאשר על-פי המתואר הוריו הגיבו בכעס ותסכול נוכח מעורבותו בעבירה.</w:t>
      </w:r>
    </w:p>
    <w:p w14:paraId="4B2FA59E" w14:textId="77777777" w:rsidR="000E0E50" w:rsidRDefault="00173259">
      <w:pPr>
        <w:pStyle w:val="ListParagraph"/>
        <w:jc w:val="both"/>
      </w:pPr>
      <w:r>
        <w:rPr>
          <w:rFonts w:hint="cs"/>
          <w:rtl/>
        </w:rPr>
        <w:t>הנאשם נטל אחריות לביצוע העבירות, וטען כי דיאב הוא שפנה אליו והציע לו לגנוב נשק מן הבסיס. הנאשם הביע צער וחרטה על המעשים, ואף הביע רצון להשתלב בהליך טיפולי.</w:t>
      </w:r>
    </w:p>
    <w:p w14:paraId="7DF171CA" w14:textId="77777777" w:rsidR="000E0E50" w:rsidRDefault="00173259">
      <w:pPr>
        <w:pStyle w:val="ListParagraph"/>
        <w:jc w:val="both"/>
        <w:rPr>
          <w:rtl/>
        </w:rPr>
      </w:pPr>
      <w:r>
        <w:rPr>
          <w:rFonts w:hint="cs"/>
          <w:rtl/>
        </w:rPr>
        <w:t>קצינת המבחן ציינה כי התרשמה מבחור צעיר הנמצא בשלבים של גיבוש זהות ועל-פי רוב מנהל אורח חיים נורמטיבי ויציב. להערכתה, הסתבכותו נובעת מאי הפעלת שיקול דעת באשר לתוצאות המעשים ומקושי בהצבת גבולות עבור הזולת. יחד עם זאת, לאור חומרת העבירות לא ניתנה המלצה לחלופה עונשית במסגרת הקהילה, אלא הומלץ על שילובו בטיפול במסגרת שב"ס.</w:t>
      </w:r>
    </w:p>
    <w:p w14:paraId="32A758F5" w14:textId="77777777" w:rsidR="000E0E50" w:rsidRDefault="000E0E50">
      <w:pPr>
        <w:pStyle w:val="ListParagraph"/>
        <w:jc w:val="both"/>
        <w:rPr>
          <w:rtl/>
        </w:rPr>
      </w:pPr>
    </w:p>
    <w:p w14:paraId="590C6B2C" w14:textId="77777777" w:rsidR="000E0E50" w:rsidRDefault="00173259">
      <w:pPr>
        <w:pStyle w:val="ListParagraph"/>
        <w:jc w:val="both"/>
        <w:rPr>
          <w:b/>
          <w:bCs/>
          <w:u w:val="single"/>
          <w:rtl/>
        </w:rPr>
      </w:pPr>
      <w:r>
        <w:rPr>
          <w:rFonts w:hint="cs"/>
          <w:b/>
          <w:bCs/>
          <w:u w:val="single"/>
          <w:rtl/>
        </w:rPr>
        <w:t>טיעוני הצדדים</w:t>
      </w:r>
    </w:p>
    <w:p w14:paraId="4C784B5A" w14:textId="77777777" w:rsidR="000E0E50" w:rsidRDefault="00173259">
      <w:pPr>
        <w:pStyle w:val="ListParagraph"/>
        <w:numPr>
          <w:ilvl w:val="0"/>
          <w:numId w:val="1"/>
        </w:numPr>
        <w:jc w:val="both"/>
        <w:rPr>
          <w:rtl/>
        </w:rPr>
      </w:pPr>
      <w:r>
        <w:rPr>
          <w:rFonts w:hint="cs"/>
          <w:rtl/>
        </w:rPr>
        <w:t>המאשימה מבקשת להשית על הנאשם עונש של 36 חודשי מאסר בפועל, מאסר על תנאי וקנס. לדבריה, הנאשם פגע במעשיו פגיעה חמורה בערך החברתי של שמירה על ביטחון הציבור, זאת נוכח סוג הנשק והעובדה כי לא הושב לידי צה"ל.</w:t>
      </w:r>
    </w:p>
    <w:p w14:paraId="3DEFA9C4" w14:textId="77777777" w:rsidR="000E0E50" w:rsidRDefault="00173259">
      <w:pPr>
        <w:pStyle w:val="ListParagraph"/>
        <w:jc w:val="both"/>
      </w:pPr>
      <w:r>
        <w:rPr>
          <w:rFonts w:hint="cs"/>
          <w:rtl/>
        </w:rPr>
        <w:t xml:space="preserve">בהתייחסה לנסיבות ביצוע העבירות, ציינה כי מדובר באירוע שתוכנן היטב, בוצע בצוותא עם דיאב כאשר חלקו של כל אחד מן השניים אִפשר את הוצאתה של התכנית אל הפועל. כן הצביעה על הנזק הצפוי, אותו לא ניתן לאמוד, ואשר כולל סיכון לפגיעה בגוף ובנפש. המאשימה צירפה לטיעוניה את גזר-דינו של דיאב, עליו השית בית-דין צבאי עונש של 44 חודשי מאסר בפועל לצד עונשים נלווים, והיא הפנתה לגזרי דין נוספים לתמיכה בעמדתה ולפיה </w:t>
      </w:r>
      <w:r>
        <w:rPr>
          <w:rFonts w:hint="cs"/>
          <w:u w:val="single"/>
          <w:rtl/>
        </w:rPr>
        <w:t>מתחם הענישה ההולם את מעשיו של הנאשם  הוא בין שנתיים וחצי לחמש שנות מאסר בפועל</w:t>
      </w:r>
      <w:r>
        <w:rPr>
          <w:rFonts w:hint="cs"/>
          <w:rtl/>
        </w:rPr>
        <w:t>.</w:t>
      </w:r>
    </w:p>
    <w:p w14:paraId="2E509786" w14:textId="77777777" w:rsidR="000E0E50" w:rsidRDefault="00173259">
      <w:pPr>
        <w:pStyle w:val="ListParagraph"/>
        <w:jc w:val="both"/>
        <w:rPr>
          <w:rtl/>
        </w:rPr>
      </w:pPr>
      <w:r>
        <w:rPr>
          <w:rFonts w:hint="cs"/>
          <w:rtl/>
        </w:rPr>
        <w:t>בתוך מתחם זה מבקשת המאשימה לגזור את עונשו כאמור, בהתחשב בעברו הנקי מחד גיסא, ואך חוסר שיתוף הפעולה שלו עם גורמי האכיפה מאידך גיסא, לרבות אי השבת הנשק ואי מסירת מידע באשר למטרת הגניבה וזהותם של מחזיקי הנשק. עוד ביקשה להתחשב בשיקול הרתעת הרבים.</w:t>
      </w:r>
    </w:p>
    <w:p w14:paraId="64D1C8EB" w14:textId="77777777" w:rsidR="000E0E50" w:rsidRDefault="000E0E50">
      <w:pPr>
        <w:pStyle w:val="ListParagraph"/>
        <w:jc w:val="both"/>
        <w:rPr>
          <w:rtl/>
        </w:rPr>
      </w:pPr>
    </w:p>
    <w:p w14:paraId="5F15C605" w14:textId="77777777" w:rsidR="000E0E50" w:rsidRDefault="00173259">
      <w:pPr>
        <w:pStyle w:val="ListParagraph"/>
        <w:numPr>
          <w:ilvl w:val="0"/>
          <w:numId w:val="1"/>
        </w:numPr>
        <w:jc w:val="both"/>
        <w:rPr>
          <w:rtl/>
        </w:rPr>
      </w:pPr>
      <w:r>
        <w:rPr>
          <w:rFonts w:hint="cs"/>
          <w:rtl/>
        </w:rPr>
        <w:t xml:space="preserve">על אופיו של הנאשם העידו מר חיים טיבי ומר אבי עזרן, אשר שימשו כמעסיקיו. </w:t>
      </w:r>
    </w:p>
    <w:p w14:paraId="615AA82C" w14:textId="77777777" w:rsidR="000E0E50" w:rsidRDefault="00173259">
      <w:pPr>
        <w:pStyle w:val="ListParagraph"/>
        <w:jc w:val="both"/>
      </w:pPr>
      <w:r>
        <w:rPr>
          <w:rFonts w:hint="cs"/>
          <w:b/>
          <w:bCs/>
          <w:u w:val="single"/>
          <w:rtl/>
        </w:rPr>
        <w:t>חיים טיבי</w:t>
      </w:r>
      <w:r>
        <w:rPr>
          <w:rFonts w:hint="cs"/>
          <w:rtl/>
        </w:rPr>
        <w:t xml:space="preserve"> סיפר כי היכרותו עם הנאשם היא רבת שנים, ועל כל שהנאשם התקדם מעמדה של שוטף כלים בעת שעבד עמו במסעדת מלון "מצפה הימים", עד לעמדה של אחראי משמרת במטבח המסעדה. מאוחר יותר, כשפתח מר טיבי מסעדה בבעלותו, הציע לנאשם לעבור ולעבוד אצלו, שם שימש הנאשם כאחראי מטבח עד למעצרו. מר טיבי סיפר בבית המשפט כי תפקודו של הנאשם היה מצוין, שהוא אדם חרוץ ואמין, ושהיה מקבל אותו בחזרה לעבודה בשמחה.</w:t>
      </w:r>
    </w:p>
    <w:p w14:paraId="6DF29193" w14:textId="77777777" w:rsidR="000E0E50" w:rsidRDefault="00173259">
      <w:pPr>
        <w:pStyle w:val="ListParagraph"/>
        <w:jc w:val="both"/>
        <w:rPr>
          <w:rtl/>
        </w:rPr>
      </w:pPr>
      <w:r>
        <w:rPr>
          <w:rFonts w:hint="cs"/>
          <w:b/>
          <w:bCs/>
          <w:u w:val="single"/>
          <w:rtl/>
        </w:rPr>
        <w:t>אבי עזרן</w:t>
      </w:r>
      <w:r>
        <w:rPr>
          <w:rFonts w:hint="cs"/>
          <w:rtl/>
        </w:rPr>
        <w:t>, מנהל המסעדה במלון "מצפה הימים", סיפר כי הנאשם היה אחד מעובדיו המסורים ביותר, ושהוא היה עד לכך שהנאשם כיוון צעירים אחרים שעבדו עמו לדרך טובה, לדבריו.  עוד תיאר את הנאשם כאדם הגון, ישר, חרוץ ואדיב.</w:t>
      </w:r>
    </w:p>
    <w:p w14:paraId="0DC79C55" w14:textId="77777777" w:rsidR="000E0E50" w:rsidRDefault="00173259">
      <w:pPr>
        <w:pStyle w:val="ListParagraph"/>
        <w:numPr>
          <w:ilvl w:val="0"/>
          <w:numId w:val="1"/>
        </w:numPr>
        <w:jc w:val="both"/>
        <w:rPr>
          <w:rtl/>
        </w:rPr>
      </w:pPr>
      <w:r>
        <w:rPr>
          <w:rFonts w:hint="cs"/>
          <w:rtl/>
        </w:rPr>
        <w:lastRenderedPageBreak/>
        <w:t>סנגורו של הנאשם הדגיש בטיעוניו את העובדה כי מדובר בבחור צעיר ונעדר עבר פלילי, אשר ניהל עובר למעצרו אורח חיים נורמטיבי והגון. עוד ציין את הרקע היציב ממנו הגיע הנאשם, את משפחתו הנורמטיבית, ואת העובדה שהנאשם הודה בעבירות לאחר הליך גישור, תוך שהוא מביע צער וחרטה על הסתבכותו.</w:t>
      </w:r>
    </w:p>
    <w:p w14:paraId="3DC519F5" w14:textId="77777777" w:rsidR="000E0E50" w:rsidRDefault="00173259">
      <w:pPr>
        <w:pStyle w:val="ListParagraph"/>
        <w:jc w:val="both"/>
      </w:pPr>
      <w:r>
        <w:rPr>
          <w:rFonts w:hint="cs"/>
          <w:rtl/>
        </w:rPr>
        <w:t xml:space="preserve">הסנגור סבור כי בהינתן טיב המעשים וסקירת פסיקת בתי המשפט בעבירות דומות, </w:t>
      </w:r>
      <w:r>
        <w:rPr>
          <w:rFonts w:hint="cs"/>
          <w:u w:val="single"/>
          <w:rtl/>
        </w:rPr>
        <w:t>מתחם הענישה ההולם את מעשיו של הנאשם נע בין מאסר על דרך של עבודות שירות ועד 18 חודשי מאסר בפועל</w:t>
      </w:r>
      <w:r>
        <w:rPr>
          <w:rFonts w:hint="cs"/>
          <w:rtl/>
        </w:rPr>
        <w:t>. עוד טען, כי קיימים במקרה דנן שיקולים המצדיקים סטייה מן המתחם, כשהוא מציין את רצונו של הנאשם בשיקום ואת עמדת מעסיקו האחרון, מר טיבי, כי הוא מוכן לקלוט את הנאשם לעבוד עמו בכל עת.</w:t>
      </w:r>
    </w:p>
    <w:p w14:paraId="4D81A4DE" w14:textId="77777777" w:rsidR="000E0E50" w:rsidRDefault="00173259">
      <w:pPr>
        <w:pStyle w:val="ListParagraph"/>
        <w:jc w:val="both"/>
        <w:rPr>
          <w:rtl/>
        </w:rPr>
      </w:pPr>
      <w:r>
        <w:rPr>
          <w:rFonts w:hint="cs"/>
          <w:rtl/>
        </w:rPr>
        <w:t>עוד טען הסניגור כי הנאשם שוהה במעצר מאז חודש אוקטובר 2014 ומצוי בשל כך במצוקה רגשית גדולה. לפיכך, ביקש לנקוט עם הנאשם במידת הרחמים ולא למצות עמו את הדין. כן ביקש להימנע מהטלת קנס נוכח מצבו הכלכלי שאינו שפיר.</w:t>
      </w:r>
    </w:p>
    <w:p w14:paraId="019EC2D3" w14:textId="77777777" w:rsidR="000E0E50" w:rsidRDefault="000E0E50">
      <w:pPr>
        <w:pStyle w:val="ListParagraph"/>
        <w:jc w:val="both"/>
        <w:rPr>
          <w:rtl/>
        </w:rPr>
      </w:pPr>
    </w:p>
    <w:p w14:paraId="42A4DAE4" w14:textId="77777777" w:rsidR="000E0E50" w:rsidRDefault="00173259">
      <w:pPr>
        <w:pStyle w:val="ListParagraph"/>
        <w:numPr>
          <w:ilvl w:val="0"/>
          <w:numId w:val="1"/>
        </w:numPr>
        <w:jc w:val="both"/>
        <w:rPr>
          <w:rtl/>
        </w:rPr>
      </w:pPr>
      <w:r>
        <w:rPr>
          <w:rFonts w:hint="cs"/>
          <w:rtl/>
        </w:rPr>
        <w:t>הנאשם ביקש סליחה על מעשיו, וביקש כי יינתן לו "צ'אנס".</w:t>
      </w:r>
    </w:p>
    <w:p w14:paraId="496E262F" w14:textId="77777777" w:rsidR="000E0E50" w:rsidRDefault="000E0E50">
      <w:pPr>
        <w:jc w:val="both"/>
      </w:pPr>
    </w:p>
    <w:p w14:paraId="21BBB7B6" w14:textId="77777777" w:rsidR="000E0E50" w:rsidRDefault="00173259">
      <w:pPr>
        <w:ind w:left="360" w:firstLine="360"/>
        <w:jc w:val="both"/>
        <w:rPr>
          <w:b/>
          <w:bCs/>
          <w:u w:val="single"/>
          <w:rtl/>
        </w:rPr>
      </w:pPr>
      <w:r>
        <w:rPr>
          <w:rFonts w:hint="cs"/>
          <w:b/>
          <w:bCs/>
          <w:u w:val="single"/>
          <w:rtl/>
        </w:rPr>
        <w:t>דיון והכרעה</w:t>
      </w:r>
    </w:p>
    <w:p w14:paraId="39838467" w14:textId="77777777" w:rsidR="000E0E50" w:rsidRDefault="00173259">
      <w:pPr>
        <w:pStyle w:val="ListParagraph"/>
        <w:numPr>
          <w:ilvl w:val="0"/>
          <w:numId w:val="1"/>
        </w:numPr>
        <w:jc w:val="both"/>
        <w:rPr>
          <w:rtl/>
        </w:rPr>
      </w:pPr>
      <w:r>
        <w:rPr>
          <w:rFonts w:hint="cs"/>
          <w:rtl/>
        </w:rPr>
        <w:t>אין מקום להקל ראש בעבירות בהן הורשע הנאשם. נקודת המוצא היא, כי נשיאתו והובלתו של כלי נשק שלא כדין מהווים חוליה אחת בשרשרת של מעשים פוטנציאליים, אשר עלולים להביא לפגיעה בחיי אדם, כאשר לאור תוצאה אפשרית זו יש לבחון את חומרתם של המעשים. שומה על כל מחזיק נשק, ובוודאי של מי אשר נוטל חלק פעיל בגניבתו משלטונות הצבא, שהוא מודע לטיב הסיכון הכרוך בהחזקתו של כלי משחית זה, והדבר נכון ביתר שאת כאשר מדובר במי שנושא ומוביל את כלי הנשק שלא כדין.</w:t>
      </w:r>
    </w:p>
    <w:p w14:paraId="057B419B" w14:textId="77777777" w:rsidR="000E0E50" w:rsidRDefault="000E0E50">
      <w:pPr>
        <w:pStyle w:val="ListParagraph"/>
        <w:jc w:val="both"/>
      </w:pPr>
    </w:p>
    <w:p w14:paraId="64909725" w14:textId="77777777" w:rsidR="000E0E50" w:rsidRDefault="00173259">
      <w:pPr>
        <w:pStyle w:val="ListParagraph"/>
        <w:jc w:val="both"/>
        <w:rPr>
          <w:rtl/>
        </w:rPr>
      </w:pPr>
      <w:r>
        <w:rPr>
          <w:rFonts w:hint="cs"/>
          <w:rtl/>
        </w:rPr>
        <w:t>על החומרה הכרוכה בעבירות נשק עמד בית המשפט העליון לא אחת, תוך שימת דגש על הצורך להחמיר עם עברייני נשק, וזאת בהינתן הסיכון הגלום בעצם החזקתו, כדבריו של כבוד השופט ע' פוגלמן ב</w:t>
      </w:r>
      <w:hyperlink r:id="rId21" w:history="1">
        <w:r w:rsidRPr="00173259">
          <w:rPr>
            <w:color w:val="0000FF"/>
            <w:u w:val="single"/>
            <w:rtl/>
          </w:rPr>
          <w:t>ע"פ 8416/09</w:t>
        </w:r>
      </w:hyperlink>
      <w:r>
        <w:rPr>
          <w:rFonts w:hint="cs"/>
          <w:rtl/>
        </w:rPr>
        <w:t xml:space="preserve"> </w:t>
      </w:r>
      <w:r>
        <w:rPr>
          <w:rFonts w:hint="cs"/>
          <w:b/>
          <w:bCs/>
          <w:rtl/>
        </w:rPr>
        <w:t>מדינת ישראל נ' מחמוד חרבוש</w:t>
      </w:r>
      <w:r>
        <w:rPr>
          <w:rFonts w:hint="cs"/>
          <w:rtl/>
        </w:rPr>
        <w:t xml:space="preserve"> (09.06.10):</w:t>
      </w:r>
    </w:p>
    <w:p w14:paraId="1A035D5B" w14:textId="77777777" w:rsidR="000E0E50" w:rsidRDefault="00173259">
      <w:pPr>
        <w:pStyle w:val="ListParagraph"/>
        <w:jc w:val="both"/>
        <w:rPr>
          <w:rtl/>
        </w:rPr>
      </w:pPr>
      <w:r>
        <w:rPr>
          <w:rFonts w:hint="cs"/>
          <w:rtl/>
        </w:rPr>
        <w:t>"</w:t>
      </w:r>
      <w:r>
        <w:rPr>
          <w:rFonts w:hint="cs"/>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22" w:history="1">
        <w:r w:rsidR="000346AE" w:rsidRPr="000346AE">
          <w:rPr>
            <w:rStyle w:val="Hyperlink"/>
            <w:rFonts w:hint="eastAsia"/>
            <w:b/>
            <w:bCs/>
            <w:rtl/>
          </w:rPr>
          <w:t>ע</w:t>
        </w:r>
        <w:r w:rsidR="000346AE" w:rsidRPr="000346AE">
          <w:rPr>
            <w:rStyle w:val="Hyperlink"/>
            <w:b/>
            <w:bCs/>
            <w:rtl/>
          </w:rPr>
          <w:t xml:space="preserve">"פ 1332/04 </w:t>
        </w:r>
      </w:hyperlink>
      <w:r>
        <w:rPr>
          <w:rFonts w:hint="cs"/>
          <w:b/>
          <w:b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Pr>
          <w:rFonts w:hint="cs"/>
          <w:rtl/>
        </w:rPr>
        <w:t xml:space="preserve"> ...".</w:t>
      </w:r>
    </w:p>
    <w:p w14:paraId="0E2129A7" w14:textId="77777777" w:rsidR="000E0E50" w:rsidRDefault="00173259">
      <w:pPr>
        <w:pStyle w:val="ListParagraph"/>
        <w:jc w:val="both"/>
        <w:rPr>
          <w:rtl/>
        </w:rPr>
      </w:pPr>
      <w:r>
        <w:rPr>
          <w:rFonts w:hint="cs"/>
          <w:rtl/>
        </w:rPr>
        <w:t>עמדה זו אומצה בשורה של פסקי דין אשר דנו בעבירות נשק בדרגות חומרה שונות. כך, גם מי שהורשע בעבירה של החזקת נשק בלבד צפוי לעונש של מאסר מאחורי סורג ובריח, וקביעה זו מקבלת משנה תוקף כאשר מדובר בביצוע עבירות נוספות, כדוגמת עבירת הגניבה, שבמקרה דנן מלמדת על מידה רבה של תעוזה.</w:t>
      </w:r>
    </w:p>
    <w:p w14:paraId="2947AAFC" w14:textId="77777777" w:rsidR="000E0E50" w:rsidRDefault="000E0E50">
      <w:pPr>
        <w:pStyle w:val="ListParagraph"/>
        <w:jc w:val="both"/>
        <w:rPr>
          <w:rtl/>
        </w:rPr>
      </w:pPr>
    </w:p>
    <w:p w14:paraId="3D774BAE" w14:textId="77777777" w:rsidR="000E0E50" w:rsidRDefault="00173259">
      <w:pPr>
        <w:pStyle w:val="ListParagraph"/>
        <w:numPr>
          <w:ilvl w:val="0"/>
          <w:numId w:val="1"/>
        </w:numPr>
        <w:jc w:val="both"/>
        <w:rPr>
          <w:rtl/>
        </w:rPr>
      </w:pPr>
      <w:r>
        <w:rPr>
          <w:rFonts w:hint="cs"/>
          <w:rtl/>
        </w:rPr>
        <w:t>הנאשם לפניי לא גילה את המטרה שלשמה ביצע את מעשי הגניבה, הנשיאה וההובלה, ולא מסר פרטים באשר לקורותיו של כלי הנשק, אשר טרם הושב לידי צה"ל ולמעשה ממשיך להוות סיכון לביטחון הציבור. בנסיבות אלה, ומשלא הובהר עד תום המניע לביצוע העבירות, יש לציין כי שיתוף הפעולה של הנאשם עם גורמי האכיפה אינו מלא, ושהודאתו במצב דברים זה אינה יכולה להתקבל כאינדיקציה לנטילת אחריות מלאה וחרטה כנה.</w:t>
      </w:r>
    </w:p>
    <w:p w14:paraId="249F2CA7" w14:textId="77777777" w:rsidR="000E0E50" w:rsidRDefault="000E0E50">
      <w:pPr>
        <w:pStyle w:val="ListParagraph"/>
        <w:jc w:val="both"/>
      </w:pPr>
    </w:p>
    <w:p w14:paraId="0980BF5D" w14:textId="77777777" w:rsidR="000E0E50" w:rsidRDefault="00173259">
      <w:pPr>
        <w:pStyle w:val="ListParagraph"/>
        <w:numPr>
          <w:ilvl w:val="0"/>
          <w:numId w:val="1"/>
        </w:numPr>
        <w:jc w:val="both"/>
      </w:pPr>
      <w:r>
        <w:rPr>
          <w:rFonts w:hint="cs"/>
          <w:rtl/>
        </w:rPr>
        <w:t>באשר למדיניות הענישה הנוהגת, יש לזכור כי לבד ממעשה הנשיאה וההובלה הורשע הנאשם בעבירה של גניבת נשק, המחייבת לאבחן את מעשיו ממעשיהם של אחרים שהורשעו בעבירות של נשיאה והובלה בלבד. לגניבת הנשק חומרה מיוחדת, שכן לבד מן הפגיעה בביטחון הציבור כרוכה בעבירה זו גם פגיעה בשלטון החוק ובמוסדות השלטוניים, בהיותו של הנשק שנגנב רכוש צבאי.</w:t>
      </w:r>
    </w:p>
    <w:p w14:paraId="2B3A0B35" w14:textId="77777777" w:rsidR="000E0E50" w:rsidRDefault="000E0E50">
      <w:pPr>
        <w:rPr>
          <w:rtl/>
        </w:rPr>
      </w:pPr>
    </w:p>
    <w:p w14:paraId="6CCCC179" w14:textId="77777777" w:rsidR="000E0E50" w:rsidRDefault="00173259">
      <w:pPr>
        <w:pStyle w:val="ListParagraph"/>
        <w:numPr>
          <w:ilvl w:val="0"/>
          <w:numId w:val="1"/>
        </w:numPr>
        <w:jc w:val="both"/>
        <w:rPr>
          <w:rtl/>
        </w:rPr>
      </w:pPr>
      <w:r>
        <w:rPr>
          <w:rFonts w:hint="cs"/>
          <w:rtl/>
        </w:rPr>
        <w:t>ב</w:t>
      </w:r>
      <w:hyperlink r:id="rId23" w:history="1">
        <w:r w:rsidRPr="00173259">
          <w:rPr>
            <w:color w:val="0000FF"/>
            <w:u w:val="single"/>
            <w:rtl/>
          </w:rPr>
          <w:t>ע"פ 9112/11</w:t>
        </w:r>
      </w:hyperlink>
      <w:r>
        <w:rPr>
          <w:rFonts w:hint="cs"/>
          <w:rtl/>
        </w:rPr>
        <w:t xml:space="preserve"> </w:t>
      </w:r>
      <w:r>
        <w:rPr>
          <w:rFonts w:hint="cs"/>
          <w:b/>
          <w:bCs/>
          <w:rtl/>
        </w:rPr>
        <w:t>פלוני נ' מדינת ישראל</w:t>
      </w:r>
      <w:r>
        <w:rPr>
          <w:rFonts w:hint="cs"/>
          <w:rtl/>
        </w:rPr>
        <w:t xml:space="preserve"> (13.12.13) אושר עונש של </w:t>
      </w:r>
      <w:r>
        <w:rPr>
          <w:rFonts w:hint="cs"/>
          <w:b/>
          <w:bCs/>
          <w:u w:val="single"/>
          <w:rtl/>
        </w:rPr>
        <w:t>48 חודשי מאסר בפועל</w:t>
      </w:r>
      <w:r>
        <w:rPr>
          <w:rFonts w:hint="cs"/>
          <w:rtl/>
        </w:rPr>
        <w:t xml:space="preserve">, אשר על הוטל על אדם שהורשע בעבירות של </w:t>
      </w:r>
      <w:r>
        <w:rPr>
          <w:rFonts w:hint="cs"/>
          <w:u w:val="single"/>
          <w:rtl/>
        </w:rPr>
        <w:t>גניבה בידי עובד ציבור</w:t>
      </w:r>
      <w:r>
        <w:rPr>
          <w:rFonts w:hint="cs"/>
          <w:rtl/>
        </w:rPr>
        <w:t xml:space="preserve"> לפי </w:t>
      </w:r>
      <w:hyperlink r:id="rId24" w:history="1">
        <w:r w:rsidR="00616262" w:rsidRPr="00616262">
          <w:rPr>
            <w:color w:val="0000FF"/>
            <w:u w:val="single"/>
            <w:rtl/>
          </w:rPr>
          <w:t>סעיף 390</w:t>
        </w:r>
      </w:hyperlink>
      <w:r>
        <w:rPr>
          <w:rFonts w:hint="cs"/>
          <w:rtl/>
        </w:rPr>
        <w:t xml:space="preserve"> לחוק; </w:t>
      </w:r>
      <w:r>
        <w:rPr>
          <w:rFonts w:hint="cs"/>
          <w:u w:val="single"/>
          <w:rtl/>
        </w:rPr>
        <w:t>נשיאת נשק שלא כדין</w:t>
      </w:r>
      <w:r>
        <w:rPr>
          <w:rFonts w:hint="cs"/>
          <w:rtl/>
        </w:rPr>
        <w:t xml:space="preserve"> לפי </w:t>
      </w:r>
      <w:hyperlink r:id="rId25" w:history="1">
        <w:r w:rsidR="00616262" w:rsidRPr="00616262">
          <w:rPr>
            <w:color w:val="0000FF"/>
            <w:u w:val="single"/>
            <w:rtl/>
          </w:rPr>
          <w:t>סעיף 144(ב)</w:t>
        </w:r>
      </w:hyperlink>
      <w:r>
        <w:rPr>
          <w:rFonts w:hint="cs"/>
          <w:rtl/>
        </w:rPr>
        <w:t xml:space="preserve"> לחוק; </w:t>
      </w:r>
      <w:r>
        <w:rPr>
          <w:rFonts w:hint="cs"/>
          <w:u w:val="single"/>
          <w:rtl/>
        </w:rPr>
        <w:t>ניסיון לבצע עסקה בנשק</w:t>
      </w:r>
      <w:r>
        <w:rPr>
          <w:rFonts w:hint="cs"/>
          <w:rtl/>
        </w:rPr>
        <w:t xml:space="preserve"> לפי </w:t>
      </w:r>
      <w:hyperlink r:id="rId26" w:history="1">
        <w:r w:rsidR="00616262" w:rsidRPr="00616262">
          <w:rPr>
            <w:color w:val="0000FF"/>
            <w:u w:val="single"/>
            <w:rtl/>
          </w:rPr>
          <w:t>סעיף 144(ב2)</w:t>
        </w:r>
      </w:hyperlink>
      <w:r>
        <w:rPr>
          <w:rFonts w:hint="cs"/>
          <w:rtl/>
        </w:rPr>
        <w:t xml:space="preserve"> לחוק; ו</w:t>
      </w:r>
      <w:r>
        <w:rPr>
          <w:rFonts w:hint="cs"/>
          <w:u w:val="single"/>
          <w:rtl/>
        </w:rPr>
        <w:t xml:space="preserve">הפרת אמונים </w:t>
      </w:r>
      <w:r>
        <w:rPr>
          <w:rFonts w:hint="cs"/>
          <w:rtl/>
        </w:rPr>
        <w:t xml:space="preserve">לפי </w:t>
      </w:r>
      <w:hyperlink r:id="rId27" w:history="1">
        <w:r w:rsidR="00616262" w:rsidRPr="00616262">
          <w:rPr>
            <w:color w:val="0000FF"/>
            <w:u w:val="single"/>
            <w:rtl/>
          </w:rPr>
          <w:t>סעיף 284</w:t>
        </w:r>
      </w:hyperlink>
      <w:r>
        <w:rPr>
          <w:rFonts w:hint="cs"/>
          <w:rtl/>
        </w:rPr>
        <w:t xml:space="preserve"> לחוק. הנאשם בתיק זה שירת כשוטר במשמר הגבול במסגרת שירותו הסדיר, גנב את נשקו של חברו בזמן שהאחרון ישן, וביחד עם חברו החביא את הנשק בשטח פתוח עד אשר יעלה בידם למכרו. בהמשך ניסו השניים להביא למכירת הנשק לאדם שלישי.</w:t>
      </w:r>
    </w:p>
    <w:p w14:paraId="06273B44" w14:textId="77777777" w:rsidR="000E0E50" w:rsidRDefault="000E0E50">
      <w:pPr>
        <w:jc w:val="both"/>
        <w:rPr>
          <w:rtl/>
        </w:rPr>
      </w:pPr>
    </w:p>
    <w:p w14:paraId="2A19605E" w14:textId="77777777" w:rsidR="000E0E50" w:rsidRDefault="00173259">
      <w:pPr>
        <w:ind w:left="720"/>
        <w:jc w:val="both"/>
        <w:rPr>
          <w:rtl/>
        </w:rPr>
      </w:pPr>
      <w:r>
        <w:rPr>
          <w:rFonts w:hint="cs"/>
          <w:rtl/>
        </w:rPr>
        <w:t>ב</w:t>
      </w:r>
      <w:hyperlink r:id="rId28" w:history="1">
        <w:r w:rsidRPr="00173259">
          <w:rPr>
            <w:color w:val="0000FF"/>
            <w:u w:val="single"/>
            <w:rtl/>
          </w:rPr>
          <w:t>ע"פ 5677/12</w:t>
        </w:r>
      </w:hyperlink>
      <w:r>
        <w:rPr>
          <w:rFonts w:hint="cs"/>
          <w:rtl/>
        </w:rPr>
        <w:t xml:space="preserve"> </w:t>
      </w:r>
      <w:r>
        <w:rPr>
          <w:rFonts w:hint="cs"/>
          <w:b/>
          <w:bCs/>
          <w:rtl/>
        </w:rPr>
        <w:t>מרעי מג'ד נ' מדינת ישראל</w:t>
      </w:r>
      <w:r>
        <w:rPr>
          <w:rFonts w:hint="cs"/>
          <w:rtl/>
        </w:rPr>
        <w:t xml:space="preserve"> (31.01.13) אישר בית-המשפט העליון עונש של </w:t>
      </w:r>
      <w:r>
        <w:rPr>
          <w:rFonts w:hint="cs"/>
          <w:b/>
          <w:bCs/>
          <w:u w:val="single"/>
          <w:rtl/>
        </w:rPr>
        <w:t>24 חודשי מאסר בפועל</w:t>
      </w:r>
      <w:r>
        <w:rPr>
          <w:rFonts w:hint="cs"/>
          <w:rtl/>
        </w:rPr>
        <w:t xml:space="preserve">, 12 חודשי מאסר על תנאי וקנס בסך 7,500 ₪, אותם הטלתי על מי שהורשע בעבירה של </w:t>
      </w:r>
      <w:r>
        <w:rPr>
          <w:rFonts w:hint="cs"/>
          <w:u w:val="single"/>
          <w:rtl/>
        </w:rPr>
        <w:t>נשיאת נשק בלבד</w:t>
      </w:r>
      <w:r>
        <w:rPr>
          <w:rFonts w:hint="cs"/>
          <w:rtl/>
        </w:rPr>
        <w:t>, בנסיבות בהן הנאשם אבטח את נתיב נסיעתם של אחרים אשר גנבו נשק מסוג "מאג" מבסיס צה"ל. זאת, חרף עברו הנקי של המערער.</w:t>
      </w:r>
    </w:p>
    <w:p w14:paraId="2A92C6A0" w14:textId="77777777" w:rsidR="000E0E50" w:rsidRDefault="00173259">
      <w:pPr>
        <w:ind w:left="720"/>
        <w:jc w:val="both"/>
        <w:rPr>
          <w:rtl/>
        </w:rPr>
      </w:pPr>
      <w:r>
        <w:rPr>
          <w:rFonts w:hint="cs"/>
          <w:rtl/>
        </w:rPr>
        <w:t>ב</w:t>
      </w:r>
      <w:hyperlink r:id="rId29" w:history="1">
        <w:r w:rsidRPr="00173259">
          <w:rPr>
            <w:color w:val="0000FF"/>
            <w:u w:val="single"/>
            <w:rtl/>
          </w:rPr>
          <w:t>ת"פ (מחוזי נצרת) 15527-08-10</w:t>
        </w:r>
      </w:hyperlink>
      <w:r>
        <w:rPr>
          <w:rFonts w:hint="cs"/>
          <w:rtl/>
        </w:rPr>
        <w:t xml:space="preserve"> </w:t>
      </w:r>
      <w:r>
        <w:rPr>
          <w:rFonts w:hint="cs"/>
          <w:b/>
          <w:bCs/>
          <w:rtl/>
        </w:rPr>
        <w:t>מדינת ישראל נ' חסן אבו ליל</w:t>
      </w:r>
      <w:r>
        <w:rPr>
          <w:rFonts w:hint="cs"/>
          <w:rtl/>
        </w:rPr>
        <w:t xml:space="preserve"> (12.06.12), קבעתי לגבי נאשם שהורשע בעבירות של </w:t>
      </w:r>
      <w:r>
        <w:rPr>
          <w:rFonts w:hint="cs"/>
          <w:u w:val="single"/>
          <w:rtl/>
        </w:rPr>
        <w:t>נשיאת נשק, הובלתו והחזקתו</w:t>
      </w:r>
      <w:r>
        <w:rPr>
          <w:rFonts w:hint="cs"/>
          <w:rtl/>
        </w:rPr>
        <w:t>, כי "</w:t>
      </w:r>
      <w:r>
        <w:rPr>
          <w:rFonts w:hint="cs"/>
          <w:b/>
          <w:bCs/>
          <w:i/>
          <w:iCs/>
          <w:rtl/>
        </w:rPr>
        <w:t>העונש ההולם את מעשיו ...הנו עונש של מאסר בפועל, והמתחם הראוי בנסיבות דנן אינו פחות מ-12 חודשי מאסר ואינו עולה על שלוש שנים</w:t>
      </w:r>
      <w:r>
        <w:rPr>
          <w:rFonts w:hint="cs"/>
          <w:rtl/>
        </w:rPr>
        <w:t xml:space="preserve">". באותו מקרה דובר על החזקת נשק ותחמושת למשך יממה, על הסתרה מכוונת של כלי הנשק ועל נאשם אשר עמד לחובתו עונש של מאסר בפועל בר הפעלה, כך שבסופו של יום גזרתי על הנאשם שם </w:t>
      </w:r>
      <w:r>
        <w:rPr>
          <w:rFonts w:hint="cs"/>
          <w:b/>
          <w:bCs/>
          <w:u w:val="single"/>
          <w:rtl/>
        </w:rPr>
        <w:t>28 חודשי מאסר בפועל</w:t>
      </w:r>
      <w:r>
        <w:rPr>
          <w:rFonts w:hint="cs"/>
          <w:rtl/>
        </w:rPr>
        <w:t>.</w:t>
      </w:r>
    </w:p>
    <w:p w14:paraId="5BDA9EBF" w14:textId="77777777" w:rsidR="000E0E50" w:rsidRDefault="00173259">
      <w:pPr>
        <w:ind w:left="720"/>
        <w:jc w:val="both"/>
        <w:rPr>
          <w:rtl/>
        </w:rPr>
      </w:pPr>
      <w:r>
        <w:rPr>
          <w:rFonts w:hint="cs"/>
          <w:rtl/>
        </w:rPr>
        <w:t xml:space="preserve">בית-המשפט העליון דחה את ערעורו של נאשם זה במסגרת </w:t>
      </w:r>
      <w:hyperlink r:id="rId30" w:history="1">
        <w:r w:rsidRPr="00173259">
          <w:rPr>
            <w:color w:val="0000FF"/>
            <w:u w:val="single"/>
            <w:rtl/>
          </w:rPr>
          <w:t>ע"פ 5323/12</w:t>
        </w:r>
      </w:hyperlink>
      <w:r>
        <w:rPr>
          <w:rFonts w:hint="cs"/>
          <w:rtl/>
        </w:rPr>
        <w:t>.</w:t>
      </w:r>
    </w:p>
    <w:p w14:paraId="6D08EF2F" w14:textId="77777777" w:rsidR="000E0E50" w:rsidRDefault="00173259">
      <w:pPr>
        <w:pStyle w:val="ListParagraph"/>
        <w:numPr>
          <w:ilvl w:val="0"/>
          <w:numId w:val="1"/>
        </w:numPr>
        <w:jc w:val="both"/>
        <w:rPr>
          <w:rtl/>
        </w:rPr>
      </w:pPr>
      <w:r>
        <w:rPr>
          <w:rFonts w:hint="cs"/>
          <w:rtl/>
        </w:rPr>
        <w:t>עוד ניתן להפנות לפסקי הדין ב</w:t>
      </w:r>
      <w:hyperlink r:id="rId31" w:history="1">
        <w:r w:rsidRPr="00173259">
          <w:rPr>
            <w:color w:val="0000FF"/>
            <w:u w:val="single"/>
            <w:rtl/>
          </w:rPr>
          <w:t>ע"פ 7379/13</w:t>
        </w:r>
      </w:hyperlink>
      <w:r>
        <w:rPr>
          <w:rFonts w:hint="cs"/>
          <w:rtl/>
        </w:rPr>
        <w:t xml:space="preserve"> </w:t>
      </w:r>
      <w:r>
        <w:rPr>
          <w:rFonts w:hint="cs"/>
          <w:b/>
          <w:bCs/>
          <w:rtl/>
        </w:rPr>
        <w:t>מרואן איסמעיל נ' מדינת ישראל</w:t>
      </w:r>
      <w:r>
        <w:rPr>
          <w:rFonts w:hint="cs"/>
          <w:rtl/>
        </w:rPr>
        <w:t xml:space="preserve"> (10.02.14); </w:t>
      </w:r>
      <w:hyperlink r:id="rId32" w:history="1">
        <w:r w:rsidRPr="00173259">
          <w:rPr>
            <w:color w:val="0000FF"/>
            <w:u w:val="single"/>
            <w:rtl/>
          </w:rPr>
          <w:t>ע"פ 7374/11</w:t>
        </w:r>
      </w:hyperlink>
      <w:r>
        <w:rPr>
          <w:rFonts w:hint="cs"/>
          <w:rtl/>
        </w:rPr>
        <w:t xml:space="preserve"> </w:t>
      </w:r>
      <w:r>
        <w:rPr>
          <w:rFonts w:hint="cs"/>
          <w:b/>
          <w:bCs/>
          <w:rtl/>
        </w:rPr>
        <w:t>מוחמד שיבלי ואח' נ' מדינת ישראל</w:t>
      </w:r>
      <w:r>
        <w:rPr>
          <w:rFonts w:hint="cs"/>
          <w:rtl/>
        </w:rPr>
        <w:t xml:space="preserve"> (26.02.12); ו</w:t>
      </w:r>
      <w:hyperlink r:id="rId33" w:history="1">
        <w:r w:rsidRPr="00173259">
          <w:rPr>
            <w:color w:val="0000FF"/>
            <w:u w:val="single"/>
            <w:rtl/>
          </w:rPr>
          <w:t>ע"פ 4105/11</w:t>
        </w:r>
      </w:hyperlink>
      <w:r>
        <w:rPr>
          <w:rFonts w:hint="cs"/>
          <w:rtl/>
        </w:rPr>
        <w:t xml:space="preserve"> </w:t>
      </w:r>
      <w:r>
        <w:rPr>
          <w:rFonts w:hint="cs"/>
          <w:b/>
          <w:bCs/>
          <w:rtl/>
        </w:rPr>
        <w:t>ראמז זועבי נ' מדינת ישראל</w:t>
      </w:r>
      <w:r>
        <w:rPr>
          <w:rFonts w:hint="cs"/>
          <w:rtl/>
        </w:rPr>
        <w:t xml:space="preserve"> (25.01.12), וזאת תוך אבחנה בין הנסיבות שם לענייננו.</w:t>
      </w:r>
    </w:p>
    <w:p w14:paraId="0ACCCA33" w14:textId="77777777" w:rsidR="000E0E50" w:rsidRDefault="000E0E50">
      <w:pPr>
        <w:pStyle w:val="ListParagraph"/>
        <w:jc w:val="both"/>
      </w:pPr>
    </w:p>
    <w:p w14:paraId="6D75BE32" w14:textId="77777777" w:rsidR="000E0E50" w:rsidRDefault="00173259">
      <w:pPr>
        <w:pStyle w:val="ListParagraph"/>
        <w:numPr>
          <w:ilvl w:val="0"/>
          <w:numId w:val="1"/>
        </w:numPr>
        <w:jc w:val="both"/>
      </w:pPr>
      <w:r>
        <w:rPr>
          <w:rFonts w:hint="cs"/>
          <w:rtl/>
        </w:rPr>
        <w:t xml:space="preserve">לסיכום נקודה זו, סבורני כי בנסיבות מעשיו של הנאשם, </w:t>
      </w:r>
      <w:r>
        <w:rPr>
          <w:rFonts w:hint="cs"/>
          <w:b/>
          <w:bCs/>
          <w:u w:val="single"/>
          <w:rtl/>
        </w:rPr>
        <w:t>מתחם הענישה ההולם נע בין 24 ל-48 חודשי מאסר בפועל</w:t>
      </w:r>
      <w:r>
        <w:rPr>
          <w:rFonts w:hint="cs"/>
          <w:rtl/>
        </w:rPr>
        <w:t>.</w:t>
      </w:r>
    </w:p>
    <w:p w14:paraId="590E82CB" w14:textId="77777777" w:rsidR="000E0E50" w:rsidRDefault="000E0E50">
      <w:pPr>
        <w:pStyle w:val="ListParagraph"/>
      </w:pPr>
    </w:p>
    <w:p w14:paraId="1CBC7EB0" w14:textId="77777777" w:rsidR="000E0E50" w:rsidRDefault="00173259">
      <w:pPr>
        <w:pStyle w:val="ListParagraph"/>
        <w:numPr>
          <w:ilvl w:val="0"/>
          <w:numId w:val="1"/>
        </w:numPr>
        <w:jc w:val="both"/>
        <w:rPr>
          <w:rtl/>
        </w:rPr>
      </w:pPr>
      <w:r>
        <w:rPr>
          <w:rFonts w:hint="cs"/>
          <w:rtl/>
        </w:rPr>
        <w:t>באשר לנסיבותיו של הנאשם, נתתי דעתי לגילו הצעיר, לעברו הנקי ולאורח חייו היציב עד כה. לצד זאת, שקלתי את המידע החלקי שמסר הנאשם, ובפרט בכל הקשור לנעשה עם הנשק שנגנב, שלא הושב לידי צה"ל ועודנו מהווה סיכון. בנסיבות אלה לא ניתן לדידי לראות בנאשם כמי שנטל אחריות מלאה למעשים, חרף ההודאה המהירה בעובדות כתב האישום המתוקן.</w:t>
      </w:r>
    </w:p>
    <w:p w14:paraId="0654F0B8" w14:textId="77777777" w:rsidR="000E0E50" w:rsidRDefault="000E0E50">
      <w:pPr>
        <w:ind w:left="720"/>
        <w:jc w:val="both"/>
      </w:pPr>
    </w:p>
    <w:p w14:paraId="03A380F7" w14:textId="77777777" w:rsidR="000E0E50" w:rsidRDefault="00173259">
      <w:pPr>
        <w:ind w:left="720"/>
        <w:jc w:val="both"/>
        <w:rPr>
          <w:rtl/>
        </w:rPr>
      </w:pPr>
      <w:r>
        <w:rPr>
          <w:rFonts w:hint="cs"/>
          <w:rtl/>
        </w:rPr>
        <w:t>כן נתתי דעתי לעונשו של דיאב, שותפו של הנאשם לפשע.</w:t>
      </w:r>
    </w:p>
    <w:p w14:paraId="32972719" w14:textId="77777777" w:rsidR="000E0E50" w:rsidRDefault="000E0E50">
      <w:pPr>
        <w:pStyle w:val="ListParagraph"/>
      </w:pPr>
    </w:p>
    <w:p w14:paraId="6BC3B9BA" w14:textId="77777777" w:rsidR="000E0E50" w:rsidRDefault="00173259">
      <w:pPr>
        <w:pStyle w:val="ListParagraph"/>
        <w:numPr>
          <w:ilvl w:val="0"/>
          <w:numId w:val="1"/>
        </w:numPr>
        <w:jc w:val="both"/>
      </w:pPr>
      <w:r>
        <w:rPr>
          <w:rFonts w:hint="cs"/>
          <w:rtl/>
        </w:rPr>
        <w:t>לסיכום, אני גוזר על הנאשם את העונשים הבאים:</w:t>
      </w:r>
    </w:p>
    <w:p w14:paraId="4EB917FE" w14:textId="77777777" w:rsidR="000E0E50" w:rsidRDefault="00173259">
      <w:pPr>
        <w:pStyle w:val="ListParagraph"/>
        <w:numPr>
          <w:ilvl w:val="0"/>
          <w:numId w:val="2"/>
        </w:numPr>
        <w:ind w:left="1080" w:right="0"/>
        <w:jc w:val="both"/>
      </w:pPr>
      <w:r>
        <w:rPr>
          <w:rFonts w:hint="cs"/>
          <w:rtl/>
        </w:rPr>
        <w:t xml:space="preserve">ארבעים ושניים חודשי מאסר, מתוכם </w:t>
      </w:r>
      <w:r>
        <w:rPr>
          <w:rFonts w:hint="cs"/>
          <w:b/>
          <w:bCs/>
          <w:u w:val="single"/>
          <w:rtl/>
        </w:rPr>
        <w:t>שלושים חודשים לנשיאה בפועל</w:t>
      </w:r>
      <w:r>
        <w:rPr>
          <w:rFonts w:hint="cs"/>
          <w:rtl/>
        </w:rPr>
        <w:t xml:space="preserve"> בניכוי ימי מעצרו (החל מיום 28.9.14), ואילו היתרה על תנאי למשך 3 שנים, והתנאי הוא שהנאשם לא יעבור בפרק זמן זה עבירת נשק שיורשע בגינה.</w:t>
      </w:r>
    </w:p>
    <w:p w14:paraId="2DDA5C31" w14:textId="77777777" w:rsidR="000E0E50" w:rsidRDefault="00173259">
      <w:pPr>
        <w:pStyle w:val="ListParagraph"/>
        <w:numPr>
          <w:ilvl w:val="0"/>
          <w:numId w:val="2"/>
        </w:numPr>
        <w:ind w:left="1080" w:right="0"/>
        <w:jc w:val="both"/>
      </w:pPr>
      <w:r>
        <w:rPr>
          <w:rFonts w:hint="cs"/>
          <w:rtl/>
        </w:rPr>
        <w:t>אני מחייב את הנאשם לשלם קנס בסך 7,500 ₪ או חודש מאסר תמורתו בנוסף לכל מאסר שהנאש מרצה. הקנס ישולם בתוך 90 ימים מהיום.</w:t>
      </w:r>
    </w:p>
    <w:p w14:paraId="2D0F9360" w14:textId="77777777" w:rsidR="000E0E50" w:rsidRDefault="00173259">
      <w:pPr>
        <w:jc w:val="both"/>
        <w:rPr>
          <w:b/>
          <w:bCs/>
          <w:u w:val="single"/>
        </w:rPr>
      </w:pPr>
      <w:r>
        <w:rPr>
          <w:rFonts w:hint="cs"/>
          <w:b/>
          <w:bCs/>
          <w:u w:val="single"/>
          <w:rtl/>
        </w:rPr>
        <w:t xml:space="preserve">זכות ערעור בפני בית המשפט העליון בתוך 45 יום מהיום. </w:t>
      </w:r>
    </w:p>
    <w:p w14:paraId="49959FF8" w14:textId="77777777" w:rsidR="000E0E50" w:rsidRDefault="000E0E50">
      <w:pPr>
        <w:jc w:val="right"/>
        <w:rPr>
          <w:rtl/>
        </w:rPr>
      </w:pPr>
    </w:p>
    <w:p w14:paraId="0C26BB9F" w14:textId="77777777" w:rsidR="000E0E50" w:rsidRDefault="00173259">
      <w:pPr>
        <w:spacing w:line="360" w:lineRule="auto"/>
        <w:jc w:val="both"/>
        <w:rPr>
          <w:rtl/>
        </w:rPr>
      </w:pPr>
      <w:r w:rsidRPr="00173259">
        <w:rPr>
          <w:b/>
          <w:bCs/>
          <w:color w:val="FFFFFF"/>
          <w:sz w:val="2"/>
          <w:szCs w:val="2"/>
          <w:rtl/>
        </w:rPr>
        <w:t>5129371</w:t>
      </w:r>
      <w:r>
        <w:rPr>
          <w:b/>
          <w:bCs/>
          <w:rtl/>
        </w:rPr>
        <w:t xml:space="preserve">ניתן והודע היום י"ח אלול תשע"ה, 02/09/2015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E0E50" w14:paraId="175387A7" w14:textId="77777777">
        <w:trPr>
          <w:trHeight w:val="316"/>
          <w:jc w:val="right"/>
        </w:trPr>
        <w:tc>
          <w:tcPr>
            <w:tcW w:w="3936" w:type="dxa"/>
            <w:shd w:val="clear" w:color="auto" w:fill="auto"/>
          </w:tcPr>
          <w:p w14:paraId="44F88406" w14:textId="77777777" w:rsidR="000E0E50" w:rsidRPr="00173259" w:rsidRDefault="00173259">
            <w:pPr>
              <w:jc w:val="center"/>
              <w:rPr>
                <w:rFonts w:ascii="Times New Roman" w:eastAsia="Times New Roman" w:hAnsi="Times New Roman" w:cs="Times New Roman"/>
                <w:color w:val="FFFFFF"/>
                <w:sz w:val="2"/>
                <w:szCs w:val="2"/>
              </w:rPr>
            </w:pPr>
            <w:r w:rsidRPr="00173259">
              <w:rPr>
                <w:rFonts w:ascii="Times New Roman" w:eastAsia="Times New Roman" w:hAnsi="Times New Roman" w:cs="Times New Roman"/>
                <w:color w:val="FFFFFF"/>
                <w:sz w:val="2"/>
                <w:szCs w:val="2"/>
                <w:rtl/>
              </w:rPr>
              <w:t>54678313</w:t>
            </w:r>
          </w:p>
          <w:p w14:paraId="0CEDBC0A" w14:textId="77777777" w:rsidR="000E0E50" w:rsidRDefault="000E0E50">
            <w:pPr>
              <w:jc w:val="center"/>
              <w:rPr>
                <w:rFonts w:ascii="Times New Roman" w:eastAsia="Times New Roman" w:hAnsi="Times New Roman" w:cs="Times New Roman"/>
                <w:rtl/>
              </w:rPr>
            </w:pPr>
          </w:p>
        </w:tc>
      </w:tr>
      <w:tr w:rsidR="000E0E50" w14:paraId="487A2D65" w14:textId="77777777">
        <w:trPr>
          <w:trHeight w:val="361"/>
          <w:jc w:val="right"/>
        </w:trPr>
        <w:tc>
          <w:tcPr>
            <w:tcW w:w="3936" w:type="dxa"/>
            <w:shd w:val="clear" w:color="auto" w:fill="auto"/>
          </w:tcPr>
          <w:p w14:paraId="7A87D819" w14:textId="77777777" w:rsidR="000E0E50" w:rsidRDefault="00173259">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122C4E57" w14:textId="77777777" w:rsidR="000E0E50" w:rsidRPr="00616262" w:rsidRDefault="00616262">
      <w:pPr>
        <w:spacing w:line="360" w:lineRule="auto"/>
        <w:jc w:val="both"/>
        <w:rPr>
          <w:color w:val="FFFFFF"/>
          <w:sz w:val="2"/>
          <w:szCs w:val="2"/>
          <w:rtl/>
        </w:rPr>
      </w:pPr>
      <w:r w:rsidRPr="00616262">
        <w:rPr>
          <w:color w:val="FFFFFF"/>
          <w:sz w:val="2"/>
          <w:szCs w:val="2"/>
          <w:rtl/>
        </w:rPr>
        <w:t>5129371</w:t>
      </w:r>
    </w:p>
    <w:p w14:paraId="48C6207E" w14:textId="77777777" w:rsidR="00173259" w:rsidRPr="00616262" w:rsidRDefault="00616262" w:rsidP="00173259">
      <w:pPr>
        <w:keepNext/>
        <w:rPr>
          <w:color w:val="FFFFFF"/>
          <w:sz w:val="2"/>
          <w:szCs w:val="2"/>
          <w:rtl/>
        </w:rPr>
      </w:pPr>
      <w:r w:rsidRPr="00616262">
        <w:rPr>
          <w:color w:val="FFFFFF"/>
          <w:sz w:val="2"/>
          <w:szCs w:val="2"/>
          <w:rtl/>
        </w:rPr>
        <w:t>54678313</w:t>
      </w:r>
    </w:p>
    <w:p w14:paraId="73D96726" w14:textId="77777777" w:rsidR="00173259" w:rsidRDefault="00173259" w:rsidP="00173259">
      <w:r w:rsidRPr="00173259">
        <w:rPr>
          <w:color w:val="000000"/>
          <w:rtl/>
        </w:rPr>
        <w:t>נוסח מסמך זה כפוף לשינויי ניסוח ועריכה</w:t>
      </w:r>
    </w:p>
    <w:p w14:paraId="765713CA" w14:textId="77777777" w:rsidR="00173259" w:rsidRDefault="00173259" w:rsidP="00173259">
      <w:pPr>
        <w:rPr>
          <w:rtl/>
        </w:rPr>
      </w:pPr>
    </w:p>
    <w:p w14:paraId="059F174F" w14:textId="77777777" w:rsidR="00173259" w:rsidRDefault="00173259" w:rsidP="0017325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34DECF8" w14:textId="77777777" w:rsidR="00616262" w:rsidRPr="00616262" w:rsidRDefault="00616262" w:rsidP="00616262">
      <w:pPr>
        <w:keepNext/>
        <w:rPr>
          <w:color w:val="000000"/>
          <w:sz w:val="22"/>
          <w:szCs w:val="22"/>
          <w:rtl/>
        </w:rPr>
      </w:pPr>
    </w:p>
    <w:p w14:paraId="1F88B392" w14:textId="77777777" w:rsidR="00616262" w:rsidRPr="00616262" w:rsidRDefault="00616262" w:rsidP="00616262">
      <w:pPr>
        <w:keepNext/>
        <w:rPr>
          <w:color w:val="000000"/>
          <w:sz w:val="22"/>
          <w:szCs w:val="22"/>
          <w:rtl/>
        </w:rPr>
      </w:pPr>
      <w:r w:rsidRPr="00616262">
        <w:rPr>
          <w:color w:val="000000"/>
          <w:sz w:val="22"/>
          <w:szCs w:val="22"/>
          <w:rtl/>
        </w:rPr>
        <w:t>תאופיק כתילי 54678313-/</w:t>
      </w:r>
      <w:r w:rsidR="000346AE">
        <w:rPr>
          <w:rFonts w:hint="cs"/>
          <w:color w:val="000000"/>
          <w:sz w:val="22"/>
          <w:szCs w:val="22"/>
          <w:rtl/>
        </w:rPr>
        <w:t xml:space="preserve"> </w:t>
      </w:r>
    </w:p>
    <w:sectPr w:rsidR="00616262" w:rsidRPr="00616262" w:rsidSect="00616262">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B1D2D" w14:textId="77777777" w:rsidR="009A45C3" w:rsidRDefault="009A45C3">
      <w:r>
        <w:separator/>
      </w:r>
    </w:p>
  </w:endnote>
  <w:endnote w:type="continuationSeparator" w:id="0">
    <w:p w14:paraId="0A7D4EDB" w14:textId="77777777" w:rsidR="009A45C3" w:rsidRDefault="009A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6850" w14:textId="77777777" w:rsidR="009A45C3" w:rsidRDefault="009A45C3" w:rsidP="006162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44AB7DB" w14:textId="77777777" w:rsidR="009A45C3" w:rsidRPr="00616262" w:rsidRDefault="009A45C3" w:rsidP="00616262">
    <w:pPr>
      <w:pStyle w:val="a5"/>
      <w:pBdr>
        <w:top w:val="single" w:sz="4" w:space="1" w:color="auto"/>
        <w:between w:val="single" w:sz="4" w:space="0" w:color="auto"/>
      </w:pBdr>
      <w:spacing w:after="60"/>
      <w:jc w:val="center"/>
      <w:rPr>
        <w:rFonts w:ascii="FrankRuehl" w:hAnsi="FrankRuehl" w:cs="FrankRuehl"/>
        <w:color w:val="000000"/>
      </w:rPr>
    </w:pPr>
    <w:r w:rsidRPr="0061626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C98D6" w14:textId="77777777" w:rsidR="009A45C3" w:rsidRDefault="009A45C3" w:rsidP="006162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3304">
      <w:rPr>
        <w:rFonts w:ascii="FrankRuehl" w:hAnsi="FrankRuehl" w:cs="FrankRuehl"/>
        <w:noProof/>
        <w:rtl/>
      </w:rPr>
      <w:t>1</w:t>
    </w:r>
    <w:r>
      <w:rPr>
        <w:rFonts w:ascii="FrankRuehl" w:hAnsi="FrankRuehl" w:cs="FrankRuehl"/>
        <w:rtl/>
      </w:rPr>
      <w:fldChar w:fldCharType="end"/>
    </w:r>
  </w:p>
  <w:p w14:paraId="4E7021A2" w14:textId="77777777" w:rsidR="009A45C3" w:rsidRPr="00616262" w:rsidRDefault="009A45C3" w:rsidP="00616262">
    <w:pPr>
      <w:pStyle w:val="a5"/>
      <w:pBdr>
        <w:top w:val="single" w:sz="4" w:space="1" w:color="auto"/>
        <w:between w:val="single" w:sz="4" w:space="0" w:color="auto"/>
      </w:pBdr>
      <w:spacing w:after="60"/>
      <w:jc w:val="center"/>
      <w:rPr>
        <w:rFonts w:ascii="FrankRuehl" w:hAnsi="FrankRuehl" w:cs="FrankRuehl"/>
        <w:color w:val="000000"/>
      </w:rPr>
    </w:pPr>
    <w:r w:rsidRPr="00616262">
      <w:rPr>
        <w:rFonts w:ascii="FrankRuehl" w:hAnsi="FrankRuehl" w:cs="FrankRuehl"/>
        <w:color w:val="000000"/>
      </w:rPr>
      <w:pict w14:anchorId="74393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57291" w14:textId="77777777" w:rsidR="009A45C3" w:rsidRDefault="009A45C3">
      <w:r>
        <w:separator/>
      </w:r>
    </w:p>
  </w:footnote>
  <w:footnote w:type="continuationSeparator" w:id="0">
    <w:p w14:paraId="7BE759EE" w14:textId="77777777" w:rsidR="009A45C3" w:rsidRDefault="009A4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6B5ED" w14:textId="77777777" w:rsidR="009A45C3" w:rsidRPr="00616262" w:rsidRDefault="009A45C3" w:rsidP="0061626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16506-10-14</w:t>
    </w:r>
    <w:r>
      <w:rPr>
        <w:color w:val="000000"/>
        <w:sz w:val="22"/>
        <w:szCs w:val="22"/>
        <w:rtl/>
      </w:rPr>
      <w:tab/>
      <w:t xml:space="preserve"> מדינת ישראל נ' מוחמד הייב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7A153" w14:textId="77777777" w:rsidR="009A45C3" w:rsidRPr="00616262" w:rsidRDefault="009A45C3" w:rsidP="00616262">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16506-10-14</w:t>
    </w:r>
    <w:r>
      <w:rPr>
        <w:color w:val="000000"/>
        <w:sz w:val="22"/>
        <w:szCs w:val="22"/>
        <w:rtl/>
      </w:rPr>
      <w:tab/>
      <w:t xml:space="preserve"> מדינת ישראל נ' מוחמד הייב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013A"/>
    <w:multiLevelType w:val="hybridMultilevel"/>
    <w:tmpl w:val="867E0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D970E2C"/>
    <w:multiLevelType w:val="hybridMultilevel"/>
    <w:tmpl w:val="2B3E3F80"/>
    <w:lvl w:ilvl="0" w:tplc="AF42ED16">
      <w:start w:val="1"/>
      <w:numFmt w:val="hebrew1"/>
      <w:lvlText w:val="%1."/>
      <w:lvlJc w:val="left"/>
      <w:pPr>
        <w:ind w:left="720" w:right="1080" w:hanging="360"/>
      </w:pPr>
    </w:lvl>
    <w:lvl w:ilvl="1" w:tplc="04090019">
      <w:start w:val="1"/>
      <w:numFmt w:val="lowerLetter"/>
      <w:lvlText w:val="%2."/>
      <w:lvlJc w:val="left"/>
      <w:pPr>
        <w:ind w:left="1440" w:right="1800" w:hanging="360"/>
      </w:pPr>
    </w:lvl>
    <w:lvl w:ilvl="2" w:tplc="0409001B">
      <w:start w:val="1"/>
      <w:numFmt w:val="lowerRoman"/>
      <w:lvlText w:val="%3."/>
      <w:lvlJc w:val="right"/>
      <w:pPr>
        <w:ind w:left="2160" w:right="2520" w:hanging="180"/>
      </w:pPr>
    </w:lvl>
    <w:lvl w:ilvl="3" w:tplc="0409000F">
      <w:start w:val="1"/>
      <w:numFmt w:val="decimal"/>
      <w:lvlText w:val="%4."/>
      <w:lvlJc w:val="left"/>
      <w:pPr>
        <w:ind w:left="2880" w:right="3240" w:hanging="360"/>
      </w:pPr>
    </w:lvl>
    <w:lvl w:ilvl="4" w:tplc="04090019">
      <w:start w:val="1"/>
      <w:numFmt w:val="lowerLetter"/>
      <w:lvlText w:val="%5."/>
      <w:lvlJc w:val="left"/>
      <w:pPr>
        <w:ind w:left="3600" w:right="3960" w:hanging="360"/>
      </w:pPr>
    </w:lvl>
    <w:lvl w:ilvl="5" w:tplc="0409001B">
      <w:start w:val="1"/>
      <w:numFmt w:val="lowerRoman"/>
      <w:lvlText w:val="%6."/>
      <w:lvlJc w:val="right"/>
      <w:pPr>
        <w:ind w:left="4320" w:right="4680" w:hanging="180"/>
      </w:pPr>
    </w:lvl>
    <w:lvl w:ilvl="6" w:tplc="0409000F">
      <w:start w:val="1"/>
      <w:numFmt w:val="decimal"/>
      <w:lvlText w:val="%7."/>
      <w:lvlJc w:val="left"/>
      <w:pPr>
        <w:ind w:left="5040" w:right="5400" w:hanging="360"/>
      </w:pPr>
    </w:lvl>
    <w:lvl w:ilvl="7" w:tplc="04090019">
      <w:start w:val="1"/>
      <w:numFmt w:val="lowerLetter"/>
      <w:lvlText w:val="%8."/>
      <w:lvlJc w:val="left"/>
      <w:pPr>
        <w:ind w:left="5760" w:right="6120" w:hanging="360"/>
      </w:pPr>
    </w:lvl>
    <w:lvl w:ilvl="8" w:tplc="0409001B">
      <w:start w:val="1"/>
      <w:numFmt w:val="lowerRoman"/>
      <w:lvlText w:val="%9."/>
      <w:lvlJc w:val="right"/>
      <w:pPr>
        <w:ind w:left="6480" w:right="6840" w:hanging="180"/>
      </w:pPr>
    </w:lvl>
  </w:abstractNum>
  <w:num w:numId="1" w16cid:durableId="1596553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4075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0E50"/>
    <w:rsid w:val="000346AE"/>
    <w:rsid w:val="000E0E50"/>
    <w:rsid w:val="00173259"/>
    <w:rsid w:val="002B5E79"/>
    <w:rsid w:val="00616262"/>
    <w:rsid w:val="0062325E"/>
    <w:rsid w:val="007D3304"/>
    <w:rsid w:val="008353C6"/>
    <w:rsid w:val="009A45C3"/>
    <w:rsid w:val="00B87656"/>
    <w:rsid w:val="00E86326"/>
    <w:rsid w:val="00EC369D"/>
    <w:rsid w:val="00EE2191"/>
    <w:rsid w:val="00EE4C49"/>
    <w:rsid w:val="00F62C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374631"/>
  <w15:chartTrackingRefBased/>
  <w15:docId w15:val="{B9BA6EF1-C1E0-43F3-B4BD-E9EDE1AC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0E5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E0E50"/>
  </w:style>
  <w:style w:type="paragraph" w:styleId="a4">
    <w:name w:val="header"/>
    <w:basedOn w:val="a"/>
    <w:rsid w:val="000E0E50"/>
    <w:pPr>
      <w:tabs>
        <w:tab w:val="center" w:pos="4153"/>
        <w:tab w:val="right" w:pos="8306"/>
      </w:tabs>
    </w:pPr>
  </w:style>
  <w:style w:type="paragraph" w:styleId="a5">
    <w:name w:val="footer"/>
    <w:basedOn w:val="a"/>
    <w:rsid w:val="000E0E50"/>
    <w:pPr>
      <w:tabs>
        <w:tab w:val="center" w:pos="4153"/>
        <w:tab w:val="right" w:pos="8306"/>
      </w:tabs>
    </w:pPr>
  </w:style>
  <w:style w:type="character" w:styleId="a6">
    <w:name w:val="page number"/>
    <w:basedOn w:val="a0"/>
    <w:rsid w:val="000E0E50"/>
  </w:style>
  <w:style w:type="paragraph" w:customStyle="1" w:styleId="ListParagraph">
    <w:name w:val="List Paragraph"/>
    <w:basedOn w:val="a"/>
    <w:rsid w:val="000E0E50"/>
    <w:pPr>
      <w:spacing w:line="360" w:lineRule="auto"/>
      <w:ind w:left="720"/>
      <w:contextualSpacing/>
    </w:pPr>
    <w:rPr>
      <w:rFonts w:ascii="Times New Roman" w:eastAsia="Calibri" w:hAnsi="Times New Roman"/>
    </w:rPr>
  </w:style>
  <w:style w:type="character" w:styleId="Hyperlink">
    <w:name w:val="Hyperlink"/>
    <w:rsid w:val="001732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90"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144.b2" TargetMode="External"/><Relationship Id="rId39" Type="http://schemas.openxmlformats.org/officeDocument/2006/relationships/fontTable" Target="fontTable.xml"/><Relationship Id="rId21" Type="http://schemas.openxmlformats.org/officeDocument/2006/relationships/hyperlink" Target="http://www.nevo.co.il/case/5969313"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84"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5866720"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9" TargetMode="External"/><Relationship Id="rId20" Type="http://schemas.openxmlformats.org/officeDocument/2006/relationships/hyperlink" Target="http://www.nevo.co.il/law/70301/29" TargetMode="External"/><Relationship Id="rId29" Type="http://schemas.openxmlformats.org/officeDocument/2006/relationships/hyperlink" Target="http://www.nevo.co.il/case/47527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84" TargetMode="External"/><Relationship Id="rId24" Type="http://schemas.openxmlformats.org/officeDocument/2006/relationships/hyperlink" Target="http://www.nevo.co.il/law/70301/390" TargetMode="External"/><Relationship Id="rId32" Type="http://schemas.openxmlformats.org/officeDocument/2006/relationships/hyperlink" Target="http://www.nevo.co.il/case/5601118"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6248918" TargetMode="External"/><Relationship Id="rId28" Type="http://schemas.openxmlformats.org/officeDocument/2006/relationships/hyperlink" Target="http://www.nevo.co.il/case/5591782" TargetMode="External"/><Relationship Id="rId36" Type="http://schemas.openxmlformats.org/officeDocument/2006/relationships/header" Target="header2.xml"/><Relationship Id="rId10" Type="http://schemas.openxmlformats.org/officeDocument/2006/relationships/hyperlink" Target="http://www.nevo.co.il/law/70301/144.b2" TargetMode="External"/><Relationship Id="rId19" Type="http://schemas.openxmlformats.org/officeDocument/2006/relationships/hyperlink" Target="http://www.nevo.co.il/law/70301/384" TargetMode="External"/><Relationship Id="rId31" Type="http://schemas.openxmlformats.org/officeDocument/2006/relationships/hyperlink" Target="http://www.nevo.co.il/case/10443006"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5762686" TargetMode="External"/><Relationship Id="rId27" Type="http://schemas.openxmlformats.org/officeDocument/2006/relationships/hyperlink" Target="http://www.nevo.co.il/law/70301/284" TargetMode="External"/><Relationship Id="rId30" Type="http://schemas.openxmlformats.org/officeDocument/2006/relationships/hyperlink" Target="http://www.nevo.co.il/case/5590091" TargetMode="External"/><Relationship Id="rId35" Type="http://schemas.openxmlformats.org/officeDocument/2006/relationships/header" Target="header1.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1778</Words>
  <Characters>8895</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10652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3407992</vt:i4>
      </vt:variant>
      <vt:variant>
        <vt:i4>78</vt:i4>
      </vt:variant>
      <vt:variant>
        <vt:i4>0</vt:i4>
      </vt:variant>
      <vt:variant>
        <vt:i4>5</vt:i4>
      </vt:variant>
      <vt:variant>
        <vt:lpwstr>http://www.nevo.co.il/case/5866720</vt:lpwstr>
      </vt:variant>
      <vt:variant>
        <vt:lpwstr/>
      </vt:variant>
      <vt:variant>
        <vt:i4>3932274</vt:i4>
      </vt:variant>
      <vt:variant>
        <vt:i4>75</vt:i4>
      </vt:variant>
      <vt:variant>
        <vt:i4>0</vt:i4>
      </vt:variant>
      <vt:variant>
        <vt:i4>5</vt:i4>
      </vt:variant>
      <vt:variant>
        <vt:lpwstr>http://www.nevo.co.il/case/5601118</vt:lpwstr>
      </vt:variant>
      <vt:variant>
        <vt:lpwstr/>
      </vt:variant>
      <vt:variant>
        <vt:i4>3539056</vt:i4>
      </vt:variant>
      <vt:variant>
        <vt:i4>72</vt:i4>
      </vt:variant>
      <vt:variant>
        <vt:i4>0</vt:i4>
      </vt:variant>
      <vt:variant>
        <vt:i4>5</vt:i4>
      </vt:variant>
      <vt:variant>
        <vt:lpwstr>http://www.nevo.co.il/case/10443006</vt:lpwstr>
      </vt:variant>
      <vt:variant>
        <vt:lpwstr/>
      </vt:variant>
      <vt:variant>
        <vt:i4>3997816</vt:i4>
      </vt:variant>
      <vt:variant>
        <vt:i4>69</vt:i4>
      </vt:variant>
      <vt:variant>
        <vt:i4>0</vt:i4>
      </vt:variant>
      <vt:variant>
        <vt:i4>5</vt:i4>
      </vt:variant>
      <vt:variant>
        <vt:lpwstr>http://www.nevo.co.il/case/5590091</vt:lpwstr>
      </vt:variant>
      <vt:variant>
        <vt:lpwstr/>
      </vt:variant>
      <vt:variant>
        <vt:i4>3604601</vt:i4>
      </vt:variant>
      <vt:variant>
        <vt:i4>66</vt:i4>
      </vt:variant>
      <vt:variant>
        <vt:i4>0</vt:i4>
      </vt:variant>
      <vt:variant>
        <vt:i4>5</vt:i4>
      </vt:variant>
      <vt:variant>
        <vt:lpwstr>http://www.nevo.co.il/case/4752781</vt:lpwstr>
      </vt:variant>
      <vt:variant>
        <vt:lpwstr/>
      </vt:variant>
      <vt:variant>
        <vt:i4>3735672</vt:i4>
      </vt:variant>
      <vt:variant>
        <vt:i4>63</vt:i4>
      </vt:variant>
      <vt:variant>
        <vt:i4>0</vt:i4>
      </vt:variant>
      <vt:variant>
        <vt:i4>5</vt:i4>
      </vt:variant>
      <vt:variant>
        <vt:lpwstr>http://www.nevo.co.il/case/5591782</vt:lpwstr>
      </vt:variant>
      <vt:variant>
        <vt:lpwstr/>
      </vt:variant>
      <vt:variant>
        <vt:i4>7143527</vt:i4>
      </vt:variant>
      <vt:variant>
        <vt:i4>60</vt:i4>
      </vt:variant>
      <vt:variant>
        <vt:i4>0</vt:i4>
      </vt:variant>
      <vt:variant>
        <vt:i4>5</vt:i4>
      </vt:variant>
      <vt:variant>
        <vt:lpwstr>http://www.nevo.co.il/law/70301/284</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7077990</vt:i4>
      </vt:variant>
      <vt:variant>
        <vt:i4>51</vt:i4>
      </vt:variant>
      <vt:variant>
        <vt:i4>0</vt:i4>
      </vt:variant>
      <vt:variant>
        <vt:i4>5</vt:i4>
      </vt:variant>
      <vt:variant>
        <vt:lpwstr>http://www.nevo.co.il/law/70301/390</vt:lpwstr>
      </vt:variant>
      <vt:variant>
        <vt:lpwstr/>
      </vt:variant>
      <vt:variant>
        <vt:i4>3342463</vt:i4>
      </vt:variant>
      <vt:variant>
        <vt:i4>48</vt:i4>
      </vt:variant>
      <vt:variant>
        <vt:i4>0</vt:i4>
      </vt:variant>
      <vt:variant>
        <vt:i4>5</vt:i4>
      </vt:variant>
      <vt:variant>
        <vt:lpwstr>http://www.nevo.co.il/case/6248918</vt:lpwstr>
      </vt:variant>
      <vt:variant>
        <vt:lpwstr/>
      </vt:variant>
      <vt:variant>
        <vt:i4>3342457</vt:i4>
      </vt:variant>
      <vt:variant>
        <vt:i4>45</vt:i4>
      </vt:variant>
      <vt:variant>
        <vt:i4>0</vt:i4>
      </vt:variant>
      <vt:variant>
        <vt:i4>5</vt:i4>
      </vt:variant>
      <vt:variant>
        <vt:lpwstr>http://www.nevo.co.il/case/5762686</vt:lpwstr>
      </vt:variant>
      <vt:variant>
        <vt:lpwstr/>
      </vt:variant>
      <vt:variant>
        <vt:i4>3342453</vt:i4>
      </vt:variant>
      <vt:variant>
        <vt:i4>42</vt:i4>
      </vt:variant>
      <vt:variant>
        <vt:i4>0</vt:i4>
      </vt:variant>
      <vt:variant>
        <vt:i4>5</vt:i4>
      </vt:variant>
      <vt:variant>
        <vt:lpwstr>http://www.nevo.co.il/case/5969313</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7143526</vt:i4>
      </vt:variant>
      <vt:variant>
        <vt:i4>36</vt:i4>
      </vt:variant>
      <vt:variant>
        <vt:i4>0</vt:i4>
      </vt:variant>
      <vt:variant>
        <vt:i4>5</vt:i4>
      </vt:variant>
      <vt:variant>
        <vt:lpwstr>http://www.nevo.co.il/law/70301/384</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7077990</vt:i4>
      </vt:variant>
      <vt:variant>
        <vt:i4>18</vt:i4>
      </vt:variant>
      <vt:variant>
        <vt:i4>0</vt:i4>
      </vt:variant>
      <vt:variant>
        <vt:i4>5</vt:i4>
      </vt:variant>
      <vt:variant>
        <vt:lpwstr>http://www.nevo.co.il/law/70301/390</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7143527</vt:i4>
      </vt:variant>
      <vt:variant>
        <vt:i4>12</vt:i4>
      </vt:variant>
      <vt:variant>
        <vt:i4>0</vt:i4>
      </vt:variant>
      <vt:variant>
        <vt:i4>5</vt:i4>
      </vt:variant>
      <vt:variant>
        <vt:lpwstr>http://www.nevo.co.il/law/70301/284</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2025-01-19T15:56:00Z</dcterms:created>
  <dcterms:modified xsi:type="dcterms:W3CDTF">2025-01-19T15:56:00Z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16506</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ישראל;פרקליטות מחוז צפון</vt:lpwstr>
  </property>
  <property fmtid="{D5CDD505-2E9C-101B-9397-08002B2CF9AE}" pid="9" name="APPELLEE">
    <vt:lpwstr>מוחמד הייב</vt:lpwstr>
  </property>
  <property fmtid="{D5CDD505-2E9C-101B-9397-08002B2CF9AE}" pid="10" name="LAWYER">
    <vt:lpwstr>דודו בן אשר;בני משה</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20150902</vt:lpwstr>
  </property>
  <property fmtid="{D5CDD505-2E9C-101B-9397-08002B2CF9AE}" pid="14" name="TYPE_N_DATE">
    <vt:lpwstr>39020150902</vt:lpwstr>
  </property>
  <property fmtid="{D5CDD505-2E9C-101B-9397-08002B2CF9AE}" pid="15" name="WORDNUMPAGES">
    <vt:lpwstr>5</vt:lpwstr>
  </property>
  <property fmtid="{D5CDD505-2E9C-101B-9397-08002B2CF9AE}" pid="16" name="TYPE_ABS_DATE">
    <vt:lpwstr>390020150902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5969313;5762686;6248918;5591782;4752781;5590091;10443006;5601118;5866720</vt:lpwstr>
  </property>
  <property fmtid="{D5CDD505-2E9C-101B-9397-08002B2CF9AE}" pid="36" name="LAWLISTTMP1">
    <vt:lpwstr>70301/144.b:2;029:2;499.a.1;384;390;144.b2;284</vt:lpwstr>
  </property>
</Properties>
</file>