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72F1E" w:rsidRPr="00AF4852" w14:paraId="5E9A5D5B" w14:textId="77777777">
        <w:trPr>
          <w:trHeight w:hRule="exact" w:val="418"/>
          <w:jc w:val="center"/>
        </w:trPr>
        <w:tc>
          <w:tcPr>
            <w:tcW w:w="8720" w:type="dxa"/>
            <w:gridSpan w:val="3"/>
          </w:tcPr>
          <w:p w14:paraId="5AD954E3" w14:textId="77777777" w:rsidR="00672F1E" w:rsidRPr="00AF4852" w:rsidRDefault="00AF4852">
            <w:pPr>
              <w:pStyle w:val="a3"/>
              <w:tabs>
                <w:tab w:val="clear" w:pos="8306"/>
              </w:tabs>
              <w:jc w:val="center"/>
              <w:rPr>
                <w:rFonts w:ascii="Tahoma" w:hAnsi="Tahoma" w:cs="Tahoma"/>
                <w:b/>
                <w:bCs/>
                <w:color w:val="000080"/>
                <w:sz w:val="20"/>
                <w:szCs w:val="20"/>
                <w:rtl/>
              </w:rPr>
            </w:pPr>
            <w:bookmarkStart w:id="0" w:name="LastJudge"/>
            <w:r w:rsidRPr="00AF4852">
              <w:rPr>
                <w:rFonts w:ascii="Tahoma" w:hAnsi="Tahoma" w:cs="Tahoma"/>
                <w:b/>
                <w:bCs/>
                <w:color w:val="000080"/>
                <w:sz w:val="20"/>
                <w:szCs w:val="20"/>
                <w:rtl/>
              </w:rPr>
              <w:t>בית המשפט המחוזי בנצרת</w:t>
            </w:r>
          </w:p>
        </w:tc>
      </w:tr>
      <w:tr w:rsidR="00672F1E" w:rsidRPr="00AF4852" w14:paraId="4720FF64" w14:textId="77777777">
        <w:trPr>
          <w:trHeight w:val="337"/>
          <w:jc w:val="center"/>
        </w:trPr>
        <w:tc>
          <w:tcPr>
            <w:tcW w:w="6396" w:type="dxa"/>
          </w:tcPr>
          <w:p w14:paraId="62FC648B" w14:textId="77777777" w:rsidR="00672F1E" w:rsidRPr="00AF4852" w:rsidRDefault="00AF4852">
            <w:pPr>
              <w:rPr>
                <w:b/>
                <w:bCs/>
                <w:sz w:val="26"/>
                <w:szCs w:val="26"/>
                <w:rtl/>
              </w:rPr>
            </w:pPr>
            <w:r w:rsidRPr="00AF4852">
              <w:rPr>
                <w:b/>
                <w:bCs/>
                <w:sz w:val="26"/>
                <w:szCs w:val="26"/>
                <w:rtl/>
              </w:rPr>
              <w:t>ת"פ</w:t>
            </w:r>
            <w:r w:rsidRPr="00AF4852">
              <w:rPr>
                <w:rFonts w:hint="cs"/>
                <w:b/>
                <w:bCs/>
                <w:sz w:val="26"/>
                <w:szCs w:val="26"/>
                <w:rtl/>
              </w:rPr>
              <w:t xml:space="preserve"> </w:t>
            </w:r>
            <w:r w:rsidRPr="00AF4852">
              <w:rPr>
                <w:b/>
                <w:bCs/>
                <w:sz w:val="26"/>
                <w:szCs w:val="26"/>
                <w:rtl/>
              </w:rPr>
              <w:t>18510-10-14</w:t>
            </w:r>
            <w:r w:rsidRPr="00AF4852">
              <w:rPr>
                <w:rFonts w:hint="cs"/>
                <w:b/>
                <w:bCs/>
                <w:sz w:val="26"/>
                <w:szCs w:val="26"/>
                <w:rtl/>
              </w:rPr>
              <w:t xml:space="preserve"> </w:t>
            </w:r>
            <w:r w:rsidRPr="00AF4852">
              <w:rPr>
                <w:b/>
                <w:bCs/>
                <w:sz w:val="26"/>
                <w:szCs w:val="26"/>
                <w:rtl/>
              </w:rPr>
              <w:t>מדינת ישראל נ' אחמד(עציר)</w:t>
            </w:r>
          </w:p>
          <w:p w14:paraId="07AA0556" w14:textId="77777777" w:rsidR="00672F1E" w:rsidRPr="00AF4852" w:rsidRDefault="00672F1E">
            <w:pPr>
              <w:rPr>
                <w:rFonts w:hint="cs"/>
                <w:b/>
                <w:bCs/>
                <w:sz w:val="26"/>
                <w:szCs w:val="26"/>
                <w:rtl/>
              </w:rPr>
            </w:pPr>
          </w:p>
        </w:tc>
        <w:tc>
          <w:tcPr>
            <w:tcW w:w="236" w:type="dxa"/>
          </w:tcPr>
          <w:p w14:paraId="209B69BE" w14:textId="77777777" w:rsidR="00672F1E" w:rsidRPr="00AF4852" w:rsidRDefault="00672F1E">
            <w:pPr>
              <w:pStyle w:val="a3"/>
              <w:jc w:val="right"/>
              <w:rPr>
                <w:b/>
                <w:bCs/>
                <w:sz w:val="26"/>
                <w:szCs w:val="26"/>
                <w:rtl/>
              </w:rPr>
            </w:pPr>
          </w:p>
        </w:tc>
        <w:tc>
          <w:tcPr>
            <w:tcW w:w="2088" w:type="dxa"/>
          </w:tcPr>
          <w:p w14:paraId="05346C07" w14:textId="77777777" w:rsidR="00672F1E" w:rsidRPr="00AF4852" w:rsidRDefault="00AF4852">
            <w:pPr>
              <w:pStyle w:val="a3"/>
              <w:tabs>
                <w:tab w:val="clear" w:pos="4153"/>
              </w:tabs>
              <w:jc w:val="right"/>
              <w:rPr>
                <w:b/>
                <w:bCs/>
                <w:sz w:val="26"/>
                <w:szCs w:val="26"/>
                <w:rtl/>
              </w:rPr>
            </w:pPr>
            <w:r w:rsidRPr="00AF4852">
              <w:rPr>
                <w:b/>
                <w:bCs/>
                <w:sz w:val="26"/>
                <w:szCs w:val="26"/>
                <w:rtl/>
              </w:rPr>
              <w:t>03 מרץ 2015</w:t>
            </w:r>
          </w:p>
        </w:tc>
      </w:tr>
    </w:tbl>
    <w:p w14:paraId="57F277AB" w14:textId="77777777" w:rsidR="00672F1E" w:rsidRPr="00AF4852" w:rsidRDefault="00672F1E">
      <w:pPr>
        <w:pStyle w:val="a3"/>
        <w:jc w:val="center"/>
        <w:rPr>
          <w:rFonts w:ascii="Tahoma" w:hAnsi="Tahoma" w:cs="Tahoma"/>
          <w:b/>
          <w:bCs/>
          <w:color w:val="000080"/>
          <w:sz w:val="20"/>
          <w:szCs w:val="20"/>
          <w:rtl/>
        </w:rPr>
      </w:pPr>
    </w:p>
    <w:p w14:paraId="0BE5BAE2" w14:textId="77777777" w:rsidR="00672F1E" w:rsidRPr="00AF4852" w:rsidRDefault="00672F1E">
      <w:pPr>
        <w:spacing w:line="360" w:lineRule="auto"/>
        <w:jc w:val="both"/>
        <w:rPr>
          <w:sz w:val="6"/>
          <w:szCs w:val="6"/>
          <w:rtl/>
        </w:rPr>
      </w:pPr>
    </w:p>
    <w:tbl>
      <w:tblPr>
        <w:bidiVisual/>
        <w:tblW w:w="0" w:type="auto"/>
        <w:tblLook w:val="01E0" w:firstRow="1" w:lastRow="1" w:firstColumn="1" w:lastColumn="1" w:noHBand="0" w:noVBand="0"/>
      </w:tblPr>
      <w:tblGrid>
        <w:gridCol w:w="2859"/>
        <w:gridCol w:w="5780"/>
        <w:gridCol w:w="81"/>
      </w:tblGrid>
      <w:tr w:rsidR="00672F1E" w:rsidRPr="00D405D9" w14:paraId="1D0DED63" w14:textId="77777777" w:rsidTr="00D405D9">
        <w:trPr>
          <w:gridAfter w:val="1"/>
          <w:wAfter w:w="81" w:type="dxa"/>
        </w:trPr>
        <w:tc>
          <w:tcPr>
            <w:tcW w:w="8639" w:type="dxa"/>
            <w:gridSpan w:val="2"/>
          </w:tcPr>
          <w:p w14:paraId="073F28D3" w14:textId="77777777" w:rsidR="00672F1E" w:rsidRPr="00D405D9" w:rsidRDefault="00AF4852" w:rsidP="00D405D9">
            <w:pPr>
              <w:spacing w:before="120" w:after="120" w:line="240" w:lineRule="exact"/>
              <w:rPr>
                <w:rFonts w:ascii="Times New Roman" w:eastAsia="Times New Roman" w:hAnsi="Times New Roman"/>
                <w:b/>
                <w:bCs/>
              </w:rPr>
            </w:pPr>
            <w:r w:rsidRPr="00D405D9">
              <w:rPr>
                <w:rFonts w:ascii="Times New Roman" w:eastAsia="Times New Roman" w:hAnsi="Times New Roman" w:hint="cs"/>
                <w:b/>
                <w:bCs/>
                <w:rtl/>
              </w:rPr>
              <w:t>בפני כב' השופט שאהר אטרש</w:t>
            </w:r>
            <w:r w:rsidRPr="00D405D9">
              <w:rPr>
                <w:rStyle w:val="TimesNewRomanTimesNewRoman"/>
                <w:rFonts w:eastAsia="Times New Roman" w:hint="cs"/>
                <w:b w:val="0"/>
                <w:bCs w:val="0"/>
                <w:rtl/>
              </w:rPr>
              <w:t xml:space="preserve"> </w:t>
            </w:r>
          </w:p>
        </w:tc>
      </w:tr>
      <w:tr w:rsidR="00672F1E" w:rsidRPr="00AF4852" w14:paraId="5EABCA5B" w14:textId="77777777" w:rsidTr="00D405D9">
        <w:tc>
          <w:tcPr>
            <w:tcW w:w="2859" w:type="dxa"/>
          </w:tcPr>
          <w:p w14:paraId="3A58B46D" w14:textId="77777777" w:rsidR="00672F1E" w:rsidRPr="00D405D9" w:rsidRDefault="00AF4852" w:rsidP="00D405D9">
            <w:pPr>
              <w:spacing w:before="120" w:after="120" w:line="240" w:lineRule="exact"/>
              <w:ind w:left="26"/>
              <w:rPr>
                <w:rFonts w:ascii="Times New Roman" w:eastAsia="Times New Roman" w:hAnsi="Times New Roman"/>
                <w:b/>
                <w:bCs/>
              </w:rPr>
            </w:pPr>
            <w:bookmarkStart w:id="1" w:name="FirstAppellant"/>
            <w:r w:rsidRPr="00D405D9">
              <w:rPr>
                <w:rFonts w:ascii="Times New Roman" w:eastAsia="Times New Roman" w:hAnsi="Times New Roman" w:hint="cs"/>
                <w:b/>
                <w:bCs/>
                <w:rtl/>
              </w:rPr>
              <w:t>המאשימה:</w:t>
            </w:r>
          </w:p>
        </w:tc>
        <w:tc>
          <w:tcPr>
            <w:tcW w:w="5861" w:type="dxa"/>
            <w:gridSpan w:val="2"/>
          </w:tcPr>
          <w:p w14:paraId="780E7BAE" w14:textId="77777777" w:rsidR="00672F1E" w:rsidRPr="00D405D9" w:rsidRDefault="00AF4852" w:rsidP="00D405D9">
            <w:pPr>
              <w:spacing w:before="120" w:after="120" w:line="240" w:lineRule="exact"/>
              <w:rPr>
                <w:rFonts w:ascii="Times New Roman" w:eastAsia="Times New Roman" w:hAnsi="Times New Roman"/>
                <w:b/>
                <w:bCs/>
              </w:rPr>
            </w:pPr>
            <w:r w:rsidRPr="00D405D9">
              <w:rPr>
                <w:rFonts w:ascii="Times New Roman" w:eastAsia="Times New Roman" w:hAnsi="Times New Roman" w:hint="cs"/>
                <w:b/>
                <w:bCs/>
                <w:rtl/>
              </w:rPr>
              <w:t>מדינת ישראל</w:t>
            </w:r>
          </w:p>
        </w:tc>
      </w:tr>
      <w:bookmarkEnd w:id="1"/>
      <w:tr w:rsidR="00672F1E" w:rsidRPr="00AF4852" w14:paraId="41792C62" w14:textId="77777777" w:rsidTr="00D405D9">
        <w:tc>
          <w:tcPr>
            <w:tcW w:w="8720" w:type="dxa"/>
            <w:gridSpan w:val="3"/>
          </w:tcPr>
          <w:p w14:paraId="7F7EE08B" w14:textId="77777777" w:rsidR="00672F1E" w:rsidRPr="00D405D9" w:rsidRDefault="00AF4852" w:rsidP="00D405D9">
            <w:pPr>
              <w:spacing w:before="120" w:after="120" w:line="240" w:lineRule="exact"/>
              <w:jc w:val="center"/>
              <w:rPr>
                <w:rFonts w:ascii="Arial" w:eastAsia="Times New Roman" w:hAnsi="Arial" w:hint="cs"/>
                <w:b/>
                <w:bCs/>
              </w:rPr>
            </w:pPr>
            <w:r w:rsidRPr="00D405D9">
              <w:rPr>
                <w:rFonts w:ascii="Arial" w:eastAsia="Times New Roman" w:hAnsi="Arial" w:hint="cs"/>
                <w:b/>
                <w:bCs/>
                <w:rtl/>
              </w:rPr>
              <w:t>נגד</w:t>
            </w:r>
          </w:p>
        </w:tc>
      </w:tr>
      <w:tr w:rsidR="00672F1E" w:rsidRPr="00AF4852" w14:paraId="34295497" w14:textId="77777777" w:rsidTr="00D405D9">
        <w:tc>
          <w:tcPr>
            <w:tcW w:w="2859" w:type="dxa"/>
          </w:tcPr>
          <w:p w14:paraId="60A8770D" w14:textId="77777777" w:rsidR="00672F1E" w:rsidRPr="00D405D9" w:rsidRDefault="00AF4852" w:rsidP="00D405D9">
            <w:pPr>
              <w:spacing w:before="120" w:after="120" w:line="240" w:lineRule="exact"/>
              <w:ind w:left="26"/>
              <w:rPr>
                <w:rFonts w:ascii="Times New Roman" w:eastAsia="Times New Roman" w:hAnsi="Times New Roman"/>
                <w:b/>
                <w:bCs/>
              </w:rPr>
            </w:pPr>
            <w:r w:rsidRPr="00D405D9">
              <w:rPr>
                <w:rFonts w:ascii="Times New Roman" w:eastAsia="Times New Roman" w:hAnsi="Times New Roman" w:hint="cs"/>
                <w:b/>
                <w:bCs/>
                <w:rtl/>
              </w:rPr>
              <w:t>הנאשם:</w:t>
            </w:r>
          </w:p>
        </w:tc>
        <w:tc>
          <w:tcPr>
            <w:tcW w:w="5861" w:type="dxa"/>
            <w:gridSpan w:val="2"/>
          </w:tcPr>
          <w:p w14:paraId="39EC2A8E" w14:textId="77777777" w:rsidR="00672F1E" w:rsidRPr="00D405D9" w:rsidRDefault="00AF4852" w:rsidP="00D405D9">
            <w:pPr>
              <w:spacing w:before="120" w:after="120" w:line="240" w:lineRule="exact"/>
              <w:rPr>
                <w:rFonts w:ascii="Times New Roman" w:eastAsia="Times New Roman" w:hAnsi="Times New Roman" w:hint="cs"/>
                <w:b/>
                <w:bCs/>
              </w:rPr>
            </w:pPr>
            <w:r w:rsidRPr="00D405D9">
              <w:rPr>
                <w:rFonts w:ascii="Times New Roman" w:eastAsia="Times New Roman" w:hAnsi="Times New Roman" w:hint="cs"/>
                <w:b/>
                <w:bCs/>
                <w:rtl/>
              </w:rPr>
              <w:t>ערפאת בן מואפק אחמד ת.ז. 034631705 (עציר)</w:t>
            </w:r>
          </w:p>
        </w:tc>
      </w:tr>
    </w:tbl>
    <w:p w14:paraId="309EF7E1" w14:textId="77777777" w:rsidR="00672F1E" w:rsidRPr="00AF4852" w:rsidRDefault="00AF4852">
      <w:pPr>
        <w:spacing w:line="360" w:lineRule="auto"/>
        <w:jc w:val="both"/>
        <w:rPr>
          <w:sz w:val="6"/>
          <w:szCs w:val="6"/>
          <w:rtl/>
        </w:rPr>
      </w:pPr>
      <w:r w:rsidRPr="00AF4852">
        <w:rPr>
          <w:sz w:val="6"/>
          <w:szCs w:val="6"/>
          <w:rtl/>
        </w:rPr>
        <w:t>&lt;#2#&gt;</w:t>
      </w:r>
    </w:p>
    <w:p w14:paraId="5D98301A" w14:textId="77777777" w:rsidR="00672F1E" w:rsidRPr="00AF4852" w:rsidRDefault="00AF4852">
      <w:pPr>
        <w:pStyle w:val="12"/>
        <w:rPr>
          <w:u w:val="none"/>
          <w:rtl/>
        </w:rPr>
      </w:pPr>
      <w:r w:rsidRPr="00AF4852">
        <w:rPr>
          <w:rFonts w:hint="cs"/>
          <w:u w:val="none"/>
          <w:rtl/>
        </w:rPr>
        <w:t xml:space="preserve">נוכחים: </w:t>
      </w:r>
      <w:bookmarkStart w:id="2" w:name="FirstLawyer"/>
      <w:r w:rsidRPr="00AF4852">
        <w:rPr>
          <w:rFonts w:hint="cs"/>
          <w:u w:val="none"/>
          <w:rtl/>
        </w:rPr>
        <w:t>בשם</w:t>
      </w:r>
      <w:bookmarkEnd w:id="2"/>
      <w:r w:rsidRPr="00AF4852">
        <w:rPr>
          <w:rFonts w:hint="cs"/>
          <w:u w:val="none"/>
          <w:rtl/>
        </w:rPr>
        <w:t xml:space="preserve"> המאשימה: עו"ד הדס ירושלמי </w:t>
      </w:r>
    </w:p>
    <w:p w14:paraId="327A4C95" w14:textId="77777777" w:rsidR="00672F1E" w:rsidRPr="00AF4852" w:rsidRDefault="00AF4852">
      <w:pPr>
        <w:pStyle w:val="12"/>
        <w:rPr>
          <w:u w:val="none"/>
          <w:rtl/>
        </w:rPr>
      </w:pPr>
      <w:r w:rsidRPr="00AF4852">
        <w:rPr>
          <w:rFonts w:hint="cs"/>
          <w:u w:val="none"/>
          <w:rtl/>
        </w:rPr>
        <w:tab/>
        <w:t>בשם הנאשם:  עו"ד סרי ח'ורי</w:t>
      </w:r>
    </w:p>
    <w:p w14:paraId="18D8C2A1" w14:textId="77777777" w:rsidR="00672F1E" w:rsidRPr="00AF4852" w:rsidRDefault="00AF4852">
      <w:pPr>
        <w:pStyle w:val="12"/>
        <w:ind w:firstLine="720"/>
        <w:rPr>
          <w:u w:val="none"/>
          <w:rtl/>
        </w:rPr>
      </w:pPr>
      <w:r w:rsidRPr="00AF4852">
        <w:rPr>
          <w:rFonts w:hint="cs"/>
          <w:u w:val="none"/>
          <w:rtl/>
        </w:rPr>
        <w:t xml:space="preserve">הנאשם הובא באמצעות הליווי </w:t>
      </w:r>
    </w:p>
    <w:p w14:paraId="4EAF4D70" w14:textId="77777777" w:rsidR="00D405D9" w:rsidRDefault="00AF4852" w:rsidP="006401C2">
      <w:pPr>
        <w:spacing w:after="120" w:line="240" w:lineRule="exact"/>
        <w:ind w:left="283" w:hanging="283"/>
        <w:jc w:val="both"/>
        <w:rPr>
          <w:sz w:val="6"/>
          <w:szCs w:val="6"/>
          <w:rtl/>
        </w:rPr>
      </w:pPr>
      <w:r w:rsidRPr="00AF4852">
        <w:rPr>
          <w:sz w:val="6"/>
          <w:szCs w:val="6"/>
          <w:rtl/>
        </w:rPr>
        <w:t>&lt;#3#</w:t>
      </w:r>
      <w:bookmarkStart w:id="3" w:name="LawTable"/>
      <w:bookmarkEnd w:id="3"/>
    </w:p>
    <w:p w14:paraId="363AAF4F" w14:textId="77777777" w:rsidR="00D405D9" w:rsidRPr="00D405D9" w:rsidRDefault="00D405D9" w:rsidP="00D405D9">
      <w:pPr>
        <w:spacing w:after="120" w:line="240" w:lineRule="exact"/>
        <w:ind w:left="283" w:hanging="283"/>
        <w:jc w:val="both"/>
        <w:rPr>
          <w:rFonts w:ascii="FrankRuehl" w:hAnsi="FrankRuehl" w:cs="FrankRuehl"/>
          <w:rtl/>
        </w:rPr>
      </w:pPr>
    </w:p>
    <w:p w14:paraId="04643994" w14:textId="77777777" w:rsidR="00D405D9" w:rsidRPr="00D405D9" w:rsidRDefault="00D405D9" w:rsidP="00D405D9">
      <w:pPr>
        <w:spacing w:after="120" w:line="240" w:lineRule="exact"/>
        <w:ind w:left="283" w:hanging="283"/>
        <w:jc w:val="both"/>
        <w:rPr>
          <w:rFonts w:ascii="FrankRuehl" w:hAnsi="FrankRuehl" w:cs="FrankRuehl"/>
          <w:rtl/>
        </w:rPr>
      </w:pPr>
      <w:r w:rsidRPr="00D405D9">
        <w:rPr>
          <w:rFonts w:ascii="FrankRuehl" w:hAnsi="FrankRuehl" w:cs="FrankRuehl"/>
          <w:rtl/>
        </w:rPr>
        <w:t xml:space="preserve">חקיקה שאוזכרה: </w:t>
      </w:r>
    </w:p>
    <w:p w14:paraId="14018802" w14:textId="77777777" w:rsidR="00D405D9" w:rsidRPr="00D405D9" w:rsidRDefault="00D405D9" w:rsidP="00D405D9">
      <w:pPr>
        <w:spacing w:after="120" w:line="240" w:lineRule="exact"/>
        <w:ind w:left="283" w:hanging="283"/>
        <w:jc w:val="both"/>
        <w:rPr>
          <w:rFonts w:ascii="FrankRuehl" w:hAnsi="FrankRuehl" w:cs="FrankRuehl"/>
          <w:rtl/>
        </w:rPr>
      </w:pPr>
      <w:hyperlink r:id="rId7" w:history="1">
        <w:r w:rsidRPr="00D405D9">
          <w:rPr>
            <w:rFonts w:ascii="FrankRuehl" w:hAnsi="FrankRuehl" w:cs="FrankRuehl"/>
            <w:color w:val="0000FF"/>
            <w:u w:val="single"/>
            <w:rtl/>
          </w:rPr>
          <w:t>חוק העונשין, תשל"ז-1977</w:t>
        </w:r>
      </w:hyperlink>
      <w:r w:rsidRPr="00D405D9">
        <w:rPr>
          <w:rFonts w:ascii="FrankRuehl" w:hAnsi="FrankRuehl" w:cs="FrankRuehl"/>
          <w:rtl/>
        </w:rPr>
        <w:t xml:space="preserve">: סע'  </w:t>
      </w:r>
      <w:hyperlink r:id="rId8" w:history="1">
        <w:r w:rsidRPr="00D405D9">
          <w:rPr>
            <w:rFonts w:ascii="FrankRuehl" w:hAnsi="FrankRuehl" w:cs="FrankRuehl"/>
            <w:color w:val="0000FF"/>
            <w:u w:val="single"/>
            <w:rtl/>
          </w:rPr>
          <w:t>40ג(א)</w:t>
        </w:r>
      </w:hyperlink>
      <w:r w:rsidRPr="00D405D9">
        <w:rPr>
          <w:rFonts w:ascii="FrankRuehl" w:hAnsi="FrankRuehl" w:cs="FrankRuehl"/>
          <w:rtl/>
        </w:rPr>
        <w:t xml:space="preserve">, </w:t>
      </w:r>
      <w:hyperlink r:id="rId9" w:history="1">
        <w:r w:rsidRPr="00D405D9">
          <w:rPr>
            <w:rFonts w:ascii="FrankRuehl" w:hAnsi="FrankRuehl" w:cs="FrankRuehl"/>
            <w:color w:val="0000FF"/>
            <w:u w:val="single"/>
            <w:rtl/>
          </w:rPr>
          <w:t>40ג(ב)</w:t>
        </w:r>
      </w:hyperlink>
      <w:r w:rsidRPr="00D405D9">
        <w:rPr>
          <w:rFonts w:ascii="FrankRuehl" w:hAnsi="FrankRuehl" w:cs="FrankRuehl"/>
          <w:rtl/>
        </w:rPr>
        <w:t xml:space="preserve">, </w:t>
      </w:r>
      <w:hyperlink r:id="rId10" w:history="1">
        <w:r w:rsidRPr="00D405D9">
          <w:rPr>
            <w:rFonts w:ascii="FrankRuehl" w:hAnsi="FrankRuehl" w:cs="FrankRuehl"/>
            <w:color w:val="0000FF"/>
            <w:u w:val="single"/>
            <w:rtl/>
          </w:rPr>
          <w:t>40ט'</w:t>
        </w:r>
      </w:hyperlink>
      <w:r w:rsidRPr="00D405D9">
        <w:rPr>
          <w:rFonts w:ascii="FrankRuehl" w:hAnsi="FrankRuehl" w:cs="FrankRuehl"/>
          <w:rtl/>
        </w:rPr>
        <w:t xml:space="preserve">, </w:t>
      </w:r>
      <w:hyperlink r:id="rId11" w:history="1">
        <w:r w:rsidRPr="00D405D9">
          <w:rPr>
            <w:rFonts w:ascii="FrankRuehl" w:hAnsi="FrankRuehl" w:cs="FrankRuehl"/>
            <w:color w:val="0000FF"/>
            <w:u w:val="single"/>
            <w:rtl/>
          </w:rPr>
          <w:t>144(א)</w:t>
        </w:r>
      </w:hyperlink>
      <w:r w:rsidRPr="00D405D9">
        <w:rPr>
          <w:rFonts w:ascii="FrankRuehl" w:hAnsi="FrankRuehl" w:cs="FrankRuehl"/>
          <w:rtl/>
        </w:rPr>
        <w:t xml:space="preserve">, </w:t>
      </w:r>
      <w:hyperlink r:id="rId12" w:history="1">
        <w:r w:rsidRPr="00D405D9">
          <w:rPr>
            <w:rFonts w:ascii="FrankRuehl" w:hAnsi="FrankRuehl" w:cs="FrankRuehl"/>
            <w:color w:val="0000FF"/>
            <w:u w:val="single"/>
            <w:rtl/>
          </w:rPr>
          <w:t>40יא.</w:t>
        </w:r>
      </w:hyperlink>
      <w:r w:rsidRPr="00D405D9">
        <w:rPr>
          <w:rFonts w:ascii="FrankRuehl" w:hAnsi="FrankRuehl" w:cs="FrankRuehl"/>
          <w:rtl/>
        </w:rPr>
        <w:t xml:space="preserve">, </w:t>
      </w:r>
      <w:hyperlink r:id="rId13" w:history="1">
        <w:r w:rsidRPr="00D405D9">
          <w:rPr>
            <w:rFonts w:ascii="FrankRuehl" w:hAnsi="FrankRuehl" w:cs="FrankRuehl"/>
            <w:color w:val="0000FF"/>
            <w:u w:val="single"/>
            <w:rtl/>
          </w:rPr>
          <w:t>40יג(א)</w:t>
        </w:r>
      </w:hyperlink>
      <w:r w:rsidRPr="00D405D9">
        <w:rPr>
          <w:rFonts w:ascii="FrankRuehl" w:hAnsi="FrankRuehl" w:cs="FrankRuehl"/>
          <w:rtl/>
        </w:rPr>
        <w:t xml:space="preserve">, </w:t>
      </w:r>
      <w:hyperlink r:id="rId14" w:history="1">
        <w:r w:rsidRPr="00D405D9">
          <w:rPr>
            <w:rFonts w:ascii="FrankRuehl" w:hAnsi="FrankRuehl" w:cs="FrankRuehl"/>
            <w:color w:val="0000FF"/>
            <w:u w:val="single"/>
            <w:rtl/>
          </w:rPr>
          <w:t>40יג(ב)</w:t>
        </w:r>
      </w:hyperlink>
    </w:p>
    <w:p w14:paraId="19CB72C5" w14:textId="77777777" w:rsidR="00D405D9" w:rsidRPr="00D405D9" w:rsidRDefault="00D405D9" w:rsidP="00D405D9">
      <w:pPr>
        <w:spacing w:after="120" w:line="240" w:lineRule="exact"/>
        <w:ind w:left="283" w:hanging="283"/>
        <w:jc w:val="both"/>
        <w:rPr>
          <w:rFonts w:ascii="FrankRuehl" w:hAnsi="FrankRuehl" w:cs="FrankRuehl"/>
          <w:rtl/>
        </w:rPr>
      </w:pPr>
      <w:hyperlink r:id="rId15" w:history="1">
        <w:r w:rsidRPr="00D405D9">
          <w:rPr>
            <w:rFonts w:ascii="FrankRuehl" w:hAnsi="FrankRuehl" w:cs="FrankRuehl"/>
            <w:color w:val="0000FF"/>
            <w:u w:val="single"/>
            <w:rtl/>
          </w:rPr>
          <w:t>פקודת הסמים המסוכנים [נוסח חדש], תשל"ג-1973</w:t>
        </w:r>
      </w:hyperlink>
      <w:r w:rsidRPr="00D405D9">
        <w:rPr>
          <w:rFonts w:ascii="FrankRuehl" w:hAnsi="FrankRuehl" w:cs="FrankRuehl"/>
          <w:rtl/>
        </w:rPr>
        <w:t xml:space="preserve">: סע'  </w:t>
      </w:r>
      <w:hyperlink r:id="rId16" w:history="1">
        <w:r w:rsidRPr="00D405D9">
          <w:rPr>
            <w:rFonts w:ascii="FrankRuehl" w:hAnsi="FrankRuehl" w:cs="FrankRuehl"/>
            <w:color w:val="0000FF"/>
            <w:u w:val="single"/>
            <w:rtl/>
          </w:rPr>
          <w:t>7.א.</w:t>
        </w:r>
      </w:hyperlink>
      <w:r w:rsidRPr="00D405D9">
        <w:rPr>
          <w:rFonts w:ascii="FrankRuehl" w:hAnsi="FrankRuehl" w:cs="FrankRuehl"/>
          <w:rtl/>
        </w:rPr>
        <w:t xml:space="preserve">, </w:t>
      </w:r>
      <w:hyperlink r:id="rId17" w:history="1">
        <w:r w:rsidRPr="00D405D9">
          <w:rPr>
            <w:rFonts w:ascii="FrankRuehl" w:hAnsi="FrankRuehl" w:cs="FrankRuehl"/>
            <w:color w:val="0000FF"/>
            <w:u w:val="single"/>
            <w:rtl/>
          </w:rPr>
          <w:t>7.ג</w:t>
        </w:r>
      </w:hyperlink>
    </w:p>
    <w:p w14:paraId="2CFEB254" w14:textId="77777777" w:rsidR="00D405D9" w:rsidRPr="00D405D9" w:rsidRDefault="00D405D9" w:rsidP="00D405D9">
      <w:pPr>
        <w:spacing w:after="120" w:line="240" w:lineRule="exact"/>
        <w:ind w:left="283" w:hanging="283"/>
        <w:jc w:val="both"/>
        <w:rPr>
          <w:rFonts w:ascii="FrankRuehl" w:hAnsi="FrankRuehl" w:cs="FrankRuehl"/>
          <w:rtl/>
        </w:rPr>
      </w:pPr>
    </w:p>
    <w:p w14:paraId="420C1449"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64731134" w14:textId="77777777" w:rsidR="00D405D9" w:rsidRP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D405D9">
        <w:rPr>
          <w:rFonts w:ascii="Times New Roman" w:hAnsi="Times New Roman" w:cs="FrankRuehl" w:hint="cs"/>
          <w:szCs w:val="26"/>
          <w:rtl/>
        </w:rPr>
        <w:t xml:space="preserve">בית המשפט גזר את דינו של </w:t>
      </w:r>
      <w:r w:rsidRPr="00D405D9">
        <w:rPr>
          <w:rFonts w:ascii="Times New Roman" w:hAnsi="Times New Roman" w:cs="FrankRuehl" w:hint="eastAsia"/>
          <w:szCs w:val="26"/>
          <w:rtl/>
        </w:rPr>
        <w:t>נאשם</w:t>
      </w:r>
      <w:r w:rsidRPr="00D405D9">
        <w:rPr>
          <w:rFonts w:ascii="Times New Roman" w:hAnsi="Times New Roman" w:cs="FrankRuehl"/>
          <w:szCs w:val="26"/>
          <w:rtl/>
        </w:rPr>
        <w:t xml:space="preserve"> </w:t>
      </w:r>
      <w:r w:rsidRPr="00D405D9">
        <w:rPr>
          <w:rFonts w:ascii="Times New Roman" w:hAnsi="Times New Roman" w:cs="FrankRuehl" w:hint="cs"/>
          <w:szCs w:val="26"/>
          <w:rtl/>
        </w:rPr>
        <w:t>ש</w:t>
      </w:r>
      <w:r w:rsidRPr="00D405D9">
        <w:rPr>
          <w:rFonts w:ascii="Times New Roman" w:hAnsi="Times New Roman" w:cs="FrankRuehl" w:hint="eastAsia"/>
          <w:szCs w:val="26"/>
          <w:rtl/>
        </w:rPr>
        <w:t>הורשע</w:t>
      </w:r>
      <w:r w:rsidRPr="00D405D9">
        <w:rPr>
          <w:rFonts w:ascii="Times New Roman" w:hAnsi="Times New Roman" w:cs="FrankRuehl"/>
          <w:szCs w:val="26"/>
          <w:rtl/>
        </w:rPr>
        <w:t xml:space="preserve"> </w:t>
      </w:r>
      <w:r w:rsidRPr="00D405D9">
        <w:rPr>
          <w:rFonts w:ascii="Times New Roman" w:hAnsi="Times New Roman" w:cs="FrankRuehl" w:hint="eastAsia"/>
          <w:szCs w:val="26"/>
          <w:rtl/>
        </w:rPr>
        <w:t>על</w:t>
      </w:r>
      <w:r w:rsidRPr="00D405D9">
        <w:rPr>
          <w:rFonts w:ascii="Times New Roman" w:hAnsi="Times New Roman" w:cs="FrankRuehl"/>
          <w:szCs w:val="26"/>
          <w:rtl/>
        </w:rPr>
        <w:t>-</w:t>
      </w:r>
      <w:r w:rsidRPr="00D405D9">
        <w:rPr>
          <w:rFonts w:ascii="Times New Roman" w:hAnsi="Times New Roman" w:cs="FrankRuehl" w:hint="eastAsia"/>
          <w:szCs w:val="26"/>
          <w:rtl/>
        </w:rPr>
        <w:t>פי</w:t>
      </w:r>
      <w:r w:rsidRPr="00D405D9">
        <w:rPr>
          <w:rFonts w:ascii="Times New Roman" w:hAnsi="Times New Roman" w:cs="FrankRuehl"/>
          <w:szCs w:val="26"/>
          <w:rtl/>
        </w:rPr>
        <w:t xml:space="preserve"> </w:t>
      </w:r>
      <w:r w:rsidRPr="00D405D9">
        <w:rPr>
          <w:rFonts w:ascii="Times New Roman" w:hAnsi="Times New Roman" w:cs="FrankRuehl" w:hint="eastAsia"/>
          <w:szCs w:val="26"/>
          <w:rtl/>
        </w:rPr>
        <w:t>הודאתו</w:t>
      </w:r>
      <w:r w:rsidRPr="00D405D9">
        <w:rPr>
          <w:rFonts w:ascii="Times New Roman" w:hAnsi="Times New Roman" w:cs="FrankRuehl"/>
          <w:szCs w:val="26"/>
          <w:rtl/>
        </w:rPr>
        <w:t xml:space="preserve"> </w:t>
      </w:r>
      <w:r w:rsidRPr="00D405D9">
        <w:rPr>
          <w:rFonts w:ascii="Times New Roman" w:hAnsi="Times New Roman" w:cs="FrankRuehl" w:hint="eastAsia"/>
          <w:szCs w:val="26"/>
          <w:rtl/>
        </w:rPr>
        <w:t>בעביר</w:t>
      </w:r>
      <w:r w:rsidRPr="00D405D9">
        <w:rPr>
          <w:rFonts w:ascii="Times New Roman" w:hAnsi="Times New Roman" w:cs="FrankRuehl" w:hint="cs"/>
          <w:szCs w:val="26"/>
          <w:rtl/>
        </w:rPr>
        <w:t>ות</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w:t>
      </w:r>
      <w:r w:rsidRPr="00D405D9">
        <w:rPr>
          <w:rFonts w:ascii="Times New Roman" w:hAnsi="Times New Roman" w:cs="FrankRuehl"/>
          <w:szCs w:val="26"/>
          <w:rtl/>
        </w:rPr>
        <w:t xml:space="preserve"> </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נשק</w:t>
      </w:r>
      <w:r w:rsidRPr="00D405D9">
        <w:rPr>
          <w:rFonts w:ascii="Times New Roman" w:hAnsi="Times New Roman" w:cs="FrankRuehl"/>
          <w:szCs w:val="26"/>
          <w:rtl/>
        </w:rPr>
        <w:t xml:space="preserve"> </w:t>
      </w:r>
      <w:r w:rsidRPr="00D405D9">
        <w:rPr>
          <w:rFonts w:ascii="Times New Roman" w:hAnsi="Times New Roman" w:cs="FrankRuehl" w:hint="eastAsia"/>
          <w:szCs w:val="26"/>
          <w:rtl/>
        </w:rPr>
        <w:t>ותחמושת</w:t>
      </w:r>
      <w:r w:rsidRPr="00D405D9">
        <w:rPr>
          <w:rFonts w:ascii="Times New Roman" w:hAnsi="Times New Roman" w:cs="FrankRuehl"/>
          <w:szCs w:val="26"/>
          <w:rtl/>
        </w:rPr>
        <w:t xml:space="preserve"> </w:t>
      </w:r>
      <w:r w:rsidRPr="00D405D9">
        <w:rPr>
          <w:rFonts w:ascii="Times New Roman" w:hAnsi="Times New Roman" w:cs="FrankRuehl" w:hint="cs"/>
          <w:szCs w:val="26"/>
          <w:rtl/>
        </w:rPr>
        <w:t>ו</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סם</w:t>
      </w:r>
      <w:r w:rsidRPr="00D405D9">
        <w:rPr>
          <w:rFonts w:ascii="Times New Roman" w:hAnsi="Times New Roman" w:cs="FrankRuehl"/>
          <w:szCs w:val="26"/>
          <w:rtl/>
        </w:rPr>
        <w:t xml:space="preserve"> </w:t>
      </w:r>
      <w:r w:rsidRPr="00D405D9">
        <w:rPr>
          <w:rFonts w:ascii="Times New Roman" w:hAnsi="Times New Roman" w:cs="FrankRuehl" w:hint="eastAsia"/>
          <w:szCs w:val="26"/>
          <w:rtl/>
        </w:rPr>
        <w:t>מסוכן</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שלא</w:t>
      </w:r>
      <w:r w:rsidRPr="00D405D9">
        <w:rPr>
          <w:rFonts w:ascii="Times New Roman" w:hAnsi="Times New Roman" w:cs="FrankRuehl"/>
          <w:szCs w:val="26"/>
          <w:rtl/>
        </w:rPr>
        <w:t xml:space="preserve"> </w:t>
      </w:r>
      <w:r w:rsidRPr="00D405D9">
        <w:rPr>
          <w:rFonts w:ascii="Times New Roman" w:hAnsi="Times New Roman" w:cs="FrankRuehl" w:hint="eastAsia"/>
          <w:szCs w:val="26"/>
          <w:rtl/>
        </w:rPr>
        <w:t>לצריכה</w:t>
      </w:r>
      <w:r w:rsidRPr="00D405D9">
        <w:rPr>
          <w:rFonts w:ascii="Times New Roman" w:hAnsi="Times New Roman" w:cs="FrankRuehl"/>
          <w:szCs w:val="26"/>
          <w:rtl/>
        </w:rPr>
        <w:t xml:space="preserve"> </w:t>
      </w:r>
      <w:r w:rsidRPr="00D405D9">
        <w:rPr>
          <w:rFonts w:ascii="Times New Roman" w:hAnsi="Times New Roman" w:cs="FrankRuehl" w:hint="eastAsia"/>
          <w:szCs w:val="26"/>
          <w:rtl/>
        </w:rPr>
        <w:t>עצמית</w:t>
      </w:r>
      <w:r w:rsidRPr="00D405D9">
        <w:rPr>
          <w:rFonts w:ascii="Times New Roman" w:hAnsi="Times New Roman" w:cs="FrankRuehl" w:hint="cs"/>
          <w:szCs w:val="26"/>
          <w:rtl/>
        </w:rPr>
        <w:t xml:space="preserve">, והשית עליו </w:t>
      </w:r>
      <w:r w:rsidRPr="00D405D9">
        <w:rPr>
          <w:rFonts w:ascii="Times New Roman" w:hAnsi="Times New Roman" w:cs="FrankRuehl"/>
          <w:szCs w:val="26"/>
          <w:rtl/>
        </w:rPr>
        <w:t>18 חודשי מאסר בפועל</w:t>
      </w:r>
      <w:r w:rsidRPr="00D405D9">
        <w:rPr>
          <w:rFonts w:ascii="Times New Roman" w:hAnsi="Times New Roman" w:cs="FrankRuehl" w:hint="cs"/>
          <w:szCs w:val="26"/>
          <w:rtl/>
        </w:rPr>
        <w:t>, 4 מאסרים על תנאי ו</w:t>
      </w:r>
      <w:r w:rsidRPr="00D405D9">
        <w:rPr>
          <w:rFonts w:ascii="Times New Roman" w:hAnsi="Times New Roman" w:cs="FrankRuehl"/>
          <w:szCs w:val="26"/>
          <w:rtl/>
        </w:rPr>
        <w:t>קנס בסך 5,000 ₪ או מאסר תמורתו.</w:t>
      </w:r>
    </w:p>
    <w:p w14:paraId="2D67EC2E"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נשק</w:t>
      </w:r>
    </w:p>
    <w:p w14:paraId="06DC76F5"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סמים</w:t>
      </w:r>
    </w:p>
    <w:p w14:paraId="52CC4B1A"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מתחם הענישה</w:t>
      </w:r>
    </w:p>
    <w:p w14:paraId="026A03D5"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821BE9F" w14:textId="77777777" w:rsidR="006C0512" w:rsidRPr="00D405D9" w:rsidRDefault="006C0512"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sidRPr="00D405D9">
        <w:rPr>
          <w:rFonts w:ascii="Times New Roman" w:hAnsi="Times New Roman" w:cs="FrankRuehl" w:hint="eastAsia"/>
          <w:szCs w:val="26"/>
          <w:rtl/>
        </w:rPr>
        <w:t>הנאשם</w:t>
      </w:r>
      <w:r w:rsidRPr="00D405D9">
        <w:rPr>
          <w:rFonts w:ascii="Times New Roman" w:hAnsi="Times New Roman" w:cs="FrankRuehl"/>
          <w:szCs w:val="26"/>
          <w:rtl/>
        </w:rPr>
        <w:t xml:space="preserve"> </w:t>
      </w:r>
      <w:r w:rsidRPr="00D405D9">
        <w:rPr>
          <w:rFonts w:ascii="Times New Roman" w:hAnsi="Times New Roman" w:cs="FrankRuehl" w:hint="eastAsia"/>
          <w:szCs w:val="26"/>
          <w:rtl/>
        </w:rPr>
        <w:t>הורשע</w:t>
      </w:r>
      <w:r w:rsidRPr="00D405D9">
        <w:rPr>
          <w:rFonts w:ascii="Times New Roman" w:hAnsi="Times New Roman" w:cs="FrankRuehl"/>
          <w:szCs w:val="26"/>
          <w:rtl/>
        </w:rPr>
        <w:t xml:space="preserve"> </w:t>
      </w:r>
      <w:r w:rsidRPr="00D405D9">
        <w:rPr>
          <w:rFonts w:ascii="Times New Roman" w:hAnsi="Times New Roman" w:cs="FrankRuehl" w:hint="eastAsia"/>
          <w:szCs w:val="26"/>
          <w:rtl/>
        </w:rPr>
        <w:t>על</w:t>
      </w:r>
      <w:r w:rsidRPr="00D405D9">
        <w:rPr>
          <w:rFonts w:ascii="Times New Roman" w:hAnsi="Times New Roman" w:cs="FrankRuehl"/>
          <w:szCs w:val="26"/>
          <w:rtl/>
        </w:rPr>
        <w:t>-</w:t>
      </w:r>
      <w:r w:rsidRPr="00D405D9">
        <w:rPr>
          <w:rFonts w:ascii="Times New Roman" w:hAnsi="Times New Roman" w:cs="FrankRuehl" w:hint="eastAsia"/>
          <w:szCs w:val="26"/>
          <w:rtl/>
        </w:rPr>
        <w:t>פי</w:t>
      </w:r>
      <w:r w:rsidRPr="00D405D9">
        <w:rPr>
          <w:rFonts w:ascii="Times New Roman" w:hAnsi="Times New Roman" w:cs="FrankRuehl"/>
          <w:szCs w:val="26"/>
          <w:rtl/>
        </w:rPr>
        <w:t xml:space="preserve"> </w:t>
      </w:r>
      <w:r w:rsidRPr="00D405D9">
        <w:rPr>
          <w:rFonts w:ascii="Times New Roman" w:hAnsi="Times New Roman" w:cs="FrankRuehl" w:hint="eastAsia"/>
          <w:szCs w:val="26"/>
          <w:rtl/>
        </w:rPr>
        <w:t>הודאתו</w:t>
      </w:r>
      <w:r w:rsidRPr="00D405D9">
        <w:rPr>
          <w:rFonts w:ascii="Times New Roman" w:hAnsi="Times New Roman" w:cs="FrankRuehl"/>
          <w:szCs w:val="26"/>
          <w:rtl/>
        </w:rPr>
        <w:t xml:space="preserve"> </w:t>
      </w:r>
      <w:r w:rsidRPr="00D405D9">
        <w:rPr>
          <w:rFonts w:ascii="Times New Roman" w:hAnsi="Times New Roman" w:cs="FrankRuehl" w:hint="eastAsia"/>
          <w:szCs w:val="26"/>
          <w:rtl/>
        </w:rPr>
        <w:t>בעביר</w:t>
      </w:r>
      <w:r w:rsidRPr="00D405D9">
        <w:rPr>
          <w:rFonts w:ascii="Times New Roman" w:hAnsi="Times New Roman" w:cs="FrankRuehl" w:hint="cs"/>
          <w:szCs w:val="26"/>
          <w:rtl/>
        </w:rPr>
        <w:t>ות</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w:t>
      </w:r>
      <w:r w:rsidRPr="00D405D9">
        <w:rPr>
          <w:rFonts w:ascii="Times New Roman" w:hAnsi="Times New Roman" w:cs="FrankRuehl"/>
          <w:szCs w:val="26"/>
          <w:rtl/>
        </w:rPr>
        <w:t xml:space="preserve"> </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נשק</w:t>
      </w:r>
      <w:r w:rsidRPr="00D405D9">
        <w:rPr>
          <w:rFonts w:ascii="Times New Roman" w:hAnsi="Times New Roman" w:cs="FrankRuehl"/>
          <w:szCs w:val="26"/>
          <w:rtl/>
        </w:rPr>
        <w:t xml:space="preserve"> </w:t>
      </w:r>
      <w:r w:rsidRPr="00D405D9">
        <w:rPr>
          <w:rFonts w:ascii="Times New Roman" w:hAnsi="Times New Roman" w:cs="FrankRuehl" w:hint="eastAsia"/>
          <w:szCs w:val="26"/>
          <w:rtl/>
        </w:rPr>
        <w:t>ותחמושת</w:t>
      </w:r>
      <w:r w:rsidRPr="00D405D9">
        <w:rPr>
          <w:rFonts w:ascii="Times New Roman" w:hAnsi="Times New Roman" w:cs="FrankRuehl"/>
          <w:szCs w:val="26"/>
          <w:rtl/>
        </w:rPr>
        <w:t xml:space="preserve"> </w:t>
      </w:r>
      <w:r w:rsidRPr="00D405D9">
        <w:rPr>
          <w:rFonts w:ascii="Times New Roman" w:hAnsi="Times New Roman" w:cs="FrankRuehl" w:hint="cs"/>
          <w:szCs w:val="26"/>
          <w:rtl/>
        </w:rPr>
        <w:t>ו</w:t>
      </w:r>
      <w:r w:rsidRPr="00D405D9">
        <w:rPr>
          <w:rFonts w:ascii="Times New Roman" w:hAnsi="Times New Roman" w:cs="FrankRuehl" w:hint="eastAsia"/>
          <w:szCs w:val="26"/>
          <w:rtl/>
        </w:rPr>
        <w:t>החזקת</w:t>
      </w:r>
      <w:r w:rsidRPr="00D405D9">
        <w:rPr>
          <w:rFonts w:ascii="Times New Roman" w:hAnsi="Times New Roman" w:cs="FrankRuehl"/>
          <w:szCs w:val="26"/>
          <w:rtl/>
        </w:rPr>
        <w:t xml:space="preserve"> </w:t>
      </w:r>
      <w:r w:rsidRPr="00D405D9">
        <w:rPr>
          <w:rFonts w:ascii="Times New Roman" w:hAnsi="Times New Roman" w:cs="FrankRuehl" w:hint="eastAsia"/>
          <w:szCs w:val="26"/>
          <w:rtl/>
        </w:rPr>
        <w:t>סם</w:t>
      </w:r>
      <w:r w:rsidRPr="00D405D9">
        <w:rPr>
          <w:rFonts w:ascii="Times New Roman" w:hAnsi="Times New Roman" w:cs="FrankRuehl"/>
          <w:szCs w:val="26"/>
          <w:rtl/>
        </w:rPr>
        <w:t xml:space="preserve"> </w:t>
      </w:r>
      <w:r w:rsidRPr="00D405D9">
        <w:rPr>
          <w:rFonts w:ascii="Times New Roman" w:hAnsi="Times New Roman" w:cs="FrankRuehl" w:hint="eastAsia"/>
          <w:szCs w:val="26"/>
          <w:rtl/>
        </w:rPr>
        <w:t>מסוכן</w:t>
      </w:r>
      <w:r w:rsidRPr="00D405D9">
        <w:rPr>
          <w:rFonts w:ascii="Times New Roman" w:hAnsi="Times New Roman" w:cs="FrankRuehl"/>
          <w:szCs w:val="26"/>
          <w:rtl/>
        </w:rPr>
        <w:t xml:space="preserve"> </w:t>
      </w:r>
      <w:r w:rsidRPr="00D405D9">
        <w:rPr>
          <w:rFonts w:ascii="Times New Roman" w:hAnsi="Times New Roman" w:cs="FrankRuehl" w:hint="eastAsia"/>
          <w:szCs w:val="26"/>
          <w:rtl/>
        </w:rPr>
        <w:t>שלא</w:t>
      </w:r>
      <w:r w:rsidRPr="00D405D9">
        <w:rPr>
          <w:rFonts w:ascii="Times New Roman" w:hAnsi="Times New Roman" w:cs="FrankRuehl"/>
          <w:szCs w:val="26"/>
          <w:rtl/>
        </w:rPr>
        <w:t xml:space="preserve"> </w:t>
      </w:r>
      <w:r w:rsidRPr="00D405D9">
        <w:rPr>
          <w:rFonts w:ascii="Times New Roman" w:hAnsi="Times New Roman" w:cs="FrankRuehl" w:hint="eastAsia"/>
          <w:szCs w:val="26"/>
          <w:rtl/>
        </w:rPr>
        <w:t>לצריכה</w:t>
      </w:r>
      <w:r w:rsidRPr="00D405D9">
        <w:rPr>
          <w:rFonts w:ascii="Times New Roman" w:hAnsi="Times New Roman" w:cs="FrankRuehl"/>
          <w:szCs w:val="26"/>
          <w:rtl/>
        </w:rPr>
        <w:t xml:space="preserve"> </w:t>
      </w:r>
      <w:r w:rsidRPr="00D405D9">
        <w:rPr>
          <w:rFonts w:ascii="Times New Roman" w:hAnsi="Times New Roman" w:cs="FrankRuehl" w:hint="eastAsia"/>
          <w:szCs w:val="26"/>
          <w:rtl/>
        </w:rPr>
        <w:t>עצמית</w:t>
      </w:r>
      <w:r w:rsidRPr="00D405D9">
        <w:rPr>
          <w:rFonts w:ascii="Times New Roman" w:hAnsi="Times New Roman" w:cs="FrankRuehl" w:hint="cs"/>
          <w:szCs w:val="26"/>
          <w:rtl/>
        </w:rPr>
        <w:t>.</w:t>
      </w:r>
    </w:p>
    <w:p w14:paraId="019AB51B" w14:textId="77777777" w:rsidR="00D405D9" w:rsidRDefault="00D405D9"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7228109" w14:textId="77777777" w:rsidR="006C0512" w:rsidRPr="00D405D9" w:rsidRDefault="006C0512"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sidRPr="00D405D9">
        <w:rPr>
          <w:rFonts w:ascii="Times New Roman" w:hAnsi="Times New Roman" w:cs="FrankRuehl"/>
          <w:szCs w:val="26"/>
          <w:rtl/>
        </w:rPr>
        <w:t>בית המשפט המחוזי</w:t>
      </w:r>
      <w:r w:rsidRPr="00D405D9">
        <w:rPr>
          <w:rFonts w:ascii="Times New Roman" w:hAnsi="Times New Roman" w:cs="FrankRuehl" w:hint="cs"/>
          <w:szCs w:val="26"/>
          <w:rtl/>
        </w:rPr>
        <w:t xml:space="preserve"> גזר את הדין ופסק:</w:t>
      </w:r>
    </w:p>
    <w:p w14:paraId="71BD00E6" w14:textId="77777777" w:rsidR="006C0512" w:rsidRPr="00D405D9" w:rsidRDefault="006C0512" w:rsidP="00D405D9">
      <w:pPr>
        <w:pBdr>
          <w:top w:val="single" w:sz="4" w:space="1" w:color="auto"/>
          <w:bottom w:val="single" w:sz="4" w:space="1" w:color="auto"/>
        </w:pBdr>
        <w:spacing w:after="120" w:line="320" w:lineRule="exact"/>
        <w:jc w:val="both"/>
        <w:rPr>
          <w:rFonts w:ascii="Times New Roman" w:hAnsi="Times New Roman" w:cs="FrankRuehl" w:hint="cs"/>
          <w:szCs w:val="26"/>
          <w:rtl/>
        </w:rPr>
      </w:pPr>
      <w:r w:rsidRPr="00D405D9">
        <w:rPr>
          <w:rFonts w:ascii="Times New Roman" w:hAnsi="Times New Roman" w:cs="FrankRuehl"/>
          <w:szCs w:val="26"/>
          <w:rtl/>
        </w:rPr>
        <w:t xml:space="preserve">בשנים האחרונות ניכרת מגמת החמרה בעונשי המאסר הנגזרים על נאשמים בעבירות בנשק נוכח היקפן המתרחב והצורך בבלימתן של עבירות אלה. עם זאת, קשת הענישה בעבירות בנשק רחבה ותלויה בנסיבותיו ובמאפייניו הייחודיים של המקרה הקונקרטי. במקרים דומים למקרה </w:t>
      </w:r>
      <w:r w:rsidRPr="00D405D9">
        <w:rPr>
          <w:rFonts w:ascii="Times New Roman" w:hAnsi="Times New Roman" w:cs="FrankRuehl" w:hint="cs"/>
          <w:szCs w:val="26"/>
          <w:rtl/>
        </w:rPr>
        <w:t>דנ</w:t>
      </w:r>
      <w:r w:rsidRPr="00D405D9">
        <w:rPr>
          <w:rFonts w:ascii="Times New Roman" w:hAnsi="Times New Roman" w:cs="FrankRuehl"/>
          <w:szCs w:val="26"/>
          <w:rtl/>
        </w:rPr>
        <w:t>ן הוטלו על נאשמים עונשי מאסר מאחורי סורג ובריח לתקופות משתנות</w:t>
      </w:r>
      <w:r w:rsidRPr="00D405D9">
        <w:rPr>
          <w:rFonts w:ascii="Times New Roman" w:hAnsi="Times New Roman" w:cs="FrankRuehl" w:hint="cs"/>
          <w:szCs w:val="26"/>
          <w:rtl/>
        </w:rPr>
        <w:t xml:space="preserve">. </w:t>
      </w:r>
      <w:r w:rsidRPr="00D405D9">
        <w:rPr>
          <w:rFonts w:ascii="Times New Roman" w:hAnsi="Times New Roman" w:cs="FrankRuehl"/>
          <w:szCs w:val="26"/>
          <w:rtl/>
        </w:rPr>
        <w:t>מתחמי הענישה העולים מהפסיקה בעבירות של החזקת סם מסוכן שלא לצריכה עצמית נעים במנעד רחב</w:t>
      </w:r>
      <w:r w:rsidRPr="00D405D9">
        <w:rPr>
          <w:rFonts w:ascii="Times New Roman" w:hAnsi="Times New Roman" w:cs="FrankRuehl" w:hint="cs"/>
          <w:szCs w:val="26"/>
          <w:rtl/>
        </w:rPr>
        <w:t xml:space="preserve">, </w:t>
      </w:r>
      <w:r w:rsidRPr="00D405D9">
        <w:rPr>
          <w:rFonts w:ascii="Times New Roman" w:hAnsi="Times New Roman" w:cs="FrankRuehl"/>
          <w:szCs w:val="26"/>
          <w:rtl/>
        </w:rPr>
        <w:t xml:space="preserve">בהתאם לנסיבותיו של כל מקרה </w:t>
      </w:r>
      <w:r w:rsidRPr="00D405D9">
        <w:rPr>
          <w:rFonts w:ascii="Times New Roman" w:hAnsi="Times New Roman" w:cs="FrankRuehl" w:hint="cs"/>
          <w:szCs w:val="26"/>
          <w:rtl/>
        </w:rPr>
        <w:t>ו</w:t>
      </w:r>
      <w:r w:rsidRPr="00D405D9">
        <w:rPr>
          <w:rFonts w:ascii="Times New Roman" w:hAnsi="Times New Roman" w:cs="FrankRuehl"/>
          <w:szCs w:val="26"/>
          <w:rtl/>
        </w:rPr>
        <w:t>בין היתר לכמות הסם ולסוגו</w:t>
      </w:r>
      <w:r w:rsidRPr="00D405D9">
        <w:rPr>
          <w:rFonts w:ascii="Times New Roman" w:hAnsi="Times New Roman" w:cs="FrankRuehl" w:hint="cs"/>
          <w:szCs w:val="26"/>
          <w:rtl/>
        </w:rPr>
        <w:t xml:space="preserve">. במקרה זה, </w:t>
      </w:r>
      <w:r w:rsidRPr="00D405D9">
        <w:rPr>
          <w:rFonts w:ascii="Times New Roman" w:hAnsi="Times New Roman" w:cs="FrankRuehl"/>
          <w:szCs w:val="26"/>
          <w:rtl/>
        </w:rPr>
        <w:t xml:space="preserve">מתחם העונש ההולם לעבירות הנשק נע בין 6 חודשי מאסר בעבודות </w:t>
      </w:r>
      <w:r w:rsidRPr="00D405D9">
        <w:rPr>
          <w:rFonts w:ascii="Times New Roman" w:hAnsi="Times New Roman" w:cs="FrankRuehl"/>
          <w:szCs w:val="26"/>
          <w:rtl/>
        </w:rPr>
        <w:lastRenderedPageBreak/>
        <w:t>שירות לבין 18 חודשי מאסר בפועל בצירוף ענישה נלווית</w:t>
      </w:r>
      <w:r w:rsidRPr="00D405D9">
        <w:rPr>
          <w:rFonts w:ascii="Times New Roman" w:hAnsi="Times New Roman" w:cs="FrankRuehl" w:hint="cs"/>
          <w:szCs w:val="26"/>
          <w:rtl/>
        </w:rPr>
        <w:t>,</w:t>
      </w:r>
      <w:r w:rsidRPr="00D405D9">
        <w:rPr>
          <w:rFonts w:ascii="Times New Roman" w:hAnsi="Times New Roman" w:cs="FrankRuehl"/>
          <w:szCs w:val="26"/>
          <w:rtl/>
        </w:rPr>
        <w:t xml:space="preserve"> </w:t>
      </w:r>
      <w:r w:rsidRPr="00D405D9">
        <w:rPr>
          <w:rFonts w:ascii="Times New Roman" w:hAnsi="Times New Roman" w:cs="FrankRuehl" w:hint="cs"/>
          <w:szCs w:val="26"/>
          <w:rtl/>
        </w:rPr>
        <w:t>ו</w:t>
      </w:r>
      <w:r w:rsidRPr="00D405D9">
        <w:rPr>
          <w:rFonts w:ascii="Times New Roman" w:hAnsi="Times New Roman" w:cs="FrankRuehl"/>
          <w:szCs w:val="26"/>
          <w:rtl/>
        </w:rPr>
        <w:t xml:space="preserve">מתחם העונש ההולם לעבירות </w:t>
      </w:r>
      <w:r w:rsidRPr="00D405D9">
        <w:rPr>
          <w:rFonts w:ascii="Times New Roman" w:hAnsi="Times New Roman" w:cs="FrankRuehl" w:hint="cs"/>
          <w:szCs w:val="26"/>
          <w:rtl/>
        </w:rPr>
        <w:t>ה</w:t>
      </w:r>
      <w:r w:rsidRPr="00D405D9">
        <w:rPr>
          <w:rFonts w:ascii="Times New Roman" w:hAnsi="Times New Roman" w:cs="FrankRuehl"/>
          <w:szCs w:val="26"/>
          <w:rtl/>
        </w:rPr>
        <w:t>סמים הוא בין עבודות שירות לבין מאסר בפועל של מספר חודשים עד שנה.</w:t>
      </w:r>
      <w:r w:rsidRPr="00D405D9">
        <w:rPr>
          <w:rFonts w:ascii="Times New Roman" w:hAnsi="Times New Roman" w:cs="FrankRuehl" w:hint="cs"/>
          <w:szCs w:val="26"/>
          <w:rtl/>
        </w:rPr>
        <w:t xml:space="preserve"> בהתחשב בכל השיקולים, נגזרו על הנאשם </w:t>
      </w:r>
      <w:r w:rsidRPr="00D405D9">
        <w:rPr>
          <w:rFonts w:ascii="Times New Roman" w:hAnsi="Times New Roman" w:cs="FrankRuehl"/>
          <w:szCs w:val="26"/>
          <w:rtl/>
        </w:rPr>
        <w:t>18 חודשי מאסר בפועל בניכוי ימי מעצרו</w:t>
      </w:r>
      <w:r w:rsidRPr="00D405D9">
        <w:rPr>
          <w:rFonts w:ascii="Times New Roman" w:hAnsi="Times New Roman" w:cs="FrankRuehl" w:hint="cs"/>
          <w:szCs w:val="26"/>
          <w:rtl/>
        </w:rPr>
        <w:t>, 4 מאסרים על תנאי ו</w:t>
      </w:r>
      <w:r w:rsidRPr="00D405D9">
        <w:rPr>
          <w:rFonts w:ascii="Times New Roman" w:hAnsi="Times New Roman" w:cs="FrankRuehl"/>
          <w:szCs w:val="26"/>
          <w:rtl/>
        </w:rPr>
        <w:t>קנס בסך 5,000 ₪ או 30 ימי מאסר תמורתו.</w:t>
      </w:r>
    </w:p>
    <w:p w14:paraId="7AD85998" w14:textId="77777777" w:rsidR="006C0512" w:rsidRPr="006401C2" w:rsidRDefault="006C0512" w:rsidP="006401C2">
      <w:pPr>
        <w:spacing w:after="120" w:line="240" w:lineRule="exact"/>
        <w:ind w:left="283" w:hanging="283"/>
        <w:jc w:val="both"/>
        <w:rPr>
          <w:rFonts w:ascii="FrankRuehl" w:hAnsi="FrankRuehl" w:cs="FrankRuehl" w:hint="cs"/>
          <w:rtl/>
        </w:rPr>
      </w:pPr>
      <w:bookmarkStart w:id="6" w:name="ABSTRACT_END"/>
      <w:bookmarkEnd w:id="6"/>
    </w:p>
    <w:p w14:paraId="58F22350" w14:textId="77777777" w:rsidR="00AF4852" w:rsidRPr="00AF4852" w:rsidRDefault="00AF4852" w:rsidP="00AF4852">
      <w:pPr>
        <w:spacing w:line="360" w:lineRule="auto"/>
        <w:jc w:val="center"/>
        <w:rPr>
          <w:rFonts w:ascii="Arial" w:hAnsi="Arial"/>
          <w:b/>
          <w:bCs/>
          <w:sz w:val="28"/>
          <w:szCs w:val="28"/>
          <w:u w:val="single"/>
          <w:rtl/>
        </w:rPr>
      </w:pPr>
      <w:bookmarkStart w:id="7" w:name="PsakDin"/>
      <w:bookmarkEnd w:id="0"/>
      <w:r w:rsidRPr="00AF4852">
        <w:rPr>
          <w:rFonts w:ascii="Arial" w:hAnsi="Arial"/>
          <w:b/>
          <w:bCs/>
          <w:sz w:val="28"/>
          <w:szCs w:val="28"/>
          <w:u w:val="single"/>
          <w:rtl/>
        </w:rPr>
        <w:t>גזר דין</w:t>
      </w:r>
    </w:p>
    <w:bookmarkEnd w:id="7"/>
    <w:p w14:paraId="5C41A115" w14:textId="77777777" w:rsidR="00672F1E" w:rsidRDefault="00672F1E">
      <w:pPr>
        <w:spacing w:line="360" w:lineRule="auto"/>
        <w:jc w:val="center"/>
        <w:rPr>
          <w:rFonts w:ascii="Arial" w:hAnsi="Arial"/>
          <w:b/>
          <w:bCs/>
          <w:u w:val="single"/>
          <w:rtl/>
        </w:rPr>
      </w:pPr>
    </w:p>
    <w:p w14:paraId="5CCD877B" w14:textId="77777777" w:rsidR="00672F1E" w:rsidRDefault="00AF4852">
      <w:pPr>
        <w:numPr>
          <w:ilvl w:val="0"/>
          <w:numId w:val="1"/>
        </w:numPr>
        <w:spacing w:line="360" w:lineRule="auto"/>
        <w:jc w:val="both"/>
      </w:pPr>
      <w:r>
        <w:rPr>
          <w:rFonts w:hint="eastAsia"/>
          <w:rtl/>
        </w:rPr>
        <w:t>הנאשם</w:t>
      </w:r>
      <w:r>
        <w:rPr>
          <w:rtl/>
        </w:rPr>
        <w:t xml:space="preserve"> </w:t>
      </w:r>
      <w:r>
        <w:rPr>
          <w:rFonts w:hint="eastAsia"/>
          <w:rtl/>
        </w:rPr>
        <w:t>הורשע</w:t>
      </w:r>
      <w:r>
        <w:rPr>
          <w:rtl/>
        </w:rPr>
        <w:t xml:space="preserve"> </w:t>
      </w:r>
      <w:r>
        <w:rPr>
          <w:rFonts w:hint="eastAsia"/>
          <w:rtl/>
        </w:rPr>
        <w:t>על</w:t>
      </w:r>
      <w:r>
        <w:rPr>
          <w:rtl/>
        </w:rPr>
        <w:t>-</w:t>
      </w:r>
      <w:r>
        <w:rPr>
          <w:rFonts w:hint="eastAsia"/>
          <w:rtl/>
        </w:rPr>
        <w:t>פי</w:t>
      </w:r>
      <w:r>
        <w:rPr>
          <w:rtl/>
        </w:rPr>
        <w:t xml:space="preserve"> </w:t>
      </w:r>
      <w:r>
        <w:rPr>
          <w:rFonts w:hint="eastAsia"/>
          <w:rtl/>
        </w:rPr>
        <w:t>הודאתו</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עבירה</w:t>
      </w:r>
      <w:r>
        <w:rPr>
          <w:rtl/>
        </w:rPr>
        <w:t xml:space="preserve"> </w:t>
      </w:r>
      <w:r>
        <w:rPr>
          <w:rFonts w:hint="eastAsia"/>
          <w:rtl/>
        </w:rPr>
        <w:t>לפי</w:t>
      </w:r>
      <w:r>
        <w:rPr>
          <w:rtl/>
        </w:rPr>
        <w:t xml:space="preserve"> </w:t>
      </w:r>
      <w:hyperlink r:id="rId18" w:history="1">
        <w:r w:rsidR="006401C2" w:rsidRPr="006401C2">
          <w:rPr>
            <w:color w:val="0000FF"/>
            <w:u w:val="single"/>
            <w:rtl/>
          </w:rPr>
          <w:t>סעיף 144(א)</w:t>
        </w:r>
      </w:hyperlink>
      <w:r>
        <w:rPr>
          <w:rtl/>
        </w:rPr>
        <w:t xml:space="preserve"> </w:t>
      </w:r>
      <w:r>
        <w:rPr>
          <w:rFonts w:hint="eastAsia"/>
          <w:rtl/>
        </w:rPr>
        <w:t>רישא</w:t>
      </w:r>
      <w:r>
        <w:rPr>
          <w:rtl/>
        </w:rPr>
        <w:t xml:space="preserve"> + </w:t>
      </w:r>
      <w:r>
        <w:rPr>
          <w:rFonts w:hint="eastAsia"/>
          <w:rtl/>
        </w:rPr>
        <w:t>סיפא</w:t>
      </w:r>
      <w:r>
        <w:rPr>
          <w:rtl/>
        </w:rPr>
        <w:t xml:space="preserve"> </w:t>
      </w:r>
      <w:r>
        <w:rPr>
          <w:rFonts w:hint="eastAsia"/>
          <w:rtl/>
        </w:rPr>
        <w:t>ל</w:t>
      </w:r>
      <w:hyperlink r:id="rId19" w:history="1">
        <w:r w:rsidRPr="00AF4852">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rtl/>
        </w:rPr>
        <w:t xml:space="preserve">") </w:t>
      </w:r>
      <w:r>
        <w:rPr>
          <w:rFonts w:hint="eastAsia"/>
          <w:rtl/>
        </w:rPr>
        <w:t>ובעבירת</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w:t>
      </w:r>
      <w:hyperlink r:id="rId20" w:history="1">
        <w:r w:rsidR="006401C2" w:rsidRPr="006401C2">
          <w:rPr>
            <w:color w:val="0000FF"/>
            <w:u w:val="single"/>
            <w:rtl/>
          </w:rPr>
          <w:t>7(א) +(ג)</w:t>
        </w:r>
      </w:hyperlink>
      <w:r>
        <w:rPr>
          <w:rtl/>
        </w:rPr>
        <w:t xml:space="preserve"> </w:t>
      </w:r>
      <w:r>
        <w:rPr>
          <w:rFonts w:hint="eastAsia"/>
          <w:rtl/>
        </w:rPr>
        <w:t>רישא</w:t>
      </w:r>
      <w:r>
        <w:rPr>
          <w:rtl/>
        </w:rPr>
        <w:t xml:space="preserve"> </w:t>
      </w:r>
      <w:r>
        <w:rPr>
          <w:rFonts w:hint="eastAsia"/>
          <w:rtl/>
        </w:rPr>
        <w:t>ל</w:t>
      </w:r>
      <w:hyperlink r:id="rId21" w:history="1">
        <w:r w:rsidRPr="00AF4852">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w:t>
      </w:r>
    </w:p>
    <w:p w14:paraId="53D36641" w14:textId="77777777" w:rsidR="00672F1E" w:rsidRDefault="00672F1E">
      <w:pPr>
        <w:spacing w:line="360" w:lineRule="auto"/>
        <w:ind w:left="360"/>
        <w:jc w:val="both"/>
      </w:pPr>
    </w:p>
    <w:p w14:paraId="7006AD04" w14:textId="77777777" w:rsidR="00672F1E" w:rsidRDefault="00AF4852">
      <w:pPr>
        <w:numPr>
          <w:ilvl w:val="0"/>
          <w:numId w:val="1"/>
        </w:numPr>
        <w:spacing w:line="360" w:lineRule="auto"/>
        <w:jc w:val="both"/>
      </w:pPr>
      <w:r>
        <w:rPr>
          <w:rFonts w:hint="eastAsia"/>
          <w:rtl/>
        </w:rPr>
        <w:t>על</w:t>
      </w:r>
      <w:r>
        <w:rPr>
          <w:rtl/>
        </w:rPr>
        <w:t>-</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הנאשם</w:t>
      </w:r>
      <w:r>
        <w:rPr>
          <w:rtl/>
        </w:rPr>
        <w:t xml:space="preserve"> </w:t>
      </w:r>
      <w:r>
        <w:rPr>
          <w:rFonts w:hint="eastAsia"/>
          <w:rtl/>
        </w:rPr>
        <w:t>מתגורר</w:t>
      </w:r>
      <w:r>
        <w:rPr>
          <w:rtl/>
        </w:rPr>
        <w:t xml:space="preserve"> </w:t>
      </w:r>
      <w:r>
        <w:rPr>
          <w:rFonts w:hint="eastAsia"/>
          <w:rtl/>
        </w:rPr>
        <w:t>בדירה</w:t>
      </w:r>
      <w:r>
        <w:rPr>
          <w:rtl/>
        </w:rPr>
        <w:t xml:space="preserve"> </w:t>
      </w:r>
      <w:r>
        <w:rPr>
          <w:rFonts w:hint="eastAsia"/>
          <w:rtl/>
        </w:rPr>
        <w:t>בכפר</w:t>
      </w:r>
      <w:r>
        <w:rPr>
          <w:rtl/>
        </w:rPr>
        <w:t xml:space="preserve"> </w:t>
      </w:r>
      <w:r>
        <w:rPr>
          <w:rFonts w:hint="eastAsia"/>
          <w:rtl/>
        </w:rPr>
        <w:t>יפיע</w:t>
      </w:r>
      <w:r>
        <w:rPr>
          <w:rtl/>
        </w:rPr>
        <w:t xml:space="preserve"> (</w:t>
      </w:r>
      <w:r>
        <w:rPr>
          <w:rFonts w:hint="eastAsia"/>
          <w:rtl/>
        </w:rPr>
        <w:t>להלן</w:t>
      </w:r>
      <w:r>
        <w:rPr>
          <w:rtl/>
        </w:rPr>
        <w:t>: "</w:t>
      </w:r>
      <w:r>
        <w:rPr>
          <w:rFonts w:hint="eastAsia"/>
          <w:b/>
          <w:bCs/>
          <w:rtl/>
        </w:rPr>
        <w:t>הדירה</w:t>
      </w:r>
      <w:r>
        <w:rPr>
          <w:rtl/>
        </w:rPr>
        <w:t xml:space="preserve">"). </w:t>
      </w:r>
      <w:r>
        <w:rPr>
          <w:rFonts w:hint="eastAsia"/>
          <w:rtl/>
        </w:rPr>
        <w:t>עובר</w:t>
      </w:r>
      <w:r>
        <w:rPr>
          <w:rtl/>
        </w:rPr>
        <w:t xml:space="preserve"> </w:t>
      </w:r>
      <w:r>
        <w:rPr>
          <w:rFonts w:hint="eastAsia"/>
          <w:rtl/>
        </w:rPr>
        <w:t>לתאריך</w:t>
      </w:r>
      <w:r>
        <w:rPr>
          <w:rtl/>
        </w:rPr>
        <w:t xml:space="preserve"> 06.10.14 </w:t>
      </w:r>
      <w:r>
        <w:rPr>
          <w:rFonts w:hint="eastAsia"/>
          <w:rtl/>
        </w:rPr>
        <w:t>החזיק</w:t>
      </w:r>
      <w:r>
        <w:rPr>
          <w:rtl/>
        </w:rPr>
        <w:t xml:space="preserve"> </w:t>
      </w:r>
      <w:r>
        <w:rPr>
          <w:rFonts w:hint="eastAsia"/>
          <w:rtl/>
        </w:rPr>
        <w:t>הנאשם</w:t>
      </w:r>
      <w:r>
        <w:rPr>
          <w:rtl/>
        </w:rPr>
        <w:t xml:space="preserve"> </w:t>
      </w:r>
      <w:r>
        <w:rPr>
          <w:rFonts w:hint="eastAsia"/>
          <w:rtl/>
        </w:rPr>
        <w:t>בדירה</w:t>
      </w:r>
      <w:r>
        <w:rPr>
          <w:rtl/>
        </w:rPr>
        <w:t xml:space="preserve"> </w:t>
      </w:r>
      <w:r>
        <w:rPr>
          <w:rFonts w:hint="eastAsia"/>
          <w:rtl/>
        </w:rPr>
        <w:t>נשק</w:t>
      </w:r>
      <w:r>
        <w:rPr>
          <w:rtl/>
        </w:rPr>
        <w:t xml:space="preserve">, </w:t>
      </w:r>
      <w:r>
        <w:rPr>
          <w:rFonts w:hint="eastAsia"/>
          <w:rtl/>
        </w:rPr>
        <w:t>תחמושת</w:t>
      </w:r>
      <w:r>
        <w:rPr>
          <w:rtl/>
        </w:rPr>
        <w:t xml:space="preserve"> </w:t>
      </w:r>
      <w:r>
        <w:rPr>
          <w:rFonts w:hint="eastAsia"/>
          <w:rtl/>
        </w:rPr>
        <w:t>וסמים</w:t>
      </w:r>
      <w:r>
        <w:rPr>
          <w:rtl/>
        </w:rPr>
        <w:t xml:space="preserve">, </w:t>
      </w:r>
      <w:r>
        <w:rPr>
          <w:rFonts w:hint="eastAsia"/>
          <w:rtl/>
        </w:rPr>
        <w:t>ללא</w:t>
      </w:r>
      <w:r>
        <w:rPr>
          <w:rtl/>
        </w:rPr>
        <w:t xml:space="preserve"> </w:t>
      </w:r>
      <w:r>
        <w:rPr>
          <w:rFonts w:hint="eastAsia"/>
          <w:rtl/>
        </w:rPr>
        <w:t>היתר</w:t>
      </w:r>
      <w:r>
        <w:rPr>
          <w:rtl/>
        </w:rPr>
        <w:t xml:space="preserve"> </w:t>
      </w:r>
      <w:r>
        <w:rPr>
          <w:rFonts w:hint="eastAsia"/>
          <w:rtl/>
        </w:rPr>
        <w:t>כדין</w:t>
      </w:r>
      <w:r>
        <w:rPr>
          <w:rtl/>
        </w:rPr>
        <w:t xml:space="preserve"> </w:t>
      </w:r>
      <w:r>
        <w:rPr>
          <w:rFonts w:hint="eastAsia"/>
          <w:rtl/>
        </w:rPr>
        <w:t>וזאת</w:t>
      </w:r>
      <w:r>
        <w:rPr>
          <w:rtl/>
        </w:rPr>
        <w:t xml:space="preserve"> </w:t>
      </w:r>
      <w:r>
        <w:rPr>
          <w:rFonts w:hint="eastAsia"/>
          <w:rtl/>
        </w:rPr>
        <w:t>כמופרט</w:t>
      </w:r>
      <w:r>
        <w:rPr>
          <w:rtl/>
        </w:rPr>
        <w:t xml:space="preserve"> </w:t>
      </w:r>
      <w:r>
        <w:rPr>
          <w:rFonts w:hint="eastAsia"/>
          <w:rtl/>
        </w:rPr>
        <w:t>להלן</w:t>
      </w:r>
      <w:r>
        <w:rPr>
          <w:rtl/>
        </w:rPr>
        <w:t xml:space="preserve">: </w:t>
      </w:r>
    </w:p>
    <w:p w14:paraId="4B2877C0" w14:textId="77777777" w:rsidR="00672F1E" w:rsidRDefault="00AF4852">
      <w:pPr>
        <w:numPr>
          <w:ilvl w:val="0"/>
          <w:numId w:val="2"/>
        </w:numPr>
        <w:spacing w:line="360" w:lineRule="auto"/>
        <w:contextualSpacing/>
        <w:jc w:val="both"/>
      </w:pPr>
      <w:r>
        <w:rPr>
          <w:rFonts w:hint="eastAsia"/>
          <w:rtl/>
        </w:rPr>
        <w:t>בתיק</w:t>
      </w:r>
      <w:r>
        <w:rPr>
          <w:rtl/>
        </w:rPr>
        <w:t xml:space="preserve"> </w:t>
      </w:r>
      <w:r>
        <w:rPr>
          <w:rFonts w:hint="eastAsia"/>
          <w:rtl/>
        </w:rPr>
        <w:t>מתחת</w:t>
      </w:r>
      <w:r>
        <w:rPr>
          <w:rtl/>
        </w:rPr>
        <w:t xml:space="preserve"> </w:t>
      </w:r>
      <w:r>
        <w:rPr>
          <w:rFonts w:hint="eastAsia"/>
          <w:rtl/>
        </w:rPr>
        <w:t>למיטה</w:t>
      </w:r>
      <w:r>
        <w:rPr>
          <w:rtl/>
        </w:rPr>
        <w:t xml:space="preserve"> </w:t>
      </w:r>
      <w:r>
        <w:rPr>
          <w:rFonts w:hint="eastAsia"/>
          <w:rtl/>
        </w:rPr>
        <w:t>בחדר</w:t>
      </w:r>
      <w:r>
        <w:rPr>
          <w:rtl/>
        </w:rPr>
        <w:t xml:space="preserve"> </w:t>
      </w:r>
      <w:r>
        <w:rPr>
          <w:rFonts w:hint="eastAsia"/>
          <w:rtl/>
        </w:rPr>
        <w:t>השינה</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באקדח</w:t>
      </w:r>
      <w:r>
        <w:rPr>
          <w:rtl/>
        </w:rPr>
        <w:t xml:space="preserve"> </w:t>
      </w:r>
      <w:r>
        <w:rPr>
          <w:rFonts w:hint="eastAsia"/>
          <w:rtl/>
        </w:rPr>
        <w:t>מסוג</w:t>
      </w:r>
      <w:r>
        <w:rPr>
          <w:rtl/>
        </w:rPr>
        <w:t xml:space="preserve"> </w:t>
      </w:r>
      <w:r>
        <w:t xml:space="preserve">FN </w:t>
      </w:r>
      <w:r>
        <w:rPr>
          <w:rtl/>
        </w:rPr>
        <w:t xml:space="preserve"> </w:t>
      </w:r>
      <w:r>
        <w:rPr>
          <w:rFonts w:hint="eastAsia"/>
          <w:rtl/>
        </w:rPr>
        <w:t>מ</w:t>
      </w:r>
      <w:r>
        <w:rPr>
          <w:rtl/>
        </w:rPr>
        <w:t>"</w:t>
      </w:r>
      <w:r>
        <w:rPr>
          <w:rFonts w:hint="eastAsia"/>
          <w:rtl/>
        </w:rPr>
        <w:t>ר</w:t>
      </w:r>
      <w:r>
        <w:rPr>
          <w:rtl/>
        </w:rPr>
        <w:t xml:space="preserve"> </w:t>
      </w:r>
      <w:r>
        <w:t>F7875</w:t>
      </w:r>
      <w:r>
        <w:rPr>
          <w:rtl/>
        </w:rPr>
        <w:t>,</w:t>
      </w:r>
      <w:r>
        <w:t xml:space="preserve"> </w:t>
      </w:r>
      <w:r>
        <w:rPr>
          <w:rFonts w:hint="eastAsia"/>
          <w:rtl/>
        </w:rPr>
        <w:t>מחסנית</w:t>
      </w:r>
      <w:r>
        <w:rPr>
          <w:rtl/>
        </w:rPr>
        <w:t xml:space="preserve"> </w:t>
      </w:r>
      <w:r>
        <w:rPr>
          <w:rFonts w:hint="eastAsia"/>
          <w:rtl/>
        </w:rPr>
        <w:t>של</w:t>
      </w:r>
      <w:r>
        <w:rPr>
          <w:rtl/>
        </w:rPr>
        <w:t xml:space="preserve"> </w:t>
      </w:r>
      <w:r>
        <w:rPr>
          <w:rFonts w:hint="eastAsia"/>
          <w:rtl/>
        </w:rPr>
        <w:t>רובה</w:t>
      </w:r>
      <w:r>
        <w:rPr>
          <w:rtl/>
        </w:rPr>
        <w:t xml:space="preserve"> </w:t>
      </w:r>
      <w:r>
        <w:rPr>
          <w:rFonts w:hint="eastAsia"/>
          <w:rtl/>
        </w:rPr>
        <w:t>סער</w:t>
      </w:r>
      <w:r>
        <w:rPr>
          <w:rtl/>
        </w:rPr>
        <w:t xml:space="preserve"> </w:t>
      </w:r>
      <w:r>
        <w:rPr>
          <w:rFonts w:hint="eastAsia"/>
          <w:rtl/>
        </w:rPr>
        <w:t>מסוג</w:t>
      </w:r>
      <w:r>
        <w:rPr>
          <w:rtl/>
        </w:rPr>
        <w:t xml:space="preserve"> </w:t>
      </w:r>
      <w:r>
        <w:rPr>
          <w:rFonts w:hint="eastAsia"/>
          <w:rtl/>
        </w:rPr>
        <w:t>קלצ</w:t>
      </w:r>
      <w:r>
        <w:rPr>
          <w:rtl/>
        </w:rPr>
        <w:t>'</w:t>
      </w:r>
      <w:r>
        <w:rPr>
          <w:rFonts w:hint="eastAsia"/>
          <w:rtl/>
        </w:rPr>
        <w:t>ניקוב</w:t>
      </w:r>
      <w:r>
        <w:rPr>
          <w:rtl/>
        </w:rPr>
        <w:t xml:space="preserve"> </w:t>
      </w:r>
      <w:r>
        <w:rPr>
          <w:rFonts w:hint="eastAsia"/>
          <w:rtl/>
        </w:rPr>
        <w:t>ובה</w:t>
      </w:r>
      <w:r>
        <w:rPr>
          <w:rtl/>
        </w:rPr>
        <w:t xml:space="preserve"> </w:t>
      </w:r>
      <w:r>
        <w:rPr>
          <w:rFonts w:hint="eastAsia"/>
          <w:rtl/>
        </w:rPr>
        <w:t>כדורים</w:t>
      </w:r>
      <w:r>
        <w:rPr>
          <w:rtl/>
        </w:rPr>
        <w:t xml:space="preserve"> </w:t>
      </w:r>
      <w:r>
        <w:rPr>
          <w:rFonts w:hint="eastAsia"/>
          <w:rtl/>
        </w:rPr>
        <w:t>תואמים</w:t>
      </w:r>
      <w:r>
        <w:rPr>
          <w:rtl/>
        </w:rPr>
        <w:t xml:space="preserve">, </w:t>
      </w:r>
      <w:r>
        <w:rPr>
          <w:rFonts w:hint="eastAsia"/>
          <w:rtl/>
        </w:rPr>
        <w:t>רימון</w:t>
      </w:r>
      <w:r>
        <w:rPr>
          <w:rtl/>
        </w:rPr>
        <w:t xml:space="preserve"> </w:t>
      </w:r>
      <w:r>
        <w:rPr>
          <w:rFonts w:hint="eastAsia"/>
          <w:rtl/>
        </w:rPr>
        <w:t>הלם</w:t>
      </w:r>
      <w:r>
        <w:rPr>
          <w:rtl/>
        </w:rPr>
        <w:t xml:space="preserve"> </w:t>
      </w:r>
      <w:r>
        <w:rPr>
          <w:rFonts w:hint="eastAsia"/>
          <w:rtl/>
        </w:rPr>
        <w:t>וחמש</w:t>
      </w:r>
      <w:r>
        <w:rPr>
          <w:rtl/>
        </w:rPr>
        <w:t xml:space="preserve"> "</w:t>
      </w:r>
      <w:r>
        <w:rPr>
          <w:rFonts w:hint="eastAsia"/>
          <w:rtl/>
        </w:rPr>
        <w:t>פלטות</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475.39 </w:t>
      </w:r>
      <w:r>
        <w:rPr>
          <w:rFonts w:hint="eastAsia"/>
          <w:rtl/>
        </w:rPr>
        <w:t>גר</w:t>
      </w:r>
      <w:r>
        <w:rPr>
          <w:rtl/>
        </w:rPr>
        <w:t xml:space="preserve">' </w:t>
      </w:r>
      <w:r>
        <w:rPr>
          <w:rFonts w:hint="eastAsia"/>
          <w:rtl/>
        </w:rPr>
        <w:t>נטו</w:t>
      </w:r>
      <w:r>
        <w:rPr>
          <w:rtl/>
        </w:rPr>
        <w:t xml:space="preserve">. </w:t>
      </w:r>
    </w:p>
    <w:p w14:paraId="6A86DFFB" w14:textId="77777777" w:rsidR="00672F1E" w:rsidRDefault="00AF4852">
      <w:pPr>
        <w:numPr>
          <w:ilvl w:val="0"/>
          <w:numId w:val="2"/>
        </w:numPr>
        <w:spacing w:line="360" w:lineRule="auto"/>
        <w:contextualSpacing/>
        <w:jc w:val="both"/>
      </w:pPr>
      <w:r>
        <w:rPr>
          <w:rFonts w:hint="eastAsia"/>
          <w:rtl/>
        </w:rPr>
        <w:t>בארון</w:t>
      </w:r>
      <w:r>
        <w:rPr>
          <w:rtl/>
        </w:rPr>
        <w:t xml:space="preserve"> </w:t>
      </w:r>
      <w:r>
        <w:rPr>
          <w:rFonts w:hint="eastAsia"/>
          <w:rtl/>
        </w:rPr>
        <w:t>חדר</w:t>
      </w:r>
      <w:r>
        <w:rPr>
          <w:rtl/>
        </w:rPr>
        <w:t xml:space="preserve"> </w:t>
      </w:r>
      <w:r>
        <w:rPr>
          <w:rFonts w:hint="eastAsia"/>
          <w:rtl/>
        </w:rPr>
        <w:t>השינה</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t xml:space="preserve"> </w:t>
      </w:r>
      <w:r>
        <w:rPr>
          <w:rtl/>
        </w:rPr>
        <w:t xml:space="preserve"> </w:t>
      </w:r>
      <w:r>
        <w:rPr>
          <w:rFonts w:hint="eastAsia"/>
          <w:rtl/>
        </w:rPr>
        <w:t>של</w:t>
      </w:r>
      <w:r>
        <w:rPr>
          <w:rtl/>
        </w:rPr>
        <w:t xml:space="preserve"> 77.04 </w:t>
      </w:r>
      <w:r>
        <w:rPr>
          <w:rFonts w:hint="eastAsia"/>
          <w:rtl/>
        </w:rPr>
        <w:t>גר</w:t>
      </w:r>
      <w:r>
        <w:rPr>
          <w:rtl/>
        </w:rPr>
        <w:t xml:space="preserve">' </w:t>
      </w:r>
      <w:r>
        <w:rPr>
          <w:rFonts w:hint="eastAsia"/>
          <w:rtl/>
        </w:rPr>
        <w:t>נטו</w:t>
      </w:r>
      <w:r>
        <w:rPr>
          <w:rtl/>
        </w:rPr>
        <w:t xml:space="preserve">. </w:t>
      </w:r>
    </w:p>
    <w:p w14:paraId="534B9B37" w14:textId="77777777" w:rsidR="00672F1E" w:rsidRDefault="00672F1E">
      <w:pPr>
        <w:spacing w:line="360" w:lineRule="auto"/>
        <w:ind w:left="720"/>
        <w:contextualSpacing/>
        <w:jc w:val="both"/>
      </w:pPr>
    </w:p>
    <w:p w14:paraId="168E7090" w14:textId="77777777" w:rsidR="00672F1E" w:rsidRDefault="00AF4852">
      <w:pPr>
        <w:numPr>
          <w:ilvl w:val="0"/>
          <w:numId w:val="1"/>
        </w:numPr>
        <w:spacing w:line="360" w:lineRule="auto"/>
        <w:contextualSpacing/>
        <w:jc w:val="both"/>
      </w:pPr>
      <w:r>
        <w:rPr>
          <w:rFonts w:hint="eastAsia"/>
          <w:rtl/>
        </w:rPr>
        <w:t>ביום</w:t>
      </w:r>
      <w:r>
        <w:rPr>
          <w:rtl/>
        </w:rPr>
        <w:t xml:space="preserve"> 25.01.15 </w:t>
      </w:r>
      <w:r>
        <w:rPr>
          <w:rFonts w:hint="eastAsia"/>
          <w:rtl/>
        </w:rPr>
        <w:t>הוגש</w:t>
      </w:r>
      <w:r>
        <w:rPr>
          <w:rtl/>
        </w:rPr>
        <w:t xml:space="preserve"> </w:t>
      </w:r>
      <w:r>
        <w:rPr>
          <w:rFonts w:hint="eastAsia"/>
          <w:rtl/>
        </w:rPr>
        <w:t>תסקיר</w:t>
      </w:r>
      <w:r>
        <w:rPr>
          <w:rtl/>
        </w:rPr>
        <w:t xml:space="preserve"> </w:t>
      </w:r>
      <w:r>
        <w:rPr>
          <w:rFonts w:hint="eastAsia"/>
          <w:rtl/>
        </w:rPr>
        <w:t>מטעם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למבוגרים</w:t>
      </w:r>
      <w:r>
        <w:rPr>
          <w:rtl/>
        </w:rPr>
        <w:t xml:space="preserve"> </w:t>
      </w:r>
      <w:r>
        <w:rPr>
          <w:rFonts w:hint="eastAsia"/>
          <w:rtl/>
        </w:rPr>
        <w:t>אודות</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נמנע</w:t>
      </w:r>
      <w:r>
        <w:rPr>
          <w:rtl/>
        </w:rPr>
        <w:t xml:space="preserve"> </w:t>
      </w:r>
      <w:r>
        <w:rPr>
          <w:rFonts w:hint="eastAsia"/>
          <w:rtl/>
        </w:rPr>
        <w:t>ממתן</w:t>
      </w:r>
      <w:r>
        <w:rPr>
          <w:rtl/>
        </w:rPr>
        <w:t xml:space="preserve"> </w:t>
      </w:r>
      <w:r>
        <w:rPr>
          <w:rFonts w:hint="eastAsia"/>
          <w:rtl/>
        </w:rPr>
        <w:t>המלצה</w:t>
      </w:r>
      <w:r>
        <w:rPr>
          <w:rtl/>
        </w:rPr>
        <w:t xml:space="preserve"> </w:t>
      </w:r>
      <w:r>
        <w:rPr>
          <w:rFonts w:hint="eastAsia"/>
          <w:rtl/>
        </w:rPr>
        <w:t>טיפולית</w:t>
      </w:r>
      <w:r>
        <w:rPr>
          <w:rtl/>
        </w:rPr>
        <w:t xml:space="preserve"> </w:t>
      </w:r>
      <w:r>
        <w:rPr>
          <w:rFonts w:hint="eastAsia"/>
          <w:rtl/>
        </w:rPr>
        <w:t>בעניינו</w:t>
      </w:r>
      <w:r>
        <w:rPr>
          <w:rtl/>
        </w:rPr>
        <w:t>.</w:t>
      </w:r>
    </w:p>
    <w:p w14:paraId="71810725" w14:textId="77777777" w:rsidR="00672F1E" w:rsidRDefault="00672F1E">
      <w:pPr>
        <w:spacing w:line="360" w:lineRule="auto"/>
        <w:ind w:left="720"/>
        <w:contextualSpacing/>
        <w:jc w:val="both"/>
        <w:rPr>
          <w:rtl/>
        </w:rPr>
      </w:pPr>
    </w:p>
    <w:p w14:paraId="7DFC178A" w14:textId="77777777" w:rsidR="00672F1E" w:rsidRDefault="00AF4852">
      <w:pPr>
        <w:spacing w:line="360" w:lineRule="auto"/>
        <w:ind w:left="720"/>
        <w:contextualSpacing/>
        <w:jc w:val="both"/>
        <w:rPr>
          <w:b/>
          <w:bCs/>
          <w:u w:val="single"/>
          <w:rtl/>
        </w:rPr>
      </w:pPr>
      <w:r>
        <w:rPr>
          <w:rFonts w:hint="eastAsia"/>
          <w:b/>
          <w:bCs/>
          <w:u w:val="single"/>
          <w:rtl/>
        </w:rPr>
        <w:t>ראיות</w:t>
      </w:r>
      <w:r>
        <w:rPr>
          <w:b/>
          <w:bCs/>
          <w:u w:val="single"/>
          <w:rtl/>
        </w:rPr>
        <w:t xml:space="preserve"> </w:t>
      </w:r>
      <w:r>
        <w:rPr>
          <w:rFonts w:hint="eastAsia"/>
          <w:b/>
          <w:bCs/>
          <w:u w:val="single"/>
          <w:rtl/>
        </w:rPr>
        <w:t>לעונש</w:t>
      </w:r>
      <w:r>
        <w:rPr>
          <w:b/>
          <w:bCs/>
          <w:u w:val="single"/>
          <w:rtl/>
        </w:rPr>
        <w:t xml:space="preserve"> </w:t>
      </w:r>
    </w:p>
    <w:p w14:paraId="4B200823" w14:textId="77777777" w:rsidR="00672F1E" w:rsidRDefault="00672F1E">
      <w:pPr>
        <w:spacing w:line="360" w:lineRule="auto"/>
        <w:ind w:left="720"/>
        <w:contextualSpacing/>
        <w:jc w:val="both"/>
        <w:rPr>
          <w:b/>
          <w:bCs/>
          <w:u w:val="single"/>
        </w:rPr>
      </w:pPr>
    </w:p>
    <w:p w14:paraId="26E4FC0F" w14:textId="77777777" w:rsidR="00672F1E" w:rsidRDefault="00AF4852">
      <w:pPr>
        <w:numPr>
          <w:ilvl w:val="0"/>
          <w:numId w:val="1"/>
        </w:numPr>
        <w:spacing w:line="360" w:lineRule="auto"/>
        <w:contextualSpacing/>
        <w:jc w:val="both"/>
        <w:rPr>
          <w:rFonts w:ascii="Times New Roman" w:hAnsi="Times New Roman"/>
          <w:b/>
          <w:bCs/>
          <w:u w:val="single"/>
          <w:lang w:eastAsia="he-IL"/>
        </w:rPr>
      </w:pPr>
      <w:r>
        <w:rPr>
          <w:rFonts w:hint="eastAsia"/>
          <w:rtl/>
        </w:rPr>
        <w:t>מטעם</w:t>
      </w:r>
      <w:r>
        <w:rPr>
          <w:rtl/>
        </w:rPr>
        <w:t xml:space="preserve"> </w:t>
      </w:r>
      <w:r>
        <w:rPr>
          <w:rFonts w:hint="eastAsia"/>
          <w:rtl/>
        </w:rPr>
        <w:t>המאשימה</w:t>
      </w:r>
      <w:r>
        <w:rPr>
          <w:rtl/>
        </w:rPr>
        <w:t xml:space="preserve"> </w:t>
      </w:r>
      <w:r>
        <w:rPr>
          <w:rFonts w:hint="eastAsia"/>
          <w:rtl/>
        </w:rPr>
        <w:t>הוגש</w:t>
      </w:r>
      <w:r>
        <w:rPr>
          <w:rtl/>
        </w:rPr>
        <w:t xml:space="preserve"> </w:t>
      </w:r>
      <w:r>
        <w:rPr>
          <w:rFonts w:hint="eastAsia"/>
          <w:rtl/>
        </w:rPr>
        <w:t>גיליון</w:t>
      </w:r>
      <w:r>
        <w:rPr>
          <w:rtl/>
        </w:rPr>
        <w:t xml:space="preserve"> </w:t>
      </w:r>
      <w:r>
        <w:rPr>
          <w:rFonts w:hint="eastAsia"/>
          <w:rtl/>
        </w:rPr>
        <w:t>הרישום</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לחובת</w:t>
      </w:r>
      <w:r>
        <w:rPr>
          <w:rtl/>
        </w:rPr>
        <w:t xml:space="preserve"> </w:t>
      </w:r>
      <w:r>
        <w:rPr>
          <w:rFonts w:hint="eastAsia"/>
          <w:rtl/>
        </w:rPr>
        <w:t>הנאשם</w:t>
      </w:r>
      <w:r>
        <w:rPr>
          <w:rtl/>
        </w:rPr>
        <w:t xml:space="preserve"> </w:t>
      </w:r>
      <w:r>
        <w:rPr>
          <w:rFonts w:ascii="Times New Roman" w:hAnsi="Times New Roman"/>
          <w:rtl/>
          <w:lang w:eastAsia="he-IL"/>
        </w:rPr>
        <w:t>2 הרשעות קודמות בגין החזקה או שימוש בסמים לצריכה עצמית.</w:t>
      </w:r>
    </w:p>
    <w:p w14:paraId="39A6A105" w14:textId="77777777" w:rsidR="00672F1E" w:rsidRDefault="00672F1E">
      <w:pPr>
        <w:spacing w:line="360" w:lineRule="auto"/>
        <w:ind w:left="720"/>
        <w:contextualSpacing/>
        <w:jc w:val="both"/>
        <w:rPr>
          <w:rFonts w:ascii="Times New Roman" w:hAnsi="Times New Roman"/>
          <w:b/>
          <w:bCs/>
          <w:u w:val="single"/>
          <w:lang w:eastAsia="he-IL"/>
        </w:rPr>
      </w:pPr>
    </w:p>
    <w:p w14:paraId="487C00ED" w14:textId="77777777" w:rsidR="00672F1E" w:rsidRDefault="00AF4852">
      <w:pPr>
        <w:numPr>
          <w:ilvl w:val="0"/>
          <w:numId w:val="1"/>
        </w:numPr>
        <w:spacing w:line="360" w:lineRule="auto"/>
        <w:contextualSpacing/>
        <w:jc w:val="both"/>
        <w:rPr>
          <w:rFonts w:ascii="Times New Roman" w:hAnsi="Times New Roman"/>
          <w:rtl/>
          <w:lang w:eastAsia="he-IL"/>
        </w:rPr>
      </w:pPr>
      <w:r>
        <w:rPr>
          <w:rFonts w:ascii="Times New Roman" w:hAnsi="Times New Roman"/>
          <w:rtl/>
          <w:lang w:eastAsia="he-IL"/>
        </w:rPr>
        <w:t xml:space="preserve">מטעם הנאשם העידה אשתו - גב' סוזן אחמד אשר מסרה, כי היא נשואה לנאשם מזה 5 שנים. גב' סוזן העידה על אופיו הטוב של הנאשם ומסרה, כי מדובר באדם טוב ששגה; לדבריה, הנאשם  ניהל אורך חיים נורמטיבי עובר לביצוע העבירות ופרנס את בני משפחתו . לסיום ביקשה גב' סוזן את רחמי בית המשפט.   </w:t>
      </w:r>
    </w:p>
    <w:p w14:paraId="583C6235" w14:textId="77777777" w:rsidR="00672F1E" w:rsidRDefault="00672F1E">
      <w:pPr>
        <w:spacing w:line="360" w:lineRule="auto"/>
        <w:contextualSpacing/>
        <w:jc w:val="both"/>
        <w:rPr>
          <w:rFonts w:ascii="Times New Roman" w:hAnsi="Times New Roman"/>
          <w:b/>
          <w:bCs/>
          <w:u w:val="single"/>
          <w:rtl/>
          <w:lang w:eastAsia="he-IL"/>
        </w:rPr>
      </w:pPr>
    </w:p>
    <w:p w14:paraId="1F906A7D" w14:textId="77777777" w:rsidR="00672F1E" w:rsidRDefault="00AF4852">
      <w:pPr>
        <w:spacing w:line="360" w:lineRule="auto"/>
        <w:ind w:left="720"/>
        <w:contextualSpacing/>
        <w:jc w:val="both"/>
        <w:rPr>
          <w:rFonts w:ascii="Times New Roman" w:hAnsi="Times New Roman"/>
          <w:b/>
          <w:bCs/>
          <w:u w:val="single"/>
          <w:rtl/>
          <w:lang w:eastAsia="he-IL"/>
        </w:rPr>
      </w:pPr>
      <w:r>
        <w:rPr>
          <w:rFonts w:ascii="Times New Roman" w:hAnsi="Times New Roman"/>
          <w:b/>
          <w:bCs/>
          <w:u w:val="single"/>
          <w:rtl/>
          <w:lang w:eastAsia="he-IL"/>
        </w:rPr>
        <w:t xml:space="preserve">טענות המאשימה לעונש </w:t>
      </w:r>
    </w:p>
    <w:p w14:paraId="02521215" w14:textId="77777777" w:rsidR="00672F1E" w:rsidRDefault="00672F1E">
      <w:pPr>
        <w:spacing w:line="360" w:lineRule="auto"/>
        <w:ind w:left="720"/>
        <w:contextualSpacing/>
        <w:jc w:val="both"/>
        <w:rPr>
          <w:rFonts w:ascii="Times New Roman" w:hAnsi="Times New Roman"/>
          <w:b/>
          <w:bCs/>
          <w:u w:val="single"/>
          <w:rtl/>
          <w:lang w:eastAsia="he-IL"/>
        </w:rPr>
      </w:pPr>
    </w:p>
    <w:p w14:paraId="218C6CD9" w14:textId="77777777" w:rsidR="00672F1E" w:rsidRDefault="00AF4852">
      <w:pPr>
        <w:numPr>
          <w:ilvl w:val="0"/>
          <w:numId w:val="1"/>
        </w:numPr>
        <w:spacing w:line="360" w:lineRule="auto"/>
        <w:jc w:val="both"/>
        <w:rPr>
          <w:rFonts w:ascii="Times New Roman" w:hAnsi="Times New Roman"/>
          <w:b/>
          <w:bCs/>
          <w:u w:val="single"/>
          <w:lang w:eastAsia="he-IL"/>
        </w:rPr>
      </w:pPr>
      <w:r>
        <w:rPr>
          <w:rFonts w:ascii="Times New Roman" w:hAnsi="Times New Roman"/>
          <w:rtl/>
          <w:lang w:eastAsia="he-IL"/>
        </w:rPr>
        <w:t xml:space="preserve">המאשימה הגישה טיעון מפורט בכתב; לטענת המאשימה, הערך החברתי שנפגע כתוצאה מביצוע העבירות בנשק הוא שלום הציבור ובטחונו. עסקינן בעבירות בעלות פוטנציאל קטלני לזריעת הרס ופגיעה גופנית חמורה בבני אדם, לרבות אנשים תמימים חפים מפשע. </w:t>
      </w:r>
    </w:p>
    <w:p w14:paraId="233883AC" w14:textId="77777777" w:rsidR="00672F1E" w:rsidRDefault="00672F1E">
      <w:pPr>
        <w:spacing w:line="360" w:lineRule="auto"/>
        <w:ind w:left="720"/>
        <w:jc w:val="both"/>
        <w:rPr>
          <w:rFonts w:ascii="Times New Roman" w:hAnsi="Times New Roman"/>
          <w:b/>
          <w:bCs/>
          <w:u w:val="single"/>
          <w:lang w:eastAsia="he-IL"/>
        </w:rPr>
      </w:pPr>
    </w:p>
    <w:p w14:paraId="4A2028DD" w14:textId="77777777" w:rsidR="00672F1E" w:rsidRDefault="00AF4852">
      <w:pPr>
        <w:numPr>
          <w:ilvl w:val="0"/>
          <w:numId w:val="1"/>
        </w:numPr>
        <w:spacing w:line="360" w:lineRule="auto"/>
        <w:jc w:val="both"/>
        <w:rPr>
          <w:rFonts w:ascii="Times New Roman" w:hAnsi="Times New Roman"/>
          <w:b/>
          <w:bCs/>
          <w:u w:val="single"/>
          <w:lang w:eastAsia="he-IL"/>
        </w:rPr>
      </w:pPr>
      <w:r>
        <w:rPr>
          <w:rFonts w:ascii="Times New Roman" w:hAnsi="Times New Roman"/>
          <w:rtl/>
          <w:lang w:eastAsia="he-IL"/>
        </w:rPr>
        <w:t xml:space="preserve">המאשימה הדגישה את חומרתן של עבירות הסמים וביתר שאת כאשר מדובר בעבירה של החזקת סמים שלא לצריכה עצמית, הנזק הגדול והתוצאות ההרסניות הגלומות בעבירות סמים לבריאותה ולביטחונה של החברה ופרטיה והנן "בבחינת מגפה ממאירה, הרסנית ומדבקת". </w:t>
      </w:r>
    </w:p>
    <w:p w14:paraId="4ECC75C9" w14:textId="77777777" w:rsidR="00672F1E" w:rsidRDefault="00672F1E">
      <w:pPr>
        <w:ind w:left="720"/>
        <w:contextualSpacing/>
        <w:rPr>
          <w:rFonts w:ascii="Times New Roman" w:hAnsi="Times New Roman"/>
          <w:rtl/>
          <w:lang w:eastAsia="he-IL"/>
        </w:rPr>
      </w:pPr>
    </w:p>
    <w:p w14:paraId="14CF6F26"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המאשימה ציינה, כי קיים קושי לאמוד את הפגיעה בערך החברתי המוגן כאשר עסקינן בעבירות הפוגעות בערכים כגון שלום הציבור ובטחונו. יחד עם זאת, הפגיעה בציבור הנובעת מזמינותו של נשק חם, המוחזק בבתיהם של אנשים או נישא על ידם ברחובה של עיר, הנה משמעותית וחמורה. </w:t>
      </w:r>
    </w:p>
    <w:p w14:paraId="74E7B116" w14:textId="77777777" w:rsidR="00672F1E" w:rsidRDefault="00672F1E">
      <w:pPr>
        <w:ind w:left="720"/>
        <w:contextualSpacing/>
        <w:rPr>
          <w:rFonts w:ascii="Times New Roman" w:hAnsi="Times New Roman"/>
          <w:rtl/>
          <w:lang w:eastAsia="he-IL"/>
        </w:rPr>
      </w:pPr>
    </w:p>
    <w:p w14:paraId="7781803E"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לשיטתה של המאשימה, עוצמת הפגיעה בערך המוגן נמדדת אל מול סוג הנשק וכמות התחמושת שנתפסה. במקרה דנן החזיק הנאשם  באקדח, במחסנית של רובה סער מסוג קלצ'ניקוב ובה כדורים תואמים וברימון הלם. סוגי הנשק והתחמושת שנתפסו בחזקתו של הנאשם מלמדים, כי הפגיעה בערך המוגן היא גבוהה ומשמעותית. </w:t>
      </w:r>
    </w:p>
    <w:p w14:paraId="3E21B00D" w14:textId="77777777" w:rsidR="00672F1E" w:rsidRDefault="00672F1E">
      <w:pPr>
        <w:ind w:left="720"/>
        <w:contextualSpacing/>
        <w:rPr>
          <w:rFonts w:ascii="Times New Roman" w:hAnsi="Times New Roman"/>
          <w:rtl/>
          <w:lang w:eastAsia="he-IL"/>
        </w:rPr>
      </w:pPr>
    </w:p>
    <w:p w14:paraId="2D6BC15C"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באשר לנסיבות הקשורות בביצוע העבירות נטען, כי הנאשם אחראי בלעדי לביצוע העבירה וכל ניסיון להטיל את האחריות לפתחו של אחר משמעותו ניסיון להמעיט מאחריותו של הנאשם. עוד נטען, כי הנזק שהיה צפוי להיגרם מהחזקת הנשק, התחמושת והסמים הוא רב. </w:t>
      </w:r>
    </w:p>
    <w:p w14:paraId="19E5A9B6" w14:textId="77777777" w:rsidR="00672F1E" w:rsidRDefault="00672F1E">
      <w:pPr>
        <w:ind w:left="720"/>
        <w:contextualSpacing/>
        <w:rPr>
          <w:rFonts w:ascii="Times New Roman" w:hAnsi="Times New Roman"/>
          <w:rtl/>
          <w:lang w:eastAsia="he-IL"/>
        </w:rPr>
      </w:pPr>
    </w:p>
    <w:p w14:paraId="1AAC62F1"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לטענת המאשימה, מדיניות הענישה הנהוגה בעבירות עסקינן היא הטלת עונשי מאסר בפועל לתקופה משתנה ומאסר מותנה. </w:t>
      </w:r>
    </w:p>
    <w:p w14:paraId="625C7763"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לעמדת המאשימה מתחם העונש ההולם בעבירות הנשק שביצע הנאשם נע בין 16 חודשי מאסר בפועל ל-30 חודשי מאסר בפועל, ובעבירות הסמים נע בין 20 חודשי מאסר בפועל ל-36 חודשי מאסר בפועל יחד עם עונשים נלווים; מתחם העונש ההולם לאירוע כולו נע בין 20 חודשי מאסר בפועל ל-36 חודשי מאסר בפועל. </w:t>
      </w:r>
    </w:p>
    <w:p w14:paraId="105D07E1" w14:textId="77777777" w:rsidR="00672F1E" w:rsidRDefault="00672F1E">
      <w:pPr>
        <w:ind w:left="720"/>
        <w:contextualSpacing/>
        <w:rPr>
          <w:rFonts w:ascii="Times New Roman" w:hAnsi="Times New Roman"/>
          <w:rtl/>
          <w:lang w:eastAsia="he-IL"/>
        </w:rPr>
      </w:pPr>
    </w:p>
    <w:p w14:paraId="5C040054" w14:textId="77777777" w:rsidR="00672F1E" w:rsidRDefault="00AF4852">
      <w:pPr>
        <w:numPr>
          <w:ilvl w:val="0"/>
          <w:numId w:val="1"/>
        </w:numPr>
        <w:spacing w:line="360" w:lineRule="auto"/>
        <w:contextualSpacing/>
        <w:jc w:val="both"/>
        <w:rPr>
          <w:rFonts w:ascii="Times New Roman" w:hAnsi="Times New Roman"/>
          <w:b/>
          <w:bCs/>
          <w:u w:val="single"/>
          <w:rtl/>
          <w:lang w:eastAsia="he-IL"/>
        </w:rPr>
      </w:pPr>
      <w:r>
        <w:rPr>
          <w:rFonts w:ascii="Times New Roman" w:hAnsi="Times New Roman"/>
          <w:rtl/>
          <w:lang w:eastAsia="he-IL"/>
        </w:rPr>
        <w:t xml:space="preserve">באשר לקביעת עונשו המתאים של הנאשם בתוך המתחם ציינה המאשימה, כי לחובתו של הנאשם 2 הרשעות קודמות בגין החזקה או שימוש בסמים לצריכה עצמית - האחת משנת 2005 והשנייה משנת 2008, הנאשם  נטל אחריות בגין מעשיו, הודה בכתב האישום וחסך זמן שיפוטי יקר; בנוסף נטען, כי הצורך בהרתעת הרבים מתווה את עונשו של הנאשם בתוך המתחם. </w:t>
      </w:r>
    </w:p>
    <w:p w14:paraId="208D7C32" w14:textId="77777777" w:rsidR="00672F1E" w:rsidRDefault="00672F1E">
      <w:pPr>
        <w:spacing w:line="360" w:lineRule="auto"/>
        <w:ind w:left="720"/>
        <w:jc w:val="both"/>
        <w:rPr>
          <w:rFonts w:ascii="Times New Roman" w:hAnsi="Times New Roman"/>
          <w:lang w:eastAsia="he-IL"/>
        </w:rPr>
      </w:pPr>
    </w:p>
    <w:p w14:paraId="6EE2504B"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לסיום מבקשת המאשימה לגזור על הנאשם עונש המצוי בחלקו העליון של המתחם בצירוף קנס "הנמצא בחלקו העליון של המתחם הנע בין 5,000 ₪ ל- 10,000 ₪" ומאסר מותנה בגין כל עבירת סמים או נשק. </w:t>
      </w:r>
    </w:p>
    <w:p w14:paraId="7B2F4E0B" w14:textId="77777777" w:rsidR="00672F1E" w:rsidRDefault="00672F1E">
      <w:pPr>
        <w:spacing w:line="360" w:lineRule="auto"/>
        <w:jc w:val="both"/>
        <w:rPr>
          <w:rFonts w:ascii="Times New Roman" w:hAnsi="Times New Roman"/>
          <w:rtl/>
          <w:lang w:eastAsia="he-IL"/>
        </w:rPr>
      </w:pPr>
    </w:p>
    <w:p w14:paraId="60D2057D" w14:textId="77777777" w:rsidR="00672F1E" w:rsidRDefault="00AF4852">
      <w:pPr>
        <w:spacing w:line="360" w:lineRule="auto"/>
        <w:ind w:left="720"/>
        <w:jc w:val="both"/>
        <w:rPr>
          <w:rFonts w:ascii="Times New Roman" w:hAnsi="Times New Roman"/>
          <w:b/>
          <w:bCs/>
          <w:u w:val="single"/>
          <w:lang w:eastAsia="he-IL"/>
        </w:rPr>
      </w:pPr>
      <w:r>
        <w:rPr>
          <w:rFonts w:ascii="Times New Roman" w:hAnsi="Times New Roman"/>
          <w:b/>
          <w:bCs/>
          <w:u w:val="single"/>
          <w:rtl/>
          <w:lang w:eastAsia="he-IL"/>
        </w:rPr>
        <w:t xml:space="preserve">טיעוני הנאשם לעונש   </w:t>
      </w:r>
    </w:p>
    <w:p w14:paraId="7429723C" w14:textId="77777777" w:rsidR="00672F1E" w:rsidRDefault="00672F1E">
      <w:pPr>
        <w:spacing w:line="360" w:lineRule="auto"/>
        <w:jc w:val="both"/>
        <w:rPr>
          <w:rFonts w:ascii="Times New Roman" w:hAnsi="Times New Roman"/>
          <w:rtl/>
          <w:lang w:eastAsia="he-IL"/>
        </w:rPr>
      </w:pPr>
    </w:p>
    <w:p w14:paraId="7510623A"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בטיעוניו לעונש, עמד ב"כ הנאשם על כך שהנאשם בחר להודות במעשים המיוחסים לו  בחקירתו ובכך חסך זמן שיפוטי יקר. </w:t>
      </w:r>
    </w:p>
    <w:p w14:paraId="109543C8" w14:textId="77777777" w:rsidR="00672F1E" w:rsidRDefault="00672F1E">
      <w:pPr>
        <w:spacing w:line="360" w:lineRule="auto"/>
        <w:ind w:left="720"/>
        <w:jc w:val="both"/>
        <w:rPr>
          <w:rFonts w:ascii="Times New Roman" w:hAnsi="Times New Roman"/>
          <w:lang w:eastAsia="he-IL"/>
        </w:rPr>
      </w:pPr>
    </w:p>
    <w:p w14:paraId="49561B1C"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בנוגע להשתלשלות האירועים אשר הביאה את הנאשם לביצוע העבירה טען ב"כ הנאשם, כי מכר פנה אל הנאשם וביקש ממנו להסתיר את התיק בדירה. עוד נטען, כי המשטרה ידעה כי אותו אדם הסתיר את התיק בדירה והדבר הביא למעצרו של הנאשם.  </w:t>
      </w:r>
    </w:p>
    <w:p w14:paraId="075AD7A5" w14:textId="77777777" w:rsidR="00672F1E" w:rsidRDefault="00672F1E">
      <w:pPr>
        <w:spacing w:line="360" w:lineRule="auto"/>
        <w:ind w:left="720"/>
        <w:jc w:val="both"/>
        <w:rPr>
          <w:rFonts w:ascii="Times New Roman" w:hAnsi="Times New Roman"/>
          <w:b/>
          <w:bCs/>
          <w:u w:val="single"/>
          <w:lang w:eastAsia="he-IL"/>
        </w:rPr>
      </w:pPr>
    </w:p>
    <w:p w14:paraId="430F7995" w14:textId="77777777" w:rsidR="00672F1E" w:rsidRDefault="00AF4852">
      <w:pPr>
        <w:numPr>
          <w:ilvl w:val="0"/>
          <w:numId w:val="1"/>
        </w:numPr>
        <w:spacing w:line="360" w:lineRule="auto"/>
        <w:jc w:val="both"/>
        <w:rPr>
          <w:rFonts w:ascii="Times New Roman" w:hAnsi="Times New Roman"/>
          <w:b/>
          <w:bCs/>
          <w:u w:val="single"/>
          <w:lang w:eastAsia="he-IL"/>
        </w:rPr>
      </w:pPr>
      <w:r>
        <w:rPr>
          <w:rFonts w:ascii="Times New Roman" w:hAnsi="Times New Roman"/>
          <w:rtl/>
          <w:lang w:eastAsia="he-IL"/>
        </w:rPr>
        <w:t xml:space="preserve">בנוגע לעברו הפלילי ציין ב"כ הנאשם, כי הנאשם הורשע בהחזקה או שימוש בסמים לצריכה עצמית בטרם נישא והקים בית, ומאז הרשעותיו חלפו מספר שנים במהלכן טופל הנאשם על ידי רשויות הרווחה. </w:t>
      </w:r>
    </w:p>
    <w:p w14:paraId="43B81C26" w14:textId="77777777" w:rsidR="00672F1E" w:rsidRDefault="00672F1E">
      <w:pPr>
        <w:ind w:left="720"/>
        <w:contextualSpacing/>
        <w:rPr>
          <w:rFonts w:ascii="Times New Roman" w:hAnsi="Times New Roman"/>
          <w:b/>
          <w:bCs/>
          <w:u w:val="single"/>
          <w:rtl/>
          <w:lang w:eastAsia="he-IL"/>
        </w:rPr>
      </w:pPr>
    </w:p>
    <w:p w14:paraId="091CC18A"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הנאשם עמד על נסיבותיו האישיות של הנאשם וביניהן, היותו אדם צעיר כבן 30, אב לשני ילדים קטנים, המפרנס את משפחתו בעצמו ומנהל אורח חיים נורמטיבי. </w:t>
      </w:r>
    </w:p>
    <w:p w14:paraId="2F39758B" w14:textId="77777777" w:rsidR="00672F1E" w:rsidRDefault="00672F1E">
      <w:pPr>
        <w:ind w:left="720"/>
        <w:contextualSpacing/>
        <w:rPr>
          <w:rFonts w:ascii="Times New Roman" w:hAnsi="Times New Roman"/>
          <w:rtl/>
          <w:lang w:eastAsia="he-IL"/>
        </w:rPr>
      </w:pPr>
    </w:p>
    <w:p w14:paraId="4A5F27FE"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הנאשם מסר לשירות המבחן, כי אינו מכיר את האדם שמסר לו את התיק אך בחקירתו הודה, כי אותו אדם מוכר לו והוא נמנע ממסירת שמו. </w:t>
      </w:r>
    </w:p>
    <w:p w14:paraId="3F8E1497" w14:textId="77777777" w:rsidR="00672F1E" w:rsidRDefault="00672F1E">
      <w:pPr>
        <w:ind w:left="720"/>
        <w:contextualSpacing/>
        <w:rPr>
          <w:rFonts w:ascii="Times New Roman" w:hAnsi="Times New Roman"/>
          <w:rtl/>
          <w:lang w:eastAsia="he-IL"/>
        </w:rPr>
      </w:pPr>
    </w:p>
    <w:p w14:paraId="48B8AC1D"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הנאשם עמד על סוג התחמושת שנתפסה בדירה בהדגישו, כי הרימון שהחזיק הנאשם הוא רימון הלם, שמתפוצץ ויוצר הבזק אור חזק ומסנוור וקול נפץ עז אך לא גורם לנזק רב, זאת להבדיל מרימון רסס. לדידו, על אף שאותו רימון "נופל" לגדר ההגדרה של נשק, יש לקחת בחשבון, כי אין המדובר בכלי המסוגל להמית.   </w:t>
      </w:r>
    </w:p>
    <w:p w14:paraId="6FAFA468" w14:textId="77777777" w:rsidR="00672F1E" w:rsidRDefault="00672F1E">
      <w:pPr>
        <w:ind w:left="720"/>
        <w:contextualSpacing/>
        <w:rPr>
          <w:rFonts w:ascii="Times New Roman" w:hAnsi="Times New Roman"/>
          <w:rtl/>
          <w:lang w:eastAsia="he-IL"/>
        </w:rPr>
      </w:pPr>
    </w:p>
    <w:p w14:paraId="40431BB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הנאשם מבקש להימנע מקביעת שני מתחמים בגין עבירת החזקת הנשק והתחמושת ובגין עבירת החזקת הסמים; לדידו יש לקבוע מתחם כולל לשתי העבירות. </w:t>
      </w:r>
    </w:p>
    <w:p w14:paraId="698C52DD" w14:textId="77777777" w:rsidR="00672F1E" w:rsidRDefault="00672F1E">
      <w:pPr>
        <w:ind w:left="720"/>
        <w:contextualSpacing/>
        <w:rPr>
          <w:rFonts w:ascii="Times New Roman" w:hAnsi="Times New Roman"/>
          <w:rtl/>
          <w:lang w:eastAsia="he-IL"/>
        </w:rPr>
      </w:pPr>
    </w:p>
    <w:p w14:paraId="4753D861"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ב"כ הנאשם הפנה לשני גזרי דין בהדגישו, כי במקרים חמורים יותר נגזרו עונשים שנעו בין 13.5 חודשי מאסר בפועל לבין 15 חודשי מאסר בפועל; כך למשל ב</w:t>
      </w:r>
      <w:hyperlink r:id="rId22" w:history="1">
        <w:r w:rsidR="00D405D9" w:rsidRPr="00D405D9">
          <w:rPr>
            <w:rStyle w:val="Hyperlink"/>
            <w:rFonts w:ascii="Times New Roman" w:hAnsi="Times New Roman"/>
            <w:rtl/>
            <w:lang w:eastAsia="he-IL"/>
          </w:rPr>
          <w:t>ת"פ (נצ') 4550-02-13</w:t>
        </w:r>
      </w:hyperlink>
      <w:r>
        <w:rPr>
          <w:rFonts w:ascii="Times New Roman" w:hAnsi="Times New Roman"/>
          <w:rtl/>
          <w:lang w:eastAsia="he-IL"/>
        </w:rPr>
        <w:t xml:space="preserve"> </w:t>
      </w:r>
      <w:r>
        <w:rPr>
          <w:rFonts w:ascii="Times New Roman" w:hAnsi="Times New Roman"/>
          <w:b/>
          <w:bCs/>
          <w:rtl/>
          <w:lang w:eastAsia="he-IL"/>
        </w:rPr>
        <w:t>מדינת נ' איוב</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03.03.14) – נגזרו על נאשם (שלחובתו עבר פלילי מכביד) שנשא נשק, ירה באזור מגורים, איים וניסה לפצוע אדם אחר 13.5 חודשי מאסר בפועל; ב</w:t>
      </w:r>
      <w:hyperlink r:id="rId23" w:history="1">
        <w:r w:rsidRPr="00AF4852">
          <w:rPr>
            <w:rFonts w:ascii="Times New Roman" w:hAnsi="Times New Roman"/>
            <w:color w:val="0000FF"/>
            <w:u w:val="single"/>
            <w:rtl/>
            <w:lang w:eastAsia="he-IL"/>
          </w:rPr>
          <w:t>ת"פ (נצ') 47217-02-14</w:t>
        </w:r>
      </w:hyperlink>
      <w:r>
        <w:rPr>
          <w:rFonts w:ascii="Times New Roman" w:hAnsi="Times New Roman"/>
          <w:rtl/>
          <w:lang w:eastAsia="he-IL"/>
        </w:rPr>
        <w:t xml:space="preserve"> </w:t>
      </w:r>
      <w:r>
        <w:rPr>
          <w:rFonts w:ascii="Times New Roman" w:hAnsi="Times New Roman"/>
          <w:b/>
          <w:bCs/>
          <w:rtl/>
          <w:lang w:eastAsia="he-IL"/>
        </w:rPr>
        <w:t>מדינת ישראל נ' עלי אלוג'ואד</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17.06.14) – נגזרו על נאשם (שלחובתו עבר פלילי מכביד) שנשא נשק וירה  15 חודשי מאסר בפועל; במקרה זה הסכימו הצדדים על עונש מוסכם והמאשימה ציינה בטיעוניה, כי מדובר בהסדר סביר שאינו סוטה ממדיניות הענישה הנהוגה. </w:t>
      </w:r>
    </w:p>
    <w:p w14:paraId="76A0D0E2" w14:textId="77777777" w:rsidR="00672F1E" w:rsidRDefault="00672F1E">
      <w:pPr>
        <w:spacing w:line="360" w:lineRule="auto"/>
        <w:ind w:left="651"/>
        <w:jc w:val="both"/>
        <w:rPr>
          <w:rFonts w:ascii="Times New Roman" w:hAnsi="Times New Roman"/>
          <w:rtl/>
          <w:lang w:eastAsia="he-IL"/>
        </w:rPr>
      </w:pPr>
    </w:p>
    <w:p w14:paraId="127A7187" w14:textId="77777777" w:rsidR="00672F1E" w:rsidRDefault="00AF4852">
      <w:pPr>
        <w:spacing w:line="360" w:lineRule="auto"/>
        <w:ind w:left="651"/>
        <w:jc w:val="both"/>
        <w:rPr>
          <w:rFonts w:ascii="Times New Roman" w:hAnsi="Times New Roman"/>
          <w:rtl/>
          <w:lang w:eastAsia="he-IL"/>
        </w:rPr>
      </w:pPr>
      <w:r>
        <w:rPr>
          <w:rFonts w:ascii="Times New Roman" w:hAnsi="Times New Roman"/>
          <w:rtl/>
          <w:lang w:eastAsia="he-IL"/>
        </w:rPr>
        <w:t xml:space="preserve">על דרך קל וחומר טוען ב"כ הנאשם, כי יש לגזור על הנאשם עונש מקל מהעונשים שנגזרו על הנאשמים לעיל מאחר והנאשם רק החזיק בנשק ולא ירה או פצע אדם אחר.  </w:t>
      </w:r>
    </w:p>
    <w:p w14:paraId="7E621298" w14:textId="77777777" w:rsidR="00672F1E" w:rsidRDefault="00672F1E">
      <w:pPr>
        <w:spacing w:line="360" w:lineRule="auto"/>
        <w:ind w:left="651"/>
        <w:jc w:val="both"/>
        <w:rPr>
          <w:rFonts w:ascii="Times New Roman" w:hAnsi="Times New Roman"/>
          <w:rtl/>
          <w:lang w:eastAsia="he-IL"/>
        </w:rPr>
      </w:pPr>
    </w:p>
    <w:p w14:paraId="13704729"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עוד הפנה ב"כ הנאשם לאסופת פסיקה שעניינה נשיאה והחזקת נשק וטען, כי בתי המשפט גזרו על נאשמים עונשים שנעו בין מספר חודשי מאסר בודדים לבין 6 חודשי מאסר בעבודות שירות.  </w:t>
      </w:r>
    </w:p>
    <w:p w14:paraId="55669FC6" w14:textId="77777777" w:rsidR="00672F1E" w:rsidRDefault="00672F1E">
      <w:pPr>
        <w:ind w:left="720"/>
        <w:contextualSpacing/>
        <w:rPr>
          <w:rFonts w:ascii="Times New Roman" w:hAnsi="Times New Roman"/>
          <w:rtl/>
          <w:lang w:eastAsia="he-IL"/>
        </w:rPr>
      </w:pPr>
    </w:p>
    <w:p w14:paraId="5D0C4B64"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לסיום ביקש ב"כ הנאשם לגזור על הנאשם עונש מידתי ומאוזן שיביא בחשבון את  הודאתו בכתב האישום ונסיבותיו האישיות. ב"כ הנאשם השאיר לשיקול דעת את יתר רכיבי הענישה, אך ביקש להימנע מהשתת קנס נוכח מצבו הכלכלי של הנאשם.  </w:t>
      </w:r>
    </w:p>
    <w:p w14:paraId="3BB51AB6" w14:textId="77777777" w:rsidR="00672F1E" w:rsidRDefault="00672F1E">
      <w:pPr>
        <w:ind w:left="720"/>
        <w:contextualSpacing/>
        <w:rPr>
          <w:rFonts w:ascii="Times New Roman" w:hAnsi="Times New Roman"/>
          <w:rtl/>
          <w:lang w:eastAsia="he-IL"/>
        </w:rPr>
      </w:pPr>
    </w:p>
    <w:p w14:paraId="2DCE9AB9"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הנאשם בדבריו לעונש התנצל, אמר שטעה והבטיח שלא יחזור על מעשים דומים בעתיד. </w:t>
      </w:r>
    </w:p>
    <w:p w14:paraId="6A12868B" w14:textId="77777777" w:rsidR="00672F1E" w:rsidRDefault="00672F1E">
      <w:pPr>
        <w:ind w:left="720"/>
        <w:contextualSpacing/>
        <w:rPr>
          <w:rFonts w:ascii="Times New Roman" w:hAnsi="Times New Roman"/>
          <w:rtl/>
          <w:lang w:eastAsia="he-IL"/>
        </w:rPr>
      </w:pPr>
    </w:p>
    <w:p w14:paraId="63C06C71" w14:textId="77777777" w:rsidR="00672F1E" w:rsidRDefault="00672F1E">
      <w:pPr>
        <w:ind w:left="720"/>
        <w:contextualSpacing/>
        <w:rPr>
          <w:rFonts w:ascii="Times New Roman" w:hAnsi="Times New Roman"/>
          <w:b/>
          <w:bCs/>
          <w:u w:val="single"/>
          <w:rtl/>
          <w:lang w:eastAsia="he-IL"/>
        </w:rPr>
      </w:pPr>
    </w:p>
    <w:p w14:paraId="680D251B" w14:textId="77777777" w:rsidR="00672F1E" w:rsidRDefault="00AF4852">
      <w:pPr>
        <w:ind w:left="720"/>
        <w:contextualSpacing/>
        <w:rPr>
          <w:rFonts w:ascii="Times New Roman" w:hAnsi="Times New Roman"/>
          <w:b/>
          <w:bCs/>
          <w:u w:val="single"/>
          <w:rtl/>
          <w:lang w:eastAsia="he-IL"/>
        </w:rPr>
      </w:pPr>
      <w:r>
        <w:rPr>
          <w:rFonts w:ascii="Times New Roman" w:hAnsi="Times New Roman"/>
          <w:b/>
          <w:bCs/>
          <w:u w:val="single"/>
          <w:rtl/>
          <w:lang w:eastAsia="he-IL"/>
        </w:rPr>
        <w:t xml:space="preserve">תשובת המאשימה </w:t>
      </w:r>
    </w:p>
    <w:p w14:paraId="5B5578E3" w14:textId="77777777" w:rsidR="00672F1E" w:rsidRDefault="00672F1E">
      <w:pPr>
        <w:ind w:left="720"/>
        <w:contextualSpacing/>
        <w:rPr>
          <w:rFonts w:ascii="Times New Roman" w:hAnsi="Times New Roman"/>
          <w:b/>
          <w:bCs/>
          <w:u w:val="single"/>
          <w:rtl/>
          <w:lang w:eastAsia="he-IL"/>
        </w:rPr>
      </w:pPr>
    </w:p>
    <w:p w14:paraId="790B94D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לטענת המאשימה, מתסקיר שירות המבחן לא עולות נסיבות חיים יוצאות דופן המצדיקות הקלה בעונשו של הנאשם; כן נטען, כי הנאשם לא הביע חרטה אמתית וכנה על מעשיו. </w:t>
      </w:r>
    </w:p>
    <w:p w14:paraId="4C5B2B3E" w14:textId="77777777" w:rsidR="00672F1E" w:rsidRDefault="00672F1E">
      <w:pPr>
        <w:spacing w:line="360" w:lineRule="auto"/>
        <w:ind w:left="720"/>
        <w:jc w:val="both"/>
        <w:rPr>
          <w:rFonts w:ascii="Times New Roman" w:hAnsi="Times New Roman"/>
          <w:lang w:eastAsia="he-IL"/>
        </w:rPr>
      </w:pPr>
    </w:p>
    <w:p w14:paraId="6096C9A8"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ב"כ המאשימה ציינה, כי הנאשם הודה לראשונה בבית המשפט ולא במשטרה וביקשה להתעלם מטענותיו העובדתיות של הנאשם. </w:t>
      </w:r>
    </w:p>
    <w:p w14:paraId="13C30D99" w14:textId="77777777" w:rsidR="00672F1E" w:rsidRDefault="00672F1E">
      <w:pPr>
        <w:ind w:left="720"/>
        <w:contextualSpacing/>
        <w:rPr>
          <w:rFonts w:ascii="Times New Roman" w:hAnsi="Times New Roman"/>
          <w:b/>
          <w:bCs/>
          <w:u w:val="single"/>
          <w:rtl/>
          <w:lang w:eastAsia="he-IL"/>
        </w:rPr>
      </w:pPr>
    </w:p>
    <w:p w14:paraId="3CED58B6" w14:textId="77777777" w:rsidR="00672F1E" w:rsidRDefault="00AF4852">
      <w:pPr>
        <w:ind w:left="720"/>
        <w:contextualSpacing/>
        <w:rPr>
          <w:rFonts w:ascii="Times New Roman" w:hAnsi="Times New Roman"/>
          <w:b/>
          <w:bCs/>
          <w:u w:val="single"/>
          <w:rtl/>
          <w:lang w:eastAsia="he-IL"/>
        </w:rPr>
      </w:pPr>
      <w:r>
        <w:rPr>
          <w:rFonts w:ascii="Times New Roman" w:hAnsi="Times New Roman"/>
          <w:b/>
          <w:bCs/>
          <w:u w:val="single"/>
          <w:rtl/>
          <w:lang w:eastAsia="he-IL"/>
        </w:rPr>
        <w:t xml:space="preserve">דיון והכרעה </w:t>
      </w:r>
    </w:p>
    <w:p w14:paraId="78710572" w14:textId="77777777" w:rsidR="00672F1E" w:rsidRDefault="00672F1E">
      <w:pPr>
        <w:spacing w:line="360" w:lineRule="auto"/>
        <w:ind w:left="720"/>
        <w:jc w:val="both"/>
        <w:rPr>
          <w:rFonts w:ascii="Times New Roman" w:hAnsi="Times New Roman"/>
          <w:lang w:eastAsia="he-IL"/>
        </w:rPr>
      </w:pPr>
    </w:p>
    <w:p w14:paraId="22EAE39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הנאשם חטא בביצוע עבירות חמורות. הוא החזיק נשק - כלי שסוגל לירות ובכוחו להמית אדם, ותחמושת בלא רשות על-פי דין להחזקתם. בנוסף החזיק הנאשם סם מסוכן שלא לצריכה עצמית.</w:t>
      </w:r>
    </w:p>
    <w:p w14:paraId="282B1252" w14:textId="77777777" w:rsidR="00672F1E" w:rsidRDefault="00672F1E">
      <w:pPr>
        <w:ind w:left="720"/>
        <w:contextualSpacing/>
        <w:rPr>
          <w:rFonts w:ascii="Times New Roman" w:hAnsi="Times New Roman"/>
          <w:rtl/>
          <w:lang w:eastAsia="he-IL"/>
        </w:rPr>
      </w:pPr>
    </w:p>
    <w:p w14:paraId="176A992D" w14:textId="77777777" w:rsidR="00672F1E" w:rsidRDefault="00AF4852">
      <w:pPr>
        <w:numPr>
          <w:ilvl w:val="0"/>
          <w:numId w:val="1"/>
        </w:numPr>
        <w:spacing w:line="360" w:lineRule="auto"/>
        <w:jc w:val="both"/>
        <w:rPr>
          <w:rFonts w:ascii="Garamond" w:hAnsi="Garamond" w:cs="FrankRuehl"/>
          <w:spacing w:val="10"/>
        </w:rPr>
      </w:pPr>
      <w:r>
        <w:rPr>
          <w:rFonts w:ascii="Times New Roman" w:hAnsi="Times New Roman"/>
          <w:rtl/>
          <w:lang w:eastAsia="he-IL"/>
        </w:rPr>
        <w:t xml:space="preserve">הנאשם הורשע בשתי עבירות המהוות </w:t>
      </w:r>
      <w:r>
        <w:rPr>
          <w:rFonts w:ascii="Times New Roman" w:hAnsi="Times New Roman"/>
          <w:u w:val="single"/>
          <w:rtl/>
          <w:lang w:eastAsia="he-IL"/>
        </w:rPr>
        <w:t>שני אירועים נפרדים</w:t>
      </w:r>
      <w:r>
        <w:rPr>
          <w:rFonts w:ascii="Times New Roman" w:hAnsi="Times New Roman"/>
          <w:rtl/>
          <w:lang w:eastAsia="he-IL"/>
        </w:rPr>
        <w:t xml:space="preserve">, בהתאם לאמור </w:t>
      </w:r>
      <w:hyperlink r:id="rId24" w:history="1">
        <w:r w:rsidR="006401C2" w:rsidRPr="006401C2">
          <w:rPr>
            <w:rFonts w:ascii="Times New Roman" w:hAnsi="Times New Roman"/>
            <w:color w:val="0000FF"/>
            <w:u w:val="single"/>
            <w:rtl/>
            <w:lang w:eastAsia="he-IL"/>
          </w:rPr>
          <w:t>בסעיף 40יג(ב)</w:t>
        </w:r>
      </w:hyperlink>
      <w:r>
        <w:rPr>
          <w:rFonts w:ascii="Times New Roman" w:hAnsi="Times New Roman"/>
          <w:rtl/>
          <w:lang w:eastAsia="he-IL"/>
        </w:rPr>
        <w:t xml:space="preserve"> ל</w:t>
      </w:r>
      <w:hyperlink r:id="rId25" w:history="1">
        <w:r w:rsidRPr="00AF4852">
          <w:rPr>
            <w:rFonts w:ascii="Times New Roman" w:hAnsi="Times New Roman"/>
            <w:color w:val="0000FF"/>
            <w:u w:val="single"/>
            <w:rtl/>
            <w:lang w:eastAsia="he-IL"/>
          </w:rPr>
          <w:t>חוק העונשין</w:t>
        </w:r>
      </w:hyperlink>
      <w:r>
        <w:rPr>
          <w:rFonts w:ascii="Times New Roman" w:hAnsi="Times New Roman"/>
          <w:rtl/>
          <w:lang w:eastAsia="he-IL"/>
        </w:rPr>
        <w:t xml:space="preserve">, ועל כן יש לקבוע מתחם עונש הולם כאמור </w:t>
      </w:r>
      <w:hyperlink r:id="rId26" w:history="1">
        <w:r w:rsidR="006401C2" w:rsidRPr="006401C2">
          <w:rPr>
            <w:rFonts w:ascii="Times New Roman" w:hAnsi="Times New Roman"/>
            <w:color w:val="0000FF"/>
            <w:u w:val="single"/>
            <w:rtl/>
            <w:lang w:eastAsia="he-IL"/>
          </w:rPr>
          <w:t>בסעיף 40ג(א)</w:t>
        </w:r>
      </w:hyperlink>
      <w:r>
        <w:rPr>
          <w:rFonts w:ascii="Times New Roman" w:hAnsi="Times New Roman"/>
          <w:rtl/>
          <w:lang w:eastAsia="he-IL"/>
        </w:rPr>
        <w:t xml:space="preserve"> לחוק העונשין </w:t>
      </w:r>
      <w:r>
        <w:rPr>
          <w:rFonts w:ascii="Times New Roman" w:hAnsi="Times New Roman"/>
          <w:u w:val="single"/>
          <w:rtl/>
          <w:lang w:eastAsia="he-IL"/>
        </w:rPr>
        <w:t>לכל אירוע בנפרד</w:t>
      </w:r>
      <w:r>
        <w:rPr>
          <w:rFonts w:ascii="Times New Roman" w:hAnsi="Times New Roman"/>
          <w:rtl/>
          <w:lang w:eastAsia="he-IL"/>
        </w:rPr>
        <w:t xml:space="preserve">. בכדי לקבוע מתחם ענישה מאוחד לכל העבירות, כפי בקשתו של ב"כ הנאשם, על העבירות כולן להוות אירוע אחד (ראו </w:t>
      </w:r>
      <w:hyperlink r:id="rId27" w:history="1">
        <w:r w:rsidR="006401C2" w:rsidRPr="006401C2">
          <w:rPr>
            <w:rFonts w:ascii="Times New Roman" w:hAnsi="Times New Roman"/>
            <w:color w:val="0000FF"/>
            <w:u w:val="single"/>
            <w:rtl/>
            <w:lang w:eastAsia="he-IL"/>
          </w:rPr>
          <w:t>סעיף 40יג(א)</w:t>
        </w:r>
      </w:hyperlink>
      <w:r>
        <w:rPr>
          <w:rFonts w:ascii="Times New Roman" w:hAnsi="Times New Roman"/>
          <w:rtl/>
          <w:lang w:eastAsia="he-IL"/>
        </w:rPr>
        <w:t xml:space="preserve"> ל</w:t>
      </w:r>
      <w:hyperlink r:id="rId28" w:history="1">
        <w:r w:rsidRPr="00AF4852">
          <w:rPr>
            <w:rFonts w:ascii="Times New Roman" w:hAnsi="Times New Roman"/>
            <w:color w:val="0000FF"/>
            <w:u w:val="single"/>
            <w:rtl/>
            <w:lang w:eastAsia="he-IL"/>
          </w:rPr>
          <w:t>חוק העונשין</w:t>
        </w:r>
      </w:hyperlink>
      <w:r>
        <w:rPr>
          <w:rFonts w:ascii="Times New Roman" w:hAnsi="Times New Roman"/>
          <w:rtl/>
          <w:lang w:eastAsia="he-IL"/>
        </w:rPr>
        <w:t xml:space="preserve">). בענייננו לא ניתן להתייחס למסכת העובדתית המתוארת בכתב האישום כאירוע אחד; עבירת החזקת הנשק והתחמושת </w:t>
      </w:r>
      <w:r>
        <w:rPr>
          <w:rFonts w:ascii="Times New Roman" w:hAnsi="Times New Roman"/>
          <w:u w:val="single"/>
          <w:rtl/>
          <w:lang w:eastAsia="he-IL"/>
        </w:rPr>
        <w:t>מנותקת</w:t>
      </w:r>
      <w:r>
        <w:rPr>
          <w:rFonts w:ascii="Times New Roman" w:hAnsi="Times New Roman"/>
          <w:rtl/>
          <w:lang w:eastAsia="he-IL"/>
        </w:rPr>
        <w:t xml:space="preserve"> מעבירת החזקת הסמים ועל כן יש לקבוע שני מתחמי ענישה נפרדים (לעניין זה ראו: </w:t>
      </w:r>
      <w:hyperlink r:id="rId29" w:history="1">
        <w:r w:rsidRPr="00AF4852">
          <w:rPr>
            <w:rFonts w:ascii="Times New Roman" w:hAnsi="Times New Roman"/>
            <w:color w:val="0000FF"/>
            <w:u w:val="single"/>
            <w:rtl/>
            <w:lang w:eastAsia="he-IL"/>
          </w:rPr>
          <w:t>ע"פ 772/13</w:t>
        </w:r>
      </w:hyperlink>
      <w:r>
        <w:rPr>
          <w:rFonts w:ascii="Times New Roman" w:hAnsi="Times New Roman"/>
          <w:rtl/>
          <w:lang w:eastAsia="he-IL"/>
        </w:rPr>
        <w:t xml:space="preserve"> </w:t>
      </w:r>
      <w:r>
        <w:rPr>
          <w:rFonts w:ascii="Times New Roman" w:hAnsi="Times New Roman"/>
          <w:b/>
          <w:bCs/>
          <w:rtl/>
          <w:lang w:eastAsia="he-IL"/>
        </w:rPr>
        <w:t>איברהים יחיא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29.06.14).</w:t>
      </w:r>
    </w:p>
    <w:p w14:paraId="6F830E77" w14:textId="77777777" w:rsidR="00672F1E" w:rsidRDefault="00672F1E">
      <w:pPr>
        <w:spacing w:line="360" w:lineRule="auto"/>
        <w:ind w:left="720"/>
        <w:jc w:val="both"/>
        <w:rPr>
          <w:rFonts w:ascii="Times New Roman" w:hAnsi="Times New Roman"/>
          <w:lang w:eastAsia="he-IL"/>
        </w:rPr>
      </w:pPr>
    </w:p>
    <w:p w14:paraId="11CED123" w14:textId="77777777" w:rsidR="00672F1E" w:rsidRDefault="00AF4852">
      <w:pPr>
        <w:numPr>
          <w:ilvl w:val="0"/>
          <w:numId w:val="5"/>
        </w:numPr>
        <w:tabs>
          <w:tab w:val="left" w:pos="900"/>
        </w:tabs>
        <w:spacing w:line="360" w:lineRule="auto"/>
        <w:contextualSpacing/>
        <w:jc w:val="both"/>
        <w:rPr>
          <w:rFonts w:ascii="Times New Roman" w:hAnsi="Times New Roman"/>
          <w:b/>
          <w:bCs/>
          <w:u w:val="single"/>
          <w:lang w:eastAsia="he-IL"/>
        </w:rPr>
      </w:pPr>
      <w:r>
        <w:rPr>
          <w:rFonts w:ascii="Times New Roman" w:hAnsi="Times New Roman"/>
          <w:b/>
          <w:bCs/>
          <w:u w:val="single"/>
          <w:rtl/>
          <w:lang w:eastAsia="he-IL"/>
        </w:rPr>
        <w:t xml:space="preserve">הערכים החברתיים שנפגעו מביצוע עבירת החזקת הנשק והחזקת סם מסוכן שלא לצריכה עצמית ומידת הפגיעה בו       </w:t>
      </w:r>
    </w:p>
    <w:p w14:paraId="4639E064" w14:textId="77777777" w:rsidR="00672F1E" w:rsidRDefault="00672F1E">
      <w:pPr>
        <w:spacing w:line="360" w:lineRule="auto"/>
        <w:ind w:left="900"/>
        <w:jc w:val="both"/>
        <w:rPr>
          <w:rFonts w:ascii="Times New Roman" w:hAnsi="Times New Roman"/>
          <w:lang w:eastAsia="he-IL"/>
        </w:rPr>
      </w:pPr>
    </w:p>
    <w:p w14:paraId="35622A68" w14:textId="77777777" w:rsidR="00672F1E" w:rsidRDefault="00AF4852">
      <w:pPr>
        <w:numPr>
          <w:ilvl w:val="0"/>
          <w:numId w:val="3"/>
        </w:numPr>
        <w:tabs>
          <w:tab w:val="left" w:pos="566"/>
        </w:tabs>
        <w:spacing w:line="360" w:lineRule="auto"/>
        <w:contextualSpacing/>
        <w:jc w:val="both"/>
        <w:rPr>
          <w:rFonts w:ascii="Times New Roman" w:hAnsi="Times New Roman"/>
          <w:lang w:eastAsia="he-IL"/>
        </w:rPr>
      </w:pPr>
      <w:r>
        <w:rPr>
          <w:rFonts w:ascii="Times New Roman" w:hAnsi="Times New Roman"/>
          <w:rtl/>
          <w:lang w:eastAsia="he-IL"/>
        </w:rPr>
        <w:t xml:space="preserve">בעבירת החזקת נשק טמון פוטנציאל הרסני, שכן לרוב עבירה זו מבוצעת כדי לאפשר ביצוען של עבירות אחרות. ניסיון החיים מלמד, לצערנו, כי לרוב בנשק אשר מוחזק על ידי מי שאינו מורשה להחזיקו, נעשה שימוש לפעילות עבריינית, העלולה לסכן עוברי אורח תמימים. הנשק אף עשוי למצוא דרכו למפגעים למיניהם ופגיעתו עלולה להיות הרת אסון. ההסלמה שחלה בעבירות נשק בשנים האחרונות וזמינותם של כלי הנשק, מערערים את הסדר החברתי ופוגעים בתחושת הביטחון האישי של אזרחי המדינה (ראו: </w:t>
      </w:r>
      <w:hyperlink r:id="rId30" w:history="1">
        <w:r w:rsidRPr="00AF4852">
          <w:rPr>
            <w:rFonts w:ascii="Times New Roman" w:hAnsi="Times New Roman"/>
            <w:color w:val="0000FF"/>
            <w:u w:val="single"/>
            <w:rtl/>
            <w:lang w:eastAsia="he-IL"/>
          </w:rPr>
          <w:t>ע"פ 7502/12</w:t>
        </w:r>
      </w:hyperlink>
      <w:r>
        <w:rPr>
          <w:rFonts w:ascii="Times New Roman" w:hAnsi="Times New Roman"/>
          <w:rtl/>
          <w:lang w:eastAsia="he-IL"/>
        </w:rPr>
        <w:t xml:space="preserve"> </w:t>
      </w:r>
      <w:r>
        <w:rPr>
          <w:rFonts w:ascii="Times New Roman" w:hAnsi="Times New Roman"/>
          <w:b/>
          <w:bCs/>
          <w:rtl/>
          <w:lang w:eastAsia="he-IL"/>
        </w:rPr>
        <w:t>בסאם כוויס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25.06.13, וראו: </w:t>
      </w:r>
      <w:hyperlink r:id="rId31" w:history="1">
        <w:r w:rsidRPr="00AF4852">
          <w:rPr>
            <w:rFonts w:ascii="Times New Roman" w:hAnsi="Times New Roman"/>
            <w:color w:val="0000FF"/>
            <w:u w:val="single"/>
            <w:rtl/>
            <w:lang w:eastAsia="he-IL"/>
          </w:rPr>
          <w:t>ע"פ 6989/13</w:t>
        </w:r>
      </w:hyperlink>
      <w:r>
        <w:rPr>
          <w:rFonts w:ascii="Times New Roman" w:hAnsi="Times New Roman"/>
          <w:rtl/>
          <w:lang w:eastAsia="he-IL"/>
        </w:rPr>
        <w:t xml:space="preserve"> </w:t>
      </w:r>
      <w:r>
        <w:rPr>
          <w:rFonts w:ascii="Times New Roman" w:hAnsi="Times New Roman"/>
          <w:b/>
          <w:bCs/>
          <w:rtl/>
          <w:lang w:eastAsia="he-IL"/>
        </w:rPr>
        <w:t>פרח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25.02.14).  </w:t>
      </w:r>
    </w:p>
    <w:p w14:paraId="1201959A" w14:textId="77777777" w:rsidR="00672F1E" w:rsidRDefault="00672F1E">
      <w:pPr>
        <w:spacing w:line="360" w:lineRule="auto"/>
        <w:ind w:left="900"/>
        <w:jc w:val="both"/>
        <w:rPr>
          <w:rFonts w:ascii="Times New Roman" w:hAnsi="Times New Roman"/>
          <w:rtl/>
          <w:lang w:eastAsia="he-IL"/>
        </w:rPr>
      </w:pPr>
    </w:p>
    <w:p w14:paraId="61D4E2CD" w14:textId="77777777" w:rsidR="00672F1E" w:rsidRDefault="00AF4852">
      <w:pPr>
        <w:spacing w:line="360" w:lineRule="auto"/>
        <w:ind w:left="651"/>
        <w:jc w:val="both"/>
        <w:rPr>
          <w:rFonts w:ascii="Times New Roman" w:hAnsi="Times New Roman"/>
          <w:rtl/>
          <w:lang w:eastAsia="he-IL"/>
        </w:rPr>
      </w:pPr>
      <w:r>
        <w:rPr>
          <w:rFonts w:ascii="Times New Roman" w:hAnsi="Times New Roman"/>
          <w:rtl/>
          <w:lang w:eastAsia="he-IL"/>
        </w:rPr>
        <w:t>לעניין זה יפים הדברים שנאמרו ב</w:t>
      </w:r>
      <w:hyperlink r:id="rId32" w:history="1">
        <w:r w:rsidRPr="00AF4852">
          <w:rPr>
            <w:rFonts w:ascii="Times New Roman" w:hAnsi="Times New Roman"/>
            <w:color w:val="0000FF"/>
            <w:u w:val="single"/>
            <w:rtl/>
            <w:lang w:eastAsia="he-IL"/>
          </w:rPr>
          <w:t>ע"פ 761/07</w:t>
        </w:r>
      </w:hyperlink>
      <w:r>
        <w:rPr>
          <w:rFonts w:ascii="Times New Roman" w:hAnsi="Times New Roman"/>
          <w:rtl/>
          <w:lang w:eastAsia="he-IL"/>
        </w:rPr>
        <w:t xml:space="preserve"> </w:t>
      </w:r>
      <w:r>
        <w:rPr>
          <w:rFonts w:ascii="Times New Roman" w:hAnsi="Times New Roman"/>
          <w:b/>
          <w:bCs/>
          <w:rtl/>
          <w:lang w:eastAsia="he-IL"/>
        </w:rPr>
        <w:t>מדינת ישראל נ' אדרי</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22.02.07):  </w:t>
      </w:r>
    </w:p>
    <w:p w14:paraId="3F0DB29B" w14:textId="77777777" w:rsidR="00672F1E" w:rsidRDefault="00672F1E">
      <w:pPr>
        <w:spacing w:line="360" w:lineRule="auto"/>
        <w:ind w:left="1286"/>
        <w:jc w:val="both"/>
        <w:rPr>
          <w:rFonts w:ascii="Times New Roman" w:hAnsi="Times New Roman"/>
          <w:rtl/>
          <w:lang w:eastAsia="he-IL"/>
        </w:rPr>
      </w:pPr>
    </w:p>
    <w:p w14:paraId="0B89BFE0" w14:textId="77777777" w:rsidR="00672F1E" w:rsidRDefault="00AF4852">
      <w:pPr>
        <w:spacing w:line="360" w:lineRule="auto"/>
        <w:ind w:left="1076"/>
        <w:jc w:val="both"/>
        <w:rPr>
          <w:rFonts w:ascii="Times New Roman" w:hAnsi="Times New Roman"/>
          <w:b/>
          <w:bCs/>
          <w:rtl/>
          <w:lang w:eastAsia="he-IL"/>
        </w:rPr>
      </w:pPr>
      <w:r>
        <w:rPr>
          <w:rFonts w:ascii="Times New Roman" w:hAnsi="Times New Roman"/>
          <w:b/>
          <w:bCs/>
          <w:rtl/>
          <w:lang w:eastAsia="he-IL"/>
        </w:rPr>
        <w:t xml:space="preserve">"ניסיון השנים האחרונות מלמד שנשק המוחזק שלא כדין מוצא את דרכו לעיתים לידיים עוינות, ולעיתים נעשה בו שימש למטרות פליליות, ואלה גם אלה כבר גרמו לא אחת לאובדן חיי אדם, ולפגיעה בחפים מפשע שכל "חטאם" נבע מכך שהם נקלעו בדרך מקרה לזירת הפשע".   </w:t>
      </w:r>
    </w:p>
    <w:p w14:paraId="3E92A681" w14:textId="77777777" w:rsidR="00672F1E" w:rsidRDefault="00672F1E">
      <w:pPr>
        <w:spacing w:line="360" w:lineRule="auto"/>
        <w:ind w:left="1076"/>
        <w:jc w:val="both"/>
        <w:rPr>
          <w:rFonts w:ascii="Times New Roman" w:hAnsi="Times New Roman"/>
          <w:rtl/>
          <w:lang w:eastAsia="he-IL"/>
        </w:rPr>
      </w:pPr>
    </w:p>
    <w:p w14:paraId="1B0A6A33" w14:textId="77777777" w:rsidR="00672F1E" w:rsidRDefault="00AF4852">
      <w:pPr>
        <w:spacing w:line="360" w:lineRule="auto"/>
        <w:ind w:left="1106"/>
        <w:jc w:val="both"/>
        <w:rPr>
          <w:rFonts w:ascii="Times New Roman" w:hAnsi="Times New Roman"/>
          <w:rtl/>
          <w:lang w:eastAsia="he-IL"/>
        </w:rPr>
      </w:pPr>
      <w:r>
        <w:rPr>
          <w:rFonts w:ascii="Times New Roman" w:hAnsi="Times New Roman"/>
          <w:rtl/>
          <w:lang w:eastAsia="he-IL"/>
        </w:rPr>
        <w:t xml:space="preserve">וראו גם </w:t>
      </w:r>
      <w:hyperlink r:id="rId33" w:history="1">
        <w:r w:rsidRPr="00AF4852">
          <w:rPr>
            <w:rFonts w:ascii="Times New Roman" w:hAnsi="Times New Roman"/>
            <w:color w:val="0000FF"/>
            <w:u w:val="single"/>
            <w:rtl/>
            <w:lang w:eastAsia="he-IL"/>
          </w:rPr>
          <w:t>ע"פ 4460/11</w:t>
        </w:r>
      </w:hyperlink>
      <w:r>
        <w:rPr>
          <w:rFonts w:ascii="Times New Roman" w:hAnsi="Times New Roman"/>
          <w:rtl/>
          <w:lang w:eastAsia="he-IL"/>
        </w:rPr>
        <w:t xml:space="preserve"> </w:t>
      </w:r>
      <w:r>
        <w:rPr>
          <w:rFonts w:ascii="Times New Roman" w:hAnsi="Times New Roman"/>
          <w:b/>
          <w:bCs/>
          <w:rtl/>
          <w:lang w:eastAsia="he-IL"/>
        </w:rPr>
        <w:t>מדינת ישראל נ' פאיד</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28.11.11), שם נפסק כי:  </w:t>
      </w:r>
    </w:p>
    <w:p w14:paraId="7998D701" w14:textId="77777777" w:rsidR="00672F1E" w:rsidRDefault="00672F1E">
      <w:pPr>
        <w:spacing w:line="360" w:lineRule="auto"/>
        <w:ind w:left="1286"/>
        <w:jc w:val="both"/>
        <w:rPr>
          <w:rFonts w:ascii="Times New Roman" w:hAnsi="Times New Roman"/>
          <w:rtl/>
          <w:lang w:eastAsia="he-IL"/>
        </w:rPr>
      </w:pPr>
    </w:p>
    <w:p w14:paraId="777D2F35" w14:textId="77777777" w:rsidR="00672F1E" w:rsidRDefault="00AF4852">
      <w:pPr>
        <w:spacing w:line="360" w:lineRule="auto"/>
        <w:ind w:left="1076"/>
        <w:jc w:val="both"/>
        <w:rPr>
          <w:rFonts w:ascii="Times New Roman" w:hAnsi="Times New Roman"/>
          <w:b/>
          <w:bCs/>
          <w:rtl/>
          <w:lang w:eastAsia="he-IL"/>
        </w:rPr>
      </w:pPr>
      <w:r>
        <w:rPr>
          <w:rFonts w:ascii="Times New Roman" w:hAnsi="Times New Roman"/>
          <w:b/>
          <w:bCs/>
          <w:rtl/>
          <w:lang w:eastAsia="he-IL"/>
        </w:rPr>
        <w:t>"עבירות בנשק חומרתן מכופלת, הן בעצם המעבר על החוק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הימצאותו של נשק בידיים לא נכונות עלול להביא בסופו של יום אף לקיפוד חיי אדם".</w:t>
      </w:r>
    </w:p>
    <w:p w14:paraId="1888E92F" w14:textId="77777777" w:rsidR="00672F1E" w:rsidRDefault="00672F1E">
      <w:pPr>
        <w:spacing w:line="360" w:lineRule="auto"/>
        <w:jc w:val="both"/>
        <w:rPr>
          <w:rFonts w:ascii="Times New Roman" w:hAnsi="Times New Roman"/>
          <w:b/>
          <w:bCs/>
          <w:lang w:eastAsia="he-IL"/>
        </w:rPr>
      </w:pPr>
    </w:p>
    <w:p w14:paraId="57667D53" w14:textId="77777777" w:rsidR="00672F1E" w:rsidRDefault="00AF4852">
      <w:pPr>
        <w:numPr>
          <w:ilvl w:val="0"/>
          <w:numId w:val="1"/>
        </w:numPr>
        <w:spacing w:line="360" w:lineRule="auto"/>
        <w:contextualSpacing/>
        <w:jc w:val="both"/>
      </w:pPr>
      <w:r>
        <w:rPr>
          <w:rFonts w:hint="eastAsia"/>
          <w:rtl/>
        </w:rPr>
        <w:t>הערך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כתוצאה</w:t>
      </w:r>
      <w:r>
        <w:rPr>
          <w:rtl/>
        </w:rPr>
        <w:t xml:space="preserve"> </w:t>
      </w:r>
      <w:r>
        <w:rPr>
          <w:rFonts w:hint="eastAsia"/>
          <w:rtl/>
        </w:rPr>
        <w:t>מהחזקת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הוא</w:t>
      </w:r>
      <w:r>
        <w:rPr>
          <w:rtl/>
        </w:rPr>
        <w:t xml:space="preserve"> </w:t>
      </w:r>
      <w:r>
        <w:rPr>
          <w:rFonts w:hint="eastAsia"/>
          <w:rtl/>
        </w:rPr>
        <w:t>שלום</w:t>
      </w:r>
      <w:r>
        <w:rPr>
          <w:rtl/>
        </w:rPr>
        <w:t xml:space="preserve"> </w:t>
      </w:r>
      <w:r>
        <w:rPr>
          <w:rFonts w:hint="eastAsia"/>
          <w:rtl/>
        </w:rPr>
        <w:t>הציבור</w:t>
      </w:r>
      <w:r>
        <w:rPr>
          <w:rtl/>
        </w:rPr>
        <w:t xml:space="preserve"> </w:t>
      </w:r>
      <w:r>
        <w:rPr>
          <w:rFonts w:hint="eastAsia"/>
          <w:rtl/>
        </w:rPr>
        <w:t>ובטחונו</w:t>
      </w:r>
      <w:r>
        <w:rPr>
          <w:rtl/>
        </w:rPr>
        <w:t xml:space="preserve">. </w:t>
      </w:r>
      <w:r>
        <w:rPr>
          <w:rFonts w:hint="eastAsia"/>
          <w:rtl/>
        </w:rPr>
        <w:t>שימוש</w:t>
      </w:r>
      <w:r>
        <w:rPr>
          <w:rtl/>
        </w:rPr>
        <w:t xml:space="preserve"> </w:t>
      </w:r>
      <w:r>
        <w:rPr>
          <w:rFonts w:hint="eastAsia"/>
          <w:rtl/>
        </w:rPr>
        <w:t>בנשק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עלול</w:t>
      </w:r>
      <w:r>
        <w:rPr>
          <w:rtl/>
        </w:rPr>
        <w:t xml:space="preserve"> </w:t>
      </w:r>
      <w:r>
        <w:rPr>
          <w:rFonts w:hint="eastAsia"/>
          <w:rtl/>
        </w:rPr>
        <w:t>להוביל</w:t>
      </w:r>
      <w:r>
        <w:rPr>
          <w:rtl/>
        </w:rPr>
        <w:t xml:space="preserve"> </w:t>
      </w:r>
      <w:r>
        <w:rPr>
          <w:rFonts w:hint="eastAsia"/>
          <w:rtl/>
        </w:rPr>
        <w:t>לתוצאות</w:t>
      </w:r>
      <w:r>
        <w:rPr>
          <w:rtl/>
        </w:rPr>
        <w:t xml:space="preserve"> </w:t>
      </w:r>
      <w:r>
        <w:rPr>
          <w:rFonts w:hint="eastAsia"/>
          <w:rtl/>
        </w:rPr>
        <w:t>הרות</w:t>
      </w:r>
      <w:r>
        <w:rPr>
          <w:rtl/>
        </w:rPr>
        <w:t xml:space="preserve"> </w:t>
      </w:r>
      <w:r>
        <w:rPr>
          <w:rFonts w:hint="eastAsia"/>
          <w:rtl/>
        </w:rPr>
        <w:t>אסון</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נטילת</w:t>
      </w:r>
      <w:r>
        <w:rPr>
          <w:rtl/>
        </w:rPr>
        <w:t xml:space="preserve"> </w:t>
      </w:r>
      <w:r>
        <w:rPr>
          <w:rFonts w:hint="eastAsia"/>
          <w:rtl/>
        </w:rPr>
        <w:t>חיי</w:t>
      </w:r>
      <w:r>
        <w:rPr>
          <w:rtl/>
        </w:rPr>
        <w:t xml:space="preserve"> </w:t>
      </w:r>
      <w:r>
        <w:rPr>
          <w:rFonts w:hint="eastAsia"/>
          <w:rtl/>
        </w:rPr>
        <w:t>אדם</w:t>
      </w:r>
      <w:r>
        <w:rPr>
          <w:rtl/>
        </w:rPr>
        <w:t xml:space="preserve">.  </w:t>
      </w:r>
    </w:p>
    <w:p w14:paraId="11E2BD69" w14:textId="77777777" w:rsidR="00672F1E" w:rsidRDefault="00672F1E">
      <w:pPr>
        <w:spacing w:line="360" w:lineRule="auto"/>
        <w:contextualSpacing/>
        <w:jc w:val="both"/>
      </w:pPr>
    </w:p>
    <w:p w14:paraId="428919F8" w14:textId="77777777" w:rsidR="00672F1E" w:rsidRDefault="00AF4852">
      <w:pPr>
        <w:numPr>
          <w:ilvl w:val="0"/>
          <w:numId w:val="1"/>
        </w:numPr>
        <w:spacing w:line="360" w:lineRule="auto"/>
        <w:contextualSpacing/>
        <w:jc w:val="both"/>
      </w:pPr>
      <w:r>
        <w:rPr>
          <w:rFonts w:hint="eastAsia"/>
          <w:rtl/>
        </w:rPr>
        <w:t>באשר</w:t>
      </w:r>
      <w:r>
        <w:rPr>
          <w:rtl/>
        </w:rPr>
        <w:t xml:space="preserve"> </w:t>
      </w:r>
      <w:r>
        <w:rPr>
          <w:rFonts w:hint="eastAsia"/>
          <w:rtl/>
        </w:rPr>
        <w:t>לערך</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כתוצאה</w:t>
      </w:r>
      <w:r>
        <w:rPr>
          <w:rtl/>
        </w:rPr>
        <w:t xml:space="preserve"> </w:t>
      </w:r>
      <w:r>
        <w:rPr>
          <w:rFonts w:hint="eastAsia"/>
          <w:rtl/>
        </w:rPr>
        <w:t>מהחזקת</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 </w:t>
      </w:r>
      <w:r>
        <w:rPr>
          <w:rFonts w:hint="eastAsia"/>
          <w:rtl/>
        </w:rPr>
        <w:t>אציין</w:t>
      </w:r>
      <w:r>
        <w:rPr>
          <w:rtl/>
        </w:rPr>
        <w:t xml:space="preserve">, </w:t>
      </w:r>
      <w:r>
        <w:rPr>
          <w:rFonts w:hint="eastAsia"/>
          <w:rtl/>
        </w:rPr>
        <w:t>כי</w:t>
      </w:r>
      <w:r>
        <w:rPr>
          <w:rtl/>
        </w:rPr>
        <w:t xml:space="preserve"> </w:t>
      </w:r>
      <w:r>
        <w:rPr>
          <w:rFonts w:hint="eastAsia"/>
          <w:rtl/>
        </w:rPr>
        <w:t>החזקת</w:t>
      </w:r>
      <w:r>
        <w:rPr>
          <w:rtl/>
        </w:rPr>
        <w:t xml:space="preserve"> </w:t>
      </w:r>
      <w:r>
        <w:rPr>
          <w:rFonts w:hint="eastAsia"/>
          <w:rtl/>
        </w:rPr>
        <w:t>סמים</w:t>
      </w:r>
      <w:r>
        <w:rPr>
          <w:rtl/>
        </w:rPr>
        <w:t xml:space="preserve"> </w:t>
      </w:r>
      <w:r>
        <w:rPr>
          <w:rFonts w:ascii="Times New Roman" w:hAnsi="Times New Roman"/>
          <w:rtl/>
          <w:lang w:eastAsia="he-IL"/>
        </w:rPr>
        <w:t xml:space="preserve">מסוכנים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מסכנת</w:t>
      </w:r>
      <w:r>
        <w:rPr>
          <w:rtl/>
        </w:rPr>
        <w:t xml:space="preserve"> </w:t>
      </w:r>
      <w:r>
        <w:rPr>
          <w:rFonts w:hint="eastAsia"/>
          <w:rtl/>
        </w:rPr>
        <w:t>חיי</w:t>
      </w:r>
      <w:r>
        <w:rPr>
          <w:rtl/>
        </w:rPr>
        <w:t xml:space="preserve"> </w:t>
      </w:r>
      <w:r>
        <w:rPr>
          <w:rFonts w:hint="eastAsia"/>
          <w:rtl/>
        </w:rPr>
        <w:t>אדם</w:t>
      </w:r>
      <w:r>
        <w:rPr>
          <w:rtl/>
        </w:rPr>
        <w:t xml:space="preserve"> </w:t>
      </w:r>
      <w:r>
        <w:rPr>
          <w:rFonts w:hint="eastAsia"/>
          <w:rtl/>
        </w:rPr>
        <w:t>ומביאה</w:t>
      </w:r>
      <w:r>
        <w:rPr>
          <w:rtl/>
        </w:rPr>
        <w:t xml:space="preserve"> </w:t>
      </w:r>
      <w:r>
        <w:rPr>
          <w:rFonts w:hint="eastAsia"/>
          <w:rtl/>
        </w:rPr>
        <w:t>לפגיעה</w:t>
      </w:r>
      <w:r>
        <w:rPr>
          <w:rtl/>
        </w:rPr>
        <w:t xml:space="preserve"> </w:t>
      </w:r>
      <w:r>
        <w:rPr>
          <w:rFonts w:hint="eastAsia"/>
          <w:rtl/>
        </w:rPr>
        <w:t>בבריאותם</w:t>
      </w:r>
      <w:r>
        <w:rPr>
          <w:rtl/>
        </w:rPr>
        <w:t xml:space="preserve"> </w:t>
      </w:r>
      <w:r>
        <w:rPr>
          <w:rFonts w:hint="eastAsia"/>
          <w:rtl/>
        </w:rPr>
        <w:t>של</w:t>
      </w:r>
      <w:r>
        <w:rPr>
          <w:rtl/>
        </w:rPr>
        <w:t xml:space="preserve"> </w:t>
      </w:r>
      <w:r>
        <w:rPr>
          <w:rFonts w:hint="eastAsia"/>
          <w:rtl/>
        </w:rPr>
        <w:t>אלה</w:t>
      </w:r>
      <w:r>
        <w:rPr>
          <w:rtl/>
        </w:rPr>
        <w:t xml:space="preserve"> </w:t>
      </w:r>
      <w:r>
        <w:rPr>
          <w:rFonts w:hint="eastAsia"/>
          <w:rtl/>
        </w:rPr>
        <w:t>המשתמשים</w:t>
      </w:r>
      <w:r>
        <w:rPr>
          <w:rtl/>
        </w:rPr>
        <w:t xml:space="preserve"> </w:t>
      </w:r>
      <w:r>
        <w:rPr>
          <w:rFonts w:hint="eastAsia"/>
          <w:rtl/>
        </w:rPr>
        <w:t>בסמים</w:t>
      </w:r>
      <w:r>
        <w:rPr>
          <w:rtl/>
        </w:rPr>
        <w:t xml:space="preserve">. </w:t>
      </w:r>
      <w:r>
        <w:rPr>
          <w:rFonts w:hint="eastAsia"/>
          <w:rtl/>
        </w:rPr>
        <w:t>גם</w:t>
      </w:r>
      <w:r>
        <w:rPr>
          <w:rtl/>
        </w:rPr>
        <w:t xml:space="preserve"> </w:t>
      </w:r>
      <w:r>
        <w:rPr>
          <w:rFonts w:hint="eastAsia"/>
          <w:rtl/>
        </w:rPr>
        <w:t>החברה</w:t>
      </w:r>
      <w:r>
        <w:rPr>
          <w:rtl/>
        </w:rPr>
        <w:t xml:space="preserve"> </w:t>
      </w:r>
      <w:r>
        <w:rPr>
          <w:rFonts w:hint="eastAsia"/>
          <w:rtl/>
        </w:rPr>
        <w:t>משלמת</w:t>
      </w:r>
      <w:r>
        <w:rPr>
          <w:rtl/>
        </w:rPr>
        <w:t xml:space="preserve"> </w:t>
      </w:r>
      <w:r>
        <w:rPr>
          <w:rFonts w:hint="eastAsia"/>
          <w:rtl/>
        </w:rPr>
        <w:t>מחיר</w:t>
      </w:r>
      <w:r>
        <w:rPr>
          <w:rtl/>
        </w:rPr>
        <w:t xml:space="preserve"> </w:t>
      </w:r>
      <w:r>
        <w:rPr>
          <w:rFonts w:hint="eastAsia"/>
          <w:rtl/>
        </w:rPr>
        <w:t>כבד</w:t>
      </w:r>
      <w:r>
        <w:rPr>
          <w:rtl/>
        </w:rPr>
        <w:t xml:space="preserve"> </w:t>
      </w:r>
      <w:r>
        <w:rPr>
          <w:rFonts w:hint="eastAsia"/>
          <w:rtl/>
        </w:rPr>
        <w:t>כתוצאה</w:t>
      </w:r>
      <w:r>
        <w:rPr>
          <w:rtl/>
        </w:rPr>
        <w:t xml:space="preserve"> </w:t>
      </w:r>
      <w:r>
        <w:rPr>
          <w:rFonts w:hint="eastAsia"/>
          <w:rtl/>
        </w:rPr>
        <w:t>ממעשיהם</w:t>
      </w:r>
      <w:r>
        <w:rPr>
          <w:rtl/>
        </w:rPr>
        <w:t xml:space="preserve"> </w:t>
      </w:r>
      <w:r>
        <w:rPr>
          <w:rFonts w:hint="eastAsia"/>
          <w:rtl/>
        </w:rPr>
        <w:t>של</w:t>
      </w:r>
      <w:r>
        <w:rPr>
          <w:rtl/>
        </w:rPr>
        <w:t xml:space="preserve"> </w:t>
      </w:r>
      <w:r>
        <w:rPr>
          <w:rFonts w:hint="eastAsia"/>
          <w:rtl/>
        </w:rPr>
        <w:t>המכורים</w:t>
      </w:r>
      <w:r>
        <w:rPr>
          <w:rtl/>
        </w:rPr>
        <w:t xml:space="preserve"> </w:t>
      </w:r>
      <w:r>
        <w:rPr>
          <w:rFonts w:hint="eastAsia"/>
          <w:rtl/>
        </w:rPr>
        <w:t>לסם</w:t>
      </w:r>
      <w:r>
        <w:rPr>
          <w:rtl/>
        </w:rPr>
        <w:t xml:space="preserve"> </w:t>
      </w:r>
      <w:r>
        <w:rPr>
          <w:rFonts w:hint="eastAsia"/>
          <w:rtl/>
        </w:rPr>
        <w:t>אשר</w:t>
      </w:r>
      <w:r>
        <w:rPr>
          <w:rtl/>
        </w:rPr>
        <w:t xml:space="preserve"> </w:t>
      </w:r>
      <w:r>
        <w:rPr>
          <w:rFonts w:hint="eastAsia"/>
          <w:rtl/>
        </w:rPr>
        <w:t>לרוב</w:t>
      </w:r>
      <w:r>
        <w:rPr>
          <w:rtl/>
        </w:rPr>
        <w:t xml:space="preserve"> </w:t>
      </w:r>
      <w:r>
        <w:rPr>
          <w:rFonts w:hint="eastAsia"/>
          <w:rtl/>
        </w:rPr>
        <w:t>מבצעים</w:t>
      </w:r>
      <w:r>
        <w:rPr>
          <w:rtl/>
        </w:rPr>
        <w:t xml:space="preserve"> </w:t>
      </w:r>
      <w:r>
        <w:rPr>
          <w:rFonts w:hint="eastAsia"/>
          <w:rtl/>
        </w:rPr>
        <w:t>עבירות</w:t>
      </w:r>
      <w:r>
        <w:rPr>
          <w:rtl/>
        </w:rPr>
        <w:t xml:space="preserve"> </w:t>
      </w:r>
      <w:r>
        <w:rPr>
          <w:rFonts w:hint="eastAsia"/>
          <w:rtl/>
        </w:rPr>
        <w:t>פליליות</w:t>
      </w:r>
      <w:r>
        <w:rPr>
          <w:rtl/>
        </w:rPr>
        <w:t xml:space="preserve"> </w:t>
      </w:r>
      <w:r>
        <w:rPr>
          <w:rFonts w:hint="eastAsia"/>
          <w:rtl/>
        </w:rPr>
        <w:t>שונות</w:t>
      </w:r>
      <w:r>
        <w:rPr>
          <w:rtl/>
        </w:rPr>
        <w:t xml:space="preserve"> </w:t>
      </w:r>
      <w:r>
        <w:rPr>
          <w:rFonts w:hint="eastAsia"/>
          <w:rtl/>
        </w:rPr>
        <w:t>כדי</w:t>
      </w:r>
      <w:r>
        <w:rPr>
          <w:rtl/>
        </w:rPr>
        <w:t xml:space="preserve"> </w:t>
      </w:r>
      <w:r>
        <w:rPr>
          <w:rFonts w:hint="eastAsia"/>
          <w:rtl/>
        </w:rPr>
        <w:t>לרכוש</w:t>
      </w:r>
      <w:r>
        <w:rPr>
          <w:rtl/>
        </w:rPr>
        <w:t xml:space="preserve"> </w:t>
      </w:r>
      <w:r>
        <w:rPr>
          <w:rFonts w:hint="eastAsia"/>
          <w:rtl/>
        </w:rPr>
        <w:t>את</w:t>
      </w:r>
      <w:r>
        <w:rPr>
          <w:rtl/>
        </w:rPr>
        <w:t xml:space="preserve"> </w:t>
      </w:r>
      <w:r>
        <w:rPr>
          <w:rFonts w:hint="eastAsia"/>
          <w:rtl/>
        </w:rPr>
        <w:t>הסם</w:t>
      </w:r>
      <w:r>
        <w:rPr>
          <w:rtl/>
        </w:rPr>
        <w:t xml:space="preserve">. </w:t>
      </w:r>
      <w:r>
        <w:rPr>
          <w:rFonts w:hint="eastAsia"/>
          <w:rtl/>
        </w:rPr>
        <w:t>לשימוש</w:t>
      </w:r>
      <w:r>
        <w:rPr>
          <w:rtl/>
        </w:rPr>
        <w:t xml:space="preserve"> </w:t>
      </w:r>
      <w:r>
        <w:rPr>
          <w:rFonts w:hint="eastAsia"/>
          <w:rtl/>
        </w:rPr>
        <w:t>בסמים</w:t>
      </w:r>
      <w:r>
        <w:rPr>
          <w:rtl/>
        </w:rPr>
        <w:t xml:space="preserve"> </w:t>
      </w:r>
      <w:r>
        <w:rPr>
          <w:rFonts w:hint="eastAsia"/>
          <w:rtl/>
        </w:rPr>
        <w:t>השפעה</w:t>
      </w:r>
      <w:r>
        <w:rPr>
          <w:rtl/>
        </w:rPr>
        <w:t xml:space="preserve"> </w:t>
      </w:r>
      <w:r>
        <w:rPr>
          <w:rFonts w:hint="eastAsia"/>
          <w:rtl/>
        </w:rPr>
        <w:t>קשה</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ונפשו</w:t>
      </w:r>
      <w:r>
        <w:rPr>
          <w:rtl/>
        </w:rPr>
        <w:t xml:space="preserve"> </w:t>
      </w:r>
      <w:r>
        <w:rPr>
          <w:rFonts w:hint="eastAsia"/>
          <w:rtl/>
        </w:rPr>
        <w:t>של</w:t>
      </w:r>
      <w:r>
        <w:rPr>
          <w:rtl/>
        </w:rPr>
        <w:t xml:space="preserve"> </w:t>
      </w:r>
      <w:r>
        <w:rPr>
          <w:rFonts w:hint="eastAsia"/>
          <w:rtl/>
        </w:rPr>
        <w:t>המשמש</w:t>
      </w:r>
      <w:r>
        <w:rPr>
          <w:rtl/>
        </w:rPr>
        <w:t xml:space="preserve"> </w:t>
      </w:r>
      <w:r>
        <w:rPr>
          <w:rFonts w:hint="eastAsia"/>
          <w:rtl/>
        </w:rPr>
        <w:t>ובין</w:t>
      </w:r>
      <w:r>
        <w:rPr>
          <w:rtl/>
        </w:rPr>
        <w:t xml:space="preserve"> </w:t>
      </w:r>
      <w:r>
        <w:rPr>
          <w:rFonts w:hint="eastAsia"/>
          <w:rtl/>
        </w:rPr>
        <w:t>השאר</w:t>
      </w:r>
      <w:r>
        <w:rPr>
          <w:rtl/>
        </w:rPr>
        <w:t xml:space="preserve">, </w:t>
      </w:r>
      <w:r>
        <w:rPr>
          <w:rFonts w:hint="eastAsia"/>
          <w:rtl/>
        </w:rPr>
        <w:t>יוצא</w:t>
      </w:r>
      <w:r>
        <w:rPr>
          <w:rtl/>
        </w:rPr>
        <w:t xml:space="preserve"> </w:t>
      </w:r>
      <w:r>
        <w:rPr>
          <w:rFonts w:hint="eastAsia"/>
          <w:rtl/>
        </w:rPr>
        <w:t>האדם</w:t>
      </w:r>
      <w:r>
        <w:rPr>
          <w:rtl/>
        </w:rPr>
        <w:t xml:space="preserve"> </w:t>
      </w:r>
      <w:r>
        <w:rPr>
          <w:rFonts w:hint="eastAsia"/>
          <w:rtl/>
        </w:rPr>
        <w:t>ממעגל</w:t>
      </w:r>
      <w:r>
        <w:rPr>
          <w:rtl/>
        </w:rPr>
        <w:t xml:space="preserve"> </w:t>
      </w:r>
      <w:r>
        <w:rPr>
          <w:rFonts w:hint="eastAsia"/>
          <w:rtl/>
        </w:rPr>
        <w:t>החיים</w:t>
      </w:r>
      <w:r>
        <w:rPr>
          <w:rtl/>
        </w:rPr>
        <w:t xml:space="preserve"> </w:t>
      </w:r>
      <w:r>
        <w:rPr>
          <w:rFonts w:hint="eastAsia"/>
          <w:rtl/>
        </w:rPr>
        <w:t>הרגיל</w:t>
      </w:r>
      <w:r>
        <w:rPr>
          <w:rtl/>
        </w:rPr>
        <w:t xml:space="preserve"> </w:t>
      </w:r>
      <w:r>
        <w:rPr>
          <w:rFonts w:hint="eastAsia"/>
          <w:rtl/>
        </w:rPr>
        <w:t>ונזנח</w:t>
      </w:r>
      <w:r>
        <w:rPr>
          <w:rtl/>
        </w:rPr>
        <w:t xml:space="preserve"> </w:t>
      </w:r>
      <w:r>
        <w:rPr>
          <w:rFonts w:hint="eastAsia"/>
          <w:rtl/>
        </w:rPr>
        <w:t>אט</w:t>
      </w:r>
      <w:r>
        <w:rPr>
          <w:rtl/>
        </w:rPr>
        <w:t xml:space="preserve"> </w:t>
      </w:r>
      <w:r>
        <w:rPr>
          <w:rFonts w:hint="eastAsia"/>
          <w:rtl/>
        </w:rPr>
        <w:t>אט</w:t>
      </w:r>
      <w:r>
        <w:rPr>
          <w:rtl/>
        </w:rPr>
        <w:t xml:space="preserve"> </w:t>
      </w:r>
      <w:r>
        <w:rPr>
          <w:rFonts w:hint="eastAsia"/>
          <w:rtl/>
        </w:rPr>
        <w:t>הרחק</w:t>
      </w:r>
      <w:r>
        <w:rPr>
          <w:rtl/>
        </w:rPr>
        <w:t xml:space="preserve"> </w:t>
      </w:r>
      <w:r>
        <w:rPr>
          <w:rFonts w:hint="eastAsia"/>
          <w:rtl/>
        </w:rPr>
        <w:t>מאחור</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חזרו</w:t>
      </w:r>
      <w:r>
        <w:rPr>
          <w:rtl/>
        </w:rPr>
        <w:t xml:space="preserve"> </w:t>
      </w:r>
      <w:r>
        <w:rPr>
          <w:rFonts w:hint="eastAsia"/>
          <w:rtl/>
        </w:rPr>
        <w:t>ופסקו</w:t>
      </w:r>
      <w:r>
        <w:rPr>
          <w:rtl/>
        </w:rPr>
        <w:t xml:space="preserve"> </w:t>
      </w:r>
      <w:r>
        <w:rPr>
          <w:rFonts w:hint="eastAsia"/>
          <w:rtl/>
        </w:rPr>
        <w:t>בתי</w:t>
      </w:r>
      <w:r>
        <w:rPr>
          <w:rtl/>
        </w:rPr>
        <w:t xml:space="preserve"> </w:t>
      </w:r>
      <w:r>
        <w:rPr>
          <w:rFonts w:hint="eastAsia"/>
          <w:rtl/>
        </w:rPr>
        <w:t>המשפט</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להירתם</w:t>
      </w:r>
      <w:r>
        <w:rPr>
          <w:rtl/>
        </w:rPr>
        <w:t xml:space="preserve"> </w:t>
      </w:r>
      <w:r>
        <w:rPr>
          <w:rFonts w:hint="eastAsia"/>
          <w:rtl/>
        </w:rPr>
        <w:t>ולהיאבק</w:t>
      </w:r>
      <w:r>
        <w:rPr>
          <w:rtl/>
        </w:rPr>
        <w:t xml:space="preserve"> </w:t>
      </w:r>
      <w:r>
        <w:rPr>
          <w:rFonts w:hint="eastAsia"/>
          <w:rtl/>
        </w:rPr>
        <w:t>בנגע</w:t>
      </w:r>
      <w:r>
        <w:rPr>
          <w:rtl/>
        </w:rPr>
        <w:t xml:space="preserve"> </w:t>
      </w:r>
      <w:r>
        <w:rPr>
          <w:rFonts w:hint="eastAsia"/>
          <w:rtl/>
        </w:rPr>
        <w:t>הסמים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משכך</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המוגן</w:t>
      </w:r>
      <w:r>
        <w:rPr>
          <w:rtl/>
        </w:rPr>
        <w:t xml:space="preserve"> </w:t>
      </w:r>
      <w:r>
        <w:rPr>
          <w:rFonts w:hint="eastAsia"/>
          <w:rtl/>
        </w:rPr>
        <w:t>הנה</w:t>
      </w:r>
      <w:r>
        <w:rPr>
          <w:rtl/>
        </w:rPr>
        <w:t xml:space="preserve"> </w:t>
      </w:r>
      <w:r>
        <w:rPr>
          <w:rFonts w:hint="eastAsia"/>
          <w:rtl/>
        </w:rPr>
        <w:t>גדולה</w:t>
      </w:r>
      <w:r>
        <w:rPr>
          <w:rtl/>
        </w:rPr>
        <w:t xml:space="preserve">. </w:t>
      </w:r>
      <w:r>
        <w:rPr>
          <w:rFonts w:hint="eastAsia"/>
          <w:rtl/>
        </w:rPr>
        <w:t>הענישה</w:t>
      </w:r>
      <w:r>
        <w:rPr>
          <w:rtl/>
        </w:rPr>
        <w:t xml:space="preserve"> </w:t>
      </w:r>
      <w:r>
        <w:rPr>
          <w:rFonts w:hint="eastAsia"/>
          <w:rtl/>
        </w:rPr>
        <w:t>המחמירה</w:t>
      </w:r>
      <w:r>
        <w:rPr>
          <w:rtl/>
        </w:rPr>
        <w:t xml:space="preserve"> </w:t>
      </w:r>
      <w:r>
        <w:rPr>
          <w:rFonts w:hint="eastAsia"/>
          <w:rtl/>
        </w:rPr>
        <w:t>בעבירות</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נועדה</w:t>
      </w:r>
      <w:r>
        <w:rPr>
          <w:rtl/>
        </w:rPr>
        <w:t xml:space="preserve"> </w:t>
      </w:r>
      <w:r>
        <w:rPr>
          <w:rFonts w:hint="eastAsia"/>
          <w:rtl/>
        </w:rPr>
        <w:t>קודם</w:t>
      </w:r>
      <w:r>
        <w:rPr>
          <w:rtl/>
        </w:rPr>
        <w:t xml:space="preserve"> </w:t>
      </w:r>
      <w:r>
        <w:rPr>
          <w:rFonts w:hint="eastAsia"/>
          <w:rtl/>
        </w:rPr>
        <w:t>כל</w:t>
      </w:r>
      <w:r>
        <w:rPr>
          <w:rtl/>
        </w:rPr>
        <w:t xml:space="preserve"> </w:t>
      </w:r>
      <w:r>
        <w:rPr>
          <w:rFonts w:hint="eastAsia"/>
          <w:rtl/>
        </w:rPr>
        <w:t>לשרת</w:t>
      </w:r>
      <w:r>
        <w:rPr>
          <w:rtl/>
        </w:rPr>
        <w:t xml:space="preserve"> </w:t>
      </w:r>
      <w:r>
        <w:rPr>
          <w:rFonts w:hint="eastAsia"/>
          <w:rtl/>
        </w:rPr>
        <w:t>את</w:t>
      </w:r>
      <w:r>
        <w:rPr>
          <w:rtl/>
        </w:rPr>
        <w:t xml:space="preserve"> </w:t>
      </w:r>
      <w:r>
        <w:rPr>
          <w:rFonts w:hint="eastAsia"/>
          <w:rtl/>
        </w:rPr>
        <w:t>מטרת</w:t>
      </w:r>
      <w:r>
        <w:rPr>
          <w:rtl/>
        </w:rPr>
        <w:t xml:space="preserve"> </w:t>
      </w:r>
      <w:r>
        <w:rPr>
          <w:rFonts w:hint="eastAsia"/>
          <w:rtl/>
        </w:rPr>
        <w:t>הגמול</w:t>
      </w:r>
      <w:r>
        <w:rPr>
          <w:rtl/>
        </w:rPr>
        <w:t xml:space="preserve"> </w:t>
      </w:r>
      <w:r>
        <w:rPr>
          <w:rFonts w:hint="eastAsia"/>
          <w:rtl/>
        </w:rPr>
        <w:t>לעבריינים</w:t>
      </w:r>
      <w:r>
        <w:rPr>
          <w:rtl/>
        </w:rPr>
        <w:t xml:space="preserve"> </w:t>
      </w:r>
      <w:r>
        <w:rPr>
          <w:rFonts w:hint="eastAsia"/>
          <w:rtl/>
        </w:rPr>
        <w:t>על</w:t>
      </w:r>
      <w:r>
        <w:rPr>
          <w:rtl/>
        </w:rPr>
        <w:t xml:space="preserve"> </w:t>
      </w:r>
      <w:r>
        <w:rPr>
          <w:rFonts w:hint="eastAsia"/>
          <w:rtl/>
        </w:rPr>
        <w:t>העיסוק</w:t>
      </w:r>
      <w:r>
        <w:rPr>
          <w:rtl/>
        </w:rPr>
        <w:t xml:space="preserve"> </w:t>
      </w:r>
      <w:r>
        <w:rPr>
          <w:rFonts w:hint="eastAsia"/>
          <w:rtl/>
        </w:rPr>
        <w:t>בסם</w:t>
      </w:r>
      <w:r>
        <w:rPr>
          <w:rtl/>
        </w:rPr>
        <w:t xml:space="preserve"> </w:t>
      </w:r>
      <w:r>
        <w:rPr>
          <w:rFonts w:hint="eastAsia"/>
          <w:rtl/>
        </w:rPr>
        <w:t>אשר</w:t>
      </w:r>
      <w:r>
        <w:rPr>
          <w:rtl/>
        </w:rPr>
        <w:t xml:space="preserve"> </w:t>
      </w:r>
      <w:r>
        <w:rPr>
          <w:rFonts w:hint="eastAsia"/>
          <w:rtl/>
        </w:rPr>
        <w:t>עלול</w:t>
      </w:r>
      <w:r>
        <w:rPr>
          <w:rtl/>
        </w:rPr>
        <w:t xml:space="preserve"> </w:t>
      </w:r>
      <w:r>
        <w:rPr>
          <w:rFonts w:hint="eastAsia"/>
          <w:rtl/>
        </w:rPr>
        <w:t>לסכן</w:t>
      </w:r>
      <w:r>
        <w:rPr>
          <w:rtl/>
        </w:rPr>
        <w:t xml:space="preserve"> </w:t>
      </w:r>
      <w:r>
        <w:rPr>
          <w:rFonts w:hint="eastAsia"/>
          <w:rtl/>
        </w:rPr>
        <w:t>חיי</w:t>
      </w:r>
      <w:r>
        <w:rPr>
          <w:rtl/>
        </w:rPr>
        <w:t xml:space="preserve"> </w:t>
      </w:r>
      <w:r>
        <w:rPr>
          <w:rFonts w:hint="eastAsia"/>
          <w:rtl/>
        </w:rPr>
        <w:t>אדם</w:t>
      </w:r>
      <w:r>
        <w:rPr>
          <w:rtl/>
        </w:rPr>
        <w:t xml:space="preserve"> </w:t>
      </w:r>
      <w:r>
        <w:rPr>
          <w:rFonts w:hint="eastAsia"/>
          <w:rtl/>
        </w:rPr>
        <w:t>ולפגוע</w:t>
      </w:r>
      <w:r>
        <w:rPr>
          <w:rtl/>
        </w:rPr>
        <w:t xml:space="preserve"> </w:t>
      </w:r>
      <w:r>
        <w:rPr>
          <w:rFonts w:hint="eastAsia"/>
          <w:rtl/>
        </w:rPr>
        <w:t>בבריאות</w:t>
      </w:r>
      <w:r>
        <w:rPr>
          <w:rtl/>
        </w:rPr>
        <w:t xml:space="preserve"> </w:t>
      </w:r>
      <w:r>
        <w:rPr>
          <w:rFonts w:hint="eastAsia"/>
          <w:rtl/>
        </w:rPr>
        <w:t>המשתמשים</w:t>
      </w:r>
      <w:r>
        <w:rPr>
          <w:rtl/>
        </w:rPr>
        <w:t xml:space="preserve"> </w:t>
      </w:r>
      <w:r>
        <w:rPr>
          <w:rFonts w:hint="eastAsia"/>
          <w:rtl/>
        </w:rPr>
        <w:t>בו</w:t>
      </w:r>
      <w:r>
        <w:rPr>
          <w:rtl/>
        </w:rPr>
        <w:t xml:space="preserve">; </w:t>
      </w:r>
      <w:r>
        <w:rPr>
          <w:rFonts w:hint="eastAsia"/>
          <w:rtl/>
        </w:rPr>
        <w:t>בנוסף</w:t>
      </w:r>
      <w:r>
        <w:rPr>
          <w:rtl/>
        </w:rPr>
        <w:t xml:space="preserve">, </w:t>
      </w:r>
      <w:r>
        <w:rPr>
          <w:rFonts w:hint="eastAsia"/>
          <w:rtl/>
        </w:rPr>
        <w:t>על</w:t>
      </w:r>
      <w:r>
        <w:rPr>
          <w:rtl/>
        </w:rPr>
        <w:t xml:space="preserve"> </w:t>
      </w:r>
      <w:r>
        <w:rPr>
          <w:rFonts w:hint="eastAsia"/>
          <w:rtl/>
        </w:rPr>
        <w:t>העונש</w:t>
      </w:r>
      <w:r>
        <w:rPr>
          <w:rtl/>
        </w:rPr>
        <w:t xml:space="preserve"> </w:t>
      </w:r>
      <w:r>
        <w:rPr>
          <w:rFonts w:hint="eastAsia"/>
          <w:rtl/>
        </w:rPr>
        <w:t>להעביר</w:t>
      </w:r>
      <w:r>
        <w:rPr>
          <w:rtl/>
        </w:rPr>
        <w:t xml:space="preserve"> </w:t>
      </w:r>
      <w:r>
        <w:rPr>
          <w:rFonts w:hint="eastAsia"/>
          <w:rtl/>
        </w:rPr>
        <w:t>מסר</w:t>
      </w:r>
      <w:r>
        <w:rPr>
          <w:rtl/>
        </w:rPr>
        <w:t xml:space="preserve"> </w:t>
      </w:r>
      <w:r>
        <w:rPr>
          <w:rFonts w:hint="eastAsia"/>
          <w:rtl/>
        </w:rPr>
        <w:t>חד</w:t>
      </w:r>
      <w:r>
        <w:rPr>
          <w:rtl/>
        </w:rPr>
        <w:t>-</w:t>
      </w:r>
      <w:r>
        <w:rPr>
          <w:rFonts w:hint="eastAsia"/>
          <w:rtl/>
        </w:rPr>
        <w:t>משמעי</w:t>
      </w:r>
      <w:r>
        <w:rPr>
          <w:rtl/>
        </w:rPr>
        <w:t xml:space="preserve"> </w:t>
      </w:r>
      <w:r>
        <w:rPr>
          <w:rFonts w:hint="eastAsia"/>
          <w:rtl/>
        </w:rPr>
        <w:t>של</w:t>
      </w:r>
      <w:r>
        <w:rPr>
          <w:rtl/>
        </w:rPr>
        <w:t xml:space="preserve"> </w:t>
      </w:r>
      <w:r>
        <w:rPr>
          <w:rFonts w:hint="eastAsia"/>
          <w:rtl/>
        </w:rPr>
        <w:t>הרתעה</w:t>
      </w:r>
      <w:r>
        <w:rPr>
          <w:rtl/>
        </w:rPr>
        <w:t xml:space="preserve"> </w:t>
      </w:r>
      <w:r>
        <w:rPr>
          <w:rFonts w:hint="eastAsia"/>
          <w:rtl/>
        </w:rPr>
        <w:t>ביחס</w:t>
      </w:r>
      <w:r>
        <w:rPr>
          <w:rtl/>
        </w:rPr>
        <w:t xml:space="preserve"> </w:t>
      </w:r>
      <w:r>
        <w:rPr>
          <w:rFonts w:hint="eastAsia"/>
          <w:rtl/>
        </w:rPr>
        <w:t>לעבריינים</w:t>
      </w:r>
      <w:r>
        <w:rPr>
          <w:rtl/>
        </w:rPr>
        <w:t xml:space="preserve"> </w:t>
      </w:r>
      <w:r>
        <w:rPr>
          <w:rFonts w:hint="eastAsia"/>
          <w:rtl/>
        </w:rPr>
        <w:t>פוטנציאלים</w:t>
      </w:r>
      <w:r>
        <w:rPr>
          <w:rtl/>
        </w:rPr>
        <w:t xml:space="preserve"> (</w:t>
      </w:r>
      <w:r>
        <w:rPr>
          <w:rFonts w:hint="eastAsia"/>
          <w:rtl/>
        </w:rPr>
        <w:t>ראו</w:t>
      </w:r>
      <w:r>
        <w:rPr>
          <w:rtl/>
        </w:rPr>
        <w:t xml:space="preserve">: </w:t>
      </w:r>
      <w:hyperlink r:id="rId34" w:history="1">
        <w:r w:rsidRPr="00AF4852">
          <w:rPr>
            <w:color w:val="0000FF"/>
            <w:u w:val="single"/>
            <w:rtl/>
          </w:rPr>
          <w:t>ע"פ 3487/12</w:t>
        </w:r>
      </w:hyperlink>
      <w:r>
        <w:rPr>
          <w:rtl/>
        </w:rPr>
        <w:t xml:space="preserve"> </w:t>
      </w:r>
      <w:r>
        <w:rPr>
          <w:rFonts w:hint="eastAsia"/>
          <w:b/>
          <w:bCs/>
          <w:rtl/>
        </w:rPr>
        <w:t>כרים</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w:t>
      </w:r>
      <w:r>
        <w:rPr>
          <w:rtl/>
        </w:rPr>
        <w:t xml:space="preserve"> </w:t>
      </w:r>
      <w:r w:rsidR="00D405D9" w:rsidRPr="00D405D9">
        <w:rPr>
          <w:rFonts w:ascii="Times New Roman" w:hAnsi="Times New Roman"/>
          <w:sz w:val="22"/>
          <w:rtl/>
        </w:rPr>
        <w:t xml:space="preserve">[פורסם בנבו] </w:t>
      </w:r>
      <w:r>
        <w:rPr>
          <w:rFonts w:hint="eastAsia"/>
          <w:rtl/>
        </w:rPr>
        <w:t>ניתן</w:t>
      </w:r>
      <w:r>
        <w:rPr>
          <w:rtl/>
        </w:rPr>
        <w:t xml:space="preserve"> </w:t>
      </w:r>
      <w:r>
        <w:rPr>
          <w:rFonts w:hint="eastAsia"/>
          <w:rtl/>
        </w:rPr>
        <w:t>ביום</w:t>
      </w:r>
      <w:r>
        <w:rPr>
          <w:rtl/>
        </w:rPr>
        <w:t xml:space="preserve"> 04.11.12). </w:t>
      </w:r>
    </w:p>
    <w:p w14:paraId="20B61B1C" w14:textId="77777777" w:rsidR="00672F1E" w:rsidRDefault="00672F1E">
      <w:pPr>
        <w:spacing w:line="360" w:lineRule="auto"/>
        <w:jc w:val="both"/>
        <w:rPr>
          <w:rtl/>
        </w:rPr>
      </w:pPr>
    </w:p>
    <w:p w14:paraId="053AB6C0" w14:textId="77777777" w:rsidR="00672F1E" w:rsidRDefault="00AF4852">
      <w:pPr>
        <w:spacing w:line="360" w:lineRule="auto"/>
        <w:ind w:left="746"/>
        <w:jc w:val="both"/>
        <w:rPr>
          <w:rtl/>
        </w:rPr>
      </w:pPr>
      <w:r>
        <w:rPr>
          <w:rFonts w:hint="eastAsia"/>
          <w:rtl/>
        </w:rPr>
        <w:t>יפים</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הדברים</w:t>
      </w:r>
      <w:r>
        <w:rPr>
          <w:rtl/>
        </w:rPr>
        <w:t xml:space="preserve"> </w:t>
      </w:r>
      <w:r>
        <w:rPr>
          <w:rFonts w:hint="eastAsia"/>
          <w:rtl/>
        </w:rPr>
        <w:t>שנאמרו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הנדל</w:t>
      </w:r>
      <w:r>
        <w:rPr>
          <w:rtl/>
        </w:rPr>
        <w:t xml:space="preserve"> </w:t>
      </w:r>
      <w:r>
        <w:rPr>
          <w:rFonts w:hint="eastAsia"/>
          <w:rtl/>
        </w:rPr>
        <w:t>ב</w:t>
      </w:r>
      <w:hyperlink r:id="rId35" w:history="1">
        <w:r w:rsidRPr="00AF4852">
          <w:rPr>
            <w:color w:val="0000FF"/>
            <w:u w:val="single"/>
            <w:rtl/>
          </w:rPr>
          <w:t>ע"פ 972/11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אמארה</w:t>
      </w:r>
      <w:r>
        <w:rPr>
          <w:rtl/>
        </w:rPr>
        <w:t xml:space="preserve"> </w:t>
      </w:r>
      <w:r w:rsidR="00D405D9" w:rsidRPr="00D405D9">
        <w:rPr>
          <w:rFonts w:ascii="Times New Roman" w:hAnsi="Times New Roman"/>
          <w:sz w:val="22"/>
          <w:rtl/>
        </w:rPr>
        <w:t xml:space="preserve">[פורסם בנבו] </w:t>
      </w:r>
      <w:r>
        <w:rPr>
          <w:rtl/>
        </w:rPr>
        <w:t>(</w:t>
      </w:r>
      <w:r>
        <w:rPr>
          <w:rFonts w:hint="eastAsia"/>
          <w:rtl/>
        </w:rPr>
        <w:t>ניתן</w:t>
      </w:r>
      <w:r>
        <w:rPr>
          <w:rtl/>
        </w:rPr>
        <w:t xml:space="preserve"> </w:t>
      </w:r>
      <w:r>
        <w:rPr>
          <w:rFonts w:hint="eastAsia"/>
          <w:rtl/>
        </w:rPr>
        <w:t>ביום</w:t>
      </w:r>
      <w:r>
        <w:rPr>
          <w:rtl/>
        </w:rPr>
        <w:t xml:space="preserve"> 04.07.12), </w:t>
      </w:r>
      <w:r>
        <w:rPr>
          <w:rFonts w:hint="eastAsia"/>
          <w:rtl/>
        </w:rPr>
        <w:t>ביחס</w:t>
      </w:r>
      <w:r>
        <w:rPr>
          <w:rtl/>
        </w:rPr>
        <w:t xml:space="preserve"> </w:t>
      </w:r>
      <w:r>
        <w:rPr>
          <w:rFonts w:hint="eastAsia"/>
          <w:rtl/>
        </w:rPr>
        <w:t>לפגיעתן</w:t>
      </w:r>
      <w:r>
        <w:rPr>
          <w:rtl/>
        </w:rPr>
        <w:t xml:space="preserve"> </w:t>
      </w:r>
      <w:r>
        <w:rPr>
          <w:rFonts w:hint="eastAsia"/>
          <w:rtl/>
        </w:rPr>
        <w:t>הרעה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הסמים</w:t>
      </w:r>
      <w:r>
        <w:rPr>
          <w:rtl/>
        </w:rPr>
        <w:t xml:space="preserve">: </w:t>
      </w:r>
    </w:p>
    <w:p w14:paraId="3881925B" w14:textId="77777777" w:rsidR="00672F1E" w:rsidRDefault="00AF4852">
      <w:pPr>
        <w:tabs>
          <w:tab w:val="left" w:pos="800"/>
        </w:tabs>
        <w:overflowPunct w:val="0"/>
        <w:autoSpaceDE w:val="0"/>
        <w:autoSpaceDN w:val="0"/>
        <w:adjustRightInd w:val="0"/>
        <w:spacing w:line="360" w:lineRule="auto"/>
        <w:ind w:left="1466" w:right="1800"/>
        <w:jc w:val="both"/>
        <w:rPr>
          <w:rFonts w:ascii="Times New Roman" w:hAnsi="Times New Roman"/>
          <w:rtl/>
        </w:rPr>
      </w:pPr>
      <w:r>
        <w:rPr>
          <w:rFonts w:ascii="Times New Roman" w:hAnsi="Times New Roman"/>
          <w:rtl/>
        </w:rPr>
        <w:t>"</w:t>
      </w:r>
      <w:r>
        <w:rPr>
          <w:rFonts w:ascii="Times New Roman" w:hAnsi="Times New Roman"/>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בכללותה...ייתכן ועבירות הסמים הקשים הן כה נפוצות עד שהתרגלנו אליהן, ואולי אף אבדה לנו הרגישות למחיר שלא רק החברה משלמת אלא גם המשתמש עצמו...למאבק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6" w:history="1">
        <w:r w:rsidRPr="00AF4852">
          <w:rPr>
            <w:rFonts w:ascii="Times New Roman" w:hAnsi="Times New Roman"/>
            <w:b/>
            <w:bCs/>
            <w:color w:val="0000FF"/>
            <w:u w:val="single"/>
            <w:rtl/>
          </w:rPr>
          <w:t>ע"פ 8031/10</w:t>
        </w:r>
      </w:hyperlink>
      <w:r>
        <w:rPr>
          <w:rFonts w:ascii="Times New Roman" w:hAnsi="Times New Roman"/>
          <w:b/>
          <w:bCs/>
          <w:rtl/>
        </w:rPr>
        <w:t xml:space="preserve"> אורוסקו-צ'אבז נ' מדינת ישראל </w:t>
      </w:r>
      <w:r w:rsidR="00D405D9" w:rsidRPr="00D405D9">
        <w:rPr>
          <w:rFonts w:ascii="Times New Roman" w:hAnsi="Times New Roman"/>
          <w:sz w:val="22"/>
          <w:rtl/>
        </w:rPr>
        <w:t xml:space="preserve">[פורסם בנבו] </w:t>
      </w:r>
      <w:r>
        <w:rPr>
          <w:rFonts w:ascii="Times New Roman" w:hAnsi="Times New Roman"/>
          <w:b/>
          <w:bCs/>
          <w:rtl/>
        </w:rPr>
        <w:t>(1.3.2012))</w:t>
      </w:r>
      <w:r>
        <w:rPr>
          <w:rFonts w:ascii="Times New Roman" w:hAnsi="Times New Roman"/>
          <w:rtl/>
        </w:rPr>
        <w:t xml:space="preserve">". </w:t>
      </w:r>
    </w:p>
    <w:p w14:paraId="5DD88626" w14:textId="77777777" w:rsidR="00672F1E" w:rsidRDefault="00672F1E">
      <w:pPr>
        <w:tabs>
          <w:tab w:val="left" w:pos="800"/>
        </w:tabs>
        <w:overflowPunct w:val="0"/>
        <w:autoSpaceDE w:val="0"/>
        <w:autoSpaceDN w:val="0"/>
        <w:adjustRightInd w:val="0"/>
        <w:spacing w:line="360" w:lineRule="auto"/>
        <w:ind w:left="1466" w:right="1800"/>
        <w:jc w:val="both"/>
        <w:rPr>
          <w:rFonts w:ascii="Times New Roman" w:hAnsi="Times New Roman"/>
          <w:rtl/>
        </w:rPr>
      </w:pPr>
    </w:p>
    <w:p w14:paraId="569F3885" w14:textId="77777777" w:rsidR="00672F1E" w:rsidRDefault="00AF4852">
      <w:pPr>
        <w:numPr>
          <w:ilvl w:val="0"/>
          <w:numId w:val="1"/>
        </w:numPr>
        <w:spacing w:line="360" w:lineRule="auto"/>
        <w:jc w:val="both"/>
      </w:pPr>
      <w:r>
        <w:rPr>
          <w:rFonts w:hint="eastAsia"/>
          <w:rtl/>
        </w:rPr>
        <w:t>במקרה</w:t>
      </w:r>
      <w:r>
        <w:rPr>
          <w:rtl/>
        </w:rPr>
        <w:t xml:space="preserve"> </w:t>
      </w:r>
      <w:r>
        <w:rPr>
          <w:rFonts w:hint="eastAsia"/>
          <w:rtl/>
        </w:rPr>
        <w:t>עסקינן</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כולל</w:t>
      </w:r>
      <w:r>
        <w:rPr>
          <w:rtl/>
        </w:rPr>
        <w:t xml:space="preserve"> </w:t>
      </w:r>
      <w:r>
        <w:rPr>
          <w:rFonts w:hint="eastAsia"/>
          <w:rtl/>
        </w:rPr>
        <w:t>של</w:t>
      </w:r>
      <w:r>
        <w:rPr>
          <w:rtl/>
        </w:rPr>
        <w:t xml:space="preserve"> 552.43 </w:t>
      </w:r>
      <w:r>
        <w:rPr>
          <w:rFonts w:hint="eastAsia"/>
          <w:rtl/>
        </w:rPr>
        <w:t>גרם</w:t>
      </w:r>
      <w:r>
        <w:rPr>
          <w:rtl/>
        </w:rPr>
        <w:t xml:space="preserve"> </w:t>
      </w:r>
      <w:r>
        <w:rPr>
          <w:rFonts w:hint="eastAsia"/>
          <w:rtl/>
        </w:rPr>
        <w:t>נטו</w:t>
      </w:r>
      <w:r>
        <w:rPr>
          <w:rtl/>
        </w:rPr>
        <w:t xml:space="preserve">. </w:t>
      </w:r>
      <w:r>
        <w:rPr>
          <w:rFonts w:hint="eastAsia"/>
          <w:rtl/>
        </w:rPr>
        <w:t>מידת</w:t>
      </w:r>
      <w:r>
        <w:rPr>
          <w:rtl/>
        </w:rPr>
        <w:t xml:space="preserve"> </w:t>
      </w:r>
      <w:r>
        <w:rPr>
          <w:rFonts w:hint="eastAsia"/>
          <w:rtl/>
        </w:rPr>
        <w:t>הפגיעה</w:t>
      </w:r>
      <w:r>
        <w:rPr>
          <w:rtl/>
        </w:rPr>
        <w:t xml:space="preserve"> </w:t>
      </w:r>
      <w:r>
        <w:rPr>
          <w:rFonts w:hint="eastAsia"/>
          <w:rtl/>
        </w:rPr>
        <w:t>הטמונה</w:t>
      </w:r>
      <w:r>
        <w:rPr>
          <w:rtl/>
        </w:rPr>
        <w:t xml:space="preserve"> </w:t>
      </w:r>
      <w:r>
        <w:rPr>
          <w:rFonts w:hint="eastAsia"/>
          <w:rtl/>
        </w:rPr>
        <w:t>בהחזקת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היא</w:t>
      </w:r>
      <w:r>
        <w:rPr>
          <w:rtl/>
        </w:rPr>
        <w:t xml:space="preserve"> </w:t>
      </w:r>
      <w:r>
        <w:rPr>
          <w:rFonts w:hint="eastAsia"/>
          <w:rtl/>
        </w:rPr>
        <w:t>קשה</w:t>
      </w:r>
      <w:r>
        <w:rPr>
          <w:rtl/>
        </w:rPr>
        <w:t xml:space="preserve"> </w:t>
      </w:r>
      <w:r>
        <w:rPr>
          <w:rFonts w:hint="eastAsia"/>
          <w:rtl/>
        </w:rPr>
        <w:t>ומשמעותית</w:t>
      </w:r>
      <w:r>
        <w:rPr>
          <w:rtl/>
        </w:rPr>
        <w:t xml:space="preserve">.  </w:t>
      </w:r>
    </w:p>
    <w:p w14:paraId="3548228E" w14:textId="77777777" w:rsidR="00672F1E" w:rsidRDefault="00672F1E">
      <w:pPr>
        <w:spacing w:line="360" w:lineRule="auto"/>
        <w:jc w:val="both"/>
        <w:rPr>
          <w:rFonts w:ascii="Times New Roman" w:hAnsi="Times New Roman"/>
          <w:b/>
          <w:bCs/>
          <w:rtl/>
          <w:lang w:eastAsia="he-IL"/>
        </w:rPr>
      </w:pPr>
    </w:p>
    <w:p w14:paraId="2B626C11" w14:textId="77777777" w:rsidR="00672F1E" w:rsidRDefault="00AF4852">
      <w:pPr>
        <w:spacing w:line="360" w:lineRule="auto"/>
        <w:ind w:left="26"/>
        <w:jc w:val="both"/>
        <w:rPr>
          <w:rFonts w:ascii="Times New Roman" w:hAnsi="Times New Roman"/>
          <w:b/>
          <w:bCs/>
          <w:u w:val="single"/>
          <w:rtl/>
          <w:lang w:eastAsia="he-IL"/>
        </w:rPr>
      </w:pPr>
      <w:r>
        <w:rPr>
          <w:rFonts w:ascii="Times New Roman" w:hAnsi="Times New Roman"/>
          <w:b/>
          <w:bCs/>
          <w:rtl/>
          <w:lang w:eastAsia="he-IL"/>
        </w:rPr>
        <w:t>ב.</w:t>
      </w:r>
      <w:r>
        <w:rPr>
          <w:rFonts w:ascii="Times New Roman" w:hAnsi="Times New Roman"/>
          <w:b/>
          <w:bCs/>
          <w:u w:val="single"/>
          <w:rtl/>
          <w:lang w:eastAsia="he-IL"/>
        </w:rPr>
        <w:t xml:space="preserve"> מדיניות הענישה הנהוגה בעבירות החזקת נשק </w:t>
      </w:r>
    </w:p>
    <w:p w14:paraId="79D890C7" w14:textId="77777777" w:rsidR="00672F1E" w:rsidRDefault="00672F1E">
      <w:pPr>
        <w:tabs>
          <w:tab w:val="left" w:pos="1260"/>
        </w:tabs>
        <w:spacing w:line="360" w:lineRule="auto"/>
        <w:ind w:left="900"/>
        <w:jc w:val="both"/>
        <w:rPr>
          <w:rFonts w:ascii="Times New Roman" w:hAnsi="Times New Roman"/>
          <w:b/>
          <w:bCs/>
          <w:lang w:eastAsia="he-IL"/>
        </w:rPr>
      </w:pPr>
    </w:p>
    <w:p w14:paraId="043722E0"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עיון בפסיקת בית המשפט העליון מעלה, כי בשנים האחרונות ניכרת מגמת החמרה בעונשי המאסר הנגזרים על נאשמים בעבירות בנשק נוכח היקפן המתרחב והצורך בבלימתן של עבירות אלה. בשורה ארוכה של פסקי דין נקבע, כי הגיעה העת להחמיר בעונשיהם של נאשמים המורשעים בעבירות בנשק על ידי הטלת ענישה מכאיבה שעיקרה שיקולי גמול והרתעה (ראו: </w:t>
      </w:r>
      <w:hyperlink r:id="rId37" w:history="1">
        <w:r w:rsidRPr="00AF4852">
          <w:rPr>
            <w:rFonts w:ascii="Times New Roman" w:hAnsi="Times New Roman"/>
            <w:color w:val="0000FF"/>
            <w:u w:val="single"/>
            <w:rtl/>
            <w:lang w:eastAsia="he-IL"/>
          </w:rPr>
          <w:t>ע"פ 6985/12</w:t>
        </w:r>
      </w:hyperlink>
      <w:r>
        <w:rPr>
          <w:rFonts w:ascii="Times New Roman" w:hAnsi="Times New Roman"/>
          <w:rtl/>
          <w:lang w:eastAsia="he-IL"/>
        </w:rPr>
        <w:t xml:space="preserve"> </w:t>
      </w:r>
      <w:r>
        <w:rPr>
          <w:rFonts w:ascii="Times New Roman" w:hAnsi="Times New Roman"/>
          <w:b/>
          <w:bCs/>
          <w:rtl/>
          <w:lang w:eastAsia="he-IL"/>
        </w:rPr>
        <w:t>כאמל נפאפעה אחמד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מיום 17.03.13, </w:t>
      </w:r>
      <w:hyperlink r:id="rId38" w:history="1">
        <w:r w:rsidRPr="00AF4852">
          <w:rPr>
            <w:rFonts w:ascii="Times New Roman" w:hAnsi="Times New Roman"/>
            <w:color w:val="0000FF"/>
            <w:u w:val="single"/>
            <w:rtl/>
            <w:lang w:eastAsia="he-IL"/>
          </w:rPr>
          <w:t>ע"פ 5120/11</w:t>
        </w:r>
      </w:hyperlink>
      <w:r>
        <w:rPr>
          <w:rFonts w:ascii="Times New Roman" w:hAnsi="Times New Roman"/>
          <w:rtl/>
          <w:lang w:eastAsia="he-IL"/>
        </w:rPr>
        <w:t xml:space="preserve"> </w:t>
      </w:r>
      <w:r>
        <w:rPr>
          <w:rFonts w:ascii="Times New Roman" w:hAnsi="Times New Roman"/>
          <w:b/>
          <w:bCs/>
          <w:rtl/>
          <w:lang w:eastAsia="he-IL"/>
        </w:rPr>
        <w:t>בילאל</w:t>
      </w:r>
      <w:r>
        <w:rPr>
          <w:rFonts w:ascii="Times New Roman" w:hAnsi="Times New Roman"/>
          <w:rtl/>
          <w:lang w:eastAsia="he-IL"/>
        </w:rPr>
        <w:t xml:space="preserve"> </w:t>
      </w:r>
      <w:r>
        <w:rPr>
          <w:rFonts w:ascii="Times New Roman" w:hAnsi="Times New Roman"/>
          <w:b/>
          <w:bCs/>
          <w:rtl/>
          <w:lang w:eastAsia="he-IL"/>
        </w:rPr>
        <w:t>שתיווי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מיום 12.12.11, </w:t>
      </w:r>
      <w:hyperlink r:id="rId39" w:history="1">
        <w:r w:rsidRPr="00AF4852">
          <w:rPr>
            <w:rFonts w:ascii="Times New Roman" w:hAnsi="Times New Roman"/>
            <w:color w:val="0000FF"/>
            <w:u w:val="single"/>
            <w:rtl/>
            <w:lang w:eastAsia="he-IL"/>
          </w:rPr>
          <w:t>ע"פ 2251/11</w:t>
        </w:r>
      </w:hyperlink>
      <w:r>
        <w:rPr>
          <w:rFonts w:ascii="Times New Roman" w:hAnsi="Times New Roman"/>
          <w:rtl/>
          <w:lang w:eastAsia="he-IL"/>
        </w:rPr>
        <w:t xml:space="preserve"> </w:t>
      </w:r>
      <w:r>
        <w:rPr>
          <w:rFonts w:ascii="Times New Roman" w:hAnsi="Times New Roman"/>
          <w:b/>
          <w:bCs/>
          <w:rtl/>
          <w:lang w:eastAsia="he-IL"/>
        </w:rPr>
        <w:t>ג'מאל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מיום 26.10.11). לאחרונה חזר בית המשפט העליון על גישתו השיפוטית בעבירות נשק, כפי שבוטאה בפסיקה לעיל, גם בעבירות נשק שאינן ברום המדרג, כמו במקרה דנן (ראו: </w:t>
      </w:r>
      <w:hyperlink r:id="rId40" w:history="1">
        <w:r w:rsidRPr="00AF4852">
          <w:rPr>
            <w:rFonts w:ascii="Times New Roman" w:hAnsi="Times New Roman"/>
            <w:color w:val="0000FF"/>
            <w:u w:val="single"/>
            <w:rtl/>
            <w:lang w:eastAsia="he-IL"/>
          </w:rPr>
          <w:t>ע"פ 5681/14</w:t>
        </w:r>
      </w:hyperlink>
      <w:r>
        <w:rPr>
          <w:rFonts w:ascii="Times New Roman" w:hAnsi="Times New Roman"/>
          <w:rtl/>
          <w:lang w:eastAsia="he-IL"/>
        </w:rPr>
        <w:t xml:space="preserve"> </w:t>
      </w:r>
      <w:r>
        <w:rPr>
          <w:rFonts w:ascii="Times New Roman" w:hAnsi="Times New Roman"/>
          <w:b/>
          <w:bCs/>
          <w:rtl/>
          <w:lang w:eastAsia="he-IL"/>
        </w:rPr>
        <w:t>מדינת ישראל נ' מוחמד טאטור</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01.2.15).  </w:t>
      </w:r>
    </w:p>
    <w:p w14:paraId="52419329" w14:textId="77777777" w:rsidR="00672F1E" w:rsidRDefault="00672F1E">
      <w:pPr>
        <w:pStyle w:val="ListParagraph"/>
        <w:rPr>
          <w:rFonts w:ascii="Times New Roman" w:hAnsi="Times New Roman" w:cs="David"/>
          <w:szCs w:val="24"/>
          <w:rtl/>
          <w:lang w:eastAsia="he-IL"/>
        </w:rPr>
      </w:pPr>
    </w:p>
    <w:p w14:paraId="38B7770B" w14:textId="77777777" w:rsidR="00672F1E" w:rsidRDefault="00AF4852" w:rsidP="00D405D9">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יחד עם זאת, קשת הענישה בעבירות בנשק רחבה היא ותלויה בנסיבותיו ובמאפייניו הייחודיים של המקרה הקונקרטי. כל מקרה נבחן על-פי נסיבותיו וההבדלים בענישה נמצאים לעיתים בפרטים ואפילו בפרטים הקטנים (לעניין זה ראו, אם כי בנסיבות אחרות, </w:t>
      </w:r>
      <w:hyperlink r:id="rId41" w:history="1">
        <w:r w:rsidRPr="00AF4852">
          <w:rPr>
            <w:rFonts w:ascii="Times New Roman" w:hAnsi="Times New Roman"/>
            <w:color w:val="0000FF"/>
            <w:u w:val="single"/>
            <w:rtl/>
            <w:lang w:eastAsia="he-IL"/>
          </w:rPr>
          <w:t>ע"פ 7100/13</w:t>
        </w:r>
      </w:hyperlink>
      <w:r>
        <w:rPr>
          <w:rFonts w:ascii="Times New Roman" w:hAnsi="Times New Roman"/>
          <w:rtl/>
          <w:lang w:eastAsia="he-IL"/>
        </w:rPr>
        <w:t xml:space="preserve"> </w:t>
      </w:r>
      <w:r>
        <w:rPr>
          <w:rFonts w:ascii="Times New Roman" w:hAnsi="Times New Roman"/>
          <w:b/>
          <w:bCs/>
          <w:rtl/>
          <w:lang w:eastAsia="he-IL"/>
        </w:rPr>
        <w:t>חוסיין סגלטיצ'י נ' מדינת ישראל</w:t>
      </w:r>
      <w:r w:rsidR="00D405D9">
        <w:rPr>
          <w:rFonts w:ascii="Times New Roman" w:hAnsi="Times New Roman" w:hint="cs"/>
          <w:b/>
          <w:b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 xml:space="preserve">, 29.01.15). בנוסף יש לציין, כי הפסיקה הטילה עונשים חמורים בעבירות של החזקת נשק שלא כדין בהתאם למניע שעמד מאחורי החזקת הנשק ומשכך קיימים הבדלים בענישה שנגזרה על כל נאשם ונאשם. </w:t>
      </w:r>
    </w:p>
    <w:p w14:paraId="715EB117" w14:textId="77777777" w:rsidR="00672F1E" w:rsidRDefault="00672F1E">
      <w:pPr>
        <w:ind w:left="720"/>
        <w:contextualSpacing/>
        <w:rPr>
          <w:rtl/>
        </w:rPr>
      </w:pPr>
    </w:p>
    <w:p w14:paraId="58BCC63A" w14:textId="77777777" w:rsidR="00672F1E" w:rsidRDefault="00AF4852">
      <w:pPr>
        <w:numPr>
          <w:ilvl w:val="0"/>
          <w:numId w:val="1"/>
        </w:numPr>
        <w:spacing w:line="360" w:lineRule="auto"/>
        <w:contextualSpacing/>
        <w:jc w:val="both"/>
        <w:rPr>
          <w:rFonts w:ascii="Times New Roman" w:hAnsi="Times New Roman"/>
          <w:rtl/>
          <w:lang w:eastAsia="he-IL"/>
        </w:rPr>
      </w:pPr>
      <w:r>
        <w:rPr>
          <w:rFonts w:ascii="Times New Roman" w:hAnsi="Times New Roman"/>
          <w:rtl/>
          <w:lang w:eastAsia="he-IL"/>
        </w:rPr>
        <w:t xml:space="preserve">בחינת מדיניות הענישה הנהוגה מעלה, כי במקרים דומים למקרה עסקינן הוטלו על נאשמים שהחזיקו נשק ותחמושת עונשי מאסר בפועל מאחורי סורג ובריח לתקופות משתנות: </w:t>
      </w:r>
    </w:p>
    <w:p w14:paraId="5D0D771C" w14:textId="77777777" w:rsidR="00672F1E" w:rsidRDefault="00672F1E">
      <w:pPr>
        <w:spacing w:line="360" w:lineRule="auto"/>
        <w:jc w:val="both"/>
        <w:rPr>
          <w:rFonts w:ascii="Times New Roman" w:hAnsi="Times New Roman"/>
          <w:rtl/>
          <w:lang w:eastAsia="he-IL"/>
        </w:rPr>
      </w:pPr>
    </w:p>
    <w:p w14:paraId="689F576B"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2" w:history="1">
        <w:r w:rsidRPr="00AF4852">
          <w:rPr>
            <w:rFonts w:ascii="Times New Roman" w:hAnsi="Times New Roman" w:cs="David"/>
            <w:color w:val="0000FF"/>
            <w:szCs w:val="24"/>
            <w:u w:val="single"/>
            <w:rtl/>
            <w:lang w:eastAsia="he-IL"/>
          </w:rPr>
          <w:t>ע"פ 5681/14</w:t>
        </w:r>
      </w:hyperlink>
      <w:r>
        <w:rPr>
          <w:rFonts w:ascii="Times New Roman" w:hAnsi="Times New Roman" w:cs="David"/>
          <w:szCs w:val="24"/>
          <w:rtl/>
          <w:lang w:eastAsia="he-IL"/>
        </w:rPr>
        <w:t xml:space="preserve"> </w:t>
      </w:r>
      <w:r>
        <w:rPr>
          <w:rFonts w:ascii="Times New Roman" w:hAnsi="Times New Roman" w:cs="David"/>
          <w:b/>
          <w:bCs/>
          <w:szCs w:val="24"/>
          <w:rtl/>
          <w:lang w:eastAsia="he-IL"/>
        </w:rPr>
        <w:t>מדינת ישראל נ' מוחמד טאטור</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(ניתן ביום 01.02.15) -  החמיר בית המשפט העליון בעונשו של נאשם שהורשע בעבירות נשק (רכישה והחזקה) (נשיאה והובלה) ועבירה של הפרעה לשוטר בשעת מילוי תפקידו, והעמידו על 8 חודשי מאסר בפועל. </w:t>
      </w:r>
    </w:p>
    <w:p w14:paraId="43E99370" w14:textId="77777777" w:rsidR="00672F1E" w:rsidRDefault="00672F1E">
      <w:pPr>
        <w:pStyle w:val="ListParagraph"/>
        <w:spacing w:after="0" w:line="360" w:lineRule="auto"/>
        <w:ind w:left="1080"/>
        <w:jc w:val="both"/>
        <w:rPr>
          <w:rFonts w:ascii="Times New Roman" w:hAnsi="Times New Roman" w:cs="David"/>
          <w:szCs w:val="24"/>
          <w:lang w:eastAsia="he-IL"/>
        </w:rPr>
      </w:pPr>
    </w:p>
    <w:p w14:paraId="72CA1B48"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3" w:history="1">
        <w:r w:rsidRPr="00AF4852">
          <w:rPr>
            <w:rFonts w:ascii="Times New Roman" w:hAnsi="Times New Roman" w:cs="David"/>
            <w:color w:val="0000FF"/>
            <w:szCs w:val="24"/>
            <w:u w:val="single"/>
            <w:rtl/>
            <w:lang w:eastAsia="he-IL"/>
          </w:rPr>
          <w:t>ת"פ (מחוזי נצ') 35007-04-13</w:t>
        </w:r>
      </w:hyperlink>
      <w:r>
        <w:rPr>
          <w:rFonts w:ascii="Times New Roman" w:hAnsi="Times New Roman" w:cs="David"/>
          <w:szCs w:val="24"/>
          <w:rtl/>
          <w:lang w:eastAsia="he-IL"/>
        </w:rPr>
        <w:t xml:space="preserve"> </w:t>
      </w:r>
      <w:r>
        <w:rPr>
          <w:rFonts w:ascii="Times New Roman" w:hAnsi="Times New Roman" w:cs="David"/>
          <w:b/>
          <w:bCs/>
          <w:szCs w:val="24"/>
          <w:rtl/>
          <w:lang w:eastAsia="he-IL"/>
        </w:rPr>
        <w:t>מדינת ישראל נ' איסלאם עזאיזה</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(ניתן ביום 08.01.15) – נגזרו על נאשם שהורשע בעבירה של נ</w:t>
      </w:r>
      <w:r>
        <w:rPr>
          <w:rFonts w:ascii="Times New Roman" w:hAnsi="Times New Roman" w:cs="David"/>
          <w:szCs w:val="24"/>
          <w:u w:val="single"/>
          <w:rtl/>
          <w:lang w:eastAsia="he-IL"/>
        </w:rPr>
        <w:t>שיאת והחזקת נשק,</w:t>
      </w:r>
      <w:r>
        <w:rPr>
          <w:rFonts w:ascii="Times New Roman" w:hAnsi="Times New Roman" w:cs="David"/>
          <w:szCs w:val="24"/>
          <w:rtl/>
          <w:lang w:eastAsia="he-IL"/>
        </w:rPr>
        <w:t xml:space="preserve"> עונש של מאסר בפועל למשך 9 חודשים. עוד קבע בית המשפט, כי מתחם העונש ההולם נע בין 7 חודשי מאסר בפועל לבין 30 חודשי מאסר בפועל בצירוף עונשים נלווים.  </w:t>
      </w:r>
    </w:p>
    <w:p w14:paraId="4E859310" w14:textId="77777777" w:rsidR="00672F1E" w:rsidRDefault="00672F1E">
      <w:pPr>
        <w:pStyle w:val="ListParagraph"/>
        <w:rPr>
          <w:rFonts w:ascii="Times New Roman" w:hAnsi="Times New Roman" w:cs="David"/>
          <w:szCs w:val="24"/>
          <w:rtl/>
          <w:lang w:eastAsia="he-IL"/>
        </w:rPr>
      </w:pPr>
    </w:p>
    <w:p w14:paraId="7567BB07"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4" w:history="1">
        <w:r w:rsidRPr="00AF4852">
          <w:rPr>
            <w:rFonts w:ascii="Times New Roman" w:hAnsi="Times New Roman" w:cs="David"/>
            <w:color w:val="0000FF"/>
            <w:szCs w:val="24"/>
            <w:u w:val="single"/>
            <w:rtl/>
            <w:lang w:eastAsia="he-IL"/>
          </w:rPr>
          <w:t>ע"פ (מרכז) 39796-06-12</w:t>
        </w:r>
      </w:hyperlink>
      <w:r>
        <w:rPr>
          <w:rFonts w:ascii="Times New Roman" w:hAnsi="Times New Roman" w:cs="David"/>
          <w:szCs w:val="24"/>
          <w:rtl/>
          <w:lang w:eastAsia="he-IL"/>
        </w:rPr>
        <w:t xml:space="preserve"> </w:t>
      </w:r>
      <w:r>
        <w:rPr>
          <w:rFonts w:ascii="Times New Roman" w:hAnsi="Times New Roman" w:cs="David"/>
          <w:b/>
          <w:bCs/>
          <w:szCs w:val="24"/>
          <w:rtl/>
          <w:lang w:eastAsia="he-IL"/>
        </w:rPr>
        <w:t>עלא חטיב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(ניתן ביום 20.03.13)-  דחה בית המשפט המחוזי את ערעורו של המערער על חומרת העונש שנגזר עליו. המערער הורשע בבית משפט השלום לאחר ניהול הוכחות בעבירה של החזקת נשק וחלק מנשק שלא כדין לפי </w:t>
      </w:r>
      <w:hyperlink r:id="rId45" w:history="1">
        <w:r w:rsidR="006401C2" w:rsidRPr="006401C2">
          <w:rPr>
            <w:rFonts w:ascii="Times New Roman" w:hAnsi="Times New Roman" w:cs="David"/>
            <w:color w:val="0000FF"/>
            <w:szCs w:val="24"/>
            <w:u w:val="single"/>
            <w:rtl/>
            <w:lang w:eastAsia="he-IL"/>
          </w:rPr>
          <w:t>סעיף 144(א)</w:t>
        </w:r>
      </w:hyperlink>
      <w:r>
        <w:rPr>
          <w:rFonts w:ascii="Times New Roman" w:hAnsi="Times New Roman" w:cs="David"/>
          <w:szCs w:val="24"/>
          <w:rtl/>
          <w:lang w:eastAsia="he-IL"/>
        </w:rPr>
        <w:t xml:space="preserve"> ל</w:t>
      </w:r>
      <w:hyperlink r:id="rId46" w:history="1">
        <w:r w:rsidRPr="00AF4852">
          <w:rPr>
            <w:rFonts w:ascii="Times New Roman" w:hAnsi="Times New Roman" w:cs="David"/>
            <w:color w:val="0000FF"/>
            <w:szCs w:val="24"/>
            <w:u w:val="single"/>
            <w:rtl/>
            <w:lang w:eastAsia="he-IL"/>
          </w:rPr>
          <w:t>חוק העונשין</w:t>
        </w:r>
      </w:hyperlink>
      <w:r>
        <w:rPr>
          <w:rFonts w:ascii="Times New Roman" w:hAnsi="Times New Roman" w:cs="David"/>
          <w:szCs w:val="24"/>
          <w:rtl/>
          <w:lang w:eastAsia="he-IL"/>
        </w:rPr>
        <w:t xml:space="preserve">. בהכרעת הדין נקבע, כי המערער הסתיר מחוץ לחצר ביתו שקית ובתוכה שני כיסויי משען ראש לרכב, שבתוכה היו מונחים אקדח ובו מחסנית עם כדורים. בנוסף החזיק כדורים ברכבו. המערער נדון ל-12 חודשי מאסר בפועל, לשישה חודשי מאסר על תנאי ולקנס בסך 7,500 ₪. בעברו של הנאשם הרשעה בעבירה של תקיפת בת זוג ועבירה של תקיפה הגורמת חבלה של ממש, שעליהן נדון לעונש מאסר על תנאי. </w:t>
      </w:r>
    </w:p>
    <w:p w14:paraId="277F032A" w14:textId="77777777" w:rsidR="00672F1E" w:rsidRDefault="00672F1E">
      <w:pPr>
        <w:pStyle w:val="ListParagraph"/>
        <w:rPr>
          <w:rFonts w:ascii="Times New Roman" w:hAnsi="Times New Roman" w:cs="David"/>
          <w:szCs w:val="24"/>
          <w:rtl/>
          <w:lang w:eastAsia="he-IL"/>
        </w:rPr>
      </w:pPr>
    </w:p>
    <w:p w14:paraId="4EA93368"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7" w:history="1">
        <w:r w:rsidRPr="00AF4852">
          <w:rPr>
            <w:rFonts w:ascii="Times New Roman" w:hAnsi="Times New Roman" w:cs="David"/>
            <w:color w:val="0000FF"/>
            <w:szCs w:val="24"/>
            <w:u w:val="single"/>
            <w:rtl/>
            <w:lang w:eastAsia="he-IL"/>
          </w:rPr>
          <w:t>ע"פ 7241/12</w:t>
        </w:r>
      </w:hyperlink>
      <w:r>
        <w:rPr>
          <w:rFonts w:ascii="Times New Roman" w:hAnsi="Times New Roman" w:cs="David"/>
          <w:szCs w:val="24"/>
          <w:rtl/>
          <w:lang w:eastAsia="he-IL"/>
        </w:rPr>
        <w:t xml:space="preserve"> </w:t>
      </w:r>
      <w:r>
        <w:rPr>
          <w:rFonts w:ascii="Times New Roman" w:hAnsi="Times New Roman" w:cs="David"/>
          <w:b/>
          <w:bCs/>
          <w:szCs w:val="24"/>
          <w:rtl/>
          <w:lang w:eastAsia="he-IL"/>
        </w:rPr>
        <w:t>עמאר טאטור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(12.02.13)– נדחה ערעורו של נאשם שנדון (לאחר הסדר טיעון – עם טווח ענישה מוסכם) ל-9 חודשי מאסר בפועל בגין החזקת נשק שנמשכה מספר חודשים, מבלי שהוא עצמו עשה שימוש בנשק. </w:t>
      </w:r>
    </w:p>
    <w:p w14:paraId="4C25EBC1" w14:textId="77777777" w:rsidR="00672F1E" w:rsidRDefault="00672F1E">
      <w:pPr>
        <w:pStyle w:val="ListParagraph"/>
        <w:rPr>
          <w:rFonts w:ascii="Times New Roman" w:hAnsi="Times New Roman" w:cs="David"/>
          <w:szCs w:val="24"/>
          <w:rtl/>
          <w:lang w:eastAsia="he-IL"/>
        </w:rPr>
      </w:pPr>
    </w:p>
    <w:p w14:paraId="65D2362F"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hyperlink r:id="rId48" w:history="1">
        <w:r w:rsidRPr="00AF4852">
          <w:rPr>
            <w:rFonts w:ascii="Times New Roman" w:hAnsi="Times New Roman" w:cs="David"/>
            <w:color w:val="0000FF"/>
            <w:szCs w:val="24"/>
            <w:u w:val="single"/>
            <w:rtl/>
            <w:lang w:eastAsia="he-IL"/>
          </w:rPr>
          <w:t>ע"פ (חי') 6059-02-12</w:t>
        </w:r>
      </w:hyperlink>
      <w:r>
        <w:rPr>
          <w:rFonts w:ascii="Times New Roman" w:hAnsi="Times New Roman" w:cs="David"/>
          <w:szCs w:val="24"/>
          <w:rtl/>
          <w:lang w:eastAsia="he-IL"/>
        </w:rPr>
        <w:t xml:space="preserve"> </w:t>
      </w:r>
      <w:r>
        <w:rPr>
          <w:rFonts w:ascii="Times New Roman" w:hAnsi="Times New Roman" w:cs="David"/>
          <w:b/>
          <w:bCs/>
          <w:szCs w:val="24"/>
          <w:rtl/>
          <w:lang w:eastAsia="he-IL"/>
        </w:rPr>
        <w:t>מדינת ישראל נ' גהגאה</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(19.04.12) (אליו הפנה ב"כ הנאשם)– התקבל ערעורה של המדינה באופן חלקי על קולת עונשו של נאשם שהודה בביצוע עבירה של החזקת נשק שלא כדין והועמד על 9 חודשי מאסר בפועל בצירוף ענישה נלווית. </w:t>
      </w:r>
    </w:p>
    <w:p w14:paraId="4C759891" w14:textId="77777777" w:rsidR="00672F1E" w:rsidRDefault="00672F1E">
      <w:pPr>
        <w:pStyle w:val="ListParagraph"/>
        <w:rPr>
          <w:rFonts w:ascii="Times New Roman" w:hAnsi="Times New Roman" w:cs="David"/>
          <w:szCs w:val="24"/>
          <w:rtl/>
          <w:lang w:eastAsia="he-IL"/>
        </w:rPr>
      </w:pPr>
    </w:p>
    <w:p w14:paraId="566AD74E"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49" w:history="1">
        <w:r w:rsidRPr="00AF4852">
          <w:rPr>
            <w:rFonts w:ascii="Times New Roman" w:hAnsi="Times New Roman" w:cs="David"/>
            <w:color w:val="0000FF"/>
            <w:szCs w:val="24"/>
            <w:u w:val="single"/>
            <w:rtl/>
            <w:lang w:eastAsia="he-IL"/>
          </w:rPr>
          <w:t>ע"פ 5604/11</w:t>
        </w:r>
      </w:hyperlink>
      <w:r>
        <w:rPr>
          <w:rFonts w:ascii="Times New Roman" w:hAnsi="Times New Roman" w:cs="David"/>
          <w:szCs w:val="24"/>
          <w:rtl/>
          <w:lang w:eastAsia="he-IL"/>
        </w:rPr>
        <w:t xml:space="preserve"> </w:t>
      </w:r>
      <w:r>
        <w:rPr>
          <w:rFonts w:ascii="Times New Roman" w:hAnsi="Times New Roman" w:cs="David"/>
          <w:b/>
          <w:bCs/>
          <w:szCs w:val="24"/>
          <w:rtl/>
          <w:lang w:eastAsia="he-IL"/>
        </w:rPr>
        <w:t>נאסר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 xml:space="preserve">(ניתן ביום 19.09.11)- אישר בית המשפט העליון עונש מאסר בן 12 חודשים ועונשים נלווים לנאשם בעל עבר פלילי שאינו מכביד ואשר חלקו אף התיישן, אשר הורשע בעבירות בנשק (החזקת נשק ותחמושת) לאחר שבביתו נתפסו אקדח ומחסנית לאקדח ובה שמונה כדורים, תוך שהוא דוחה את ההבחנה בה ביקש סנגורו של המערער להתמקד, שבמרכזה הטענה לאי שמישות האקדח. </w:t>
      </w:r>
    </w:p>
    <w:p w14:paraId="5BD2A300" w14:textId="77777777" w:rsidR="00672F1E" w:rsidRDefault="00672F1E">
      <w:pPr>
        <w:pStyle w:val="ListParagraph"/>
        <w:rPr>
          <w:rFonts w:ascii="Times New Roman" w:hAnsi="Times New Roman" w:cs="David"/>
          <w:szCs w:val="24"/>
          <w:rtl/>
          <w:lang w:eastAsia="he-IL"/>
        </w:rPr>
      </w:pPr>
    </w:p>
    <w:p w14:paraId="3AC424C5"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50" w:history="1">
        <w:r w:rsidRPr="00AF4852">
          <w:rPr>
            <w:rFonts w:ascii="Times New Roman" w:hAnsi="Times New Roman" w:cs="David"/>
            <w:color w:val="0000FF"/>
            <w:szCs w:val="24"/>
            <w:u w:val="single"/>
            <w:rtl/>
            <w:lang w:eastAsia="he-IL"/>
          </w:rPr>
          <w:t>ע"פ 5220/09</w:t>
        </w:r>
      </w:hyperlink>
      <w:r>
        <w:rPr>
          <w:rFonts w:ascii="Times New Roman" w:hAnsi="Times New Roman" w:cs="David"/>
          <w:szCs w:val="24"/>
          <w:rtl/>
          <w:lang w:eastAsia="he-IL"/>
        </w:rPr>
        <w:t xml:space="preserve"> </w:t>
      </w:r>
      <w:r>
        <w:rPr>
          <w:rFonts w:ascii="Times New Roman" w:hAnsi="Times New Roman" w:cs="David"/>
          <w:b/>
          <w:bCs/>
          <w:szCs w:val="24"/>
          <w:rtl/>
          <w:lang w:eastAsia="he-IL"/>
        </w:rPr>
        <w:t>הייתם עוואודה נ' מדינת ישראל</w:t>
      </w:r>
      <w:r>
        <w:rPr>
          <w:rFonts w:ascii="Times New Roman" w:hAnsi="Times New Roman" w:cs="David"/>
          <w:szCs w:val="24"/>
          <w:rtl/>
          <w:lang w:eastAsia="he-IL"/>
        </w:rPr>
        <w:t xml:space="preserve"> </w:t>
      </w:r>
      <w:r w:rsidR="00D405D9" w:rsidRPr="00D405D9">
        <w:rPr>
          <w:rFonts w:ascii="Times New Roman" w:hAnsi="Times New Roman" w:cs="David"/>
          <w:szCs w:val="24"/>
          <w:rtl/>
          <w:lang w:eastAsia="he-IL"/>
        </w:rPr>
        <w:t xml:space="preserve">[פורסם בנבו] </w:t>
      </w:r>
      <w:r>
        <w:rPr>
          <w:rFonts w:ascii="Times New Roman" w:hAnsi="Times New Roman" w:cs="David"/>
          <w:szCs w:val="24"/>
          <w:rtl/>
          <w:lang w:eastAsia="he-IL"/>
        </w:rPr>
        <w:t>(ניתן ביום 28.12.09) - נדון ערעורו של נאשם נעדר כל הרשעות קודמות, אשר הודה והורשע (במסגרת הסדר טיעון) בעבירה שעניינה החזקת נשק ותחמושת. על נאשם זה הושתו 15 חודשי מאסר מתוכם 6 חודשי מאסר בפועל מאחורי סורג ובריח והיתר על תנאי תוך חיובו בתשלום קנס. הערעור על חומרת העונש נדחה.</w:t>
      </w:r>
    </w:p>
    <w:p w14:paraId="11C37761" w14:textId="77777777" w:rsidR="00672F1E" w:rsidRDefault="00672F1E">
      <w:pPr>
        <w:pStyle w:val="ListParagraph"/>
        <w:rPr>
          <w:rFonts w:ascii="Times New Roman" w:hAnsi="Times New Roman" w:cs="David"/>
          <w:szCs w:val="24"/>
          <w:rtl/>
          <w:lang w:eastAsia="he-IL"/>
        </w:rPr>
      </w:pPr>
    </w:p>
    <w:p w14:paraId="12C7879A" w14:textId="77777777" w:rsidR="00672F1E" w:rsidRDefault="00AF4852">
      <w:pPr>
        <w:pStyle w:val="ListParagraph"/>
        <w:numPr>
          <w:ilvl w:val="0"/>
          <w:numId w:val="7"/>
        </w:numPr>
        <w:spacing w:after="0" w:line="360" w:lineRule="auto"/>
        <w:jc w:val="both"/>
        <w:rPr>
          <w:rFonts w:ascii="Times New Roman" w:hAnsi="Times New Roman" w:cs="David"/>
          <w:szCs w:val="24"/>
          <w:lang w:eastAsia="he-IL"/>
        </w:rPr>
      </w:pPr>
      <w:r>
        <w:rPr>
          <w:rFonts w:ascii="Times New Roman" w:hAnsi="Times New Roman" w:cs="David"/>
          <w:szCs w:val="24"/>
          <w:rtl/>
          <w:lang w:eastAsia="he-IL"/>
        </w:rPr>
        <w:t>ב</w:t>
      </w:r>
      <w:hyperlink r:id="rId51" w:history="1">
        <w:r w:rsidRPr="00AF4852">
          <w:rPr>
            <w:rFonts w:ascii="Times New Roman" w:hAnsi="Times New Roman" w:cs="David"/>
            <w:color w:val="0000FF"/>
            <w:szCs w:val="24"/>
            <w:u w:val="single"/>
            <w:rtl/>
            <w:lang w:eastAsia="he-IL"/>
          </w:rPr>
          <w:t>עפ"א (נצ') 152/08</w:t>
        </w:r>
      </w:hyperlink>
      <w:r>
        <w:rPr>
          <w:rFonts w:ascii="Times New Roman" w:hAnsi="Times New Roman" w:cs="David"/>
          <w:szCs w:val="24"/>
          <w:rtl/>
          <w:lang w:eastAsia="he-IL"/>
        </w:rPr>
        <w:t xml:space="preserve"> </w:t>
      </w:r>
      <w:r>
        <w:rPr>
          <w:rFonts w:ascii="Times New Roman" w:hAnsi="Times New Roman" w:cs="David"/>
          <w:b/>
          <w:bCs/>
          <w:szCs w:val="24"/>
          <w:rtl/>
          <w:lang w:eastAsia="he-IL"/>
        </w:rPr>
        <w:t>אחמד עואודה נ' מדינת ישראל</w:t>
      </w:r>
      <w:r>
        <w:rPr>
          <w:rFonts w:ascii="Times New Roman" w:hAnsi="Times New Roman" w:cs="David"/>
          <w:szCs w:val="24"/>
          <w:rtl/>
          <w:lang w:eastAsia="he-IL"/>
        </w:rPr>
        <w:t xml:space="preserve"> (ניתן ביום 24.06.08) – המערער הורשע על פי הודאתו בבית משפט השלום בנצרת בעבירות נשק – עבירה לפי </w:t>
      </w:r>
      <w:hyperlink r:id="rId52" w:history="1">
        <w:r w:rsidR="006401C2" w:rsidRPr="006401C2">
          <w:rPr>
            <w:rFonts w:ascii="Times New Roman" w:hAnsi="Times New Roman" w:cs="David"/>
            <w:color w:val="0000FF"/>
            <w:szCs w:val="24"/>
            <w:u w:val="single"/>
            <w:rtl/>
            <w:lang w:eastAsia="he-IL"/>
          </w:rPr>
          <w:t>סעיף 144(א)</w:t>
        </w:r>
      </w:hyperlink>
      <w:r>
        <w:rPr>
          <w:rFonts w:ascii="Times New Roman" w:hAnsi="Times New Roman" w:cs="David"/>
          <w:szCs w:val="24"/>
          <w:rtl/>
          <w:lang w:eastAsia="he-IL"/>
        </w:rPr>
        <w:t xml:space="preserve"> רישא וסיפא ל</w:t>
      </w:r>
      <w:hyperlink r:id="rId53" w:history="1">
        <w:r w:rsidRPr="00AF4852">
          <w:rPr>
            <w:rFonts w:ascii="Times New Roman" w:hAnsi="Times New Roman" w:cs="David"/>
            <w:color w:val="0000FF"/>
            <w:szCs w:val="24"/>
            <w:u w:val="single"/>
            <w:rtl/>
            <w:lang w:eastAsia="he-IL"/>
          </w:rPr>
          <w:t>חוק העונשין</w:t>
        </w:r>
      </w:hyperlink>
      <w:r>
        <w:rPr>
          <w:rFonts w:ascii="Times New Roman" w:hAnsi="Times New Roman" w:cs="David"/>
          <w:szCs w:val="24"/>
          <w:rtl/>
          <w:lang w:eastAsia="he-IL"/>
        </w:rPr>
        <w:t xml:space="preserve">. בית משפט קמא גזר על המערער מאסר בפועל לתקופה של שנה בצירוף עונשים נלווים. המערער נעדר עבר פלילי, הודה במיוחס לו וחסך זמן שיפוטי יקר. בית המשפט המחוזי בנצרת קיבל את הערעור במובן זה, שבמקום המאסר בפועל אשר הוטל על המערער, הוטל עליו מאסר בפועל לתקופה של שישה חודשים בעבודות שירות בצירוף ענישה נלווית.  </w:t>
      </w:r>
    </w:p>
    <w:p w14:paraId="0BA9DDBD" w14:textId="77777777" w:rsidR="00672F1E" w:rsidRDefault="00672F1E">
      <w:pPr>
        <w:spacing w:line="360" w:lineRule="auto"/>
        <w:jc w:val="both"/>
        <w:rPr>
          <w:rFonts w:ascii="Times New Roman" w:hAnsi="Times New Roman"/>
          <w:rtl/>
          <w:lang w:eastAsia="he-IL"/>
        </w:rPr>
      </w:pPr>
    </w:p>
    <w:p w14:paraId="0EAC5762" w14:textId="77777777" w:rsidR="00672F1E" w:rsidRDefault="00AF4852">
      <w:pPr>
        <w:spacing w:line="360" w:lineRule="auto"/>
        <w:ind w:left="720"/>
        <w:jc w:val="both"/>
        <w:rPr>
          <w:rFonts w:ascii="Times New Roman" w:hAnsi="Times New Roman"/>
          <w:rtl/>
          <w:lang w:eastAsia="he-IL"/>
        </w:rPr>
      </w:pPr>
      <w:r>
        <w:rPr>
          <w:rFonts w:ascii="Times New Roman" w:hAnsi="Times New Roman"/>
          <w:rtl/>
          <w:lang w:eastAsia="he-IL"/>
        </w:rPr>
        <w:t>ראו גם פסיקה רלוונטית של בתי משפט שלום בעבירות הנדונות (</w:t>
      </w:r>
      <w:hyperlink r:id="rId54" w:history="1">
        <w:r w:rsidRPr="00AF4852">
          <w:rPr>
            <w:rFonts w:ascii="Times New Roman" w:hAnsi="Times New Roman"/>
            <w:color w:val="0000FF"/>
            <w:u w:val="single"/>
            <w:rtl/>
            <w:lang w:eastAsia="he-IL"/>
          </w:rPr>
          <w:t>ת"פ (חד') 7054-05-08</w:t>
        </w:r>
      </w:hyperlink>
      <w:r>
        <w:rPr>
          <w:rFonts w:ascii="Times New Roman" w:hAnsi="Times New Roman"/>
          <w:rtl/>
          <w:lang w:eastAsia="he-IL"/>
        </w:rPr>
        <w:t xml:space="preserve"> </w:t>
      </w:r>
      <w:r>
        <w:rPr>
          <w:rFonts w:ascii="Times New Roman" w:hAnsi="Times New Roman"/>
          <w:b/>
          <w:bCs/>
          <w:rtl/>
          <w:lang w:eastAsia="he-IL"/>
        </w:rPr>
        <w:t>מדינת ישראל נ' מחאגנה</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16.03.10), </w:t>
      </w:r>
      <w:hyperlink r:id="rId55" w:history="1">
        <w:r w:rsidRPr="00AF4852">
          <w:rPr>
            <w:rFonts w:ascii="Times New Roman" w:hAnsi="Times New Roman"/>
            <w:color w:val="0000FF"/>
            <w:u w:val="single"/>
            <w:rtl/>
            <w:lang w:eastAsia="he-IL"/>
          </w:rPr>
          <w:t>ת"פ (ב"ש) 52898-07-11</w:t>
        </w:r>
      </w:hyperlink>
      <w:r>
        <w:rPr>
          <w:rFonts w:ascii="Times New Roman" w:hAnsi="Times New Roman"/>
          <w:rtl/>
          <w:lang w:eastAsia="he-IL"/>
        </w:rPr>
        <w:t xml:space="preserve"> </w:t>
      </w:r>
      <w:r>
        <w:rPr>
          <w:rFonts w:ascii="Times New Roman" w:hAnsi="Times New Roman"/>
          <w:b/>
          <w:bCs/>
          <w:rtl/>
          <w:lang w:eastAsia="he-IL"/>
        </w:rPr>
        <w:t>מדינת ישראל נ' טלאלקה</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14.05.12) ו</w:t>
      </w:r>
      <w:hyperlink r:id="rId56" w:history="1">
        <w:r w:rsidRPr="00AF4852">
          <w:rPr>
            <w:rFonts w:ascii="Times New Roman" w:hAnsi="Times New Roman"/>
            <w:color w:val="0000FF"/>
            <w:u w:val="single"/>
            <w:rtl/>
            <w:lang w:eastAsia="he-IL"/>
          </w:rPr>
          <w:t>ת"פ (פ"ת) 10468-04-09</w:t>
        </w:r>
      </w:hyperlink>
      <w:r>
        <w:rPr>
          <w:rFonts w:ascii="Times New Roman" w:hAnsi="Times New Roman"/>
          <w:rtl/>
          <w:lang w:eastAsia="he-IL"/>
        </w:rPr>
        <w:t xml:space="preserve"> </w:t>
      </w:r>
      <w:r>
        <w:rPr>
          <w:rFonts w:ascii="Times New Roman" w:hAnsi="Times New Roman"/>
          <w:b/>
          <w:bCs/>
          <w:rtl/>
          <w:lang w:eastAsia="he-IL"/>
        </w:rPr>
        <w:t xml:space="preserve">מדינת ישראל נ' עמאר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06.04.10). </w:t>
      </w:r>
    </w:p>
    <w:p w14:paraId="04A0F52A" w14:textId="77777777" w:rsidR="00672F1E" w:rsidRDefault="00672F1E">
      <w:pPr>
        <w:spacing w:line="360" w:lineRule="auto"/>
        <w:jc w:val="both"/>
        <w:rPr>
          <w:rFonts w:ascii="Times New Roman" w:hAnsi="Times New Roman"/>
          <w:rtl/>
          <w:lang w:eastAsia="he-IL"/>
        </w:rPr>
      </w:pPr>
    </w:p>
    <w:p w14:paraId="2DEA0654" w14:textId="77777777" w:rsidR="00672F1E" w:rsidRDefault="00AF4852" w:rsidP="00D405D9">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עיינתי בפסיקה אליה הפנו באי-כוח הצדדים; מרבית פסקי הדין אליהם הפנתה המאשימה אכן תואמים את מדיניות הענישה הנהוגה בעבירות החזקת נשק ותחמושת, ובמסגרתם נגזרו עונשים שנעו בין  10.5-7 חודשי מאסר בפועל (ראו: </w:t>
      </w:r>
      <w:hyperlink r:id="rId57" w:history="1">
        <w:r w:rsidRPr="00AF4852">
          <w:rPr>
            <w:rFonts w:ascii="Times New Roman" w:hAnsi="Times New Roman"/>
            <w:color w:val="0000FF"/>
            <w:u w:val="single"/>
            <w:rtl/>
            <w:lang w:eastAsia="he-IL"/>
          </w:rPr>
          <w:t>ת"פ 16598-10-11</w:t>
        </w:r>
      </w:hyperlink>
      <w:r>
        <w:rPr>
          <w:rFonts w:ascii="Times New Roman" w:hAnsi="Times New Roman"/>
          <w:rtl/>
          <w:lang w:eastAsia="he-IL"/>
        </w:rPr>
        <w:t xml:space="preserve"> (מחוזי נצ') </w:t>
      </w:r>
      <w:r>
        <w:rPr>
          <w:rFonts w:ascii="Times New Roman" w:hAnsi="Times New Roman"/>
          <w:b/>
          <w:bCs/>
          <w:rtl/>
          <w:lang w:eastAsia="he-IL"/>
        </w:rPr>
        <w:t>מחמוד עאבד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hyperlink r:id="rId58" w:history="1">
        <w:r w:rsidR="00D405D9" w:rsidRPr="00D405D9">
          <w:rPr>
            <w:rFonts w:ascii="Times New Roman" w:hAnsi="Times New Roman"/>
            <w:color w:val="0000FF"/>
            <w:u w:val="single"/>
            <w:rtl/>
            <w:lang w:eastAsia="he-IL"/>
          </w:rPr>
          <w:t xml:space="preserve">ת"פ 33408-03.13 (מחוזי נצ') </w:t>
        </w:r>
      </w:hyperlink>
      <w:r>
        <w:rPr>
          <w:rFonts w:ascii="Times New Roman" w:hAnsi="Times New Roman"/>
          <w:rtl/>
          <w:lang w:eastAsia="he-IL"/>
        </w:rPr>
        <w:t xml:space="preserve"> </w:t>
      </w:r>
      <w:r>
        <w:rPr>
          <w:rFonts w:ascii="Times New Roman" w:hAnsi="Times New Roman"/>
          <w:b/>
          <w:bCs/>
          <w:rtl/>
          <w:lang w:eastAsia="he-IL"/>
        </w:rPr>
        <w:t>מוחמד חוסיין נ' מדינת ישראל</w:t>
      </w:r>
      <w:r w:rsidR="00D405D9">
        <w:rPr>
          <w:rFonts w:ascii="Times New Roman" w:hAnsi="Times New Roman" w:hint="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 xml:space="preserve">, </w:t>
      </w:r>
      <w:hyperlink r:id="rId59" w:history="1">
        <w:r w:rsidRPr="00AF4852">
          <w:rPr>
            <w:rFonts w:ascii="Times New Roman" w:hAnsi="Times New Roman"/>
            <w:color w:val="0000FF"/>
            <w:u w:val="single"/>
            <w:rtl/>
            <w:lang w:eastAsia="he-IL"/>
          </w:rPr>
          <w:t>ת"פ 35806-05-12</w:t>
        </w:r>
      </w:hyperlink>
      <w:r>
        <w:rPr>
          <w:rFonts w:ascii="Times New Roman" w:hAnsi="Times New Roman"/>
          <w:rtl/>
          <w:lang w:eastAsia="he-IL"/>
        </w:rPr>
        <w:t xml:space="preserve"> (שלום נצ') </w:t>
      </w:r>
      <w:r>
        <w:rPr>
          <w:rFonts w:ascii="Times New Roman" w:hAnsi="Times New Roman"/>
          <w:b/>
          <w:bCs/>
          <w:rtl/>
          <w:lang w:eastAsia="he-IL"/>
        </w:rPr>
        <w:t>מדינת ישראל נ' בוריס</w:t>
      </w:r>
      <w:r>
        <w:rPr>
          <w:rFonts w:ascii="Times New Roman" w:hAnsi="Times New Roman"/>
          <w:rtl/>
          <w:lang w:eastAsia="he-IL"/>
        </w:rPr>
        <w:t xml:space="preserve"> </w:t>
      </w:r>
      <w:r>
        <w:rPr>
          <w:rFonts w:ascii="Times New Roman" w:hAnsi="Times New Roman"/>
          <w:b/>
          <w:bCs/>
          <w:rtl/>
          <w:lang w:eastAsia="he-IL"/>
        </w:rPr>
        <w:t>בבנקו</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ו</w:t>
      </w:r>
      <w:hyperlink r:id="rId60" w:history="1">
        <w:r w:rsidR="00D405D9" w:rsidRPr="00D405D9">
          <w:rPr>
            <w:rFonts w:ascii="Times New Roman" w:hAnsi="Times New Roman"/>
            <w:color w:val="0000FF"/>
            <w:u w:val="single"/>
            <w:rtl/>
            <w:lang w:eastAsia="he-IL"/>
          </w:rPr>
          <w:t xml:space="preserve">ת"פ 53396-06-13 </w:t>
        </w:r>
      </w:hyperlink>
      <w:r>
        <w:rPr>
          <w:rFonts w:ascii="Times New Roman" w:hAnsi="Times New Roman"/>
          <w:rtl/>
          <w:lang w:eastAsia="he-IL"/>
        </w:rPr>
        <w:t xml:space="preserve"> (מחוזי נצ') </w:t>
      </w:r>
      <w:r>
        <w:rPr>
          <w:rFonts w:ascii="Times New Roman" w:hAnsi="Times New Roman"/>
          <w:b/>
          <w:bCs/>
          <w:rtl/>
          <w:lang w:eastAsia="he-IL"/>
        </w:rPr>
        <w:t>קדורה זועבי נ' מדינת ישראל</w:t>
      </w:r>
      <w:r w:rsidR="00D405D9">
        <w:rPr>
          <w:rFonts w:ascii="Times New Roman" w:hAnsi="Times New Roman" w:hint="cs"/>
          <w:b/>
          <w:b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w:t>
      </w:r>
    </w:p>
    <w:p w14:paraId="06019598" w14:textId="77777777" w:rsidR="00672F1E" w:rsidRDefault="00672F1E">
      <w:pPr>
        <w:spacing w:line="360" w:lineRule="auto"/>
        <w:ind w:left="720"/>
        <w:contextualSpacing/>
        <w:jc w:val="both"/>
        <w:rPr>
          <w:rFonts w:ascii="Times New Roman" w:hAnsi="Times New Roman"/>
          <w:lang w:eastAsia="he-IL"/>
        </w:rPr>
      </w:pPr>
    </w:p>
    <w:p w14:paraId="05D489DE" w14:textId="77777777" w:rsidR="00672F1E" w:rsidRDefault="00AF4852" w:rsidP="00D405D9">
      <w:pPr>
        <w:spacing w:line="360" w:lineRule="auto"/>
        <w:ind w:left="720"/>
        <w:contextualSpacing/>
        <w:jc w:val="both"/>
        <w:rPr>
          <w:rFonts w:ascii="Times New Roman" w:hAnsi="Times New Roman"/>
          <w:rtl/>
          <w:lang w:eastAsia="he-IL"/>
        </w:rPr>
      </w:pPr>
      <w:r>
        <w:rPr>
          <w:rFonts w:ascii="Times New Roman" w:hAnsi="Times New Roman"/>
          <w:rtl/>
          <w:lang w:eastAsia="he-IL"/>
        </w:rPr>
        <w:t>מאידך הפנה ב"כ הנאשם לפסיקה מקלה כאשר בחלק מן המקרים נסיבותיהן האישיות של הנאשמים היו מיוחדות; כך למשל ב</w:t>
      </w:r>
      <w:hyperlink r:id="rId61" w:history="1">
        <w:r w:rsidRPr="00AF4852">
          <w:rPr>
            <w:rFonts w:ascii="Times New Roman" w:hAnsi="Times New Roman"/>
            <w:color w:val="0000FF"/>
            <w:u w:val="single"/>
            <w:rtl/>
            <w:lang w:eastAsia="he-IL"/>
          </w:rPr>
          <w:t>ע"פ 1505/14</w:t>
        </w:r>
      </w:hyperlink>
      <w:r>
        <w:rPr>
          <w:rFonts w:ascii="Times New Roman" w:hAnsi="Times New Roman"/>
          <w:rtl/>
          <w:lang w:eastAsia="he-IL"/>
        </w:rPr>
        <w:t xml:space="preserve"> </w:t>
      </w:r>
      <w:r>
        <w:rPr>
          <w:rFonts w:ascii="Times New Roman" w:hAnsi="Times New Roman"/>
          <w:b/>
          <w:bCs/>
          <w:rtl/>
          <w:lang w:eastAsia="he-IL"/>
        </w:rPr>
        <w:t>לידאוי נ' מדינת ישראל</w:t>
      </w:r>
      <w:r w:rsidR="00D405D9">
        <w:rPr>
          <w:rFonts w:ascii="Times New Roman" w:hAnsi="Times New Roman" w:hint="cs"/>
          <w:b/>
          <w:bCs/>
          <w:rtl/>
          <w:lang w:eastAsia="he-IL"/>
        </w:rPr>
        <w:t xml:space="preserve">, </w:t>
      </w:r>
      <w:r w:rsidR="00D405D9" w:rsidRPr="00D405D9">
        <w:rPr>
          <w:rFonts w:ascii="Times New Roman" w:hAnsi="Times New Roman"/>
          <w:sz w:val="22"/>
          <w:rtl/>
          <w:lang w:eastAsia="he-IL"/>
        </w:rPr>
        <w:t>[פורסם בנבו]</w:t>
      </w:r>
      <w:r>
        <w:rPr>
          <w:rFonts w:ascii="Times New Roman" w:hAnsi="Times New Roman"/>
          <w:rtl/>
          <w:lang w:eastAsia="he-IL"/>
        </w:rPr>
        <w:t>, 04.11.14 התחשב בית המשפט העליון בגילו של הנאשם (כבן 60) ובמצבו הבריאותי; ב</w:t>
      </w:r>
      <w:hyperlink r:id="rId62" w:history="1">
        <w:r w:rsidRPr="00AF4852">
          <w:rPr>
            <w:rFonts w:ascii="Times New Roman" w:hAnsi="Times New Roman"/>
            <w:color w:val="0000FF"/>
            <w:u w:val="single"/>
            <w:rtl/>
            <w:lang w:eastAsia="he-IL"/>
          </w:rPr>
          <w:t>ת"פ (מרכז) 11059-05-12</w:t>
        </w:r>
      </w:hyperlink>
      <w:r>
        <w:rPr>
          <w:rFonts w:ascii="Times New Roman" w:hAnsi="Times New Roman"/>
          <w:rtl/>
          <w:lang w:eastAsia="he-IL"/>
        </w:rPr>
        <w:t xml:space="preserve"> </w:t>
      </w:r>
      <w:r>
        <w:rPr>
          <w:rFonts w:ascii="Times New Roman" w:hAnsi="Times New Roman"/>
          <w:b/>
          <w:bCs/>
          <w:rtl/>
          <w:lang w:eastAsia="he-IL"/>
        </w:rPr>
        <w:t>מדינת ישראל נ' מוסא</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19.05.13) – ציין בית המשפט, כי מדובר בנסיבות חריגות וכי הנשק הוחזק לשם הגנה עצמית; ב</w:t>
      </w:r>
      <w:hyperlink r:id="rId63" w:history="1">
        <w:r w:rsidRPr="00AF4852">
          <w:rPr>
            <w:rFonts w:ascii="Times New Roman" w:hAnsi="Times New Roman"/>
            <w:color w:val="0000FF"/>
            <w:u w:val="single"/>
            <w:rtl/>
            <w:lang w:eastAsia="he-IL"/>
          </w:rPr>
          <w:t>ע"פ 5521/12</w:t>
        </w:r>
      </w:hyperlink>
      <w:r>
        <w:rPr>
          <w:rFonts w:ascii="Times New Roman" w:hAnsi="Times New Roman"/>
          <w:rtl/>
          <w:lang w:eastAsia="he-IL"/>
        </w:rPr>
        <w:t xml:space="preserve"> </w:t>
      </w:r>
      <w:r>
        <w:rPr>
          <w:rFonts w:ascii="Times New Roman" w:hAnsi="Times New Roman"/>
          <w:b/>
          <w:bCs/>
          <w:rtl/>
          <w:lang w:eastAsia="he-IL"/>
        </w:rPr>
        <w:t>פלוני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(20.11.13) – קבע בית המשפט העליון, כי יש לבכר את שיקולי השיקום על פני שיקולי ההרתעה; ב</w:t>
      </w:r>
      <w:hyperlink r:id="rId64" w:history="1">
        <w:r w:rsidRPr="00AF4852">
          <w:rPr>
            <w:rFonts w:ascii="Times New Roman" w:hAnsi="Times New Roman"/>
            <w:color w:val="0000FF"/>
            <w:u w:val="single"/>
            <w:rtl/>
            <w:lang w:eastAsia="he-IL"/>
          </w:rPr>
          <w:t>ת"פ (נצ') 47217-02-14</w:t>
        </w:r>
      </w:hyperlink>
      <w:r>
        <w:rPr>
          <w:rFonts w:ascii="Times New Roman" w:hAnsi="Times New Roman"/>
          <w:rtl/>
          <w:lang w:eastAsia="he-IL"/>
        </w:rPr>
        <w:t xml:space="preserve"> </w:t>
      </w:r>
      <w:r>
        <w:rPr>
          <w:rFonts w:ascii="Times New Roman" w:hAnsi="Times New Roman"/>
          <w:b/>
          <w:bCs/>
          <w:rtl/>
          <w:lang w:eastAsia="he-IL"/>
        </w:rPr>
        <w:t>מדינת ישראל נ' אלג'ואד</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(17.06.14) – דובר אמנם במקרה חמור ממקרה דנן אך הצדדים </w:t>
      </w:r>
      <w:r>
        <w:rPr>
          <w:rFonts w:ascii="Times New Roman" w:hAnsi="Times New Roman"/>
          <w:u w:val="single"/>
          <w:rtl/>
          <w:lang w:eastAsia="he-IL"/>
        </w:rPr>
        <w:t>עתרו במשותף לעונש</w:t>
      </w:r>
      <w:r>
        <w:rPr>
          <w:rFonts w:ascii="Times New Roman" w:hAnsi="Times New Roman"/>
          <w:rtl/>
          <w:lang w:eastAsia="he-IL"/>
        </w:rPr>
        <w:t xml:space="preserve"> סגור של 15 חודשי מאסר בפועל; בעניין זה מן הראוי להעיר, כי גזרי דין הניתנים על סמך הסדירי טיעון אינם משקפים, ככלל, את מדיניות הענישה הנהוגה, וקשה ללמוד מהם על המתחם הראוי. </w:t>
      </w:r>
    </w:p>
    <w:p w14:paraId="45B9AC1E" w14:textId="77777777" w:rsidR="00672F1E" w:rsidRDefault="00672F1E">
      <w:pPr>
        <w:spacing w:line="360" w:lineRule="auto"/>
        <w:jc w:val="both"/>
        <w:rPr>
          <w:rFonts w:ascii="Times New Roman" w:hAnsi="Times New Roman"/>
          <w:rtl/>
          <w:lang w:eastAsia="he-IL"/>
        </w:rPr>
      </w:pPr>
    </w:p>
    <w:p w14:paraId="7F0CC3A6" w14:textId="77777777" w:rsidR="00672F1E" w:rsidRDefault="00AF4852">
      <w:pPr>
        <w:spacing w:line="360" w:lineRule="auto"/>
        <w:ind w:left="509"/>
        <w:jc w:val="both"/>
        <w:rPr>
          <w:rFonts w:ascii="Times New Roman" w:hAnsi="Times New Roman"/>
          <w:b/>
          <w:bCs/>
          <w:u w:val="single"/>
          <w:rtl/>
          <w:lang w:eastAsia="he-IL"/>
        </w:rPr>
      </w:pPr>
      <w:r>
        <w:rPr>
          <w:rFonts w:ascii="Times New Roman" w:hAnsi="Times New Roman"/>
          <w:b/>
          <w:bCs/>
          <w:u w:val="single"/>
          <w:rtl/>
          <w:lang w:eastAsia="he-IL"/>
        </w:rPr>
        <w:t xml:space="preserve">מדיניות הענישה הנהוגה בעבירות של החזקת סם מסוכן שלא לצריכה עצמית </w:t>
      </w:r>
    </w:p>
    <w:p w14:paraId="27BAC5D2" w14:textId="77777777" w:rsidR="00672F1E" w:rsidRDefault="00672F1E">
      <w:pPr>
        <w:spacing w:line="360" w:lineRule="auto"/>
        <w:ind w:left="720"/>
        <w:contextualSpacing/>
        <w:jc w:val="both"/>
      </w:pPr>
    </w:p>
    <w:p w14:paraId="4343CF59" w14:textId="77777777" w:rsidR="00672F1E" w:rsidRDefault="00AF4852">
      <w:pPr>
        <w:numPr>
          <w:ilvl w:val="0"/>
          <w:numId w:val="1"/>
        </w:numPr>
        <w:spacing w:after="200" w:line="360" w:lineRule="auto"/>
        <w:contextualSpacing/>
        <w:jc w:val="both"/>
        <w:rPr>
          <w:rFonts w:ascii="Times New Roman" w:hAnsi="Times New Roman"/>
          <w:rtl/>
          <w:lang w:eastAsia="he-IL"/>
        </w:rPr>
      </w:pPr>
      <w:r>
        <w:rPr>
          <w:rFonts w:ascii="Times New Roman" w:hAnsi="Times New Roman"/>
          <w:rtl/>
          <w:lang w:eastAsia="he-IL"/>
        </w:rPr>
        <w:t xml:space="preserve">קשת הענישה בעבירות סמים רחבה היא ותלויה בנסיבותיו ובמאפייניו הייחודיים של המקרה הקונקרטי. מדיניות הענישה הנהוגה בעבירות בהן הורשע הנאשם דנן מתחשבת בצורך במאבק בנגע הסמים ובהשפעותיו השליליות על החברה. מתחמי הענישה העולים מהפסיקה נעים במנעד רחב כאשר משתנים הם בהתאם לנסיבותיו של כל מקרה ומקרה בשים לב בין היתר לכמות הסם ולסוגו (ראו: </w:t>
      </w:r>
      <w:hyperlink r:id="rId65" w:history="1">
        <w:r w:rsidRPr="00AF4852">
          <w:rPr>
            <w:rFonts w:ascii="Times New Roman" w:hAnsi="Times New Roman"/>
            <w:color w:val="0000FF"/>
            <w:u w:val="single"/>
            <w:rtl/>
            <w:lang w:eastAsia="he-IL"/>
          </w:rPr>
          <w:t>ע"פ 5741/11</w:t>
        </w:r>
      </w:hyperlink>
      <w:r>
        <w:rPr>
          <w:rFonts w:ascii="Times New Roman" w:hAnsi="Times New Roman"/>
          <w:rtl/>
          <w:lang w:eastAsia="he-IL"/>
        </w:rPr>
        <w:t xml:space="preserve"> </w:t>
      </w:r>
      <w:r>
        <w:rPr>
          <w:rFonts w:ascii="Times New Roman" w:hAnsi="Times New Roman"/>
          <w:b/>
          <w:bCs/>
          <w:rtl/>
          <w:lang w:eastAsia="he-IL"/>
        </w:rPr>
        <w:t>סואכרה נ' מדינת ישראל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ניתן ביום 20.01.13). מקובל לנקוט במדיניות שונה בין מבצעי עבירות סמים מסוג הירואין וקוקאין לבין מבצעי עבירות סמים מסוג חשיש וקאנבוס. כן נהוג להבחין בין מי שמחזיק בסמים לצריכתו העצמית ומי שלא, ובין מגדלי הסמים למי שסוחר בהם.  </w:t>
      </w:r>
    </w:p>
    <w:p w14:paraId="1B765CCE" w14:textId="77777777" w:rsidR="00672F1E" w:rsidRDefault="00672F1E">
      <w:pPr>
        <w:spacing w:line="360" w:lineRule="auto"/>
        <w:ind w:left="720"/>
        <w:contextualSpacing/>
        <w:jc w:val="both"/>
        <w:rPr>
          <w:rFonts w:ascii="Times New Roman" w:hAnsi="Times New Roman"/>
          <w:lang w:eastAsia="he-IL"/>
        </w:rPr>
      </w:pPr>
    </w:p>
    <w:p w14:paraId="26D30BA7" w14:textId="77777777" w:rsidR="00672F1E" w:rsidRDefault="00AF4852">
      <w:pPr>
        <w:numPr>
          <w:ilvl w:val="0"/>
          <w:numId w:val="4"/>
        </w:numPr>
        <w:spacing w:after="200" w:line="360" w:lineRule="auto"/>
        <w:contextualSpacing/>
        <w:jc w:val="both"/>
        <w:rPr>
          <w:rFonts w:ascii="Times New Roman" w:hAnsi="Times New Roman"/>
          <w:lang w:eastAsia="he-IL"/>
        </w:rPr>
      </w:pPr>
      <w:r>
        <w:rPr>
          <w:rFonts w:ascii="Times New Roman" w:hAnsi="Times New Roman"/>
          <w:rtl/>
          <w:lang w:eastAsia="he-IL"/>
        </w:rPr>
        <w:t>ב</w:t>
      </w:r>
      <w:hyperlink r:id="rId66" w:history="1">
        <w:r w:rsidRPr="00AF4852">
          <w:rPr>
            <w:rFonts w:ascii="Times New Roman" w:hAnsi="Times New Roman"/>
            <w:color w:val="0000FF"/>
            <w:u w:val="single"/>
            <w:rtl/>
            <w:lang w:eastAsia="he-IL"/>
          </w:rPr>
          <w:t>ת"פ (ת"א) 10971-03-11</w:t>
        </w:r>
      </w:hyperlink>
      <w:r>
        <w:rPr>
          <w:rFonts w:ascii="Times New Roman" w:hAnsi="Times New Roman"/>
          <w:rtl/>
          <w:lang w:eastAsia="he-IL"/>
        </w:rPr>
        <w:t xml:space="preserve"> </w:t>
      </w:r>
      <w:r>
        <w:rPr>
          <w:rFonts w:ascii="Times New Roman" w:hAnsi="Times New Roman"/>
          <w:b/>
          <w:bCs/>
          <w:rtl/>
          <w:lang w:eastAsia="he-IL"/>
        </w:rPr>
        <w:t>מדינת ישראל נ' יוסף מגל</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(ניתן ביום 10.02.15) – נגזרו על נאשם שהורשע בשני אישומים שעניינם החזקת סם מסוכן שלא לצריכה עצמית ושני אישומים של הפרעה לשוטר בשעת מילוי תפקידו, 4 חודשי מאסר בעבודות שירות. במסגרת גזר הדין קבע בית המשפט, כי מתחם העונש ההולם לעבירת החזקת סם מסוכן שלא לצריכה עצמית והפרעה לשוטר במילוי תפקידו נע בין 8-4 חודשי מאסר.</w:t>
      </w:r>
    </w:p>
    <w:p w14:paraId="0972BDB8" w14:textId="77777777" w:rsidR="00672F1E" w:rsidRDefault="00672F1E">
      <w:pPr>
        <w:spacing w:line="360" w:lineRule="auto"/>
        <w:ind w:left="1106"/>
        <w:contextualSpacing/>
        <w:jc w:val="both"/>
        <w:rPr>
          <w:rFonts w:ascii="Times New Roman" w:hAnsi="Times New Roman"/>
          <w:lang w:eastAsia="he-IL"/>
        </w:rPr>
      </w:pPr>
    </w:p>
    <w:p w14:paraId="11E4EA3A" w14:textId="77777777" w:rsidR="00672F1E" w:rsidRDefault="00AF4852">
      <w:pPr>
        <w:numPr>
          <w:ilvl w:val="0"/>
          <w:numId w:val="4"/>
        </w:numPr>
        <w:spacing w:after="200" w:line="360" w:lineRule="auto"/>
        <w:contextualSpacing/>
        <w:jc w:val="both"/>
        <w:rPr>
          <w:rFonts w:ascii="Times New Roman" w:hAnsi="Times New Roman"/>
          <w:lang w:eastAsia="he-IL"/>
        </w:rPr>
      </w:pPr>
      <w:r>
        <w:rPr>
          <w:rFonts w:ascii="Times New Roman" w:hAnsi="Times New Roman"/>
          <w:rtl/>
          <w:lang w:eastAsia="he-IL"/>
        </w:rPr>
        <w:t>ב</w:t>
      </w:r>
      <w:hyperlink r:id="rId67" w:history="1">
        <w:r w:rsidRPr="00AF4852">
          <w:rPr>
            <w:rFonts w:ascii="Times New Roman" w:hAnsi="Times New Roman"/>
            <w:color w:val="0000FF"/>
            <w:u w:val="single"/>
            <w:rtl/>
            <w:lang w:eastAsia="he-IL"/>
          </w:rPr>
          <w:t>ת"פ (רשל"צ) 38095-07-13</w:t>
        </w:r>
      </w:hyperlink>
      <w:r>
        <w:rPr>
          <w:rFonts w:ascii="Times New Roman" w:hAnsi="Times New Roman"/>
          <w:rtl/>
          <w:lang w:eastAsia="he-IL"/>
        </w:rPr>
        <w:t xml:space="preserve"> </w:t>
      </w:r>
      <w:r>
        <w:rPr>
          <w:rFonts w:ascii="Times New Roman" w:hAnsi="Times New Roman"/>
          <w:b/>
          <w:bCs/>
          <w:rtl/>
          <w:lang w:eastAsia="he-IL"/>
        </w:rPr>
        <w:t>מדינת ישראל נ' אדרי</w:t>
      </w:r>
      <w:r>
        <w:rPr>
          <w:rFonts w:ascii="Times New Roman" w:hAnsi="Times New Roman"/>
          <w:rtl/>
          <w:lang w:eastAsia="he-IL"/>
        </w:rPr>
        <w:t xml:space="preserve"> </w:t>
      </w:r>
      <w:r w:rsidR="00D405D9" w:rsidRPr="00D405D9">
        <w:rPr>
          <w:rFonts w:ascii="Times New Roman" w:hAnsi="Times New Roman"/>
          <w:sz w:val="22"/>
          <w:rtl/>
          <w:lang w:eastAsia="he-IL"/>
        </w:rPr>
        <w:t xml:space="preserve">[פורסם בנבו] </w:t>
      </w:r>
      <w:r>
        <w:rPr>
          <w:rFonts w:ascii="Times New Roman" w:hAnsi="Times New Roman"/>
          <w:rtl/>
          <w:lang w:eastAsia="he-IL"/>
        </w:rPr>
        <w:t xml:space="preserve">(02.12.14) – גזר בית משפט השלום 12 חודשי מאסר בפועל (במסגרת הסדר טיעון ועונש סגור) על נאשם  שהורשע בגידול סם מסוכן והחזקת סם מסוכן שלא לצריכה עצמית. </w:t>
      </w:r>
    </w:p>
    <w:p w14:paraId="15FA7742" w14:textId="77777777" w:rsidR="00672F1E" w:rsidRDefault="00672F1E">
      <w:pPr>
        <w:spacing w:line="360" w:lineRule="auto"/>
        <w:contextualSpacing/>
        <w:jc w:val="both"/>
        <w:rPr>
          <w:rFonts w:ascii="Times New Roman" w:hAnsi="Times New Roman"/>
          <w:rtl/>
          <w:lang w:eastAsia="he-IL"/>
        </w:rPr>
      </w:pPr>
    </w:p>
    <w:p w14:paraId="44BDDDB1" w14:textId="77777777" w:rsidR="00672F1E" w:rsidRDefault="00AF4852">
      <w:pPr>
        <w:numPr>
          <w:ilvl w:val="0"/>
          <w:numId w:val="4"/>
        </w:numPr>
        <w:spacing w:line="360" w:lineRule="auto"/>
        <w:jc w:val="both"/>
        <w:rPr>
          <w:rFonts w:ascii="Times New Roman" w:hAnsi="Times New Roman"/>
          <w:lang w:eastAsia="he-IL"/>
        </w:rPr>
      </w:pPr>
      <w:hyperlink r:id="rId68" w:history="1">
        <w:r w:rsidRPr="00AF4852">
          <w:rPr>
            <w:rFonts w:ascii="Times New Roman" w:hAnsi="Times New Roman"/>
            <w:color w:val="0000FF"/>
            <w:u w:val="single"/>
            <w:rtl/>
            <w:lang w:eastAsia="he-IL"/>
          </w:rPr>
          <w:t>ת"פ 37340-06-12</w:t>
        </w:r>
      </w:hyperlink>
      <w:r>
        <w:rPr>
          <w:rFonts w:ascii="Times New Roman" w:hAnsi="Times New Roman"/>
          <w:rtl/>
          <w:lang w:eastAsia="he-IL"/>
        </w:rPr>
        <w:t xml:space="preserve"> </w:t>
      </w:r>
      <w:r>
        <w:rPr>
          <w:rFonts w:ascii="Times New Roman" w:hAnsi="Times New Roman"/>
          <w:b/>
          <w:bCs/>
          <w:rtl/>
          <w:lang w:eastAsia="he-IL"/>
        </w:rPr>
        <w:t xml:space="preserve">מד"י נ' בוחניק </w:t>
      </w:r>
      <w:r>
        <w:rPr>
          <w:rFonts w:ascii="Times New Roman" w:hAnsi="Times New Roman"/>
          <w:rtl/>
          <w:lang w:eastAsia="he-IL"/>
        </w:rPr>
        <w:t>(פורסם בנבו, 4.2.14): הנאשם הורשע על-פי הודאתו בהחזקת סם שלא לצריכה עצמית, החזקת כלים שלא לצריכה עצמית והחזקת סם לצריכה עצמית. בסך הכל, החזיק הנאשם למעלה מ-</w:t>
      </w:r>
      <w:smartTag w:uri="urn:schemas-microsoft-com:office:smarttags" w:element="metricconverter">
        <w:smartTagPr>
          <w:attr w:name="ProductID" w:val="300 גרם"/>
        </w:smartTagPr>
        <w:r>
          <w:rPr>
            <w:rFonts w:ascii="Times New Roman" w:hAnsi="Times New Roman"/>
            <w:rtl/>
            <w:lang w:eastAsia="he-IL"/>
          </w:rPr>
          <w:t>300 גרם</w:t>
        </w:r>
      </w:smartTag>
      <w:r>
        <w:rPr>
          <w:rFonts w:ascii="Times New Roman" w:hAnsi="Times New Roman"/>
          <w:rtl/>
          <w:lang w:eastAsia="he-IL"/>
        </w:rPr>
        <w:t xml:space="preserve"> נטו של סם מסוג חשיש. נקבע, כי מתחם העונש נע בין מאסר בפועל של מספר חודשים שירוצה בעבודות שירות ועד שנה. בית המשפט חרג </w:t>
      </w:r>
      <w:r>
        <w:rPr>
          <w:rFonts w:ascii="Times New Roman" w:hAnsi="Times New Roman"/>
          <w:u w:val="single"/>
          <w:rtl/>
          <w:lang w:eastAsia="he-IL"/>
        </w:rPr>
        <w:t xml:space="preserve">לקולא </w:t>
      </w:r>
      <w:r>
        <w:rPr>
          <w:rFonts w:ascii="Times New Roman" w:hAnsi="Times New Roman"/>
          <w:rtl/>
          <w:lang w:eastAsia="he-IL"/>
        </w:rPr>
        <w:t>מן המתחם לאור הליך השיקום, העמיד את הנאשם בצו מבחן וגזר עונשו למאסר על תנאי ושל"צ.</w:t>
      </w:r>
    </w:p>
    <w:p w14:paraId="42EEAA6A" w14:textId="77777777" w:rsidR="00672F1E" w:rsidRDefault="00672F1E">
      <w:pPr>
        <w:spacing w:line="360" w:lineRule="auto"/>
        <w:ind w:left="1106"/>
        <w:jc w:val="both"/>
        <w:rPr>
          <w:rFonts w:ascii="Times New Roman" w:hAnsi="Times New Roman"/>
          <w:lang w:eastAsia="he-IL"/>
        </w:rPr>
      </w:pPr>
    </w:p>
    <w:p w14:paraId="590C798D" w14:textId="77777777" w:rsidR="00672F1E" w:rsidRDefault="00AF4852">
      <w:pPr>
        <w:numPr>
          <w:ilvl w:val="0"/>
          <w:numId w:val="4"/>
        </w:numPr>
        <w:spacing w:line="360" w:lineRule="auto"/>
        <w:jc w:val="both"/>
        <w:rPr>
          <w:rFonts w:ascii="Times New Roman" w:hAnsi="Times New Roman"/>
          <w:lang w:eastAsia="he-IL"/>
        </w:rPr>
      </w:pPr>
      <w:hyperlink r:id="rId69" w:history="1">
        <w:r w:rsidRPr="00AF4852">
          <w:rPr>
            <w:rFonts w:ascii="Times New Roman" w:hAnsi="Times New Roman"/>
            <w:color w:val="0000FF"/>
            <w:u w:val="single"/>
            <w:rtl/>
            <w:lang w:eastAsia="he-IL"/>
          </w:rPr>
          <w:t>ת"פ 51123-01-12</w:t>
        </w:r>
      </w:hyperlink>
      <w:r>
        <w:rPr>
          <w:rFonts w:ascii="Times New Roman" w:hAnsi="Times New Roman"/>
          <w:rtl/>
          <w:lang w:eastAsia="he-IL"/>
        </w:rPr>
        <w:t xml:space="preserve"> </w:t>
      </w:r>
      <w:r>
        <w:rPr>
          <w:rFonts w:ascii="Times New Roman" w:hAnsi="Times New Roman"/>
          <w:b/>
          <w:bCs/>
          <w:rtl/>
          <w:lang w:eastAsia="he-IL"/>
        </w:rPr>
        <w:t>מדינת ישראל נ' חוטוריאנסקי</w:t>
      </w:r>
      <w:r>
        <w:rPr>
          <w:rFonts w:ascii="Times New Roman" w:hAnsi="Times New Roman"/>
          <w:rtl/>
          <w:lang w:eastAsia="he-IL"/>
        </w:rPr>
        <w:t xml:space="preserve"> (פורסם בנבו, 23.3.14): הנאשם הורשע בהתאם להודאתו בעבירה של החזקת סם מסוכן מסוג חשיש במשקל </w:t>
      </w:r>
      <w:smartTag w:uri="urn:schemas-microsoft-com:office:smarttags" w:element="metricconverter">
        <w:smartTagPr>
          <w:attr w:name="ProductID" w:val="97.25 גרם"/>
        </w:smartTagPr>
        <w:r>
          <w:rPr>
            <w:rFonts w:ascii="Times New Roman" w:hAnsi="Times New Roman"/>
            <w:rtl/>
            <w:lang w:eastAsia="he-IL"/>
          </w:rPr>
          <w:t>97.25 גרם</w:t>
        </w:r>
      </w:smartTag>
      <w:r>
        <w:rPr>
          <w:rFonts w:ascii="Times New Roman" w:hAnsi="Times New Roman"/>
          <w:rtl/>
          <w:lang w:eastAsia="he-IL"/>
        </w:rPr>
        <w:t xml:space="preserve"> נטו וקוביה של הסם האמור במשקל </w:t>
      </w:r>
      <w:smartTag w:uri="urn:schemas-microsoft-com:office:smarttags" w:element="metricconverter">
        <w:smartTagPr>
          <w:attr w:name="ProductID" w:val="2.33 גרם"/>
        </w:smartTagPr>
        <w:r>
          <w:rPr>
            <w:rFonts w:ascii="Times New Roman" w:hAnsi="Times New Roman"/>
            <w:rtl/>
            <w:lang w:eastAsia="he-IL"/>
          </w:rPr>
          <w:t>2.33 גרם</w:t>
        </w:r>
      </w:smartTag>
      <w:r>
        <w:rPr>
          <w:rFonts w:ascii="Times New Roman" w:hAnsi="Times New Roman"/>
          <w:rtl/>
          <w:lang w:eastAsia="he-IL"/>
        </w:rPr>
        <w:t xml:space="preserve"> נטו – והכל שלא לצריכה עצמית. נקבע, כי מתחם העונש ההולם הינו החל במאסר על תנאי וכלה ב-8 חודשי מאסר בפועל. בית המשפט גזר דינו של הנאשם ל-3 חודשי מאסר, הפעיל מאסר על תנאי בן 3 חודשים במצטבר – והורה על ריצוי העונש בעבודות שירות. לצד זאת נגזרו מאסר על תנאי, קנס ופסילת רישיון נהיגה.</w:t>
      </w:r>
    </w:p>
    <w:p w14:paraId="4E9FF648" w14:textId="77777777" w:rsidR="00672F1E" w:rsidRDefault="00672F1E">
      <w:pPr>
        <w:rPr>
          <w:rFonts w:ascii="Times New Roman" w:hAnsi="Times New Roman"/>
          <w:rtl/>
          <w:lang w:eastAsia="he-IL"/>
        </w:rPr>
      </w:pPr>
    </w:p>
    <w:p w14:paraId="69B7FCC0" w14:textId="77777777" w:rsidR="00672F1E" w:rsidRDefault="00AF4852">
      <w:pPr>
        <w:numPr>
          <w:ilvl w:val="0"/>
          <w:numId w:val="4"/>
        </w:numPr>
        <w:spacing w:line="360" w:lineRule="auto"/>
        <w:jc w:val="both"/>
        <w:rPr>
          <w:rFonts w:ascii="Times New Roman" w:hAnsi="Times New Roman"/>
          <w:lang w:eastAsia="he-IL"/>
        </w:rPr>
      </w:pPr>
      <w:hyperlink r:id="rId70" w:history="1">
        <w:r w:rsidRPr="00AF4852">
          <w:rPr>
            <w:rFonts w:ascii="Times New Roman" w:hAnsi="Times New Roman"/>
            <w:color w:val="0000FF"/>
            <w:u w:val="single"/>
            <w:rtl/>
            <w:lang w:eastAsia="he-IL"/>
          </w:rPr>
          <w:t>ת"פ 24156-11-12</w:t>
        </w:r>
      </w:hyperlink>
      <w:r>
        <w:rPr>
          <w:rFonts w:ascii="Times New Roman" w:hAnsi="Times New Roman"/>
          <w:rtl/>
          <w:lang w:eastAsia="he-IL"/>
        </w:rPr>
        <w:t xml:space="preserve"> </w:t>
      </w:r>
      <w:r>
        <w:rPr>
          <w:rFonts w:ascii="Times New Roman" w:hAnsi="Times New Roman"/>
          <w:b/>
          <w:bCs/>
          <w:rtl/>
          <w:lang w:eastAsia="he-IL"/>
        </w:rPr>
        <w:t>מד"י נ' גבריאל</w:t>
      </w:r>
      <w:r>
        <w:rPr>
          <w:rFonts w:ascii="Times New Roman" w:hAnsi="Times New Roman"/>
          <w:rtl/>
          <w:lang w:eastAsia="he-IL"/>
        </w:rPr>
        <w:t xml:space="preserve"> (פורסם בנבו, 15.1.13): הנאשם הורשע בהתאם להודאתו בהחזקת סם מסוכן מסוג חשיש במשקל </w:t>
      </w:r>
      <w:smartTag w:uri="urn:schemas-microsoft-com:office:smarttags" w:element="metricconverter">
        <w:smartTagPr>
          <w:attr w:name="ProductID" w:val="117.36 גרם"/>
        </w:smartTagPr>
        <w:r>
          <w:rPr>
            <w:rFonts w:ascii="Times New Roman" w:hAnsi="Times New Roman"/>
            <w:rtl/>
            <w:lang w:eastAsia="he-IL"/>
          </w:rPr>
          <w:t>117.36 גרם</w:t>
        </w:r>
      </w:smartTag>
      <w:r>
        <w:rPr>
          <w:rFonts w:ascii="Times New Roman" w:hAnsi="Times New Roman"/>
          <w:rtl/>
          <w:lang w:eastAsia="he-IL"/>
        </w:rPr>
        <w:t xml:space="preserve"> נטו – שלא לצריכה עצמית. בהתחשב בעברו הפלילי של הנאשם, בית המשפט גזר את דינו ל-8 חודשי מאסר בפועל, הפעלת מאסר על תנאי בן 8 חודשים – חודשיים מתוכם במצטבר, מאסר על תנאי וקנס.</w:t>
      </w:r>
    </w:p>
    <w:p w14:paraId="52682E5C" w14:textId="77777777" w:rsidR="00672F1E" w:rsidRDefault="00672F1E">
      <w:pPr>
        <w:spacing w:line="360" w:lineRule="auto"/>
        <w:ind w:left="720"/>
        <w:jc w:val="both"/>
        <w:rPr>
          <w:rFonts w:ascii="Calibri" w:hAnsi="Calibri"/>
          <w:sz w:val="16"/>
          <w:szCs w:val="18"/>
        </w:rPr>
      </w:pPr>
    </w:p>
    <w:p w14:paraId="01C76CBF"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יש לציין, כי במקרים בהם החזיקו נאשמים בכמות קטנה יותר של סם מסוכן מסוג חשיש, אם כי עדיין שלא לצריכה עצמית, נגזרו על נאשמים מאסרים על תנאי (ראו: </w:t>
      </w:r>
      <w:hyperlink r:id="rId71" w:history="1">
        <w:r w:rsidRPr="00AF4852">
          <w:rPr>
            <w:rFonts w:ascii="Times New Roman" w:hAnsi="Times New Roman"/>
            <w:color w:val="0000FF"/>
            <w:u w:val="single"/>
            <w:rtl/>
            <w:lang w:eastAsia="he-IL"/>
          </w:rPr>
          <w:t>ת"פ (שלום עכו) 25938-01-12</w:t>
        </w:r>
      </w:hyperlink>
      <w:r>
        <w:rPr>
          <w:rFonts w:ascii="Times New Roman" w:hAnsi="Times New Roman"/>
          <w:rtl/>
          <w:lang w:eastAsia="he-IL"/>
        </w:rPr>
        <w:t xml:space="preserve"> </w:t>
      </w:r>
      <w:r>
        <w:rPr>
          <w:rFonts w:ascii="Times New Roman" w:hAnsi="Times New Roman"/>
          <w:b/>
          <w:bCs/>
          <w:rtl/>
          <w:lang w:eastAsia="he-IL"/>
        </w:rPr>
        <w:t>מד"י נ' סעד</w:t>
      </w:r>
      <w:r>
        <w:rPr>
          <w:rFonts w:ascii="Times New Roman" w:hAnsi="Times New Roman"/>
          <w:rtl/>
          <w:lang w:eastAsia="he-IL"/>
        </w:rPr>
        <w:t xml:space="preserve"> (פורסם בנבו, 30.5.13): הנאשם הורשע על-פי הודאתו בביצוע עבירות של החזקת סם מסוכן שלא לצריכה עצמית ובהפרעה לשוטר בשעת מילוי תפקידו. הנאשם החזיק בסם מסוכן מסוג חשיש במשקל כולל של </w:t>
      </w:r>
      <w:smartTag w:uri="urn:schemas-microsoft-com:office:smarttags" w:element="metricconverter">
        <w:smartTagPr>
          <w:attr w:name="ProductID" w:val="71.96 גרם"/>
        </w:smartTagPr>
        <w:r>
          <w:rPr>
            <w:rFonts w:ascii="Times New Roman" w:hAnsi="Times New Roman"/>
            <w:rtl/>
            <w:lang w:eastAsia="he-IL"/>
          </w:rPr>
          <w:t>71.96 גרם</w:t>
        </w:r>
      </w:smartTag>
      <w:r>
        <w:rPr>
          <w:rFonts w:ascii="Times New Roman" w:hAnsi="Times New Roman"/>
          <w:rtl/>
          <w:lang w:eastAsia="he-IL"/>
        </w:rPr>
        <w:t xml:space="preserve">. המאסר על תנאי שהיה תלוי נגד הנאשם הוארך, וכן הוטל עליו צו מבחן למשך שנה וראו גם: </w:t>
      </w:r>
      <w:hyperlink r:id="rId72" w:history="1">
        <w:r w:rsidRPr="00AF4852">
          <w:rPr>
            <w:rFonts w:ascii="Times New Roman" w:hAnsi="Times New Roman"/>
            <w:color w:val="0000FF"/>
            <w:u w:val="single"/>
            <w:rtl/>
            <w:lang w:eastAsia="he-IL"/>
          </w:rPr>
          <w:t>ת"פ (שלום קרית גת) 33690-02-12</w:t>
        </w:r>
      </w:hyperlink>
      <w:r>
        <w:rPr>
          <w:rFonts w:ascii="Times New Roman" w:hAnsi="Times New Roman"/>
          <w:rtl/>
          <w:lang w:eastAsia="he-IL"/>
        </w:rPr>
        <w:t xml:space="preserve"> </w:t>
      </w:r>
      <w:r>
        <w:rPr>
          <w:rFonts w:ascii="Times New Roman" w:hAnsi="Times New Roman"/>
          <w:b/>
          <w:bCs/>
          <w:rtl/>
          <w:lang w:eastAsia="he-IL"/>
        </w:rPr>
        <w:t>מד"י נ' אפלמן</w:t>
      </w:r>
      <w:r>
        <w:rPr>
          <w:rFonts w:ascii="Times New Roman" w:hAnsi="Times New Roman"/>
          <w:rtl/>
          <w:lang w:eastAsia="he-IL"/>
        </w:rPr>
        <w:t xml:space="preserve"> (פורסם בנבו, 11.12.13): הנאשם הורשע בהתאם להודאתו בהחזקת סם שלא לצריכה עצמית. הנאשם החזיק בסם מסוכן מסוג חשיש במשקל כולל של </w:t>
      </w:r>
      <w:smartTag w:uri="urn:schemas-microsoft-com:office:smarttags" w:element="metricconverter">
        <w:smartTagPr>
          <w:attr w:name="ProductID" w:val="47.4 גרם"/>
        </w:smartTagPr>
        <w:r>
          <w:rPr>
            <w:rFonts w:ascii="Times New Roman" w:hAnsi="Times New Roman"/>
            <w:rtl/>
            <w:lang w:eastAsia="he-IL"/>
          </w:rPr>
          <w:t>47.4 גרם</w:t>
        </w:r>
      </w:smartTag>
      <w:r>
        <w:rPr>
          <w:rFonts w:ascii="Times New Roman" w:hAnsi="Times New Roman"/>
          <w:rtl/>
          <w:lang w:eastAsia="he-IL"/>
        </w:rPr>
        <w:t xml:space="preserve">. בית המשפט גזר על הנאשם עונש של מאסר על תנאי, צו של"צ בהיקף של 220 שעות וצו מבחן למשך שנה. </w:t>
      </w:r>
    </w:p>
    <w:p w14:paraId="5AA38F63" w14:textId="77777777" w:rsidR="00672F1E" w:rsidRDefault="00672F1E">
      <w:pPr>
        <w:spacing w:line="360" w:lineRule="auto"/>
        <w:ind w:left="720"/>
        <w:contextualSpacing/>
        <w:jc w:val="both"/>
        <w:rPr>
          <w:rFonts w:ascii="Times New Roman" w:hAnsi="Times New Roman"/>
          <w:lang w:eastAsia="he-IL"/>
        </w:rPr>
      </w:pPr>
    </w:p>
    <w:p w14:paraId="4FC0A50E" w14:textId="77777777" w:rsidR="00672F1E" w:rsidRDefault="00AF4852">
      <w:pPr>
        <w:numPr>
          <w:ilvl w:val="0"/>
          <w:numId w:val="1"/>
        </w:numPr>
        <w:spacing w:line="360" w:lineRule="auto"/>
        <w:contextualSpacing/>
        <w:jc w:val="both"/>
        <w:rPr>
          <w:rFonts w:ascii="Times New Roman" w:hAnsi="Times New Roman"/>
          <w:rtl/>
          <w:lang w:eastAsia="he-IL"/>
        </w:rPr>
      </w:pPr>
      <w:r>
        <w:rPr>
          <w:rFonts w:ascii="Times New Roman" w:hAnsi="Times New Roman"/>
          <w:rtl/>
          <w:lang w:eastAsia="he-IL"/>
        </w:rPr>
        <w:t xml:space="preserve">עיינתי בפסיקה אליה הפנתה ב"כ המאשימה בנוגע לעבירות סמים שלא לצריכה עצמית; מרביתם של המקרים חמורים מהמקרה שלפני; בחלק מן המקרים הנאשמים הורשעו בסחר בסמים וביצעו עבירות נוספות ועל כן אין בפסיקה זו כדי ללמד על מדיניות הענישה הנהוגה בעבירה עסקינן. </w:t>
      </w:r>
    </w:p>
    <w:p w14:paraId="2C88DDA2" w14:textId="77777777" w:rsidR="00672F1E" w:rsidRDefault="00672F1E">
      <w:pPr>
        <w:tabs>
          <w:tab w:val="left" w:pos="566"/>
        </w:tabs>
        <w:spacing w:line="360" w:lineRule="auto"/>
        <w:jc w:val="both"/>
        <w:rPr>
          <w:rFonts w:ascii="Times New Roman" w:hAnsi="Times New Roman"/>
          <w:rtl/>
          <w:lang w:eastAsia="he-IL"/>
        </w:rPr>
      </w:pPr>
    </w:p>
    <w:p w14:paraId="19AB57A3" w14:textId="77777777" w:rsidR="00672F1E" w:rsidRDefault="00AF4852">
      <w:pPr>
        <w:tabs>
          <w:tab w:val="left" w:pos="566"/>
        </w:tabs>
        <w:spacing w:line="360" w:lineRule="auto"/>
        <w:jc w:val="both"/>
        <w:rPr>
          <w:rFonts w:ascii="Times New Roman" w:hAnsi="Times New Roman"/>
          <w:lang w:eastAsia="he-IL"/>
        </w:rPr>
      </w:pPr>
      <w:r>
        <w:rPr>
          <w:rFonts w:ascii="Times New Roman" w:hAnsi="Times New Roman"/>
          <w:b/>
          <w:bCs/>
          <w:rtl/>
          <w:lang w:eastAsia="he-IL"/>
        </w:rPr>
        <w:t>ג</w:t>
      </w:r>
      <w:r>
        <w:rPr>
          <w:rFonts w:ascii="Times New Roman" w:hAnsi="Times New Roman"/>
          <w:rtl/>
          <w:lang w:eastAsia="he-IL"/>
        </w:rPr>
        <w:t xml:space="preserve">. </w:t>
      </w:r>
      <w:r>
        <w:rPr>
          <w:rFonts w:ascii="Times New Roman" w:hAnsi="Times New Roman"/>
          <w:rtl/>
          <w:lang w:eastAsia="he-IL"/>
        </w:rPr>
        <w:tab/>
      </w:r>
      <w:r>
        <w:rPr>
          <w:rFonts w:ascii="Times New Roman" w:hAnsi="Times New Roman"/>
          <w:b/>
          <w:bCs/>
          <w:u w:val="single"/>
          <w:rtl/>
          <w:lang w:eastAsia="he-IL"/>
        </w:rPr>
        <w:t xml:space="preserve">נסיבות הקשורות בביצוע העבירות – </w:t>
      </w:r>
      <w:hyperlink r:id="rId73" w:history="1">
        <w:r w:rsidR="006401C2" w:rsidRPr="006401C2">
          <w:rPr>
            <w:rFonts w:ascii="Times New Roman" w:hAnsi="Times New Roman"/>
            <w:b/>
            <w:bCs/>
            <w:color w:val="0000FF"/>
            <w:u w:val="single"/>
            <w:rtl/>
            <w:lang w:eastAsia="he-IL"/>
          </w:rPr>
          <w:t>סעיף 40ט'</w:t>
        </w:r>
      </w:hyperlink>
      <w:r>
        <w:rPr>
          <w:rFonts w:ascii="Times New Roman" w:hAnsi="Times New Roman"/>
          <w:b/>
          <w:bCs/>
          <w:u w:val="single"/>
          <w:rtl/>
          <w:lang w:eastAsia="he-IL"/>
        </w:rPr>
        <w:t xml:space="preserve"> ל</w:t>
      </w:r>
      <w:hyperlink r:id="rId74" w:history="1">
        <w:r w:rsidRPr="00AF4852">
          <w:rPr>
            <w:rFonts w:ascii="Times New Roman" w:hAnsi="Times New Roman"/>
            <w:b/>
            <w:bCs/>
            <w:color w:val="0000FF"/>
            <w:u w:val="single"/>
            <w:rtl/>
            <w:lang w:eastAsia="he-IL"/>
          </w:rPr>
          <w:t>חוק העונשין</w:t>
        </w:r>
      </w:hyperlink>
      <w:r>
        <w:rPr>
          <w:rFonts w:ascii="Times New Roman" w:hAnsi="Times New Roman"/>
          <w:rtl/>
          <w:lang w:eastAsia="he-IL"/>
        </w:rPr>
        <w:t xml:space="preserve"> </w:t>
      </w:r>
    </w:p>
    <w:p w14:paraId="5D4DBC24" w14:textId="77777777" w:rsidR="00672F1E" w:rsidRDefault="00672F1E">
      <w:pPr>
        <w:spacing w:line="360" w:lineRule="auto"/>
        <w:jc w:val="both"/>
        <w:rPr>
          <w:rFonts w:ascii="Times New Roman" w:hAnsi="Times New Roman"/>
          <w:rtl/>
          <w:lang w:eastAsia="he-IL"/>
        </w:rPr>
      </w:pPr>
    </w:p>
    <w:p w14:paraId="0A378633" w14:textId="77777777" w:rsidR="00672F1E" w:rsidRDefault="00AF4852">
      <w:pPr>
        <w:numPr>
          <w:ilvl w:val="0"/>
          <w:numId w:val="1"/>
        </w:numPr>
        <w:tabs>
          <w:tab w:val="num" w:pos="1260"/>
        </w:tabs>
        <w:spacing w:line="360" w:lineRule="auto"/>
        <w:jc w:val="both"/>
        <w:rPr>
          <w:rFonts w:ascii="Times New Roman" w:hAnsi="Times New Roman"/>
          <w:lang w:eastAsia="he-IL"/>
        </w:rPr>
      </w:pPr>
      <w:r>
        <w:rPr>
          <w:rFonts w:ascii="Times New Roman" w:hAnsi="Times New Roman"/>
          <w:rtl/>
          <w:lang w:eastAsia="he-IL"/>
        </w:rPr>
        <w:t>בכתב האישום אין פרטים אודות משך הזמן בו החזיק הנאשם בנשק ובתחמושת, כיצד הגיעו לידיו ומהו המניע שעמד מאחורי מעשיו. בהקשר זה טען ב"כ הנאשם, כי הנאשם הודה בחקירתו כי הוא קיבל את התיק (ובתוכו הנשק והתחמושת) ממכר אך נמנע  מחשיפת  שמו. כידוע, אין לבית המשפט אלא העובדות הנטענות בכתב האישום אשר בהן הודה הנאשם; משכך, אין לקבל את טענותיו השונות של ב"כ הנאשם אודות נסיבות החזקת כלי הנשק.</w:t>
      </w:r>
    </w:p>
    <w:p w14:paraId="0F241332" w14:textId="77777777" w:rsidR="00672F1E" w:rsidRDefault="00672F1E">
      <w:pPr>
        <w:ind w:left="720"/>
        <w:contextualSpacing/>
        <w:rPr>
          <w:rFonts w:ascii="Times New Roman" w:hAnsi="Times New Roman"/>
          <w:rtl/>
          <w:lang w:eastAsia="he-IL"/>
        </w:rPr>
      </w:pPr>
    </w:p>
    <w:p w14:paraId="76010F45"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lang w:eastAsia="he-IL"/>
        </w:rPr>
        <w:t xml:space="preserve">הנאשם החזיק באקדח, במחסנית של רובה סער אשר הכילה כדורים תואמים וברימון בתוך תיק שהיה מוסלק מתחת למיטה בחדר השינה. אין לשער את מידת הנזק שעלול היה להיגרם כתוצאה מביצוע העבירה, אם הנשק היה מגיע לידי אחרים שהיו עושים בו שימוש, במכוון או בשגגה. בנוסף החזקת התחמושת מאדירה את הסיכון הכרוך בהחזקת הנשק ומסכנת יותר את שלום הציבור ובטחונו. יחד עם זאת, בפועל לא נעשה שימוש בנשק ולא נגרם כל נזק מוחשי. </w:t>
      </w:r>
    </w:p>
    <w:p w14:paraId="21B3CD6B" w14:textId="77777777" w:rsidR="00672F1E" w:rsidRDefault="00672F1E">
      <w:pPr>
        <w:ind w:left="720"/>
        <w:contextualSpacing/>
        <w:rPr>
          <w:rFonts w:ascii="Times New Roman" w:hAnsi="Times New Roman"/>
          <w:rtl/>
          <w:lang w:eastAsia="he-IL"/>
        </w:rPr>
      </w:pPr>
    </w:p>
    <w:p w14:paraId="09DC4563" w14:textId="77777777" w:rsidR="00672F1E" w:rsidRDefault="00AF4852">
      <w:pPr>
        <w:numPr>
          <w:ilvl w:val="0"/>
          <w:numId w:val="1"/>
        </w:numPr>
        <w:spacing w:line="360" w:lineRule="auto"/>
        <w:contextualSpacing/>
        <w:jc w:val="both"/>
      </w:pPr>
      <w:r>
        <w:rPr>
          <w:rFonts w:ascii="Times New Roman" w:hAnsi="Times New Roman"/>
          <w:rtl/>
          <w:lang w:eastAsia="he-IL"/>
        </w:rPr>
        <w:t xml:space="preserve">הנזק שהיה עלול להיגרם במידה והסמים שהחזיק הנאשם היו מגיעים לידי רוכשים פוטנציאלים הוא רב, על אף שסוג הסם וטיבו אינם מצויים ברף החומרה העליון.  </w:t>
      </w:r>
    </w:p>
    <w:p w14:paraId="625E8D54" w14:textId="77777777" w:rsidR="00672F1E" w:rsidRDefault="00672F1E">
      <w:pPr>
        <w:ind w:left="720"/>
        <w:contextualSpacing/>
        <w:rPr>
          <w:rtl/>
        </w:rPr>
      </w:pPr>
    </w:p>
    <w:p w14:paraId="6060A95A" w14:textId="77777777" w:rsidR="00672F1E" w:rsidRDefault="00AF4852">
      <w:pPr>
        <w:spacing w:line="360" w:lineRule="auto"/>
        <w:ind w:left="720"/>
        <w:contextualSpacing/>
        <w:jc w:val="both"/>
        <w:rPr>
          <w:rFonts w:ascii="Times New Roman" w:hAnsi="Times New Roman"/>
          <w:b/>
          <w:bCs/>
          <w:u w:val="single"/>
          <w:lang w:eastAsia="he-IL"/>
        </w:rPr>
      </w:pPr>
      <w:r>
        <w:rPr>
          <w:rFonts w:ascii="Times New Roman" w:hAnsi="Times New Roman"/>
          <w:b/>
          <w:bCs/>
          <w:u w:val="single"/>
          <w:rtl/>
          <w:lang w:eastAsia="he-IL"/>
        </w:rPr>
        <w:t xml:space="preserve">קביעת מתחם העונש ההולם לביצוע העבירות </w:t>
      </w:r>
    </w:p>
    <w:p w14:paraId="774DD9BA" w14:textId="77777777" w:rsidR="00672F1E" w:rsidRDefault="00672F1E">
      <w:pPr>
        <w:spacing w:line="360" w:lineRule="auto"/>
        <w:jc w:val="both"/>
        <w:rPr>
          <w:rFonts w:ascii="Times New Roman" w:hAnsi="Times New Roman"/>
          <w:rtl/>
          <w:lang w:eastAsia="he-IL"/>
        </w:rPr>
      </w:pPr>
    </w:p>
    <w:p w14:paraId="00A6B454" w14:textId="77777777" w:rsidR="00672F1E" w:rsidRDefault="00AF4852">
      <w:pPr>
        <w:numPr>
          <w:ilvl w:val="0"/>
          <w:numId w:val="1"/>
        </w:numPr>
        <w:spacing w:line="360" w:lineRule="auto"/>
        <w:contextualSpacing/>
        <w:jc w:val="both"/>
        <w:rPr>
          <w:rFonts w:ascii="Times New Roman" w:hAnsi="Times New Roman"/>
          <w:lang w:eastAsia="he-IL"/>
        </w:rPr>
      </w:pPr>
      <w:r>
        <w:rPr>
          <w:rFonts w:ascii="Times New Roman" w:hAnsi="Times New Roman"/>
          <w:rtl/>
        </w:rPr>
        <w:t xml:space="preserve">בשים לב לעקרון המנחה (עקרון ההלימה) ובהתחשב בערך החברתי שנפגע מביצוע העבירות במקרה דנן, מידת הפגיעה בו, מדיניות הענישה הנהוגה והנסיבות הקשורות בביצוע העבירות כמפורט לעיל, אני קובע, כי מתחם העונש ההולם </w:t>
      </w:r>
      <w:r>
        <w:rPr>
          <w:rFonts w:ascii="Times New Roman" w:hAnsi="Times New Roman"/>
          <w:rtl/>
          <w:lang w:eastAsia="he-IL"/>
        </w:rPr>
        <w:t xml:space="preserve">לביצוע עבירות הנשק נע בין 6 חודשי מאסר בעבודות שירות לבין 18 חודשי מאסר בפועל בצירוף ענישה נלווית. עוד אני </w:t>
      </w:r>
      <w:r>
        <w:rPr>
          <w:rFonts w:ascii="Times New Roman" w:hAnsi="Times New Roman"/>
          <w:rtl/>
        </w:rPr>
        <w:t>קובע, כי מתחם העונש ההולם לביצוע עבירות החזקת סמים שלא לצריכה עצמית בלבד, כשעסקינן בחשיש/קנבוס במשקל של מאות גרמים, הוא בין עבודות שירות לבין מאסר בפועל של מספר חודשים עד שנה.</w:t>
      </w:r>
      <w:r>
        <w:rPr>
          <w:rFonts w:ascii="Arial" w:hAnsi="Arial"/>
          <w:rtl/>
        </w:rPr>
        <w:t xml:space="preserve"> </w:t>
      </w:r>
    </w:p>
    <w:p w14:paraId="1660A275" w14:textId="77777777" w:rsidR="00672F1E" w:rsidRDefault="00672F1E">
      <w:pPr>
        <w:spacing w:line="360" w:lineRule="auto"/>
        <w:ind w:left="720"/>
        <w:contextualSpacing/>
        <w:jc w:val="both"/>
        <w:rPr>
          <w:rFonts w:ascii="Times New Roman" w:hAnsi="Times New Roman"/>
          <w:rtl/>
          <w:lang w:eastAsia="he-IL"/>
        </w:rPr>
      </w:pPr>
    </w:p>
    <w:p w14:paraId="14450EDE" w14:textId="77777777" w:rsidR="00672F1E" w:rsidRDefault="00AF4852">
      <w:pPr>
        <w:spacing w:line="360" w:lineRule="auto"/>
        <w:ind w:left="566" w:hanging="540"/>
        <w:jc w:val="both"/>
        <w:rPr>
          <w:rFonts w:ascii="Times New Roman" w:hAnsi="Times New Roman"/>
          <w:b/>
          <w:bCs/>
          <w:u w:val="single"/>
          <w:rtl/>
          <w:lang w:eastAsia="he-IL"/>
        </w:rPr>
      </w:pPr>
      <w:r>
        <w:rPr>
          <w:rFonts w:ascii="Times New Roman" w:hAnsi="Times New Roman"/>
          <w:b/>
          <w:bCs/>
          <w:rtl/>
          <w:lang w:eastAsia="he-IL"/>
        </w:rPr>
        <w:t>ד.</w:t>
      </w:r>
      <w:r>
        <w:rPr>
          <w:rFonts w:ascii="Times New Roman" w:hAnsi="Times New Roman"/>
          <w:b/>
          <w:bCs/>
          <w:rtl/>
          <w:lang w:eastAsia="he-IL"/>
        </w:rPr>
        <w:tab/>
      </w:r>
      <w:r>
        <w:rPr>
          <w:rFonts w:ascii="Times New Roman" w:hAnsi="Times New Roman"/>
          <w:b/>
          <w:bCs/>
          <w:u w:val="single"/>
          <w:rtl/>
          <w:lang w:eastAsia="he-IL"/>
        </w:rPr>
        <w:t xml:space="preserve"> נסיבות שאינן קשורות בביצוע העבירה </w:t>
      </w:r>
    </w:p>
    <w:p w14:paraId="385807A5" w14:textId="77777777" w:rsidR="00672F1E" w:rsidRDefault="00672F1E">
      <w:pPr>
        <w:spacing w:line="360" w:lineRule="auto"/>
        <w:ind w:left="746" w:firstLine="720"/>
        <w:jc w:val="both"/>
        <w:rPr>
          <w:rFonts w:ascii="Times New Roman" w:hAnsi="Times New Roman"/>
          <w:lang w:eastAsia="he-IL"/>
        </w:rPr>
      </w:pPr>
    </w:p>
    <w:p w14:paraId="242A0E7C"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בהתאם לאמור </w:t>
      </w:r>
      <w:hyperlink r:id="rId75" w:history="1">
        <w:r w:rsidR="006401C2" w:rsidRPr="006401C2">
          <w:rPr>
            <w:rFonts w:ascii="Times New Roman" w:hAnsi="Times New Roman"/>
            <w:color w:val="0000FF"/>
            <w:u w:val="single"/>
            <w:rtl/>
            <w:lang w:eastAsia="he-IL"/>
          </w:rPr>
          <w:t>בסעיף 40ג(ב)</w:t>
        </w:r>
      </w:hyperlink>
      <w:r>
        <w:rPr>
          <w:rFonts w:ascii="Times New Roman" w:hAnsi="Times New Roman"/>
          <w:rtl/>
          <w:lang w:eastAsia="he-IL"/>
        </w:rPr>
        <w:t xml:space="preserve"> ל</w:t>
      </w:r>
      <w:hyperlink r:id="rId76" w:history="1">
        <w:r w:rsidRPr="00AF4852">
          <w:rPr>
            <w:rFonts w:ascii="Times New Roman" w:hAnsi="Times New Roman"/>
            <w:color w:val="0000FF"/>
            <w:u w:val="single"/>
            <w:rtl/>
            <w:lang w:eastAsia="he-IL"/>
          </w:rPr>
          <w:t>חוק העונשין</w:t>
        </w:r>
      </w:hyperlink>
      <w:r>
        <w:rPr>
          <w:rFonts w:ascii="Times New Roman" w:hAnsi="Times New Roman"/>
          <w:rtl/>
          <w:lang w:eastAsia="he-IL"/>
        </w:rPr>
        <w:t xml:space="preserve"> על בית המשפט לגזור את העונש המתאים לנאשם בתוך מתחם העונש ההולם, בהתחשב בנסיבות שאינן קשורות בביצוע העבירה כאמור </w:t>
      </w:r>
      <w:hyperlink r:id="rId77" w:history="1">
        <w:r w:rsidR="006401C2" w:rsidRPr="006401C2">
          <w:rPr>
            <w:rFonts w:ascii="Times New Roman" w:hAnsi="Times New Roman"/>
            <w:color w:val="0000FF"/>
            <w:u w:val="single"/>
            <w:rtl/>
            <w:lang w:eastAsia="he-IL"/>
          </w:rPr>
          <w:t>בסעיף 40יא.</w:t>
        </w:r>
      </w:hyperlink>
      <w:r>
        <w:rPr>
          <w:rFonts w:ascii="Times New Roman" w:hAnsi="Times New Roman"/>
          <w:rtl/>
          <w:lang w:eastAsia="he-IL"/>
        </w:rPr>
        <w:t xml:space="preserve"> </w:t>
      </w:r>
    </w:p>
    <w:p w14:paraId="7C7A7C6A" w14:textId="77777777" w:rsidR="00672F1E" w:rsidRDefault="00672F1E">
      <w:pPr>
        <w:spacing w:line="360" w:lineRule="auto"/>
        <w:jc w:val="both"/>
        <w:rPr>
          <w:rFonts w:ascii="Times New Roman" w:hAnsi="Times New Roman"/>
          <w:lang w:eastAsia="he-IL"/>
        </w:rPr>
      </w:pPr>
    </w:p>
    <w:p w14:paraId="0203F8C1"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בגזירת העונש המתאים בגין מעשיו של הנאשם, יש להביא במניין השיקולים לקולת עונשו את נסיבותיו האישיות כפי שצוין בתסקיר; מדובר בנאשם צעיר (כבן 30) אב לילדים קטנים (בגילאים 2.5-5) הסמוכים על שולחנו; הנאשם בעל 11 שנות לימוד שעזב את בית הספר כדי לסייע בפרנסת משפחתו. מאז שהפסיק את לימודיו ועד למעצרו, עבד כטייח. הנאשם פיתח תלות והתמכרות לסמים על רקע טראומה שחווה (מות דודו שנפל מפיגום בעת עבודתם המשותפת). הנאשם גדל במשפחה הנמנית על מצב סוציואקונומי נמוך וחווה חסכים כלכליים שהובילו אותו לתחושת נחיתות. במהלך התבגרותו חבר לקבוצת נערים בעלי נורמות עברייניות והקשר עמם העמיק נוכח התמכרותו לסמים. בשיחה שנערכה בין הנאשם לבין קצינת המבחן טען הנאשם, כי אינו עושה שימוש בסמים מאז שנת 2008, עת היה בטיפול ביחידה לנפגעי סמים, במסגרת צו מבחן. בנוסף יש לקחת בחשבון את העובדה, שהנאשם הודה במיוחס לו בבית המשפט עוד בתיק המעצר ובכך חסך זמן שיפוטי יקר ומשאבים. </w:t>
      </w:r>
    </w:p>
    <w:p w14:paraId="6D6ABC88" w14:textId="77777777" w:rsidR="00672F1E" w:rsidRDefault="00672F1E">
      <w:pPr>
        <w:ind w:left="720"/>
        <w:contextualSpacing/>
        <w:rPr>
          <w:rFonts w:ascii="Times New Roman" w:hAnsi="Times New Roman"/>
          <w:rtl/>
          <w:lang w:eastAsia="he-IL"/>
        </w:rPr>
      </w:pPr>
    </w:p>
    <w:p w14:paraId="32CFA4FF"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 xml:space="preserve">במניין השיקולים לחומרת עונשו של הנאשם, יש להביא בחשבון את עברו הפלילי; עיון בגיליון הרשעותיו הקודמות מעלה, כי לחובת הנאשם שתי הרשעות קומות משנת 2005 ו-2008 בעבירות של החזקה או שימוש בסמים לצריכה עצמית. בגין הרשעות אלו נגזרו על הנאשם מאסרים מותנים בצירוף ענישה נלווית כאשר בשנת 2008 אף הוטל על הנאשם צו מבחן למשך שנה. שירות המבחן ציין, כי במהלך צו המבחן שולב הנאשם בטיפול ביחידה לנפגעי סמים ביפיע, שיתף פעולה בתכנית הטיפולית והביע סיפוק ושביעות רצון מהשינוי שביצע. הנאשם שיתף את שירות המבחן, כי אינו עושה שימוש בסמים מאז שילובו בטיפול הנ"ל, אך על אף הצהרות אלו ביצע הנאשם את העבירות מושא כתב האישום. בנוסף צוין בתסקיר שירות המבחן, כי קיים בעניינו של הנאשם מב"ד פתוח, אשר בגינו הוגש כתב אישום לבית המשפט השלום בנצרת בגין החזקה/שימוש בסמים שלא לצריכה עצמית. עוד יש לציין לחומרה את התרשמותו של שירות המבחן מכך, שהנאשם ממזער ממידת אחריותו למעורבותו בביצוע העבירות. שירות המבחן סבר, כי הנאשם לא חש אשמה ולא הביע חרטה ביחס למעשיו. שירות המבחן התרשם, כי הנאשם מתיימר להציג עצמו כאדם תמים, אשר אינו קשור לביצוע העבירות. בהתייחס להימצאות הסמים בביתו, טען כי לא ידע על קיומם וכנראה נשארו שם מהתקופה בה נהג לעשות שימוש בסמים, לפני כחמש שנים. </w:t>
      </w:r>
    </w:p>
    <w:p w14:paraId="62F9914B" w14:textId="77777777" w:rsidR="00672F1E" w:rsidRDefault="00672F1E">
      <w:pPr>
        <w:spacing w:line="360" w:lineRule="auto"/>
        <w:jc w:val="both"/>
        <w:rPr>
          <w:rFonts w:ascii="Times New Roman" w:hAnsi="Times New Roman"/>
          <w:lang w:eastAsia="he-IL"/>
        </w:rPr>
      </w:pPr>
    </w:p>
    <w:p w14:paraId="1B47CF1A" w14:textId="77777777" w:rsidR="00672F1E" w:rsidRDefault="00AF4852">
      <w:pPr>
        <w:spacing w:line="360" w:lineRule="auto"/>
        <w:ind w:left="720"/>
        <w:jc w:val="both"/>
        <w:rPr>
          <w:rFonts w:ascii="Times New Roman" w:hAnsi="Times New Roman"/>
          <w:rtl/>
          <w:lang w:eastAsia="he-IL"/>
        </w:rPr>
      </w:pPr>
      <w:r>
        <w:rPr>
          <w:rFonts w:ascii="Times New Roman" w:hAnsi="Times New Roman"/>
          <w:rtl/>
          <w:lang w:eastAsia="he-IL"/>
        </w:rPr>
        <w:t xml:space="preserve">שירות המבחן סבר, כי הנאשם בעל רמה קוגניטיבית בינונית - נמוכה וכי סבל מחסכים רגשיים. להערכת שירות המבחן, הנאשם הוא בעל יכולת בינונית להתמיד במסגרות ולגלות בהן יציבות וכי הוא נעדר רשת תמיכה חברתית. לדידו של שירות המבחן, שימושו של הנאשם בחומרים פסיכו-אקטיביים עלול להאיץ דפוסים עבריינים. שירות המבחן התרשם, כי הנאשם נמנע מקבלת אחריות אישית בנוגע לעבירות ותוצאותיהן ומתקשה לראות את החלקים השליליים של מעורבותו בהן. לאור זאת העריך שירות המבחן, כי הסיכון להישנות מעשים עוברי חוק הוא בינוני-גבוה. הנאשם טען בפני שירות המבחן, כי אינו זקוק להליך של טיפול או שינוי מאחר ומדובר במעידה חד-פעמית. להערכת שירות המבחן, הנאשם אינו פנוי להתבוננות ביקורתית ומעמיקה במאפייני אישיותו ומאחר ואינו נוטל אחריות פעילה בנוגע לביצוע העבירות, אין בסיס לקיומו של הליך טיפולי משמעותי. לאור זאת נמנע שירות המבחן מהמלצה טיפולית בעניינו. </w:t>
      </w:r>
    </w:p>
    <w:p w14:paraId="2CE0DEA8" w14:textId="77777777" w:rsidR="00672F1E" w:rsidRDefault="00672F1E">
      <w:pPr>
        <w:spacing w:line="360" w:lineRule="auto"/>
        <w:ind w:left="720"/>
        <w:jc w:val="both"/>
        <w:rPr>
          <w:rFonts w:ascii="Times New Roman" w:hAnsi="Times New Roman"/>
          <w:b/>
          <w:bCs/>
          <w:u w:val="single"/>
          <w:rtl/>
          <w:lang w:eastAsia="he-IL"/>
        </w:rPr>
      </w:pPr>
    </w:p>
    <w:p w14:paraId="49CA8E13" w14:textId="77777777" w:rsidR="00672F1E" w:rsidRDefault="00672F1E">
      <w:pPr>
        <w:spacing w:line="360" w:lineRule="auto"/>
        <w:ind w:left="720"/>
        <w:jc w:val="both"/>
        <w:rPr>
          <w:rFonts w:ascii="Times New Roman" w:hAnsi="Times New Roman"/>
          <w:b/>
          <w:bCs/>
          <w:u w:val="single"/>
          <w:rtl/>
          <w:lang w:eastAsia="he-IL"/>
        </w:rPr>
      </w:pPr>
    </w:p>
    <w:p w14:paraId="7AB94DD5" w14:textId="77777777" w:rsidR="00672F1E" w:rsidRDefault="00672F1E">
      <w:pPr>
        <w:spacing w:line="360" w:lineRule="auto"/>
        <w:ind w:left="720"/>
        <w:jc w:val="both"/>
        <w:rPr>
          <w:rFonts w:ascii="Times New Roman" w:hAnsi="Times New Roman"/>
          <w:b/>
          <w:bCs/>
          <w:u w:val="single"/>
          <w:rtl/>
          <w:lang w:eastAsia="he-IL"/>
        </w:rPr>
      </w:pPr>
    </w:p>
    <w:p w14:paraId="31EBE9E7" w14:textId="77777777" w:rsidR="00672F1E" w:rsidRDefault="00AF4852">
      <w:pPr>
        <w:spacing w:line="360" w:lineRule="auto"/>
        <w:ind w:left="720"/>
        <w:jc w:val="both"/>
        <w:rPr>
          <w:rFonts w:ascii="Times New Roman" w:hAnsi="Times New Roman"/>
          <w:b/>
          <w:bCs/>
          <w:u w:val="single"/>
          <w:rtl/>
          <w:lang w:eastAsia="he-IL"/>
        </w:rPr>
      </w:pPr>
      <w:r>
        <w:rPr>
          <w:rFonts w:ascii="Times New Roman" w:hAnsi="Times New Roman"/>
          <w:b/>
          <w:bCs/>
          <w:u w:val="single"/>
          <w:rtl/>
          <w:lang w:eastAsia="he-IL"/>
        </w:rPr>
        <w:t xml:space="preserve">סוף דבר </w:t>
      </w:r>
    </w:p>
    <w:p w14:paraId="427910C5" w14:textId="77777777" w:rsidR="00672F1E" w:rsidRDefault="00672F1E">
      <w:pPr>
        <w:spacing w:line="360" w:lineRule="auto"/>
        <w:jc w:val="both"/>
        <w:rPr>
          <w:rFonts w:ascii="Times New Roman" w:hAnsi="Times New Roman"/>
          <w:rtl/>
          <w:lang w:eastAsia="he-IL"/>
        </w:rPr>
      </w:pPr>
    </w:p>
    <w:p w14:paraId="398524D7" w14:textId="77777777" w:rsidR="00672F1E" w:rsidRDefault="00AF4852">
      <w:pPr>
        <w:numPr>
          <w:ilvl w:val="0"/>
          <w:numId w:val="1"/>
        </w:numPr>
        <w:spacing w:line="360" w:lineRule="auto"/>
        <w:jc w:val="both"/>
        <w:rPr>
          <w:rFonts w:ascii="Times New Roman" w:hAnsi="Times New Roman"/>
          <w:lang w:eastAsia="he-IL"/>
        </w:rPr>
      </w:pPr>
      <w:r>
        <w:rPr>
          <w:rFonts w:ascii="Times New Roman" w:hAnsi="Times New Roman"/>
          <w:rtl/>
          <w:lang w:eastAsia="he-IL"/>
        </w:rPr>
        <w:t>בבואי לגזור את דינו של הנאשם אני נותן דעתי מחד גיסא</w:t>
      </w:r>
      <w:r>
        <w:rPr>
          <w:rFonts w:ascii="Times New Roman" w:hAnsi="Times New Roman" w:hint="cs"/>
          <w:rtl/>
          <w:lang w:eastAsia="he-IL"/>
        </w:rPr>
        <w:t xml:space="preserve"> לכך,</w:t>
      </w:r>
      <w:r>
        <w:rPr>
          <w:rFonts w:ascii="Times New Roman" w:hAnsi="Times New Roman"/>
          <w:rtl/>
          <w:lang w:eastAsia="he-IL"/>
        </w:rPr>
        <w:t xml:space="preserve"> כי הנאשם הורשע בעבירות בנשק ובהחזקת סמים שלא לצריכה עצמית, לא הביע חרטה כנה על מעשיו, המסוכנות הנשקפת ממנו היא בינונית-גבוהה, אין זו הסתבכותו הראשונה בביצוע עבירות סמים  </w:t>
      </w:r>
      <w:r>
        <w:rPr>
          <w:rFonts w:ascii="Times New Roman" w:hAnsi="Times New Roman" w:hint="cs"/>
          <w:rtl/>
          <w:lang w:eastAsia="he-IL"/>
        </w:rPr>
        <w:t>ו</w:t>
      </w:r>
      <w:r>
        <w:rPr>
          <w:rFonts w:ascii="Times New Roman" w:hAnsi="Times New Roman"/>
          <w:rtl/>
          <w:lang w:eastAsia="he-IL"/>
        </w:rPr>
        <w:t>שירות המבחן נמנע ממתן המלצה טיפולית בעניינו</w:t>
      </w:r>
      <w:r>
        <w:rPr>
          <w:rFonts w:ascii="Times New Roman" w:hAnsi="Times New Roman" w:hint="cs"/>
          <w:rtl/>
          <w:lang w:eastAsia="he-IL"/>
        </w:rPr>
        <w:t>;</w:t>
      </w:r>
      <w:r>
        <w:rPr>
          <w:rFonts w:ascii="Times New Roman" w:hAnsi="Times New Roman"/>
          <w:rtl/>
          <w:lang w:eastAsia="he-IL"/>
        </w:rPr>
        <w:t xml:space="preserve"> </w:t>
      </w:r>
      <w:r>
        <w:rPr>
          <w:rFonts w:ascii="Times New Roman" w:hAnsi="Times New Roman" w:hint="cs"/>
          <w:rtl/>
          <w:lang w:eastAsia="he-IL"/>
        </w:rPr>
        <w:t>מאידך גיסא, אני לוקח בחשבון כי ה</w:t>
      </w:r>
      <w:r>
        <w:rPr>
          <w:rFonts w:ascii="Times New Roman" w:hAnsi="Times New Roman"/>
          <w:rtl/>
          <w:lang w:eastAsia="he-IL"/>
        </w:rPr>
        <w:t>מעשים בהם חטא הנאשם אינם נמנים על רף החומרה העליון ו</w:t>
      </w:r>
      <w:r>
        <w:rPr>
          <w:rFonts w:ascii="Times New Roman" w:hAnsi="Times New Roman" w:hint="cs"/>
          <w:rtl/>
          <w:lang w:eastAsia="he-IL"/>
        </w:rPr>
        <w:t xml:space="preserve">כן מביא בחשבון את </w:t>
      </w:r>
      <w:r>
        <w:rPr>
          <w:rFonts w:ascii="Times New Roman" w:hAnsi="Times New Roman"/>
          <w:rtl/>
          <w:lang w:eastAsia="he-IL"/>
        </w:rPr>
        <w:t>נסיבותיו האישיות, לרבות הודאתו אשר חסכה זמן שיפוטי</w:t>
      </w:r>
      <w:r>
        <w:rPr>
          <w:rFonts w:ascii="Times New Roman" w:hAnsi="Times New Roman" w:hint="cs"/>
          <w:rtl/>
          <w:lang w:eastAsia="he-IL"/>
        </w:rPr>
        <w:t xml:space="preserve"> יקר.</w:t>
      </w:r>
      <w:r>
        <w:rPr>
          <w:rFonts w:ascii="Times New Roman" w:hAnsi="Times New Roman"/>
          <w:rtl/>
          <w:lang w:eastAsia="he-IL"/>
        </w:rPr>
        <w:t xml:space="preserve"> שקילת מכלול השיקולים מביאני למסקנה, כי יש לגזור על הנאשם עונש מאסר בפועל לתקופה מידתית לריצוי מאחורי סורג ובריח ואשר תעלה בקנה אחד עם מתחם העונש ההולם ועם מיקום העונש הראוי לנאשם בתוך המתחם; נוכח כך, אני גוזר על הנאשם את העונשים שלהלן:  </w:t>
      </w:r>
    </w:p>
    <w:p w14:paraId="43E32CB0" w14:textId="77777777" w:rsidR="00672F1E" w:rsidRDefault="00672F1E">
      <w:pPr>
        <w:spacing w:line="360" w:lineRule="auto"/>
        <w:ind w:left="720"/>
        <w:jc w:val="both"/>
        <w:rPr>
          <w:rFonts w:ascii="Times New Roman" w:hAnsi="Times New Roman"/>
          <w:rtl/>
          <w:lang w:eastAsia="he-IL"/>
        </w:rPr>
      </w:pPr>
    </w:p>
    <w:p w14:paraId="7D363AF1"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 xml:space="preserve">10 חודשי מאסר בפועל בגין עבירת החזקת הנשק והתחמושת. </w:t>
      </w:r>
    </w:p>
    <w:p w14:paraId="24803C0B"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8 חודשי מאסר בפועל בגין עבירת החזקת סמים שלא לצריכה עצמית.</w:t>
      </w:r>
    </w:p>
    <w:p w14:paraId="668C3BA6" w14:textId="77777777" w:rsidR="00672F1E" w:rsidRDefault="00AF4852">
      <w:pPr>
        <w:spacing w:line="360" w:lineRule="auto"/>
        <w:ind w:left="1080"/>
        <w:contextualSpacing/>
        <w:jc w:val="both"/>
        <w:rPr>
          <w:rFonts w:ascii="Times New Roman" w:hAnsi="Times New Roman"/>
          <w:lang w:eastAsia="he-IL"/>
        </w:rPr>
      </w:pPr>
      <w:r>
        <w:rPr>
          <w:rFonts w:ascii="Times New Roman" w:hAnsi="Times New Roman"/>
          <w:rtl/>
          <w:lang w:eastAsia="he-IL"/>
        </w:rPr>
        <w:t xml:space="preserve">בשים לב לזיקה ולחומרה הגלומה בביצוע עבירות החזקת נשק, תחמושת וסמים שלא לצריכה עצמית, החלטתי לגזור על הנאשם את העונשים האמורים לעיל  במצטבר, כך שסה"כ יושתו עליו 18 חודשי מאסר בפועל בניכוי ימי מעצרו </w:t>
      </w:r>
      <w:r>
        <w:rPr>
          <w:rFonts w:ascii="Times New Roman" w:hAnsi="Times New Roman" w:hint="cs"/>
          <w:rtl/>
          <w:lang w:eastAsia="he-IL"/>
        </w:rPr>
        <w:t xml:space="preserve">החל </w:t>
      </w:r>
      <w:r>
        <w:rPr>
          <w:rFonts w:ascii="Times New Roman" w:hAnsi="Times New Roman"/>
          <w:rtl/>
          <w:lang w:eastAsia="he-IL"/>
        </w:rPr>
        <w:t xml:space="preserve">מיום </w:t>
      </w:r>
      <w:r>
        <w:rPr>
          <w:rFonts w:ascii="Times New Roman" w:hAnsi="Times New Roman" w:hint="cs"/>
          <w:rtl/>
          <w:lang w:eastAsia="he-IL"/>
        </w:rPr>
        <w:t xml:space="preserve">6.10.14.  </w:t>
      </w:r>
    </w:p>
    <w:p w14:paraId="2CD93E5A"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 xml:space="preserve">12 חודשי מאסר על תנאי והתנאי הוא שהנאשם לא יעבור תוך תקופה של 3 שנים כל עבירה בנשק מסוג פשע ויורשע בגינה. </w:t>
      </w:r>
    </w:p>
    <w:p w14:paraId="2539BD84" w14:textId="77777777" w:rsidR="00672F1E" w:rsidRDefault="00AF4852">
      <w:pPr>
        <w:numPr>
          <w:ilvl w:val="0"/>
          <w:numId w:val="6"/>
        </w:numPr>
        <w:spacing w:line="360" w:lineRule="auto"/>
        <w:contextualSpacing/>
        <w:jc w:val="both"/>
        <w:rPr>
          <w:rFonts w:ascii="Times New Roman" w:hAnsi="Times New Roman"/>
          <w:lang w:eastAsia="he-IL"/>
        </w:rPr>
      </w:pPr>
      <w:r>
        <w:rPr>
          <w:rFonts w:ascii="Times New Roman" w:hAnsi="Times New Roman"/>
          <w:rtl/>
          <w:lang w:eastAsia="he-IL"/>
        </w:rPr>
        <w:t xml:space="preserve">6 חודשי מאסר על תנאי והתנאי הוא שהנאשם לא יעבור תוך תקופה של 3 שנים כל עבירה בנשק מסוג עוון ויורשע בגינה. </w:t>
      </w:r>
    </w:p>
    <w:p w14:paraId="33283AFC" w14:textId="77777777" w:rsidR="00672F1E" w:rsidRDefault="00AF4852">
      <w:pPr>
        <w:numPr>
          <w:ilvl w:val="0"/>
          <w:numId w:val="6"/>
        </w:numPr>
        <w:spacing w:line="360" w:lineRule="auto"/>
        <w:jc w:val="both"/>
        <w:rPr>
          <w:rFonts w:ascii="Times New Roman" w:hAnsi="Times New Roman"/>
          <w:lang w:eastAsia="he-IL"/>
        </w:rPr>
      </w:pPr>
      <w:r>
        <w:rPr>
          <w:rFonts w:ascii="Times New Roman" w:hAnsi="Times New Roman"/>
          <w:rtl/>
          <w:lang w:eastAsia="he-IL"/>
        </w:rPr>
        <w:t xml:space="preserve">10 חודשי מאסר על תנאי למשך 3 שנים מהיום, והתנאי הוא שלא יעבור כל עבירה מסוג פשע לפי </w:t>
      </w:r>
      <w:hyperlink r:id="rId78" w:history="1">
        <w:r w:rsidRPr="00AF4852">
          <w:rPr>
            <w:rFonts w:ascii="Times New Roman" w:hAnsi="Times New Roman"/>
            <w:color w:val="0000FF"/>
            <w:u w:val="single"/>
            <w:rtl/>
            <w:lang w:eastAsia="he-IL"/>
          </w:rPr>
          <w:t>פקודת הסמים המסוכנים</w:t>
        </w:r>
      </w:hyperlink>
      <w:r>
        <w:rPr>
          <w:rFonts w:ascii="Times New Roman" w:hAnsi="Times New Roman"/>
          <w:rtl/>
          <w:lang w:eastAsia="he-IL"/>
        </w:rPr>
        <w:t>.</w:t>
      </w:r>
    </w:p>
    <w:p w14:paraId="296B9AB5" w14:textId="77777777" w:rsidR="00672F1E" w:rsidRDefault="00AF4852">
      <w:pPr>
        <w:numPr>
          <w:ilvl w:val="0"/>
          <w:numId w:val="6"/>
        </w:numPr>
        <w:spacing w:line="360" w:lineRule="auto"/>
        <w:jc w:val="both"/>
        <w:rPr>
          <w:rFonts w:ascii="Times New Roman" w:hAnsi="Times New Roman"/>
          <w:lang w:eastAsia="he-IL"/>
        </w:rPr>
      </w:pPr>
      <w:r>
        <w:rPr>
          <w:rFonts w:ascii="Times New Roman" w:hAnsi="Times New Roman"/>
          <w:rtl/>
          <w:lang w:eastAsia="he-IL"/>
        </w:rPr>
        <w:t xml:space="preserve">5 חודשי מאסר על תנאי למשך 3 שנים מהיום, והתנאי הוא שלא יעבור כל עבירה מסוג עוון לפי </w:t>
      </w:r>
      <w:hyperlink r:id="rId79" w:history="1">
        <w:r w:rsidRPr="00AF4852">
          <w:rPr>
            <w:rFonts w:ascii="Times New Roman" w:hAnsi="Times New Roman"/>
            <w:color w:val="0000FF"/>
            <w:u w:val="single"/>
            <w:rtl/>
            <w:lang w:eastAsia="he-IL"/>
          </w:rPr>
          <w:t>פקודת הסמים המסוכנים</w:t>
        </w:r>
      </w:hyperlink>
      <w:r>
        <w:rPr>
          <w:rFonts w:ascii="Times New Roman" w:hAnsi="Times New Roman"/>
          <w:rtl/>
          <w:lang w:eastAsia="he-IL"/>
        </w:rPr>
        <w:t>.</w:t>
      </w:r>
    </w:p>
    <w:p w14:paraId="201ADE55" w14:textId="77777777" w:rsidR="00672F1E" w:rsidRDefault="00AF4852">
      <w:pPr>
        <w:numPr>
          <w:ilvl w:val="0"/>
          <w:numId w:val="6"/>
        </w:numPr>
        <w:spacing w:line="360" w:lineRule="auto"/>
        <w:jc w:val="both"/>
        <w:rPr>
          <w:rFonts w:ascii="Times New Roman" w:hAnsi="Times New Roman"/>
          <w:lang w:eastAsia="he-IL"/>
        </w:rPr>
      </w:pPr>
      <w:r>
        <w:rPr>
          <w:rFonts w:ascii="Times New Roman" w:hAnsi="Times New Roman"/>
          <w:rtl/>
          <w:lang w:eastAsia="he-IL"/>
        </w:rPr>
        <w:t>קנס כספי בסך 5,000 ₪ או 30 ימי מאסר תמורתו. הקנס ישולם ב-10 תשלומים חודשיים, שווים ורצופים בסך 500 ₪ כל אחד. התשלום הראשון ישולם בחלוף 30 יום ממועד שחרורו של הנאשם מבית הסוהר, ומידי חודש בחודשו, באופן רצוף ועוקב. אי-עמידה באחד התשלומים במועד, תגרור תוספת פיגורים כדין.</w:t>
      </w:r>
    </w:p>
    <w:p w14:paraId="41D02EC8" w14:textId="77777777" w:rsidR="00672F1E" w:rsidRDefault="00672F1E">
      <w:pPr>
        <w:spacing w:line="360" w:lineRule="auto"/>
        <w:ind w:left="720"/>
        <w:jc w:val="both"/>
        <w:rPr>
          <w:rFonts w:ascii="Times New Roman" w:hAnsi="Times New Roman"/>
          <w:rtl/>
          <w:lang w:eastAsia="he-IL"/>
        </w:rPr>
      </w:pPr>
    </w:p>
    <w:p w14:paraId="6A9F8891" w14:textId="77777777" w:rsidR="00672F1E" w:rsidRDefault="00672F1E">
      <w:pPr>
        <w:spacing w:line="360" w:lineRule="auto"/>
        <w:ind w:left="720"/>
        <w:jc w:val="both"/>
        <w:rPr>
          <w:rFonts w:ascii="Times New Roman" w:hAnsi="Times New Roman"/>
          <w:b/>
          <w:bCs/>
          <w:u w:val="single"/>
          <w:rtl/>
          <w:lang w:eastAsia="he-IL"/>
        </w:rPr>
      </w:pPr>
    </w:p>
    <w:p w14:paraId="054721AF" w14:textId="77777777" w:rsidR="00672F1E" w:rsidRDefault="00AF4852">
      <w:pPr>
        <w:spacing w:line="360" w:lineRule="auto"/>
        <w:ind w:left="720"/>
        <w:jc w:val="both"/>
        <w:rPr>
          <w:rFonts w:ascii="Times New Roman" w:hAnsi="Times New Roman"/>
          <w:b/>
          <w:bCs/>
          <w:u w:val="single"/>
          <w:lang w:eastAsia="he-IL"/>
        </w:rPr>
      </w:pPr>
      <w:r>
        <w:rPr>
          <w:rFonts w:ascii="Times New Roman" w:hAnsi="Times New Roman" w:hint="cs"/>
          <w:b/>
          <w:bCs/>
          <w:u w:val="single"/>
          <w:rtl/>
          <w:lang w:eastAsia="he-IL"/>
        </w:rPr>
        <w:t>לבקשת ב"כ הנאשם, בית המשפט ממליץ בפני רשויות שב"ס על שילובו של הנאשם בכלא שיקומי לאור רצונו לקבל טיפול.</w:t>
      </w:r>
    </w:p>
    <w:p w14:paraId="14E3E57B" w14:textId="77777777" w:rsidR="00672F1E" w:rsidRDefault="00672F1E">
      <w:pPr>
        <w:spacing w:line="360" w:lineRule="auto"/>
        <w:jc w:val="both"/>
        <w:rPr>
          <w:rFonts w:ascii="Times New Roman" w:hAnsi="Times New Roman"/>
          <w:rtl/>
          <w:lang w:eastAsia="he-IL"/>
        </w:rPr>
      </w:pPr>
    </w:p>
    <w:p w14:paraId="05E76E4A" w14:textId="77777777" w:rsidR="00672F1E" w:rsidRDefault="00AF4852">
      <w:pPr>
        <w:spacing w:line="360" w:lineRule="auto"/>
        <w:jc w:val="both"/>
        <w:rPr>
          <w:rFonts w:ascii="Times New Roman" w:hAnsi="Times New Roman"/>
          <w:b/>
          <w:bCs/>
          <w:u w:val="single"/>
          <w:lang w:eastAsia="he-IL"/>
        </w:rPr>
      </w:pPr>
      <w:r>
        <w:rPr>
          <w:rFonts w:ascii="Times New Roman" w:hAnsi="Times New Roman"/>
          <w:b/>
          <w:bCs/>
          <w:u w:val="single"/>
          <w:rtl/>
          <w:lang w:eastAsia="he-IL"/>
        </w:rPr>
        <w:t xml:space="preserve">זכות ערעור לבית המשפט העליון בתוך 45 יום מהיום. </w:t>
      </w:r>
    </w:p>
    <w:p w14:paraId="1A7EAEC1" w14:textId="77777777" w:rsidR="00672F1E" w:rsidRDefault="00AF4852">
      <w:pPr>
        <w:spacing w:line="360" w:lineRule="auto"/>
        <w:jc w:val="center"/>
        <w:rPr>
          <w:sz w:val="6"/>
          <w:szCs w:val="6"/>
          <w:rtl/>
        </w:rPr>
      </w:pPr>
      <w:bookmarkStart w:id="8" w:name="_GoBack"/>
      <w:bookmarkEnd w:id="8"/>
      <w:r>
        <w:rPr>
          <w:sz w:val="6"/>
          <w:szCs w:val="6"/>
          <w:rtl/>
        </w:rPr>
        <w:t>&lt;#4#&gt;</w:t>
      </w:r>
    </w:p>
    <w:p w14:paraId="0902D97D" w14:textId="77777777" w:rsidR="00672F1E" w:rsidRDefault="00672F1E">
      <w:pPr>
        <w:jc w:val="right"/>
        <w:rPr>
          <w:rtl/>
        </w:rPr>
      </w:pPr>
    </w:p>
    <w:p w14:paraId="4D5E4CCD" w14:textId="77777777" w:rsidR="00672F1E" w:rsidRDefault="00AF4852">
      <w:pPr>
        <w:jc w:val="center"/>
        <w:rPr>
          <w:rtl/>
        </w:rPr>
      </w:pPr>
      <w:r>
        <w:rPr>
          <w:b/>
          <w:bCs/>
          <w:rtl/>
        </w:rPr>
        <w:t xml:space="preserve">ניתן והודע היום י"ב אדר תשע"ה, 03/03/2015 במעמד הנוכחים. </w:t>
      </w:r>
    </w:p>
    <w:p w14:paraId="35B53DBF" w14:textId="77777777" w:rsidR="00672F1E" w:rsidRPr="00AF4852" w:rsidRDefault="00AF4852">
      <w:pPr>
        <w:jc w:val="right"/>
        <w:rPr>
          <w:color w:val="FFFFFF"/>
          <w:sz w:val="2"/>
          <w:szCs w:val="2"/>
          <w:rtl/>
        </w:rPr>
      </w:pPr>
      <w:r w:rsidRPr="00AF485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72F1E" w14:paraId="023E2CF0" w14:textId="77777777">
        <w:trPr>
          <w:trHeight w:val="316"/>
          <w:jc w:val="right"/>
        </w:trPr>
        <w:tc>
          <w:tcPr>
            <w:tcW w:w="3936" w:type="dxa"/>
          </w:tcPr>
          <w:p w14:paraId="050EAA19" w14:textId="77777777" w:rsidR="00672F1E" w:rsidRPr="00AF4852" w:rsidRDefault="00AF4852">
            <w:pPr>
              <w:jc w:val="center"/>
              <w:rPr>
                <w:rFonts w:ascii="Times New Roman" w:eastAsia="Times New Roman" w:hAnsi="Times New Roman" w:cs="Times New Roman"/>
                <w:color w:val="FFFFFF"/>
                <w:sz w:val="2"/>
                <w:szCs w:val="2"/>
              </w:rPr>
            </w:pPr>
            <w:r w:rsidRPr="00AF4852">
              <w:rPr>
                <w:rFonts w:ascii="Times New Roman" w:eastAsia="Times New Roman" w:hAnsi="Times New Roman" w:cs="Times New Roman"/>
                <w:color w:val="FFFFFF"/>
                <w:sz w:val="2"/>
                <w:szCs w:val="2"/>
                <w:rtl/>
              </w:rPr>
              <w:t>54678313</w:t>
            </w:r>
          </w:p>
          <w:p w14:paraId="1EA02F2A" w14:textId="77777777" w:rsidR="00672F1E" w:rsidRDefault="00672F1E">
            <w:pPr>
              <w:jc w:val="center"/>
              <w:rPr>
                <w:rFonts w:ascii="Times New Roman" w:eastAsia="Times New Roman" w:hAnsi="Times New Roman" w:cs="Times New Roman"/>
                <w:rtl/>
              </w:rPr>
            </w:pPr>
          </w:p>
        </w:tc>
      </w:tr>
      <w:tr w:rsidR="00672F1E" w14:paraId="30C46BCC" w14:textId="77777777">
        <w:trPr>
          <w:trHeight w:val="361"/>
          <w:jc w:val="right"/>
        </w:trPr>
        <w:tc>
          <w:tcPr>
            <w:tcW w:w="3936" w:type="dxa"/>
          </w:tcPr>
          <w:p w14:paraId="264E9C06" w14:textId="77777777" w:rsidR="00672F1E" w:rsidRDefault="00AF4852">
            <w:pPr>
              <w:jc w:val="center"/>
              <w:rPr>
                <w:rFonts w:ascii="Times New Roman" w:eastAsia="Times New Roman" w:hAnsi="Times New Roman"/>
                <w:b/>
                <w:bCs/>
                <w:rtl/>
              </w:rPr>
            </w:pPr>
            <w:r>
              <w:rPr>
                <w:rFonts w:ascii="Times New Roman" w:eastAsia="Times New Roman" w:hAnsi="Times New Roman" w:hint="cs"/>
                <w:b/>
                <w:bCs/>
                <w:rtl/>
              </w:rPr>
              <w:t>שאהר אטרש</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7A6844E0" w14:textId="77777777" w:rsidR="00672F1E" w:rsidRDefault="00672F1E">
      <w:pPr>
        <w:jc w:val="right"/>
        <w:rPr>
          <w:rtl/>
        </w:rPr>
      </w:pPr>
    </w:p>
    <w:p w14:paraId="0D27486E" w14:textId="77777777" w:rsidR="00672F1E" w:rsidRDefault="00672F1E">
      <w:pPr>
        <w:jc w:val="both"/>
        <w:rPr>
          <w:rtl/>
        </w:rPr>
      </w:pPr>
    </w:p>
    <w:p w14:paraId="37124B99" w14:textId="77777777" w:rsidR="00AF4852" w:rsidRPr="00AF4852" w:rsidRDefault="00AF4852" w:rsidP="00AF4852">
      <w:pPr>
        <w:keepNext/>
        <w:rPr>
          <w:color w:val="000000"/>
          <w:sz w:val="22"/>
          <w:szCs w:val="22"/>
          <w:rtl/>
        </w:rPr>
      </w:pPr>
    </w:p>
    <w:p w14:paraId="53EB09CB" w14:textId="77777777" w:rsidR="00AF4852" w:rsidRPr="00AF4852" w:rsidRDefault="00AF4852" w:rsidP="00AF4852">
      <w:pPr>
        <w:keepNext/>
        <w:rPr>
          <w:color w:val="000000"/>
          <w:sz w:val="22"/>
          <w:szCs w:val="22"/>
          <w:rtl/>
        </w:rPr>
      </w:pPr>
      <w:r w:rsidRPr="00AF4852">
        <w:rPr>
          <w:color w:val="000000"/>
          <w:sz w:val="22"/>
          <w:szCs w:val="22"/>
          <w:rtl/>
        </w:rPr>
        <w:t>שאהר אטרש 54678313</w:t>
      </w:r>
    </w:p>
    <w:p w14:paraId="7AE38915" w14:textId="77777777" w:rsidR="00AF4852" w:rsidRDefault="00AF4852" w:rsidP="00AF4852">
      <w:r w:rsidRPr="00AF4852">
        <w:rPr>
          <w:color w:val="000000"/>
          <w:rtl/>
        </w:rPr>
        <w:t>נוסח מסמך זה כפוף לשינויי ניסוח ועריכה</w:t>
      </w:r>
    </w:p>
    <w:p w14:paraId="060EF0C1" w14:textId="77777777" w:rsidR="00AF4852" w:rsidRDefault="00AF4852" w:rsidP="00AF4852">
      <w:pPr>
        <w:rPr>
          <w:rtl/>
        </w:rPr>
      </w:pPr>
    </w:p>
    <w:p w14:paraId="0636D4FD" w14:textId="77777777" w:rsidR="00AF4852" w:rsidRDefault="00AF4852" w:rsidP="00AF4852">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00959C38" w14:textId="77777777" w:rsidR="00672F1E" w:rsidRPr="00AF4852" w:rsidRDefault="00672F1E" w:rsidP="00AF4852">
      <w:pPr>
        <w:jc w:val="center"/>
        <w:rPr>
          <w:color w:val="0000FF"/>
          <w:u w:val="single"/>
        </w:rPr>
      </w:pPr>
    </w:p>
    <w:sectPr w:rsidR="00672F1E" w:rsidRPr="00AF4852" w:rsidSect="00AF4852">
      <w:headerReference w:type="even" r:id="rId81"/>
      <w:headerReference w:type="default" r:id="rId82"/>
      <w:footerReference w:type="even" r:id="rId83"/>
      <w:footerReference w:type="default" r:id="rId8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AC375" w14:textId="77777777" w:rsidR="006C0512" w:rsidRPr="009525E6" w:rsidRDefault="006C0512">
      <w:pPr>
        <w:rPr>
          <w:rFonts w:cs="Arial"/>
          <w:szCs w:val="20"/>
        </w:rPr>
      </w:pPr>
      <w:r>
        <w:separator/>
      </w:r>
    </w:p>
  </w:endnote>
  <w:endnote w:type="continuationSeparator" w:id="0">
    <w:p w14:paraId="1A8ED8E6" w14:textId="77777777" w:rsidR="006C0512" w:rsidRPr="009525E6" w:rsidRDefault="006C051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B501C" w14:textId="77777777" w:rsidR="006C0512" w:rsidRDefault="006C0512" w:rsidP="00AF48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5E6CF319" w14:textId="77777777" w:rsidR="006C0512" w:rsidRPr="00AF4852" w:rsidRDefault="006C0512" w:rsidP="00AF4852">
    <w:pPr>
      <w:pStyle w:val="a4"/>
      <w:pBdr>
        <w:top w:val="single" w:sz="4" w:space="1" w:color="auto"/>
        <w:between w:val="single" w:sz="4" w:space="0" w:color="auto"/>
      </w:pBdr>
      <w:spacing w:after="60"/>
      <w:jc w:val="center"/>
      <w:rPr>
        <w:rFonts w:ascii="FrankRuehl" w:hAnsi="FrankRuehl" w:cs="FrankRuehl"/>
        <w:color w:val="000000"/>
      </w:rPr>
    </w:pPr>
    <w:r w:rsidRPr="00AF48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CF564" w14:textId="77777777" w:rsidR="006C0512" w:rsidRDefault="006C0512" w:rsidP="00AF48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5DBB">
      <w:rPr>
        <w:rFonts w:ascii="FrankRuehl" w:hAnsi="FrankRuehl" w:cs="FrankRuehl"/>
        <w:noProof/>
        <w:rtl/>
      </w:rPr>
      <w:t>1</w:t>
    </w:r>
    <w:r>
      <w:rPr>
        <w:rFonts w:ascii="FrankRuehl" w:hAnsi="FrankRuehl" w:cs="FrankRuehl"/>
        <w:rtl/>
      </w:rPr>
      <w:fldChar w:fldCharType="end"/>
    </w:r>
  </w:p>
  <w:p w14:paraId="1F9EDD2A" w14:textId="77777777" w:rsidR="006C0512" w:rsidRPr="00AF4852" w:rsidRDefault="006C0512" w:rsidP="00AF4852">
    <w:pPr>
      <w:pStyle w:val="a4"/>
      <w:pBdr>
        <w:top w:val="single" w:sz="4" w:space="1" w:color="auto"/>
        <w:between w:val="single" w:sz="4" w:space="0" w:color="auto"/>
      </w:pBdr>
      <w:spacing w:after="60"/>
      <w:jc w:val="center"/>
      <w:rPr>
        <w:rFonts w:ascii="FrankRuehl" w:hAnsi="FrankRuehl" w:cs="FrankRuehl"/>
        <w:color w:val="000000"/>
      </w:rPr>
    </w:pPr>
    <w:r w:rsidRPr="00AF4852">
      <w:rPr>
        <w:rFonts w:ascii="FrankRuehl" w:hAnsi="FrankRuehl" w:cs="FrankRuehl"/>
        <w:color w:val="000000"/>
      </w:rPr>
      <w:pict w14:anchorId="70AB1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8D026" w14:textId="77777777" w:rsidR="006C0512" w:rsidRPr="009525E6" w:rsidRDefault="006C0512">
      <w:pPr>
        <w:rPr>
          <w:rFonts w:cs="Arial"/>
          <w:szCs w:val="20"/>
        </w:rPr>
      </w:pPr>
      <w:r>
        <w:separator/>
      </w:r>
    </w:p>
  </w:footnote>
  <w:footnote w:type="continuationSeparator" w:id="0">
    <w:p w14:paraId="2CAAE73E" w14:textId="77777777" w:rsidR="006C0512" w:rsidRPr="009525E6" w:rsidRDefault="006C051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028F4" w14:textId="77777777" w:rsidR="006C0512" w:rsidRPr="00AF4852" w:rsidRDefault="006C0512" w:rsidP="00AF48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18510-10-14</w:t>
    </w:r>
    <w:r>
      <w:rPr>
        <w:color w:val="000000"/>
        <w:sz w:val="22"/>
        <w:szCs w:val="22"/>
        <w:rtl/>
      </w:rPr>
      <w:tab/>
      <w:t xml:space="preserve"> מדינת ישראל נ' ערפאת בן מואפק אחמד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887C6" w14:textId="77777777" w:rsidR="006C0512" w:rsidRPr="00AF4852" w:rsidRDefault="006C0512" w:rsidP="00AF48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18510-10-14</w:t>
    </w:r>
    <w:r>
      <w:rPr>
        <w:color w:val="000000"/>
        <w:sz w:val="22"/>
        <w:szCs w:val="22"/>
        <w:rtl/>
      </w:rPr>
      <w:tab/>
      <w:t xml:space="preserve"> מדינת ישראל נ' ערפאת בן מואפק אחמד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87E2F"/>
    <w:multiLevelType w:val="hybridMultilevel"/>
    <w:tmpl w:val="E332A322"/>
    <w:lvl w:ilvl="0" w:tplc="2E7CA434">
      <w:start w:val="1"/>
      <w:numFmt w:val="hebrew1"/>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7EA699D"/>
    <w:multiLevelType w:val="hybridMultilevel"/>
    <w:tmpl w:val="6A9C44D8"/>
    <w:lvl w:ilvl="0" w:tplc="505A1D4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C9858AB"/>
    <w:multiLevelType w:val="hybridMultilevel"/>
    <w:tmpl w:val="F508DD64"/>
    <w:lvl w:ilvl="0" w:tplc="152A588E">
      <w:start w:val="1"/>
      <w:numFmt w:val="hebrew1"/>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41DB2015"/>
    <w:multiLevelType w:val="hybridMultilevel"/>
    <w:tmpl w:val="7DA244C6"/>
    <w:lvl w:ilvl="0" w:tplc="B3A09A56">
      <w:start w:val="33"/>
      <w:numFmt w:val="decimal"/>
      <w:lvlText w:val="%1."/>
      <w:lvlJc w:val="left"/>
      <w:pPr>
        <w:ind w:left="720" w:hanging="360"/>
      </w:pPr>
      <w:rPr>
        <w:rFonts w:cs="Times New Roman" w:hint="default"/>
        <w:b/>
        <w:bCs/>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83B3E50"/>
    <w:multiLevelType w:val="hybridMultilevel"/>
    <w:tmpl w:val="5CDE1BD6"/>
    <w:lvl w:ilvl="0" w:tplc="3174841A">
      <w:start w:val="1"/>
      <w:numFmt w:val="hebrew1"/>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0C33E58"/>
    <w:multiLevelType w:val="hybridMultilevel"/>
    <w:tmpl w:val="79BC7F68"/>
    <w:lvl w:ilvl="0" w:tplc="0ADAB55E">
      <w:start w:val="1"/>
      <w:numFmt w:val="hebrew1"/>
      <w:lvlText w:val="%1."/>
      <w:lvlJc w:val="left"/>
      <w:pPr>
        <w:ind w:left="1106" w:hanging="360"/>
      </w:pPr>
      <w:rPr>
        <w:rFonts w:cs="Times New Roman" w:hint="default"/>
      </w:rPr>
    </w:lvl>
    <w:lvl w:ilvl="1" w:tplc="04090019" w:tentative="1">
      <w:start w:val="1"/>
      <w:numFmt w:val="lowerLetter"/>
      <w:lvlText w:val="%2."/>
      <w:lvlJc w:val="left"/>
      <w:pPr>
        <w:ind w:left="1826" w:hanging="360"/>
      </w:pPr>
      <w:rPr>
        <w:rFonts w:cs="Times New Roman"/>
      </w:rPr>
    </w:lvl>
    <w:lvl w:ilvl="2" w:tplc="0409001B" w:tentative="1">
      <w:start w:val="1"/>
      <w:numFmt w:val="lowerRoman"/>
      <w:lvlText w:val="%3."/>
      <w:lvlJc w:val="right"/>
      <w:pPr>
        <w:ind w:left="2546" w:hanging="180"/>
      </w:pPr>
      <w:rPr>
        <w:rFonts w:cs="Times New Roman"/>
      </w:rPr>
    </w:lvl>
    <w:lvl w:ilvl="3" w:tplc="0409000F" w:tentative="1">
      <w:start w:val="1"/>
      <w:numFmt w:val="decimal"/>
      <w:lvlText w:val="%4."/>
      <w:lvlJc w:val="left"/>
      <w:pPr>
        <w:ind w:left="3266" w:hanging="360"/>
      </w:pPr>
      <w:rPr>
        <w:rFonts w:cs="Times New Roman"/>
      </w:rPr>
    </w:lvl>
    <w:lvl w:ilvl="4" w:tplc="04090019" w:tentative="1">
      <w:start w:val="1"/>
      <w:numFmt w:val="lowerLetter"/>
      <w:lvlText w:val="%5."/>
      <w:lvlJc w:val="left"/>
      <w:pPr>
        <w:ind w:left="3986" w:hanging="360"/>
      </w:pPr>
      <w:rPr>
        <w:rFonts w:cs="Times New Roman"/>
      </w:rPr>
    </w:lvl>
    <w:lvl w:ilvl="5" w:tplc="0409001B" w:tentative="1">
      <w:start w:val="1"/>
      <w:numFmt w:val="lowerRoman"/>
      <w:lvlText w:val="%6."/>
      <w:lvlJc w:val="right"/>
      <w:pPr>
        <w:ind w:left="4706" w:hanging="180"/>
      </w:pPr>
      <w:rPr>
        <w:rFonts w:cs="Times New Roman"/>
      </w:rPr>
    </w:lvl>
    <w:lvl w:ilvl="6" w:tplc="0409000F" w:tentative="1">
      <w:start w:val="1"/>
      <w:numFmt w:val="decimal"/>
      <w:lvlText w:val="%7."/>
      <w:lvlJc w:val="left"/>
      <w:pPr>
        <w:ind w:left="5426" w:hanging="360"/>
      </w:pPr>
      <w:rPr>
        <w:rFonts w:cs="Times New Roman"/>
      </w:rPr>
    </w:lvl>
    <w:lvl w:ilvl="7" w:tplc="04090019" w:tentative="1">
      <w:start w:val="1"/>
      <w:numFmt w:val="lowerLetter"/>
      <w:lvlText w:val="%8."/>
      <w:lvlJc w:val="left"/>
      <w:pPr>
        <w:ind w:left="6146" w:hanging="360"/>
      </w:pPr>
      <w:rPr>
        <w:rFonts w:cs="Times New Roman"/>
      </w:rPr>
    </w:lvl>
    <w:lvl w:ilvl="8" w:tplc="0409001B" w:tentative="1">
      <w:start w:val="1"/>
      <w:numFmt w:val="lowerRoman"/>
      <w:lvlText w:val="%9."/>
      <w:lvlJc w:val="right"/>
      <w:pPr>
        <w:ind w:left="6866" w:hanging="180"/>
      </w:pPr>
      <w:rPr>
        <w:rFonts w:cs="Times New Roman"/>
      </w:rPr>
    </w:lvl>
  </w:abstractNum>
  <w:abstractNum w:abstractNumId="6" w15:restartNumberingAfterBreak="0">
    <w:nsid w:val="77A42170"/>
    <w:multiLevelType w:val="hybridMultilevel"/>
    <w:tmpl w:val="E73097DE"/>
    <w:lvl w:ilvl="0" w:tplc="4EE41AB6">
      <w:start w:val="1"/>
      <w:numFmt w:val="decimal"/>
      <w:lvlText w:val="%1."/>
      <w:lvlJc w:val="left"/>
      <w:pPr>
        <w:tabs>
          <w:tab w:val="num" w:pos="720"/>
        </w:tabs>
        <w:ind w:left="720" w:hanging="360"/>
      </w:pPr>
      <w:rPr>
        <w:rFonts w:cs="Times New Roman" w:hint="default"/>
        <w:b/>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738333271">
    <w:abstractNumId w:val="6"/>
  </w:num>
  <w:num w:numId="2" w16cid:durableId="1201940879">
    <w:abstractNumId w:val="1"/>
  </w:num>
  <w:num w:numId="3" w16cid:durableId="174465736">
    <w:abstractNumId w:val="3"/>
  </w:num>
  <w:num w:numId="4" w16cid:durableId="231549379">
    <w:abstractNumId w:val="5"/>
  </w:num>
  <w:num w:numId="5" w16cid:durableId="1449855876">
    <w:abstractNumId w:val="4"/>
  </w:num>
  <w:num w:numId="6" w16cid:durableId="103573807">
    <w:abstractNumId w:val="0"/>
  </w:num>
  <w:num w:numId="7" w16cid:durableId="1907455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2F1E"/>
    <w:rsid w:val="00093373"/>
    <w:rsid w:val="00125DBB"/>
    <w:rsid w:val="00370906"/>
    <w:rsid w:val="006401C2"/>
    <w:rsid w:val="00672F1E"/>
    <w:rsid w:val="006C0512"/>
    <w:rsid w:val="006C13E9"/>
    <w:rsid w:val="00AF4852"/>
    <w:rsid w:val="00D405D9"/>
    <w:rsid w:val="00DD55F8"/>
    <w:rsid w:val="00F816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39BA468"/>
  <w15:chartTrackingRefBased/>
  <w15:docId w15:val="{70E8E614-0B2F-440B-827C-E04153C9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2F1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2F1E"/>
    <w:pPr>
      <w:tabs>
        <w:tab w:val="center" w:pos="4153"/>
        <w:tab w:val="right" w:pos="8306"/>
      </w:tabs>
    </w:pPr>
  </w:style>
  <w:style w:type="paragraph" w:styleId="a4">
    <w:name w:val="footer"/>
    <w:basedOn w:val="a"/>
    <w:rsid w:val="00672F1E"/>
    <w:pPr>
      <w:tabs>
        <w:tab w:val="center" w:pos="4153"/>
        <w:tab w:val="right" w:pos="8306"/>
      </w:tabs>
    </w:pPr>
  </w:style>
  <w:style w:type="character" w:styleId="a5">
    <w:name w:val="page number"/>
    <w:basedOn w:val="a0"/>
    <w:rsid w:val="00672F1E"/>
  </w:style>
  <w:style w:type="character" w:customStyle="1" w:styleId="TimesNewRomanTimesNewRoman">
    <w:name w:val="סגנון (לטיני) Times New Roman (עברית ושפות אחרות) Times New Roman..."/>
    <w:basedOn w:val="a0"/>
    <w:rsid w:val="00672F1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672F1E"/>
    <w:rPr>
      <w:rFonts w:ascii="Times New Roman" w:eastAsia="Times New Roman" w:hAnsi="Times New Roman"/>
      <w:b/>
      <w:bCs/>
      <w:u w:val="single"/>
    </w:rPr>
  </w:style>
  <w:style w:type="paragraph" w:customStyle="1" w:styleId="ListParagraph">
    <w:name w:val="List Paragraph"/>
    <w:basedOn w:val="a"/>
    <w:rsid w:val="00672F1E"/>
    <w:pPr>
      <w:spacing w:after="200" w:line="276" w:lineRule="auto"/>
      <w:ind w:left="720"/>
      <w:contextualSpacing/>
    </w:pPr>
    <w:rPr>
      <w:rFonts w:ascii="Calibri" w:eastAsia="Times New Roman" w:hAnsi="Calibri" w:cs="Arial"/>
      <w:sz w:val="22"/>
      <w:szCs w:val="22"/>
    </w:rPr>
  </w:style>
  <w:style w:type="character" w:styleId="a6">
    <w:name w:val="line number"/>
    <w:basedOn w:val="a0"/>
    <w:rsid w:val="00672F1E"/>
  </w:style>
  <w:style w:type="character" w:styleId="Hyperlink">
    <w:name w:val="Hyperlink"/>
    <w:basedOn w:val="a0"/>
    <w:rsid w:val="00AF4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c.a" TargetMode="External"/><Relationship Id="rId21" Type="http://schemas.openxmlformats.org/officeDocument/2006/relationships/hyperlink" Target="http://www.nevo.co.il/law/4216" TargetMode="External"/><Relationship Id="rId42" Type="http://schemas.openxmlformats.org/officeDocument/2006/relationships/hyperlink" Target="http://www.nevo.co.il/case/17954222" TargetMode="External"/><Relationship Id="rId47" Type="http://schemas.openxmlformats.org/officeDocument/2006/relationships/hyperlink" Target="http://www.nevo.co.il/case/5597217" TargetMode="External"/><Relationship Id="rId63" Type="http://schemas.openxmlformats.org/officeDocument/2006/relationships/hyperlink" Target="http://www.nevo.co.il/case/5590418" TargetMode="External"/><Relationship Id="rId68" Type="http://schemas.openxmlformats.org/officeDocument/2006/relationships/hyperlink" Target="http://www.nevo.co.il/case/3505224" TargetMode="External"/><Relationship Id="rId84" Type="http://schemas.openxmlformats.org/officeDocument/2006/relationships/footer" Target="footer2.xml"/><Relationship Id="rId16" Type="http://schemas.openxmlformats.org/officeDocument/2006/relationships/hyperlink" Target="http://www.nevo.co.il/law/4216/7.a."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case/5724364" TargetMode="External"/><Relationship Id="rId37" Type="http://schemas.openxmlformats.org/officeDocument/2006/relationships/hyperlink" Target="http://www.nevo.co.il/case/5598555"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84382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case/4152560"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case/5601503" TargetMode="External"/><Relationship Id="rId35" Type="http://schemas.openxmlformats.org/officeDocument/2006/relationships/hyperlink" Target="http://www.nevo.co.il/case/5738608" TargetMode="External"/><Relationship Id="rId43" Type="http://schemas.openxmlformats.org/officeDocument/2006/relationships/hyperlink" Target="http://www.nevo.co.il/case/7878510" TargetMode="External"/><Relationship Id="rId48" Type="http://schemas.openxmlformats.org/officeDocument/2006/relationships/hyperlink" Target="http://www.nevo.co.il/case/4258499" TargetMode="External"/><Relationship Id="rId56" Type="http://schemas.openxmlformats.org/officeDocument/2006/relationships/hyperlink" Target="http://www.nevo.co.il/case/4315997" TargetMode="External"/><Relationship Id="rId64" Type="http://schemas.openxmlformats.org/officeDocument/2006/relationships/hyperlink" Target="http://www.nevo.co.il/case/12857097" TargetMode="External"/><Relationship Id="rId69" Type="http://schemas.openxmlformats.org/officeDocument/2006/relationships/hyperlink" Target="http://www.nevo.co.il/case/5613228" TargetMode="External"/><Relationship Id="rId77" Type="http://schemas.openxmlformats.org/officeDocument/2006/relationships/hyperlink" Target="http://www.nevo.co.il/law/70301/40ja" TargetMode="External"/><Relationship Id="rId8" Type="http://schemas.openxmlformats.org/officeDocument/2006/relationships/hyperlink" Target="http://www.nevo.co.il/law/70301/40c.a" TargetMode="External"/><Relationship Id="rId51" Type="http://schemas.openxmlformats.org/officeDocument/2006/relationships/hyperlink" Target="http://www.nevo.co.il/case/642647" TargetMode="External"/><Relationship Id="rId72" Type="http://schemas.openxmlformats.org/officeDocument/2006/relationships/hyperlink" Target="http://www.nevo.co.il/case/4242855"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58231" TargetMode="External"/><Relationship Id="rId38" Type="http://schemas.openxmlformats.org/officeDocument/2006/relationships/hyperlink" Target="http://www.nevo.co.il/case/5995135"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4945060" TargetMode="External"/><Relationship Id="rId67" Type="http://schemas.openxmlformats.org/officeDocument/2006/relationships/hyperlink" Target="http://www.nevo.co.il/case/7801469"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8452947" TargetMode="External"/><Relationship Id="rId54" Type="http://schemas.openxmlformats.org/officeDocument/2006/relationships/hyperlink" Target="http://www.nevo.co.il/case/5128952" TargetMode="External"/><Relationship Id="rId62" Type="http://schemas.openxmlformats.org/officeDocument/2006/relationships/hyperlink" Target="http://www.nevo.co.il/case/4691716" TargetMode="External"/><Relationship Id="rId70" Type="http://schemas.openxmlformats.org/officeDocument/2006/relationships/hyperlink" Target="http://www.nevo.co.il/case/4039620" TargetMode="External"/><Relationship Id="rId75" Type="http://schemas.openxmlformats.org/officeDocument/2006/relationships/hyperlink" Target="http://www.nevo.co.il/law/70301/40c.b"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1285709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119015" TargetMode="External"/><Relationship Id="rId49" Type="http://schemas.openxmlformats.org/officeDocument/2006/relationships/hyperlink" Target="http://www.nevo.co.il/case/6024035" TargetMode="External"/><Relationship Id="rId57" Type="http://schemas.openxmlformats.org/officeDocument/2006/relationships/hyperlink" Target="http://www.nevo.co.il/case/3566226"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8291683" TargetMode="External"/><Relationship Id="rId44" Type="http://schemas.openxmlformats.org/officeDocument/2006/relationships/hyperlink" Target="http://www.nevo.co.il/case/3507722" TargetMode="External"/><Relationship Id="rId52" Type="http://schemas.openxmlformats.org/officeDocument/2006/relationships/hyperlink" Target="http://www.nevo.co.il/law/70301/144.a" TargetMode="External"/><Relationship Id="rId60" Type="http://schemas.openxmlformats.org/officeDocument/2006/relationships/hyperlink" Target="http://www.nevo.co.il/case/7697147" TargetMode="External"/><Relationship Id="rId65" Type="http://schemas.openxmlformats.org/officeDocument/2006/relationships/hyperlink" Target="http://www.nevo.co.il/case/6030418" TargetMode="External"/><Relationship Id="rId73" Type="http://schemas.openxmlformats.org/officeDocument/2006/relationships/hyperlink" Target="http://www.nevo.co.il/law/70301/40i" TargetMode="External"/><Relationship Id="rId78" Type="http://schemas.openxmlformats.org/officeDocument/2006/relationships/hyperlink" Target="http://www.nevo.co.il/law/4216"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3" Type="http://schemas.openxmlformats.org/officeDocument/2006/relationships/hyperlink" Target="http://www.nevo.co.il/law/70301/40jc.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5821327" TargetMode="External"/><Relationship Id="rId34" Type="http://schemas.openxmlformats.org/officeDocument/2006/relationships/hyperlink" Target="http://www.nevo.co.il/case/5583631" TargetMode="External"/><Relationship Id="rId50" Type="http://schemas.openxmlformats.org/officeDocument/2006/relationships/hyperlink" Target="http://www.nevo.co.il/case/6000182" TargetMode="External"/><Relationship Id="rId55" Type="http://schemas.openxmlformats.org/officeDocument/2006/relationships/hyperlink" Target="http://www.nevo.co.il/case/5079659"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4671385" TargetMode="External"/><Relationship Id="rId2" Type="http://schemas.openxmlformats.org/officeDocument/2006/relationships/styles" Target="styles.xml"/><Relationship Id="rId29" Type="http://schemas.openxmlformats.org/officeDocument/2006/relationships/hyperlink" Target="http://www.nevo.co.il/case/5172599" TargetMode="External"/><Relationship Id="rId24" Type="http://schemas.openxmlformats.org/officeDocument/2006/relationships/hyperlink" Target="http://www.nevo.co.il/law/70301/40jc.b" TargetMode="External"/><Relationship Id="rId40" Type="http://schemas.openxmlformats.org/officeDocument/2006/relationships/hyperlink" Target="http://www.nevo.co.il/case/17954222"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3336252" TargetMode="External"/><Relationship Id="rId61" Type="http://schemas.openxmlformats.org/officeDocument/2006/relationships/hyperlink" Target="http://www.nevo.co.il/case/13015506"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5250</Words>
  <Characters>26253</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31441</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8257637</vt:i4>
      </vt:variant>
      <vt:variant>
        <vt:i4>216</vt:i4>
      </vt:variant>
      <vt:variant>
        <vt:i4>0</vt:i4>
      </vt:variant>
      <vt:variant>
        <vt:i4>5</vt:i4>
      </vt:variant>
      <vt:variant>
        <vt:lpwstr>http://www.nevo.co.il/law/4216</vt:lpwstr>
      </vt:variant>
      <vt:variant>
        <vt:lpwstr/>
      </vt:variant>
      <vt:variant>
        <vt:i4>8257637</vt:i4>
      </vt:variant>
      <vt:variant>
        <vt:i4>213</vt:i4>
      </vt:variant>
      <vt:variant>
        <vt:i4>0</vt:i4>
      </vt:variant>
      <vt:variant>
        <vt:i4>5</vt:i4>
      </vt:variant>
      <vt:variant>
        <vt:lpwstr>http://www.nevo.co.il/law/4216</vt:lpwstr>
      </vt:variant>
      <vt:variant>
        <vt:lpwstr/>
      </vt:variant>
      <vt:variant>
        <vt:i4>262155</vt:i4>
      </vt:variant>
      <vt:variant>
        <vt:i4>210</vt:i4>
      </vt:variant>
      <vt:variant>
        <vt:i4>0</vt:i4>
      </vt:variant>
      <vt:variant>
        <vt:i4>5</vt:i4>
      </vt:variant>
      <vt:variant>
        <vt:lpwstr>http://www.nevo.co.il/law/70301/40ja</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http://www.nevo.co.il/law/70301/40c.b</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6619233</vt:i4>
      </vt:variant>
      <vt:variant>
        <vt:i4>198</vt:i4>
      </vt:variant>
      <vt:variant>
        <vt:i4>0</vt:i4>
      </vt:variant>
      <vt:variant>
        <vt:i4>5</vt:i4>
      </vt:variant>
      <vt:variant>
        <vt:lpwstr>http://www.nevo.co.il/law/70301/40i</vt:lpwstr>
      </vt:variant>
      <vt:variant>
        <vt:lpwstr/>
      </vt:variant>
      <vt:variant>
        <vt:i4>3997809</vt:i4>
      </vt:variant>
      <vt:variant>
        <vt:i4>195</vt:i4>
      </vt:variant>
      <vt:variant>
        <vt:i4>0</vt:i4>
      </vt:variant>
      <vt:variant>
        <vt:i4>5</vt:i4>
      </vt:variant>
      <vt:variant>
        <vt:lpwstr>http://www.nevo.co.il/case/4242855</vt:lpwstr>
      </vt:variant>
      <vt:variant>
        <vt:lpwstr/>
      </vt:variant>
      <vt:variant>
        <vt:i4>3473531</vt:i4>
      </vt:variant>
      <vt:variant>
        <vt:i4>192</vt:i4>
      </vt:variant>
      <vt:variant>
        <vt:i4>0</vt:i4>
      </vt:variant>
      <vt:variant>
        <vt:i4>5</vt:i4>
      </vt:variant>
      <vt:variant>
        <vt:lpwstr>http://www.nevo.co.il/case/4671385</vt:lpwstr>
      </vt:variant>
      <vt:variant>
        <vt:lpwstr/>
      </vt:variant>
      <vt:variant>
        <vt:i4>3211391</vt:i4>
      </vt:variant>
      <vt:variant>
        <vt:i4>189</vt:i4>
      </vt:variant>
      <vt:variant>
        <vt:i4>0</vt:i4>
      </vt:variant>
      <vt:variant>
        <vt:i4>5</vt:i4>
      </vt:variant>
      <vt:variant>
        <vt:lpwstr>http://www.nevo.co.il/case/4039620</vt:lpwstr>
      </vt:variant>
      <vt:variant>
        <vt:lpwstr/>
      </vt:variant>
      <vt:variant>
        <vt:i4>4063347</vt:i4>
      </vt:variant>
      <vt:variant>
        <vt:i4>186</vt:i4>
      </vt:variant>
      <vt:variant>
        <vt:i4>0</vt:i4>
      </vt:variant>
      <vt:variant>
        <vt:i4>5</vt:i4>
      </vt:variant>
      <vt:variant>
        <vt:lpwstr>http://www.nevo.co.il/case/5613228</vt:lpwstr>
      </vt:variant>
      <vt:variant>
        <vt:lpwstr/>
      </vt:variant>
      <vt:variant>
        <vt:i4>3473526</vt:i4>
      </vt:variant>
      <vt:variant>
        <vt:i4>183</vt:i4>
      </vt:variant>
      <vt:variant>
        <vt:i4>0</vt:i4>
      </vt:variant>
      <vt:variant>
        <vt:i4>5</vt:i4>
      </vt:variant>
      <vt:variant>
        <vt:lpwstr>http://www.nevo.co.il/case/3505224</vt:lpwstr>
      </vt:variant>
      <vt:variant>
        <vt:lpwstr/>
      </vt:variant>
      <vt:variant>
        <vt:i4>3801211</vt:i4>
      </vt:variant>
      <vt:variant>
        <vt:i4>180</vt:i4>
      </vt:variant>
      <vt:variant>
        <vt:i4>0</vt:i4>
      </vt:variant>
      <vt:variant>
        <vt:i4>5</vt:i4>
      </vt:variant>
      <vt:variant>
        <vt:lpwstr>http://www.nevo.co.il/case/7801469</vt:lpwstr>
      </vt:variant>
      <vt:variant>
        <vt:lpwstr/>
      </vt:variant>
      <vt:variant>
        <vt:i4>3145844</vt:i4>
      </vt:variant>
      <vt:variant>
        <vt:i4>177</vt:i4>
      </vt:variant>
      <vt:variant>
        <vt:i4>0</vt:i4>
      </vt:variant>
      <vt:variant>
        <vt:i4>5</vt:i4>
      </vt:variant>
      <vt:variant>
        <vt:lpwstr>http://www.nevo.co.il/case/3336252</vt:lpwstr>
      </vt:variant>
      <vt:variant>
        <vt:lpwstr/>
      </vt:variant>
      <vt:variant>
        <vt:i4>3735669</vt:i4>
      </vt:variant>
      <vt:variant>
        <vt:i4>174</vt:i4>
      </vt:variant>
      <vt:variant>
        <vt:i4>0</vt:i4>
      </vt:variant>
      <vt:variant>
        <vt:i4>5</vt:i4>
      </vt:variant>
      <vt:variant>
        <vt:lpwstr>http://www.nevo.co.il/case/6030418</vt:lpwstr>
      </vt:variant>
      <vt:variant>
        <vt:lpwstr/>
      </vt:variant>
      <vt:variant>
        <vt:i4>3604595</vt:i4>
      </vt:variant>
      <vt:variant>
        <vt:i4>171</vt:i4>
      </vt:variant>
      <vt:variant>
        <vt:i4>0</vt:i4>
      </vt:variant>
      <vt:variant>
        <vt:i4>5</vt:i4>
      </vt:variant>
      <vt:variant>
        <vt:lpwstr>http://www.nevo.co.il/case/12857097</vt:lpwstr>
      </vt:variant>
      <vt:variant>
        <vt:lpwstr/>
      </vt:variant>
      <vt:variant>
        <vt:i4>3145840</vt:i4>
      </vt:variant>
      <vt:variant>
        <vt:i4>168</vt:i4>
      </vt:variant>
      <vt:variant>
        <vt:i4>0</vt:i4>
      </vt:variant>
      <vt:variant>
        <vt:i4>5</vt:i4>
      </vt:variant>
      <vt:variant>
        <vt:lpwstr>http://www.nevo.co.il/case/5590418</vt:lpwstr>
      </vt:variant>
      <vt:variant>
        <vt:lpwstr/>
      </vt:variant>
      <vt:variant>
        <vt:i4>3932274</vt:i4>
      </vt:variant>
      <vt:variant>
        <vt:i4>165</vt:i4>
      </vt:variant>
      <vt:variant>
        <vt:i4>0</vt:i4>
      </vt:variant>
      <vt:variant>
        <vt:i4>5</vt:i4>
      </vt:variant>
      <vt:variant>
        <vt:lpwstr>http://www.nevo.co.il/case/4691716</vt:lpwstr>
      </vt:variant>
      <vt:variant>
        <vt:lpwstr/>
      </vt:variant>
      <vt:variant>
        <vt:i4>3407987</vt:i4>
      </vt:variant>
      <vt:variant>
        <vt:i4>162</vt:i4>
      </vt:variant>
      <vt:variant>
        <vt:i4>0</vt:i4>
      </vt:variant>
      <vt:variant>
        <vt:i4>5</vt:i4>
      </vt:variant>
      <vt:variant>
        <vt:lpwstr>http://www.nevo.co.il/case/13015506</vt:lpwstr>
      </vt:variant>
      <vt:variant>
        <vt:lpwstr/>
      </vt:variant>
      <vt:variant>
        <vt:i4>3670129</vt:i4>
      </vt:variant>
      <vt:variant>
        <vt:i4>159</vt:i4>
      </vt:variant>
      <vt:variant>
        <vt:i4>0</vt:i4>
      </vt:variant>
      <vt:variant>
        <vt:i4>5</vt:i4>
      </vt:variant>
      <vt:variant>
        <vt:lpwstr>http://www.nevo.co.il/case/7697147</vt:lpwstr>
      </vt:variant>
      <vt:variant>
        <vt:lpwstr/>
      </vt:variant>
      <vt:variant>
        <vt:i4>3145854</vt:i4>
      </vt:variant>
      <vt:variant>
        <vt:i4>156</vt:i4>
      </vt:variant>
      <vt:variant>
        <vt:i4>0</vt:i4>
      </vt:variant>
      <vt:variant>
        <vt:i4>5</vt:i4>
      </vt:variant>
      <vt:variant>
        <vt:lpwstr>http://www.nevo.co.il/case/4945060</vt:lpwstr>
      </vt:variant>
      <vt:variant>
        <vt:lpwstr/>
      </vt:variant>
      <vt:variant>
        <vt:i4>3866749</vt:i4>
      </vt:variant>
      <vt:variant>
        <vt:i4>153</vt:i4>
      </vt:variant>
      <vt:variant>
        <vt:i4>0</vt:i4>
      </vt:variant>
      <vt:variant>
        <vt:i4>5</vt:i4>
      </vt:variant>
      <vt:variant>
        <vt:lpwstr>http://www.nevo.co.il/case/6843821</vt:lpwstr>
      </vt:variant>
      <vt:variant>
        <vt:lpwstr/>
      </vt:variant>
      <vt:variant>
        <vt:i4>3211381</vt:i4>
      </vt:variant>
      <vt:variant>
        <vt:i4>150</vt:i4>
      </vt:variant>
      <vt:variant>
        <vt:i4>0</vt:i4>
      </vt:variant>
      <vt:variant>
        <vt:i4>5</vt:i4>
      </vt:variant>
      <vt:variant>
        <vt:lpwstr>http://www.nevo.co.il/case/3566226</vt:lpwstr>
      </vt:variant>
      <vt:variant>
        <vt:lpwstr/>
      </vt:variant>
      <vt:variant>
        <vt:i4>3866747</vt:i4>
      </vt:variant>
      <vt:variant>
        <vt:i4>147</vt:i4>
      </vt:variant>
      <vt:variant>
        <vt:i4>0</vt:i4>
      </vt:variant>
      <vt:variant>
        <vt:i4>5</vt:i4>
      </vt:variant>
      <vt:variant>
        <vt:lpwstr>http://www.nevo.co.il/case/4315997</vt:lpwstr>
      </vt:variant>
      <vt:variant>
        <vt:lpwstr/>
      </vt:variant>
      <vt:variant>
        <vt:i4>3997816</vt:i4>
      </vt:variant>
      <vt:variant>
        <vt:i4>144</vt:i4>
      </vt:variant>
      <vt:variant>
        <vt:i4>0</vt:i4>
      </vt:variant>
      <vt:variant>
        <vt:i4>5</vt:i4>
      </vt:variant>
      <vt:variant>
        <vt:lpwstr>http://www.nevo.co.il/case/5079659</vt:lpwstr>
      </vt:variant>
      <vt:variant>
        <vt:lpwstr/>
      </vt:variant>
      <vt:variant>
        <vt:i4>3932280</vt:i4>
      </vt:variant>
      <vt:variant>
        <vt:i4>141</vt:i4>
      </vt:variant>
      <vt:variant>
        <vt:i4>0</vt:i4>
      </vt:variant>
      <vt:variant>
        <vt:i4>5</vt:i4>
      </vt:variant>
      <vt:variant>
        <vt:lpwstr>http://www.nevo.co.il/case/5128952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70</vt:i4>
      </vt:variant>
      <vt:variant>
        <vt:i4>132</vt:i4>
      </vt:variant>
      <vt:variant>
        <vt:i4>0</vt:i4>
      </vt:variant>
      <vt:variant>
        <vt:i4>5</vt:i4>
      </vt:variant>
      <vt:variant>
        <vt:lpwstr>http://www.nevo.co.il/case/642647</vt:lpwstr>
      </vt:variant>
      <vt:variant>
        <vt:lpwstr/>
      </vt:variant>
      <vt:variant>
        <vt:i4>3473532</vt:i4>
      </vt:variant>
      <vt:variant>
        <vt:i4>129</vt:i4>
      </vt:variant>
      <vt:variant>
        <vt:i4>0</vt:i4>
      </vt:variant>
      <vt:variant>
        <vt:i4>5</vt:i4>
      </vt:variant>
      <vt:variant>
        <vt:lpwstr>http://www.nevo.co.il/case/6000182</vt:lpwstr>
      </vt:variant>
      <vt:variant>
        <vt:lpwstr/>
      </vt:variant>
      <vt:variant>
        <vt:i4>3211379</vt:i4>
      </vt:variant>
      <vt:variant>
        <vt:i4>126</vt:i4>
      </vt:variant>
      <vt:variant>
        <vt:i4>0</vt:i4>
      </vt:variant>
      <vt:variant>
        <vt:i4>5</vt:i4>
      </vt:variant>
      <vt:variant>
        <vt:lpwstr>http://www.nevo.co.il/case/6024035</vt:lpwstr>
      </vt:variant>
      <vt:variant>
        <vt:lpwstr/>
      </vt:variant>
      <vt:variant>
        <vt:i4>3932279</vt:i4>
      </vt:variant>
      <vt:variant>
        <vt:i4>123</vt:i4>
      </vt:variant>
      <vt:variant>
        <vt:i4>0</vt:i4>
      </vt:variant>
      <vt:variant>
        <vt:i4>5</vt:i4>
      </vt:variant>
      <vt:variant>
        <vt:lpwstr>http://www.nevo.co.il/case/4258499</vt:lpwstr>
      </vt:variant>
      <vt:variant>
        <vt:lpwstr/>
      </vt:variant>
      <vt:variant>
        <vt:i4>3735671</vt:i4>
      </vt:variant>
      <vt:variant>
        <vt:i4>120</vt:i4>
      </vt:variant>
      <vt:variant>
        <vt:i4>0</vt:i4>
      </vt:variant>
      <vt:variant>
        <vt:i4>5</vt:i4>
      </vt:variant>
      <vt:variant>
        <vt:lpwstr>http://www.nevo.co.il/case/5597217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3539060</vt:i4>
      </vt:variant>
      <vt:variant>
        <vt:i4>111</vt:i4>
      </vt:variant>
      <vt:variant>
        <vt:i4>0</vt:i4>
      </vt:variant>
      <vt:variant>
        <vt:i4>5</vt:i4>
      </vt:variant>
      <vt:variant>
        <vt:lpwstr>http://www.nevo.co.il/case/3507722</vt:lpwstr>
      </vt:variant>
      <vt:variant>
        <vt:lpwstr/>
      </vt:variant>
      <vt:variant>
        <vt:i4>3473525</vt:i4>
      </vt:variant>
      <vt:variant>
        <vt:i4>108</vt:i4>
      </vt:variant>
      <vt:variant>
        <vt:i4>0</vt:i4>
      </vt:variant>
      <vt:variant>
        <vt:i4>5</vt:i4>
      </vt:variant>
      <vt:variant>
        <vt:lpwstr>http://www.nevo.co.il/case/7878510</vt:lpwstr>
      </vt:variant>
      <vt:variant>
        <vt:lpwstr/>
      </vt:variant>
      <vt:variant>
        <vt:i4>4063348</vt:i4>
      </vt:variant>
      <vt:variant>
        <vt:i4>105</vt:i4>
      </vt:variant>
      <vt:variant>
        <vt:i4>0</vt:i4>
      </vt:variant>
      <vt:variant>
        <vt:i4>5</vt:i4>
      </vt:variant>
      <vt:variant>
        <vt:lpwstr>http://www.nevo.co.il/case/17954222</vt:lpwstr>
      </vt:variant>
      <vt:variant>
        <vt:lpwstr/>
      </vt:variant>
      <vt:variant>
        <vt:i4>3342454</vt:i4>
      </vt:variant>
      <vt:variant>
        <vt:i4>102</vt:i4>
      </vt:variant>
      <vt:variant>
        <vt:i4>0</vt:i4>
      </vt:variant>
      <vt:variant>
        <vt:i4>5</vt:i4>
      </vt:variant>
      <vt:variant>
        <vt:lpwstr>http://www.nevo.co.il/case/8452947</vt:lpwstr>
      </vt:variant>
      <vt:variant>
        <vt:lpwstr/>
      </vt:variant>
      <vt:variant>
        <vt:i4>4063348</vt:i4>
      </vt:variant>
      <vt:variant>
        <vt:i4>99</vt:i4>
      </vt:variant>
      <vt:variant>
        <vt:i4>0</vt:i4>
      </vt:variant>
      <vt:variant>
        <vt:i4>5</vt:i4>
      </vt:variant>
      <vt:variant>
        <vt:lpwstr>http://www.nevo.co.il/case/17954222</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3670139</vt:i4>
      </vt:variant>
      <vt:variant>
        <vt:i4>93</vt:i4>
      </vt:variant>
      <vt:variant>
        <vt:i4>0</vt:i4>
      </vt:variant>
      <vt:variant>
        <vt:i4>5</vt:i4>
      </vt:variant>
      <vt:variant>
        <vt:lpwstr>http://www.nevo.co.il/case/5995135</vt:lpwstr>
      </vt:variant>
      <vt:variant>
        <vt:lpwstr/>
      </vt:variant>
      <vt:variant>
        <vt:i4>3932284</vt:i4>
      </vt:variant>
      <vt:variant>
        <vt:i4>90</vt:i4>
      </vt:variant>
      <vt:variant>
        <vt:i4>0</vt:i4>
      </vt:variant>
      <vt:variant>
        <vt:i4>5</vt:i4>
      </vt:variant>
      <vt:variant>
        <vt:lpwstr>http://www.nevo.co.il/case/5598555</vt:lpwstr>
      </vt:variant>
      <vt:variant>
        <vt:lpwstr/>
      </vt:variant>
      <vt:variant>
        <vt:i4>3276925</vt:i4>
      </vt:variant>
      <vt:variant>
        <vt:i4>87</vt:i4>
      </vt:variant>
      <vt:variant>
        <vt:i4>0</vt:i4>
      </vt:variant>
      <vt:variant>
        <vt:i4>5</vt:i4>
      </vt:variant>
      <vt:variant>
        <vt:lpwstr>http://www.nevo.co.il/case/6119015</vt:lpwstr>
      </vt:variant>
      <vt:variant>
        <vt:lpwstr/>
      </vt:variant>
      <vt:variant>
        <vt:i4>3670139</vt:i4>
      </vt:variant>
      <vt:variant>
        <vt:i4>84</vt:i4>
      </vt:variant>
      <vt:variant>
        <vt:i4>0</vt:i4>
      </vt:variant>
      <vt:variant>
        <vt:i4>5</vt:i4>
      </vt:variant>
      <vt:variant>
        <vt:lpwstr>http://www.nevo.co.il/case/5738608</vt:lpwstr>
      </vt:variant>
      <vt:variant>
        <vt:lpwstr/>
      </vt:variant>
      <vt:variant>
        <vt:i4>3801201</vt:i4>
      </vt:variant>
      <vt:variant>
        <vt:i4>81</vt:i4>
      </vt:variant>
      <vt:variant>
        <vt:i4>0</vt:i4>
      </vt:variant>
      <vt:variant>
        <vt:i4>5</vt:i4>
      </vt:variant>
      <vt:variant>
        <vt:lpwstr>http://www.nevo.co.il/case/5583631</vt:lpwstr>
      </vt:variant>
      <vt:variant>
        <vt:lpwstr/>
      </vt:variant>
      <vt:variant>
        <vt:i4>3342454</vt:i4>
      </vt:variant>
      <vt:variant>
        <vt:i4>78</vt:i4>
      </vt:variant>
      <vt:variant>
        <vt:i4>0</vt:i4>
      </vt:variant>
      <vt:variant>
        <vt:i4>5</vt:i4>
      </vt:variant>
      <vt:variant>
        <vt:lpwstr>http://www.nevo.co.il/case/5958231</vt:lpwstr>
      </vt:variant>
      <vt:variant>
        <vt:lpwstr/>
      </vt:variant>
      <vt:variant>
        <vt:i4>3145841</vt:i4>
      </vt:variant>
      <vt:variant>
        <vt:i4>75</vt:i4>
      </vt:variant>
      <vt:variant>
        <vt:i4>0</vt:i4>
      </vt:variant>
      <vt:variant>
        <vt:i4>5</vt:i4>
      </vt:variant>
      <vt:variant>
        <vt:lpwstr>http://www.nevo.co.il/case/5724364</vt:lpwstr>
      </vt:variant>
      <vt:variant>
        <vt:lpwstr/>
      </vt:variant>
      <vt:variant>
        <vt:i4>3407999</vt:i4>
      </vt:variant>
      <vt:variant>
        <vt:i4>72</vt:i4>
      </vt:variant>
      <vt:variant>
        <vt:i4>0</vt:i4>
      </vt:variant>
      <vt:variant>
        <vt:i4>5</vt:i4>
      </vt:variant>
      <vt:variant>
        <vt:lpwstr>http://www.nevo.co.il/case/8291683</vt:lpwstr>
      </vt:variant>
      <vt:variant>
        <vt:lpwstr/>
      </vt:variant>
      <vt:variant>
        <vt:i4>3342451</vt:i4>
      </vt:variant>
      <vt:variant>
        <vt:i4>69</vt:i4>
      </vt:variant>
      <vt:variant>
        <vt:i4>0</vt:i4>
      </vt:variant>
      <vt:variant>
        <vt:i4>5</vt:i4>
      </vt:variant>
      <vt:variant>
        <vt:lpwstr>http://www.nevo.co.il/case/5601503</vt:lpwstr>
      </vt:variant>
      <vt:variant>
        <vt:lpwstr/>
      </vt:variant>
      <vt:variant>
        <vt:i4>4063358</vt:i4>
      </vt:variant>
      <vt:variant>
        <vt:i4>66</vt:i4>
      </vt:variant>
      <vt:variant>
        <vt:i4>0</vt:i4>
      </vt:variant>
      <vt:variant>
        <vt:i4>5</vt:i4>
      </vt:variant>
      <vt:variant>
        <vt:lpwstr>http://www.nevo.co.il/case/5172599</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3604595</vt:i4>
      </vt:variant>
      <vt:variant>
        <vt:i4>48</vt:i4>
      </vt:variant>
      <vt:variant>
        <vt:i4>0</vt:i4>
      </vt:variant>
      <vt:variant>
        <vt:i4>5</vt:i4>
      </vt:variant>
      <vt:variant>
        <vt:lpwstr>http://www.nevo.co.il/case/12857097</vt:lpwstr>
      </vt:variant>
      <vt:variant>
        <vt:lpwstr/>
      </vt:variant>
      <vt:variant>
        <vt:i4>3407985</vt:i4>
      </vt:variant>
      <vt:variant>
        <vt:i4>45</vt:i4>
      </vt:variant>
      <vt:variant>
        <vt:i4>0</vt:i4>
      </vt:variant>
      <vt:variant>
        <vt:i4>5</vt:i4>
      </vt:variant>
      <vt:variant>
        <vt:lpwstr>http://www.nevo.co.il/case/4152560</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18510</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ערפאת בן מואפק אחמד</vt:lpwstr>
  </property>
  <property fmtid="{D5CDD505-2E9C-101B-9397-08002B2CF9AE}" pid="10" name="LAWYER">
    <vt:lpwstr>הדס ירושלמי;סרי ח'ורי</vt:lpwstr>
  </property>
  <property fmtid="{D5CDD505-2E9C-101B-9397-08002B2CF9AE}" pid="11" name="JUDGE">
    <vt:lpwstr>שאהר אטרש</vt:lpwstr>
  </property>
  <property fmtid="{D5CDD505-2E9C-101B-9397-08002B2CF9AE}" pid="12" name="CITY">
    <vt:lpwstr>נצ'</vt:lpwstr>
  </property>
  <property fmtid="{D5CDD505-2E9C-101B-9397-08002B2CF9AE}" pid="13" name="DATE">
    <vt:lpwstr>20150303</vt:lpwstr>
  </property>
  <property fmtid="{D5CDD505-2E9C-101B-9397-08002B2CF9AE}" pid="14" name="TYPE_N_DATE">
    <vt:lpwstr>39020150303</vt:lpwstr>
  </property>
  <property fmtid="{D5CDD505-2E9C-101B-9397-08002B2CF9AE}" pid="15" name="WORDNUMPAGES">
    <vt:lpwstr>15</vt:lpwstr>
  </property>
  <property fmtid="{D5CDD505-2E9C-101B-9397-08002B2CF9AE}" pid="16" name="TYPE_ABS_DATE">
    <vt:lpwstr>390120150303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77;77;77</vt:lpwstr>
  </property>
  <property fmtid="{D5CDD505-2E9C-101B-9397-08002B2CF9AE}" pid="37" name="NOSE2ID">
    <vt:lpwstr>1446;1446;1446</vt:lpwstr>
  </property>
  <property fmtid="{D5CDD505-2E9C-101B-9397-08002B2CF9AE}" pid="38" name="NOSE3ID">
    <vt:lpwstr>13800;8991;14985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סמים</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מתחם הענישה</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20150315</vt:lpwstr>
  </property>
  <property fmtid="{D5CDD505-2E9C-101B-9397-08002B2CF9AE}" pid="70" name="CASESLISTTMP1">
    <vt:lpwstr>4152560;12857097:2;5172599;5601503;8291683;5724364;5958231;5583631;5738608;6119015;5598555;5995135;5821327;17954222:2;8452947;7878510;3507722;5597217;4258499;6024035;6000182;642647;5128952;5079659;4315997;3566226;6843821;4945060;7697147;13015506;4691716</vt:lpwstr>
  </property>
  <property fmtid="{D5CDD505-2E9C-101B-9397-08002B2CF9AE}" pid="71" name="CASESLISTTMP2">
    <vt:lpwstr>5590418;6030418;3336252;7801469;3505224;5613228;4039620;4671385;4242855</vt:lpwstr>
  </property>
  <property fmtid="{D5CDD505-2E9C-101B-9397-08002B2CF9AE}" pid="72" name="LAWLISTTMP1">
    <vt:lpwstr>70301/144.a:3;40jc.b;040c.a;40jc.a;040i;040c.b;40ja</vt:lpwstr>
  </property>
  <property fmtid="{D5CDD505-2E9C-101B-9397-08002B2CF9AE}" pid="73" name="LAWLISTTMP2">
    <vt:lpwstr>4216/007.a;007.c</vt:lpwstr>
  </property>
</Properties>
</file>