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02" w:type="dxa"/>
        <w:jc w:val="center"/>
        <w:tblLook w:val="0000" w:firstRow="0" w:lastRow="0" w:firstColumn="0" w:lastColumn="0" w:noHBand="0" w:noVBand="0"/>
      </w:tblPr>
      <w:tblGrid>
        <w:gridCol w:w="28"/>
        <w:gridCol w:w="2852"/>
        <w:gridCol w:w="2206"/>
        <w:gridCol w:w="3633"/>
        <w:gridCol w:w="30"/>
        <w:gridCol w:w="53"/>
      </w:tblGrid>
      <w:tr w:rsidR="00127892" w:rsidRPr="00310790" w14:paraId="687CAB87" w14:textId="77777777">
        <w:trPr>
          <w:gridBefore w:val="1"/>
          <w:gridAfter w:val="1"/>
          <w:wBefore w:w="28" w:type="dxa"/>
          <w:wAfter w:w="53" w:type="dxa"/>
          <w:trHeight w:hRule="exact" w:val="418"/>
          <w:jc w:val="center"/>
        </w:trPr>
        <w:tc>
          <w:tcPr>
            <w:tcW w:w="8721" w:type="dxa"/>
            <w:gridSpan w:val="4"/>
          </w:tcPr>
          <w:p w14:paraId="4FA0D79E" w14:textId="77777777" w:rsidR="00127892" w:rsidRPr="00310790" w:rsidRDefault="00310790">
            <w:pPr>
              <w:pStyle w:val="a3"/>
              <w:jc w:val="center"/>
              <w:rPr>
                <w:rFonts w:ascii="Tahoma" w:hAnsi="Tahoma" w:cs="Tahoma"/>
                <w:color w:val="000080"/>
                <w:rtl/>
              </w:rPr>
            </w:pPr>
            <w:bookmarkStart w:id="0" w:name="LastJudge"/>
            <w:r w:rsidRPr="00310790">
              <w:rPr>
                <w:rFonts w:ascii="Tahoma" w:hAnsi="Tahoma" w:cs="Tahoma"/>
                <w:b/>
                <w:bCs/>
                <w:color w:val="000080"/>
                <w:rtl/>
              </w:rPr>
              <w:t>בית המשפט המחוזי בחיפה</w:t>
            </w:r>
          </w:p>
        </w:tc>
      </w:tr>
      <w:tr w:rsidR="00127892" w:rsidRPr="00310790" w14:paraId="6C99E7EF" w14:textId="77777777">
        <w:trPr>
          <w:gridBefore w:val="1"/>
          <w:gridAfter w:val="1"/>
          <w:wBefore w:w="28" w:type="dxa"/>
          <w:wAfter w:w="53" w:type="dxa"/>
          <w:trHeight w:val="337"/>
          <w:jc w:val="center"/>
        </w:trPr>
        <w:tc>
          <w:tcPr>
            <w:tcW w:w="5058" w:type="dxa"/>
            <w:gridSpan w:val="2"/>
          </w:tcPr>
          <w:p w14:paraId="11CD3FCC" w14:textId="77777777" w:rsidR="00127892" w:rsidRPr="00310790" w:rsidRDefault="00310790">
            <w:pPr>
              <w:rPr>
                <w:rFonts w:cs="FrankRuehl" w:hint="cs"/>
                <w:sz w:val="28"/>
                <w:szCs w:val="28"/>
                <w:rtl/>
              </w:rPr>
            </w:pPr>
            <w:r w:rsidRPr="00310790">
              <w:rPr>
                <w:b/>
                <w:bCs/>
                <w:sz w:val="26"/>
                <w:szCs w:val="26"/>
                <w:rtl/>
              </w:rPr>
              <w:t>ת"פ</w:t>
            </w:r>
            <w:r w:rsidRPr="00310790">
              <w:rPr>
                <w:rFonts w:hint="cs"/>
                <w:b/>
                <w:bCs/>
                <w:sz w:val="30"/>
                <w:szCs w:val="30"/>
                <w:rtl/>
              </w:rPr>
              <w:t xml:space="preserve"> </w:t>
            </w:r>
            <w:r w:rsidRPr="00310790">
              <w:rPr>
                <w:b/>
                <w:bCs/>
                <w:sz w:val="26"/>
                <w:szCs w:val="26"/>
                <w:rtl/>
              </w:rPr>
              <w:t>31218-10-14</w:t>
            </w:r>
            <w:r w:rsidRPr="00310790">
              <w:rPr>
                <w:rFonts w:hint="cs"/>
                <w:b/>
                <w:bCs/>
                <w:sz w:val="30"/>
                <w:szCs w:val="30"/>
                <w:rtl/>
              </w:rPr>
              <w:t xml:space="preserve"> </w:t>
            </w:r>
            <w:r w:rsidRPr="00310790">
              <w:rPr>
                <w:b/>
                <w:bCs/>
                <w:sz w:val="26"/>
                <w:szCs w:val="26"/>
                <w:rtl/>
              </w:rPr>
              <w:t>מדינת ישראל נ' אסדי</w:t>
            </w:r>
          </w:p>
        </w:tc>
        <w:tc>
          <w:tcPr>
            <w:tcW w:w="3663" w:type="dxa"/>
            <w:gridSpan w:val="2"/>
          </w:tcPr>
          <w:p w14:paraId="0A154237" w14:textId="77777777" w:rsidR="00127892" w:rsidRPr="00310790" w:rsidRDefault="00127892">
            <w:pPr>
              <w:pStyle w:val="a3"/>
              <w:jc w:val="right"/>
              <w:rPr>
                <w:rFonts w:cs="FrankRuehl"/>
                <w:sz w:val="28"/>
                <w:szCs w:val="28"/>
                <w:rtl/>
              </w:rPr>
            </w:pPr>
          </w:p>
        </w:tc>
      </w:tr>
      <w:tr w:rsidR="00127892" w:rsidRPr="007A43AE" w14:paraId="73E15BF3" w14:textId="77777777">
        <w:tblPrEx>
          <w:jc w:val="left"/>
          <w:tblInd w:w="-28" w:type="dxa"/>
          <w:tblLook w:val="01E0" w:firstRow="1" w:lastRow="1" w:firstColumn="1" w:lastColumn="1" w:noHBand="0" w:noVBand="0"/>
        </w:tblPrEx>
        <w:trPr>
          <w:gridAfter w:val="2"/>
          <w:wAfter w:w="83" w:type="dxa"/>
        </w:trPr>
        <w:tc>
          <w:tcPr>
            <w:tcW w:w="8719" w:type="dxa"/>
            <w:gridSpan w:val="4"/>
          </w:tcPr>
          <w:p w14:paraId="67639F41" w14:textId="77777777" w:rsidR="00127892" w:rsidRPr="007A43AE" w:rsidRDefault="00310790" w:rsidP="007A43AE">
            <w:pPr>
              <w:spacing w:before="120" w:after="120" w:line="360" w:lineRule="auto"/>
              <w:rPr>
                <w:b/>
                <w:bCs/>
                <w:sz w:val="26"/>
                <w:szCs w:val="26"/>
              </w:rPr>
            </w:pPr>
            <w:r w:rsidRPr="007A43AE">
              <w:rPr>
                <w:rFonts w:hint="cs"/>
                <w:b/>
                <w:bCs/>
                <w:rtl/>
              </w:rPr>
              <w:t xml:space="preserve"> </w:t>
            </w:r>
            <w:r w:rsidRPr="007A43AE">
              <w:rPr>
                <w:rFonts w:hint="cs"/>
                <w:b/>
                <w:bCs/>
                <w:sz w:val="26"/>
                <w:szCs w:val="26"/>
                <w:rtl/>
              </w:rPr>
              <w:t>בפני כב' ה</w:t>
            </w:r>
            <w:r w:rsidRPr="007A43AE">
              <w:rPr>
                <w:rFonts w:hint="cs"/>
                <w:b/>
                <w:bCs/>
                <w:rtl/>
              </w:rPr>
              <w:t>שופטת דיאנה סלע</w:t>
            </w:r>
            <w:r w:rsidRPr="007A43AE">
              <w:rPr>
                <w:rStyle w:val="TimesNewRomanTimesNewRoman"/>
                <w:rFonts w:hint="cs"/>
                <w:b w:val="0"/>
                <w:bCs w:val="0"/>
                <w:rtl/>
              </w:rPr>
              <w:t xml:space="preserve"> </w:t>
            </w:r>
          </w:p>
        </w:tc>
      </w:tr>
      <w:tr w:rsidR="00127892" w:rsidRPr="00310790" w14:paraId="30517A90" w14:textId="77777777">
        <w:tblPrEx>
          <w:jc w:val="left"/>
          <w:tblInd w:w="-28" w:type="dxa"/>
          <w:tblLook w:val="01E0" w:firstRow="1" w:lastRow="1" w:firstColumn="1" w:lastColumn="1" w:noHBand="0" w:noVBand="0"/>
        </w:tblPrEx>
        <w:tc>
          <w:tcPr>
            <w:tcW w:w="2880" w:type="dxa"/>
            <w:gridSpan w:val="2"/>
          </w:tcPr>
          <w:p w14:paraId="2791633A" w14:textId="77777777" w:rsidR="00127892" w:rsidRPr="007A43AE" w:rsidRDefault="00310790">
            <w:pPr>
              <w:ind w:left="26"/>
              <w:rPr>
                <w:b/>
                <w:bCs/>
                <w:sz w:val="26"/>
                <w:szCs w:val="26"/>
              </w:rPr>
            </w:pPr>
            <w:bookmarkStart w:id="1" w:name="FirstAppellant"/>
            <w:r w:rsidRPr="007A43AE">
              <w:rPr>
                <w:rFonts w:hint="cs"/>
                <w:b/>
                <w:bCs/>
                <w:sz w:val="26"/>
                <w:szCs w:val="26"/>
                <w:rtl/>
              </w:rPr>
              <w:t>ה</w:t>
            </w:r>
            <w:r w:rsidRPr="007A43AE">
              <w:rPr>
                <w:rFonts w:hint="cs"/>
                <w:b/>
                <w:bCs/>
                <w:rtl/>
              </w:rPr>
              <w:t>מאשימה</w:t>
            </w:r>
          </w:p>
        </w:tc>
        <w:tc>
          <w:tcPr>
            <w:tcW w:w="5922" w:type="dxa"/>
            <w:gridSpan w:val="4"/>
          </w:tcPr>
          <w:p w14:paraId="0F987BEB" w14:textId="77777777" w:rsidR="00127892" w:rsidRPr="007A43AE" w:rsidRDefault="00310790">
            <w:pPr>
              <w:rPr>
                <w:b/>
                <w:bCs/>
                <w:sz w:val="26"/>
                <w:szCs w:val="26"/>
                <w:rtl/>
              </w:rPr>
            </w:pPr>
            <w:r w:rsidRPr="007A43AE">
              <w:rPr>
                <w:rFonts w:hint="cs"/>
                <w:b/>
                <w:bCs/>
                <w:rtl/>
              </w:rPr>
              <w:t>מדינת ישראל</w:t>
            </w:r>
          </w:p>
          <w:p w14:paraId="67D6A3A9" w14:textId="77777777" w:rsidR="00127892" w:rsidRPr="007A43AE" w:rsidRDefault="00127892">
            <w:pPr>
              <w:rPr>
                <w:b/>
                <w:bCs/>
                <w:sz w:val="26"/>
                <w:szCs w:val="26"/>
              </w:rPr>
            </w:pPr>
          </w:p>
        </w:tc>
      </w:tr>
      <w:bookmarkEnd w:id="1"/>
      <w:tr w:rsidR="00127892" w:rsidRPr="00310790" w14:paraId="225C6D33" w14:textId="77777777">
        <w:tblPrEx>
          <w:jc w:val="left"/>
          <w:tblInd w:w="-28" w:type="dxa"/>
          <w:tblLook w:val="01E0" w:firstRow="1" w:lastRow="1" w:firstColumn="1" w:lastColumn="1" w:noHBand="0" w:noVBand="0"/>
        </w:tblPrEx>
        <w:tc>
          <w:tcPr>
            <w:tcW w:w="8802" w:type="dxa"/>
            <w:gridSpan w:val="6"/>
          </w:tcPr>
          <w:p w14:paraId="40D7BCEE" w14:textId="77777777" w:rsidR="00127892" w:rsidRPr="007A43AE" w:rsidRDefault="00310790">
            <w:pPr>
              <w:jc w:val="center"/>
              <w:rPr>
                <w:rFonts w:ascii="Arial" w:hAnsi="Arial"/>
                <w:b/>
                <w:bCs/>
                <w:sz w:val="26"/>
                <w:szCs w:val="26"/>
                <w:rtl/>
              </w:rPr>
            </w:pPr>
            <w:r w:rsidRPr="007A43AE">
              <w:rPr>
                <w:rFonts w:ascii="Arial" w:hAnsi="Arial" w:hint="cs"/>
                <w:b/>
                <w:bCs/>
                <w:sz w:val="26"/>
                <w:szCs w:val="26"/>
                <w:rtl/>
              </w:rPr>
              <w:t xml:space="preserve">- נ ג ד - </w:t>
            </w:r>
          </w:p>
          <w:p w14:paraId="2F77CF67" w14:textId="77777777" w:rsidR="00127892" w:rsidRPr="007A43AE" w:rsidRDefault="00127892">
            <w:pPr>
              <w:jc w:val="center"/>
              <w:rPr>
                <w:rFonts w:ascii="Arial" w:hAnsi="Arial"/>
                <w:b/>
                <w:bCs/>
                <w:sz w:val="26"/>
                <w:szCs w:val="26"/>
              </w:rPr>
            </w:pPr>
          </w:p>
        </w:tc>
      </w:tr>
      <w:tr w:rsidR="00127892" w:rsidRPr="00310790" w14:paraId="08CB356B" w14:textId="77777777">
        <w:tblPrEx>
          <w:jc w:val="left"/>
          <w:tblInd w:w="-28" w:type="dxa"/>
          <w:tblLook w:val="01E0" w:firstRow="1" w:lastRow="1" w:firstColumn="1" w:lastColumn="1" w:noHBand="0" w:noVBand="0"/>
        </w:tblPrEx>
        <w:tc>
          <w:tcPr>
            <w:tcW w:w="2880" w:type="dxa"/>
            <w:gridSpan w:val="2"/>
          </w:tcPr>
          <w:p w14:paraId="4ED5FBA4" w14:textId="77777777" w:rsidR="00127892" w:rsidRPr="007A43AE" w:rsidRDefault="00310790">
            <w:pPr>
              <w:ind w:left="26"/>
              <w:rPr>
                <w:b/>
                <w:bCs/>
                <w:sz w:val="26"/>
                <w:szCs w:val="26"/>
              </w:rPr>
            </w:pPr>
            <w:r w:rsidRPr="007A43AE">
              <w:rPr>
                <w:rFonts w:hint="cs"/>
                <w:b/>
                <w:bCs/>
                <w:sz w:val="26"/>
                <w:szCs w:val="26"/>
                <w:rtl/>
              </w:rPr>
              <w:t>ה</w:t>
            </w:r>
            <w:r w:rsidRPr="007A43AE">
              <w:rPr>
                <w:rFonts w:hint="cs"/>
                <w:b/>
                <w:bCs/>
                <w:rtl/>
              </w:rPr>
              <w:t>נאשם</w:t>
            </w:r>
          </w:p>
        </w:tc>
        <w:tc>
          <w:tcPr>
            <w:tcW w:w="5922" w:type="dxa"/>
            <w:gridSpan w:val="4"/>
          </w:tcPr>
          <w:p w14:paraId="0223B2AD" w14:textId="77777777" w:rsidR="00127892" w:rsidRPr="007A43AE" w:rsidRDefault="00310790" w:rsidP="007E70D8">
            <w:pPr>
              <w:rPr>
                <w:b/>
                <w:bCs/>
                <w:sz w:val="26"/>
                <w:szCs w:val="26"/>
                <w:rtl/>
              </w:rPr>
            </w:pPr>
            <w:r w:rsidRPr="007A43AE">
              <w:rPr>
                <w:rFonts w:hint="cs"/>
                <w:b/>
                <w:bCs/>
                <w:rtl/>
              </w:rPr>
              <w:t xml:space="preserve">דיאב אסדי </w:t>
            </w:r>
          </w:p>
          <w:p w14:paraId="2E8A4022" w14:textId="77777777" w:rsidR="00127892" w:rsidRPr="007A43AE" w:rsidRDefault="00127892">
            <w:pPr>
              <w:rPr>
                <w:b/>
                <w:bCs/>
                <w:sz w:val="26"/>
                <w:szCs w:val="26"/>
              </w:rPr>
            </w:pPr>
          </w:p>
        </w:tc>
      </w:tr>
    </w:tbl>
    <w:p w14:paraId="76CD04E9" w14:textId="77777777" w:rsidR="00C822BC" w:rsidRDefault="00C822BC">
      <w:pPr>
        <w:rPr>
          <w:rtl/>
        </w:rPr>
      </w:pPr>
      <w:bookmarkStart w:id="2" w:name="LawTable"/>
      <w:bookmarkEnd w:id="2"/>
    </w:p>
    <w:p w14:paraId="324263F1" w14:textId="77777777" w:rsidR="00C822BC" w:rsidRPr="00C822BC" w:rsidRDefault="00C822BC" w:rsidP="00C822BC">
      <w:pPr>
        <w:spacing w:after="120" w:line="240" w:lineRule="exact"/>
        <w:ind w:left="283" w:hanging="283"/>
        <w:jc w:val="both"/>
        <w:rPr>
          <w:rFonts w:ascii="FrankRuehl" w:hAnsi="FrankRuehl" w:cs="FrankRuehl"/>
          <w:rtl/>
        </w:rPr>
      </w:pPr>
      <w:r w:rsidRPr="00C822BC">
        <w:rPr>
          <w:rFonts w:ascii="FrankRuehl" w:hAnsi="FrankRuehl" w:cs="FrankRuehl"/>
          <w:rtl/>
        </w:rPr>
        <w:t xml:space="preserve">חקיקה שאוזכרה: </w:t>
      </w:r>
    </w:p>
    <w:p w14:paraId="3800F3C9" w14:textId="77777777" w:rsidR="00C822BC" w:rsidRPr="00C822BC" w:rsidRDefault="00C822BC" w:rsidP="00C822BC">
      <w:pPr>
        <w:spacing w:after="120" w:line="240" w:lineRule="exact"/>
        <w:ind w:left="283" w:hanging="283"/>
        <w:jc w:val="both"/>
        <w:rPr>
          <w:rFonts w:ascii="FrankRuehl" w:hAnsi="FrankRuehl" w:cs="FrankRuehl"/>
          <w:rtl/>
        </w:rPr>
      </w:pPr>
      <w:hyperlink r:id="rId6" w:history="1">
        <w:r w:rsidRPr="00C822BC">
          <w:rPr>
            <w:rFonts w:ascii="FrankRuehl" w:hAnsi="FrankRuehl" w:cs="FrankRuehl"/>
            <w:color w:val="0000FF"/>
            <w:u w:val="single"/>
            <w:rtl/>
          </w:rPr>
          <w:t>חוק העונשין, תשל"ז-1977</w:t>
        </w:r>
      </w:hyperlink>
      <w:r w:rsidRPr="00C822BC">
        <w:rPr>
          <w:rFonts w:ascii="FrankRuehl" w:hAnsi="FrankRuehl" w:cs="FrankRuehl"/>
          <w:rtl/>
        </w:rPr>
        <w:t xml:space="preserve">: סע'  </w:t>
      </w:r>
      <w:hyperlink r:id="rId7" w:history="1">
        <w:r w:rsidRPr="00C822BC">
          <w:rPr>
            <w:rFonts w:ascii="FrankRuehl" w:hAnsi="FrankRuehl" w:cs="FrankRuehl"/>
            <w:color w:val="0000FF"/>
            <w:u w:val="single"/>
            <w:rtl/>
          </w:rPr>
          <w:t>144 (א)</w:t>
        </w:r>
      </w:hyperlink>
      <w:r w:rsidRPr="00C822BC">
        <w:rPr>
          <w:rFonts w:ascii="FrankRuehl" w:hAnsi="FrankRuehl" w:cs="FrankRuehl"/>
          <w:rtl/>
        </w:rPr>
        <w:t xml:space="preserve">, </w:t>
      </w:r>
      <w:hyperlink r:id="rId8" w:history="1">
        <w:r w:rsidRPr="00C822BC">
          <w:rPr>
            <w:rFonts w:ascii="FrankRuehl" w:hAnsi="FrankRuehl" w:cs="FrankRuehl"/>
            <w:color w:val="0000FF"/>
            <w:u w:val="single"/>
            <w:rtl/>
          </w:rPr>
          <w:t>329(5)</w:t>
        </w:r>
      </w:hyperlink>
      <w:r w:rsidRPr="00C822BC">
        <w:rPr>
          <w:rFonts w:ascii="FrankRuehl" w:hAnsi="FrankRuehl" w:cs="FrankRuehl"/>
          <w:rtl/>
        </w:rPr>
        <w:t xml:space="preserve">, </w:t>
      </w:r>
      <w:hyperlink r:id="rId9" w:history="1">
        <w:r w:rsidRPr="00C822BC">
          <w:rPr>
            <w:rFonts w:ascii="FrankRuehl" w:hAnsi="FrankRuehl" w:cs="FrankRuehl"/>
            <w:color w:val="0000FF"/>
            <w:u w:val="single"/>
            <w:rtl/>
          </w:rPr>
          <w:t>40יא</w:t>
        </w:r>
      </w:hyperlink>
    </w:p>
    <w:p w14:paraId="17953AB1" w14:textId="77777777" w:rsidR="00C822BC" w:rsidRPr="00C822BC" w:rsidRDefault="00C822BC" w:rsidP="00C822BC">
      <w:pPr>
        <w:spacing w:after="120" w:line="240" w:lineRule="exact"/>
        <w:ind w:left="283" w:hanging="283"/>
        <w:jc w:val="both"/>
        <w:rPr>
          <w:rFonts w:ascii="FrankRuehl" w:hAnsi="FrankRuehl" w:cs="FrankRuehl"/>
          <w:rtl/>
        </w:rPr>
      </w:pPr>
    </w:p>
    <w:p w14:paraId="52F95584" w14:textId="77777777" w:rsidR="007A43AE" w:rsidRDefault="007A43AE" w:rsidP="007A43AE">
      <w:pPr>
        <w:pBdr>
          <w:top w:val="single" w:sz="4" w:space="1" w:color="auto"/>
          <w:bottom w:val="single" w:sz="4" w:space="1" w:color="auto"/>
        </w:pBdr>
        <w:spacing w:after="120" w:line="320" w:lineRule="exact"/>
        <w:jc w:val="both"/>
        <w:rPr>
          <w:rFonts w:cs="FrankRuehl" w:hint="cs"/>
          <w:szCs w:val="26"/>
          <w:rtl/>
        </w:rPr>
      </w:pPr>
      <w:bookmarkStart w:id="3" w:name="LawTable_End"/>
      <w:bookmarkStart w:id="4" w:name="PsakDin"/>
      <w:bookmarkStart w:id="5" w:name="ABSTRACT_START"/>
      <w:bookmarkEnd w:id="3"/>
      <w:bookmarkEnd w:id="5"/>
      <w:r>
        <w:rPr>
          <w:rFonts w:cs="FrankRuehl"/>
          <w:szCs w:val="26"/>
          <w:rtl/>
        </w:rPr>
        <w:t>מיני-רציו:</w:t>
      </w:r>
    </w:p>
    <w:p w14:paraId="42529227" w14:textId="77777777" w:rsidR="007A43AE" w:rsidRPr="007A43AE" w:rsidRDefault="007A43AE" w:rsidP="007A43AE">
      <w:pPr>
        <w:pBdr>
          <w:top w:val="single" w:sz="4" w:space="1" w:color="auto"/>
          <w:bottom w:val="single" w:sz="4" w:space="1" w:color="auto"/>
        </w:pBdr>
        <w:spacing w:after="120" w:line="320" w:lineRule="exact"/>
        <w:jc w:val="both"/>
        <w:rPr>
          <w:rFonts w:cs="FrankRuehl"/>
          <w:szCs w:val="26"/>
        </w:rPr>
      </w:pPr>
      <w:r>
        <w:rPr>
          <w:rFonts w:cs="FrankRuehl" w:hint="cs"/>
          <w:szCs w:val="26"/>
          <w:rtl/>
        </w:rPr>
        <w:t xml:space="preserve">* </w:t>
      </w:r>
      <w:r w:rsidRPr="007A43AE">
        <w:rPr>
          <w:rFonts w:cs="FrankRuehl" w:hint="cs"/>
          <w:szCs w:val="26"/>
          <w:rtl/>
        </w:rPr>
        <w:t xml:space="preserve">בית המשפט גזר על הנאשם, בגין החזקת </w:t>
      </w:r>
      <w:r w:rsidRPr="007A43AE">
        <w:rPr>
          <w:rFonts w:cs="FrankRuehl"/>
          <w:szCs w:val="26"/>
          <w:rtl/>
        </w:rPr>
        <w:t>רימון הלם</w:t>
      </w:r>
      <w:r w:rsidRPr="007A43AE">
        <w:rPr>
          <w:rFonts w:cs="FrankRuehl" w:hint="cs"/>
          <w:szCs w:val="26"/>
          <w:rtl/>
        </w:rPr>
        <w:t xml:space="preserve"> שהתפוצץ לאחר מכן</w:t>
      </w:r>
      <w:r w:rsidRPr="007A43AE">
        <w:rPr>
          <w:rFonts w:cs="FrankRuehl"/>
          <w:szCs w:val="26"/>
          <w:rtl/>
        </w:rPr>
        <w:t xml:space="preserve"> </w:t>
      </w:r>
      <w:r w:rsidRPr="007A43AE">
        <w:rPr>
          <w:rFonts w:cs="FrankRuehl" w:hint="cs"/>
          <w:szCs w:val="26"/>
          <w:rtl/>
        </w:rPr>
        <w:t>ב</w:t>
      </w:r>
      <w:r w:rsidRPr="007A43AE">
        <w:rPr>
          <w:rFonts w:cs="FrankRuehl"/>
          <w:szCs w:val="26"/>
          <w:rtl/>
        </w:rPr>
        <w:t>מרפסת בית</w:t>
      </w:r>
      <w:r w:rsidRPr="007A43AE">
        <w:rPr>
          <w:rFonts w:cs="FrankRuehl" w:hint="cs"/>
          <w:szCs w:val="26"/>
          <w:rtl/>
        </w:rPr>
        <w:t xml:space="preserve"> המתלונן, 9 </w:t>
      </w:r>
      <w:r w:rsidRPr="007A43AE">
        <w:rPr>
          <w:rFonts w:cs="FrankRuehl"/>
          <w:szCs w:val="26"/>
          <w:rtl/>
        </w:rPr>
        <w:t>חודשי מאסר בפועל</w:t>
      </w:r>
      <w:r w:rsidRPr="007A43AE">
        <w:rPr>
          <w:rFonts w:cs="FrankRuehl" w:hint="cs"/>
          <w:szCs w:val="26"/>
          <w:rtl/>
        </w:rPr>
        <w:t xml:space="preserve"> ו-15 חודשי </w:t>
      </w:r>
      <w:r w:rsidRPr="007A43AE">
        <w:rPr>
          <w:rFonts w:cs="FrankRuehl"/>
          <w:szCs w:val="26"/>
          <w:rtl/>
        </w:rPr>
        <w:t>מאסר על תנאי</w:t>
      </w:r>
      <w:r w:rsidRPr="007A43AE">
        <w:rPr>
          <w:rFonts w:cs="FrankRuehl" w:hint="cs"/>
          <w:szCs w:val="26"/>
          <w:rtl/>
        </w:rPr>
        <w:t xml:space="preserve"> </w:t>
      </w:r>
      <w:r w:rsidRPr="007A43AE">
        <w:rPr>
          <w:rFonts w:cs="FrankRuehl"/>
          <w:szCs w:val="26"/>
          <w:rtl/>
        </w:rPr>
        <w:t xml:space="preserve">. </w:t>
      </w:r>
    </w:p>
    <w:p w14:paraId="74BDBCE7" w14:textId="77777777" w:rsidR="007A43AE" w:rsidRDefault="007A43AE" w:rsidP="007A43AE">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עבירות נשק</w:t>
      </w:r>
    </w:p>
    <w:p w14:paraId="2E04E8D9" w14:textId="77777777" w:rsidR="007A43AE" w:rsidRDefault="007A43AE" w:rsidP="007A43AE">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מתחם הענישה</w:t>
      </w:r>
    </w:p>
    <w:p w14:paraId="0D659B49" w14:textId="77777777" w:rsidR="007A43AE" w:rsidRDefault="007A43AE" w:rsidP="007A43AE">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E02F9D1" w14:textId="77777777" w:rsidR="00C41FEC" w:rsidRPr="007A43AE" w:rsidRDefault="00C41FEC" w:rsidP="007A43AE">
      <w:pPr>
        <w:pBdr>
          <w:top w:val="single" w:sz="4" w:space="1" w:color="auto"/>
          <w:bottom w:val="single" w:sz="4" w:space="1" w:color="auto"/>
        </w:pBdr>
        <w:spacing w:after="120" w:line="320" w:lineRule="exact"/>
        <w:jc w:val="both"/>
        <w:rPr>
          <w:rFonts w:cs="FrankRuehl" w:hint="cs"/>
          <w:szCs w:val="26"/>
          <w:rtl/>
        </w:rPr>
      </w:pPr>
      <w:r w:rsidRPr="007A43AE">
        <w:rPr>
          <w:rFonts w:cs="FrankRuehl"/>
          <w:szCs w:val="26"/>
          <w:rtl/>
        </w:rPr>
        <w:t>הנאשם</w:t>
      </w:r>
      <w:r w:rsidRPr="007A43AE">
        <w:rPr>
          <w:rFonts w:cs="FrankRuehl" w:hint="cs"/>
          <w:szCs w:val="26"/>
          <w:rtl/>
        </w:rPr>
        <w:t xml:space="preserve"> </w:t>
      </w:r>
      <w:r w:rsidRPr="007A43AE">
        <w:rPr>
          <w:rFonts w:cs="FrankRuehl"/>
          <w:szCs w:val="26"/>
          <w:rtl/>
        </w:rPr>
        <w:t xml:space="preserve">הורשע במסגרת הסדר </w:t>
      </w:r>
      <w:r w:rsidRPr="007A43AE">
        <w:rPr>
          <w:rFonts w:cs="FrankRuehl" w:hint="cs"/>
          <w:szCs w:val="26"/>
          <w:rtl/>
        </w:rPr>
        <w:t xml:space="preserve">טיעון </w:t>
      </w:r>
      <w:r w:rsidRPr="007A43AE">
        <w:rPr>
          <w:rFonts w:cs="FrankRuehl"/>
          <w:szCs w:val="26"/>
          <w:rtl/>
        </w:rPr>
        <w:t>בעבירות בנשק</w:t>
      </w:r>
      <w:r w:rsidRPr="007A43AE">
        <w:rPr>
          <w:rFonts w:cs="FrankRuehl" w:hint="cs"/>
          <w:szCs w:val="26"/>
          <w:rtl/>
        </w:rPr>
        <w:t>, בכך שהחזיק</w:t>
      </w:r>
      <w:r w:rsidRPr="007A43AE">
        <w:rPr>
          <w:rFonts w:cs="FrankRuehl"/>
          <w:szCs w:val="26"/>
          <w:rtl/>
        </w:rPr>
        <w:t xml:space="preserve"> רימון הלם אשר בסמוך מאוד להחזקתו</w:t>
      </w:r>
      <w:r w:rsidRPr="007A43AE">
        <w:rPr>
          <w:rFonts w:cs="FrankRuehl" w:hint="cs"/>
          <w:szCs w:val="26"/>
          <w:rtl/>
        </w:rPr>
        <w:t xml:space="preserve">, </w:t>
      </w:r>
      <w:r w:rsidRPr="007A43AE">
        <w:rPr>
          <w:rFonts w:cs="FrankRuehl"/>
          <w:szCs w:val="26"/>
          <w:rtl/>
        </w:rPr>
        <w:t>הושלך לעבר מרפסת בית</w:t>
      </w:r>
      <w:r w:rsidRPr="007A43AE">
        <w:rPr>
          <w:rFonts w:cs="FrankRuehl" w:hint="cs"/>
          <w:szCs w:val="26"/>
          <w:rtl/>
        </w:rPr>
        <w:t xml:space="preserve"> המתלונן, </w:t>
      </w:r>
      <w:r w:rsidRPr="007A43AE">
        <w:rPr>
          <w:rFonts w:cs="FrankRuehl"/>
          <w:szCs w:val="26"/>
          <w:rtl/>
        </w:rPr>
        <w:t>התפוצץ</w:t>
      </w:r>
      <w:r w:rsidRPr="007A43AE">
        <w:rPr>
          <w:rFonts w:cs="FrankRuehl" w:hint="cs"/>
          <w:szCs w:val="26"/>
          <w:rtl/>
        </w:rPr>
        <w:t xml:space="preserve"> והשמיע קול נפץ עז.</w:t>
      </w:r>
      <w:r w:rsidRPr="007A43AE">
        <w:rPr>
          <w:rFonts w:cs="FrankRuehl"/>
          <w:szCs w:val="26"/>
          <w:rtl/>
        </w:rPr>
        <w:t xml:space="preserve"> </w:t>
      </w:r>
    </w:p>
    <w:p w14:paraId="2336868B" w14:textId="77777777" w:rsidR="00C41FEC" w:rsidRPr="007A43AE" w:rsidRDefault="00C41FEC" w:rsidP="007A43AE">
      <w:pPr>
        <w:pBdr>
          <w:top w:val="single" w:sz="4" w:space="1" w:color="auto"/>
          <w:bottom w:val="single" w:sz="4" w:space="1" w:color="auto"/>
        </w:pBdr>
        <w:spacing w:after="120" w:line="320" w:lineRule="exact"/>
        <w:jc w:val="both"/>
        <w:rPr>
          <w:rFonts w:cs="FrankRuehl" w:hint="cs"/>
          <w:szCs w:val="26"/>
          <w:rtl/>
        </w:rPr>
      </w:pPr>
      <w:r w:rsidRPr="007A43AE">
        <w:rPr>
          <w:rFonts w:cs="FrankRuehl"/>
          <w:szCs w:val="26"/>
          <w:rtl/>
        </w:rPr>
        <w:t>בית המשפט המחוזי</w:t>
      </w:r>
      <w:r w:rsidRPr="007A43AE">
        <w:rPr>
          <w:rFonts w:cs="FrankRuehl" w:hint="cs"/>
          <w:szCs w:val="26"/>
          <w:rtl/>
        </w:rPr>
        <w:t xml:space="preserve"> גזר את הדין ופסק:</w:t>
      </w:r>
    </w:p>
    <w:p w14:paraId="7DD43E23" w14:textId="77777777" w:rsidR="00C41FEC" w:rsidRPr="007A43AE" w:rsidRDefault="00C41FEC" w:rsidP="007A43AE">
      <w:pPr>
        <w:pBdr>
          <w:top w:val="single" w:sz="4" w:space="1" w:color="auto"/>
          <w:bottom w:val="single" w:sz="4" w:space="1" w:color="auto"/>
        </w:pBdr>
        <w:spacing w:after="120" w:line="320" w:lineRule="exact"/>
        <w:jc w:val="both"/>
        <w:rPr>
          <w:rFonts w:cs="FrankRuehl" w:hint="cs"/>
          <w:szCs w:val="26"/>
          <w:rtl/>
        </w:rPr>
      </w:pPr>
      <w:r w:rsidRPr="007A43AE">
        <w:rPr>
          <w:rFonts w:cs="FrankRuehl" w:hint="eastAsia"/>
          <w:szCs w:val="26"/>
          <w:rtl/>
        </w:rPr>
        <w:t>החוק</w:t>
      </w:r>
      <w:r w:rsidRPr="007A43AE">
        <w:rPr>
          <w:rFonts w:cs="FrankRuehl"/>
          <w:szCs w:val="26"/>
          <w:rtl/>
        </w:rPr>
        <w:t xml:space="preserve"> </w:t>
      </w:r>
      <w:r w:rsidRPr="007A43AE">
        <w:rPr>
          <w:rFonts w:cs="FrankRuehl" w:hint="eastAsia"/>
          <w:szCs w:val="26"/>
          <w:rtl/>
        </w:rPr>
        <w:t>והפסיקה</w:t>
      </w:r>
      <w:r w:rsidRPr="007A43AE">
        <w:rPr>
          <w:rFonts w:cs="FrankRuehl"/>
          <w:szCs w:val="26"/>
          <w:rtl/>
        </w:rPr>
        <w:t xml:space="preserve"> </w:t>
      </w:r>
      <w:r w:rsidRPr="007A43AE">
        <w:rPr>
          <w:rFonts w:cs="FrankRuehl" w:hint="eastAsia"/>
          <w:szCs w:val="26"/>
          <w:rtl/>
        </w:rPr>
        <w:t>יחסו</w:t>
      </w:r>
      <w:r w:rsidRPr="007A43AE">
        <w:rPr>
          <w:rFonts w:cs="FrankRuehl"/>
          <w:szCs w:val="26"/>
          <w:rtl/>
        </w:rPr>
        <w:t xml:space="preserve"> </w:t>
      </w:r>
      <w:r w:rsidRPr="007A43AE">
        <w:rPr>
          <w:rFonts w:cs="FrankRuehl" w:hint="eastAsia"/>
          <w:szCs w:val="26"/>
          <w:rtl/>
        </w:rPr>
        <w:t>לעבירות</w:t>
      </w:r>
      <w:r w:rsidRPr="007A43AE">
        <w:rPr>
          <w:rFonts w:cs="FrankRuehl"/>
          <w:szCs w:val="26"/>
          <w:rtl/>
        </w:rPr>
        <w:t xml:space="preserve"> </w:t>
      </w:r>
      <w:r w:rsidRPr="007A43AE">
        <w:rPr>
          <w:rFonts w:cs="FrankRuehl" w:hint="eastAsia"/>
          <w:szCs w:val="26"/>
          <w:rtl/>
        </w:rPr>
        <w:t>הנשק</w:t>
      </w:r>
      <w:r w:rsidRPr="007A43AE">
        <w:rPr>
          <w:rFonts w:cs="FrankRuehl"/>
          <w:szCs w:val="26"/>
          <w:rtl/>
        </w:rPr>
        <w:t xml:space="preserve"> </w:t>
      </w:r>
      <w:r w:rsidRPr="007A43AE">
        <w:rPr>
          <w:rFonts w:cs="FrankRuehl" w:hint="eastAsia"/>
          <w:szCs w:val="26"/>
          <w:rtl/>
        </w:rPr>
        <w:t>חומרה</w:t>
      </w:r>
      <w:r w:rsidRPr="007A43AE">
        <w:rPr>
          <w:rFonts w:cs="FrankRuehl"/>
          <w:szCs w:val="26"/>
          <w:rtl/>
        </w:rPr>
        <w:t xml:space="preserve"> </w:t>
      </w:r>
      <w:r w:rsidRPr="007A43AE">
        <w:rPr>
          <w:rFonts w:cs="FrankRuehl" w:hint="eastAsia"/>
          <w:szCs w:val="26"/>
          <w:rtl/>
        </w:rPr>
        <w:t>מיוחדת</w:t>
      </w:r>
      <w:r w:rsidRPr="007A43AE">
        <w:rPr>
          <w:rFonts w:cs="FrankRuehl"/>
          <w:szCs w:val="26"/>
          <w:rtl/>
        </w:rPr>
        <w:t xml:space="preserve">, </w:t>
      </w:r>
      <w:r w:rsidRPr="007A43AE">
        <w:rPr>
          <w:rFonts w:cs="FrankRuehl" w:hint="eastAsia"/>
          <w:szCs w:val="26"/>
          <w:rtl/>
        </w:rPr>
        <w:t>נוכח</w:t>
      </w:r>
      <w:r w:rsidRPr="007A43AE">
        <w:rPr>
          <w:rFonts w:cs="FrankRuehl"/>
          <w:szCs w:val="26"/>
          <w:rtl/>
        </w:rPr>
        <w:t xml:space="preserve"> </w:t>
      </w:r>
      <w:r w:rsidRPr="007A43AE">
        <w:rPr>
          <w:rFonts w:cs="FrankRuehl" w:hint="eastAsia"/>
          <w:szCs w:val="26"/>
          <w:rtl/>
        </w:rPr>
        <w:t>ההשלכות</w:t>
      </w:r>
      <w:r w:rsidRPr="007A43AE">
        <w:rPr>
          <w:rFonts w:cs="FrankRuehl"/>
          <w:szCs w:val="26"/>
          <w:rtl/>
        </w:rPr>
        <w:t xml:space="preserve"> </w:t>
      </w:r>
      <w:r w:rsidRPr="007A43AE">
        <w:rPr>
          <w:rFonts w:cs="FrankRuehl" w:hint="eastAsia"/>
          <w:szCs w:val="26"/>
          <w:rtl/>
        </w:rPr>
        <w:t>הרות</w:t>
      </w:r>
      <w:r w:rsidRPr="007A43AE">
        <w:rPr>
          <w:rFonts w:cs="FrankRuehl"/>
          <w:szCs w:val="26"/>
          <w:rtl/>
        </w:rPr>
        <w:t xml:space="preserve"> </w:t>
      </w:r>
      <w:r w:rsidRPr="007A43AE">
        <w:rPr>
          <w:rFonts w:cs="FrankRuehl" w:hint="eastAsia"/>
          <w:szCs w:val="26"/>
          <w:rtl/>
        </w:rPr>
        <w:t>האסון</w:t>
      </w:r>
      <w:r w:rsidRPr="007A43AE">
        <w:rPr>
          <w:rFonts w:cs="FrankRuehl"/>
          <w:szCs w:val="26"/>
          <w:rtl/>
        </w:rPr>
        <w:t xml:space="preserve"> </w:t>
      </w:r>
      <w:r w:rsidRPr="007A43AE">
        <w:rPr>
          <w:rFonts w:cs="FrankRuehl" w:hint="eastAsia"/>
          <w:szCs w:val="26"/>
          <w:rtl/>
        </w:rPr>
        <w:t>ופוטנציאל</w:t>
      </w:r>
      <w:r w:rsidRPr="007A43AE">
        <w:rPr>
          <w:rFonts w:cs="FrankRuehl"/>
          <w:szCs w:val="26"/>
          <w:rtl/>
        </w:rPr>
        <w:t xml:space="preserve"> </w:t>
      </w:r>
      <w:r w:rsidRPr="007A43AE">
        <w:rPr>
          <w:rFonts w:cs="FrankRuehl" w:hint="eastAsia"/>
          <w:szCs w:val="26"/>
          <w:rtl/>
        </w:rPr>
        <w:t>הסיכון</w:t>
      </w:r>
      <w:r w:rsidRPr="007A43AE">
        <w:rPr>
          <w:rFonts w:cs="FrankRuehl"/>
          <w:szCs w:val="26"/>
          <w:rtl/>
        </w:rPr>
        <w:t xml:space="preserve"> </w:t>
      </w:r>
      <w:r w:rsidRPr="007A43AE">
        <w:rPr>
          <w:rFonts w:cs="FrankRuehl" w:hint="eastAsia"/>
          <w:szCs w:val="26"/>
          <w:rtl/>
        </w:rPr>
        <w:t>הרב</w:t>
      </w:r>
      <w:r w:rsidRPr="007A43AE">
        <w:rPr>
          <w:rFonts w:cs="FrankRuehl"/>
          <w:szCs w:val="26"/>
          <w:rtl/>
        </w:rPr>
        <w:t xml:space="preserve"> </w:t>
      </w:r>
      <w:r w:rsidRPr="007A43AE">
        <w:rPr>
          <w:rFonts w:cs="FrankRuehl" w:hint="eastAsia"/>
          <w:szCs w:val="26"/>
          <w:rtl/>
        </w:rPr>
        <w:t>הגלום</w:t>
      </w:r>
      <w:r w:rsidRPr="007A43AE">
        <w:rPr>
          <w:rFonts w:cs="FrankRuehl"/>
          <w:szCs w:val="26"/>
          <w:rtl/>
        </w:rPr>
        <w:t xml:space="preserve"> </w:t>
      </w:r>
      <w:r w:rsidRPr="007A43AE">
        <w:rPr>
          <w:rFonts w:cs="FrankRuehl" w:hint="eastAsia"/>
          <w:szCs w:val="26"/>
          <w:rtl/>
        </w:rPr>
        <w:t>בהן</w:t>
      </w:r>
      <w:r w:rsidRPr="007A43AE">
        <w:rPr>
          <w:rFonts w:cs="FrankRuehl"/>
          <w:szCs w:val="26"/>
          <w:rtl/>
        </w:rPr>
        <w:t xml:space="preserve">. </w:t>
      </w:r>
      <w:r w:rsidRPr="007A43AE">
        <w:rPr>
          <w:rFonts w:cs="FrankRuehl" w:hint="eastAsia"/>
          <w:szCs w:val="26"/>
          <w:rtl/>
        </w:rPr>
        <w:t>נפסק</w:t>
      </w:r>
      <w:r w:rsidRPr="007A43AE">
        <w:rPr>
          <w:rFonts w:cs="FrankRuehl"/>
          <w:szCs w:val="26"/>
          <w:rtl/>
        </w:rPr>
        <w:t xml:space="preserve"> </w:t>
      </w:r>
      <w:r w:rsidRPr="007A43AE">
        <w:rPr>
          <w:rFonts w:cs="FrankRuehl" w:hint="eastAsia"/>
          <w:szCs w:val="26"/>
          <w:rtl/>
        </w:rPr>
        <w:t>כי</w:t>
      </w:r>
      <w:r w:rsidRPr="007A43AE">
        <w:rPr>
          <w:rFonts w:cs="FrankRuehl"/>
          <w:szCs w:val="26"/>
          <w:rtl/>
        </w:rPr>
        <w:t xml:space="preserve"> </w:t>
      </w:r>
      <w:r w:rsidRPr="007A43AE">
        <w:rPr>
          <w:rFonts w:cs="FrankRuehl" w:hint="eastAsia"/>
          <w:szCs w:val="26"/>
          <w:rtl/>
        </w:rPr>
        <w:t>זמינותו</w:t>
      </w:r>
      <w:r w:rsidRPr="007A43AE">
        <w:rPr>
          <w:rFonts w:cs="FrankRuehl"/>
          <w:szCs w:val="26"/>
          <w:rtl/>
        </w:rPr>
        <w:t xml:space="preserve"> </w:t>
      </w:r>
      <w:r w:rsidRPr="007A43AE">
        <w:rPr>
          <w:rFonts w:cs="FrankRuehl" w:hint="eastAsia"/>
          <w:szCs w:val="26"/>
          <w:rtl/>
        </w:rPr>
        <w:t>של</w:t>
      </w:r>
      <w:r w:rsidRPr="007A43AE">
        <w:rPr>
          <w:rFonts w:cs="FrankRuehl"/>
          <w:szCs w:val="26"/>
          <w:rtl/>
        </w:rPr>
        <w:t xml:space="preserve"> </w:t>
      </w:r>
      <w:r w:rsidRPr="007A43AE">
        <w:rPr>
          <w:rFonts w:cs="FrankRuehl" w:hint="eastAsia"/>
          <w:szCs w:val="26"/>
          <w:rtl/>
        </w:rPr>
        <w:t>נשק</w:t>
      </w:r>
      <w:r w:rsidRPr="007A43AE">
        <w:rPr>
          <w:rFonts w:cs="FrankRuehl"/>
          <w:szCs w:val="26"/>
          <w:rtl/>
        </w:rPr>
        <w:t xml:space="preserve"> </w:t>
      </w:r>
      <w:r w:rsidRPr="007A43AE">
        <w:rPr>
          <w:rFonts w:cs="FrankRuehl" w:hint="eastAsia"/>
          <w:szCs w:val="26"/>
          <w:rtl/>
        </w:rPr>
        <w:t>חם</w:t>
      </w:r>
      <w:r w:rsidRPr="007A43AE">
        <w:rPr>
          <w:rFonts w:cs="FrankRuehl"/>
          <w:szCs w:val="26"/>
          <w:rtl/>
        </w:rPr>
        <w:t xml:space="preserve"> </w:t>
      </w:r>
      <w:r w:rsidRPr="007A43AE">
        <w:rPr>
          <w:rFonts w:cs="FrankRuehl" w:hint="eastAsia"/>
          <w:szCs w:val="26"/>
          <w:rtl/>
        </w:rPr>
        <w:t>ורב</w:t>
      </w:r>
      <w:r w:rsidRPr="007A43AE">
        <w:rPr>
          <w:rFonts w:cs="FrankRuehl"/>
          <w:szCs w:val="26"/>
          <w:rtl/>
        </w:rPr>
        <w:t xml:space="preserve"> </w:t>
      </w:r>
      <w:r w:rsidRPr="007A43AE">
        <w:rPr>
          <w:rFonts w:cs="FrankRuehl" w:hint="eastAsia"/>
          <w:szCs w:val="26"/>
          <w:rtl/>
        </w:rPr>
        <w:t>עוצמה</w:t>
      </w:r>
      <w:r w:rsidRPr="007A43AE">
        <w:rPr>
          <w:rFonts w:cs="FrankRuehl"/>
          <w:szCs w:val="26"/>
          <w:rtl/>
        </w:rPr>
        <w:t xml:space="preserve"> </w:t>
      </w:r>
      <w:r w:rsidRPr="007A43AE">
        <w:rPr>
          <w:rFonts w:cs="FrankRuehl" w:hint="eastAsia"/>
          <w:szCs w:val="26"/>
          <w:rtl/>
        </w:rPr>
        <w:t>בעל</w:t>
      </w:r>
      <w:r w:rsidRPr="007A43AE">
        <w:rPr>
          <w:rFonts w:cs="FrankRuehl"/>
          <w:szCs w:val="26"/>
          <w:rtl/>
        </w:rPr>
        <w:t xml:space="preserve"> </w:t>
      </w:r>
      <w:r w:rsidRPr="007A43AE">
        <w:rPr>
          <w:rFonts w:cs="FrankRuehl" w:hint="eastAsia"/>
          <w:szCs w:val="26"/>
          <w:rtl/>
        </w:rPr>
        <w:t>פוטנציאל</w:t>
      </w:r>
      <w:r w:rsidRPr="007A43AE">
        <w:rPr>
          <w:rFonts w:cs="FrankRuehl"/>
          <w:szCs w:val="26"/>
          <w:rtl/>
        </w:rPr>
        <w:t xml:space="preserve"> </w:t>
      </w:r>
      <w:r w:rsidRPr="007A43AE">
        <w:rPr>
          <w:rFonts w:cs="FrankRuehl" w:hint="eastAsia"/>
          <w:szCs w:val="26"/>
          <w:rtl/>
        </w:rPr>
        <w:t>להסלמה</w:t>
      </w:r>
      <w:r w:rsidRPr="007A43AE">
        <w:rPr>
          <w:rFonts w:cs="FrankRuehl"/>
          <w:szCs w:val="26"/>
          <w:rtl/>
        </w:rPr>
        <w:t xml:space="preserve"> </w:t>
      </w:r>
      <w:r w:rsidRPr="007A43AE">
        <w:rPr>
          <w:rFonts w:cs="FrankRuehl" w:hint="eastAsia"/>
          <w:szCs w:val="26"/>
          <w:rtl/>
        </w:rPr>
        <w:t>בעבירות</w:t>
      </w:r>
      <w:r w:rsidRPr="007A43AE">
        <w:rPr>
          <w:rFonts w:cs="FrankRuehl"/>
          <w:szCs w:val="26"/>
          <w:rtl/>
        </w:rPr>
        <w:t xml:space="preserve"> </w:t>
      </w:r>
      <w:r w:rsidRPr="007A43AE">
        <w:rPr>
          <w:rFonts w:cs="FrankRuehl" w:hint="eastAsia"/>
          <w:szCs w:val="26"/>
          <w:rtl/>
        </w:rPr>
        <w:t>אלימות</w:t>
      </w:r>
      <w:r w:rsidRPr="007A43AE">
        <w:rPr>
          <w:rFonts w:cs="FrankRuehl"/>
          <w:szCs w:val="26"/>
          <w:rtl/>
        </w:rPr>
        <w:t xml:space="preserve"> </w:t>
      </w:r>
      <w:r w:rsidRPr="007A43AE">
        <w:rPr>
          <w:rFonts w:cs="FrankRuehl" w:hint="eastAsia"/>
          <w:szCs w:val="26"/>
          <w:rtl/>
        </w:rPr>
        <w:t>מסוגים</w:t>
      </w:r>
      <w:r w:rsidRPr="007A43AE">
        <w:rPr>
          <w:rFonts w:cs="FrankRuehl"/>
          <w:szCs w:val="26"/>
          <w:rtl/>
        </w:rPr>
        <w:t xml:space="preserve"> </w:t>
      </w:r>
      <w:r w:rsidRPr="007A43AE">
        <w:rPr>
          <w:rFonts w:cs="FrankRuehl" w:hint="eastAsia"/>
          <w:szCs w:val="26"/>
          <w:rtl/>
        </w:rPr>
        <w:t>שונים</w:t>
      </w:r>
      <w:r w:rsidRPr="007A43AE">
        <w:rPr>
          <w:rFonts w:cs="FrankRuehl"/>
          <w:szCs w:val="26"/>
          <w:rtl/>
        </w:rPr>
        <w:t xml:space="preserve">, </w:t>
      </w:r>
      <w:r w:rsidRPr="007A43AE">
        <w:rPr>
          <w:rFonts w:cs="FrankRuehl" w:hint="eastAsia"/>
          <w:szCs w:val="26"/>
          <w:rtl/>
        </w:rPr>
        <w:t>מחייבת</w:t>
      </w:r>
      <w:r w:rsidRPr="007A43AE">
        <w:rPr>
          <w:rFonts w:cs="FrankRuehl"/>
          <w:szCs w:val="26"/>
          <w:rtl/>
        </w:rPr>
        <w:t xml:space="preserve"> </w:t>
      </w:r>
      <w:r w:rsidRPr="007A43AE">
        <w:rPr>
          <w:rFonts w:cs="FrankRuehl" w:hint="eastAsia"/>
          <w:szCs w:val="26"/>
          <w:rtl/>
        </w:rPr>
        <w:t>מתן</w:t>
      </w:r>
      <w:r w:rsidRPr="007A43AE">
        <w:rPr>
          <w:rFonts w:cs="FrankRuehl"/>
          <w:szCs w:val="26"/>
          <w:rtl/>
        </w:rPr>
        <w:t xml:space="preserve"> </w:t>
      </w:r>
      <w:r w:rsidRPr="007A43AE">
        <w:rPr>
          <w:rFonts w:cs="FrankRuehl" w:hint="eastAsia"/>
          <w:szCs w:val="26"/>
          <w:rtl/>
        </w:rPr>
        <w:t>ביטוי</w:t>
      </w:r>
      <w:r w:rsidRPr="007A43AE">
        <w:rPr>
          <w:rFonts w:cs="FrankRuehl"/>
          <w:szCs w:val="26"/>
          <w:rtl/>
        </w:rPr>
        <w:t xml:space="preserve"> </w:t>
      </w:r>
      <w:r w:rsidRPr="007A43AE">
        <w:rPr>
          <w:rFonts w:cs="FrankRuehl" w:hint="eastAsia"/>
          <w:szCs w:val="26"/>
          <w:rtl/>
        </w:rPr>
        <w:t>עונשי</w:t>
      </w:r>
      <w:r w:rsidRPr="007A43AE">
        <w:rPr>
          <w:rFonts w:cs="FrankRuehl"/>
          <w:szCs w:val="26"/>
          <w:rtl/>
        </w:rPr>
        <w:t xml:space="preserve"> </w:t>
      </w:r>
      <w:r w:rsidRPr="007A43AE">
        <w:rPr>
          <w:rFonts w:cs="FrankRuehl" w:hint="eastAsia"/>
          <w:szCs w:val="26"/>
          <w:rtl/>
        </w:rPr>
        <w:t>הולם</w:t>
      </w:r>
      <w:r w:rsidRPr="007A43AE">
        <w:rPr>
          <w:rFonts w:cs="FrankRuehl"/>
          <w:szCs w:val="26"/>
          <w:rtl/>
        </w:rPr>
        <w:t xml:space="preserve"> </w:t>
      </w:r>
      <w:r w:rsidRPr="007A43AE">
        <w:rPr>
          <w:rFonts w:cs="FrankRuehl" w:hint="eastAsia"/>
          <w:szCs w:val="26"/>
          <w:rtl/>
        </w:rPr>
        <w:t>והחמרה</w:t>
      </w:r>
      <w:r w:rsidRPr="007A43AE">
        <w:rPr>
          <w:rFonts w:cs="FrankRuehl"/>
          <w:szCs w:val="26"/>
          <w:rtl/>
        </w:rPr>
        <w:t xml:space="preserve"> </w:t>
      </w:r>
      <w:r w:rsidRPr="007A43AE">
        <w:rPr>
          <w:rFonts w:cs="FrankRuehl" w:hint="eastAsia"/>
          <w:szCs w:val="26"/>
          <w:rtl/>
        </w:rPr>
        <w:t>ברמת</w:t>
      </w:r>
      <w:r w:rsidRPr="007A43AE">
        <w:rPr>
          <w:rFonts w:cs="FrankRuehl"/>
          <w:szCs w:val="26"/>
          <w:rtl/>
        </w:rPr>
        <w:t xml:space="preserve"> </w:t>
      </w:r>
      <w:r w:rsidRPr="007A43AE">
        <w:rPr>
          <w:rFonts w:cs="FrankRuehl" w:hint="eastAsia"/>
          <w:szCs w:val="26"/>
          <w:rtl/>
        </w:rPr>
        <w:t>הענישה</w:t>
      </w:r>
      <w:r w:rsidRPr="007A43AE">
        <w:rPr>
          <w:rFonts w:cs="FrankRuehl"/>
          <w:szCs w:val="26"/>
          <w:rtl/>
        </w:rPr>
        <w:t xml:space="preserve">. </w:t>
      </w:r>
      <w:r w:rsidRPr="007A43AE">
        <w:rPr>
          <w:rFonts w:cs="FrankRuehl" w:hint="cs"/>
          <w:szCs w:val="26"/>
          <w:rtl/>
        </w:rPr>
        <w:t>אמנם</w:t>
      </w:r>
      <w:r w:rsidRPr="007A43AE">
        <w:rPr>
          <w:rFonts w:cs="FrankRuehl"/>
          <w:szCs w:val="26"/>
          <w:rtl/>
        </w:rPr>
        <w:t xml:space="preserve"> </w:t>
      </w:r>
      <w:r w:rsidRPr="007A43AE">
        <w:rPr>
          <w:rFonts w:cs="FrankRuehl" w:hint="eastAsia"/>
          <w:szCs w:val="26"/>
          <w:rtl/>
        </w:rPr>
        <w:t>הפסיקה</w:t>
      </w:r>
      <w:r w:rsidRPr="007A43AE">
        <w:rPr>
          <w:rFonts w:cs="FrankRuehl"/>
          <w:szCs w:val="26"/>
          <w:rtl/>
        </w:rPr>
        <w:t xml:space="preserve"> </w:t>
      </w:r>
      <w:r w:rsidRPr="007A43AE">
        <w:rPr>
          <w:rFonts w:cs="FrankRuehl" w:hint="eastAsia"/>
          <w:szCs w:val="26"/>
          <w:rtl/>
        </w:rPr>
        <w:t>ריככה</w:t>
      </w:r>
      <w:r w:rsidRPr="007A43AE">
        <w:rPr>
          <w:rFonts w:cs="FrankRuehl"/>
          <w:szCs w:val="26"/>
          <w:rtl/>
        </w:rPr>
        <w:t xml:space="preserve"> </w:t>
      </w:r>
      <w:r w:rsidRPr="007A43AE">
        <w:rPr>
          <w:rFonts w:cs="FrankRuehl" w:hint="eastAsia"/>
          <w:szCs w:val="26"/>
          <w:rtl/>
        </w:rPr>
        <w:t>מעט</w:t>
      </w:r>
      <w:r w:rsidRPr="007A43AE">
        <w:rPr>
          <w:rFonts w:cs="FrankRuehl"/>
          <w:szCs w:val="26"/>
          <w:rtl/>
        </w:rPr>
        <w:t xml:space="preserve"> </w:t>
      </w:r>
      <w:r w:rsidRPr="007A43AE">
        <w:rPr>
          <w:rFonts w:cs="FrankRuehl" w:hint="eastAsia"/>
          <w:szCs w:val="26"/>
          <w:rtl/>
        </w:rPr>
        <w:t>את</w:t>
      </w:r>
      <w:r w:rsidRPr="007A43AE">
        <w:rPr>
          <w:rFonts w:cs="FrankRuehl"/>
          <w:szCs w:val="26"/>
          <w:rtl/>
        </w:rPr>
        <w:t xml:space="preserve"> </w:t>
      </w:r>
      <w:r w:rsidRPr="007A43AE">
        <w:rPr>
          <w:rFonts w:cs="FrankRuehl" w:hint="eastAsia"/>
          <w:szCs w:val="26"/>
          <w:rtl/>
        </w:rPr>
        <w:t>עמדתה</w:t>
      </w:r>
      <w:r w:rsidRPr="007A43AE">
        <w:rPr>
          <w:rFonts w:cs="FrankRuehl" w:hint="cs"/>
          <w:szCs w:val="26"/>
          <w:rtl/>
        </w:rPr>
        <w:t xml:space="preserve"> בעניין </w:t>
      </w:r>
      <w:r w:rsidRPr="007A43AE">
        <w:rPr>
          <w:rFonts w:cs="FrankRuehl" w:hint="eastAsia"/>
          <w:szCs w:val="26"/>
          <w:rtl/>
        </w:rPr>
        <w:t>רימון</w:t>
      </w:r>
      <w:r w:rsidRPr="007A43AE">
        <w:rPr>
          <w:rFonts w:cs="FrankRuehl"/>
          <w:szCs w:val="26"/>
          <w:rtl/>
        </w:rPr>
        <w:t xml:space="preserve"> </w:t>
      </w:r>
      <w:r w:rsidRPr="007A43AE">
        <w:rPr>
          <w:rFonts w:cs="FrankRuehl" w:hint="eastAsia"/>
          <w:szCs w:val="26"/>
          <w:rtl/>
        </w:rPr>
        <w:t>הלם</w:t>
      </w:r>
      <w:r w:rsidRPr="007A43AE">
        <w:rPr>
          <w:rFonts w:cs="FrankRuehl"/>
          <w:szCs w:val="26"/>
          <w:rtl/>
        </w:rPr>
        <w:t xml:space="preserve">, </w:t>
      </w:r>
      <w:r w:rsidRPr="007A43AE">
        <w:rPr>
          <w:rFonts w:cs="FrankRuehl" w:hint="eastAsia"/>
          <w:szCs w:val="26"/>
          <w:rtl/>
        </w:rPr>
        <w:t>אך</w:t>
      </w:r>
      <w:r w:rsidRPr="007A43AE">
        <w:rPr>
          <w:rFonts w:cs="FrankRuehl"/>
          <w:szCs w:val="26"/>
          <w:rtl/>
        </w:rPr>
        <w:t xml:space="preserve"> </w:t>
      </w:r>
      <w:r w:rsidRPr="007A43AE">
        <w:rPr>
          <w:rFonts w:cs="FrankRuehl" w:hint="eastAsia"/>
          <w:szCs w:val="26"/>
          <w:rtl/>
        </w:rPr>
        <w:t>יש</w:t>
      </w:r>
      <w:r w:rsidRPr="007A43AE">
        <w:rPr>
          <w:rFonts w:cs="FrankRuehl"/>
          <w:szCs w:val="26"/>
          <w:rtl/>
        </w:rPr>
        <w:t xml:space="preserve"> </w:t>
      </w:r>
      <w:r w:rsidRPr="007A43AE">
        <w:rPr>
          <w:rFonts w:cs="FrankRuehl" w:hint="eastAsia"/>
          <w:szCs w:val="26"/>
          <w:rtl/>
        </w:rPr>
        <w:t>לזכור</w:t>
      </w:r>
      <w:r w:rsidRPr="007A43AE">
        <w:rPr>
          <w:rFonts w:cs="FrankRuehl"/>
          <w:szCs w:val="26"/>
          <w:rtl/>
        </w:rPr>
        <w:t xml:space="preserve"> </w:t>
      </w:r>
      <w:r w:rsidRPr="007A43AE">
        <w:rPr>
          <w:rFonts w:cs="FrankRuehl" w:hint="eastAsia"/>
          <w:szCs w:val="26"/>
          <w:rtl/>
        </w:rPr>
        <w:t>כי</w:t>
      </w:r>
      <w:r w:rsidRPr="007A43AE">
        <w:rPr>
          <w:rFonts w:cs="FrankRuehl"/>
          <w:szCs w:val="26"/>
          <w:rtl/>
        </w:rPr>
        <w:t xml:space="preserve"> </w:t>
      </w:r>
      <w:r w:rsidRPr="007A43AE">
        <w:rPr>
          <w:rFonts w:cs="FrankRuehl" w:hint="eastAsia"/>
          <w:szCs w:val="26"/>
          <w:rtl/>
        </w:rPr>
        <w:t>קרבתו</w:t>
      </w:r>
      <w:r w:rsidRPr="007A43AE">
        <w:rPr>
          <w:rFonts w:cs="FrankRuehl"/>
          <w:szCs w:val="26"/>
          <w:rtl/>
        </w:rPr>
        <w:t xml:space="preserve"> </w:t>
      </w:r>
      <w:r w:rsidRPr="007A43AE">
        <w:rPr>
          <w:rFonts w:cs="FrankRuehl" w:hint="eastAsia"/>
          <w:szCs w:val="26"/>
          <w:rtl/>
        </w:rPr>
        <w:t>של</w:t>
      </w:r>
      <w:r w:rsidRPr="007A43AE">
        <w:rPr>
          <w:rFonts w:cs="FrankRuehl"/>
          <w:szCs w:val="26"/>
          <w:rtl/>
        </w:rPr>
        <w:t xml:space="preserve"> </w:t>
      </w:r>
      <w:r w:rsidRPr="007A43AE">
        <w:rPr>
          <w:rFonts w:cs="FrankRuehl" w:hint="eastAsia"/>
          <w:szCs w:val="26"/>
          <w:rtl/>
        </w:rPr>
        <w:t>אדם</w:t>
      </w:r>
      <w:r w:rsidRPr="007A43AE">
        <w:rPr>
          <w:rFonts w:cs="FrankRuehl"/>
          <w:szCs w:val="26"/>
          <w:rtl/>
        </w:rPr>
        <w:t xml:space="preserve"> </w:t>
      </w:r>
      <w:r w:rsidRPr="007A43AE">
        <w:rPr>
          <w:rFonts w:cs="FrankRuehl" w:hint="eastAsia"/>
          <w:szCs w:val="26"/>
          <w:rtl/>
        </w:rPr>
        <w:t>לרימון</w:t>
      </w:r>
      <w:r w:rsidRPr="007A43AE">
        <w:rPr>
          <w:rFonts w:cs="FrankRuehl"/>
          <w:szCs w:val="26"/>
          <w:rtl/>
        </w:rPr>
        <w:t xml:space="preserve"> </w:t>
      </w:r>
      <w:r w:rsidRPr="007A43AE">
        <w:rPr>
          <w:rFonts w:cs="FrankRuehl" w:hint="eastAsia"/>
          <w:szCs w:val="26"/>
          <w:rtl/>
        </w:rPr>
        <w:t>הלם</w:t>
      </w:r>
      <w:r w:rsidRPr="007A43AE">
        <w:rPr>
          <w:rFonts w:cs="FrankRuehl"/>
          <w:szCs w:val="26"/>
          <w:rtl/>
        </w:rPr>
        <w:t xml:space="preserve"> </w:t>
      </w:r>
      <w:r w:rsidRPr="007A43AE">
        <w:rPr>
          <w:rFonts w:cs="FrankRuehl" w:hint="eastAsia"/>
          <w:szCs w:val="26"/>
          <w:rtl/>
        </w:rPr>
        <w:t>שהתפוצץ</w:t>
      </w:r>
      <w:r w:rsidRPr="007A43AE">
        <w:rPr>
          <w:rFonts w:cs="FrankRuehl"/>
          <w:szCs w:val="26"/>
          <w:rtl/>
        </w:rPr>
        <w:t xml:space="preserve"> </w:t>
      </w:r>
      <w:r w:rsidRPr="007A43AE">
        <w:rPr>
          <w:rFonts w:cs="FrankRuehl" w:hint="eastAsia"/>
          <w:szCs w:val="26"/>
          <w:rtl/>
        </w:rPr>
        <w:t>עלולה</w:t>
      </w:r>
      <w:r w:rsidRPr="007A43AE">
        <w:rPr>
          <w:rFonts w:cs="FrankRuehl"/>
          <w:szCs w:val="26"/>
          <w:rtl/>
        </w:rPr>
        <w:t xml:space="preserve"> </w:t>
      </w:r>
      <w:r w:rsidRPr="007A43AE">
        <w:rPr>
          <w:rFonts w:cs="FrankRuehl" w:hint="eastAsia"/>
          <w:szCs w:val="26"/>
          <w:rtl/>
        </w:rPr>
        <w:t>לגרום</w:t>
      </w:r>
      <w:r w:rsidRPr="007A43AE">
        <w:rPr>
          <w:rFonts w:cs="FrankRuehl"/>
          <w:szCs w:val="26"/>
          <w:rtl/>
        </w:rPr>
        <w:t xml:space="preserve"> </w:t>
      </w:r>
      <w:r w:rsidRPr="007A43AE">
        <w:rPr>
          <w:rFonts w:cs="FrankRuehl" w:hint="eastAsia"/>
          <w:szCs w:val="26"/>
          <w:rtl/>
        </w:rPr>
        <w:t>לו</w:t>
      </w:r>
      <w:r w:rsidRPr="007A43AE">
        <w:rPr>
          <w:rFonts w:cs="FrankRuehl"/>
          <w:szCs w:val="26"/>
          <w:rtl/>
        </w:rPr>
        <w:t xml:space="preserve"> </w:t>
      </w:r>
      <w:r w:rsidRPr="007A43AE">
        <w:rPr>
          <w:rFonts w:cs="FrankRuehl" w:hint="eastAsia"/>
          <w:szCs w:val="26"/>
          <w:rtl/>
        </w:rPr>
        <w:t>פציעה</w:t>
      </w:r>
      <w:r w:rsidRPr="007A43AE">
        <w:rPr>
          <w:rFonts w:cs="FrankRuehl"/>
          <w:szCs w:val="26"/>
          <w:rtl/>
        </w:rPr>
        <w:t xml:space="preserve"> </w:t>
      </w:r>
      <w:r w:rsidRPr="007A43AE">
        <w:rPr>
          <w:rFonts w:cs="FrankRuehl" w:hint="eastAsia"/>
          <w:szCs w:val="26"/>
          <w:rtl/>
        </w:rPr>
        <w:t>קשה</w:t>
      </w:r>
      <w:r w:rsidRPr="007A43AE">
        <w:rPr>
          <w:rFonts w:cs="FrankRuehl"/>
          <w:szCs w:val="26"/>
          <w:rtl/>
        </w:rPr>
        <w:t>.</w:t>
      </w:r>
      <w:r w:rsidR="007A43AE">
        <w:rPr>
          <w:rFonts w:cs="FrankRuehl"/>
          <w:szCs w:val="26"/>
          <w:rtl/>
        </w:rPr>
        <w:t xml:space="preserve"> </w:t>
      </w:r>
      <w:r w:rsidRPr="007A43AE">
        <w:rPr>
          <w:rFonts w:cs="FrankRuehl" w:hint="cs"/>
          <w:szCs w:val="26"/>
          <w:rtl/>
        </w:rPr>
        <w:t xml:space="preserve">במקרה דנן, מתחם העונש ההולם עומד </w:t>
      </w:r>
      <w:r w:rsidRPr="007A43AE">
        <w:rPr>
          <w:rFonts w:cs="FrankRuehl"/>
          <w:szCs w:val="26"/>
          <w:rtl/>
        </w:rPr>
        <w:t>של</w:t>
      </w:r>
      <w:r w:rsidR="007A43AE">
        <w:rPr>
          <w:rFonts w:cs="FrankRuehl"/>
          <w:szCs w:val="26"/>
          <w:rtl/>
        </w:rPr>
        <w:t xml:space="preserve"> </w:t>
      </w:r>
      <w:r w:rsidRPr="007A43AE">
        <w:rPr>
          <w:rFonts w:cs="FrankRuehl"/>
          <w:szCs w:val="26"/>
          <w:rtl/>
        </w:rPr>
        <w:t xml:space="preserve">8 - 20 חודשי מאסר בפועל. </w:t>
      </w:r>
      <w:r w:rsidRPr="007A43AE">
        <w:rPr>
          <w:rFonts w:cs="FrankRuehl" w:hint="cs"/>
          <w:szCs w:val="26"/>
          <w:rtl/>
        </w:rPr>
        <w:t xml:space="preserve">במכלול השיקולים והנסיבות, הוטלו על הנאשם 9 </w:t>
      </w:r>
      <w:r w:rsidRPr="007A43AE">
        <w:rPr>
          <w:rFonts w:cs="FrankRuehl"/>
          <w:szCs w:val="26"/>
          <w:rtl/>
        </w:rPr>
        <w:t>חודשי מאסר בפועל</w:t>
      </w:r>
      <w:r w:rsidRPr="007A43AE">
        <w:rPr>
          <w:rFonts w:cs="FrankRuehl" w:hint="cs"/>
          <w:szCs w:val="26"/>
          <w:rtl/>
        </w:rPr>
        <w:t xml:space="preserve"> ו-</w:t>
      </w:r>
      <w:r w:rsidRPr="007A43AE">
        <w:rPr>
          <w:rFonts w:cs="FrankRuehl"/>
          <w:szCs w:val="26"/>
          <w:rtl/>
        </w:rPr>
        <w:t xml:space="preserve"> </w:t>
      </w:r>
      <w:r w:rsidRPr="007A43AE">
        <w:rPr>
          <w:rFonts w:cs="FrankRuehl" w:hint="cs"/>
          <w:szCs w:val="26"/>
          <w:rtl/>
        </w:rPr>
        <w:t xml:space="preserve">15 חודשי </w:t>
      </w:r>
      <w:r w:rsidRPr="007A43AE">
        <w:rPr>
          <w:rFonts w:cs="FrankRuehl"/>
          <w:szCs w:val="26"/>
          <w:rtl/>
        </w:rPr>
        <w:t>מאסר על תנאי</w:t>
      </w:r>
      <w:r w:rsidRPr="007A43AE">
        <w:rPr>
          <w:rFonts w:cs="FrankRuehl" w:hint="cs"/>
          <w:szCs w:val="26"/>
          <w:rtl/>
        </w:rPr>
        <w:t xml:space="preserve"> </w:t>
      </w:r>
      <w:r w:rsidRPr="007A43AE">
        <w:rPr>
          <w:rFonts w:cs="FrankRuehl"/>
          <w:szCs w:val="26"/>
          <w:rtl/>
        </w:rPr>
        <w:t xml:space="preserve">. </w:t>
      </w:r>
    </w:p>
    <w:p w14:paraId="5260B508" w14:textId="77777777" w:rsidR="00C41FEC" w:rsidRPr="007E70D8" w:rsidRDefault="00C41FEC" w:rsidP="007E70D8">
      <w:pPr>
        <w:spacing w:after="120" w:line="240" w:lineRule="exact"/>
        <w:ind w:left="283" w:hanging="283"/>
        <w:jc w:val="both"/>
        <w:rPr>
          <w:rFonts w:ascii="FrankRuehl" w:hAnsi="FrankRuehl" w:cs="FrankRuehl" w:hint="cs"/>
          <w:rtl/>
        </w:rPr>
      </w:pPr>
      <w:bookmarkStart w:id="6" w:name="ABSTRACT_END"/>
      <w:bookmarkEnd w:id="6"/>
    </w:p>
    <w:p w14:paraId="630DD888" w14:textId="77777777" w:rsidR="007E70D8" w:rsidRPr="00310790" w:rsidRDefault="007E70D8" w:rsidP="00310790">
      <w:pPr>
        <w:spacing w:line="360" w:lineRule="auto"/>
        <w:jc w:val="center"/>
        <w:rPr>
          <w:rFonts w:ascii="Arial" w:hAnsi="Arial"/>
          <w:b/>
          <w:bCs/>
          <w:sz w:val="32"/>
          <w:szCs w:val="32"/>
          <w:u w:val="single"/>
          <w:rtl/>
        </w:rPr>
      </w:pPr>
      <w:r w:rsidRPr="00310790">
        <w:rPr>
          <w:rFonts w:ascii="Arial" w:hAnsi="Arial"/>
          <w:b/>
          <w:bCs/>
          <w:sz w:val="32"/>
          <w:szCs w:val="32"/>
          <w:u w:val="single"/>
          <w:rtl/>
        </w:rPr>
        <w:t>גזר דין</w:t>
      </w:r>
    </w:p>
    <w:bookmarkEnd w:id="0"/>
    <w:bookmarkEnd w:id="4"/>
    <w:p w14:paraId="2538D770" w14:textId="77777777" w:rsidR="00127892" w:rsidRDefault="00310790">
      <w:pPr>
        <w:spacing w:line="360" w:lineRule="auto"/>
        <w:ind w:left="720" w:hanging="720"/>
        <w:jc w:val="both"/>
        <w:rPr>
          <w:rtl/>
        </w:rPr>
      </w:pPr>
      <w:r>
        <w:rPr>
          <w:b/>
          <w:bCs/>
          <w:rtl/>
        </w:rPr>
        <w:t>1</w:t>
      </w:r>
      <w:r>
        <w:rPr>
          <w:rtl/>
        </w:rPr>
        <w:t>.</w:t>
      </w:r>
      <w:r>
        <w:rPr>
          <w:rtl/>
        </w:rPr>
        <w:tab/>
        <w:t xml:space="preserve">הנאשם, יליד 83', הורשע במסגרת הסדר בכתב אישום אשר תוקן, בעבירות בנשק – לפי </w:t>
      </w:r>
      <w:hyperlink r:id="rId10" w:history="1">
        <w:r w:rsidR="007E70D8" w:rsidRPr="007E70D8">
          <w:rPr>
            <w:rStyle w:val="Hyperlink"/>
            <w:rtl/>
          </w:rPr>
          <w:t>סעיף 144 (א)</w:t>
        </w:r>
      </w:hyperlink>
      <w:r>
        <w:rPr>
          <w:rtl/>
        </w:rPr>
        <w:t xml:space="preserve"> ל</w:t>
      </w:r>
      <w:hyperlink r:id="rId11" w:history="1">
        <w:r w:rsidRPr="00310790">
          <w:rPr>
            <w:color w:val="0000FF"/>
            <w:u w:val="single"/>
            <w:rtl/>
          </w:rPr>
          <w:t>חוק העונשין</w:t>
        </w:r>
      </w:hyperlink>
      <w:r>
        <w:rPr>
          <w:rtl/>
        </w:rPr>
        <w:t>, התשל"ז-1977 (להלן: חוק העונשין).</w:t>
      </w:r>
    </w:p>
    <w:p w14:paraId="10ADAB19" w14:textId="77777777" w:rsidR="00127892" w:rsidRDefault="00127892">
      <w:pPr>
        <w:spacing w:line="360" w:lineRule="auto"/>
        <w:ind w:left="720"/>
        <w:jc w:val="both"/>
        <w:rPr>
          <w:b/>
          <w:bCs/>
          <w:u w:val="single"/>
          <w:rtl/>
        </w:rPr>
      </w:pPr>
    </w:p>
    <w:p w14:paraId="71899587" w14:textId="77777777" w:rsidR="00127892" w:rsidRDefault="00310790">
      <w:pPr>
        <w:spacing w:line="360" w:lineRule="auto"/>
        <w:ind w:left="720"/>
        <w:jc w:val="both"/>
        <w:rPr>
          <w:b/>
          <w:bCs/>
          <w:u w:val="single"/>
          <w:rtl/>
        </w:rPr>
      </w:pPr>
      <w:r>
        <w:rPr>
          <w:b/>
          <w:bCs/>
          <w:u w:val="single"/>
          <w:rtl/>
        </w:rPr>
        <w:t xml:space="preserve">עובדות כתב האישום המתוקן. </w:t>
      </w:r>
    </w:p>
    <w:p w14:paraId="463A45C4" w14:textId="77777777" w:rsidR="00127892" w:rsidRDefault="00310790">
      <w:pPr>
        <w:spacing w:line="360" w:lineRule="auto"/>
        <w:ind w:left="720" w:hanging="720"/>
        <w:jc w:val="both"/>
        <w:rPr>
          <w:rtl/>
        </w:rPr>
      </w:pPr>
      <w:r>
        <w:rPr>
          <w:b/>
          <w:bCs/>
          <w:rtl/>
        </w:rPr>
        <w:t>2</w:t>
      </w:r>
      <w:r>
        <w:rPr>
          <w:rtl/>
        </w:rPr>
        <w:t>.</w:t>
      </w:r>
      <w:r>
        <w:rPr>
          <w:rtl/>
        </w:rPr>
        <w:tab/>
        <w:t xml:space="preserve">בתאריך 29/5/14 בשעה 02:45 בלילה (להלן: מועד האירוע), הגיע הנאשם סמוך לבית ד"ר אמון חסן בדיר אל אסד (להלן: המתלונן והבית, בהתאמה), כשהוא מחזיק רימון יד הלם/סינוור </w:t>
      </w:r>
      <w:r>
        <w:t>M7290</w:t>
      </w:r>
      <w:r>
        <w:rPr>
          <w:rtl/>
        </w:rPr>
        <w:t xml:space="preserve"> בצבע שחור עם פס כתוב המקיף אותו, שמספרו </w:t>
      </w:r>
      <w:r>
        <w:t>E386201</w:t>
      </w:r>
      <w:r>
        <w:rPr>
          <w:rtl/>
        </w:rPr>
        <w:t xml:space="preserve"> (להלן: </w:t>
      </w:r>
      <w:r>
        <w:rPr>
          <w:rtl/>
        </w:rPr>
        <w:lastRenderedPageBreak/>
        <w:t xml:space="preserve">הרימון). בכוחו של הרימון היה להזיק לאדם ולגרום לו פגיעה גופנית בעת פעולתו, בכפוף לקרבה של אותו אדם למוקד פעולת הרימון. במועד האירוע הושלך הרימון לעבר מרפסת ביתו של המתלונן, לאחר שהנצרה שוחררה. כתוצאה מכך נחת הרימון במרפסת והתפוצץ תוך גרימת קול נפץ עז, שהעיר את המתלונן ושכנו משנתם. </w:t>
      </w:r>
    </w:p>
    <w:p w14:paraId="4493556E" w14:textId="77777777" w:rsidR="00127892" w:rsidRDefault="00310790">
      <w:pPr>
        <w:spacing w:line="360" w:lineRule="auto"/>
        <w:ind w:left="720"/>
        <w:jc w:val="both"/>
        <w:rPr>
          <w:rtl/>
        </w:rPr>
      </w:pPr>
      <w:r>
        <w:rPr>
          <w:rtl/>
        </w:rPr>
        <w:t>במעשיו כאמור לעיל, החזיק הנאשם נשק בלא רשות על פי דין.</w:t>
      </w:r>
    </w:p>
    <w:p w14:paraId="63414602" w14:textId="77777777" w:rsidR="00127892" w:rsidRDefault="00127892">
      <w:pPr>
        <w:spacing w:line="360" w:lineRule="auto"/>
        <w:jc w:val="both"/>
        <w:rPr>
          <w:b/>
          <w:bCs/>
          <w:u w:val="single"/>
          <w:rtl/>
        </w:rPr>
      </w:pPr>
    </w:p>
    <w:p w14:paraId="5A27ADE4" w14:textId="77777777" w:rsidR="00127892" w:rsidRDefault="00310790">
      <w:pPr>
        <w:spacing w:line="360" w:lineRule="auto"/>
        <w:rPr>
          <w:b/>
          <w:bCs/>
          <w:u w:val="single"/>
          <w:rtl/>
        </w:rPr>
      </w:pPr>
      <w:r>
        <w:rPr>
          <w:b/>
          <w:bCs/>
          <w:rtl/>
        </w:rPr>
        <w:t>3</w:t>
      </w:r>
      <w:r>
        <w:rPr>
          <w:rtl/>
        </w:rPr>
        <w:t>.</w:t>
      </w:r>
      <w:r>
        <w:rPr>
          <w:rtl/>
        </w:rPr>
        <w:tab/>
      </w:r>
      <w:r>
        <w:rPr>
          <w:b/>
          <w:bCs/>
          <w:u w:val="single"/>
          <w:rtl/>
        </w:rPr>
        <w:t xml:space="preserve">טיעוני המאשימה </w:t>
      </w:r>
    </w:p>
    <w:p w14:paraId="3F46E4A3" w14:textId="77777777" w:rsidR="00127892" w:rsidRDefault="00310790">
      <w:pPr>
        <w:spacing w:line="360" w:lineRule="auto"/>
        <w:ind w:left="720"/>
        <w:jc w:val="both"/>
        <w:rPr>
          <w:rtl/>
        </w:rPr>
      </w:pPr>
      <w:r>
        <w:rPr>
          <w:rtl/>
        </w:rPr>
        <w:t xml:space="preserve">המאשימה עתרה להשית על הנאשם מאסר בפועל הנמצא ברף הבינוני הגבוה של מתחם הענישה, אותו העמידה על טווח של עשרה לעשרים חודשי מאסר וכן מאסר מותנה. </w:t>
      </w:r>
    </w:p>
    <w:p w14:paraId="1DBE0EC5" w14:textId="77777777" w:rsidR="00127892" w:rsidRDefault="00127892">
      <w:pPr>
        <w:spacing w:line="360" w:lineRule="auto"/>
        <w:ind w:left="720"/>
        <w:jc w:val="both"/>
        <w:rPr>
          <w:rtl/>
        </w:rPr>
      </w:pPr>
    </w:p>
    <w:p w14:paraId="1F494EF8" w14:textId="77777777" w:rsidR="00127892" w:rsidRDefault="00310790">
      <w:pPr>
        <w:spacing w:line="360" w:lineRule="auto"/>
        <w:ind w:left="720"/>
        <w:jc w:val="both"/>
        <w:rPr>
          <w:rtl/>
        </w:rPr>
      </w:pPr>
      <w:r>
        <w:rPr>
          <w:b/>
          <w:bCs/>
          <w:rtl/>
        </w:rPr>
        <w:t>א.</w:t>
      </w:r>
      <w:r>
        <w:rPr>
          <w:rtl/>
        </w:rPr>
        <w:t xml:space="preserve"> ב"כ המאשימה פירט את העובדות המפורטות בכתב האישום המתוקן, וציין כי הנאשם עצור מיום 12/10/14 עד תום ההליכים. הוא הפנה לגליון הרשעות קודמות של הנאשם (ת/1), המלמד כי הנאשם הורשע ביום 13/1/08 בהנחת חומר נפיץ או נוזל שלא כדין, לפי </w:t>
      </w:r>
      <w:hyperlink r:id="rId12" w:history="1">
        <w:r w:rsidR="007E70D8" w:rsidRPr="007E70D8">
          <w:rPr>
            <w:rStyle w:val="Hyperlink"/>
            <w:rtl/>
          </w:rPr>
          <w:t>סעיף 329(5)</w:t>
        </w:r>
      </w:hyperlink>
      <w:r>
        <w:rPr>
          <w:rtl/>
        </w:rPr>
        <w:t xml:space="preserve"> ל</w:t>
      </w:r>
      <w:hyperlink r:id="rId13" w:history="1">
        <w:r w:rsidRPr="00310790">
          <w:rPr>
            <w:color w:val="0000FF"/>
            <w:u w:val="single"/>
            <w:rtl/>
          </w:rPr>
          <w:t>חוק העונשין</w:t>
        </w:r>
      </w:hyperlink>
      <w:r>
        <w:rPr>
          <w:rtl/>
        </w:rPr>
        <w:t xml:space="preserve">, עבירה אותה ביצע בספטמבר 07', ונדון למאסר בפועל לתקופה של שמונה חודשים, מאסר על תנאי וקנס. </w:t>
      </w:r>
    </w:p>
    <w:p w14:paraId="5A674ACC" w14:textId="77777777" w:rsidR="00127892" w:rsidRDefault="00310790">
      <w:pPr>
        <w:spacing w:line="360" w:lineRule="auto"/>
        <w:ind w:left="720"/>
        <w:jc w:val="both"/>
        <w:rPr>
          <w:rtl/>
        </w:rPr>
      </w:pPr>
      <w:r>
        <w:rPr>
          <w:rtl/>
        </w:rPr>
        <w:t xml:space="preserve">הוא הדגיש כי העונש המרבי הנו 7 שנות מאסר, אך הוא עותר כאמור למתחם ענישה הנע בין עשרה לעשרים חודשי מאסר וכן מאסר מותנה. השיקולים הצריכים למתחם הם הערך החברתי הנפגע בעבירה זו, זכות האדם על גופו ושלום הציבור, זכויות אשר נפגעו מהחזקתו של נשק בלתי חוקי, לרבות החזקה של רימון הלם, שיש בו כדי לפגוע בגופו של אדם, אם הוא קרוב לרימון בשעת הפעלתו. </w:t>
      </w:r>
    </w:p>
    <w:p w14:paraId="47AD519F" w14:textId="77777777" w:rsidR="00127892" w:rsidRDefault="00127892">
      <w:pPr>
        <w:spacing w:line="360" w:lineRule="auto"/>
        <w:ind w:left="720"/>
        <w:jc w:val="both"/>
        <w:rPr>
          <w:rtl/>
        </w:rPr>
      </w:pPr>
    </w:p>
    <w:p w14:paraId="5F210E9C" w14:textId="77777777" w:rsidR="00127892" w:rsidRDefault="00310790">
      <w:pPr>
        <w:spacing w:line="360" w:lineRule="auto"/>
        <w:ind w:left="720"/>
        <w:jc w:val="both"/>
        <w:rPr>
          <w:rtl/>
        </w:rPr>
      </w:pPr>
      <w:r>
        <w:rPr>
          <w:b/>
          <w:bCs/>
          <w:rtl/>
        </w:rPr>
        <w:t>ב.</w:t>
      </w:r>
      <w:r>
        <w:rPr>
          <w:rtl/>
        </w:rPr>
        <w:t xml:space="preserve"> ב"כ המאשימה ביקש לזקוף לחובת הנאשם את נסיבות ההחזקה של הרימון, בלב אזור מגורים צפוף בשעת לילה מאוחרת, וכן את העובדה שנעשה בו שימוש זמן קצר לאחר מכן, משהושלך לעבר מרפסת בית המתלונן. עוד ציין לחומרא את עברו הפלילי של הנאשם בעבירה דומה לזו שבוצעה בתיק שבפני, בגינה נידון למאסר. </w:t>
      </w:r>
    </w:p>
    <w:p w14:paraId="123A6C50" w14:textId="77777777" w:rsidR="00127892" w:rsidRDefault="00127892">
      <w:pPr>
        <w:spacing w:line="360" w:lineRule="auto"/>
        <w:ind w:left="720"/>
        <w:jc w:val="both"/>
        <w:rPr>
          <w:rtl/>
        </w:rPr>
      </w:pPr>
    </w:p>
    <w:p w14:paraId="6659F348" w14:textId="77777777" w:rsidR="00127892" w:rsidRDefault="00310790">
      <w:pPr>
        <w:spacing w:line="360" w:lineRule="auto"/>
        <w:ind w:left="720"/>
        <w:jc w:val="both"/>
        <w:rPr>
          <w:rtl/>
        </w:rPr>
      </w:pPr>
      <w:r>
        <w:rPr>
          <w:b/>
          <w:bCs/>
          <w:rtl/>
        </w:rPr>
        <w:t>ג.</w:t>
      </w:r>
      <w:r>
        <w:rPr>
          <w:rFonts w:hint="cs"/>
          <w:rtl/>
        </w:rPr>
        <w:t xml:space="preserve"> </w:t>
      </w:r>
      <w:r>
        <w:rPr>
          <w:rtl/>
        </w:rPr>
        <w:t xml:space="preserve">ב"כ המאשימה הפנה לפסיקה התומכת בעמדתו, והדגיש כי במקרה דנן יש לקחת בחשבון את הרשעתו הקודמת של הנאשם בעבירה דומה והעדרם של שיקולי שיקום, כאשר במקרים אחרים ניתנו תסקירים חיוביים והעבר היה נקי. </w:t>
      </w:r>
    </w:p>
    <w:p w14:paraId="23D6F02B" w14:textId="77777777" w:rsidR="00127892" w:rsidRDefault="00127892">
      <w:pPr>
        <w:spacing w:line="360" w:lineRule="auto"/>
        <w:ind w:left="720"/>
        <w:jc w:val="both"/>
        <w:rPr>
          <w:rtl/>
        </w:rPr>
      </w:pPr>
    </w:p>
    <w:p w14:paraId="07C86164" w14:textId="77777777" w:rsidR="00127892" w:rsidRDefault="00310790">
      <w:pPr>
        <w:spacing w:line="360" w:lineRule="auto"/>
        <w:ind w:left="720"/>
        <w:jc w:val="both"/>
        <w:rPr>
          <w:rtl/>
        </w:rPr>
      </w:pPr>
      <w:r>
        <w:rPr>
          <w:b/>
          <w:bCs/>
          <w:rtl/>
        </w:rPr>
        <w:t>ד.</w:t>
      </w:r>
      <w:r>
        <w:rPr>
          <w:rtl/>
        </w:rPr>
        <w:t xml:space="preserve"> לקולא ציין כי הנאשם הודה באישום המיוחס לו, תוך חיסכון בזמן שיפוטי, כי עמדת המתלונן היא סלחנית, הוא היה מעוניין בהסדר, ובסופו של דבר לא נגרם נזק. לפיכך ביקש לגזור עונש ברף הבינוני גבוה של המתחם. </w:t>
      </w:r>
    </w:p>
    <w:p w14:paraId="2D4CDC8C" w14:textId="77777777" w:rsidR="00127892" w:rsidRDefault="00127892">
      <w:pPr>
        <w:spacing w:line="360" w:lineRule="auto"/>
        <w:ind w:left="720"/>
        <w:jc w:val="both"/>
        <w:rPr>
          <w:rtl/>
        </w:rPr>
      </w:pPr>
    </w:p>
    <w:p w14:paraId="78B5A891" w14:textId="77777777" w:rsidR="00127892" w:rsidRDefault="00310790">
      <w:pPr>
        <w:spacing w:line="360" w:lineRule="auto"/>
        <w:rPr>
          <w:rtl/>
        </w:rPr>
      </w:pPr>
      <w:r>
        <w:rPr>
          <w:rtl/>
        </w:rPr>
        <w:tab/>
      </w:r>
      <w:r>
        <w:rPr>
          <w:b/>
          <w:bCs/>
          <w:u w:val="single"/>
          <w:rtl/>
        </w:rPr>
        <w:t xml:space="preserve">טיעוני ההגנה </w:t>
      </w:r>
    </w:p>
    <w:p w14:paraId="6C10CE57" w14:textId="77777777" w:rsidR="00127892" w:rsidRDefault="00310790">
      <w:pPr>
        <w:spacing w:line="360" w:lineRule="auto"/>
        <w:ind w:left="720" w:hanging="720"/>
        <w:jc w:val="both"/>
        <w:rPr>
          <w:rFonts w:ascii="Calibri" w:hAnsi="Calibri"/>
          <w:rtl/>
        </w:rPr>
      </w:pPr>
      <w:r>
        <w:rPr>
          <w:b/>
          <w:bCs/>
          <w:rtl/>
        </w:rPr>
        <w:t>4.</w:t>
      </w:r>
      <w:r>
        <w:rPr>
          <w:b/>
          <w:bCs/>
          <w:rtl/>
        </w:rPr>
        <w:tab/>
      </w:r>
      <w:r>
        <w:rPr>
          <w:rtl/>
        </w:rPr>
        <w:t xml:space="preserve">הסנגור ביקש שלא למצות את הדין עם הנאשם, העצור עד תום ההליכים מיום 12/10/14, וביקש לשחררו ממעצרו מיידית, משטען כי </w:t>
      </w:r>
      <w:r>
        <w:rPr>
          <w:rFonts w:ascii="Calibri" w:hAnsi="Calibri" w:hint="eastAsia"/>
          <w:rtl/>
        </w:rPr>
        <w:t>מתחם</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נע</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שישה</w:t>
      </w:r>
      <w:r>
        <w:rPr>
          <w:rFonts w:ascii="Calibri" w:hAnsi="Calibri"/>
          <w:rtl/>
        </w:rPr>
        <w:t xml:space="preserve"> </w:t>
      </w:r>
      <w:r>
        <w:rPr>
          <w:rFonts w:ascii="Calibri" w:hAnsi="Calibri" w:hint="eastAsia"/>
          <w:rtl/>
        </w:rPr>
        <w:t>חודשים</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לחודש</w:t>
      </w:r>
      <w:r>
        <w:rPr>
          <w:rFonts w:ascii="Calibri" w:hAnsi="Calibri"/>
          <w:rtl/>
        </w:rPr>
        <w:t xml:space="preserve"> </w:t>
      </w:r>
      <w:r>
        <w:rPr>
          <w:rFonts w:ascii="Calibri" w:hAnsi="Calibri" w:hint="eastAsia"/>
          <w:rtl/>
        </w:rPr>
        <w:t>אחד</w:t>
      </w:r>
      <w:r>
        <w:rPr>
          <w:rFonts w:ascii="Calibri" w:hAnsi="Calibri"/>
          <w:rtl/>
        </w:rPr>
        <w:t xml:space="preserve">.  </w:t>
      </w:r>
    </w:p>
    <w:p w14:paraId="5BC8CF9F" w14:textId="77777777" w:rsidR="00127892" w:rsidRDefault="00127892">
      <w:pPr>
        <w:spacing w:line="360" w:lineRule="auto"/>
        <w:ind w:left="720" w:hanging="720"/>
        <w:jc w:val="both"/>
        <w:rPr>
          <w:rtl/>
        </w:rPr>
      </w:pPr>
    </w:p>
    <w:p w14:paraId="41D1F5E1" w14:textId="77777777" w:rsidR="00127892" w:rsidRDefault="00310790">
      <w:pPr>
        <w:spacing w:line="360" w:lineRule="auto"/>
        <w:ind w:left="720"/>
        <w:jc w:val="both"/>
        <w:rPr>
          <w:rtl/>
        </w:rPr>
      </w:pPr>
      <w:r>
        <w:rPr>
          <w:b/>
          <w:bCs/>
          <w:rtl/>
        </w:rPr>
        <w:lastRenderedPageBreak/>
        <w:t>א.</w:t>
      </w:r>
      <w:r>
        <w:rPr>
          <w:rtl/>
        </w:rPr>
        <w:t xml:space="preserve"> הסנגור ציין כי ההגנה אינה מקלה ראש בעבירה דנן, ומודעת לסכנה הטמונה בעבירות נשק, אך ביקש להתחשב לקולא בגזירת עונשו בנסיבות ביצוע העבירה, בנסיבותיו האישיות של הנאשם, בהודייתו בביצוע העבירה ובחרטתו הכנה והאמיתית.</w:t>
      </w:r>
    </w:p>
    <w:p w14:paraId="2ED2A0E4" w14:textId="77777777" w:rsidR="00127892" w:rsidRDefault="00310790">
      <w:pPr>
        <w:spacing w:line="360" w:lineRule="auto"/>
        <w:ind w:left="720"/>
        <w:jc w:val="both"/>
        <w:rPr>
          <w:rtl/>
        </w:rPr>
      </w:pPr>
      <w:r>
        <w:rPr>
          <w:rtl/>
        </w:rPr>
        <w:t>לטענתו, נסיבות העבירה במקרה זה הן ברף הנמוך ביותר, גם מבחינת התוצאה, כאשר למעט רעש לא נגרם נזק כלל.</w:t>
      </w:r>
    </w:p>
    <w:p w14:paraId="617310BC" w14:textId="77777777" w:rsidR="00127892" w:rsidRDefault="00127892">
      <w:pPr>
        <w:spacing w:line="360" w:lineRule="auto"/>
        <w:ind w:firstLine="720"/>
        <w:jc w:val="both"/>
        <w:rPr>
          <w:rtl/>
        </w:rPr>
      </w:pPr>
    </w:p>
    <w:p w14:paraId="1655E832" w14:textId="77777777" w:rsidR="00127892" w:rsidRDefault="00310790">
      <w:pPr>
        <w:spacing w:line="360" w:lineRule="auto"/>
        <w:ind w:left="720"/>
        <w:jc w:val="both"/>
        <w:rPr>
          <w:rtl/>
        </w:rPr>
      </w:pPr>
      <w:r>
        <w:rPr>
          <w:rtl/>
        </w:rPr>
        <w:t xml:space="preserve">לדבריו, היחסים בין המתלונן לנאשם הם יחסי שכנות קרובים, והמתלונן מבקר אצל הורי הנאשם מדי יום ביומו, לא הגיש תלונה נגד הנאשם, ואף אמר כי לא יתכן שהנאשם יזרוק את הרימון לעבר ביתו. אין כל סכסוך בין השניים, ואין סכנה משחרורו וחזרתו לביתו. לדבריו, המתלונן אף רצה להגיע לבית המשפט עם אבי הנאשם כדי לבקש הקלה בדינו. האירוע נשוא האישום קרה ביום 29/5/14 ואילו הנאשם נעצר באוקטובר 14', לאחר שנמצא </w:t>
      </w:r>
      <w:r>
        <w:t>DNA</w:t>
      </w:r>
      <w:r>
        <w:rPr>
          <w:rtl/>
        </w:rPr>
        <w:t xml:space="preserve"> שלו על חלקי הרימון. </w:t>
      </w:r>
    </w:p>
    <w:p w14:paraId="78B98F37" w14:textId="77777777" w:rsidR="00127892" w:rsidRDefault="00127892">
      <w:pPr>
        <w:spacing w:line="360" w:lineRule="auto"/>
        <w:ind w:left="720"/>
        <w:jc w:val="both"/>
        <w:rPr>
          <w:rtl/>
        </w:rPr>
      </w:pPr>
    </w:p>
    <w:p w14:paraId="01B83502" w14:textId="77777777" w:rsidR="00127892" w:rsidRDefault="00310790">
      <w:pPr>
        <w:spacing w:line="360" w:lineRule="auto"/>
        <w:ind w:left="720"/>
        <w:jc w:val="both"/>
        <w:rPr>
          <w:rtl/>
        </w:rPr>
      </w:pPr>
      <w:r>
        <w:rPr>
          <w:b/>
          <w:bCs/>
          <w:rtl/>
        </w:rPr>
        <w:t>ב.</w:t>
      </w:r>
      <w:r>
        <w:rPr>
          <w:rtl/>
        </w:rPr>
        <w:t xml:space="preserve"> אשר לנסיבותיו האישיות של הנאשם, בתקופת מעצרו נולד לו בן, אותו לא ראה, ואשתו מתקשה לנהל את הבית לבדה. הנאשם, שלא חלה עליו חובת גיוס, בשל מגוריו בדיר אל אסד, שירת שלוש שנים במג"ב איו"ש בתקופת הלחימה האמיתית שהיתה שם שהיו אירועים כמעט יום יומיים, סיכן את חייו פעמים רבות, ותפס הרבה מחבלים בתקופת שירותו, למרות שהיה חייל בשירות חובה. לנאשם שני אחים, אחד מ"מ בגבעתי, השני גם הלך לצבא בשירות סדיר. מדובר במשפחה בה האב דאג שבניו ישרתו בצבא ויתרמו למדינה. הוא הדגיש את הנזק הרב שנגרם לנאשם – שעבד בעבר ב</w:t>
      </w:r>
      <w:r>
        <w:rPr>
          <w:rFonts w:ascii="Calibri" w:hAnsi="Calibri" w:hint="eastAsia"/>
          <w:rtl/>
        </w:rPr>
        <w:t>מלצרות</w:t>
      </w:r>
      <w:r>
        <w:rPr>
          <w:rFonts w:ascii="Calibri" w:hAnsi="Calibri"/>
          <w:rtl/>
        </w:rPr>
        <w:t xml:space="preserve"> </w:t>
      </w:r>
      <w:r>
        <w:rPr>
          <w:rFonts w:ascii="Calibri" w:hAnsi="Calibri" w:hint="eastAsia"/>
          <w:rtl/>
        </w:rPr>
        <w:t>וגם</w:t>
      </w:r>
      <w:r>
        <w:rPr>
          <w:rFonts w:ascii="Calibri" w:hAnsi="Calibri"/>
          <w:rtl/>
        </w:rPr>
        <w:t xml:space="preserve"> </w:t>
      </w:r>
      <w:r>
        <w:rPr>
          <w:rFonts w:ascii="Calibri" w:hAnsi="Calibri" w:hint="eastAsia"/>
          <w:rtl/>
        </w:rPr>
        <w:t>במפעל</w:t>
      </w:r>
      <w:r>
        <w:rPr>
          <w:rFonts w:ascii="Calibri" w:hAnsi="Calibri"/>
          <w:rtl/>
        </w:rPr>
        <w:t xml:space="preserve"> </w:t>
      </w:r>
      <w:r>
        <w:rPr>
          <w:rFonts w:ascii="Calibri" w:hAnsi="Calibri" w:hint="eastAsia"/>
          <w:rtl/>
        </w:rPr>
        <w:t>בשר</w:t>
      </w:r>
      <w:r>
        <w:rPr>
          <w:rtl/>
        </w:rPr>
        <w:t xml:space="preserve">, לאשתו - שנאלצה לצאת לשוק העבודה אחרי לידה כדי להתקיים ולהתפרנס, ולבני משפחתו.  </w:t>
      </w:r>
    </w:p>
    <w:p w14:paraId="12D6434E" w14:textId="77777777" w:rsidR="00127892" w:rsidRDefault="00310790">
      <w:pPr>
        <w:spacing w:line="360" w:lineRule="auto"/>
        <w:ind w:left="720"/>
        <w:jc w:val="both"/>
        <w:rPr>
          <w:u w:val="single"/>
          <w:rtl/>
        </w:rPr>
      </w:pPr>
      <w:r>
        <w:rPr>
          <w:rtl/>
        </w:rPr>
        <w:t xml:space="preserve">נוכח כל אלה, טען הסנגור כי די בתקופת המעצר שהנאשם ריצה עד כה. </w:t>
      </w:r>
    </w:p>
    <w:p w14:paraId="40E0B5F2" w14:textId="77777777" w:rsidR="00127892" w:rsidRDefault="00127892">
      <w:pPr>
        <w:spacing w:line="360" w:lineRule="auto"/>
        <w:ind w:left="720"/>
        <w:jc w:val="both"/>
        <w:rPr>
          <w:rtl/>
        </w:rPr>
      </w:pPr>
    </w:p>
    <w:p w14:paraId="07B0CEA6" w14:textId="77777777" w:rsidR="00127892" w:rsidRDefault="00310790">
      <w:pPr>
        <w:spacing w:line="360" w:lineRule="auto"/>
        <w:ind w:left="720"/>
        <w:jc w:val="both"/>
        <w:rPr>
          <w:rtl/>
        </w:rPr>
      </w:pPr>
      <w:r>
        <w:rPr>
          <w:b/>
          <w:bCs/>
          <w:rtl/>
        </w:rPr>
        <w:t>ג.</w:t>
      </w:r>
      <w:r>
        <w:rPr>
          <w:rtl/>
        </w:rPr>
        <w:t xml:space="preserve"> לטענתו, הנסיבות המצויינות בפסקי הדין אליהם הפנה ב"כ המאשימה אינן דומות למקרה של הנאשם, מפני שהנסיבות והתוצאה היו חמורות יותר. משכך, המתחם אליו מפנה ב"כ המאשימה הוא גבוה, ואין בו התייחסות לנסיבות העבירה ועושה העבירה.</w:t>
      </w:r>
    </w:p>
    <w:p w14:paraId="24F45F98" w14:textId="77777777" w:rsidR="00127892" w:rsidRDefault="00310790">
      <w:pPr>
        <w:spacing w:line="360" w:lineRule="auto"/>
        <w:ind w:left="720"/>
        <w:jc w:val="both"/>
        <w:rPr>
          <w:rtl/>
        </w:rPr>
      </w:pPr>
      <w:r>
        <w:rPr>
          <w:rtl/>
        </w:rPr>
        <w:t xml:space="preserve">הסנגור הפנה לגזרי דין בעבירות חמורות מזו בה הורשע הנאשם, לרבות בעבירות נוספות, שם נגזרו על הנאשמים שישה חודשי מאסר לריצוי בעבודות שירות. </w:t>
      </w:r>
    </w:p>
    <w:p w14:paraId="4E0400EA" w14:textId="77777777" w:rsidR="00127892" w:rsidRDefault="00127892">
      <w:pPr>
        <w:spacing w:line="360" w:lineRule="auto"/>
        <w:jc w:val="both"/>
        <w:rPr>
          <w:highlight w:val="yellow"/>
          <w:rtl/>
        </w:rPr>
      </w:pPr>
    </w:p>
    <w:p w14:paraId="0AA401C7" w14:textId="77777777" w:rsidR="00127892" w:rsidRDefault="00310790">
      <w:pPr>
        <w:spacing w:line="360" w:lineRule="auto"/>
        <w:ind w:left="720"/>
        <w:jc w:val="both"/>
        <w:rPr>
          <w:rtl/>
        </w:rPr>
      </w:pPr>
      <w:r>
        <w:rPr>
          <w:b/>
          <w:bCs/>
          <w:rtl/>
        </w:rPr>
        <w:t>ד.</w:t>
      </w:r>
      <w:r>
        <w:rPr>
          <w:rtl/>
        </w:rPr>
        <w:t xml:space="preserve"> הוא הדגיש כי מעצר עד תום ההליכים קשה לנשיאה יותר ממאסר, מקל וחומר מאסר לריצוי בעבודות שירות, ומששוהה הנאשם במעצר משך ארבעה חודשים, ראוי להסתפק בכך. לטענתו, אילו נוהל התיק כאשר  הנאשם היה משוחרר, היתה סבירות גבוהה לסיום התיק בעבודות שירות. כן ציין כי שליחתו אל מאחורי סורג ובריח עלולה לחבר אותו גורמים אחרים היכולים להסיתו למקומות שלא ישרתו את האינטרס הציבורי. לטענתו, הסיבה שלא נתבקש תסקיר של שירות המבחן, היא חלוף הזמן שיעבור עד לקבלתו. </w:t>
      </w:r>
    </w:p>
    <w:p w14:paraId="50E4F0EE" w14:textId="77777777" w:rsidR="00127892" w:rsidRDefault="00127892">
      <w:pPr>
        <w:spacing w:line="360" w:lineRule="auto"/>
        <w:jc w:val="both"/>
        <w:rPr>
          <w:rtl/>
        </w:rPr>
      </w:pPr>
    </w:p>
    <w:p w14:paraId="79FBB8CB" w14:textId="77777777" w:rsidR="00127892" w:rsidRDefault="00310790">
      <w:pPr>
        <w:spacing w:line="360" w:lineRule="auto"/>
        <w:ind w:left="720"/>
        <w:jc w:val="both"/>
        <w:rPr>
          <w:rtl/>
        </w:rPr>
      </w:pPr>
      <w:r>
        <w:rPr>
          <w:b/>
          <w:bCs/>
          <w:rtl/>
        </w:rPr>
        <w:t>ה.</w:t>
      </w:r>
      <w:r>
        <w:rPr>
          <w:rtl/>
        </w:rPr>
        <w:t xml:space="preserve"> לגבי הרשעתו הקודמת של הנאשם ביקש לציין את הזמן הרב שחלף מהעבירה הקודמת ועד היום, המלמדת כי אין מדובר באדם שדרכו עבריינית, ויש להעדיף את השיקול השיקומי, המאפשר סטיה ממתחם הענישה. </w:t>
      </w:r>
    </w:p>
    <w:p w14:paraId="48ED37E2" w14:textId="77777777" w:rsidR="00127892" w:rsidRDefault="00310790">
      <w:pPr>
        <w:spacing w:line="360" w:lineRule="auto"/>
        <w:ind w:left="720"/>
        <w:jc w:val="both"/>
        <w:rPr>
          <w:rtl/>
        </w:rPr>
      </w:pPr>
      <w:r>
        <w:rPr>
          <w:rtl/>
        </w:rPr>
        <w:t>לכן, מכל הסיבות שציין ביקש לתת לנאשם הזדמנות, לשחררו, לאפשר לו להשתקם, לחזור לחיק המשפחה ולעבודתו, תוך הטלה של מאסר מותנה ארוך הצופה פני עתיד.</w:t>
      </w:r>
    </w:p>
    <w:p w14:paraId="4F85C7EB" w14:textId="77777777" w:rsidR="00127892" w:rsidRDefault="00127892">
      <w:pPr>
        <w:spacing w:line="360" w:lineRule="auto"/>
        <w:jc w:val="both"/>
        <w:rPr>
          <w:rtl/>
        </w:rPr>
      </w:pPr>
    </w:p>
    <w:p w14:paraId="5A537503" w14:textId="77777777" w:rsidR="00127892" w:rsidRDefault="00310790">
      <w:pPr>
        <w:spacing w:line="360" w:lineRule="auto"/>
        <w:jc w:val="both"/>
        <w:rPr>
          <w:rFonts w:ascii="Calibri" w:hAnsi="Calibri"/>
          <w:rtl/>
        </w:rPr>
      </w:pPr>
      <w:r>
        <w:rPr>
          <w:rFonts w:ascii="Calibri" w:hAnsi="Calibri"/>
          <w:b/>
          <w:bCs/>
          <w:rtl/>
        </w:rPr>
        <w:t>5.</w:t>
      </w:r>
      <w:r>
        <w:rPr>
          <w:rFonts w:ascii="Calibri" w:hAnsi="Calibri"/>
          <w:b/>
          <w:bCs/>
          <w:rtl/>
        </w:rPr>
        <w:tab/>
      </w:r>
      <w:r>
        <w:rPr>
          <w:rFonts w:ascii="Calibri" w:hAnsi="Calibri" w:hint="eastAsia"/>
          <w:b/>
          <w:bCs/>
          <w:u w:val="single"/>
          <w:rtl/>
        </w:rPr>
        <w:t>דברי</w:t>
      </w:r>
      <w:r>
        <w:rPr>
          <w:rFonts w:ascii="Calibri" w:hAnsi="Calibri"/>
          <w:b/>
          <w:bCs/>
          <w:u w:val="single"/>
          <w:rtl/>
        </w:rPr>
        <w:t xml:space="preserve"> </w:t>
      </w:r>
      <w:r>
        <w:rPr>
          <w:rFonts w:ascii="Calibri" w:hAnsi="Calibri" w:hint="eastAsia"/>
          <w:b/>
          <w:bCs/>
          <w:u w:val="single"/>
          <w:rtl/>
        </w:rPr>
        <w:t>הנאשם</w:t>
      </w:r>
      <w:r>
        <w:rPr>
          <w:rFonts w:ascii="Calibri" w:hAnsi="Calibri"/>
          <w:rtl/>
        </w:rPr>
        <w:t xml:space="preserve">. </w:t>
      </w:r>
    </w:p>
    <w:p w14:paraId="4EBCCA7B" w14:textId="77777777" w:rsidR="00127892" w:rsidRDefault="00310790">
      <w:pPr>
        <w:spacing w:line="360" w:lineRule="auto"/>
        <w:ind w:left="720"/>
        <w:jc w:val="both"/>
        <w:rPr>
          <w:b/>
          <w:bCs/>
          <w:rtl/>
        </w:rPr>
      </w:pPr>
      <w:r>
        <w:rPr>
          <w:rtl/>
        </w:rPr>
        <w:t>"</w:t>
      </w:r>
      <w:r>
        <w:rPr>
          <w:b/>
          <w:bCs/>
          <w:rtl/>
        </w:rPr>
        <w:t xml:space="preserve">אני מבקש להשתחרר. מה אני מבקש? הד"ר הזה שאתם מדברים עליו, אני גם מתבייש לעבור לידו שאנשים אומרים שאני עשיתי אצלו משהו. הוא שכן שלי בית מול בית". </w:t>
      </w:r>
    </w:p>
    <w:p w14:paraId="3BB0BB15" w14:textId="77777777" w:rsidR="00127892" w:rsidRDefault="00127892">
      <w:pPr>
        <w:spacing w:line="360" w:lineRule="auto"/>
        <w:ind w:left="720"/>
        <w:jc w:val="both"/>
        <w:rPr>
          <w:rFonts w:ascii="Calibri" w:hAnsi="Calibri"/>
          <w:rtl/>
        </w:rPr>
      </w:pPr>
    </w:p>
    <w:p w14:paraId="0605EBC6" w14:textId="77777777" w:rsidR="00127892" w:rsidRDefault="00310790">
      <w:pPr>
        <w:spacing w:line="360" w:lineRule="auto"/>
        <w:ind w:left="720"/>
        <w:jc w:val="both"/>
        <w:rPr>
          <w:rFonts w:ascii="Calibri" w:hAnsi="Calibri"/>
          <w:rtl/>
        </w:rPr>
      </w:pPr>
      <w:r>
        <w:rPr>
          <w:rFonts w:ascii="Calibri" w:hAnsi="Calibri" w:hint="eastAsia"/>
          <w:b/>
          <w:bCs/>
          <w:u w:val="single"/>
          <w:rtl/>
        </w:rPr>
        <w:t>דיון</w:t>
      </w:r>
      <w:r>
        <w:rPr>
          <w:rFonts w:ascii="Calibri" w:hAnsi="Calibri"/>
          <w:b/>
          <w:bCs/>
          <w:u w:val="single"/>
          <w:rtl/>
        </w:rPr>
        <w:t xml:space="preserve"> </w:t>
      </w:r>
    </w:p>
    <w:p w14:paraId="2C32C7EC" w14:textId="77777777" w:rsidR="00127892" w:rsidRDefault="00310790">
      <w:pPr>
        <w:spacing w:line="360" w:lineRule="auto"/>
        <w:ind w:left="720" w:hanging="720"/>
        <w:jc w:val="both"/>
        <w:rPr>
          <w:rFonts w:ascii="Calibri" w:hAnsi="Calibri"/>
        </w:rPr>
      </w:pPr>
      <w:r>
        <w:rPr>
          <w:b/>
          <w:bCs/>
          <w:rtl/>
        </w:rPr>
        <w:t>6.</w:t>
      </w:r>
      <w:r>
        <w:rPr>
          <w:rtl/>
        </w:rPr>
        <w:tab/>
        <w:t xml:space="preserve">הנאשם הורשע על סמך הודאתו בהסדר בכתב אישום מתוקן בהחזקת  רימון הלם, כאשר הרימון הושלך סמוך לאחר מכן למרפסת ביתו של המתלונן, התפוצץ והשמיע קול נפץ עז.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מייחס</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השלכת</w:t>
      </w:r>
      <w:r>
        <w:rPr>
          <w:rFonts w:ascii="Calibri" w:hAnsi="Calibri"/>
          <w:rtl/>
        </w:rPr>
        <w:t xml:space="preserve"> </w:t>
      </w:r>
      <w:r>
        <w:rPr>
          <w:rFonts w:ascii="Calibri" w:hAnsi="Calibri" w:hint="eastAsia"/>
          <w:rtl/>
        </w:rPr>
        <w:t>הרימון</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להסיק</w:t>
      </w:r>
      <w:r>
        <w:rPr>
          <w:rFonts w:ascii="Calibri" w:hAnsi="Calibri"/>
          <w:rtl/>
        </w:rPr>
        <w:t xml:space="preserve"> </w:t>
      </w:r>
      <w:r>
        <w:rPr>
          <w:rFonts w:ascii="Calibri" w:hAnsi="Calibri" w:hint="eastAsia"/>
          <w:rtl/>
        </w:rPr>
        <w:t>מהעובדה</w:t>
      </w:r>
      <w:r>
        <w:rPr>
          <w:rFonts w:ascii="Calibri" w:hAnsi="Calibri"/>
          <w:rtl/>
        </w:rPr>
        <w:t xml:space="preserve"> </w:t>
      </w:r>
      <w:r>
        <w:rPr>
          <w:rFonts w:ascii="Calibri" w:hAnsi="Calibri" w:hint="eastAsia"/>
          <w:rtl/>
        </w:rPr>
        <w:t>שמיד</w:t>
      </w:r>
      <w:r>
        <w:rPr>
          <w:rFonts w:ascii="Calibri" w:hAnsi="Calibri"/>
          <w:rtl/>
        </w:rPr>
        <w:t xml:space="preserve"> </w:t>
      </w:r>
      <w:r>
        <w:rPr>
          <w:rFonts w:ascii="Calibri" w:hAnsi="Calibri" w:hint="eastAsia"/>
          <w:rtl/>
        </w:rPr>
        <w:t>שהרימון</w:t>
      </w:r>
      <w:r>
        <w:rPr>
          <w:rFonts w:ascii="Calibri" w:hAnsi="Calibri"/>
          <w:rtl/>
        </w:rPr>
        <w:t xml:space="preserve"> </w:t>
      </w:r>
      <w:r>
        <w:rPr>
          <w:rFonts w:ascii="Calibri" w:hAnsi="Calibri" w:hint="eastAsia"/>
          <w:rtl/>
        </w:rPr>
        <w:t>הושלך</w:t>
      </w:r>
      <w:r>
        <w:rPr>
          <w:rFonts w:ascii="Calibri" w:hAnsi="Calibri"/>
          <w:rtl/>
        </w:rPr>
        <w:t xml:space="preserve"> </w:t>
      </w:r>
      <w:r>
        <w:rPr>
          <w:rFonts w:ascii="Calibri" w:hAnsi="Calibri" w:hint="eastAsia"/>
          <w:rtl/>
        </w:rPr>
        <w:t>והתפוצץ</w:t>
      </w:r>
      <w:r>
        <w:rPr>
          <w:rFonts w:ascii="Calibri" w:hAnsi="Calibri"/>
          <w:rtl/>
        </w:rPr>
        <w:t xml:space="preserve"> </w:t>
      </w:r>
      <w:r>
        <w:rPr>
          <w:rFonts w:ascii="Calibri" w:hAnsi="Calibri" w:hint="eastAsia"/>
          <w:rtl/>
        </w:rPr>
        <w:t>סמוך</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החזיק</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שלמצער</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שמר</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מפני</w:t>
      </w:r>
      <w:r>
        <w:rPr>
          <w:rFonts w:ascii="Calibri" w:hAnsi="Calibri"/>
          <w:rtl/>
        </w:rPr>
        <w:t xml:space="preserve"> </w:t>
      </w:r>
      <w:r>
        <w:rPr>
          <w:rFonts w:ascii="Calibri" w:hAnsi="Calibri" w:hint="eastAsia"/>
          <w:rtl/>
        </w:rPr>
        <w:t>שימוש</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לרעה</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למזלו</w:t>
      </w:r>
      <w:r>
        <w:rPr>
          <w:rFonts w:ascii="Calibri" w:hAnsi="Calibri"/>
          <w:rtl/>
        </w:rPr>
        <w:t xml:space="preserve"> </w:t>
      </w:r>
      <w:r>
        <w:rPr>
          <w:rFonts w:ascii="Calibri" w:hAnsi="Calibri" w:hint="eastAsia"/>
          <w:rtl/>
        </w:rPr>
        <w:t>הטוב</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איש</w:t>
      </w:r>
      <w:r>
        <w:rPr>
          <w:rFonts w:ascii="Calibri" w:hAnsi="Calibri"/>
          <w:rtl/>
        </w:rPr>
        <w:t xml:space="preserve"> </w:t>
      </w:r>
      <w:r>
        <w:rPr>
          <w:rFonts w:ascii="Calibri" w:hAnsi="Calibri" w:hint="eastAsia"/>
          <w:rtl/>
        </w:rPr>
        <w:t>במרפסת</w:t>
      </w:r>
      <w:r>
        <w:rPr>
          <w:rFonts w:ascii="Calibri" w:hAnsi="Calibri"/>
          <w:rtl/>
        </w:rPr>
        <w:t xml:space="preserve"> </w:t>
      </w:r>
      <w:r>
        <w:rPr>
          <w:rFonts w:ascii="Calibri" w:hAnsi="Calibri" w:hint="eastAsia"/>
          <w:rtl/>
        </w:rPr>
        <w:t>השכן</w:t>
      </w:r>
      <w:r>
        <w:rPr>
          <w:rFonts w:ascii="Calibri" w:hAnsi="Calibri"/>
          <w:rtl/>
        </w:rPr>
        <w:t xml:space="preserve"> </w:t>
      </w:r>
      <w:r>
        <w:rPr>
          <w:rFonts w:ascii="Calibri" w:hAnsi="Calibri" w:hint="eastAsia"/>
          <w:rtl/>
        </w:rPr>
        <w:t>עת</w:t>
      </w:r>
      <w:r>
        <w:rPr>
          <w:rFonts w:ascii="Calibri" w:hAnsi="Calibri"/>
          <w:rtl/>
        </w:rPr>
        <w:t xml:space="preserve"> </w:t>
      </w:r>
      <w:r>
        <w:rPr>
          <w:rFonts w:ascii="Calibri" w:hAnsi="Calibri" w:hint="eastAsia"/>
          <w:rtl/>
        </w:rPr>
        <w:t>נחת</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הרימון</w:t>
      </w:r>
      <w:r>
        <w:rPr>
          <w:rFonts w:ascii="Calibri" w:hAnsi="Calibri"/>
          <w:rtl/>
        </w:rPr>
        <w:t xml:space="preserve"> </w:t>
      </w:r>
      <w:r>
        <w:rPr>
          <w:rFonts w:ascii="Calibri" w:hAnsi="Calibri" w:hint="eastAsia"/>
          <w:rtl/>
        </w:rPr>
        <w:t>והתפוצץ</w:t>
      </w:r>
      <w:r>
        <w:rPr>
          <w:rFonts w:ascii="Calibri" w:hAnsi="Calibri"/>
          <w:rtl/>
        </w:rPr>
        <w:t xml:space="preserve">. </w:t>
      </w:r>
    </w:p>
    <w:p w14:paraId="332C7D08" w14:textId="77777777" w:rsidR="00127892" w:rsidRDefault="00310790">
      <w:pPr>
        <w:spacing w:line="360" w:lineRule="auto"/>
        <w:ind w:left="720"/>
        <w:jc w:val="both"/>
        <w:rPr>
          <w:rtl/>
        </w:rPr>
      </w:pPr>
      <w:r>
        <w:rPr>
          <w:rFonts w:ascii="Calibri" w:hAnsi="Calibri" w:hint="eastAsia"/>
          <w:rtl/>
        </w:rPr>
        <w:t>החוק</w:t>
      </w:r>
      <w:r>
        <w:rPr>
          <w:rFonts w:ascii="Calibri" w:hAnsi="Calibri"/>
          <w:rtl/>
        </w:rPr>
        <w:t xml:space="preserve"> </w:t>
      </w:r>
      <w:r>
        <w:rPr>
          <w:rFonts w:ascii="Calibri" w:hAnsi="Calibri" w:hint="eastAsia"/>
          <w:rtl/>
        </w:rPr>
        <w:t>והפסיקה</w:t>
      </w:r>
      <w:r>
        <w:rPr>
          <w:rFonts w:ascii="Calibri" w:hAnsi="Calibri"/>
          <w:rtl/>
        </w:rPr>
        <w:t xml:space="preserve"> </w:t>
      </w:r>
      <w:r>
        <w:rPr>
          <w:rFonts w:ascii="Calibri" w:hAnsi="Calibri" w:hint="eastAsia"/>
          <w:rtl/>
        </w:rPr>
        <w:t>יחסו</w:t>
      </w:r>
      <w:r>
        <w:rPr>
          <w:rFonts w:ascii="Calibri" w:hAnsi="Calibri"/>
          <w:rtl/>
        </w:rPr>
        <w:t xml:space="preserve"> </w:t>
      </w:r>
      <w:r>
        <w:rPr>
          <w:rFonts w:ascii="Calibri" w:hAnsi="Calibri" w:hint="eastAsia"/>
          <w:rtl/>
        </w:rPr>
        <w:t>לעבירות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חומרה</w:t>
      </w:r>
      <w:r>
        <w:rPr>
          <w:rFonts w:ascii="Calibri" w:hAnsi="Calibri"/>
          <w:rtl/>
        </w:rPr>
        <w:t xml:space="preserve"> </w:t>
      </w:r>
      <w:r>
        <w:rPr>
          <w:rFonts w:ascii="Calibri" w:hAnsi="Calibri" w:hint="eastAsia"/>
          <w:rtl/>
        </w:rPr>
        <w:t>מיוחדת</w:t>
      </w:r>
      <w:r>
        <w:rPr>
          <w:rFonts w:ascii="Calibri" w:hAnsi="Calibri"/>
          <w:rtl/>
        </w:rPr>
        <w:t xml:space="preserve">, </w:t>
      </w:r>
      <w:r>
        <w:rPr>
          <w:rFonts w:ascii="Calibri" w:hAnsi="Calibri" w:hint="eastAsia"/>
          <w:rtl/>
        </w:rPr>
        <w:t>נוכח</w:t>
      </w:r>
      <w:r>
        <w:rPr>
          <w:rFonts w:ascii="Calibri" w:hAnsi="Calibri"/>
          <w:rtl/>
        </w:rPr>
        <w:t xml:space="preserve"> </w:t>
      </w:r>
      <w:r>
        <w:rPr>
          <w:rFonts w:ascii="Calibri" w:hAnsi="Calibri" w:hint="eastAsia"/>
          <w:rtl/>
        </w:rPr>
        <w:t>ההשלכות</w:t>
      </w:r>
      <w:r>
        <w:rPr>
          <w:rFonts w:ascii="Calibri" w:hAnsi="Calibri"/>
          <w:rtl/>
        </w:rPr>
        <w:t xml:space="preserve"> </w:t>
      </w:r>
      <w:r>
        <w:rPr>
          <w:rFonts w:ascii="Calibri" w:hAnsi="Calibri" w:hint="eastAsia"/>
          <w:rtl/>
        </w:rPr>
        <w:t>הרות</w:t>
      </w:r>
      <w:r>
        <w:rPr>
          <w:rFonts w:ascii="Calibri" w:hAnsi="Calibri"/>
          <w:rtl/>
        </w:rPr>
        <w:t xml:space="preserve"> </w:t>
      </w:r>
      <w:r>
        <w:rPr>
          <w:rFonts w:ascii="Calibri" w:hAnsi="Calibri" w:hint="eastAsia"/>
          <w:rtl/>
        </w:rPr>
        <w:t>האסון</w:t>
      </w:r>
      <w:r>
        <w:rPr>
          <w:rFonts w:ascii="Calibri" w:hAnsi="Calibri"/>
          <w:rtl/>
        </w:rPr>
        <w:t xml:space="preserve"> </w:t>
      </w:r>
      <w:r>
        <w:rPr>
          <w:rFonts w:ascii="Calibri" w:hAnsi="Calibri" w:hint="eastAsia"/>
          <w:rtl/>
        </w:rPr>
        <w:t>ופוטנציאל</w:t>
      </w:r>
      <w:r>
        <w:rPr>
          <w:rFonts w:ascii="Calibri" w:hAnsi="Calibri"/>
          <w:rtl/>
        </w:rPr>
        <w:t xml:space="preserve"> </w:t>
      </w:r>
      <w:r>
        <w:rPr>
          <w:rFonts w:ascii="Calibri" w:hAnsi="Calibri" w:hint="eastAsia"/>
          <w:rtl/>
        </w:rPr>
        <w:t>הסיכון</w:t>
      </w:r>
      <w:r>
        <w:rPr>
          <w:rFonts w:ascii="Calibri" w:hAnsi="Calibri"/>
          <w:rtl/>
        </w:rPr>
        <w:t xml:space="preserve"> </w:t>
      </w:r>
      <w:r>
        <w:rPr>
          <w:rFonts w:ascii="Calibri" w:hAnsi="Calibri" w:hint="eastAsia"/>
          <w:rtl/>
        </w:rPr>
        <w:t>הרב</w:t>
      </w:r>
      <w:r>
        <w:rPr>
          <w:rFonts w:ascii="Calibri" w:hAnsi="Calibri"/>
          <w:rtl/>
        </w:rPr>
        <w:t xml:space="preserve"> </w:t>
      </w:r>
      <w:r>
        <w:rPr>
          <w:rFonts w:ascii="Calibri" w:hAnsi="Calibri" w:hint="eastAsia"/>
          <w:rtl/>
        </w:rPr>
        <w:t>הגלום</w:t>
      </w:r>
      <w:r>
        <w:rPr>
          <w:rFonts w:ascii="Calibri" w:hAnsi="Calibri"/>
          <w:rtl/>
        </w:rPr>
        <w:t xml:space="preserve"> </w:t>
      </w:r>
      <w:r>
        <w:rPr>
          <w:rFonts w:ascii="Calibri" w:hAnsi="Calibri" w:hint="eastAsia"/>
          <w:rtl/>
        </w:rPr>
        <w:t>בהן</w:t>
      </w:r>
      <w:r>
        <w:rPr>
          <w:rFonts w:ascii="Calibri" w:hAnsi="Calibri"/>
          <w:rtl/>
        </w:rPr>
        <w:t xml:space="preserve">. </w:t>
      </w:r>
      <w:r>
        <w:rPr>
          <w:rFonts w:ascii="Calibri" w:hAnsi="Calibri" w:hint="eastAsia"/>
          <w:rtl/>
        </w:rPr>
        <w:t>נפסק</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זמינותו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חם</w:t>
      </w:r>
      <w:r>
        <w:rPr>
          <w:rFonts w:ascii="Calibri" w:hAnsi="Calibri"/>
          <w:rtl/>
        </w:rPr>
        <w:t xml:space="preserve"> </w:t>
      </w:r>
      <w:r>
        <w:rPr>
          <w:rFonts w:ascii="Calibri" w:hAnsi="Calibri" w:hint="eastAsia"/>
          <w:rtl/>
        </w:rPr>
        <w:t>ורב</w:t>
      </w:r>
      <w:r>
        <w:rPr>
          <w:rFonts w:ascii="Calibri" w:hAnsi="Calibri"/>
          <w:rtl/>
        </w:rPr>
        <w:t xml:space="preserve"> </w:t>
      </w:r>
      <w:r>
        <w:rPr>
          <w:rFonts w:ascii="Calibri" w:hAnsi="Calibri" w:hint="eastAsia"/>
          <w:rtl/>
        </w:rPr>
        <w:t>עוצמה</w:t>
      </w:r>
      <w:r>
        <w:rPr>
          <w:rFonts w:ascii="Calibri" w:hAnsi="Calibri"/>
          <w:rtl/>
        </w:rPr>
        <w:t xml:space="preserve"> </w:t>
      </w:r>
      <w:r>
        <w:rPr>
          <w:rFonts w:ascii="Calibri" w:hAnsi="Calibri" w:hint="eastAsia"/>
          <w:rtl/>
        </w:rPr>
        <w:t>בעל</w:t>
      </w:r>
      <w:r>
        <w:rPr>
          <w:rFonts w:ascii="Calibri" w:hAnsi="Calibri"/>
          <w:rtl/>
        </w:rPr>
        <w:t xml:space="preserve"> </w:t>
      </w:r>
      <w:r>
        <w:rPr>
          <w:rFonts w:ascii="Calibri" w:hAnsi="Calibri" w:hint="eastAsia"/>
          <w:rtl/>
        </w:rPr>
        <w:t>פוטנציאל</w:t>
      </w:r>
      <w:r>
        <w:rPr>
          <w:rFonts w:ascii="Calibri" w:hAnsi="Calibri"/>
          <w:rtl/>
        </w:rPr>
        <w:t xml:space="preserve"> </w:t>
      </w:r>
      <w:r>
        <w:rPr>
          <w:rFonts w:ascii="Calibri" w:hAnsi="Calibri" w:hint="eastAsia"/>
          <w:rtl/>
        </w:rPr>
        <w:t>להסלמה</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אלימות</w:t>
      </w:r>
      <w:r>
        <w:rPr>
          <w:rFonts w:ascii="Calibri" w:hAnsi="Calibri"/>
          <w:rtl/>
        </w:rPr>
        <w:t xml:space="preserve"> </w:t>
      </w:r>
      <w:r>
        <w:rPr>
          <w:rFonts w:ascii="Calibri" w:hAnsi="Calibri" w:hint="eastAsia"/>
          <w:rtl/>
        </w:rPr>
        <w:t>מסוגים</w:t>
      </w:r>
      <w:r>
        <w:rPr>
          <w:rFonts w:ascii="Calibri" w:hAnsi="Calibri"/>
          <w:rtl/>
        </w:rPr>
        <w:t xml:space="preserve"> </w:t>
      </w:r>
      <w:r>
        <w:rPr>
          <w:rFonts w:ascii="Calibri" w:hAnsi="Calibri" w:hint="eastAsia"/>
          <w:rtl/>
        </w:rPr>
        <w:t>שונים</w:t>
      </w:r>
      <w:r>
        <w:rPr>
          <w:rFonts w:ascii="Calibri" w:hAnsi="Calibri"/>
          <w:rtl/>
        </w:rPr>
        <w:t xml:space="preserve">, </w:t>
      </w:r>
      <w:r>
        <w:rPr>
          <w:rFonts w:ascii="Calibri" w:hAnsi="Calibri" w:hint="eastAsia"/>
          <w:rtl/>
        </w:rPr>
        <w:t>מחייבת</w:t>
      </w:r>
      <w:r>
        <w:rPr>
          <w:rFonts w:ascii="Calibri" w:hAnsi="Calibri"/>
          <w:rtl/>
        </w:rPr>
        <w:t xml:space="preserve"> </w:t>
      </w:r>
      <w:r>
        <w:rPr>
          <w:rFonts w:ascii="Calibri" w:hAnsi="Calibri" w:hint="eastAsia"/>
          <w:rtl/>
        </w:rPr>
        <w:t>מתן</w:t>
      </w:r>
      <w:r>
        <w:rPr>
          <w:rFonts w:ascii="Calibri" w:hAnsi="Calibri"/>
          <w:rtl/>
        </w:rPr>
        <w:t xml:space="preserve"> </w:t>
      </w:r>
      <w:r>
        <w:rPr>
          <w:rFonts w:ascii="Calibri" w:hAnsi="Calibri" w:hint="eastAsia"/>
          <w:rtl/>
        </w:rPr>
        <w:t>ביטוי</w:t>
      </w:r>
      <w:r>
        <w:rPr>
          <w:rFonts w:ascii="Calibri" w:hAnsi="Calibri"/>
          <w:rtl/>
        </w:rPr>
        <w:t xml:space="preserve"> </w:t>
      </w:r>
      <w:r>
        <w:rPr>
          <w:rFonts w:ascii="Calibri" w:hAnsi="Calibri" w:hint="eastAsia"/>
          <w:rtl/>
        </w:rPr>
        <w:t>עונשי</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והחמרה</w:t>
      </w:r>
      <w:r>
        <w:rPr>
          <w:rFonts w:ascii="Calibri" w:hAnsi="Calibri"/>
          <w:rtl/>
        </w:rPr>
        <w:t xml:space="preserve"> </w:t>
      </w:r>
      <w:r>
        <w:rPr>
          <w:rFonts w:ascii="Calibri" w:hAnsi="Calibri" w:hint="eastAsia"/>
          <w:rtl/>
        </w:rPr>
        <w:t>ברמת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לגבי</w:t>
      </w:r>
      <w:r>
        <w:rPr>
          <w:rFonts w:ascii="Calibri" w:hAnsi="Calibri"/>
          <w:rtl/>
        </w:rPr>
        <w:t xml:space="preserve"> </w:t>
      </w:r>
      <w:r>
        <w:rPr>
          <w:rFonts w:ascii="Calibri" w:hAnsi="Calibri" w:hint="eastAsia"/>
          <w:rtl/>
        </w:rPr>
        <w:t>החומרה</w:t>
      </w:r>
      <w:r>
        <w:rPr>
          <w:rFonts w:ascii="Calibri" w:hAnsi="Calibri"/>
          <w:rtl/>
        </w:rPr>
        <w:t xml:space="preserve"> </w:t>
      </w:r>
      <w:r>
        <w:rPr>
          <w:rFonts w:ascii="Calibri" w:hAnsi="Calibri" w:hint="eastAsia"/>
          <w:rtl/>
        </w:rPr>
        <w:t>בביצוען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נפסק</w:t>
      </w:r>
      <w:r>
        <w:rPr>
          <w:rFonts w:ascii="Calibri" w:hAnsi="Calibri"/>
          <w:rtl/>
        </w:rPr>
        <w:t xml:space="preserve">:  </w:t>
      </w:r>
    </w:p>
    <w:p w14:paraId="4CC55CA5" w14:textId="77777777" w:rsidR="00127892" w:rsidRDefault="00127892">
      <w:pPr>
        <w:spacing w:line="360" w:lineRule="auto"/>
        <w:ind w:left="720"/>
        <w:jc w:val="both"/>
        <w:rPr>
          <w:rFonts w:ascii="Calibri" w:hAnsi="Calibri"/>
          <w:sz w:val="18"/>
          <w:szCs w:val="18"/>
        </w:rPr>
      </w:pPr>
    </w:p>
    <w:p w14:paraId="4A7FFD62" w14:textId="77777777" w:rsidR="00127892" w:rsidRDefault="00310790">
      <w:pPr>
        <w:shd w:val="clear" w:color="auto" w:fill="FFFFFF"/>
        <w:spacing w:line="360" w:lineRule="auto"/>
        <w:ind w:left="1440"/>
        <w:jc w:val="both"/>
        <w:rPr>
          <w:rtl/>
        </w:rPr>
      </w:pPr>
      <w:r>
        <w:rPr>
          <w:rFonts w:cs="Miriam"/>
          <w:rtl/>
        </w:rPr>
        <w:t xml:space="preserve">"חומרתה של עבירת החזקת נשק, מקורה בכך שעבירה זאת אינה נעשית לרוב אלא כדי לאפשר ביצוען של עבירות אחרות, שמעצם טבעו של הנשק, כרוכות באלימות או בהפחדה. כשעסקינן במי שהעולם הפלילי אינו זר להם - כמו כמה מן המעורבים בערעור שלפנינו - ובנשק שלו משתיק קול המוחבא במקום "בלתי טבעי", מקבלים הדברים משנה תוקף. כפי שציינה חברתי הנשיאה ד' ביניש, המציאות השוררת בארץ המתבטאת בזמינותו של נשק חם ורב עוצמה שיש עמו פוטנציאל להסלמת האלימות העבריינית, מחייבת מתן ביטוי עונשי הולם והחמרה ברמת הענישה (ראו </w:t>
      </w:r>
      <w:hyperlink r:id="rId14" w:history="1">
        <w:r w:rsidR="007A43AE" w:rsidRPr="007A43AE">
          <w:rPr>
            <w:rFonts w:cs="Miriam"/>
            <w:color w:val="0000FF"/>
            <w:u w:val="single"/>
            <w:rtl/>
          </w:rPr>
          <w:t>ע"פ 1332/04</w:t>
        </w:r>
      </w:hyperlink>
      <w:r>
        <w:rPr>
          <w:rFonts w:cs="Miriam"/>
          <w:rtl/>
        </w:rPr>
        <w:t xml:space="preserve"> מדינת ישראל נ' פס, סעיף 4 ([פורסם בנבו], 19.4.04)). יש לעשות כן עוד בטרם ייעשה באקדח שימוש קטלני, באמצעות הרחקת המחזיק בו מן החברה לפרק זמן, והעברת מסר מרתיע באמצעות עונש מאסר ממשי לריצוי בפועל (ראו למשל </w:t>
      </w:r>
      <w:hyperlink r:id="rId15" w:history="1">
        <w:r w:rsidRPr="00310790">
          <w:rPr>
            <w:rFonts w:cs="Miriam"/>
            <w:color w:val="0000FF"/>
            <w:u w:val="single"/>
            <w:rtl/>
          </w:rPr>
          <w:t>ע"פ 3361/08</w:t>
        </w:r>
      </w:hyperlink>
      <w:r>
        <w:rPr>
          <w:rFonts w:cs="Miriam"/>
          <w:rtl/>
        </w:rPr>
        <w:t xml:space="preserve"> ליבוביץ' נ' מדינת ישראל ([פורסם בנבו], 27.7.08) (להלן: עניין ליבוביץ'); </w:t>
      </w:r>
      <w:hyperlink r:id="rId16" w:history="1">
        <w:r w:rsidRPr="00310790">
          <w:rPr>
            <w:rFonts w:cs="Miriam"/>
            <w:color w:val="0000FF"/>
            <w:u w:val="single"/>
            <w:rtl/>
          </w:rPr>
          <w:t>ע"פ 5220/09</w:t>
        </w:r>
      </w:hyperlink>
      <w:r>
        <w:rPr>
          <w:rFonts w:cs="Miriam"/>
          <w:rtl/>
        </w:rPr>
        <w:t xml:space="preserve"> עוואודה נ' מדינת ישראל ([פורסם בנבו], 30.12.09))"</w:t>
      </w:r>
      <w:r>
        <w:rPr>
          <w:rtl/>
        </w:rPr>
        <w:t xml:space="preserve"> </w:t>
      </w:r>
      <w:r>
        <w:rPr>
          <w:rFonts w:ascii="Arial TUR" w:hAnsi="Arial TUR"/>
          <w:spacing w:val="10"/>
          <w:rtl/>
        </w:rPr>
        <w:t>(</w:t>
      </w:r>
      <w:hyperlink r:id="rId17" w:history="1">
        <w:r w:rsidRPr="00310790">
          <w:rPr>
            <w:rFonts w:ascii="Arial TUR" w:hAnsi="Arial TUR"/>
            <w:color w:val="0000FF"/>
            <w:spacing w:val="10"/>
            <w:u w:val="single"/>
            <w:rtl/>
          </w:rPr>
          <w:t>ע"פ 8416/09</w:t>
        </w:r>
      </w:hyperlink>
      <w:r>
        <w:rPr>
          <w:rFonts w:ascii="Arial TUR" w:hAnsi="Arial TUR"/>
          <w:spacing w:val="10"/>
          <w:rtl/>
        </w:rPr>
        <w:t xml:space="preserve"> </w:t>
      </w:r>
      <w:r>
        <w:rPr>
          <w:b/>
          <w:bCs/>
          <w:rtl/>
        </w:rPr>
        <w:t>מ"י נ' חרבוש ואח'</w:t>
      </w:r>
      <w:r>
        <w:rPr>
          <w:rtl/>
        </w:rPr>
        <w:t xml:space="preserve"> </w:t>
      </w:r>
      <w:r w:rsidR="007A43AE" w:rsidRPr="007A43AE">
        <w:rPr>
          <w:sz w:val="22"/>
          <w:rtl/>
        </w:rPr>
        <w:t xml:space="preserve">[פורסם בנבו] </w:t>
      </w:r>
      <w:r>
        <w:rPr>
          <w:rtl/>
        </w:rPr>
        <w:t>(9/6/10),</w:t>
      </w:r>
      <w:r>
        <w:rPr>
          <w:b/>
          <w:bCs/>
          <w:rtl/>
        </w:rPr>
        <w:t xml:space="preserve"> </w:t>
      </w:r>
      <w:r>
        <w:rPr>
          <w:rtl/>
        </w:rPr>
        <w:t xml:space="preserve">מפי כב' הש' פוגלמן; כן ראו </w:t>
      </w:r>
      <w:hyperlink r:id="rId18" w:history="1">
        <w:r w:rsidRPr="00310790">
          <w:rPr>
            <w:color w:val="0000FF"/>
            <w:u w:val="single"/>
            <w:rtl/>
          </w:rPr>
          <w:t>ע"פ 6671/06</w:t>
        </w:r>
      </w:hyperlink>
      <w:r>
        <w:rPr>
          <w:rtl/>
        </w:rPr>
        <w:t xml:space="preserve"> </w:t>
      </w:r>
      <w:r>
        <w:rPr>
          <w:b/>
          <w:bCs/>
          <w:rtl/>
        </w:rPr>
        <w:t>מ"י נ' מאדי סרור</w:t>
      </w:r>
      <w:r>
        <w:rPr>
          <w:rtl/>
        </w:rPr>
        <w:t xml:space="preserve"> </w:t>
      </w:r>
      <w:r w:rsidR="007A43AE" w:rsidRPr="007A43AE">
        <w:rPr>
          <w:sz w:val="22"/>
          <w:rtl/>
        </w:rPr>
        <w:t xml:space="preserve">[פורסם בנבו] </w:t>
      </w:r>
      <w:r>
        <w:rPr>
          <w:rtl/>
        </w:rPr>
        <w:t xml:space="preserve">(14/12/06), מפי כב' הש' לוי; </w:t>
      </w:r>
      <w:hyperlink r:id="rId19" w:history="1">
        <w:r w:rsidRPr="00310790">
          <w:rPr>
            <w:color w:val="0000FF"/>
            <w:u w:val="single"/>
            <w:rtl/>
          </w:rPr>
          <w:t>ע"פ 7955/06</w:t>
        </w:r>
      </w:hyperlink>
      <w:r>
        <w:rPr>
          <w:rtl/>
        </w:rPr>
        <w:t xml:space="preserve"> </w:t>
      </w:r>
      <w:r>
        <w:rPr>
          <w:b/>
          <w:bCs/>
          <w:rtl/>
        </w:rPr>
        <w:t>מיסור כרכור נ' מ"י</w:t>
      </w:r>
      <w:r>
        <w:rPr>
          <w:rtl/>
        </w:rPr>
        <w:t xml:space="preserve"> (1/1/07), מפי כב' הש' מרזל; </w:t>
      </w:r>
      <w:hyperlink r:id="rId20" w:history="1">
        <w:r w:rsidRPr="00310790">
          <w:rPr>
            <w:color w:val="0000FF"/>
            <w:u w:val="single"/>
            <w:rtl/>
          </w:rPr>
          <w:t>ע"פ 761/07</w:t>
        </w:r>
      </w:hyperlink>
      <w:r>
        <w:rPr>
          <w:rtl/>
        </w:rPr>
        <w:t xml:space="preserve"> </w:t>
      </w:r>
      <w:r>
        <w:rPr>
          <w:b/>
          <w:bCs/>
          <w:rtl/>
        </w:rPr>
        <w:t>מ"י נ' אדרי</w:t>
      </w:r>
      <w:r>
        <w:rPr>
          <w:rtl/>
        </w:rPr>
        <w:t xml:space="preserve"> </w:t>
      </w:r>
      <w:r w:rsidR="007A43AE" w:rsidRPr="007A43AE">
        <w:rPr>
          <w:sz w:val="22"/>
          <w:rtl/>
        </w:rPr>
        <w:t xml:space="preserve">[פורסם בנבו] </w:t>
      </w:r>
      <w:r>
        <w:rPr>
          <w:rtl/>
        </w:rPr>
        <w:t xml:space="preserve">(22/2/07), מפי כב' הש' לוי; </w:t>
      </w:r>
      <w:hyperlink r:id="rId21" w:history="1">
        <w:r w:rsidRPr="00310790">
          <w:rPr>
            <w:color w:val="0000FF"/>
            <w:u w:val="single"/>
            <w:rtl/>
          </w:rPr>
          <w:t>ע"פ 2944/09</w:t>
        </w:r>
      </w:hyperlink>
      <w:r>
        <w:rPr>
          <w:rtl/>
        </w:rPr>
        <w:t xml:space="preserve"> </w:t>
      </w:r>
      <w:r>
        <w:rPr>
          <w:b/>
          <w:bCs/>
          <w:rtl/>
        </w:rPr>
        <w:t>אכרם אבו מועמר נ' מ"י</w:t>
      </w:r>
      <w:r>
        <w:rPr>
          <w:rtl/>
        </w:rPr>
        <w:t xml:space="preserve"> </w:t>
      </w:r>
      <w:r w:rsidR="007A43AE" w:rsidRPr="007A43AE">
        <w:rPr>
          <w:sz w:val="22"/>
          <w:rtl/>
        </w:rPr>
        <w:t xml:space="preserve">[פורסם בנבו] </w:t>
      </w:r>
      <w:r>
        <w:rPr>
          <w:rtl/>
        </w:rPr>
        <w:t xml:space="preserve">(9/12/09), מפי כב' הש' לוי; כן ראו </w:t>
      </w:r>
      <w:hyperlink r:id="rId22" w:history="1">
        <w:r w:rsidR="007A43AE" w:rsidRPr="007A43AE">
          <w:rPr>
            <w:rStyle w:val="Hyperlink"/>
            <w:rtl/>
          </w:rPr>
          <w:t>ע"פ 9543/93</w:t>
        </w:r>
      </w:hyperlink>
      <w:r>
        <w:rPr>
          <w:rtl/>
        </w:rPr>
        <w:t xml:space="preserve"> </w:t>
      </w:r>
      <w:r>
        <w:rPr>
          <w:b/>
          <w:bCs/>
          <w:rtl/>
        </w:rPr>
        <w:t xml:space="preserve">בילאל רחאל נ' מ"י </w:t>
      </w:r>
      <w:r w:rsidR="007A43AE" w:rsidRPr="007A43AE">
        <w:rPr>
          <w:sz w:val="22"/>
          <w:rtl/>
        </w:rPr>
        <w:t xml:space="preserve">[פורסם בנבו] </w:t>
      </w:r>
      <w:r>
        <w:rPr>
          <w:rtl/>
        </w:rPr>
        <w:t xml:space="preserve">(19/1/10), מפי כב' השופט רובינשטיין). </w:t>
      </w:r>
    </w:p>
    <w:p w14:paraId="2B287178" w14:textId="77777777" w:rsidR="00127892" w:rsidRDefault="00127892">
      <w:pPr>
        <w:spacing w:line="360" w:lineRule="auto"/>
        <w:ind w:left="720"/>
        <w:jc w:val="both"/>
        <w:rPr>
          <w:rFonts w:ascii="Calibri" w:hAnsi="Calibri"/>
          <w:rtl/>
        </w:rPr>
      </w:pPr>
    </w:p>
    <w:p w14:paraId="4995CC67" w14:textId="77777777" w:rsidR="00127892" w:rsidRDefault="00310790">
      <w:pPr>
        <w:spacing w:line="360" w:lineRule="auto"/>
        <w:ind w:left="720"/>
        <w:jc w:val="both"/>
        <w:rPr>
          <w:rFonts w:ascii="Calibri" w:hAnsi="Calibri"/>
          <w:rtl/>
        </w:rPr>
      </w:pPr>
      <w:r>
        <w:rPr>
          <w:rFonts w:ascii="Calibri" w:hAnsi="Calibri" w:hint="eastAsia"/>
          <w:rtl/>
        </w:rPr>
        <w:t>אכן</w:t>
      </w:r>
      <w:r>
        <w:rPr>
          <w:rFonts w:ascii="Calibri" w:hAnsi="Calibri"/>
          <w:rtl/>
        </w:rPr>
        <w:t xml:space="preserve">, </w:t>
      </w:r>
      <w:r>
        <w:rPr>
          <w:rFonts w:ascii="Calibri" w:hAnsi="Calibri" w:hint="eastAsia"/>
          <w:rtl/>
        </w:rPr>
        <w:t>שעה</w:t>
      </w:r>
      <w:r>
        <w:rPr>
          <w:rFonts w:ascii="Calibri" w:hAnsi="Calibri"/>
          <w:rtl/>
        </w:rPr>
        <w:t xml:space="preserve"> </w:t>
      </w:r>
      <w:r>
        <w:rPr>
          <w:rFonts w:ascii="Calibri" w:hAnsi="Calibri" w:hint="eastAsia"/>
          <w:rtl/>
        </w:rPr>
        <w:t>שברימון</w:t>
      </w:r>
      <w:r>
        <w:rPr>
          <w:rFonts w:ascii="Calibri" w:hAnsi="Calibri"/>
          <w:rtl/>
        </w:rPr>
        <w:t xml:space="preserve"> </w:t>
      </w:r>
      <w:r>
        <w:rPr>
          <w:rFonts w:ascii="Calibri" w:hAnsi="Calibri" w:hint="eastAsia"/>
          <w:rtl/>
        </w:rPr>
        <w:t>הלם</w:t>
      </w:r>
      <w:r>
        <w:rPr>
          <w:rFonts w:ascii="Calibri" w:hAnsi="Calibri"/>
          <w:rtl/>
        </w:rPr>
        <w:t xml:space="preserve"> </w:t>
      </w:r>
      <w:r>
        <w:rPr>
          <w:rFonts w:ascii="Calibri" w:hAnsi="Calibri" w:hint="eastAsia"/>
          <w:rtl/>
        </w:rPr>
        <w:t>עסקינן</w:t>
      </w:r>
      <w:r>
        <w:rPr>
          <w:rFonts w:ascii="Calibri" w:hAnsi="Calibri"/>
          <w:rtl/>
        </w:rPr>
        <w:t xml:space="preserve">, </w:t>
      </w:r>
      <w:r>
        <w:rPr>
          <w:rFonts w:ascii="Calibri" w:hAnsi="Calibri" w:hint="eastAsia"/>
          <w:rtl/>
        </w:rPr>
        <w:t>הפסיקה</w:t>
      </w:r>
      <w:r>
        <w:rPr>
          <w:rFonts w:ascii="Calibri" w:hAnsi="Calibri"/>
          <w:rtl/>
        </w:rPr>
        <w:t xml:space="preserve"> </w:t>
      </w:r>
      <w:r>
        <w:rPr>
          <w:rFonts w:ascii="Calibri" w:hAnsi="Calibri" w:hint="eastAsia"/>
          <w:rtl/>
        </w:rPr>
        <w:t>ריככה</w:t>
      </w:r>
      <w:r>
        <w:rPr>
          <w:rFonts w:ascii="Calibri" w:hAnsi="Calibri"/>
          <w:rtl/>
        </w:rPr>
        <w:t xml:space="preserve"> </w:t>
      </w:r>
      <w:r>
        <w:rPr>
          <w:rFonts w:ascii="Calibri" w:hAnsi="Calibri" w:hint="eastAsia"/>
          <w:rtl/>
        </w:rPr>
        <w:t>מעט</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עמדתה</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לזכור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קרבתו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לרימון</w:t>
      </w:r>
      <w:r>
        <w:rPr>
          <w:rFonts w:ascii="Calibri" w:hAnsi="Calibri"/>
          <w:rtl/>
        </w:rPr>
        <w:t xml:space="preserve"> </w:t>
      </w:r>
      <w:r>
        <w:rPr>
          <w:rFonts w:ascii="Calibri" w:hAnsi="Calibri" w:hint="eastAsia"/>
          <w:rtl/>
        </w:rPr>
        <w:t>הלם</w:t>
      </w:r>
      <w:r>
        <w:rPr>
          <w:rFonts w:ascii="Calibri" w:hAnsi="Calibri"/>
          <w:rtl/>
        </w:rPr>
        <w:t xml:space="preserve"> </w:t>
      </w:r>
      <w:r>
        <w:rPr>
          <w:rFonts w:ascii="Calibri" w:hAnsi="Calibri" w:hint="eastAsia"/>
          <w:rtl/>
        </w:rPr>
        <w:t>שהתפוצץ</w:t>
      </w:r>
      <w:r>
        <w:rPr>
          <w:rFonts w:ascii="Calibri" w:hAnsi="Calibri"/>
          <w:rtl/>
        </w:rPr>
        <w:t xml:space="preserve"> </w:t>
      </w:r>
      <w:r>
        <w:rPr>
          <w:rFonts w:ascii="Calibri" w:hAnsi="Calibri" w:hint="eastAsia"/>
          <w:rtl/>
        </w:rPr>
        <w:t>עלולה</w:t>
      </w:r>
      <w:r>
        <w:rPr>
          <w:rFonts w:ascii="Calibri" w:hAnsi="Calibri"/>
          <w:rtl/>
        </w:rPr>
        <w:t xml:space="preserve"> </w:t>
      </w:r>
      <w:r>
        <w:rPr>
          <w:rFonts w:ascii="Calibri" w:hAnsi="Calibri" w:hint="eastAsia"/>
          <w:rtl/>
        </w:rPr>
        <w:t>לגרום</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פציעה</w:t>
      </w:r>
      <w:r>
        <w:rPr>
          <w:rFonts w:ascii="Calibri" w:hAnsi="Calibri"/>
          <w:rtl/>
        </w:rPr>
        <w:t xml:space="preserve"> </w:t>
      </w:r>
      <w:r>
        <w:rPr>
          <w:rFonts w:ascii="Calibri" w:hAnsi="Calibri" w:hint="eastAsia"/>
          <w:rtl/>
        </w:rPr>
        <w:t>קשה</w:t>
      </w:r>
      <w:r>
        <w:rPr>
          <w:rFonts w:ascii="Calibri" w:hAnsi="Calibri"/>
          <w:rtl/>
        </w:rPr>
        <w:t xml:space="preserve">.  </w:t>
      </w:r>
    </w:p>
    <w:p w14:paraId="12CF7405" w14:textId="77777777" w:rsidR="00127892" w:rsidRDefault="00127892">
      <w:pPr>
        <w:ind w:left="720"/>
        <w:rPr>
          <w:rtl/>
        </w:rPr>
      </w:pPr>
    </w:p>
    <w:p w14:paraId="3BA2AD2C" w14:textId="77777777" w:rsidR="00127892" w:rsidRDefault="00310790">
      <w:pPr>
        <w:spacing w:line="360" w:lineRule="auto"/>
        <w:ind w:left="1440"/>
      </w:pPr>
      <w:r>
        <w:rPr>
          <w:rFonts w:cs="Miriam"/>
          <w:rtl/>
        </w:rPr>
        <w:t>"...כפי שנקבע בעניין חסן, גם אם סכנתו של רימון ההלם פחותה משל רימון רסס "עדיין מדובר בנשק שבכוחו לגרום פציעה לאדם, בכפוף לקרבתו למוקד הפעלתו</w:t>
      </w:r>
      <w:r>
        <w:rPr>
          <w:rtl/>
        </w:rPr>
        <w:t>"</w:t>
      </w:r>
      <w:r>
        <w:rPr>
          <w:rFonts w:hint="cs"/>
          <w:rtl/>
        </w:rPr>
        <w:t>"</w:t>
      </w:r>
      <w:r>
        <w:rPr>
          <w:rtl/>
        </w:rPr>
        <w:t>.</w:t>
      </w:r>
      <w:r>
        <w:rPr>
          <w:rFonts w:hint="cs"/>
          <w:rtl/>
        </w:rPr>
        <w:t xml:space="preserve"> </w:t>
      </w:r>
      <w:r>
        <w:rPr>
          <w:rFonts w:ascii="Calibri" w:hAnsi="Calibri" w:hint="cs"/>
          <w:rtl/>
        </w:rPr>
        <w:t>(</w:t>
      </w:r>
      <w:hyperlink r:id="rId23" w:history="1">
        <w:r w:rsidRPr="00310790">
          <w:rPr>
            <w:rFonts w:ascii="Calibri" w:hAnsi="Calibri" w:hint="eastAsia"/>
            <w:color w:val="0000FF"/>
            <w:u w:val="single"/>
            <w:rtl/>
          </w:rPr>
          <w:t>ע</w:t>
        </w:r>
        <w:r w:rsidRPr="00310790">
          <w:rPr>
            <w:rFonts w:ascii="Calibri" w:hAnsi="Calibri"/>
            <w:color w:val="0000FF"/>
            <w:u w:val="single"/>
            <w:rtl/>
          </w:rPr>
          <w:t>"</w:t>
        </w:r>
        <w:r w:rsidRPr="00310790">
          <w:rPr>
            <w:rFonts w:ascii="Calibri" w:hAnsi="Calibri" w:hint="eastAsia"/>
            <w:color w:val="0000FF"/>
            <w:u w:val="single"/>
            <w:rtl/>
          </w:rPr>
          <w:t>פ</w:t>
        </w:r>
        <w:r w:rsidRPr="00310790">
          <w:rPr>
            <w:rFonts w:ascii="Calibri" w:hAnsi="Calibri"/>
            <w:color w:val="0000FF"/>
            <w:u w:val="single"/>
            <w:rtl/>
          </w:rPr>
          <w:t xml:space="preserve"> 7386/13</w:t>
        </w:r>
      </w:hyperlink>
      <w:r>
        <w:rPr>
          <w:rFonts w:ascii="Calibri" w:hAnsi="Calibri"/>
          <w:rtl/>
        </w:rPr>
        <w:t xml:space="preserve"> </w:t>
      </w:r>
      <w:r>
        <w:rPr>
          <w:rFonts w:ascii="Calibri" w:hAnsi="Calibri" w:hint="eastAsia"/>
          <w:b/>
          <w:bCs/>
          <w:rtl/>
        </w:rPr>
        <w:t>עווד</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w:t>
      </w:r>
      <w:r>
        <w:rPr>
          <w:rFonts w:ascii="Calibri" w:hAnsi="Calibri"/>
          <w:b/>
          <w:bCs/>
          <w:rtl/>
        </w:rPr>
        <w:t>"</w:t>
      </w:r>
      <w:r>
        <w:rPr>
          <w:rFonts w:ascii="Calibri" w:hAnsi="Calibri" w:hint="eastAsia"/>
          <w:b/>
          <w:bCs/>
          <w:rtl/>
        </w:rPr>
        <w:t>י</w:t>
      </w:r>
      <w:r>
        <w:rPr>
          <w:rFonts w:ascii="Calibri" w:hAnsi="Calibri"/>
          <w:rtl/>
        </w:rPr>
        <w:t xml:space="preserve"> </w:t>
      </w:r>
      <w:r w:rsidR="007A43AE" w:rsidRPr="007A43AE">
        <w:rPr>
          <w:sz w:val="22"/>
          <w:rtl/>
        </w:rPr>
        <w:t>[</w:t>
      </w:r>
      <w:r w:rsidR="007A43AE" w:rsidRPr="007A43AE">
        <w:rPr>
          <w:rFonts w:hint="eastAsia"/>
          <w:sz w:val="22"/>
          <w:rtl/>
        </w:rPr>
        <w:t>פורסם</w:t>
      </w:r>
      <w:r w:rsidR="007A43AE" w:rsidRPr="007A43AE">
        <w:rPr>
          <w:sz w:val="22"/>
          <w:rtl/>
        </w:rPr>
        <w:t xml:space="preserve"> </w:t>
      </w:r>
      <w:r w:rsidR="007A43AE" w:rsidRPr="007A43AE">
        <w:rPr>
          <w:rFonts w:hint="eastAsia"/>
          <w:sz w:val="22"/>
          <w:rtl/>
        </w:rPr>
        <w:t>בנבו</w:t>
      </w:r>
      <w:r w:rsidR="007A43AE" w:rsidRPr="007A43AE">
        <w:rPr>
          <w:sz w:val="22"/>
          <w:rtl/>
        </w:rPr>
        <w:t xml:space="preserve">] </w:t>
      </w:r>
      <w:r>
        <w:rPr>
          <w:rFonts w:ascii="Calibri" w:hAnsi="Calibri"/>
          <w:rtl/>
        </w:rPr>
        <w:t xml:space="preserve">(23/3/13), </w:t>
      </w:r>
      <w:r>
        <w:rPr>
          <w:rFonts w:ascii="Calibri" w:hAnsi="Calibri" w:hint="eastAsia"/>
          <w:rtl/>
        </w:rPr>
        <w:t>מפי</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w:t>
      </w:r>
      <w:r>
        <w:rPr>
          <w:rFonts w:ascii="Calibri" w:hAnsi="Calibri"/>
          <w:rtl/>
        </w:rPr>
        <w:t xml:space="preserve">' </w:t>
      </w:r>
      <w:r>
        <w:rPr>
          <w:rFonts w:ascii="Calibri" w:hAnsi="Calibri" w:hint="eastAsia"/>
          <w:rtl/>
        </w:rPr>
        <w:t>שהם</w:t>
      </w:r>
      <w:r>
        <w:rPr>
          <w:rFonts w:ascii="Calibri" w:hAnsi="Calibri" w:hint="cs"/>
          <w:rtl/>
        </w:rPr>
        <w:t xml:space="preserve">). </w:t>
      </w:r>
      <w:r>
        <w:rPr>
          <w:rFonts w:ascii="Calibri" w:hAnsi="Calibri"/>
          <w:rtl/>
        </w:rPr>
        <w:t xml:space="preserve"> </w:t>
      </w:r>
    </w:p>
    <w:p w14:paraId="6ADA4427" w14:textId="77777777" w:rsidR="00127892" w:rsidRDefault="00127892">
      <w:pPr>
        <w:ind w:left="720"/>
        <w:jc w:val="both"/>
        <w:rPr>
          <w:rFonts w:ascii="Calibri" w:hAnsi="Calibri"/>
          <w:sz w:val="16"/>
          <w:szCs w:val="16"/>
          <w:rtl/>
        </w:rPr>
      </w:pPr>
    </w:p>
    <w:p w14:paraId="52757DD5" w14:textId="77777777" w:rsidR="00127892" w:rsidRDefault="00310790">
      <w:pPr>
        <w:ind w:left="720"/>
        <w:rPr>
          <w:rtl/>
        </w:rPr>
      </w:pPr>
      <w:r>
        <w:rPr>
          <w:rtl/>
        </w:rPr>
        <w:t xml:space="preserve">וכן: </w:t>
      </w:r>
    </w:p>
    <w:p w14:paraId="0069435A" w14:textId="77777777" w:rsidR="00127892" w:rsidRDefault="00310790">
      <w:pPr>
        <w:spacing w:line="360" w:lineRule="auto"/>
        <w:ind w:left="1440"/>
        <w:jc w:val="both"/>
        <w:rPr>
          <w:rFonts w:ascii="Calibri" w:hAnsi="Calibri"/>
          <w:rtl/>
        </w:rPr>
      </w:pPr>
      <w:r>
        <w:rPr>
          <w:rtl/>
        </w:rPr>
        <w:br/>
        <w:t>"</w:t>
      </w:r>
      <w:r>
        <w:rPr>
          <w:rFonts w:cs="Miriam"/>
          <w:rtl/>
        </w:rPr>
        <w:t>המעשה של השלכת רימון לעבר אדם אחר מצביע על מסוכנות ברמה גבוהה. אפשר שהמטרה של השלכת הרימון הייתה הפחדה בלבד. ברם לא ניתן להתעלם מן הסיכון לחיי אדם שעה שרימון מושלך בקרבתם של אנשים. אף אם המטרה אינה לפגוע ביעד, הרי התוצאה עלולה להיות פגיעה, פגיעה חמורה או אף מוות".</w:t>
      </w:r>
      <w:r>
        <w:rPr>
          <w:rtl/>
        </w:rPr>
        <w:t xml:space="preserve"> </w:t>
      </w:r>
      <w:r>
        <w:rPr>
          <w:rFonts w:hint="cs"/>
          <w:rtl/>
        </w:rPr>
        <w:t>(</w:t>
      </w:r>
      <w:hyperlink r:id="rId24" w:history="1">
        <w:r w:rsidRPr="00310790">
          <w:rPr>
            <w:rFonts w:ascii="Calibri" w:hAnsi="Calibri" w:hint="eastAsia"/>
            <w:color w:val="0000FF"/>
            <w:u w:val="single"/>
            <w:rtl/>
          </w:rPr>
          <w:t>בש</w:t>
        </w:r>
        <w:r w:rsidRPr="00310790">
          <w:rPr>
            <w:rFonts w:ascii="Calibri" w:hAnsi="Calibri"/>
            <w:color w:val="0000FF"/>
            <w:u w:val="single"/>
            <w:rtl/>
          </w:rPr>
          <w:t>"</w:t>
        </w:r>
        <w:r w:rsidRPr="00310790">
          <w:rPr>
            <w:rFonts w:ascii="Calibri" w:hAnsi="Calibri" w:hint="eastAsia"/>
            <w:color w:val="0000FF"/>
            <w:u w:val="single"/>
            <w:rtl/>
          </w:rPr>
          <w:t>פ</w:t>
        </w:r>
        <w:r w:rsidRPr="00310790">
          <w:rPr>
            <w:rFonts w:ascii="Calibri" w:hAnsi="Calibri"/>
            <w:color w:val="0000FF"/>
            <w:u w:val="single"/>
            <w:rtl/>
          </w:rPr>
          <w:t xml:space="preserve"> 2719/07</w:t>
        </w:r>
      </w:hyperlink>
      <w:r>
        <w:rPr>
          <w:rFonts w:ascii="Calibri" w:hAnsi="Calibri"/>
          <w:rtl/>
        </w:rPr>
        <w:t xml:space="preserve"> </w:t>
      </w:r>
      <w:r>
        <w:rPr>
          <w:rFonts w:ascii="Calibri" w:hAnsi="Calibri" w:hint="eastAsia"/>
          <w:b/>
          <w:bCs/>
          <w:rtl/>
        </w:rPr>
        <w:t>מ</w:t>
      </w:r>
      <w:r>
        <w:rPr>
          <w:rFonts w:ascii="Calibri" w:hAnsi="Calibri"/>
          <w:b/>
          <w:bCs/>
          <w:rtl/>
        </w:rPr>
        <w:t>"</w:t>
      </w:r>
      <w:r>
        <w:rPr>
          <w:rFonts w:ascii="Calibri" w:hAnsi="Calibri" w:hint="eastAsia"/>
          <w:b/>
          <w:bCs/>
          <w:rtl/>
        </w:rPr>
        <w:t>י</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משה</w:t>
      </w:r>
      <w:r>
        <w:rPr>
          <w:rFonts w:ascii="Calibri" w:hAnsi="Calibri"/>
          <w:rtl/>
        </w:rPr>
        <w:t xml:space="preserve"> </w:t>
      </w:r>
      <w:r w:rsidR="007A43AE" w:rsidRPr="007A43AE">
        <w:rPr>
          <w:sz w:val="22"/>
          <w:rtl/>
        </w:rPr>
        <w:t>[</w:t>
      </w:r>
      <w:r w:rsidR="007A43AE" w:rsidRPr="007A43AE">
        <w:rPr>
          <w:rFonts w:hint="eastAsia"/>
          <w:sz w:val="22"/>
          <w:rtl/>
        </w:rPr>
        <w:t>פורסם</w:t>
      </w:r>
      <w:r w:rsidR="007A43AE" w:rsidRPr="007A43AE">
        <w:rPr>
          <w:sz w:val="22"/>
          <w:rtl/>
        </w:rPr>
        <w:t xml:space="preserve"> </w:t>
      </w:r>
      <w:r w:rsidR="007A43AE" w:rsidRPr="007A43AE">
        <w:rPr>
          <w:rFonts w:hint="eastAsia"/>
          <w:sz w:val="22"/>
          <w:rtl/>
        </w:rPr>
        <w:t>בנבו</w:t>
      </w:r>
      <w:r w:rsidR="007A43AE" w:rsidRPr="007A43AE">
        <w:rPr>
          <w:sz w:val="22"/>
          <w:rtl/>
        </w:rPr>
        <w:t xml:space="preserve">] </w:t>
      </w:r>
      <w:r>
        <w:rPr>
          <w:rFonts w:ascii="Calibri" w:hAnsi="Calibri"/>
          <w:rtl/>
        </w:rPr>
        <w:t xml:space="preserve">(23/3/07), </w:t>
      </w:r>
      <w:r>
        <w:rPr>
          <w:rFonts w:ascii="Calibri" w:hAnsi="Calibri" w:hint="eastAsia"/>
          <w:rtl/>
        </w:rPr>
        <w:t>מפי</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w:t>
      </w:r>
      <w:r>
        <w:rPr>
          <w:rFonts w:ascii="Calibri" w:hAnsi="Calibri"/>
          <w:rtl/>
        </w:rPr>
        <w:t>' (</w:t>
      </w:r>
      <w:r>
        <w:rPr>
          <w:rFonts w:ascii="Calibri" w:hAnsi="Calibri" w:hint="eastAsia"/>
          <w:rtl/>
        </w:rPr>
        <w:t>כתוארו</w:t>
      </w:r>
      <w:r>
        <w:rPr>
          <w:rFonts w:ascii="Calibri" w:hAnsi="Calibri"/>
          <w:rtl/>
        </w:rPr>
        <w:t xml:space="preserve"> </w:t>
      </w:r>
      <w:r>
        <w:rPr>
          <w:rFonts w:ascii="Calibri" w:hAnsi="Calibri" w:hint="eastAsia"/>
          <w:rtl/>
        </w:rPr>
        <w:t>אז</w:t>
      </w:r>
      <w:r>
        <w:rPr>
          <w:rFonts w:ascii="Calibri" w:hAnsi="Calibri"/>
          <w:rtl/>
        </w:rPr>
        <w:t xml:space="preserve">) </w:t>
      </w:r>
      <w:r>
        <w:rPr>
          <w:rFonts w:ascii="Calibri" w:hAnsi="Calibri" w:hint="eastAsia"/>
          <w:rtl/>
        </w:rPr>
        <w:t>גרוניס</w:t>
      </w:r>
      <w:r>
        <w:rPr>
          <w:rFonts w:ascii="Calibri" w:hAnsi="Calibri" w:hint="cs"/>
          <w:rtl/>
        </w:rPr>
        <w:t xml:space="preserve">). </w:t>
      </w:r>
      <w:r>
        <w:rPr>
          <w:rtl/>
        </w:rPr>
        <w:t>כן ראו</w:t>
      </w:r>
      <w:r>
        <w:rPr>
          <w:rFonts w:hint="cs"/>
          <w:rtl/>
        </w:rPr>
        <w:t xml:space="preserve"> </w:t>
      </w:r>
      <w:hyperlink r:id="rId25" w:history="1">
        <w:r w:rsidRPr="00310790">
          <w:rPr>
            <w:rFonts w:ascii="Calibri" w:hAnsi="Calibri" w:hint="eastAsia"/>
            <w:color w:val="0000FF"/>
            <w:u w:val="single"/>
            <w:rtl/>
          </w:rPr>
          <w:t>ע</w:t>
        </w:r>
        <w:r w:rsidRPr="00310790">
          <w:rPr>
            <w:rFonts w:ascii="Calibri" w:hAnsi="Calibri"/>
            <w:color w:val="0000FF"/>
            <w:u w:val="single"/>
            <w:rtl/>
          </w:rPr>
          <w:t>"</w:t>
        </w:r>
        <w:r w:rsidRPr="00310790">
          <w:rPr>
            <w:rFonts w:ascii="Calibri" w:hAnsi="Calibri" w:hint="eastAsia"/>
            <w:color w:val="0000FF"/>
            <w:u w:val="single"/>
            <w:rtl/>
          </w:rPr>
          <w:t>פ</w:t>
        </w:r>
        <w:r w:rsidRPr="00310790">
          <w:rPr>
            <w:rFonts w:ascii="Calibri" w:hAnsi="Calibri"/>
            <w:color w:val="0000FF"/>
            <w:u w:val="single"/>
            <w:rtl/>
          </w:rPr>
          <w:t xml:space="preserve"> 7124/06</w:t>
        </w:r>
      </w:hyperlink>
      <w:r>
        <w:rPr>
          <w:rFonts w:ascii="Calibri" w:hAnsi="Calibri"/>
          <w:rtl/>
        </w:rPr>
        <w:t xml:space="preserve"> </w:t>
      </w:r>
      <w:r>
        <w:rPr>
          <w:rFonts w:ascii="Calibri" w:hAnsi="Calibri" w:hint="eastAsia"/>
          <w:b/>
          <w:bCs/>
          <w:rtl/>
        </w:rPr>
        <w:t>דרורי</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w:t>
      </w:r>
      <w:r>
        <w:rPr>
          <w:rFonts w:ascii="Calibri" w:hAnsi="Calibri"/>
          <w:b/>
          <w:bCs/>
          <w:rtl/>
        </w:rPr>
        <w:t>"</w:t>
      </w:r>
      <w:r>
        <w:rPr>
          <w:rFonts w:ascii="Calibri" w:hAnsi="Calibri" w:hint="eastAsia"/>
          <w:b/>
          <w:bCs/>
          <w:rtl/>
        </w:rPr>
        <w:t>י</w:t>
      </w:r>
      <w:r>
        <w:rPr>
          <w:rFonts w:ascii="Calibri" w:hAnsi="Calibri"/>
          <w:rtl/>
        </w:rPr>
        <w:t xml:space="preserve"> </w:t>
      </w:r>
      <w:r w:rsidR="007A43AE" w:rsidRPr="007A43AE">
        <w:rPr>
          <w:sz w:val="22"/>
          <w:rtl/>
        </w:rPr>
        <w:t>[</w:t>
      </w:r>
      <w:r w:rsidR="007A43AE" w:rsidRPr="007A43AE">
        <w:rPr>
          <w:rFonts w:hint="eastAsia"/>
          <w:sz w:val="22"/>
          <w:rtl/>
        </w:rPr>
        <w:t>פורסם</w:t>
      </w:r>
      <w:r w:rsidR="007A43AE" w:rsidRPr="007A43AE">
        <w:rPr>
          <w:sz w:val="22"/>
          <w:rtl/>
        </w:rPr>
        <w:t xml:space="preserve"> </w:t>
      </w:r>
      <w:r w:rsidR="007A43AE" w:rsidRPr="007A43AE">
        <w:rPr>
          <w:rFonts w:hint="eastAsia"/>
          <w:sz w:val="22"/>
          <w:rtl/>
        </w:rPr>
        <w:t>בנבו</w:t>
      </w:r>
      <w:r w:rsidR="007A43AE" w:rsidRPr="007A43AE">
        <w:rPr>
          <w:sz w:val="22"/>
          <w:rtl/>
        </w:rPr>
        <w:t xml:space="preserve">] </w:t>
      </w:r>
      <w:r>
        <w:rPr>
          <w:rFonts w:ascii="Calibri" w:hAnsi="Calibri"/>
          <w:rtl/>
        </w:rPr>
        <w:t xml:space="preserve">(9/5/07), </w:t>
      </w:r>
      <w:r>
        <w:rPr>
          <w:rFonts w:ascii="Calibri" w:hAnsi="Calibri" w:hint="eastAsia"/>
          <w:rtl/>
        </w:rPr>
        <w:t>מפי</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w:t>
      </w:r>
      <w:r>
        <w:rPr>
          <w:rFonts w:ascii="Calibri" w:hAnsi="Calibri"/>
          <w:rtl/>
        </w:rPr>
        <w:t>' (</w:t>
      </w:r>
      <w:r>
        <w:rPr>
          <w:rFonts w:ascii="Calibri" w:hAnsi="Calibri" w:hint="eastAsia"/>
          <w:rtl/>
        </w:rPr>
        <w:t>כתוארה</w:t>
      </w:r>
      <w:r>
        <w:rPr>
          <w:rFonts w:ascii="Calibri" w:hAnsi="Calibri"/>
          <w:rtl/>
        </w:rPr>
        <w:t xml:space="preserve"> </w:t>
      </w:r>
      <w:r>
        <w:rPr>
          <w:rFonts w:ascii="Calibri" w:hAnsi="Calibri" w:hint="eastAsia"/>
          <w:rtl/>
        </w:rPr>
        <w:t>אז</w:t>
      </w:r>
      <w:r>
        <w:rPr>
          <w:rFonts w:ascii="Calibri" w:hAnsi="Calibri"/>
          <w:rtl/>
        </w:rPr>
        <w:t xml:space="preserve">) </w:t>
      </w:r>
      <w:r>
        <w:rPr>
          <w:rFonts w:ascii="Calibri" w:hAnsi="Calibri" w:hint="eastAsia"/>
          <w:rtl/>
        </w:rPr>
        <w:t>נאור</w:t>
      </w:r>
      <w:r>
        <w:rPr>
          <w:rFonts w:ascii="Calibri" w:hAnsi="Calibri" w:hint="cs"/>
          <w:rtl/>
        </w:rPr>
        <w:t xml:space="preserve">, </w:t>
      </w:r>
      <w:r>
        <w:rPr>
          <w:rtl/>
        </w:rPr>
        <w:t>שם נקבע ש"</w:t>
      </w:r>
      <w:r>
        <w:rPr>
          <w:rFonts w:cs="Miriam"/>
          <w:rtl/>
        </w:rPr>
        <w:t>הגם שאין</w:t>
      </w:r>
      <w:r>
        <w:rPr>
          <w:rFonts w:cs="Miriam" w:hint="cs"/>
          <w:rtl/>
        </w:rPr>
        <w:t xml:space="preserve"> לרימוני הלם</w:t>
      </w:r>
      <w:r>
        <w:rPr>
          <w:rFonts w:cs="Miriam"/>
          <w:rtl/>
        </w:rPr>
        <w:t xml:space="preserve"> פוטנציאל ממית הם נועדו לגרום אי נוחות לאדם על מנת להניסו ממקום הימצאו. הנזק הנגרם ממנו אינו נגרם לזה הנגרם מרימון "רגיל". הוא גורם לנזק בעצם טשטושו של אדם והכנסתו למצב של הלם. דירוגו אינו בין החמורים אך גם אין להקל בו ראש</w:t>
      </w:r>
      <w:r>
        <w:rPr>
          <w:rtl/>
        </w:rPr>
        <w:t>".</w:t>
      </w:r>
      <w:r>
        <w:rPr>
          <w:rFonts w:hint="cs"/>
          <w:rtl/>
        </w:rPr>
        <w:t xml:space="preserve"> (ראו גם </w:t>
      </w:r>
      <w:hyperlink r:id="rId26" w:history="1">
        <w:r w:rsidRPr="00310790">
          <w:rPr>
            <w:rFonts w:ascii="Calibri" w:hAnsi="Calibri" w:hint="eastAsia"/>
            <w:color w:val="0000FF"/>
            <w:u w:val="single"/>
            <w:rtl/>
          </w:rPr>
          <w:t>ע</w:t>
        </w:r>
        <w:r w:rsidRPr="00310790">
          <w:rPr>
            <w:rFonts w:ascii="Calibri" w:hAnsi="Calibri"/>
            <w:color w:val="0000FF"/>
            <w:u w:val="single"/>
            <w:rtl/>
          </w:rPr>
          <w:t>"</w:t>
        </w:r>
        <w:r w:rsidRPr="00310790">
          <w:rPr>
            <w:rFonts w:ascii="Calibri" w:hAnsi="Calibri" w:hint="eastAsia"/>
            <w:color w:val="0000FF"/>
            <w:u w:val="single"/>
            <w:rtl/>
          </w:rPr>
          <w:t>פ</w:t>
        </w:r>
        <w:r w:rsidRPr="00310790">
          <w:rPr>
            <w:rFonts w:ascii="Calibri" w:hAnsi="Calibri"/>
            <w:color w:val="0000FF"/>
            <w:u w:val="single"/>
            <w:rtl/>
          </w:rPr>
          <w:t xml:space="preserve"> 1323/13</w:t>
        </w:r>
      </w:hyperlink>
      <w:r>
        <w:rPr>
          <w:rFonts w:ascii="Calibri" w:hAnsi="Calibri"/>
          <w:rtl/>
        </w:rPr>
        <w:t xml:space="preserve"> </w:t>
      </w:r>
      <w:r>
        <w:rPr>
          <w:rFonts w:ascii="Calibri" w:hAnsi="Calibri" w:hint="eastAsia"/>
          <w:b/>
          <w:bCs/>
          <w:rtl/>
        </w:rPr>
        <w:t>חסן</w:t>
      </w:r>
      <w:r>
        <w:rPr>
          <w:rFonts w:ascii="Calibri" w:hAnsi="Calibri"/>
          <w:rtl/>
        </w:rPr>
        <w:t xml:space="preserve"> </w:t>
      </w:r>
      <w:r>
        <w:rPr>
          <w:rFonts w:ascii="Calibri" w:hAnsi="Calibri" w:hint="eastAsia"/>
          <w:rtl/>
        </w:rPr>
        <w:t>הנ</w:t>
      </w:r>
      <w:r>
        <w:rPr>
          <w:rFonts w:ascii="Calibri" w:hAnsi="Calibri"/>
          <w:rtl/>
        </w:rPr>
        <w:t>"</w:t>
      </w:r>
      <w:r>
        <w:rPr>
          <w:rFonts w:ascii="Calibri" w:hAnsi="Calibri" w:hint="eastAsia"/>
          <w:rtl/>
        </w:rPr>
        <w:t>ל</w:t>
      </w:r>
      <w:r>
        <w:rPr>
          <w:rFonts w:ascii="Calibri" w:hAnsi="Calibri"/>
          <w:rtl/>
        </w:rPr>
        <w:t xml:space="preserve">; </w:t>
      </w:r>
      <w:hyperlink r:id="rId27" w:history="1">
        <w:r w:rsidR="007A43AE" w:rsidRPr="007A43AE">
          <w:rPr>
            <w:rFonts w:ascii="Calibri" w:hAnsi="Calibri" w:hint="eastAsia"/>
            <w:color w:val="0000FF"/>
            <w:u w:val="single"/>
            <w:rtl/>
          </w:rPr>
          <w:t>ת</w:t>
        </w:r>
        <w:r w:rsidR="007A43AE" w:rsidRPr="007A43AE">
          <w:rPr>
            <w:rFonts w:ascii="Calibri" w:hAnsi="Calibri"/>
            <w:color w:val="0000FF"/>
            <w:u w:val="single"/>
            <w:rtl/>
          </w:rPr>
          <w:t>"</w:t>
        </w:r>
        <w:r w:rsidR="007A43AE" w:rsidRPr="007A43AE">
          <w:rPr>
            <w:rFonts w:ascii="Calibri" w:hAnsi="Calibri" w:hint="eastAsia"/>
            <w:color w:val="0000FF"/>
            <w:u w:val="single"/>
            <w:rtl/>
          </w:rPr>
          <w:t>פ</w:t>
        </w:r>
        <w:r w:rsidR="007A43AE" w:rsidRPr="007A43AE">
          <w:rPr>
            <w:rFonts w:ascii="Calibri" w:hAnsi="Calibri"/>
            <w:color w:val="0000FF"/>
            <w:u w:val="single"/>
            <w:rtl/>
          </w:rPr>
          <w:t xml:space="preserve"> (</w:t>
        </w:r>
        <w:r w:rsidR="007A43AE" w:rsidRPr="007A43AE">
          <w:rPr>
            <w:rFonts w:ascii="Calibri" w:hAnsi="Calibri" w:hint="eastAsia"/>
            <w:color w:val="0000FF"/>
            <w:u w:val="single"/>
            <w:rtl/>
          </w:rPr>
          <w:t>חי</w:t>
        </w:r>
        <w:r w:rsidR="007A43AE" w:rsidRPr="007A43AE">
          <w:rPr>
            <w:rFonts w:ascii="Calibri" w:hAnsi="Calibri"/>
            <w:color w:val="0000FF"/>
            <w:u w:val="single"/>
            <w:rtl/>
          </w:rPr>
          <w:t>') 09- 10- 218</w:t>
        </w:r>
      </w:hyperlink>
      <w:r>
        <w:rPr>
          <w:rFonts w:ascii="Calibri" w:hAnsi="Calibri"/>
          <w:rtl/>
        </w:rPr>
        <w:t xml:space="preserve"> </w:t>
      </w:r>
      <w:r>
        <w:rPr>
          <w:rFonts w:ascii="Calibri" w:hAnsi="Calibri" w:hint="eastAsia"/>
          <w:b/>
          <w:bCs/>
          <w:rtl/>
        </w:rPr>
        <w:t>מ</w:t>
      </w:r>
      <w:r>
        <w:rPr>
          <w:rFonts w:ascii="Calibri" w:hAnsi="Calibri"/>
          <w:b/>
          <w:bCs/>
          <w:rtl/>
        </w:rPr>
        <w:t>"</w:t>
      </w:r>
      <w:r>
        <w:rPr>
          <w:rFonts w:ascii="Calibri" w:hAnsi="Calibri" w:hint="eastAsia"/>
          <w:b/>
          <w:bCs/>
          <w:rtl/>
        </w:rPr>
        <w:t>י</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רמלאווי</w:t>
      </w:r>
      <w:r>
        <w:rPr>
          <w:rFonts w:ascii="Calibri" w:hAnsi="Calibri"/>
          <w:rtl/>
        </w:rPr>
        <w:t xml:space="preserve"> </w:t>
      </w:r>
      <w:r w:rsidR="007A43AE" w:rsidRPr="007A43AE">
        <w:rPr>
          <w:sz w:val="22"/>
          <w:rtl/>
        </w:rPr>
        <w:t>[</w:t>
      </w:r>
      <w:r w:rsidR="007A43AE" w:rsidRPr="007A43AE">
        <w:rPr>
          <w:rFonts w:hint="eastAsia"/>
          <w:sz w:val="22"/>
          <w:rtl/>
        </w:rPr>
        <w:t>פורסם</w:t>
      </w:r>
      <w:r w:rsidR="007A43AE" w:rsidRPr="007A43AE">
        <w:rPr>
          <w:sz w:val="22"/>
          <w:rtl/>
        </w:rPr>
        <w:t xml:space="preserve"> </w:t>
      </w:r>
      <w:r w:rsidR="007A43AE" w:rsidRPr="007A43AE">
        <w:rPr>
          <w:rFonts w:hint="eastAsia"/>
          <w:sz w:val="22"/>
          <w:rtl/>
        </w:rPr>
        <w:t>בנבו</w:t>
      </w:r>
      <w:r w:rsidR="007A43AE" w:rsidRPr="007A43AE">
        <w:rPr>
          <w:sz w:val="22"/>
          <w:rtl/>
        </w:rPr>
        <w:t xml:space="preserve">] </w:t>
      </w:r>
      <w:r>
        <w:rPr>
          <w:rFonts w:ascii="Calibri" w:hAnsi="Calibri"/>
          <w:rtl/>
        </w:rPr>
        <w:t xml:space="preserve">(24/3/10), </w:t>
      </w:r>
      <w:r>
        <w:rPr>
          <w:rFonts w:ascii="Calibri" w:hAnsi="Calibri" w:hint="eastAsia"/>
          <w:rtl/>
        </w:rPr>
        <w:t>מפי</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w:t>
      </w:r>
      <w:r>
        <w:rPr>
          <w:rFonts w:ascii="Calibri" w:hAnsi="Calibri"/>
          <w:rtl/>
        </w:rPr>
        <w:t>' (</w:t>
      </w:r>
      <w:r>
        <w:rPr>
          <w:rFonts w:ascii="Calibri" w:hAnsi="Calibri" w:hint="eastAsia"/>
          <w:rtl/>
        </w:rPr>
        <w:t>כתוארו</w:t>
      </w:r>
      <w:r>
        <w:rPr>
          <w:rFonts w:ascii="Calibri" w:hAnsi="Calibri"/>
          <w:rtl/>
        </w:rPr>
        <w:t xml:space="preserve"> </w:t>
      </w:r>
      <w:r>
        <w:rPr>
          <w:rFonts w:ascii="Calibri" w:hAnsi="Calibri" w:hint="eastAsia"/>
          <w:rtl/>
        </w:rPr>
        <w:t>אז</w:t>
      </w:r>
      <w:r>
        <w:rPr>
          <w:rFonts w:ascii="Calibri" w:hAnsi="Calibri"/>
          <w:rtl/>
        </w:rPr>
        <w:t xml:space="preserve">) </w:t>
      </w:r>
      <w:r>
        <w:rPr>
          <w:rFonts w:ascii="Calibri" w:hAnsi="Calibri" w:hint="eastAsia"/>
          <w:rtl/>
        </w:rPr>
        <w:t>אלרון</w:t>
      </w:r>
      <w:r>
        <w:rPr>
          <w:rFonts w:ascii="Calibri" w:hAnsi="Calibri" w:hint="cs"/>
          <w:rtl/>
        </w:rPr>
        <w:t xml:space="preserve">). </w:t>
      </w:r>
    </w:p>
    <w:p w14:paraId="6149878B" w14:textId="77777777" w:rsidR="00127892" w:rsidRDefault="00127892">
      <w:pPr>
        <w:spacing w:line="360" w:lineRule="auto"/>
        <w:ind w:left="720"/>
        <w:jc w:val="both"/>
        <w:rPr>
          <w:b/>
          <w:bCs/>
          <w:rtl/>
        </w:rPr>
      </w:pPr>
    </w:p>
    <w:p w14:paraId="5CE1D402" w14:textId="77777777" w:rsidR="00127892" w:rsidRDefault="00310790">
      <w:pPr>
        <w:spacing w:line="360" w:lineRule="auto"/>
        <w:ind w:left="720" w:hanging="720"/>
        <w:jc w:val="both"/>
        <w:rPr>
          <w:rtl/>
        </w:rPr>
      </w:pPr>
      <w:r>
        <w:rPr>
          <w:b/>
          <w:bCs/>
          <w:rtl/>
        </w:rPr>
        <w:t>7</w:t>
      </w:r>
      <w:r>
        <w:rPr>
          <w:rtl/>
        </w:rPr>
        <w:t>.</w:t>
      </w:r>
      <w:r>
        <w:rPr>
          <w:rtl/>
        </w:rPr>
        <w:tab/>
        <w:t xml:space="preserve">ככלל, מושפעת הענישה משיקולי גמול, מניעה והרתעה (אם כי קרנה של ההרתעה ירדה לאחרונה), נסיבות ביצוע העבירות וחומרתן, נפיצותן ותדירות ביצוען, השפעתן על כלל החברה, וההשלכות היכולות להיגרם מהן, כגון מידת הפגיעה בביטחון הציבור, והפחד שמעשים אלה נוטעים בלבו של אדם מן הישוב; עוד היא מושפעת מהנסיבות האישיות של מבצעי העבירות, גילם, עברם הפלילי, שיקולי שיקום ועוד. בכל מקרה ומקרה מוטלת על בית המשפט החובה לערוך את האיזון בין האינטרסים השונים. (ראו לעניין זה גם </w:t>
      </w:r>
      <w:hyperlink r:id="rId28" w:history="1">
        <w:r w:rsidRPr="00310790">
          <w:rPr>
            <w:color w:val="0000FF"/>
            <w:u w:val="single"/>
            <w:rtl/>
          </w:rPr>
          <w:t>ע"פ 4890/01 מ"י נ' פלוני, פ"ד נו</w:t>
        </w:r>
      </w:hyperlink>
      <w:r>
        <w:rPr>
          <w:rtl/>
        </w:rPr>
        <w:t xml:space="preserve">(1), 594, מפי כב' הש' (כתוארה אז) בייניש). </w:t>
      </w:r>
    </w:p>
    <w:p w14:paraId="5E8F4A42" w14:textId="77777777" w:rsidR="00127892" w:rsidRDefault="00127892">
      <w:pPr>
        <w:spacing w:line="360" w:lineRule="auto"/>
        <w:ind w:left="720"/>
        <w:jc w:val="both"/>
        <w:rPr>
          <w:rFonts w:ascii="Arial" w:hAnsi="Arial"/>
          <w:rtl/>
        </w:rPr>
      </w:pPr>
    </w:p>
    <w:p w14:paraId="3A20B7A5" w14:textId="77777777" w:rsidR="00127892" w:rsidRDefault="00310790">
      <w:pPr>
        <w:spacing w:line="360" w:lineRule="auto"/>
        <w:ind w:left="720"/>
        <w:jc w:val="both"/>
        <w:rPr>
          <w:rFonts w:ascii="Arial" w:hAnsi="Arial"/>
          <w:rtl/>
        </w:rPr>
      </w:pPr>
      <w:r>
        <w:rPr>
          <w:rtl/>
        </w:rPr>
        <w:t xml:space="preserve">העיקרון המנחה בגזירת עונשו של נאשם הוא קיומו של יחס הולם בין חומרת העבירה בנסיבותיה ומידת אשמו של הנאשם, לבין סוג ומידת העונש המוטל עליו. השיקולים לבחינת מתחם העונש ההולם הם הערך החברתי שנפגע מביצוע העבירה ומידת הפגיעה בו, מדיניות הענישה הנהוגה, ונסיבות הקשורות בביצוע העבירה. </w:t>
      </w:r>
      <w:r>
        <w:rPr>
          <w:rStyle w:val="normal-h"/>
          <w:rtl/>
        </w:rPr>
        <w:t xml:space="preserve">הפסיקה פירשה את עקרון ההלימה כמבטא את "עקרון הגמול". </w:t>
      </w:r>
      <w:r>
        <w:rPr>
          <w:rFonts w:ascii="Arial" w:hAnsi="Arial"/>
          <w:rtl/>
        </w:rPr>
        <w:t>(</w:t>
      </w:r>
      <w:hyperlink r:id="rId29" w:history="1">
        <w:r w:rsidRPr="00310790">
          <w:rPr>
            <w:rFonts w:ascii="Arial" w:hAnsi="Arial"/>
            <w:color w:val="0000FF"/>
            <w:u w:val="single"/>
            <w:rtl/>
          </w:rPr>
          <w:t>ע"פ 1523/10</w:t>
        </w:r>
      </w:hyperlink>
      <w:r>
        <w:rPr>
          <w:rFonts w:ascii="Arial" w:hAnsi="Arial"/>
          <w:rtl/>
        </w:rPr>
        <w:t xml:space="preserve"> </w:t>
      </w:r>
      <w:r>
        <w:rPr>
          <w:rFonts w:ascii="Arial" w:hAnsi="Arial"/>
          <w:b/>
          <w:bCs/>
          <w:rtl/>
        </w:rPr>
        <w:t>פלונית נ' מ"י</w:t>
      </w:r>
      <w:r>
        <w:rPr>
          <w:rFonts w:ascii="Arial" w:hAnsi="Arial"/>
          <w:rtl/>
        </w:rPr>
        <w:t xml:space="preserve"> </w:t>
      </w:r>
      <w:r w:rsidR="007A43AE" w:rsidRPr="007A43AE">
        <w:rPr>
          <w:sz w:val="22"/>
          <w:rtl/>
        </w:rPr>
        <w:t xml:space="preserve">[פורסם בנבו] </w:t>
      </w:r>
      <w:r>
        <w:rPr>
          <w:rFonts w:ascii="Arial" w:hAnsi="Arial"/>
          <w:rtl/>
        </w:rPr>
        <w:t xml:space="preserve">(18/4/12), מפי כב' הש' רובינשטיין). </w:t>
      </w:r>
    </w:p>
    <w:p w14:paraId="1431FD7A" w14:textId="77777777" w:rsidR="00127892" w:rsidRDefault="00310790">
      <w:pPr>
        <w:spacing w:line="360" w:lineRule="auto"/>
        <w:ind w:left="720"/>
        <w:jc w:val="both"/>
        <w:rPr>
          <w:rtl/>
        </w:rPr>
      </w:pPr>
      <w:r>
        <w:rPr>
          <w:rtl/>
        </w:rPr>
        <w:t xml:space="preserve">הערכים החברתיים שנפגעו בענייננו כתוצאה מביצוע העבירה הם שמירה על חיי אדם, שלומם ובטחונם, בריאות גופם ונפשם, וכן שלמות רכושם. יש לזכור כי יש ברימון הלם כדי לפגוע בגופו של אדם הקרוב לרימון בשעת הפעלתו. המחוקק העניק לערכים אלו מעמד מיוחד בחוק יסוד כבוד האדם וחירותו, אשר תכליתו הגנה על גופו וקניינו של אדם, ועל בתי המשפט לתרום תרומתו להגנת ערכים חברתיים חשובים אלה.  </w:t>
      </w:r>
    </w:p>
    <w:p w14:paraId="5CD5DE33" w14:textId="77777777" w:rsidR="00127892" w:rsidRDefault="00127892">
      <w:pPr>
        <w:spacing w:line="360" w:lineRule="auto"/>
        <w:ind w:left="720"/>
        <w:jc w:val="both"/>
        <w:rPr>
          <w:rtl/>
        </w:rPr>
      </w:pPr>
    </w:p>
    <w:p w14:paraId="13BA432A" w14:textId="77777777" w:rsidR="00127892" w:rsidRDefault="00310790">
      <w:pPr>
        <w:spacing w:line="360" w:lineRule="auto"/>
        <w:jc w:val="both"/>
        <w:rPr>
          <w:rtl/>
        </w:rPr>
      </w:pPr>
      <w:r>
        <w:rPr>
          <w:b/>
          <w:bCs/>
          <w:rtl/>
        </w:rPr>
        <w:t>8.</w:t>
      </w:r>
      <w:r>
        <w:rPr>
          <w:rtl/>
        </w:rPr>
        <w:tab/>
      </w:r>
      <w:r>
        <w:rPr>
          <w:b/>
          <w:bCs/>
          <w:u w:val="single"/>
          <w:rtl/>
        </w:rPr>
        <w:t>מתחם הענישה</w:t>
      </w:r>
    </w:p>
    <w:p w14:paraId="6BAF66AA" w14:textId="77777777" w:rsidR="00127892" w:rsidRDefault="00310790">
      <w:pPr>
        <w:shd w:val="clear" w:color="auto" w:fill="FFFFFF"/>
        <w:spacing w:line="360" w:lineRule="auto"/>
        <w:ind w:left="720"/>
        <w:jc w:val="both"/>
        <w:rPr>
          <w:rFonts w:ascii="Calibri" w:hAnsi="Calibri"/>
          <w:rtl/>
        </w:rPr>
      </w:pPr>
      <w:r>
        <w:rPr>
          <w:rFonts w:ascii="Calibri" w:hAnsi="Calibri" w:hint="eastAsia"/>
          <w:rtl/>
        </w:rPr>
        <w:t>המבחנים</w:t>
      </w:r>
      <w:r>
        <w:rPr>
          <w:rFonts w:ascii="Calibri" w:hAnsi="Calibri"/>
          <w:rtl/>
        </w:rPr>
        <w:t xml:space="preserve"> </w:t>
      </w:r>
      <w:r>
        <w:rPr>
          <w:rFonts w:ascii="Calibri" w:hAnsi="Calibri" w:hint="eastAsia"/>
          <w:rtl/>
        </w:rPr>
        <w:t>לקביעתה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מידת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פורטו</w:t>
      </w:r>
      <w:r>
        <w:rPr>
          <w:rFonts w:ascii="Calibri" w:hAnsi="Calibri"/>
          <w:rtl/>
        </w:rPr>
        <w:t xml:space="preserve"> </w:t>
      </w:r>
      <w:r>
        <w:rPr>
          <w:rFonts w:ascii="Calibri" w:hAnsi="Calibri" w:hint="eastAsia"/>
          <w:rtl/>
        </w:rPr>
        <w:t>ב</w:t>
      </w:r>
      <w:hyperlink r:id="rId30" w:history="1">
        <w:r w:rsidR="007A43AE" w:rsidRPr="007A43AE">
          <w:rPr>
            <w:rFonts w:ascii="Calibri" w:hAnsi="Calibri" w:hint="eastAsia"/>
            <w:color w:val="0000FF"/>
            <w:u w:val="single"/>
            <w:rtl/>
          </w:rPr>
          <w:t>ע</w:t>
        </w:r>
        <w:r w:rsidR="007A43AE" w:rsidRPr="007A43AE">
          <w:rPr>
            <w:rFonts w:ascii="Calibri" w:hAnsi="Calibri"/>
            <w:color w:val="0000FF"/>
            <w:u w:val="single"/>
            <w:rtl/>
          </w:rPr>
          <w:t>"</w:t>
        </w:r>
        <w:r w:rsidR="007A43AE" w:rsidRPr="007A43AE">
          <w:rPr>
            <w:rFonts w:ascii="Calibri" w:hAnsi="Calibri" w:hint="eastAsia"/>
            <w:color w:val="0000FF"/>
            <w:u w:val="single"/>
            <w:rtl/>
          </w:rPr>
          <w:t>פ</w:t>
        </w:r>
        <w:r w:rsidR="007A43AE" w:rsidRPr="007A43AE">
          <w:rPr>
            <w:rFonts w:ascii="Calibri" w:hAnsi="Calibri"/>
            <w:color w:val="0000FF"/>
            <w:u w:val="single"/>
            <w:rtl/>
          </w:rPr>
          <w:t xml:space="preserve"> 1332/04 </w:t>
        </w:r>
        <w:r w:rsidR="007A43AE" w:rsidRPr="007A43AE">
          <w:rPr>
            <w:rFonts w:ascii="Calibri" w:hAnsi="Calibri" w:hint="eastAsia"/>
            <w:color w:val="0000FF"/>
            <w:u w:val="single"/>
            <w:rtl/>
          </w:rPr>
          <w:t>מ</w:t>
        </w:r>
        <w:r w:rsidR="007A43AE" w:rsidRPr="007A43AE">
          <w:rPr>
            <w:rFonts w:ascii="Calibri" w:hAnsi="Calibri"/>
            <w:color w:val="0000FF"/>
            <w:u w:val="single"/>
            <w:rtl/>
          </w:rPr>
          <w:t>"</w:t>
        </w:r>
        <w:r w:rsidR="007A43AE" w:rsidRPr="007A43AE">
          <w:rPr>
            <w:rFonts w:ascii="Calibri" w:hAnsi="Calibri" w:hint="eastAsia"/>
            <w:color w:val="0000FF"/>
            <w:u w:val="single"/>
            <w:rtl/>
          </w:rPr>
          <w:t>י</w:t>
        </w:r>
        <w:r w:rsidR="007A43AE" w:rsidRPr="007A43AE">
          <w:rPr>
            <w:rFonts w:ascii="Calibri" w:hAnsi="Calibri"/>
            <w:color w:val="0000FF"/>
            <w:u w:val="single"/>
            <w:rtl/>
          </w:rPr>
          <w:t xml:space="preserve"> </w:t>
        </w:r>
        <w:r w:rsidR="007A43AE" w:rsidRPr="007A43AE">
          <w:rPr>
            <w:rFonts w:ascii="Calibri" w:hAnsi="Calibri" w:hint="eastAsia"/>
            <w:color w:val="0000FF"/>
            <w:u w:val="single"/>
            <w:rtl/>
          </w:rPr>
          <w:t>נ</w:t>
        </w:r>
        <w:r w:rsidR="007A43AE" w:rsidRPr="007A43AE">
          <w:rPr>
            <w:rFonts w:ascii="Calibri" w:hAnsi="Calibri"/>
            <w:color w:val="0000FF"/>
            <w:u w:val="single"/>
            <w:rtl/>
          </w:rPr>
          <w:t xml:space="preserve">' </w:t>
        </w:r>
        <w:r w:rsidR="007A43AE" w:rsidRPr="007A43AE">
          <w:rPr>
            <w:rFonts w:ascii="Calibri" w:hAnsi="Calibri" w:hint="eastAsia"/>
            <w:color w:val="0000FF"/>
            <w:u w:val="single"/>
            <w:rtl/>
          </w:rPr>
          <w:t>פס</w:t>
        </w:r>
        <w:r w:rsidR="007A43AE" w:rsidRPr="007A43AE">
          <w:rPr>
            <w:rFonts w:ascii="Calibri" w:hAnsi="Calibri"/>
            <w:color w:val="0000FF"/>
            <w:u w:val="single"/>
            <w:rtl/>
          </w:rPr>
          <w:t xml:space="preserve">, </w:t>
        </w:r>
        <w:r w:rsidR="007A43AE" w:rsidRPr="007A43AE">
          <w:rPr>
            <w:rFonts w:ascii="Calibri" w:hAnsi="Calibri" w:hint="eastAsia"/>
            <w:color w:val="0000FF"/>
            <w:u w:val="single"/>
            <w:rtl/>
          </w:rPr>
          <w:t>פ</w:t>
        </w:r>
        <w:r w:rsidR="007A43AE" w:rsidRPr="007A43AE">
          <w:rPr>
            <w:rFonts w:ascii="Calibri" w:hAnsi="Calibri"/>
            <w:color w:val="0000FF"/>
            <w:u w:val="single"/>
            <w:rtl/>
          </w:rPr>
          <w:t>"</w:t>
        </w:r>
        <w:r w:rsidR="007A43AE" w:rsidRPr="007A43AE">
          <w:rPr>
            <w:rFonts w:ascii="Calibri" w:hAnsi="Calibri" w:hint="eastAsia"/>
            <w:color w:val="0000FF"/>
            <w:u w:val="single"/>
            <w:rtl/>
          </w:rPr>
          <w:t>ד</w:t>
        </w:r>
        <w:r w:rsidR="007A43AE" w:rsidRPr="007A43AE">
          <w:rPr>
            <w:rFonts w:ascii="Calibri" w:hAnsi="Calibri"/>
            <w:color w:val="0000FF"/>
            <w:u w:val="single"/>
            <w:rtl/>
          </w:rPr>
          <w:t xml:space="preserve"> </w:t>
        </w:r>
        <w:r w:rsidR="007A43AE" w:rsidRPr="007A43AE">
          <w:rPr>
            <w:rFonts w:ascii="Calibri" w:hAnsi="Calibri" w:hint="eastAsia"/>
            <w:color w:val="0000FF"/>
            <w:u w:val="single"/>
            <w:rtl/>
          </w:rPr>
          <w:t>נח</w:t>
        </w:r>
        <w:r w:rsidR="007A43AE" w:rsidRPr="007A43AE">
          <w:rPr>
            <w:rFonts w:ascii="Calibri" w:hAnsi="Calibri"/>
            <w:color w:val="0000FF"/>
            <w:u w:val="single"/>
            <w:rtl/>
          </w:rPr>
          <w:t xml:space="preserve"> </w:t>
        </w:r>
      </w:hyperlink>
      <w:r>
        <w:rPr>
          <w:rFonts w:ascii="Calibri" w:hAnsi="Calibri"/>
          <w:rtl/>
        </w:rPr>
        <w:t xml:space="preserve"> (5), 541, 544 </w:t>
      </w:r>
      <w:r>
        <w:rPr>
          <w:rFonts w:ascii="Calibri" w:hAnsi="Calibri" w:hint="eastAsia"/>
          <w:rtl/>
        </w:rPr>
        <w:t>מפי</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w:t>
      </w:r>
      <w:r>
        <w:rPr>
          <w:rFonts w:ascii="Calibri" w:hAnsi="Calibri"/>
          <w:rtl/>
        </w:rPr>
        <w:t>' (</w:t>
      </w:r>
      <w:r>
        <w:rPr>
          <w:rFonts w:ascii="Calibri" w:hAnsi="Calibri" w:hint="eastAsia"/>
          <w:rtl/>
        </w:rPr>
        <w:t>כתוארה</w:t>
      </w:r>
      <w:r>
        <w:rPr>
          <w:rFonts w:ascii="Calibri" w:hAnsi="Calibri"/>
          <w:rtl/>
        </w:rPr>
        <w:t xml:space="preserve"> </w:t>
      </w:r>
      <w:r>
        <w:rPr>
          <w:rFonts w:ascii="Calibri" w:hAnsi="Calibri" w:hint="eastAsia"/>
          <w:rtl/>
        </w:rPr>
        <w:t>אז</w:t>
      </w:r>
      <w:r>
        <w:rPr>
          <w:rFonts w:ascii="Calibri" w:hAnsi="Calibri"/>
          <w:rtl/>
        </w:rPr>
        <w:t xml:space="preserve">) </w:t>
      </w:r>
      <w:r>
        <w:rPr>
          <w:rFonts w:ascii="Calibri" w:hAnsi="Calibri" w:hint="eastAsia"/>
          <w:rtl/>
        </w:rPr>
        <w:t>בייניש</w:t>
      </w:r>
      <w:r>
        <w:rPr>
          <w:rFonts w:ascii="Calibri" w:hAnsi="Calibri"/>
          <w:rtl/>
        </w:rPr>
        <w:t>:</w:t>
      </w:r>
    </w:p>
    <w:p w14:paraId="430281BE" w14:textId="77777777" w:rsidR="00127892" w:rsidRDefault="00127892">
      <w:pPr>
        <w:shd w:val="clear" w:color="auto" w:fill="FFFFFF"/>
        <w:spacing w:line="360" w:lineRule="auto"/>
        <w:ind w:left="720"/>
        <w:jc w:val="both"/>
        <w:rPr>
          <w:highlight w:val="cyan"/>
          <w:rtl/>
        </w:rPr>
      </w:pPr>
    </w:p>
    <w:p w14:paraId="523824C6" w14:textId="77777777" w:rsidR="00127892" w:rsidRDefault="00310790">
      <w:pPr>
        <w:spacing w:line="360" w:lineRule="auto"/>
        <w:ind w:left="1440"/>
        <w:jc w:val="both"/>
      </w:pPr>
      <w:r>
        <w:rPr>
          <w:rFonts w:cs="Miriam"/>
          <w:rtl/>
        </w:rPr>
        <w:t>"כבר נאמר לא אחת בפסיקתנו כי מידת העונש המוטל בגין עבירות המבוצעות בנשק, מושפעת מפוטנציאל הסיכון הרב הטמון בנשק המוחזק שלא כדין ומהעברתו מיד ליד ללא פיקוח. בבוא בית</w:t>
      </w:r>
      <w:r>
        <w:rPr>
          <w:rFonts w:cs="Miriam"/>
          <w:position w:val="4"/>
          <w:rtl/>
        </w:rPr>
        <w:t>-</w:t>
      </w:r>
      <w:r>
        <w:rPr>
          <w:rFonts w:cs="Miriam"/>
          <w:rtl/>
        </w:rPr>
        <w:t>המשפט לגזור את הדין בעבירה של החזקה ונשיאה של נשק עליו להתחשב בנסיבות שבהן באה לידי ביטוי החומרה המיוחדת שבעבירה. בין היתר, ייתן בית</w:t>
      </w:r>
      <w:r>
        <w:rPr>
          <w:rFonts w:cs="Miriam"/>
          <w:position w:val="4"/>
          <w:rtl/>
        </w:rPr>
        <w:t>-</w:t>
      </w:r>
      <w:r>
        <w:rPr>
          <w:rFonts w:cs="Miriam"/>
          <w:rtl/>
        </w:rPr>
        <w:t>המשפט דעתו על סוג הנשק המוחזק שלא כדין, על כמותו, על התכלית שלשמה הוא מוחזק ועל הסכנה המוחשית שיעשה בו שימוש...</w:t>
      </w:r>
      <w:r>
        <w:rPr>
          <w:rtl/>
        </w:rPr>
        <w:t xml:space="preserve">" (ראו גם </w:t>
      </w:r>
      <w:hyperlink r:id="rId31" w:history="1">
        <w:r w:rsidRPr="00310790">
          <w:rPr>
            <w:color w:val="0000FF"/>
            <w:u w:val="single"/>
            <w:rtl/>
          </w:rPr>
          <w:t>ע"פ 7384/07</w:t>
        </w:r>
      </w:hyperlink>
      <w:r>
        <w:rPr>
          <w:rtl/>
        </w:rPr>
        <w:t xml:space="preserve"> </w:t>
      </w:r>
      <w:r>
        <w:rPr>
          <w:b/>
          <w:bCs/>
          <w:rtl/>
        </w:rPr>
        <w:t>ליזמי נ' מ"י</w:t>
      </w:r>
      <w:r>
        <w:rPr>
          <w:rtl/>
        </w:rPr>
        <w:t xml:space="preserve"> </w:t>
      </w:r>
      <w:r w:rsidR="007A43AE" w:rsidRPr="007A43AE">
        <w:rPr>
          <w:sz w:val="22"/>
          <w:rtl/>
        </w:rPr>
        <w:t xml:space="preserve">[פורסם בנבו] </w:t>
      </w:r>
      <w:r>
        <w:rPr>
          <w:rtl/>
        </w:rPr>
        <w:t xml:space="preserve">(6/3/08), מפי כב' הש' אלון; ראו גם </w:t>
      </w:r>
      <w:hyperlink r:id="rId32" w:history="1">
        <w:r w:rsidRPr="00310790">
          <w:rPr>
            <w:color w:val="0000FF"/>
            <w:u w:val="single"/>
            <w:rtl/>
          </w:rPr>
          <w:t>ע"פ 1323/13</w:t>
        </w:r>
      </w:hyperlink>
      <w:r>
        <w:rPr>
          <w:rtl/>
        </w:rPr>
        <w:t xml:space="preserve"> הנ"ל). </w:t>
      </w:r>
    </w:p>
    <w:p w14:paraId="4EE79619" w14:textId="77777777" w:rsidR="00127892" w:rsidRDefault="00127892">
      <w:pPr>
        <w:spacing w:line="360" w:lineRule="auto"/>
        <w:ind w:left="720"/>
        <w:jc w:val="both"/>
        <w:rPr>
          <w:rtl/>
        </w:rPr>
      </w:pPr>
    </w:p>
    <w:p w14:paraId="25761294" w14:textId="77777777" w:rsidR="00127892" w:rsidRDefault="00310790">
      <w:pPr>
        <w:spacing w:line="360" w:lineRule="auto"/>
        <w:ind w:left="720"/>
        <w:jc w:val="both"/>
        <w:rPr>
          <w:rtl/>
        </w:rPr>
      </w:pPr>
      <w:r>
        <w:rPr>
          <w:b/>
          <w:bCs/>
          <w:rtl/>
        </w:rPr>
        <w:t>א.</w:t>
      </w:r>
      <w:r>
        <w:rPr>
          <w:rtl/>
        </w:rPr>
        <w:t xml:space="preserve"> באי כוח הצדדים הביאו בפני בית המשפט פסיקה עניפה בעבירות דומות ובה קשת רחבה של עונשים, זה בכה וזה בכה.</w:t>
      </w:r>
      <w:r>
        <w:rPr>
          <w:b/>
          <w:bCs/>
          <w:rtl/>
        </w:rPr>
        <w:t xml:space="preserve"> </w:t>
      </w:r>
      <w:r>
        <w:rPr>
          <w:rtl/>
        </w:rPr>
        <w:t>ב"כ המאשימה</w:t>
      </w:r>
      <w:r>
        <w:rPr>
          <w:b/>
          <w:bCs/>
          <w:rtl/>
        </w:rPr>
        <w:t xml:space="preserve"> </w:t>
      </w:r>
      <w:r>
        <w:rPr>
          <w:rtl/>
        </w:rPr>
        <w:t>הפנה לפסקי דין בהם נגזרו בגין</w:t>
      </w:r>
      <w:r>
        <w:rPr>
          <w:b/>
          <w:bCs/>
          <w:rtl/>
        </w:rPr>
        <w:t xml:space="preserve"> </w:t>
      </w:r>
      <w:r>
        <w:rPr>
          <w:rtl/>
        </w:rPr>
        <w:t>עבירות של מכירה ונשיאת רימון הלם עונשי מאסר בפועל בטווח של בין 10 שנים ל- 24 חודשים. (</w:t>
      </w:r>
      <w:hyperlink r:id="rId33" w:history="1">
        <w:r w:rsidRPr="00310790">
          <w:rPr>
            <w:color w:val="0000FF"/>
            <w:u w:val="single"/>
            <w:rtl/>
          </w:rPr>
          <w:t>ע"פ 1323/13</w:t>
        </w:r>
      </w:hyperlink>
      <w:r>
        <w:rPr>
          <w:rtl/>
        </w:rPr>
        <w:t xml:space="preserve"> </w:t>
      </w:r>
      <w:r>
        <w:rPr>
          <w:b/>
          <w:bCs/>
          <w:rtl/>
        </w:rPr>
        <w:t>חסן נ' מ"י</w:t>
      </w:r>
      <w:r>
        <w:rPr>
          <w:rtl/>
        </w:rPr>
        <w:t xml:space="preserve"> </w:t>
      </w:r>
      <w:r w:rsidR="007A43AE" w:rsidRPr="007A43AE">
        <w:rPr>
          <w:sz w:val="22"/>
          <w:rtl/>
        </w:rPr>
        <w:t xml:space="preserve">[פורסם בנבו] </w:t>
      </w:r>
      <w:r>
        <w:rPr>
          <w:rtl/>
        </w:rPr>
        <w:t xml:space="preserve">(5/6/13), מפי כב' הש' ארבל, שם אישר בית המשפט העליון מתחם ענישה בין שנה לארבע שנים בגין מכירה של רימון הלם, מתחם ענישה בין עשרה לעשרים ושבעה חודשים בגין נשיאה של רימון הלם, וכן את העונש הסופי, שעמד על מאסר לשנתיים; </w:t>
      </w:r>
      <w:hyperlink r:id="rId34" w:history="1">
        <w:r w:rsidRPr="00310790">
          <w:rPr>
            <w:color w:val="0000FF"/>
            <w:u w:val="single"/>
            <w:rtl/>
          </w:rPr>
          <w:t>ע"פ 7384/07</w:t>
        </w:r>
      </w:hyperlink>
      <w:r>
        <w:rPr>
          <w:rtl/>
        </w:rPr>
        <w:t xml:space="preserve"> </w:t>
      </w:r>
      <w:r>
        <w:rPr>
          <w:b/>
          <w:bCs/>
          <w:rtl/>
        </w:rPr>
        <w:t>ליזמי נ' מ"י</w:t>
      </w:r>
      <w:r>
        <w:rPr>
          <w:rtl/>
        </w:rPr>
        <w:t xml:space="preserve"> </w:t>
      </w:r>
      <w:r w:rsidR="007A43AE" w:rsidRPr="007A43AE">
        <w:rPr>
          <w:sz w:val="22"/>
          <w:rtl/>
        </w:rPr>
        <w:t xml:space="preserve">[פורסם בנבו] </w:t>
      </w:r>
      <w:r>
        <w:rPr>
          <w:rtl/>
        </w:rPr>
        <w:t xml:space="preserve">(6/3/08), מפי כב' הש' אלון; </w:t>
      </w:r>
      <w:hyperlink r:id="rId35" w:history="1">
        <w:r w:rsidRPr="00310790">
          <w:rPr>
            <w:color w:val="0000FF"/>
            <w:u w:val="single"/>
            <w:rtl/>
          </w:rPr>
          <w:t>ת.פ (חי') 6003/07</w:t>
        </w:r>
      </w:hyperlink>
      <w:r>
        <w:rPr>
          <w:rtl/>
        </w:rPr>
        <w:t xml:space="preserve"> </w:t>
      </w:r>
      <w:r>
        <w:rPr>
          <w:b/>
          <w:bCs/>
          <w:rtl/>
        </w:rPr>
        <w:t>מ"י נ' טובלי</w:t>
      </w:r>
      <w:r>
        <w:rPr>
          <w:rtl/>
        </w:rPr>
        <w:t xml:space="preserve"> </w:t>
      </w:r>
      <w:r w:rsidR="007A43AE" w:rsidRPr="007A43AE">
        <w:rPr>
          <w:sz w:val="22"/>
          <w:rtl/>
        </w:rPr>
        <w:t xml:space="preserve">[פורסם בנבו] </w:t>
      </w:r>
      <w:r>
        <w:rPr>
          <w:rtl/>
        </w:rPr>
        <w:t xml:space="preserve">(11/3/08), מפי כב' הש' סעב, שם נדונו נאשמים לשמונה עשר ועשרה חודשי מאסר בגין החזקה של רימון הלם ואיומים).  </w:t>
      </w:r>
    </w:p>
    <w:p w14:paraId="3DB374E8" w14:textId="77777777" w:rsidR="00127892" w:rsidRDefault="00127892">
      <w:pPr>
        <w:spacing w:line="360" w:lineRule="auto"/>
        <w:ind w:left="720"/>
        <w:jc w:val="both"/>
        <w:rPr>
          <w:rtl/>
        </w:rPr>
      </w:pPr>
    </w:p>
    <w:p w14:paraId="2898CA84" w14:textId="77777777" w:rsidR="00127892" w:rsidRDefault="00310790">
      <w:pPr>
        <w:spacing w:line="360" w:lineRule="auto"/>
        <w:ind w:left="720"/>
        <w:jc w:val="both"/>
        <w:rPr>
          <w:rtl/>
        </w:rPr>
      </w:pPr>
      <w:r>
        <w:rPr>
          <w:rtl/>
        </w:rPr>
        <w:t>הסנגור הפנה לפסקי דין בהם נגזרו על נאשמים בגין עבירות דומות בנשק מספר חודשי עבודות שירות.</w:t>
      </w:r>
      <w:r>
        <w:rPr>
          <w:rFonts w:hint="cs"/>
          <w:rtl/>
        </w:rPr>
        <w:t xml:space="preserve"> </w:t>
      </w:r>
      <w:r>
        <w:rPr>
          <w:rtl/>
        </w:rPr>
        <w:t>(</w:t>
      </w:r>
      <w:r>
        <w:rPr>
          <w:rFonts w:hint="cs"/>
          <w:rtl/>
        </w:rPr>
        <w:t xml:space="preserve">ראו </w:t>
      </w:r>
      <w:hyperlink r:id="rId36" w:history="1">
        <w:r w:rsidR="007A43AE" w:rsidRPr="007A43AE">
          <w:rPr>
            <w:rStyle w:val="Hyperlink"/>
            <w:rtl/>
          </w:rPr>
          <w:t>ת"פ (נצ') 1111/04</w:t>
        </w:r>
      </w:hyperlink>
      <w:r>
        <w:rPr>
          <w:rtl/>
        </w:rPr>
        <w:t xml:space="preserve"> </w:t>
      </w:r>
      <w:r>
        <w:rPr>
          <w:b/>
          <w:bCs/>
          <w:rtl/>
        </w:rPr>
        <w:t>מ"י נ' נעיראת</w:t>
      </w:r>
      <w:r>
        <w:rPr>
          <w:rtl/>
        </w:rPr>
        <w:t xml:space="preserve"> </w:t>
      </w:r>
      <w:r w:rsidR="007A43AE" w:rsidRPr="007A43AE">
        <w:rPr>
          <w:sz w:val="22"/>
          <w:rtl/>
        </w:rPr>
        <w:t xml:space="preserve">[פורסם בנבו] </w:t>
      </w:r>
      <w:r>
        <w:rPr>
          <w:rtl/>
        </w:rPr>
        <w:t>(27/1/05), מפי כב' הש' הלמן; ת</w:t>
      </w:r>
      <w:hyperlink r:id="rId37" w:history="1">
        <w:r w:rsidR="007A43AE" w:rsidRPr="007A43AE">
          <w:rPr>
            <w:color w:val="0000FF"/>
            <w:u w:val="single"/>
            <w:rtl/>
          </w:rPr>
          <w:t>"פ (נצ') 114/08</w:t>
        </w:r>
      </w:hyperlink>
      <w:r>
        <w:rPr>
          <w:rtl/>
        </w:rPr>
        <w:t xml:space="preserve"> </w:t>
      </w:r>
      <w:r>
        <w:rPr>
          <w:b/>
          <w:bCs/>
          <w:rtl/>
        </w:rPr>
        <w:t>מ"י נ' מרואן</w:t>
      </w:r>
      <w:r>
        <w:rPr>
          <w:rtl/>
        </w:rPr>
        <w:t xml:space="preserve"> </w:t>
      </w:r>
      <w:r w:rsidR="007A43AE" w:rsidRPr="007A43AE">
        <w:rPr>
          <w:sz w:val="22"/>
          <w:rtl/>
        </w:rPr>
        <w:t xml:space="preserve">[פורסם בנבו] </w:t>
      </w:r>
      <w:r>
        <w:rPr>
          <w:rtl/>
        </w:rPr>
        <w:t xml:space="preserve">(1/12/08), מפי כב' הש' ארבל; </w:t>
      </w:r>
      <w:hyperlink r:id="rId38" w:history="1">
        <w:r w:rsidR="007A43AE" w:rsidRPr="007A43AE">
          <w:rPr>
            <w:rStyle w:val="Hyperlink"/>
            <w:rtl/>
          </w:rPr>
          <w:t>ת"פ 13- 12- 29671</w:t>
        </w:r>
      </w:hyperlink>
      <w:r>
        <w:rPr>
          <w:rtl/>
        </w:rPr>
        <w:t xml:space="preserve"> </w:t>
      </w:r>
      <w:r>
        <w:rPr>
          <w:b/>
          <w:bCs/>
          <w:rtl/>
        </w:rPr>
        <w:t>מ"י נ' טאטור</w:t>
      </w:r>
      <w:r>
        <w:rPr>
          <w:rtl/>
        </w:rPr>
        <w:t xml:space="preserve"> </w:t>
      </w:r>
      <w:r w:rsidR="007A43AE" w:rsidRPr="007A43AE">
        <w:rPr>
          <w:sz w:val="22"/>
          <w:rtl/>
        </w:rPr>
        <w:t xml:space="preserve">[פורסם בנבו] </w:t>
      </w:r>
      <w:r>
        <w:rPr>
          <w:rtl/>
        </w:rPr>
        <w:t xml:space="preserve">(10/6/14), מפי כב' הש' כתילי; </w:t>
      </w:r>
      <w:hyperlink r:id="rId39" w:history="1">
        <w:r w:rsidR="00C822BC" w:rsidRPr="00C822BC">
          <w:rPr>
            <w:color w:val="0000FF"/>
            <w:u w:val="single"/>
            <w:rtl/>
          </w:rPr>
          <w:t>ת"פ (י-ם) 13- 07 – 11775</w:t>
        </w:r>
      </w:hyperlink>
      <w:r>
        <w:rPr>
          <w:rtl/>
        </w:rPr>
        <w:t xml:space="preserve"> </w:t>
      </w:r>
      <w:r>
        <w:rPr>
          <w:b/>
          <w:bCs/>
          <w:rtl/>
        </w:rPr>
        <w:t>מ"י נ' והבה</w:t>
      </w:r>
      <w:r>
        <w:rPr>
          <w:rtl/>
        </w:rPr>
        <w:t xml:space="preserve"> </w:t>
      </w:r>
      <w:r w:rsidR="00C822BC" w:rsidRPr="00C822BC">
        <w:rPr>
          <w:sz w:val="22"/>
          <w:rtl/>
        </w:rPr>
        <w:t xml:space="preserve">[פורסם בנבו] </w:t>
      </w:r>
      <w:r>
        <w:rPr>
          <w:rtl/>
        </w:rPr>
        <w:t xml:space="preserve">(14/7/14), מפי כב' הש' נועם; </w:t>
      </w:r>
      <w:hyperlink r:id="rId40" w:history="1">
        <w:r w:rsidR="00C822BC" w:rsidRPr="00C822BC">
          <w:rPr>
            <w:rStyle w:val="Hyperlink"/>
            <w:rtl/>
          </w:rPr>
          <w:t>ת"פ (חי') 14- 02- 51828</w:t>
        </w:r>
      </w:hyperlink>
      <w:r>
        <w:rPr>
          <w:rtl/>
        </w:rPr>
        <w:t xml:space="preserve"> </w:t>
      </w:r>
      <w:r>
        <w:rPr>
          <w:b/>
          <w:bCs/>
          <w:rtl/>
        </w:rPr>
        <w:t>מ"י נ' עטאללה</w:t>
      </w:r>
      <w:r>
        <w:rPr>
          <w:rtl/>
        </w:rPr>
        <w:t xml:space="preserve"> </w:t>
      </w:r>
      <w:r w:rsidR="00C822BC" w:rsidRPr="00C822BC">
        <w:rPr>
          <w:sz w:val="22"/>
          <w:rtl/>
        </w:rPr>
        <w:t xml:space="preserve">[פורסם בנבו] </w:t>
      </w:r>
      <w:r>
        <w:rPr>
          <w:rtl/>
        </w:rPr>
        <w:t xml:space="preserve">(1/12/14), מפי כב' הש' שרון - נתנאל; </w:t>
      </w:r>
      <w:hyperlink r:id="rId41" w:history="1">
        <w:r w:rsidR="00C822BC" w:rsidRPr="00C822BC">
          <w:rPr>
            <w:color w:val="0000FF"/>
            <w:u w:val="single"/>
            <w:rtl/>
          </w:rPr>
          <w:t xml:space="preserve">ת"פ 14- 06- 553 </w:t>
        </w:r>
      </w:hyperlink>
      <w:r>
        <w:rPr>
          <w:rtl/>
        </w:rPr>
        <w:t xml:space="preserve"> (חי') </w:t>
      </w:r>
      <w:r>
        <w:rPr>
          <w:b/>
          <w:bCs/>
          <w:rtl/>
        </w:rPr>
        <w:t>מ"י נ' אגבאריה</w:t>
      </w:r>
      <w:r>
        <w:rPr>
          <w:rtl/>
        </w:rPr>
        <w:t xml:space="preserve"> </w:t>
      </w:r>
      <w:r w:rsidR="00C822BC" w:rsidRPr="00C822BC">
        <w:rPr>
          <w:sz w:val="22"/>
          <w:rtl/>
        </w:rPr>
        <w:t xml:space="preserve">[פורסם בנבו] </w:t>
      </w:r>
      <w:r>
        <w:rPr>
          <w:rtl/>
        </w:rPr>
        <w:t xml:space="preserve">(18/9/14), מפי כב' הש' שפירא; </w:t>
      </w:r>
      <w:hyperlink r:id="rId42" w:history="1">
        <w:r w:rsidR="00C822BC" w:rsidRPr="00C822BC">
          <w:rPr>
            <w:rStyle w:val="Hyperlink"/>
            <w:rtl/>
          </w:rPr>
          <w:t>ת"פ (חי') 13- 12 - 8338</w:t>
        </w:r>
      </w:hyperlink>
      <w:r>
        <w:rPr>
          <w:rtl/>
        </w:rPr>
        <w:t xml:space="preserve"> </w:t>
      </w:r>
      <w:r>
        <w:rPr>
          <w:b/>
          <w:bCs/>
          <w:rtl/>
        </w:rPr>
        <w:t>מ"י נ' זידאן</w:t>
      </w:r>
      <w:r>
        <w:rPr>
          <w:rtl/>
        </w:rPr>
        <w:t xml:space="preserve"> </w:t>
      </w:r>
      <w:r w:rsidR="00C822BC" w:rsidRPr="00C822BC">
        <w:rPr>
          <w:sz w:val="22"/>
          <w:rtl/>
        </w:rPr>
        <w:t xml:space="preserve">[פורסם בנבו] </w:t>
      </w:r>
      <w:r>
        <w:rPr>
          <w:rtl/>
        </w:rPr>
        <w:t>(18/9/14), מפי כב' הש' טובי, ועוד).</w:t>
      </w:r>
    </w:p>
    <w:p w14:paraId="089DE274" w14:textId="77777777" w:rsidR="00127892" w:rsidRDefault="00127892">
      <w:pPr>
        <w:spacing w:line="360" w:lineRule="auto"/>
        <w:ind w:left="720"/>
        <w:jc w:val="both"/>
        <w:rPr>
          <w:rtl/>
        </w:rPr>
      </w:pPr>
    </w:p>
    <w:p w14:paraId="2C052DF8" w14:textId="77777777" w:rsidR="00127892" w:rsidRDefault="00310790">
      <w:pPr>
        <w:spacing w:line="360" w:lineRule="auto"/>
        <w:ind w:left="720"/>
        <w:jc w:val="both"/>
        <w:rPr>
          <w:rFonts w:cs="Miriam"/>
          <w:rtl/>
        </w:rPr>
      </w:pPr>
      <w:r>
        <w:rPr>
          <w:b/>
          <w:bCs/>
          <w:rtl/>
        </w:rPr>
        <w:t>ב.</w:t>
      </w:r>
      <w:r>
        <w:rPr>
          <w:rtl/>
        </w:rPr>
        <w:t xml:space="preserve"> אשר לאופן בו נקבע מתחם הענישה, יש להבחין בינו לבין הענישה הנוהגת, המהווה רק פרמטר אחד מני רבים לקביעתו. (</w:t>
      </w:r>
      <w:hyperlink r:id="rId43" w:history="1">
        <w:r w:rsidRPr="00310790">
          <w:rPr>
            <w:color w:val="0000FF"/>
            <w:u w:val="single"/>
            <w:rtl/>
          </w:rPr>
          <w:t>ע"פ 1323/13</w:t>
        </w:r>
      </w:hyperlink>
      <w:r>
        <w:rPr>
          <w:rtl/>
        </w:rPr>
        <w:t xml:space="preserve"> הנ"ל; כן ראו</w:t>
      </w:r>
      <w:r>
        <w:rPr>
          <w:b/>
          <w:bCs/>
          <w:rtl/>
        </w:rPr>
        <w:t xml:space="preserve"> </w:t>
      </w:r>
      <w:hyperlink r:id="rId44" w:history="1">
        <w:r w:rsidR="00C822BC" w:rsidRPr="00C822BC">
          <w:rPr>
            <w:color w:val="0000FF"/>
            <w:u w:val="single"/>
            <w:rtl/>
          </w:rPr>
          <w:t>ע"פ 1127/12</w:t>
        </w:r>
      </w:hyperlink>
      <w:r>
        <w:rPr>
          <w:rtl/>
        </w:rPr>
        <w:t xml:space="preserve"> </w:t>
      </w:r>
      <w:r>
        <w:rPr>
          <w:b/>
          <w:bCs/>
          <w:rtl/>
        </w:rPr>
        <w:t>גברזגיי נ' מ"י</w:t>
      </w:r>
      <w:r>
        <w:rPr>
          <w:rtl/>
        </w:rPr>
        <w:t xml:space="preserve"> </w:t>
      </w:r>
      <w:r w:rsidR="00C822BC" w:rsidRPr="00C822BC">
        <w:rPr>
          <w:sz w:val="22"/>
          <w:rtl/>
        </w:rPr>
        <w:t xml:space="preserve">[פורסם בנבו] </w:t>
      </w:r>
      <w:r>
        <w:rPr>
          <w:rtl/>
        </w:rPr>
        <w:t>(15/1/14), מפי כב' הש' ג'ובראן).</w:t>
      </w:r>
    </w:p>
    <w:p w14:paraId="5DC154EA" w14:textId="77777777" w:rsidR="00127892" w:rsidRDefault="00127892">
      <w:pPr>
        <w:spacing w:line="360" w:lineRule="auto"/>
        <w:ind w:left="720"/>
        <w:jc w:val="both"/>
        <w:rPr>
          <w:rtl/>
        </w:rPr>
      </w:pPr>
    </w:p>
    <w:p w14:paraId="5CE37C55" w14:textId="77777777" w:rsidR="00127892" w:rsidRDefault="00310790">
      <w:pPr>
        <w:spacing w:line="360" w:lineRule="auto"/>
        <w:ind w:left="720"/>
        <w:jc w:val="both"/>
        <w:rPr>
          <w:rtl/>
        </w:rPr>
      </w:pPr>
      <w:r>
        <w:rPr>
          <w:rtl/>
        </w:rPr>
        <w:t xml:space="preserve">העונש הקבוע בחוק בגין עבירה של החזקת נשק הוא 7 שנות מאסר בפועל. </w:t>
      </w:r>
    </w:p>
    <w:p w14:paraId="1E25B53A" w14:textId="77777777" w:rsidR="00127892" w:rsidRDefault="00127892">
      <w:pPr>
        <w:spacing w:line="360" w:lineRule="auto"/>
        <w:ind w:left="720"/>
        <w:jc w:val="both"/>
        <w:rPr>
          <w:rtl/>
        </w:rPr>
      </w:pPr>
    </w:p>
    <w:p w14:paraId="27A63E93" w14:textId="77777777" w:rsidR="00127892" w:rsidRDefault="00310790">
      <w:pPr>
        <w:shd w:val="clear" w:color="auto" w:fill="FFFFFF"/>
        <w:spacing w:line="360" w:lineRule="auto"/>
        <w:ind w:left="720"/>
        <w:jc w:val="both"/>
        <w:rPr>
          <w:rtl/>
        </w:rPr>
      </w:pPr>
      <w:r>
        <w:rPr>
          <w:rtl/>
        </w:rPr>
        <w:t>בנסיבות הענין, נוכח כל המקובץ לעיל, לאחר שעיינתי בפסקי דין נוספים העוסקים בעבירות שבוצעו בנסיבות דומות, ובהתחשב בחומרת העבירה שביצע הנאשם, בערכים החברתיים שנפגעו, במידת הפגיעה בהם, בנזק שצפוי היה להגרם, במדיניות הענישה הנוהגת ובכלל הנסיבות הקשורות בביצוע העבירה, אני רואה להעמיד את מתחם הענישה ביחס להחזקת</w:t>
      </w:r>
      <w:r>
        <w:rPr>
          <w:rFonts w:hint="cs"/>
          <w:rtl/>
        </w:rPr>
        <w:t>ו של</w:t>
      </w:r>
      <w:r>
        <w:rPr>
          <w:rtl/>
        </w:rPr>
        <w:t xml:space="preserve"> רימון הלם, אשר בסמוך מאוד להחזקתו </w:t>
      </w:r>
      <w:r>
        <w:rPr>
          <w:rFonts w:hint="cs"/>
          <w:rtl/>
        </w:rPr>
        <w:t xml:space="preserve">סמוך לבית המתלונן, </w:t>
      </w:r>
      <w:r>
        <w:rPr>
          <w:rtl/>
        </w:rPr>
        <w:t>הושלך לעבר מרפסת בית</w:t>
      </w:r>
      <w:r>
        <w:rPr>
          <w:rFonts w:hint="cs"/>
          <w:rtl/>
        </w:rPr>
        <w:t xml:space="preserve">, </w:t>
      </w:r>
      <w:r>
        <w:rPr>
          <w:rtl/>
        </w:rPr>
        <w:t>התפוצץ</w:t>
      </w:r>
      <w:r>
        <w:rPr>
          <w:rFonts w:hint="cs"/>
          <w:rtl/>
        </w:rPr>
        <w:t xml:space="preserve"> והשמיע קול נפץ עז</w:t>
      </w:r>
      <w:r>
        <w:rPr>
          <w:rtl/>
        </w:rPr>
        <w:t xml:space="preserve">, בטווח של  8 - 20 חודשי מאסר בפועל. </w:t>
      </w:r>
    </w:p>
    <w:p w14:paraId="2FBB5256" w14:textId="77777777" w:rsidR="00127892" w:rsidRDefault="00127892">
      <w:pPr>
        <w:shd w:val="clear" w:color="auto" w:fill="FFFFFF"/>
        <w:spacing w:line="360" w:lineRule="auto"/>
        <w:ind w:left="720"/>
        <w:jc w:val="both"/>
        <w:rPr>
          <w:rtl/>
        </w:rPr>
      </w:pPr>
    </w:p>
    <w:p w14:paraId="40528B47" w14:textId="77777777" w:rsidR="00127892" w:rsidRDefault="00310790">
      <w:pPr>
        <w:spacing w:line="360" w:lineRule="auto"/>
        <w:ind w:left="720" w:hanging="720"/>
        <w:jc w:val="both"/>
        <w:rPr>
          <w:rtl/>
        </w:rPr>
      </w:pPr>
      <w:r>
        <w:rPr>
          <w:b/>
          <w:bCs/>
          <w:rtl/>
        </w:rPr>
        <w:t>9.</w:t>
      </w:r>
      <w:r>
        <w:rPr>
          <w:rtl/>
        </w:rPr>
        <w:tab/>
        <w:t xml:space="preserve">יחד עם זאת, הענישה היא לעולם אינדיבידואלית, ובית המשפט ישקול גם שיקולים הנוגעים לנסיבותיו האישיות של הנאשם, גילו, עברו, לקיחת אחריות על ידו, חרטתו, שיתוף הפעולה שלו עם רשויות אכיפת החוק, </w:t>
      </w:r>
      <w:r>
        <w:rPr>
          <w:rStyle w:val="default"/>
          <w:rtl/>
        </w:rPr>
        <w:t>מאמציו לתיקון תוצאות העבירה ולפיצוי על הנזק שנגרם בשלה</w:t>
      </w:r>
      <w:r>
        <w:rPr>
          <w:rtl/>
        </w:rPr>
        <w:t xml:space="preserve">, חלוף הזמן מעת ביצוע העבירה, וכן השפעת הענישה עליו ועל משפחתו, שיקומו ועוד. (ראו </w:t>
      </w:r>
      <w:hyperlink r:id="rId45" w:history="1">
        <w:r w:rsidRPr="00310790">
          <w:rPr>
            <w:color w:val="0000FF"/>
            <w:u w:val="single"/>
            <w:rtl/>
          </w:rPr>
          <w:t>ע"פ 10444/06</w:t>
        </w:r>
      </w:hyperlink>
      <w:r>
        <w:rPr>
          <w:rtl/>
        </w:rPr>
        <w:t xml:space="preserve"> </w:t>
      </w:r>
      <w:r>
        <w:rPr>
          <w:b/>
          <w:bCs/>
          <w:rtl/>
        </w:rPr>
        <w:t xml:space="preserve">עייני נ' מ"י </w:t>
      </w:r>
      <w:r w:rsidR="00C822BC" w:rsidRPr="00C822BC">
        <w:rPr>
          <w:sz w:val="22"/>
          <w:rtl/>
        </w:rPr>
        <w:t xml:space="preserve">[פורסם בנבו] </w:t>
      </w:r>
      <w:r>
        <w:rPr>
          <w:rtl/>
        </w:rPr>
        <w:t xml:space="preserve">(25/4/07), מפי כב' הש' ארבל; ע"פ 4980/01 הנ"ל; וכן </w:t>
      </w:r>
      <w:hyperlink r:id="rId46" w:history="1">
        <w:r w:rsidR="007E70D8" w:rsidRPr="007E70D8">
          <w:rPr>
            <w:rStyle w:val="Hyperlink"/>
            <w:rtl/>
          </w:rPr>
          <w:t>סעיף 40יא</w:t>
        </w:r>
      </w:hyperlink>
      <w:r>
        <w:rPr>
          <w:rtl/>
        </w:rPr>
        <w:t xml:space="preserve"> ל</w:t>
      </w:r>
      <w:hyperlink r:id="rId47" w:history="1">
        <w:r w:rsidRPr="00310790">
          <w:rPr>
            <w:color w:val="0000FF"/>
            <w:u w:val="single"/>
            <w:rtl/>
          </w:rPr>
          <w:t>חוק העונשין</w:t>
        </w:r>
      </w:hyperlink>
      <w:r>
        <w:rPr>
          <w:rtl/>
        </w:rPr>
        <w:t xml:space="preserve">). </w:t>
      </w:r>
    </w:p>
    <w:p w14:paraId="39B5FB0F" w14:textId="77777777" w:rsidR="00127892" w:rsidRDefault="00310790">
      <w:pPr>
        <w:spacing w:line="360" w:lineRule="auto"/>
        <w:ind w:left="720"/>
        <w:jc w:val="both"/>
        <w:rPr>
          <w:highlight w:val="cyan"/>
          <w:rtl/>
        </w:rPr>
      </w:pPr>
      <w:r>
        <w:rPr>
          <w:rtl/>
        </w:rPr>
        <w:t>לקולא אני רואה לזקוף לזכותו של הנאשם את הודייתו בעובדות כתב האישום המתוקן בטרם הוחל בשמיעת הראיות, אשר חסכו זמן שיפוטי רב, וכן את האחריות והחרטה שהביעו על מעשיו</w:t>
      </w:r>
      <w:r>
        <w:rPr>
          <w:rFonts w:hint="cs"/>
          <w:rtl/>
        </w:rPr>
        <w:t xml:space="preserve">. </w:t>
      </w:r>
      <w:r>
        <w:rPr>
          <w:rtl/>
        </w:rPr>
        <w:t xml:space="preserve">עוד יש להתחשב בכך שהנאשם עצור מזה כארבעה חודשים, משנעצר עד תום ההליכים. </w:t>
      </w:r>
    </w:p>
    <w:p w14:paraId="156D473E" w14:textId="77777777" w:rsidR="00127892" w:rsidRDefault="00127892">
      <w:pPr>
        <w:spacing w:line="360" w:lineRule="auto"/>
        <w:ind w:left="720"/>
        <w:jc w:val="both"/>
        <w:rPr>
          <w:highlight w:val="cyan"/>
          <w:rtl/>
        </w:rPr>
      </w:pPr>
    </w:p>
    <w:p w14:paraId="1C52D25E" w14:textId="77777777" w:rsidR="00127892" w:rsidRDefault="00310790">
      <w:pPr>
        <w:spacing w:line="360" w:lineRule="auto"/>
        <w:ind w:left="720"/>
        <w:jc w:val="both"/>
        <w:rPr>
          <w:rFonts w:ascii="Calibri" w:hAnsi="Calibri"/>
          <w:rtl/>
        </w:rPr>
      </w:pPr>
      <w:r>
        <w:rPr>
          <w:rtl/>
        </w:rPr>
        <w:t xml:space="preserve">כמו כן יובאו בחשבון נסיבותיו האישיות של הנאשם, כפי שפורטו בהרחבה על ידי סנגורו, לרבות העובדה כי בעת היותו עצור נולד לו בן אותו לא ראה, הקושי שנגרם לאשתו, שנאלצה לצאת לעבודה כדי לפרנס את עצמה ואת בנה, גיוסו לצבא מבלי שהיה חב גיוס ותרומתו למדינה, כמתואר לעיל. </w:t>
      </w:r>
    </w:p>
    <w:p w14:paraId="305D2682" w14:textId="77777777" w:rsidR="00127892" w:rsidRDefault="00127892">
      <w:pPr>
        <w:spacing w:line="360" w:lineRule="auto"/>
        <w:jc w:val="both"/>
        <w:rPr>
          <w:rFonts w:ascii="Calibri" w:hAnsi="Calibri"/>
          <w:highlight w:val="cyan"/>
          <w:rtl/>
        </w:rPr>
      </w:pPr>
    </w:p>
    <w:p w14:paraId="009B1236" w14:textId="77777777" w:rsidR="00127892" w:rsidRDefault="00310790">
      <w:pPr>
        <w:spacing w:line="360" w:lineRule="auto"/>
        <w:ind w:left="720"/>
        <w:jc w:val="both"/>
        <w:rPr>
          <w:rFonts w:ascii="Calibri" w:hAnsi="Calibri"/>
          <w:highlight w:val="cyan"/>
          <w:rtl/>
        </w:rPr>
      </w:pPr>
      <w:r>
        <w:rPr>
          <w:rtl/>
        </w:rPr>
        <w:t xml:space="preserve">כן </w:t>
      </w:r>
      <w:r>
        <w:rPr>
          <w:rFonts w:hint="cs"/>
          <w:rtl/>
        </w:rPr>
        <w:t xml:space="preserve">יש לזקוף לקולא את </w:t>
      </w:r>
      <w:r>
        <w:rPr>
          <w:rtl/>
        </w:rPr>
        <w:t xml:space="preserve">גישתו הסלחנית של המתלונן, שאף תמך בתיקון כתב האישום, כפי שהובע מפי ב"כ המאשימה, והדברים חוזקו בדברי הסנגור, אשר מסר כי מדובר במערכת יחסים טובה בינו לבין הורי הנאשם. </w:t>
      </w:r>
    </w:p>
    <w:p w14:paraId="581651F2" w14:textId="77777777" w:rsidR="00127892" w:rsidRDefault="00127892">
      <w:pPr>
        <w:spacing w:line="360" w:lineRule="auto"/>
        <w:ind w:left="720"/>
        <w:jc w:val="both"/>
        <w:rPr>
          <w:rFonts w:ascii="Calibri" w:hAnsi="Calibri"/>
          <w:rtl/>
        </w:rPr>
      </w:pPr>
    </w:p>
    <w:p w14:paraId="6B5290D2" w14:textId="77777777" w:rsidR="00127892" w:rsidRDefault="00310790">
      <w:pPr>
        <w:spacing w:line="360" w:lineRule="auto"/>
        <w:ind w:left="720"/>
        <w:jc w:val="both"/>
        <w:rPr>
          <w:rtl/>
        </w:rPr>
      </w:pPr>
      <w:r>
        <w:rPr>
          <w:rtl/>
        </w:rPr>
        <w:t>לחומר</w:t>
      </w:r>
      <w:r>
        <w:rPr>
          <w:rFonts w:hint="cs"/>
          <w:rtl/>
        </w:rPr>
        <w:t>א,</w:t>
      </w:r>
      <w:r>
        <w:rPr>
          <w:rtl/>
        </w:rPr>
        <w:t xml:space="preserve"> תובא בחשבון הרשעתו הקודמת של הנאשם בעבירה של הנחת חומר נפיץ</w:t>
      </w:r>
      <w:r>
        <w:rPr>
          <w:rFonts w:hint="cs"/>
          <w:rtl/>
        </w:rPr>
        <w:t xml:space="preserve"> (עבירה  </w:t>
      </w:r>
      <w:r>
        <w:rPr>
          <w:rFonts w:hint="cs"/>
          <w:highlight w:val="magenta"/>
          <w:rtl/>
        </w:rPr>
        <w:t xml:space="preserve"> </w:t>
      </w:r>
      <w:r>
        <w:rPr>
          <w:rtl/>
        </w:rPr>
        <w:t>שליבתה בנשק</w:t>
      </w:r>
      <w:r>
        <w:rPr>
          <w:rFonts w:hint="cs"/>
          <w:rtl/>
        </w:rPr>
        <w:t xml:space="preserve"> והעונש הקבוע בצידה הוא 20 שנות מאסר)</w:t>
      </w:r>
      <w:r>
        <w:rPr>
          <w:rtl/>
        </w:rPr>
        <w:t xml:space="preserve">, בגינה נדון לשמונה חודשי מאסר. אכן העבירה דידן בוצעה כשש וחצי שנים לאחר הרשעתו, אך יש להצטער על כך שמאסרו לא הרתיעו מלחזור ולעסוק בעבירות נשק. </w:t>
      </w:r>
    </w:p>
    <w:p w14:paraId="598AC0C6" w14:textId="77777777" w:rsidR="00127892" w:rsidRDefault="00127892">
      <w:pPr>
        <w:spacing w:line="360" w:lineRule="auto"/>
        <w:ind w:left="720"/>
        <w:jc w:val="both"/>
        <w:rPr>
          <w:rtl/>
        </w:rPr>
      </w:pPr>
    </w:p>
    <w:p w14:paraId="3B1248C4" w14:textId="77777777" w:rsidR="00127892" w:rsidRDefault="00310790">
      <w:pPr>
        <w:spacing w:line="360" w:lineRule="auto"/>
        <w:ind w:left="720"/>
        <w:jc w:val="both"/>
        <w:rPr>
          <w:rtl/>
        </w:rPr>
      </w:pPr>
      <w:r>
        <w:rPr>
          <w:rFonts w:hint="cs"/>
          <w:rtl/>
        </w:rPr>
        <w:t xml:space="preserve">אשר לטענת הסנגור כי מתחם הענישה נדחה מפני שיקולי שיקום, בהעדר תסקיר חיובי של שירות המבחן, יש קושי לקבוע כי יש מקום לשקול במקרה דנן שיקולי שיקום. </w:t>
      </w:r>
    </w:p>
    <w:p w14:paraId="477E6311" w14:textId="77777777" w:rsidR="00127892" w:rsidRDefault="00127892">
      <w:pPr>
        <w:ind w:left="720"/>
        <w:jc w:val="both"/>
        <w:rPr>
          <w:rtl/>
        </w:rPr>
      </w:pPr>
    </w:p>
    <w:p w14:paraId="56AB512D" w14:textId="77777777" w:rsidR="00127892" w:rsidRDefault="00310790">
      <w:pPr>
        <w:spacing w:line="360" w:lineRule="auto"/>
        <w:ind w:left="720" w:hanging="720"/>
        <w:jc w:val="both"/>
        <w:rPr>
          <w:rtl/>
        </w:rPr>
      </w:pPr>
      <w:r>
        <w:rPr>
          <w:b/>
          <w:bCs/>
          <w:rtl/>
        </w:rPr>
        <w:t>10.</w:t>
      </w:r>
      <w:r>
        <w:rPr>
          <w:rtl/>
        </w:rPr>
        <w:tab/>
        <w:t xml:space="preserve">נוכח המקובץ לעיל, לאחר שבחנתי את מכלול השיקולים לחומרה ולקולא, אני רואה להשית על הנאשם עונשים כדלקמן: </w:t>
      </w:r>
    </w:p>
    <w:p w14:paraId="05560890" w14:textId="77777777" w:rsidR="00127892" w:rsidRDefault="00127892">
      <w:pPr>
        <w:spacing w:line="360" w:lineRule="auto"/>
        <w:ind w:left="720"/>
        <w:jc w:val="both"/>
        <w:rPr>
          <w:rtl/>
        </w:rPr>
      </w:pPr>
    </w:p>
    <w:p w14:paraId="50932E4A" w14:textId="77777777" w:rsidR="00127892" w:rsidRDefault="00310790">
      <w:pPr>
        <w:spacing w:line="360" w:lineRule="auto"/>
        <w:ind w:left="720"/>
        <w:jc w:val="both"/>
        <w:rPr>
          <w:rtl/>
        </w:rPr>
      </w:pPr>
      <w:r>
        <w:rPr>
          <w:b/>
          <w:bCs/>
          <w:rtl/>
        </w:rPr>
        <w:t>א</w:t>
      </w:r>
      <w:r>
        <w:rPr>
          <w:rtl/>
        </w:rPr>
        <w:t xml:space="preserve">. </w:t>
      </w:r>
      <w:r>
        <w:rPr>
          <w:rFonts w:hint="cs"/>
          <w:rtl/>
        </w:rPr>
        <w:t xml:space="preserve"> 9 </w:t>
      </w:r>
      <w:r>
        <w:rPr>
          <w:rtl/>
        </w:rPr>
        <w:t xml:space="preserve">חודשי מאסר בפועל, בניכוי תקופת מעצרו בתיק זה מיום 12/10/14. </w:t>
      </w:r>
    </w:p>
    <w:p w14:paraId="3963ACA4" w14:textId="77777777" w:rsidR="00127892" w:rsidRDefault="00127892">
      <w:pPr>
        <w:spacing w:line="360" w:lineRule="auto"/>
        <w:ind w:left="720"/>
        <w:jc w:val="both"/>
        <w:rPr>
          <w:b/>
          <w:bCs/>
          <w:rtl/>
        </w:rPr>
      </w:pPr>
    </w:p>
    <w:p w14:paraId="3FE2EEAA" w14:textId="77777777" w:rsidR="00127892" w:rsidRDefault="00310790">
      <w:pPr>
        <w:spacing w:line="360" w:lineRule="auto"/>
        <w:ind w:left="720"/>
        <w:jc w:val="both"/>
      </w:pPr>
      <w:r>
        <w:rPr>
          <w:b/>
          <w:bCs/>
          <w:rtl/>
        </w:rPr>
        <w:t>ב.</w:t>
      </w:r>
      <w:r>
        <w:rPr>
          <w:rtl/>
        </w:rPr>
        <w:t xml:space="preserve"> </w:t>
      </w:r>
      <w:r>
        <w:rPr>
          <w:rFonts w:hint="cs"/>
          <w:rtl/>
        </w:rPr>
        <w:t xml:space="preserve">15 חודשי </w:t>
      </w:r>
      <w:r>
        <w:rPr>
          <w:rtl/>
        </w:rPr>
        <w:t>מאסר על תנאי</w:t>
      </w:r>
      <w:r>
        <w:rPr>
          <w:rFonts w:hint="cs"/>
          <w:rtl/>
        </w:rPr>
        <w:t xml:space="preserve"> </w:t>
      </w:r>
      <w:r>
        <w:rPr>
          <w:rtl/>
        </w:rPr>
        <w:t xml:space="preserve"> </w:t>
      </w:r>
      <w:r>
        <w:rPr>
          <w:rFonts w:hint="cs"/>
          <w:rtl/>
        </w:rPr>
        <w:t>למשך 3 שנים</w:t>
      </w:r>
      <w:r>
        <w:rPr>
          <w:rtl/>
        </w:rPr>
        <w:t xml:space="preserve">, שהנאשם לא ישא בו זולת אם יעבור עבירה בה הורשע, או כל עבירת אלימות שהיא פשע,  ויורשע בה בתוך תקופת התנאי או לאחריה. </w:t>
      </w:r>
    </w:p>
    <w:p w14:paraId="7FEAB67D" w14:textId="77777777" w:rsidR="00127892" w:rsidRDefault="00127892">
      <w:pPr>
        <w:spacing w:line="360" w:lineRule="auto"/>
        <w:ind w:left="720"/>
        <w:jc w:val="both"/>
        <w:rPr>
          <w:b/>
          <w:bCs/>
          <w:u w:val="single"/>
          <w:rtl/>
        </w:rPr>
      </w:pPr>
    </w:p>
    <w:p w14:paraId="6A67C53B" w14:textId="77777777" w:rsidR="00127892" w:rsidRDefault="00310790">
      <w:pPr>
        <w:spacing w:line="360" w:lineRule="auto"/>
        <w:ind w:left="720" w:hanging="720"/>
        <w:jc w:val="both"/>
        <w:rPr>
          <w:rtl/>
        </w:rPr>
      </w:pPr>
      <w:r>
        <w:rPr>
          <w:b/>
          <w:bCs/>
          <w:rtl/>
        </w:rPr>
        <w:tab/>
      </w:r>
      <w:r>
        <w:rPr>
          <w:b/>
          <w:bCs/>
          <w:u w:val="single"/>
          <w:rtl/>
        </w:rPr>
        <w:t>זכות ערעור בתוך 45 יום לבית המשפט העליון.</w:t>
      </w:r>
    </w:p>
    <w:p w14:paraId="2A0650F6" w14:textId="77777777" w:rsidR="00127892" w:rsidRDefault="00127892">
      <w:pPr>
        <w:rPr>
          <w:rFonts w:ascii="Arial" w:hAnsi="Arial"/>
          <w:rtl/>
        </w:rPr>
      </w:pPr>
    </w:p>
    <w:p w14:paraId="4F5CAFC1" w14:textId="77777777" w:rsidR="00127892" w:rsidRDefault="00127892">
      <w:pPr>
        <w:rPr>
          <w:rtl/>
        </w:rPr>
      </w:pPr>
      <w:bookmarkStart w:id="7" w:name="_GoBack"/>
      <w:bookmarkEnd w:id="7"/>
    </w:p>
    <w:p w14:paraId="31CF5668" w14:textId="77777777" w:rsidR="00127892" w:rsidRPr="00310790" w:rsidRDefault="00310790">
      <w:pPr>
        <w:rPr>
          <w:color w:val="FFFFFF"/>
          <w:sz w:val="2"/>
          <w:szCs w:val="2"/>
          <w:rtl/>
        </w:rPr>
      </w:pPr>
      <w:r w:rsidRPr="00310790">
        <w:rPr>
          <w:color w:val="FFFFFF"/>
          <w:sz w:val="2"/>
          <w:szCs w:val="2"/>
          <w:rtl/>
        </w:rPr>
        <w:t>5129371</w:t>
      </w:r>
    </w:p>
    <w:p w14:paraId="7A329EB5" w14:textId="77777777" w:rsidR="00127892" w:rsidRPr="00C822BC" w:rsidRDefault="00310790">
      <w:pPr>
        <w:rPr>
          <w:rFonts w:cs="FrankRuehl"/>
          <w:b/>
          <w:bCs/>
          <w:sz w:val="28"/>
          <w:szCs w:val="28"/>
          <w:rtl/>
        </w:rPr>
      </w:pPr>
      <w:r w:rsidRPr="00C822BC">
        <w:rPr>
          <w:rFonts w:ascii="Arial" w:hAnsi="Arial"/>
          <w:b/>
          <w:bCs/>
          <w:color w:val="FFFFFF"/>
          <w:sz w:val="2"/>
          <w:szCs w:val="2"/>
          <w:rtl/>
        </w:rPr>
        <w:t>54678313</w:t>
      </w:r>
      <w:r w:rsidRPr="00C822BC">
        <w:rPr>
          <w:rFonts w:ascii="Arial" w:hAnsi="Arial"/>
          <w:b/>
          <w:bCs/>
          <w:rtl/>
        </w:rPr>
        <w:t xml:space="preserve">ניתן היום,  כ"ב שבט תשע"ה, 11 פברואר 2015. </w:t>
      </w:r>
    </w:p>
    <w:p w14:paraId="02FF782C" w14:textId="77777777" w:rsidR="00127892" w:rsidRDefault="0031079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DB1F18D" w14:textId="77777777" w:rsidR="00127892" w:rsidRDefault="00127892">
      <w:pPr>
        <w:pStyle w:val="a3"/>
        <w:jc w:val="center"/>
        <w:rPr>
          <w:rtl/>
        </w:rPr>
      </w:pPr>
    </w:p>
    <w:p w14:paraId="4E8C5F3A" w14:textId="77777777" w:rsidR="00310790" w:rsidRPr="00310790" w:rsidRDefault="00310790" w:rsidP="00310790">
      <w:pPr>
        <w:keepNext/>
        <w:rPr>
          <w:rFonts w:ascii="David" w:hAnsi="David"/>
          <w:color w:val="000000"/>
          <w:sz w:val="22"/>
          <w:szCs w:val="22"/>
          <w:rtl/>
        </w:rPr>
      </w:pPr>
    </w:p>
    <w:p w14:paraId="7A2E1CF7" w14:textId="77777777" w:rsidR="00310790" w:rsidRPr="00310790" w:rsidRDefault="00310790" w:rsidP="00310790">
      <w:pPr>
        <w:keepNext/>
        <w:rPr>
          <w:rFonts w:ascii="David" w:hAnsi="David"/>
          <w:color w:val="000000"/>
          <w:sz w:val="22"/>
          <w:szCs w:val="22"/>
          <w:rtl/>
        </w:rPr>
      </w:pPr>
      <w:r w:rsidRPr="00310790">
        <w:rPr>
          <w:rFonts w:ascii="David" w:hAnsi="David"/>
          <w:color w:val="000000"/>
          <w:sz w:val="22"/>
          <w:szCs w:val="22"/>
          <w:rtl/>
        </w:rPr>
        <w:t>דיאנה סלע 54678313</w:t>
      </w:r>
    </w:p>
    <w:p w14:paraId="561A3B52" w14:textId="77777777" w:rsidR="00310790" w:rsidRDefault="00310790" w:rsidP="00310790">
      <w:r w:rsidRPr="00310790">
        <w:rPr>
          <w:color w:val="000000"/>
          <w:rtl/>
        </w:rPr>
        <w:t>נוסח מסמך זה כפוף לשינויי ניסוח ועריכה</w:t>
      </w:r>
    </w:p>
    <w:p w14:paraId="4762A1EA" w14:textId="77777777" w:rsidR="00310790" w:rsidRDefault="00310790" w:rsidP="00310790">
      <w:pPr>
        <w:rPr>
          <w:rtl/>
        </w:rPr>
      </w:pPr>
    </w:p>
    <w:p w14:paraId="2DEA61C7" w14:textId="77777777" w:rsidR="00310790" w:rsidRDefault="00310790" w:rsidP="00310790">
      <w:pPr>
        <w:jc w:val="center"/>
        <w:rPr>
          <w:color w:val="0000FF"/>
          <w:u w:val="single"/>
        </w:rPr>
      </w:pPr>
      <w:hyperlink r:id="rId48" w:history="1">
        <w:r>
          <w:rPr>
            <w:color w:val="0000FF"/>
            <w:u w:val="single"/>
            <w:rtl/>
          </w:rPr>
          <w:t>בעניין עריכה ושינויים במסמכי פסיקה, חקיקה ועוד באתר נבו – הקש כאן</w:t>
        </w:r>
      </w:hyperlink>
    </w:p>
    <w:p w14:paraId="13B5EBFB" w14:textId="77777777" w:rsidR="00127892" w:rsidRPr="00310790" w:rsidRDefault="00127892" w:rsidP="00310790">
      <w:pPr>
        <w:jc w:val="center"/>
        <w:rPr>
          <w:color w:val="0000FF"/>
          <w:u w:val="single"/>
        </w:rPr>
      </w:pPr>
    </w:p>
    <w:sectPr w:rsidR="00127892" w:rsidRPr="00310790" w:rsidSect="00310790">
      <w:headerReference w:type="even" r:id="rId49"/>
      <w:headerReference w:type="default" r:id="rId50"/>
      <w:footerReference w:type="even" r:id="rId51"/>
      <w:footerReference w:type="default" r:id="rId52"/>
      <w:pgSz w:w="11907" w:h="16840" w:code="9"/>
      <w:pgMar w:top="1701" w:right="1701" w:bottom="993"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C0F26F" w14:textId="77777777" w:rsidR="00726477" w:rsidRPr="0059616E" w:rsidRDefault="00726477">
      <w:pPr>
        <w:rPr>
          <w:rFonts w:cs="Arial"/>
          <w:szCs w:val="20"/>
        </w:rPr>
      </w:pPr>
      <w:r>
        <w:separator/>
      </w:r>
    </w:p>
  </w:endnote>
  <w:endnote w:type="continuationSeparator" w:id="0">
    <w:p w14:paraId="18C32F21" w14:textId="77777777" w:rsidR="00726477" w:rsidRPr="0059616E" w:rsidRDefault="00726477">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5EBF51" w14:textId="77777777" w:rsidR="00310790" w:rsidRDefault="00310790" w:rsidP="0031079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3DE735F" w14:textId="77777777" w:rsidR="00127892" w:rsidRPr="00310790" w:rsidRDefault="00310790" w:rsidP="00310790">
    <w:pPr>
      <w:pStyle w:val="a4"/>
      <w:pBdr>
        <w:top w:val="single" w:sz="4" w:space="1" w:color="auto"/>
        <w:between w:val="single" w:sz="4" w:space="0" w:color="auto"/>
      </w:pBdr>
      <w:spacing w:after="60"/>
      <w:jc w:val="center"/>
      <w:rPr>
        <w:rFonts w:ascii="FrankRuehl" w:hAnsi="FrankRuehl" w:cs="FrankRuehl"/>
        <w:color w:val="000000"/>
      </w:rPr>
    </w:pPr>
    <w:r w:rsidRPr="0031079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659020" w14:textId="77777777" w:rsidR="00310790" w:rsidRDefault="00310790" w:rsidP="0031079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822BC">
      <w:rPr>
        <w:rFonts w:ascii="FrankRuehl" w:hAnsi="FrankRuehl" w:cs="FrankRuehl"/>
        <w:noProof/>
        <w:rtl/>
      </w:rPr>
      <w:t>1</w:t>
    </w:r>
    <w:r>
      <w:rPr>
        <w:rFonts w:ascii="FrankRuehl" w:hAnsi="FrankRuehl" w:cs="FrankRuehl"/>
        <w:rtl/>
      </w:rPr>
      <w:fldChar w:fldCharType="end"/>
    </w:r>
  </w:p>
  <w:p w14:paraId="1256F46B" w14:textId="77777777" w:rsidR="00127892" w:rsidRPr="00310790" w:rsidRDefault="00310790" w:rsidP="00310790">
    <w:pPr>
      <w:pStyle w:val="a4"/>
      <w:pBdr>
        <w:top w:val="single" w:sz="4" w:space="1" w:color="auto"/>
        <w:between w:val="single" w:sz="4" w:space="0" w:color="auto"/>
      </w:pBdr>
      <w:spacing w:after="60"/>
      <w:jc w:val="center"/>
      <w:rPr>
        <w:rFonts w:ascii="FrankRuehl" w:hAnsi="FrankRuehl" w:cs="FrankRuehl"/>
        <w:color w:val="000000"/>
      </w:rPr>
    </w:pPr>
    <w:r w:rsidRPr="00310790">
      <w:rPr>
        <w:rFonts w:ascii="FrankRuehl" w:hAnsi="FrankRuehl" w:cs="FrankRuehl"/>
        <w:color w:val="000000"/>
      </w:rPr>
      <w:pict w14:anchorId="588D9C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986A6B" w14:textId="77777777" w:rsidR="00726477" w:rsidRPr="0059616E" w:rsidRDefault="00726477">
      <w:pPr>
        <w:rPr>
          <w:rFonts w:cs="Arial"/>
          <w:szCs w:val="20"/>
        </w:rPr>
      </w:pPr>
      <w:r>
        <w:separator/>
      </w:r>
    </w:p>
  </w:footnote>
  <w:footnote w:type="continuationSeparator" w:id="0">
    <w:p w14:paraId="49C4497A" w14:textId="77777777" w:rsidR="00726477" w:rsidRPr="0059616E" w:rsidRDefault="00726477">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5A6604" w14:textId="77777777" w:rsidR="00310790" w:rsidRPr="00310790" w:rsidRDefault="00310790" w:rsidP="0031079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31218-10-14</w:t>
    </w:r>
    <w:r>
      <w:rPr>
        <w:rFonts w:ascii="David" w:hAnsi="David"/>
        <w:color w:val="000000"/>
        <w:sz w:val="22"/>
        <w:szCs w:val="22"/>
        <w:rtl/>
      </w:rPr>
      <w:tab/>
      <w:t xml:space="preserve"> מדינת ישראל נ' דיאב אסדי (עצור)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C92C7" w14:textId="77777777" w:rsidR="00310790" w:rsidRPr="00310790" w:rsidRDefault="00310790" w:rsidP="0031079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31218-10-14</w:t>
    </w:r>
    <w:r>
      <w:rPr>
        <w:rFonts w:ascii="David" w:hAnsi="David"/>
        <w:color w:val="000000"/>
        <w:sz w:val="22"/>
        <w:szCs w:val="22"/>
        <w:rtl/>
      </w:rPr>
      <w:tab/>
      <w:t xml:space="preserve"> מדינת ישראל נ' דיאב אסדי (עצור)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27892"/>
    <w:rsid w:val="00127892"/>
    <w:rsid w:val="00310790"/>
    <w:rsid w:val="00480493"/>
    <w:rsid w:val="004A60EB"/>
    <w:rsid w:val="00726477"/>
    <w:rsid w:val="007A43AE"/>
    <w:rsid w:val="007E70D8"/>
    <w:rsid w:val="00C41FEC"/>
    <w:rsid w:val="00C822BC"/>
    <w:rsid w:val="00CE480C"/>
    <w:rsid w:val="00F644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C6AEF7B"/>
  <w15:chartTrackingRefBased/>
  <w15:docId w15:val="{2DD3D73D-AE75-4F9B-A93D-537A9AA88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27892"/>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27892"/>
    <w:pPr>
      <w:tabs>
        <w:tab w:val="center" w:pos="4153"/>
        <w:tab w:val="right" w:pos="8306"/>
      </w:tabs>
    </w:pPr>
  </w:style>
  <w:style w:type="paragraph" w:styleId="a4">
    <w:name w:val="footer"/>
    <w:basedOn w:val="a"/>
    <w:rsid w:val="00127892"/>
    <w:pPr>
      <w:tabs>
        <w:tab w:val="center" w:pos="4153"/>
        <w:tab w:val="right" w:pos="8306"/>
      </w:tabs>
    </w:pPr>
  </w:style>
  <w:style w:type="character" w:styleId="a5">
    <w:name w:val="page number"/>
    <w:basedOn w:val="a0"/>
    <w:rsid w:val="00127892"/>
  </w:style>
  <w:style w:type="character" w:customStyle="1" w:styleId="TimesNewRomanTimesNewRoman">
    <w:name w:val="סגנון (לטיני) Times New Roman (עברית ושפות אחרות) Times New Roman..."/>
    <w:basedOn w:val="a0"/>
    <w:rsid w:val="00127892"/>
    <w:rPr>
      <w:rFonts w:ascii="Times New Roman" w:hAnsi="Times New Roman" w:cs="David" w:hint="default"/>
      <w:b/>
      <w:bCs/>
      <w:sz w:val="26"/>
      <w:szCs w:val="26"/>
    </w:rPr>
  </w:style>
  <w:style w:type="character" w:customStyle="1" w:styleId="normal-h">
    <w:name w:val="normal-h"/>
    <w:rsid w:val="00127892"/>
    <w:rPr>
      <w:rFonts w:ascii="Times New Roman" w:hAnsi="Times New Roman"/>
    </w:rPr>
  </w:style>
  <w:style w:type="character" w:customStyle="1" w:styleId="default">
    <w:name w:val="default"/>
    <w:rsid w:val="00127892"/>
    <w:rPr>
      <w:rFonts w:ascii="Times New Roman" w:hAnsi="Times New Roman"/>
      <w:sz w:val="26"/>
    </w:rPr>
  </w:style>
  <w:style w:type="character" w:styleId="Hyperlink">
    <w:name w:val="Hyperlink"/>
    <w:basedOn w:val="a0"/>
    <w:rsid w:val="003107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6078308" TargetMode="External"/><Relationship Id="rId26" Type="http://schemas.openxmlformats.org/officeDocument/2006/relationships/hyperlink" Target="http://www.nevo.co.il/case/6473037" TargetMode="External"/><Relationship Id="rId39" Type="http://schemas.openxmlformats.org/officeDocument/2006/relationships/hyperlink" Target="http://www.nevo.co.il/case/7773846" TargetMode="External"/><Relationship Id="rId21" Type="http://schemas.openxmlformats.org/officeDocument/2006/relationships/hyperlink" Target="http://www.nevo.co.il/case/5866366" TargetMode="External"/><Relationship Id="rId34" Type="http://schemas.openxmlformats.org/officeDocument/2006/relationships/hyperlink" Target="http://www.nevo.co.il/case/6102612" TargetMode="External"/><Relationship Id="rId42" Type="http://schemas.openxmlformats.org/officeDocument/2006/relationships/hyperlink" Target="http://www.nevo.co.il/case/10499511" TargetMode="External"/><Relationship Id="rId47" Type="http://schemas.openxmlformats.org/officeDocument/2006/relationships/hyperlink" Target="http://www.nevo.co.il/law/70301" TargetMode="External"/><Relationship Id="rId50" Type="http://schemas.openxmlformats.org/officeDocument/2006/relationships/header" Target="header2.xml"/><Relationship Id="rId7" Type="http://schemas.openxmlformats.org/officeDocument/2006/relationships/hyperlink" Target="http://www.nevo.co.il/law/70301/144.a" TargetMode="External"/><Relationship Id="rId2" Type="http://schemas.openxmlformats.org/officeDocument/2006/relationships/settings" Target="settings.xml"/><Relationship Id="rId16" Type="http://schemas.openxmlformats.org/officeDocument/2006/relationships/hyperlink" Target="http://www.nevo.co.il/case/6000182" TargetMode="External"/><Relationship Id="rId29" Type="http://schemas.openxmlformats.org/officeDocument/2006/relationships/hyperlink" Target="http://www.nevo.co.il/case/6243627"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5852445" TargetMode="External"/><Relationship Id="rId32" Type="http://schemas.openxmlformats.org/officeDocument/2006/relationships/hyperlink" Target="http://www.nevo.co.il/case/6473037" TargetMode="External"/><Relationship Id="rId37" Type="http://schemas.openxmlformats.org/officeDocument/2006/relationships/hyperlink" Target="http://www.nevo.co.il/case/20050884" TargetMode="External"/><Relationship Id="rId40" Type="http://schemas.openxmlformats.org/officeDocument/2006/relationships/hyperlink" Target="http://www.nevo.co.il/case/12934030" TargetMode="External"/><Relationship Id="rId45" Type="http://schemas.openxmlformats.org/officeDocument/2006/relationships/hyperlink" Target="http://www.nevo.co.il/case/6170256" TargetMode="External"/><Relationship Id="rId53"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nevo.co.il/law/70301/144.a" TargetMode="External"/><Relationship Id="rId19" Type="http://schemas.openxmlformats.org/officeDocument/2006/relationships/hyperlink" Target="http://www.nevo.co.il/case/6104546" TargetMode="External"/><Relationship Id="rId31" Type="http://schemas.openxmlformats.org/officeDocument/2006/relationships/hyperlink" Target="http://www.nevo.co.il/case/6102612" TargetMode="External"/><Relationship Id="rId44" Type="http://schemas.openxmlformats.org/officeDocument/2006/relationships/hyperlink" Target="http://www.nevo.co.il/case/6018516" TargetMode="External"/><Relationship Id="rId52"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40ja" TargetMode="External"/><Relationship Id="rId14" Type="http://schemas.openxmlformats.org/officeDocument/2006/relationships/hyperlink" Target="http://www.nevo.co.il/case/5762686" TargetMode="External"/><Relationship Id="rId22" Type="http://schemas.openxmlformats.org/officeDocument/2006/relationships/hyperlink" Target="http://www.nevo.co.il/case/5764932" TargetMode="External"/><Relationship Id="rId27" Type="http://schemas.openxmlformats.org/officeDocument/2006/relationships/hyperlink" Target="http://www.nevo.co.il/case/4368246" TargetMode="External"/><Relationship Id="rId30" Type="http://schemas.openxmlformats.org/officeDocument/2006/relationships/hyperlink" Target="http://www.nevo.co.il/case/5762686" TargetMode="External"/><Relationship Id="rId35" Type="http://schemas.openxmlformats.org/officeDocument/2006/relationships/hyperlink" Target="http://www.nevo.co.il/case/2241964" TargetMode="External"/><Relationship Id="rId43" Type="http://schemas.openxmlformats.org/officeDocument/2006/relationships/hyperlink" Target="http://www.nevo.co.il/case/6473037"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70301/329.5" TargetMode="External"/><Relationship Id="rId51"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www.nevo.co.il/law/70301/329.5" TargetMode="External"/><Relationship Id="rId17" Type="http://schemas.openxmlformats.org/officeDocument/2006/relationships/hyperlink" Target="http://www.nevo.co.il/case/5969313" TargetMode="External"/><Relationship Id="rId25" Type="http://schemas.openxmlformats.org/officeDocument/2006/relationships/hyperlink" Target="http://www.nevo.co.il/case/5865581" TargetMode="External"/><Relationship Id="rId33" Type="http://schemas.openxmlformats.org/officeDocument/2006/relationships/hyperlink" Target="http://www.nevo.co.il/case/6473037" TargetMode="External"/><Relationship Id="rId38" Type="http://schemas.openxmlformats.org/officeDocument/2006/relationships/hyperlink" Target="http://www.nevo.co.il/case/10524213" TargetMode="External"/><Relationship Id="rId46" Type="http://schemas.openxmlformats.org/officeDocument/2006/relationships/hyperlink" Target="http://www.nevo.co.il/law/70301/40ja" TargetMode="External"/><Relationship Id="rId20" Type="http://schemas.openxmlformats.org/officeDocument/2006/relationships/hyperlink" Target="http://www.nevo.co.il/case/5724364" TargetMode="External"/><Relationship Id="rId41" Type="http://schemas.openxmlformats.org/officeDocument/2006/relationships/hyperlink" Target="http://www.nevo.co.il/case/16969183"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case/5891605" TargetMode="External"/><Relationship Id="rId23" Type="http://schemas.openxmlformats.org/officeDocument/2006/relationships/hyperlink" Target="http://www.nevo.co.il/case/10443017" TargetMode="External"/><Relationship Id="rId28" Type="http://schemas.openxmlformats.org/officeDocument/2006/relationships/hyperlink" Target="http://www.nevo.co.il/case/5982047" TargetMode="External"/><Relationship Id="rId36" Type="http://schemas.openxmlformats.org/officeDocument/2006/relationships/hyperlink" Target="http://www.nevo.co.il/case/20050881"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2966</Words>
  <Characters>14834</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17765</CharactersWithSpaces>
  <SharedDoc>false</SharedDoc>
  <HLinks>
    <vt:vector size="258" baseType="variant">
      <vt:variant>
        <vt:i4>393283</vt:i4>
      </vt:variant>
      <vt:variant>
        <vt:i4>126</vt:i4>
      </vt:variant>
      <vt:variant>
        <vt:i4>0</vt:i4>
      </vt:variant>
      <vt:variant>
        <vt:i4>5</vt:i4>
      </vt:variant>
      <vt:variant>
        <vt:lpwstr>http://www.nevo.co.il/advertisements/nevo-100.doc</vt:lpwstr>
      </vt:variant>
      <vt:variant>
        <vt:lpwstr/>
      </vt:variant>
      <vt:variant>
        <vt:i4>7995492</vt:i4>
      </vt:variant>
      <vt:variant>
        <vt:i4>123</vt:i4>
      </vt:variant>
      <vt:variant>
        <vt:i4>0</vt:i4>
      </vt:variant>
      <vt:variant>
        <vt:i4>5</vt:i4>
      </vt:variant>
      <vt:variant>
        <vt:lpwstr>http://www.nevo.co.il/law/70301</vt:lpwstr>
      </vt:variant>
      <vt:variant>
        <vt:lpwstr/>
      </vt:variant>
      <vt:variant>
        <vt:i4>262155</vt:i4>
      </vt:variant>
      <vt:variant>
        <vt:i4>120</vt:i4>
      </vt:variant>
      <vt:variant>
        <vt:i4>0</vt:i4>
      </vt:variant>
      <vt:variant>
        <vt:i4>5</vt:i4>
      </vt:variant>
      <vt:variant>
        <vt:lpwstr>http://www.nevo.co.il/law/70301/40ja</vt:lpwstr>
      </vt:variant>
      <vt:variant>
        <vt:lpwstr/>
      </vt:variant>
      <vt:variant>
        <vt:i4>3473520</vt:i4>
      </vt:variant>
      <vt:variant>
        <vt:i4>117</vt:i4>
      </vt:variant>
      <vt:variant>
        <vt:i4>0</vt:i4>
      </vt:variant>
      <vt:variant>
        <vt:i4>5</vt:i4>
      </vt:variant>
      <vt:variant>
        <vt:lpwstr>http://www.nevo.co.il/case/6170256</vt:lpwstr>
      </vt:variant>
      <vt:variant>
        <vt:lpwstr/>
      </vt:variant>
      <vt:variant>
        <vt:i4>3407997</vt:i4>
      </vt:variant>
      <vt:variant>
        <vt:i4>114</vt:i4>
      </vt:variant>
      <vt:variant>
        <vt:i4>0</vt:i4>
      </vt:variant>
      <vt:variant>
        <vt:i4>5</vt:i4>
      </vt:variant>
      <vt:variant>
        <vt:lpwstr>http://www.nevo.co.il/case/6018516</vt:lpwstr>
      </vt:variant>
      <vt:variant>
        <vt:lpwstr/>
      </vt:variant>
      <vt:variant>
        <vt:i4>3539056</vt:i4>
      </vt:variant>
      <vt:variant>
        <vt:i4>111</vt:i4>
      </vt:variant>
      <vt:variant>
        <vt:i4>0</vt:i4>
      </vt:variant>
      <vt:variant>
        <vt:i4>5</vt:i4>
      </vt:variant>
      <vt:variant>
        <vt:lpwstr>http://www.nevo.co.il/case/6473037</vt:lpwstr>
      </vt:variant>
      <vt:variant>
        <vt:lpwstr/>
      </vt:variant>
      <vt:variant>
        <vt:i4>3997816</vt:i4>
      </vt:variant>
      <vt:variant>
        <vt:i4>108</vt:i4>
      </vt:variant>
      <vt:variant>
        <vt:i4>0</vt:i4>
      </vt:variant>
      <vt:variant>
        <vt:i4>5</vt:i4>
      </vt:variant>
      <vt:variant>
        <vt:lpwstr>http://www.nevo.co.il/case/10499511</vt:lpwstr>
      </vt:variant>
      <vt:variant>
        <vt:lpwstr/>
      </vt:variant>
      <vt:variant>
        <vt:i4>3735669</vt:i4>
      </vt:variant>
      <vt:variant>
        <vt:i4>105</vt:i4>
      </vt:variant>
      <vt:variant>
        <vt:i4>0</vt:i4>
      </vt:variant>
      <vt:variant>
        <vt:i4>5</vt:i4>
      </vt:variant>
      <vt:variant>
        <vt:lpwstr>http://www.nevo.co.il/case/16969183</vt:lpwstr>
      </vt:variant>
      <vt:variant>
        <vt:lpwstr/>
      </vt:variant>
      <vt:variant>
        <vt:i4>4128885</vt:i4>
      </vt:variant>
      <vt:variant>
        <vt:i4>102</vt:i4>
      </vt:variant>
      <vt:variant>
        <vt:i4>0</vt:i4>
      </vt:variant>
      <vt:variant>
        <vt:i4>5</vt:i4>
      </vt:variant>
      <vt:variant>
        <vt:lpwstr>http://www.nevo.co.il/case/12934030</vt:lpwstr>
      </vt:variant>
      <vt:variant>
        <vt:lpwstr/>
      </vt:variant>
      <vt:variant>
        <vt:i4>4063348</vt:i4>
      </vt:variant>
      <vt:variant>
        <vt:i4>99</vt:i4>
      </vt:variant>
      <vt:variant>
        <vt:i4>0</vt:i4>
      </vt:variant>
      <vt:variant>
        <vt:i4>5</vt:i4>
      </vt:variant>
      <vt:variant>
        <vt:lpwstr>http://www.nevo.co.il/case/7773846</vt:lpwstr>
      </vt:variant>
      <vt:variant>
        <vt:lpwstr/>
      </vt:variant>
      <vt:variant>
        <vt:i4>3211380</vt:i4>
      </vt:variant>
      <vt:variant>
        <vt:i4>96</vt:i4>
      </vt:variant>
      <vt:variant>
        <vt:i4>0</vt:i4>
      </vt:variant>
      <vt:variant>
        <vt:i4>5</vt:i4>
      </vt:variant>
      <vt:variant>
        <vt:lpwstr>http://www.nevo.co.il/case/10524213</vt:lpwstr>
      </vt:variant>
      <vt:variant>
        <vt:lpwstr/>
      </vt:variant>
      <vt:variant>
        <vt:i4>3801209</vt:i4>
      </vt:variant>
      <vt:variant>
        <vt:i4>93</vt:i4>
      </vt:variant>
      <vt:variant>
        <vt:i4>0</vt:i4>
      </vt:variant>
      <vt:variant>
        <vt:i4>5</vt:i4>
      </vt:variant>
      <vt:variant>
        <vt:lpwstr>http://www.nevo.co.il/case/20050884</vt:lpwstr>
      </vt:variant>
      <vt:variant>
        <vt:lpwstr/>
      </vt:variant>
      <vt:variant>
        <vt:i4>3801209</vt:i4>
      </vt:variant>
      <vt:variant>
        <vt:i4>90</vt:i4>
      </vt:variant>
      <vt:variant>
        <vt:i4>0</vt:i4>
      </vt:variant>
      <vt:variant>
        <vt:i4>5</vt:i4>
      </vt:variant>
      <vt:variant>
        <vt:lpwstr>http://www.nevo.co.il/case/20050881</vt:lpwstr>
      </vt:variant>
      <vt:variant>
        <vt:lpwstr/>
      </vt:variant>
      <vt:variant>
        <vt:i4>3866737</vt:i4>
      </vt:variant>
      <vt:variant>
        <vt:i4>87</vt:i4>
      </vt:variant>
      <vt:variant>
        <vt:i4>0</vt:i4>
      </vt:variant>
      <vt:variant>
        <vt:i4>5</vt:i4>
      </vt:variant>
      <vt:variant>
        <vt:lpwstr>http://www.nevo.co.il/case/2241964</vt:lpwstr>
      </vt:variant>
      <vt:variant>
        <vt:lpwstr/>
      </vt:variant>
      <vt:variant>
        <vt:i4>3276918</vt:i4>
      </vt:variant>
      <vt:variant>
        <vt:i4>84</vt:i4>
      </vt:variant>
      <vt:variant>
        <vt:i4>0</vt:i4>
      </vt:variant>
      <vt:variant>
        <vt:i4>5</vt:i4>
      </vt:variant>
      <vt:variant>
        <vt:lpwstr>http://www.nevo.co.il/case/6102612</vt:lpwstr>
      </vt:variant>
      <vt:variant>
        <vt:lpwstr/>
      </vt:variant>
      <vt:variant>
        <vt:i4>3539056</vt:i4>
      </vt:variant>
      <vt:variant>
        <vt:i4>81</vt:i4>
      </vt:variant>
      <vt:variant>
        <vt:i4>0</vt:i4>
      </vt:variant>
      <vt:variant>
        <vt:i4>5</vt:i4>
      </vt:variant>
      <vt:variant>
        <vt:lpwstr>http://www.nevo.co.il/case/6473037</vt:lpwstr>
      </vt:variant>
      <vt:variant>
        <vt:lpwstr/>
      </vt:variant>
      <vt:variant>
        <vt:i4>3539056</vt:i4>
      </vt:variant>
      <vt:variant>
        <vt:i4>78</vt:i4>
      </vt:variant>
      <vt:variant>
        <vt:i4>0</vt:i4>
      </vt:variant>
      <vt:variant>
        <vt:i4>5</vt:i4>
      </vt:variant>
      <vt:variant>
        <vt:lpwstr>http://www.nevo.co.il/case/6473037</vt:lpwstr>
      </vt:variant>
      <vt:variant>
        <vt:lpwstr/>
      </vt:variant>
      <vt:variant>
        <vt:i4>3276918</vt:i4>
      </vt:variant>
      <vt:variant>
        <vt:i4>75</vt:i4>
      </vt:variant>
      <vt:variant>
        <vt:i4>0</vt:i4>
      </vt:variant>
      <vt:variant>
        <vt:i4>5</vt:i4>
      </vt:variant>
      <vt:variant>
        <vt:lpwstr>http://www.nevo.co.il/case/6102612</vt:lpwstr>
      </vt:variant>
      <vt:variant>
        <vt:lpwstr/>
      </vt:variant>
      <vt:variant>
        <vt:i4>3342457</vt:i4>
      </vt:variant>
      <vt:variant>
        <vt:i4>72</vt:i4>
      </vt:variant>
      <vt:variant>
        <vt:i4>0</vt:i4>
      </vt:variant>
      <vt:variant>
        <vt:i4>5</vt:i4>
      </vt:variant>
      <vt:variant>
        <vt:lpwstr>http://www.nevo.co.il/case/5762686</vt:lpwstr>
      </vt:variant>
      <vt:variant>
        <vt:lpwstr/>
      </vt:variant>
      <vt:variant>
        <vt:i4>3342455</vt:i4>
      </vt:variant>
      <vt:variant>
        <vt:i4>69</vt:i4>
      </vt:variant>
      <vt:variant>
        <vt:i4>0</vt:i4>
      </vt:variant>
      <vt:variant>
        <vt:i4>5</vt:i4>
      </vt:variant>
      <vt:variant>
        <vt:lpwstr>http://www.nevo.co.il/case/6243627</vt:lpwstr>
      </vt:variant>
      <vt:variant>
        <vt:lpwstr/>
      </vt:variant>
      <vt:variant>
        <vt:i4>3801211</vt:i4>
      </vt:variant>
      <vt:variant>
        <vt:i4>66</vt:i4>
      </vt:variant>
      <vt:variant>
        <vt:i4>0</vt:i4>
      </vt:variant>
      <vt:variant>
        <vt:i4>5</vt:i4>
      </vt:variant>
      <vt:variant>
        <vt:lpwstr>http://www.nevo.co.il/case/5982047</vt:lpwstr>
      </vt:variant>
      <vt:variant>
        <vt:lpwstr/>
      </vt:variant>
      <vt:variant>
        <vt:i4>3539067</vt:i4>
      </vt:variant>
      <vt:variant>
        <vt:i4>63</vt:i4>
      </vt:variant>
      <vt:variant>
        <vt:i4>0</vt:i4>
      </vt:variant>
      <vt:variant>
        <vt:i4>5</vt:i4>
      </vt:variant>
      <vt:variant>
        <vt:lpwstr>http://www.nevo.co.il/case/4368246</vt:lpwstr>
      </vt:variant>
      <vt:variant>
        <vt:lpwstr/>
      </vt:variant>
      <vt:variant>
        <vt:i4>3539056</vt:i4>
      </vt:variant>
      <vt:variant>
        <vt:i4>60</vt:i4>
      </vt:variant>
      <vt:variant>
        <vt:i4>0</vt:i4>
      </vt:variant>
      <vt:variant>
        <vt:i4>5</vt:i4>
      </vt:variant>
      <vt:variant>
        <vt:lpwstr>http://www.nevo.co.il/case/6473037</vt:lpwstr>
      </vt:variant>
      <vt:variant>
        <vt:lpwstr/>
      </vt:variant>
      <vt:variant>
        <vt:i4>3604593</vt:i4>
      </vt:variant>
      <vt:variant>
        <vt:i4>57</vt:i4>
      </vt:variant>
      <vt:variant>
        <vt:i4>0</vt:i4>
      </vt:variant>
      <vt:variant>
        <vt:i4>5</vt:i4>
      </vt:variant>
      <vt:variant>
        <vt:lpwstr>http://www.nevo.co.il/case/5865581</vt:lpwstr>
      </vt:variant>
      <vt:variant>
        <vt:lpwstr/>
      </vt:variant>
      <vt:variant>
        <vt:i4>3211386</vt:i4>
      </vt:variant>
      <vt:variant>
        <vt:i4>54</vt:i4>
      </vt:variant>
      <vt:variant>
        <vt:i4>0</vt:i4>
      </vt:variant>
      <vt:variant>
        <vt:i4>5</vt:i4>
      </vt:variant>
      <vt:variant>
        <vt:lpwstr>http://www.nevo.co.il/case/5852445</vt:lpwstr>
      </vt:variant>
      <vt:variant>
        <vt:lpwstr/>
      </vt:variant>
      <vt:variant>
        <vt:i4>3604592</vt:i4>
      </vt:variant>
      <vt:variant>
        <vt:i4>51</vt:i4>
      </vt:variant>
      <vt:variant>
        <vt:i4>0</vt:i4>
      </vt:variant>
      <vt:variant>
        <vt:i4>5</vt:i4>
      </vt:variant>
      <vt:variant>
        <vt:lpwstr>http://www.nevo.co.il/case/10443017</vt:lpwstr>
      </vt:variant>
      <vt:variant>
        <vt:lpwstr/>
      </vt:variant>
      <vt:variant>
        <vt:i4>3670132</vt:i4>
      </vt:variant>
      <vt:variant>
        <vt:i4>48</vt:i4>
      </vt:variant>
      <vt:variant>
        <vt:i4>0</vt:i4>
      </vt:variant>
      <vt:variant>
        <vt:i4>5</vt:i4>
      </vt:variant>
      <vt:variant>
        <vt:lpwstr>http://www.nevo.co.il/case/5764932</vt:lpwstr>
      </vt:variant>
      <vt:variant>
        <vt:lpwstr/>
      </vt:variant>
      <vt:variant>
        <vt:i4>3539068</vt:i4>
      </vt:variant>
      <vt:variant>
        <vt:i4>45</vt:i4>
      </vt:variant>
      <vt:variant>
        <vt:i4>0</vt:i4>
      </vt:variant>
      <vt:variant>
        <vt:i4>5</vt:i4>
      </vt:variant>
      <vt:variant>
        <vt:lpwstr>http://www.nevo.co.il/case/5866366</vt:lpwstr>
      </vt:variant>
      <vt:variant>
        <vt:lpwstr/>
      </vt:variant>
      <vt:variant>
        <vt:i4>3145841</vt:i4>
      </vt:variant>
      <vt:variant>
        <vt:i4>42</vt:i4>
      </vt:variant>
      <vt:variant>
        <vt:i4>0</vt:i4>
      </vt:variant>
      <vt:variant>
        <vt:i4>5</vt:i4>
      </vt:variant>
      <vt:variant>
        <vt:lpwstr>http://www.nevo.co.il/case/5724364</vt:lpwstr>
      </vt:variant>
      <vt:variant>
        <vt:lpwstr/>
      </vt:variant>
      <vt:variant>
        <vt:i4>3473525</vt:i4>
      </vt:variant>
      <vt:variant>
        <vt:i4>39</vt:i4>
      </vt:variant>
      <vt:variant>
        <vt:i4>0</vt:i4>
      </vt:variant>
      <vt:variant>
        <vt:i4>5</vt:i4>
      </vt:variant>
      <vt:variant>
        <vt:lpwstr>http://www.nevo.co.il/case/6104546</vt:lpwstr>
      </vt:variant>
      <vt:variant>
        <vt:lpwstr/>
      </vt:variant>
      <vt:variant>
        <vt:i4>3801212</vt:i4>
      </vt:variant>
      <vt:variant>
        <vt:i4>36</vt:i4>
      </vt:variant>
      <vt:variant>
        <vt:i4>0</vt:i4>
      </vt:variant>
      <vt:variant>
        <vt:i4>5</vt:i4>
      </vt:variant>
      <vt:variant>
        <vt:lpwstr>http://www.nevo.co.il/case/6078308</vt:lpwstr>
      </vt:variant>
      <vt:variant>
        <vt:lpwstr/>
      </vt:variant>
      <vt:variant>
        <vt:i4>3342453</vt:i4>
      </vt:variant>
      <vt:variant>
        <vt:i4>33</vt:i4>
      </vt:variant>
      <vt:variant>
        <vt:i4>0</vt:i4>
      </vt:variant>
      <vt:variant>
        <vt:i4>5</vt:i4>
      </vt:variant>
      <vt:variant>
        <vt:lpwstr>http://www.nevo.co.il/case/5969313</vt:lpwstr>
      </vt:variant>
      <vt:variant>
        <vt:lpwstr/>
      </vt:variant>
      <vt:variant>
        <vt:i4>3473532</vt:i4>
      </vt:variant>
      <vt:variant>
        <vt:i4>30</vt:i4>
      </vt:variant>
      <vt:variant>
        <vt:i4>0</vt:i4>
      </vt:variant>
      <vt:variant>
        <vt:i4>5</vt:i4>
      </vt:variant>
      <vt:variant>
        <vt:lpwstr>http://www.nevo.co.il/case/6000182</vt:lpwstr>
      </vt:variant>
      <vt:variant>
        <vt:lpwstr/>
      </vt:variant>
      <vt:variant>
        <vt:i4>4128893</vt:i4>
      </vt:variant>
      <vt:variant>
        <vt:i4>27</vt:i4>
      </vt:variant>
      <vt:variant>
        <vt:i4>0</vt:i4>
      </vt:variant>
      <vt:variant>
        <vt:i4>5</vt:i4>
      </vt:variant>
      <vt:variant>
        <vt:lpwstr>http://www.nevo.co.il/case/5891605</vt:lpwstr>
      </vt:variant>
      <vt:variant>
        <vt:lpwstr/>
      </vt:variant>
      <vt:variant>
        <vt:i4>3342457</vt:i4>
      </vt:variant>
      <vt:variant>
        <vt:i4>24</vt:i4>
      </vt:variant>
      <vt:variant>
        <vt:i4>0</vt:i4>
      </vt:variant>
      <vt:variant>
        <vt:i4>5</vt:i4>
      </vt:variant>
      <vt:variant>
        <vt:lpwstr>http://www.nevo.co.il/case/5762686</vt:lpwstr>
      </vt:variant>
      <vt:variant>
        <vt:lpwstr/>
      </vt:variant>
      <vt:variant>
        <vt:i4>7995492</vt:i4>
      </vt:variant>
      <vt:variant>
        <vt:i4>21</vt:i4>
      </vt:variant>
      <vt:variant>
        <vt:i4>0</vt:i4>
      </vt:variant>
      <vt:variant>
        <vt:i4>5</vt:i4>
      </vt:variant>
      <vt:variant>
        <vt:lpwstr>http://www.nevo.co.il/law/70301</vt:lpwstr>
      </vt:variant>
      <vt:variant>
        <vt:lpwstr/>
      </vt:variant>
      <vt:variant>
        <vt:i4>4784223</vt:i4>
      </vt:variant>
      <vt:variant>
        <vt:i4>18</vt:i4>
      </vt:variant>
      <vt:variant>
        <vt:i4>0</vt:i4>
      </vt:variant>
      <vt:variant>
        <vt:i4>5</vt:i4>
      </vt:variant>
      <vt:variant>
        <vt:lpwstr>http://www.nevo.co.il/law/70301/329.5</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4784223</vt:i4>
      </vt:variant>
      <vt:variant>
        <vt:i4>6</vt:i4>
      </vt:variant>
      <vt:variant>
        <vt:i4>0</vt:i4>
      </vt:variant>
      <vt:variant>
        <vt:i4>5</vt:i4>
      </vt:variant>
      <vt:variant>
        <vt:lpwstr>http://www.nevo.co.il/law/70301/329.5</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2025-01-19T15:57:00Z</dcterms:created>
  <dcterms:modified xsi:type="dcterms:W3CDTF">2025-01-19T15:57:00Z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31218</vt:lpwstr>
  </property>
  <property fmtid="{D5CDD505-2E9C-101B-9397-08002B2CF9AE}" pid="6" name="NEWPARTB">
    <vt:lpwstr>10</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דיאב אסדי </vt:lpwstr>
  </property>
  <property fmtid="{D5CDD505-2E9C-101B-9397-08002B2CF9AE}" pid="10" name="JUDGE">
    <vt:lpwstr>דיאנה סלע</vt:lpwstr>
  </property>
  <property fmtid="{D5CDD505-2E9C-101B-9397-08002B2CF9AE}" pid="11" name="CITY">
    <vt:lpwstr>חי'</vt:lpwstr>
  </property>
  <property fmtid="{D5CDD505-2E9C-101B-9397-08002B2CF9AE}" pid="12" name="DATE">
    <vt:lpwstr>20150211</vt:lpwstr>
  </property>
  <property fmtid="{D5CDD505-2E9C-101B-9397-08002B2CF9AE}" pid="13" name="TYPE_N_DATE">
    <vt:lpwstr>39020150211</vt:lpwstr>
  </property>
  <property fmtid="{D5CDD505-2E9C-101B-9397-08002B2CF9AE}" pid="14" name="WORDNUMPAGES">
    <vt:lpwstr>8</vt:lpwstr>
  </property>
  <property fmtid="{D5CDD505-2E9C-101B-9397-08002B2CF9AE}" pid="15" name="TYPE_ABS_DATE">
    <vt:lpwstr>390120150211</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METAKZER">
    <vt:lpwstr>מיכל</vt:lpwstr>
  </property>
  <property fmtid="{D5CDD505-2E9C-101B-9397-08002B2CF9AE}" pid="36" name="NOSE1ID">
    <vt:lpwstr>77;77</vt:lpwstr>
  </property>
  <property fmtid="{D5CDD505-2E9C-101B-9397-08002B2CF9AE}" pid="37" name="NOSE2ID">
    <vt:lpwstr>1446;1446</vt:lpwstr>
  </property>
  <property fmtid="{D5CDD505-2E9C-101B-9397-08002B2CF9AE}" pid="38" name="NOSE3ID">
    <vt:lpwstr>13800;14985</vt:lpwstr>
  </property>
  <property fmtid="{D5CDD505-2E9C-101B-9397-08002B2CF9AE}" pid="39" name="NOSE11">
    <vt:lpwstr>עונשין</vt:lpwstr>
  </property>
  <property fmtid="{D5CDD505-2E9C-101B-9397-08002B2CF9AE}" pid="40" name="NOSE21">
    <vt:lpwstr>ענישה</vt:lpwstr>
  </property>
  <property fmtid="{D5CDD505-2E9C-101B-9397-08002B2CF9AE}" pid="41" name="NOSE31">
    <vt:lpwstr>מדיניות ענישה: עבירות נשק</vt:lpwstr>
  </property>
  <property fmtid="{D5CDD505-2E9C-101B-9397-08002B2CF9AE}" pid="42" name="NOSE12">
    <vt:lpwstr>עונשין</vt:lpwstr>
  </property>
  <property fmtid="{D5CDD505-2E9C-101B-9397-08002B2CF9AE}" pid="43" name="NOSE22">
    <vt:lpwstr>ענישה</vt:lpwstr>
  </property>
  <property fmtid="{D5CDD505-2E9C-101B-9397-08002B2CF9AE}" pid="44" name="NOSE32">
    <vt:lpwstr>מתחם הענישה</vt:lpwstr>
  </property>
  <property fmtid="{D5CDD505-2E9C-101B-9397-08002B2CF9AE}" pid="45" name="NOSE13">
    <vt:lpwstr/>
  </property>
  <property fmtid="{D5CDD505-2E9C-101B-9397-08002B2CF9AE}" pid="46" name="NOSE23">
    <vt:lpwstr/>
  </property>
  <property fmtid="{D5CDD505-2E9C-101B-9397-08002B2CF9AE}" pid="47" name="NOSE33">
    <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20150225</vt:lpwstr>
  </property>
  <property fmtid="{D5CDD505-2E9C-101B-9397-08002B2CF9AE}" pid="70" name="CASESLISTTMP1">
    <vt:lpwstr>5762686:2;5891605;6000182;5969313;6078308;6104546;5724364;5866366;5764932;10443017;5852445;5865581;6473037:4;4368246;5982047;6243627;6102612:2;2241964;20050881;20050884;10524213;7773846;12934030;16969183;10499511;6018516;6170256</vt:lpwstr>
  </property>
  <property fmtid="{D5CDD505-2E9C-101B-9397-08002B2CF9AE}" pid="71" name="LAWLISTTMP1">
    <vt:lpwstr>70301/144.a;329.5;40ja</vt:lpwstr>
  </property>
</Properties>
</file>