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516A3" w:rsidRPr="006E53F2" w14:paraId="2CAFBE65" w14:textId="77777777">
        <w:trPr>
          <w:trHeight w:hRule="exact" w:val="418"/>
          <w:jc w:val="center"/>
        </w:trPr>
        <w:tc>
          <w:tcPr>
            <w:tcW w:w="8721" w:type="dxa"/>
            <w:gridSpan w:val="2"/>
          </w:tcPr>
          <w:p w14:paraId="2E87D980" w14:textId="77777777" w:rsidR="00B516A3" w:rsidRPr="006E53F2" w:rsidRDefault="006E53F2">
            <w:pPr>
              <w:pStyle w:val="a3"/>
              <w:jc w:val="center"/>
              <w:rPr>
                <w:rFonts w:ascii="Tahoma" w:hAnsi="Tahoma" w:cs="Tahoma"/>
                <w:color w:val="000080"/>
                <w:rtl/>
              </w:rPr>
            </w:pPr>
            <w:bookmarkStart w:id="0" w:name="FirstLawyer"/>
            <w:bookmarkStart w:id="1" w:name="LastJudge"/>
            <w:r w:rsidRPr="006E53F2">
              <w:rPr>
                <w:rFonts w:ascii="Tahoma" w:hAnsi="Tahoma" w:cs="Tahoma"/>
                <w:b/>
                <w:bCs/>
                <w:color w:val="000080"/>
                <w:rtl/>
              </w:rPr>
              <w:t>בית המשפט המחוזי בירושלים</w:t>
            </w:r>
          </w:p>
        </w:tc>
      </w:tr>
      <w:tr w:rsidR="00B516A3" w:rsidRPr="006E53F2" w14:paraId="2ADA9055" w14:textId="77777777">
        <w:trPr>
          <w:trHeight w:val="337"/>
          <w:jc w:val="center"/>
        </w:trPr>
        <w:tc>
          <w:tcPr>
            <w:tcW w:w="5054" w:type="dxa"/>
          </w:tcPr>
          <w:p w14:paraId="6D27F9B0" w14:textId="77777777" w:rsidR="00B516A3" w:rsidRPr="006E53F2" w:rsidRDefault="006E53F2">
            <w:pPr>
              <w:rPr>
                <w:rFonts w:cs="FrankRuehl"/>
                <w:sz w:val="28"/>
                <w:szCs w:val="28"/>
                <w:rtl/>
              </w:rPr>
            </w:pPr>
            <w:r w:rsidRPr="006E53F2">
              <w:rPr>
                <w:rFonts w:cs="FrankRuehl"/>
                <w:sz w:val="28"/>
                <w:szCs w:val="28"/>
                <w:rtl/>
              </w:rPr>
              <w:t>ת"פ</w:t>
            </w:r>
            <w:r w:rsidRPr="006E53F2">
              <w:rPr>
                <w:rFonts w:cs="FrankRuehl" w:hint="cs"/>
                <w:sz w:val="28"/>
                <w:szCs w:val="28"/>
                <w:rtl/>
              </w:rPr>
              <w:t xml:space="preserve"> </w:t>
            </w:r>
            <w:r w:rsidRPr="006E53F2">
              <w:rPr>
                <w:rFonts w:cs="FrankRuehl"/>
                <w:sz w:val="28"/>
                <w:szCs w:val="28"/>
                <w:rtl/>
              </w:rPr>
              <w:t>51094-10-14</w:t>
            </w:r>
            <w:r w:rsidRPr="006E53F2">
              <w:rPr>
                <w:rFonts w:cs="FrankRuehl" w:hint="cs"/>
                <w:sz w:val="28"/>
                <w:szCs w:val="28"/>
                <w:rtl/>
              </w:rPr>
              <w:t xml:space="preserve"> </w:t>
            </w:r>
            <w:r w:rsidRPr="006E53F2">
              <w:rPr>
                <w:rFonts w:cs="FrankRuehl"/>
                <w:sz w:val="28"/>
                <w:szCs w:val="28"/>
                <w:rtl/>
              </w:rPr>
              <w:t>מדינת ישראל נ' בן עמי</w:t>
            </w:r>
          </w:p>
          <w:p w14:paraId="31A2BC57" w14:textId="77777777" w:rsidR="00B516A3" w:rsidRPr="006E53F2" w:rsidRDefault="00B516A3">
            <w:pPr>
              <w:pStyle w:val="a3"/>
              <w:rPr>
                <w:rFonts w:cs="FrankRuehl"/>
                <w:sz w:val="28"/>
                <w:szCs w:val="28"/>
                <w:rtl/>
              </w:rPr>
            </w:pPr>
          </w:p>
        </w:tc>
        <w:tc>
          <w:tcPr>
            <w:tcW w:w="3667" w:type="dxa"/>
          </w:tcPr>
          <w:p w14:paraId="4B20228E" w14:textId="77777777" w:rsidR="00B516A3" w:rsidRPr="006E53F2" w:rsidRDefault="00B516A3">
            <w:pPr>
              <w:pStyle w:val="a3"/>
              <w:jc w:val="right"/>
              <w:rPr>
                <w:rFonts w:cs="FrankRuehl"/>
                <w:sz w:val="28"/>
                <w:szCs w:val="28"/>
                <w:rtl/>
              </w:rPr>
            </w:pPr>
          </w:p>
        </w:tc>
      </w:tr>
    </w:tbl>
    <w:p w14:paraId="1DDFD231" w14:textId="77777777" w:rsidR="00B516A3" w:rsidRPr="006E53F2" w:rsidRDefault="006E53F2">
      <w:pPr>
        <w:pStyle w:val="a3"/>
        <w:rPr>
          <w:rtl/>
        </w:rPr>
      </w:pPr>
      <w:r w:rsidRPr="006E53F2">
        <w:rPr>
          <w:rFonts w:hint="cs"/>
          <w:rtl/>
        </w:rPr>
        <w:t xml:space="preserve"> </w:t>
      </w:r>
    </w:p>
    <w:p w14:paraId="2E8F55F4" w14:textId="77777777" w:rsidR="00B516A3" w:rsidRPr="006E53F2" w:rsidRDefault="00B516A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516A3" w:rsidRPr="006E53F2" w14:paraId="438865E5" w14:textId="77777777">
        <w:trPr>
          <w:trHeight w:val="295"/>
          <w:jc w:val="center"/>
        </w:trPr>
        <w:tc>
          <w:tcPr>
            <w:tcW w:w="923" w:type="dxa"/>
            <w:tcBorders>
              <w:top w:val="nil"/>
              <w:left w:val="nil"/>
              <w:bottom w:val="nil"/>
              <w:right w:val="nil"/>
            </w:tcBorders>
          </w:tcPr>
          <w:p w14:paraId="4BE1354D" w14:textId="77777777" w:rsidR="00B516A3" w:rsidRPr="006E53F2" w:rsidRDefault="006E53F2">
            <w:pPr>
              <w:jc w:val="both"/>
              <w:rPr>
                <w:rFonts w:ascii="Arial" w:hAnsi="Arial" w:cs="FrankRuehl"/>
                <w:sz w:val="28"/>
                <w:szCs w:val="28"/>
              </w:rPr>
            </w:pPr>
            <w:r w:rsidRPr="006E53F2">
              <w:rPr>
                <w:rFonts w:ascii="Arial" w:hAnsi="Arial" w:cs="FrankRuehl" w:hint="cs"/>
                <w:sz w:val="28"/>
                <w:szCs w:val="28"/>
                <w:rtl/>
              </w:rPr>
              <w:t>ב</w:t>
            </w:r>
            <w:r w:rsidRPr="006E53F2">
              <w:rPr>
                <w:rFonts w:ascii="Arial" w:hAnsi="Arial" w:cs="FrankRuehl"/>
                <w:sz w:val="28"/>
                <w:szCs w:val="28"/>
                <w:rtl/>
              </w:rPr>
              <w:t xml:space="preserve">פני </w:t>
            </w:r>
          </w:p>
        </w:tc>
        <w:tc>
          <w:tcPr>
            <w:tcW w:w="7897" w:type="dxa"/>
            <w:gridSpan w:val="2"/>
            <w:tcBorders>
              <w:top w:val="nil"/>
              <w:left w:val="nil"/>
              <w:bottom w:val="nil"/>
              <w:right w:val="nil"/>
            </w:tcBorders>
          </w:tcPr>
          <w:p w14:paraId="19C6A5A3" w14:textId="77777777" w:rsidR="00B516A3" w:rsidRPr="006E53F2" w:rsidRDefault="006E53F2">
            <w:pPr>
              <w:rPr>
                <w:rFonts w:ascii="Arial" w:hAnsi="Arial"/>
                <w:b/>
                <w:bCs/>
                <w:rtl/>
              </w:rPr>
            </w:pPr>
            <w:r w:rsidRPr="006E53F2">
              <w:rPr>
                <w:rFonts w:ascii="Arial" w:hAnsi="Arial" w:hint="cs"/>
                <w:b/>
                <w:bCs/>
                <w:rtl/>
              </w:rPr>
              <w:t>כב' ה</w:t>
            </w:r>
            <w:r w:rsidRPr="006E53F2">
              <w:rPr>
                <w:rFonts w:hint="cs"/>
                <w:rtl/>
              </w:rPr>
              <w:t>שופטת</w:t>
            </w:r>
            <w:r w:rsidRPr="006E53F2">
              <w:rPr>
                <w:rFonts w:ascii="Arial" w:hAnsi="Arial" w:hint="cs"/>
                <w:b/>
                <w:bCs/>
                <w:rtl/>
              </w:rPr>
              <w:t xml:space="preserve">  </w:t>
            </w:r>
            <w:r w:rsidRPr="006E53F2">
              <w:rPr>
                <w:rFonts w:hint="cs"/>
                <w:rtl/>
              </w:rPr>
              <w:t>שירלי רנר</w:t>
            </w:r>
          </w:p>
          <w:p w14:paraId="74CD2FCF" w14:textId="77777777" w:rsidR="00B516A3" w:rsidRPr="006E53F2" w:rsidRDefault="00B516A3">
            <w:pPr>
              <w:rPr>
                <w:rtl/>
              </w:rPr>
            </w:pPr>
          </w:p>
          <w:p w14:paraId="7EB010FB" w14:textId="77777777" w:rsidR="00B516A3" w:rsidRPr="006E53F2" w:rsidRDefault="00B516A3">
            <w:pPr>
              <w:jc w:val="both"/>
              <w:rPr>
                <w:rFonts w:ascii="Arial" w:hAnsi="Arial" w:cs="FrankRuehl"/>
                <w:sz w:val="28"/>
                <w:szCs w:val="28"/>
              </w:rPr>
            </w:pPr>
          </w:p>
        </w:tc>
      </w:tr>
      <w:tr w:rsidR="00B516A3" w:rsidRPr="006E53F2" w14:paraId="3910A0D3" w14:textId="77777777">
        <w:trPr>
          <w:trHeight w:val="355"/>
          <w:jc w:val="center"/>
        </w:trPr>
        <w:tc>
          <w:tcPr>
            <w:tcW w:w="923" w:type="dxa"/>
            <w:tcBorders>
              <w:top w:val="nil"/>
              <w:left w:val="nil"/>
              <w:bottom w:val="nil"/>
              <w:right w:val="nil"/>
            </w:tcBorders>
          </w:tcPr>
          <w:p w14:paraId="62B9CDA4" w14:textId="77777777" w:rsidR="00B516A3" w:rsidRPr="006E53F2" w:rsidRDefault="006E53F2">
            <w:pPr>
              <w:jc w:val="both"/>
              <w:rPr>
                <w:rFonts w:ascii="Arial" w:hAnsi="Arial" w:cs="FrankRuehl"/>
                <w:sz w:val="28"/>
                <w:szCs w:val="28"/>
              </w:rPr>
            </w:pPr>
            <w:bookmarkStart w:id="2" w:name="FirstAppellant"/>
            <w:r w:rsidRPr="006E53F2">
              <w:rPr>
                <w:rFonts w:ascii="Arial" w:hAnsi="Arial" w:cs="FrankRuehl" w:hint="cs"/>
                <w:sz w:val="28"/>
                <w:szCs w:val="28"/>
                <w:rtl/>
              </w:rPr>
              <w:t>בעניין:</w:t>
            </w:r>
          </w:p>
        </w:tc>
        <w:tc>
          <w:tcPr>
            <w:tcW w:w="4126" w:type="dxa"/>
            <w:tcBorders>
              <w:top w:val="nil"/>
              <w:left w:val="nil"/>
              <w:bottom w:val="nil"/>
              <w:right w:val="nil"/>
            </w:tcBorders>
          </w:tcPr>
          <w:p w14:paraId="0D130969" w14:textId="77777777" w:rsidR="00B516A3" w:rsidRPr="006E53F2" w:rsidRDefault="006E53F2">
            <w:r w:rsidRPr="006E53F2">
              <w:rPr>
                <w:rFonts w:hint="cs"/>
                <w:rtl/>
              </w:rPr>
              <w:t>מדינת ישראל</w:t>
            </w:r>
            <w:r w:rsidRPr="006E53F2">
              <w:rPr>
                <w:rFonts w:hint="cs"/>
                <w:rtl/>
              </w:rPr>
              <w:br/>
              <w:t>באמצעות פרקליטות מחוז ירושלים (פלילי)</w:t>
            </w:r>
          </w:p>
        </w:tc>
        <w:tc>
          <w:tcPr>
            <w:tcW w:w="3771" w:type="dxa"/>
            <w:tcBorders>
              <w:top w:val="nil"/>
              <w:left w:val="nil"/>
              <w:bottom w:val="nil"/>
              <w:right w:val="nil"/>
            </w:tcBorders>
          </w:tcPr>
          <w:p w14:paraId="2E5CCC26" w14:textId="77777777" w:rsidR="00B516A3" w:rsidRPr="006E53F2" w:rsidRDefault="00B516A3">
            <w:pPr>
              <w:jc w:val="both"/>
              <w:rPr>
                <w:rFonts w:ascii="Arial" w:hAnsi="Arial" w:cs="FrankRuehl"/>
                <w:sz w:val="28"/>
                <w:szCs w:val="28"/>
              </w:rPr>
            </w:pPr>
          </w:p>
        </w:tc>
      </w:tr>
      <w:bookmarkEnd w:id="2"/>
      <w:tr w:rsidR="00B516A3" w:rsidRPr="006E53F2" w14:paraId="4E5400D3" w14:textId="77777777">
        <w:trPr>
          <w:trHeight w:val="355"/>
          <w:jc w:val="center"/>
        </w:trPr>
        <w:tc>
          <w:tcPr>
            <w:tcW w:w="923" w:type="dxa"/>
            <w:tcBorders>
              <w:top w:val="nil"/>
              <w:left w:val="nil"/>
              <w:bottom w:val="nil"/>
              <w:right w:val="nil"/>
            </w:tcBorders>
          </w:tcPr>
          <w:p w14:paraId="4DF6A262" w14:textId="77777777" w:rsidR="00B516A3" w:rsidRPr="006E53F2" w:rsidRDefault="00B516A3">
            <w:pPr>
              <w:jc w:val="both"/>
              <w:rPr>
                <w:rFonts w:ascii="Arial" w:hAnsi="Arial" w:cs="FrankRuehl"/>
                <w:sz w:val="28"/>
                <w:szCs w:val="28"/>
                <w:rtl/>
              </w:rPr>
            </w:pPr>
          </w:p>
        </w:tc>
        <w:tc>
          <w:tcPr>
            <w:tcW w:w="4126" w:type="dxa"/>
            <w:tcBorders>
              <w:top w:val="nil"/>
              <w:left w:val="nil"/>
              <w:bottom w:val="nil"/>
              <w:right w:val="nil"/>
            </w:tcBorders>
          </w:tcPr>
          <w:p w14:paraId="09C05A61" w14:textId="77777777" w:rsidR="00B516A3" w:rsidRPr="006E53F2" w:rsidRDefault="00B516A3">
            <w:pPr>
              <w:jc w:val="both"/>
              <w:rPr>
                <w:rtl/>
              </w:rPr>
            </w:pPr>
          </w:p>
        </w:tc>
        <w:tc>
          <w:tcPr>
            <w:tcW w:w="3771" w:type="dxa"/>
            <w:tcBorders>
              <w:top w:val="nil"/>
              <w:left w:val="nil"/>
              <w:bottom w:val="nil"/>
              <w:right w:val="nil"/>
            </w:tcBorders>
          </w:tcPr>
          <w:p w14:paraId="3357E75F" w14:textId="77777777" w:rsidR="00B516A3" w:rsidRPr="006E53F2" w:rsidRDefault="006E53F2">
            <w:pPr>
              <w:jc w:val="right"/>
              <w:rPr>
                <w:rFonts w:ascii="Arial" w:hAnsi="Arial" w:cs="FrankRuehl"/>
                <w:sz w:val="28"/>
                <w:szCs w:val="28"/>
                <w:rtl/>
              </w:rPr>
            </w:pPr>
            <w:r w:rsidRPr="006E53F2">
              <w:rPr>
                <w:rFonts w:ascii="Arial" w:hAnsi="Arial" w:cs="FrankRuehl" w:hint="cs"/>
                <w:sz w:val="28"/>
                <w:szCs w:val="28"/>
                <w:rtl/>
              </w:rPr>
              <w:t>ה</w:t>
            </w:r>
            <w:r w:rsidRPr="006E53F2">
              <w:rPr>
                <w:rFonts w:hint="cs"/>
                <w:rtl/>
              </w:rPr>
              <w:t>מאשימה</w:t>
            </w:r>
          </w:p>
        </w:tc>
      </w:tr>
      <w:tr w:rsidR="00B516A3" w:rsidRPr="006E53F2" w14:paraId="5C7F78FA" w14:textId="77777777">
        <w:trPr>
          <w:trHeight w:val="355"/>
          <w:jc w:val="center"/>
        </w:trPr>
        <w:tc>
          <w:tcPr>
            <w:tcW w:w="923" w:type="dxa"/>
            <w:tcBorders>
              <w:top w:val="nil"/>
              <w:left w:val="nil"/>
              <w:bottom w:val="nil"/>
              <w:right w:val="nil"/>
            </w:tcBorders>
          </w:tcPr>
          <w:p w14:paraId="07B08C47" w14:textId="77777777" w:rsidR="00B516A3" w:rsidRPr="006E53F2" w:rsidRDefault="00B516A3">
            <w:pPr>
              <w:jc w:val="both"/>
              <w:rPr>
                <w:rFonts w:ascii="Arial" w:hAnsi="Arial" w:cs="FrankRuehl"/>
                <w:sz w:val="28"/>
                <w:szCs w:val="28"/>
                <w:rtl/>
              </w:rPr>
            </w:pPr>
          </w:p>
        </w:tc>
        <w:tc>
          <w:tcPr>
            <w:tcW w:w="7897" w:type="dxa"/>
            <w:gridSpan w:val="2"/>
            <w:tcBorders>
              <w:top w:val="nil"/>
              <w:left w:val="nil"/>
              <w:bottom w:val="nil"/>
              <w:right w:val="nil"/>
            </w:tcBorders>
          </w:tcPr>
          <w:p w14:paraId="1B02294E" w14:textId="77777777" w:rsidR="00B516A3" w:rsidRPr="006E53F2" w:rsidRDefault="00B516A3">
            <w:pPr>
              <w:jc w:val="center"/>
              <w:rPr>
                <w:rFonts w:ascii="Arial" w:hAnsi="Arial" w:cs="FrankRuehl"/>
                <w:b/>
                <w:bCs/>
                <w:sz w:val="28"/>
                <w:szCs w:val="28"/>
                <w:rtl/>
              </w:rPr>
            </w:pPr>
          </w:p>
          <w:p w14:paraId="3CF760F0" w14:textId="77777777" w:rsidR="00B516A3" w:rsidRPr="006E53F2" w:rsidRDefault="006E53F2">
            <w:pPr>
              <w:jc w:val="center"/>
              <w:rPr>
                <w:rFonts w:ascii="Arial" w:hAnsi="Arial" w:cs="FrankRuehl"/>
                <w:b/>
                <w:bCs/>
                <w:sz w:val="28"/>
                <w:szCs w:val="28"/>
                <w:rtl/>
              </w:rPr>
            </w:pPr>
            <w:r w:rsidRPr="006E53F2">
              <w:rPr>
                <w:rFonts w:ascii="Arial" w:hAnsi="Arial" w:cs="FrankRuehl"/>
                <w:b/>
                <w:bCs/>
                <w:sz w:val="28"/>
                <w:szCs w:val="28"/>
                <w:rtl/>
              </w:rPr>
              <w:t>נגד</w:t>
            </w:r>
          </w:p>
          <w:p w14:paraId="794EBB97" w14:textId="77777777" w:rsidR="00B516A3" w:rsidRPr="006E53F2" w:rsidRDefault="00B516A3">
            <w:pPr>
              <w:jc w:val="both"/>
              <w:rPr>
                <w:rFonts w:ascii="Arial" w:hAnsi="Arial" w:cs="FrankRuehl"/>
                <w:sz w:val="28"/>
                <w:szCs w:val="28"/>
              </w:rPr>
            </w:pPr>
          </w:p>
        </w:tc>
      </w:tr>
      <w:tr w:rsidR="00B516A3" w:rsidRPr="006E53F2" w14:paraId="7298267E" w14:textId="77777777">
        <w:trPr>
          <w:trHeight w:val="355"/>
          <w:jc w:val="center"/>
        </w:trPr>
        <w:tc>
          <w:tcPr>
            <w:tcW w:w="923" w:type="dxa"/>
            <w:tcBorders>
              <w:top w:val="nil"/>
              <w:left w:val="nil"/>
              <w:bottom w:val="nil"/>
              <w:right w:val="nil"/>
            </w:tcBorders>
          </w:tcPr>
          <w:p w14:paraId="21510908" w14:textId="77777777" w:rsidR="00B516A3" w:rsidRPr="006E53F2" w:rsidRDefault="00B516A3">
            <w:pPr>
              <w:rPr>
                <w:rFonts w:ascii="Arial" w:hAnsi="Arial" w:cs="FrankRuehl"/>
                <w:sz w:val="28"/>
                <w:szCs w:val="28"/>
                <w:rtl/>
              </w:rPr>
            </w:pPr>
          </w:p>
        </w:tc>
        <w:tc>
          <w:tcPr>
            <w:tcW w:w="4126" w:type="dxa"/>
            <w:tcBorders>
              <w:top w:val="nil"/>
              <w:left w:val="nil"/>
              <w:bottom w:val="nil"/>
              <w:right w:val="nil"/>
            </w:tcBorders>
          </w:tcPr>
          <w:p w14:paraId="3CD43533" w14:textId="77777777" w:rsidR="00B516A3" w:rsidRPr="006E53F2" w:rsidRDefault="006E53F2">
            <w:pPr>
              <w:rPr>
                <w:rtl/>
              </w:rPr>
            </w:pPr>
            <w:r w:rsidRPr="006E53F2">
              <w:rPr>
                <w:rFonts w:hint="cs"/>
                <w:rtl/>
              </w:rPr>
              <w:t>אבי בן עמי</w:t>
            </w:r>
            <w:r w:rsidRPr="006E53F2">
              <w:rPr>
                <w:rFonts w:hint="cs"/>
                <w:rtl/>
              </w:rPr>
              <w:br/>
              <w:t>באמצעות ב"כ עו"ד דני בר דוד מהסנגוריה הציבורית</w:t>
            </w:r>
          </w:p>
        </w:tc>
        <w:tc>
          <w:tcPr>
            <w:tcW w:w="3771" w:type="dxa"/>
            <w:tcBorders>
              <w:top w:val="nil"/>
              <w:left w:val="nil"/>
              <w:bottom w:val="nil"/>
              <w:right w:val="nil"/>
            </w:tcBorders>
          </w:tcPr>
          <w:p w14:paraId="3409AF55" w14:textId="77777777" w:rsidR="00B516A3" w:rsidRPr="006E53F2" w:rsidRDefault="00B516A3">
            <w:pPr>
              <w:jc w:val="right"/>
              <w:rPr>
                <w:rFonts w:ascii="Arial" w:hAnsi="Arial" w:cs="FrankRuehl"/>
                <w:sz w:val="28"/>
                <w:szCs w:val="28"/>
              </w:rPr>
            </w:pPr>
          </w:p>
        </w:tc>
      </w:tr>
      <w:tr w:rsidR="00B516A3" w:rsidRPr="006E53F2" w14:paraId="0B99A2F2" w14:textId="77777777">
        <w:trPr>
          <w:trHeight w:val="355"/>
          <w:jc w:val="center"/>
        </w:trPr>
        <w:tc>
          <w:tcPr>
            <w:tcW w:w="923" w:type="dxa"/>
            <w:tcBorders>
              <w:top w:val="nil"/>
              <w:left w:val="nil"/>
              <w:bottom w:val="nil"/>
              <w:right w:val="nil"/>
            </w:tcBorders>
          </w:tcPr>
          <w:p w14:paraId="5209AF13" w14:textId="77777777" w:rsidR="00B516A3" w:rsidRPr="006E53F2" w:rsidRDefault="00B516A3">
            <w:pPr>
              <w:jc w:val="both"/>
              <w:rPr>
                <w:rFonts w:ascii="Arial" w:hAnsi="Arial" w:cs="FrankRuehl"/>
                <w:sz w:val="28"/>
                <w:szCs w:val="28"/>
                <w:rtl/>
              </w:rPr>
            </w:pPr>
          </w:p>
        </w:tc>
        <w:tc>
          <w:tcPr>
            <w:tcW w:w="4126" w:type="dxa"/>
            <w:tcBorders>
              <w:top w:val="nil"/>
              <w:left w:val="nil"/>
              <w:bottom w:val="nil"/>
              <w:right w:val="nil"/>
            </w:tcBorders>
          </w:tcPr>
          <w:p w14:paraId="588E5D1E" w14:textId="77777777" w:rsidR="00B516A3" w:rsidRPr="006E53F2" w:rsidRDefault="00B516A3">
            <w:pPr>
              <w:jc w:val="both"/>
              <w:rPr>
                <w:rtl/>
              </w:rPr>
            </w:pPr>
          </w:p>
        </w:tc>
        <w:tc>
          <w:tcPr>
            <w:tcW w:w="3771" w:type="dxa"/>
            <w:tcBorders>
              <w:top w:val="nil"/>
              <w:left w:val="nil"/>
              <w:bottom w:val="nil"/>
              <w:right w:val="nil"/>
            </w:tcBorders>
          </w:tcPr>
          <w:p w14:paraId="68973358" w14:textId="77777777" w:rsidR="00B516A3" w:rsidRPr="006E53F2" w:rsidRDefault="006E53F2">
            <w:pPr>
              <w:jc w:val="right"/>
              <w:rPr>
                <w:rFonts w:ascii="Arial" w:hAnsi="Arial" w:cs="FrankRuehl"/>
                <w:sz w:val="28"/>
                <w:szCs w:val="28"/>
              </w:rPr>
            </w:pPr>
            <w:r w:rsidRPr="006E53F2">
              <w:rPr>
                <w:rFonts w:ascii="Arial" w:hAnsi="Arial" w:cs="FrankRuehl" w:hint="cs"/>
                <w:sz w:val="28"/>
                <w:szCs w:val="28"/>
                <w:rtl/>
              </w:rPr>
              <w:t>ה</w:t>
            </w:r>
            <w:r w:rsidRPr="006E53F2">
              <w:rPr>
                <w:rFonts w:hint="cs"/>
                <w:rtl/>
              </w:rPr>
              <w:t>נאשם</w:t>
            </w:r>
          </w:p>
        </w:tc>
      </w:tr>
      <w:tr w:rsidR="00B516A3" w14:paraId="57013CCC" w14:textId="77777777">
        <w:trPr>
          <w:trHeight w:val="355"/>
          <w:jc w:val="center"/>
        </w:trPr>
        <w:tc>
          <w:tcPr>
            <w:tcW w:w="8820" w:type="dxa"/>
            <w:gridSpan w:val="3"/>
            <w:tcBorders>
              <w:top w:val="nil"/>
              <w:left w:val="nil"/>
              <w:bottom w:val="nil"/>
              <w:right w:val="nil"/>
            </w:tcBorders>
          </w:tcPr>
          <w:p w14:paraId="200CC794" w14:textId="77777777" w:rsidR="00C919CB" w:rsidRDefault="00C919CB" w:rsidP="006E53F2">
            <w:pPr>
              <w:jc w:val="center"/>
              <w:rPr>
                <w:rFonts w:ascii="Arial" w:hAnsi="Arial" w:cs="FrankRuehl"/>
                <w:sz w:val="32"/>
                <w:szCs w:val="32"/>
                <w:rtl/>
              </w:rPr>
            </w:pPr>
            <w:bookmarkStart w:id="3" w:name="PsakDin" w:colFirst="0" w:colLast="0"/>
            <w:bookmarkStart w:id="4" w:name="LawTable"/>
            <w:bookmarkEnd w:id="0"/>
            <w:bookmarkEnd w:id="1"/>
            <w:bookmarkEnd w:id="4"/>
          </w:p>
          <w:p w14:paraId="25512BF2" w14:textId="77777777" w:rsidR="00C919CB" w:rsidRPr="00C919CB" w:rsidRDefault="00C919CB" w:rsidP="00C919CB">
            <w:pPr>
              <w:spacing w:after="120" w:line="240" w:lineRule="exact"/>
              <w:ind w:left="283" w:hanging="283"/>
              <w:jc w:val="both"/>
              <w:rPr>
                <w:rFonts w:ascii="FrankRuehl" w:hAnsi="FrankRuehl" w:cs="FrankRuehl"/>
                <w:rtl/>
              </w:rPr>
            </w:pPr>
          </w:p>
          <w:p w14:paraId="360F98B7" w14:textId="77777777" w:rsidR="00C919CB" w:rsidRPr="00C919CB" w:rsidRDefault="00C919CB" w:rsidP="00C919CB">
            <w:pPr>
              <w:spacing w:after="120" w:line="240" w:lineRule="exact"/>
              <w:ind w:left="283" w:hanging="283"/>
              <w:jc w:val="both"/>
              <w:rPr>
                <w:rFonts w:ascii="FrankRuehl" w:hAnsi="FrankRuehl" w:cs="FrankRuehl"/>
                <w:rtl/>
              </w:rPr>
            </w:pPr>
            <w:r w:rsidRPr="00C919CB">
              <w:rPr>
                <w:rFonts w:ascii="FrankRuehl" w:hAnsi="FrankRuehl" w:cs="FrankRuehl"/>
                <w:rtl/>
              </w:rPr>
              <w:t xml:space="preserve">חקיקה שאוזכרה: </w:t>
            </w:r>
          </w:p>
          <w:p w14:paraId="0F6267FF" w14:textId="77777777" w:rsidR="00C919CB" w:rsidRPr="00C919CB" w:rsidRDefault="00C919CB" w:rsidP="00C919CB">
            <w:pPr>
              <w:spacing w:after="120" w:line="240" w:lineRule="exact"/>
              <w:ind w:left="283" w:hanging="283"/>
              <w:jc w:val="both"/>
              <w:rPr>
                <w:rFonts w:ascii="FrankRuehl" w:hAnsi="FrankRuehl" w:cs="FrankRuehl"/>
                <w:color w:val="0000FF"/>
                <w:u w:val="single"/>
                <w:rtl/>
              </w:rPr>
            </w:pPr>
            <w:hyperlink r:id="rId6" w:history="1">
              <w:r w:rsidRPr="00C919CB">
                <w:rPr>
                  <w:rStyle w:val="Hyperlink"/>
                  <w:rFonts w:ascii="FrankRuehl" w:hAnsi="FrankRuehl" w:cs="FrankRuehl"/>
                  <w:rtl/>
                </w:rPr>
                <w:t>חוק העונשין, תשל"ז-1977</w:t>
              </w:r>
            </w:hyperlink>
            <w:r w:rsidRPr="00C919CB">
              <w:rPr>
                <w:rFonts w:ascii="FrankRuehl" w:hAnsi="FrankRuehl" w:cs="FrankRuehl"/>
                <w:color w:val="0000FF"/>
                <w:u w:val="single"/>
                <w:rtl/>
              </w:rPr>
              <w:t xml:space="preserve">: סע'  </w:t>
            </w:r>
            <w:hyperlink r:id="rId7" w:history="1">
              <w:r w:rsidRPr="00C919CB">
                <w:rPr>
                  <w:rStyle w:val="Hyperlink"/>
                  <w:rFonts w:ascii="FrankRuehl" w:hAnsi="FrankRuehl" w:cs="FrankRuehl"/>
                </w:rPr>
                <w:t>40</w:t>
              </w:r>
              <w:r w:rsidRPr="00C919CB">
                <w:rPr>
                  <w:rStyle w:val="Hyperlink"/>
                  <w:rFonts w:ascii="FrankRuehl" w:hAnsi="FrankRuehl" w:cs="FrankRuehl"/>
                  <w:rtl/>
                </w:rPr>
                <w:t>ב</w:t>
              </w:r>
            </w:hyperlink>
            <w:r w:rsidRPr="00C919CB">
              <w:rPr>
                <w:rFonts w:ascii="FrankRuehl" w:hAnsi="FrankRuehl" w:cs="FrankRuehl"/>
                <w:color w:val="0000FF"/>
                <w:u w:val="single"/>
                <w:rtl/>
              </w:rPr>
              <w:t xml:space="preserve">, </w:t>
            </w:r>
            <w:hyperlink r:id="rId8" w:history="1">
              <w:r w:rsidRPr="00C919CB">
                <w:rPr>
                  <w:rStyle w:val="Hyperlink"/>
                  <w:rFonts w:ascii="FrankRuehl" w:hAnsi="FrankRuehl" w:cs="FrankRuehl"/>
                </w:rPr>
                <w:t>40</w:t>
              </w:r>
              <w:r w:rsidRPr="00C919CB">
                <w:rPr>
                  <w:rStyle w:val="Hyperlink"/>
                  <w:rFonts w:ascii="FrankRuehl" w:hAnsi="FrankRuehl" w:cs="FrankRuehl"/>
                  <w:rtl/>
                </w:rPr>
                <w:t>ג(א</w:t>
              </w:r>
              <w:r w:rsidRPr="00C919CB">
                <w:rPr>
                  <w:rStyle w:val="Hyperlink"/>
                  <w:rFonts w:ascii="FrankRuehl" w:hAnsi="FrankRuehl" w:cs="FrankRuehl"/>
                </w:rPr>
                <w:t>)</w:t>
              </w:r>
            </w:hyperlink>
            <w:r w:rsidRPr="00C919CB">
              <w:rPr>
                <w:rFonts w:ascii="FrankRuehl" w:hAnsi="FrankRuehl" w:cs="FrankRuehl"/>
                <w:color w:val="0000FF"/>
                <w:u w:val="single"/>
                <w:rtl/>
              </w:rPr>
              <w:t xml:space="preserve">, </w:t>
            </w:r>
            <w:hyperlink r:id="rId9" w:history="1">
              <w:r w:rsidRPr="00C919CB">
                <w:rPr>
                  <w:rStyle w:val="Hyperlink"/>
                  <w:rFonts w:ascii="FrankRuehl" w:hAnsi="FrankRuehl" w:cs="FrankRuehl"/>
                </w:rPr>
                <w:t>144</w:t>
              </w:r>
            </w:hyperlink>
            <w:r w:rsidRPr="00C919CB">
              <w:rPr>
                <w:rFonts w:ascii="FrankRuehl" w:hAnsi="FrankRuehl" w:cs="FrankRuehl"/>
                <w:color w:val="0000FF"/>
                <w:u w:val="single"/>
                <w:rtl/>
              </w:rPr>
              <w:t xml:space="preserve">, </w:t>
            </w:r>
            <w:hyperlink r:id="rId10" w:history="1">
              <w:r w:rsidRPr="00C919CB">
                <w:rPr>
                  <w:rStyle w:val="Hyperlink"/>
                  <w:rFonts w:ascii="FrankRuehl" w:hAnsi="FrankRuehl" w:cs="FrankRuehl"/>
                </w:rPr>
                <w:t>144(</w:t>
              </w:r>
              <w:r w:rsidRPr="00C919CB">
                <w:rPr>
                  <w:rStyle w:val="Hyperlink"/>
                  <w:rFonts w:ascii="FrankRuehl" w:hAnsi="FrankRuehl" w:cs="FrankRuehl"/>
                  <w:rtl/>
                </w:rPr>
                <w:t>א</w:t>
              </w:r>
              <w:r w:rsidRPr="00C919CB">
                <w:rPr>
                  <w:rStyle w:val="Hyperlink"/>
                  <w:rFonts w:ascii="FrankRuehl" w:hAnsi="FrankRuehl" w:cs="FrankRuehl"/>
                </w:rPr>
                <w:t>)</w:t>
              </w:r>
            </w:hyperlink>
            <w:r w:rsidRPr="00C919CB">
              <w:rPr>
                <w:rFonts w:ascii="FrankRuehl" w:hAnsi="FrankRuehl" w:cs="FrankRuehl"/>
                <w:color w:val="0000FF"/>
                <w:u w:val="single"/>
                <w:rtl/>
              </w:rPr>
              <w:t xml:space="preserve">, </w:t>
            </w:r>
            <w:hyperlink r:id="rId11" w:history="1">
              <w:r w:rsidRPr="00C919CB">
                <w:rPr>
                  <w:rStyle w:val="Hyperlink"/>
                  <w:rFonts w:ascii="FrankRuehl" w:hAnsi="FrankRuehl" w:cs="FrankRuehl"/>
                </w:rPr>
                <w:t>144(</w:t>
              </w:r>
              <w:r w:rsidRPr="00C919CB">
                <w:rPr>
                  <w:rStyle w:val="Hyperlink"/>
                  <w:rFonts w:ascii="FrankRuehl" w:hAnsi="FrankRuehl" w:cs="FrankRuehl"/>
                  <w:rtl/>
                </w:rPr>
                <w:t>ב</w:t>
              </w:r>
              <w:r w:rsidRPr="00C919CB">
                <w:rPr>
                  <w:rStyle w:val="Hyperlink"/>
                  <w:rFonts w:ascii="FrankRuehl" w:hAnsi="FrankRuehl" w:cs="FrankRuehl"/>
                </w:rPr>
                <w:t>)</w:t>
              </w:r>
            </w:hyperlink>
            <w:r w:rsidRPr="00C919CB">
              <w:rPr>
                <w:rFonts w:ascii="FrankRuehl" w:hAnsi="FrankRuehl" w:cs="FrankRuehl"/>
                <w:color w:val="0000FF"/>
                <w:u w:val="single"/>
                <w:rtl/>
              </w:rPr>
              <w:t xml:space="preserve">, </w:t>
            </w:r>
            <w:hyperlink r:id="rId12" w:history="1">
              <w:r w:rsidRPr="00C919CB">
                <w:rPr>
                  <w:rStyle w:val="Hyperlink"/>
                  <w:rFonts w:ascii="FrankRuehl" w:hAnsi="FrankRuehl" w:cs="FrankRuehl"/>
                </w:rPr>
                <w:t>144(</w:t>
              </w:r>
              <w:r w:rsidRPr="00C919CB">
                <w:rPr>
                  <w:rStyle w:val="Hyperlink"/>
                  <w:rFonts w:ascii="FrankRuehl" w:hAnsi="FrankRuehl" w:cs="FrankRuehl"/>
                  <w:rtl/>
                </w:rPr>
                <w:t>ב2</w:t>
              </w:r>
              <w:r w:rsidRPr="00C919CB">
                <w:rPr>
                  <w:rStyle w:val="Hyperlink"/>
                  <w:rFonts w:ascii="FrankRuehl" w:hAnsi="FrankRuehl" w:cs="FrankRuehl"/>
                </w:rPr>
                <w:t>)</w:t>
              </w:r>
            </w:hyperlink>
          </w:p>
          <w:p w14:paraId="4D3C4800" w14:textId="77777777" w:rsidR="00C919CB" w:rsidRPr="00C919CB" w:rsidRDefault="00C919CB" w:rsidP="00C919CB">
            <w:pPr>
              <w:spacing w:after="120" w:line="240" w:lineRule="exact"/>
              <w:ind w:left="283" w:hanging="283"/>
              <w:jc w:val="both"/>
              <w:rPr>
                <w:rFonts w:ascii="FrankRuehl" w:hAnsi="FrankRuehl" w:cs="FrankRuehl"/>
                <w:rtl/>
              </w:rPr>
            </w:pPr>
          </w:p>
          <w:p w14:paraId="1CA301D7" w14:textId="77777777" w:rsidR="00C919CB" w:rsidRPr="00C919CB" w:rsidRDefault="00C919CB" w:rsidP="006E53F2">
            <w:pPr>
              <w:jc w:val="center"/>
              <w:rPr>
                <w:rFonts w:ascii="Arial" w:hAnsi="Arial" w:cs="FrankRuehl"/>
                <w:sz w:val="32"/>
                <w:szCs w:val="32"/>
                <w:rtl/>
              </w:rPr>
            </w:pPr>
            <w:bookmarkStart w:id="5" w:name="LawTable_End"/>
            <w:bookmarkEnd w:id="5"/>
          </w:p>
          <w:p w14:paraId="348A66C7" w14:textId="77777777" w:rsidR="006E53F2" w:rsidRPr="006E53F2" w:rsidRDefault="006E53F2" w:rsidP="006E53F2">
            <w:pPr>
              <w:jc w:val="center"/>
              <w:rPr>
                <w:rFonts w:ascii="Arial" w:hAnsi="Arial" w:cs="FrankRuehl"/>
                <w:b/>
                <w:bCs/>
                <w:sz w:val="32"/>
                <w:szCs w:val="32"/>
                <w:u w:val="single"/>
                <w:rtl/>
              </w:rPr>
            </w:pPr>
            <w:r w:rsidRPr="006E53F2">
              <w:rPr>
                <w:rFonts w:ascii="Arial" w:hAnsi="Arial" w:cs="FrankRuehl"/>
                <w:b/>
                <w:bCs/>
                <w:sz w:val="32"/>
                <w:szCs w:val="32"/>
                <w:u w:val="single"/>
                <w:rtl/>
              </w:rPr>
              <w:t>גזר דין</w:t>
            </w:r>
          </w:p>
          <w:p w14:paraId="3C95B9AF" w14:textId="77777777" w:rsidR="00B516A3" w:rsidRPr="006E53F2" w:rsidRDefault="00B516A3" w:rsidP="006E53F2">
            <w:pPr>
              <w:jc w:val="center"/>
              <w:rPr>
                <w:rFonts w:ascii="Arial" w:hAnsi="Arial" w:cs="FrankRuehl"/>
                <w:bCs/>
                <w:sz w:val="32"/>
                <w:szCs w:val="32"/>
                <w:u w:val="single"/>
                <w:rtl/>
              </w:rPr>
            </w:pPr>
          </w:p>
        </w:tc>
      </w:tr>
      <w:bookmarkEnd w:id="3"/>
    </w:tbl>
    <w:p w14:paraId="65865039" w14:textId="77777777" w:rsidR="00B516A3" w:rsidRDefault="00B516A3">
      <w:pPr>
        <w:spacing w:line="360" w:lineRule="auto"/>
        <w:rPr>
          <w:rFonts w:ascii="Arial" w:hAnsi="Arial"/>
          <w:rtl/>
        </w:rPr>
      </w:pPr>
    </w:p>
    <w:p w14:paraId="6CC08D0C" w14:textId="77777777" w:rsidR="00B516A3" w:rsidRDefault="00B516A3">
      <w:pPr>
        <w:spacing w:line="360" w:lineRule="auto"/>
        <w:rPr>
          <w:rFonts w:ascii="Arial" w:hAnsi="Arial"/>
          <w:rtl/>
        </w:rPr>
      </w:pPr>
    </w:p>
    <w:p w14:paraId="31EFE63E" w14:textId="77777777" w:rsidR="00B516A3" w:rsidRDefault="006E53F2">
      <w:pPr>
        <w:spacing w:line="360" w:lineRule="auto"/>
        <w:rPr>
          <w:rFonts w:ascii="Arial" w:hAnsi="Arial"/>
          <w:rtl/>
        </w:rPr>
      </w:pPr>
      <w:bookmarkStart w:id="6" w:name="ABSTRACT_START"/>
      <w:bookmarkEnd w:id="6"/>
      <w:r>
        <w:rPr>
          <w:rFonts w:ascii="Arial" w:hAnsi="Arial" w:hint="cs"/>
          <w:rtl/>
        </w:rPr>
        <w:t xml:space="preserve">הנאשם הורשע על פי הודאתו בעבירה של נשיאת נשק לפי </w:t>
      </w:r>
      <w:hyperlink r:id="rId13" w:history="1">
        <w:r w:rsidR="0080455F" w:rsidRPr="0080455F">
          <w:rPr>
            <w:rFonts w:ascii="Arial" w:hAnsi="Arial"/>
            <w:color w:val="0000FF"/>
            <w:u w:val="single"/>
            <w:rtl/>
          </w:rPr>
          <w:t>סעיף 144(ב)</w:t>
        </w:r>
      </w:hyperlink>
      <w:r>
        <w:rPr>
          <w:rFonts w:ascii="Arial" w:hAnsi="Arial" w:hint="cs"/>
          <w:rtl/>
        </w:rPr>
        <w:t xml:space="preserve"> רישא ל</w:t>
      </w:r>
      <w:hyperlink r:id="rId14" w:history="1">
        <w:r w:rsidRPr="006E53F2">
          <w:rPr>
            <w:rFonts w:ascii="Arial" w:hAnsi="Arial"/>
            <w:color w:val="0000FF"/>
            <w:u w:val="single"/>
            <w:rtl/>
          </w:rPr>
          <w:t>חוק העונשין</w:t>
        </w:r>
      </w:hyperlink>
      <w:r>
        <w:rPr>
          <w:rFonts w:ascii="Arial" w:hAnsi="Arial" w:hint="cs"/>
          <w:rtl/>
        </w:rPr>
        <w:t>, תשל"ז-1977</w:t>
      </w:r>
      <w:bookmarkStart w:id="7" w:name="ABSTRACT_END"/>
      <w:bookmarkEnd w:id="7"/>
      <w:r>
        <w:rPr>
          <w:rFonts w:ascii="Arial" w:hAnsi="Arial" w:hint="cs"/>
          <w:rtl/>
        </w:rPr>
        <w:t>.</w:t>
      </w:r>
    </w:p>
    <w:p w14:paraId="5B60AD1E" w14:textId="77777777" w:rsidR="00B516A3" w:rsidRDefault="00B516A3">
      <w:pPr>
        <w:spacing w:line="360" w:lineRule="auto"/>
        <w:rPr>
          <w:rFonts w:ascii="Arial" w:hAnsi="Arial"/>
          <w:rtl/>
        </w:rPr>
      </w:pPr>
    </w:p>
    <w:p w14:paraId="26DE3483" w14:textId="77777777" w:rsidR="00B516A3" w:rsidRDefault="006E53F2">
      <w:pPr>
        <w:spacing w:line="360" w:lineRule="auto"/>
        <w:rPr>
          <w:rFonts w:ascii="Arial" w:hAnsi="Arial"/>
          <w:b/>
          <w:bCs/>
          <w:rtl/>
        </w:rPr>
      </w:pPr>
      <w:r>
        <w:rPr>
          <w:rFonts w:ascii="Arial" w:hAnsi="Arial" w:hint="cs"/>
          <w:b/>
          <w:bCs/>
          <w:rtl/>
        </w:rPr>
        <w:t>כתב האישום והתשובה לכתב האישום</w:t>
      </w:r>
    </w:p>
    <w:p w14:paraId="35914C8C" w14:textId="77777777" w:rsidR="00B516A3" w:rsidRDefault="006E53F2">
      <w:pPr>
        <w:spacing w:line="360" w:lineRule="auto"/>
        <w:jc w:val="both"/>
        <w:rPr>
          <w:rtl/>
        </w:rPr>
      </w:pPr>
      <w:r>
        <w:rPr>
          <w:rFonts w:hint="cs"/>
          <w:rtl/>
        </w:rPr>
        <w:t xml:space="preserve">1. על פי כתב האישום ביום 12.9.12 נטל הנאשם ללא רשות אקדח ובתוכו מחסנית המכילה 14 כדורים השייך לראובן גרין מביתו של אברהם ליטמן ללא אישור. </w:t>
      </w:r>
    </w:p>
    <w:p w14:paraId="2232713A" w14:textId="77777777" w:rsidR="00B516A3" w:rsidRDefault="00B516A3">
      <w:pPr>
        <w:spacing w:line="360" w:lineRule="auto"/>
        <w:jc w:val="both"/>
        <w:rPr>
          <w:rtl/>
        </w:rPr>
      </w:pPr>
    </w:p>
    <w:p w14:paraId="042E73CC" w14:textId="77777777" w:rsidR="00B516A3" w:rsidRDefault="006E53F2">
      <w:pPr>
        <w:spacing w:line="360" w:lineRule="auto"/>
        <w:jc w:val="both"/>
        <w:rPr>
          <w:rtl/>
        </w:rPr>
      </w:pPr>
      <w:r>
        <w:rPr>
          <w:rFonts w:hint="cs"/>
          <w:rtl/>
        </w:rPr>
        <w:t xml:space="preserve">ביום 13.9.12 נשא הנאשם בלא רשות על גופו את האקדח במסגרת עבודתו כמאבטח. </w:t>
      </w:r>
    </w:p>
    <w:p w14:paraId="051D15A8" w14:textId="77777777" w:rsidR="00B516A3" w:rsidRDefault="00B516A3">
      <w:pPr>
        <w:spacing w:line="360" w:lineRule="auto"/>
        <w:jc w:val="both"/>
        <w:rPr>
          <w:rtl/>
        </w:rPr>
      </w:pPr>
    </w:p>
    <w:p w14:paraId="47D47884" w14:textId="77777777" w:rsidR="00B516A3" w:rsidRDefault="006E53F2">
      <w:pPr>
        <w:spacing w:line="360" w:lineRule="auto"/>
        <w:jc w:val="both"/>
        <w:rPr>
          <w:rtl/>
        </w:rPr>
      </w:pPr>
      <w:r>
        <w:rPr>
          <w:rFonts w:hint="cs"/>
          <w:rtl/>
        </w:rPr>
        <w:t xml:space="preserve">בתשובתו לכתב האישום אמר הנאשם כי הוא קיבל הצעת עבודה חד יומית ללוות טיול בית ספר לקבר רחל. מאחר והוא בעל הכשרה צהלית כלוחם ומשרת תדיר במילואים, הוא היה משוכנע שבכל </w:t>
      </w:r>
      <w:r>
        <w:rPr>
          <w:rFonts w:hint="cs"/>
          <w:rtl/>
        </w:rPr>
        <w:lastRenderedPageBreak/>
        <w:t xml:space="preserve">מקרה יוכל לקבל נשק מהמשטרה לשם לווי הטיול. הנאשם נשא את הנשק אך לשם ביצוע אותה עבודה חד יומית ולא לשום מטרה אחרת, והתכוון להחזיר את הנשק בסופו של הטיול. </w:t>
      </w:r>
    </w:p>
    <w:p w14:paraId="3D20396B" w14:textId="77777777" w:rsidR="00B516A3" w:rsidRDefault="00B516A3">
      <w:pPr>
        <w:spacing w:line="360" w:lineRule="auto"/>
        <w:jc w:val="both"/>
        <w:rPr>
          <w:rtl/>
        </w:rPr>
      </w:pPr>
    </w:p>
    <w:p w14:paraId="18479311" w14:textId="77777777" w:rsidR="00B516A3" w:rsidRDefault="006E53F2">
      <w:pPr>
        <w:spacing w:line="360" w:lineRule="auto"/>
        <w:jc w:val="both"/>
        <w:rPr>
          <w:rtl/>
        </w:rPr>
      </w:pPr>
      <w:r>
        <w:rPr>
          <w:rFonts w:hint="cs"/>
          <w:rtl/>
        </w:rPr>
        <w:t xml:space="preserve">בעקבות תשובתו זו ביקשה ב"כ המאשימה להרשיע את הנאשם בעבירה המיוחסת לו וכך היה. </w:t>
      </w:r>
    </w:p>
    <w:p w14:paraId="0CE1BAD0" w14:textId="77777777" w:rsidR="00B516A3" w:rsidRDefault="00B516A3">
      <w:pPr>
        <w:spacing w:line="360" w:lineRule="auto"/>
        <w:rPr>
          <w:rtl/>
        </w:rPr>
      </w:pPr>
    </w:p>
    <w:p w14:paraId="4AC8638D" w14:textId="77777777" w:rsidR="00B516A3" w:rsidRDefault="006E53F2">
      <w:pPr>
        <w:spacing w:line="360" w:lineRule="auto"/>
        <w:jc w:val="both"/>
        <w:rPr>
          <w:b/>
          <w:bCs/>
          <w:rtl/>
        </w:rPr>
      </w:pPr>
      <w:r>
        <w:rPr>
          <w:rFonts w:hint="cs"/>
          <w:b/>
          <w:bCs/>
          <w:rtl/>
        </w:rPr>
        <w:t>תסקיר שירות המבחן</w:t>
      </w:r>
    </w:p>
    <w:p w14:paraId="049FF596" w14:textId="77777777" w:rsidR="00B516A3" w:rsidRDefault="006E53F2">
      <w:pPr>
        <w:spacing w:line="360" w:lineRule="auto"/>
        <w:jc w:val="both"/>
        <w:rPr>
          <w:rtl/>
        </w:rPr>
      </w:pPr>
      <w:r>
        <w:rPr>
          <w:rFonts w:hint="cs"/>
          <w:rtl/>
        </w:rPr>
        <w:t xml:space="preserve">2. על פי התסקיר הנאשם בן 30 ונעדר עבר פלילי, בעל ערכים חיוביים לשמירה על החוק וללא מאפיינים או דפוסים עברייניים. הנאשם הביע חרטה על מעשיו והתרשמות שירות המבחן היא כי ביצוע העבירה מעיד על היעדר הפעלת שיקול דעת, פזיזות וחוסר בשלות ולא על מאפיינים עברייניים. </w:t>
      </w:r>
    </w:p>
    <w:p w14:paraId="079D3B69" w14:textId="77777777" w:rsidR="00B516A3" w:rsidRDefault="00B516A3">
      <w:pPr>
        <w:spacing w:line="360" w:lineRule="auto"/>
        <w:jc w:val="both"/>
        <w:rPr>
          <w:rtl/>
        </w:rPr>
      </w:pPr>
    </w:p>
    <w:p w14:paraId="35FCDC4C" w14:textId="77777777" w:rsidR="00B516A3" w:rsidRDefault="006E53F2">
      <w:pPr>
        <w:spacing w:line="360" w:lineRule="auto"/>
        <w:jc w:val="both"/>
        <w:rPr>
          <w:rtl/>
        </w:rPr>
      </w:pPr>
      <w:r>
        <w:rPr>
          <w:rFonts w:hint="cs"/>
          <w:rtl/>
        </w:rPr>
        <w:t xml:space="preserve">המלצת שירות המבחן בנסיבות היא להימנע מהרשעתו של הנאשם, לחזק את כוחותיו החיוביים  ולהטיל עליו של"צ בהיקף נרחב. </w:t>
      </w:r>
    </w:p>
    <w:p w14:paraId="409C2F71" w14:textId="77777777" w:rsidR="00B516A3" w:rsidRDefault="00B516A3">
      <w:pPr>
        <w:spacing w:line="360" w:lineRule="auto"/>
        <w:rPr>
          <w:rtl/>
        </w:rPr>
      </w:pPr>
    </w:p>
    <w:p w14:paraId="42D4E81A" w14:textId="77777777" w:rsidR="00B516A3" w:rsidRDefault="006E53F2">
      <w:pPr>
        <w:spacing w:line="360" w:lineRule="auto"/>
        <w:rPr>
          <w:b/>
          <w:bCs/>
          <w:rtl/>
        </w:rPr>
      </w:pPr>
      <w:r>
        <w:rPr>
          <w:rFonts w:hint="cs"/>
          <w:b/>
          <w:bCs/>
          <w:rtl/>
        </w:rPr>
        <w:t>ראיות לעונש</w:t>
      </w:r>
    </w:p>
    <w:p w14:paraId="7CD9166B" w14:textId="77777777" w:rsidR="00B516A3" w:rsidRDefault="006E53F2">
      <w:pPr>
        <w:spacing w:line="360" w:lineRule="auto"/>
        <w:rPr>
          <w:rtl/>
        </w:rPr>
      </w:pPr>
      <w:r>
        <w:rPr>
          <w:rFonts w:hint="cs"/>
          <w:rtl/>
        </w:rPr>
        <w:t xml:space="preserve">3. במסגרת הראיות לעונש העידה אחותו אל הנאשם על השפעתו הטראומטית של המעצר בן היומיים על מצבו של הנאשם. </w:t>
      </w:r>
    </w:p>
    <w:p w14:paraId="2F3DF312" w14:textId="77777777" w:rsidR="00B516A3" w:rsidRDefault="00B516A3">
      <w:pPr>
        <w:spacing w:line="360" w:lineRule="auto"/>
        <w:rPr>
          <w:rtl/>
        </w:rPr>
      </w:pPr>
    </w:p>
    <w:p w14:paraId="76A2B81A" w14:textId="77777777" w:rsidR="00B516A3" w:rsidRDefault="006E53F2">
      <w:pPr>
        <w:spacing w:line="360" w:lineRule="auto"/>
        <w:jc w:val="both"/>
        <w:rPr>
          <w:b/>
          <w:bCs/>
          <w:rtl/>
        </w:rPr>
      </w:pPr>
      <w:r>
        <w:rPr>
          <w:rFonts w:hint="cs"/>
          <w:b/>
          <w:bCs/>
          <w:rtl/>
        </w:rPr>
        <w:t>טעונות הצדדים</w:t>
      </w:r>
    </w:p>
    <w:p w14:paraId="5B7DB0FC" w14:textId="77777777" w:rsidR="00B516A3" w:rsidRDefault="006E53F2">
      <w:pPr>
        <w:spacing w:line="360" w:lineRule="auto"/>
        <w:jc w:val="both"/>
        <w:rPr>
          <w:rtl/>
        </w:rPr>
      </w:pPr>
      <w:r>
        <w:rPr>
          <w:rFonts w:hint="cs"/>
          <w:rtl/>
        </w:rPr>
        <w:t xml:space="preserve">4. ב"כ המאשימה טען כי יש לדחות את המלצת שירות המבחן לאי הרשעה באשר לא התקיימו בנסיבות התנאים שנקבעו בפסיקה לעניין זה. עם זאת ציין כי הגם שהעבירה של נשיאת נשק היא עבירה חמורה מהחזקת נשק, קיימות נסיבות מיוחדות במקרה הנוכחי. </w:t>
      </w:r>
    </w:p>
    <w:p w14:paraId="7FFB90FB" w14:textId="77777777" w:rsidR="00B516A3" w:rsidRDefault="00B516A3">
      <w:pPr>
        <w:spacing w:line="360" w:lineRule="auto"/>
        <w:jc w:val="both"/>
        <w:rPr>
          <w:rtl/>
        </w:rPr>
      </w:pPr>
    </w:p>
    <w:p w14:paraId="70F5DA6D" w14:textId="77777777" w:rsidR="00B516A3" w:rsidRDefault="006E53F2">
      <w:pPr>
        <w:spacing w:line="360" w:lineRule="auto"/>
        <w:jc w:val="both"/>
        <w:rPr>
          <w:rtl/>
        </w:rPr>
      </w:pPr>
      <w:r>
        <w:rPr>
          <w:rFonts w:hint="cs"/>
          <w:rtl/>
        </w:rPr>
        <w:t xml:space="preserve">לטענתו החשש במקרה הנוכחי לפגיעה בשלום הצבור הוא כפול </w:t>
      </w:r>
      <w:r>
        <w:rPr>
          <w:rtl/>
        </w:rPr>
        <w:t>–</w:t>
      </w:r>
      <w:r>
        <w:rPr>
          <w:rFonts w:hint="cs"/>
          <w:rtl/>
        </w:rPr>
        <w:t xml:space="preserve"> ראשית, שימוש לא נכון בנשק כאשר הנאשם מסתובב איתו ברשות הרבים ושנית </w:t>
      </w:r>
      <w:r>
        <w:rPr>
          <w:rtl/>
        </w:rPr>
        <w:t>–</w:t>
      </w:r>
      <w:r>
        <w:rPr>
          <w:rFonts w:hint="cs"/>
          <w:rtl/>
        </w:rPr>
        <w:t xml:space="preserve"> שאם חלילה יתרחש סיכון בטחוני הנאשם לא ידע להגיב באופן הנדרש. ב"כ המאשימה טען למתחם הנע בין 10 ל-30 חודשים כאשר יש לטענתו למקם את הנאשם בחלקו התחתון של המתחם. </w:t>
      </w:r>
    </w:p>
    <w:p w14:paraId="22C98182" w14:textId="77777777" w:rsidR="00B516A3" w:rsidRDefault="00B516A3">
      <w:pPr>
        <w:spacing w:line="360" w:lineRule="auto"/>
        <w:rPr>
          <w:rtl/>
        </w:rPr>
      </w:pPr>
    </w:p>
    <w:p w14:paraId="277A2016" w14:textId="77777777" w:rsidR="00B516A3" w:rsidRDefault="006E53F2">
      <w:pPr>
        <w:spacing w:line="360" w:lineRule="auto"/>
        <w:jc w:val="both"/>
        <w:rPr>
          <w:rtl/>
        </w:rPr>
      </w:pPr>
      <w:r>
        <w:rPr>
          <w:rFonts w:hint="cs"/>
          <w:rtl/>
        </w:rPr>
        <w:t xml:space="preserve">5. לטענת ב"כ הנאשם אין לזהות בין טווח הענישה הנוהג ומתחם הענישה ההולם ובמקרה הנוכחי קיימות נסיבות רבות המצדיקות חריגה ממתחם הענישה הנוהג. הנאשם לא נתפס בדרך לבצע עבירה ולא נתפס עם נשק שעולה ממנו כוונה לפגע, אלא נשא את הנשק לשם ביצוע עבודה חד יומית והתכוון להחזירו בסוף הטיול. הנאשם הניח שהכשרתו הצבאית הייתה מאפשרת לו לקבל נשק מהמשטרה לשם לווי הטיול. ברור שהוא היה אמור לקבל את הנשק מהמשטרה והוא לא בירר את המצב החוקי ולקח על עצמו את העבודה. הקלות הזו מלמדת על עצימת עיניים. עם זאת, כפי שמציין שירות המבחן המעשה לא נעשה מטעמים עברייניים אלא בשל חוסר שיקול דעת. </w:t>
      </w:r>
    </w:p>
    <w:p w14:paraId="132DA6E4" w14:textId="77777777" w:rsidR="00B516A3" w:rsidRDefault="00B516A3">
      <w:pPr>
        <w:spacing w:line="360" w:lineRule="auto"/>
        <w:jc w:val="both"/>
        <w:rPr>
          <w:rtl/>
        </w:rPr>
      </w:pPr>
    </w:p>
    <w:p w14:paraId="59682376" w14:textId="77777777" w:rsidR="00B516A3" w:rsidRDefault="006E53F2">
      <w:pPr>
        <w:spacing w:line="360" w:lineRule="auto"/>
        <w:jc w:val="both"/>
        <w:rPr>
          <w:rtl/>
        </w:rPr>
      </w:pPr>
      <w:r>
        <w:rPr>
          <w:rFonts w:hint="cs"/>
          <w:rtl/>
        </w:rPr>
        <w:t xml:space="preserve">לטענת ב"כ הנאשם, בנסיבות יש לקבוע מתחם ענישה המקל הרבה יותר. לטענתו כאשר מוכח שלעבירה של נשיאת הנשק לא נלוותה כל כוונה לבצע עבירות נוספות, המתחם צריך לנוע בין של"צ בהיקף נרחב ומאסר מותנה לבין מאסר קצר שיתכן וירוצה בעבודות שירות. לטענתו יש למקם את הנאשם ברף התחתון של המתחם. ב"כ הנאשם ביקש להימנע מהרשעתו של הנאשם בהתאם להמלצת שירות המבחן. </w:t>
      </w:r>
    </w:p>
    <w:p w14:paraId="0B254D46" w14:textId="77777777" w:rsidR="00B516A3" w:rsidRDefault="00B516A3">
      <w:pPr>
        <w:spacing w:line="360" w:lineRule="auto"/>
        <w:jc w:val="both"/>
        <w:rPr>
          <w:rtl/>
        </w:rPr>
      </w:pPr>
    </w:p>
    <w:p w14:paraId="31121D05" w14:textId="77777777" w:rsidR="00B516A3" w:rsidRDefault="006E53F2">
      <w:pPr>
        <w:spacing w:line="360" w:lineRule="auto"/>
        <w:rPr>
          <w:rtl/>
        </w:rPr>
      </w:pPr>
      <w:r>
        <w:rPr>
          <w:rFonts w:hint="cs"/>
          <w:rtl/>
        </w:rPr>
        <w:t xml:space="preserve">6. הנאשם ציין את חרטתו על המעשה. </w:t>
      </w:r>
    </w:p>
    <w:p w14:paraId="1EF01133" w14:textId="77777777" w:rsidR="00B516A3" w:rsidRDefault="00B516A3">
      <w:pPr>
        <w:spacing w:line="360" w:lineRule="auto"/>
        <w:rPr>
          <w:rtl/>
        </w:rPr>
      </w:pPr>
    </w:p>
    <w:p w14:paraId="7AD096D5" w14:textId="77777777" w:rsidR="00B516A3" w:rsidRDefault="006E53F2">
      <w:pPr>
        <w:spacing w:line="360" w:lineRule="auto"/>
        <w:rPr>
          <w:b/>
          <w:bCs/>
          <w:rtl/>
        </w:rPr>
      </w:pPr>
      <w:r>
        <w:rPr>
          <w:rFonts w:hint="cs"/>
          <w:b/>
          <w:bCs/>
          <w:rtl/>
        </w:rPr>
        <w:t>הכרעה</w:t>
      </w:r>
    </w:p>
    <w:p w14:paraId="2F376A42" w14:textId="77777777" w:rsidR="00B516A3" w:rsidRDefault="006E53F2">
      <w:pPr>
        <w:spacing w:line="360" w:lineRule="auto"/>
        <w:jc w:val="both"/>
        <w:rPr>
          <w:rFonts w:ascii="Arial" w:hAnsi="Arial"/>
          <w:rtl/>
        </w:rPr>
      </w:pPr>
      <w:r>
        <w:rPr>
          <w:rFonts w:ascii="Arial" w:hAnsi="Arial" w:hint="cs"/>
          <w:rtl/>
        </w:rPr>
        <w:t xml:space="preserve">7. על גזר הדין להינתן בהתאם לעקרון ההלימה שנקבע </w:t>
      </w:r>
      <w:hyperlink r:id="rId15" w:history="1">
        <w:r w:rsidR="0080455F" w:rsidRPr="0080455F">
          <w:rPr>
            <w:rFonts w:ascii="Arial" w:hAnsi="Arial"/>
            <w:color w:val="0000FF"/>
            <w:u w:val="single"/>
            <w:rtl/>
          </w:rPr>
          <w:t>בסעיף 40ב</w:t>
        </w:r>
      </w:hyperlink>
      <w:r>
        <w:rPr>
          <w:rFonts w:ascii="Arial" w:hAnsi="Arial" w:hint="cs"/>
          <w:rtl/>
        </w:rPr>
        <w:t xml:space="preserve"> לחוק בין "</w:t>
      </w:r>
      <w:r>
        <w:rPr>
          <w:rFonts w:ascii="Arial" w:hAnsi="Arial" w:hint="cs"/>
          <w:b/>
          <w:bCs/>
          <w:rtl/>
        </w:rPr>
        <w:t>חומרת מעשה העבירה בנסיבותיו ומידת אשמו של הנאשם ובין סוג ומידת העונש המוטל עליו</w:t>
      </w:r>
      <w:r>
        <w:rPr>
          <w:rFonts w:ascii="Arial" w:hAnsi="Arial" w:hint="cs"/>
          <w:rtl/>
        </w:rPr>
        <w:t xml:space="preserve">". </w:t>
      </w:r>
    </w:p>
    <w:p w14:paraId="7BF429A2" w14:textId="77777777" w:rsidR="00B516A3" w:rsidRDefault="00B516A3">
      <w:pPr>
        <w:spacing w:line="360" w:lineRule="auto"/>
        <w:jc w:val="both"/>
        <w:rPr>
          <w:rFonts w:ascii="Arial" w:hAnsi="Arial"/>
          <w:rtl/>
        </w:rPr>
      </w:pPr>
    </w:p>
    <w:p w14:paraId="60EE2CE0" w14:textId="77777777" w:rsidR="00B516A3" w:rsidRDefault="006E53F2">
      <w:pPr>
        <w:spacing w:line="360" w:lineRule="auto"/>
        <w:jc w:val="both"/>
        <w:rPr>
          <w:rFonts w:ascii="Arial" w:hAnsi="Arial"/>
          <w:rtl/>
        </w:rPr>
      </w:pPr>
      <w:r>
        <w:rPr>
          <w:rFonts w:ascii="Arial" w:hAnsi="Arial" w:hint="cs"/>
          <w:rtl/>
        </w:rPr>
        <w:t>בקביעת מתחם הענישה ההולם למעשה העבירה על בית המשפט להתחשב "</w:t>
      </w:r>
      <w:r>
        <w:rPr>
          <w:rFonts w:ascii="Arial" w:hAnsi="Arial" w:hint="cs"/>
          <w:b/>
          <w:bCs/>
          <w:rtl/>
        </w:rPr>
        <w:t>בערך החברתי שנפגע מביצוע העבירה, במידת הפגיעה בו, במדיניות הענישה הנהוגה ובנסיבות הקשורות בביצוע העבירה..</w:t>
      </w:r>
      <w:r>
        <w:rPr>
          <w:rFonts w:ascii="Arial" w:hAnsi="Arial" w:hint="cs"/>
          <w:rtl/>
        </w:rPr>
        <w:t xml:space="preserve">" (ר' </w:t>
      </w:r>
      <w:hyperlink r:id="rId16" w:history="1">
        <w:r w:rsidR="0080455F" w:rsidRPr="0080455F">
          <w:rPr>
            <w:rFonts w:ascii="Arial" w:hAnsi="Arial"/>
            <w:color w:val="0000FF"/>
            <w:u w:val="single"/>
            <w:rtl/>
          </w:rPr>
          <w:t>סעיף 40ג(א)</w:t>
        </w:r>
      </w:hyperlink>
      <w:r>
        <w:rPr>
          <w:rFonts w:ascii="Arial" w:hAnsi="Arial" w:hint="cs"/>
          <w:rtl/>
        </w:rPr>
        <w:t xml:space="preserve"> לחוק).</w:t>
      </w:r>
    </w:p>
    <w:p w14:paraId="2C3C857D" w14:textId="77777777" w:rsidR="00B516A3" w:rsidRDefault="00B516A3">
      <w:pPr>
        <w:spacing w:line="360" w:lineRule="auto"/>
        <w:jc w:val="both"/>
        <w:rPr>
          <w:rFonts w:ascii="Arial" w:hAnsi="Arial"/>
          <w:rtl/>
        </w:rPr>
      </w:pPr>
    </w:p>
    <w:p w14:paraId="28D9C668" w14:textId="77777777" w:rsidR="00B516A3" w:rsidRDefault="006E53F2">
      <w:pPr>
        <w:spacing w:line="360" w:lineRule="auto"/>
        <w:jc w:val="both"/>
        <w:rPr>
          <w:rFonts w:ascii="Arial" w:hAnsi="Arial"/>
          <w:rtl/>
        </w:rPr>
      </w:pPr>
      <w:r>
        <w:rPr>
          <w:rFonts w:ascii="Arial" w:hAnsi="Arial" w:hint="cs"/>
          <w:rtl/>
        </w:rPr>
        <w:t xml:space="preserve">8. אין מחלוקת כי הערך המוגן שנפגע הינו שלום הצבור וכי במדרג עבירות הנשק מצויה העבירה של נשיאת נשק, בדרגת הביניים מבחינת חומרתה, בין עבירה של רכישת והחזקת נשק לפי </w:t>
      </w:r>
      <w:hyperlink r:id="rId17" w:history="1">
        <w:r w:rsidR="0080455F" w:rsidRPr="0080455F">
          <w:rPr>
            <w:rFonts w:ascii="Arial" w:hAnsi="Arial"/>
            <w:color w:val="0000FF"/>
            <w:u w:val="single"/>
            <w:rtl/>
          </w:rPr>
          <w:t>סעיף 144(א)</w:t>
        </w:r>
      </w:hyperlink>
      <w:r>
        <w:rPr>
          <w:rFonts w:ascii="Arial" w:hAnsi="Arial" w:hint="cs"/>
          <w:rtl/>
        </w:rPr>
        <w:t xml:space="preserve"> לחוק לבין עבירה של יצור, יבוא, יצוא וסחר בנשק לפי </w:t>
      </w:r>
      <w:hyperlink r:id="rId18" w:history="1">
        <w:r w:rsidR="0080455F" w:rsidRPr="0080455F">
          <w:rPr>
            <w:rFonts w:ascii="Arial" w:hAnsi="Arial"/>
            <w:color w:val="0000FF"/>
            <w:u w:val="single"/>
            <w:rtl/>
          </w:rPr>
          <w:t>סעיף 144(ב2)</w:t>
        </w:r>
      </w:hyperlink>
      <w:r>
        <w:rPr>
          <w:rFonts w:ascii="Arial" w:hAnsi="Arial" w:hint="cs"/>
          <w:rtl/>
        </w:rPr>
        <w:t xml:space="preserve"> לחוק. </w:t>
      </w:r>
    </w:p>
    <w:p w14:paraId="459D4DE3" w14:textId="77777777" w:rsidR="00B516A3" w:rsidRDefault="00B516A3">
      <w:pPr>
        <w:spacing w:line="360" w:lineRule="auto"/>
        <w:jc w:val="both"/>
        <w:rPr>
          <w:rFonts w:ascii="Arial" w:hAnsi="Arial"/>
          <w:rtl/>
        </w:rPr>
      </w:pPr>
    </w:p>
    <w:p w14:paraId="3EC1C998" w14:textId="77777777" w:rsidR="00B516A3" w:rsidRDefault="006E53F2">
      <w:pPr>
        <w:spacing w:line="360" w:lineRule="auto"/>
        <w:jc w:val="both"/>
        <w:rPr>
          <w:rtl/>
        </w:rPr>
      </w:pPr>
      <w:r>
        <w:rPr>
          <w:rFonts w:ascii="Arial" w:hAnsi="Arial" w:hint="cs"/>
          <w:rtl/>
        </w:rPr>
        <w:t xml:space="preserve">9. אשר למדיניות הענישה הנוהגת.  </w:t>
      </w:r>
    </w:p>
    <w:p w14:paraId="2B5F94AD" w14:textId="77777777" w:rsidR="00B516A3" w:rsidRDefault="00B516A3">
      <w:pPr>
        <w:spacing w:line="360" w:lineRule="auto"/>
        <w:jc w:val="both"/>
        <w:rPr>
          <w:rtl/>
        </w:rPr>
      </w:pPr>
    </w:p>
    <w:p w14:paraId="0CD77D21" w14:textId="77777777" w:rsidR="00B516A3" w:rsidRDefault="006E53F2">
      <w:pPr>
        <w:spacing w:line="360" w:lineRule="auto"/>
        <w:jc w:val="both"/>
        <w:rPr>
          <w:rtl/>
        </w:rPr>
      </w:pPr>
      <w:r>
        <w:rPr>
          <w:rFonts w:hint="cs"/>
          <w:rtl/>
        </w:rPr>
        <w:t>ב"כ המאשימה היפנה ל</w:t>
      </w:r>
      <w:hyperlink r:id="rId19" w:history="1">
        <w:r w:rsidRPr="006E53F2">
          <w:rPr>
            <w:color w:val="0000FF"/>
            <w:u w:val="single"/>
            <w:rtl/>
          </w:rPr>
          <w:t>רע"פ 5449/14</w:t>
        </w:r>
      </w:hyperlink>
      <w:r>
        <w:rPr>
          <w:rFonts w:hint="cs"/>
          <w:rtl/>
        </w:rPr>
        <w:t xml:space="preserve"> </w:t>
      </w:r>
      <w:r>
        <w:rPr>
          <w:rFonts w:hint="cs"/>
          <w:b/>
          <w:bCs/>
          <w:rtl/>
        </w:rPr>
        <w:t xml:space="preserve">פלוני נ. מדינת ישראל </w:t>
      </w:r>
      <w:r>
        <w:rPr>
          <w:rFonts w:hint="cs"/>
          <w:rtl/>
        </w:rPr>
        <w:t xml:space="preserve">שם נדחתה בקשת רשות ערעור על גזר דין בו הושתו 7 חודשי מאסר בפועל בגין נשיאת נשק על קטין נטול עבר פלילי. עם זאת יצויין כי הקטין הורשע באותו מקרה בעבירות נוספות ותסקיר שירות המבחן בעניינו לא בא בהמלצה טיפולית. </w:t>
      </w:r>
    </w:p>
    <w:p w14:paraId="41E80B04" w14:textId="77777777" w:rsidR="00B516A3" w:rsidRDefault="00B516A3">
      <w:pPr>
        <w:spacing w:line="360" w:lineRule="auto"/>
        <w:jc w:val="both"/>
        <w:rPr>
          <w:rtl/>
        </w:rPr>
      </w:pPr>
    </w:p>
    <w:p w14:paraId="7DFB82D9" w14:textId="77777777" w:rsidR="00B516A3" w:rsidRDefault="006E53F2">
      <w:pPr>
        <w:spacing w:line="360" w:lineRule="auto"/>
        <w:jc w:val="both"/>
        <w:rPr>
          <w:rtl/>
        </w:rPr>
      </w:pPr>
      <w:r>
        <w:rPr>
          <w:rFonts w:hint="cs"/>
          <w:rtl/>
        </w:rPr>
        <w:t>עוד היפנה ב"כ המאשימה ל</w:t>
      </w:r>
      <w:hyperlink r:id="rId20" w:history="1">
        <w:r w:rsidRPr="006E53F2">
          <w:rPr>
            <w:color w:val="0000FF"/>
            <w:u w:val="single"/>
            <w:rtl/>
          </w:rPr>
          <w:t>ע"פ 3632/14</w:t>
        </w:r>
      </w:hyperlink>
      <w:r>
        <w:rPr>
          <w:rFonts w:hint="cs"/>
          <w:rtl/>
        </w:rPr>
        <w:t xml:space="preserve"> </w:t>
      </w:r>
      <w:r>
        <w:rPr>
          <w:rFonts w:hint="cs"/>
          <w:b/>
          <w:bCs/>
          <w:rtl/>
        </w:rPr>
        <w:t xml:space="preserve">אנואר אבו סבית נ. מדינת ישראל </w:t>
      </w:r>
      <w:r>
        <w:rPr>
          <w:rFonts w:hint="cs"/>
          <w:rtl/>
        </w:rPr>
        <w:t xml:space="preserve">בו נדחה ערעור על עונש בן 18 חודשי מאסר לרצוי בפועל שהושת בגין עבירה של החזקת נשק לפי </w:t>
      </w:r>
      <w:hyperlink r:id="rId21" w:history="1">
        <w:r w:rsidR="0080455F" w:rsidRPr="0080455F">
          <w:rPr>
            <w:color w:val="0000FF"/>
            <w:u w:val="single"/>
            <w:rtl/>
          </w:rPr>
          <w:t>סעיף 144(א)</w:t>
        </w:r>
      </w:hyperlink>
      <w:r>
        <w:rPr>
          <w:rFonts w:hint="cs"/>
          <w:rtl/>
        </w:rPr>
        <w:t xml:space="preserve"> ל</w:t>
      </w:r>
      <w:hyperlink r:id="rId22" w:history="1">
        <w:r w:rsidRPr="006E53F2">
          <w:rPr>
            <w:color w:val="0000FF"/>
            <w:u w:val="single"/>
            <w:rtl/>
          </w:rPr>
          <w:t>חוק העונשין</w:t>
        </w:r>
      </w:hyperlink>
      <w:r>
        <w:rPr>
          <w:rFonts w:hint="cs"/>
          <w:rtl/>
        </w:rPr>
        <w:t xml:space="preserve">. </w:t>
      </w:r>
    </w:p>
    <w:p w14:paraId="34D7BC57" w14:textId="77777777" w:rsidR="00B516A3" w:rsidRDefault="00B516A3">
      <w:pPr>
        <w:spacing w:line="360" w:lineRule="auto"/>
        <w:jc w:val="both"/>
        <w:rPr>
          <w:rtl/>
        </w:rPr>
      </w:pPr>
    </w:p>
    <w:p w14:paraId="536112AC" w14:textId="77777777" w:rsidR="00B516A3" w:rsidRDefault="006E53F2">
      <w:pPr>
        <w:spacing w:line="360" w:lineRule="auto"/>
        <w:jc w:val="both"/>
        <w:rPr>
          <w:rtl/>
        </w:rPr>
      </w:pPr>
      <w:r>
        <w:rPr>
          <w:rFonts w:hint="cs"/>
          <w:rtl/>
        </w:rPr>
        <w:t>ב"כ הנאשם היפנה מצידו ל</w:t>
      </w:r>
      <w:hyperlink r:id="rId23" w:history="1">
        <w:r w:rsidRPr="006E53F2">
          <w:rPr>
            <w:color w:val="0000FF"/>
            <w:u w:val="single"/>
            <w:rtl/>
          </w:rPr>
          <w:t>ת"פ 51207-09-12</w:t>
        </w:r>
      </w:hyperlink>
      <w:r>
        <w:rPr>
          <w:rFonts w:hint="cs"/>
          <w:rtl/>
        </w:rPr>
        <w:t xml:space="preserve"> </w:t>
      </w:r>
      <w:r>
        <w:rPr>
          <w:rFonts w:hint="cs"/>
          <w:b/>
          <w:bCs/>
          <w:rtl/>
        </w:rPr>
        <w:t xml:space="preserve">מדינת ישראל נ. יוסף דכור </w:t>
      </w:r>
      <w:r>
        <w:rPr>
          <w:rFonts w:hint="cs"/>
          <w:rtl/>
        </w:rPr>
        <w:t xml:space="preserve">שם קבע בית המשפט מתחם הולם של 6 חודשי מאסר שאפשר וירוצו בעבודות שירות ועד 12 חודשי מאסר בפועל למי שהורשע ביצור נשק למטרת ציד לאחר ששכח לחדש את רישיון הנשק שלו. לבסוף הטיל בית המשפט על הנאשם של"צ. </w:t>
      </w:r>
    </w:p>
    <w:p w14:paraId="4E162BBF" w14:textId="77777777" w:rsidR="00B516A3" w:rsidRDefault="00B516A3">
      <w:pPr>
        <w:spacing w:line="360" w:lineRule="auto"/>
        <w:jc w:val="both"/>
        <w:rPr>
          <w:rtl/>
        </w:rPr>
      </w:pPr>
    </w:p>
    <w:p w14:paraId="4399215E" w14:textId="77777777" w:rsidR="00B516A3" w:rsidRDefault="006E53F2">
      <w:pPr>
        <w:spacing w:line="360" w:lineRule="auto"/>
        <w:jc w:val="both"/>
        <w:rPr>
          <w:rtl/>
        </w:rPr>
      </w:pPr>
      <w:r>
        <w:rPr>
          <w:rFonts w:hint="cs"/>
          <w:rtl/>
        </w:rPr>
        <w:t>עוד היפנה ב"כ הנאשם ל</w:t>
      </w:r>
      <w:hyperlink r:id="rId24" w:history="1">
        <w:r w:rsidRPr="006E53F2">
          <w:rPr>
            <w:color w:val="0000FF"/>
            <w:u w:val="single"/>
            <w:rtl/>
          </w:rPr>
          <w:t>ת"פ 33444-05-12</w:t>
        </w:r>
      </w:hyperlink>
      <w:r>
        <w:rPr>
          <w:rFonts w:hint="cs"/>
          <w:rtl/>
        </w:rPr>
        <w:t xml:space="preserve"> </w:t>
      </w:r>
      <w:r>
        <w:rPr>
          <w:rFonts w:hint="cs"/>
          <w:b/>
          <w:bCs/>
          <w:rtl/>
        </w:rPr>
        <w:t xml:space="preserve">מדינת ישראל נ. שרעבי </w:t>
      </w:r>
      <w:r>
        <w:rPr>
          <w:rFonts w:hint="cs"/>
          <w:rtl/>
        </w:rPr>
        <w:t xml:space="preserve">שם הוטל על נאשם שהורשע בעבירה של החזקת נשק עונש של 500 שעות של"צ לאחר שהתברר כי אינו מתאים לריצוי עבודות שירות וזאת בהתחשב בעיקר בעובדה שהחזיק בנשק למטרת הגנה עצמית ובשים לב לנסיבות חייו הטראגיות. </w:t>
      </w:r>
    </w:p>
    <w:p w14:paraId="64A1EAF6" w14:textId="77777777" w:rsidR="00B516A3" w:rsidRDefault="00B516A3">
      <w:pPr>
        <w:spacing w:line="360" w:lineRule="auto"/>
        <w:jc w:val="both"/>
        <w:rPr>
          <w:rtl/>
        </w:rPr>
      </w:pPr>
    </w:p>
    <w:p w14:paraId="32BFDB13" w14:textId="77777777" w:rsidR="00B516A3" w:rsidRDefault="006E53F2">
      <w:pPr>
        <w:spacing w:line="360" w:lineRule="auto"/>
        <w:rPr>
          <w:rtl/>
        </w:rPr>
      </w:pPr>
      <w:r>
        <w:rPr>
          <w:rFonts w:hint="cs"/>
          <w:rtl/>
        </w:rPr>
        <w:t xml:space="preserve">10. אשר לנסיבות הקשורות לביצוע העבירה. ענייננו כאמור בהחזקת נשק שלא נלוותה לה כל כוונה לבצע עבירות נוספות. הנשק הוחזק למטרת עבודה לשם לווי טיול. בנסיבות, ומאחר והנשק היה ככל הנראה מוחזר בתום הטיול, מדובר על החזקה לזמן קצר ביותר. יש בכך כדי להשליך על הנזק הצפוי מהעבירה. </w:t>
      </w:r>
    </w:p>
    <w:p w14:paraId="05443D79" w14:textId="77777777" w:rsidR="00B516A3" w:rsidRDefault="00B516A3">
      <w:pPr>
        <w:spacing w:line="360" w:lineRule="auto"/>
        <w:rPr>
          <w:rtl/>
        </w:rPr>
      </w:pPr>
    </w:p>
    <w:p w14:paraId="25F70F12" w14:textId="77777777" w:rsidR="00B516A3" w:rsidRDefault="006E53F2">
      <w:pPr>
        <w:spacing w:line="360" w:lineRule="auto"/>
        <w:rPr>
          <w:rtl/>
        </w:rPr>
      </w:pPr>
      <w:r>
        <w:rPr>
          <w:rFonts w:hint="cs"/>
          <w:rtl/>
        </w:rPr>
        <w:t xml:space="preserve">11. אכן המדיניות הנוהגת בשנים האחרונות היא להחמיר בעבירות הנשק לסוגיהן. גם בעבירה הנוכחית המצויה לאור נסיבותיה בתחתית סולם עבירות הנשק, קיים כפי שציין ב"כ המאשימה פוטנציאל לפגיעה בשלום הצבור. </w:t>
      </w:r>
    </w:p>
    <w:p w14:paraId="1209DD4A" w14:textId="77777777" w:rsidR="00B516A3" w:rsidRDefault="00B516A3">
      <w:pPr>
        <w:spacing w:line="360" w:lineRule="auto"/>
        <w:rPr>
          <w:rtl/>
        </w:rPr>
      </w:pPr>
    </w:p>
    <w:p w14:paraId="1F7B18C1" w14:textId="77777777" w:rsidR="00B516A3" w:rsidRDefault="006E53F2">
      <w:pPr>
        <w:spacing w:line="360" w:lineRule="auto"/>
        <w:rPr>
          <w:rtl/>
        </w:rPr>
      </w:pPr>
      <w:r>
        <w:rPr>
          <w:rFonts w:hint="cs"/>
          <w:rtl/>
        </w:rPr>
        <w:t xml:space="preserve">עם זאת, בנסיבות כפי שפורטו - נשיאת נשק לפרק זמן קצר, כאשר הוכח כי התכלית אינה פלילית  וכאשר התנהלותו של הנאשם היא כמעט על גבול הרשלנות, נראה כי מתחם הענישה ההולם נע בין של"צ או מאסר קצר שאפשר וירוצה בעבודות שירות ועד שנת מאסר. </w:t>
      </w:r>
    </w:p>
    <w:p w14:paraId="507178C8" w14:textId="77777777" w:rsidR="00B516A3" w:rsidRDefault="00B516A3">
      <w:pPr>
        <w:spacing w:line="360" w:lineRule="auto"/>
        <w:jc w:val="both"/>
        <w:rPr>
          <w:rtl/>
        </w:rPr>
      </w:pPr>
    </w:p>
    <w:p w14:paraId="2C33743D" w14:textId="77777777" w:rsidR="00B516A3" w:rsidRDefault="006E53F2">
      <w:pPr>
        <w:spacing w:line="360" w:lineRule="auto"/>
        <w:jc w:val="both"/>
        <w:rPr>
          <w:rtl/>
        </w:rPr>
      </w:pPr>
      <w:r>
        <w:rPr>
          <w:rFonts w:hint="cs"/>
          <w:rtl/>
        </w:rPr>
        <w:t xml:space="preserve">12. אשר לעונש המתאים בתוך המתחם. </w:t>
      </w:r>
    </w:p>
    <w:p w14:paraId="4CFF0AFF" w14:textId="77777777" w:rsidR="00B516A3" w:rsidRDefault="00B516A3">
      <w:pPr>
        <w:spacing w:line="360" w:lineRule="auto"/>
        <w:jc w:val="both"/>
        <w:rPr>
          <w:rtl/>
        </w:rPr>
      </w:pPr>
    </w:p>
    <w:p w14:paraId="6F55B35F" w14:textId="77777777" w:rsidR="00B516A3" w:rsidRDefault="006E53F2">
      <w:pPr>
        <w:spacing w:line="360" w:lineRule="auto"/>
        <w:jc w:val="both"/>
        <w:rPr>
          <w:rtl/>
        </w:rPr>
      </w:pPr>
      <w:r>
        <w:rPr>
          <w:rFonts w:hint="cs"/>
          <w:rtl/>
        </w:rPr>
        <w:t>הנאשם כאמור בן 30 ונטול עבר פלילי. כעולה מהתסקיר הנאשם בעל ערכים חיוביים לשמירה על החוק, והמעשה בוצע מתוך פזיזות וחוסר שיקול דעת. הוא שירת בצבא כלוחם חי"ר ומשרת באופן קבוע במילואים. הנאשם הביע חרטה על מעשיו וכעולה מעדות אחותו, הייתה למעצר בן היומיים אותו חווה השפעה טראומטית עליו.</w:t>
      </w:r>
    </w:p>
    <w:p w14:paraId="45CF4271" w14:textId="77777777" w:rsidR="00B516A3" w:rsidRDefault="00B516A3">
      <w:pPr>
        <w:spacing w:line="360" w:lineRule="auto"/>
        <w:jc w:val="both"/>
        <w:rPr>
          <w:rtl/>
        </w:rPr>
      </w:pPr>
    </w:p>
    <w:p w14:paraId="3B34B780" w14:textId="77777777" w:rsidR="00B516A3" w:rsidRDefault="006E53F2">
      <w:pPr>
        <w:spacing w:line="360" w:lineRule="auto"/>
        <w:jc w:val="both"/>
        <w:rPr>
          <w:rtl/>
        </w:rPr>
      </w:pPr>
      <w:r>
        <w:rPr>
          <w:rFonts w:hint="cs"/>
          <w:rtl/>
        </w:rPr>
        <w:t xml:space="preserve">בנסיבות סבורה כי אף ההרשעה יש בה משום עונש מוחשי ומהותי. אין מקום בנסיבות להימנע מכך כבקשת ב"כ הנאשם באשר הכלל הוא הרשעה ולא הוכחו בנסיבות התנאים המצדיקים חריגה מכלל זה (ר' ע"פ </w:t>
      </w:r>
      <w:r>
        <w:rPr>
          <w:rFonts w:cs="Times New Roman"/>
          <w:rtl/>
        </w:rPr>
        <w:t>2083/96‏ כתב נ' מדינת ישראל, פ''ד נב(3) 337</w:t>
      </w:r>
      <w:r>
        <w:rPr>
          <w:rFonts w:cs="Times New Roman" w:hint="cs"/>
          <w:rtl/>
        </w:rPr>
        <w:t xml:space="preserve">). </w:t>
      </w:r>
      <w:r>
        <w:rPr>
          <w:rFonts w:hint="cs"/>
          <w:rtl/>
        </w:rPr>
        <w:t xml:space="preserve">עם זאת, לאור היות עצם ההרשעה עונש מוחשי בנסיבות, סבורה אני כי ניתן להסתפק בהטלת עונש של שירות לתועלת הצבור כהמלצת שירות המבחן. </w:t>
      </w:r>
    </w:p>
    <w:p w14:paraId="70708A28" w14:textId="77777777" w:rsidR="00B516A3" w:rsidRDefault="00B516A3">
      <w:pPr>
        <w:spacing w:line="360" w:lineRule="auto"/>
        <w:jc w:val="both"/>
        <w:rPr>
          <w:rtl/>
        </w:rPr>
      </w:pPr>
    </w:p>
    <w:p w14:paraId="28710683" w14:textId="77777777" w:rsidR="00B516A3" w:rsidRDefault="006E53F2">
      <w:pPr>
        <w:spacing w:line="360" w:lineRule="auto"/>
        <w:jc w:val="both"/>
        <w:rPr>
          <w:rtl/>
        </w:rPr>
      </w:pPr>
      <w:r>
        <w:rPr>
          <w:rFonts w:hint="cs"/>
          <w:rtl/>
        </w:rPr>
        <w:t>אני גוזרת איפוא על הנאשם את העונשים הבאים:</w:t>
      </w:r>
    </w:p>
    <w:p w14:paraId="13138B50" w14:textId="77777777" w:rsidR="00B516A3" w:rsidRDefault="006E53F2">
      <w:pPr>
        <w:spacing w:line="360" w:lineRule="auto"/>
        <w:jc w:val="both"/>
        <w:rPr>
          <w:rtl/>
        </w:rPr>
      </w:pPr>
      <w:r>
        <w:rPr>
          <w:rFonts w:hint="cs"/>
          <w:rtl/>
        </w:rPr>
        <w:t>א. 260 שעות שירות לתועלת הציבור על פי תכנית מפורטת שתוכן על ידי שירות המבחן ותובא לאישורי עד ליום 10.5.15.</w:t>
      </w:r>
    </w:p>
    <w:p w14:paraId="6FD4269F" w14:textId="77777777" w:rsidR="00B516A3" w:rsidRDefault="006E53F2">
      <w:pPr>
        <w:spacing w:line="360" w:lineRule="auto"/>
        <w:jc w:val="both"/>
        <w:rPr>
          <w:rtl/>
        </w:rPr>
      </w:pPr>
      <w:r>
        <w:rPr>
          <w:rFonts w:hint="cs"/>
          <w:rtl/>
        </w:rPr>
        <w:t xml:space="preserve">ב. מאסר על תנאי בן 4 חודשים כשהתנאי הוא שבמשך 3 שנים מהיום לא יעבור עבירה לפי </w:t>
      </w:r>
      <w:hyperlink r:id="rId25" w:history="1">
        <w:r w:rsidR="0080455F" w:rsidRPr="0080455F">
          <w:rPr>
            <w:color w:val="0000FF"/>
            <w:u w:val="single"/>
            <w:rtl/>
          </w:rPr>
          <w:t>סעיף 144</w:t>
        </w:r>
      </w:hyperlink>
      <w:r>
        <w:rPr>
          <w:rFonts w:hint="cs"/>
          <w:rtl/>
        </w:rPr>
        <w:t xml:space="preserve"> ל</w:t>
      </w:r>
      <w:hyperlink r:id="rId26" w:history="1">
        <w:r w:rsidRPr="006E53F2">
          <w:rPr>
            <w:color w:val="0000FF"/>
            <w:u w:val="single"/>
            <w:rtl/>
          </w:rPr>
          <w:t>חוק העונשין</w:t>
        </w:r>
      </w:hyperlink>
      <w:r>
        <w:rPr>
          <w:rFonts w:hint="cs"/>
          <w:rtl/>
        </w:rPr>
        <w:t xml:space="preserve">, התשל"ז-1977. </w:t>
      </w:r>
    </w:p>
    <w:p w14:paraId="38DA8232" w14:textId="77777777" w:rsidR="00B516A3" w:rsidRDefault="00B516A3">
      <w:pPr>
        <w:spacing w:line="360" w:lineRule="auto"/>
        <w:jc w:val="both"/>
        <w:rPr>
          <w:rtl/>
        </w:rPr>
      </w:pPr>
    </w:p>
    <w:p w14:paraId="31C18950" w14:textId="77777777" w:rsidR="00B516A3" w:rsidRDefault="006E53F2">
      <w:pPr>
        <w:spacing w:line="360" w:lineRule="auto"/>
        <w:rPr>
          <w:rtl/>
        </w:rPr>
      </w:pPr>
      <w:r>
        <w:rPr>
          <w:rFonts w:hint="cs"/>
          <w:rtl/>
        </w:rPr>
        <w:t>המזכירות תמציא העתק ההחלטה לשירות המבחן אשר מתבקש להכין תסקיר כאמור עד ליום 9.5.15.</w:t>
      </w:r>
    </w:p>
    <w:p w14:paraId="68BD9109" w14:textId="77777777" w:rsidR="00B516A3" w:rsidRDefault="00B516A3">
      <w:pPr>
        <w:spacing w:line="360" w:lineRule="auto"/>
        <w:rPr>
          <w:rtl/>
        </w:rPr>
      </w:pPr>
    </w:p>
    <w:p w14:paraId="4B71F157" w14:textId="77777777" w:rsidR="00B516A3" w:rsidRDefault="006E53F2">
      <w:pPr>
        <w:spacing w:line="360" w:lineRule="auto"/>
        <w:rPr>
          <w:rtl/>
        </w:rPr>
      </w:pPr>
      <w:r>
        <w:rPr>
          <w:rFonts w:hint="cs"/>
          <w:rtl/>
        </w:rPr>
        <w:t xml:space="preserve">זכות ערעור לבית המשפט העליון בתוך 45 יום מהיום. </w:t>
      </w:r>
    </w:p>
    <w:p w14:paraId="6D448619" w14:textId="77777777" w:rsidR="00B516A3" w:rsidRDefault="00B516A3">
      <w:pPr>
        <w:spacing w:line="360" w:lineRule="auto"/>
        <w:rPr>
          <w:rtl/>
        </w:rPr>
      </w:pPr>
    </w:p>
    <w:p w14:paraId="78D951B5" w14:textId="77777777" w:rsidR="00B516A3" w:rsidRDefault="00B516A3">
      <w:pPr>
        <w:spacing w:line="360" w:lineRule="auto"/>
        <w:rPr>
          <w:rtl/>
        </w:rPr>
      </w:pPr>
    </w:p>
    <w:p w14:paraId="44208ADC" w14:textId="77777777" w:rsidR="00B516A3" w:rsidRDefault="00B516A3">
      <w:pPr>
        <w:spacing w:line="360" w:lineRule="auto"/>
        <w:rPr>
          <w:rtl/>
        </w:rPr>
      </w:pPr>
    </w:p>
    <w:p w14:paraId="2F7BE860" w14:textId="77777777" w:rsidR="00B516A3" w:rsidRPr="006E53F2" w:rsidRDefault="006E53F2">
      <w:pPr>
        <w:rPr>
          <w:color w:val="FFFFFF"/>
          <w:sz w:val="2"/>
          <w:szCs w:val="2"/>
          <w:rtl/>
        </w:rPr>
      </w:pPr>
      <w:r w:rsidRPr="006E53F2">
        <w:rPr>
          <w:color w:val="FFFFFF"/>
          <w:sz w:val="2"/>
          <w:szCs w:val="2"/>
          <w:rtl/>
        </w:rPr>
        <w:t>5129371</w:t>
      </w:r>
    </w:p>
    <w:p w14:paraId="3F8E652B" w14:textId="77777777" w:rsidR="00B516A3" w:rsidRDefault="006E53F2">
      <w:pPr>
        <w:rPr>
          <w:rFonts w:cs="FrankRuehl"/>
          <w:sz w:val="28"/>
          <w:szCs w:val="28"/>
          <w:rtl/>
        </w:rPr>
      </w:pPr>
      <w:r w:rsidRPr="006E53F2">
        <w:rPr>
          <w:rFonts w:ascii="Arial" w:hAnsi="Arial"/>
          <w:color w:val="FFFFFF"/>
          <w:sz w:val="2"/>
          <w:szCs w:val="2"/>
          <w:rtl/>
        </w:rPr>
        <w:t>54678313</w:t>
      </w:r>
      <w:r>
        <w:rPr>
          <w:rFonts w:ascii="Arial" w:hAnsi="Arial"/>
          <w:rtl/>
        </w:rPr>
        <w:t xml:space="preserve">ניתן היום,  א' אייר תשע"ה, 20 אפריל 2015, במעמד הנוכחים. </w:t>
      </w:r>
    </w:p>
    <w:p w14:paraId="54CC0899" w14:textId="77777777" w:rsidR="00B516A3" w:rsidRDefault="006E53F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272B797" w14:textId="77777777" w:rsidR="00B516A3" w:rsidRDefault="00B516A3">
      <w:pPr>
        <w:jc w:val="center"/>
        <w:rPr>
          <w:rFonts w:ascii="Arial" w:hAnsi="Arial" w:cs="FrankRuehl"/>
          <w:sz w:val="28"/>
          <w:szCs w:val="28"/>
          <w:rtl/>
        </w:rPr>
      </w:pPr>
    </w:p>
    <w:p w14:paraId="75F9E5CF" w14:textId="77777777" w:rsidR="00B516A3" w:rsidRDefault="00B516A3">
      <w:pPr>
        <w:rPr>
          <w:rFonts w:cs="FrankRuehl"/>
          <w:sz w:val="28"/>
          <w:szCs w:val="28"/>
          <w:rtl/>
        </w:rPr>
      </w:pPr>
    </w:p>
    <w:p w14:paraId="0EF21AC2" w14:textId="77777777" w:rsidR="00B516A3" w:rsidRPr="0080455F" w:rsidRDefault="0080455F">
      <w:pPr>
        <w:pStyle w:val="a3"/>
        <w:jc w:val="center"/>
        <w:rPr>
          <w:color w:val="FFFFFF"/>
          <w:sz w:val="2"/>
          <w:szCs w:val="2"/>
          <w:rtl/>
        </w:rPr>
      </w:pPr>
      <w:r w:rsidRPr="0080455F">
        <w:rPr>
          <w:color w:val="FFFFFF"/>
          <w:sz w:val="2"/>
          <w:szCs w:val="2"/>
          <w:rtl/>
        </w:rPr>
        <w:t>5129371</w:t>
      </w:r>
    </w:p>
    <w:p w14:paraId="78F92EF5" w14:textId="77777777" w:rsidR="006E53F2" w:rsidRPr="0080455F" w:rsidRDefault="0080455F" w:rsidP="006E53F2">
      <w:pPr>
        <w:keepNext/>
        <w:rPr>
          <w:rFonts w:ascii="David" w:hAnsi="David"/>
          <w:color w:val="FFFFFF"/>
          <w:sz w:val="2"/>
          <w:szCs w:val="2"/>
          <w:rtl/>
        </w:rPr>
      </w:pPr>
      <w:r w:rsidRPr="0080455F">
        <w:rPr>
          <w:rFonts w:ascii="David" w:hAnsi="David"/>
          <w:color w:val="FFFFFF"/>
          <w:sz w:val="2"/>
          <w:szCs w:val="2"/>
          <w:rtl/>
        </w:rPr>
        <w:t>54678313</w:t>
      </w:r>
    </w:p>
    <w:p w14:paraId="0A8B6CD6" w14:textId="77777777" w:rsidR="006E53F2" w:rsidRPr="006E53F2" w:rsidRDefault="006E53F2" w:rsidP="006E53F2">
      <w:pPr>
        <w:keepNext/>
        <w:rPr>
          <w:rFonts w:ascii="David" w:hAnsi="David"/>
          <w:color w:val="000000"/>
          <w:sz w:val="22"/>
          <w:szCs w:val="22"/>
          <w:rtl/>
        </w:rPr>
      </w:pPr>
      <w:r w:rsidRPr="006E53F2">
        <w:rPr>
          <w:rFonts w:ascii="David" w:hAnsi="David"/>
          <w:color w:val="000000"/>
          <w:sz w:val="22"/>
          <w:szCs w:val="22"/>
          <w:rtl/>
        </w:rPr>
        <w:t>שירלי רנר 54678313</w:t>
      </w:r>
    </w:p>
    <w:p w14:paraId="21DAFCB9" w14:textId="77777777" w:rsidR="006E53F2" w:rsidRDefault="006E53F2" w:rsidP="006E53F2">
      <w:r w:rsidRPr="006E53F2">
        <w:rPr>
          <w:color w:val="000000"/>
          <w:rtl/>
        </w:rPr>
        <w:t>נוסח מסמך זה כפוף לשינויי ניסוח ועריכה</w:t>
      </w:r>
    </w:p>
    <w:p w14:paraId="691E1AC6" w14:textId="77777777" w:rsidR="006E53F2" w:rsidRDefault="006E53F2" w:rsidP="006E53F2">
      <w:pPr>
        <w:rPr>
          <w:rtl/>
        </w:rPr>
      </w:pPr>
    </w:p>
    <w:p w14:paraId="42F60867" w14:textId="77777777" w:rsidR="006E53F2" w:rsidRDefault="006E53F2" w:rsidP="006E53F2">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3AD3586" w14:textId="77777777" w:rsidR="00B516A3" w:rsidRPr="006E53F2" w:rsidRDefault="00655BDA" w:rsidP="0080455F">
      <w:pPr>
        <w:rPr>
          <w:color w:val="0000FF"/>
          <w:u w:val="single"/>
        </w:rPr>
      </w:pPr>
      <w:r>
        <w:rPr>
          <w:rFonts w:hint="cs"/>
          <w:color w:val="0000FF"/>
          <w:u w:val="single"/>
          <w:rtl/>
        </w:rPr>
        <w:t xml:space="preserve">  </w:t>
      </w:r>
    </w:p>
    <w:sectPr w:rsidR="00B516A3" w:rsidRPr="006E53F2" w:rsidSect="0080455F">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C17DD" w14:textId="77777777" w:rsidR="00333553" w:rsidRPr="000002D1" w:rsidRDefault="00333553">
      <w:pPr>
        <w:rPr>
          <w:rFonts w:cs="Arial"/>
          <w:szCs w:val="20"/>
        </w:rPr>
      </w:pPr>
      <w:r>
        <w:separator/>
      </w:r>
    </w:p>
  </w:endnote>
  <w:endnote w:type="continuationSeparator" w:id="0">
    <w:p w14:paraId="553C5990" w14:textId="77777777" w:rsidR="00333553" w:rsidRPr="000002D1" w:rsidRDefault="0033355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B9C72" w14:textId="77777777" w:rsidR="00333553" w:rsidRDefault="00333553" w:rsidP="0080455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BD9D1F" w14:textId="77777777" w:rsidR="00333553" w:rsidRPr="0080455F" w:rsidRDefault="00333553" w:rsidP="0080455F">
    <w:pPr>
      <w:pStyle w:val="a4"/>
      <w:pBdr>
        <w:top w:val="single" w:sz="4" w:space="1" w:color="auto"/>
        <w:between w:val="single" w:sz="4" w:space="0" w:color="auto"/>
      </w:pBdr>
      <w:spacing w:after="60"/>
      <w:jc w:val="center"/>
      <w:rPr>
        <w:rFonts w:ascii="FrankRuehl" w:hAnsi="FrankRuehl" w:cs="FrankRuehl"/>
        <w:color w:val="000000"/>
      </w:rPr>
    </w:pPr>
    <w:r w:rsidRPr="0080455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1C73F" w14:textId="77777777" w:rsidR="00333553" w:rsidRDefault="00333553" w:rsidP="0080455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6518">
      <w:rPr>
        <w:rFonts w:ascii="FrankRuehl" w:hAnsi="FrankRuehl" w:cs="FrankRuehl"/>
        <w:noProof/>
        <w:rtl/>
      </w:rPr>
      <w:t>1</w:t>
    </w:r>
    <w:r>
      <w:rPr>
        <w:rFonts w:ascii="FrankRuehl" w:hAnsi="FrankRuehl" w:cs="FrankRuehl"/>
        <w:rtl/>
      </w:rPr>
      <w:fldChar w:fldCharType="end"/>
    </w:r>
  </w:p>
  <w:p w14:paraId="4B35C0CF" w14:textId="77777777" w:rsidR="00333553" w:rsidRPr="0080455F" w:rsidRDefault="00333553" w:rsidP="0080455F">
    <w:pPr>
      <w:pStyle w:val="a4"/>
      <w:pBdr>
        <w:top w:val="single" w:sz="4" w:space="1" w:color="auto"/>
        <w:between w:val="single" w:sz="4" w:space="0" w:color="auto"/>
      </w:pBdr>
      <w:spacing w:after="60"/>
      <w:jc w:val="center"/>
      <w:rPr>
        <w:rFonts w:ascii="FrankRuehl" w:hAnsi="FrankRuehl" w:cs="FrankRuehl"/>
        <w:color w:val="000000"/>
      </w:rPr>
    </w:pPr>
    <w:r w:rsidRPr="0080455F">
      <w:rPr>
        <w:rFonts w:ascii="FrankRuehl" w:hAnsi="FrankRuehl" w:cs="FrankRuehl"/>
        <w:color w:val="000000"/>
      </w:rPr>
      <w:pict w14:anchorId="107570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9878A" w14:textId="77777777" w:rsidR="00333553" w:rsidRPr="000002D1" w:rsidRDefault="00333553">
      <w:pPr>
        <w:rPr>
          <w:rFonts w:cs="Arial"/>
          <w:szCs w:val="20"/>
        </w:rPr>
      </w:pPr>
      <w:r>
        <w:separator/>
      </w:r>
    </w:p>
  </w:footnote>
  <w:footnote w:type="continuationSeparator" w:id="0">
    <w:p w14:paraId="20E17182" w14:textId="77777777" w:rsidR="00333553" w:rsidRPr="000002D1" w:rsidRDefault="0033355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CBBEC" w14:textId="77777777" w:rsidR="00333553" w:rsidRPr="0080455F" w:rsidRDefault="00333553" w:rsidP="008045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51094-10-14</w:t>
    </w:r>
    <w:r>
      <w:rPr>
        <w:rFonts w:ascii="David" w:hAnsi="David"/>
        <w:color w:val="000000"/>
        <w:sz w:val="22"/>
        <w:szCs w:val="22"/>
        <w:rtl/>
      </w:rPr>
      <w:tab/>
      <w:t xml:space="preserve"> מדינת ישראל נ' אבי בן עמי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46B24" w14:textId="77777777" w:rsidR="00333553" w:rsidRPr="0080455F" w:rsidRDefault="00333553" w:rsidP="008045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51094-10-14</w:t>
    </w:r>
    <w:r>
      <w:rPr>
        <w:rFonts w:ascii="David" w:hAnsi="David"/>
        <w:color w:val="000000"/>
        <w:sz w:val="22"/>
        <w:szCs w:val="22"/>
        <w:rtl/>
      </w:rPr>
      <w:tab/>
      <w:t xml:space="preserve"> מדינת ישראל נ' אבי בן עמי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16A3"/>
    <w:rsid w:val="00333553"/>
    <w:rsid w:val="0049145E"/>
    <w:rsid w:val="005E7AE5"/>
    <w:rsid w:val="006526A3"/>
    <w:rsid w:val="00655BDA"/>
    <w:rsid w:val="006811A9"/>
    <w:rsid w:val="006E53F2"/>
    <w:rsid w:val="00727676"/>
    <w:rsid w:val="0080455F"/>
    <w:rsid w:val="008F4B4D"/>
    <w:rsid w:val="00B516A3"/>
    <w:rsid w:val="00BC635F"/>
    <w:rsid w:val="00C919CB"/>
    <w:rsid w:val="00CF65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4D0004"/>
  <w15:chartTrackingRefBased/>
  <w15:docId w15:val="{ED24F15F-310C-4233-A493-B71DA086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16A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516A3"/>
    <w:pPr>
      <w:tabs>
        <w:tab w:val="center" w:pos="4153"/>
        <w:tab w:val="right" w:pos="8306"/>
      </w:tabs>
    </w:pPr>
  </w:style>
  <w:style w:type="paragraph" w:styleId="a4">
    <w:name w:val="footer"/>
    <w:basedOn w:val="a"/>
    <w:rsid w:val="00B516A3"/>
    <w:pPr>
      <w:tabs>
        <w:tab w:val="center" w:pos="4153"/>
        <w:tab w:val="right" w:pos="8306"/>
      </w:tabs>
    </w:pPr>
  </w:style>
  <w:style w:type="character" w:styleId="a5">
    <w:name w:val="page number"/>
    <w:basedOn w:val="a0"/>
    <w:rsid w:val="00B516A3"/>
  </w:style>
  <w:style w:type="character" w:styleId="Hyperlink">
    <w:name w:val="Hyperlink"/>
    <w:rsid w:val="006E5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70301/144.a" TargetMode="External"/><Relationship Id="rId7" Type="http://schemas.openxmlformats.org/officeDocument/2006/relationships/hyperlink" Target="http://www.nevo.co.il/law/70301/40b"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144"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40c.a" TargetMode="External"/><Relationship Id="rId20" Type="http://schemas.openxmlformats.org/officeDocument/2006/relationships/hyperlink" Target="http://www.nevo.co.il/case/16944929"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4919414"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40b" TargetMode="External"/><Relationship Id="rId23" Type="http://schemas.openxmlformats.org/officeDocument/2006/relationships/hyperlink" Target="http://www.nevo.co.il/case/3953501" TargetMode="External"/><Relationship Id="rId28"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17934601"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6518</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7806</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3473525</vt:i4>
      </vt:variant>
      <vt:variant>
        <vt:i4>54</vt:i4>
      </vt:variant>
      <vt:variant>
        <vt:i4>0</vt:i4>
      </vt:variant>
      <vt:variant>
        <vt:i4>5</vt:i4>
      </vt:variant>
      <vt:variant>
        <vt:lpwstr>http://www.nevo.co.il/case/4919414</vt:lpwstr>
      </vt:variant>
      <vt:variant>
        <vt:lpwstr/>
      </vt:variant>
      <vt:variant>
        <vt:i4>3276926</vt:i4>
      </vt:variant>
      <vt:variant>
        <vt:i4>51</vt:i4>
      </vt:variant>
      <vt:variant>
        <vt:i4>0</vt:i4>
      </vt:variant>
      <vt:variant>
        <vt:i4>5</vt:i4>
      </vt:variant>
      <vt:variant>
        <vt:lpwstr>http://www.nevo.co.il/case/3953501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4063359</vt:i4>
      </vt:variant>
      <vt:variant>
        <vt:i4>42</vt:i4>
      </vt:variant>
      <vt:variant>
        <vt:i4>0</vt:i4>
      </vt:variant>
      <vt:variant>
        <vt:i4>5</vt:i4>
      </vt:variant>
      <vt:variant>
        <vt:lpwstr>http://www.nevo.co.il/case/16944929</vt:lpwstr>
      </vt:variant>
      <vt:variant>
        <vt:lpwstr/>
      </vt:variant>
      <vt:variant>
        <vt:i4>3932278</vt:i4>
      </vt:variant>
      <vt:variant>
        <vt:i4>39</vt:i4>
      </vt:variant>
      <vt:variant>
        <vt:i4>0</vt:i4>
      </vt:variant>
      <vt:variant>
        <vt:i4>5</vt:i4>
      </vt:variant>
      <vt:variant>
        <vt:lpwstr>http://www.nevo.co.il/case/17934601</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2025-01-19T15:57:00Z</dcterms:created>
  <dcterms:modified xsi:type="dcterms:W3CDTF">2025-01-19T15:57:00Z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51094</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אבי בן עמי</vt:lpwstr>
  </property>
  <property fmtid="{D5CDD505-2E9C-101B-9397-08002B2CF9AE}" pid="10" name="LAWYER">
    <vt:lpwstr>דני בר דוד</vt:lpwstr>
  </property>
  <property fmtid="{D5CDD505-2E9C-101B-9397-08002B2CF9AE}" pid="11" name="JUDGE">
    <vt:lpwstr>שירלי רנר</vt:lpwstr>
  </property>
  <property fmtid="{D5CDD505-2E9C-101B-9397-08002B2CF9AE}" pid="12" name="CITY">
    <vt:lpwstr>י-ם</vt:lpwstr>
  </property>
  <property fmtid="{D5CDD505-2E9C-101B-9397-08002B2CF9AE}" pid="13" name="DATE">
    <vt:lpwstr>20150420</vt:lpwstr>
  </property>
  <property fmtid="{D5CDD505-2E9C-101B-9397-08002B2CF9AE}" pid="14" name="TYPE_N_DATE">
    <vt:lpwstr>39020150420</vt:lpwstr>
  </property>
  <property fmtid="{D5CDD505-2E9C-101B-9397-08002B2CF9AE}" pid="15" name="WORDNUMPAGES">
    <vt:lpwstr>5</vt:lpwstr>
  </property>
  <property fmtid="{D5CDD505-2E9C-101B-9397-08002B2CF9AE}" pid="16" name="TYPE_ABS_DATE">
    <vt:lpwstr>390020150420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17934601;16944929;3953501;4919414</vt:lpwstr>
  </property>
  <property fmtid="{D5CDD505-2E9C-101B-9397-08002B2CF9AE}" pid="36" name="LAWLISTTMP1">
    <vt:lpwstr>70301/144.b;040b;040c.a;144.a:2;144.b2;144</vt:lpwstr>
  </property>
</Properties>
</file>