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242E0" w:rsidRPr="00C7776C" w14:paraId="3339474B" w14:textId="77777777">
        <w:trPr>
          <w:trHeight w:hRule="exact" w:val="418"/>
          <w:jc w:val="center"/>
        </w:trPr>
        <w:tc>
          <w:tcPr>
            <w:tcW w:w="8721" w:type="dxa"/>
            <w:gridSpan w:val="2"/>
          </w:tcPr>
          <w:p w14:paraId="32A65C8C" w14:textId="77777777" w:rsidR="005242E0" w:rsidRPr="00C7776C" w:rsidRDefault="00C7776C">
            <w:pPr>
              <w:pStyle w:val="a3"/>
              <w:jc w:val="center"/>
              <w:rPr>
                <w:rFonts w:ascii="Tahoma" w:hAnsi="Tahoma" w:cs="Tahoma"/>
                <w:color w:val="000080"/>
                <w:rtl/>
              </w:rPr>
            </w:pPr>
            <w:bookmarkStart w:id="0" w:name="FirstLawyer"/>
            <w:bookmarkStart w:id="1" w:name="LastJudge"/>
            <w:r w:rsidRPr="00C7776C">
              <w:rPr>
                <w:rFonts w:ascii="Tahoma" w:hAnsi="Tahoma" w:cs="Tahoma"/>
                <w:b/>
                <w:bCs/>
                <w:color w:val="000080"/>
                <w:rtl/>
              </w:rPr>
              <w:t>בית המשפט המחוזי בירושלים</w:t>
            </w:r>
          </w:p>
        </w:tc>
      </w:tr>
      <w:tr w:rsidR="005242E0" w:rsidRPr="00C7776C" w14:paraId="7A442E4E" w14:textId="77777777">
        <w:trPr>
          <w:trHeight w:val="337"/>
          <w:jc w:val="center"/>
        </w:trPr>
        <w:tc>
          <w:tcPr>
            <w:tcW w:w="5059" w:type="dxa"/>
          </w:tcPr>
          <w:p w14:paraId="3770D952" w14:textId="77777777" w:rsidR="005242E0" w:rsidRPr="00C7776C" w:rsidRDefault="00C7776C">
            <w:pPr>
              <w:rPr>
                <w:rFonts w:cs="FrankRuehl"/>
                <w:sz w:val="28"/>
                <w:szCs w:val="28"/>
                <w:rtl/>
              </w:rPr>
            </w:pPr>
            <w:r w:rsidRPr="00C7776C">
              <w:rPr>
                <w:rFonts w:cs="FrankRuehl"/>
                <w:sz w:val="28"/>
                <w:szCs w:val="28"/>
                <w:rtl/>
              </w:rPr>
              <w:t>ת"פ</w:t>
            </w:r>
            <w:r w:rsidRPr="00C7776C">
              <w:rPr>
                <w:rFonts w:cs="FrankRuehl" w:hint="cs"/>
                <w:sz w:val="28"/>
                <w:szCs w:val="28"/>
                <w:rtl/>
              </w:rPr>
              <w:t xml:space="preserve"> </w:t>
            </w:r>
            <w:r w:rsidRPr="00C7776C">
              <w:rPr>
                <w:rFonts w:cs="FrankRuehl"/>
                <w:sz w:val="28"/>
                <w:szCs w:val="28"/>
                <w:rtl/>
              </w:rPr>
              <w:t>12154-11-14</w:t>
            </w:r>
            <w:r w:rsidRPr="00C7776C">
              <w:rPr>
                <w:rFonts w:cs="FrankRuehl" w:hint="cs"/>
                <w:sz w:val="28"/>
                <w:szCs w:val="28"/>
                <w:rtl/>
              </w:rPr>
              <w:t xml:space="preserve"> </w:t>
            </w:r>
            <w:r w:rsidRPr="00C7776C">
              <w:rPr>
                <w:rFonts w:cs="FrankRuehl"/>
                <w:sz w:val="28"/>
                <w:szCs w:val="28"/>
                <w:rtl/>
              </w:rPr>
              <w:t>מדינת ישראל נ' שחיטה(עציר)</w:t>
            </w:r>
          </w:p>
          <w:p w14:paraId="7F4DE6CB" w14:textId="77777777" w:rsidR="005242E0" w:rsidRPr="00C7776C" w:rsidRDefault="005242E0">
            <w:pPr>
              <w:pStyle w:val="a3"/>
              <w:rPr>
                <w:rFonts w:cs="FrankRuehl"/>
                <w:sz w:val="28"/>
                <w:szCs w:val="28"/>
                <w:rtl/>
              </w:rPr>
            </w:pPr>
          </w:p>
        </w:tc>
        <w:tc>
          <w:tcPr>
            <w:tcW w:w="3662" w:type="dxa"/>
          </w:tcPr>
          <w:p w14:paraId="6A9BE8F0" w14:textId="77777777" w:rsidR="005242E0" w:rsidRPr="00C7776C" w:rsidRDefault="005242E0">
            <w:pPr>
              <w:pStyle w:val="a3"/>
              <w:jc w:val="right"/>
              <w:rPr>
                <w:rFonts w:cs="FrankRuehl"/>
                <w:sz w:val="28"/>
                <w:szCs w:val="28"/>
                <w:rtl/>
              </w:rPr>
            </w:pPr>
          </w:p>
        </w:tc>
      </w:tr>
    </w:tbl>
    <w:p w14:paraId="24B14E7D" w14:textId="77777777" w:rsidR="005242E0" w:rsidRPr="00C7776C" w:rsidRDefault="00C7776C">
      <w:pPr>
        <w:pStyle w:val="a3"/>
        <w:rPr>
          <w:rtl/>
        </w:rPr>
      </w:pPr>
      <w:r w:rsidRPr="00C7776C">
        <w:rPr>
          <w:rFonts w:hint="cs"/>
          <w:rtl/>
        </w:rPr>
        <w:t xml:space="preserve"> </w:t>
      </w:r>
    </w:p>
    <w:p w14:paraId="411CD778" w14:textId="77777777" w:rsidR="005242E0" w:rsidRPr="00C7776C" w:rsidRDefault="005242E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242E0" w:rsidRPr="00C7776C" w14:paraId="5DEFBFF4" w14:textId="77777777">
        <w:trPr>
          <w:trHeight w:val="295"/>
          <w:jc w:val="center"/>
        </w:trPr>
        <w:tc>
          <w:tcPr>
            <w:tcW w:w="923" w:type="dxa"/>
            <w:tcBorders>
              <w:top w:val="nil"/>
              <w:left w:val="nil"/>
              <w:bottom w:val="nil"/>
              <w:right w:val="nil"/>
            </w:tcBorders>
            <w:shd w:val="clear" w:color="auto" w:fill="auto"/>
          </w:tcPr>
          <w:p w14:paraId="0A82EA11" w14:textId="77777777" w:rsidR="005242E0" w:rsidRPr="00C7776C" w:rsidRDefault="00C7776C">
            <w:pPr>
              <w:jc w:val="both"/>
              <w:rPr>
                <w:rFonts w:ascii="Arial" w:hAnsi="Arial" w:cs="FrankRuehl"/>
                <w:sz w:val="28"/>
                <w:szCs w:val="28"/>
              </w:rPr>
            </w:pPr>
            <w:r w:rsidRPr="00C7776C">
              <w:rPr>
                <w:rFonts w:ascii="Arial" w:hAnsi="Arial" w:cs="FrankRuehl" w:hint="cs"/>
                <w:sz w:val="28"/>
                <w:szCs w:val="28"/>
                <w:rtl/>
              </w:rPr>
              <w:t>ב</w:t>
            </w:r>
            <w:r w:rsidRPr="00C7776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B5A4EFD" w14:textId="77777777" w:rsidR="005242E0" w:rsidRPr="00C7776C" w:rsidRDefault="00C7776C">
            <w:pPr>
              <w:rPr>
                <w:rFonts w:ascii="Arial" w:hAnsi="Arial"/>
                <w:b/>
                <w:bCs/>
                <w:rtl/>
              </w:rPr>
            </w:pPr>
            <w:r w:rsidRPr="00C7776C">
              <w:rPr>
                <w:rFonts w:ascii="Arial" w:hAnsi="Arial" w:hint="cs"/>
                <w:b/>
                <w:bCs/>
                <w:rtl/>
              </w:rPr>
              <w:t>כבוד ה</w:t>
            </w:r>
            <w:r w:rsidRPr="00C7776C">
              <w:rPr>
                <w:rFonts w:hint="cs"/>
                <w:rtl/>
              </w:rPr>
              <w:t>שופטת</w:t>
            </w:r>
            <w:r w:rsidRPr="00C7776C">
              <w:rPr>
                <w:rFonts w:ascii="Arial" w:hAnsi="Arial" w:hint="cs"/>
                <w:b/>
                <w:bCs/>
                <w:rtl/>
              </w:rPr>
              <w:t xml:space="preserve">  </w:t>
            </w:r>
            <w:r w:rsidRPr="00C7776C">
              <w:rPr>
                <w:rFonts w:hint="cs"/>
                <w:rtl/>
              </w:rPr>
              <w:t>שירלי רנר</w:t>
            </w:r>
          </w:p>
          <w:p w14:paraId="32951E52" w14:textId="77777777" w:rsidR="005242E0" w:rsidRPr="00C7776C" w:rsidRDefault="005242E0">
            <w:pPr>
              <w:rPr>
                <w:rtl/>
              </w:rPr>
            </w:pPr>
          </w:p>
          <w:p w14:paraId="1DB90489" w14:textId="77777777" w:rsidR="005242E0" w:rsidRPr="00C7776C" w:rsidRDefault="005242E0">
            <w:pPr>
              <w:jc w:val="both"/>
              <w:rPr>
                <w:rFonts w:ascii="Arial" w:hAnsi="Arial" w:cs="FrankRuehl"/>
                <w:sz w:val="28"/>
                <w:szCs w:val="28"/>
              </w:rPr>
            </w:pPr>
          </w:p>
        </w:tc>
      </w:tr>
      <w:tr w:rsidR="005242E0" w:rsidRPr="00C7776C" w14:paraId="7600556A" w14:textId="77777777">
        <w:trPr>
          <w:trHeight w:val="355"/>
          <w:jc w:val="center"/>
        </w:trPr>
        <w:tc>
          <w:tcPr>
            <w:tcW w:w="923" w:type="dxa"/>
            <w:tcBorders>
              <w:top w:val="nil"/>
              <w:left w:val="nil"/>
              <w:bottom w:val="nil"/>
              <w:right w:val="nil"/>
            </w:tcBorders>
            <w:shd w:val="clear" w:color="auto" w:fill="auto"/>
          </w:tcPr>
          <w:p w14:paraId="51A3D8B8" w14:textId="77777777" w:rsidR="005242E0" w:rsidRPr="00C7776C" w:rsidRDefault="00C7776C">
            <w:pPr>
              <w:jc w:val="both"/>
              <w:rPr>
                <w:rFonts w:ascii="Arial" w:hAnsi="Arial" w:cs="FrankRuehl"/>
                <w:sz w:val="28"/>
                <w:szCs w:val="28"/>
              </w:rPr>
            </w:pPr>
            <w:bookmarkStart w:id="2" w:name="FirstAppellant"/>
            <w:r w:rsidRPr="00C7776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5BDE5F6" w14:textId="77777777" w:rsidR="005242E0" w:rsidRPr="00C7776C" w:rsidRDefault="00C7776C">
            <w:r w:rsidRPr="00C7776C">
              <w:rPr>
                <w:rFonts w:hint="cs"/>
                <w:rtl/>
              </w:rPr>
              <w:t>מדינת ישראל</w:t>
            </w:r>
            <w:r w:rsidRPr="00C7776C">
              <w:rPr>
                <w:rFonts w:hint="cs"/>
                <w:rtl/>
              </w:rPr>
              <w:br/>
              <w:t>באמצעות ב"כ עו"ד יובל קדר</w:t>
            </w:r>
            <w:r w:rsidRPr="00C7776C">
              <w:rPr>
                <w:rFonts w:hint="cs"/>
                <w:rtl/>
              </w:rPr>
              <w:br/>
              <w:t>מפרקליטות מחוז ירושלים</w:t>
            </w:r>
          </w:p>
        </w:tc>
        <w:tc>
          <w:tcPr>
            <w:tcW w:w="3771" w:type="dxa"/>
            <w:tcBorders>
              <w:top w:val="nil"/>
              <w:left w:val="nil"/>
              <w:bottom w:val="nil"/>
              <w:right w:val="nil"/>
            </w:tcBorders>
            <w:shd w:val="clear" w:color="auto" w:fill="auto"/>
          </w:tcPr>
          <w:p w14:paraId="312BBD0C" w14:textId="77777777" w:rsidR="005242E0" w:rsidRPr="00C7776C" w:rsidRDefault="005242E0">
            <w:pPr>
              <w:jc w:val="both"/>
              <w:rPr>
                <w:rFonts w:ascii="Arial" w:hAnsi="Arial" w:cs="FrankRuehl"/>
                <w:sz w:val="28"/>
                <w:szCs w:val="28"/>
              </w:rPr>
            </w:pPr>
          </w:p>
        </w:tc>
      </w:tr>
      <w:bookmarkEnd w:id="2"/>
      <w:tr w:rsidR="005242E0" w:rsidRPr="00C7776C" w14:paraId="72BEB9D9" w14:textId="77777777">
        <w:trPr>
          <w:trHeight w:val="355"/>
          <w:jc w:val="center"/>
        </w:trPr>
        <w:tc>
          <w:tcPr>
            <w:tcW w:w="923" w:type="dxa"/>
            <w:tcBorders>
              <w:top w:val="nil"/>
              <w:left w:val="nil"/>
              <w:bottom w:val="nil"/>
              <w:right w:val="nil"/>
            </w:tcBorders>
            <w:shd w:val="clear" w:color="auto" w:fill="auto"/>
          </w:tcPr>
          <w:p w14:paraId="05D9BE78" w14:textId="77777777" w:rsidR="005242E0" w:rsidRPr="00C7776C" w:rsidRDefault="005242E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D6CB7EC" w14:textId="77777777" w:rsidR="005242E0" w:rsidRPr="00C7776C" w:rsidRDefault="005242E0">
            <w:pPr>
              <w:jc w:val="both"/>
              <w:rPr>
                <w:rtl/>
              </w:rPr>
            </w:pPr>
          </w:p>
        </w:tc>
        <w:tc>
          <w:tcPr>
            <w:tcW w:w="3771" w:type="dxa"/>
            <w:tcBorders>
              <w:top w:val="nil"/>
              <w:left w:val="nil"/>
              <w:bottom w:val="nil"/>
              <w:right w:val="nil"/>
            </w:tcBorders>
            <w:shd w:val="clear" w:color="auto" w:fill="auto"/>
          </w:tcPr>
          <w:p w14:paraId="1ED8804D" w14:textId="77777777" w:rsidR="005242E0" w:rsidRPr="00C7776C" w:rsidRDefault="00C7776C">
            <w:pPr>
              <w:jc w:val="right"/>
              <w:rPr>
                <w:rFonts w:ascii="Arial" w:hAnsi="Arial" w:cs="FrankRuehl"/>
                <w:sz w:val="28"/>
                <w:szCs w:val="28"/>
                <w:rtl/>
              </w:rPr>
            </w:pPr>
            <w:r w:rsidRPr="00C7776C">
              <w:rPr>
                <w:rFonts w:ascii="Arial" w:hAnsi="Arial" w:cs="FrankRuehl" w:hint="cs"/>
                <w:sz w:val="28"/>
                <w:szCs w:val="28"/>
                <w:rtl/>
              </w:rPr>
              <w:t>ה</w:t>
            </w:r>
            <w:r w:rsidRPr="00C7776C">
              <w:rPr>
                <w:rFonts w:hint="cs"/>
                <w:rtl/>
              </w:rPr>
              <w:t>מאשימה</w:t>
            </w:r>
          </w:p>
        </w:tc>
      </w:tr>
      <w:tr w:rsidR="005242E0" w:rsidRPr="00C7776C" w14:paraId="15A7E15E" w14:textId="77777777">
        <w:trPr>
          <w:trHeight w:val="355"/>
          <w:jc w:val="center"/>
        </w:trPr>
        <w:tc>
          <w:tcPr>
            <w:tcW w:w="923" w:type="dxa"/>
            <w:tcBorders>
              <w:top w:val="nil"/>
              <w:left w:val="nil"/>
              <w:bottom w:val="nil"/>
              <w:right w:val="nil"/>
            </w:tcBorders>
            <w:shd w:val="clear" w:color="auto" w:fill="auto"/>
          </w:tcPr>
          <w:p w14:paraId="19ECBCA9" w14:textId="77777777" w:rsidR="005242E0" w:rsidRPr="00C7776C" w:rsidRDefault="005242E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A0E5891" w14:textId="77777777" w:rsidR="005242E0" w:rsidRPr="00C7776C" w:rsidRDefault="005242E0">
            <w:pPr>
              <w:jc w:val="center"/>
              <w:rPr>
                <w:rFonts w:ascii="Arial" w:hAnsi="Arial" w:cs="FrankRuehl"/>
                <w:b/>
                <w:bCs/>
                <w:sz w:val="28"/>
                <w:szCs w:val="28"/>
                <w:rtl/>
              </w:rPr>
            </w:pPr>
          </w:p>
          <w:p w14:paraId="03687CDC" w14:textId="77777777" w:rsidR="005242E0" w:rsidRPr="00C7776C" w:rsidRDefault="00C7776C">
            <w:pPr>
              <w:jc w:val="center"/>
              <w:rPr>
                <w:rFonts w:ascii="Arial" w:hAnsi="Arial" w:cs="FrankRuehl"/>
                <w:b/>
                <w:bCs/>
                <w:sz w:val="28"/>
                <w:szCs w:val="28"/>
                <w:rtl/>
              </w:rPr>
            </w:pPr>
            <w:r w:rsidRPr="00C7776C">
              <w:rPr>
                <w:rFonts w:ascii="Arial" w:hAnsi="Arial" w:cs="FrankRuehl"/>
                <w:b/>
                <w:bCs/>
                <w:sz w:val="28"/>
                <w:szCs w:val="28"/>
                <w:rtl/>
              </w:rPr>
              <w:t>נגד</w:t>
            </w:r>
          </w:p>
          <w:p w14:paraId="5A8AB0A7" w14:textId="77777777" w:rsidR="005242E0" w:rsidRPr="00C7776C" w:rsidRDefault="005242E0">
            <w:pPr>
              <w:jc w:val="both"/>
              <w:rPr>
                <w:rFonts w:ascii="Arial" w:hAnsi="Arial" w:cs="FrankRuehl"/>
                <w:sz w:val="28"/>
                <w:szCs w:val="28"/>
              </w:rPr>
            </w:pPr>
          </w:p>
        </w:tc>
      </w:tr>
      <w:tr w:rsidR="005242E0" w:rsidRPr="00C7776C" w14:paraId="27D720DB" w14:textId="77777777">
        <w:trPr>
          <w:trHeight w:val="355"/>
          <w:jc w:val="center"/>
        </w:trPr>
        <w:tc>
          <w:tcPr>
            <w:tcW w:w="923" w:type="dxa"/>
            <w:tcBorders>
              <w:top w:val="nil"/>
              <w:left w:val="nil"/>
              <w:bottom w:val="nil"/>
              <w:right w:val="nil"/>
            </w:tcBorders>
            <w:shd w:val="clear" w:color="auto" w:fill="auto"/>
          </w:tcPr>
          <w:p w14:paraId="647D9FCC" w14:textId="77777777" w:rsidR="005242E0" w:rsidRPr="00C7776C" w:rsidRDefault="005242E0">
            <w:pPr>
              <w:rPr>
                <w:rFonts w:ascii="Arial" w:hAnsi="Arial" w:cs="FrankRuehl"/>
                <w:sz w:val="28"/>
                <w:szCs w:val="28"/>
                <w:rtl/>
              </w:rPr>
            </w:pPr>
          </w:p>
        </w:tc>
        <w:tc>
          <w:tcPr>
            <w:tcW w:w="4126" w:type="dxa"/>
            <w:tcBorders>
              <w:top w:val="nil"/>
              <w:left w:val="nil"/>
              <w:bottom w:val="nil"/>
              <w:right w:val="nil"/>
            </w:tcBorders>
            <w:shd w:val="clear" w:color="auto" w:fill="auto"/>
          </w:tcPr>
          <w:p w14:paraId="42684E58" w14:textId="77777777" w:rsidR="005242E0" w:rsidRPr="00C7776C" w:rsidRDefault="00C7776C">
            <w:pPr>
              <w:rPr>
                <w:rtl/>
              </w:rPr>
            </w:pPr>
            <w:r w:rsidRPr="00C7776C">
              <w:rPr>
                <w:rFonts w:hint="cs"/>
                <w:rtl/>
              </w:rPr>
              <w:t>אחמד שחיטה (עציר)</w:t>
            </w:r>
          </w:p>
        </w:tc>
        <w:tc>
          <w:tcPr>
            <w:tcW w:w="3771" w:type="dxa"/>
            <w:tcBorders>
              <w:top w:val="nil"/>
              <w:left w:val="nil"/>
              <w:bottom w:val="nil"/>
              <w:right w:val="nil"/>
            </w:tcBorders>
            <w:shd w:val="clear" w:color="auto" w:fill="auto"/>
          </w:tcPr>
          <w:p w14:paraId="36925BC3" w14:textId="77777777" w:rsidR="005242E0" w:rsidRPr="00C7776C" w:rsidRDefault="005242E0">
            <w:pPr>
              <w:jc w:val="right"/>
              <w:rPr>
                <w:rFonts w:ascii="Arial" w:hAnsi="Arial" w:cs="FrankRuehl"/>
                <w:sz w:val="28"/>
                <w:szCs w:val="28"/>
              </w:rPr>
            </w:pPr>
          </w:p>
        </w:tc>
      </w:tr>
      <w:tr w:rsidR="005242E0" w:rsidRPr="00C7776C" w14:paraId="3593837E" w14:textId="77777777">
        <w:trPr>
          <w:trHeight w:val="355"/>
          <w:jc w:val="center"/>
        </w:trPr>
        <w:tc>
          <w:tcPr>
            <w:tcW w:w="923" w:type="dxa"/>
            <w:tcBorders>
              <w:top w:val="nil"/>
              <w:left w:val="nil"/>
              <w:bottom w:val="nil"/>
              <w:right w:val="nil"/>
            </w:tcBorders>
            <w:shd w:val="clear" w:color="auto" w:fill="auto"/>
          </w:tcPr>
          <w:p w14:paraId="0314434F" w14:textId="77777777" w:rsidR="005242E0" w:rsidRPr="00C7776C" w:rsidRDefault="005242E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B66E7B2" w14:textId="77777777" w:rsidR="005242E0" w:rsidRPr="00C7776C" w:rsidRDefault="00C7776C">
            <w:pPr>
              <w:jc w:val="both"/>
              <w:rPr>
                <w:rtl/>
              </w:rPr>
            </w:pPr>
            <w:r w:rsidRPr="00C7776C">
              <w:rPr>
                <w:rFonts w:hint="cs"/>
                <w:rtl/>
              </w:rPr>
              <w:t>באמצעות ב"כ עו"ד ריאד סואעד</w:t>
            </w:r>
          </w:p>
          <w:p w14:paraId="75D361C4" w14:textId="77777777" w:rsidR="005242E0" w:rsidRPr="00C7776C" w:rsidRDefault="00C7776C">
            <w:pPr>
              <w:jc w:val="both"/>
              <w:rPr>
                <w:rtl/>
              </w:rPr>
            </w:pPr>
            <w:r w:rsidRPr="00C7776C">
              <w:rPr>
                <w:rFonts w:hint="cs"/>
                <w:rtl/>
              </w:rPr>
              <w:t>מהסנגוריה הציבורית</w:t>
            </w:r>
          </w:p>
        </w:tc>
        <w:tc>
          <w:tcPr>
            <w:tcW w:w="3771" w:type="dxa"/>
            <w:tcBorders>
              <w:top w:val="nil"/>
              <w:left w:val="nil"/>
              <w:bottom w:val="nil"/>
              <w:right w:val="nil"/>
            </w:tcBorders>
            <w:shd w:val="clear" w:color="auto" w:fill="auto"/>
          </w:tcPr>
          <w:p w14:paraId="495AA5B2" w14:textId="77777777" w:rsidR="005242E0" w:rsidRPr="00C7776C" w:rsidRDefault="00C7776C">
            <w:pPr>
              <w:jc w:val="right"/>
              <w:rPr>
                <w:rFonts w:ascii="Arial" w:hAnsi="Arial" w:cs="FrankRuehl"/>
                <w:sz w:val="28"/>
                <w:szCs w:val="28"/>
              </w:rPr>
            </w:pPr>
            <w:r w:rsidRPr="00C7776C">
              <w:rPr>
                <w:rFonts w:ascii="Arial" w:hAnsi="Arial" w:cs="FrankRuehl" w:hint="cs"/>
                <w:sz w:val="28"/>
                <w:szCs w:val="28"/>
                <w:rtl/>
              </w:rPr>
              <w:t>ה</w:t>
            </w:r>
            <w:r w:rsidRPr="00C7776C">
              <w:rPr>
                <w:rFonts w:hint="cs"/>
                <w:rtl/>
              </w:rPr>
              <w:t>נאשם</w:t>
            </w:r>
          </w:p>
        </w:tc>
      </w:tr>
    </w:tbl>
    <w:p w14:paraId="77284CD7" w14:textId="77777777" w:rsidR="006228BD" w:rsidRDefault="006228BD" w:rsidP="006228BD">
      <w:pPr>
        <w:jc w:val="center"/>
        <w:rPr>
          <w:rFonts w:ascii="Arial" w:hAnsi="Arial" w:cs="FrankRuehl"/>
          <w:sz w:val="32"/>
          <w:szCs w:val="32"/>
          <w:rtl/>
        </w:rPr>
      </w:pPr>
    </w:p>
    <w:p w14:paraId="6018CCAA" w14:textId="77777777" w:rsidR="006228BD" w:rsidRPr="006228BD" w:rsidRDefault="006228BD" w:rsidP="006228BD">
      <w:pPr>
        <w:spacing w:after="120" w:line="240" w:lineRule="exact"/>
        <w:ind w:left="283" w:hanging="283"/>
        <w:jc w:val="both"/>
        <w:rPr>
          <w:rFonts w:ascii="FrankRuehl" w:hAnsi="FrankRuehl" w:cs="FrankRuehl"/>
          <w:rtl/>
        </w:rPr>
      </w:pPr>
    </w:p>
    <w:p w14:paraId="327079A3" w14:textId="77777777" w:rsidR="006228BD" w:rsidRPr="006228BD" w:rsidRDefault="006228BD" w:rsidP="006228BD">
      <w:pPr>
        <w:spacing w:after="120" w:line="240" w:lineRule="exact"/>
        <w:ind w:left="283" w:hanging="283"/>
        <w:jc w:val="both"/>
        <w:rPr>
          <w:rFonts w:ascii="FrankRuehl" w:hAnsi="FrankRuehl" w:cs="FrankRuehl"/>
          <w:rtl/>
        </w:rPr>
      </w:pPr>
      <w:r w:rsidRPr="006228BD">
        <w:rPr>
          <w:rFonts w:ascii="FrankRuehl" w:hAnsi="FrankRuehl" w:cs="FrankRuehl"/>
          <w:rtl/>
        </w:rPr>
        <w:t xml:space="preserve">חקיקה שאוזכרה: </w:t>
      </w:r>
    </w:p>
    <w:p w14:paraId="1FF740ED" w14:textId="77777777" w:rsidR="002A72B1" w:rsidRDefault="006228BD" w:rsidP="006228BD">
      <w:pPr>
        <w:spacing w:after="120" w:line="240" w:lineRule="exact"/>
        <w:ind w:left="283" w:hanging="283"/>
        <w:jc w:val="both"/>
        <w:rPr>
          <w:rFonts w:ascii="FrankRuehl" w:hAnsi="FrankRuehl" w:cs="FrankRuehl"/>
          <w:color w:val="0000FF"/>
          <w:u w:val="single"/>
          <w:rtl/>
        </w:rPr>
      </w:pPr>
      <w:hyperlink r:id="rId6" w:history="1">
        <w:r w:rsidRPr="006228BD">
          <w:rPr>
            <w:rFonts w:ascii="FrankRuehl" w:hAnsi="FrankRuehl" w:cs="FrankRuehl"/>
            <w:color w:val="0000FF"/>
            <w:u w:val="single"/>
            <w:rtl/>
          </w:rPr>
          <w:t>חוק העונשין, תשל"ז-1977</w:t>
        </w:r>
      </w:hyperlink>
      <w:r w:rsidRPr="006228BD">
        <w:rPr>
          <w:rFonts w:ascii="FrankRuehl" w:hAnsi="FrankRuehl" w:cs="FrankRuehl"/>
          <w:rtl/>
        </w:rPr>
        <w:t xml:space="preserve">: סע'  </w:t>
      </w:r>
      <w:hyperlink r:id="rId7" w:history="1">
        <w:r w:rsidRPr="006228BD">
          <w:rPr>
            <w:rFonts w:ascii="FrankRuehl" w:hAnsi="FrankRuehl" w:cs="FrankRuehl"/>
            <w:color w:val="0000FF"/>
            <w:u w:val="single"/>
            <w:rtl/>
          </w:rPr>
          <w:t>40ב</w:t>
        </w:r>
      </w:hyperlink>
      <w:r w:rsidRPr="006228BD">
        <w:rPr>
          <w:rFonts w:ascii="FrankRuehl" w:hAnsi="FrankRuehl" w:cs="FrankRuehl"/>
          <w:rtl/>
        </w:rPr>
        <w:t xml:space="preserve">, </w:t>
      </w:r>
      <w:hyperlink r:id="rId8" w:history="1">
        <w:r w:rsidRPr="006228BD">
          <w:rPr>
            <w:rFonts w:ascii="FrankRuehl" w:hAnsi="FrankRuehl" w:cs="FrankRuehl"/>
            <w:color w:val="0000FF"/>
            <w:u w:val="single"/>
            <w:rtl/>
          </w:rPr>
          <w:t>40ג(א)</w:t>
        </w:r>
      </w:hyperlink>
      <w:r w:rsidRPr="006228BD">
        <w:rPr>
          <w:rFonts w:ascii="FrankRuehl" w:hAnsi="FrankRuehl" w:cs="FrankRuehl"/>
          <w:rtl/>
        </w:rPr>
        <w:t xml:space="preserve">, </w:t>
      </w:r>
      <w:hyperlink r:id="rId9" w:history="1">
        <w:r w:rsidRPr="006228BD">
          <w:rPr>
            <w:rFonts w:ascii="FrankRuehl" w:hAnsi="FrankRuehl" w:cs="FrankRuehl"/>
            <w:color w:val="0000FF"/>
            <w:u w:val="single"/>
            <w:rtl/>
          </w:rPr>
          <w:t>144(א)</w:t>
        </w:r>
      </w:hyperlink>
      <w:r w:rsidRPr="006228BD">
        <w:rPr>
          <w:rFonts w:ascii="FrankRuehl" w:hAnsi="FrankRuehl" w:cs="FrankRuehl"/>
          <w:rtl/>
        </w:rPr>
        <w:t xml:space="preserve">, </w:t>
      </w:r>
      <w:hyperlink r:id="rId10" w:history="1">
        <w:r w:rsidRPr="006228BD">
          <w:rPr>
            <w:rFonts w:ascii="FrankRuehl" w:hAnsi="FrankRuehl" w:cs="FrankRuehl"/>
            <w:color w:val="0000FF"/>
            <w:u w:val="single"/>
            <w:rtl/>
          </w:rPr>
          <w:t>144(ב)</w:t>
        </w:r>
      </w:hyperlink>
      <w:r w:rsidRPr="006228BD">
        <w:rPr>
          <w:rFonts w:ascii="FrankRuehl" w:hAnsi="FrankRuehl" w:cs="FrankRuehl"/>
          <w:rtl/>
        </w:rPr>
        <w:t xml:space="preserve">, </w:t>
      </w:r>
      <w:hyperlink r:id="rId11" w:history="1">
        <w:r w:rsidRPr="006228BD">
          <w:rPr>
            <w:rFonts w:ascii="FrankRuehl" w:hAnsi="FrankRuehl" w:cs="FrankRuehl"/>
            <w:color w:val="0000FF"/>
            <w:u w:val="single"/>
            <w:rtl/>
          </w:rPr>
          <w:t>144(ב2)</w:t>
        </w:r>
      </w:hyperlink>
      <w:bookmarkStart w:id="3" w:name="LawTable"/>
      <w:bookmarkEnd w:id="3"/>
    </w:p>
    <w:p w14:paraId="6B828E59" w14:textId="77777777" w:rsidR="002A72B1" w:rsidRPr="002A72B1" w:rsidRDefault="002A72B1" w:rsidP="002A72B1">
      <w:pPr>
        <w:spacing w:after="120" w:line="240" w:lineRule="exact"/>
        <w:ind w:left="283" w:hanging="283"/>
        <w:jc w:val="both"/>
        <w:rPr>
          <w:rFonts w:ascii="FrankRuehl" w:hAnsi="FrankRuehl" w:cs="FrankRuehl"/>
          <w:color w:val="0000FF"/>
          <w:rtl/>
        </w:rPr>
      </w:pPr>
    </w:p>
    <w:p w14:paraId="0A9BECC3" w14:textId="77777777" w:rsidR="002A72B1" w:rsidRPr="002A72B1" w:rsidRDefault="002A72B1" w:rsidP="002A72B1">
      <w:pPr>
        <w:spacing w:after="120" w:line="240" w:lineRule="exact"/>
        <w:ind w:left="283" w:hanging="283"/>
        <w:jc w:val="both"/>
        <w:rPr>
          <w:rFonts w:ascii="FrankRuehl" w:hAnsi="FrankRuehl" w:cs="FrankRuehl"/>
          <w:color w:val="0000FF"/>
          <w:rtl/>
        </w:rPr>
      </w:pPr>
      <w:r w:rsidRPr="002A72B1">
        <w:rPr>
          <w:rFonts w:ascii="FrankRuehl" w:hAnsi="FrankRuehl" w:cs="FrankRuehl"/>
          <w:color w:val="0000FF"/>
          <w:rtl/>
        </w:rPr>
        <w:t xml:space="preserve">חקיקה שאוזכרה: </w:t>
      </w:r>
    </w:p>
    <w:p w14:paraId="1AD6B535" w14:textId="77777777" w:rsidR="002A72B1" w:rsidRPr="002A72B1" w:rsidRDefault="002A72B1" w:rsidP="002A72B1">
      <w:pPr>
        <w:spacing w:after="120" w:line="240" w:lineRule="exact"/>
        <w:ind w:left="283" w:hanging="283"/>
        <w:jc w:val="both"/>
        <w:rPr>
          <w:rFonts w:ascii="FrankRuehl" w:hAnsi="FrankRuehl" w:cs="FrankRuehl"/>
          <w:color w:val="0000FF"/>
          <w:u w:val="single"/>
          <w:rtl/>
        </w:rPr>
      </w:pPr>
      <w:hyperlink r:id="rId12" w:history="1">
        <w:r w:rsidRPr="002A72B1">
          <w:rPr>
            <w:rStyle w:val="Hyperlink"/>
            <w:rFonts w:ascii="FrankRuehl" w:hAnsi="FrankRuehl" w:cs="FrankRuehl"/>
            <w:rtl/>
          </w:rPr>
          <w:t>חוק העונשין, תשל"ז-1977</w:t>
        </w:r>
      </w:hyperlink>
      <w:r w:rsidRPr="002A72B1">
        <w:rPr>
          <w:rFonts w:ascii="FrankRuehl" w:hAnsi="FrankRuehl" w:cs="FrankRuehl"/>
          <w:color w:val="0000FF"/>
          <w:u w:val="single"/>
          <w:rtl/>
        </w:rPr>
        <w:t xml:space="preserve">: סע'  </w:t>
      </w:r>
      <w:hyperlink r:id="rId13" w:history="1">
        <w:r w:rsidRPr="002A72B1">
          <w:rPr>
            <w:rStyle w:val="Hyperlink"/>
            <w:rFonts w:ascii="FrankRuehl" w:hAnsi="FrankRuehl" w:cs="FrankRuehl"/>
          </w:rPr>
          <w:t>40</w:t>
        </w:r>
        <w:r w:rsidRPr="002A72B1">
          <w:rPr>
            <w:rStyle w:val="Hyperlink"/>
            <w:rFonts w:ascii="FrankRuehl" w:hAnsi="FrankRuehl" w:cs="FrankRuehl"/>
            <w:rtl/>
          </w:rPr>
          <w:t>ב</w:t>
        </w:r>
      </w:hyperlink>
      <w:r w:rsidRPr="002A72B1">
        <w:rPr>
          <w:rFonts w:ascii="FrankRuehl" w:hAnsi="FrankRuehl" w:cs="FrankRuehl"/>
          <w:color w:val="0000FF"/>
          <w:u w:val="single"/>
          <w:rtl/>
        </w:rPr>
        <w:t xml:space="preserve">, </w:t>
      </w:r>
      <w:hyperlink r:id="rId14" w:history="1">
        <w:r w:rsidRPr="002A72B1">
          <w:rPr>
            <w:rStyle w:val="Hyperlink"/>
            <w:rFonts w:ascii="FrankRuehl" w:hAnsi="FrankRuehl" w:cs="FrankRuehl"/>
          </w:rPr>
          <w:t>40</w:t>
        </w:r>
        <w:r w:rsidRPr="002A72B1">
          <w:rPr>
            <w:rStyle w:val="Hyperlink"/>
            <w:rFonts w:ascii="FrankRuehl" w:hAnsi="FrankRuehl" w:cs="FrankRuehl"/>
            <w:rtl/>
          </w:rPr>
          <w:t>ג(א</w:t>
        </w:r>
        <w:r w:rsidRPr="002A72B1">
          <w:rPr>
            <w:rStyle w:val="Hyperlink"/>
            <w:rFonts w:ascii="FrankRuehl" w:hAnsi="FrankRuehl" w:cs="FrankRuehl"/>
          </w:rPr>
          <w:t>)</w:t>
        </w:r>
      </w:hyperlink>
      <w:r w:rsidRPr="002A72B1">
        <w:rPr>
          <w:rFonts w:ascii="FrankRuehl" w:hAnsi="FrankRuehl" w:cs="FrankRuehl"/>
          <w:color w:val="0000FF"/>
          <w:u w:val="single"/>
          <w:rtl/>
        </w:rPr>
        <w:t xml:space="preserve">, </w:t>
      </w:r>
      <w:hyperlink r:id="rId15" w:history="1">
        <w:r w:rsidRPr="002A72B1">
          <w:rPr>
            <w:rStyle w:val="Hyperlink"/>
            <w:rFonts w:ascii="FrankRuehl" w:hAnsi="FrankRuehl" w:cs="FrankRuehl"/>
          </w:rPr>
          <w:t>144(</w:t>
        </w:r>
        <w:r w:rsidRPr="002A72B1">
          <w:rPr>
            <w:rStyle w:val="Hyperlink"/>
            <w:rFonts w:ascii="FrankRuehl" w:hAnsi="FrankRuehl" w:cs="FrankRuehl"/>
            <w:rtl/>
          </w:rPr>
          <w:t>א</w:t>
        </w:r>
        <w:r w:rsidRPr="002A72B1">
          <w:rPr>
            <w:rStyle w:val="Hyperlink"/>
            <w:rFonts w:ascii="FrankRuehl" w:hAnsi="FrankRuehl" w:cs="FrankRuehl"/>
          </w:rPr>
          <w:t>)</w:t>
        </w:r>
      </w:hyperlink>
      <w:r w:rsidRPr="002A72B1">
        <w:rPr>
          <w:rFonts w:ascii="FrankRuehl" w:hAnsi="FrankRuehl" w:cs="FrankRuehl"/>
          <w:color w:val="0000FF"/>
          <w:u w:val="single"/>
          <w:rtl/>
        </w:rPr>
        <w:t xml:space="preserve">, </w:t>
      </w:r>
      <w:hyperlink r:id="rId16" w:history="1">
        <w:r w:rsidRPr="002A72B1">
          <w:rPr>
            <w:rStyle w:val="Hyperlink"/>
            <w:rFonts w:ascii="FrankRuehl" w:hAnsi="FrankRuehl" w:cs="FrankRuehl"/>
          </w:rPr>
          <w:t>144(</w:t>
        </w:r>
        <w:r w:rsidRPr="002A72B1">
          <w:rPr>
            <w:rStyle w:val="Hyperlink"/>
            <w:rFonts w:ascii="FrankRuehl" w:hAnsi="FrankRuehl" w:cs="FrankRuehl"/>
            <w:rtl/>
          </w:rPr>
          <w:t>ב</w:t>
        </w:r>
        <w:r w:rsidRPr="002A72B1">
          <w:rPr>
            <w:rStyle w:val="Hyperlink"/>
            <w:rFonts w:ascii="FrankRuehl" w:hAnsi="FrankRuehl" w:cs="FrankRuehl"/>
          </w:rPr>
          <w:t>)</w:t>
        </w:r>
      </w:hyperlink>
      <w:r w:rsidRPr="002A72B1">
        <w:rPr>
          <w:rFonts w:ascii="FrankRuehl" w:hAnsi="FrankRuehl" w:cs="FrankRuehl"/>
          <w:color w:val="0000FF"/>
          <w:u w:val="single"/>
          <w:rtl/>
        </w:rPr>
        <w:t xml:space="preserve">, </w:t>
      </w:r>
      <w:hyperlink r:id="rId17" w:history="1">
        <w:r w:rsidRPr="002A72B1">
          <w:rPr>
            <w:rStyle w:val="Hyperlink"/>
            <w:rFonts w:ascii="FrankRuehl" w:hAnsi="FrankRuehl" w:cs="FrankRuehl"/>
          </w:rPr>
          <w:t>144(</w:t>
        </w:r>
        <w:r w:rsidRPr="002A72B1">
          <w:rPr>
            <w:rStyle w:val="Hyperlink"/>
            <w:rFonts w:ascii="FrankRuehl" w:hAnsi="FrankRuehl" w:cs="FrankRuehl"/>
            <w:rtl/>
          </w:rPr>
          <w:t>ב2</w:t>
        </w:r>
        <w:r w:rsidRPr="002A72B1">
          <w:rPr>
            <w:rStyle w:val="Hyperlink"/>
            <w:rFonts w:ascii="FrankRuehl" w:hAnsi="FrankRuehl" w:cs="FrankRuehl"/>
          </w:rPr>
          <w:t>)</w:t>
        </w:r>
      </w:hyperlink>
    </w:p>
    <w:p w14:paraId="39F266DB" w14:textId="77777777" w:rsidR="002A72B1" w:rsidRPr="002A72B1" w:rsidRDefault="002A72B1" w:rsidP="002A72B1">
      <w:pPr>
        <w:spacing w:after="120" w:line="240" w:lineRule="exact"/>
        <w:ind w:left="283" w:hanging="283"/>
        <w:jc w:val="both"/>
        <w:rPr>
          <w:rFonts w:ascii="FrankRuehl" w:hAnsi="FrankRuehl" w:cs="FrankRuehl"/>
          <w:rtl/>
        </w:rPr>
      </w:pPr>
    </w:p>
    <w:p w14:paraId="2360A6AB" w14:textId="77777777" w:rsidR="002A72B1" w:rsidRPr="002A72B1" w:rsidRDefault="002A72B1" w:rsidP="006228BD">
      <w:pPr>
        <w:spacing w:after="120" w:line="240" w:lineRule="exact"/>
        <w:ind w:left="283" w:hanging="283"/>
        <w:jc w:val="both"/>
        <w:rPr>
          <w:rFonts w:ascii="FrankRuehl" w:hAnsi="FrankRuehl" w:cs="FrankRuehl"/>
          <w:rtl/>
        </w:rPr>
      </w:pPr>
      <w:bookmarkStart w:id="4" w:name="LawTable_End"/>
      <w:bookmarkEnd w:id="4"/>
    </w:p>
    <w:p w14:paraId="4DE6B00F" w14:textId="77777777" w:rsidR="002A72B1" w:rsidRPr="002A72B1" w:rsidRDefault="002A72B1" w:rsidP="006228BD">
      <w:pPr>
        <w:spacing w:after="120" w:line="240" w:lineRule="exact"/>
        <w:ind w:left="283" w:hanging="283"/>
        <w:jc w:val="both"/>
        <w:rPr>
          <w:rFonts w:ascii="FrankRuehl" w:hAnsi="FrankRuehl" w:cs="FrankRuehl"/>
          <w:color w:val="0000FF"/>
          <w:rtl/>
        </w:rPr>
      </w:pPr>
    </w:p>
    <w:p w14:paraId="25FD034C" w14:textId="77777777" w:rsidR="006228BD" w:rsidRPr="002A72B1" w:rsidRDefault="006228BD" w:rsidP="006228BD">
      <w:pPr>
        <w:spacing w:after="120" w:line="240" w:lineRule="exact"/>
        <w:ind w:left="283" w:hanging="283"/>
        <w:jc w:val="both"/>
        <w:rPr>
          <w:rFonts w:ascii="FrankRuehl" w:hAnsi="FrankRuehl" w:cs="FrankRuehl"/>
          <w:rtl/>
        </w:rPr>
      </w:pPr>
    </w:p>
    <w:p w14:paraId="767437E6" w14:textId="77777777" w:rsidR="00B41917" w:rsidRPr="00B41917" w:rsidRDefault="00B41917">
      <w:pPr>
        <w:rPr>
          <w:rtl/>
        </w:rPr>
      </w:pPr>
    </w:p>
    <w:p w14:paraId="639162B8" w14:textId="77777777" w:rsidR="00B41917" w:rsidRPr="00B41917" w:rsidRDefault="00B41917">
      <w:pPr>
        <w:rPr>
          <w:rtl/>
        </w:rPr>
      </w:pPr>
    </w:p>
    <w:p w14:paraId="5B8529E6" w14:textId="77777777" w:rsidR="005242E0" w:rsidRPr="00B41917" w:rsidRDefault="005242E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242E0" w14:paraId="51575451" w14:textId="77777777">
        <w:trPr>
          <w:trHeight w:val="355"/>
          <w:jc w:val="center"/>
        </w:trPr>
        <w:tc>
          <w:tcPr>
            <w:tcW w:w="8820" w:type="dxa"/>
            <w:tcBorders>
              <w:top w:val="nil"/>
              <w:left w:val="nil"/>
              <w:bottom w:val="nil"/>
              <w:right w:val="nil"/>
            </w:tcBorders>
            <w:shd w:val="clear" w:color="auto" w:fill="auto"/>
          </w:tcPr>
          <w:p w14:paraId="1EA53C77" w14:textId="77777777" w:rsidR="00C7776C" w:rsidRPr="00C7776C" w:rsidRDefault="00C7776C" w:rsidP="00C7776C">
            <w:pPr>
              <w:jc w:val="center"/>
              <w:rPr>
                <w:rFonts w:ascii="Arial" w:hAnsi="Arial" w:cs="FrankRuehl"/>
                <w:b/>
                <w:bCs/>
                <w:sz w:val="32"/>
                <w:szCs w:val="32"/>
                <w:u w:val="single"/>
                <w:rtl/>
              </w:rPr>
            </w:pPr>
            <w:bookmarkStart w:id="5" w:name="PsakDin"/>
            <w:r w:rsidRPr="00C7776C">
              <w:rPr>
                <w:rFonts w:ascii="Arial" w:hAnsi="Arial" w:cs="FrankRuehl"/>
                <w:b/>
                <w:bCs/>
                <w:sz w:val="32"/>
                <w:szCs w:val="32"/>
                <w:u w:val="single"/>
                <w:rtl/>
              </w:rPr>
              <w:t>גזר דין</w:t>
            </w:r>
          </w:p>
          <w:bookmarkEnd w:id="5"/>
          <w:p w14:paraId="440D67E3" w14:textId="77777777" w:rsidR="005242E0" w:rsidRDefault="005242E0">
            <w:pPr>
              <w:jc w:val="center"/>
              <w:rPr>
                <w:rFonts w:ascii="Arial" w:hAnsi="Arial" w:cs="FrankRuehl"/>
                <w:sz w:val="32"/>
                <w:szCs w:val="32"/>
                <w:u w:val="single"/>
                <w:rtl/>
              </w:rPr>
            </w:pPr>
          </w:p>
        </w:tc>
      </w:tr>
      <w:bookmarkEnd w:id="0"/>
      <w:bookmarkEnd w:id="1"/>
    </w:tbl>
    <w:p w14:paraId="1E4A9400" w14:textId="77777777" w:rsidR="005242E0" w:rsidRDefault="005242E0">
      <w:pPr>
        <w:jc w:val="both"/>
        <w:rPr>
          <w:rFonts w:ascii="Arial" w:hAnsi="Arial"/>
          <w:rtl/>
        </w:rPr>
      </w:pPr>
    </w:p>
    <w:p w14:paraId="2E1C7F0B" w14:textId="77777777" w:rsidR="005242E0" w:rsidRDefault="00C7776C">
      <w:pPr>
        <w:spacing w:line="360" w:lineRule="auto"/>
        <w:jc w:val="both"/>
        <w:rPr>
          <w:rFonts w:ascii="Arial" w:hAnsi="Arial"/>
          <w:rtl/>
        </w:rPr>
      </w:pPr>
      <w:r>
        <w:rPr>
          <w:rFonts w:ascii="Arial" w:hAnsi="Arial" w:hint="cs"/>
          <w:rtl/>
        </w:rPr>
        <w:t xml:space="preserve">1. </w:t>
      </w:r>
      <w:bookmarkStart w:id="6" w:name="ABSTRACT_START"/>
      <w:bookmarkEnd w:id="6"/>
      <w:r>
        <w:rPr>
          <w:rFonts w:ascii="Arial" w:hAnsi="Arial" w:hint="cs"/>
          <w:rtl/>
        </w:rPr>
        <w:t xml:space="preserve">הנאשם הורשע על פי הודאתו במסגרת הסדר טעון בעבירה של נשיאת נשק לפי </w:t>
      </w:r>
      <w:hyperlink r:id="rId18" w:history="1">
        <w:r w:rsidR="006228BD" w:rsidRPr="006228BD">
          <w:rPr>
            <w:rFonts w:ascii="Arial" w:hAnsi="Arial"/>
            <w:color w:val="0000FF"/>
            <w:u w:val="single"/>
            <w:rtl/>
          </w:rPr>
          <w:t>סעיף 144(ב)</w:t>
        </w:r>
      </w:hyperlink>
      <w:r>
        <w:rPr>
          <w:rFonts w:ascii="Arial" w:hAnsi="Arial" w:hint="cs"/>
          <w:rtl/>
        </w:rPr>
        <w:t xml:space="preserve"> ל</w:t>
      </w:r>
      <w:hyperlink r:id="rId19" w:history="1">
        <w:r w:rsidRPr="00C7776C">
          <w:rPr>
            <w:rFonts w:ascii="Arial" w:hAnsi="Arial"/>
            <w:color w:val="0000FF"/>
            <w:u w:val="single"/>
            <w:rtl/>
          </w:rPr>
          <w:t>חוק העונשין</w:t>
        </w:r>
      </w:hyperlink>
      <w:r>
        <w:rPr>
          <w:rFonts w:ascii="Arial" w:hAnsi="Arial" w:hint="cs"/>
          <w:rtl/>
        </w:rPr>
        <w:t xml:space="preserve">, התשל"ז-1977. </w:t>
      </w:r>
      <w:bookmarkStart w:id="7" w:name="ABSTRACT_END"/>
      <w:bookmarkEnd w:id="7"/>
    </w:p>
    <w:p w14:paraId="1642A7EF" w14:textId="77777777" w:rsidR="005242E0" w:rsidRDefault="005242E0">
      <w:pPr>
        <w:spacing w:line="360" w:lineRule="auto"/>
        <w:jc w:val="both"/>
        <w:rPr>
          <w:rFonts w:ascii="Arial" w:hAnsi="Arial"/>
          <w:rtl/>
        </w:rPr>
      </w:pPr>
    </w:p>
    <w:p w14:paraId="1631349F" w14:textId="77777777" w:rsidR="005242E0" w:rsidRDefault="00C7776C">
      <w:pPr>
        <w:spacing w:line="360" w:lineRule="auto"/>
        <w:jc w:val="both"/>
        <w:rPr>
          <w:rFonts w:ascii="Arial" w:hAnsi="Arial"/>
          <w:rtl/>
        </w:rPr>
      </w:pPr>
      <w:r>
        <w:rPr>
          <w:rFonts w:ascii="Arial" w:hAnsi="Arial" w:hint="cs"/>
          <w:rtl/>
        </w:rPr>
        <w:t xml:space="preserve">על פי עובדות כתב האישום כחודשיים עובר ליום 30.10.14 ועד ליום 30.10.14 החזיק הנאשם אקדח חצי אוטומאטי מסוג סטאר (קליבר 9 מ"מ). האקדח לא היה תקין.  ביום 30.10.14 בשעה 10.00 נהג </w:t>
      </w:r>
      <w:r>
        <w:rPr>
          <w:rFonts w:ascii="Arial" w:hAnsi="Arial" w:hint="cs"/>
          <w:rtl/>
        </w:rPr>
        <w:lastRenderedPageBreak/>
        <w:t>הנאשם ברכב בצומת אלמוג לכוון יריחו לאחר שהסתיר את האקדח, יחד עם מחסנית ריקה בפתחי האוורור של מזגן הרכב כאשר זו עטופה בבד.</w:t>
      </w:r>
    </w:p>
    <w:p w14:paraId="78BC8576" w14:textId="77777777" w:rsidR="005242E0" w:rsidRDefault="005242E0">
      <w:pPr>
        <w:spacing w:line="360" w:lineRule="auto"/>
        <w:jc w:val="both"/>
        <w:rPr>
          <w:rFonts w:ascii="Arial" w:hAnsi="Arial"/>
          <w:rtl/>
        </w:rPr>
      </w:pPr>
    </w:p>
    <w:p w14:paraId="7358E791" w14:textId="77777777" w:rsidR="005242E0" w:rsidRDefault="00C7776C">
      <w:pPr>
        <w:spacing w:line="360" w:lineRule="auto"/>
        <w:jc w:val="both"/>
        <w:rPr>
          <w:rFonts w:ascii="Arial" w:hAnsi="Arial"/>
          <w:b/>
          <w:bCs/>
          <w:u w:val="single"/>
          <w:rtl/>
        </w:rPr>
      </w:pPr>
      <w:r>
        <w:rPr>
          <w:rFonts w:ascii="Arial" w:hAnsi="Arial" w:hint="cs"/>
          <w:b/>
          <w:bCs/>
          <w:u w:val="single"/>
          <w:rtl/>
        </w:rPr>
        <w:t>עיקר טענות הצדדים</w:t>
      </w:r>
    </w:p>
    <w:p w14:paraId="34B88E80" w14:textId="77777777" w:rsidR="005242E0" w:rsidRDefault="00C7776C">
      <w:pPr>
        <w:spacing w:line="360" w:lineRule="auto"/>
        <w:jc w:val="both"/>
        <w:rPr>
          <w:rFonts w:ascii="Arial" w:hAnsi="Arial"/>
          <w:rtl/>
        </w:rPr>
      </w:pPr>
      <w:r>
        <w:rPr>
          <w:rFonts w:ascii="Arial" w:hAnsi="Arial" w:hint="cs"/>
          <w:rtl/>
        </w:rPr>
        <w:t xml:space="preserve">2. לטענת ב"כ המאשימה העקרון המנחה של בית המשפט בעבירות מהסוג הנדון הוא הסיכון הנשקף מנשיאת הנשק, ודאי בנסיבות עמומות כשלנו. לטענתו יש ליתן משקל מועט מאוד לכך שהאקדח היה לא תקין שכן מדובר במי שנשא נשק שמסוגל לירות בהתאם להגדרה. ב"כ המאשימה היפנה לפסיקה המציינת את מגמת ההחמרה בענישה בעבירות נשק כשיש בעצם החזקת נשק, ודאי בנשיאתו פוטנציאל להסלמת פעילות עבריינית ויש ליתן לדבר בטוי עונשי הולם שירתיע. ב"כ המאשימה טען למתחם הנע בין 12 ל-36 חודשי מאסר וטען כי יש למקם את הנאשם בחלקו העליון של המתחם על אף שהודה, נטל אחריות על מעשיו וחסך מזמנו של בית המשפט וזאת בשים לב לעברו הפלילי המשמעותי ולכך שהשתחרר ממאסרו האחרון זמן קצר לפני ביצוע העבירה בה הורשע כאן. </w:t>
      </w:r>
    </w:p>
    <w:p w14:paraId="273FA2D6" w14:textId="77777777" w:rsidR="005242E0" w:rsidRDefault="005242E0">
      <w:pPr>
        <w:spacing w:line="360" w:lineRule="auto"/>
        <w:jc w:val="both"/>
        <w:rPr>
          <w:rFonts w:ascii="Arial" w:hAnsi="Arial"/>
          <w:rtl/>
        </w:rPr>
      </w:pPr>
    </w:p>
    <w:p w14:paraId="4F56B984" w14:textId="77777777" w:rsidR="005242E0" w:rsidRDefault="00C7776C">
      <w:pPr>
        <w:spacing w:line="360" w:lineRule="auto"/>
        <w:jc w:val="both"/>
        <w:rPr>
          <w:rFonts w:ascii="Arial" w:hAnsi="Arial"/>
          <w:rtl/>
        </w:rPr>
      </w:pPr>
      <w:r>
        <w:rPr>
          <w:rFonts w:ascii="Arial" w:hAnsi="Arial" w:hint="cs"/>
          <w:rtl/>
        </w:rPr>
        <w:t xml:space="preserve">לטענת ב"כ הנאשם הנסיבות של ביצוע העבירה מלמדות שיש לנקוט במתחם נמוך הרבה מזה לו טען ב"כ המאשימה. לטענתו יש ליתן משקל לעובדה שמדובר בבחור תושב הפזורה הבדואית שנשא נשק לכוון השטחים, בתוך השטחים ולא בתוך שטח מדינת ישראל ומקומות מאוכלסים. בנוסף, מדובר בנשק שלא היה תקין ואין כל ראיה שהנאשם התכוון לתקן את הנשק. ב"כ הנאשם טען למתחם הנע בין מאסר קצר לבין שנת מאסר. אשר לרישום הפלילי טען ב"כ הנאשם כי שתי הרשעות כלל אינן רלוונטיות ואילו אחת מלפני יותר מ-14 שנה. הנאשם הודה בהזדמנות הראשונה וחסך מזמנו של בית המשפט וכן הוא מפרנס יחיד של משפחה בת 8 ילדים כאשר האחרון נולד עת היה במעצר והוא כלל לא ראה אותו. </w:t>
      </w:r>
    </w:p>
    <w:p w14:paraId="4D17EB9F" w14:textId="77777777" w:rsidR="005242E0" w:rsidRDefault="005242E0">
      <w:pPr>
        <w:spacing w:line="360" w:lineRule="auto"/>
        <w:jc w:val="both"/>
        <w:rPr>
          <w:rFonts w:ascii="Arial" w:hAnsi="Arial"/>
          <w:rtl/>
        </w:rPr>
      </w:pPr>
    </w:p>
    <w:p w14:paraId="29B71778" w14:textId="77777777" w:rsidR="005242E0" w:rsidRDefault="00C7776C">
      <w:pPr>
        <w:spacing w:line="360" w:lineRule="auto"/>
        <w:jc w:val="both"/>
        <w:rPr>
          <w:rFonts w:ascii="Arial" w:hAnsi="Arial"/>
          <w:b/>
          <w:bCs/>
          <w:u w:val="single"/>
          <w:rtl/>
        </w:rPr>
      </w:pPr>
      <w:r>
        <w:rPr>
          <w:rFonts w:ascii="Arial" w:hAnsi="Arial" w:hint="cs"/>
          <w:b/>
          <w:bCs/>
          <w:u w:val="single"/>
          <w:rtl/>
        </w:rPr>
        <w:t>דבר הנאשם</w:t>
      </w:r>
    </w:p>
    <w:p w14:paraId="700C0EDD" w14:textId="77777777" w:rsidR="005242E0" w:rsidRDefault="00C7776C">
      <w:pPr>
        <w:spacing w:line="360" w:lineRule="auto"/>
        <w:jc w:val="both"/>
        <w:rPr>
          <w:rFonts w:ascii="Arial" w:hAnsi="Arial"/>
          <w:rtl/>
        </w:rPr>
      </w:pPr>
      <w:r>
        <w:rPr>
          <w:rFonts w:ascii="Arial" w:hAnsi="Arial" w:hint="cs"/>
          <w:rtl/>
        </w:rPr>
        <w:t xml:space="preserve">הנאשם בדברו האחרון לבית המשפט ציין כי הוא למד את הלקח. </w:t>
      </w:r>
    </w:p>
    <w:p w14:paraId="19A31DF0" w14:textId="77777777" w:rsidR="005242E0" w:rsidRDefault="005242E0">
      <w:pPr>
        <w:spacing w:line="360" w:lineRule="auto"/>
        <w:jc w:val="both"/>
        <w:rPr>
          <w:rFonts w:ascii="Arial" w:hAnsi="Arial"/>
          <w:rtl/>
        </w:rPr>
      </w:pPr>
    </w:p>
    <w:p w14:paraId="21C03829" w14:textId="77777777" w:rsidR="005242E0" w:rsidRDefault="00C7776C">
      <w:pPr>
        <w:spacing w:line="360" w:lineRule="auto"/>
        <w:jc w:val="both"/>
        <w:rPr>
          <w:rFonts w:ascii="Arial" w:hAnsi="Arial"/>
          <w:b/>
          <w:bCs/>
          <w:u w:val="single"/>
          <w:rtl/>
        </w:rPr>
      </w:pPr>
      <w:r>
        <w:rPr>
          <w:rFonts w:ascii="Arial" w:hAnsi="Arial" w:hint="cs"/>
          <w:b/>
          <w:bCs/>
          <w:u w:val="single"/>
          <w:rtl/>
        </w:rPr>
        <w:t>דיון</w:t>
      </w:r>
    </w:p>
    <w:p w14:paraId="66374AAB" w14:textId="77777777" w:rsidR="005242E0" w:rsidRDefault="00C7776C">
      <w:pPr>
        <w:spacing w:line="360" w:lineRule="auto"/>
        <w:jc w:val="both"/>
        <w:rPr>
          <w:rFonts w:ascii="Arial" w:hAnsi="Arial"/>
          <w:b/>
          <w:bCs/>
          <w:u w:val="single"/>
          <w:rtl/>
        </w:rPr>
      </w:pPr>
      <w:r>
        <w:rPr>
          <w:rFonts w:ascii="Arial" w:hAnsi="Arial" w:hint="cs"/>
          <w:rtl/>
        </w:rPr>
        <w:t xml:space="preserve">3. </w:t>
      </w:r>
      <w:r>
        <w:rPr>
          <w:rFonts w:ascii="Arial" w:hAnsi="Arial"/>
          <w:rtl/>
        </w:rPr>
        <w:t xml:space="preserve">על גזר הדין להינתן בהתאם לעקרון ההלימה שנקבע </w:t>
      </w:r>
      <w:hyperlink r:id="rId20" w:history="1">
        <w:r w:rsidR="006228BD" w:rsidRPr="006228BD">
          <w:rPr>
            <w:rFonts w:ascii="Arial" w:hAnsi="Arial"/>
            <w:color w:val="0000FF"/>
            <w:u w:val="single"/>
            <w:rtl/>
          </w:rPr>
          <w:t>בסעיף 40ב</w:t>
        </w:r>
      </w:hyperlink>
      <w:r>
        <w:rPr>
          <w:rFonts w:ascii="Arial" w:hAnsi="Arial"/>
          <w:rtl/>
        </w:rPr>
        <w:t xml:space="preserve"> לחוק בין "</w:t>
      </w:r>
      <w:r>
        <w:rPr>
          <w:rFonts w:ascii="Arial" w:hAnsi="Arial"/>
          <w:b/>
          <w:bCs/>
          <w:rtl/>
        </w:rPr>
        <w:t>חומרת מעשה העבירה בנסיבותיו ומידת אשמו של הנאשם ובין סוג ומידת העונש המוטל עליו</w:t>
      </w:r>
      <w:r>
        <w:rPr>
          <w:rFonts w:ascii="Arial" w:hAnsi="Arial"/>
          <w:rtl/>
        </w:rPr>
        <w:t xml:space="preserve">". </w:t>
      </w:r>
    </w:p>
    <w:p w14:paraId="723870CA" w14:textId="77777777" w:rsidR="005242E0" w:rsidRDefault="005242E0">
      <w:pPr>
        <w:spacing w:line="360" w:lineRule="auto"/>
        <w:jc w:val="both"/>
        <w:rPr>
          <w:rFonts w:ascii="Arial" w:hAnsi="Arial"/>
          <w:rtl/>
        </w:rPr>
      </w:pPr>
    </w:p>
    <w:p w14:paraId="7A4BDA15" w14:textId="77777777" w:rsidR="005242E0" w:rsidRDefault="00C7776C">
      <w:pPr>
        <w:spacing w:line="360" w:lineRule="auto"/>
        <w:jc w:val="both"/>
        <w:rPr>
          <w:rFonts w:ascii="Arial" w:hAnsi="Arial"/>
          <w:rtl/>
        </w:rPr>
      </w:pPr>
      <w:r>
        <w:rPr>
          <w:rFonts w:ascii="Arial" w:hAnsi="Arial"/>
          <w:rtl/>
        </w:rPr>
        <w:t>בקביעת מתחם הענישה ההולם למעשה העבירה על בית המשפט להתחשב "</w:t>
      </w:r>
      <w:r>
        <w:rPr>
          <w:rFonts w:ascii="Arial" w:hAnsi="Arial"/>
          <w:b/>
          <w:bCs/>
          <w:rtl/>
        </w:rPr>
        <w:t>בערך החברתי שנפגע מביצוע העבירה, במידת הפגיעה בו, במדיניות הענישה הנהוגה ובנסיבות הקשורות בביצוע העבירה..</w:t>
      </w:r>
      <w:r>
        <w:rPr>
          <w:rFonts w:ascii="Arial" w:hAnsi="Arial"/>
          <w:rtl/>
        </w:rPr>
        <w:t xml:space="preserve">" (ר' </w:t>
      </w:r>
      <w:hyperlink r:id="rId21" w:history="1">
        <w:r w:rsidR="006228BD" w:rsidRPr="006228BD">
          <w:rPr>
            <w:rFonts w:ascii="Arial" w:hAnsi="Arial"/>
            <w:color w:val="0000FF"/>
            <w:u w:val="single"/>
            <w:rtl/>
          </w:rPr>
          <w:t>סעיף 40ג(א)</w:t>
        </w:r>
      </w:hyperlink>
      <w:r>
        <w:rPr>
          <w:rFonts w:ascii="Arial" w:hAnsi="Arial"/>
          <w:rtl/>
        </w:rPr>
        <w:t xml:space="preserve"> לחוק).</w:t>
      </w:r>
    </w:p>
    <w:p w14:paraId="4AFA5CA0" w14:textId="77777777" w:rsidR="005242E0" w:rsidRDefault="005242E0">
      <w:pPr>
        <w:spacing w:line="360" w:lineRule="auto"/>
        <w:jc w:val="both"/>
        <w:rPr>
          <w:rFonts w:ascii="Arial" w:hAnsi="Arial"/>
          <w:rtl/>
        </w:rPr>
      </w:pPr>
    </w:p>
    <w:p w14:paraId="01C04FDA" w14:textId="77777777" w:rsidR="005242E0" w:rsidRDefault="00C7776C">
      <w:pPr>
        <w:spacing w:line="360" w:lineRule="auto"/>
        <w:jc w:val="both"/>
        <w:rPr>
          <w:rFonts w:ascii="Arial" w:hAnsi="Arial"/>
          <w:rtl/>
        </w:rPr>
      </w:pPr>
      <w:r>
        <w:rPr>
          <w:rFonts w:ascii="Arial" w:hAnsi="Arial" w:hint="cs"/>
          <w:rtl/>
        </w:rPr>
        <w:lastRenderedPageBreak/>
        <w:t xml:space="preserve">4. הערך המוגן שנפגע הינו שלום הצבור מפני פגיעות בגוף ובנפש. במדרג עבירות הנשק מצויה העבירה של נשיאת נשק, בדרגת הביניים מבחינת חומרתה, בין עבירה של רכישת והחזקת נשק לפי </w:t>
      </w:r>
      <w:hyperlink r:id="rId22" w:history="1">
        <w:r w:rsidR="006228BD" w:rsidRPr="006228BD">
          <w:rPr>
            <w:rFonts w:ascii="Arial" w:hAnsi="Arial"/>
            <w:color w:val="0000FF"/>
            <w:u w:val="single"/>
            <w:rtl/>
          </w:rPr>
          <w:t>סעיף 144(א)</w:t>
        </w:r>
      </w:hyperlink>
      <w:r>
        <w:rPr>
          <w:rFonts w:ascii="Arial" w:hAnsi="Arial" w:hint="cs"/>
          <w:rtl/>
        </w:rPr>
        <w:t xml:space="preserve"> לחוק לבין עבירה של יצור, יבוא, יצוא וסחר בנשק לפי </w:t>
      </w:r>
      <w:hyperlink r:id="rId23" w:history="1">
        <w:r w:rsidR="006228BD" w:rsidRPr="006228BD">
          <w:rPr>
            <w:rFonts w:ascii="Arial" w:hAnsi="Arial"/>
            <w:color w:val="0000FF"/>
            <w:u w:val="single"/>
            <w:rtl/>
          </w:rPr>
          <w:t>סעיף 144(ב2)</w:t>
        </w:r>
      </w:hyperlink>
      <w:r>
        <w:rPr>
          <w:rFonts w:ascii="Arial" w:hAnsi="Arial" w:hint="cs"/>
          <w:rtl/>
        </w:rPr>
        <w:t xml:space="preserve"> לחוק. העונש המקסימאלי בגינה הוא 10 שנות מאסר. </w:t>
      </w:r>
    </w:p>
    <w:p w14:paraId="49C41CFC" w14:textId="77777777" w:rsidR="005242E0" w:rsidRDefault="005242E0">
      <w:pPr>
        <w:spacing w:line="360" w:lineRule="auto"/>
        <w:jc w:val="both"/>
        <w:rPr>
          <w:rFonts w:ascii="Arial" w:hAnsi="Arial"/>
          <w:rtl/>
        </w:rPr>
      </w:pPr>
    </w:p>
    <w:p w14:paraId="0398D1A2" w14:textId="77777777" w:rsidR="005242E0" w:rsidRDefault="00C7776C">
      <w:pPr>
        <w:spacing w:line="360" w:lineRule="auto"/>
        <w:jc w:val="both"/>
        <w:rPr>
          <w:rFonts w:ascii="Arial" w:hAnsi="Arial"/>
          <w:rtl/>
        </w:rPr>
      </w:pPr>
      <w:r>
        <w:rPr>
          <w:rFonts w:ascii="Arial" w:hAnsi="Arial" w:hint="cs"/>
          <w:rtl/>
        </w:rPr>
        <w:t xml:space="preserve">אשר לנסיבות ביצוע העבירה. מדובר באקדח חצי אוטומאטי שהיה לא תקין. לנתון אחרון זה, כמו גם לעובדה שמדובר בכלי נשק אחד, יש ליתן משקל בקביעת המתחם. עם זאת, אינני סבורה כי העובדה שהנאשם נשא את הנשק לכוון יריחו מהווה נסיבה מקלה דווקא. לא ברור מהי התכלית של נשיאת הנשק לכוון יריחו ומיהו משתמש הקצה בנשק ולאיזו תכלית. עוד יש לשקול את העובדה שהנשק היה מוחבא ביחד עם מחסנית ריקה בפתחי האוורור של מזגן הרכב. </w:t>
      </w:r>
    </w:p>
    <w:p w14:paraId="18AEF56B" w14:textId="77777777" w:rsidR="005242E0" w:rsidRDefault="005242E0">
      <w:pPr>
        <w:spacing w:line="360" w:lineRule="auto"/>
        <w:jc w:val="both"/>
        <w:rPr>
          <w:rFonts w:ascii="Arial" w:hAnsi="Arial"/>
          <w:rtl/>
        </w:rPr>
      </w:pPr>
    </w:p>
    <w:p w14:paraId="0B09BAE1" w14:textId="77777777" w:rsidR="005242E0" w:rsidRDefault="00C7776C">
      <w:pPr>
        <w:spacing w:line="360" w:lineRule="auto"/>
        <w:jc w:val="both"/>
        <w:rPr>
          <w:rFonts w:ascii="Arial" w:hAnsi="Arial"/>
          <w:rtl/>
        </w:rPr>
      </w:pPr>
      <w:r>
        <w:rPr>
          <w:rFonts w:ascii="Arial" w:hAnsi="Arial" w:hint="cs"/>
          <w:rtl/>
        </w:rPr>
        <w:t xml:space="preserve">5. אשר למדיניות הענישה הנוהגת. כל צד היפנה לפסיקה התומכת בטענותיו. </w:t>
      </w:r>
    </w:p>
    <w:p w14:paraId="0F52F546" w14:textId="77777777" w:rsidR="005242E0" w:rsidRDefault="005242E0">
      <w:pPr>
        <w:spacing w:line="360" w:lineRule="auto"/>
        <w:jc w:val="both"/>
        <w:rPr>
          <w:rFonts w:ascii="Arial" w:hAnsi="Arial"/>
          <w:rtl/>
        </w:rPr>
      </w:pPr>
    </w:p>
    <w:p w14:paraId="7C98465C" w14:textId="77777777" w:rsidR="005242E0" w:rsidRDefault="00C7776C">
      <w:pPr>
        <w:spacing w:line="360" w:lineRule="auto"/>
        <w:jc w:val="both"/>
        <w:rPr>
          <w:rFonts w:ascii="Arial" w:hAnsi="Arial"/>
          <w:rtl/>
        </w:rPr>
      </w:pPr>
      <w:r>
        <w:rPr>
          <w:rFonts w:ascii="Arial" w:hAnsi="Arial" w:hint="cs"/>
          <w:rtl/>
        </w:rPr>
        <w:t xml:space="preserve">אכן כעולה מהפסיקה אליה היפנה ב"כ המאשימה קיימת מדיניות של החמרה בעבירות נשק.  </w:t>
      </w:r>
    </w:p>
    <w:p w14:paraId="78D01FA5" w14:textId="77777777" w:rsidR="005242E0" w:rsidRDefault="005242E0">
      <w:pPr>
        <w:spacing w:line="360" w:lineRule="auto"/>
        <w:jc w:val="both"/>
        <w:rPr>
          <w:rFonts w:ascii="Arial" w:hAnsi="Arial"/>
          <w:rtl/>
        </w:rPr>
      </w:pPr>
    </w:p>
    <w:p w14:paraId="635AF041" w14:textId="77777777" w:rsidR="005242E0" w:rsidRDefault="00C7776C">
      <w:pPr>
        <w:spacing w:line="360" w:lineRule="auto"/>
        <w:jc w:val="both"/>
        <w:rPr>
          <w:rFonts w:ascii="Arial" w:hAnsi="Arial"/>
          <w:rtl/>
        </w:rPr>
      </w:pPr>
      <w:r>
        <w:rPr>
          <w:rFonts w:ascii="Arial" w:hAnsi="Arial"/>
          <w:rtl/>
        </w:rPr>
        <w:t>ב</w:t>
      </w:r>
      <w:hyperlink r:id="rId24" w:history="1">
        <w:r w:rsidRPr="00C7776C">
          <w:rPr>
            <w:rFonts w:ascii="Arial" w:hAnsi="Arial"/>
            <w:color w:val="0000FF"/>
            <w:u w:val="single"/>
            <w:rtl/>
          </w:rPr>
          <w:t>ע"פ 2892/13</w:t>
        </w:r>
      </w:hyperlink>
      <w:r>
        <w:rPr>
          <w:rFonts w:ascii="Arial" w:hAnsi="Arial"/>
          <w:rtl/>
        </w:rPr>
        <w:t xml:space="preserve"> </w:t>
      </w:r>
      <w:r>
        <w:rPr>
          <w:rFonts w:ascii="Arial" w:hAnsi="Arial"/>
          <w:b/>
          <w:bCs/>
          <w:rtl/>
        </w:rPr>
        <w:t>עודתאללה נ. מדינת ישראל</w:t>
      </w:r>
      <w:r>
        <w:rPr>
          <w:rFonts w:ascii="Arial" w:hAnsi="Arial"/>
          <w:rtl/>
        </w:rPr>
        <w:t xml:space="preserve"> א</w:t>
      </w:r>
      <w:r>
        <w:rPr>
          <w:rFonts w:ascii="Arial" w:hAnsi="Arial" w:hint="cs"/>
          <w:rtl/>
        </w:rPr>
        <w:t>י</w:t>
      </w:r>
      <w:r>
        <w:rPr>
          <w:rFonts w:ascii="Arial" w:hAnsi="Arial"/>
          <w:rtl/>
        </w:rPr>
        <w:t xml:space="preserve">שר </w:t>
      </w:r>
      <w:r>
        <w:rPr>
          <w:rFonts w:ascii="Arial" w:hAnsi="Arial" w:hint="cs"/>
          <w:rtl/>
        </w:rPr>
        <w:t xml:space="preserve">בית המשפט עליון </w:t>
      </w:r>
      <w:r>
        <w:rPr>
          <w:rFonts w:ascii="Arial" w:hAnsi="Arial"/>
          <w:rtl/>
        </w:rPr>
        <w:t xml:space="preserve">עונש של מאסר בפועל בן 21 חודשים </w:t>
      </w:r>
      <w:r>
        <w:rPr>
          <w:rFonts w:ascii="Arial" w:hAnsi="Arial" w:hint="cs"/>
          <w:rtl/>
        </w:rPr>
        <w:t xml:space="preserve">שהוטל </w:t>
      </w:r>
      <w:r>
        <w:rPr>
          <w:rFonts w:ascii="Arial" w:hAnsi="Arial"/>
          <w:rtl/>
        </w:rPr>
        <w:t>על בחור צעיר וללא עבר פלילי שנהג ברכבו כשהוא מוביל אקדח עם מחסנית ריקה מתחת למושבו, ולא ניתן על ידו הסבר להחזקת הנשק באופן האמור.</w:t>
      </w:r>
      <w:r>
        <w:rPr>
          <w:rFonts w:ascii="Arial" w:hAnsi="Arial" w:hint="cs"/>
          <w:rtl/>
        </w:rPr>
        <w:t xml:space="preserve"> בית המשפט העליון אישר במקרה זה מתחם ענישה שבין 12 ל-36 חודשי מאסר בפועל. </w:t>
      </w:r>
    </w:p>
    <w:p w14:paraId="32BFDC6F" w14:textId="77777777" w:rsidR="005242E0" w:rsidRDefault="005242E0">
      <w:pPr>
        <w:spacing w:line="360" w:lineRule="auto"/>
        <w:jc w:val="both"/>
        <w:rPr>
          <w:rFonts w:ascii="Arial" w:hAnsi="Arial"/>
          <w:rtl/>
        </w:rPr>
      </w:pPr>
    </w:p>
    <w:p w14:paraId="05785A9B" w14:textId="77777777" w:rsidR="005242E0" w:rsidRDefault="00C7776C">
      <w:pPr>
        <w:spacing w:line="360" w:lineRule="auto"/>
        <w:jc w:val="both"/>
        <w:rPr>
          <w:rFonts w:ascii="Arial" w:hAnsi="Arial"/>
          <w:rtl/>
        </w:rPr>
      </w:pPr>
      <w:r>
        <w:rPr>
          <w:rFonts w:ascii="Arial" w:hAnsi="Arial" w:hint="cs"/>
          <w:rtl/>
        </w:rPr>
        <w:t>ב</w:t>
      </w:r>
      <w:hyperlink r:id="rId25" w:history="1">
        <w:r w:rsidRPr="00C7776C">
          <w:rPr>
            <w:rFonts w:ascii="Arial" w:hAnsi="Arial"/>
            <w:color w:val="0000FF"/>
            <w:u w:val="single"/>
            <w:rtl/>
          </w:rPr>
          <w:t>ע"פ 4329/10</w:t>
        </w:r>
      </w:hyperlink>
      <w:r>
        <w:rPr>
          <w:rFonts w:ascii="Arial" w:hAnsi="Arial" w:hint="cs"/>
          <w:rtl/>
        </w:rPr>
        <w:t xml:space="preserve"> </w:t>
      </w:r>
      <w:r>
        <w:rPr>
          <w:rFonts w:ascii="Arial" w:hAnsi="Arial" w:hint="cs"/>
          <w:b/>
          <w:bCs/>
          <w:rtl/>
        </w:rPr>
        <w:t>פלוני נ. מדינת ישראל</w:t>
      </w:r>
      <w:r>
        <w:rPr>
          <w:rFonts w:ascii="Arial" w:hAnsi="Arial" w:hint="cs"/>
          <w:rtl/>
        </w:rPr>
        <w:t xml:space="preserve"> אושר גזר דין של 20 חודשי מאסר בפועל על בחור צעיר ללא עבר פלילי שהחזיק אקדח במצב נצור ברכבו ולא הציע כל הסבר להחזקת הנשק. </w:t>
      </w:r>
    </w:p>
    <w:p w14:paraId="75389C56" w14:textId="77777777" w:rsidR="005242E0" w:rsidRDefault="005242E0">
      <w:pPr>
        <w:spacing w:line="360" w:lineRule="auto"/>
        <w:jc w:val="both"/>
        <w:rPr>
          <w:rFonts w:ascii="Arial" w:hAnsi="Arial"/>
          <w:rtl/>
        </w:rPr>
      </w:pPr>
    </w:p>
    <w:p w14:paraId="17D279A5" w14:textId="77777777" w:rsidR="005242E0" w:rsidRDefault="00C7776C">
      <w:pPr>
        <w:spacing w:line="360" w:lineRule="auto"/>
        <w:jc w:val="both"/>
        <w:rPr>
          <w:rFonts w:ascii="Arial" w:hAnsi="Arial"/>
          <w:rtl/>
        </w:rPr>
      </w:pPr>
      <w:r>
        <w:rPr>
          <w:rFonts w:ascii="Arial" w:hAnsi="Arial" w:hint="cs"/>
          <w:rtl/>
        </w:rPr>
        <w:t>ב</w:t>
      </w:r>
      <w:hyperlink r:id="rId26" w:history="1">
        <w:r w:rsidRPr="00C7776C">
          <w:rPr>
            <w:rFonts w:ascii="Arial" w:hAnsi="Arial"/>
            <w:color w:val="0000FF"/>
            <w:u w:val="single"/>
            <w:rtl/>
          </w:rPr>
          <w:t>ע"פ 5323/12</w:t>
        </w:r>
      </w:hyperlink>
      <w:r>
        <w:rPr>
          <w:rFonts w:ascii="Arial" w:hAnsi="Arial" w:hint="cs"/>
          <w:rtl/>
        </w:rPr>
        <w:t xml:space="preserve"> </w:t>
      </w:r>
      <w:r>
        <w:rPr>
          <w:rFonts w:ascii="Arial" w:hAnsi="Arial" w:hint="cs"/>
          <w:b/>
          <w:bCs/>
          <w:rtl/>
        </w:rPr>
        <w:t>חן אבו ליל נ. מדינת ישראל</w:t>
      </w:r>
      <w:r>
        <w:rPr>
          <w:rFonts w:ascii="Arial" w:hAnsi="Arial" w:hint="cs"/>
          <w:rtl/>
        </w:rPr>
        <w:t xml:space="preserve"> אושר גזר דין של 28 חודשי מאסר על מי שהטמין רובה אוטומאטי, מחסנית וכדורים בתוך מזוודה בחורשה ומאוחר יותר נשא את המוודה ובה הנשק והתחמושת והסתיר אותה בבית מסויים. </w:t>
      </w:r>
    </w:p>
    <w:p w14:paraId="00915FB9" w14:textId="77777777" w:rsidR="005242E0" w:rsidRDefault="005242E0">
      <w:pPr>
        <w:spacing w:line="360" w:lineRule="auto"/>
        <w:jc w:val="both"/>
        <w:rPr>
          <w:rFonts w:ascii="Arial" w:hAnsi="Arial"/>
          <w:rtl/>
        </w:rPr>
      </w:pPr>
    </w:p>
    <w:p w14:paraId="6411F932" w14:textId="77777777" w:rsidR="005242E0" w:rsidRDefault="00C7776C">
      <w:pPr>
        <w:spacing w:line="360" w:lineRule="auto"/>
        <w:jc w:val="both"/>
        <w:rPr>
          <w:rFonts w:ascii="Arial" w:hAnsi="Arial"/>
          <w:rtl/>
        </w:rPr>
      </w:pPr>
      <w:r>
        <w:rPr>
          <w:rFonts w:ascii="Arial" w:hAnsi="Arial" w:hint="cs"/>
          <w:rtl/>
        </w:rPr>
        <w:t>ב</w:t>
      </w:r>
      <w:hyperlink r:id="rId27" w:history="1">
        <w:r w:rsidRPr="00C7776C">
          <w:rPr>
            <w:rFonts w:ascii="Arial" w:hAnsi="Arial"/>
            <w:color w:val="0000FF"/>
            <w:u w:val="single"/>
            <w:rtl/>
          </w:rPr>
          <w:t>ע"פ 4945/13</w:t>
        </w:r>
      </w:hyperlink>
      <w:r>
        <w:rPr>
          <w:rFonts w:ascii="Arial" w:hAnsi="Arial" w:hint="cs"/>
          <w:rtl/>
        </w:rPr>
        <w:t xml:space="preserve"> </w:t>
      </w:r>
      <w:r>
        <w:rPr>
          <w:rFonts w:ascii="Arial" w:hAnsi="Arial" w:hint="cs"/>
          <w:b/>
          <w:bCs/>
          <w:rtl/>
        </w:rPr>
        <w:t>מדינת ישראל נ. עבד אלכרים סלימאן</w:t>
      </w:r>
      <w:r>
        <w:rPr>
          <w:rFonts w:ascii="Arial" w:hAnsi="Arial" w:hint="cs"/>
          <w:rtl/>
        </w:rPr>
        <w:t xml:space="preserve"> קובע בית המשפט מתחם ענישה הולם בין 12 ל-36 חודשים לנסיבות בהן נהג הנאשם ברכב בעודו נושא נשק (מסוג "קרל גוסטב") ותחמושת בתא המטען, וכשהבחין בשוטרים נטש את הרכב כאשר הוא מונע ונמלט, והרכב התדרדר עד שנתקע באבנים ונעצר. באותו מקרה נקבע כי המשיב רכש את הנשק, המחסנית והכדורים קודם לכן מאדם אחר. יצויין כי באותו מקרה ראה בית המשפט לנכון לאשר חריגה מהמתחם בשל הנסיבות המיוחדות שפורטו, אך כן מצא לנכון להתערב במתחם הענישה הנמוך יותר שנקבע על ידי בית המשפט המחוזי.</w:t>
      </w:r>
    </w:p>
    <w:p w14:paraId="2091EDD3" w14:textId="77777777" w:rsidR="005242E0" w:rsidRDefault="005242E0">
      <w:pPr>
        <w:spacing w:line="360" w:lineRule="auto"/>
        <w:jc w:val="both"/>
        <w:rPr>
          <w:rFonts w:ascii="Arial" w:hAnsi="Arial"/>
          <w:rtl/>
        </w:rPr>
      </w:pPr>
    </w:p>
    <w:p w14:paraId="195D83DB" w14:textId="77777777" w:rsidR="005242E0" w:rsidRDefault="00C7776C">
      <w:pPr>
        <w:spacing w:line="360" w:lineRule="auto"/>
        <w:jc w:val="both"/>
        <w:rPr>
          <w:rFonts w:ascii="Arial" w:hAnsi="Arial"/>
          <w:rtl/>
        </w:rPr>
      </w:pPr>
      <w:r>
        <w:rPr>
          <w:rFonts w:ascii="Arial" w:hAnsi="Arial" w:hint="cs"/>
          <w:rtl/>
        </w:rPr>
        <w:t xml:space="preserve">6. ב"כ הנאשם היפנה מצידו לפסיקה מקלה בהרבה התומכת בעמדתו. </w:t>
      </w:r>
    </w:p>
    <w:p w14:paraId="339837FC" w14:textId="77777777" w:rsidR="005242E0" w:rsidRDefault="005242E0">
      <w:pPr>
        <w:spacing w:line="360" w:lineRule="auto"/>
        <w:jc w:val="both"/>
        <w:rPr>
          <w:rFonts w:ascii="Arial" w:hAnsi="Arial"/>
          <w:rtl/>
        </w:rPr>
      </w:pPr>
    </w:p>
    <w:p w14:paraId="71A886B3" w14:textId="77777777" w:rsidR="005242E0" w:rsidRDefault="00B41917">
      <w:pPr>
        <w:spacing w:line="360" w:lineRule="auto"/>
        <w:jc w:val="both"/>
        <w:rPr>
          <w:rFonts w:ascii="Arial" w:hAnsi="Arial"/>
          <w:rtl/>
        </w:rPr>
      </w:pPr>
      <w:hyperlink r:id="rId28" w:history="1">
        <w:r w:rsidRPr="00B41917">
          <w:rPr>
            <w:rStyle w:val="Hyperlink"/>
            <w:rFonts w:ascii="Arial" w:hAnsi="Arial" w:hint="eastAsia"/>
            <w:rtl/>
          </w:rPr>
          <w:t>בע</w:t>
        </w:r>
        <w:r w:rsidRPr="00B41917">
          <w:rPr>
            <w:rStyle w:val="Hyperlink"/>
            <w:rFonts w:ascii="Arial" w:hAnsi="Arial"/>
            <w:rtl/>
          </w:rPr>
          <w:t>"פ 555/11</w:t>
        </w:r>
      </w:hyperlink>
      <w:r w:rsidR="00C7776C">
        <w:rPr>
          <w:rFonts w:ascii="Arial" w:hAnsi="Arial" w:hint="cs"/>
          <w:rtl/>
        </w:rPr>
        <w:t xml:space="preserve"> </w:t>
      </w:r>
      <w:r w:rsidR="00C7776C">
        <w:rPr>
          <w:rFonts w:ascii="Arial" w:hAnsi="Arial" w:hint="cs"/>
          <w:b/>
          <w:bCs/>
          <w:rtl/>
        </w:rPr>
        <w:t>כמאל מחאג'נה</w:t>
      </w:r>
      <w:r w:rsidR="00C7776C">
        <w:rPr>
          <w:rFonts w:ascii="Arial" w:hAnsi="Arial" w:hint="cs"/>
          <w:rtl/>
        </w:rPr>
        <w:t xml:space="preserve"> נ. </w:t>
      </w:r>
      <w:r w:rsidR="00C7776C">
        <w:rPr>
          <w:rFonts w:ascii="Arial" w:hAnsi="Arial" w:hint="cs"/>
          <w:b/>
          <w:bCs/>
          <w:rtl/>
        </w:rPr>
        <w:t>מדינת ישראל</w:t>
      </w:r>
      <w:r w:rsidR="00C7776C">
        <w:rPr>
          <w:rFonts w:ascii="Arial" w:hAnsi="Arial" w:hint="cs"/>
          <w:rtl/>
        </w:rPr>
        <w:t xml:space="preserve"> הקל בית המשפט העליון בעונשו של המערער שהורשע בכך שבחיפוש במכוניתו מתחת למושב הנהג נתפס אקדח ובו מחסנית שהכילה 7 כדורי אקדח וכן נתפסו 13 כדורים נוספים בכיס מעילו, והעמיד את עונשו על 12 חודשי מאסר בפועל תוך שהוא מציין כי מדובר באדם נורמטיבי, העובד לפרנסתו והוא נטול עבר פלילי. </w:t>
      </w:r>
    </w:p>
    <w:p w14:paraId="69447E28" w14:textId="77777777" w:rsidR="005242E0" w:rsidRDefault="005242E0">
      <w:pPr>
        <w:spacing w:line="360" w:lineRule="auto"/>
        <w:jc w:val="both"/>
        <w:rPr>
          <w:rFonts w:ascii="Arial" w:hAnsi="Arial"/>
          <w:rtl/>
        </w:rPr>
      </w:pPr>
    </w:p>
    <w:p w14:paraId="03A8AB90" w14:textId="77777777" w:rsidR="005242E0" w:rsidRDefault="00C7776C">
      <w:pPr>
        <w:spacing w:line="360" w:lineRule="auto"/>
        <w:jc w:val="both"/>
        <w:rPr>
          <w:rFonts w:ascii="Arial" w:hAnsi="Arial"/>
          <w:rtl/>
        </w:rPr>
      </w:pPr>
      <w:r>
        <w:rPr>
          <w:rFonts w:ascii="Arial" w:hAnsi="Arial" w:hint="cs"/>
          <w:rtl/>
        </w:rPr>
        <w:t>ב</w:t>
      </w:r>
      <w:hyperlink r:id="rId29" w:history="1">
        <w:r w:rsidRPr="00C7776C">
          <w:rPr>
            <w:rFonts w:ascii="Arial" w:hAnsi="Arial"/>
            <w:color w:val="0000FF"/>
            <w:u w:val="single"/>
            <w:rtl/>
          </w:rPr>
          <w:t>ע"פ 2044/11</w:t>
        </w:r>
      </w:hyperlink>
      <w:r>
        <w:rPr>
          <w:rFonts w:ascii="Arial" w:hAnsi="Arial" w:hint="cs"/>
          <w:rtl/>
        </w:rPr>
        <w:t xml:space="preserve"> </w:t>
      </w:r>
      <w:r>
        <w:rPr>
          <w:rFonts w:ascii="Arial" w:hAnsi="Arial" w:hint="cs"/>
          <w:b/>
          <w:bCs/>
          <w:rtl/>
        </w:rPr>
        <w:t xml:space="preserve">מדינת ישראל נ. גנאדי בלוצרקובסקי </w:t>
      </w:r>
      <w:r>
        <w:rPr>
          <w:rFonts w:ascii="Arial" w:hAnsi="Arial" w:hint="cs"/>
          <w:rtl/>
        </w:rPr>
        <w:t xml:space="preserve">החמיר בית המשפט העליון והעמיד על 7 חודשים את עונשו של המשיב אשר הורשע בנשיאת נשק בכך שנשא שני אקדחים ומחסניות המכילות תחמושת חיה אותם מצא, מחיפה לביתו ושם הטמינם בארון בגדים. </w:t>
      </w:r>
    </w:p>
    <w:p w14:paraId="78CA5D6B" w14:textId="77777777" w:rsidR="005242E0" w:rsidRDefault="005242E0">
      <w:pPr>
        <w:spacing w:line="360" w:lineRule="auto"/>
        <w:jc w:val="both"/>
        <w:rPr>
          <w:rFonts w:ascii="Arial" w:hAnsi="Arial"/>
          <w:rtl/>
        </w:rPr>
      </w:pPr>
    </w:p>
    <w:p w14:paraId="066ED539" w14:textId="77777777" w:rsidR="005242E0" w:rsidRDefault="00C7776C">
      <w:pPr>
        <w:spacing w:line="360" w:lineRule="auto"/>
        <w:jc w:val="both"/>
        <w:rPr>
          <w:rFonts w:ascii="Arial" w:hAnsi="Arial"/>
          <w:rtl/>
        </w:rPr>
      </w:pPr>
      <w:r>
        <w:rPr>
          <w:rFonts w:ascii="Arial" w:hAnsi="Arial" w:hint="cs"/>
          <w:rtl/>
        </w:rPr>
        <w:t>ב</w:t>
      </w:r>
      <w:hyperlink r:id="rId30" w:history="1">
        <w:r w:rsidRPr="00C7776C">
          <w:rPr>
            <w:rFonts w:ascii="Arial" w:hAnsi="Arial"/>
            <w:color w:val="0000FF"/>
            <w:u w:val="single"/>
            <w:rtl/>
          </w:rPr>
          <w:t>ע"פ 2006/12</w:t>
        </w:r>
      </w:hyperlink>
      <w:r>
        <w:rPr>
          <w:rFonts w:ascii="Arial" w:hAnsi="Arial" w:hint="cs"/>
          <w:rtl/>
        </w:rPr>
        <w:t xml:space="preserve"> </w:t>
      </w:r>
      <w:r>
        <w:rPr>
          <w:rFonts w:ascii="Arial" w:hAnsi="Arial" w:hint="cs"/>
          <w:b/>
          <w:bCs/>
          <w:rtl/>
        </w:rPr>
        <w:t>מדינת ישראל נ. קאסם אסדי</w:t>
      </w:r>
      <w:r>
        <w:rPr>
          <w:rFonts w:ascii="Arial" w:hAnsi="Arial" w:hint="cs"/>
          <w:rtl/>
        </w:rPr>
        <w:t xml:space="preserve"> לא התערב בית המשפט העליון בעונש של 15 חודשי מאסר שהוטל על מי שהורשע בעבירה של נשיאת נשק ותחמושת, איומים ויריות באזור מגורים וזאת לאור נסיבותיו האישיות של הנאשם, העובדה שלקח אחריות על המעשה והיעדר עבר פלילי. </w:t>
      </w:r>
    </w:p>
    <w:p w14:paraId="64F6AF37" w14:textId="77777777" w:rsidR="005242E0" w:rsidRDefault="005242E0">
      <w:pPr>
        <w:spacing w:line="360" w:lineRule="auto"/>
        <w:jc w:val="both"/>
        <w:rPr>
          <w:rFonts w:ascii="Arial" w:hAnsi="Arial"/>
          <w:rtl/>
        </w:rPr>
      </w:pPr>
    </w:p>
    <w:p w14:paraId="66ACC411" w14:textId="77777777" w:rsidR="005242E0" w:rsidRDefault="00C7776C">
      <w:pPr>
        <w:spacing w:line="360" w:lineRule="auto"/>
        <w:jc w:val="both"/>
        <w:rPr>
          <w:rFonts w:ascii="Arial" w:hAnsi="Arial"/>
          <w:rtl/>
        </w:rPr>
      </w:pPr>
      <w:r>
        <w:rPr>
          <w:rFonts w:ascii="Arial" w:hAnsi="Arial" w:hint="cs"/>
          <w:rtl/>
        </w:rPr>
        <w:t>ב</w:t>
      </w:r>
      <w:hyperlink r:id="rId31" w:history="1">
        <w:r w:rsidRPr="00C7776C">
          <w:rPr>
            <w:rFonts w:ascii="Arial" w:hAnsi="Arial"/>
            <w:color w:val="0000FF"/>
            <w:u w:val="single"/>
            <w:rtl/>
          </w:rPr>
          <w:t>ע"פ 5220/09</w:t>
        </w:r>
      </w:hyperlink>
      <w:r>
        <w:rPr>
          <w:rFonts w:ascii="Arial" w:hAnsi="Arial" w:hint="cs"/>
          <w:rtl/>
        </w:rPr>
        <w:t xml:space="preserve"> </w:t>
      </w:r>
      <w:r>
        <w:rPr>
          <w:rFonts w:ascii="Arial" w:hAnsi="Arial" w:hint="cs"/>
          <w:b/>
          <w:bCs/>
          <w:rtl/>
        </w:rPr>
        <w:t>הייתם עוואודה נ. מדינת ישראל</w:t>
      </w:r>
      <w:r>
        <w:rPr>
          <w:rFonts w:ascii="Arial" w:hAnsi="Arial" w:hint="cs"/>
          <w:rtl/>
        </w:rPr>
        <w:t xml:space="preserve"> נדחה ערעורו של הנאשם עליו הושתו 15 חודשי מאסר לאחר שנהג להחזיק בביתו אקדח עם מחסנית וכדורים ללא היתר וביום בו נעצר נמצא עם ידידתו ברכב שם נתפסו הנשק והתחמושת. עם זאת, יצויין כי באותו מקרה הורשע הנאשם אך בהחזקת נשק. </w:t>
      </w:r>
    </w:p>
    <w:p w14:paraId="0CEAC062" w14:textId="77777777" w:rsidR="005242E0" w:rsidRDefault="005242E0">
      <w:pPr>
        <w:spacing w:line="360" w:lineRule="auto"/>
        <w:jc w:val="both"/>
        <w:rPr>
          <w:rFonts w:ascii="Arial" w:hAnsi="Arial"/>
          <w:rtl/>
        </w:rPr>
      </w:pPr>
    </w:p>
    <w:p w14:paraId="24E31AE9" w14:textId="77777777" w:rsidR="005242E0" w:rsidRDefault="00C7776C">
      <w:pPr>
        <w:spacing w:line="360" w:lineRule="auto"/>
        <w:jc w:val="both"/>
        <w:rPr>
          <w:rFonts w:ascii="Arial" w:hAnsi="Arial"/>
          <w:rtl/>
        </w:rPr>
      </w:pPr>
      <w:r>
        <w:rPr>
          <w:rFonts w:ascii="Arial" w:hAnsi="Arial" w:hint="cs"/>
          <w:rtl/>
        </w:rPr>
        <w:t>ב</w:t>
      </w:r>
      <w:hyperlink r:id="rId32" w:history="1">
        <w:r w:rsidRPr="00C7776C">
          <w:rPr>
            <w:rFonts w:ascii="Arial" w:hAnsi="Arial"/>
            <w:color w:val="0000FF"/>
            <w:u w:val="single"/>
            <w:rtl/>
          </w:rPr>
          <w:t>ע"פ 6583/06</w:t>
        </w:r>
      </w:hyperlink>
      <w:r>
        <w:rPr>
          <w:rFonts w:ascii="Arial" w:hAnsi="Arial" w:hint="cs"/>
          <w:rtl/>
        </w:rPr>
        <w:t xml:space="preserve"> </w:t>
      </w:r>
      <w:r>
        <w:rPr>
          <w:rFonts w:ascii="Arial" w:hAnsi="Arial" w:hint="cs"/>
          <w:b/>
          <w:bCs/>
          <w:rtl/>
        </w:rPr>
        <w:t>אגא אדהאם נ. מדינת ישראל</w:t>
      </w:r>
      <w:r>
        <w:rPr>
          <w:rFonts w:ascii="Arial" w:hAnsi="Arial" w:hint="cs"/>
          <w:rtl/>
        </w:rPr>
        <w:t xml:space="preserve"> נדחה ערעורו של מי שהושתו עליו 8 חודשי מאסר בגין הרשעתו, אף כאן, בהחזקת נשק. באותו מקרה מדובר היה בנאשם צעיר ונטול עבר פלילי. </w:t>
      </w:r>
    </w:p>
    <w:p w14:paraId="378C3609" w14:textId="77777777" w:rsidR="005242E0" w:rsidRDefault="005242E0">
      <w:pPr>
        <w:spacing w:line="360" w:lineRule="auto"/>
        <w:jc w:val="both"/>
        <w:rPr>
          <w:rFonts w:ascii="Arial" w:hAnsi="Arial"/>
          <w:rtl/>
        </w:rPr>
      </w:pPr>
    </w:p>
    <w:p w14:paraId="1901C57F" w14:textId="77777777" w:rsidR="005242E0" w:rsidRDefault="00C7776C">
      <w:pPr>
        <w:spacing w:line="360" w:lineRule="auto"/>
        <w:jc w:val="both"/>
        <w:rPr>
          <w:rFonts w:ascii="Arial" w:hAnsi="Arial"/>
          <w:rtl/>
        </w:rPr>
      </w:pPr>
      <w:r>
        <w:rPr>
          <w:rFonts w:ascii="Arial" w:hAnsi="Arial" w:hint="cs"/>
          <w:rtl/>
        </w:rPr>
        <w:t xml:space="preserve">7. בשים לב לערך המוגן, לנסיבות המקרה כמפורט לעיל, ומדיניות הענישה הנוהגת, המתחם ההולם בעניינו של הנאשם נע בין 12 ל-36 חודשי מאסר. </w:t>
      </w:r>
    </w:p>
    <w:p w14:paraId="740264E3" w14:textId="77777777" w:rsidR="005242E0" w:rsidRDefault="005242E0">
      <w:pPr>
        <w:spacing w:line="360" w:lineRule="auto"/>
        <w:jc w:val="both"/>
        <w:rPr>
          <w:rFonts w:ascii="Arial" w:hAnsi="Arial"/>
          <w:rtl/>
        </w:rPr>
      </w:pPr>
    </w:p>
    <w:p w14:paraId="1AE54ACF" w14:textId="77777777" w:rsidR="005242E0" w:rsidRDefault="00C7776C">
      <w:pPr>
        <w:spacing w:line="360" w:lineRule="auto"/>
        <w:jc w:val="both"/>
        <w:rPr>
          <w:rFonts w:ascii="Arial" w:hAnsi="Arial"/>
          <w:rtl/>
        </w:rPr>
      </w:pPr>
      <w:r>
        <w:rPr>
          <w:rFonts w:ascii="Arial" w:hAnsi="Arial" w:hint="cs"/>
          <w:rtl/>
        </w:rPr>
        <w:t xml:space="preserve">8. אשר לעונש בתוך המתחם. </w:t>
      </w:r>
    </w:p>
    <w:p w14:paraId="6973A1DE" w14:textId="77777777" w:rsidR="005242E0" w:rsidRDefault="005242E0">
      <w:pPr>
        <w:spacing w:line="360" w:lineRule="auto"/>
        <w:jc w:val="both"/>
        <w:rPr>
          <w:rFonts w:ascii="Arial" w:hAnsi="Arial"/>
          <w:rtl/>
        </w:rPr>
      </w:pPr>
    </w:p>
    <w:p w14:paraId="1415A41B" w14:textId="77777777" w:rsidR="005242E0" w:rsidRDefault="00C7776C">
      <w:pPr>
        <w:spacing w:line="360" w:lineRule="auto"/>
        <w:jc w:val="both"/>
        <w:rPr>
          <w:rFonts w:ascii="Arial" w:hAnsi="Arial"/>
          <w:rtl/>
        </w:rPr>
      </w:pPr>
      <w:r>
        <w:rPr>
          <w:rFonts w:ascii="Arial" w:hAnsi="Arial" w:hint="cs"/>
          <w:rtl/>
        </w:rPr>
        <w:t xml:space="preserve">עברו של הנאשם כולל 3 הרשעות. שתיים מתוכן בגין החזקה/שימוש בסמים שלא לצריכה עצמית מהשנים 2006 ו-2012. שלישית מיום 3.11.99 בגין עבירה של נשיאת/הובלת נשק. העבירה הרלוונטית היא איפוא מהעבר הרחוק יחסית. </w:t>
      </w:r>
    </w:p>
    <w:p w14:paraId="1D456D36" w14:textId="77777777" w:rsidR="005242E0" w:rsidRDefault="005242E0">
      <w:pPr>
        <w:spacing w:line="360" w:lineRule="auto"/>
        <w:jc w:val="both"/>
        <w:rPr>
          <w:rFonts w:ascii="Arial" w:hAnsi="Arial"/>
          <w:rtl/>
        </w:rPr>
      </w:pPr>
    </w:p>
    <w:p w14:paraId="0B7B7C73" w14:textId="77777777" w:rsidR="005242E0" w:rsidRDefault="00C7776C">
      <w:pPr>
        <w:spacing w:line="360" w:lineRule="auto"/>
        <w:jc w:val="both"/>
        <w:rPr>
          <w:rFonts w:ascii="Arial" w:hAnsi="Arial"/>
          <w:rtl/>
        </w:rPr>
      </w:pPr>
      <w:r>
        <w:rPr>
          <w:rFonts w:ascii="Arial" w:hAnsi="Arial" w:hint="cs"/>
          <w:rtl/>
        </w:rPr>
        <w:t xml:space="preserve">שקלתי עוד את העובדה כי הנאשם נטל אחריות על מעשיו, הודה וחסך מזמנו של בית המשפט. </w:t>
      </w:r>
    </w:p>
    <w:p w14:paraId="1B61F45D" w14:textId="77777777" w:rsidR="005242E0" w:rsidRDefault="005242E0">
      <w:pPr>
        <w:spacing w:line="360" w:lineRule="auto"/>
        <w:jc w:val="both"/>
        <w:rPr>
          <w:rFonts w:ascii="Arial" w:hAnsi="Arial"/>
          <w:rtl/>
        </w:rPr>
      </w:pPr>
    </w:p>
    <w:p w14:paraId="17E84A30" w14:textId="77777777" w:rsidR="005242E0" w:rsidRDefault="00C7776C">
      <w:pPr>
        <w:spacing w:line="360" w:lineRule="auto"/>
        <w:jc w:val="both"/>
        <w:rPr>
          <w:rFonts w:ascii="Arial" w:hAnsi="Arial"/>
          <w:rtl/>
        </w:rPr>
      </w:pPr>
      <w:r>
        <w:rPr>
          <w:rFonts w:ascii="Arial" w:hAnsi="Arial" w:hint="cs"/>
          <w:rtl/>
        </w:rPr>
        <w:t xml:space="preserve">עוד שקלתי את העובדה כי הנאשם הוא בעל משפחה, אב ל-8 ילדים כאשר בתו הצעירה נולדה עת היה במעצר. </w:t>
      </w:r>
    </w:p>
    <w:p w14:paraId="4572C1F8" w14:textId="77777777" w:rsidR="005242E0" w:rsidRDefault="005242E0">
      <w:pPr>
        <w:spacing w:line="360" w:lineRule="auto"/>
        <w:jc w:val="both"/>
        <w:rPr>
          <w:rFonts w:ascii="Arial" w:hAnsi="Arial"/>
          <w:rtl/>
        </w:rPr>
      </w:pPr>
    </w:p>
    <w:p w14:paraId="5E881937" w14:textId="77777777" w:rsidR="005242E0" w:rsidRDefault="00C7776C">
      <w:pPr>
        <w:spacing w:line="360" w:lineRule="auto"/>
        <w:jc w:val="both"/>
        <w:rPr>
          <w:rtl/>
        </w:rPr>
      </w:pPr>
      <w:r>
        <w:rPr>
          <w:rFonts w:ascii="Arial" w:hAnsi="Arial" w:hint="cs"/>
          <w:rtl/>
        </w:rPr>
        <w:t xml:space="preserve">9. בנסיבות, </w:t>
      </w:r>
      <w:r>
        <w:rPr>
          <w:rFonts w:hint="cs"/>
          <w:rtl/>
        </w:rPr>
        <w:t>אני גוזרת על הנאשם את העונשים הבאים:</w:t>
      </w:r>
    </w:p>
    <w:p w14:paraId="263C2FD2" w14:textId="77777777" w:rsidR="005242E0" w:rsidRDefault="005242E0">
      <w:pPr>
        <w:rPr>
          <w:rtl/>
        </w:rPr>
      </w:pPr>
    </w:p>
    <w:p w14:paraId="6E0340C9" w14:textId="77777777" w:rsidR="005242E0" w:rsidRDefault="00C7776C">
      <w:pPr>
        <w:spacing w:line="360" w:lineRule="auto"/>
        <w:rPr>
          <w:rtl/>
        </w:rPr>
      </w:pPr>
      <w:r>
        <w:rPr>
          <w:rFonts w:hint="cs"/>
          <w:rtl/>
        </w:rPr>
        <w:t>א. עונש של מאסר בפועל בן  20 חודשים החל מיום מעצרו  30.10.14.</w:t>
      </w:r>
    </w:p>
    <w:p w14:paraId="0DD95363" w14:textId="77777777" w:rsidR="005242E0" w:rsidRDefault="005242E0">
      <w:pPr>
        <w:rPr>
          <w:rtl/>
        </w:rPr>
      </w:pPr>
    </w:p>
    <w:p w14:paraId="6560B3E3" w14:textId="77777777" w:rsidR="005242E0" w:rsidRDefault="00C7776C">
      <w:pPr>
        <w:spacing w:line="360" w:lineRule="auto"/>
        <w:rPr>
          <w:rtl/>
        </w:rPr>
      </w:pPr>
      <w:r>
        <w:rPr>
          <w:rFonts w:hint="cs"/>
          <w:rtl/>
        </w:rPr>
        <w:t xml:space="preserve">ב. מאסר על תנאי בן 6 חודשים כשהתנאי הוא שבמשך שנתיים מיום שחרורו ממאסר לא יעבור עבירת נשק. </w:t>
      </w:r>
    </w:p>
    <w:p w14:paraId="49E1EAC6" w14:textId="77777777" w:rsidR="005242E0" w:rsidRDefault="005242E0">
      <w:pPr>
        <w:rPr>
          <w:rtl/>
        </w:rPr>
      </w:pPr>
    </w:p>
    <w:p w14:paraId="7AF88990" w14:textId="77777777" w:rsidR="005242E0" w:rsidRDefault="00C7776C">
      <w:pPr>
        <w:rPr>
          <w:rtl/>
        </w:rPr>
      </w:pPr>
      <w:r>
        <w:rPr>
          <w:rFonts w:hint="cs"/>
          <w:rtl/>
        </w:rPr>
        <w:t>זכות ערעור לבית המשפט העליון בתוך 45 יום.</w:t>
      </w:r>
    </w:p>
    <w:p w14:paraId="2BC25F23" w14:textId="77777777" w:rsidR="005242E0" w:rsidRDefault="005242E0">
      <w:pPr>
        <w:rPr>
          <w:rtl/>
        </w:rPr>
      </w:pPr>
    </w:p>
    <w:p w14:paraId="5AC88513" w14:textId="77777777" w:rsidR="005242E0" w:rsidRPr="00C7776C" w:rsidRDefault="00C7776C">
      <w:pPr>
        <w:rPr>
          <w:color w:val="FFFFFF"/>
          <w:sz w:val="2"/>
          <w:szCs w:val="2"/>
          <w:rtl/>
        </w:rPr>
      </w:pPr>
      <w:r w:rsidRPr="00C7776C">
        <w:rPr>
          <w:color w:val="FFFFFF"/>
          <w:sz w:val="2"/>
          <w:szCs w:val="2"/>
          <w:rtl/>
        </w:rPr>
        <w:t>5129371</w:t>
      </w:r>
    </w:p>
    <w:p w14:paraId="59A60F0E" w14:textId="77777777" w:rsidR="005242E0" w:rsidRDefault="00C7776C">
      <w:pPr>
        <w:rPr>
          <w:rFonts w:cs="FrankRuehl"/>
          <w:sz w:val="28"/>
          <w:szCs w:val="28"/>
          <w:rtl/>
        </w:rPr>
      </w:pPr>
      <w:r w:rsidRPr="00C7776C">
        <w:rPr>
          <w:rFonts w:ascii="Arial" w:hAnsi="Arial"/>
          <w:color w:val="FFFFFF"/>
          <w:sz w:val="2"/>
          <w:szCs w:val="2"/>
          <w:rtl/>
        </w:rPr>
        <w:t>54678313</w:t>
      </w:r>
      <w:r>
        <w:rPr>
          <w:rFonts w:ascii="Arial" w:hAnsi="Arial"/>
          <w:rtl/>
        </w:rPr>
        <w:t xml:space="preserve">ניתן היום,  י"ד סיוון תשע"ה, 01 יוני 2015, במעמד הנוכחים. </w:t>
      </w:r>
    </w:p>
    <w:p w14:paraId="529C6E2B" w14:textId="77777777" w:rsidR="005242E0" w:rsidRDefault="00C7776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63B388B" w14:textId="77777777" w:rsidR="005242E0" w:rsidRDefault="005242E0">
      <w:pPr>
        <w:jc w:val="center"/>
        <w:rPr>
          <w:rFonts w:ascii="Arial" w:hAnsi="Arial" w:cs="FrankRuehl"/>
          <w:sz w:val="28"/>
          <w:szCs w:val="28"/>
          <w:rtl/>
        </w:rPr>
      </w:pPr>
    </w:p>
    <w:p w14:paraId="38F50CEE" w14:textId="77777777" w:rsidR="005242E0" w:rsidRDefault="005242E0">
      <w:pPr>
        <w:rPr>
          <w:rFonts w:cs="FrankRuehl"/>
          <w:sz w:val="28"/>
          <w:szCs w:val="28"/>
          <w:rtl/>
        </w:rPr>
      </w:pPr>
    </w:p>
    <w:p w14:paraId="2BFDD789" w14:textId="77777777" w:rsidR="005242E0" w:rsidRDefault="005242E0">
      <w:pPr>
        <w:pStyle w:val="a3"/>
        <w:jc w:val="center"/>
        <w:rPr>
          <w:rtl/>
        </w:rPr>
      </w:pPr>
    </w:p>
    <w:p w14:paraId="44426AC7" w14:textId="77777777" w:rsidR="00C7776C" w:rsidRPr="00C7776C" w:rsidRDefault="00C7776C" w:rsidP="00C7776C">
      <w:pPr>
        <w:keepNext/>
        <w:rPr>
          <w:rFonts w:ascii="David" w:hAnsi="David"/>
          <w:color w:val="000000"/>
          <w:sz w:val="22"/>
          <w:szCs w:val="22"/>
          <w:rtl/>
        </w:rPr>
      </w:pPr>
    </w:p>
    <w:p w14:paraId="43071D20" w14:textId="77777777" w:rsidR="00C7776C" w:rsidRPr="00C7776C" w:rsidRDefault="00C7776C" w:rsidP="00C7776C">
      <w:pPr>
        <w:keepNext/>
        <w:rPr>
          <w:rFonts w:ascii="David" w:hAnsi="David"/>
          <w:color w:val="000000"/>
          <w:sz w:val="22"/>
          <w:szCs w:val="22"/>
          <w:rtl/>
        </w:rPr>
      </w:pPr>
      <w:r w:rsidRPr="00C7776C">
        <w:rPr>
          <w:rFonts w:ascii="David" w:hAnsi="David"/>
          <w:color w:val="000000"/>
          <w:sz w:val="22"/>
          <w:szCs w:val="22"/>
          <w:rtl/>
        </w:rPr>
        <w:t>שירלי רנר 54678313</w:t>
      </w:r>
    </w:p>
    <w:p w14:paraId="02F51D62" w14:textId="77777777" w:rsidR="00C7776C" w:rsidRDefault="00C7776C" w:rsidP="00C7776C">
      <w:r w:rsidRPr="00C7776C">
        <w:rPr>
          <w:color w:val="000000"/>
          <w:rtl/>
        </w:rPr>
        <w:t>נוסח מסמך זה כפוף לשינויי ניסוח ועריכה</w:t>
      </w:r>
    </w:p>
    <w:p w14:paraId="1074FA64" w14:textId="77777777" w:rsidR="00C7776C" w:rsidRDefault="00C7776C" w:rsidP="00C7776C">
      <w:pPr>
        <w:rPr>
          <w:rtl/>
        </w:rPr>
      </w:pPr>
    </w:p>
    <w:p w14:paraId="72B6943C" w14:textId="77777777" w:rsidR="00C7776C" w:rsidRDefault="00C7776C" w:rsidP="00C7776C">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6161C4B2" w14:textId="77777777" w:rsidR="005242E0" w:rsidRPr="00C7776C" w:rsidRDefault="00B41917" w:rsidP="00C7776C">
      <w:pPr>
        <w:jc w:val="center"/>
        <w:rPr>
          <w:color w:val="0000FF"/>
          <w:u w:val="single"/>
        </w:rPr>
      </w:pPr>
      <w:r>
        <w:rPr>
          <w:rFonts w:hint="cs"/>
          <w:color w:val="0000FF"/>
          <w:u w:val="single"/>
          <w:rtl/>
        </w:rPr>
        <w:t xml:space="preserve">  </w:t>
      </w:r>
    </w:p>
    <w:sectPr w:rsidR="005242E0" w:rsidRPr="00C7776C" w:rsidSect="00C7776C">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8E31F" w14:textId="77777777" w:rsidR="005817DB" w:rsidRDefault="005817DB">
      <w:r>
        <w:separator/>
      </w:r>
    </w:p>
  </w:endnote>
  <w:endnote w:type="continuationSeparator" w:id="0">
    <w:p w14:paraId="632249E1" w14:textId="77777777" w:rsidR="005817DB" w:rsidRDefault="00581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BE1EA" w14:textId="77777777" w:rsidR="005817DB" w:rsidRDefault="005817DB" w:rsidP="00C777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36B58E" w14:textId="77777777" w:rsidR="005817DB" w:rsidRPr="00C7776C" w:rsidRDefault="005817DB" w:rsidP="00C7776C">
    <w:pPr>
      <w:pStyle w:val="a4"/>
      <w:pBdr>
        <w:top w:val="single" w:sz="4" w:space="1" w:color="auto"/>
        <w:between w:val="single" w:sz="4" w:space="0" w:color="auto"/>
      </w:pBdr>
      <w:spacing w:after="60"/>
      <w:jc w:val="center"/>
      <w:rPr>
        <w:rFonts w:ascii="FrankRuehl" w:hAnsi="FrankRuehl" w:cs="FrankRuehl"/>
        <w:color w:val="000000"/>
      </w:rPr>
    </w:pPr>
    <w:r w:rsidRPr="00C777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BFD10" w14:textId="77777777" w:rsidR="005817DB" w:rsidRDefault="005817DB" w:rsidP="00C777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17A4">
      <w:rPr>
        <w:rFonts w:ascii="FrankRuehl" w:hAnsi="FrankRuehl" w:cs="FrankRuehl"/>
        <w:noProof/>
        <w:rtl/>
      </w:rPr>
      <w:t>1</w:t>
    </w:r>
    <w:r>
      <w:rPr>
        <w:rFonts w:ascii="FrankRuehl" w:hAnsi="FrankRuehl" w:cs="FrankRuehl"/>
        <w:rtl/>
      </w:rPr>
      <w:fldChar w:fldCharType="end"/>
    </w:r>
  </w:p>
  <w:p w14:paraId="67581398" w14:textId="77777777" w:rsidR="005817DB" w:rsidRPr="00C7776C" w:rsidRDefault="005817DB" w:rsidP="00C7776C">
    <w:pPr>
      <w:pStyle w:val="a4"/>
      <w:pBdr>
        <w:top w:val="single" w:sz="4" w:space="1" w:color="auto"/>
        <w:between w:val="single" w:sz="4" w:space="0" w:color="auto"/>
      </w:pBdr>
      <w:spacing w:after="60"/>
      <w:jc w:val="center"/>
      <w:rPr>
        <w:rFonts w:ascii="FrankRuehl" w:hAnsi="FrankRuehl" w:cs="FrankRuehl"/>
        <w:color w:val="000000"/>
      </w:rPr>
    </w:pPr>
    <w:r w:rsidRPr="00C7776C">
      <w:rPr>
        <w:rFonts w:ascii="FrankRuehl" w:hAnsi="FrankRuehl" w:cs="FrankRuehl"/>
        <w:color w:val="000000"/>
      </w:rPr>
      <w:pict w14:anchorId="718975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9A2CF" w14:textId="77777777" w:rsidR="005817DB" w:rsidRDefault="005817DB">
      <w:r>
        <w:separator/>
      </w:r>
    </w:p>
  </w:footnote>
  <w:footnote w:type="continuationSeparator" w:id="0">
    <w:p w14:paraId="282209ED" w14:textId="77777777" w:rsidR="005817DB" w:rsidRDefault="00581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58762" w14:textId="77777777" w:rsidR="005817DB" w:rsidRPr="00C7776C" w:rsidRDefault="005817DB" w:rsidP="00C777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12154-11-14</w:t>
    </w:r>
    <w:r>
      <w:rPr>
        <w:rFonts w:ascii="David" w:hAnsi="David"/>
        <w:color w:val="000000"/>
        <w:sz w:val="22"/>
        <w:szCs w:val="22"/>
        <w:rtl/>
      </w:rPr>
      <w:tab/>
      <w:t xml:space="preserve"> מדינת ישראל נ' אחמד שחיטה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5413F" w14:textId="77777777" w:rsidR="005817DB" w:rsidRPr="00C7776C" w:rsidRDefault="005817DB" w:rsidP="00C777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12154-11-14</w:t>
    </w:r>
    <w:r>
      <w:rPr>
        <w:rFonts w:ascii="David" w:hAnsi="David"/>
        <w:color w:val="000000"/>
        <w:sz w:val="22"/>
        <w:szCs w:val="22"/>
        <w:rtl/>
      </w:rPr>
      <w:tab/>
      <w:t xml:space="preserve"> מדינת ישראל נ' אחמד שחיטה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242E0"/>
    <w:rsid w:val="002A72B1"/>
    <w:rsid w:val="003117A4"/>
    <w:rsid w:val="003D2A6D"/>
    <w:rsid w:val="003F0D88"/>
    <w:rsid w:val="005242E0"/>
    <w:rsid w:val="005817DB"/>
    <w:rsid w:val="006228BD"/>
    <w:rsid w:val="00653C94"/>
    <w:rsid w:val="009F0696"/>
    <w:rsid w:val="00B41917"/>
    <w:rsid w:val="00C7776C"/>
    <w:rsid w:val="00D63172"/>
    <w:rsid w:val="00E5248F"/>
    <w:rsid w:val="00F33C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16CB0D"/>
  <w15:chartTrackingRefBased/>
  <w15:docId w15:val="{20E3F68A-DA56-4532-BD42-3CBE664B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2E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242E0"/>
    <w:pPr>
      <w:tabs>
        <w:tab w:val="center" w:pos="4153"/>
        <w:tab w:val="right" w:pos="8306"/>
      </w:tabs>
    </w:pPr>
  </w:style>
  <w:style w:type="paragraph" w:styleId="a4">
    <w:name w:val="footer"/>
    <w:basedOn w:val="a"/>
    <w:rsid w:val="005242E0"/>
    <w:pPr>
      <w:tabs>
        <w:tab w:val="center" w:pos="4153"/>
        <w:tab w:val="right" w:pos="8306"/>
      </w:tabs>
    </w:pPr>
  </w:style>
  <w:style w:type="character" w:styleId="a5">
    <w:name w:val="page number"/>
    <w:basedOn w:val="a0"/>
    <w:rsid w:val="005242E0"/>
  </w:style>
  <w:style w:type="character" w:styleId="Hyperlink">
    <w:name w:val="Hyperlink"/>
    <w:rsid w:val="00C77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5590091" TargetMode="External"/><Relationship Id="rId39" Type="http://schemas.openxmlformats.org/officeDocument/2006/relationships/theme" Target="theme/theme1.xml"/><Relationship Id="rId21" Type="http://schemas.openxmlformats.org/officeDocument/2006/relationships/hyperlink" Target="http://www.nevo.co.il/law/70301/40c.a" TargetMode="External"/><Relationship Id="rId34" Type="http://schemas.openxmlformats.org/officeDocument/2006/relationships/header" Target="header1.xml"/><Relationship Id="rId7" Type="http://schemas.openxmlformats.org/officeDocument/2006/relationships/hyperlink" Target="http://www.nevo.co.il/law/70301/40b"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case/5950172"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144.b" TargetMode="External"/><Relationship Id="rId20" Type="http://schemas.openxmlformats.org/officeDocument/2006/relationships/hyperlink" Target="http://www.nevo.co.il/law/70301/40b" TargetMode="External"/><Relationship Id="rId29" Type="http://schemas.openxmlformats.org/officeDocument/2006/relationships/hyperlink" Target="http://www.nevo.co.il/case/580856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6949290" TargetMode="External"/><Relationship Id="rId32" Type="http://schemas.openxmlformats.org/officeDocument/2006/relationships/hyperlink" Target="http://www.nevo.co.il/case/6072945"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case/6015045" TargetMode="External"/><Relationship Id="rId36"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000182"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5578534" TargetMode="External"/><Relationship Id="rId35" Type="http://schemas.openxmlformats.org/officeDocument/2006/relationships/header" Target="header2.xml"/><Relationship Id="rId8" Type="http://schemas.openxmlformats.org/officeDocument/2006/relationships/hyperlink" Target="http://www.nevo.co.il/law/70301/40c.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1388</Words>
  <Characters>6944</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8316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3997810</vt:i4>
      </vt:variant>
      <vt:variant>
        <vt:i4>78</vt:i4>
      </vt:variant>
      <vt:variant>
        <vt:i4>0</vt:i4>
      </vt:variant>
      <vt:variant>
        <vt:i4>5</vt:i4>
      </vt:variant>
      <vt:variant>
        <vt:lpwstr>http://www.nevo.co.il/case/6072945</vt:lpwstr>
      </vt:variant>
      <vt:variant>
        <vt:lpwstr/>
      </vt:variant>
      <vt:variant>
        <vt:i4>3473532</vt:i4>
      </vt:variant>
      <vt:variant>
        <vt:i4>75</vt:i4>
      </vt:variant>
      <vt:variant>
        <vt:i4>0</vt:i4>
      </vt:variant>
      <vt:variant>
        <vt:i4>5</vt:i4>
      </vt:variant>
      <vt:variant>
        <vt:lpwstr>http://www.nevo.co.il/case/6000182</vt:lpwstr>
      </vt:variant>
      <vt:variant>
        <vt:lpwstr/>
      </vt:variant>
      <vt:variant>
        <vt:i4>3342458</vt:i4>
      </vt:variant>
      <vt:variant>
        <vt:i4>72</vt:i4>
      </vt:variant>
      <vt:variant>
        <vt:i4>0</vt:i4>
      </vt:variant>
      <vt:variant>
        <vt:i4>5</vt:i4>
      </vt:variant>
      <vt:variant>
        <vt:lpwstr>http://www.nevo.co.il/case/5578534</vt:lpwstr>
      </vt:variant>
      <vt:variant>
        <vt:lpwstr/>
      </vt:variant>
      <vt:variant>
        <vt:i4>3604594</vt:i4>
      </vt:variant>
      <vt:variant>
        <vt:i4>69</vt:i4>
      </vt:variant>
      <vt:variant>
        <vt:i4>0</vt:i4>
      </vt:variant>
      <vt:variant>
        <vt:i4>5</vt:i4>
      </vt:variant>
      <vt:variant>
        <vt:lpwstr>http://www.nevo.co.il/case/5808567</vt:lpwstr>
      </vt:variant>
      <vt:variant>
        <vt:lpwstr/>
      </vt:variant>
      <vt:variant>
        <vt:i4>3276917</vt:i4>
      </vt:variant>
      <vt:variant>
        <vt:i4>66</vt:i4>
      </vt:variant>
      <vt:variant>
        <vt:i4>0</vt:i4>
      </vt:variant>
      <vt:variant>
        <vt:i4>5</vt:i4>
      </vt:variant>
      <vt:variant>
        <vt:lpwstr>http://www.nevo.co.il/case/6015045</vt:lpwstr>
      </vt:variant>
      <vt:variant>
        <vt:lpwstr/>
      </vt:variant>
      <vt:variant>
        <vt:i4>3735675</vt:i4>
      </vt:variant>
      <vt:variant>
        <vt:i4>63</vt:i4>
      </vt:variant>
      <vt:variant>
        <vt:i4>0</vt:i4>
      </vt:variant>
      <vt:variant>
        <vt:i4>5</vt:i4>
      </vt:variant>
      <vt:variant>
        <vt:lpwstr>http://www.nevo.co.il/case/7791493</vt:lpwstr>
      </vt:variant>
      <vt:variant>
        <vt:lpwstr/>
      </vt:variant>
      <vt:variant>
        <vt:i4>3997816</vt:i4>
      </vt:variant>
      <vt:variant>
        <vt:i4>60</vt:i4>
      </vt:variant>
      <vt:variant>
        <vt:i4>0</vt:i4>
      </vt:variant>
      <vt:variant>
        <vt:i4>5</vt:i4>
      </vt:variant>
      <vt:variant>
        <vt:lpwstr>http://www.nevo.co.il/case/5590091</vt:lpwstr>
      </vt:variant>
      <vt:variant>
        <vt:lpwstr/>
      </vt:variant>
      <vt:variant>
        <vt:i4>3342458</vt:i4>
      </vt:variant>
      <vt:variant>
        <vt:i4>57</vt:i4>
      </vt:variant>
      <vt:variant>
        <vt:i4>0</vt:i4>
      </vt:variant>
      <vt:variant>
        <vt:i4>5</vt:i4>
      </vt:variant>
      <vt:variant>
        <vt:lpwstr>http://www.nevo.co.il/case/5950172</vt:lpwstr>
      </vt:variant>
      <vt:variant>
        <vt:lpwstr/>
      </vt:variant>
      <vt:variant>
        <vt:i4>3145853</vt:i4>
      </vt:variant>
      <vt:variant>
        <vt:i4>54</vt:i4>
      </vt:variant>
      <vt:variant>
        <vt:i4>0</vt:i4>
      </vt:variant>
      <vt:variant>
        <vt:i4>5</vt:i4>
      </vt:variant>
      <vt:variant>
        <vt:lpwstr>http://www.nevo.co.il/case/6949290</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6619233</vt:i4>
      </vt:variant>
      <vt:variant>
        <vt:i4>42</vt:i4>
      </vt:variant>
      <vt:variant>
        <vt:i4>0</vt:i4>
      </vt:variant>
      <vt:variant>
        <vt:i4>5</vt:i4>
      </vt:variant>
      <vt:variant>
        <vt:lpwstr>http://www.nevo.co.il/law/70301/40b</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2025-01-19T15:57:00Z</dcterms:created>
  <dcterms:modified xsi:type="dcterms:W3CDTF">2025-01-19T15:57:00Z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12154</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אחמד שחיטה</vt:lpwstr>
  </property>
  <property fmtid="{D5CDD505-2E9C-101B-9397-08002B2CF9AE}" pid="10" name="LAWYER">
    <vt:lpwstr>ריאד סואעד;יובל קדר</vt:lpwstr>
  </property>
  <property fmtid="{D5CDD505-2E9C-101B-9397-08002B2CF9AE}" pid="11" name="JUDGE">
    <vt:lpwstr>שירלי רנר</vt:lpwstr>
  </property>
  <property fmtid="{D5CDD505-2E9C-101B-9397-08002B2CF9AE}" pid="12" name="CITY">
    <vt:lpwstr>י-ם</vt:lpwstr>
  </property>
  <property fmtid="{D5CDD505-2E9C-101B-9397-08002B2CF9AE}" pid="13" name="DATE">
    <vt:lpwstr>20150601</vt:lpwstr>
  </property>
  <property fmtid="{D5CDD505-2E9C-101B-9397-08002B2CF9AE}" pid="14" name="TYPE_N_DATE">
    <vt:lpwstr>39020150601</vt:lpwstr>
  </property>
  <property fmtid="{D5CDD505-2E9C-101B-9397-08002B2CF9AE}" pid="15" name="WORDNUMPAGES">
    <vt:lpwstr>5</vt:lpwstr>
  </property>
  <property fmtid="{D5CDD505-2E9C-101B-9397-08002B2CF9AE}" pid="16" name="TYPE_ABS_DATE">
    <vt:lpwstr>390020150601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6949290;5950172;5590091;7791493;6015045;5808567;5578534;6000182;6072945</vt:lpwstr>
  </property>
  <property fmtid="{D5CDD505-2E9C-101B-9397-08002B2CF9AE}" pid="36" name="LAWLISTTMP1">
    <vt:lpwstr>70301/040b;040c.a;144.a;144.b;144.b2</vt:lpwstr>
  </property>
</Properties>
</file>