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FB0F89" w:rsidRPr="00097A6E" w14:paraId="1EA5E4C8" w14:textId="77777777">
        <w:trPr>
          <w:trHeight w:hRule="exact" w:val="418"/>
          <w:jc w:val="center"/>
        </w:trPr>
        <w:tc>
          <w:tcPr>
            <w:tcW w:w="8720" w:type="dxa"/>
            <w:gridSpan w:val="3"/>
          </w:tcPr>
          <w:p w14:paraId="202106BD" w14:textId="77777777" w:rsidR="00FB0F89" w:rsidRDefault="00097A6E">
            <w:pPr>
              <w:pStyle w:val="a4"/>
              <w:tabs>
                <w:tab w:val="clear" w:pos="8306"/>
              </w:tabs>
              <w:jc w:val="center"/>
              <w:rPr>
                <w:rFonts w:ascii="Tahoma" w:hAnsi="Tahoma" w:cs="Tahoma" w:hint="cs"/>
                <w:b/>
                <w:bCs/>
                <w:color w:val="000080"/>
                <w:sz w:val="20"/>
                <w:szCs w:val="20"/>
                <w:rtl/>
              </w:rPr>
            </w:pPr>
            <w:r w:rsidRPr="00097A6E">
              <w:rPr>
                <w:rFonts w:ascii="Tahoma" w:hAnsi="Tahoma" w:cs="Tahoma"/>
                <w:b/>
                <w:bCs/>
                <w:color w:val="000080"/>
                <w:sz w:val="20"/>
                <w:szCs w:val="20"/>
                <w:rtl/>
              </w:rPr>
              <w:t>בית המשפט המחוזי מרכז-לוד</w:t>
            </w:r>
          </w:p>
          <w:p w14:paraId="2E0C3CC1" w14:textId="77777777" w:rsidR="007C13E1" w:rsidRDefault="007C13E1">
            <w:pPr>
              <w:pStyle w:val="a4"/>
              <w:tabs>
                <w:tab w:val="clear" w:pos="8306"/>
              </w:tabs>
              <w:jc w:val="center"/>
              <w:rPr>
                <w:rFonts w:ascii="Tahoma" w:hAnsi="Tahoma" w:cs="Tahoma" w:hint="cs"/>
                <w:b/>
                <w:bCs/>
                <w:color w:val="000080"/>
                <w:sz w:val="20"/>
                <w:szCs w:val="20"/>
                <w:rtl/>
              </w:rPr>
            </w:pPr>
          </w:p>
          <w:p w14:paraId="26838584" w14:textId="77777777" w:rsidR="007C13E1" w:rsidRPr="00097A6E" w:rsidRDefault="007C13E1">
            <w:pPr>
              <w:pStyle w:val="a4"/>
              <w:tabs>
                <w:tab w:val="clear" w:pos="8306"/>
              </w:tabs>
              <w:jc w:val="center"/>
              <w:rPr>
                <w:rFonts w:ascii="Tahoma" w:hAnsi="Tahoma" w:cs="Tahoma"/>
                <w:b/>
                <w:bCs/>
                <w:color w:val="000080"/>
                <w:sz w:val="20"/>
                <w:szCs w:val="20"/>
                <w:rtl/>
              </w:rPr>
            </w:pPr>
          </w:p>
        </w:tc>
      </w:tr>
      <w:tr w:rsidR="00FB0F89" w:rsidRPr="00097A6E" w14:paraId="6CE1BB13" w14:textId="77777777">
        <w:trPr>
          <w:trHeight w:val="337"/>
          <w:jc w:val="center"/>
        </w:trPr>
        <w:tc>
          <w:tcPr>
            <w:tcW w:w="3973" w:type="dxa"/>
          </w:tcPr>
          <w:p w14:paraId="5D469F9A" w14:textId="77777777" w:rsidR="00FB0F89" w:rsidRPr="00097A6E" w:rsidRDefault="00097A6E">
            <w:pPr>
              <w:rPr>
                <w:b/>
                <w:bCs/>
                <w:sz w:val="26"/>
                <w:szCs w:val="26"/>
                <w:rtl/>
              </w:rPr>
            </w:pPr>
            <w:r w:rsidRPr="00097A6E">
              <w:rPr>
                <w:b/>
                <w:bCs/>
                <w:sz w:val="26"/>
                <w:szCs w:val="26"/>
                <w:rtl/>
              </w:rPr>
              <w:t>ת"פ</w:t>
            </w:r>
            <w:r w:rsidRPr="00097A6E">
              <w:rPr>
                <w:rFonts w:hint="cs"/>
                <w:b/>
                <w:bCs/>
                <w:sz w:val="26"/>
                <w:szCs w:val="26"/>
                <w:rtl/>
              </w:rPr>
              <w:t xml:space="preserve"> </w:t>
            </w:r>
            <w:r w:rsidRPr="00097A6E">
              <w:rPr>
                <w:b/>
                <w:bCs/>
                <w:sz w:val="26"/>
                <w:szCs w:val="26"/>
                <w:rtl/>
              </w:rPr>
              <w:t>21296-11-14</w:t>
            </w:r>
            <w:r w:rsidRPr="00097A6E">
              <w:rPr>
                <w:rFonts w:hint="cs"/>
                <w:b/>
                <w:bCs/>
                <w:sz w:val="26"/>
                <w:szCs w:val="26"/>
                <w:rtl/>
              </w:rPr>
              <w:t xml:space="preserve"> </w:t>
            </w:r>
            <w:r w:rsidRPr="00097A6E">
              <w:rPr>
                <w:b/>
                <w:bCs/>
                <w:sz w:val="26"/>
                <w:szCs w:val="26"/>
                <w:rtl/>
              </w:rPr>
              <w:t>מדינת ישראל נ' עיס</w:t>
            </w:r>
            <w:r w:rsidRPr="00097A6E">
              <w:rPr>
                <w:rFonts w:hint="cs"/>
                <w:b/>
                <w:bCs/>
                <w:sz w:val="26"/>
                <w:szCs w:val="26"/>
                <w:rtl/>
              </w:rPr>
              <w:t>א</w:t>
            </w:r>
          </w:p>
          <w:p w14:paraId="7965B3B4" w14:textId="77777777" w:rsidR="00FB0F89" w:rsidRPr="00097A6E" w:rsidRDefault="00FB0F89">
            <w:pPr>
              <w:rPr>
                <w:b/>
                <w:bCs/>
                <w:sz w:val="26"/>
                <w:szCs w:val="26"/>
                <w:rtl/>
              </w:rPr>
            </w:pPr>
          </w:p>
        </w:tc>
        <w:tc>
          <w:tcPr>
            <w:tcW w:w="1068" w:type="dxa"/>
          </w:tcPr>
          <w:p w14:paraId="4DABFBA6" w14:textId="77777777" w:rsidR="00FB0F89" w:rsidRPr="00097A6E" w:rsidRDefault="00FB0F89">
            <w:pPr>
              <w:pStyle w:val="a4"/>
              <w:jc w:val="right"/>
              <w:rPr>
                <w:b/>
                <w:bCs/>
                <w:sz w:val="26"/>
                <w:szCs w:val="26"/>
                <w:rtl/>
              </w:rPr>
            </w:pPr>
          </w:p>
        </w:tc>
        <w:tc>
          <w:tcPr>
            <w:tcW w:w="3679" w:type="dxa"/>
          </w:tcPr>
          <w:p w14:paraId="59E1E180" w14:textId="77777777" w:rsidR="00FB0F89" w:rsidRPr="00097A6E" w:rsidRDefault="00097A6E">
            <w:pPr>
              <w:pStyle w:val="a4"/>
              <w:tabs>
                <w:tab w:val="clear" w:pos="4153"/>
              </w:tabs>
              <w:jc w:val="right"/>
              <w:rPr>
                <w:b/>
                <w:bCs/>
                <w:sz w:val="26"/>
                <w:szCs w:val="26"/>
                <w:rtl/>
              </w:rPr>
            </w:pPr>
            <w:r w:rsidRPr="00097A6E">
              <w:rPr>
                <w:b/>
                <w:bCs/>
                <w:sz w:val="26"/>
                <w:szCs w:val="26"/>
                <w:rtl/>
              </w:rPr>
              <w:t>21 אוקטובר 2015</w:t>
            </w:r>
          </w:p>
          <w:p w14:paraId="4994CF4E" w14:textId="77777777" w:rsidR="00FB0F89" w:rsidRPr="00097A6E" w:rsidRDefault="00FB0F89">
            <w:pPr>
              <w:pStyle w:val="a4"/>
              <w:tabs>
                <w:tab w:val="clear" w:pos="4153"/>
              </w:tabs>
              <w:jc w:val="right"/>
              <w:rPr>
                <w:b/>
                <w:bCs/>
                <w:sz w:val="26"/>
                <w:szCs w:val="26"/>
                <w:rtl/>
              </w:rPr>
            </w:pPr>
          </w:p>
        </w:tc>
      </w:tr>
    </w:tbl>
    <w:p w14:paraId="2AD2BCA4" w14:textId="77777777" w:rsidR="00FB0F89" w:rsidRPr="00097A6E" w:rsidRDefault="00FB0F89">
      <w:pPr>
        <w:pStyle w:val="a4"/>
        <w:jc w:val="center"/>
        <w:rPr>
          <w:rFonts w:ascii="Tahoma" w:hAnsi="Tahoma" w:cs="Tahoma"/>
          <w:b/>
          <w:bCs/>
          <w:color w:val="000080"/>
          <w:sz w:val="20"/>
          <w:szCs w:val="20"/>
          <w:rtl/>
        </w:rPr>
      </w:pPr>
    </w:p>
    <w:p w14:paraId="719BB96A" w14:textId="77777777" w:rsidR="00FB0F89" w:rsidRPr="00097A6E" w:rsidRDefault="00097A6E">
      <w:pPr>
        <w:spacing w:line="360" w:lineRule="auto"/>
        <w:jc w:val="both"/>
        <w:rPr>
          <w:rtl/>
        </w:rPr>
      </w:pPr>
      <w:r w:rsidRPr="00097A6E">
        <w:rPr>
          <w:rtl/>
        </w:rPr>
        <w:t xml:space="preserve"> </w:t>
      </w:r>
    </w:p>
    <w:tbl>
      <w:tblPr>
        <w:bidiVisual/>
        <w:tblW w:w="0" w:type="auto"/>
        <w:jc w:val="center"/>
        <w:tblLook w:val="0000" w:firstRow="0" w:lastRow="0" w:firstColumn="0" w:lastColumn="0" w:noHBand="0" w:noVBand="0"/>
      </w:tblPr>
      <w:tblGrid>
        <w:gridCol w:w="6060"/>
        <w:gridCol w:w="2660"/>
      </w:tblGrid>
      <w:tr w:rsidR="00FB0F89" w:rsidRPr="00097A6E" w14:paraId="0E4A3282" w14:textId="77777777">
        <w:trPr>
          <w:trHeight w:val="337"/>
          <w:jc w:val="center"/>
        </w:trPr>
        <w:tc>
          <w:tcPr>
            <w:tcW w:w="6060" w:type="dxa"/>
          </w:tcPr>
          <w:p w14:paraId="7E250F8A" w14:textId="77777777" w:rsidR="00FB0F89" w:rsidRPr="00097A6E" w:rsidRDefault="00097A6E">
            <w:pPr>
              <w:rPr>
                <w:b/>
                <w:bCs/>
                <w:sz w:val="26"/>
                <w:szCs w:val="26"/>
                <w:rtl/>
              </w:rPr>
            </w:pPr>
            <w:r w:rsidRPr="00097A6E">
              <w:rPr>
                <w:rFonts w:hint="cs"/>
                <w:b/>
                <w:bCs/>
                <w:sz w:val="26"/>
                <w:szCs w:val="26"/>
                <w:rtl/>
              </w:rPr>
              <w:t>לפני כב' ה</w:t>
            </w:r>
            <w:r w:rsidRPr="00097A6E">
              <w:rPr>
                <w:rFonts w:hint="cs"/>
                <w:rtl/>
              </w:rPr>
              <w:t xml:space="preserve">שופטת רות לורך, סג"נ </w:t>
            </w:r>
            <w:r w:rsidRPr="00097A6E">
              <w:rPr>
                <w:rFonts w:hint="cs"/>
                <w:rtl/>
              </w:rPr>
              <w:br/>
            </w:r>
          </w:p>
        </w:tc>
        <w:tc>
          <w:tcPr>
            <w:tcW w:w="2660" w:type="dxa"/>
          </w:tcPr>
          <w:p w14:paraId="6ED22108" w14:textId="77777777" w:rsidR="00FB0F89" w:rsidRPr="00097A6E" w:rsidRDefault="00FB0F89">
            <w:pPr>
              <w:pStyle w:val="a4"/>
              <w:jc w:val="both"/>
              <w:rPr>
                <w:b/>
                <w:bCs/>
                <w:sz w:val="26"/>
                <w:szCs w:val="26"/>
                <w:rtl/>
              </w:rPr>
            </w:pPr>
          </w:p>
        </w:tc>
      </w:tr>
    </w:tbl>
    <w:p w14:paraId="4F806FC8" w14:textId="77777777" w:rsidR="00FB0F89" w:rsidRPr="00097A6E" w:rsidRDefault="00FB0F89">
      <w:pPr>
        <w:rPr>
          <w:vanish/>
        </w:rPr>
      </w:pPr>
    </w:p>
    <w:tbl>
      <w:tblPr>
        <w:bidiVisual/>
        <w:tblW w:w="8802" w:type="dxa"/>
        <w:tblInd w:w="-28" w:type="dxa"/>
        <w:tblLayout w:type="fixed"/>
        <w:tblLook w:val="01E0" w:firstRow="1" w:lastRow="1" w:firstColumn="1" w:lastColumn="1" w:noHBand="0" w:noVBand="0"/>
      </w:tblPr>
      <w:tblGrid>
        <w:gridCol w:w="3240"/>
        <w:gridCol w:w="5562"/>
      </w:tblGrid>
      <w:tr w:rsidR="00FB0F89" w:rsidRPr="00097A6E" w14:paraId="2D281592" w14:textId="77777777">
        <w:tc>
          <w:tcPr>
            <w:tcW w:w="3240" w:type="dxa"/>
            <w:shd w:val="clear" w:color="auto" w:fill="auto"/>
          </w:tcPr>
          <w:p w14:paraId="0D4D1B3C" w14:textId="77777777" w:rsidR="00FB0F89" w:rsidRPr="00097A6E" w:rsidRDefault="00097A6E">
            <w:pPr>
              <w:ind w:left="26"/>
              <w:rPr>
                <w:rFonts w:ascii="Times New Roman" w:eastAsia="Times New Roman" w:hAnsi="Times New Roman"/>
                <w:b/>
                <w:bCs/>
                <w:sz w:val="26"/>
                <w:szCs w:val="26"/>
                <w:rtl/>
              </w:rPr>
            </w:pPr>
            <w:bookmarkStart w:id="0" w:name="FirstAppellant"/>
            <w:bookmarkStart w:id="1" w:name="LastJudge"/>
            <w:bookmarkEnd w:id="1"/>
            <w:r w:rsidRPr="00097A6E">
              <w:rPr>
                <w:rFonts w:ascii="Times New Roman" w:eastAsia="Times New Roman" w:hAnsi="Times New Roman" w:hint="cs"/>
                <w:b/>
                <w:bCs/>
                <w:sz w:val="26"/>
                <w:szCs w:val="26"/>
                <w:rtl/>
              </w:rPr>
              <w:t>ה</w:t>
            </w:r>
            <w:r w:rsidRPr="00097A6E">
              <w:rPr>
                <w:rFonts w:ascii="Times New Roman" w:eastAsia="Times New Roman" w:hAnsi="Times New Roman" w:hint="cs"/>
                <w:rtl/>
              </w:rPr>
              <w:t>מאשימה</w:t>
            </w:r>
          </w:p>
        </w:tc>
        <w:tc>
          <w:tcPr>
            <w:tcW w:w="5562" w:type="dxa"/>
            <w:shd w:val="clear" w:color="auto" w:fill="auto"/>
          </w:tcPr>
          <w:p w14:paraId="621A7C86" w14:textId="77777777" w:rsidR="00FB0F89" w:rsidRPr="00097A6E" w:rsidRDefault="00097A6E">
            <w:pPr>
              <w:rPr>
                <w:rFonts w:ascii="Times New Roman" w:eastAsia="Times New Roman" w:hAnsi="Times New Roman"/>
                <w:b/>
                <w:bCs/>
                <w:sz w:val="26"/>
                <w:szCs w:val="26"/>
                <w:rtl/>
              </w:rPr>
            </w:pPr>
            <w:r w:rsidRPr="00097A6E">
              <w:rPr>
                <w:rFonts w:ascii="Times New Roman" w:eastAsia="Times New Roman" w:hAnsi="Times New Roman" w:hint="cs"/>
                <w:b/>
                <w:bCs/>
                <w:sz w:val="26"/>
                <w:szCs w:val="26"/>
                <w:rtl/>
              </w:rPr>
              <w:t xml:space="preserve"> </w:t>
            </w:r>
            <w:r w:rsidRPr="00097A6E">
              <w:rPr>
                <w:rFonts w:ascii="Times New Roman" w:eastAsia="Times New Roman" w:hAnsi="Times New Roman" w:hint="cs"/>
                <w:rtl/>
              </w:rPr>
              <w:t>מדינת ישראל</w:t>
            </w:r>
          </w:p>
        </w:tc>
      </w:tr>
      <w:bookmarkEnd w:id="0"/>
      <w:tr w:rsidR="00FB0F89" w:rsidRPr="00097A6E" w14:paraId="77B8CC3A" w14:textId="77777777">
        <w:tc>
          <w:tcPr>
            <w:tcW w:w="8802" w:type="dxa"/>
            <w:gridSpan w:val="2"/>
            <w:shd w:val="clear" w:color="auto" w:fill="auto"/>
          </w:tcPr>
          <w:p w14:paraId="75D0434C" w14:textId="77777777" w:rsidR="00FB0F89" w:rsidRPr="00097A6E" w:rsidRDefault="00FB0F89">
            <w:pPr>
              <w:jc w:val="both"/>
              <w:rPr>
                <w:rFonts w:ascii="Arial" w:eastAsia="Times New Roman" w:hAnsi="Arial"/>
                <w:b/>
                <w:bCs/>
                <w:sz w:val="26"/>
                <w:szCs w:val="26"/>
                <w:rtl/>
              </w:rPr>
            </w:pPr>
          </w:p>
          <w:p w14:paraId="51B2C2D4" w14:textId="77777777" w:rsidR="00FB0F89" w:rsidRPr="00097A6E" w:rsidRDefault="00097A6E">
            <w:pPr>
              <w:jc w:val="center"/>
              <w:rPr>
                <w:rFonts w:ascii="Arial" w:eastAsia="Times New Roman" w:hAnsi="Arial"/>
                <w:b/>
                <w:bCs/>
                <w:sz w:val="26"/>
                <w:szCs w:val="26"/>
                <w:rtl/>
              </w:rPr>
            </w:pPr>
            <w:r w:rsidRPr="00097A6E">
              <w:rPr>
                <w:rFonts w:ascii="Arial" w:eastAsia="Times New Roman" w:hAnsi="Arial"/>
                <w:b/>
                <w:bCs/>
                <w:sz w:val="26"/>
                <w:szCs w:val="26"/>
                <w:rtl/>
              </w:rPr>
              <w:t>נגד</w:t>
            </w:r>
          </w:p>
          <w:p w14:paraId="51E9218C" w14:textId="77777777" w:rsidR="00FB0F89" w:rsidRPr="00097A6E" w:rsidRDefault="00FB0F89">
            <w:pPr>
              <w:jc w:val="center"/>
              <w:rPr>
                <w:rFonts w:ascii="Arial" w:eastAsia="Times New Roman" w:hAnsi="Arial"/>
                <w:b/>
                <w:bCs/>
                <w:sz w:val="26"/>
                <w:szCs w:val="26"/>
              </w:rPr>
            </w:pPr>
          </w:p>
        </w:tc>
      </w:tr>
      <w:tr w:rsidR="00FB0F89" w:rsidRPr="00097A6E" w14:paraId="5A662D2A" w14:textId="77777777">
        <w:tc>
          <w:tcPr>
            <w:tcW w:w="3240" w:type="dxa"/>
            <w:shd w:val="clear" w:color="auto" w:fill="auto"/>
          </w:tcPr>
          <w:p w14:paraId="077FBB25" w14:textId="77777777" w:rsidR="00FB0F89" w:rsidRPr="00097A6E" w:rsidRDefault="00097A6E">
            <w:pPr>
              <w:ind w:left="26"/>
              <w:rPr>
                <w:rFonts w:ascii="Times New Roman" w:eastAsia="Times New Roman" w:hAnsi="Times New Roman"/>
                <w:b/>
                <w:bCs/>
                <w:sz w:val="26"/>
                <w:szCs w:val="26"/>
                <w:rtl/>
              </w:rPr>
            </w:pPr>
            <w:r w:rsidRPr="00097A6E">
              <w:rPr>
                <w:rFonts w:ascii="Times New Roman" w:eastAsia="Times New Roman" w:hAnsi="Times New Roman" w:hint="cs"/>
                <w:b/>
                <w:bCs/>
                <w:sz w:val="26"/>
                <w:szCs w:val="26"/>
                <w:rtl/>
              </w:rPr>
              <w:t>ה</w:t>
            </w:r>
            <w:r w:rsidRPr="00097A6E">
              <w:rPr>
                <w:rFonts w:ascii="Times New Roman" w:eastAsia="Times New Roman" w:hAnsi="Times New Roman" w:hint="cs"/>
                <w:rtl/>
              </w:rPr>
              <w:t>נאשם</w:t>
            </w:r>
          </w:p>
        </w:tc>
        <w:tc>
          <w:tcPr>
            <w:tcW w:w="5562" w:type="dxa"/>
            <w:shd w:val="clear" w:color="auto" w:fill="auto"/>
          </w:tcPr>
          <w:p w14:paraId="4A3B2779" w14:textId="77777777" w:rsidR="00FB0F89" w:rsidRPr="00097A6E" w:rsidRDefault="00097A6E">
            <w:pPr>
              <w:rPr>
                <w:rFonts w:ascii="Times New Roman" w:eastAsia="Times New Roman" w:hAnsi="Times New Roman"/>
                <w:b/>
                <w:bCs/>
                <w:sz w:val="26"/>
                <w:szCs w:val="26"/>
                <w:rtl/>
              </w:rPr>
            </w:pPr>
            <w:r w:rsidRPr="00097A6E">
              <w:rPr>
                <w:rFonts w:ascii="Times New Roman" w:eastAsia="Times New Roman" w:hAnsi="Times New Roman" w:hint="cs"/>
                <w:b/>
                <w:bCs/>
                <w:sz w:val="26"/>
                <w:szCs w:val="26"/>
                <w:rtl/>
              </w:rPr>
              <w:t xml:space="preserve"> </w:t>
            </w:r>
            <w:r w:rsidRPr="00097A6E">
              <w:rPr>
                <w:rFonts w:ascii="Times New Roman" w:eastAsia="Times New Roman" w:hAnsi="Times New Roman" w:hint="cs"/>
                <w:rtl/>
              </w:rPr>
              <w:t xml:space="preserve">מייסרה עיסא </w:t>
            </w:r>
          </w:p>
        </w:tc>
      </w:tr>
    </w:tbl>
    <w:p w14:paraId="1CDF86CA" w14:textId="77777777" w:rsidR="00FB0F89" w:rsidRPr="00097A6E" w:rsidRDefault="00FB0F89">
      <w:pPr>
        <w:rPr>
          <w:rStyle w:val="a3"/>
          <w:rFonts w:ascii="Arial" w:hAnsi="Arial"/>
          <w:rtl/>
        </w:rPr>
      </w:pPr>
    </w:p>
    <w:p w14:paraId="4642C7C1" w14:textId="77777777" w:rsidR="00FB0F89" w:rsidRPr="00097A6E" w:rsidRDefault="00097A6E">
      <w:pPr>
        <w:rPr>
          <w:rStyle w:val="a3"/>
          <w:rFonts w:ascii="Arial" w:hAnsi="Arial"/>
          <w:sz w:val="6"/>
          <w:szCs w:val="6"/>
          <w:rtl/>
        </w:rPr>
      </w:pPr>
      <w:r w:rsidRPr="00097A6E">
        <w:rPr>
          <w:rStyle w:val="a3"/>
          <w:rFonts w:ascii="Arial" w:hAnsi="Arial"/>
          <w:sz w:val="6"/>
          <w:szCs w:val="6"/>
          <w:rtl/>
        </w:rPr>
        <w:t>&lt;#2#&gt;</w:t>
      </w:r>
    </w:p>
    <w:p w14:paraId="0AF5FED3" w14:textId="77777777" w:rsidR="00FB0F89" w:rsidRPr="00097A6E" w:rsidRDefault="00097A6E">
      <w:pPr>
        <w:pStyle w:val="12"/>
        <w:rPr>
          <w:u w:val="none"/>
          <w:rtl/>
        </w:rPr>
      </w:pPr>
      <w:r w:rsidRPr="00097A6E">
        <w:rPr>
          <w:rFonts w:hint="cs"/>
          <w:u w:val="none"/>
          <w:rtl/>
        </w:rPr>
        <w:t>נוכחים:</w:t>
      </w:r>
    </w:p>
    <w:p w14:paraId="1A3D919D" w14:textId="77777777" w:rsidR="00FB0F89" w:rsidRPr="00097A6E" w:rsidRDefault="00097A6E">
      <w:pPr>
        <w:pStyle w:val="12"/>
        <w:rPr>
          <w:b w:val="0"/>
          <w:bCs w:val="0"/>
          <w:u w:val="none"/>
        </w:rPr>
      </w:pPr>
      <w:bookmarkStart w:id="2" w:name="FirstLawyer"/>
      <w:r w:rsidRPr="00097A6E">
        <w:rPr>
          <w:rFonts w:hint="cs"/>
          <w:b w:val="0"/>
          <w:bCs w:val="0"/>
          <w:u w:val="none"/>
          <w:rtl/>
        </w:rPr>
        <w:t>ב"כ</w:t>
      </w:r>
      <w:bookmarkEnd w:id="2"/>
      <w:r w:rsidRPr="00097A6E">
        <w:rPr>
          <w:rFonts w:hint="cs"/>
          <w:b w:val="0"/>
          <w:bCs w:val="0"/>
          <w:u w:val="none"/>
          <w:rtl/>
        </w:rPr>
        <w:t xml:space="preserve"> המאשימה – עו"ד ליאת פלג </w:t>
      </w:r>
    </w:p>
    <w:p w14:paraId="4707E6E9" w14:textId="77777777" w:rsidR="00FB0F89" w:rsidRPr="00097A6E" w:rsidRDefault="00097A6E">
      <w:pPr>
        <w:pStyle w:val="12"/>
        <w:rPr>
          <w:b w:val="0"/>
          <w:bCs w:val="0"/>
          <w:u w:val="none"/>
          <w:rtl/>
        </w:rPr>
      </w:pPr>
      <w:r w:rsidRPr="00097A6E">
        <w:rPr>
          <w:rFonts w:hint="cs"/>
          <w:b w:val="0"/>
          <w:bCs w:val="0"/>
          <w:u w:val="none"/>
          <w:rtl/>
        </w:rPr>
        <w:t>ב"כ הנאשם – עו"ד זילברשטיין</w:t>
      </w:r>
    </w:p>
    <w:p w14:paraId="15325F4D" w14:textId="77777777" w:rsidR="00FB0F89" w:rsidRPr="00097A6E" w:rsidRDefault="00097A6E">
      <w:pPr>
        <w:pStyle w:val="12"/>
        <w:rPr>
          <w:b w:val="0"/>
          <w:bCs w:val="0"/>
          <w:u w:val="none"/>
          <w:rtl/>
        </w:rPr>
      </w:pPr>
      <w:r w:rsidRPr="00097A6E">
        <w:rPr>
          <w:rFonts w:hint="cs"/>
          <w:b w:val="0"/>
          <w:bCs w:val="0"/>
          <w:u w:val="none"/>
          <w:rtl/>
        </w:rPr>
        <w:t>הנאשם הובא על ידי שב"ס</w:t>
      </w:r>
    </w:p>
    <w:p w14:paraId="487EBA9B" w14:textId="77777777" w:rsidR="00FB0F89" w:rsidRPr="00097A6E" w:rsidRDefault="00FB0F89">
      <w:pPr>
        <w:pStyle w:val="12"/>
        <w:rPr>
          <w:b w:val="0"/>
          <w:bCs w:val="0"/>
          <w:u w:val="none"/>
          <w:rtl/>
        </w:rPr>
      </w:pPr>
    </w:p>
    <w:p w14:paraId="40C99789" w14:textId="77777777" w:rsidR="00AD3DCF" w:rsidRPr="00AD3DCF" w:rsidRDefault="00AD3DCF" w:rsidP="00AD3DCF">
      <w:pPr>
        <w:spacing w:after="120" w:line="240" w:lineRule="exact"/>
        <w:ind w:left="283" w:hanging="283"/>
        <w:jc w:val="both"/>
        <w:rPr>
          <w:rStyle w:val="a3"/>
          <w:rFonts w:ascii="FrankRuehl" w:hAnsi="FrankRuehl" w:cs="FrankRuehl"/>
          <w:rtl/>
        </w:rPr>
      </w:pPr>
      <w:r w:rsidRPr="00AD3DCF">
        <w:rPr>
          <w:rStyle w:val="a3"/>
          <w:rFonts w:ascii="FrankRuehl" w:hAnsi="FrankRuehl" w:cs="FrankRuehl"/>
          <w:rtl/>
        </w:rPr>
        <w:t xml:space="preserve">חקיקה שאוזכרה: </w:t>
      </w:r>
    </w:p>
    <w:p w14:paraId="10C74AB3" w14:textId="77777777" w:rsidR="00AD3DCF" w:rsidRPr="00AD3DCF" w:rsidRDefault="00AD3DCF" w:rsidP="00AD3DCF">
      <w:pPr>
        <w:spacing w:after="120" w:line="240" w:lineRule="exact"/>
        <w:ind w:left="283" w:hanging="283"/>
        <w:jc w:val="both"/>
        <w:rPr>
          <w:rStyle w:val="a3"/>
          <w:rFonts w:ascii="FrankRuehl" w:hAnsi="FrankRuehl" w:cs="FrankRuehl"/>
          <w:rtl/>
        </w:rPr>
      </w:pPr>
      <w:hyperlink r:id="rId7" w:history="1">
        <w:r w:rsidRPr="00AD3DCF">
          <w:rPr>
            <w:rStyle w:val="a3"/>
            <w:rFonts w:ascii="FrankRuehl" w:hAnsi="FrankRuehl" w:cs="FrankRuehl"/>
            <w:color w:val="0000FF"/>
            <w:u w:val="single"/>
            <w:rtl/>
          </w:rPr>
          <w:t>חוק העונשין, תשל"ז-1977</w:t>
        </w:r>
      </w:hyperlink>
      <w:r w:rsidRPr="00AD3DCF">
        <w:rPr>
          <w:rStyle w:val="a3"/>
          <w:rFonts w:ascii="FrankRuehl" w:hAnsi="FrankRuehl" w:cs="FrankRuehl"/>
          <w:rtl/>
        </w:rPr>
        <w:t xml:space="preserve">: סע'  </w:t>
      </w:r>
      <w:hyperlink r:id="rId8" w:history="1">
        <w:r w:rsidRPr="00AD3DCF">
          <w:rPr>
            <w:rStyle w:val="a3"/>
            <w:rFonts w:ascii="FrankRuehl" w:hAnsi="FrankRuehl" w:cs="FrankRuehl"/>
            <w:color w:val="0000FF"/>
            <w:u w:val="single"/>
            <w:rtl/>
          </w:rPr>
          <w:t>25</w:t>
        </w:r>
      </w:hyperlink>
      <w:r w:rsidRPr="00AD3DCF">
        <w:rPr>
          <w:rStyle w:val="a3"/>
          <w:rFonts w:ascii="FrankRuehl" w:hAnsi="FrankRuehl" w:cs="FrankRuehl"/>
          <w:rtl/>
        </w:rPr>
        <w:t xml:space="preserve">, </w:t>
      </w:r>
      <w:hyperlink r:id="rId9" w:history="1">
        <w:r w:rsidRPr="00AD3DCF">
          <w:rPr>
            <w:rStyle w:val="a3"/>
            <w:rFonts w:ascii="FrankRuehl" w:hAnsi="FrankRuehl" w:cs="FrankRuehl"/>
            <w:color w:val="0000FF"/>
            <w:u w:val="single"/>
            <w:rtl/>
          </w:rPr>
          <w:t>144(ב)</w:t>
        </w:r>
      </w:hyperlink>
      <w:r w:rsidRPr="00AD3DCF">
        <w:rPr>
          <w:rStyle w:val="a3"/>
          <w:rFonts w:ascii="FrankRuehl" w:hAnsi="FrankRuehl" w:cs="FrankRuehl"/>
          <w:rtl/>
        </w:rPr>
        <w:t xml:space="preserve">, </w:t>
      </w:r>
      <w:hyperlink r:id="rId10" w:history="1">
        <w:r w:rsidRPr="00AD3DCF">
          <w:rPr>
            <w:rStyle w:val="a3"/>
            <w:rFonts w:ascii="FrankRuehl" w:hAnsi="FrankRuehl" w:cs="FrankRuehl"/>
            <w:color w:val="0000FF"/>
            <w:u w:val="single"/>
            <w:rtl/>
          </w:rPr>
          <w:t>333</w:t>
        </w:r>
      </w:hyperlink>
      <w:r w:rsidRPr="00AD3DCF">
        <w:rPr>
          <w:rStyle w:val="a3"/>
          <w:rFonts w:ascii="FrankRuehl" w:hAnsi="FrankRuehl" w:cs="FrankRuehl"/>
          <w:rtl/>
        </w:rPr>
        <w:t xml:space="preserve">, </w:t>
      </w:r>
      <w:hyperlink r:id="rId11" w:history="1">
        <w:r w:rsidRPr="00AD3DCF">
          <w:rPr>
            <w:rStyle w:val="a3"/>
            <w:rFonts w:ascii="FrankRuehl" w:hAnsi="FrankRuehl" w:cs="FrankRuehl"/>
            <w:color w:val="0000FF"/>
            <w:u w:val="single"/>
            <w:rtl/>
          </w:rPr>
          <w:t>335(א)(1)</w:t>
        </w:r>
      </w:hyperlink>
      <w:r w:rsidRPr="00AD3DCF">
        <w:rPr>
          <w:rStyle w:val="a3"/>
          <w:rFonts w:ascii="FrankRuehl" w:hAnsi="FrankRuehl" w:cs="FrankRuehl"/>
          <w:rtl/>
        </w:rPr>
        <w:t xml:space="preserve">, </w:t>
      </w:r>
      <w:hyperlink r:id="rId12" w:history="1">
        <w:r w:rsidRPr="00AD3DCF">
          <w:rPr>
            <w:rStyle w:val="a3"/>
            <w:rFonts w:ascii="FrankRuehl" w:hAnsi="FrankRuehl" w:cs="FrankRuehl"/>
            <w:color w:val="0000FF"/>
            <w:u w:val="single"/>
            <w:rtl/>
          </w:rPr>
          <w:t>(2)</w:t>
        </w:r>
      </w:hyperlink>
      <w:r w:rsidRPr="00AD3DCF">
        <w:rPr>
          <w:rStyle w:val="a3"/>
          <w:rFonts w:ascii="FrankRuehl" w:hAnsi="FrankRuehl" w:cs="FrankRuehl"/>
          <w:rtl/>
        </w:rPr>
        <w:t xml:space="preserve">, </w:t>
      </w:r>
      <w:hyperlink r:id="rId13" w:history="1">
        <w:r w:rsidRPr="00AD3DCF">
          <w:rPr>
            <w:rStyle w:val="a3"/>
            <w:rFonts w:ascii="FrankRuehl" w:hAnsi="FrankRuehl" w:cs="FrankRuehl"/>
            <w:color w:val="0000FF"/>
            <w:u w:val="single"/>
            <w:rtl/>
          </w:rPr>
          <w:t>380</w:t>
        </w:r>
      </w:hyperlink>
      <w:r w:rsidRPr="00AD3DCF">
        <w:rPr>
          <w:rStyle w:val="a3"/>
          <w:rFonts w:ascii="FrankRuehl" w:hAnsi="FrankRuehl" w:cs="FrankRuehl"/>
          <w:rtl/>
        </w:rPr>
        <w:t xml:space="preserve">, </w:t>
      </w:r>
      <w:hyperlink r:id="rId14" w:history="1">
        <w:r w:rsidRPr="00AD3DCF">
          <w:rPr>
            <w:rStyle w:val="a3"/>
            <w:rFonts w:ascii="FrankRuehl" w:hAnsi="FrankRuehl" w:cs="FrankRuehl"/>
            <w:color w:val="0000FF"/>
            <w:u w:val="single"/>
            <w:rtl/>
          </w:rPr>
          <w:t>40יא(5)</w:t>
        </w:r>
      </w:hyperlink>
    </w:p>
    <w:p w14:paraId="48896608" w14:textId="77777777" w:rsidR="00F93402" w:rsidRDefault="00F93402" w:rsidP="00AD3DCF">
      <w:pPr>
        <w:spacing w:after="120" w:line="240" w:lineRule="exact"/>
        <w:ind w:left="283" w:hanging="283"/>
        <w:jc w:val="both"/>
        <w:rPr>
          <w:rStyle w:val="a3"/>
          <w:rFonts w:ascii="FrankRuehl" w:hAnsi="FrankRuehl" w:cs="FrankRuehl"/>
          <w:rtl/>
        </w:rPr>
      </w:pPr>
      <w:bookmarkStart w:id="3" w:name="LawTable"/>
      <w:bookmarkEnd w:id="3"/>
    </w:p>
    <w:p w14:paraId="5A1C12CD" w14:textId="77777777" w:rsidR="00F93402" w:rsidRPr="00F93402" w:rsidRDefault="00F93402" w:rsidP="00F93402">
      <w:pPr>
        <w:spacing w:after="120" w:line="240" w:lineRule="exact"/>
        <w:ind w:left="283" w:hanging="283"/>
        <w:jc w:val="both"/>
        <w:rPr>
          <w:rStyle w:val="a3"/>
          <w:rFonts w:ascii="FrankRuehl" w:hAnsi="FrankRuehl" w:cs="FrankRuehl"/>
          <w:rtl/>
        </w:rPr>
      </w:pPr>
    </w:p>
    <w:p w14:paraId="020A30C5" w14:textId="77777777" w:rsidR="00F93402" w:rsidRPr="00F93402" w:rsidRDefault="00F93402" w:rsidP="00F93402">
      <w:pPr>
        <w:spacing w:after="120" w:line="240" w:lineRule="exact"/>
        <w:ind w:left="283" w:hanging="283"/>
        <w:jc w:val="both"/>
        <w:rPr>
          <w:rStyle w:val="a3"/>
          <w:rFonts w:ascii="FrankRuehl" w:hAnsi="FrankRuehl" w:cs="FrankRuehl"/>
          <w:rtl/>
        </w:rPr>
      </w:pPr>
      <w:r w:rsidRPr="00F93402">
        <w:rPr>
          <w:rStyle w:val="a3"/>
          <w:rFonts w:ascii="FrankRuehl" w:hAnsi="FrankRuehl" w:cs="FrankRuehl"/>
          <w:rtl/>
        </w:rPr>
        <w:t xml:space="preserve">חקיקה שאוזכרה: </w:t>
      </w:r>
    </w:p>
    <w:p w14:paraId="5BFDB76D" w14:textId="77777777" w:rsidR="00F93402" w:rsidRPr="00F93402" w:rsidRDefault="00F93402" w:rsidP="00F93402">
      <w:pPr>
        <w:spacing w:after="120" w:line="240" w:lineRule="exact"/>
        <w:ind w:left="283" w:hanging="283"/>
        <w:jc w:val="both"/>
        <w:rPr>
          <w:rStyle w:val="a3"/>
          <w:rFonts w:ascii="FrankRuehl" w:hAnsi="FrankRuehl" w:cs="FrankRuehl"/>
          <w:rtl/>
        </w:rPr>
      </w:pPr>
      <w:hyperlink r:id="rId15" w:history="1">
        <w:r w:rsidRPr="00F93402">
          <w:rPr>
            <w:rStyle w:val="a3"/>
            <w:rFonts w:ascii="FrankRuehl" w:hAnsi="FrankRuehl" w:cs="FrankRuehl"/>
            <w:color w:val="0000FF"/>
            <w:u w:val="single"/>
            <w:rtl/>
          </w:rPr>
          <w:t>חוק העונשין, תשל"ז-1977</w:t>
        </w:r>
      </w:hyperlink>
      <w:r w:rsidRPr="00F93402">
        <w:rPr>
          <w:rStyle w:val="a3"/>
          <w:rFonts w:ascii="FrankRuehl" w:hAnsi="FrankRuehl" w:cs="FrankRuehl"/>
          <w:rtl/>
        </w:rPr>
        <w:t xml:space="preserve">: סע'  </w:t>
      </w:r>
      <w:hyperlink r:id="rId16" w:history="1">
        <w:r w:rsidRPr="00F93402">
          <w:rPr>
            <w:rStyle w:val="a3"/>
            <w:rFonts w:ascii="FrankRuehl" w:hAnsi="FrankRuehl" w:cs="FrankRuehl"/>
            <w:color w:val="0000FF"/>
            <w:u w:val="single"/>
            <w:rtl/>
          </w:rPr>
          <w:t>25</w:t>
        </w:r>
      </w:hyperlink>
      <w:r w:rsidRPr="00F93402">
        <w:rPr>
          <w:rStyle w:val="a3"/>
          <w:rFonts w:ascii="FrankRuehl" w:hAnsi="FrankRuehl" w:cs="FrankRuehl"/>
          <w:rtl/>
        </w:rPr>
        <w:t xml:space="preserve">, </w:t>
      </w:r>
      <w:hyperlink r:id="rId17" w:history="1">
        <w:r w:rsidRPr="00F93402">
          <w:rPr>
            <w:rStyle w:val="a3"/>
            <w:rFonts w:ascii="FrankRuehl" w:hAnsi="FrankRuehl" w:cs="FrankRuehl"/>
            <w:color w:val="0000FF"/>
            <w:u w:val="single"/>
            <w:rtl/>
          </w:rPr>
          <w:t>144(ב)</w:t>
        </w:r>
      </w:hyperlink>
      <w:r w:rsidRPr="00F93402">
        <w:rPr>
          <w:rStyle w:val="a3"/>
          <w:rFonts w:ascii="FrankRuehl" w:hAnsi="FrankRuehl" w:cs="FrankRuehl"/>
          <w:rtl/>
        </w:rPr>
        <w:t xml:space="preserve">, </w:t>
      </w:r>
      <w:hyperlink r:id="rId18" w:history="1">
        <w:r w:rsidRPr="00F93402">
          <w:rPr>
            <w:rStyle w:val="a3"/>
            <w:rFonts w:ascii="FrankRuehl" w:hAnsi="FrankRuehl" w:cs="FrankRuehl"/>
            <w:color w:val="0000FF"/>
            <w:u w:val="single"/>
            <w:rtl/>
          </w:rPr>
          <w:t>333</w:t>
        </w:r>
      </w:hyperlink>
      <w:r w:rsidRPr="00F93402">
        <w:rPr>
          <w:rStyle w:val="a3"/>
          <w:rFonts w:ascii="FrankRuehl" w:hAnsi="FrankRuehl" w:cs="FrankRuehl"/>
          <w:rtl/>
        </w:rPr>
        <w:t xml:space="preserve">, </w:t>
      </w:r>
      <w:hyperlink r:id="rId19" w:history="1">
        <w:r w:rsidRPr="00F93402">
          <w:rPr>
            <w:rStyle w:val="a3"/>
            <w:rFonts w:ascii="FrankRuehl" w:hAnsi="FrankRuehl" w:cs="FrankRuehl"/>
            <w:color w:val="0000FF"/>
            <w:u w:val="single"/>
            <w:rtl/>
          </w:rPr>
          <w:t>335(א)(1)</w:t>
        </w:r>
      </w:hyperlink>
      <w:r w:rsidRPr="00F93402">
        <w:rPr>
          <w:rStyle w:val="a3"/>
          <w:rFonts w:ascii="FrankRuehl" w:hAnsi="FrankRuehl" w:cs="FrankRuehl"/>
          <w:rtl/>
        </w:rPr>
        <w:t xml:space="preserve">, </w:t>
      </w:r>
      <w:hyperlink r:id="rId20" w:history="1">
        <w:r w:rsidRPr="00F93402">
          <w:rPr>
            <w:rStyle w:val="a3"/>
            <w:rFonts w:ascii="FrankRuehl" w:hAnsi="FrankRuehl" w:cs="FrankRuehl"/>
            <w:color w:val="0000FF"/>
            <w:u w:val="single"/>
            <w:rtl/>
          </w:rPr>
          <w:t>(2)</w:t>
        </w:r>
      </w:hyperlink>
      <w:r w:rsidRPr="00F93402">
        <w:rPr>
          <w:rStyle w:val="a3"/>
          <w:rFonts w:ascii="FrankRuehl" w:hAnsi="FrankRuehl" w:cs="FrankRuehl"/>
          <w:rtl/>
        </w:rPr>
        <w:t xml:space="preserve">, </w:t>
      </w:r>
      <w:hyperlink r:id="rId21" w:history="1">
        <w:r w:rsidRPr="00F93402">
          <w:rPr>
            <w:rStyle w:val="a3"/>
            <w:rFonts w:ascii="FrankRuehl" w:hAnsi="FrankRuehl" w:cs="FrankRuehl"/>
            <w:color w:val="0000FF"/>
            <w:u w:val="single"/>
            <w:rtl/>
          </w:rPr>
          <w:t>380</w:t>
        </w:r>
      </w:hyperlink>
      <w:r w:rsidRPr="00F93402">
        <w:rPr>
          <w:rStyle w:val="a3"/>
          <w:rFonts w:ascii="FrankRuehl" w:hAnsi="FrankRuehl" w:cs="FrankRuehl"/>
          <w:rtl/>
        </w:rPr>
        <w:t xml:space="preserve">, </w:t>
      </w:r>
      <w:hyperlink r:id="rId22" w:history="1">
        <w:r w:rsidRPr="00F93402">
          <w:rPr>
            <w:rStyle w:val="a3"/>
            <w:rFonts w:ascii="FrankRuehl" w:hAnsi="FrankRuehl" w:cs="FrankRuehl"/>
            <w:color w:val="0000FF"/>
            <w:u w:val="single"/>
            <w:rtl/>
          </w:rPr>
          <w:t>40יא(5)</w:t>
        </w:r>
      </w:hyperlink>
    </w:p>
    <w:p w14:paraId="2F72C3D7" w14:textId="77777777" w:rsidR="00F93402" w:rsidRPr="00F93402" w:rsidRDefault="00F93402" w:rsidP="00F93402">
      <w:pPr>
        <w:spacing w:after="120" w:line="240" w:lineRule="exact"/>
        <w:ind w:left="283" w:hanging="283"/>
        <w:jc w:val="both"/>
        <w:rPr>
          <w:rStyle w:val="a3"/>
          <w:rFonts w:ascii="FrankRuehl" w:hAnsi="FrankRuehl" w:cs="FrankRuehl"/>
          <w:rtl/>
        </w:rPr>
      </w:pPr>
    </w:p>
    <w:p w14:paraId="60CFE785" w14:textId="77777777" w:rsidR="00F93402" w:rsidRPr="00F93402" w:rsidRDefault="00F93402" w:rsidP="00AD3DCF">
      <w:pPr>
        <w:spacing w:after="120" w:line="240" w:lineRule="exact"/>
        <w:ind w:left="283" w:hanging="283"/>
        <w:jc w:val="both"/>
        <w:rPr>
          <w:rStyle w:val="a3"/>
          <w:rFonts w:ascii="FrankRuehl" w:hAnsi="FrankRuehl" w:cs="FrankRuehl"/>
          <w:rtl/>
        </w:rPr>
      </w:pPr>
      <w:bookmarkStart w:id="4" w:name="LawTable_End"/>
      <w:bookmarkEnd w:id="4"/>
    </w:p>
    <w:p w14:paraId="22F1C00C" w14:textId="77777777" w:rsidR="00F93402" w:rsidRPr="00F93402" w:rsidRDefault="00F93402" w:rsidP="00AD3DCF">
      <w:pPr>
        <w:spacing w:after="120" w:line="240" w:lineRule="exact"/>
        <w:ind w:left="283" w:hanging="283"/>
        <w:jc w:val="both"/>
        <w:rPr>
          <w:rStyle w:val="a3"/>
          <w:rFonts w:ascii="FrankRuehl" w:hAnsi="FrankRuehl" w:cs="FrankRuehl"/>
          <w:rtl/>
        </w:rPr>
      </w:pPr>
    </w:p>
    <w:p w14:paraId="2F6140F6" w14:textId="77777777" w:rsidR="00AD3DCF" w:rsidRPr="00F93402" w:rsidRDefault="00AD3DCF" w:rsidP="00AD3DCF">
      <w:pPr>
        <w:spacing w:after="120" w:line="240" w:lineRule="exact"/>
        <w:ind w:left="283" w:hanging="283"/>
        <w:jc w:val="both"/>
        <w:rPr>
          <w:rStyle w:val="a3"/>
          <w:rFonts w:ascii="FrankRuehl" w:hAnsi="FrankRuehl" w:cs="FrankRuehl"/>
          <w:rtl/>
        </w:rPr>
      </w:pPr>
    </w:p>
    <w:p w14:paraId="4105E479" w14:textId="77777777" w:rsidR="00097A6E" w:rsidRPr="00097A6E" w:rsidRDefault="00097A6E" w:rsidP="00097A6E">
      <w:pPr>
        <w:spacing w:line="360" w:lineRule="auto"/>
        <w:jc w:val="center"/>
        <w:rPr>
          <w:rFonts w:ascii="Arial" w:hAnsi="Arial"/>
          <w:b/>
          <w:bCs/>
          <w:sz w:val="28"/>
          <w:szCs w:val="28"/>
          <w:u w:val="single"/>
          <w:rtl/>
        </w:rPr>
      </w:pPr>
      <w:bookmarkStart w:id="5" w:name="PsakDin"/>
      <w:r w:rsidRPr="00097A6E">
        <w:rPr>
          <w:rFonts w:ascii="Arial" w:hAnsi="Arial"/>
          <w:b/>
          <w:bCs/>
          <w:sz w:val="28"/>
          <w:szCs w:val="28"/>
          <w:u w:val="single"/>
          <w:rtl/>
        </w:rPr>
        <w:t>גזר דין</w:t>
      </w:r>
    </w:p>
    <w:bookmarkEnd w:id="5"/>
    <w:p w14:paraId="1A1ADE43" w14:textId="77777777" w:rsidR="00FB0F89" w:rsidRDefault="00FB0F89">
      <w:pPr>
        <w:spacing w:line="360" w:lineRule="auto"/>
        <w:jc w:val="center"/>
        <w:rPr>
          <w:rFonts w:ascii="Arial" w:hAnsi="Arial"/>
          <w:b/>
          <w:bCs/>
          <w:sz w:val="28"/>
          <w:szCs w:val="28"/>
          <w:u w:val="single"/>
          <w:rtl/>
        </w:rPr>
      </w:pPr>
    </w:p>
    <w:p w14:paraId="13CD5DD3" w14:textId="77777777" w:rsidR="00FB0F89" w:rsidRDefault="00097A6E">
      <w:pPr>
        <w:pStyle w:val="ListParagraph"/>
        <w:numPr>
          <w:ilvl w:val="0"/>
          <w:numId w:val="1"/>
        </w:numPr>
        <w:spacing w:line="360" w:lineRule="auto"/>
        <w:jc w:val="both"/>
        <w:rPr>
          <w:rFonts w:cs="David"/>
          <w:b/>
          <w:bCs/>
          <w:sz w:val="24"/>
          <w:szCs w:val="24"/>
          <w:u w:val="single"/>
          <w:rtl/>
        </w:rPr>
      </w:pPr>
      <w:bookmarkStart w:id="6" w:name="ABSTRACT_START"/>
      <w:bookmarkEnd w:id="6"/>
      <w:r>
        <w:rPr>
          <w:rFonts w:cs="David" w:hint="cs"/>
          <w:sz w:val="24"/>
          <w:szCs w:val="24"/>
          <w:rtl/>
        </w:rPr>
        <w:t xml:space="preserve">הנאשם הורשע על פי הודאתו, שניתנה במסגרת הסדר טיעון, בביצוע עבירות </w:t>
      </w:r>
      <w:r>
        <w:rPr>
          <w:rFonts w:cs="David" w:hint="cs"/>
          <w:b/>
          <w:bCs/>
          <w:sz w:val="24"/>
          <w:szCs w:val="24"/>
          <w:rtl/>
        </w:rPr>
        <w:t>הובלה ונשיאת נשק שלא כדין</w:t>
      </w:r>
      <w:r>
        <w:rPr>
          <w:rFonts w:cs="David" w:hint="cs"/>
          <w:sz w:val="24"/>
          <w:szCs w:val="24"/>
          <w:rtl/>
        </w:rPr>
        <w:t xml:space="preserve">, לפי </w:t>
      </w:r>
      <w:hyperlink r:id="rId23"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144(</w:t>
        </w:r>
        <w:r w:rsidR="00AD3DCF" w:rsidRPr="00AD3DCF">
          <w:rPr>
            <w:rFonts w:cs="David" w:hint="cs"/>
            <w:color w:val="0000FF"/>
            <w:sz w:val="24"/>
            <w:szCs w:val="24"/>
            <w:u w:val="single"/>
            <w:rtl/>
          </w:rPr>
          <w:t>ב</w:t>
        </w:r>
        <w:r w:rsidR="00AD3DCF" w:rsidRPr="00AD3DCF">
          <w:rPr>
            <w:rFonts w:cs="David"/>
            <w:color w:val="0000FF"/>
            <w:sz w:val="24"/>
            <w:szCs w:val="24"/>
            <w:u w:val="single"/>
            <w:rtl/>
          </w:rPr>
          <w:t>)</w:t>
        </w:r>
      </w:hyperlink>
      <w:r>
        <w:rPr>
          <w:rFonts w:cs="David" w:hint="cs"/>
          <w:sz w:val="24"/>
          <w:szCs w:val="24"/>
          <w:rtl/>
        </w:rPr>
        <w:t xml:space="preserve"> רישא ל</w:t>
      </w:r>
      <w:hyperlink r:id="rId24" w:history="1">
        <w:r w:rsidRPr="00097A6E">
          <w:rPr>
            <w:rStyle w:val="Hyperlink"/>
            <w:rFonts w:cs="David" w:hint="cs"/>
            <w:sz w:val="24"/>
            <w:szCs w:val="24"/>
            <w:rtl/>
          </w:rPr>
          <w:t>חוק</w:t>
        </w:r>
        <w:r w:rsidRPr="00097A6E">
          <w:rPr>
            <w:rStyle w:val="Hyperlink"/>
            <w:rFonts w:cs="David"/>
            <w:sz w:val="24"/>
            <w:szCs w:val="24"/>
            <w:rtl/>
          </w:rPr>
          <w:t xml:space="preserve"> </w:t>
        </w:r>
        <w:r w:rsidRPr="00097A6E">
          <w:rPr>
            <w:rStyle w:val="Hyperlink"/>
            <w:rFonts w:cs="David" w:hint="cs"/>
            <w:sz w:val="24"/>
            <w:szCs w:val="24"/>
            <w:rtl/>
          </w:rPr>
          <w:t>העונשין</w:t>
        </w:r>
      </w:hyperlink>
      <w:r>
        <w:rPr>
          <w:rFonts w:cs="David" w:hint="cs"/>
          <w:sz w:val="24"/>
          <w:szCs w:val="24"/>
          <w:rtl/>
        </w:rPr>
        <w:t xml:space="preserve">, התשל"ז-1977 (להלן: </w:t>
      </w:r>
      <w:r>
        <w:rPr>
          <w:rFonts w:cs="David" w:hint="cs"/>
          <w:b/>
          <w:bCs/>
          <w:sz w:val="24"/>
          <w:szCs w:val="24"/>
          <w:rtl/>
        </w:rPr>
        <w:t>"החוק"</w:t>
      </w:r>
      <w:r>
        <w:rPr>
          <w:rFonts w:cs="David" w:hint="cs"/>
          <w:sz w:val="24"/>
          <w:szCs w:val="24"/>
          <w:rtl/>
        </w:rPr>
        <w:t xml:space="preserve">); </w:t>
      </w:r>
      <w:r>
        <w:rPr>
          <w:rFonts w:cs="David" w:hint="cs"/>
          <w:b/>
          <w:bCs/>
          <w:sz w:val="24"/>
          <w:szCs w:val="24"/>
          <w:rtl/>
        </w:rPr>
        <w:t>ניסיון לחבלה חמורה בנסיבות מחמירות</w:t>
      </w:r>
      <w:r>
        <w:rPr>
          <w:rFonts w:cs="David" w:hint="cs"/>
          <w:sz w:val="24"/>
          <w:szCs w:val="24"/>
          <w:rtl/>
        </w:rPr>
        <w:t xml:space="preserve">, לפי </w:t>
      </w:r>
      <w:hyperlink r:id="rId25"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333</w:t>
        </w:r>
      </w:hyperlink>
      <w:r>
        <w:rPr>
          <w:rFonts w:cs="David" w:hint="cs"/>
          <w:sz w:val="24"/>
          <w:szCs w:val="24"/>
          <w:rtl/>
        </w:rPr>
        <w:t xml:space="preserve"> יחד עם </w:t>
      </w:r>
      <w:hyperlink r:id="rId26"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335(</w:t>
        </w:r>
        <w:r w:rsidR="00AD3DCF" w:rsidRPr="00AD3DCF">
          <w:rPr>
            <w:rFonts w:cs="David" w:hint="cs"/>
            <w:color w:val="0000FF"/>
            <w:sz w:val="24"/>
            <w:szCs w:val="24"/>
            <w:u w:val="single"/>
            <w:rtl/>
          </w:rPr>
          <w:t>א</w:t>
        </w:r>
        <w:r w:rsidR="00AD3DCF" w:rsidRPr="00AD3DCF">
          <w:rPr>
            <w:rFonts w:cs="David"/>
            <w:color w:val="0000FF"/>
            <w:sz w:val="24"/>
            <w:szCs w:val="24"/>
            <w:u w:val="single"/>
            <w:rtl/>
          </w:rPr>
          <w:t>)(1)</w:t>
        </w:r>
      </w:hyperlink>
      <w:r>
        <w:rPr>
          <w:rFonts w:cs="David" w:hint="cs"/>
          <w:sz w:val="24"/>
          <w:szCs w:val="24"/>
          <w:rtl/>
        </w:rPr>
        <w:t xml:space="preserve"> ו-</w:t>
      </w:r>
      <w:hyperlink r:id="rId27" w:history="1">
        <w:r w:rsidR="00AD3DCF" w:rsidRPr="00AD3DCF">
          <w:rPr>
            <w:rFonts w:cs="David"/>
            <w:color w:val="0000FF"/>
            <w:sz w:val="24"/>
            <w:szCs w:val="24"/>
            <w:u w:val="single"/>
            <w:rtl/>
          </w:rPr>
          <w:t>(2)</w:t>
        </w:r>
      </w:hyperlink>
      <w:r>
        <w:rPr>
          <w:rFonts w:cs="David" w:hint="cs"/>
          <w:sz w:val="24"/>
          <w:szCs w:val="24"/>
          <w:rtl/>
        </w:rPr>
        <w:t xml:space="preserve"> וביחד עם </w:t>
      </w:r>
      <w:hyperlink r:id="rId28"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25</w:t>
        </w:r>
      </w:hyperlink>
      <w:r>
        <w:rPr>
          <w:rFonts w:cs="David" w:hint="cs"/>
          <w:sz w:val="24"/>
          <w:szCs w:val="24"/>
          <w:rtl/>
        </w:rPr>
        <w:t xml:space="preserve"> לחוק; ו</w:t>
      </w:r>
      <w:r>
        <w:rPr>
          <w:rFonts w:cs="David" w:hint="cs"/>
          <w:b/>
          <w:bCs/>
          <w:sz w:val="24"/>
          <w:szCs w:val="24"/>
          <w:rtl/>
        </w:rPr>
        <w:t>תקיפה הגורמת חבלה ממשית</w:t>
      </w:r>
      <w:r>
        <w:rPr>
          <w:rFonts w:cs="David" w:hint="cs"/>
          <w:sz w:val="24"/>
          <w:szCs w:val="24"/>
          <w:rtl/>
        </w:rPr>
        <w:t xml:space="preserve">, לפי </w:t>
      </w:r>
      <w:hyperlink r:id="rId29"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380</w:t>
        </w:r>
      </w:hyperlink>
      <w:r>
        <w:rPr>
          <w:rFonts w:cs="David" w:hint="cs"/>
          <w:sz w:val="24"/>
          <w:szCs w:val="24"/>
          <w:rtl/>
        </w:rPr>
        <w:t xml:space="preserve"> לחוק.</w:t>
      </w:r>
    </w:p>
    <w:p w14:paraId="489524F2" w14:textId="77777777" w:rsidR="00FB0F89" w:rsidRDefault="00FB0F89">
      <w:pPr>
        <w:spacing w:line="360" w:lineRule="auto"/>
        <w:jc w:val="both"/>
        <w:rPr>
          <w:b/>
          <w:bCs/>
          <w:u w:val="single"/>
          <w:rtl/>
        </w:rPr>
      </w:pPr>
      <w:bookmarkStart w:id="7" w:name="ABSTRACT_END"/>
      <w:bookmarkEnd w:id="7"/>
    </w:p>
    <w:p w14:paraId="1CB721B9" w14:textId="77777777" w:rsidR="00FB0F89" w:rsidRDefault="00097A6E">
      <w:pPr>
        <w:spacing w:line="360" w:lineRule="auto"/>
        <w:jc w:val="both"/>
        <w:rPr>
          <w:b/>
          <w:bCs/>
          <w:u w:val="single"/>
        </w:rPr>
      </w:pPr>
      <w:r>
        <w:rPr>
          <w:rFonts w:hint="cs"/>
          <w:b/>
          <w:bCs/>
          <w:u w:val="single"/>
          <w:rtl/>
        </w:rPr>
        <w:t>עובדות כתב האישום המתוקן</w:t>
      </w:r>
    </w:p>
    <w:p w14:paraId="38956676" w14:textId="77777777" w:rsidR="00FB0F89" w:rsidRDefault="00097A6E">
      <w:pPr>
        <w:pStyle w:val="ListParagraph"/>
        <w:numPr>
          <w:ilvl w:val="0"/>
          <w:numId w:val="1"/>
        </w:numPr>
        <w:spacing w:line="360" w:lineRule="auto"/>
        <w:jc w:val="both"/>
        <w:rPr>
          <w:rFonts w:cs="David"/>
          <w:b/>
          <w:bCs/>
          <w:sz w:val="24"/>
          <w:szCs w:val="24"/>
          <w:u w:val="single"/>
        </w:rPr>
      </w:pPr>
      <w:r>
        <w:rPr>
          <w:rFonts w:cs="David" w:hint="cs"/>
          <w:sz w:val="24"/>
          <w:szCs w:val="24"/>
          <w:rtl/>
        </w:rPr>
        <w:t xml:space="preserve">ביום 31.10.2014 בשעות הצהריים, שפך המתלונן בטון, שהוביל במשאית בה נהג, בסמוך למגרש הכדורגל ולטחנת הקמח כפר קאסם. מיד לאחר מכן, נסע המתלונן עם המשאית מטרים אחדים, ואז הגיע למקום הנאשם, שנהג ברכב מסוג טויוטה. </w:t>
      </w:r>
    </w:p>
    <w:p w14:paraId="568895CE" w14:textId="77777777" w:rsidR="00FB0F89" w:rsidRDefault="00FB0F89">
      <w:pPr>
        <w:pStyle w:val="ListParagraph"/>
        <w:spacing w:line="360" w:lineRule="auto"/>
        <w:jc w:val="both"/>
        <w:rPr>
          <w:rFonts w:cs="David"/>
          <w:b/>
          <w:bCs/>
          <w:sz w:val="24"/>
          <w:szCs w:val="24"/>
          <w:u w:val="single"/>
        </w:rPr>
      </w:pPr>
    </w:p>
    <w:p w14:paraId="50E7F0FA" w14:textId="77777777" w:rsidR="00FB0F89" w:rsidRDefault="00097A6E">
      <w:pPr>
        <w:pStyle w:val="ListParagraph"/>
        <w:numPr>
          <w:ilvl w:val="0"/>
          <w:numId w:val="1"/>
        </w:numPr>
        <w:spacing w:line="360" w:lineRule="auto"/>
        <w:jc w:val="both"/>
        <w:rPr>
          <w:rFonts w:cs="David"/>
          <w:b/>
          <w:bCs/>
          <w:sz w:val="24"/>
          <w:szCs w:val="24"/>
          <w:u w:val="single"/>
        </w:rPr>
      </w:pPr>
      <w:r>
        <w:rPr>
          <w:rFonts w:cs="David" w:hint="cs"/>
          <w:sz w:val="24"/>
          <w:szCs w:val="24"/>
          <w:rtl/>
        </w:rPr>
        <w:lastRenderedPageBreak/>
        <w:t>הנאשם צפר למתלונן, עקף אותו משמאל, חסם את דרכו וירד מן הרכב. המתלונן ירד אף הוא מהמשאית על-מנת לברר מדוע הנאשם חוסם אותו.</w:t>
      </w:r>
    </w:p>
    <w:p w14:paraId="6D148B4C" w14:textId="77777777" w:rsidR="00FB0F89" w:rsidRDefault="00FB0F89">
      <w:pPr>
        <w:pStyle w:val="ListParagraph"/>
        <w:spacing w:line="360" w:lineRule="auto"/>
        <w:rPr>
          <w:rFonts w:cs="David"/>
          <w:b/>
          <w:bCs/>
          <w:sz w:val="24"/>
          <w:szCs w:val="24"/>
          <w:u w:val="single"/>
        </w:rPr>
      </w:pPr>
    </w:p>
    <w:p w14:paraId="4830D2B4"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הנאשם טען בפני המתלונן כי שפך את הבטון בכביש הגישה למגרש שבבעלותו. המתלונן הסביר לנאשם שטעות בידיו. הנאשם איים על המתלונן כי ידאג לכך שיקבל דו"ח בגין מעשיו, ובהמשך קילל אותו. בתגובה קילל המתלונן את הנאשם.</w:t>
      </w:r>
    </w:p>
    <w:p w14:paraId="1410130B" w14:textId="77777777" w:rsidR="00FB0F89" w:rsidRDefault="00FB0F89">
      <w:pPr>
        <w:pStyle w:val="ListParagraph"/>
        <w:spacing w:line="360" w:lineRule="auto"/>
        <w:rPr>
          <w:rFonts w:cs="David"/>
          <w:b/>
          <w:bCs/>
          <w:sz w:val="24"/>
          <w:szCs w:val="24"/>
          <w:u w:val="single"/>
        </w:rPr>
      </w:pPr>
    </w:p>
    <w:p w14:paraId="47B743B2"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בשלב זה דחף הנאשם את המתלונן, והפילו. בעוד המתלונן שכוב על הקרקע, הלם הנאשם באגרופיו בפניו של המתלונן, ובעט בכל חלקי גופו. המתלונן ניסה לגונן על עצמו בידיו, ללא הועיל.</w:t>
      </w:r>
    </w:p>
    <w:p w14:paraId="5CACCE11" w14:textId="77777777" w:rsidR="00FB0F89" w:rsidRDefault="00FB0F89">
      <w:pPr>
        <w:pStyle w:val="ListParagraph"/>
        <w:spacing w:line="360" w:lineRule="auto"/>
        <w:rPr>
          <w:rFonts w:cs="David"/>
          <w:sz w:val="24"/>
          <w:szCs w:val="24"/>
        </w:rPr>
      </w:pPr>
    </w:p>
    <w:p w14:paraId="6C6A4A2D"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הנאשם חדל ממעשיו והתקשר באמצעות הטלפון הנייד שלו. המתלונן ניצל הפוגה זו על-מנת להתרומם, להיכנס חזרה למשאית, לנעול את הדלת, ולהתקשר למוקד המשטרתי כדי להזעיק עזרה.</w:t>
      </w:r>
    </w:p>
    <w:p w14:paraId="44AC7EAF" w14:textId="77777777" w:rsidR="00FB0F89" w:rsidRDefault="00FB0F89">
      <w:pPr>
        <w:pStyle w:val="ListParagraph"/>
        <w:spacing w:line="360" w:lineRule="auto"/>
        <w:rPr>
          <w:rFonts w:cs="David"/>
          <w:b/>
          <w:bCs/>
          <w:sz w:val="24"/>
          <w:szCs w:val="24"/>
          <w:u w:val="single"/>
        </w:rPr>
      </w:pPr>
    </w:p>
    <w:p w14:paraId="2884CD6D"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באותה העת, הגיע למקום אדם נוסף, שזהותו אינה ידועה (להלן: </w:t>
      </w:r>
      <w:r>
        <w:rPr>
          <w:rFonts w:cs="David" w:hint="cs"/>
          <w:b/>
          <w:bCs/>
          <w:sz w:val="24"/>
          <w:szCs w:val="24"/>
          <w:rtl/>
        </w:rPr>
        <w:t>"האחר"</w:t>
      </w:r>
      <w:r>
        <w:rPr>
          <w:rFonts w:cs="David" w:hint="cs"/>
          <w:sz w:val="24"/>
          <w:szCs w:val="24"/>
          <w:rtl/>
        </w:rPr>
        <w:t>). הנאשם הורה לאחר להיכנס לרכב הטויוטה ולנהוג. האחר עלה על מדרגת משאיתו של המתלונן, דפק על שמשת החלון, וצעק למתלונן לפתוח, אך המתלונן לא עשה כן. מיד לאחר מכן, נכנסו האחר והנאשם לרכב הטויוטה והחלו בנסיעה.</w:t>
      </w:r>
    </w:p>
    <w:p w14:paraId="09C99DE0" w14:textId="77777777" w:rsidR="00FB0F89" w:rsidRDefault="00FB0F89">
      <w:pPr>
        <w:pStyle w:val="ListParagraph"/>
        <w:spacing w:line="360" w:lineRule="auto"/>
        <w:rPr>
          <w:rFonts w:cs="David"/>
          <w:b/>
          <w:bCs/>
          <w:sz w:val="24"/>
          <w:szCs w:val="24"/>
          <w:u w:val="single"/>
        </w:rPr>
      </w:pPr>
    </w:p>
    <w:p w14:paraId="16BA5499"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לאחר נסיעה של 2-3 מטרים, עצרו השניים את הרכב. הנאשם ירד מהרכב כשהוא נושא אקדח, והחל לירות לעבר המתלונן, שישב במושב הנהג במשאית, וזאת ממרחק קצר. הנאשם ירה מספר פעמים ופגע, בין היתר, בשמשה הקדמית של המשאית, במשענת הראש של מושב הנהג, ובחלון המשאית. הנאשם חדל מן הירי רק כאשר אזלו הכדורים במחסנית. כל אותה העת, התכופף המתלונן בתוך המשאית וכך ניצל מפגיעה. מיד לאחר מכן, נמלט המתלונן מהמקום.</w:t>
      </w:r>
    </w:p>
    <w:p w14:paraId="054C2A3B" w14:textId="77777777" w:rsidR="00FB0F89" w:rsidRDefault="00FB0F89">
      <w:pPr>
        <w:pStyle w:val="ListParagraph"/>
        <w:spacing w:line="360" w:lineRule="auto"/>
        <w:rPr>
          <w:rFonts w:cs="David"/>
          <w:b/>
          <w:bCs/>
          <w:sz w:val="24"/>
          <w:szCs w:val="24"/>
          <w:u w:val="single"/>
        </w:rPr>
      </w:pPr>
    </w:p>
    <w:p w14:paraId="55FCD932"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כתוצאה מהתקיפה נגרמו למתלונן חבלות והמטומות בפניו, סביב עין ימין, ביד שמאל וברגל ימין. כתוצאה מהתקיפה והירי לעברו סובל המתלונן מחרדות, חוסר שינה וכאבי ראש. כתוצאה מהירי נגרמו נזקים למשאית.</w:t>
      </w:r>
    </w:p>
    <w:p w14:paraId="6025431B" w14:textId="77777777" w:rsidR="00FB0F89" w:rsidRDefault="00FB0F89">
      <w:pPr>
        <w:pStyle w:val="ListParagraph"/>
        <w:spacing w:line="360" w:lineRule="auto"/>
        <w:rPr>
          <w:rFonts w:cs="David"/>
          <w:b/>
          <w:bCs/>
          <w:sz w:val="24"/>
          <w:szCs w:val="24"/>
          <w:u w:val="single"/>
        </w:rPr>
      </w:pPr>
    </w:p>
    <w:p w14:paraId="108C4AE3" w14:textId="77777777" w:rsidR="00FB0F89" w:rsidRDefault="00097A6E">
      <w:pPr>
        <w:spacing w:line="360" w:lineRule="auto"/>
        <w:jc w:val="both"/>
        <w:rPr>
          <w:b/>
          <w:bCs/>
          <w:u w:val="single"/>
          <w:rtl/>
        </w:rPr>
      </w:pPr>
      <w:r>
        <w:rPr>
          <w:rFonts w:hint="cs"/>
          <w:b/>
          <w:bCs/>
          <w:u w:val="single"/>
          <w:rtl/>
        </w:rPr>
        <w:t>הראיות לעונש</w:t>
      </w:r>
    </w:p>
    <w:p w14:paraId="7121A567" w14:textId="77777777" w:rsidR="00FB0F89" w:rsidRDefault="00097A6E">
      <w:pPr>
        <w:pStyle w:val="ListParagraph"/>
        <w:numPr>
          <w:ilvl w:val="0"/>
          <w:numId w:val="1"/>
        </w:numPr>
        <w:spacing w:line="360" w:lineRule="auto"/>
        <w:jc w:val="both"/>
        <w:rPr>
          <w:rFonts w:cs="David"/>
          <w:sz w:val="24"/>
          <w:szCs w:val="24"/>
          <w:rtl/>
        </w:rPr>
      </w:pPr>
      <w:r>
        <w:rPr>
          <w:rFonts w:cs="David" w:hint="cs"/>
          <w:sz w:val="24"/>
          <w:szCs w:val="24"/>
          <w:rtl/>
        </w:rPr>
        <w:lastRenderedPageBreak/>
        <w:t xml:space="preserve">בין הנאשם לבין המתלונן נערך הסכם סולחה, אשר הוגש לעיוני </w:t>
      </w:r>
      <w:r>
        <w:rPr>
          <w:rFonts w:cs="David" w:hint="cs"/>
          <w:b/>
          <w:bCs/>
          <w:sz w:val="24"/>
          <w:szCs w:val="24"/>
          <w:rtl/>
        </w:rPr>
        <w:t>(ע/1)</w:t>
      </w:r>
      <w:r>
        <w:rPr>
          <w:rFonts w:cs="David" w:hint="cs"/>
          <w:sz w:val="24"/>
          <w:szCs w:val="24"/>
          <w:rtl/>
        </w:rPr>
        <w:t xml:space="preserve">. במסגרת ההסכם הצהירו הצדדים כי הנאשם והמתלונן סלחו האחד לשני, וכי הם מתחייבים להימנע משימוש באלימות בעתיד. עוד הוסכם כי הנאשם ישלם למתלונן פיצוי בסך 40,000 ₪. </w:t>
      </w:r>
    </w:p>
    <w:p w14:paraId="32D35070" w14:textId="77777777" w:rsidR="00FB0F89" w:rsidRDefault="00097A6E">
      <w:pPr>
        <w:pStyle w:val="ListParagraph"/>
        <w:spacing w:line="360" w:lineRule="auto"/>
        <w:jc w:val="both"/>
        <w:rPr>
          <w:rFonts w:cs="David"/>
          <w:sz w:val="24"/>
          <w:szCs w:val="24"/>
        </w:rPr>
      </w:pPr>
      <w:r>
        <w:rPr>
          <w:rFonts w:cs="David" w:hint="cs"/>
          <w:sz w:val="24"/>
          <w:szCs w:val="24"/>
          <w:rtl/>
        </w:rPr>
        <w:t xml:space="preserve">לדיון הטיעונים לעונש התייצב </w:t>
      </w:r>
      <w:r>
        <w:rPr>
          <w:rFonts w:cs="David" w:hint="cs"/>
          <w:b/>
          <w:bCs/>
          <w:sz w:val="24"/>
          <w:szCs w:val="24"/>
          <w:rtl/>
        </w:rPr>
        <w:t>המתלונן</w:t>
      </w:r>
      <w:r>
        <w:rPr>
          <w:rFonts w:cs="David" w:hint="cs"/>
          <w:sz w:val="24"/>
          <w:szCs w:val="24"/>
          <w:rtl/>
        </w:rPr>
        <w:t xml:space="preserve"> ואישר כי סלח לנאשם, וכי קיבל ממנו פיצוי כספי. הוא ביקש להקל בעונשו של הנאשם.</w:t>
      </w:r>
    </w:p>
    <w:p w14:paraId="6FC1A171" w14:textId="77777777" w:rsidR="00FB0F89" w:rsidRDefault="00FB0F89">
      <w:pPr>
        <w:pStyle w:val="ListParagraph"/>
        <w:spacing w:line="360" w:lineRule="auto"/>
        <w:jc w:val="both"/>
        <w:rPr>
          <w:rFonts w:cs="David"/>
          <w:sz w:val="24"/>
          <w:szCs w:val="24"/>
          <w:rtl/>
        </w:rPr>
      </w:pPr>
    </w:p>
    <w:p w14:paraId="725B5433" w14:textId="77777777" w:rsidR="00FB0F89" w:rsidRDefault="00097A6E">
      <w:pPr>
        <w:pStyle w:val="ListParagraph"/>
        <w:numPr>
          <w:ilvl w:val="0"/>
          <w:numId w:val="1"/>
        </w:numPr>
        <w:spacing w:line="360" w:lineRule="auto"/>
        <w:jc w:val="both"/>
        <w:rPr>
          <w:rFonts w:cs="David"/>
          <w:sz w:val="24"/>
          <w:szCs w:val="24"/>
          <w:rtl/>
        </w:rPr>
      </w:pPr>
      <w:r>
        <w:rPr>
          <w:rFonts w:cs="David" w:hint="cs"/>
          <w:sz w:val="24"/>
          <w:szCs w:val="24"/>
          <w:rtl/>
        </w:rPr>
        <w:t xml:space="preserve">סגן ראש עיריית כפר קאסם והאחראי על הביטחון בעיר, </w:t>
      </w:r>
      <w:r>
        <w:rPr>
          <w:rFonts w:cs="David" w:hint="cs"/>
          <w:b/>
          <w:bCs/>
          <w:sz w:val="24"/>
          <w:szCs w:val="24"/>
          <w:rtl/>
        </w:rPr>
        <w:t>מר עיסא חאלד</w:t>
      </w:r>
      <w:r>
        <w:rPr>
          <w:rFonts w:cs="David" w:hint="cs"/>
          <w:sz w:val="24"/>
          <w:szCs w:val="24"/>
          <w:rtl/>
        </w:rPr>
        <w:t>, העיד כי משפחתו של הנאשם היא משפחה נורמטיבית, המוכרת באזור מגוריה. אביו של הנאשם ידוע בתרומתו לקהילה. הוא ביקש להתחשב בנאשם, בין היתר נוכח הסבל שסבלה משפחתו בשל ההליך הפלילי נגדו.</w:t>
      </w:r>
    </w:p>
    <w:p w14:paraId="34BA14F3" w14:textId="77777777" w:rsidR="00FB0F89" w:rsidRDefault="00FB0F89">
      <w:pPr>
        <w:pStyle w:val="ListParagraph"/>
        <w:spacing w:line="360" w:lineRule="auto"/>
        <w:jc w:val="both"/>
        <w:rPr>
          <w:rFonts w:cs="David"/>
          <w:sz w:val="24"/>
          <w:szCs w:val="24"/>
        </w:rPr>
      </w:pPr>
    </w:p>
    <w:p w14:paraId="61C281D2" w14:textId="77777777" w:rsidR="00FB0F89" w:rsidRDefault="00097A6E">
      <w:pPr>
        <w:pStyle w:val="ListParagraph"/>
        <w:numPr>
          <w:ilvl w:val="0"/>
          <w:numId w:val="1"/>
        </w:numPr>
        <w:spacing w:line="360" w:lineRule="auto"/>
        <w:jc w:val="both"/>
        <w:rPr>
          <w:rFonts w:cs="David"/>
          <w:sz w:val="24"/>
          <w:szCs w:val="24"/>
        </w:rPr>
      </w:pPr>
      <w:r>
        <w:rPr>
          <w:rFonts w:cs="David" w:hint="cs"/>
          <w:sz w:val="24"/>
          <w:szCs w:val="24"/>
          <w:rtl/>
        </w:rPr>
        <w:t xml:space="preserve">אביו של הנאשם, </w:t>
      </w:r>
      <w:r>
        <w:rPr>
          <w:rFonts w:cs="David" w:hint="cs"/>
          <w:b/>
          <w:bCs/>
          <w:sz w:val="24"/>
          <w:szCs w:val="24"/>
          <w:rtl/>
        </w:rPr>
        <w:t>מר עארף עיסא</w:t>
      </w:r>
      <w:r>
        <w:rPr>
          <w:rFonts w:cs="David" w:hint="cs"/>
          <w:sz w:val="24"/>
          <w:szCs w:val="24"/>
          <w:rtl/>
        </w:rPr>
        <w:t>, סיפר כי הוא חבר בוועדה למניעת אלימות בכפר קאסם, המשתפת פעולה עם המשטרה ואנשי ציבור. הוא חש צער רב על מעשיו של בנו, והסביר כי לא חינך את הנאשם לפעול כפי שפעל. הוא סיפר כי פעל רבות על מנת לגבש סולחה בין המתלונן ובין הנאשם, עד שזו אכן הושגה.</w:t>
      </w:r>
    </w:p>
    <w:p w14:paraId="7DFB436E" w14:textId="77777777" w:rsidR="00FB0F89" w:rsidRDefault="00FB0F89">
      <w:pPr>
        <w:pStyle w:val="ListParagraph"/>
        <w:spacing w:line="360" w:lineRule="auto"/>
        <w:rPr>
          <w:rFonts w:cs="David"/>
          <w:b/>
          <w:bCs/>
          <w:sz w:val="24"/>
          <w:szCs w:val="24"/>
          <w:u w:val="single"/>
        </w:rPr>
      </w:pPr>
    </w:p>
    <w:p w14:paraId="2B56D39D" w14:textId="77777777" w:rsidR="00FB0F89" w:rsidRDefault="00097A6E">
      <w:pPr>
        <w:spacing w:line="360" w:lineRule="auto"/>
        <w:jc w:val="both"/>
        <w:rPr>
          <w:b/>
          <w:bCs/>
          <w:u w:val="single"/>
          <w:rtl/>
        </w:rPr>
      </w:pPr>
      <w:r>
        <w:rPr>
          <w:rFonts w:hint="cs"/>
          <w:b/>
          <w:bCs/>
          <w:u w:val="single"/>
          <w:rtl/>
        </w:rPr>
        <w:t>טענות המאשימה</w:t>
      </w:r>
    </w:p>
    <w:p w14:paraId="3D01033B" w14:textId="77777777" w:rsidR="00FB0F89" w:rsidRDefault="00097A6E">
      <w:pPr>
        <w:pStyle w:val="ListParagraph"/>
        <w:numPr>
          <w:ilvl w:val="0"/>
          <w:numId w:val="1"/>
        </w:numPr>
        <w:spacing w:line="360" w:lineRule="auto"/>
        <w:jc w:val="both"/>
        <w:rPr>
          <w:rFonts w:cs="David"/>
          <w:b/>
          <w:bCs/>
          <w:sz w:val="24"/>
          <w:szCs w:val="24"/>
          <w:rtl/>
        </w:rPr>
      </w:pPr>
      <w:r>
        <w:rPr>
          <w:rFonts w:cs="David" w:hint="cs"/>
          <w:b/>
          <w:bCs/>
          <w:sz w:val="24"/>
          <w:szCs w:val="24"/>
          <w:rtl/>
        </w:rPr>
        <w:t xml:space="preserve">ב"כ המאשימה </w:t>
      </w:r>
      <w:r>
        <w:rPr>
          <w:rFonts w:cs="David" w:hint="cs"/>
          <w:sz w:val="24"/>
          <w:szCs w:val="24"/>
          <w:rtl/>
        </w:rPr>
        <w:t xml:space="preserve">טענה כי מתחם העונש ההולם את מעשיו של הנאשם, אשר יש לראותם כאירוע אחד, נע </w:t>
      </w:r>
      <w:r>
        <w:rPr>
          <w:rFonts w:cs="David" w:hint="cs"/>
          <w:b/>
          <w:bCs/>
          <w:sz w:val="24"/>
          <w:szCs w:val="24"/>
          <w:rtl/>
        </w:rPr>
        <w:t>בין 4 ל-7 שנות מאסר</w:t>
      </w:r>
      <w:r>
        <w:rPr>
          <w:rFonts w:cs="David" w:hint="cs"/>
          <w:sz w:val="24"/>
          <w:szCs w:val="24"/>
          <w:rtl/>
        </w:rPr>
        <w:t>.</w:t>
      </w:r>
      <w:r>
        <w:rPr>
          <w:rFonts w:cs="David" w:hint="cs"/>
          <w:b/>
          <w:bCs/>
          <w:sz w:val="24"/>
          <w:szCs w:val="24"/>
          <w:rtl/>
        </w:rPr>
        <w:t xml:space="preserve"> </w:t>
      </w:r>
      <w:r>
        <w:rPr>
          <w:rFonts w:cs="David" w:hint="cs"/>
          <w:sz w:val="24"/>
          <w:szCs w:val="24"/>
          <w:rtl/>
        </w:rPr>
        <w:t>המאשימה הגישה שני פסקי-דין לתמיכה בעתירתה.</w:t>
      </w:r>
    </w:p>
    <w:p w14:paraId="6AE5B610" w14:textId="77777777" w:rsidR="00FB0F89" w:rsidRDefault="00FB0F89">
      <w:pPr>
        <w:pStyle w:val="ListParagraph"/>
        <w:spacing w:line="360" w:lineRule="auto"/>
        <w:jc w:val="both"/>
        <w:rPr>
          <w:rFonts w:cs="David"/>
          <w:b/>
          <w:bCs/>
          <w:sz w:val="24"/>
          <w:szCs w:val="24"/>
        </w:rPr>
      </w:pPr>
    </w:p>
    <w:p w14:paraId="09867688" w14:textId="77777777" w:rsidR="00FB0F89" w:rsidRDefault="00097A6E">
      <w:pPr>
        <w:pStyle w:val="ListParagraph"/>
        <w:numPr>
          <w:ilvl w:val="0"/>
          <w:numId w:val="1"/>
        </w:numPr>
        <w:spacing w:line="360" w:lineRule="auto"/>
        <w:jc w:val="both"/>
        <w:rPr>
          <w:rFonts w:cs="David"/>
          <w:b/>
          <w:bCs/>
          <w:sz w:val="24"/>
          <w:szCs w:val="24"/>
        </w:rPr>
      </w:pPr>
      <w:r>
        <w:rPr>
          <w:rFonts w:cs="David" w:hint="cs"/>
          <w:sz w:val="24"/>
          <w:szCs w:val="24"/>
          <w:rtl/>
        </w:rPr>
        <w:t>נטען כי כתב האישום המתוקן מתאר אירוע חמור ביותר. התנהלותו של הנאשם לאורך האירוע מלמדת כי לא מדובר בהתקף זעם נקודתי, בלתי נשלט. מדובר באירוע מתגלגל, שהלך והסלים ככל שנמשך.</w:t>
      </w:r>
    </w:p>
    <w:p w14:paraId="067DF67B" w14:textId="77777777" w:rsidR="00FB0F89" w:rsidRDefault="00FB0F89">
      <w:pPr>
        <w:pStyle w:val="ListParagraph"/>
        <w:spacing w:line="360" w:lineRule="auto"/>
        <w:jc w:val="both"/>
        <w:rPr>
          <w:rFonts w:cs="David"/>
          <w:b/>
          <w:bCs/>
          <w:sz w:val="24"/>
          <w:szCs w:val="24"/>
        </w:rPr>
      </w:pPr>
    </w:p>
    <w:p w14:paraId="29659391" w14:textId="77777777" w:rsidR="00FB0F89" w:rsidRDefault="00097A6E">
      <w:pPr>
        <w:pStyle w:val="ListParagraph"/>
        <w:numPr>
          <w:ilvl w:val="0"/>
          <w:numId w:val="1"/>
        </w:numPr>
        <w:spacing w:line="360" w:lineRule="auto"/>
        <w:jc w:val="both"/>
        <w:rPr>
          <w:rFonts w:cs="David"/>
          <w:b/>
          <w:bCs/>
          <w:sz w:val="24"/>
          <w:szCs w:val="24"/>
          <w:rtl/>
        </w:rPr>
      </w:pPr>
      <w:r>
        <w:rPr>
          <w:rFonts w:cs="David" w:hint="cs"/>
          <w:sz w:val="24"/>
          <w:szCs w:val="24"/>
          <w:rtl/>
        </w:rPr>
        <w:t>מעשיו של הנאשם פגעו בביטחון הציבור, בסדר הציבורי, בערך חיי האדם וכן הסבו למתלונן פגיעות גוף. פוטנציאל הנזק בענייננו, בשים לב לשימוש בנשק החם ובירי המכוון על מנת לפגוע, חמור ביותר. מעשיו של הנאשם היו עשויים לפגוע גם בעוברי אורח.</w:t>
      </w:r>
    </w:p>
    <w:p w14:paraId="38DAF512" w14:textId="77777777" w:rsidR="00FB0F89" w:rsidRDefault="00FB0F89">
      <w:pPr>
        <w:pStyle w:val="ListParagraph"/>
        <w:spacing w:line="360" w:lineRule="auto"/>
        <w:jc w:val="both"/>
        <w:rPr>
          <w:rFonts w:cs="David"/>
          <w:sz w:val="24"/>
          <w:szCs w:val="24"/>
        </w:rPr>
      </w:pPr>
    </w:p>
    <w:p w14:paraId="42F893BF" w14:textId="77777777" w:rsidR="00FB0F89" w:rsidRDefault="00097A6E">
      <w:pPr>
        <w:pStyle w:val="ListParagraph"/>
        <w:numPr>
          <w:ilvl w:val="0"/>
          <w:numId w:val="1"/>
        </w:numPr>
        <w:spacing w:line="360" w:lineRule="auto"/>
        <w:jc w:val="both"/>
        <w:rPr>
          <w:rFonts w:cs="David"/>
          <w:b/>
          <w:bCs/>
          <w:sz w:val="24"/>
          <w:szCs w:val="24"/>
          <w:rtl/>
        </w:rPr>
      </w:pPr>
      <w:r>
        <w:rPr>
          <w:rFonts w:cs="David" w:hint="cs"/>
          <w:sz w:val="24"/>
          <w:szCs w:val="24"/>
          <w:rtl/>
        </w:rPr>
        <w:t>הנאשם עשה שימוש בנשק חם לצורך פתרון סכסוך. מדובר בהתנהגות שיש להוקיע באופן חד משמעי, באמצעות הטלת עונשים מחמירים, וזאת הן כגמול על המעשים החמורים והן לצורך הרתעה.</w:t>
      </w:r>
    </w:p>
    <w:p w14:paraId="5548E8EB" w14:textId="77777777" w:rsidR="00FB0F89" w:rsidRDefault="00FB0F89">
      <w:pPr>
        <w:pStyle w:val="ListParagraph"/>
        <w:spacing w:line="360" w:lineRule="auto"/>
        <w:rPr>
          <w:rFonts w:cs="David"/>
          <w:b/>
          <w:bCs/>
          <w:sz w:val="24"/>
          <w:szCs w:val="24"/>
        </w:rPr>
      </w:pPr>
    </w:p>
    <w:p w14:paraId="691C53BD" w14:textId="77777777" w:rsidR="00FB0F89" w:rsidRDefault="00097A6E">
      <w:pPr>
        <w:pStyle w:val="ListParagraph"/>
        <w:numPr>
          <w:ilvl w:val="0"/>
          <w:numId w:val="1"/>
        </w:numPr>
        <w:spacing w:line="360" w:lineRule="auto"/>
        <w:jc w:val="both"/>
        <w:rPr>
          <w:rFonts w:cs="David"/>
          <w:b/>
          <w:bCs/>
          <w:sz w:val="24"/>
          <w:szCs w:val="24"/>
          <w:rtl/>
        </w:rPr>
      </w:pPr>
      <w:r>
        <w:rPr>
          <w:rFonts w:cs="David" w:hint="cs"/>
          <w:sz w:val="24"/>
          <w:szCs w:val="24"/>
          <w:rtl/>
        </w:rPr>
        <w:t>אשר לנסיבות שאינן קשורות בביצוע העבירה, ציינה המאשימה את הודייתו של הנאשם בביצוע העבירה ואת היותו נעדר כל עבר פלילי. המאשימה ציינה גם את הסדר הסולחה שהושג בין הצדדים, אך טענה כי אין בהסדר זה כדי להשפיע על עונש המאסר שייגזר על הנאשם, והוא נוגע רק לעניין הפיצוי למתלונן, שאינו נדרש נוכח הפיצוי עליו הסכימו הצדדים.</w:t>
      </w:r>
    </w:p>
    <w:p w14:paraId="7EC567BA" w14:textId="77777777" w:rsidR="00FB0F89" w:rsidRDefault="00FB0F89">
      <w:pPr>
        <w:pStyle w:val="ListParagraph"/>
        <w:spacing w:line="360" w:lineRule="auto"/>
        <w:rPr>
          <w:rFonts w:cs="David"/>
          <w:sz w:val="24"/>
          <w:szCs w:val="24"/>
        </w:rPr>
      </w:pPr>
    </w:p>
    <w:p w14:paraId="76294440" w14:textId="77777777" w:rsidR="00FB0F89" w:rsidRDefault="00097A6E">
      <w:pPr>
        <w:pStyle w:val="ListParagraph"/>
        <w:numPr>
          <w:ilvl w:val="0"/>
          <w:numId w:val="1"/>
        </w:numPr>
        <w:spacing w:line="360" w:lineRule="auto"/>
        <w:jc w:val="both"/>
        <w:rPr>
          <w:rFonts w:cs="David"/>
          <w:b/>
          <w:bCs/>
          <w:sz w:val="24"/>
          <w:szCs w:val="24"/>
          <w:rtl/>
        </w:rPr>
      </w:pPr>
      <w:r>
        <w:rPr>
          <w:rFonts w:cs="David" w:hint="cs"/>
          <w:sz w:val="24"/>
          <w:szCs w:val="24"/>
          <w:rtl/>
        </w:rPr>
        <w:t xml:space="preserve"> המאשימה סבורה כי יש לגזור על הנאשם עונש מאסר בפועל המצוי באמצע מתחם הענישה אליו עתרה, וכן להטיל עליו עונש מאסר על-תנאי, הצופה פני עתיד.</w:t>
      </w:r>
    </w:p>
    <w:p w14:paraId="282C4ADB" w14:textId="77777777" w:rsidR="00FB0F89" w:rsidRDefault="00FB0F89">
      <w:pPr>
        <w:pStyle w:val="ListParagraph"/>
        <w:spacing w:line="360" w:lineRule="auto"/>
        <w:rPr>
          <w:rFonts w:cs="David"/>
          <w:b/>
          <w:bCs/>
          <w:sz w:val="24"/>
          <w:szCs w:val="24"/>
          <w:u w:val="single"/>
        </w:rPr>
      </w:pPr>
    </w:p>
    <w:p w14:paraId="464073EC" w14:textId="77777777" w:rsidR="00FB0F89" w:rsidRDefault="00097A6E">
      <w:pPr>
        <w:spacing w:line="360" w:lineRule="auto"/>
        <w:jc w:val="both"/>
        <w:rPr>
          <w:b/>
          <w:bCs/>
          <w:u w:val="single"/>
          <w:rtl/>
        </w:rPr>
      </w:pPr>
      <w:r>
        <w:rPr>
          <w:rFonts w:hint="cs"/>
          <w:b/>
          <w:bCs/>
          <w:u w:val="single"/>
          <w:rtl/>
        </w:rPr>
        <w:t>טענות ההגנה</w:t>
      </w:r>
    </w:p>
    <w:p w14:paraId="31ABFFB3"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b/>
          <w:bCs/>
          <w:sz w:val="24"/>
          <w:szCs w:val="24"/>
          <w:rtl/>
        </w:rPr>
        <w:t>ב"כ הנאשם</w:t>
      </w:r>
      <w:r>
        <w:rPr>
          <w:rFonts w:cs="David" w:hint="cs"/>
          <w:sz w:val="24"/>
          <w:szCs w:val="24"/>
          <w:rtl/>
        </w:rPr>
        <w:t xml:space="preserve"> טען כי מתחם העונש ההולם את האירוע נע בין </w:t>
      </w:r>
      <w:r>
        <w:rPr>
          <w:rFonts w:cs="David" w:hint="cs"/>
          <w:b/>
          <w:bCs/>
          <w:sz w:val="24"/>
          <w:szCs w:val="24"/>
          <w:rtl/>
        </w:rPr>
        <w:t>15 ל-30 חודשי מאסר בפועל</w:t>
      </w:r>
      <w:r>
        <w:rPr>
          <w:rFonts w:cs="David" w:hint="cs"/>
          <w:sz w:val="24"/>
          <w:szCs w:val="24"/>
          <w:rtl/>
        </w:rPr>
        <w:t>.</w:t>
      </w:r>
    </w:p>
    <w:p w14:paraId="2E7D3D23" w14:textId="77777777" w:rsidR="00FB0F89" w:rsidRDefault="00FB0F89">
      <w:pPr>
        <w:pStyle w:val="ListParagraph"/>
        <w:spacing w:line="360" w:lineRule="auto"/>
        <w:jc w:val="both"/>
        <w:rPr>
          <w:rFonts w:cs="David"/>
          <w:b/>
          <w:bCs/>
          <w:sz w:val="24"/>
          <w:szCs w:val="24"/>
          <w:u w:val="single"/>
        </w:rPr>
      </w:pPr>
    </w:p>
    <w:p w14:paraId="159F29A8" w14:textId="77777777" w:rsidR="00FB0F89" w:rsidRDefault="00097A6E">
      <w:pPr>
        <w:pStyle w:val="ListParagraph"/>
        <w:numPr>
          <w:ilvl w:val="0"/>
          <w:numId w:val="1"/>
        </w:numPr>
        <w:spacing w:line="360" w:lineRule="auto"/>
        <w:jc w:val="both"/>
        <w:rPr>
          <w:rFonts w:cs="David"/>
          <w:b/>
          <w:bCs/>
          <w:sz w:val="24"/>
          <w:szCs w:val="24"/>
          <w:u w:val="single"/>
        </w:rPr>
      </w:pPr>
      <w:r>
        <w:rPr>
          <w:rFonts w:cs="David" w:hint="cs"/>
          <w:sz w:val="24"/>
          <w:szCs w:val="24"/>
          <w:rtl/>
        </w:rPr>
        <w:t>נטען כי כתב-האישום בעניינו של הנאשם תוקן באופן משמעותי לקולא. הנאשם לא הורשע בעבירה חמורה יותר הדורשת כוונה מחמירה לפגוע במתלונן, וזאת מאחר שלא הייתה לו כוונה לפגוע במתלונן בעת שירה בו. הנאשם ראה שהמתלונן מתכופף בזמן הירי, וידע שלא יצליח לפגוע בו, אך לא קרב אל המשאית על-מנת לנסות לפגוע במתלונן ישירות. יתר על כן, החבלות שנגרמו למתלונן בתחילת האירוע, אינן קשות.</w:t>
      </w:r>
    </w:p>
    <w:p w14:paraId="160DBF84" w14:textId="77777777" w:rsidR="00FB0F89" w:rsidRDefault="00FB0F89">
      <w:pPr>
        <w:pStyle w:val="ListParagraph"/>
        <w:spacing w:line="360" w:lineRule="auto"/>
        <w:rPr>
          <w:rFonts w:cs="David"/>
          <w:sz w:val="24"/>
          <w:szCs w:val="24"/>
        </w:rPr>
      </w:pPr>
    </w:p>
    <w:p w14:paraId="2878E83F"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ב"כ הנאשם הדגיש את הודאתו של הנאשם בעבירות שיוחסו לו, ואת לקיחת האחריות שלו על מעשיו, אשר הובילו לחסכון משמעותי בזמן שיפוטי. </w:t>
      </w:r>
    </w:p>
    <w:p w14:paraId="417282B1" w14:textId="77777777" w:rsidR="00FB0F89" w:rsidRDefault="00FB0F89">
      <w:pPr>
        <w:pStyle w:val="ListParagraph"/>
        <w:spacing w:line="360" w:lineRule="auto"/>
        <w:rPr>
          <w:rFonts w:cs="David"/>
          <w:sz w:val="24"/>
          <w:szCs w:val="24"/>
        </w:rPr>
      </w:pPr>
    </w:p>
    <w:p w14:paraId="610C96EB"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הנאשם, צעיר בן 24, מביע חרטה כנה על מעשיו. לנאשם אין כל עבר פלילי, והוא שוהה במעצר מזה תקופה ארוכה. טרם מעצרו עבד באופן מסודר ורציף (תלושי השכר של הנאשם הוגשו - </w:t>
      </w:r>
      <w:r>
        <w:rPr>
          <w:rFonts w:cs="David" w:hint="cs"/>
          <w:b/>
          <w:bCs/>
          <w:sz w:val="24"/>
          <w:szCs w:val="24"/>
          <w:rtl/>
        </w:rPr>
        <w:t>ע/2</w:t>
      </w:r>
      <w:r>
        <w:rPr>
          <w:rFonts w:cs="David" w:hint="cs"/>
          <w:sz w:val="24"/>
          <w:szCs w:val="24"/>
          <w:rtl/>
        </w:rPr>
        <w:t>). הנאשם אף התארס ועמד להינשא קודם למעצרו.</w:t>
      </w:r>
    </w:p>
    <w:p w14:paraId="3B068E50" w14:textId="77777777" w:rsidR="00FB0F89" w:rsidRDefault="00097A6E">
      <w:pPr>
        <w:pStyle w:val="ListParagraph"/>
        <w:spacing w:line="360" w:lineRule="auto"/>
        <w:jc w:val="both"/>
        <w:rPr>
          <w:rFonts w:cs="David"/>
          <w:b/>
          <w:bCs/>
          <w:sz w:val="24"/>
          <w:szCs w:val="24"/>
          <w:u w:val="single"/>
        </w:rPr>
      </w:pPr>
      <w:r>
        <w:rPr>
          <w:rFonts w:cs="David" w:hint="cs"/>
          <w:sz w:val="24"/>
          <w:szCs w:val="24"/>
          <w:rtl/>
        </w:rPr>
        <w:t>משפחתו של הנאשם היא משפחה נורמטיבית, אשר הביעה צער רב על מעשיו ופעלה להשגת סולחה. במסגרת הסכם הסולחה פיצה הנאשם את המתלונן בפיצוי משמעותי, על אף שהמתלונן כלל לא נפגע מהירי ולא נגרמו לו נזקים חמורים. יש בכך כדי להעיד על כנות החרטה שלו.</w:t>
      </w:r>
    </w:p>
    <w:p w14:paraId="058E5DD8" w14:textId="77777777" w:rsidR="00FB0F89" w:rsidRDefault="00FB0F89">
      <w:pPr>
        <w:pStyle w:val="ListParagraph"/>
        <w:spacing w:line="360" w:lineRule="auto"/>
        <w:rPr>
          <w:rFonts w:cs="David"/>
          <w:b/>
          <w:bCs/>
          <w:sz w:val="24"/>
          <w:szCs w:val="24"/>
          <w:u w:val="single"/>
        </w:rPr>
      </w:pPr>
    </w:p>
    <w:p w14:paraId="41B2E596" w14:textId="77777777" w:rsidR="00FB0F89" w:rsidRDefault="00097A6E">
      <w:pPr>
        <w:pStyle w:val="ListParagraph"/>
        <w:numPr>
          <w:ilvl w:val="0"/>
          <w:numId w:val="1"/>
        </w:numPr>
        <w:spacing w:line="360" w:lineRule="auto"/>
        <w:jc w:val="both"/>
        <w:rPr>
          <w:rFonts w:cs="David"/>
          <w:b/>
          <w:bCs/>
          <w:sz w:val="24"/>
          <w:szCs w:val="24"/>
          <w:u w:val="single"/>
          <w:rtl/>
        </w:rPr>
      </w:pPr>
      <w:r>
        <w:rPr>
          <w:rFonts w:cs="David" w:hint="cs"/>
          <w:sz w:val="24"/>
          <w:szCs w:val="24"/>
          <w:rtl/>
        </w:rPr>
        <w:t xml:space="preserve">בשים לב לנסיבות לקולא, סבור הסנגור כי יש לגזור על הנאשם </w:t>
      </w:r>
      <w:r>
        <w:rPr>
          <w:rFonts w:cs="David" w:hint="cs"/>
          <w:b/>
          <w:bCs/>
          <w:sz w:val="24"/>
          <w:szCs w:val="24"/>
          <w:u w:val="single"/>
          <w:rtl/>
        </w:rPr>
        <w:t>18 חודשי מאסר בפועל</w:t>
      </w:r>
      <w:r>
        <w:rPr>
          <w:rFonts w:cs="David" w:hint="cs"/>
          <w:sz w:val="24"/>
          <w:szCs w:val="24"/>
          <w:rtl/>
        </w:rPr>
        <w:t>. הסנגור הגיש אסופת פסיקה לתמיכה בעתירתו העונשית.</w:t>
      </w:r>
    </w:p>
    <w:p w14:paraId="071E753A" w14:textId="77777777" w:rsidR="00FB0F89" w:rsidRDefault="00FB0F89">
      <w:pPr>
        <w:pStyle w:val="ListParagraph"/>
        <w:spacing w:line="360" w:lineRule="auto"/>
        <w:jc w:val="both"/>
        <w:rPr>
          <w:rFonts w:cs="David"/>
          <w:b/>
          <w:bCs/>
          <w:sz w:val="24"/>
          <w:szCs w:val="24"/>
          <w:u w:val="single"/>
        </w:rPr>
      </w:pPr>
    </w:p>
    <w:p w14:paraId="3683DB5B" w14:textId="77777777" w:rsidR="00FB0F89" w:rsidRDefault="00097A6E">
      <w:pPr>
        <w:pStyle w:val="ListParagraph"/>
        <w:numPr>
          <w:ilvl w:val="0"/>
          <w:numId w:val="1"/>
        </w:numPr>
        <w:spacing w:line="360" w:lineRule="auto"/>
        <w:jc w:val="both"/>
        <w:rPr>
          <w:rFonts w:cs="David"/>
          <w:b/>
          <w:bCs/>
          <w:sz w:val="24"/>
          <w:szCs w:val="24"/>
          <w:u w:val="single"/>
        </w:rPr>
      </w:pPr>
      <w:r>
        <w:rPr>
          <w:rFonts w:cs="David" w:hint="cs"/>
          <w:b/>
          <w:bCs/>
          <w:sz w:val="24"/>
          <w:szCs w:val="24"/>
          <w:u w:val="single"/>
          <w:rtl/>
        </w:rPr>
        <w:t>הנאשם</w:t>
      </w:r>
      <w:r>
        <w:rPr>
          <w:rFonts w:cs="David" w:hint="cs"/>
          <w:sz w:val="24"/>
          <w:szCs w:val="24"/>
          <w:rtl/>
        </w:rPr>
        <w:t xml:space="preserve"> מסר בדבריו לעונש כי הוא מתחרט ומצטער על העבירות שביצע.</w:t>
      </w:r>
    </w:p>
    <w:p w14:paraId="7B830F1E" w14:textId="77777777" w:rsidR="00FB0F89" w:rsidRDefault="00097A6E">
      <w:pPr>
        <w:spacing w:line="360" w:lineRule="auto"/>
        <w:jc w:val="both"/>
        <w:rPr>
          <w:b/>
          <w:bCs/>
          <w:u w:val="single"/>
          <w:rtl/>
        </w:rPr>
      </w:pPr>
      <w:r>
        <w:rPr>
          <w:rFonts w:hint="cs"/>
          <w:b/>
          <w:bCs/>
          <w:u w:val="single"/>
          <w:rtl/>
        </w:rPr>
        <w:t>דיון והכרעה</w:t>
      </w:r>
    </w:p>
    <w:p w14:paraId="6DE7E2AA" w14:textId="77777777" w:rsidR="00FB0F89" w:rsidRDefault="00097A6E">
      <w:pPr>
        <w:spacing w:line="360" w:lineRule="auto"/>
        <w:jc w:val="both"/>
        <w:rPr>
          <w:b/>
          <w:bCs/>
          <w:u w:val="single"/>
          <w:rtl/>
        </w:rPr>
      </w:pPr>
      <w:r>
        <w:rPr>
          <w:rFonts w:hint="cs"/>
          <w:b/>
          <w:bCs/>
          <w:u w:val="single"/>
          <w:rtl/>
        </w:rPr>
        <w:t>מתחם העונש ההולם</w:t>
      </w:r>
    </w:p>
    <w:p w14:paraId="73EF7BD5" w14:textId="77777777" w:rsidR="00FB0F89" w:rsidRDefault="00097A6E">
      <w:pPr>
        <w:pStyle w:val="ListParagraph"/>
        <w:numPr>
          <w:ilvl w:val="0"/>
          <w:numId w:val="1"/>
        </w:numPr>
        <w:spacing w:after="0" w:line="360" w:lineRule="auto"/>
        <w:jc w:val="both"/>
        <w:rPr>
          <w:rFonts w:cs="David"/>
          <w:sz w:val="24"/>
          <w:szCs w:val="24"/>
          <w:rtl/>
        </w:rPr>
      </w:pPr>
      <w:r>
        <w:rPr>
          <w:rFonts w:cs="David" w:hint="cs"/>
          <w:sz w:val="24"/>
          <w:szCs w:val="24"/>
          <w:rtl/>
        </w:rPr>
        <w:t>עובדות כתב-האישום מעלות כי הנאשם ביצע מספר עבירות בפרק זמן קצר, במקום אחד, וכנגד מתלונן אחד. לפיכך, נכון לקבוע כי העבירות הינן חלק ממסכת עבריינית אחת וכי קיים קשר הדוק ביניהן. במצב דברים זה, יש לראות במעשים שביצע הנאשם אירוע אחד ולקבוע מתחם ענישה כולל בגינם. גם הצדדים עתרו לקביעת מתחם ענישה אחד לכלל העבירות אותן ביצע הנאשם.</w:t>
      </w:r>
    </w:p>
    <w:p w14:paraId="456E7FC2" w14:textId="77777777" w:rsidR="00FB0F89" w:rsidRDefault="00FB0F89">
      <w:pPr>
        <w:pStyle w:val="ListParagraph"/>
        <w:spacing w:after="0" w:line="360" w:lineRule="auto"/>
        <w:jc w:val="both"/>
        <w:rPr>
          <w:rFonts w:cs="David"/>
          <w:sz w:val="24"/>
          <w:szCs w:val="24"/>
        </w:rPr>
      </w:pPr>
    </w:p>
    <w:p w14:paraId="3B28062D" w14:textId="77777777" w:rsidR="00FB0F89" w:rsidRDefault="00097A6E">
      <w:pPr>
        <w:pStyle w:val="ListParagraph"/>
        <w:numPr>
          <w:ilvl w:val="0"/>
          <w:numId w:val="1"/>
        </w:numPr>
        <w:spacing w:after="0" w:line="360" w:lineRule="auto"/>
        <w:jc w:val="both"/>
        <w:rPr>
          <w:rFonts w:cs="David"/>
          <w:sz w:val="24"/>
          <w:szCs w:val="24"/>
        </w:rPr>
      </w:pPr>
      <w:r>
        <w:rPr>
          <w:rFonts w:cs="David" w:hint="cs"/>
          <w:sz w:val="24"/>
          <w:szCs w:val="24"/>
          <w:rtl/>
        </w:rPr>
        <w:t>בהתאם להוראות תיקון 113 ל</w:t>
      </w:r>
      <w:hyperlink r:id="rId30" w:history="1">
        <w:r w:rsidRPr="00097A6E">
          <w:rPr>
            <w:rStyle w:val="Hyperlink"/>
            <w:rFonts w:cs="David" w:hint="cs"/>
            <w:sz w:val="24"/>
            <w:szCs w:val="24"/>
            <w:rtl/>
          </w:rPr>
          <w:t>חוק</w:t>
        </w:r>
        <w:r w:rsidRPr="00097A6E">
          <w:rPr>
            <w:rStyle w:val="Hyperlink"/>
            <w:rFonts w:cs="David"/>
            <w:sz w:val="24"/>
            <w:szCs w:val="24"/>
            <w:rtl/>
          </w:rPr>
          <w:t xml:space="preserve"> </w:t>
        </w:r>
        <w:r w:rsidRPr="00097A6E">
          <w:rPr>
            <w:rStyle w:val="Hyperlink"/>
            <w:rFonts w:cs="David" w:hint="cs"/>
            <w:sz w:val="24"/>
            <w:szCs w:val="24"/>
            <w:rtl/>
          </w:rPr>
          <w:t>העונשין</w:t>
        </w:r>
      </w:hyperlink>
      <w:r>
        <w:rPr>
          <w:rFonts w:cs="David" w:hint="cs"/>
          <w:sz w:val="24"/>
          <w:szCs w:val="24"/>
          <w:rtl/>
        </w:rPr>
        <w:t>, לצורך קביעת מתחם העונש ההולם יש להתחשב בערך החברתי שנפגע ממעשי הנאשם, במידת הפגיעה בו, בנסיבות הקשורות בביצוע העבירה ובמדיניות הענישה הנוהגת.</w:t>
      </w:r>
    </w:p>
    <w:p w14:paraId="0981B7E1" w14:textId="77777777" w:rsidR="00FB0F89" w:rsidRDefault="00FB0F89">
      <w:pPr>
        <w:spacing w:line="360" w:lineRule="auto"/>
        <w:jc w:val="both"/>
        <w:rPr>
          <w:rtl/>
        </w:rPr>
      </w:pPr>
    </w:p>
    <w:p w14:paraId="5077E9CF" w14:textId="77777777" w:rsidR="00FB0F89" w:rsidRDefault="00097A6E">
      <w:pPr>
        <w:spacing w:line="360" w:lineRule="auto"/>
        <w:jc w:val="both"/>
        <w:rPr>
          <w:u w:val="single"/>
          <w:rtl/>
        </w:rPr>
      </w:pPr>
      <w:r>
        <w:rPr>
          <w:rFonts w:hint="cs"/>
          <w:u w:val="single"/>
          <w:rtl/>
        </w:rPr>
        <w:t>הערכים המוגנים שנפגעו, ומידת הפגיעה בהם</w:t>
      </w:r>
    </w:p>
    <w:p w14:paraId="23519772" w14:textId="77777777" w:rsidR="00FB0F89" w:rsidRDefault="00FB0F89">
      <w:pPr>
        <w:spacing w:line="360" w:lineRule="auto"/>
        <w:jc w:val="both"/>
        <w:rPr>
          <w:rtl/>
        </w:rPr>
      </w:pPr>
    </w:p>
    <w:p w14:paraId="0C2BC3D0" w14:textId="77777777" w:rsidR="00FB0F89" w:rsidRDefault="00097A6E">
      <w:pPr>
        <w:pStyle w:val="ListParagraph"/>
        <w:numPr>
          <w:ilvl w:val="0"/>
          <w:numId w:val="1"/>
        </w:numPr>
        <w:spacing w:after="0" w:line="360" w:lineRule="auto"/>
        <w:jc w:val="both"/>
        <w:rPr>
          <w:rFonts w:cs="David"/>
          <w:b/>
          <w:bCs/>
          <w:sz w:val="24"/>
          <w:szCs w:val="24"/>
        </w:rPr>
      </w:pPr>
      <w:r>
        <w:rPr>
          <w:rFonts w:cs="David" w:hint="cs"/>
          <w:sz w:val="24"/>
          <w:szCs w:val="24"/>
          <w:rtl/>
        </w:rPr>
        <w:t>הערכים המוגנים שנפגעו בשל העבירות שביצע הנאשם הם שמירה על הזכות לביטחון, לחיים ושלמות הגוף, וכן שמירה על הסדר הציבורי ותחושת הביטחון של הציבור.</w:t>
      </w:r>
    </w:p>
    <w:p w14:paraId="0603BC69" w14:textId="77777777" w:rsidR="00FB0F89" w:rsidRDefault="00FB0F89">
      <w:pPr>
        <w:pStyle w:val="ListParagraph"/>
        <w:spacing w:after="0" w:line="360" w:lineRule="auto"/>
        <w:jc w:val="both"/>
        <w:rPr>
          <w:rFonts w:cs="David"/>
          <w:b/>
          <w:bCs/>
          <w:sz w:val="24"/>
          <w:szCs w:val="24"/>
        </w:rPr>
      </w:pPr>
    </w:p>
    <w:p w14:paraId="585FC450" w14:textId="77777777" w:rsidR="00FB0F89" w:rsidRDefault="00097A6E">
      <w:pPr>
        <w:pStyle w:val="ListParagraph"/>
        <w:numPr>
          <w:ilvl w:val="0"/>
          <w:numId w:val="1"/>
        </w:numPr>
        <w:spacing w:after="0" w:line="360" w:lineRule="auto"/>
        <w:jc w:val="both"/>
        <w:rPr>
          <w:rFonts w:cs="David"/>
          <w:sz w:val="24"/>
          <w:szCs w:val="24"/>
        </w:rPr>
      </w:pPr>
      <w:r>
        <w:rPr>
          <w:rFonts w:cs="David" w:hint="cs"/>
          <w:sz w:val="24"/>
          <w:szCs w:val="24"/>
          <w:rtl/>
        </w:rPr>
        <w:t>מידת הפגיעה בערכים אלה בענייננו אינה מבוטלת.</w:t>
      </w:r>
      <w:r>
        <w:rPr>
          <w:rFonts w:cs="David" w:hint="cs"/>
          <w:b/>
          <w:bCs/>
          <w:sz w:val="24"/>
          <w:szCs w:val="24"/>
          <w:rtl/>
        </w:rPr>
        <w:t xml:space="preserve"> </w:t>
      </w:r>
      <w:r>
        <w:rPr>
          <w:rFonts w:cs="David" w:hint="cs"/>
          <w:sz w:val="24"/>
          <w:szCs w:val="24"/>
          <w:rtl/>
        </w:rPr>
        <w:t>הנאשם תקף את המתלונן בשל מחלוקת הנוגעת לפגיעה אפשרית של המתלונן ברכושו, וזאת במקום ליישב את המחלוקת בדרך מקובלת ותוך שמירה על החוק. הנאשם כילה את זעמו במתלונן באמצעות תקיפה מילולית ופיזית, בגינה נגרמו למתלונן חבלות גוף. הנאשם לא הסתפק בכך ובהמשך קרא לאדם נוסף שישמש לו כתגבורת, שלף אקדח וירה לעבר משאיתו של המתלונן מספר יריות, שעה שהוא יודע שהמתלונן מצוי בה, ואף כוון את הירי אל מקום מושבו של המתלונן. מעשיו של הנאשם סיכנו את חייו של המתלונן, הוא סבל לאחר האירוע מחרדות ומחוסר שינה, וברי כי תחושת הביטחון שלו נפגעה משמעותית. יתר על כן, המעשים, שבוצעו בשעת צהריים, היו עלולים להביא לפגיעה אף בעוברי אורח.</w:t>
      </w:r>
    </w:p>
    <w:p w14:paraId="6CFB056E" w14:textId="77777777" w:rsidR="00FB0F89" w:rsidRDefault="00FB0F89">
      <w:pPr>
        <w:spacing w:line="360" w:lineRule="auto"/>
        <w:jc w:val="both"/>
        <w:rPr>
          <w:u w:val="single"/>
        </w:rPr>
      </w:pPr>
    </w:p>
    <w:p w14:paraId="750C3B07" w14:textId="77777777" w:rsidR="00FB0F89" w:rsidRDefault="00097A6E">
      <w:pPr>
        <w:spacing w:line="360" w:lineRule="auto"/>
        <w:jc w:val="both"/>
        <w:rPr>
          <w:u w:val="single"/>
          <w:rtl/>
        </w:rPr>
      </w:pPr>
      <w:r>
        <w:rPr>
          <w:rFonts w:hint="cs"/>
          <w:u w:val="single"/>
          <w:rtl/>
        </w:rPr>
        <w:t>נסיבות ביצוע העבירות</w:t>
      </w:r>
    </w:p>
    <w:p w14:paraId="7141754C" w14:textId="77777777" w:rsidR="00FB0F89" w:rsidRDefault="00FB0F89">
      <w:pPr>
        <w:pStyle w:val="ListParagraph"/>
        <w:spacing w:after="0" w:line="360" w:lineRule="auto"/>
        <w:jc w:val="both"/>
        <w:rPr>
          <w:rFonts w:cs="David"/>
          <w:sz w:val="24"/>
          <w:szCs w:val="24"/>
          <w:rtl/>
        </w:rPr>
      </w:pPr>
    </w:p>
    <w:p w14:paraId="773DEB41" w14:textId="77777777" w:rsidR="00FB0F89" w:rsidRDefault="00097A6E">
      <w:pPr>
        <w:pStyle w:val="ListParagraph"/>
        <w:numPr>
          <w:ilvl w:val="0"/>
          <w:numId w:val="1"/>
        </w:numPr>
        <w:spacing w:after="0" w:line="360" w:lineRule="auto"/>
        <w:jc w:val="both"/>
        <w:rPr>
          <w:rFonts w:cs="David"/>
          <w:sz w:val="24"/>
          <w:szCs w:val="24"/>
        </w:rPr>
      </w:pPr>
      <w:r>
        <w:rPr>
          <w:rFonts w:cs="David" w:hint="cs"/>
          <w:sz w:val="24"/>
          <w:szCs w:val="24"/>
          <w:rtl/>
        </w:rPr>
        <w:t xml:space="preserve">האירוע המתואר בכתב-האישום איננו ממושך, אך ניתן להבחין בשלביו השונים ובהסלמה בהתנהגותו של הנאשם לאורך האירוע. תחילתו של האירוע בויכוח מילולי ובאיומים על המתלונן. המשכו אלימות פיזית מצידו של הנאשם- דחיפות, שליחת אגרופים ובעיטות, וכן קריאה לאדם נוסף שיסייע לו. סופו של האירוע בירי בנשק חם לכיוונו של המתלונן. </w:t>
      </w:r>
    </w:p>
    <w:p w14:paraId="1D770631" w14:textId="77777777" w:rsidR="00FB0F89" w:rsidRDefault="00097A6E">
      <w:pPr>
        <w:pStyle w:val="ListParagraph"/>
        <w:spacing w:after="0" w:line="360" w:lineRule="auto"/>
        <w:jc w:val="both"/>
        <w:rPr>
          <w:rFonts w:cs="David"/>
          <w:sz w:val="24"/>
          <w:szCs w:val="24"/>
        </w:rPr>
      </w:pPr>
      <w:r>
        <w:rPr>
          <w:rFonts w:cs="David" w:hint="cs"/>
          <w:sz w:val="24"/>
          <w:szCs w:val="24"/>
          <w:rtl/>
        </w:rPr>
        <w:t>ההסלמה בהתנהגותו של הנאשם מלמדת כי לא מדובר בתגובה בלתי נשלטת לוויכוח המילולי עם המתלונן, אלא במעשים שבוצעו מתוך בחירה לפעול באלימות, התנהלות המהווה נסיבה מחמירה. יחד עם זאת, מכתב-האישום עולה כי מעשיו של הנאשם לא תוכננו מראש, אלא בוצעו כתגובה מיידית לוויכוח שהתעורר בינו לבין המתלונן בשל שפיכת הבטון מיד קודם לאירוע.</w:t>
      </w:r>
    </w:p>
    <w:p w14:paraId="7A3536BA" w14:textId="77777777" w:rsidR="00FB0F89" w:rsidRDefault="00FB0F89">
      <w:pPr>
        <w:pStyle w:val="ListParagraph"/>
        <w:spacing w:line="360" w:lineRule="auto"/>
        <w:rPr>
          <w:rFonts w:cs="David"/>
          <w:sz w:val="24"/>
          <w:szCs w:val="24"/>
        </w:rPr>
      </w:pPr>
    </w:p>
    <w:p w14:paraId="66816EDC" w14:textId="77777777" w:rsidR="00FB0F89" w:rsidRDefault="00097A6E">
      <w:pPr>
        <w:pStyle w:val="ListParagraph"/>
        <w:numPr>
          <w:ilvl w:val="0"/>
          <w:numId w:val="1"/>
        </w:numPr>
        <w:spacing w:after="0" w:line="360" w:lineRule="auto"/>
        <w:jc w:val="both"/>
        <w:rPr>
          <w:rFonts w:cs="David"/>
          <w:sz w:val="24"/>
          <w:szCs w:val="24"/>
          <w:rtl/>
        </w:rPr>
      </w:pPr>
      <w:r>
        <w:rPr>
          <w:rFonts w:cs="David" w:hint="cs"/>
          <w:sz w:val="24"/>
          <w:szCs w:val="24"/>
          <w:rtl/>
        </w:rPr>
        <w:t>טענת הסנגור כי בהתאם לעבירות בהן הורשע הנאשם לא ניתן לייחס לו כוונה לפגוע באמצעות הירי בגופו של המתלונן, נכונה. יחד עם זאת, התנהלותו במהלך הירי מלמדת באופן שאינו משתמע לשני פנים על אדישותו ביחס לאפשרות גרימתה של חבלה חמורה למתלונן. השימוש בנשק חם מספר פעמים, כיוון הירי אל מקום מושבו של המתלונן, והעובדה שהנאשם חדל מהירי רק לאחר שאזלו כל הכדורים שהיו במחסנית האקדח, מצביעים על תעוזתו של הנאשם ועל העדר כל עכבות בהתנהלותו, ובכך קיימת חומרה יתרה.</w:t>
      </w:r>
    </w:p>
    <w:p w14:paraId="0E86E057" w14:textId="77777777" w:rsidR="00FB0F89" w:rsidRDefault="00FB0F89">
      <w:pPr>
        <w:pStyle w:val="ListParagraph"/>
        <w:spacing w:after="0" w:line="360" w:lineRule="auto"/>
        <w:jc w:val="both"/>
        <w:rPr>
          <w:rFonts w:cs="David"/>
          <w:sz w:val="24"/>
          <w:szCs w:val="24"/>
        </w:rPr>
      </w:pPr>
    </w:p>
    <w:p w14:paraId="67592B17" w14:textId="77777777" w:rsidR="00FB0F89" w:rsidRDefault="00097A6E">
      <w:pPr>
        <w:pStyle w:val="ListParagraph"/>
        <w:numPr>
          <w:ilvl w:val="0"/>
          <w:numId w:val="1"/>
        </w:numPr>
        <w:spacing w:after="0" w:line="360" w:lineRule="auto"/>
        <w:jc w:val="both"/>
        <w:rPr>
          <w:rFonts w:cs="David"/>
          <w:sz w:val="24"/>
          <w:szCs w:val="24"/>
        </w:rPr>
      </w:pPr>
      <w:r>
        <w:rPr>
          <w:rFonts w:cs="David" w:hint="cs"/>
          <w:sz w:val="24"/>
          <w:szCs w:val="24"/>
          <w:rtl/>
        </w:rPr>
        <w:t>כתוצאה מתקיפתו של הנאשם נגרמו למתלונן נזקי גוף בדמות המטומות בפניו, ידו ורגלו, וכן נזק רכושי למשאיתו. כמו כן סבל המתלונן מחרדות, חוסר שינה, וכאבי ראש. צודק הסנגור בטענתו כי מדובר בנזקים קלים יחסית, שאינם מתמשכים. יחד עם זאת, בקביעת מתחם העונש ההולם יש להביא בחשבון אף את הנזק הפוטנציאלי ממעשיו של הנאשם. ברי כי הנזק במקרה זה עלול היה להיות חמור ביותר, עד כדי קטילת חייו של המתלונן.</w:t>
      </w:r>
    </w:p>
    <w:p w14:paraId="62D7081D" w14:textId="77777777" w:rsidR="00FB0F89" w:rsidRDefault="00FB0F89">
      <w:pPr>
        <w:pStyle w:val="ListParagraph"/>
        <w:spacing w:line="360" w:lineRule="auto"/>
        <w:rPr>
          <w:rFonts w:cs="David"/>
          <w:sz w:val="24"/>
          <w:szCs w:val="24"/>
        </w:rPr>
      </w:pPr>
    </w:p>
    <w:p w14:paraId="6E5F3CEA" w14:textId="77777777" w:rsidR="00FB0F89" w:rsidRDefault="00097A6E">
      <w:pPr>
        <w:spacing w:line="360" w:lineRule="auto"/>
        <w:rPr>
          <w:u w:val="single"/>
          <w:rtl/>
        </w:rPr>
      </w:pPr>
      <w:r>
        <w:rPr>
          <w:rFonts w:hint="cs"/>
          <w:u w:val="single"/>
          <w:rtl/>
        </w:rPr>
        <w:t>מדיניות הענישה הנהוגה</w:t>
      </w:r>
    </w:p>
    <w:p w14:paraId="56B0CAED" w14:textId="77777777" w:rsidR="00FB0F89" w:rsidRDefault="00097A6E">
      <w:pPr>
        <w:pStyle w:val="ListParagraph"/>
        <w:numPr>
          <w:ilvl w:val="0"/>
          <w:numId w:val="1"/>
        </w:numPr>
        <w:spacing w:line="360" w:lineRule="auto"/>
        <w:jc w:val="both"/>
        <w:rPr>
          <w:rFonts w:cs="David"/>
          <w:sz w:val="24"/>
          <w:szCs w:val="24"/>
          <w:rtl/>
        </w:rPr>
      </w:pPr>
      <w:r>
        <w:rPr>
          <w:rFonts w:cs="David" w:hint="cs"/>
          <w:sz w:val="24"/>
          <w:szCs w:val="24"/>
          <w:rtl/>
        </w:rPr>
        <w:t xml:space="preserve">העונש המקסימלי הקבוע בחוק לעבירות של הובלה ונשיאה של נשק הינו </w:t>
      </w:r>
      <w:r>
        <w:rPr>
          <w:rFonts w:cs="David" w:hint="cs"/>
          <w:sz w:val="24"/>
          <w:szCs w:val="24"/>
          <w:u w:val="single"/>
          <w:rtl/>
        </w:rPr>
        <w:t>10 שנות מאסר</w:t>
      </w:r>
      <w:r>
        <w:rPr>
          <w:rFonts w:cs="David" w:hint="cs"/>
          <w:sz w:val="24"/>
          <w:szCs w:val="24"/>
          <w:rtl/>
        </w:rPr>
        <w:t xml:space="preserve">. קיימת מדיניות של החמרה בעבירות נשק, אשר באה לידי ביטוי בשורה ארוכה של פסקי-דין של בית-המשפט העליון (ראו למשל: </w:t>
      </w:r>
      <w:hyperlink r:id="rId31" w:history="1">
        <w:r w:rsidRPr="00097A6E">
          <w:rPr>
            <w:rStyle w:val="Hyperlink"/>
            <w:rFonts w:cs="David" w:hint="cs"/>
            <w:sz w:val="24"/>
            <w:szCs w:val="24"/>
            <w:rtl/>
          </w:rPr>
          <w:t>ע</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4945/13</w:t>
        </w:r>
      </w:hyperlink>
      <w:r>
        <w:rPr>
          <w:rFonts w:cs="David" w:hint="cs"/>
          <w:sz w:val="24"/>
          <w:szCs w:val="24"/>
          <w:rtl/>
        </w:rPr>
        <w:t xml:space="preserve"> </w:t>
      </w:r>
      <w:r>
        <w:rPr>
          <w:rFonts w:cs="David" w:hint="cs"/>
          <w:b/>
          <w:bCs/>
          <w:sz w:val="24"/>
          <w:szCs w:val="24"/>
          <w:rtl/>
        </w:rPr>
        <w:t xml:space="preserve">מדינת ישראל נ' סלימאן </w:t>
      </w:r>
      <w:r>
        <w:rPr>
          <w:rFonts w:cs="David" w:hint="cs"/>
          <w:sz w:val="24"/>
          <w:szCs w:val="24"/>
          <w:rtl/>
        </w:rPr>
        <w:t xml:space="preserve">(19.4.2014); </w:t>
      </w:r>
      <w:hyperlink r:id="rId32" w:history="1">
        <w:r w:rsidRPr="00097A6E">
          <w:rPr>
            <w:rStyle w:val="Hyperlink"/>
            <w:rFonts w:cs="David" w:hint="cs"/>
            <w:sz w:val="24"/>
            <w:szCs w:val="24"/>
            <w:rtl/>
          </w:rPr>
          <w:t>ע</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2398/14</w:t>
        </w:r>
      </w:hyperlink>
      <w:r>
        <w:rPr>
          <w:rFonts w:cs="David" w:hint="cs"/>
          <w:sz w:val="24"/>
          <w:szCs w:val="24"/>
          <w:rtl/>
        </w:rPr>
        <w:t xml:space="preserve"> </w:t>
      </w:r>
      <w:r>
        <w:rPr>
          <w:rFonts w:cs="David" w:hint="cs"/>
          <w:b/>
          <w:bCs/>
          <w:sz w:val="24"/>
          <w:szCs w:val="24"/>
          <w:rtl/>
        </w:rPr>
        <w:t xml:space="preserve">אלהזייל נ' מדינת ישראל </w:t>
      </w:r>
      <w:r>
        <w:rPr>
          <w:rFonts w:cs="David" w:hint="cs"/>
          <w:sz w:val="24"/>
          <w:szCs w:val="24"/>
          <w:rtl/>
        </w:rPr>
        <w:t>(8.7.2014)). זמינות של נשק חם בידי מי שאינם מורשים לכך, עלולה להביא לביצוע עבירות אלימות, כפי שאכן ארע בענייננו, כאשר נעשה שימוש כזה לצורך יישוב סכסוך ומחלוקת. כפי שטענה המאשימה, לשיקולי ההרתעה יש משקל של ממש בעבירות אלה.</w:t>
      </w:r>
    </w:p>
    <w:p w14:paraId="5765D1EB" w14:textId="77777777" w:rsidR="00FB0F89" w:rsidRDefault="00FB0F89">
      <w:pPr>
        <w:pStyle w:val="ListParagraph"/>
        <w:spacing w:line="360" w:lineRule="auto"/>
        <w:jc w:val="both"/>
        <w:rPr>
          <w:rFonts w:cs="David"/>
          <w:sz w:val="24"/>
          <w:szCs w:val="24"/>
        </w:rPr>
      </w:pPr>
    </w:p>
    <w:p w14:paraId="78330CD1" w14:textId="77777777" w:rsidR="00FB0F89" w:rsidRDefault="00097A6E">
      <w:pPr>
        <w:pStyle w:val="ListParagraph"/>
        <w:numPr>
          <w:ilvl w:val="0"/>
          <w:numId w:val="1"/>
        </w:numPr>
        <w:spacing w:line="360" w:lineRule="auto"/>
        <w:jc w:val="both"/>
        <w:rPr>
          <w:rFonts w:cs="David"/>
          <w:sz w:val="24"/>
          <w:szCs w:val="24"/>
        </w:rPr>
      </w:pPr>
      <w:r>
        <w:rPr>
          <w:rFonts w:cs="David" w:hint="cs"/>
          <w:sz w:val="24"/>
          <w:szCs w:val="24"/>
          <w:rtl/>
        </w:rPr>
        <w:t xml:space="preserve">ניסיונו של הנאשם לפגוע במתלונן באמצעות ירי לעברו הוביל להרשעתו בביצוע עבירת ניסיון לחבלה חמורה בנסיבות מחמירות, עבירת אלימות שהעונש המקסימלי בגינה הינו </w:t>
      </w:r>
      <w:r>
        <w:rPr>
          <w:rFonts w:cs="David" w:hint="cs"/>
          <w:sz w:val="24"/>
          <w:szCs w:val="24"/>
          <w:u w:val="single"/>
          <w:rtl/>
        </w:rPr>
        <w:t>14 שנות מאסר</w:t>
      </w:r>
      <w:r>
        <w:rPr>
          <w:rFonts w:cs="David" w:hint="cs"/>
          <w:sz w:val="24"/>
          <w:szCs w:val="24"/>
          <w:rtl/>
        </w:rPr>
        <w:t>.</w:t>
      </w:r>
    </w:p>
    <w:p w14:paraId="597FB612" w14:textId="77777777" w:rsidR="00FB0F89" w:rsidRDefault="00097A6E">
      <w:pPr>
        <w:pStyle w:val="ListParagraph"/>
        <w:spacing w:line="360" w:lineRule="auto"/>
        <w:jc w:val="both"/>
        <w:rPr>
          <w:rFonts w:cs="David"/>
          <w:sz w:val="24"/>
          <w:szCs w:val="24"/>
        </w:rPr>
      </w:pPr>
      <w:r>
        <w:rPr>
          <w:rFonts w:cs="David" w:hint="cs"/>
          <w:sz w:val="24"/>
          <w:szCs w:val="24"/>
          <w:rtl/>
        </w:rPr>
        <w:t>מדיניות הענישה בעבירה זו משתנה בשים לב לנסיבות הספציפיות של כל מקרה. בענייננו מדובר על ניסיון לחבול באדם תוך שימוש בנשק חם, נסיבה המעלה את רף הענישה משמעותית, בשל הסיכון הרב לחיי אדם הנשקף ממעשים מעין אלו.</w:t>
      </w:r>
    </w:p>
    <w:p w14:paraId="1378AC08" w14:textId="77777777" w:rsidR="00FB0F89" w:rsidRDefault="00FB0F89">
      <w:pPr>
        <w:pStyle w:val="ListParagraph"/>
        <w:spacing w:line="360" w:lineRule="auto"/>
        <w:jc w:val="both"/>
        <w:rPr>
          <w:rFonts w:cs="David"/>
          <w:sz w:val="24"/>
          <w:szCs w:val="24"/>
        </w:rPr>
      </w:pPr>
    </w:p>
    <w:p w14:paraId="176C5A11" w14:textId="77777777" w:rsidR="00FB0F89" w:rsidRDefault="00097A6E">
      <w:pPr>
        <w:pStyle w:val="ListParagraph"/>
        <w:numPr>
          <w:ilvl w:val="0"/>
          <w:numId w:val="1"/>
        </w:numPr>
        <w:spacing w:after="0" w:line="360" w:lineRule="auto"/>
        <w:jc w:val="both"/>
        <w:rPr>
          <w:rFonts w:cs="David"/>
          <w:sz w:val="24"/>
          <w:szCs w:val="24"/>
        </w:rPr>
      </w:pPr>
      <w:r>
        <w:rPr>
          <w:rFonts w:cs="David" w:hint="cs"/>
          <w:sz w:val="24"/>
          <w:szCs w:val="24"/>
          <w:rtl/>
        </w:rPr>
        <w:t>בעת בחינת מדיניות הענישה הנהוגה בעבירות בהן הורשע הנאשם נעזרתי בפסקי-הדין הבאים, המתארים מעשים דומים לנידון בענייננו, תוך הבחנה ותשומת לב לשוני בעבירות שיוחסו לנאשמים בכל אחד מהמקרים, ולנסיבות השונות, לרבות העובדה שמדובר במעשים שתוכננו מראש:</w:t>
      </w:r>
    </w:p>
    <w:p w14:paraId="32C809A1" w14:textId="77777777" w:rsidR="00FB0F89" w:rsidRDefault="00FB0F89">
      <w:pPr>
        <w:pStyle w:val="ListParagraph"/>
        <w:spacing w:line="360" w:lineRule="auto"/>
        <w:rPr>
          <w:rFonts w:cs="David"/>
          <w:sz w:val="24"/>
          <w:szCs w:val="24"/>
        </w:rPr>
      </w:pPr>
    </w:p>
    <w:p w14:paraId="3F263BF5" w14:textId="77777777" w:rsidR="00FB0F89" w:rsidRDefault="00097A6E">
      <w:pPr>
        <w:pStyle w:val="ListParagraph"/>
        <w:numPr>
          <w:ilvl w:val="1"/>
          <w:numId w:val="1"/>
        </w:numPr>
        <w:spacing w:after="0" w:line="360" w:lineRule="auto"/>
        <w:jc w:val="both"/>
        <w:rPr>
          <w:rFonts w:cs="David"/>
          <w:sz w:val="24"/>
          <w:szCs w:val="24"/>
          <w:rtl/>
        </w:rPr>
      </w:pPr>
      <w:hyperlink r:id="rId33" w:history="1">
        <w:r w:rsidRPr="00097A6E">
          <w:rPr>
            <w:rStyle w:val="Hyperlink"/>
            <w:rFonts w:cs="David" w:hint="cs"/>
            <w:sz w:val="24"/>
            <w:szCs w:val="24"/>
            <w:rtl/>
          </w:rPr>
          <w:t>ע</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1880/14</w:t>
        </w:r>
      </w:hyperlink>
      <w:r>
        <w:rPr>
          <w:rFonts w:cs="David" w:hint="cs"/>
          <w:sz w:val="24"/>
          <w:szCs w:val="24"/>
          <w:rtl/>
        </w:rPr>
        <w:t xml:space="preserve"> </w:t>
      </w:r>
      <w:r>
        <w:rPr>
          <w:rFonts w:cs="David" w:hint="cs"/>
          <w:b/>
          <w:bCs/>
          <w:sz w:val="24"/>
          <w:szCs w:val="24"/>
          <w:rtl/>
        </w:rPr>
        <w:t xml:space="preserve">פלוני נ' מדינת ישראל </w:t>
      </w:r>
      <w:r>
        <w:rPr>
          <w:rFonts w:cs="David" w:hint="cs"/>
          <w:sz w:val="24"/>
          <w:szCs w:val="24"/>
          <w:rtl/>
        </w:rPr>
        <w:t>(19.11.2014)- המערער הורשע בביצוע עבירות של נשיאת נשק שלא כדין, ניסיון לחבלה חמורה בנסיבות מחמירות ואיומים, בכך שבעקבות ויכוח עם המתלוננת בנוגע לכלב השייך למשפחת המערער, הצטייד הנאשם בנשק, הגיע לביתה של המתלוננת, וירה ארבע יריות לעברה, בעודה מנסה להסתתר. לאחר מכן איים על מתלוננת נוספת כי ירצח את ילדיה.</w:t>
      </w:r>
    </w:p>
    <w:p w14:paraId="38D6F102" w14:textId="77777777" w:rsidR="00FB0F89" w:rsidRDefault="00097A6E">
      <w:pPr>
        <w:pStyle w:val="ListParagraph"/>
        <w:spacing w:after="0" w:line="360" w:lineRule="auto"/>
        <w:ind w:left="1440"/>
        <w:jc w:val="both"/>
        <w:rPr>
          <w:rFonts w:cs="David"/>
          <w:sz w:val="24"/>
          <w:szCs w:val="24"/>
        </w:rPr>
      </w:pPr>
      <w:r>
        <w:rPr>
          <w:rFonts w:cs="David" w:hint="cs"/>
          <w:sz w:val="24"/>
          <w:szCs w:val="24"/>
          <w:rtl/>
        </w:rPr>
        <w:t xml:space="preserve">המערער הודה בביצוע המעשים, אך שירות המבחן התרשם כי אינו לוקח אחריות מלאה למעשיו, וכי הסיכוי להישנות עבירות אלימות מצידו הינו גבוה. </w:t>
      </w:r>
    </w:p>
    <w:p w14:paraId="28E8ACC0" w14:textId="77777777" w:rsidR="00FB0F89" w:rsidRDefault="00097A6E">
      <w:pPr>
        <w:pStyle w:val="ListParagraph"/>
        <w:spacing w:after="0" w:line="360" w:lineRule="auto"/>
        <w:ind w:left="1440"/>
        <w:jc w:val="both"/>
        <w:rPr>
          <w:rFonts w:cs="David"/>
          <w:sz w:val="24"/>
          <w:szCs w:val="24"/>
          <w:rtl/>
        </w:rPr>
      </w:pPr>
      <w:r>
        <w:rPr>
          <w:rFonts w:cs="David" w:hint="cs"/>
          <w:sz w:val="24"/>
          <w:szCs w:val="24"/>
          <w:rtl/>
        </w:rPr>
        <w:t xml:space="preserve">בית המשפט המחוזי גזר על המערער עונש של </w:t>
      </w:r>
      <w:r>
        <w:rPr>
          <w:rFonts w:cs="David" w:hint="cs"/>
          <w:b/>
          <w:bCs/>
          <w:sz w:val="24"/>
          <w:szCs w:val="24"/>
          <w:rtl/>
        </w:rPr>
        <w:t>40 חודשי מאסר בפועל</w:t>
      </w:r>
      <w:r>
        <w:rPr>
          <w:rFonts w:cs="David" w:hint="cs"/>
          <w:sz w:val="24"/>
          <w:szCs w:val="24"/>
          <w:rtl/>
        </w:rPr>
        <w:t xml:space="preserve"> והפעיל עונש מאסר מותנה בן 6 החודשים שהוטל עליו במסגרת הרשעה בתיק אחר, במצטבר לעונש זה. ערעור המערער על חומרת עונשו נדחה.</w:t>
      </w:r>
    </w:p>
    <w:p w14:paraId="0137FF1F" w14:textId="77777777" w:rsidR="00FB0F89" w:rsidRDefault="00FB0F89">
      <w:pPr>
        <w:pStyle w:val="ListParagraph"/>
        <w:spacing w:after="0" w:line="360" w:lineRule="auto"/>
        <w:ind w:left="1440"/>
        <w:jc w:val="both"/>
        <w:rPr>
          <w:rFonts w:cs="David"/>
          <w:sz w:val="24"/>
          <w:szCs w:val="24"/>
          <w:rtl/>
        </w:rPr>
      </w:pPr>
    </w:p>
    <w:p w14:paraId="5C42F2AB" w14:textId="77777777" w:rsidR="00FB0F89" w:rsidRDefault="00097A6E">
      <w:pPr>
        <w:pStyle w:val="ListParagraph"/>
        <w:numPr>
          <w:ilvl w:val="1"/>
          <w:numId w:val="1"/>
        </w:numPr>
        <w:spacing w:after="0" w:line="360" w:lineRule="auto"/>
        <w:jc w:val="both"/>
        <w:rPr>
          <w:rFonts w:cs="David"/>
          <w:sz w:val="24"/>
          <w:szCs w:val="24"/>
        </w:rPr>
      </w:pPr>
      <w:hyperlink r:id="rId34" w:history="1">
        <w:r w:rsidRPr="00097A6E">
          <w:rPr>
            <w:rStyle w:val="Hyperlink"/>
            <w:rFonts w:cs="David" w:hint="cs"/>
            <w:sz w:val="24"/>
            <w:szCs w:val="24"/>
            <w:rtl/>
          </w:rPr>
          <w:t>ע</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5717/14</w:t>
        </w:r>
      </w:hyperlink>
      <w:r>
        <w:rPr>
          <w:rFonts w:cs="David" w:hint="cs"/>
          <w:sz w:val="24"/>
          <w:szCs w:val="24"/>
          <w:rtl/>
        </w:rPr>
        <w:t xml:space="preserve"> </w:t>
      </w:r>
      <w:r>
        <w:rPr>
          <w:rFonts w:cs="David" w:hint="cs"/>
          <w:b/>
          <w:bCs/>
          <w:sz w:val="24"/>
          <w:szCs w:val="24"/>
          <w:rtl/>
        </w:rPr>
        <w:t xml:space="preserve">מדינת ישראל נ' גדבאן </w:t>
      </w:r>
      <w:r>
        <w:rPr>
          <w:rFonts w:cs="David" w:hint="cs"/>
          <w:sz w:val="24"/>
          <w:szCs w:val="24"/>
          <w:rtl/>
        </w:rPr>
        <w:t xml:space="preserve">(2.12.2014)- הנאשם חשד כי המתלונן פגע בשמו הטוב, ובעקבות זאת הגיע למקום מושבו של המתלונן כשהוא נושא כלי נשק ותחמושת. הנאשם ירה באוויר ירייה אחת, וצעק לעברו של המתלונן. לאחר מכן התקרב אליו וירה שתי יריות לעבר הקרקע, בסמוך למקום בו עמד המתלונן. קליע אחד מהקליעים שנורו פגע ברגלו הימנית של המתלונן, הוא נזקק לאשפוז ורגלו גובסה. </w:t>
      </w:r>
    </w:p>
    <w:p w14:paraId="0F6482FC" w14:textId="77777777" w:rsidR="00FB0F89" w:rsidRDefault="00097A6E">
      <w:pPr>
        <w:pStyle w:val="ListParagraph"/>
        <w:spacing w:after="0" w:line="360" w:lineRule="auto"/>
        <w:ind w:left="1440"/>
        <w:jc w:val="both"/>
        <w:rPr>
          <w:rFonts w:cs="David"/>
          <w:sz w:val="24"/>
          <w:szCs w:val="24"/>
        </w:rPr>
      </w:pPr>
      <w:r>
        <w:rPr>
          <w:rFonts w:cs="David" w:hint="cs"/>
          <w:sz w:val="24"/>
          <w:szCs w:val="24"/>
          <w:rtl/>
        </w:rPr>
        <w:t xml:space="preserve">הנאשם, אשר לו עבר פלילי, הודה בביצוע העבירות והורשע </w:t>
      </w:r>
      <w:r>
        <w:rPr>
          <w:rFonts w:cs="David" w:hint="cs"/>
          <w:sz w:val="24"/>
          <w:szCs w:val="24"/>
          <w:u w:val="single"/>
          <w:rtl/>
        </w:rPr>
        <w:t>בעבירה מושלמת</w:t>
      </w:r>
      <w:r>
        <w:rPr>
          <w:rFonts w:cs="David" w:hint="cs"/>
          <w:sz w:val="24"/>
          <w:szCs w:val="24"/>
          <w:rtl/>
        </w:rPr>
        <w:t xml:space="preserve"> של חבלה חמורה בנסיבות חמורות, וכן בעבירת הובלה ונשיאת נשק. בית-המשפט המחוזי גזר עליו 20 חודשי מאסר בפועל וכן עונשי מאסר על תנאי. בית-המשפט העליון קיבל את ערעור המדינה והעמיד את עונשו של הנאשם על </w:t>
      </w:r>
      <w:r>
        <w:rPr>
          <w:rFonts w:cs="David" w:hint="cs"/>
          <w:b/>
          <w:bCs/>
          <w:sz w:val="24"/>
          <w:szCs w:val="24"/>
          <w:rtl/>
        </w:rPr>
        <w:t>30 חודשי מאסר בפועל.</w:t>
      </w:r>
    </w:p>
    <w:p w14:paraId="1E01BBF7" w14:textId="77777777" w:rsidR="00FB0F89" w:rsidRDefault="00097A6E">
      <w:pPr>
        <w:pStyle w:val="ListParagraph"/>
        <w:spacing w:after="0" w:line="360" w:lineRule="auto"/>
        <w:ind w:left="1440"/>
        <w:jc w:val="both"/>
        <w:rPr>
          <w:rFonts w:cs="David"/>
          <w:sz w:val="24"/>
          <w:szCs w:val="24"/>
          <w:rtl/>
        </w:rPr>
      </w:pPr>
      <w:r>
        <w:rPr>
          <w:rFonts w:cs="David" w:hint="cs"/>
          <w:sz w:val="24"/>
          <w:szCs w:val="24"/>
          <w:rtl/>
        </w:rPr>
        <w:t xml:space="preserve"> </w:t>
      </w:r>
    </w:p>
    <w:p w14:paraId="4394B1F8" w14:textId="77777777" w:rsidR="00FB0F89" w:rsidRDefault="00097A6E">
      <w:pPr>
        <w:pStyle w:val="ListParagraph"/>
        <w:numPr>
          <w:ilvl w:val="1"/>
          <w:numId w:val="1"/>
        </w:numPr>
        <w:spacing w:after="0" w:line="360" w:lineRule="auto"/>
        <w:jc w:val="both"/>
        <w:rPr>
          <w:rFonts w:cs="David"/>
          <w:sz w:val="24"/>
          <w:szCs w:val="24"/>
        </w:rPr>
      </w:pPr>
      <w:hyperlink r:id="rId35" w:history="1">
        <w:r w:rsidRPr="00097A6E">
          <w:rPr>
            <w:rStyle w:val="Hyperlink"/>
            <w:rFonts w:cs="David" w:hint="cs"/>
            <w:sz w:val="24"/>
            <w:szCs w:val="24"/>
            <w:rtl/>
          </w:rPr>
          <w:t>ת</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w:t>
        </w:r>
        <w:r w:rsidRPr="00097A6E">
          <w:rPr>
            <w:rStyle w:val="Hyperlink"/>
            <w:rFonts w:cs="David" w:hint="cs"/>
            <w:sz w:val="24"/>
            <w:szCs w:val="24"/>
            <w:rtl/>
          </w:rPr>
          <w:t>מחוזי</w:t>
        </w:r>
        <w:r w:rsidRPr="00097A6E">
          <w:rPr>
            <w:rStyle w:val="Hyperlink"/>
            <w:rFonts w:cs="David"/>
            <w:sz w:val="24"/>
            <w:szCs w:val="24"/>
            <w:rtl/>
          </w:rPr>
          <w:t xml:space="preserve"> </w:t>
        </w:r>
        <w:r w:rsidRPr="00097A6E">
          <w:rPr>
            <w:rStyle w:val="Hyperlink"/>
            <w:rFonts w:cs="David" w:hint="cs"/>
            <w:sz w:val="24"/>
            <w:szCs w:val="24"/>
            <w:rtl/>
          </w:rPr>
          <w:t>נצרת</w:t>
        </w:r>
        <w:r w:rsidRPr="00097A6E">
          <w:rPr>
            <w:rStyle w:val="Hyperlink"/>
            <w:rFonts w:cs="David"/>
            <w:sz w:val="24"/>
            <w:szCs w:val="24"/>
            <w:rtl/>
          </w:rPr>
          <w:t>) 35105-06-12</w:t>
        </w:r>
      </w:hyperlink>
      <w:r>
        <w:rPr>
          <w:rFonts w:cs="David" w:hint="cs"/>
          <w:sz w:val="24"/>
          <w:szCs w:val="24"/>
          <w:rtl/>
        </w:rPr>
        <w:t xml:space="preserve"> </w:t>
      </w:r>
      <w:r>
        <w:rPr>
          <w:rFonts w:cs="David" w:hint="cs"/>
          <w:b/>
          <w:bCs/>
          <w:sz w:val="24"/>
          <w:szCs w:val="24"/>
          <w:rtl/>
        </w:rPr>
        <w:t xml:space="preserve">מדינת ישראל נ' מחמוד </w:t>
      </w:r>
      <w:r>
        <w:rPr>
          <w:rFonts w:cs="David" w:hint="cs"/>
          <w:sz w:val="24"/>
          <w:szCs w:val="24"/>
          <w:rtl/>
        </w:rPr>
        <w:t xml:space="preserve">(19.2.2013), </w:t>
      </w:r>
      <w:r>
        <w:rPr>
          <w:rFonts w:cs="David" w:hint="cs"/>
          <w:sz w:val="24"/>
          <w:szCs w:val="24"/>
          <w:u w:val="single"/>
          <w:rtl/>
        </w:rPr>
        <w:t>אליו הפנתה המאשימה</w:t>
      </w:r>
      <w:r>
        <w:rPr>
          <w:rFonts w:cs="David" w:hint="cs"/>
          <w:sz w:val="24"/>
          <w:szCs w:val="24"/>
          <w:rtl/>
        </w:rPr>
        <w:t>- בין ילדיו של המתלונן לבין הנאשם ובן דודו התעורר ויכוח. המתלונן הורה לילדיו להיכנס אל הבית. מאוחר יותר, כאשר נסע המתלונן ברכבו לכיוון ביתו, ארב לו הנאשם וירה מספר כדורים לעבר הרכב. הנאשם הוסיף לירות אף לאחר שהמתלונן נמלט לכיוון הבית. נזק נגרם לרכבו של המתלונן, לרכבים נוספים שחנו בסמוך, ולאחד הבתים ברחוב.</w:t>
      </w:r>
    </w:p>
    <w:p w14:paraId="3A7C5C9F" w14:textId="77777777" w:rsidR="00FB0F89" w:rsidRDefault="00097A6E">
      <w:pPr>
        <w:pStyle w:val="ListParagraph"/>
        <w:spacing w:after="0" w:line="360" w:lineRule="auto"/>
        <w:ind w:left="1440"/>
        <w:jc w:val="both"/>
        <w:rPr>
          <w:rFonts w:cs="David"/>
          <w:sz w:val="24"/>
          <w:szCs w:val="24"/>
        </w:rPr>
      </w:pPr>
      <w:r>
        <w:rPr>
          <w:rFonts w:cs="David" w:hint="cs"/>
          <w:sz w:val="24"/>
          <w:szCs w:val="24"/>
          <w:rtl/>
        </w:rPr>
        <w:t xml:space="preserve">הנאשם, צעיר בן 22, הורשע בביצוע עבירות בנשק (נשיאה, הובלה והחזקה), ניסיון </w:t>
      </w:r>
      <w:r>
        <w:rPr>
          <w:rFonts w:cs="David" w:hint="cs"/>
          <w:sz w:val="24"/>
          <w:szCs w:val="24"/>
          <w:u w:val="single"/>
          <w:rtl/>
        </w:rPr>
        <w:t>פציעה</w:t>
      </w:r>
      <w:r>
        <w:rPr>
          <w:rFonts w:cs="David" w:hint="cs"/>
          <w:sz w:val="24"/>
          <w:szCs w:val="24"/>
          <w:rtl/>
        </w:rPr>
        <w:t xml:space="preserve"> בנסיבות מחמירות, ויריות באזור מגורים. </w:t>
      </w:r>
    </w:p>
    <w:p w14:paraId="4FFA1E52" w14:textId="77777777" w:rsidR="00FB0F89" w:rsidRDefault="00097A6E">
      <w:pPr>
        <w:pStyle w:val="ListParagraph"/>
        <w:spacing w:after="0" w:line="360" w:lineRule="auto"/>
        <w:ind w:left="1440"/>
        <w:jc w:val="both"/>
        <w:rPr>
          <w:rFonts w:cs="David"/>
          <w:sz w:val="24"/>
          <w:szCs w:val="24"/>
          <w:rtl/>
        </w:rPr>
      </w:pPr>
      <w:r>
        <w:rPr>
          <w:rFonts w:cs="David" w:hint="cs"/>
          <w:sz w:val="24"/>
          <w:szCs w:val="24"/>
          <w:rtl/>
        </w:rPr>
        <w:t>על אף הודאתו בביצוע העבירות, הנאשם לא לקח אחריות על האירוע, ושלל קשיים בהתנהגותו ובתפקודו. הנאשם אף הורשע בעבר בעבירות אלימות.</w:t>
      </w:r>
    </w:p>
    <w:p w14:paraId="496A1278" w14:textId="77777777" w:rsidR="00FB0F89" w:rsidRDefault="00097A6E">
      <w:pPr>
        <w:pStyle w:val="ListParagraph"/>
        <w:spacing w:after="0" w:line="360" w:lineRule="auto"/>
        <w:ind w:left="1440"/>
        <w:jc w:val="both"/>
        <w:rPr>
          <w:rFonts w:cs="David"/>
          <w:sz w:val="24"/>
          <w:szCs w:val="24"/>
          <w:rtl/>
        </w:rPr>
      </w:pPr>
      <w:r>
        <w:rPr>
          <w:rFonts w:cs="David" w:hint="cs"/>
          <w:sz w:val="24"/>
          <w:szCs w:val="24"/>
          <w:rtl/>
        </w:rPr>
        <w:t xml:space="preserve">בית-המשפט גזר על הנאשם </w:t>
      </w:r>
      <w:r>
        <w:rPr>
          <w:rFonts w:cs="David" w:hint="cs"/>
          <w:b/>
          <w:bCs/>
          <w:sz w:val="24"/>
          <w:szCs w:val="24"/>
          <w:rtl/>
        </w:rPr>
        <w:t xml:space="preserve">24 חודשי מאסר בפועל, </w:t>
      </w:r>
      <w:r>
        <w:rPr>
          <w:rFonts w:cs="David" w:hint="cs"/>
          <w:sz w:val="24"/>
          <w:szCs w:val="24"/>
          <w:rtl/>
        </w:rPr>
        <w:t>והפעיל עונש מאסר מותנה בן 8 החודשים שהוטל עליו במסגרת הרשעה בתיק אחר, חלקו במצטבר וחלקו בחופף.</w:t>
      </w:r>
    </w:p>
    <w:p w14:paraId="055367E7" w14:textId="77777777" w:rsidR="00FB0F89" w:rsidRDefault="00FB0F89">
      <w:pPr>
        <w:pStyle w:val="ListParagraph"/>
        <w:spacing w:after="0" w:line="360" w:lineRule="auto"/>
        <w:ind w:left="1440"/>
        <w:jc w:val="both"/>
        <w:rPr>
          <w:rFonts w:cs="David"/>
          <w:sz w:val="24"/>
          <w:szCs w:val="24"/>
          <w:rtl/>
        </w:rPr>
      </w:pPr>
    </w:p>
    <w:p w14:paraId="6BC5C861" w14:textId="77777777" w:rsidR="00FB0F89" w:rsidRDefault="00097A6E">
      <w:pPr>
        <w:pStyle w:val="ListParagraph"/>
        <w:numPr>
          <w:ilvl w:val="1"/>
          <w:numId w:val="1"/>
        </w:numPr>
        <w:spacing w:after="0" w:line="360" w:lineRule="auto"/>
        <w:jc w:val="both"/>
        <w:rPr>
          <w:rFonts w:cs="David"/>
          <w:sz w:val="24"/>
          <w:szCs w:val="24"/>
        </w:rPr>
      </w:pPr>
      <w:hyperlink r:id="rId36" w:history="1">
        <w:r w:rsidRPr="00097A6E">
          <w:rPr>
            <w:rStyle w:val="Hyperlink"/>
            <w:rFonts w:cs="David" w:hint="cs"/>
            <w:sz w:val="24"/>
            <w:szCs w:val="24"/>
            <w:rtl/>
          </w:rPr>
          <w:t>ת</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w:t>
        </w:r>
        <w:r w:rsidRPr="00097A6E">
          <w:rPr>
            <w:rStyle w:val="Hyperlink"/>
            <w:rFonts w:cs="David" w:hint="cs"/>
            <w:sz w:val="24"/>
            <w:szCs w:val="24"/>
            <w:rtl/>
          </w:rPr>
          <w:t>מחוזי</w:t>
        </w:r>
        <w:r w:rsidRPr="00097A6E">
          <w:rPr>
            <w:rStyle w:val="Hyperlink"/>
            <w:rFonts w:cs="David"/>
            <w:sz w:val="24"/>
            <w:szCs w:val="24"/>
            <w:rtl/>
          </w:rPr>
          <w:t xml:space="preserve"> </w:t>
        </w:r>
        <w:r w:rsidRPr="00097A6E">
          <w:rPr>
            <w:rStyle w:val="Hyperlink"/>
            <w:rFonts w:cs="David" w:hint="cs"/>
            <w:sz w:val="24"/>
            <w:szCs w:val="24"/>
            <w:rtl/>
          </w:rPr>
          <w:t>באר</w:t>
        </w:r>
        <w:r w:rsidRPr="00097A6E">
          <w:rPr>
            <w:rStyle w:val="Hyperlink"/>
            <w:rFonts w:cs="David"/>
            <w:sz w:val="24"/>
            <w:szCs w:val="24"/>
            <w:rtl/>
          </w:rPr>
          <w:t>-</w:t>
        </w:r>
        <w:r w:rsidRPr="00097A6E">
          <w:rPr>
            <w:rStyle w:val="Hyperlink"/>
            <w:rFonts w:cs="David" w:hint="cs"/>
            <w:sz w:val="24"/>
            <w:szCs w:val="24"/>
            <w:rtl/>
          </w:rPr>
          <w:t>שבע</w:t>
        </w:r>
        <w:r w:rsidRPr="00097A6E">
          <w:rPr>
            <w:rStyle w:val="Hyperlink"/>
            <w:rFonts w:cs="David"/>
            <w:sz w:val="24"/>
            <w:szCs w:val="24"/>
            <w:rtl/>
          </w:rPr>
          <w:t>) 28139-10-13</w:t>
        </w:r>
      </w:hyperlink>
      <w:r>
        <w:rPr>
          <w:rFonts w:cs="David" w:hint="cs"/>
          <w:sz w:val="24"/>
          <w:szCs w:val="24"/>
          <w:rtl/>
        </w:rPr>
        <w:t xml:space="preserve"> </w:t>
      </w:r>
      <w:r>
        <w:rPr>
          <w:rFonts w:cs="David" w:hint="cs"/>
          <w:b/>
          <w:bCs/>
          <w:sz w:val="24"/>
          <w:szCs w:val="24"/>
          <w:rtl/>
        </w:rPr>
        <w:t xml:space="preserve">מדינת ישראל נ' אבו אעמר </w:t>
      </w:r>
      <w:r>
        <w:rPr>
          <w:rFonts w:cs="David" w:hint="cs"/>
          <w:sz w:val="24"/>
          <w:szCs w:val="24"/>
          <w:rtl/>
        </w:rPr>
        <w:t xml:space="preserve">(18.1.2015), </w:t>
      </w:r>
      <w:r>
        <w:rPr>
          <w:rFonts w:cs="David" w:hint="cs"/>
          <w:sz w:val="24"/>
          <w:szCs w:val="24"/>
          <w:u w:val="single"/>
          <w:rtl/>
        </w:rPr>
        <w:t>אליו הפנתה המאשימה</w:t>
      </w:r>
      <w:r>
        <w:rPr>
          <w:rFonts w:cs="David" w:hint="cs"/>
          <w:sz w:val="24"/>
          <w:szCs w:val="24"/>
          <w:rtl/>
        </w:rPr>
        <w:t xml:space="preserve">- המתלונן והנאשם הינם שכנים. בין השניים פרץ סכסוך בנוגע לשימוש בספסל המצוי בקרבת ביתם. המתלונן משח את הספסל בשמן כדי למנוע מהנאשם לעשות בו שימוש. מאוחר יותר, ניגש הנאשם אל רכבו של המתלונן, </w:t>
      </w:r>
      <w:r>
        <w:rPr>
          <w:rFonts w:cs="David" w:hint="cs"/>
          <w:sz w:val="24"/>
          <w:szCs w:val="24"/>
          <w:u w:val="single"/>
          <w:rtl/>
        </w:rPr>
        <w:t>בעוד ילדו בן ה-18 יושב ברכב</w:t>
      </w:r>
      <w:r>
        <w:rPr>
          <w:rFonts w:cs="David" w:hint="cs"/>
          <w:sz w:val="24"/>
          <w:szCs w:val="24"/>
          <w:rtl/>
        </w:rPr>
        <w:t>, איים על המתלונן, ואז התרחק מעט מהרכב וירה מספר יריות לעבר דלת הנהג. נזק נגרם לרכב, אך המתלונן ובנו לא נפגעו.</w:t>
      </w:r>
    </w:p>
    <w:p w14:paraId="1DA52BAC" w14:textId="77777777" w:rsidR="00FB0F89" w:rsidRDefault="00097A6E">
      <w:pPr>
        <w:pStyle w:val="ListParagraph"/>
        <w:spacing w:after="0" w:line="360" w:lineRule="auto"/>
        <w:ind w:left="1440"/>
        <w:jc w:val="both"/>
        <w:rPr>
          <w:rFonts w:cs="David"/>
          <w:sz w:val="24"/>
          <w:szCs w:val="24"/>
        </w:rPr>
      </w:pPr>
      <w:r>
        <w:rPr>
          <w:rFonts w:cs="David" w:hint="cs"/>
          <w:sz w:val="24"/>
          <w:szCs w:val="24"/>
          <w:rtl/>
        </w:rPr>
        <w:t xml:space="preserve">בית-המשפט המחוזי גזר על הנאשם, צעיר ללא עבר פלילי אשר שירות המבחן התרשם כי </w:t>
      </w:r>
      <w:r>
        <w:rPr>
          <w:rFonts w:cs="David" w:hint="cs"/>
          <w:sz w:val="24"/>
          <w:szCs w:val="24"/>
          <w:u w:val="single"/>
          <w:rtl/>
        </w:rPr>
        <w:t>נשקפת ממנו מסוכנות</w:t>
      </w:r>
      <w:r>
        <w:rPr>
          <w:rFonts w:cs="David" w:hint="cs"/>
          <w:sz w:val="24"/>
          <w:szCs w:val="24"/>
          <w:rtl/>
        </w:rPr>
        <w:t xml:space="preserve">, </w:t>
      </w:r>
      <w:r>
        <w:rPr>
          <w:rFonts w:cs="David" w:hint="cs"/>
          <w:b/>
          <w:bCs/>
          <w:sz w:val="24"/>
          <w:szCs w:val="24"/>
          <w:rtl/>
        </w:rPr>
        <w:t>48 חודשי מאסר בפועל</w:t>
      </w:r>
      <w:r>
        <w:rPr>
          <w:rFonts w:cs="David" w:hint="cs"/>
          <w:sz w:val="24"/>
          <w:szCs w:val="24"/>
          <w:rtl/>
        </w:rPr>
        <w:t>, וכן מאסרים מותנים ופיצוי למתלונן. ערעור על חומרת העונש עודנו תלוי ועומד.</w:t>
      </w:r>
    </w:p>
    <w:p w14:paraId="648937D4" w14:textId="77777777" w:rsidR="00FB0F89" w:rsidRDefault="00FB0F89">
      <w:pPr>
        <w:pStyle w:val="ListParagraph"/>
        <w:spacing w:after="0" w:line="360" w:lineRule="auto"/>
        <w:ind w:left="1440"/>
        <w:jc w:val="both"/>
        <w:rPr>
          <w:rFonts w:cs="David"/>
          <w:sz w:val="24"/>
          <w:szCs w:val="24"/>
          <w:rtl/>
        </w:rPr>
      </w:pPr>
    </w:p>
    <w:p w14:paraId="7F2FB1C1" w14:textId="77777777" w:rsidR="00FB0F89" w:rsidRDefault="00097A6E">
      <w:pPr>
        <w:pStyle w:val="ListParagraph"/>
        <w:numPr>
          <w:ilvl w:val="1"/>
          <w:numId w:val="1"/>
        </w:numPr>
        <w:spacing w:after="0" w:line="360" w:lineRule="auto"/>
        <w:jc w:val="both"/>
        <w:rPr>
          <w:rFonts w:cs="David"/>
          <w:sz w:val="24"/>
          <w:szCs w:val="24"/>
          <w:rtl/>
        </w:rPr>
      </w:pPr>
      <w:hyperlink r:id="rId37" w:history="1">
        <w:r w:rsidRPr="00097A6E">
          <w:rPr>
            <w:rStyle w:val="Hyperlink"/>
            <w:rFonts w:cs="David" w:hint="cs"/>
            <w:sz w:val="24"/>
            <w:szCs w:val="24"/>
            <w:rtl/>
          </w:rPr>
          <w:t>ת</w:t>
        </w:r>
        <w:r w:rsidRPr="00097A6E">
          <w:rPr>
            <w:rStyle w:val="Hyperlink"/>
            <w:rFonts w:cs="David"/>
            <w:sz w:val="24"/>
            <w:szCs w:val="24"/>
            <w:rtl/>
          </w:rPr>
          <w:t>"</w:t>
        </w:r>
        <w:r w:rsidRPr="00097A6E">
          <w:rPr>
            <w:rStyle w:val="Hyperlink"/>
            <w:rFonts w:cs="David" w:hint="cs"/>
            <w:sz w:val="24"/>
            <w:szCs w:val="24"/>
            <w:rtl/>
          </w:rPr>
          <w:t>פ</w:t>
        </w:r>
        <w:r w:rsidRPr="00097A6E">
          <w:rPr>
            <w:rStyle w:val="Hyperlink"/>
            <w:rFonts w:cs="David"/>
            <w:sz w:val="24"/>
            <w:szCs w:val="24"/>
            <w:rtl/>
          </w:rPr>
          <w:t xml:space="preserve"> (</w:t>
        </w:r>
        <w:r w:rsidRPr="00097A6E">
          <w:rPr>
            <w:rStyle w:val="Hyperlink"/>
            <w:rFonts w:cs="David" w:hint="cs"/>
            <w:sz w:val="24"/>
            <w:szCs w:val="24"/>
            <w:rtl/>
          </w:rPr>
          <w:t>מחוזי</w:t>
        </w:r>
        <w:r w:rsidRPr="00097A6E">
          <w:rPr>
            <w:rStyle w:val="Hyperlink"/>
            <w:rFonts w:cs="David"/>
            <w:sz w:val="24"/>
            <w:szCs w:val="24"/>
            <w:rtl/>
          </w:rPr>
          <w:t xml:space="preserve"> </w:t>
        </w:r>
        <w:r w:rsidRPr="00097A6E">
          <w:rPr>
            <w:rStyle w:val="Hyperlink"/>
            <w:rFonts w:cs="David" w:hint="cs"/>
            <w:sz w:val="24"/>
            <w:szCs w:val="24"/>
            <w:rtl/>
          </w:rPr>
          <w:t>חיפה</w:t>
        </w:r>
        <w:r w:rsidRPr="00097A6E">
          <w:rPr>
            <w:rStyle w:val="Hyperlink"/>
            <w:rFonts w:cs="David"/>
            <w:sz w:val="24"/>
            <w:szCs w:val="24"/>
            <w:rtl/>
          </w:rPr>
          <w:t>) 36897-11-09</w:t>
        </w:r>
      </w:hyperlink>
      <w:r>
        <w:rPr>
          <w:rFonts w:cs="David" w:hint="cs"/>
          <w:sz w:val="24"/>
          <w:szCs w:val="24"/>
          <w:rtl/>
        </w:rPr>
        <w:t xml:space="preserve"> </w:t>
      </w:r>
      <w:r>
        <w:rPr>
          <w:rFonts w:cs="David" w:hint="cs"/>
          <w:b/>
          <w:bCs/>
          <w:sz w:val="24"/>
          <w:szCs w:val="24"/>
          <w:rtl/>
        </w:rPr>
        <w:t xml:space="preserve">מדינת ישראל נ' סח </w:t>
      </w:r>
      <w:r>
        <w:rPr>
          <w:rFonts w:cs="David" w:hint="cs"/>
          <w:sz w:val="24"/>
          <w:szCs w:val="24"/>
          <w:rtl/>
        </w:rPr>
        <w:t xml:space="preserve">(9.6.2010), </w:t>
      </w:r>
      <w:r>
        <w:rPr>
          <w:rFonts w:cs="David" w:hint="cs"/>
          <w:sz w:val="24"/>
          <w:szCs w:val="24"/>
          <w:u w:val="single"/>
          <w:rtl/>
        </w:rPr>
        <w:t>אליו הפנתה ההגנה</w:t>
      </w:r>
      <w:r>
        <w:rPr>
          <w:rFonts w:cs="David" w:hint="cs"/>
          <w:sz w:val="24"/>
          <w:szCs w:val="24"/>
          <w:rtl/>
        </w:rPr>
        <w:t xml:space="preserve">- במהלך ויכוח שניטש בין משפחתו של הנאשם לבין משפחתו של המתלונן, הגיע הנאשם למקום ברכבו, כשהוא חמוש ברובה ציד. הנאשם יצא מרכבו, וממרחק של כ-30 מטרים ירה </w:t>
      </w:r>
      <w:r>
        <w:rPr>
          <w:rFonts w:cs="David" w:hint="cs"/>
          <w:sz w:val="24"/>
          <w:szCs w:val="24"/>
          <w:u w:val="single"/>
          <w:rtl/>
        </w:rPr>
        <w:t>שתי יריות</w:t>
      </w:r>
      <w:r>
        <w:rPr>
          <w:rFonts w:cs="David" w:hint="cs"/>
          <w:sz w:val="24"/>
          <w:szCs w:val="24"/>
          <w:rtl/>
        </w:rPr>
        <w:t xml:space="preserve"> לעבר בני המשפחה. אחד הקליעים שירה הנאשם פגע ברכב שבבעלות אבי המתלונן. בין שתי המשפחות נערך הסכם סולחה.</w:t>
      </w:r>
    </w:p>
    <w:p w14:paraId="63C32EF9" w14:textId="77777777" w:rsidR="00FB0F89" w:rsidRDefault="00097A6E">
      <w:pPr>
        <w:pStyle w:val="ListParagraph"/>
        <w:spacing w:after="0" w:line="360" w:lineRule="auto"/>
        <w:ind w:left="1440"/>
        <w:jc w:val="both"/>
        <w:rPr>
          <w:rFonts w:cs="David"/>
          <w:sz w:val="24"/>
          <w:szCs w:val="24"/>
        </w:rPr>
      </w:pPr>
      <w:r>
        <w:rPr>
          <w:rFonts w:cs="David" w:hint="cs"/>
          <w:sz w:val="24"/>
          <w:szCs w:val="24"/>
          <w:rtl/>
        </w:rPr>
        <w:t>טרם מעצרו ניהל הנאשם אורח חיים נורמטיבי ופרנס את משפחתו.</w:t>
      </w:r>
    </w:p>
    <w:p w14:paraId="51EDFC05" w14:textId="77777777" w:rsidR="00FB0F89" w:rsidRDefault="00097A6E">
      <w:pPr>
        <w:pStyle w:val="ListParagraph"/>
        <w:spacing w:after="0" w:line="360" w:lineRule="auto"/>
        <w:ind w:left="1440"/>
        <w:jc w:val="both"/>
        <w:rPr>
          <w:rFonts w:cs="David"/>
          <w:sz w:val="24"/>
          <w:szCs w:val="24"/>
          <w:rtl/>
        </w:rPr>
      </w:pPr>
      <w:r>
        <w:rPr>
          <w:rFonts w:cs="David" w:hint="cs"/>
          <w:sz w:val="24"/>
          <w:szCs w:val="24"/>
          <w:rtl/>
        </w:rPr>
        <w:t xml:space="preserve">בית-המשפט המחוזי גזר על הנאשם </w:t>
      </w:r>
      <w:r>
        <w:rPr>
          <w:rFonts w:cs="David" w:hint="cs"/>
          <w:b/>
          <w:bCs/>
          <w:sz w:val="24"/>
          <w:szCs w:val="24"/>
          <w:rtl/>
        </w:rPr>
        <w:t>24 חודשי מאסר בפועל</w:t>
      </w:r>
      <w:r>
        <w:rPr>
          <w:rFonts w:cs="David" w:hint="cs"/>
          <w:sz w:val="24"/>
          <w:szCs w:val="24"/>
          <w:rtl/>
        </w:rPr>
        <w:t>, וכן מאסרים מותנים.</w:t>
      </w:r>
    </w:p>
    <w:p w14:paraId="31EA256F" w14:textId="77777777" w:rsidR="00FB0F89" w:rsidRDefault="00FB0F89">
      <w:pPr>
        <w:pStyle w:val="ListParagraph"/>
        <w:spacing w:line="360" w:lineRule="auto"/>
        <w:rPr>
          <w:rFonts w:cs="David"/>
          <w:sz w:val="24"/>
          <w:szCs w:val="24"/>
          <w:rtl/>
        </w:rPr>
      </w:pPr>
    </w:p>
    <w:p w14:paraId="7EAAD016" w14:textId="77777777" w:rsidR="00FB0F89" w:rsidRDefault="00097A6E">
      <w:pPr>
        <w:pStyle w:val="ListParagraph"/>
        <w:numPr>
          <w:ilvl w:val="0"/>
          <w:numId w:val="1"/>
        </w:numPr>
        <w:spacing w:after="0" w:line="360" w:lineRule="auto"/>
        <w:jc w:val="both"/>
        <w:rPr>
          <w:rFonts w:cs="David"/>
          <w:sz w:val="24"/>
          <w:szCs w:val="24"/>
          <w:rtl/>
        </w:rPr>
      </w:pPr>
      <w:r>
        <w:rPr>
          <w:rFonts w:cs="David" w:hint="cs"/>
          <w:sz w:val="24"/>
          <w:szCs w:val="24"/>
          <w:rtl/>
        </w:rPr>
        <w:t>אשר ליתר פסקי-הדין אליהם הפנתה ההגנה, בהם נגזרו עונשים הנעים בין 10 ל-18 חודשי מאסר בפועל, אני סבורה כי אלה אינם משקפים את הענישה ההולמת את האירוע בו הורשע הנאשם. חלק מפסקי-הדין שהוגשו ניתנו לפני שנים רבות, ואינם משקפים את מדיניות הענישה המחמירה הנוהגת כיום בעבירות בהן הורשע הנאשם, אשר הפכו "מכת מדינה". יתר פסקי הדין כוללים נסיבות שאינן קיימות בענייננו, לרבות מקרים בהם הנאשמים פעלו לאחר שהם או בני משפחתם הותקפו באלימות ממשית על-ידי הנפגעים קודם לביצוע העבירות.</w:t>
      </w:r>
    </w:p>
    <w:p w14:paraId="79FDE81B" w14:textId="77777777" w:rsidR="00FB0F89" w:rsidRDefault="00FB0F89">
      <w:pPr>
        <w:pStyle w:val="ListParagraph"/>
        <w:spacing w:line="360" w:lineRule="auto"/>
        <w:rPr>
          <w:rFonts w:cs="David"/>
          <w:sz w:val="24"/>
          <w:szCs w:val="24"/>
        </w:rPr>
      </w:pPr>
    </w:p>
    <w:p w14:paraId="1CBE476D" w14:textId="77777777" w:rsidR="00FB0F89" w:rsidRDefault="00097A6E">
      <w:pPr>
        <w:pStyle w:val="ListParagraph"/>
        <w:numPr>
          <w:ilvl w:val="0"/>
          <w:numId w:val="1"/>
        </w:numPr>
        <w:spacing w:after="0" w:line="360" w:lineRule="auto"/>
        <w:jc w:val="both"/>
        <w:rPr>
          <w:rFonts w:cs="David"/>
          <w:sz w:val="24"/>
          <w:szCs w:val="24"/>
          <w:u w:val="single"/>
          <w:rtl/>
        </w:rPr>
      </w:pPr>
      <w:r>
        <w:rPr>
          <w:rFonts w:cs="David" w:hint="cs"/>
          <w:sz w:val="24"/>
          <w:szCs w:val="24"/>
          <w:u w:val="single"/>
          <w:rtl/>
        </w:rPr>
        <w:t xml:space="preserve">לאחר בחינת השיקולים השונים שהובאו לעיל, אני רואה לקבוע כי מתחם העונש ההולם בגין העבירות בהן הורשע הנאשם, נע בין </w:t>
      </w:r>
      <w:r>
        <w:rPr>
          <w:rFonts w:cs="David" w:hint="cs"/>
          <w:b/>
          <w:bCs/>
          <w:sz w:val="24"/>
          <w:szCs w:val="24"/>
          <w:u w:val="single"/>
          <w:rtl/>
        </w:rPr>
        <w:t>2 ל- 5 שנות מאסר בפועל</w:t>
      </w:r>
      <w:r>
        <w:rPr>
          <w:rFonts w:cs="David" w:hint="cs"/>
          <w:sz w:val="24"/>
          <w:szCs w:val="24"/>
          <w:u w:val="single"/>
          <w:rtl/>
        </w:rPr>
        <w:t>.</w:t>
      </w:r>
    </w:p>
    <w:p w14:paraId="4AC6DE90" w14:textId="77777777" w:rsidR="00FB0F89" w:rsidRDefault="00FB0F89">
      <w:pPr>
        <w:spacing w:line="360" w:lineRule="auto"/>
        <w:jc w:val="both"/>
        <w:rPr>
          <w:b/>
          <w:bCs/>
          <w:u w:val="single"/>
        </w:rPr>
      </w:pPr>
    </w:p>
    <w:p w14:paraId="4A551C78" w14:textId="77777777" w:rsidR="00FB0F89" w:rsidRDefault="00097A6E">
      <w:pPr>
        <w:spacing w:line="360" w:lineRule="auto"/>
        <w:jc w:val="both"/>
        <w:rPr>
          <w:b/>
          <w:bCs/>
          <w:u w:val="single"/>
          <w:rtl/>
        </w:rPr>
      </w:pPr>
      <w:r>
        <w:rPr>
          <w:rFonts w:hint="cs"/>
          <w:b/>
          <w:bCs/>
          <w:u w:val="single"/>
          <w:rtl/>
        </w:rPr>
        <w:t>העונש הראוי לנאשם</w:t>
      </w:r>
    </w:p>
    <w:p w14:paraId="3E31FF7C" w14:textId="77777777" w:rsidR="00FB0F89" w:rsidRDefault="00FB0F89">
      <w:pPr>
        <w:spacing w:line="360" w:lineRule="auto"/>
        <w:jc w:val="both"/>
        <w:rPr>
          <w:b/>
          <w:bCs/>
          <w:u w:val="single"/>
          <w:rtl/>
        </w:rPr>
      </w:pPr>
    </w:p>
    <w:p w14:paraId="1F23145C" w14:textId="77777777" w:rsidR="00FB0F89" w:rsidRDefault="00097A6E">
      <w:pPr>
        <w:pStyle w:val="ListParagraph"/>
        <w:numPr>
          <w:ilvl w:val="0"/>
          <w:numId w:val="1"/>
        </w:numPr>
        <w:spacing w:after="0" w:line="360" w:lineRule="auto"/>
        <w:jc w:val="both"/>
        <w:rPr>
          <w:rFonts w:cs="David"/>
          <w:b/>
          <w:bCs/>
          <w:sz w:val="24"/>
          <w:szCs w:val="24"/>
          <w:u w:val="single"/>
          <w:rtl/>
        </w:rPr>
      </w:pPr>
      <w:r>
        <w:rPr>
          <w:rFonts w:cs="David" w:hint="cs"/>
          <w:sz w:val="24"/>
          <w:szCs w:val="24"/>
          <w:rtl/>
        </w:rPr>
        <w:t>הנאשם הודה בביצוע המעשים והביע חרטה. הודאתו הביאה לחסכון בזמן שיפוטי, ויש לזקוף זאת לזכותו.</w:t>
      </w:r>
    </w:p>
    <w:p w14:paraId="1FD0DEDF" w14:textId="77777777" w:rsidR="00FB0F89" w:rsidRDefault="00FB0F89">
      <w:pPr>
        <w:pStyle w:val="ListParagraph"/>
        <w:spacing w:after="0" w:line="360" w:lineRule="auto"/>
        <w:jc w:val="both"/>
        <w:rPr>
          <w:rFonts w:cs="David"/>
          <w:b/>
          <w:bCs/>
          <w:sz w:val="24"/>
          <w:szCs w:val="24"/>
          <w:u w:val="single"/>
        </w:rPr>
      </w:pPr>
    </w:p>
    <w:p w14:paraId="2B02D57F" w14:textId="77777777" w:rsidR="00FB0F89" w:rsidRDefault="00097A6E">
      <w:pPr>
        <w:pStyle w:val="ListParagraph"/>
        <w:numPr>
          <w:ilvl w:val="0"/>
          <w:numId w:val="1"/>
        </w:numPr>
        <w:spacing w:after="0" w:line="360" w:lineRule="auto"/>
        <w:jc w:val="both"/>
        <w:rPr>
          <w:rFonts w:cs="David"/>
          <w:b/>
          <w:bCs/>
          <w:sz w:val="24"/>
          <w:szCs w:val="24"/>
          <w:u w:val="single"/>
        </w:rPr>
      </w:pPr>
      <w:r>
        <w:rPr>
          <w:rFonts w:cs="David" w:hint="cs"/>
          <w:sz w:val="24"/>
          <w:szCs w:val="24"/>
          <w:rtl/>
        </w:rPr>
        <w:t>הנאשם הינו צעיר כבן 24, וזוהי מעורבותו הראשונה בפלילים. עד למעצרו תיפקד באופן נורמטיבי בחברה, סיים לימודיו ועבד לפרנסתו. מעדויות האופי במסגרת הטיעונים לעונש התרשמתי כי הנאשם מגיע ממשפחה נורמטיבית, אשר מוקיעה מכל וכל את המעשים אותם ביצע.</w:t>
      </w:r>
    </w:p>
    <w:p w14:paraId="26C543BA" w14:textId="77777777" w:rsidR="00FB0F89" w:rsidRDefault="00FB0F89">
      <w:pPr>
        <w:pStyle w:val="ListParagraph"/>
        <w:rPr>
          <w:rFonts w:cs="David"/>
          <w:sz w:val="24"/>
          <w:szCs w:val="24"/>
        </w:rPr>
      </w:pPr>
    </w:p>
    <w:p w14:paraId="78C40132" w14:textId="77777777" w:rsidR="00FB0F89" w:rsidRDefault="00097A6E">
      <w:pPr>
        <w:pStyle w:val="ListParagraph"/>
        <w:numPr>
          <w:ilvl w:val="0"/>
          <w:numId w:val="1"/>
        </w:numPr>
        <w:spacing w:after="0" w:line="360" w:lineRule="auto"/>
        <w:jc w:val="both"/>
        <w:rPr>
          <w:rFonts w:cs="David"/>
          <w:b/>
          <w:bCs/>
          <w:sz w:val="24"/>
          <w:szCs w:val="24"/>
          <w:u w:val="single"/>
          <w:rtl/>
        </w:rPr>
      </w:pPr>
      <w:r>
        <w:rPr>
          <w:rFonts w:cs="David" w:hint="cs"/>
          <w:sz w:val="24"/>
          <w:szCs w:val="24"/>
          <w:rtl/>
        </w:rPr>
        <w:t xml:space="preserve">משפחות הנאשם והמתלונן הגיעו להסדר סולחה, במסגרתו שולם למתלונן פיצוי משמעותי בסך 40,000 ₪, וכן הוסכם על התחייבות הדדית להימנע מכל אלימות בעתיד. הסדר מעין זה אינו מהווה שיקול במסגרת קביעת מתחם העונש ההולם את המעשים, ואף אינו מאפשר סטייה מהמתחם שנקבע. יחד עם זאת, יש בסולחה כדי להצביע על לקיחת אחריות מלאה, הפנמת חומרת המעשים, וניסיון לתקן את תוצאותיהם, דבר שיבוא לידי ביטוי בגזירת עונשו של הנאשם בתוך מתחם הענישה (ראו: </w:t>
      </w:r>
      <w:hyperlink r:id="rId38" w:history="1">
        <w:r w:rsidR="00AD3DCF" w:rsidRPr="00AD3DCF">
          <w:rPr>
            <w:rFonts w:cs="David" w:hint="cs"/>
            <w:color w:val="0000FF"/>
            <w:sz w:val="24"/>
            <w:szCs w:val="24"/>
            <w:u w:val="single"/>
            <w:rtl/>
          </w:rPr>
          <w:t>סעיף</w:t>
        </w:r>
        <w:r w:rsidR="00AD3DCF" w:rsidRPr="00AD3DCF">
          <w:rPr>
            <w:rFonts w:cs="David"/>
            <w:color w:val="0000FF"/>
            <w:sz w:val="24"/>
            <w:szCs w:val="24"/>
            <w:u w:val="single"/>
            <w:rtl/>
          </w:rPr>
          <w:t xml:space="preserve"> 40</w:t>
        </w:r>
        <w:r w:rsidR="00AD3DCF" w:rsidRPr="00AD3DCF">
          <w:rPr>
            <w:rFonts w:cs="David" w:hint="cs"/>
            <w:color w:val="0000FF"/>
            <w:sz w:val="24"/>
            <w:szCs w:val="24"/>
            <w:u w:val="single"/>
            <w:rtl/>
          </w:rPr>
          <w:t>יא</w:t>
        </w:r>
        <w:r w:rsidR="00AD3DCF" w:rsidRPr="00AD3DCF">
          <w:rPr>
            <w:rFonts w:cs="David"/>
            <w:color w:val="0000FF"/>
            <w:sz w:val="24"/>
            <w:szCs w:val="24"/>
            <w:u w:val="single"/>
            <w:rtl/>
          </w:rPr>
          <w:t>(5)</w:t>
        </w:r>
      </w:hyperlink>
      <w:r>
        <w:rPr>
          <w:rFonts w:cs="David" w:hint="cs"/>
          <w:sz w:val="24"/>
          <w:szCs w:val="24"/>
          <w:rtl/>
        </w:rPr>
        <w:t xml:space="preserve"> לחוק). אף המתלונן התייצב בבית-המשפט וביקש להקל בעונשו של הנאשם.</w:t>
      </w:r>
    </w:p>
    <w:p w14:paraId="126ED813" w14:textId="77777777" w:rsidR="00FB0F89" w:rsidRDefault="00097A6E">
      <w:pPr>
        <w:pStyle w:val="ListParagraph"/>
        <w:spacing w:after="0" w:line="360" w:lineRule="auto"/>
        <w:jc w:val="both"/>
        <w:rPr>
          <w:rFonts w:cs="David"/>
          <w:b/>
          <w:bCs/>
          <w:sz w:val="24"/>
          <w:szCs w:val="24"/>
          <w:u w:val="single"/>
        </w:rPr>
      </w:pPr>
      <w:r>
        <w:rPr>
          <w:rFonts w:cs="David" w:hint="cs"/>
          <w:sz w:val="24"/>
          <w:szCs w:val="24"/>
          <w:rtl/>
        </w:rPr>
        <w:t>בשים לב לנסיבותיו האישיות של הנאשם, להעדרו של עבר פלילי, ולהסדר הסולחה אליו הגיעו הצדדים, אני רואה לגזור על הנאשם עונש המצוי באמצעו של מתחם הענישה</w:t>
      </w:r>
      <w:r>
        <w:rPr>
          <w:rFonts w:cs="David" w:hint="cs"/>
          <w:b/>
          <w:bCs/>
          <w:sz w:val="24"/>
          <w:szCs w:val="24"/>
          <w:rtl/>
        </w:rPr>
        <w:t xml:space="preserve"> </w:t>
      </w:r>
      <w:r>
        <w:rPr>
          <w:rFonts w:cs="David" w:hint="cs"/>
          <w:sz w:val="24"/>
          <w:szCs w:val="24"/>
          <w:rtl/>
        </w:rPr>
        <w:t>לערך.</w:t>
      </w:r>
    </w:p>
    <w:p w14:paraId="4163FC96" w14:textId="77777777" w:rsidR="00FB0F89" w:rsidRDefault="00FB0F89">
      <w:pPr>
        <w:pStyle w:val="ListParagraph"/>
        <w:rPr>
          <w:rFonts w:cs="David"/>
          <w:sz w:val="24"/>
          <w:szCs w:val="24"/>
        </w:rPr>
      </w:pPr>
    </w:p>
    <w:p w14:paraId="33DDDC5C" w14:textId="77777777" w:rsidR="00FB0F89" w:rsidRDefault="00097A6E">
      <w:pPr>
        <w:pStyle w:val="ListParagraph"/>
        <w:numPr>
          <w:ilvl w:val="0"/>
          <w:numId w:val="1"/>
        </w:numPr>
        <w:spacing w:after="0" w:line="360" w:lineRule="auto"/>
        <w:jc w:val="both"/>
        <w:rPr>
          <w:rFonts w:cs="David"/>
          <w:b/>
          <w:bCs/>
          <w:sz w:val="24"/>
          <w:szCs w:val="24"/>
          <w:u w:val="single"/>
          <w:rtl/>
        </w:rPr>
      </w:pPr>
      <w:r>
        <w:rPr>
          <w:rFonts w:cs="David" w:hint="cs"/>
          <w:sz w:val="24"/>
          <w:szCs w:val="24"/>
          <w:rtl/>
        </w:rPr>
        <w:t>אני גוזרת על הנאשם את העונשים הבאים:</w:t>
      </w:r>
    </w:p>
    <w:p w14:paraId="615B9567" w14:textId="77777777" w:rsidR="00FB0F89" w:rsidRDefault="00FB0F89">
      <w:pPr>
        <w:pStyle w:val="ListParagraph"/>
        <w:rPr>
          <w:rFonts w:cs="David"/>
          <w:b/>
          <w:bCs/>
          <w:sz w:val="24"/>
          <w:szCs w:val="24"/>
          <w:u w:val="single"/>
        </w:rPr>
      </w:pPr>
    </w:p>
    <w:p w14:paraId="117F8469" w14:textId="77777777" w:rsidR="00FB0F89" w:rsidRDefault="00097A6E">
      <w:pPr>
        <w:pStyle w:val="ListParagraph"/>
        <w:numPr>
          <w:ilvl w:val="1"/>
          <w:numId w:val="2"/>
        </w:numPr>
        <w:spacing w:line="360" w:lineRule="auto"/>
        <w:jc w:val="both"/>
        <w:rPr>
          <w:rFonts w:cs="David"/>
          <w:b/>
          <w:bCs/>
          <w:sz w:val="24"/>
          <w:szCs w:val="24"/>
          <w:u w:val="single"/>
          <w:rtl/>
        </w:rPr>
      </w:pPr>
      <w:r>
        <w:rPr>
          <w:rFonts w:cs="David" w:hint="cs"/>
          <w:sz w:val="24"/>
          <w:szCs w:val="24"/>
          <w:rtl/>
        </w:rPr>
        <w:t>36 חודשי מאסר בפועל, החל מיום מעצרו בתיק זה- 2.11.2014.</w:t>
      </w:r>
    </w:p>
    <w:p w14:paraId="64076A83" w14:textId="77777777" w:rsidR="00FB0F89" w:rsidRDefault="00FB0F89">
      <w:pPr>
        <w:pStyle w:val="ListParagraph"/>
        <w:spacing w:line="360" w:lineRule="auto"/>
        <w:ind w:left="1080"/>
        <w:jc w:val="both"/>
        <w:rPr>
          <w:rFonts w:cs="David"/>
          <w:b/>
          <w:bCs/>
          <w:sz w:val="24"/>
          <w:szCs w:val="24"/>
          <w:u w:val="single"/>
        </w:rPr>
      </w:pPr>
    </w:p>
    <w:p w14:paraId="0B8E108A" w14:textId="77777777" w:rsidR="00FB0F89" w:rsidRDefault="00097A6E">
      <w:pPr>
        <w:pStyle w:val="ListParagraph"/>
        <w:numPr>
          <w:ilvl w:val="1"/>
          <w:numId w:val="2"/>
        </w:numPr>
        <w:spacing w:line="360" w:lineRule="auto"/>
        <w:jc w:val="both"/>
        <w:rPr>
          <w:rFonts w:cs="David"/>
          <w:b/>
          <w:bCs/>
          <w:sz w:val="24"/>
          <w:szCs w:val="24"/>
          <w:u w:val="single"/>
        </w:rPr>
      </w:pPr>
      <w:r>
        <w:rPr>
          <w:rFonts w:cs="David" w:hint="cs"/>
          <w:sz w:val="24"/>
          <w:szCs w:val="24"/>
          <w:rtl/>
        </w:rPr>
        <w:t>10 חודשי מאסר על תנאי, והתנאי הוא שלא יעבור תוך 3 שנים מיום שחרורו מהמאסר, עבירת אלימות או נשק מסוג פשע.</w:t>
      </w:r>
    </w:p>
    <w:p w14:paraId="641D35A7" w14:textId="77777777" w:rsidR="00FB0F89" w:rsidRDefault="00FB0F89">
      <w:pPr>
        <w:pStyle w:val="ListParagraph"/>
        <w:rPr>
          <w:rFonts w:cs="David"/>
          <w:b/>
          <w:bCs/>
          <w:sz w:val="24"/>
          <w:szCs w:val="24"/>
          <w:u w:val="single"/>
        </w:rPr>
      </w:pPr>
    </w:p>
    <w:p w14:paraId="4FA0385C" w14:textId="77777777" w:rsidR="00FB0F89" w:rsidRDefault="00097A6E">
      <w:pPr>
        <w:pStyle w:val="ListParagraph"/>
        <w:numPr>
          <w:ilvl w:val="1"/>
          <w:numId w:val="2"/>
        </w:numPr>
        <w:spacing w:line="360" w:lineRule="auto"/>
        <w:jc w:val="both"/>
        <w:rPr>
          <w:rFonts w:cs="David"/>
          <w:b/>
          <w:bCs/>
          <w:sz w:val="24"/>
          <w:szCs w:val="24"/>
          <w:u w:val="single"/>
          <w:rtl/>
        </w:rPr>
      </w:pPr>
      <w:r>
        <w:rPr>
          <w:rFonts w:cs="David" w:hint="cs"/>
          <w:sz w:val="24"/>
          <w:szCs w:val="24"/>
          <w:rtl/>
        </w:rPr>
        <w:t>6 חודשי מאסר על תנאי, והתנאי הוא שלא יעבור תוך 3 שנים מיום שחרורו מהמאסר, עבירת אלימות או נשק מסוג עוון.</w:t>
      </w:r>
    </w:p>
    <w:p w14:paraId="509F0274" w14:textId="77777777" w:rsidR="00FB0F89" w:rsidRDefault="00FB0F89">
      <w:pPr>
        <w:pStyle w:val="ListParagraph"/>
        <w:rPr>
          <w:rFonts w:cs="David"/>
          <w:b/>
          <w:bCs/>
          <w:sz w:val="24"/>
          <w:szCs w:val="24"/>
          <w:u w:val="single"/>
        </w:rPr>
      </w:pPr>
    </w:p>
    <w:p w14:paraId="7F2DFE98" w14:textId="77777777" w:rsidR="00FB0F89" w:rsidRDefault="00097A6E">
      <w:pPr>
        <w:spacing w:line="360" w:lineRule="auto"/>
        <w:jc w:val="both"/>
        <w:rPr>
          <w:b/>
          <w:bCs/>
          <w:u w:val="single"/>
          <w:rtl/>
        </w:rPr>
      </w:pPr>
      <w:r>
        <w:rPr>
          <w:rFonts w:hint="cs"/>
          <w:b/>
          <w:bCs/>
          <w:u w:val="single"/>
          <w:rtl/>
        </w:rPr>
        <w:t>זכות ערעור לבית-המשפט העליון תוך 45 ימים מהיום.</w:t>
      </w:r>
    </w:p>
    <w:p w14:paraId="228D00FC" w14:textId="77777777" w:rsidR="00FB0F89" w:rsidRDefault="00097A6E">
      <w:pPr>
        <w:spacing w:line="360" w:lineRule="auto"/>
        <w:jc w:val="both"/>
        <w:rPr>
          <w:rStyle w:val="a3"/>
          <w:rtl/>
        </w:rPr>
      </w:pPr>
      <w:r>
        <w:rPr>
          <w:rStyle w:val="a3"/>
          <w:rtl/>
        </w:rPr>
        <w:t xml:space="preserve"> </w:t>
      </w:r>
    </w:p>
    <w:p w14:paraId="166B8F74" w14:textId="77777777" w:rsidR="00FB0F89" w:rsidRDefault="00097A6E">
      <w:pPr>
        <w:spacing w:line="360" w:lineRule="auto"/>
        <w:jc w:val="both"/>
        <w:rPr>
          <w:rStyle w:val="a3"/>
          <w:sz w:val="6"/>
          <w:szCs w:val="6"/>
          <w:rtl/>
        </w:rPr>
      </w:pPr>
      <w:r>
        <w:rPr>
          <w:rStyle w:val="a3"/>
          <w:sz w:val="6"/>
          <w:szCs w:val="6"/>
          <w:rtl/>
        </w:rPr>
        <w:t>&lt;#4#&gt;</w:t>
      </w:r>
    </w:p>
    <w:p w14:paraId="376B08B1" w14:textId="77777777" w:rsidR="00FB0F89" w:rsidRDefault="00FB0F89">
      <w:pPr>
        <w:jc w:val="right"/>
        <w:rPr>
          <w:rtl/>
        </w:rPr>
      </w:pPr>
    </w:p>
    <w:p w14:paraId="203946F1" w14:textId="77777777" w:rsidR="00FB0F89" w:rsidRDefault="00097A6E">
      <w:pPr>
        <w:jc w:val="center"/>
        <w:rPr>
          <w:rtl/>
        </w:rPr>
      </w:pPr>
      <w:r w:rsidRPr="00097A6E">
        <w:rPr>
          <w:b/>
          <w:bCs/>
          <w:color w:val="FFFFFF"/>
          <w:sz w:val="2"/>
          <w:szCs w:val="2"/>
          <w:rtl/>
        </w:rPr>
        <w:t>5129371</w:t>
      </w:r>
      <w:r>
        <w:rPr>
          <w:b/>
          <w:bCs/>
          <w:rtl/>
        </w:rPr>
        <w:t xml:space="preserve">ניתן והודע היום ח' חשוון תשע"ו, 21/10/2015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B0F89" w14:paraId="288EC110" w14:textId="77777777">
        <w:trPr>
          <w:trHeight w:val="316"/>
          <w:jc w:val="right"/>
        </w:trPr>
        <w:tc>
          <w:tcPr>
            <w:tcW w:w="3936" w:type="dxa"/>
            <w:shd w:val="clear" w:color="auto" w:fill="auto"/>
          </w:tcPr>
          <w:p w14:paraId="506360D2" w14:textId="77777777" w:rsidR="00FB0F89" w:rsidRPr="00097A6E" w:rsidRDefault="00097A6E">
            <w:pPr>
              <w:jc w:val="center"/>
              <w:rPr>
                <w:rFonts w:ascii="Times New Roman" w:eastAsia="Times New Roman" w:hAnsi="Times New Roman" w:cs="Times New Roman"/>
                <w:color w:val="FFFFFF"/>
                <w:sz w:val="2"/>
                <w:szCs w:val="2"/>
              </w:rPr>
            </w:pPr>
            <w:r w:rsidRPr="00097A6E">
              <w:rPr>
                <w:rFonts w:ascii="Times New Roman" w:eastAsia="Times New Roman" w:hAnsi="Times New Roman" w:cs="Times New Roman"/>
                <w:color w:val="FFFFFF"/>
                <w:sz w:val="2"/>
                <w:szCs w:val="2"/>
                <w:rtl/>
              </w:rPr>
              <w:t>54678313</w:t>
            </w:r>
          </w:p>
          <w:p w14:paraId="0F8626E4" w14:textId="77777777" w:rsidR="00FB0F89" w:rsidRDefault="00FB0F89">
            <w:pPr>
              <w:jc w:val="center"/>
              <w:rPr>
                <w:rFonts w:ascii="Times New Roman" w:eastAsia="Times New Roman" w:hAnsi="Times New Roman" w:cs="Times New Roman"/>
                <w:rtl/>
              </w:rPr>
            </w:pPr>
          </w:p>
        </w:tc>
      </w:tr>
      <w:tr w:rsidR="00FB0F89" w14:paraId="6971FFD4" w14:textId="77777777">
        <w:trPr>
          <w:trHeight w:val="361"/>
          <w:jc w:val="right"/>
        </w:trPr>
        <w:tc>
          <w:tcPr>
            <w:tcW w:w="3936" w:type="dxa"/>
            <w:shd w:val="clear" w:color="auto" w:fill="auto"/>
          </w:tcPr>
          <w:p w14:paraId="07913A30" w14:textId="77777777" w:rsidR="00FB0F89" w:rsidRDefault="00097A6E">
            <w:pPr>
              <w:jc w:val="center"/>
              <w:rPr>
                <w:rFonts w:ascii="Times New Roman" w:eastAsia="Times New Roman" w:hAnsi="Times New Roman"/>
                <w:b/>
                <w:bCs/>
                <w:rtl/>
              </w:rPr>
            </w:pPr>
            <w:r>
              <w:rPr>
                <w:rFonts w:ascii="Times New Roman" w:eastAsia="Times New Roman" w:hAnsi="Times New Roman" w:hint="cs"/>
                <w:b/>
                <w:bCs/>
                <w:rtl/>
              </w:rPr>
              <w:t>רות לורך, שופטת, סגנית נשיא</w:t>
            </w:r>
            <w:r>
              <w:rPr>
                <w:rFonts w:ascii="Times New Roman" w:eastAsia="Times New Roman" w:hAnsi="Times New Roman"/>
                <w:b/>
                <w:bCs/>
                <w:rtl/>
              </w:rPr>
              <w:t xml:space="preserve"> </w:t>
            </w:r>
          </w:p>
        </w:tc>
      </w:tr>
    </w:tbl>
    <w:p w14:paraId="5570514A" w14:textId="77777777" w:rsidR="00FB0F89" w:rsidRDefault="00097A6E">
      <w:pPr>
        <w:jc w:val="both"/>
        <w:rPr>
          <w:rtl/>
        </w:rPr>
      </w:pPr>
      <w:r>
        <w:rPr>
          <w:rtl/>
        </w:rPr>
        <w:t xml:space="preserve"> </w:t>
      </w:r>
    </w:p>
    <w:p w14:paraId="50EB6597" w14:textId="77777777" w:rsidR="00097A6E" w:rsidRPr="00097A6E" w:rsidRDefault="00097A6E" w:rsidP="00097A6E">
      <w:pPr>
        <w:keepNext/>
        <w:rPr>
          <w:color w:val="000000"/>
          <w:sz w:val="22"/>
          <w:szCs w:val="22"/>
          <w:rtl/>
        </w:rPr>
      </w:pPr>
    </w:p>
    <w:p w14:paraId="71A5264C" w14:textId="77777777" w:rsidR="00097A6E" w:rsidRPr="00097A6E" w:rsidRDefault="00097A6E" w:rsidP="00097A6E">
      <w:pPr>
        <w:keepNext/>
        <w:rPr>
          <w:color w:val="000000"/>
          <w:sz w:val="22"/>
          <w:szCs w:val="22"/>
          <w:rtl/>
        </w:rPr>
      </w:pPr>
      <w:r w:rsidRPr="00097A6E">
        <w:rPr>
          <w:color w:val="000000"/>
          <w:sz w:val="22"/>
          <w:szCs w:val="22"/>
          <w:rtl/>
        </w:rPr>
        <w:t>רות לורך 54678313</w:t>
      </w:r>
    </w:p>
    <w:p w14:paraId="67BB26A5" w14:textId="77777777" w:rsidR="00097A6E" w:rsidRDefault="00097A6E" w:rsidP="00097A6E">
      <w:r w:rsidRPr="00097A6E">
        <w:rPr>
          <w:color w:val="000000"/>
          <w:rtl/>
        </w:rPr>
        <w:t>נוסח מסמך זה כפוף לשינויי ניסוח ועריכה</w:t>
      </w:r>
    </w:p>
    <w:p w14:paraId="11C67DA8" w14:textId="77777777" w:rsidR="00097A6E" w:rsidRDefault="00097A6E" w:rsidP="00097A6E">
      <w:pPr>
        <w:rPr>
          <w:rtl/>
        </w:rPr>
      </w:pPr>
    </w:p>
    <w:p w14:paraId="06CF5739" w14:textId="77777777" w:rsidR="00097A6E" w:rsidRDefault="00097A6E" w:rsidP="00097A6E">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B51DA3B" w14:textId="77777777" w:rsidR="00FB0F89" w:rsidRPr="00097A6E" w:rsidRDefault="00FB0F89" w:rsidP="00097A6E">
      <w:pPr>
        <w:jc w:val="center"/>
        <w:rPr>
          <w:color w:val="0000FF"/>
          <w:u w:val="single"/>
        </w:rPr>
      </w:pPr>
    </w:p>
    <w:sectPr w:rsidR="00FB0F89" w:rsidRPr="00097A6E" w:rsidSect="00097A6E">
      <w:headerReference w:type="even" r:id="rId40"/>
      <w:headerReference w:type="default" r:id="rId41"/>
      <w:footerReference w:type="even" r:id="rId42"/>
      <w:footerReference w:type="default" r:id="rId4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A89F7" w14:textId="77777777" w:rsidR="007536E2" w:rsidRDefault="007536E2">
      <w:r>
        <w:separator/>
      </w:r>
    </w:p>
  </w:endnote>
  <w:endnote w:type="continuationSeparator" w:id="0">
    <w:p w14:paraId="4588BE5F" w14:textId="77777777" w:rsidR="007536E2" w:rsidRDefault="00753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C2EEA" w14:textId="77777777" w:rsidR="001E44BE" w:rsidRDefault="001E44BE" w:rsidP="00097A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37207FE1" w14:textId="77777777" w:rsidR="001E44BE" w:rsidRPr="00097A6E" w:rsidRDefault="001E44BE" w:rsidP="00097A6E">
    <w:pPr>
      <w:pStyle w:val="a5"/>
      <w:pBdr>
        <w:top w:val="single" w:sz="4" w:space="1" w:color="auto"/>
        <w:between w:val="single" w:sz="4" w:space="0" w:color="auto"/>
      </w:pBdr>
      <w:spacing w:after="60"/>
      <w:jc w:val="center"/>
      <w:rPr>
        <w:rFonts w:ascii="FrankRuehl" w:hAnsi="FrankRuehl" w:cs="FrankRuehl"/>
        <w:color w:val="000000"/>
      </w:rPr>
    </w:pPr>
    <w:r w:rsidRPr="00097A6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17D3" w14:textId="77777777" w:rsidR="001E44BE" w:rsidRDefault="001E44BE" w:rsidP="00097A6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251F">
      <w:rPr>
        <w:rFonts w:ascii="FrankRuehl" w:hAnsi="FrankRuehl" w:cs="FrankRuehl"/>
        <w:noProof/>
        <w:rtl/>
      </w:rPr>
      <w:t>1</w:t>
    </w:r>
    <w:r>
      <w:rPr>
        <w:rFonts w:ascii="FrankRuehl" w:hAnsi="FrankRuehl" w:cs="FrankRuehl"/>
        <w:rtl/>
      </w:rPr>
      <w:fldChar w:fldCharType="end"/>
    </w:r>
  </w:p>
  <w:p w14:paraId="7CE2DAFB" w14:textId="77777777" w:rsidR="001E44BE" w:rsidRPr="00097A6E" w:rsidRDefault="001E44BE" w:rsidP="00097A6E">
    <w:pPr>
      <w:pStyle w:val="a5"/>
      <w:pBdr>
        <w:top w:val="single" w:sz="4" w:space="1" w:color="auto"/>
        <w:between w:val="single" w:sz="4" w:space="0" w:color="auto"/>
      </w:pBdr>
      <w:spacing w:after="60"/>
      <w:jc w:val="center"/>
      <w:rPr>
        <w:rFonts w:ascii="FrankRuehl" w:hAnsi="FrankRuehl" w:cs="FrankRuehl"/>
        <w:color w:val="000000"/>
      </w:rPr>
    </w:pPr>
    <w:r w:rsidRPr="00097A6E">
      <w:rPr>
        <w:rFonts w:ascii="FrankRuehl" w:hAnsi="FrankRuehl" w:cs="FrankRuehl"/>
        <w:color w:val="000000"/>
      </w:rPr>
      <w:pict w14:anchorId="6CC86B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A903E" w14:textId="77777777" w:rsidR="007536E2" w:rsidRDefault="007536E2">
      <w:r>
        <w:separator/>
      </w:r>
    </w:p>
  </w:footnote>
  <w:footnote w:type="continuationSeparator" w:id="0">
    <w:p w14:paraId="1EB72E2F" w14:textId="77777777" w:rsidR="007536E2" w:rsidRDefault="00753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72A97" w14:textId="77777777" w:rsidR="001E44BE" w:rsidRPr="00097A6E" w:rsidRDefault="001E44BE" w:rsidP="00097A6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21296-11-14</w:t>
    </w:r>
    <w:r>
      <w:rPr>
        <w:color w:val="000000"/>
        <w:sz w:val="22"/>
        <w:szCs w:val="22"/>
        <w:rtl/>
      </w:rPr>
      <w:tab/>
      <w:t xml:space="preserve"> מדינת ישראל נ' מייסרה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C5218" w14:textId="77777777" w:rsidR="001E44BE" w:rsidRPr="00097A6E" w:rsidRDefault="001E44BE" w:rsidP="00097A6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(מרכז) 21296-11-14</w:t>
    </w:r>
    <w:r>
      <w:rPr>
        <w:color w:val="000000"/>
        <w:sz w:val="22"/>
        <w:szCs w:val="22"/>
        <w:rtl/>
      </w:rPr>
      <w:tab/>
      <w:t xml:space="preserve"> מדינת ישראל נ' מייסרה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12F8"/>
    <w:multiLevelType w:val="hybridMultilevel"/>
    <w:tmpl w:val="4260B71A"/>
    <w:lvl w:ilvl="0" w:tplc="9F2AA9B2">
      <w:start w:val="1"/>
      <w:numFmt w:val="decimal"/>
      <w:lvlText w:val="%1."/>
      <w:lvlJc w:val="left"/>
      <w:pPr>
        <w:ind w:left="720" w:hanging="720"/>
      </w:pPr>
      <w:rPr>
        <w:b w:val="0"/>
        <w:bCs w:val="0"/>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4BD40FE"/>
    <w:multiLevelType w:val="hybridMultilevel"/>
    <w:tmpl w:val="121CFE8E"/>
    <w:lvl w:ilvl="0" w:tplc="61427A9C">
      <w:start w:val="1"/>
      <w:numFmt w:val="decimal"/>
      <w:lvlText w:val="%1."/>
      <w:lvlJc w:val="left"/>
      <w:pPr>
        <w:ind w:left="567" w:hanging="567"/>
      </w:pPr>
      <w:rPr>
        <w:b w:val="0"/>
        <w:bCs w:val="0"/>
      </w:rPr>
    </w:lvl>
    <w:lvl w:ilvl="1" w:tplc="4C4EDAA6">
      <w:start w:val="1"/>
      <w:numFmt w:val="hebrew1"/>
      <w:lvlText w:val="%2."/>
      <w:lvlJc w:val="center"/>
      <w:pPr>
        <w:ind w:left="1080" w:hanging="360"/>
      </w:pPr>
      <w:rPr>
        <w:b w:val="0"/>
        <w:bCs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432096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9317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0F89"/>
    <w:rsid w:val="00012DD6"/>
    <w:rsid w:val="00097A6E"/>
    <w:rsid w:val="001E44BE"/>
    <w:rsid w:val="002D3125"/>
    <w:rsid w:val="002E251F"/>
    <w:rsid w:val="003A3BD3"/>
    <w:rsid w:val="006A27EF"/>
    <w:rsid w:val="007536E2"/>
    <w:rsid w:val="007C13E1"/>
    <w:rsid w:val="00A20394"/>
    <w:rsid w:val="00AD3DCF"/>
    <w:rsid w:val="00E71EFE"/>
    <w:rsid w:val="00E77388"/>
    <w:rsid w:val="00F93402"/>
    <w:rsid w:val="00FB0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2D92F2"/>
  <w15:chartTrackingRefBased/>
  <w15:docId w15:val="{81038C3E-CF95-462F-84D1-335B8398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0F8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B0F89"/>
  </w:style>
  <w:style w:type="paragraph" w:styleId="a4">
    <w:name w:val="header"/>
    <w:basedOn w:val="a"/>
    <w:rsid w:val="00FB0F89"/>
    <w:pPr>
      <w:tabs>
        <w:tab w:val="center" w:pos="4153"/>
        <w:tab w:val="right" w:pos="8306"/>
      </w:tabs>
    </w:pPr>
  </w:style>
  <w:style w:type="paragraph" w:styleId="a5">
    <w:name w:val="footer"/>
    <w:basedOn w:val="a"/>
    <w:rsid w:val="00FB0F89"/>
    <w:pPr>
      <w:tabs>
        <w:tab w:val="center" w:pos="4153"/>
        <w:tab w:val="right" w:pos="8306"/>
      </w:tabs>
    </w:pPr>
  </w:style>
  <w:style w:type="character" w:styleId="a6">
    <w:name w:val="page number"/>
    <w:basedOn w:val="a0"/>
    <w:rsid w:val="00FB0F89"/>
  </w:style>
  <w:style w:type="paragraph" w:customStyle="1" w:styleId="12">
    <w:name w:val="רגיל + ‏12 נק'"/>
    <w:aliases w:val="מיושר לשני הצדדים,מרווח בין שורות:  שורה וחצי"/>
    <w:basedOn w:val="a"/>
    <w:rsid w:val="00FB0F89"/>
    <w:rPr>
      <w:rFonts w:ascii="Times New Roman" w:eastAsia="Times New Roman" w:hAnsi="Times New Roman"/>
      <w:b/>
      <w:bCs/>
      <w:u w:val="single"/>
    </w:rPr>
  </w:style>
  <w:style w:type="paragraph" w:customStyle="1" w:styleId="ListParagraph">
    <w:name w:val="List Paragraph"/>
    <w:basedOn w:val="a"/>
    <w:rsid w:val="00FB0F89"/>
    <w:pPr>
      <w:spacing w:after="160" w:line="256" w:lineRule="auto"/>
      <w:ind w:left="720"/>
      <w:contextualSpacing/>
    </w:pPr>
    <w:rPr>
      <w:rFonts w:ascii="Calibri" w:eastAsia="Calibri" w:hAnsi="Calibri" w:cs="Arial"/>
      <w:sz w:val="22"/>
      <w:szCs w:val="22"/>
    </w:rPr>
  </w:style>
  <w:style w:type="character" w:styleId="Hyperlink">
    <w:name w:val="Hyperlink"/>
    <w:rsid w:val="00097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335.a.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380" TargetMode="External"/><Relationship Id="rId34" Type="http://schemas.openxmlformats.org/officeDocument/2006/relationships/hyperlink" Target="http://www.nevo.co.il/case/17948201"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5" TargetMode="External"/><Relationship Id="rId29" Type="http://schemas.openxmlformats.org/officeDocument/2006/relationships/hyperlink" Target="http://www.nevo.co.il/law/70301/3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3093744" TargetMode="External"/><Relationship Id="rId37" Type="http://schemas.openxmlformats.org/officeDocument/2006/relationships/hyperlink" Target="http://www.nevo.co.il/case/4956663"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25" TargetMode="External"/><Relationship Id="rId36" Type="http://schemas.openxmlformats.org/officeDocument/2006/relationships/hyperlink" Target="http://www.nevo.co.il/case/8437593" TargetMode="External"/><Relationship Id="rId10" Type="http://schemas.openxmlformats.org/officeDocument/2006/relationships/hyperlink" Target="http://www.nevo.co.il/law/70301/333" TargetMode="External"/><Relationship Id="rId19" Type="http://schemas.openxmlformats.org/officeDocument/2006/relationships/hyperlink" Target="http://www.nevo.co.il/law/70301/335.a.1" TargetMode="External"/><Relationship Id="rId31" Type="http://schemas.openxmlformats.org/officeDocument/2006/relationships/hyperlink" Target="http://www.nevo.co.il/case/779149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40ja.5" TargetMode="External"/><Relationship Id="rId22" Type="http://schemas.openxmlformats.org/officeDocument/2006/relationships/hyperlink" Target="http://www.nevo.co.il/law/70301/40ja.5" TargetMode="External"/><Relationship Id="rId27" Type="http://schemas.openxmlformats.org/officeDocument/2006/relationships/hyperlink" Target="http://www.nevo.co.il/law/70301/335.a.2"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3502956" TargetMode="External"/><Relationship Id="rId43"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35.a.2"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333" TargetMode="External"/><Relationship Id="rId33" Type="http://schemas.openxmlformats.org/officeDocument/2006/relationships/hyperlink" Target="http://www.nevo.co.il/case/18653904" TargetMode="External"/><Relationship Id="rId38" Type="http://schemas.openxmlformats.org/officeDocument/2006/relationships/hyperlink" Target="http://www.nevo.co.il/law/70301/40ja.5" TargetMode="External"/><Relationship Id="rId20" Type="http://schemas.openxmlformats.org/officeDocument/2006/relationships/hyperlink" Target="http://www.nevo.co.il/law/70301/335.a.2"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2809</Words>
  <Characters>14049</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16825</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3211301</vt:i4>
      </vt:variant>
      <vt:variant>
        <vt:i4>93</vt:i4>
      </vt:variant>
      <vt:variant>
        <vt:i4>0</vt:i4>
      </vt:variant>
      <vt:variant>
        <vt:i4>5</vt:i4>
      </vt:variant>
      <vt:variant>
        <vt:lpwstr>http://www.nevo.co.il/law/70301/40ja.5</vt:lpwstr>
      </vt:variant>
      <vt:variant>
        <vt:lpwstr/>
      </vt:variant>
      <vt:variant>
        <vt:i4>3407997</vt:i4>
      </vt:variant>
      <vt:variant>
        <vt:i4>90</vt:i4>
      </vt:variant>
      <vt:variant>
        <vt:i4>0</vt:i4>
      </vt:variant>
      <vt:variant>
        <vt:i4>5</vt:i4>
      </vt:variant>
      <vt:variant>
        <vt:lpwstr>http://www.nevo.co.il/case/4956663</vt:lpwstr>
      </vt:variant>
      <vt:variant>
        <vt:lpwstr/>
      </vt:variant>
      <vt:variant>
        <vt:i4>3997822</vt:i4>
      </vt:variant>
      <vt:variant>
        <vt:i4>87</vt:i4>
      </vt:variant>
      <vt:variant>
        <vt:i4>0</vt:i4>
      </vt:variant>
      <vt:variant>
        <vt:i4>5</vt:i4>
      </vt:variant>
      <vt:variant>
        <vt:lpwstr>http://www.nevo.co.il/case/8437593</vt:lpwstr>
      </vt:variant>
      <vt:variant>
        <vt:lpwstr/>
      </vt:variant>
      <vt:variant>
        <vt:i4>3932278</vt:i4>
      </vt:variant>
      <vt:variant>
        <vt:i4>84</vt:i4>
      </vt:variant>
      <vt:variant>
        <vt:i4>0</vt:i4>
      </vt:variant>
      <vt:variant>
        <vt:i4>5</vt:i4>
      </vt:variant>
      <vt:variant>
        <vt:lpwstr>http://www.nevo.co.il/case/3502956</vt:lpwstr>
      </vt:variant>
      <vt:variant>
        <vt:lpwstr/>
      </vt:variant>
      <vt:variant>
        <vt:i4>3145845</vt:i4>
      </vt:variant>
      <vt:variant>
        <vt:i4>81</vt:i4>
      </vt:variant>
      <vt:variant>
        <vt:i4>0</vt:i4>
      </vt:variant>
      <vt:variant>
        <vt:i4>5</vt:i4>
      </vt:variant>
      <vt:variant>
        <vt:lpwstr>http://www.nevo.co.il/case/17948201</vt:lpwstr>
      </vt:variant>
      <vt:variant>
        <vt:lpwstr/>
      </vt:variant>
      <vt:variant>
        <vt:i4>3407984</vt:i4>
      </vt:variant>
      <vt:variant>
        <vt:i4>78</vt:i4>
      </vt:variant>
      <vt:variant>
        <vt:i4>0</vt:i4>
      </vt:variant>
      <vt:variant>
        <vt:i4>5</vt:i4>
      </vt:variant>
      <vt:variant>
        <vt:lpwstr>http://www.nevo.co.il/case/18653904</vt:lpwstr>
      </vt:variant>
      <vt:variant>
        <vt:lpwstr/>
      </vt:variant>
      <vt:variant>
        <vt:i4>3539065</vt:i4>
      </vt:variant>
      <vt:variant>
        <vt:i4>75</vt:i4>
      </vt:variant>
      <vt:variant>
        <vt:i4>0</vt:i4>
      </vt:variant>
      <vt:variant>
        <vt:i4>5</vt:i4>
      </vt:variant>
      <vt:variant>
        <vt:lpwstr>http://www.nevo.co.il/case/13093744</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7143526</vt:i4>
      </vt:variant>
      <vt:variant>
        <vt:i4>66</vt:i4>
      </vt:variant>
      <vt:variant>
        <vt:i4>0</vt:i4>
      </vt:variant>
      <vt:variant>
        <vt:i4>5</vt:i4>
      </vt:variant>
      <vt:variant>
        <vt:lpwstr>http://www.nevo.co.il/law/70301/380</vt:lpwstr>
      </vt:variant>
      <vt:variant>
        <vt:lpwstr/>
      </vt:variant>
      <vt:variant>
        <vt:i4>6291559</vt:i4>
      </vt:variant>
      <vt:variant>
        <vt:i4>63</vt:i4>
      </vt:variant>
      <vt:variant>
        <vt:i4>0</vt:i4>
      </vt:variant>
      <vt:variant>
        <vt:i4>5</vt:i4>
      </vt:variant>
      <vt:variant>
        <vt:lpwstr>http://www.nevo.co.il/law/70301/25</vt:lpwstr>
      </vt:variant>
      <vt:variant>
        <vt:lpwstr/>
      </vt:variant>
      <vt:variant>
        <vt:i4>6684722</vt:i4>
      </vt:variant>
      <vt:variant>
        <vt:i4>60</vt:i4>
      </vt:variant>
      <vt:variant>
        <vt:i4>0</vt:i4>
      </vt:variant>
      <vt:variant>
        <vt:i4>5</vt:i4>
      </vt:variant>
      <vt:variant>
        <vt:lpwstr>http://www.nevo.co.il/law/70301/335.a.2</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3211301</vt:i4>
      </vt:variant>
      <vt:variant>
        <vt:i4>45</vt:i4>
      </vt:variant>
      <vt:variant>
        <vt:i4>0</vt:i4>
      </vt:variant>
      <vt:variant>
        <vt:i4>5</vt:i4>
      </vt:variant>
      <vt:variant>
        <vt:lpwstr>http://www.nevo.co.il/law/70301/40ja.5</vt:lpwstr>
      </vt:variant>
      <vt:variant>
        <vt:lpwstr/>
      </vt:variant>
      <vt:variant>
        <vt:i4>7143526</vt:i4>
      </vt:variant>
      <vt:variant>
        <vt:i4>42</vt:i4>
      </vt:variant>
      <vt:variant>
        <vt:i4>0</vt:i4>
      </vt:variant>
      <vt:variant>
        <vt:i4>5</vt:i4>
      </vt:variant>
      <vt:variant>
        <vt:lpwstr>http://www.nevo.co.il/law/70301/380</vt:lpwstr>
      </vt:variant>
      <vt:variant>
        <vt:lpwstr/>
      </vt:variant>
      <vt:variant>
        <vt:i4>6684722</vt:i4>
      </vt:variant>
      <vt:variant>
        <vt:i4>39</vt:i4>
      </vt:variant>
      <vt:variant>
        <vt:i4>0</vt:i4>
      </vt:variant>
      <vt:variant>
        <vt:i4>5</vt:i4>
      </vt:variant>
      <vt:variant>
        <vt:lpwstr>http://www.nevo.co.il/law/70301/335.a.2</vt:lpwstr>
      </vt:variant>
      <vt:variant>
        <vt:lpwstr/>
      </vt:variant>
      <vt:variant>
        <vt:i4>6684722</vt:i4>
      </vt:variant>
      <vt:variant>
        <vt:i4>36</vt:i4>
      </vt:variant>
      <vt:variant>
        <vt:i4>0</vt:i4>
      </vt:variant>
      <vt:variant>
        <vt:i4>5</vt:i4>
      </vt:variant>
      <vt:variant>
        <vt:lpwstr>http://www.nevo.co.il/law/70301/335.a.1</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3211301</vt:i4>
      </vt:variant>
      <vt:variant>
        <vt:i4>21</vt:i4>
      </vt:variant>
      <vt:variant>
        <vt:i4>0</vt:i4>
      </vt:variant>
      <vt:variant>
        <vt:i4>5</vt:i4>
      </vt:variant>
      <vt:variant>
        <vt:lpwstr>http://www.nevo.co.il/law/70301/40ja.5</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6684722</vt:i4>
      </vt:variant>
      <vt:variant>
        <vt:i4>15</vt:i4>
      </vt:variant>
      <vt:variant>
        <vt:i4>0</vt:i4>
      </vt:variant>
      <vt:variant>
        <vt:i4>5</vt:i4>
      </vt:variant>
      <vt:variant>
        <vt:lpwstr>http://www.nevo.co.il/law/70301/335.a.2</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2025-01-19T15:57:00Z</dcterms:created>
  <dcterms:modified xsi:type="dcterms:W3CDTF">2025-01-19T15:57:00Z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21296</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מייסרה עיסא</vt:lpwstr>
  </property>
  <property fmtid="{D5CDD505-2E9C-101B-9397-08002B2CF9AE}" pid="10" name="LAWYER">
    <vt:lpwstr>ליאת פלג;זילברשטיין</vt:lpwstr>
  </property>
  <property fmtid="{D5CDD505-2E9C-101B-9397-08002B2CF9AE}" pid="11" name="JUDGE">
    <vt:lpwstr>רות לורך</vt:lpwstr>
  </property>
  <property fmtid="{D5CDD505-2E9C-101B-9397-08002B2CF9AE}" pid="12" name="CITY">
    <vt:lpwstr>מרכז</vt:lpwstr>
  </property>
  <property fmtid="{D5CDD505-2E9C-101B-9397-08002B2CF9AE}" pid="13" name="DATE">
    <vt:lpwstr>20151021</vt:lpwstr>
  </property>
  <property fmtid="{D5CDD505-2E9C-101B-9397-08002B2CF9AE}" pid="14" name="TYPE_N_DATE">
    <vt:lpwstr>39020151021</vt:lpwstr>
  </property>
  <property fmtid="{D5CDD505-2E9C-101B-9397-08002B2CF9AE}" pid="15" name="WORDNUMPAGES">
    <vt:lpwstr>9</vt:lpwstr>
  </property>
  <property fmtid="{D5CDD505-2E9C-101B-9397-08002B2CF9AE}" pid="16" name="TYPE_ABS_DATE">
    <vt:lpwstr>390020151021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7791493;13093744;18653904;17948201;3502956;8437593;4956663</vt:lpwstr>
  </property>
  <property fmtid="{D5CDD505-2E9C-101B-9397-08002B2CF9AE}" pid="36" name="LAWLISTTMP1">
    <vt:lpwstr>70301/025;144.b;333;335.a.1;335.a.2;380;40ja.5</vt:lpwstr>
  </property>
</Properties>
</file>