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41F8B" w:rsidRPr="00D85E6C" w14:paraId="734312AB" w14:textId="77777777" w:rsidTr="00080112">
        <w:trPr>
          <w:trHeight w:hRule="exact" w:val="418"/>
          <w:jc w:val="center"/>
        </w:trPr>
        <w:tc>
          <w:tcPr>
            <w:tcW w:w="8721" w:type="dxa"/>
            <w:gridSpan w:val="2"/>
          </w:tcPr>
          <w:p w14:paraId="4F6BBD1E" w14:textId="77777777" w:rsidR="00341F8B" w:rsidRPr="00D85E6C" w:rsidRDefault="00341F8B" w:rsidP="00C96D63">
            <w:pPr>
              <w:pStyle w:val="a3"/>
              <w:jc w:val="center"/>
              <w:rPr>
                <w:rFonts w:ascii="Tahoma" w:hAnsi="Tahoma" w:cs="Tahoma"/>
                <w:color w:val="000080"/>
                <w:rtl/>
              </w:rPr>
            </w:pPr>
            <w:r w:rsidRPr="00D85E6C">
              <w:rPr>
                <w:rFonts w:ascii="Tahoma" w:hAnsi="Tahoma" w:cs="Tahoma"/>
                <w:b/>
                <w:bCs/>
                <w:color w:val="000080"/>
                <w:rtl/>
              </w:rPr>
              <w:t>בית המשפט המחוזי בחיפה</w:t>
            </w:r>
          </w:p>
        </w:tc>
      </w:tr>
      <w:tr w:rsidR="00341F8B" w:rsidRPr="00D85E6C" w14:paraId="57DCC643" w14:textId="77777777" w:rsidTr="00080112">
        <w:trPr>
          <w:trHeight w:val="337"/>
          <w:jc w:val="center"/>
        </w:trPr>
        <w:tc>
          <w:tcPr>
            <w:tcW w:w="5058" w:type="dxa"/>
          </w:tcPr>
          <w:p w14:paraId="6F30241A" w14:textId="77777777" w:rsidR="00341F8B" w:rsidRPr="00D85E6C" w:rsidRDefault="00341F8B" w:rsidP="00C96D63">
            <w:pPr>
              <w:rPr>
                <w:rFonts w:cs="FrankRuehl"/>
                <w:sz w:val="28"/>
                <w:szCs w:val="28"/>
                <w:rtl/>
              </w:rPr>
            </w:pPr>
            <w:r w:rsidRPr="00D85E6C">
              <w:rPr>
                <w:b/>
                <w:bCs/>
                <w:sz w:val="26"/>
                <w:szCs w:val="26"/>
                <w:rtl/>
              </w:rPr>
              <w:t>תפ"ח</w:t>
            </w:r>
            <w:r w:rsidRPr="00D85E6C">
              <w:rPr>
                <w:rFonts w:cs="FrankRuehl" w:hint="cs"/>
                <w:sz w:val="28"/>
                <w:szCs w:val="28"/>
                <w:rtl/>
              </w:rPr>
              <w:t xml:space="preserve"> </w:t>
            </w:r>
            <w:r w:rsidRPr="00D85E6C">
              <w:rPr>
                <w:b/>
                <w:bCs/>
                <w:sz w:val="26"/>
                <w:szCs w:val="26"/>
                <w:rtl/>
              </w:rPr>
              <w:t>43709-11-14</w:t>
            </w:r>
            <w:r w:rsidRPr="00D85E6C">
              <w:rPr>
                <w:rFonts w:cs="FrankRuehl" w:hint="cs"/>
                <w:sz w:val="28"/>
                <w:szCs w:val="28"/>
                <w:rtl/>
              </w:rPr>
              <w:t xml:space="preserve"> </w:t>
            </w:r>
            <w:r w:rsidRPr="00D85E6C">
              <w:rPr>
                <w:b/>
                <w:bCs/>
                <w:sz w:val="26"/>
                <w:szCs w:val="26"/>
                <w:rtl/>
              </w:rPr>
              <w:t>מדינת ישראל נ' עודה(עציר)</w:t>
            </w:r>
          </w:p>
          <w:p w14:paraId="24E5EE8F" w14:textId="77777777" w:rsidR="00341F8B" w:rsidRPr="00D85E6C" w:rsidRDefault="00341F8B" w:rsidP="00C96D63">
            <w:pPr>
              <w:pStyle w:val="a3"/>
              <w:rPr>
                <w:rFonts w:cs="FrankRuehl"/>
                <w:sz w:val="28"/>
                <w:szCs w:val="28"/>
                <w:rtl/>
              </w:rPr>
            </w:pPr>
          </w:p>
        </w:tc>
        <w:tc>
          <w:tcPr>
            <w:tcW w:w="3663" w:type="dxa"/>
          </w:tcPr>
          <w:p w14:paraId="23FDBA32" w14:textId="77777777" w:rsidR="00341F8B" w:rsidRPr="00D85E6C" w:rsidRDefault="00341F8B" w:rsidP="00C96D63">
            <w:pPr>
              <w:pStyle w:val="a3"/>
              <w:jc w:val="right"/>
              <w:rPr>
                <w:rFonts w:cs="FrankRuehl"/>
                <w:sz w:val="28"/>
                <w:szCs w:val="28"/>
                <w:rtl/>
              </w:rPr>
            </w:pPr>
          </w:p>
        </w:tc>
      </w:tr>
    </w:tbl>
    <w:p w14:paraId="4BAED7B9" w14:textId="77777777" w:rsidR="00341F8B" w:rsidRPr="00D85E6C" w:rsidRDefault="00341F8B" w:rsidP="00341F8B">
      <w:pPr>
        <w:pStyle w:val="a3"/>
        <w:rPr>
          <w:rtl/>
        </w:rPr>
      </w:pPr>
      <w:r w:rsidRPr="00D85E6C">
        <w:rPr>
          <w:rFonts w:hint="cs"/>
          <w:rtl/>
        </w:rPr>
        <w:t xml:space="preserve"> </w:t>
      </w:r>
    </w:p>
    <w:p w14:paraId="0D96B6D1" w14:textId="77777777" w:rsidR="00341F8B" w:rsidRPr="00D85E6C" w:rsidRDefault="00341F8B" w:rsidP="00341F8B">
      <w:pPr>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341F8B" w:rsidRPr="00D85E6C" w14:paraId="08907A2C" w14:textId="77777777" w:rsidTr="00341F8B">
        <w:trPr>
          <w:gridAfter w:val="1"/>
          <w:wAfter w:w="55" w:type="dxa"/>
        </w:trPr>
        <w:tc>
          <w:tcPr>
            <w:tcW w:w="8719" w:type="dxa"/>
            <w:gridSpan w:val="2"/>
            <w:shd w:val="clear" w:color="auto" w:fill="auto"/>
          </w:tcPr>
          <w:p w14:paraId="69F024E6" w14:textId="77777777" w:rsidR="00341F8B" w:rsidRPr="00D85E6C" w:rsidRDefault="00341F8B" w:rsidP="00C96D63">
            <w:pPr>
              <w:rPr>
                <w:b/>
                <w:bCs/>
                <w:sz w:val="26"/>
                <w:szCs w:val="26"/>
                <w:rtl/>
              </w:rPr>
            </w:pPr>
            <w:r w:rsidRPr="00D85E6C">
              <w:rPr>
                <w:rFonts w:hint="cs"/>
                <w:b/>
                <w:bCs/>
                <w:sz w:val="26"/>
                <w:szCs w:val="26"/>
                <w:rtl/>
              </w:rPr>
              <w:t>בפני הרכב כב' השופטים:</w:t>
            </w:r>
          </w:p>
          <w:p w14:paraId="3CC47581" w14:textId="77777777" w:rsidR="00341F8B" w:rsidRPr="00D85E6C" w:rsidRDefault="00341F8B" w:rsidP="00C96D63">
            <w:pPr>
              <w:rPr>
                <w:rStyle w:val="TimesNewRomanTimesNewRoman"/>
                <w:rtl/>
              </w:rPr>
            </w:pPr>
            <w:r w:rsidRPr="00D85E6C">
              <w:rPr>
                <w:rStyle w:val="TimesNewRomanTimesNewRoman"/>
                <w:rtl/>
              </w:rPr>
              <w:t>רון שפירא, נשיא [אב"ד]</w:t>
            </w:r>
          </w:p>
          <w:p w14:paraId="57DCA98F" w14:textId="77777777" w:rsidR="00341F8B" w:rsidRPr="00D85E6C" w:rsidRDefault="00341F8B" w:rsidP="00C96D63">
            <w:pPr>
              <w:rPr>
                <w:rStyle w:val="TimesNewRomanTimesNewRoman"/>
                <w:rtl/>
              </w:rPr>
            </w:pPr>
            <w:r w:rsidRPr="00D85E6C">
              <w:rPr>
                <w:rStyle w:val="TimesNewRomanTimesNewRoman"/>
                <w:rtl/>
              </w:rPr>
              <w:t>אברהם אליקים, סגן נשיא</w:t>
            </w:r>
          </w:p>
          <w:p w14:paraId="4761A8AB" w14:textId="77777777" w:rsidR="00341F8B" w:rsidRPr="00D85E6C" w:rsidRDefault="00341F8B" w:rsidP="00341F8B">
            <w:pPr>
              <w:spacing w:line="480" w:lineRule="auto"/>
              <w:rPr>
                <w:rStyle w:val="TimesNewRomanTimesNewRoman"/>
                <w:rtl/>
              </w:rPr>
            </w:pPr>
            <w:r w:rsidRPr="00D85E6C">
              <w:rPr>
                <w:rStyle w:val="TimesNewRomanTimesNewRoman"/>
                <w:rtl/>
              </w:rPr>
              <w:t>תמר נאות פרי</w:t>
            </w:r>
          </w:p>
        </w:tc>
      </w:tr>
      <w:tr w:rsidR="00341F8B" w:rsidRPr="00D85E6C" w14:paraId="35496051" w14:textId="77777777" w:rsidTr="00341F8B">
        <w:tc>
          <w:tcPr>
            <w:tcW w:w="2880" w:type="dxa"/>
            <w:shd w:val="clear" w:color="auto" w:fill="auto"/>
          </w:tcPr>
          <w:p w14:paraId="29AB997E" w14:textId="77777777" w:rsidR="00341F8B" w:rsidRPr="00D85E6C" w:rsidRDefault="00341F8B" w:rsidP="00341F8B">
            <w:pPr>
              <w:ind w:left="26"/>
              <w:rPr>
                <w:b/>
                <w:bCs/>
                <w:sz w:val="26"/>
                <w:szCs w:val="26"/>
                <w:rtl/>
              </w:rPr>
            </w:pPr>
            <w:bookmarkStart w:id="0" w:name="FirstAppellant"/>
            <w:bookmarkStart w:id="1" w:name="LastJudge"/>
            <w:bookmarkEnd w:id="1"/>
            <w:r w:rsidRPr="00D85E6C">
              <w:rPr>
                <w:rFonts w:hint="cs"/>
                <w:b/>
                <w:bCs/>
                <w:sz w:val="26"/>
                <w:szCs w:val="26"/>
                <w:rtl/>
              </w:rPr>
              <w:t>המאשימה</w:t>
            </w:r>
          </w:p>
        </w:tc>
        <w:tc>
          <w:tcPr>
            <w:tcW w:w="5922" w:type="dxa"/>
            <w:gridSpan w:val="2"/>
            <w:shd w:val="clear" w:color="auto" w:fill="auto"/>
          </w:tcPr>
          <w:p w14:paraId="372C3065" w14:textId="77777777" w:rsidR="00341F8B" w:rsidRPr="00D85E6C" w:rsidRDefault="00341F8B" w:rsidP="00C96D63">
            <w:pPr>
              <w:rPr>
                <w:b/>
                <w:bCs/>
                <w:sz w:val="26"/>
                <w:szCs w:val="26"/>
                <w:rtl/>
              </w:rPr>
            </w:pPr>
            <w:r w:rsidRPr="00D85E6C">
              <w:rPr>
                <w:rFonts w:hint="cs"/>
                <w:b/>
                <w:bCs/>
                <w:sz w:val="26"/>
                <w:szCs w:val="26"/>
                <w:rtl/>
              </w:rPr>
              <w:t>מדינת ישראל</w:t>
            </w:r>
          </w:p>
        </w:tc>
      </w:tr>
      <w:bookmarkEnd w:id="0"/>
      <w:tr w:rsidR="00341F8B" w:rsidRPr="00D85E6C" w14:paraId="08878096" w14:textId="77777777" w:rsidTr="00341F8B">
        <w:tc>
          <w:tcPr>
            <w:tcW w:w="8802" w:type="dxa"/>
            <w:gridSpan w:val="3"/>
            <w:shd w:val="clear" w:color="auto" w:fill="auto"/>
          </w:tcPr>
          <w:p w14:paraId="5B00E428" w14:textId="77777777" w:rsidR="00341F8B" w:rsidRPr="00D85E6C" w:rsidRDefault="00341F8B" w:rsidP="00341F8B">
            <w:pPr>
              <w:jc w:val="center"/>
              <w:rPr>
                <w:rFonts w:ascii="Arial" w:hAnsi="Arial"/>
                <w:b/>
                <w:bCs/>
                <w:sz w:val="26"/>
                <w:szCs w:val="26"/>
                <w:rtl/>
              </w:rPr>
            </w:pPr>
          </w:p>
          <w:p w14:paraId="4C3DBF7A" w14:textId="77777777" w:rsidR="00341F8B" w:rsidRPr="00D85E6C" w:rsidRDefault="00341F8B" w:rsidP="00341F8B">
            <w:pPr>
              <w:jc w:val="center"/>
              <w:rPr>
                <w:rFonts w:ascii="Arial" w:hAnsi="Arial"/>
                <w:b/>
                <w:bCs/>
                <w:sz w:val="26"/>
                <w:szCs w:val="26"/>
                <w:rtl/>
              </w:rPr>
            </w:pPr>
            <w:r w:rsidRPr="00D85E6C">
              <w:rPr>
                <w:rFonts w:ascii="Arial" w:hAnsi="Arial" w:hint="cs"/>
                <w:b/>
                <w:bCs/>
                <w:sz w:val="26"/>
                <w:szCs w:val="26"/>
                <w:rtl/>
              </w:rPr>
              <w:t>נגד</w:t>
            </w:r>
          </w:p>
          <w:p w14:paraId="77E78934" w14:textId="77777777" w:rsidR="00341F8B" w:rsidRPr="00D85E6C" w:rsidRDefault="00341F8B" w:rsidP="00341F8B">
            <w:pPr>
              <w:jc w:val="center"/>
              <w:rPr>
                <w:rFonts w:ascii="Arial" w:hAnsi="Arial"/>
                <w:b/>
                <w:bCs/>
                <w:sz w:val="26"/>
                <w:szCs w:val="26"/>
                <w:rtl/>
              </w:rPr>
            </w:pPr>
          </w:p>
        </w:tc>
      </w:tr>
      <w:tr w:rsidR="00341F8B" w:rsidRPr="00D85E6C" w14:paraId="14EC74FD" w14:textId="77777777" w:rsidTr="00341F8B">
        <w:tc>
          <w:tcPr>
            <w:tcW w:w="2880" w:type="dxa"/>
            <w:shd w:val="clear" w:color="auto" w:fill="auto"/>
          </w:tcPr>
          <w:p w14:paraId="515CB529" w14:textId="77777777" w:rsidR="00341F8B" w:rsidRPr="00D85E6C" w:rsidRDefault="00341F8B" w:rsidP="00341F8B">
            <w:pPr>
              <w:ind w:left="26"/>
              <w:rPr>
                <w:b/>
                <w:bCs/>
                <w:sz w:val="26"/>
                <w:szCs w:val="26"/>
                <w:rtl/>
              </w:rPr>
            </w:pPr>
            <w:r w:rsidRPr="00D85E6C">
              <w:rPr>
                <w:rFonts w:hint="cs"/>
                <w:b/>
                <w:bCs/>
                <w:sz w:val="26"/>
                <w:szCs w:val="26"/>
                <w:rtl/>
              </w:rPr>
              <w:t>הנאשם</w:t>
            </w:r>
          </w:p>
        </w:tc>
        <w:tc>
          <w:tcPr>
            <w:tcW w:w="5922" w:type="dxa"/>
            <w:gridSpan w:val="2"/>
            <w:shd w:val="clear" w:color="auto" w:fill="auto"/>
          </w:tcPr>
          <w:p w14:paraId="6C9EC859" w14:textId="77777777" w:rsidR="00341F8B" w:rsidRPr="00D85E6C" w:rsidRDefault="00341F8B" w:rsidP="00C96D63">
            <w:pPr>
              <w:rPr>
                <w:b/>
                <w:bCs/>
                <w:sz w:val="26"/>
                <w:szCs w:val="26"/>
                <w:rtl/>
              </w:rPr>
            </w:pPr>
            <w:r w:rsidRPr="00D85E6C">
              <w:rPr>
                <w:rFonts w:hint="cs"/>
                <w:b/>
                <w:bCs/>
                <w:sz w:val="26"/>
                <w:szCs w:val="26"/>
                <w:rtl/>
              </w:rPr>
              <w:t xml:space="preserve">רפעת עודה (עציר), ת"ז </w:t>
            </w:r>
            <w:r w:rsidR="00D85E6C">
              <w:rPr>
                <w:b/>
                <w:bCs/>
                <w:sz w:val="26"/>
                <w:szCs w:val="26"/>
              </w:rPr>
              <w:t>xxxxxxxxx</w:t>
            </w:r>
          </w:p>
          <w:p w14:paraId="2278F219" w14:textId="77777777" w:rsidR="00341F8B" w:rsidRPr="00D85E6C" w:rsidRDefault="00341F8B" w:rsidP="00C96D63">
            <w:pPr>
              <w:rPr>
                <w:sz w:val="26"/>
                <w:szCs w:val="26"/>
              </w:rPr>
            </w:pPr>
            <w:r w:rsidRPr="00D85E6C">
              <w:rPr>
                <w:rFonts w:hint="cs"/>
                <w:sz w:val="26"/>
                <w:szCs w:val="26"/>
                <w:rtl/>
              </w:rPr>
              <w:t>עו"ד בוריס שרמן (סניגוריה ציבורית)</w:t>
            </w:r>
          </w:p>
        </w:tc>
      </w:tr>
    </w:tbl>
    <w:p w14:paraId="4E50C176" w14:textId="77777777" w:rsidR="00080112" w:rsidRDefault="00080112" w:rsidP="00341F8B">
      <w:pPr>
        <w:rPr>
          <w:rFonts w:ascii="David" w:hAnsi="David"/>
          <w:rtl/>
        </w:rPr>
      </w:pPr>
    </w:p>
    <w:p w14:paraId="0B1AA483" w14:textId="77777777" w:rsidR="00B4407A" w:rsidRPr="00B4407A" w:rsidRDefault="00B4407A" w:rsidP="00B4407A">
      <w:pPr>
        <w:spacing w:before="120" w:after="120" w:line="240" w:lineRule="exact"/>
        <w:ind w:left="283" w:hanging="283"/>
        <w:jc w:val="both"/>
        <w:rPr>
          <w:rFonts w:ascii="FrankRuehl" w:hAnsi="FrankRuehl" w:cs="FrankRuehl"/>
          <w:rtl/>
        </w:rPr>
      </w:pPr>
      <w:bookmarkStart w:id="2" w:name="LawTable"/>
      <w:bookmarkEnd w:id="2"/>
    </w:p>
    <w:p w14:paraId="1825E47F" w14:textId="77777777" w:rsidR="00B4407A" w:rsidRPr="00B4407A" w:rsidRDefault="00B4407A" w:rsidP="00B4407A">
      <w:pPr>
        <w:spacing w:before="120" w:after="120" w:line="240" w:lineRule="exact"/>
        <w:ind w:left="283" w:hanging="283"/>
        <w:jc w:val="both"/>
        <w:rPr>
          <w:rFonts w:ascii="FrankRuehl" w:hAnsi="FrankRuehl" w:cs="FrankRuehl"/>
          <w:rtl/>
        </w:rPr>
      </w:pPr>
    </w:p>
    <w:p w14:paraId="00BBAABE" w14:textId="77777777" w:rsidR="00B4407A" w:rsidRPr="00B4407A" w:rsidRDefault="00B4407A" w:rsidP="00B4407A">
      <w:pPr>
        <w:spacing w:before="120" w:after="120" w:line="240" w:lineRule="exact"/>
        <w:ind w:left="283" w:hanging="283"/>
        <w:jc w:val="both"/>
        <w:rPr>
          <w:rFonts w:ascii="FrankRuehl" w:hAnsi="FrankRuehl" w:cs="FrankRuehl"/>
          <w:rtl/>
        </w:rPr>
      </w:pPr>
      <w:r w:rsidRPr="00B4407A">
        <w:rPr>
          <w:rFonts w:ascii="FrankRuehl" w:hAnsi="FrankRuehl" w:cs="FrankRuehl"/>
          <w:rtl/>
        </w:rPr>
        <w:t xml:space="preserve">חקיקה שאוזכרה: </w:t>
      </w:r>
    </w:p>
    <w:p w14:paraId="3A91DCE4" w14:textId="77777777" w:rsidR="00B4407A" w:rsidRPr="00B4407A" w:rsidRDefault="00B4407A" w:rsidP="00B4407A">
      <w:pPr>
        <w:spacing w:before="120" w:after="120" w:line="240" w:lineRule="exact"/>
        <w:ind w:left="283" w:hanging="283"/>
        <w:jc w:val="both"/>
        <w:rPr>
          <w:rFonts w:ascii="FrankRuehl" w:hAnsi="FrankRuehl" w:cs="FrankRuehl"/>
          <w:color w:val="0000FF"/>
          <w:rtl/>
        </w:rPr>
      </w:pPr>
      <w:hyperlink r:id="rId7" w:history="1">
        <w:r w:rsidRPr="00B4407A">
          <w:rPr>
            <w:rStyle w:val="Hyperlink"/>
            <w:rFonts w:ascii="FrankRuehl" w:hAnsi="FrankRuehl" w:cs="FrankRuehl"/>
            <w:rtl/>
          </w:rPr>
          <w:t>חוק העונשין, תשל"ז-1977</w:t>
        </w:r>
      </w:hyperlink>
      <w:r w:rsidRPr="00B4407A">
        <w:rPr>
          <w:rFonts w:ascii="FrankRuehl" w:hAnsi="FrankRuehl" w:cs="FrankRuehl"/>
          <w:color w:val="0000FF"/>
          <w:u w:val="single"/>
          <w:rtl/>
        </w:rPr>
        <w:t xml:space="preserve">: סע'  </w:t>
      </w:r>
      <w:hyperlink r:id="rId8" w:history="1">
        <w:r w:rsidRPr="00B4407A">
          <w:rPr>
            <w:rStyle w:val="Hyperlink"/>
            <w:rFonts w:ascii="FrankRuehl" w:hAnsi="FrankRuehl" w:cs="FrankRuehl"/>
          </w:rPr>
          <w:t>5</w:t>
        </w:r>
      </w:hyperlink>
      <w:r w:rsidRPr="00B4407A">
        <w:rPr>
          <w:rFonts w:ascii="FrankRuehl" w:hAnsi="FrankRuehl" w:cs="FrankRuehl"/>
          <w:color w:val="0000FF"/>
          <w:rtl/>
        </w:rPr>
        <w:t xml:space="preserve">(א), </w:t>
      </w:r>
      <w:hyperlink r:id="rId9" w:history="1">
        <w:r w:rsidRPr="00B4407A">
          <w:rPr>
            <w:rStyle w:val="Hyperlink"/>
            <w:rFonts w:ascii="FrankRuehl" w:hAnsi="FrankRuehl" w:cs="FrankRuehl"/>
          </w:rPr>
          <w:t>29</w:t>
        </w:r>
      </w:hyperlink>
      <w:r w:rsidRPr="00B4407A">
        <w:rPr>
          <w:rFonts w:ascii="FrankRuehl" w:hAnsi="FrankRuehl" w:cs="FrankRuehl"/>
          <w:color w:val="0000FF"/>
          <w:rtl/>
        </w:rPr>
        <w:t xml:space="preserve">, </w:t>
      </w:r>
      <w:hyperlink r:id="rId10" w:history="1">
        <w:r w:rsidRPr="00B4407A">
          <w:rPr>
            <w:rStyle w:val="Hyperlink"/>
            <w:rFonts w:ascii="FrankRuehl" w:hAnsi="FrankRuehl" w:cs="FrankRuehl"/>
          </w:rPr>
          <w:t>34</w:t>
        </w:r>
        <w:r w:rsidRPr="00B4407A">
          <w:rPr>
            <w:rStyle w:val="Hyperlink"/>
            <w:rFonts w:ascii="FrankRuehl" w:hAnsi="FrankRuehl" w:cs="FrankRuehl"/>
            <w:rtl/>
          </w:rPr>
          <w:t>ד</w:t>
        </w:r>
      </w:hyperlink>
      <w:r w:rsidRPr="00B4407A">
        <w:rPr>
          <w:rFonts w:ascii="FrankRuehl" w:hAnsi="FrankRuehl" w:cs="FrankRuehl"/>
          <w:color w:val="0000FF"/>
          <w:rtl/>
        </w:rPr>
        <w:t xml:space="preserve">, </w:t>
      </w:r>
      <w:hyperlink r:id="rId11" w:history="1">
        <w:r w:rsidRPr="00B4407A">
          <w:rPr>
            <w:rStyle w:val="Hyperlink"/>
            <w:rFonts w:ascii="FrankRuehl" w:hAnsi="FrankRuehl" w:cs="FrankRuehl"/>
          </w:rPr>
          <w:t>40</w:t>
        </w:r>
        <w:r w:rsidRPr="00B4407A">
          <w:rPr>
            <w:rStyle w:val="Hyperlink"/>
            <w:rFonts w:ascii="FrankRuehl" w:hAnsi="FrankRuehl" w:cs="FrankRuehl"/>
            <w:rtl/>
          </w:rPr>
          <w:t>ט</w:t>
        </w:r>
      </w:hyperlink>
      <w:r w:rsidRPr="00B4407A">
        <w:rPr>
          <w:rFonts w:ascii="FrankRuehl" w:hAnsi="FrankRuehl" w:cs="FrankRuehl"/>
          <w:color w:val="0000FF"/>
          <w:rtl/>
        </w:rPr>
        <w:t xml:space="preserve">(א)(9), </w:t>
      </w:r>
      <w:hyperlink r:id="rId12" w:history="1">
        <w:r w:rsidRPr="00B4407A">
          <w:rPr>
            <w:rStyle w:val="Hyperlink"/>
            <w:rFonts w:ascii="FrankRuehl" w:hAnsi="FrankRuehl" w:cs="FrankRuehl"/>
          </w:rPr>
          <w:t>144.</w:t>
        </w:r>
        <w:r w:rsidRPr="00B4407A">
          <w:rPr>
            <w:rStyle w:val="Hyperlink"/>
            <w:rFonts w:ascii="FrankRuehl" w:hAnsi="FrankRuehl" w:cs="FrankRuehl"/>
            <w:rtl/>
          </w:rPr>
          <w:t>א</w:t>
        </w:r>
        <w:r w:rsidRPr="00B4407A">
          <w:rPr>
            <w:rStyle w:val="Hyperlink"/>
            <w:rFonts w:ascii="FrankRuehl" w:hAnsi="FrankRuehl" w:cs="FrankRuehl"/>
          </w:rPr>
          <w:t>.</w:t>
        </w:r>
      </w:hyperlink>
      <w:r w:rsidRPr="00B4407A">
        <w:rPr>
          <w:rFonts w:ascii="FrankRuehl" w:hAnsi="FrankRuehl" w:cs="FrankRuehl"/>
          <w:color w:val="0000FF"/>
          <w:rtl/>
        </w:rPr>
        <w:t xml:space="preserve">, </w:t>
      </w:r>
      <w:hyperlink r:id="rId13" w:history="1">
        <w:r w:rsidRPr="00B4407A">
          <w:rPr>
            <w:rStyle w:val="Hyperlink"/>
            <w:rFonts w:ascii="FrankRuehl" w:hAnsi="FrankRuehl" w:cs="FrankRuehl"/>
          </w:rPr>
          <w:t>144.</w:t>
        </w:r>
        <w:r w:rsidRPr="00B4407A">
          <w:rPr>
            <w:rStyle w:val="Hyperlink"/>
            <w:rFonts w:ascii="FrankRuehl" w:hAnsi="FrankRuehl" w:cs="FrankRuehl"/>
            <w:rtl/>
          </w:rPr>
          <w:t>ב</w:t>
        </w:r>
        <w:r w:rsidRPr="00B4407A">
          <w:rPr>
            <w:rStyle w:val="Hyperlink"/>
            <w:rFonts w:ascii="FrankRuehl" w:hAnsi="FrankRuehl" w:cs="FrankRuehl"/>
          </w:rPr>
          <w:t>.</w:t>
        </w:r>
      </w:hyperlink>
      <w:r w:rsidRPr="00B4407A">
        <w:rPr>
          <w:rFonts w:ascii="FrankRuehl" w:hAnsi="FrankRuehl" w:cs="FrankRuehl"/>
          <w:color w:val="0000FF"/>
          <w:rtl/>
        </w:rPr>
        <w:t xml:space="preserve">, </w:t>
      </w:r>
      <w:hyperlink r:id="rId14" w:history="1">
        <w:r w:rsidRPr="00B4407A">
          <w:rPr>
            <w:rStyle w:val="Hyperlink"/>
            <w:rFonts w:ascii="FrankRuehl" w:hAnsi="FrankRuehl" w:cs="FrankRuehl"/>
          </w:rPr>
          <w:t>300</w:t>
        </w:r>
      </w:hyperlink>
      <w:r w:rsidRPr="00B4407A">
        <w:rPr>
          <w:rFonts w:ascii="FrankRuehl" w:hAnsi="FrankRuehl" w:cs="FrankRuehl"/>
          <w:color w:val="0000FF"/>
          <w:rtl/>
        </w:rPr>
        <w:t xml:space="preserve">(א), </w:t>
      </w:r>
      <w:hyperlink r:id="rId15" w:history="1">
        <w:r w:rsidRPr="00B4407A">
          <w:rPr>
            <w:rStyle w:val="Hyperlink"/>
            <w:rFonts w:ascii="FrankRuehl" w:hAnsi="FrankRuehl" w:cs="FrankRuehl"/>
          </w:rPr>
          <w:t>300.</w:t>
        </w:r>
        <w:r w:rsidRPr="00B4407A">
          <w:rPr>
            <w:rStyle w:val="Hyperlink"/>
            <w:rFonts w:ascii="FrankRuehl" w:hAnsi="FrankRuehl" w:cs="FrankRuehl"/>
            <w:rtl/>
          </w:rPr>
          <w:t>א.2</w:t>
        </w:r>
        <w:r w:rsidRPr="00B4407A">
          <w:rPr>
            <w:rStyle w:val="Hyperlink"/>
            <w:rFonts w:ascii="FrankRuehl" w:hAnsi="FrankRuehl" w:cs="FrankRuehl"/>
          </w:rPr>
          <w:t>.</w:t>
        </w:r>
      </w:hyperlink>
      <w:r w:rsidRPr="00B4407A">
        <w:rPr>
          <w:rFonts w:ascii="FrankRuehl" w:hAnsi="FrankRuehl" w:cs="FrankRuehl"/>
          <w:color w:val="0000FF"/>
          <w:rtl/>
        </w:rPr>
        <w:t xml:space="preserve">, </w:t>
      </w:r>
      <w:hyperlink r:id="rId16" w:history="1">
        <w:r w:rsidRPr="00B4407A">
          <w:rPr>
            <w:rStyle w:val="Hyperlink"/>
            <w:rFonts w:ascii="FrankRuehl" w:hAnsi="FrankRuehl" w:cs="FrankRuehl"/>
          </w:rPr>
          <w:t>300</w:t>
        </w:r>
        <w:r w:rsidRPr="00B4407A">
          <w:rPr>
            <w:rStyle w:val="Hyperlink"/>
            <w:rFonts w:ascii="FrankRuehl" w:hAnsi="FrankRuehl" w:cs="FrankRuehl"/>
            <w:rtl/>
          </w:rPr>
          <w:t>א</w:t>
        </w:r>
      </w:hyperlink>
      <w:r w:rsidRPr="00B4407A">
        <w:rPr>
          <w:rFonts w:ascii="FrankRuehl" w:hAnsi="FrankRuehl" w:cs="FrankRuehl"/>
          <w:color w:val="0000FF"/>
          <w:rtl/>
        </w:rPr>
        <w:t xml:space="preserve">, </w:t>
      </w:r>
      <w:hyperlink r:id="rId17" w:history="1">
        <w:r w:rsidRPr="00B4407A">
          <w:rPr>
            <w:rStyle w:val="Hyperlink"/>
            <w:rFonts w:ascii="FrankRuehl" w:hAnsi="FrankRuehl" w:cs="FrankRuehl"/>
          </w:rPr>
          <w:t>301</w:t>
        </w:r>
      </w:hyperlink>
      <w:r w:rsidRPr="00B4407A">
        <w:rPr>
          <w:rFonts w:ascii="FrankRuehl" w:hAnsi="FrankRuehl" w:cs="FrankRuehl"/>
          <w:color w:val="0000FF"/>
          <w:rtl/>
        </w:rPr>
        <w:t xml:space="preserve">, </w:t>
      </w:r>
      <w:hyperlink r:id="rId18" w:history="1">
        <w:r w:rsidRPr="00B4407A">
          <w:rPr>
            <w:rStyle w:val="Hyperlink"/>
            <w:rFonts w:ascii="FrankRuehl" w:hAnsi="FrankRuehl" w:cs="FrankRuehl"/>
          </w:rPr>
          <w:t>301</w:t>
        </w:r>
        <w:r w:rsidRPr="00B4407A">
          <w:rPr>
            <w:rStyle w:val="Hyperlink"/>
            <w:rFonts w:ascii="FrankRuehl" w:hAnsi="FrankRuehl" w:cs="FrankRuehl"/>
            <w:rtl/>
          </w:rPr>
          <w:t>א</w:t>
        </w:r>
      </w:hyperlink>
      <w:r w:rsidRPr="00B4407A">
        <w:rPr>
          <w:rFonts w:ascii="FrankRuehl" w:hAnsi="FrankRuehl" w:cs="FrankRuehl"/>
          <w:color w:val="0000FF"/>
          <w:rtl/>
        </w:rPr>
        <w:t xml:space="preserve">, </w:t>
      </w:r>
      <w:hyperlink r:id="rId19" w:history="1">
        <w:r w:rsidRPr="00B4407A">
          <w:rPr>
            <w:rStyle w:val="Hyperlink"/>
            <w:rFonts w:ascii="FrankRuehl" w:hAnsi="FrankRuehl" w:cs="FrankRuehl"/>
          </w:rPr>
          <w:t>301</w:t>
        </w:r>
        <w:r w:rsidRPr="00B4407A">
          <w:rPr>
            <w:rStyle w:val="Hyperlink"/>
            <w:rFonts w:ascii="FrankRuehl" w:hAnsi="FrankRuehl" w:cs="FrankRuehl"/>
            <w:rtl/>
          </w:rPr>
          <w:t>א</w:t>
        </w:r>
      </w:hyperlink>
      <w:r w:rsidRPr="00B4407A">
        <w:rPr>
          <w:rFonts w:ascii="FrankRuehl" w:hAnsi="FrankRuehl" w:cs="FrankRuehl"/>
          <w:color w:val="0000FF"/>
          <w:rtl/>
        </w:rPr>
        <w:t xml:space="preserve">(א), </w:t>
      </w:r>
      <w:hyperlink r:id="rId20" w:history="1">
        <w:r w:rsidRPr="00B4407A">
          <w:rPr>
            <w:rStyle w:val="Hyperlink"/>
            <w:rFonts w:ascii="FrankRuehl" w:hAnsi="FrankRuehl" w:cs="FrankRuehl"/>
          </w:rPr>
          <w:t>301</w:t>
        </w:r>
        <w:r w:rsidRPr="00B4407A">
          <w:rPr>
            <w:rStyle w:val="Hyperlink"/>
            <w:rFonts w:ascii="FrankRuehl" w:hAnsi="FrankRuehl" w:cs="FrankRuehl"/>
            <w:rtl/>
          </w:rPr>
          <w:t>א</w:t>
        </w:r>
      </w:hyperlink>
      <w:r w:rsidRPr="00B4407A">
        <w:rPr>
          <w:rFonts w:ascii="FrankRuehl" w:hAnsi="FrankRuehl" w:cs="FrankRuehl"/>
          <w:color w:val="0000FF"/>
          <w:rtl/>
        </w:rPr>
        <w:t xml:space="preserve">(א)(1), </w:t>
      </w:r>
      <w:hyperlink r:id="rId21" w:history="1">
        <w:r w:rsidRPr="00B4407A">
          <w:rPr>
            <w:rStyle w:val="Hyperlink"/>
            <w:rFonts w:ascii="FrankRuehl" w:hAnsi="FrankRuehl" w:cs="FrankRuehl"/>
          </w:rPr>
          <w:t>301</w:t>
        </w:r>
        <w:r w:rsidRPr="00B4407A">
          <w:rPr>
            <w:rStyle w:val="Hyperlink"/>
            <w:rFonts w:ascii="FrankRuehl" w:hAnsi="FrankRuehl" w:cs="FrankRuehl"/>
            <w:rtl/>
          </w:rPr>
          <w:t>א</w:t>
        </w:r>
      </w:hyperlink>
      <w:r w:rsidRPr="00B4407A">
        <w:rPr>
          <w:rFonts w:ascii="FrankRuehl" w:hAnsi="FrankRuehl" w:cs="FrankRuehl"/>
          <w:color w:val="0000FF"/>
          <w:rtl/>
        </w:rPr>
        <w:t xml:space="preserve">(ב), </w:t>
      </w:r>
      <w:hyperlink r:id="rId22" w:history="1">
        <w:r w:rsidRPr="00B4407A">
          <w:rPr>
            <w:rStyle w:val="Hyperlink"/>
            <w:rFonts w:ascii="FrankRuehl" w:hAnsi="FrankRuehl" w:cs="FrankRuehl"/>
          </w:rPr>
          <w:t>301</w:t>
        </w:r>
        <w:r w:rsidRPr="00B4407A">
          <w:rPr>
            <w:rStyle w:val="Hyperlink"/>
            <w:rFonts w:ascii="FrankRuehl" w:hAnsi="FrankRuehl" w:cs="FrankRuehl"/>
            <w:rtl/>
          </w:rPr>
          <w:t>ב</w:t>
        </w:r>
      </w:hyperlink>
      <w:r w:rsidRPr="00B4407A">
        <w:rPr>
          <w:rFonts w:ascii="FrankRuehl" w:hAnsi="FrankRuehl" w:cs="FrankRuehl"/>
          <w:color w:val="0000FF"/>
          <w:rtl/>
        </w:rPr>
        <w:t xml:space="preserve">(ב)(1), </w:t>
      </w:r>
      <w:hyperlink r:id="rId23" w:history="1">
        <w:r w:rsidRPr="00B4407A">
          <w:rPr>
            <w:rStyle w:val="Hyperlink"/>
            <w:rFonts w:ascii="FrankRuehl" w:hAnsi="FrankRuehl" w:cs="FrankRuehl"/>
          </w:rPr>
          <w:t>305</w:t>
        </w:r>
      </w:hyperlink>
      <w:r w:rsidRPr="00B4407A">
        <w:rPr>
          <w:rFonts w:ascii="FrankRuehl" w:hAnsi="FrankRuehl" w:cs="FrankRuehl"/>
          <w:color w:val="0000FF"/>
          <w:rtl/>
        </w:rPr>
        <w:t xml:space="preserve">, </w:t>
      </w:r>
      <w:hyperlink r:id="rId24" w:history="1">
        <w:r w:rsidRPr="00B4407A">
          <w:rPr>
            <w:rStyle w:val="Hyperlink"/>
            <w:rFonts w:ascii="FrankRuehl" w:hAnsi="FrankRuehl" w:cs="FrankRuehl"/>
          </w:rPr>
          <w:t>305</w:t>
        </w:r>
      </w:hyperlink>
      <w:r w:rsidRPr="00B4407A">
        <w:rPr>
          <w:rFonts w:ascii="FrankRuehl" w:hAnsi="FrankRuehl" w:cs="FrankRuehl"/>
          <w:color w:val="0000FF"/>
          <w:rtl/>
        </w:rPr>
        <w:t xml:space="preserve">(1), </w:t>
      </w:r>
      <w:hyperlink r:id="rId25" w:history="1">
        <w:r w:rsidRPr="00B4407A">
          <w:rPr>
            <w:rStyle w:val="Hyperlink"/>
            <w:rFonts w:ascii="FrankRuehl" w:hAnsi="FrankRuehl" w:cs="FrankRuehl"/>
          </w:rPr>
          <w:t>311</w:t>
        </w:r>
      </w:hyperlink>
      <w:r w:rsidRPr="00B4407A">
        <w:rPr>
          <w:rFonts w:ascii="FrankRuehl" w:hAnsi="FrankRuehl" w:cs="FrankRuehl"/>
          <w:color w:val="0000FF"/>
          <w:rtl/>
        </w:rPr>
        <w:t xml:space="preserve">, </w:t>
      </w:r>
      <w:hyperlink r:id="rId26" w:history="1">
        <w:r w:rsidRPr="00B4407A">
          <w:rPr>
            <w:rStyle w:val="Hyperlink"/>
            <w:rFonts w:ascii="FrankRuehl" w:hAnsi="FrankRuehl" w:cs="FrankRuehl"/>
          </w:rPr>
          <w:t>40</w:t>
        </w:r>
        <w:r w:rsidRPr="00B4407A">
          <w:rPr>
            <w:rStyle w:val="Hyperlink"/>
            <w:rFonts w:ascii="FrankRuehl" w:hAnsi="FrankRuehl" w:cs="FrankRuehl"/>
            <w:rtl/>
          </w:rPr>
          <w:t>יא</w:t>
        </w:r>
      </w:hyperlink>
      <w:r w:rsidRPr="00B4407A">
        <w:rPr>
          <w:rFonts w:ascii="FrankRuehl" w:hAnsi="FrankRuehl" w:cs="FrankRuehl"/>
          <w:color w:val="0000FF"/>
          <w:rtl/>
        </w:rPr>
        <w:t xml:space="preserve">, </w:t>
      </w:r>
      <w:hyperlink r:id="rId27" w:history="1">
        <w:r w:rsidRPr="00B4407A">
          <w:rPr>
            <w:rStyle w:val="Hyperlink"/>
            <w:rFonts w:ascii="FrankRuehl" w:hAnsi="FrankRuehl" w:cs="FrankRuehl"/>
          </w:rPr>
          <w:t>(8)</w:t>
        </w:r>
      </w:hyperlink>
      <w:r w:rsidRPr="00B4407A">
        <w:rPr>
          <w:rFonts w:ascii="FrankRuehl" w:hAnsi="FrankRuehl" w:cs="FrankRuehl"/>
          <w:color w:val="0000FF"/>
          <w:rtl/>
        </w:rPr>
        <w:t xml:space="preserve">, </w:t>
      </w:r>
      <w:hyperlink r:id="rId28" w:history="1">
        <w:r w:rsidRPr="00B4407A">
          <w:rPr>
            <w:rStyle w:val="Hyperlink"/>
            <w:rFonts w:ascii="FrankRuehl" w:hAnsi="FrankRuehl" w:cs="FrankRuehl"/>
            <w:rtl/>
          </w:rPr>
          <w:t>ב ב</w:t>
        </w:r>
        <w:r w:rsidRPr="00B4407A">
          <w:rPr>
            <w:rStyle w:val="Hyperlink"/>
            <w:rFonts w:ascii="FrankRuehl" w:hAnsi="FrankRuehl" w:cs="FrankRuehl"/>
          </w:rPr>
          <w:t>'</w:t>
        </w:r>
      </w:hyperlink>
      <w:r w:rsidRPr="00B4407A">
        <w:rPr>
          <w:rFonts w:ascii="FrankRuehl" w:hAnsi="FrankRuehl" w:cs="FrankRuehl"/>
          <w:color w:val="0000FF"/>
          <w:rtl/>
        </w:rPr>
        <w:t xml:space="preserve">, </w:t>
      </w:r>
      <w:hyperlink r:id="rId29" w:history="1">
        <w:r w:rsidRPr="00B4407A">
          <w:rPr>
            <w:rStyle w:val="Hyperlink"/>
            <w:rFonts w:ascii="FrankRuehl" w:hAnsi="FrankRuehl" w:cs="FrankRuehl"/>
            <w:rtl/>
          </w:rPr>
          <w:t>בפרק י'  א</w:t>
        </w:r>
      </w:hyperlink>
    </w:p>
    <w:p w14:paraId="08D3F491" w14:textId="77777777" w:rsidR="00080112" w:rsidRPr="00B4407A" w:rsidRDefault="00080112" w:rsidP="00B4407A">
      <w:pPr>
        <w:spacing w:after="120" w:line="240" w:lineRule="exact"/>
        <w:ind w:left="283" w:hanging="283"/>
        <w:jc w:val="both"/>
        <w:rPr>
          <w:rFonts w:ascii="FrankRuehl" w:hAnsi="FrankRuehl" w:cs="FrankRueh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1F8B" w14:paraId="0ADD1AC2" w14:textId="77777777" w:rsidTr="00341F8B">
        <w:trPr>
          <w:trHeight w:val="355"/>
          <w:jc w:val="center"/>
        </w:trPr>
        <w:tc>
          <w:tcPr>
            <w:tcW w:w="8820" w:type="dxa"/>
            <w:tcBorders>
              <w:top w:val="nil"/>
              <w:left w:val="nil"/>
              <w:bottom w:val="nil"/>
              <w:right w:val="nil"/>
            </w:tcBorders>
            <w:shd w:val="clear" w:color="auto" w:fill="auto"/>
          </w:tcPr>
          <w:p w14:paraId="465A2688" w14:textId="77777777" w:rsidR="00D85E6C" w:rsidRPr="00D85E6C" w:rsidRDefault="00D85E6C" w:rsidP="00D85E6C">
            <w:pPr>
              <w:jc w:val="center"/>
              <w:rPr>
                <w:rFonts w:ascii="Arial" w:hAnsi="Arial"/>
                <w:b/>
                <w:bCs/>
                <w:sz w:val="28"/>
                <w:szCs w:val="28"/>
                <w:u w:val="single"/>
                <w:rtl/>
              </w:rPr>
            </w:pPr>
            <w:bookmarkStart w:id="4" w:name="PsakDin" w:colFirst="0" w:colLast="0"/>
            <w:r w:rsidRPr="00D85E6C">
              <w:rPr>
                <w:rFonts w:ascii="Arial" w:hAnsi="Arial"/>
                <w:b/>
                <w:bCs/>
                <w:sz w:val="28"/>
                <w:szCs w:val="28"/>
                <w:u w:val="single"/>
                <w:rtl/>
              </w:rPr>
              <w:t>גזר דין</w:t>
            </w:r>
          </w:p>
          <w:p w14:paraId="0B8510AB" w14:textId="77777777" w:rsidR="00341F8B" w:rsidRPr="00D85E6C" w:rsidRDefault="00341F8B" w:rsidP="00D85E6C">
            <w:pPr>
              <w:jc w:val="center"/>
              <w:rPr>
                <w:rFonts w:ascii="Arial" w:hAnsi="Arial"/>
                <w:bCs/>
                <w:sz w:val="28"/>
                <w:szCs w:val="28"/>
                <w:u w:val="single"/>
                <w:rtl/>
              </w:rPr>
            </w:pPr>
          </w:p>
        </w:tc>
      </w:tr>
      <w:bookmarkEnd w:id="4"/>
    </w:tbl>
    <w:p w14:paraId="5F584583" w14:textId="77777777" w:rsidR="00341F8B" w:rsidRPr="00B05847" w:rsidRDefault="00341F8B" w:rsidP="00341F8B">
      <w:pPr>
        <w:spacing w:line="360" w:lineRule="auto"/>
        <w:jc w:val="both"/>
        <w:rPr>
          <w:rFonts w:ascii="Arial" w:hAnsi="Arial"/>
          <w:rtl/>
        </w:rPr>
      </w:pPr>
    </w:p>
    <w:p w14:paraId="586FA5E7" w14:textId="77777777" w:rsidR="00341F8B" w:rsidRPr="0047208B" w:rsidRDefault="00341F8B" w:rsidP="00341F8B">
      <w:pPr>
        <w:spacing w:after="120" w:line="360" w:lineRule="auto"/>
        <w:jc w:val="both"/>
        <w:rPr>
          <w:rFonts w:ascii="David" w:hAnsi="David"/>
          <w:b/>
          <w:bCs/>
          <w:u w:val="single"/>
          <w:rtl/>
        </w:rPr>
      </w:pPr>
      <w:r w:rsidRPr="0047208B">
        <w:rPr>
          <w:rFonts w:ascii="David" w:hAnsi="David"/>
          <w:b/>
          <w:bCs/>
          <w:u w:val="single"/>
          <w:rtl/>
        </w:rPr>
        <w:t>השופט אברהם אליקים, סגן נשיא:</w:t>
      </w:r>
    </w:p>
    <w:p w14:paraId="4E3C7DA9" w14:textId="77777777" w:rsidR="00341F8B" w:rsidRPr="0047208B" w:rsidRDefault="00341F8B" w:rsidP="00341F8B">
      <w:pPr>
        <w:spacing w:after="120" w:line="360" w:lineRule="auto"/>
        <w:jc w:val="both"/>
        <w:rPr>
          <w:rFonts w:ascii="David" w:hAnsi="David"/>
          <w:rtl/>
        </w:rPr>
      </w:pPr>
      <w:r w:rsidRPr="0047208B">
        <w:rPr>
          <w:rFonts w:ascii="David" w:hAnsi="David"/>
          <w:u w:val="single"/>
          <w:rtl/>
        </w:rPr>
        <w:t>מבוא</w:t>
      </w:r>
    </w:p>
    <w:p w14:paraId="01ADA812"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tl/>
        </w:rPr>
      </w:pPr>
      <w:bookmarkStart w:id="5" w:name="ABSTRACT_START"/>
      <w:bookmarkEnd w:id="5"/>
      <w:r w:rsidRPr="003E5108">
        <w:rPr>
          <w:rFonts w:ascii="David" w:hAnsi="David" w:cs="David"/>
          <w:szCs w:val="24"/>
          <w:rtl/>
        </w:rPr>
        <w:t>בהכרעת הדין שהושמעה ביום 30.5.2018 קבענו פה אחד כי ביום 21.10.2014 הנאשם גרם למותו של חליל  מחרום ז"ל (להלן-המנוח) בדרך של ירייה בראשו מטווח קצר מתוך כוונה תחילה להמיתו</w:t>
      </w:r>
      <w:r w:rsidRPr="003E5108">
        <w:rPr>
          <w:rFonts w:ascii="David" w:hAnsi="David" w:cs="David" w:hint="cs"/>
          <w:szCs w:val="24"/>
          <w:rtl/>
        </w:rPr>
        <w:t xml:space="preserve">. </w:t>
      </w:r>
      <w:r w:rsidRPr="003E5108">
        <w:rPr>
          <w:rFonts w:ascii="David" w:hAnsi="David" w:cs="David"/>
          <w:szCs w:val="24"/>
          <w:rtl/>
        </w:rPr>
        <w:t>בנוסף</w:t>
      </w:r>
      <w:r w:rsidRPr="003E5108">
        <w:rPr>
          <w:rFonts w:ascii="David" w:hAnsi="David" w:cs="David" w:hint="cs"/>
          <w:szCs w:val="24"/>
          <w:rtl/>
        </w:rPr>
        <w:t>,</w:t>
      </w:r>
      <w:r w:rsidRPr="003E5108">
        <w:rPr>
          <w:rFonts w:ascii="David" w:hAnsi="David" w:cs="David"/>
          <w:szCs w:val="24"/>
          <w:rtl/>
        </w:rPr>
        <w:t xml:space="preserve"> קבענו ברוב דעות כי לאחר מכן רדף </w:t>
      </w:r>
      <w:r w:rsidRPr="003E5108">
        <w:rPr>
          <w:rFonts w:ascii="David" w:hAnsi="David" w:cs="David" w:hint="cs"/>
          <w:szCs w:val="24"/>
          <w:rtl/>
        </w:rPr>
        <w:t xml:space="preserve">הנאשם </w:t>
      </w:r>
      <w:r w:rsidRPr="003E5108">
        <w:rPr>
          <w:rFonts w:ascii="David" w:hAnsi="David" w:cs="David"/>
          <w:szCs w:val="24"/>
          <w:rtl/>
        </w:rPr>
        <w:t>אחרי ראזי</w:t>
      </w:r>
      <w:r w:rsidRPr="003E5108">
        <w:rPr>
          <w:rFonts w:ascii="David" w:hAnsi="David" w:cs="David" w:hint="cs"/>
          <w:szCs w:val="24"/>
          <w:rtl/>
        </w:rPr>
        <w:t>,</w:t>
      </w:r>
      <w:r w:rsidRPr="003E5108">
        <w:rPr>
          <w:rFonts w:ascii="David" w:hAnsi="David" w:cs="David"/>
          <w:szCs w:val="24"/>
          <w:rtl/>
        </w:rPr>
        <w:t xml:space="preserve"> בנו של המנוח</w:t>
      </w:r>
      <w:r w:rsidRPr="003E5108">
        <w:rPr>
          <w:rFonts w:ascii="David" w:hAnsi="David" w:cs="David" w:hint="cs"/>
          <w:szCs w:val="24"/>
          <w:rtl/>
        </w:rPr>
        <w:t>,</w:t>
      </w:r>
      <w:r w:rsidRPr="003E5108">
        <w:rPr>
          <w:rFonts w:ascii="David" w:hAnsi="David" w:cs="David"/>
          <w:szCs w:val="24"/>
          <w:rtl/>
        </w:rPr>
        <w:t xml:space="preserve"> כשהאקדח שלוף בידו מתוך כוונה לרצוח אותו. </w:t>
      </w:r>
    </w:p>
    <w:p w14:paraId="7E156EB0" w14:textId="77777777" w:rsidR="00341F8B" w:rsidRPr="003E5108" w:rsidRDefault="00341F8B" w:rsidP="00341F8B">
      <w:pPr>
        <w:pStyle w:val="a9"/>
        <w:numPr>
          <w:ilvl w:val="0"/>
          <w:numId w:val="1"/>
        </w:numPr>
        <w:overflowPunct w:val="0"/>
        <w:spacing w:after="120" w:line="360" w:lineRule="auto"/>
        <w:ind w:left="368"/>
        <w:contextualSpacing w:val="0"/>
        <w:jc w:val="both"/>
        <w:rPr>
          <w:rFonts w:ascii="David" w:hAnsi="David" w:cs="David"/>
          <w:szCs w:val="24"/>
        </w:rPr>
      </w:pPr>
      <w:bookmarkStart w:id="6" w:name="ABSTRACT_END"/>
      <w:bookmarkEnd w:id="6"/>
      <w:r w:rsidRPr="003E5108">
        <w:rPr>
          <w:rFonts w:ascii="David" w:hAnsi="David" w:cs="David"/>
          <w:szCs w:val="24"/>
          <w:rtl/>
        </w:rPr>
        <w:t xml:space="preserve">בהתאם לכך הורשע הנאשם בעבירות של רצח בכוונה תחילה - עבירה לפי </w:t>
      </w:r>
      <w:hyperlink r:id="rId30" w:history="1">
        <w:r w:rsidR="00080112" w:rsidRPr="00080112">
          <w:rPr>
            <w:rFonts w:ascii="David" w:hAnsi="David" w:cs="David"/>
            <w:color w:val="0000FF"/>
            <w:szCs w:val="24"/>
            <w:u w:val="single"/>
            <w:rtl/>
          </w:rPr>
          <w:t>סעיף 300(א)(2)+301</w:t>
        </w:r>
      </w:hyperlink>
      <w:r w:rsidRPr="003E5108">
        <w:rPr>
          <w:rFonts w:ascii="David" w:hAnsi="David" w:cs="David"/>
          <w:szCs w:val="24"/>
          <w:rtl/>
        </w:rPr>
        <w:t xml:space="preserve"> ל</w:t>
      </w:r>
      <w:hyperlink r:id="rId31" w:history="1">
        <w:r w:rsidR="00D85E6C" w:rsidRPr="00D85E6C">
          <w:rPr>
            <w:rFonts w:ascii="David" w:hAnsi="David" w:cs="David"/>
            <w:color w:val="0000FF"/>
            <w:szCs w:val="24"/>
            <w:u w:val="single"/>
            <w:rtl/>
          </w:rPr>
          <w:t>חוק העונשין</w:t>
        </w:r>
      </w:hyperlink>
      <w:r w:rsidRPr="003E5108">
        <w:rPr>
          <w:rFonts w:ascii="David" w:hAnsi="David" w:cs="David"/>
          <w:szCs w:val="24"/>
          <w:rtl/>
        </w:rPr>
        <w:t>, התשל"ז-1977 (להלן-חוק העונשין)</w:t>
      </w:r>
      <w:r w:rsidRPr="003E5108">
        <w:rPr>
          <w:rFonts w:ascii="David" w:hAnsi="David" w:cs="David" w:hint="cs"/>
          <w:szCs w:val="24"/>
          <w:rtl/>
        </w:rPr>
        <w:t xml:space="preserve">, </w:t>
      </w:r>
      <w:r w:rsidRPr="003E5108">
        <w:rPr>
          <w:rFonts w:ascii="David" w:hAnsi="David" w:cs="David"/>
          <w:szCs w:val="24"/>
          <w:rtl/>
        </w:rPr>
        <w:t>עבירה של ניסיון לרצח</w:t>
      </w:r>
      <w:r w:rsidRPr="003E5108">
        <w:rPr>
          <w:rFonts w:ascii="David" w:hAnsi="David" w:cs="David" w:hint="cs"/>
          <w:szCs w:val="24"/>
          <w:rtl/>
        </w:rPr>
        <w:t xml:space="preserve"> </w:t>
      </w:r>
      <w:r w:rsidRPr="003E5108">
        <w:rPr>
          <w:rFonts w:ascii="David" w:hAnsi="David" w:cs="David"/>
          <w:szCs w:val="24"/>
          <w:rtl/>
        </w:rPr>
        <w:t>-</w:t>
      </w:r>
      <w:r w:rsidRPr="003E5108">
        <w:rPr>
          <w:rFonts w:ascii="David" w:hAnsi="David" w:cs="David" w:hint="cs"/>
          <w:szCs w:val="24"/>
          <w:rtl/>
        </w:rPr>
        <w:t xml:space="preserve"> </w:t>
      </w:r>
      <w:r w:rsidRPr="003E5108">
        <w:rPr>
          <w:rFonts w:ascii="David" w:hAnsi="David" w:cs="David"/>
          <w:szCs w:val="24"/>
          <w:rtl/>
        </w:rPr>
        <w:t xml:space="preserve">עבירה לפי </w:t>
      </w:r>
      <w:hyperlink r:id="rId32" w:history="1">
        <w:r w:rsidR="00080112" w:rsidRPr="00080112">
          <w:rPr>
            <w:rFonts w:ascii="David" w:hAnsi="David" w:cs="David"/>
            <w:color w:val="0000FF"/>
            <w:szCs w:val="24"/>
            <w:u w:val="single"/>
            <w:rtl/>
          </w:rPr>
          <w:t>סעיף 305</w:t>
        </w:r>
      </w:hyperlink>
      <w:r w:rsidRPr="003E5108">
        <w:rPr>
          <w:rFonts w:ascii="David" w:hAnsi="David" w:cs="David"/>
          <w:szCs w:val="24"/>
          <w:rtl/>
        </w:rPr>
        <w:t xml:space="preserve"> לחוק העונשין</w:t>
      </w:r>
      <w:r w:rsidRPr="003E5108">
        <w:rPr>
          <w:rFonts w:ascii="David" w:hAnsi="David" w:cs="David" w:hint="cs"/>
          <w:szCs w:val="24"/>
          <w:rtl/>
        </w:rPr>
        <w:t>,</w:t>
      </w:r>
      <w:r w:rsidRPr="003E5108">
        <w:rPr>
          <w:rFonts w:ascii="David" w:hAnsi="David" w:cs="David"/>
          <w:szCs w:val="24"/>
          <w:rtl/>
        </w:rPr>
        <w:t xml:space="preserve"> ועבירות בנשק</w:t>
      </w:r>
      <w:r w:rsidRPr="003E5108">
        <w:rPr>
          <w:rFonts w:ascii="David" w:hAnsi="David" w:cs="David" w:hint="cs"/>
          <w:szCs w:val="24"/>
          <w:rtl/>
        </w:rPr>
        <w:t xml:space="preserve"> </w:t>
      </w:r>
      <w:r w:rsidRPr="003E5108">
        <w:rPr>
          <w:rFonts w:ascii="David" w:hAnsi="David" w:cs="David"/>
          <w:szCs w:val="24"/>
          <w:rtl/>
        </w:rPr>
        <w:t>-</w:t>
      </w:r>
      <w:r w:rsidRPr="003E5108">
        <w:rPr>
          <w:rFonts w:ascii="David" w:hAnsi="David" w:cs="David" w:hint="cs"/>
          <w:szCs w:val="24"/>
          <w:rtl/>
        </w:rPr>
        <w:t xml:space="preserve"> </w:t>
      </w:r>
      <w:r w:rsidRPr="003E5108">
        <w:rPr>
          <w:rFonts w:ascii="David" w:hAnsi="David" w:cs="David"/>
          <w:szCs w:val="24"/>
          <w:rtl/>
        </w:rPr>
        <w:t xml:space="preserve">עבירות לפי </w:t>
      </w:r>
      <w:hyperlink r:id="rId33" w:history="1">
        <w:r w:rsidR="00080112" w:rsidRPr="00080112">
          <w:rPr>
            <w:rFonts w:ascii="David" w:hAnsi="David" w:cs="David"/>
            <w:color w:val="0000FF"/>
            <w:szCs w:val="24"/>
            <w:u w:val="single"/>
            <w:rtl/>
          </w:rPr>
          <w:t>סעיף 144(א)+(ב)+29</w:t>
        </w:r>
      </w:hyperlink>
      <w:r w:rsidRPr="003E5108">
        <w:rPr>
          <w:rFonts w:ascii="David" w:hAnsi="David" w:cs="David"/>
          <w:szCs w:val="24"/>
          <w:rtl/>
        </w:rPr>
        <w:t xml:space="preserve"> לחוק העונשין. </w:t>
      </w:r>
    </w:p>
    <w:p w14:paraId="17443FF7" w14:textId="77777777" w:rsidR="00341F8B" w:rsidRPr="003E5108" w:rsidRDefault="00341F8B" w:rsidP="00341F8B">
      <w:pPr>
        <w:spacing w:after="120" w:line="360" w:lineRule="auto"/>
        <w:ind w:left="368"/>
        <w:jc w:val="both"/>
        <w:rPr>
          <w:rFonts w:ascii="David" w:hAnsi="David"/>
          <w:rtl/>
        </w:rPr>
      </w:pPr>
      <w:r w:rsidRPr="003E5108">
        <w:rPr>
          <w:rFonts w:ascii="David" w:hAnsi="David"/>
          <w:rtl/>
        </w:rPr>
        <w:t xml:space="preserve">עובר לירי במנוח התפתחה תגרה ברחוב המגינים בחיפה בפתח חנות מכולת/פיצוציה, תגרה בה היו מעורבים המנוח, בנו ראזי ויוסף </w:t>
      </w:r>
      <w:r>
        <w:rPr>
          <w:rFonts w:ascii="David" w:hAnsi="David" w:hint="cs"/>
          <w:rtl/>
        </w:rPr>
        <w:t xml:space="preserve">- </w:t>
      </w:r>
      <w:r w:rsidRPr="003E5108">
        <w:rPr>
          <w:rFonts w:ascii="David" w:hAnsi="David"/>
          <w:rtl/>
        </w:rPr>
        <w:t>בנו של הנאשם. הנאשם הגיע למקום עם אקדח טעון</w:t>
      </w:r>
      <w:r>
        <w:rPr>
          <w:rFonts w:ascii="David" w:hAnsi="David" w:hint="cs"/>
          <w:rtl/>
        </w:rPr>
        <w:t>,</w:t>
      </w:r>
      <w:r w:rsidRPr="003E5108">
        <w:rPr>
          <w:rFonts w:ascii="David" w:hAnsi="David"/>
          <w:rtl/>
        </w:rPr>
        <w:t xml:space="preserve"> הפריד בין הניצים </w:t>
      </w:r>
      <w:r w:rsidRPr="003E5108">
        <w:rPr>
          <w:rFonts w:ascii="David" w:hAnsi="David" w:hint="cs"/>
          <w:rtl/>
        </w:rPr>
        <w:t>ו</w:t>
      </w:r>
      <w:r w:rsidRPr="003E5108">
        <w:rPr>
          <w:rFonts w:ascii="David" w:hAnsi="David"/>
          <w:rtl/>
        </w:rPr>
        <w:t>מיד לאחר מכן ירה במנוח וניסה לירות בראזי מתוך כוונה להמיתם.</w:t>
      </w:r>
    </w:p>
    <w:p w14:paraId="3056B209" w14:textId="77777777" w:rsidR="00341F8B" w:rsidRPr="003E5108" w:rsidRDefault="00341F8B" w:rsidP="00341F8B">
      <w:pPr>
        <w:overflowPunct w:val="0"/>
        <w:spacing w:after="120" w:line="360" w:lineRule="auto"/>
        <w:ind w:left="360"/>
        <w:jc w:val="both"/>
        <w:rPr>
          <w:rFonts w:ascii="David" w:hAnsi="David"/>
          <w:u w:val="single"/>
          <w:rtl/>
        </w:rPr>
      </w:pPr>
      <w:r w:rsidRPr="003E5108">
        <w:rPr>
          <w:rFonts w:ascii="David" w:hAnsi="David"/>
          <w:rtl/>
        </w:rPr>
        <w:t xml:space="preserve">במהלך שמיעת הראיות הועלו טענות כי לנאשם הפרעות נפשיות, הוא סבל מחרדות ודיכאונות והוא הוכר בעבר כבעל אחוזי נכות נפשית על ידי משרד הביטחון. בהכרעת הדין קבענו כי נכון </w:t>
      </w:r>
      <w:r w:rsidRPr="003E5108">
        <w:rPr>
          <w:rFonts w:ascii="David" w:hAnsi="David"/>
          <w:rtl/>
        </w:rPr>
        <w:lastRenderedPageBreak/>
        <w:t>למועד ביצוע העבירות כמו גם עובר לביצוען</w:t>
      </w:r>
      <w:r>
        <w:rPr>
          <w:rFonts w:ascii="David" w:hAnsi="David" w:hint="cs"/>
          <w:rtl/>
        </w:rPr>
        <w:t>,</w:t>
      </w:r>
      <w:r w:rsidRPr="003E5108">
        <w:rPr>
          <w:rFonts w:ascii="David" w:hAnsi="David"/>
          <w:rtl/>
        </w:rPr>
        <w:t xml:space="preserve"> הנאשם הבין את אשר הוא עשה, את הפסול במעשיו</w:t>
      </w:r>
      <w:r>
        <w:rPr>
          <w:rFonts w:ascii="David" w:hAnsi="David" w:hint="cs"/>
          <w:rtl/>
        </w:rPr>
        <w:t>,</w:t>
      </w:r>
      <w:r w:rsidRPr="003E5108">
        <w:rPr>
          <w:rFonts w:ascii="David" w:hAnsi="David"/>
          <w:rtl/>
        </w:rPr>
        <w:t xml:space="preserve"> ו</w:t>
      </w:r>
      <w:r>
        <w:rPr>
          <w:rFonts w:ascii="David" w:hAnsi="David" w:hint="cs"/>
          <w:rtl/>
        </w:rPr>
        <w:t xml:space="preserve">כי </w:t>
      </w:r>
      <w:r w:rsidRPr="003E5108">
        <w:rPr>
          <w:rFonts w:ascii="David" w:hAnsi="David"/>
          <w:rtl/>
        </w:rPr>
        <w:t>הירי באותו יום לא היה כתוצאה של מחלת נפש או מצב נפשי.</w:t>
      </w:r>
    </w:p>
    <w:p w14:paraId="08F8CBCE" w14:textId="77777777" w:rsidR="00341F8B" w:rsidRDefault="00341F8B" w:rsidP="00341F8B">
      <w:pPr>
        <w:overflowPunct w:val="0"/>
        <w:spacing w:after="120"/>
        <w:ind w:left="360"/>
        <w:jc w:val="both"/>
        <w:rPr>
          <w:rFonts w:ascii="David" w:hAnsi="David"/>
          <w:u w:val="single"/>
          <w:rtl/>
        </w:rPr>
      </w:pPr>
    </w:p>
    <w:p w14:paraId="4BAF4AB8" w14:textId="77777777" w:rsidR="00341F8B" w:rsidRPr="003E5108" w:rsidRDefault="00341F8B" w:rsidP="00341F8B">
      <w:pPr>
        <w:overflowPunct w:val="0"/>
        <w:spacing w:after="120" w:line="360" w:lineRule="auto"/>
        <w:ind w:left="360"/>
        <w:jc w:val="both"/>
        <w:rPr>
          <w:rFonts w:ascii="David" w:hAnsi="David"/>
          <w:u w:val="single"/>
          <w:rtl/>
        </w:rPr>
      </w:pPr>
      <w:r w:rsidRPr="003E5108">
        <w:rPr>
          <w:rFonts w:ascii="David" w:hAnsi="David"/>
          <w:u w:val="single"/>
          <w:rtl/>
        </w:rPr>
        <w:t>השתלשלות ההליכים לאחר הכרעת הדין</w:t>
      </w:r>
    </w:p>
    <w:p w14:paraId="1ED2471E" w14:textId="77777777" w:rsidR="00341F8B" w:rsidRDefault="00341F8B" w:rsidP="00341F8B">
      <w:pPr>
        <w:overflowPunct w:val="0"/>
        <w:spacing w:after="120" w:line="360" w:lineRule="auto"/>
        <w:ind w:left="360"/>
        <w:jc w:val="both"/>
        <w:rPr>
          <w:rFonts w:ascii="David" w:hAnsi="David"/>
          <w:rtl/>
        </w:rPr>
      </w:pPr>
      <w:r w:rsidRPr="003E5108">
        <w:rPr>
          <w:rFonts w:ascii="David" w:hAnsi="David"/>
          <w:rtl/>
        </w:rPr>
        <w:t>ביום 30.5.2018 הושמעה הכרעת הדין לצדדים והתיק נקבע לטיעונים לעונש ליום 25.6.2018</w:t>
      </w:r>
      <w:r>
        <w:rPr>
          <w:rFonts w:ascii="David" w:hAnsi="David" w:hint="cs"/>
          <w:rtl/>
        </w:rPr>
        <w:t>.</w:t>
      </w:r>
      <w:r w:rsidRPr="003E5108">
        <w:rPr>
          <w:rFonts w:ascii="David" w:hAnsi="David"/>
          <w:rtl/>
        </w:rPr>
        <w:t xml:space="preserve"> במהלך הטיעונים ביקש הנאשם שלא להמשיך להיות מיוצג על ידי סנגורו ולכן הפסקנו את הדיון והורינו על מינוי סנגור מטעם הסנגוריה הציבורית. הדיון נדחה מספר פעמים על מנת לאפשר לסנגור שמונה להיערך לטיעונים לעונש</w:t>
      </w:r>
      <w:r>
        <w:rPr>
          <w:rFonts w:ascii="David" w:hAnsi="David" w:hint="cs"/>
          <w:rtl/>
        </w:rPr>
        <w:t>.</w:t>
      </w:r>
    </w:p>
    <w:p w14:paraId="03FF0E50" w14:textId="77777777" w:rsidR="00341F8B" w:rsidRPr="003E5108" w:rsidRDefault="00341F8B" w:rsidP="00341F8B">
      <w:pPr>
        <w:overflowPunct w:val="0"/>
        <w:spacing w:after="120" w:line="360" w:lineRule="auto"/>
        <w:ind w:left="360"/>
        <w:jc w:val="both"/>
        <w:rPr>
          <w:rFonts w:ascii="David" w:hAnsi="David"/>
          <w:rtl/>
        </w:rPr>
      </w:pPr>
      <w:r w:rsidRPr="003E5108">
        <w:rPr>
          <w:rFonts w:ascii="David" w:hAnsi="David"/>
          <w:rtl/>
        </w:rPr>
        <w:t>בין לבין</w:t>
      </w:r>
      <w:r>
        <w:rPr>
          <w:rFonts w:ascii="David" w:hAnsi="David" w:hint="cs"/>
          <w:rtl/>
        </w:rPr>
        <w:t>,</w:t>
      </w:r>
      <w:r w:rsidRPr="003E5108">
        <w:rPr>
          <w:rFonts w:ascii="David" w:hAnsi="David"/>
          <w:rtl/>
        </w:rPr>
        <w:t xml:space="preserve"> ביום 10.1.2019 התפרסם תיקון 137 ל</w:t>
      </w:r>
      <w:hyperlink r:id="rId34" w:history="1">
        <w:r w:rsidR="00D85E6C" w:rsidRPr="00D85E6C">
          <w:rPr>
            <w:rFonts w:ascii="David" w:hAnsi="David"/>
            <w:color w:val="0000FF"/>
            <w:u w:val="single"/>
            <w:rtl/>
          </w:rPr>
          <w:t>חוק העונשין</w:t>
        </w:r>
      </w:hyperlink>
      <w:r w:rsidRPr="003E5108">
        <w:rPr>
          <w:rFonts w:ascii="David" w:hAnsi="David"/>
          <w:rtl/>
        </w:rPr>
        <w:t xml:space="preserve"> (להלן-תיקון 137 או התיקון) שתחילתו ששה חודשים מיום פרסומו (דהיינו ביום  10.7.2019).</w:t>
      </w:r>
    </w:p>
    <w:p w14:paraId="6AD4C051" w14:textId="77777777" w:rsidR="00341F8B" w:rsidRPr="003E5108" w:rsidRDefault="00341F8B" w:rsidP="00341F8B">
      <w:pPr>
        <w:overflowPunct w:val="0"/>
        <w:spacing w:after="120" w:line="360" w:lineRule="auto"/>
        <w:ind w:left="360"/>
        <w:jc w:val="both"/>
        <w:rPr>
          <w:rFonts w:ascii="David" w:hAnsi="David"/>
          <w:rtl/>
        </w:rPr>
      </w:pPr>
      <w:r w:rsidRPr="003E5108">
        <w:rPr>
          <w:rFonts w:ascii="David" w:hAnsi="David"/>
          <w:rtl/>
        </w:rPr>
        <w:t>בישיבת 14.1.2019 נענינו לבקשת הסנגור לדחיית הדיון לשם ביצוע בדיקות לנאשם ובחינת אפשרות של הגשת חוות דעת מטעמו והצדדים התבקשו להשלים טיעונים לעונש בכתב באשר לשאלת תחולתו של תיקון 137 ל</w:t>
      </w:r>
      <w:hyperlink r:id="rId35" w:history="1">
        <w:r w:rsidR="00D85E6C" w:rsidRPr="00D85E6C">
          <w:rPr>
            <w:rFonts w:ascii="David" w:hAnsi="David"/>
            <w:color w:val="0000FF"/>
            <w:u w:val="single"/>
            <w:rtl/>
          </w:rPr>
          <w:t>חוק העונשין</w:t>
        </w:r>
      </w:hyperlink>
      <w:r w:rsidRPr="003E5108">
        <w:rPr>
          <w:rFonts w:ascii="David" w:hAnsi="David"/>
          <w:rtl/>
        </w:rPr>
        <w:t xml:space="preserve">. </w:t>
      </w:r>
    </w:p>
    <w:p w14:paraId="7EE2D889" w14:textId="77777777" w:rsidR="00341F8B" w:rsidRPr="003E5108" w:rsidRDefault="00341F8B" w:rsidP="00341F8B">
      <w:pPr>
        <w:overflowPunct w:val="0"/>
        <w:spacing w:after="120" w:line="360" w:lineRule="auto"/>
        <w:ind w:left="360"/>
        <w:jc w:val="both"/>
        <w:rPr>
          <w:rFonts w:ascii="David" w:hAnsi="David"/>
          <w:rtl/>
        </w:rPr>
      </w:pPr>
      <w:r w:rsidRPr="003E5108">
        <w:rPr>
          <w:rFonts w:ascii="David" w:hAnsi="David"/>
          <w:rtl/>
        </w:rPr>
        <w:t>טיעונים בכתב הוגשו מטעם שני הצדדים</w:t>
      </w:r>
      <w:r w:rsidRPr="003E5108">
        <w:rPr>
          <w:rFonts w:ascii="David" w:hAnsi="David" w:hint="cs"/>
          <w:rtl/>
        </w:rPr>
        <w:t xml:space="preserve"> בנושא תיקון 137 </w:t>
      </w:r>
      <w:r w:rsidRPr="003E5108">
        <w:rPr>
          <w:rFonts w:ascii="David" w:hAnsi="David"/>
          <w:rtl/>
        </w:rPr>
        <w:t xml:space="preserve">וביום 7.4.2019 השלימו הצדדים טיעוניהם </w:t>
      </w:r>
      <w:r w:rsidRPr="003E5108">
        <w:rPr>
          <w:rFonts w:ascii="David" w:hAnsi="David" w:hint="cs"/>
          <w:rtl/>
        </w:rPr>
        <w:t xml:space="preserve">לעניין העונש </w:t>
      </w:r>
      <w:r w:rsidRPr="003E5108">
        <w:rPr>
          <w:rFonts w:ascii="David" w:hAnsi="David"/>
          <w:rtl/>
        </w:rPr>
        <w:t xml:space="preserve">בעל פה </w:t>
      </w:r>
      <w:r w:rsidRPr="003E5108">
        <w:rPr>
          <w:rFonts w:ascii="David" w:hAnsi="David" w:hint="cs"/>
          <w:rtl/>
        </w:rPr>
        <w:t>ו</w:t>
      </w:r>
      <w:r w:rsidRPr="003E5108">
        <w:rPr>
          <w:rFonts w:ascii="David" w:hAnsi="David"/>
          <w:rtl/>
        </w:rPr>
        <w:t>בכתב</w:t>
      </w:r>
      <w:r>
        <w:rPr>
          <w:rFonts w:ascii="David" w:hAnsi="David" w:hint="cs"/>
          <w:rtl/>
        </w:rPr>
        <w:t xml:space="preserve">. </w:t>
      </w:r>
      <w:r w:rsidRPr="003E5108">
        <w:rPr>
          <w:rFonts w:ascii="David" w:hAnsi="David"/>
          <w:rtl/>
        </w:rPr>
        <w:t>בפתח הדיון הבהיר הסנגור כי אין בכוונתו להגיש חוות דעת מטעם הנאשם</w:t>
      </w:r>
      <w:r w:rsidRPr="003E5108">
        <w:rPr>
          <w:rFonts w:ascii="David" w:hAnsi="David" w:hint="cs"/>
          <w:rtl/>
        </w:rPr>
        <w:t xml:space="preserve"> לעניין טענת אחריות מופחתת שלא על פי תיקון 137.</w:t>
      </w:r>
    </w:p>
    <w:p w14:paraId="5F99FC60" w14:textId="77777777" w:rsidR="00341F8B" w:rsidRPr="003E5108" w:rsidRDefault="00341F8B" w:rsidP="00341F8B">
      <w:pPr>
        <w:overflowPunct w:val="0"/>
        <w:spacing w:after="120" w:line="360" w:lineRule="auto"/>
        <w:ind w:left="360"/>
        <w:jc w:val="both"/>
        <w:rPr>
          <w:rFonts w:ascii="David" w:hAnsi="David"/>
          <w:rtl/>
        </w:rPr>
      </w:pPr>
      <w:r w:rsidRPr="003E5108">
        <w:rPr>
          <w:rFonts w:ascii="David" w:hAnsi="David"/>
          <w:rtl/>
        </w:rPr>
        <w:t xml:space="preserve">ב"כ המאשימה בנוסף לטיעוניו בעל פה הגיש ביום הדיון תמצית טיעונים בכתב, הסנגור טען לגופו של עניין וביקש לאפשר לו לשקול הגשת ראיות לעניין העונש ולהשלים טיעוניו בכתב. ביום </w:t>
      </w:r>
      <w:r w:rsidRPr="003E5108">
        <w:rPr>
          <w:rFonts w:ascii="David" w:hAnsi="David" w:hint="cs"/>
          <w:rtl/>
        </w:rPr>
        <w:t xml:space="preserve">28.4.2019 </w:t>
      </w:r>
      <w:r w:rsidRPr="003E5108">
        <w:rPr>
          <w:rFonts w:ascii="David" w:hAnsi="David"/>
          <w:rtl/>
        </w:rPr>
        <w:t>הגיש הסנגור</w:t>
      </w:r>
      <w:r w:rsidRPr="003E5108">
        <w:rPr>
          <w:rFonts w:ascii="David" w:hAnsi="David" w:hint="cs"/>
          <w:rtl/>
        </w:rPr>
        <w:t xml:space="preserve"> את השלמת הטיעונים כאמור אליהם צרף פסקי דין והחלטה שניתנו בעניינו של הנאשם.</w:t>
      </w:r>
    </w:p>
    <w:p w14:paraId="3173CB6A" w14:textId="77777777" w:rsidR="00341F8B" w:rsidRPr="005F7E81" w:rsidRDefault="00341F8B" w:rsidP="00341F8B">
      <w:pPr>
        <w:overflowPunct w:val="0"/>
        <w:spacing w:after="120"/>
        <w:ind w:left="360"/>
        <w:jc w:val="both"/>
        <w:rPr>
          <w:rFonts w:ascii="David" w:hAnsi="David"/>
          <w:sz w:val="2"/>
          <w:szCs w:val="2"/>
          <w:rtl/>
        </w:rPr>
      </w:pPr>
    </w:p>
    <w:p w14:paraId="424F617F" w14:textId="77777777" w:rsidR="00341F8B" w:rsidRPr="003E5108" w:rsidRDefault="00341F8B" w:rsidP="00341F8B">
      <w:pPr>
        <w:overflowPunct w:val="0"/>
        <w:spacing w:after="120" w:line="360" w:lineRule="auto"/>
        <w:ind w:left="360"/>
        <w:jc w:val="both"/>
        <w:rPr>
          <w:rFonts w:ascii="David" w:hAnsi="David"/>
          <w:rtl/>
        </w:rPr>
      </w:pPr>
      <w:r w:rsidRPr="003E5108">
        <w:rPr>
          <w:rFonts w:ascii="David" w:hAnsi="David"/>
          <w:rtl/>
        </w:rPr>
        <w:t xml:space="preserve">מעבר לשאלה מהו העונש שיש לגזור על הנאשם, מתעוררות שתי שאלות מקדמיות:  </w:t>
      </w:r>
    </w:p>
    <w:p w14:paraId="7A5C239E" w14:textId="77777777" w:rsidR="00341F8B" w:rsidRPr="003E5108" w:rsidRDefault="00341F8B" w:rsidP="00341F8B">
      <w:pPr>
        <w:overflowPunct w:val="0"/>
        <w:spacing w:after="120" w:line="360" w:lineRule="auto"/>
        <w:ind w:left="360"/>
        <w:jc w:val="both"/>
        <w:rPr>
          <w:rFonts w:ascii="David" w:hAnsi="David"/>
          <w:rtl/>
        </w:rPr>
      </w:pPr>
      <w:r w:rsidRPr="003E5108">
        <w:rPr>
          <w:rFonts w:ascii="David" w:hAnsi="David"/>
          <w:rtl/>
        </w:rPr>
        <w:t xml:space="preserve">האם יש לגזור את עונשו של הנאשם בהתחשב בתיקון 137 שתחולתו כאמור ביום 10.7.2019 ואם התשובה חיובית </w:t>
      </w:r>
      <w:r>
        <w:rPr>
          <w:rFonts w:ascii="David" w:hAnsi="David" w:hint="cs"/>
          <w:rtl/>
        </w:rPr>
        <w:t xml:space="preserve">- </w:t>
      </w:r>
      <w:r w:rsidRPr="003E5108">
        <w:rPr>
          <w:rFonts w:ascii="David" w:hAnsi="David"/>
          <w:rtl/>
        </w:rPr>
        <w:t xml:space="preserve">האם מתקיימים תנאי תיקון 137 לפיהן העונש בגין עבירת הרצח אינו מאסר עולם חובה. </w:t>
      </w:r>
    </w:p>
    <w:p w14:paraId="3BCF6679" w14:textId="77777777" w:rsidR="00341F8B" w:rsidRPr="005F7E81" w:rsidRDefault="00341F8B" w:rsidP="00341F8B">
      <w:pPr>
        <w:overflowPunct w:val="0"/>
        <w:spacing w:after="120" w:line="360" w:lineRule="auto"/>
        <w:ind w:left="360"/>
        <w:jc w:val="both"/>
        <w:rPr>
          <w:rFonts w:ascii="David" w:hAnsi="David"/>
          <w:sz w:val="10"/>
          <w:szCs w:val="10"/>
          <w:rtl/>
        </w:rPr>
      </w:pPr>
    </w:p>
    <w:p w14:paraId="1E9B1663" w14:textId="77777777" w:rsidR="00341F8B" w:rsidRPr="003E5108" w:rsidRDefault="00341F8B" w:rsidP="00341F8B">
      <w:pPr>
        <w:spacing w:after="120" w:line="360" w:lineRule="auto"/>
        <w:ind w:firstLine="360"/>
        <w:jc w:val="both"/>
        <w:rPr>
          <w:rFonts w:ascii="David" w:hAnsi="David"/>
        </w:rPr>
      </w:pPr>
      <w:r w:rsidRPr="003E5108">
        <w:rPr>
          <w:rFonts w:ascii="David" w:hAnsi="David"/>
          <w:u w:val="single"/>
          <w:rtl/>
        </w:rPr>
        <w:t>ראיות לעונש</w:t>
      </w:r>
    </w:p>
    <w:p w14:paraId="3EB6930E"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u w:val="single"/>
        </w:rPr>
      </w:pPr>
      <w:r w:rsidRPr="003E5108">
        <w:rPr>
          <w:rFonts w:ascii="David" w:hAnsi="David" w:cs="David"/>
          <w:szCs w:val="24"/>
          <w:rtl/>
        </w:rPr>
        <w:t>מטעם המאשימה העידה אשתו של המנוח, מרוות מחרום, שהייתה נשואה למנוח 23 שנה</w:t>
      </w:r>
      <w:r>
        <w:rPr>
          <w:rFonts w:ascii="David" w:hAnsi="David" w:cs="David" w:hint="cs"/>
          <w:szCs w:val="24"/>
          <w:rtl/>
        </w:rPr>
        <w:t>,</w:t>
      </w:r>
      <w:r w:rsidRPr="003E5108">
        <w:rPr>
          <w:rFonts w:ascii="David" w:hAnsi="David" w:cs="David"/>
          <w:szCs w:val="24"/>
          <w:rtl/>
        </w:rPr>
        <w:t xml:space="preserve">  תקופה שנקטעה על ידי הנאשם שגרם לטרגדיה הנוראה. היא תארה את פועלו של המנוח ואת חיי המשפחה שלהם ביחד עם ארבעת ילדיהם (שלושה בנים ובת בגילאי 15-20). היא נישאה למנוח בגיל 19</w:t>
      </w:r>
      <w:r>
        <w:rPr>
          <w:rFonts w:ascii="David" w:hAnsi="David" w:cs="David" w:hint="cs"/>
          <w:szCs w:val="24"/>
          <w:rtl/>
        </w:rPr>
        <w:t>,</w:t>
      </w:r>
      <w:r w:rsidRPr="003E5108">
        <w:rPr>
          <w:rFonts w:ascii="David" w:hAnsi="David" w:cs="David"/>
          <w:szCs w:val="24"/>
          <w:rtl/>
        </w:rPr>
        <w:t xml:space="preserve"> שהיה לה גם אבא, גם אח, וגם בעל והעניק לה ולילדיו ערכים של אהבת אדם. עוד סיפרה איך בעקבות הטרגדיה עצב רב מלווה את חייהם והם חווים כל יום את הכאב, האובדן והיתמות</w:t>
      </w:r>
      <w:r>
        <w:rPr>
          <w:rFonts w:ascii="David" w:hAnsi="David" w:cs="David" w:hint="cs"/>
          <w:szCs w:val="24"/>
          <w:rtl/>
        </w:rPr>
        <w:t xml:space="preserve">, </w:t>
      </w:r>
      <w:r w:rsidRPr="003E5108">
        <w:rPr>
          <w:rFonts w:ascii="David" w:hAnsi="David" w:cs="David"/>
          <w:szCs w:val="24"/>
          <w:rtl/>
        </w:rPr>
        <w:t>ותארה את השפעת הפגיעה בבנם ראזי</w:t>
      </w:r>
      <w:r>
        <w:rPr>
          <w:rFonts w:ascii="David" w:hAnsi="David" w:cs="David" w:hint="cs"/>
          <w:szCs w:val="24"/>
          <w:rtl/>
        </w:rPr>
        <w:t>,</w:t>
      </w:r>
      <w:r w:rsidRPr="003E5108">
        <w:rPr>
          <w:rFonts w:ascii="David" w:hAnsi="David" w:cs="David"/>
          <w:szCs w:val="24"/>
          <w:rtl/>
        </w:rPr>
        <w:t xml:space="preserve"> אותו ניסה לרצוח הנאשם.</w:t>
      </w:r>
    </w:p>
    <w:p w14:paraId="7D3457AC" w14:textId="77777777" w:rsidR="00341F8B" w:rsidRPr="005F7E81" w:rsidRDefault="00341F8B" w:rsidP="00341F8B">
      <w:pPr>
        <w:pStyle w:val="a9"/>
        <w:spacing w:after="120"/>
        <w:ind w:left="368"/>
        <w:contextualSpacing w:val="0"/>
        <w:jc w:val="both"/>
        <w:rPr>
          <w:rFonts w:ascii="David" w:hAnsi="David" w:cs="David"/>
          <w:sz w:val="2"/>
          <w:szCs w:val="2"/>
          <w:u w:val="single"/>
        </w:rPr>
      </w:pPr>
    </w:p>
    <w:p w14:paraId="5C146EA6" w14:textId="77777777" w:rsidR="00341F8B" w:rsidRPr="003E5108" w:rsidRDefault="00341F8B" w:rsidP="00341F8B">
      <w:pPr>
        <w:pStyle w:val="a9"/>
        <w:spacing w:after="120" w:line="360" w:lineRule="auto"/>
        <w:ind w:left="368"/>
        <w:contextualSpacing w:val="0"/>
        <w:jc w:val="both"/>
        <w:rPr>
          <w:rFonts w:ascii="David" w:hAnsi="David" w:cs="David"/>
          <w:szCs w:val="24"/>
          <w:u w:val="single"/>
          <w:rtl/>
        </w:rPr>
      </w:pPr>
      <w:bookmarkStart w:id="7" w:name="_ETM_Q_979799"/>
      <w:bookmarkStart w:id="8" w:name="_ETM_Q_1057575"/>
      <w:bookmarkEnd w:id="7"/>
      <w:bookmarkEnd w:id="8"/>
      <w:r w:rsidRPr="003E5108">
        <w:rPr>
          <w:rFonts w:ascii="David" w:hAnsi="David" w:cs="David"/>
          <w:szCs w:val="24"/>
          <w:rtl/>
        </w:rPr>
        <w:t>עוד הוגש הרישום הפלילי של הנאשם (ת/135) לפיו הוא הורשע ביום 2</w:t>
      </w:r>
      <w:r w:rsidRPr="003E5108">
        <w:rPr>
          <w:rFonts w:ascii="David" w:hAnsi="David" w:cs="David" w:hint="cs"/>
          <w:szCs w:val="24"/>
          <w:rtl/>
        </w:rPr>
        <w:t>9</w:t>
      </w:r>
      <w:r w:rsidRPr="003E5108">
        <w:rPr>
          <w:rFonts w:ascii="David" w:hAnsi="David" w:cs="David"/>
          <w:szCs w:val="24"/>
          <w:rtl/>
        </w:rPr>
        <w:t xml:space="preserve">.6.1989 בעבירות של הריגה וניסיון לרצח ונדון ל-13 שנות מאסר בפועל. </w:t>
      </w:r>
      <w:r w:rsidRPr="003E5108">
        <w:rPr>
          <w:rFonts w:ascii="David" w:hAnsi="David" w:cs="David"/>
          <w:szCs w:val="24"/>
          <w:u w:val="single"/>
          <w:rtl/>
        </w:rPr>
        <w:t xml:space="preserve"> </w:t>
      </w:r>
    </w:p>
    <w:p w14:paraId="16E5B83D" w14:textId="77777777" w:rsidR="00341F8B" w:rsidRPr="005F7E81" w:rsidRDefault="00341F8B" w:rsidP="00341F8B">
      <w:pPr>
        <w:pStyle w:val="a9"/>
        <w:spacing w:after="120"/>
        <w:ind w:left="368"/>
        <w:contextualSpacing w:val="0"/>
        <w:jc w:val="both"/>
        <w:rPr>
          <w:rFonts w:ascii="David" w:hAnsi="David" w:cs="David"/>
          <w:sz w:val="4"/>
          <w:szCs w:val="4"/>
          <w:u w:val="single"/>
        </w:rPr>
      </w:pPr>
    </w:p>
    <w:p w14:paraId="05D9BF26"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hint="cs"/>
          <w:szCs w:val="24"/>
          <w:rtl/>
        </w:rPr>
        <w:lastRenderedPageBreak/>
        <w:t>ב"כ הנאשם צרף לטיעוניו בכתב את גזר הדין שניתן בעניינו של הנאשם ביום 29.6.1989 (נספח א), את פסק הדין לפיו נדחה ערעור שהגיש לבית המשפט העליון על אותו גזר דין (</w:t>
      </w:r>
      <w:hyperlink r:id="rId36" w:history="1">
        <w:r w:rsidR="00D85E6C" w:rsidRPr="00D85E6C">
          <w:rPr>
            <w:rFonts w:ascii="David" w:hAnsi="David" w:cs="David"/>
            <w:color w:val="0000FF"/>
            <w:szCs w:val="24"/>
            <w:u w:val="single"/>
            <w:rtl/>
          </w:rPr>
          <w:t>ע"פ 363/89</w:t>
        </w:r>
      </w:hyperlink>
      <w:r w:rsidRPr="003E5108">
        <w:rPr>
          <w:rFonts w:ascii="David" w:hAnsi="David" w:cs="David" w:hint="cs"/>
          <w:szCs w:val="24"/>
          <w:rtl/>
        </w:rPr>
        <w:t xml:space="preserve">, נספח ב). עוד הפנה בקשר למצבו הנפשי של הנאשם למסמכים הרפואיים שהוגשו במהלך שמיעת הראיות (ת/113, ת/114, ת/115, נ/17, נ/18, נ/19) ולהחלטת בית משפט לעניינים מינהליים בחיפה מיום 6.7.2009 (נספח ג) לפיהם אובחן כסובל מתסמונת בתר חבלתית והוכר כנה בשיעור של 30% לצמיתות. </w:t>
      </w:r>
    </w:p>
    <w:p w14:paraId="0D86D71F" w14:textId="77777777" w:rsidR="00341F8B" w:rsidRPr="00F4456A" w:rsidRDefault="00341F8B" w:rsidP="00341F8B">
      <w:pPr>
        <w:pStyle w:val="a9"/>
        <w:spacing w:after="120"/>
        <w:ind w:left="368"/>
        <w:contextualSpacing w:val="0"/>
        <w:jc w:val="both"/>
        <w:rPr>
          <w:rFonts w:ascii="David" w:hAnsi="David" w:cs="David"/>
          <w:szCs w:val="24"/>
        </w:rPr>
      </w:pPr>
    </w:p>
    <w:p w14:paraId="08F76A3A"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תחולתו של תיקון 137 לעניין עבירת הרצח</w:t>
      </w:r>
    </w:p>
    <w:p w14:paraId="16B2DBC2"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תמצית טיעוני הצדדים בנושא תיקון 137</w:t>
      </w:r>
    </w:p>
    <w:p w14:paraId="66A56D27"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u w:val="single"/>
        </w:rPr>
      </w:pPr>
      <w:r w:rsidRPr="003E5108">
        <w:rPr>
          <w:rFonts w:ascii="David" w:hAnsi="David" w:cs="David"/>
          <w:szCs w:val="24"/>
          <w:rtl/>
        </w:rPr>
        <w:t>בטיעוניו בכתב מיום 21.2.2019 טען ב"כ המאשימה כי תיקון 137 לא חל לפני יום 10.7.2019 וזאת על פי הוראת המעבר, סעיף 25 לתיקון. עוד הוסיף כי אם בית משפט סבור כי יש להחיל על מעשיו של הנאשם הוראות מקלות על פי התיקון, יש לדחות את גזר הדין למועד שלאחר 10.7.2019 והמאשימה נתנה הסכמה לדחייה כזו. עוד הוסיף כי במקרה כזה יש לתקן את הכרעת הדין ולהרשיע את הנאשם על פי הסעיף לאחר התיקון.</w:t>
      </w:r>
      <w:r w:rsidRPr="003E5108">
        <w:rPr>
          <w:rFonts w:ascii="David" w:hAnsi="David" w:cs="David" w:hint="cs"/>
          <w:szCs w:val="24"/>
          <w:u w:val="single"/>
          <w:rtl/>
        </w:rPr>
        <w:t xml:space="preserve"> </w:t>
      </w:r>
    </w:p>
    <w:p w14:paraId="73595C8A" w14:textId="77777777" w:rsidR="00341F8B" w:rsidRPr="003E5108" w:rsidRDefault="00341F8B" w:rsidP="00341F8B">
      <w:pPr>
        <w:pStyle w:val="a9"/>
        <w:spacing w:after="120"/>
        <w:ind w:left="368"/>
        <w:contextualSpacing w:val="0"/>
        <w:jc w:val="both"/>
        <w:rPr>
          <w:rFonts w:ascii="David" w:hAnsi="David" w:cs="David"/>
          <w:szCs w:val="24"/>
          <w:u w:val="single"/>
        </w:rPr>
      </w:pPr>
    </w:p>
    <w:p w14:paraId="463FFF23" w14:textId="77777777" w:rsidR="00341F8B" w:rsidRPr="003E5108" w:rsidRDefault="00341F8B" w:rsidP="00341F8B">
      <w:pPr>
        <w:pStyle w:val="a9"/>
        <w:spacing w:after="120" w:line="360" w:lineRule="auto"/>
        <w:ind w:left="368"/>
        <w:contextualSpacing w:val="0"/>
        <w:jc w:val="both"/>
        <w:rPr>
          <w:rFonts w:ascii="David" w:hAnsi="David" w:cs="David"/>
          <w:szCs w:val="24"/>
        </w:rPr>
      </w:pPr>
      <w:r w:rsidRPr="003E5108">
        <w:rPr>
          <w:rFonts w:ascii="David" w:hAnsi="David" w:cs="David"/>
          <w:szCs w:val="24"/>
          <w:rtl/>
        </w:rPr>
        <w:t xml:space="preserve">ב"כ המאשימה הוסיף כי גם אם חל התיקון, במקרה זה מדובר ברצח בנסיבות מחמירות כהגדרות </w:t>
      </w:r>
      <w:hyperlink r:id="rId37" w:history="1">
        <w:r w:rsidR="00080112" w:rsidRPr="00080112">
          <w:rPr>
            <w:rFonts w:ascii="David" w:hAnsi="David" w:cs="David"/>
            <w:color w:val="0000FF"/>
            <w:szCs w:val="24"/>
            <w:u w:val="single"/>
            <w:rtl/>
          </w:rPr>
          <w:t>בסעיף 301א(א)</w:t>
        </w:r>
      </w:hyperlink>
      <w:r w:rsidRPr="003E5108">
        <w:rPr>
          <w:rFonts w:ascii="David" w:hAnsi="David" w:cs="David"/>
          <w:szCs w:val="24"/>
          <w:rtl/>
        </w:rPr>
        <w:t xml:space="preserve"> ל</w:t>
      </w:r>
      <w:hyperlink r:id="rId38"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לאחר תיקונו. תוך שהוא מפנה לחלופה</w:t>
      </w:r>
      <w:r w:rsidRPr="003E5108">
        <w:rPr>
          <w:rFonts w:ascii="David" w:hAnsi="David" w:cs="David"/>
          <w:szCs w:val="24"/>
        </w:rPr>
        <w:t>:</w:t>
      </w:r>
    </w:p>
    <w:p w14:paraId="202BB5DD" w14:textId="77777777" w:rsidR="00341F8B" w:rsidRPr="003E5108" w:rsidRDefault="00341F8B" w:rsidP="00341F8B">
      <w:pPr>
        <w:pStyle w:val="a9"/>
        <w:spacing w:after="120" w:line="360" w:lineRule="auto"/>
        <w:contextualSpacing w:val="0"/>
        <w:jc w:val="both"/>
        <w:rPr>
          <w:rFonts w:ascii="David" w:hAnsi="David" w:cs="David"/>
          <w:szCs w:val="24"/>
          <w:rtl/>
        </w:rPr>
      </w:pPr>
      <w:r w:rsidRPr="003E5108">
        <w:rPr>
          <w:rFonts w:ascii="David" w:hAnsi="David" w:cs="David"/>
          <w:szCs w:val="24"/>
          <w:rtl/>
        </w:rPr>
        <w:t>"(9) המעשה בוצע תוך יצירת סכנה ממשית לחייו של אדם אחר נוסף על הקרבן".</w:t>
      </w:r>
    </w:p>
    <w:p w14:paraId="47EC9216" w14:textId="77777777" w:rsidR="00341F8B" w:rsidRPr="003E5108" w:rsidRDefault="00341F8B" w:rsidP="00341F8B">
      <w:pPr>
        <w:pStyle w:val="a9"/>
        <w:spacing w:after="120"/>
        <w:contextualSpacing w:val="0"/>
        <w:jc w:val="both"/>
        <w:rPr>
          <w:rFonts w:ascii="David" w:hAnsi="David" w:cs="David"/>
          <w:szCs w:val="24"/>
          <w:rtl/>
        </w:rPr>
      </w:pPr>
    </w:p>
    <w:p w14:paraId="59AD35AD" w14:textId="77777777" w:rsidR="00341F8B" w:rsidRPr="003E5108" w:rsidRDefault="00341F8B" w:rsidP="00341F8B">
      <w:pPr>
        <w:spacing w:after="120" w:line="360" w:lineRule="auto"/>
        <w:ind w:left="368" w:firstLine="7"/>
        <w:jc w:val="both"/>
        <w:rPr>
          <w:rFonts w:ascii="David" w:hAnsi="David"/>
          <w:rtl/>
        </w:rPr>
      </w:pPr>
      <w:r w:rsidRPr="003E5108">
        <w:rPr>
          <w:rFonts w:ascii="David" w:hAnsi="David"/>
          <w:rtl/>
        </w:rPr>
        <w:t xml:space="preserve">לטענתו הנאשם ירה לעבר המנוח שתי יריות בגובה של פלג גוף עליון, כשהמנוח מוקף באנשים רבים, אשר התפזרו וברחו מיד לאחר הירי ובנס לא נפגעו ובכך יצר הנאשם סכנה ממשית לחייהם של אחרים. </w:t>
      </w:r>
      <w:r w:rsidRPr="003E5108">
        <w:rPr>
          <w:rFonts w:ascii="David" w:hAnsi="David" w:hint="cs"/>
          <w:rtl/>
        </w:rPr>
        <w:t>ולכן</w:t>
      </w:r>
      <w:r>
        <w:rPr>
          <w:rFonts w:ascii="David" w:hAnsi="David" w:hint="cs"/>
          <w:rtl/>
        </w:rPr>
        <w:t>,</w:t>
      </w:r>
      <w:r w:rsidRPr="003E5108">
        <w:rPr>
          <w:rFonts w:ascii="David" w:hAnsi="David" w:hint="cs"/>
          <w:rtl/>
        </w:rPr>
        <w:t xml:space="preserve"> הוסיף בטיעון בעל פה</w:t>
      </w:r>
      <w:r>
        <w:rPr>
          <w:rFonts w:ascii="David" w:hAnsi="David" w:hint="cs"/>
          <w:rtl/>
        </w:rPr>
        <w:t>,</w:t>
      </w:r>
      <w:r w:rsidRPr="003E5108">
        <w:rPr>
          <w:rFonts w:ascii="David" w:hAnsi="David" w:hint="cs"/>
          <w:rtl/>
        </w:rPr>
        <w:t xml:space="preserve"> אין מניעה לקיים הדיון ללא כל דחייה ולגזור את עונשו כעת. </w:t>
      </w:r>
    </w:p>
    <w:p w14:paraId="64F105F6" w14:textId="77777777" w:rsidR="00341F8B" w:rsidRPr="003E5108" w:rsidRDefault="00341F8B" w:rsidP="00341F8B">
      <w:pPr>
        <w:spacing w:after="120"/>
        <w:ind w:left="368" w:firstLine="7"/>
        <w:jc w:val="both"/>
        <w:rPr>
          <w:rFonts w:ascii="David" w:hAnsi="David"/>
          <w:rtl/>
        </w:rPr>
      </w:pPr>
    </w:p>
    <w:p w14:paraId="0D7E9F96" w14:textId="77777777" w:rsidR="00341F8B" w:rsidRPr="003E5108" w:rsidRDefault="00341F8B" w:rsidP="00341F8B">
      <w:pPr>
        <w:spacing w:after="120" w:line="360" w:lineRule="auto"/>
        <w:ind w:left="368" w:firstLine="7"/>
        <w:jc w:val="both"/>
        <w:rPr>
          <w:rFonts w:ascii="David" w:hAnsi="David"/>
          <w:rtl/>
        </w:rPr>
      </w:pPr>
      <w:r w:rsidRPr="003E5108">
        <w:rPr>
          <w:rFonts w:ascii="David" w:hAnsi="David"/>
          <w:rtl/>
        </w:rPr>
        <w:t xml:space="preserve">לחלופין טען ב"כ המאשימה כי גם אם ייקבע בהתאם לתיקון כי מאסר עולם הוא העונש המרבי </w:t>
      </w:r>
      <w:r w:rsidRPr="003E5108">
        <w:rPr>
          <w:rFonts w:ascii="David" w:hAnsi="David" w:hint="cs"/>
          <w:rtl/>
        </w:rPr>
        <w:t>אלא ש</w:t>
      </w:r>
      <w:r w:rsidRPr="003E5108">
        <w:rPr>
          <w:rFonts w:ascii="David" w:hAnsi="David"/>
          <w:rtl/>
        </w:rPr>
        <w:t xml:space="preserve">אין חובה להטילו, הרי </w:t>
      </w:r>
      <w:r w:rsidRPr="003E5108">
        <w:rPr>
          <w:rFonts w:ascii="David" w:hAnsi="David" w:hint="cs"/>
          <w:rtl/>
        </w:rPr>
        <w:t>ש</w:t>
      </w:r>
      <w:r w:rsidRPr="003E5108">
        <w:rPr>
          <w:rFonts w:ascii="David" w:hAnsi="David"/>
          <w:rtl/>
        </w:rPr>
        <w:t>יש לגזור במקרה זה על הנאשם מאסר עולם בגין עבירת הרצח וענישה מצטברת בגין העבירות הנוספות, גם בהתחשב בנסיבות המקרה וגם בהתחשב בעברו הפלילי של הנאשם שהורשע בעבר בהריגתם של שני אחים וניסיון רצח של אימם.</w:t>
      </w:r>
      <w:r w:rsidRPr="003E5108">
        <w:rPr>
          <w:rFonts w:ascii="David" w:hAnsi="David" w:hint="cs"/>
          <w:rtl/>
        </w:rPr>
        <w:t xml:space="preserve"> באופן ספציפי התייחס ב"כ המאשימה לטענת הקנטור גם לאחר תיקון 137 והבהיר כי לאור הקביעות בהכרעת הדין, לא מדובר בקנטור גם במתכונת המקלה. </w:t>
      </w:r>
    </w:p>
    <w:p w14:paraId="4DBD0293" w14:textId="77777777" w:rsidR="00341F8B" w:rsidRPr="003E5108" w:rsidRDefault="00341F8B" w:rsidP="00341F8B">
      <w:pPr>
        <w:spacing w:after="120"/>
        <w:ind w:left="368" w:firstLine="7"/>
        <w:jc w:val="both"/>
        <w:rPr>
          <w:rFonts w:ascii="David" w:hAnsi="David"/>
          <w:rtl/>
        </w:rPr>
      </w:pPr>
    </w:p>
    <w:p w14:paraId="6718AD5F"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 xml:space="preserve">הסנגור בטיעוניו בעל פה ובכתב (מיום 7.4.2019) טען כי הוראות התיקון מהוות דין מקל ולכן יש להחיל במקרה זה את הוראות </w:t>
      </w:r>
      <w:hyperlink r:id="rId39" w:history="1">
        <w:r w:rsidR="00080112" w:rsidRPr="00080112">
          <w:rPr>
            <w:rFonts w:ascii="David" w:hAnsi="David" w:cs="David"/>
            <w:color w:val="0000FF"/>
            <w:szCs w:val="24"/>
            <w:u w:val="single"/>
            <w:rtl/>
          </w:rPr>
          <w:t>סעיף 301ב(ב)(1)</w:t>
        </w:r>
      </w:hyperlink>
      <w:r w:rsidRPr="003E5108">
        <w:rPr>
          <w:rFonts w:ascii="David" w:hAnsi="David" w:cs="David"/>
          <w:szCs w:val="24"/>
          <w:rtl/>
        </w:rPr>
        <w:t xml:space="preserve"> ל</w:t>
      </w:r>
      <w:hyperlink r:id="rId40"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לפי הנוסח שלאחר התיקון  מבלי שיהיה צורך לדחות את הדיון לאחר 10.7.2019. </w:t>
      </w:r>
    </w:p>
    <w:p w14:paraId="38C00BE6"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לדבריו הוכח שבמקרה זה מדובר בהמתה בנסיבות של אחריות מופחתת, בשל ההתגרות כלפי הנאשם (קנטור) ולכן העונש המרבי עומד על 20 שנות מאסר.  </w:t>
      </w:r>
    </w:p>
    <w:p w14:paraId="3A955018" w14:textId="77777777" w:rsidR="00341F8B" w:rsidRPr="003E5108" w:rsidRDefault="00341F8B" w:rsidP="00341F8B">
      <w:pPr>
        <w:pStyle w:val="a9"/>
        <w:spacing w:after="120" w:line="360" w:lineRule="auto"/>
        <w:ind w:left="368"/>
        <w:contextualSpacing w:val="0"/>
        <w:jc w:val="both"/>
        <w:rPr>
          <w:rFonts w:ascii="David" w:hAnsi="David" w:cs="David"/>
          <w:szCs w:val="24"/>
        </w:rPr>
      </w:pPr>
      <w:r w:rsidRPr="003E5108">
        <w:rPr>
          <w:rFonts w:ascii="David" w:hAnsi="David" w:cs="David"/>
          <w:szCs w:val="24"/>
          <w:rtl/>
        </w:rPr>
        <w:t xml:space="preserve">לחלופין טען כי גם על פי הוראות </w:t>
      </w:r>
      <w:hyperlink r:id="rId41" w:history="1">
        <w:r w:rsidR="00080112" w:rsidRPr="00080112">
          <w:rPr>
            <w:rFonts w:ascii="David" w:hAnsi="David" w:cs="David"/>
            <w:color w:val="0000FF"/>
            <w:szCs w:val="24"/>
            <w:u w:val="single"/>
            <w:rtl/>
          </w:rPr>
          <w:t>סעיפים 300(א)</w:t>
        </w:r>
      </w:hyperlink>
      <w:r w:rsidRPr="003E5108">
        <w:rPr>
          <w:rFonts w:ascii="David" w:hAnsi="David" w:cs="David"/>
          <w:szCs w:val="24"/>
          <w:rtl/>
        </w:rPr>
        <w:t xml:space="preserve"> ו-</w:t>
      </w:r>
      <w:hyperlink r:id="rId42" w:history="1">
        <w:r w:rsidR="00080112" w:rsidRPr="00080112">
          <w:rPr>
            <w:rFonts w:ascii="David" w:hAnsi="David" w:cs="David"/>
            <w:color w:val="0000FF"/>
            <w:szCs w:val="24"/>
            <w:u w:val="single"/>
            <w:rtl/>
          </w:rPr>
          <w:t>311</w:t>
        </w:r>
      </w:hyperlink>
      <w:r w:rsidRPr="003E5108">
        <w:rPr>
          <w:rFonts w:ascii="David" w:hAnsi="David" w:cs="David"/>
          <w:szCs w:val="24"/>
          <w:rtl/>
        </w:rPr>
        <w:t xml:space="preserve"> ל</w:t>
      </w:r>
      <w:hyperlink r:id="rId43"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לאחר התיקון, עונש מאסר עולם אינו עונש חובה בנסיבות מקרה זה.</w:t>
      </w:r>
    </w:p>
    <w:p w14:paraId="0D2E84E2"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לטענתו אין צורך בתיקון הכרעת הדין ואין מניעה להכריע במלוא טיעוני הצדדים במסגרת גזר הדין על בסיס הקביעות בהכרעת הדין והתיקון ל</w:t>
      </w:r>
      <w:hyperlink r:id="rId44" w:history="1">
        <w:r w:rsidR="00D85E6C" w:rsidRPr="00D85E6C">
          <w:rPr>
            <w:rFonts w:ascii="David" w:hAnsi="David" w:cs="David"/>
            <w:color w:val="0000FF"/>
            <w:szCs w:val="24"/>
            <w:u w:val="single"/>
            <w:rtl/>
          </w:rPr>
          <w:t>חוק העונשין</w:t>
        </w:r>
      </w:hyperlink>
      <w:r w:rsidRPr="003E5108">
        <w:rPr>
          <w:rFonts w:ascii="David" w:hAnsi="David" w:cs="David"/>
          <w:szCs w:val="24"/>
          <w:rtl/>
        </w:rPr>
        <w:t>.</w:t>
      </w:r>
    </w:p>
    <w:p w14:paraId="4CAC959D" w14:textId="77777777" w:rsidR="00341F8B" w:rsidRPr="003E5108" w:rsidRDefault="00341F8B" w:rsidP="00341F8B">
      <w:pPr>
        <w:pStyle w:val="a9"/>
        <w:spacing w:after="120"/>
        <w:ind w:left="368"/>
        <w:contextualSpacing w:val="0"/>
        <w:jc w:val="both"/>
        <w:rPr>
          <w:rFonts w:ascii="David" w:hAnsi="David" w:cs="David"/>
          <w:szCs w:val="24"/>
        </w:rPr>
      </w:pPr>
    </w:p>
    <w:p w14:paraId="13F474C4"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באשר לשאלת הקנטור הפנה לדברי ההסבר להצעת  חוק התיקון לפיה הכוונה היא להקל על הנאשם באופן שיבוטל מבחן "האדם הסביר". גם המבחן הסובייקטיבי רוכך והיום עומדת לנאשם הגנת האחריות המופחתת אם "התקשה במידה ניכרת לשלוט בעצמו" וכיום לא דרוש איבוד עשתונות מוחלט. </w:t>
      </w:r>
    </w:p>
    <w:p w14:paraId="243036AE" w14:textId="77777777" w:rsidR="00341F8B" w:rsidRPr="003E5108" w:rsidRDefault="00341F8B" w:rsidP="00341F8B">
      <w:pPr>
        <w:pStyle w:val="a9"/>
        <w:spacing w:after="120"/>
        <w:ind w:left="368"/>
        <w:contextualSpacing w:val="0"/>
        <w:jc w:val="both"/>
        <w:rPr>
          <w:rFonts w:ascii="David" w:hAnsi="David" w:cs="David"/>
          <w:szCs w:val="24"/>
        </w:rPr>
      </w:pPr>
    </w:p>
    <w:p w14:paraId="68AE82E1"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לטענתו</w:t>
      </w:r>
      <w:r>
        <w:rPr>
          <w:rFonts w:ascii="David" w:hAnsi="David" w:cs="David" w:hint="cs"/>
          <w:szCs w:val="24"/>
          <w:rtl/>
        </w:rPr>
        <w:t>,</w:t>
      </w:r>
      <w:r w:rsidRPr="003E5108">
        <w:rPr>
          <w:rFonts w:ascii="David" w:hAnsi="David" w:cs="David"/>
          <w:szCs w:val="24"/>
          <w:rtl/>
        </w:rPr>
        <w:t xml:space="preserve"> על פי הכרעת הדין חלפו 43 שניות מהרגע שהנאשם נחשף למתרחש, לרבות לפניו המדממות של בנו, עד הירייה הקטלנית. לא הובאו ראיות המצביעות על תכנון ממשי מצד הנאשם (מעבר לאותן 43 שניות) לפגוע במנוח, בר</w:t>
      </w:r>
      <w:r w:rsidRPr="003E5108">
        <w:rPr>
          <w:rFonts w:ascii="David" w:hAnsi="David" w:cs="David" w:hint="cs"/>
          <w:szCs w:val="24"/>
          <w:rtl/>
        </w:rPr>
        <w:t>א</w:t>
      </w:r>
      <w:r w:rsidRPr="003E5108">
        <w:rPr>
          <w:rFonts w:ascii="David" w:hAnsi="David" w:cs="David"/>
          <w:szCs w:val="24"/>
          <w:rtl/>
        </w:rPr>
        <w:t xml:space="preserve">זי או במי מהנוכחים. לטענתו האירוע היה ספונטאני, המראות אליהן נחשף גרמו לנאשם קושי ניכר לשלוט בעצמו ויש בכך כדי למתן את אשמתו ולקבוע כי מבחינה נורמטיבית האחריות היא מופחתת. </w:t>
      </w:r>
    </w:p>
    <w:p w14:paraId="09DFF17F" w14:textId="77777777" w:rsidR="00341F8B" w:rsidRPr="003E5108" w:rsidRDefault="00341F8B" w:rsidP="00341F8B">
      <w:pPr>
        <w:pStyle w:val="a9"/>
        <w:spacing w:after="120"/>
        <w:ind w:left="368"/>
        <w:contextualSpacing w:val="0"/>
        <w:jc w:val="both"/>
        <w:rPr>
          <w:rFonts w:ascii="David" w:hAnsi="David" w:cs="David"/>
          <w:szCs w:val="24"/>
        </w:rPr>
      </w:pPr>
    </w:p>
    <w:p w14:paraId="6F403CFF"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לחלופין, חלק הסנגור על טענת המאשימה לפיה מדובר ברצח בנסיבות מחמירות בשל "יצירת סכנה ממשית לחייו של אחר", לתמיכה בטענותיו בדבר תכלית ההוראה הפנה לדוגמאות שפרט המחוקק בדברי ההסבר המתארות מצב של גרימת </w:t>
      </w:r>
      <w:r w:rsidRPr="003E5108">
        <w:rPr>
          <w:rFonts w:ascii="David" w:hAnsi="David" w:cs="David" w:hint="cs"/>
          <w:szCs w:val="24"/>
          <w:rtl/>
        </w:rPr>
        <w:t>ס</w:t>
      </w:r>
      <w:r w:rsidRPr="003E5108">
        <w:rPr>
          <w:rFonts w:ascii="David" w:hAnsi="David" w:cs="David"/>
          <w:szCs w:val="24"/>
          <w:rtl/>
        </w:rPr>
        <w:t>כנה לאחר, כגון הנחת פצצה במקום בו שוהים אנשים אחרים. לטענתו במקרה זה לא נוצרה סכנה ממשית לאחר, השימוש היה באקדח ממרחק קצר ביותר.</w:t>
      </w:r>
    </w:p>
    <w:p w14:paraId="0E70F4C2" w14:textId="77777777" w:rsidR="00341F8B" w:rsidRPr="003E5108" w:rsidRDefault="00341F8B" w:rsidP="00341F8B">
      <w:pPr>
        <w:pStyle w:val="a9"/>
        <w:spacing w:after="120"/>
        <w:ind w:left="368"/>
        <w:contextualSpacing w:val="0"/>
        <w:jc w:val="both"/>
        <w:rPr>
          <w:rFonts w:ascii="David" w:hAnsi="David" w:cs="David"/>
          <w:szCs w:val="24"/>
          <w:rtl/>
        </w:rPr>
      </w:pPr>
    </w:p>
    <w:p w14:paraId="1E6A5C2B"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לחלופי ח</w:t>
      </w:r>
      <w:r>
        <w:rPr>
          <w:rFonts w:ascii="David" w:hAnsi="David" w:cs="David" w:hint="cs"/>
          <w:szCs w:val="24"/>
          <w:rtl/>
        </w:rPr>
        <w:t>י</w:t>
      </w:r>
      <w:r w:rsidRPr="003E5108">
        <w:rPr>
          <w:rFonts w:ascii="David" w:hAnsi="David" w:cs="David"/>
          <w:szCs w:val="24"/>
          <w:rtl/>
        </w:rPr>
        <w:t xml:space="preserve">לופין טען הסנגור כי גם אם ייקבע כי מדובר ברצח בנסיבות מחמירות שהעונש לגביו הוא מאסר עולם חובה, מתקיים לטענתו החריג הקבוע </w:t>
      </w:r>
      <w:hyperlink r:id="rId45" w:history="1">
        <w:r w:rsidR="00080112" w:rsidRPr="00080112">
          <w:rPr>
            <w:rFonts w:ascii="David" w:hAnsi="David" w:cs="David"/>
            <w:color w:val="0000FF"/>
            <w:szCs w:val="24"/>
            <w:u w:val="single"/>
            <w:rtl/>
          </w:rPr>
          <w:t>בסעיף 301א(ב)</w:t>
        </w:r>
      </w:hyperlink>
      <w:r w:rsidRPr="003E5108">
        <w:rPr>
          <w:rFonts w:ascii="David" w:hAnsi="David" w:cs="David"/>
          <w:szCs w:val="24"/>
          <w:rtl/>
        </w:rPr>
        <w:t xml:space="preserve"> ל</w:t>
      </w:r>
      <w:hyperlink r:id="rId46"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בדבר נסיבות מיוחדות וזאת בשל דרגת האשמה הפחותה של מעשיו של הנאשם.</w:t>
      </w:r>
    </w:p>
    <w:p w14:paraId="715E9F1B" w14:textId="77777777" w:rsidR="00341F8B" w:rsidRPr="003E5108" w:rsidRDefault="00341F8B" w:rsidP="00341F8B">
      <w:pPr>
        <w:pStyle w:val="a9"/>
        <w:spacing w:after="120"/>
        <w:ind w:left="368"/>
        <w:contextualSpacing w:val="0"/>
        <w:jc w:val="both"/>
        <w:rPr>
          <w:rFonts w:ascii="David" w:hAnsi="David" w:cs="David"/>
          <w:szCs w:val="24"/>
        </w:rPr>
      </w:pPr>
    </w:p>
    <w:p w14:paraId="560AC592"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דיון בנושא תיקון 137 באשר לרצח המנוח</w:t>
      </w:r>
    </w:p>
    <w:p w14:paraId="764A4821"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תחילה, תחולה, הוראות מעבר</w:t>
      </w:r>
    </w:p>
    <w:p w14:paraId="1ABE0EE1" w14:textId="77777777" w:rsidR="00341F8B" w:rsidRPr="003E5108" w:rsidRDefault="00341F8B" w:rsidP="00341F8B">
      <w:pPr>
        <w:pStyle w:val="a9"/>
        <w:numPr>
          <w:ilvl w:val="0"/>
          <w:numId w:val="1"/>
        </w:numPr>
        <w:tabs>
          <w:tab w:val="right" w:leader="dot" w:pos="6259"/>
        </w:tabs>
        <w:spacing w:after="120" w:line="360" w:lineRule="auto"/>
        <w:ind w:left="368" w:right="142"/>
        <w:contextualSpacing w:val="0"/>
        <w:jc w:val="both"/>
        <w:rPr>
          <w:rFonts w:ascii="David" w:hAnsi="David" w:cs="David"/>
          <w:szCs w:val="24"/>
        </w:rPr>
      </w:pPr>
      <w:r w:rsidRPr="003E5108">
        <w:rPr>
          <w:rFonts w:ascii="David" w:hAnsi="David" w:cs="David"/>
          <w:szCs w:val="24"/>
          <w:rtl/>
        </w:rPr>
        <w:t xml:space="preserve">סעיף 25 (א)  לתיקון שכותרתו "תחילה, תחולה, הוראות מעבר", קובע כי יום תחילתו של התיקון הוא </w:t>
      </w:r>
      <w:r w:rsidRPr="003E5108">
        <w:rPr>
          <w:rFonts w:ascii="David" w:hAnsi="David" w:cs="David" w:hint="cs"/>
          <w:szCs w:val="24"/>
          <w:rtl/>
        </w:rPr>
        <w:t xml:space="preserve">בחלוף </w:t>
      </w:r>
      <w:r w:rsidRPr="003E5108">
        <w:rPr>
          <w:rFonts w:ascii="David" w:hAnsi="David" w:cs="David"/>
          <w:szCs w:val="24"/>
          <w:rtl/>
        </w:rPr>
        <w:t xml:space="preserve">ששה חודשים מיום 10.1.2019. עוד נקבע בסעיף 25(ב) לתיקון כי על עבירה שבוצעה לפני יום התחילה וטרם ניתן פסק דין חלוט בעניינה יחולו הוראות </w:t>
      </w:r>
      <w:hyperlink r:id="rId47" w:history="1">
        <w:r w:rsidR="00080112" w:rsidRPr="00080112">
          <w:rPr>
            <w:rFonts w:ascii="David" w:hAnsi="David" w:cs="David"/>
            <w:color w:val="0000FF"/>
            <w:szCs w:val="24"/>
            <w:u w:val="single"/>
            <w:rtl/>
          </w:rPr>
          <w:t>סעיף 5(א)</w:t>
        </w:r>
      </w:hyperlink>
      <w:r w:rsidRPr="003E5108">
        <w:rPr>
          <w:rFonts w:ascii="David" w:hAnsi="David" w:cs="David"/>
          <w:szCs w:val="24"/>
          <w:rtl/>
        </w:rPr>
        <w:t xml:space="preserve"> ל</w:t>
      </w:r>
      <w:hyperlink r:id="rId48" w:history="1">
        <w:r w:rsidR="00D85E6C" w:rsidRPr="00D85E6C">
          <w:rPr>
            <w:rFonts w:ascii="David" w:hAnsi="David" w:cs="David"/>
            <w:color w:val="0000FF"/>
            <w:szCs w:val="24"/>
            <w:u w:val="single"/>
            <w:rtl/>
          </w:rPr>
          <w:t>חוק העונשין</w:t>
        </w:r>
      </w:hyperlink>
      <w:r w:rsidRPr="003E5108">
        <w:rPr>
          <w:rFonts w:ascii="David" w:hAnsi="David" w:cs="David"/>
          <w:szCs w:val="24"/>
          <w:rtl/>
        </w:rPr>
        <w:t>, ביחד עם הנחייה  מהמחוקק שנקבע</w:t>
      </w:r>
      <w:r w:rsidRPr="003E5108">
        <w:rPr>
          <w:rFonts w:ascii="David" w:hAnsi="David" w:cs="David" w:hint="cs"/>
          <w:szCs w:val="24"/>
          <w:rtl/>
        </w:rPr>
        <w:t>ה</w:t>
      </w:r>
      <w:r w:rsidRPr="003E5108">
        <w:rPr>
          <w:rFonts w:ascii="David" w:hAnsi="David" w:cs="David"/>
          <w:szCs w:val="24"/>
          <w:rtl/>
        </w:rPr>
        <w:t xml:space="preserve"> בסעיף 25(ב):</w:t>
      </w:r>
    </w:p>
    <w:p w14:paraId="084D8F01" w14:textId="77777777" w:rsidR="00341F8B" w:rsidRPr="003E5108" w:rsidRDefault="00341F8B" w:rsidP="00341F8B">
      <w:pPr>
        <w:pStyle w:val="a9"/>
        <w:tabs>
          <w:tab w:val="right" w:leader="dot" w:pos="6259"/>
        </w:tabs>
        <w:spacing w:after="120" w:line="360" w:lineRule="auto"/>
        <w:ind w:left="651" w:right="709"/>
        <w:contextualSpacing w:val="0"/>
        <w:jc w:val="both"/>
        <w:rPr>
          <w:rFonts w:ascii="David" w:hAnsi="David" w:cs="David"/>
          <w:szCs w:val="24"/>
          <w:rtl/>
        </w:rPr>
      </w:pPr>
      <w:r w:rsidRPr="003E5108">
        <w:rPr>
          <w:rFonts w:ascii="David" w:hAnsi="David" w:cs="David"/>
          <w:szCs w:val="24"/>
          <w:rtl/>
        </w:rPr>
        <w:tab/>
        <w:t>"לעניין זה, בבואו לקבוע מהו הדין המקל על העושה, יבחן בית המשפט את מלוא ההסדר הקבוע בחוק העיקרי כנוסחו בחוק זה לעומת ההסדר שהיה קבוע בחוק העיקרי לעניין גרימת מוות ערב יום התחילה".</w:t>
      </w:r>
    </w:p>
    <w:p w14:paraId="2273D4DC" w14:textId="77777777" w:rsidR="00341F8B" w:rsidRPr="003E5108" w:rsidRDefault="00341F8B" w:rsidP="00341F8B">
      <w:pPr>
        <w:pStyle w:val="a9"/>
        <w:tabs>
          <w:tab w:val="right" w:leader="dot" w:pos="6259"/>
        </w:tabs>
        <w:spacing w:after="120" w:line="360" w:lineRule="auto"/>
        <w:ind w:left="651" w:right="709"/>
        <w:contextualSpacing w:val="0"/>
        <w:jc w:val="both"/>
        <w:rPr>
          <w:rFonts w:ascii="David" w:hAnsi="David" w:cs="David"/>
          <w:szCs w:val="24"/>
        </w:rPr>
      </w:pPr>
    </w:p>
    <w:p w14:paraId="50B9B7F0"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Pr>
      </w:pPr>
      <w:r w:rsidRPr="003E5108">
        <w:rPr>
          <w:rFonts w:ascii="David" w:hAnsi="David" w:cs="David"/>
          <w:szCs w:val="24"/>
          <w:rtl/>
        </w:rPr>
        <w:t xml:space="preserve">אזכיר כי </w:t>
      </w:r>
      <w:hyperlink r:id="rId49" w:history="1">
        <w:r w:rsidR="00080112" w:rsidRPr="00080112">
          <w:rPr>
            <w:rFonts w:ascii="David" w:hAnsi="David" w:cs="David"/>
            <w:color w:val="0000FF"/>
            <w:szCs w:val="24"/>
            <w:u w:val="single"/>
            <w:rtl/>
          </w:rPr>
          <w:t>סעיף 5(א)</w:t>
        </w:r>
      </w:hyperlink>
      <w:r w:rsidRPr="003E5108">
        <w:rPr>
          <w:rFonts w:ascii="David" w:hAnsi="David" w:cs="David"/>
          <w:szCs w:val="24"/>
          <w:rtl/>
        </w:rPr>
        <w:t xml:space="preserve"> ל</w:t>
      </w:r>
      <w:hyperlink r:id="rId50"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התווסף במסגרת תיקון 39 לחוק העונשין שנכנס לתוקף ביום 23.8.1995 וכלל עשרות שינויים משמעותיים חלקם גם לגבי העונש וכך קובע </w:t>
      </w:r>
      <w:hyperlink r:id="rId51" w:history="1">
        <w:r w:rsidR="00080112" w:rsidRPr="00080112">
          <w:rPr>
            <w:rFonts w:ascii="David" w:hAnsi="David" w:cs="David"/>
            <w:color w:val="0000FF"/>
            <w:szCs w:val="24"/>
            <w:u w:val="single"/>
            <w:rtl/>
          </w:rPr>
          <w:t>סעיף 5(א)</w:t>
        </w:r>
      </w:hyperlink>
      <w:r w:rsidRPr="003E5108">
        <w:rPr>
          <w:rFonts w:ascii="David" w:hAnsi="David" w:cs="David"/>
          <w:szCs w:val="24"/>
          <w:rtl/>
        </w:rPr>
        <w:t xml:space="preserve"> לחוק העונשין: </w:t>
      </w:r>
    </w:p>
    <w:p w14:paraId="7FD25EFB" w14:textId="77777777" w:rsidR="00341F8B" w:rsidRPr="003E5108" w:rsidRDefault="00341F8B" w:rsidP="00341F8B">
      <w:pPr>
        <w:pStyle w:val="P00"/>
        <w:spacing w:before="0" w:after="120" w:line="360" w:lineRule="auto"/>
        <w:ind w:left="720" w:right="567"/>
        <w:rPr>
          <w:rStyle w:val="default"/>
          <w:rFonts w:ascii="David" w:hAnsi="David" w:cs="David"/>
          <w:sz w:val="24"/>
          <w:szCs w:val="24"/>
          <w:rtl/>
        </w:rPr>
      </w:pPr>
      <w:r w:rsidRPr="003E5108">
        <w:rPr>
          <w:rStyle w:val="big-number"/>
          <w:rFonts w:ascii="David" w:hAnsi="David" w:cs="David"/>
          <w:sz w:val="24"/>
          <w:szCs w:val="24"/>
          <w:rtl/>
        </w:rPr>
        <w:t>"</w:t>
      </w:r>
      <w:r w:rsidRPr="003E5108">
        <w:rPr>
          <w:rStyle w:val="default"/>
          <w:rFonts w:ascii="David" w:hAnsi="David" w:cs="David"/>
          <w:sz w:val="24"/>
          <w:szCs w:val="24"/>
          <w:rtl/>
        </w:rPr>
        <w:t>נעברה עבירה ובטרם ניתן פסק-דין חלוט לגביה, חל שינוי בנוגע לעונש שנקבע לה, יחול על הענין החיקוק המקל עם העושה;".</w:t>
      </w:r>
    </w:p>
    <w:p w14:paraId="4492B97F" w14:textId="77777777" w:rsidR="00341F8B" w:rsidRPr="003E5108" w:rsidRDefault="00341F8B" w:rsidP="00341F8B">
      <w:pPr>
        <w:pStyle w:val="P00"/>
        <w:spacing w:before="0" w:after="120" w:line="360" w:lineRule="auto"/>
        <w:ind w:left="720" w:right="567"/>
        <w:rPr>
          <w:rStyle w:val="default"/>
          <w:rFonts w:ascii="David" w:hAnsi="David" w:cs="David"/>
          <w:sz w:val="24"/>
          <w:szCs w:val="24"/>
          <w:rtl/>
        </w:rPr>
      </w:pPr>
    </w:p>
    <w:p w14:paraId="4BE30FC8"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 xml:space="preserve">ההסדר הקבוע היום </w:t>
      </w:r>
      <w:hyperlink r:id="rId52" w:history="1">
        <w:r w:rsidR="00080112" w:rsidRPr="00080112">
          <w:rPr>
            <w:rFonts w:ascii="David" w:hAnsi="David" w:cs="David"/>
            <w:color w:val="0000FF"/>
            <w:szCs w:val="24"/>
            <w:u w:val="single"/>
            <w:rtl/>
          </w:rPr>
          <w:t>בפרק י' סימן א</w:t>
        </w:r>
      </w:hyperlink>
      <w:r w:rsidRPr="003E5108">
        <w:rPr>
          <w:rFonts w:ascii="David" w:hAnsi="David" w:cs="David"/>
          <w:szCs w:val="24"/>
          <w:rtl/>
        </w:rPr>
        <w:t xml:space="preserve"> ל</w:t>
      </w:r>
      <w:hyperlink r:id="rId53"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סימן המכונה "גרימת מוות" והמתייחס גם לעבירת הרצח, </w:t>
      </w:r>
      <w:r w:rsidRPr="003E5108">
        <w:rPr>
          <w:rFonts w:ascii="David" w:hAnsi="David" w:cs="David" w:hint="cs"/>
          <w:szCs w:val="24"/>
          <w:rtl/>
        </w:rPr>
        <w:t xml:space="preserve">הוא דין מקל </w:t>
      </w:r>
      <w:r w:rsidRPr="003E5108">
        <w:rPr>
          <w:rFonts w:ascii="David" w:hAnsi="David" w:cs="David"/>
          <w:szCs w:val="24"/>
          <w:rtl/>
        </w:rPr>
        <w:t>עת בוחנים את מלוא ההסדר הקבוע בתיקון.</w:t>
      </w:r>
    </w:p>
    <w:p w14:paraId="60E152E8" w14:textId="77777777" w:rsidR="00341F8B" w:rsidRPr="003E5108" w:rsidRDefault="00341F8B" w:rsidP="00341F8B">
      <w:pPr>
        <w:pStyle w:val="a9"/>
        <w:tabs>
          <w:tab w:val="right" w:leader="dot" w:pos="6259"/>
        </w:tabs>
        <w:spacing w:after="120"/>
        <w:ind w:left="368" w:right="142"/>
        <w:contextualSpacing w:val="0"/>
        <w:jc w:val="both"/>
        <w:rPr>
          <w:rFonts w:ascii="David" w:hAnsi="David" w:cs="David"/>
          <w:szCs w:val="24"/>
        </w:rPr>
      </w:pPr>
    </w:p>
    <w:p w14:paraId="3F3673A9"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 xml:space="preserve">ביחס למצב היום, תיקון 137 מקל בעבירת רצח הן לעניין העונש המרבי שיכול להיקבע לפי שיקול דעת בית משפט והן באשר לאחריות הנאשם בנסיבות שיכולות להיחשב לפי התיקון להמתה בנסיבות אחריות מופחתת. </w:t>
      </w:r>
    </w:p>
    <w:p w14:paraId="26FFEB05" w14:textId="77777777" w:rsidR="00341F8B" w:rsidRPr="003E5108" w:rsidRDefault="00341F8B" w:rsidP="00341F8B">
      <w:pPr>
        <w:pStyle w:val="a9"/>
        <w:tabs>
          <w:tab w:val="right" w:leader="dot" w:pos="6259"/>
        </w:tabs>
        <w:spacing w:after="120"/>
        <w:ind w:left="368" w:right="142"/>
        <w:contextualSpacing w:val="0"/>
        <w:jc w:val="both"/>
        <w:rPr>
          <w:rFonts w:ascii="David" w:hAnsi="David" w:cs="David"/>
          <w:szCs w:val="24"/>
          <w:rtl/>
        </w:rPr>
      </w:pPr>
    </w:p>
    <w:p w14:paraId="42E7E360"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העונש המרבי הקבוע בחוק לאחר התיקון אינו מאסר עולם כעונש חובה (</w:t>
      </w:r>
      <w:hyperlink r:id="rId54" w:history="1">
        <w:r w:rsidR="00080112" w:rsidRPr="00080112">
          <w:rPr>
            <w:rFonts w:ascii="David" w:hAnsi="David" w:cs="David"/>
            <w:color w:val="0000FF"/>
            <w:szCs w:val="24"/>
            <w:u w:val="single"/>
            <w:rtl/>
          </w:rPr>
          <w:t>סעיף 300(א)</w:t>
        </w:r>
      </w:hyperlink>
      <w:r w:rsidRPr="003E5108">
        <w:rPr>
          <w:rFonts w:ascii="David" w:hAnsi="David" w:cs="David"/>
          <w:szCs w:val="24"/>
          <w:rtl/>
        </w:rPr>
        <w:t xml:space="preserve"> ל</w:t>
      </w:r>
      <w:hyperlink r:id="rId55"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לאחר התיקון) וגם במקרה של רצח בנסיבות מחמירות (</w:t>
      </w:r>
      <w:hyperlink r:id="rId56" w:history="1">
        <w:r w:rsidR="00080112" w:rsidRPr="00080112">
          <w:rPr>
            <w:rFonts w:ascii="David" w:hAnsi="David" w:cs="David"/>
            <w:color w:val="0000FF"/>
            <w:szCs w:val="24"/>
            <w:u w:val="single"/>
            <w:rtl/>
          </w:rPr>
          <w:t>סעיף 301א</w:t>
        </w:r>
      </w:hyperlink>
      <w:r w:rsidRPr="003E5108">
        <w:rPr>
          <w:rFonts w:ascii="David" w:hAnsi="David" w:cs="David"/>
          <w:szCs w:val="24"/>
          <w:rtl/>
        </w:rPr>
        <w:t xml:space="preserve"> לחוק העונשין לאחר התיקון), בהתקיים נסיבות מיוחדות ניתן לבית משפט שיקול דעת להטיל עונש נמוך יותר </w:t>
      </w:r>
      <w:r w:rsidRPr="003E5108">
        <w:rPr>
          <w:rFonts w:ascii="David" w:hAnsi="David" w:cs="David" w:hint="cs"/>
          <w:szCs w:val="24"/>
          <w:rtl/>
        </w:rPr>
        <w:t xml:space="preserve">ממאסר עולם </w:t>
      </w:r>
      <w:r w:rsidRPr="003E5108">
        <w:rPr>
          <w:rFonts w:ascii="David" w:hAnsi="David" w:cs="David"/>
          <w:szCs w:val="24"/>
          <w:rtl/>
        </w:rPr>
        <w:t xml:space="preserve">לפי </w:t>
      </w:r>
      <w:hyperlink r:id="rId57" w:history="1">
        <w:r w:rsidR="00080112" w:rsidRPr="00080112">
          <w:rPr>
            <w:rFonts w:ascii="David" w:hAnsi="David" w:cs="David"/>
            <w:color w:val="0000FF"/>
            <w:szCs w:val="24"/>
            <w:u w:val="single"/>
            <w:rtl/>
          </w:rPr>
          <w:t>סעיף 300א</w:t>
        </w:r>
      </w:hyperlink>
      <w:r w:rsidRPr="003E5108">
        <w:rPr>
          <w:rFonts w:ascii="David" w:hAnsi="David" w:cs="David"/>
          <w:szCs w:val="24"/>
          <w:rtl/>
        </w:rPr>
        <w:t xml:space="preserve"> הנ"ל.</w:t>
      </w:r>
    </w:p>
    <w:p w14:paraId="550ABB6E" w14:textId="77777777" w:rsidR="00341F8B" w:rsidRPr="003E5108" w:rsidRDefault="00341F8B" w:rsidP="00341F8B">
      <w:pPr>
        <w:pStyle w:val="a9"/>
        <w:tabs>
          <w:tab w:val="right" w:leader="dot" w:pos="6259"/>
        </w:tabs>
        <w:spacing w:after="120"/>
        <w:ind w:left="368" w:right="142"/>
        <w:contextualSpacing w:val="0"/>
        <w:jc w:val="both"/>
        <w:rPr>
          <w:rFonts w:ascii="David" w:hAnsi="David" w:cs="David"/>
          <w:szCs w:val="24"/>
          <w:rtl/>
        </w:rPr>
      </w:pPr>
    </w:p>
    <w:p w14:paraId="17C557D6"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באשר לענישה במקרים של אחריות מופחתת</w:t>
      </w:r>
      <w:r>
        <w:rPr>
          <w:rFonts w:ascii="David" w:hAnsi="David" w:cs="David" w:hint="cs"/>
          <w:szCs w:val="24"/>
          <w:rtl/>
        </w:rPr>
        <w:t>,</w:t>
      </w:r>
      <w:r w:rsidRPr="003E5108">
        <w:rPr>
          <w:rFonts w:ascii="David" w:hAnsi="David" w:cs="David"/>
          <w:szCs w:val="24"/>
          <w:rtl/>
        </w:rPr>
        <w:t xml:space="preserve"> השתנתה רמת הענישה ולמשל בהתקיים תנאים מסוימים של התגרות כלפי הנאשם העונש המרבי עומד על 20 שנות מאסר. </w:t>
      </w:r>
    </w:p>
    <w:p w14:paraId="08C75D4D" w14:textId="77777777" w:rsidR="00341F8B" w:rsidRPr="003E5108" w:rsidRDefault="00341F8B" w:rsidP="00341F8B">
      <w:pPr>
        <w:pStyle w:val="a9"/>
        <w:tabs>
          <w:tab w:val="right" w:leader="dot" w:pos="6259"/>
        </w:tabs>
        <w:spacing w:after="120"/>
        <w:ind w:left="368" w:right="142"/>
        <w:contextualSpacing w:val="0"/>
        <w:jc w:val="both"/>
        <w:rPr>
          <w:rFonts w:ascii="David" w:hAnsi="David" w:cs="David"/>
          <w:szCs w:val="24"/>
          <w:rtl/>
        </w:rPr>
      </w:pPr>
    </w:p>
    <w:p w14:paraId="6352FB0F"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 xml:space="preserve">ראו לעניין </w:t>
      </w:r>
      <w:r w:rsidRPr="003E5108">
        <w:rPr>
          <w:rFonts w:ascii="David" w:hAnsi="David" w:cs="David" w:hint="cs"/>
          <w:szCs w:val="24"/>
          <w:rtl/>
        </w:rPr>
        <w:t xml:space="preserve">תחולה של דין מקל את </w:t>
      </w:r>
      <w:hyperlink r:id="rId58" w:history="1">
        <w:r w:rsidR="00D85E6C" w:rsidRPr="00D85E6C">
          <w:rPr>
            <w:rFonts w:ascii="David" w:hAnsi="David" w:cs="David"/>
            <w:color w:val="0000FF"/>
            <w:szCs w:val="24"/>
            <w:u w:val="single"/>
            <w:rtl/>
          </w:rPr>
          <w:t>ע"פ 4002/01</w:t>
        </w:r>
      </w:hyperlink>
      <w:r w:rsidRPr="003E5108">
        <w:rPr>
          <w:rFonts w:ascii="David" w:hAnsi="David" w:cs="David"/>
          <w:szCs w:val="24"/>
          <w:rtl/>
        </w:rPr>
        <w:t xml:space="preserve"> </w:t>
      </w:r>
      <w:r w:rsidRPr="003E5108">
        <w:rPr>
          <w:rFonts w:ascii="David" w:hAnsi="David" w:cs="David"/>
          <w:b/>
          <w:bCs/>
          <w:szCs w:val="24"/>
          <w:rtl/>
        </w:rPr>
        <w:t>קורקין נגד מדינת ישראל</w:t>
      </w:r>
      <w:r>
        <w:rPr>
          <w:rFonts w:ascii="David" w:hAnsi="David" w:cs="David"/>
          <w:szCs w:val="24"/>
          <w:rtl/>
        </w:rPr>
        <w:t xml:space="preserve"> (7.5.2002)</w:t>
      </w:r>
      <w:r>
        <w:rPr>
          <w:rFonts w:ascii="David" w:hAnsi="David" w:cs="David" w:hint="cs"/>
          <w:szCs w:val="24"/>
          <w:rtl/>
        </w:rPr>
        <w:t xml:space="preserve">. </w:t>
      </w:r>
      <w:r w:rsidRPr="003E5108">
        <w:rPr>
          <w:rFonts w:ascii="David" w:hAnsi="David" w:cs="David"/>
          <w:szCs w:val="24"/>
          <w:rtl/>
        </w:rPr>
        <w:t>באותו מקרה נגזר דינו של המערער ביום 22.3.1995, ביום 23.8.1995 תוקן תיקון 39 ל</w:t>
      </w:r>
      <w:hyperlink r:id="rId59"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והנאשם ביקש מכוח </w:t>
      </w:r>
      <w:hyperlink r:id="rId60" w:history="1">
        <w:r w:rsidR="00080112" w:rsidRPr="00080112">
          <w:rPr>
            <w:rFonts w:ascii="David" w:hAnsi="David" w:cs="David"/>
            <w:color w:val="0000FF"/>
            <w:szCs w:val="24"/>
            <w:u w:val="single"/>
            <w:rtl/>
          </w:rPr>
          <w:t>סעיף 5(א)</w:t>
        </w:r>
      </w:hyperlink>
      <w:r w:rsidRPr="003E5108">
        <w:rPr>
          <w:rFonts w:ascii="David" w:hAnsi="David" w:cs="David"/>
          <w:szCs w:val="24"/>
          <w:rtl/>
        </w:rPr>
        <w:t xml:space="preserve"> לחוק העונשין לשוב ולגזור את דינו בשל טענה של הקלה שחלה בעונש המרבי</w:t>
      </w:r>
      <w:r w:rsidRPr="003E5108">
        <w:rPr>
          <w:rFonts w:ascii="David" w:hAnsi="David" w:cs="David" w:hint="cs"/>
          <w:szCs w:val="24"/>
          <w:rtl/>
        </w:rPr>
        <w:t xml:space="preserve"> הקבוע לצד העבירה בה הורשע</w:t>
      </w:r>
      <w:r w:rsidRPr="003E5108">
        <w:rPr>
          <w:rFonts w:ascii="David" w:hAnsi="David" w:cs="David"/>
          <w:szCs w:val="24"/>
          <w:rtl/>
        </w:rPr>
        <w:t>, בית המשפט העליון אישר כי הוא זכאי היה לקביעת עונשו מחדש בהתאם לחיקוק המקל, במידה והייתה הקלה</w:t>
      </w:r>
      <w:r w:rsidRPr="003E5108">
        <w:rPr>
          <w:rFonts w:ascii="David" w:hAnsi="David" w:cs="David" w:hint="cs"/>
          <w:szCs w:val="24"/>
          <w:rtl/>
        </w:rPr>
        <w:t xml:space="preserve"> בענישה (קיום ההקלה היה מותנה בהוכחת דין זר באותו מקרה)</w:t>
      </w:r>
      <w:r w:rsidRPr="003E5108">
        <w:rPr>
          <w:rFonts w:ascii="David" w:hAnsi="David" w:cs="David"/>
          <w:szCs w:val="24"/>
          <w:rtl/>
        </w:rPr>
        <w:t>.</w:t>
      </w:r>
    </w:p>
    <w:p w14:paraId="01764F1C" w14:textId="77777777" w:rsidR="00341F8B" w:rsidRPr="003E5108" w:rsidRDefault="00341F8B" w:rsidP="00341F8B">
      <w:pPr>
        <w:pStyle w:val="a9"/>
        <w:tabs>
          <w:tab w:val="right" w:leader="dot" w:pos="6259"/>
        </w:tabs>
        <w:spacing w:after="120"/>
        <w:ind w:left="368" w:right="142"/>
        <w:contextualSpacing w:val="0"/>
        <w:jc w:val="both"/>
        <w:rPr>
          <w:rFonts w:ascii="David" w:hAnsi="David" w:cs="David"/>
          <w:szCs w:val="24"/>
          <w:rtl/>
        </w:rPr>
      </w:pPr>
    </w:p>
    <w:p w14:paraId="32C5A4CA"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 xml:space="preserve">תחילתו של התיקון ביום 10.7.2019 ולכן על עבירות המתה שיבוצעו מיום 10.7.2019 ואילך יחולו הוראות התיקון במלואן. </w:t>
      </w:r>
    </w:p>
    <w:p w14:paraId="634F9506"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p>
    <w:p w14:paraId="7F1502FF"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hint="cs"/>
          <w:szCs w:val="24"/>
          <w:rtl/>
        </w:rPr>
        <w:t xml:space="preserve">לטעמי על פי הפרשנות התכליתית של תיקון 137 ביחד עם </w:t>
      </w:r>
      <w:hyperlink r:id="rId61" w:history="1">
        <w:r w:rsidR="00080112" w:rsidRPr="00080112">
          <w:rPr>
            <w:rFonts w:ascii="David" w:hAnsi="David" w:cs="David"/>
            <w:color w:val="0000FF"/>
            <w:szCs w:val="24"/>
            <w:u w:val="single"/>
            <w:rtl/>
          </w:rPr>
          <w:t>סעיף 5(א)</w:t>
        </w:r>
      </w:hyperlink>
      <w:r w:rsidRPr="003E5108">
        <w:rPr>
          <w:rFonts w:ascii="David" w:hAnsi="David" w:cs="David" w:hint="cs"/>
          <w:szCs w:val="24"/>
          <w:rtl/>
        </w:rPr>
        <w:t xml:space="preserve"> ל</w:t>
      </w:r>
      <w:hyperlink r:id="rId62" w:history="1">
        <w:r w:rsidR="00D85E6C" w:rsidRPr="00D85E6C">
          <w:rPr>
            <w:rFonts w:ascii="David" w:hAnsi="David" w:cs="David"/>
            <w:color w:val="0000FF"/>
            <w:szCs w:val="24"/>
            <w:u w:val="single"/>
            <w:rtl/>
          </w:rPr>
          <w:t>חוק העונשין</w:t>
        </w:r>
      </w:hyperlink>
      <w:r w:rsidRPr="003E5108">
        <w:rPr>
          <w:rFonts w:ascii="David" w:hAnsi="David" w:cs="David" w:hint="cs"/>
          <w:szCs w:val="24"/>
          <w:rtl/>
        </w:rPr>
        <w:t xml:space="preserve">, </w:t>
      </w:r>
      <w:r w:rsidRPr="003E5108">
        <w:rPr>
          <w:rFonts w:ascii="David" w:hAnsi="David" w:cs="David"/>
          <w:szCs w:val="24"/>
          <w:rtl/>
        </w:rPr>
        <w:t>תחולתו של ההסדר המקל שנקבע בתיקון (לעניין העונש ונסיבות של אחריות מופחתת) היא מיום  10.1.2019, ולכן יש להחילו על עבירת הרצח בגינה הור</w:t>
      </w:r>
      <w:r w:rsidRPr="003E5108">
        <w:rPr>
          <w:rFonts w:ascii="David" w:hAnsi="David" w:cs="David" w:hint="cs"/>
          <w:szCs w:val="24"/>
          <w:rtl/>
        </w:rPr>
        <w:t xml:space="preserve">שע </w:t>
      </w:r>
      <w:r w:rsidRPr="003E5108">
        <w:rPr>
          <w:rFonts w:ascii="David" w:hAnsi="David" w:cs="David"/>
          <w:szCs w:val="24"/>
          <w:rtl/>
        </w:rPr>
        <w:t xml:space="preserve">הנאשם (וזאת בהתאם לסעיף 25 לתיקון הדן בתחולתו, ביחד עם </w:t>
      </w:r>
      <w:hyperlink r:id="rId63" w:history="1">
        <w:r w:rsidR="00080112" w:rsidRPr="00080112">
          <w:rPr>
            <w:rFonts w:ascii="David" w:hAnsi="David" w:cs="David"/>
            <w:color w:val="0000FF"/>
            <w:szCs w:val="24"/>
            <w:u w:val="single"/>
            <w:rtl/>
          </w:rPr>
          <w:t>סעיף 5(א)</w:t>
        </w:r>
      </w:hyperlink>
      <w:r w:rsidRPr="003E5108">
        <w:rPr>
          <w:rFonts w:ascii="David" w:hAnsi="David" w:cs="David"/>
          <w:szCs w:val="24"/>
          <w:rtl/>
        </w:rPr>
        <w:t xml:space="preserve"> לחוק העונשין).</w:t>
      </w:r>
    </w:p>
    <w:p w14:paraId="6420E3E0"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p>
    <w:p w14:paraId="5CD2F04D"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מקובלת עליי עמדת הסנגור כי אין צורך במקרה זה לכתוב הכרעת דין מתוקנת, לא הובאו בפנינו ראיות חדשות לאחר ההרשעה. ולכן כחלק מגזר הדין אבחן האם על פי הקביעות שקבענו בהכרעת הדין, ההמתה בוצעה בנסיבות אחריות מופחתת כטענת הסנגור בשל קיומו של קנטור (</w:t>
      </w:r>
      <w:r>
        <w:rPr>
          <w:rFonts w:ascii="David" w:hAnsi="David" w:cs="David" w:hint="cs"/>
          <w:szCs w:val="24"/>
          <w:rtl/>
        </w:rPr>
        <w:t>ו</w:t>
      </w:r>
      <w:r w:rsidRPr="003E5108">
        <w:rPr>
          <w:rFonts w:ascii="David" w:hAnsi="David" w:cs="David"/>
          <w:szCs w:val="24"/>
          <w:rtl/>
        </w:rPr>
        <w:t xml:space="preserve">אם תתקבל הטענה </w:t>
      </w:r>
      <w:r>
        <w:rPr>
          <w:rFonts w:ascii="David" w:hAnsi="David" w:cs="David" w:hint="cs"/>
          <w:szCs w:val="24"/>
          <w:rtl/>
        </w:rPr>
        <w:t xml:space="preserve">- </w:t>
      </w:r>
      <w:r w:rsidRPr="003E5108">
        <w:rPr>
          <w:rFonts w:ascii="David" w:hAnsi="David" w:cs="David"/>
          <w:szCs w:val="24"/>
          <w:rtl/>
        </w:rPr>
        <w:t>העונש המרבי יעמוד על 20 שנה).</w:t>
      </w:r>
    </w:p>
    <w:p w14:paraId="23599157" w14:textId="77777777" w:rsidR="00341F8B" w:rsidRPr="003E5108" w:rsidRDefault="00341F8B" w:rsidP="00341F8B">
      <w:pPr>
        <w:pStyle w:val="a9"/>
        <w:tabs>
          <w:tab w:val="right" w:leader="dot" w:pos="6259"/>
        </w:tabs>
        <w:spacing w:after="120"/>
        <w:ind w:left="368" w:right="142"/>
        <w:contextualSpacing w:val="0"/>
        <w:jc w:val="both"/>
        <w:rPr>
          <w:rFonts w:ascii="David" w:hAnsi="David" w:cs="David"/>
          <w:szCs w:val="24"/>
          <w:rtl/>
        </w:rPr>
      </w:pPr>
    </w:p>
    <w:p w14:paraId="3E298881"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 xml:space="preserve">במידה ותדחה טענת הקנטור אבחן האם מדובר ברצח בנסיבות מחמירות בשל ביצועו תוך יצירת סכנה ממשית לחיי אחרים כטענת המאשימה (ואז העונש יהיה מאסר עולם חובה). </w:t>
      </w:r>
    </w:p>
    <w:p w14:paraId="5A6684CB" w14:textId="77777777" w:rsidR="00341F8B" w:rsidRPr="003E5108" w:rsidRDefault="00341F8B" w:rsidP="00341F8B">
      <w:pPr>
        <w:pStyle w:val="a9"/>
        <w:tabs>
          <w:tab w:val="right" w:leader="dot" w:pos="6259"/>
        </w:tabs>
        <w:spacing w:after="120"/>
        <w:ind w:left="368" w:right="142"/>
        <w:contextualSpacing w:val="0"/>
        <w:jc w:val="both"/>
        <w:rPr>
          <w:rFonts w:ascii="David" w:hAnsi="David" w:cs="David"/>
          <w:szCs w:val="24"/>
          <w:rtl/>
        </w:rPr>
      </w:pPr>
    </w:p>
    <w:p w14:paraId="2A0147F9" w14:textId="77777777" w:rsidR="00341F8B" w:rsidRPr="003E5108" w:rsidRDefault="00341F8B" w:rsidP="00341F8B">
      <w:pPr>
        <w:pStyle w:val="a9"/>
        <w:tabs>
          <w:tab w:val="right" w:leader="dot" w:pos="6259"/>
        </w:tabs>
        <w:spacing w:after="120" w:line="360" w:lineRule="auto"/>
        <w:ind w:left="368" w:right="142"/>
        <w:contextualSpacing w:val="0"/>
        <w:jc w:val="both"/>
        <w:rPr>
          <w:rFonts w:ascii="David" w:hAnsi="David" w:cs="David"/>
          <w:szCs w:val="24"/>
          <w:rtl/>
        </w:rPr>
      </w:pPr>
      <w:r w:rsidRPr="003E5108">
        <w:rPr>
          <w:rFonts w:ascii="David" w:hAnsi="David" w:cs="David"/>
          <w:szCs w:val="24"/>
          <w:rtl/>
        </w:rPr>
        <w:t xml:space="preserve">אם תתקבל טענת המאשימה אבחן את טענתו של הסנגור לקיום נסיבות מיוחדות המצדיקות העמדת העונש המרבי על עונש שנמוך ממאסר עולם. </w:t>
      </w:r>
    </w:p>
    <w:p w14:paraId="0E32E856" w14:textId="77777777" w:rsidR="00341F8B" w:rsidRPr="003E5108" w:rsidRDefault="00341F8B" w:rsidP="00341F8B">
      <w:pPr>
        <w:pStyle w:val="a9"/>
        <w:tabs>
          <w:tab w:val="right" w:leader="dot" w:pos="6259"/>
        </w:tabs>
        <w:spacing w:after="120"/>
        <w:ind w:left="368" w:right="142"/>
        <w:contextualSpacing w:val="0"/>
        <w:jc w:val="both"/>
        <w:rPr>
          <w:rFonts w:ascii="David" w:hAnsi="David" w:cs="David"/>
          <w:szCs w:val="24"/>
          <w:rtl/>
        </w:rPr>
      </w:pPr>
    </w:p>
    <w:p w14:paraId="5207ECA7" w14:textId="77777777" w:rsidR="00341F8B" w:rsidRPr="003E5108" w:rsidRDefault="00341F8B" w:rsidP="00341F8B">
      <w:pPr>
        <w:pStyle w:val="a9"/>
        <w:spacing w:after="120" w:line="360" w:lineRule="auto"/>
        <w:ind w:left="368" w:right="142"/>
        <w:contextualSpacing w:val="0"/>
        <w:jc w:val="both"/>
        <w:rPr>
          <w:rFonts w:ascii="David" w:hAnsi="David" w:cs="David"/>
          <w:szCs w:val="24"/>
          <w:rtl/>
        </w:rPr>
      </w:pPr>
      <w:r w:rsidRPr="003E5108">
        <w:rPr>
          <w:rFonts w:ascii="David" w:hAnsi="David" w:cs="David"/>
          <w:szCs w:val="24"/>
          <w:rtl/>
        </w:rPr>
        <w:t xml:space="preserve">[לא מצאתי בסיס בהתאם לדין או לתכלית הענישה לדחות את הדיון כעמדת המאשימה לאחר יום 10.7.2019. מיותר לציין כי במידה וייגזר הדין היום, ערעור במידה ויוגש לא יתברר ויוכרע לפני 10.7.2019, כך שממילא במסגרת הערעור יוכל הסנגור להעלות את כל הטענות שהעלה בפנינו בהתאם לתיקון ולכן מן הראוי לדון בהן כבר עתה ולאפשר למי מהצדדים זכות ערעור גם על קביעותינו בהתאם לתיקון. זו כאמור גם הפרשנות התכליתית התואמת לטעמי את הוראת המעבר של סעיף 25 לתיקון]. </w:t>
      </w:r>
    </w:p>
    <w:p w14:paraId="150EB277" w14:textId="77777777" w:rsidR="00341F8B" w:rsidRPr="003E5108" w:rsidRDefault="00341F8B" w:rsidP="00341F8B">
      <w:pPr>
        <w:pStyle w:val="a9"/>
        <w:spacing w:after="120" w:line="360" w:lineRule="auto"/>
        <w:ind w:left="368" w:right="142"/>
        <w:contextualSpacing w:val="0"/>
        <w:jc w:val="both"/>
        <w:rPr>
          <w:rFonts w:ascii="David" w:hAnsi="David" w:cs="David"/>
          <w:szCs w:val="24"/>
        </w:rPr>
      </w:pPr>
    </w:p>
    <w:p w14:paraId="6FE13301"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המתה בנסיבות של אחריות מופחתת- התגרות-קנטור</w:t>
      </w:r>
    </w:p>
    <w:p w14:paraId="2D6E9AE9"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על פי סעיף 300ב (ב) לתיקון, למרות הענישה הקבועה בגין עבירת רצח או רצח בנסיבות מחמירות, אחריותו של נאשם תחשב מופחתת בהתקיים התנאים הבאים:</w:t>
      </w:r>
    </w:p>
    <w:p w14:paraId="0739A5B4" w14:textId="77777777" w:rsidR="00341F8B" w:rsidRPr="003E5108" w:rsidRDefault="00341F8B" w:rsidP="00341F8B">
      <w:pPr>
        <w:pStyle w:val="a9"/>
        <w:numPr>
          <w:ilvl w:val="0"/>
          <w:numId w:val="2"/>
        </w:numPr>
        <w:spacing w:after="120" w:line="360" w:lineRule="auto"/>
        <w:contextualSpacing w:val="0"/>
        <w:rPr>
          <w:rFonts w:ascii="David" w:hAnsi="David" w:cs="David"/>
          <w:szCs w:val="24"/>
        </w:rPr>
      </w:pPr>
      <w:r w:rsidRPr="003E5108">
        <w:rPr>
          <w:rFonts w:ascii="David" w:hAnsi="David" w:cs="David"/>
          <w:szCs w:val="24"/>
          <w:rtl/>
        </w:rPr>
        <w:t>המעשה בוצע בתכוף לאחר התגרות כלפי הנאשם ובתגובה לאותה התגרות, ובלבד שמתקיימים שניים אלה:</w:t>
      </w:r>
    </w:p>
    <w:p w14:paraId="4996A1B0" w14:textId="77777777" w:rsidR="00341F8B" w:rsidRPr="003E5108" w:rsidRDefault="00341F8B" w:rsidP="00341F8B">
      <w:pPr>
        <w:pStyle w:val="a9"/>
        <w:numPr>
          <w:ilvl w:val="0"/>
          <w:numId w:val="3"/>
        </w:numPr>
        <w:spacing w:after="120" w:line="360" w:lineRule="auto"/>
        <w:contextualSpacing w:val="0"/>
        <w:rPr>
          <w:rFonts w:ascii="David" w:hAnsi="David" w:cs="David"/>
          <w:szCs w:val="24"/>
          <w:rtl/>
        </w:rPr>
      </w:pPr>
      <w:r w:rsidRPr="003E5108">
        <w:rPr>
          <w:rFonts w:ascii="David" w:hAnsi="David" w:cs="David"/>
          <w:szCs w:val="24"/>
          <w:rtl/>
        </w:rPr>
        <w:t xml:space="preserve">בעקבות ההתגרות הנאשם התקשה במידה ניכרת לשלוט בעצמו; </w:t>
      </w:r>
    </w:p>
    <w:p w14:paraId="32C5B8BA" w14:textId="77777777" w:rsidR="00341F8B" w:rsidRPr="003E5108" w:rsidRDefault="00341F8B" w:rsidP="00341F8B">
      <w:pPr>
        <w:pStyle w:val="a9"/>
        <w:numPr>
          <w:ilvl w:val="0"/>
          <w:numId w:val="3"/>
        </w:numPr>
        <w:spacing w:after="120" w:line="360" w:lineRule="auto"/>
        <w:contextualSpacing w:val="0"/>
        <w:rPr>
          <w:rFonts w:ascii="David" w:hAnsi="David" w:cs="David"/>
          <w:szCs w:val="24"/>
        </w:rPr>
      </w:pPr>
      <w:r w:rsidRPr="003E5108">
        <w:rPr>
          <w:rFonts w:ascii="David" w:hAnsi="David" w:cs="David"/>
          <w:szCs w:val="24"/>
          <w:rtl/>
        </w:rPr>
        <w:t>יש בקושי האמור בפסקה (1) כדי למתן את אשמתו של הנאשם, בשים לב למכלול נסיבות העניין;</w:t>
      </w:r>
    </w:p>
    <w:p w14:paraId="664C7E9A" w14:textId="77777777" w:rsidR="00341F8B" w:rsidRPr="003E5108" w:rsidRDefault="00341F8B" w:rsidP="00341F8B">
      <w:pPr>
        <w:pStyle w:val="a9"/>
        <w:spacing w:after="120" w:line="360" w:lineRule="auto"/>
        <w:ind w:left="368"/>
        <w:contextualSpacing w:val="0"/>
        <w:jc w:val="both"/>
        <w:rPr>
          <w:rFonts w:ascii="David" w:hAnsi="David" w:cs="David"/>
          <w:szCs w:val="24"/>
          <w:u w:val="single"/>
          <w:rtl/>
        </w:rPr>
      </w:pPr>
      <w:r w:rsidRPr="003E5108">
        <w:rPr>
          <w:rFonts w:ascii="David" w:hAnsi="David" w:cs="David"/>
          <w:szCs w:val="24"/>
          <w:u w:val="single"/>
          <w:rtl/>
        </w:rPr>
        <w:t xml:space="preserve"> </w:t>
      </w:r>
    </w:p>
    <w:p w14:paraId="1FA1BB48"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על פי דברי ההסבר להצעת התיקון (הצ"ח 972 מיום 16.11.2015 עמוד 175-174) סעיף זה בא במקום מבחן הקנטור הנוהג היום והכוונה הייתה לזנוח את המבחן האובייקטיבי- מבחן האדם הסביר, שכזכור היה תנאי מצטבר הכרחי למבחן הסובייקטיבי כדי לפטור רוצח שקונטר מאחריות בפלילים (ראו סקירת הפסיקה שקדמה לתיקון, עמודים 19-16 להכרעת הדין).</w:t>
      </w:r>
    </w:p>
    <w:p w14:paraId="1A9A6AC3" w14:textId="77777777" w:rsidR="00341F8B" w:rsidRPr="003E5108" w:rsidRDefault="00341F8B" w:rsidP="00341F8B">
      <w:pPr>
        <w:pStyle w:val="a9"/>
        <w:spacing w:after="120"/>
        <w:ind w:left="368"/>
        <w:contextualSpacing w:val="0"/>
        <w:jc w:val="both"/>
        <w:rPr>
          <w:rFonts w:ascii="David" w:hAnsi="David" w:cs="David"/>
          <w:szCs w:val="24"/>
          <w:rtl/>
        </w:rPr>
      </w:pPr>
    </w:p>
    <w:p w14:paraId="30FE77C2"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בנסיבות המקרה שלנו ניתן לקבוע כי על מנת שאחריותו של הנאשם תחשב אחריות מופחתת </w:t>
      </w:r>
      <w:r w:rsidRPr="003E5108">
        <w:rPr>
          <w:rFonts w:ascii="David" w:hAnsi="David" w:cs="David" w:hint="cs"/>
          <w:szCs w:val="24"/>
          <w:rtl/>
        </w:rPr>
        <w:t>צריכים ל</w:t>
      </w:r>
      <w:r w:rsidRPr="003E5108">
        <w:rPr>
          <w:rFonts w:ascii="David" w:hAnsi="David" w:cs="David"/>
          <w:szCs w:val="24"/>
          <w:rtl/>
        </w:rPr>
        <w:t>התקיים במצטבר התנאים הבאים:</w:t>
      </w:r>
    </w:p>
    <w:p w14:paraId="2D451ACE"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-קיום התגרות כלפי הנאשם- תנאי עובדתי</w:t>
      </w:r>
    </w:p>
    <w:p w14:paraId="4F2215B2"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-המתת המנוח הייתה בתגובה להתגרות- קשר סיבתי.</w:t>
      </w:r>
    </w:p>
    <w:p w14:paraId="69A724BB"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-בעקבות ההתגרות הנאשם התקשה במידה ניכרת לשלוט בעצמו- מבחן סובייקטיבי של עוצמה.</w:t>
      </w:r>
    </w:p>
    <w:p w14:paraId="4C38F652"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-יש בקושי של הנאשם כדי למתן את אשמתו, בנסיבות העניין- מבחן אובייקטיבי של אשמה לפי נסיבות המקרה. </w:t>
      </w:r>
    </w:p>
    <w:p w14:paraId="404E8034" w14:textId="77777777" w:rsidR="00341F8B" w:rsidRPr="003E5108" w:rsidRDefault="00341F8B" w:rsidP="00341F8B">
      <w:pPr>
        <w:pStyle w:val="a9"/>
        <w:spacing w:after="120"/>
        <w:ind w:left="368"/>
        <w:contextualSpacing w:val="0"/>
        <w:jc w:val="both"/>
        <w:rPr>
          <w:rFonts w:ascii="David" w:hAnsi="David" w:cs="David"/>
          <w:szCs w:val="24"/>
          <w:rtl/>
        </w:rPr>
      </w:pPr>
    </w:p>
    <w:p w14:paraId="1E99319F"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בדברי ההסבר נאמר כי "המבחן המוצע משלב בין מבחן סובייקטיבי למבחן אובייקטיבי. לעניין המבחן הסובייקטיבי, הדרישה היא לתגובה אמוציונלית עזה להתגרות, אשר פגעה בצורה קשה ביכולת השליטה העצמית של הנאשם</w:t>
      </w:r>
      <w:r>
        <w:rPr>
          <w:rFonts w:ascii="David" w:hAnsi="David" w:cs="David" w:hint="cs"/>
          <w:szCs w:val="24"/>
          <w:rtl/>
        </w:rPr>
        <w:t xml:space="preserve"> </w:t>
      </w:r>
      <w:r w:rsidRPr="003E5108">
        <w:rPr>
          <w:rFonts w:ascii="David" w:hAnsi="David" w:cs="David"/>
          <w:szCs w:val="24"/>
          <w:rtl/>
        </w:rPr>
        <w:t xml:space="preserve">... לעניין המבחן הנורמטיבי, בית משפט יידרש להכריע, אם יש ברגש העז שהתעורר בנאשם לנוכח ההתגרות והקושי הרב בשליטה העצמית לגרוע מאשמתו של המקונטר. בחינה זו תבוצע מנקודת מבט חברתית ומוסרית שהיא חיצונית למקונטר". </w:t>
      </w:r>
    </w:p>
    <w:p w14:paraId="7611555C" w14:textId="77777777" w:rsidR="00341F8B" w:rsidRPr="003E5108" w:rsidRDefault="00341F8B" w:rsidP="00341F8B">
      <w:pPr>
        <w:pStyle w:val="a9"/>
        <w:spacing w:after="120"/>
        <w:ind w:left="368"/>
        <w:contextualSpacing w:val="0"/>
        <w:jc w:val="both"/>
        <w:rPr>
          <w:rFonts w:ascii="David" w:hAnsi="David" w:cs="David"/>
          <w:szCs w:val="24"/>
          <w:rtl/>
        </w:rPr>
      </w:pPr>
    </w:p>
    <w:p w14:paraId="120497E5"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כפי שאפרט להלן, על פי העדויות והראיות ובהתאם לקביעתנו בהכרעת הדין, לא הייתה  התגרות כלפי הנאשם, הנאשם לא פעל בתגובה להתגרות שלא הייתה כאמור. טענת הנאשם לקנטור סובייקטיבי שעלתה לראשונה בסיכומיו נדחתה, משום שהנאשם בשום שלב לא טען כי התקשה לשלוט בעצמו. ולטעמי גם בחינת האשם לפי התנהגות הנאשם כמתואר בהכרעת הדין- לא מצדיקה להפחית מאחריותו, כך שלא מתקיים א</w:t>
      </w:r>
      <w:r w:rsidRPr="003E5108">
        <w:rPr>
          <w:rFonts w:ascii="David" w:hAnsi="David" w:cs="David" w:hint="cs"/>
          <w:szCs w:val="24"/>
          <w:rtl/>
        </w:rPr>
        <w:t xml:space="preserve">ף </w:t>
      </w:r>
      <w:r w:rsidRPr="003E5108">
        <w:rPr>
          <w:rFonts w:ascii="David" w:hAnsi="David" w:cs="David"/>
          <w:szCs w:val="24"/>
          <w:rtl/>
        </w:rPr>
        <w:t xml:space="preserve">אחד מהתנאים המצטברים. </w:t>
      </w:r>
    </w:p>
    <w:p w14:paraId="5543EE34" w14:textId="77777777" w:rsidR="00341F8B" w:rsidRPr="003E5108" w:rsidRDefault="00341F8B" w:rsidP="00341F8B">
      <w:pPr>
        <w:pStyle w:val="a9"/>
        <w:spacing w:after="120"/>
        <w:ind w:left="368"/>
        <w:contextualSpacing w:val="0"/>
        <w:jc w:val="both"/>
        <w:rPr>
          <w:rFonts w:ascii="David" w:hAnsi="David" w:cs="David"/>
          <w:szCs w:val="24"/>
          <w:rtl/>
        </w:rPr>
      </w:pPr>
    </w:p>
    <w:p w14:paraId="2A161BB5"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בטרם אצטט מקביעותינו בהכרעת הדין, אזכיר כי הנאשם העלה כחלק מהגנתו טענה כי איבד את הכרתו או את זכרונו או שנקלע למצב של התנתקות מהמציאות</w:t>
      </w:r>
      <w:r>
        <w:rPr>
          <w:rFonts w:ascii="David" w:hAnsi="David" w:cs="David" w:hint="cs"/>
          <w:szCs w:val="24"/>
          <w:rtl/>
        </w:rPr>
        <w:t xml:space="preserve"> </w:t>
      </w:r>
      <w:r>
        <w:rPr>
          <w:rFonts w:ascii="David" w:hAnsi="David" w:cs="David"/>
          <w:szCs w:val="24"/>
          <w:rtl/>
        </w:rPr>
        <w:t>–</w:t>
      </w:r>
      <w:r w:rsidRPr="003E5108">
        <w:rPr>
          <w:rFonts w:ascii="David" w:hAnsi="David" w:cs="David"/>
          <w:szCs w:val="24"/>
          <w:rtl/>
        </w:rPr>
        <w:t xml:space="preserve"> דיסוציאציה</w:t>
      </w:r>
      <w:r>
        <w:rPr>
          <w:rFonts w:ascii="David" w:hAnsi="David" w:cs="David" w:hint="cs"/>
          <w:szCs w:val="24"/>
          <w:rtl/>
        </w:rPr>
        <w:t>,</w:t>
      </w:r>
      <w:r w:rsidRPr="003E5108">
        <w:rPr>
          <w:rFonts w:ascii="David" w:hAnsi="David" w:cs="David"/>
          <w:szCs w:val="24"/>
          <w:rtl/>
        </w:rPr>
        <w:t xml:space="preserve"> ולכן לטענתו  לא ידע כלל מה הוא עושה. בהכרעת הדין קבענו כי הנאשם לא אמין ודחינו את טענות האלה.  </w:t>
      </w:r>
    </w:p>
    <w:p w14:paraId="2D31A7ED" w14:textId="77777777" w:rsidR="00341F8B" w:rsidRPr="003E5108" w:rsidRDefault="00341F8B" w:rsidP="00341F8B">
      <w:pPr>
        <w:pStyle w:val="a9"/>
        <w:spacing w:after="120" w:line="360" w:lineRule="auto"/>
        <w:ind w:left="368"/>
        <w:contextualSpacing w:val="0"/>
        <w:jc w:val="both"/>
        <w:rPr>
          <w:rFonts w:ascii="David" w:hAnsi="David" w:cs="David"/>
          <w:szCs w:val="24"/>
          <w:rtl/>
        </w:rPr>
      </w:pPr>
    </w:p>
    <w:p w14:paraId="6503F946"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הסנגור בטיעוניו לעונש ביקש שנבחן את התקיימות תנאי ההתגרות גם ללא גרסת נאשם, הכיצד? איך ניתן לבחון תחושה סובייקטיבית של נאשם כטענת הגנה, מבלי שהאדם הטוען לאותה הגנה מתאר תחושה כל שהיא.   </w:t>
      </w:r>
    </w:p>
    <w:p w14:paraId="647EEBE3" w14:textId="77777777" w:rsidR="00341F8B" w:rsidRPr="003E5108" w:rsidRDefault="00341F8B" w:rsidP="00341F8B">
      <w:pPr>
        <w:pStyle w:val="a9"/>
        <w:spacing w:after="120"/>
        <w:ind w:left="368"/>
        <w:contextualSpacing w:val="0"/>
        <w:jc w:val="both"/>
        <w:rPr>
          <w:rFonts w:ascii="David" w:hAnsi="David" w:cs="David"/>
          <w:szCs w:val="24"/>
          <w:rtl/>
        </w:rPr>
      </w:pPr>
    </w:p>
    <w:p w14:paraId="742C4E29"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בחינת התנהגות נאשם שלא מספר על תחושותיו האמתיות רק על פי הנסיבות</w:t>
      </w:r>
      <w:r>
        <w:rPr>
          <w:rFonts w:ascii="David" w:hAnsi="David" w:cs="David" w:hint="cs"/>
          <w:szCs w:val="24"/>
          <w:rtl/>
        </w:rPr>
        <w:t>,</w:t>
      </w:r>
      <w:r w:rsidRPr="003E5108">
        <w:rPr>
          <w:rFonts w:ascii="David" w:hAnsi="David" w:cs="David" w:hint="cs"/>
          <w:szCs w:val="24"/>
          <w:rtl/>
        </w:rPr>
        <w:t xml:space="preserve"> כבקשת הסנגור</w:t>
      </w:r>
      <w:r w:rsidRPr="003E5108">
        <w:rPr>
          <w:rFonts w:ascii="David" w:hAnsi="David" w:cs="David"/>
          <w:szCs w:val="24"/>
          <w:rtl/>
        </w:rPr>
        <w:t>, כמוה כמבחן אובייקטיבי.  שהרי בנסיבות המקרה שלפנינו אדם מסוים היה מתקשה לשלוט בעצמו ואדם אחר היה מתפקד ללא כל מגבלה. השאלה לאיזה קטגוריה יש לשייך את הנאשם תלויה בו בלבד ומידע אמיתי ממנו לא נמסר, גם לא בתום הטיעונים לעונש, בהם מסר הנאשם באריכות גרסה שאין בה הסבר לגבי יכולתו לשלוט בעצמו (מיותר לציין כי לא מדובר בעדות שעמדה במבחן החקירה הנגדית).</w:t>
      </w:r>
    </w:p>
    <w:p w14:paraId="62BF6DE8" w14:textId="77777777" w:rsidR="00341F8B" w:rsidRPr="003E5108" w:rsidRDefault="00341F8B" w:rsidP="00341F8B">
      <w:pPr>
        <w:pStyle w:val="a9"/>
        <w:spacing w:after="120"/>
        <w:ind w:left="368"/>
        <w:contextualSpacing w:val="0"/>
        <w:jc w:val="both"/>
        <w:rPr>
          <w:rFonts w:ascii="David" w:hAnsi="David" w:cs="David"/>
          <w:szCs w:val="24"/>
          <w:rtl/>
        </w:rPr>
      </w:pPr>
    </w:p>
    <w:p w14:paraId="64E85697"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cs="David" w:hint="cs"/>
          <w:szCs w:val="24"/>
          <w:rtl/>
        </w:rPr>
        <w:t xml:space="preserve"> הסנגור בטיעוניו בעל פה ביקש ש</w:t>
      </w:r>
      <w:r w:rsidRPr="003E5108">
        <w:rPr>
          <w:rFonts w:cs="David"/>
          <w:szCs w:val="24"/>
          <w:rtl/>
        </w:rPr>
        <w:t>בית המשפט י</w:t>
      </w:r>
      <w:r w:rsidRPr="003E5108">
        <w:rPr>
          <w:rFonts w:cs="David" w:hint="cs"/>
          <w:szCs w:val="24"/>
          <w:rtl/>
        </w:rPr>
        <w:t xml:space="preserve">סתכל "על </w:t>
      </w:r>
      <w:r w:rsidRPr="003E5108">
        <w:rPr>
          <w:rFonts w:cs="David"/>
          <w:szCs w:val="24"/>
          <w:rtl/>
        </w:rPr>
        <w:t xml:space="preserve">האירוע </w:t>
      </w:r>
      <w:bookmarkStart w:id="9" w:name="_ETM_Q_1847631"/>
      <w:bookmarkEnd w:id="9"/>
      <w:r w:rsidRPr="003E5108">
        <w:rPr>
          <w:rFonts w:cs="David"/>
          <w:szCs w:val="24"/>
          <w:rtl/>
        </w:rPr>
        <w:t>בכללותו</w:t>
      </w:r>
      <w:r w:rsidRPr="003E5108">
        <w:rPr>
          <w:rFonts w:cs="David" w:hint="cs"/>
          <w:szCs w:val="24"/>
          <w:rtl/>
        </w:rPr>
        <w:t xml:space="preserve">" ו"לשער" </w:t>
      </w:r>
      <w:bookmarkStart w:id="10" w:name="_ETM_Q_1854359"/>
      <w:bookmarkEnd w:id="10"/>
      <w:r w:rsidRPr="003E5108">
        <w:rPr>
          <w:rFonts w:cs="David" w:hint="cs"/>
          <w:szCs w:val="24"/>
          <w:rtl/>
        </w:rPr>
        <w:t>מה "</w:t>
      </w:r>
      <w:r w:rsidRPr="003E5108">
        <w:rPr>
          <w:rFonts w:cs="David"/>
          <w:szCs w:val="24"/>
          <w:rtl/>
        </w:rPr>
        <w:t>שהנאשם ראה בעיניים שלו, חזה בעיניים שלו</w:t>
      </w:r>
      <w:r w:rsidRPr="003E5108">
        <w:rPr>
          <w:rFonts w:cs="David" w:hint="cs"/>
          <w:szCs w:val="24"/>
          <w:rtl/>
        </w:rPr>
        <w:t>"</w:t>
      </w:r>
      <w:r w:rsidRPr="003E5108">
        <w:rPr>
          <w:rFonts w:ascii="David" w:hAnsi="David" w:cs="David" w:hint="cs"/>
          <w:szCs w:val="24"/>
          <w:rtl/>
        </w:rPr>
        <w:t xml:space="preserve">. משמעות טענה זו היא </w:t>
      </w:r>
      <w:r w:rsidRPr="003E5108">
        <w:rPr>
          <w:rFonts w:ascii="David" w:hAnsi="David" w:cs="David"/>
          <w:szCs w:val="24"/>
          <w:rtl/>
        </w:rPr>
        <w:t xml:space="preserve">לנתח את המבחן הסובייקטיבי באמות מידה אובייקטיביות, </w:t>
      </w:r>
      <w:r w:rsidRPr="003E5108">
        <w:rPr>
          <w:rFonts w:ascii="David" w:hAnsi="David" w:cs="David" w:hint="cs"/>
          <w:szCs w:val="24"/>
          <w:rtl/>
        </w:rPr>
        <w:t>דרך ה</w:t>
      </w:r>
      <w:r w:rsidRPr="003E5108">
        <w:rPr>
          <w:rFonts w:ascii="David" w:hAnsi="David" w:cs="David"/>
          <w:szCs w:val="24"/>
          <w:rtl/>
        </w:rPr>
        <w:t xml:space="preserve">מנוגדת למשמעותו של הסעיף ולהקלה שהקל המחוקק בתיקון. </w:t>
      </w:r>
    </w:p>
    <w:p w14:paraId="404EBB9E" w14:textId="77777777" w:rsidR="00341F8B" w:rsidRPr="003E5108" w:rsidRDefault="00341F8B" w:rsidP="00341F8B">
      <w:pPr>
        <w:pStyle w:val="a9"/>
        <w:spacing w:after="120"/>
        <w:ind w:left="368"/>
        <w:contextualSpacing w:val="0"/>
        <w:jc w:val="both"/>
        <w:rPr>
          <w:rFonts w:ascii="David" w:hAnsi="David" w:cs="David"/>
          <w:szCs w:val="24"/>
          <w:rtl/>
        </w:rPr>
      </w:pPr>
    </w:p>
    <w:p w14:paraId="2780714B"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אצטט חלקים מחוות דעתי בהכרעת הדין להמחשה כי לא מתקיימים התנאים לאחריות מופחתת (יוסף הוא בנו של הנאשם):</w:t>
      </w:r>
    </w:p>
    <w:p w14:paraId="05871C5F" w14:textId="77777777" w:rsidR="00341F8B" w:rsidRPr="003E5108" w:rsidRDefault="00341F8B" w:rsidP="00341F8B">
      <w:pPr>
        <w:pStyle w:val="a9"/>
        <w:spacing w:after="120" w:line="360" w:lineRule="auto"/>
        <w:ind w:right="567"/>
        <w:contextualSpacing w:val="0"/>
        <w:jc w:val="both"/>
        <w:rPr>
          <w:rFonts w:ascii="David" w:hAnsi="David" w:cs="David"/>
          <w:szCs w:val="24"/>
          <w:rtl/>
        </w:rPr>
      </w:pPr>
      <w:r w:rsidRPr="003E5108">
        <w:rPr>
          <w:rFonts w:ascii="David" w:hAnsi="David" w:cs="David"/>
          <w:szCs w:val="24"/>
          <w:rtl/>
        </w:rPr>
        <w:t>"במקרה זה לא הייתה התגרות כל שהיא כלפי הנאשם ולא הייתה מניעה כי ירסן את עצמו ובוודאי שלא ירה בראשו של המנוח. הנאשם לא פעל בספונטאנית אלא בצורה מחושבת, הוא לא ירה סתם באוויר אלא כיוון במדויק לראשו של המנוח</w:t>
      </w:r>
      <w:r>
        <w:rPr>
          <w:rFonts w:ascii="David" w:hAnsi="David" w:cs="David" w:hint="cs"/>
          <w:szCs w:val="24"/>
          <w:rtl/>
        </w:rPr>
        <w:t xml:space="preserve"> </w:t>
      </w:r>
      <w:r w:rsidRPr="003E5108">
        <w:rPr>
          <w:rFonts w:ascii="David" w:hAnsi="David" w:cs="David"/>
          <w:szCs w:val="24"/>
          <w:rtl/>
        </w:rPr>
        <w:t>...</w:t>
      </w:r>
    </w:p>
    <w:p w14:paraId="2B581EFC" w14:textId="77777777" w:rsidR="00341F8B" w:rsidRPr="003E5108" w:rsidRDefault="00341F8B" w:rsidP="00341F8B">
      <w:pPr>
        <w:autoSpaceDE w:val="0"/>
        <w:autoSpaceDN w:val="0"/>
        <w:adjustRightInd w:val="0"/>
        <w:spacing w:after="120" w:line="360" w:lineRule="auto"/>
        <w:ind w:left="720" w:right="567"/>
        <w:jc w:val="both"/>
        <w:rPr>
          <w:rFonts w:ascii="David" w:hAnsi="David"/>
          <w:rtl/>
        </w:rPr>
      </w:pPr>
      <w:r w:rsidRPr="003E5108">
        <w:rPr>
          <w:rFonts w:ascii="David" w:hAnsi="David"/>
          <w:rtl/>
        </w:rPr>
        <w:t>מה גם שהפגיעה ביוסף על פי המראה שלה או על פי דברי יוסף הנפגע</w:t>
      </w:r>
      <w:r>
        <w:rPr>
          <w:rFonts w:ascii="David" w:hAnsi="David" w:hint="cs"/>
          <w:rtl/>
        </w:rPr>
        <w:t>,</w:t>
      </w:r>
      <w:r w:rsidRPr="003E5108">
        <w:rPr>
          <w:rFonts w:ascii="David" w:hAnsi="David"/>
          <w:rtl/>
        </w:rPr>
        <w:t xml:space="preserve"> לא הייתה חמורה (יוסף עמד על רגליו לאחר הפגיעה, דיבר עם הנאשם ואפילו הפך למרות הפגיעה מנתקף לתוקף, עד כדי כך שחלק גדול מאותן 43 שניות השקיע הנאשם בניסיון למנוע מאותו מותקף שלא להפעיל אלימות כלפי המנוח). לא תגובה להתגרות הייתה כאן, אלא הצטרפות משפחתית של הנאשם למאבק האלים</w:t>
      </w:r>
      <w:r w:rsidRPr="003E5108">
        <w:rPr>
          <w:rFonts w:ascii="David" w:hAnsi="David" w:hint="cs"/>
          <w:rtl/>
        </w:rPr>
        <w:t>"</w:t>
      </w:r>
      <w:r w:rsidRPr="003E5108">
        <w:rPr>
          <w:rFonts w:ascii="David" w:hAnsi="David"/>
          <w:rtl/>
        </w:rPr>
        <w:t xml:space="preserve"> (עמוד 17 להכרעת הדין).</w:t>
      </w:r>
    </w:p>
    <w:p w14:paraId="6EA98568" w14:textId="77777777" w:rsidR="00341F8B" w:rsidRPr="003E5108" w:rsidRDefault="00341F8B" w:rsidP="00341F8B">
      <w:pPr>
        <w:autoSpaceDE w:val="0"/>
        <w:autoSpaceDN w:val="0"/>
        <w:adjustRightInd w:val="0"/>
        <w:spacing w:after="120"/>
        <w:ind w:left="720" w:right="567"/>
        <w:jc w:val="both"/>
        <w:rPr>
          <w:rFonts w:ascii="David" w:hAnsi="David"/>
          <w:rtl/>
        </w:rPr>
      </w:pPr>
    </w:p>
    <w:p w14:paraId="786FDB24" w14:textId="77777777" w:rsidR="00341F8B" w:rsidRPr="003E5108" w:rsidRDefault="00341F8B" w:rsidP="00341F8B">
      <w:pPr>
        <w:spacing w:after="120" w:line="360" w:lineRule="auto"/>
        <w:ind w:left="720" w:right="567"/>
        <w:jc w:val="both"/>
        <w:rPr>
          <w:rFonts w:ascii="David" w:hAnsi="David"/>
          <w:rtl/>
        </w:rPr>
      </w:pPr>
      <w:r w:rsidRPr="003E5108">
        <w:rPr>
          <w:rFonts w:ascii="David" w:hAnsi="David"/>
          <w:rtl/>
        </w:rPr>
        <w:t>"הנאשם ובנו לא היו בסכנה כל שהיא</w:t>
      </w:r>
      <w:r>
        <w:rPr>
          <w:rFonts w:ascii="David" w:hAnsi="David" w:hint="cs"/>
          <w:rtl/>
        </w:rPr>
        <w:t xml:space="preserve"> </w:t>
      </w:r>
      <w:r w:rsidRPr="003E5108">
        <w:rPr>
          <w:rFonts w:ascii="David" w:hAnsi="David"/>
          <w:rtl/>
        </w:rPr>
        <w:t>...</w:t>
      </w:r>
      <w:r>
        <w:rPr>
          <w:rFonts w:ascii="David" w:hAnsi="David" w:hint="cs"/>
          <w:rtl/>
        </w:rPr>
        <w:t xml:space="preserve"> </w:t>
      </w:r>
      <w:r w:rsidRPr="003E5108">
        <w:rPr>
          <w:rFonts w:ascii="David" w:hAnsi="David"/>
          <w:rtl/>
        </w:rPr>
        <w:t>הנאשם ירה לאחר שלמעשה הקטטה הופסקה על ידו בדרך של הפרדה בין בנו לבין תוקפיו" (עמוד 19 להכרעת הדין).</w:t>
      </w:r>
    </w:p>
    <w:p w14:paraId="7636F7B9" w14:textId="77777777" w:rsidR="00341F8B" w:rsidRPr="003E5108" w:rsidRDefault="00341F8B" w:rsidP="00341F8B">
      <w:pPr>
        <w:autoSpaceDE w:val="0"/>
        <w:autoSpaceDN w:val="0"/>
        <w:adjustRightInd w:val="0"/>
        <w:spacing w:after="120" w:line="360" w:lineRule="auto"/>
        <w:ind w:left="720" w:right="567"/>
        <w:jc w:val="both"/>
        <w:rPr>
          <w:rFonts w:ascii="David" w:hAnsi="David"/>
          <w:rtl/>
        </w:rPr>
      </w:pPr>
      <w:r w:rsidRPr="003E5108">
        <w:rPr>
          <w:rFonts w:ascii="David" w:hAnsi="David"/>
          <w:rtl/>
        </w:rPr>
        <w:t xml:space="preserve">"התנהגות הנאשם על פי המתואר במצלמות האבטחה ובעדויות היא שקולה ומחושבת, הוא ידע בדיוק מי לצדו ומי בצד האחר. הוא הפעיל כוח כדי להגן על בנו ולמנוע מבנו להכות את המנוח, הוא ידע מתי לחשוף את האקדח וגם במי לירות, במנוח כמעשה נקם או ענישה" </w:t>
      </w:r>
      <w:r>
        <w:rPr>
          <w:rFonts w:ascii="David" w:hAnsi="David" w:hint="cs"/>
          <w:rtl/>
        </w:rPr>
        <w:t>(</w:t>
      </w:r>
      <w:r w:rsidRPr="003E5108">
        <w:rPr>
          <w:rFonts w:ascii="David" w:hAnsi="David"/>
          <w:rtl/>
        </w:rPr>
        <w:t>עמוד 20 להכרעת הדין).</w:t>
      </w:r>
    </w:p>
    <w:p w14:paraId="35CA79F4" w14:textId="77777777" w:rsidR="00341F8B" w:rsidRPr="003E5108" w:rsidRDefault="00341F8B" w:rsidP="00341F8B">
      <w:pPr>
        <w:autoSpaceDE w:val="0"/>
        <w:autoSpaceDN w:val="0"/>
        <w:adjustRightInd w:val="0"/>
        <w:spacing w:after="120" w:line="360" w:lineRule="auto"/>
        <w:ind w:left="720" w:right="567"/>
        <w:jc w:val="both"/>
        <w:rPr>
          <w:rFonts w:ascii="David" w:hAnsi="David"/>
          <w:rtl/>
        </w:rPr>
      </w:pPr>
    </w:p>
    <w:p w14:paraId="33B56852" w14:textId="77777777" w:rsidR="00341F8B" w:rsidRPr="003E5108" w:rsidRDefault="00341F8B" w:rsidP="00341F8B">
      <w:pPr>
        <w:autoSpaceDE w:val="0"/>
        <w:autoSpaceDN w:val="0"/>
        <w:adjustRightInd w:val="0"/>
        <w:spacing w:after="120" w:line="360" w:lineRule="auto"/>
        <w:ind w:left="720" w:right="567"/>
        <w:jc w:val="both"/>
        <w:rPr>
          <w:rFonts w:ascii="David" w:hAnsi="David"/>
          <w:rtl/>
        </w:rPr>
      </w:pPr>
      <w:r w:rsidRPr="003E5108">
        <w:rPr>
          <w:rFonts w:ascii="David" w:hAnsi="David"/>
          <w:rtl/>
        </w:rPr>
        <w:t>"לא מצאתי כל בסיס לטענת הקנטור הסובייקטיבי גם משום שהנאשם בעצמו צריך לתאר את תחושותיו, הרגשותיו ומה הביאו ללחוץ על ההדק. הנאשם בחר בקו הגנה לפיו מרגע שראה את פניו של בנו שותתי דם, הוא לא ידע מה מתרחש ודי בכך לטעמי לדחות את הטענה לקיומו של קנטור סובייקטיבי" (עמוד 20 להכרעת הדין).</w:t>
      </w:r>
    </w:p>
    <w:p w14:paraId="516FF418" w14:textId="77777777" w:rsidR="00341F8B" w:rsidRPr="003E5108" w:rsidRDefault="00341F8B" w:rsidP="00341F8B">
      <w:pPr>
        <w:autoSpaceDE w:val="0"/>
        <w:autoSpaceDN w:val="0"/>
        <w:adjustRightInd w:val="0"/>
        <w:spacing w:after="120"/>
        <w:ind w:left="720" w:right="567"/>
        <w:jc w:val="both"/>
        <w:rPr>
          <w:rFonts w:ascii="David" w:hAnsi="David"/>
          <w:rtl/>
        </w:rPr>
      </w:pPr>
    </w:p>
    <w:p w14:paraId="4EF4228C" w14:textId="77777777" w:rsidR="00341F8B" w:rsidRPr="003E5108" w:rsidRDefault="00341F8B" w:rsidP="00341F8B">
      <w:pPr>
        <w:spacing w:after="120" w:line="360" w:lineRule="auto"/>
        <w:ind w:left="720" w:right="567"/>
        <w:jc w:val="both"/>
        <w:rPr>
          <w:rFonts w:ascii="David" w:hAnsi="David"/>
          <w:rtl/>
        </w:rPr>
      </w:pPr>
      <w:r w:rsidRPr="003E5108">
        <w:rPr>
          <w:rFonts w:ascii="David" w:hAnsi="David"/>
          <w:rtl/>
        </w:rPr>
        <w:t>"הסנגור בסיכומיו בעת ניתוח זירת האירוע שבפנינו ספר 20 אנשים הנמצאים במקום, הנאשם לא פגע באף אחד מהם למעט במדויק בראשו של המנוח" (עמוד 18 להכרעת הדין).</w:t>
      </w:r>
    </w:p>
    <w:p w14:paraId="06DE28EF" w14:textId="77777777" w:rsidR="00341F8B" w:rsidRPr="003E5108" w:rsidRDefault="00341F8B" w:rsidP="00341F8B">
      <w:pPr>
        <w:autoSpaceDE w:val="0"/>
        <w:autoSpaceDN w:val="0"/>
        <w:adjustRightInd w:val="0"/>
        <w:spacing w:after="120" w:line="360" w:lineRule="auto"/>
        <w:ind w:left="720" w:right="567"/>
        <w:jc w:val="both"/>
        <w:rPr>
          <w:rFonts w:ascii="David" w:hAnsi="David"/>
          <w:rtl/>
        </w:rPr>
      </w:pPr>
    </w:p>
    <w:p w14:paraId="13D504A9"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 משמע</w:t>
      </w:r>
      <w:r>
        <w:rPr>
          <w:rFonts w:ascii="David" w:hAnsi="David" w:cs="David" w:hint="cs"/>
          <w:szCs w:val="24"/>
          <w:rtl/>
        </w:rPr>
        <w:t xml:space="preserve"> </w:t>
      </w:r>
      <w:r w:rsidRPr="003E5108">
        <w:rPr>
          <w:rFonts w:ascii="David" w:hAnsi="David" w:cs="David"/>
          <w:szCs w:val="24"/>
          <w:rtl/>
        </w:rPr>
        <w:t>-</w:t>
      </w:r>
      <w:r>
        <w:rPr>
          <w:rFonts w:ascii="David" w:hAnsi="David" w:cs="David" w:hint="cs"/>
          <w:szCs w:val="24"/>
          <w:rtl/>
        </w:rPr>
        <w:t xml:space="preserve"> </w:t>
      </w:r>
      <w:r w:rsidRPr="003E5108">
        <w:rPr>
          <w:rFonts w:ascii="David" w:hAnsi="David" w:cs="David"/>
          <w:szCs w:val="24"/>
          <w:rtl/>
        </w:rPr>
        <w:t>לא הייתה התגרות, לא הייתה תגובה בעקבות מראה פניו של בנו של הנאשם, ולא הוכח קושי כל שהוא של הנאשם לשלוט בעצמו</w:t>
      </w:r>
      <w:r>
        <w:rPr>
          <w:rFonts w:ascii="David" w:hAnsi="David" w:cs="David" w:hint="cs"/>
          <w:szCs w:val="24"/>
          <w:rtl/>
        </w:rPr>
        <w:t xml:space="preserve">. </w:t>
      </w:r>
      <w:r w:rsidRPr="003E5108">
        <w:rPr>
          <w:rFonts w:ascii="David" w:hAnsi="David" w:cs="David"/>
          <w:szCs w:val="24"/>
          <w:rtl/>
        </w:rPr>
        <w:t>בהעדר קושי</w:t>
      </w:r>
      <w:r>
        <w:rPr>
          <w:rFonts w:ascii="David" w:hAnsi="David" w:cs="David" w:hint="cs"/>
          <w:szCs w:val="24"/>
          <w:rtl/>
        </w:rPr>
        <w:t>,</w:t>
      </w:r>
      <w:r w:rsidRPr="003E5108">
        <w:rPr>
          <w:rFonts w:ascii="David" w:hAnsi="David" w:cs="David"/>
          <w:szCs w:val="24"/>
          <w:rtl/>
        </w:rPr>
        <w:t xml:space="preserve"> גם לא ניתן לבחון עד כמה הקושי מיתן את אשמתו של הנאשם. </w:t>
      </w:r>
    </w:p>
    <w:p w14:paraId="6E2084D5" w14:textId="77777777" w:rsidR="00341F8B" w:rsidRPr="003E5108" w:rsidRDefault="00341F8B" w:rsidP="00341F8B">
      <w:pPr>
        <w:pStyle w:val="a9"/>
        <w:spacing w:after="120"/>
        <w:ind w:left="368"/>
        <w:contextualSpacing w:val="0"/>
        <w:jc w:val="both"/>
        <w:rPr>
          <w:rFonts w:ascii="David" w:hAnsi="David" w:cs="David"/>
          <w:szCs w:val="24"/>
          <w:rtl/>
        </w:rPr>
      </w:pPr>
    </w:p>
    <w:p w14:paraId="7094DD7B"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hint="cs"/>
          <w:szCs w:val="24"/>
          <w:rtl/>
        </w:rPr>
        <w:t xml:space="preserve">למעלה מן הצורך אבהיר כי </w:t>
      </w:r>
      <w:r w:rsidRPr="003E5108">
        <w:rPr>
          <w:rFonts w:ascii="David" w:hAnsi="David" w:cs="David"/>
          <w:szCs w:val="24"/>
          <w:rtl/>
        </w:rPr>
        <w:t xml:space="preserve">אין בנסיבות העניין כדי למתן את אשמתו של הנאשם עד כדי הפחתת אחריותו ואזכיר כי מדובר בתנאי מצטבר לשלושת התנאים האחרים שלא הוכחו. </w:t>
      </w:r>
    </w:p>
    <w:p w14:paraId="1A01AC80" w14:textId="77777777" w:rsidR="00341F8B" w:rsidRPr="003E5108" w:rsidRDefault="00341F8B" w:rsidP="00341F8B">
      <w:pPr>
        <w:pStyle w:val="a9"/>
        <w:spacing w:after="120"/>
        <w:ind w:left="368"/>
        <w:contextualSpacing w:val="0"/>
        <w:jc w:val="both"/>
        <w:rPr>
          <w:rFonts w:ascii="David" w:hAnsi="David" w:cs="David"/>
          <w:szCs w:val="24"/>
          <w:rtl/>
        </w:rPr>
      </w:pPr>
    </w:p>
    <w:p w14:paraId="4D4364DE"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אשוב ואפנה לדברי ההסבר להצעת חוק התיקון "כדי שאשמת העושה תיחשב פחותה באופן משמעותי, צריך להתקיים יחס הולם בין טיב ההתגרות ומידתה לבין הפגיעה הניכרת בשליטה העצמית שגרמה ההתגרות. לא כל המתה במצב של איבוד ניכר של שליטה עצמית, בעקבות עלבון או אפילו הרמת יד, משקפת רמת אשמה שהיא פחותה  משמעותית מרמת האשמה המאפיינת רצח".</w:t>
      </w:r>
    </w:p>
    <w:p w14:paraId="2D818598" w14:textId="77777777" w:rsidR="00341F8B" w:rsidRPr="003E5108" w:rsidRDefault="00341F8B" w:rsidP="00341F8B">
      <w:pPr>
        <w:pStyle w:val="a9"/>
        <w:spacing w:after="120"/>
        <w:ind w:left="368"/>
        <w:contextualSpacing w:val="0"/>
        <w:jc w:val="both"/>
        <w:rPr>
          <w:rFonts w:ascii="David" w:hAnsi="David" w:cs="David"/>
          <w:szCs w:val="24"/>
          <w:rtl/>
        </w:rPr>
      </w:pPr>
    </w:p>
    <w:p w14:paraId="5CEEF61A"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מבחינה נורמטיבית אין יחס הולם בין מראה פניו של בנו של הנאשם שכבר הופרד ממי שהיכה אותו וחזר להצטרף כתוקף, לבין התנהגות הנאשם. ירי כדור בראשו של המנוח מטווח קצר, מיד לאחר מכן הנאשם המשיך ורדף עם אקדח שלוף למרחק לא קטן אחרי בנו של המנוח מתוך כוונה לרצוח אותו. לא כך מתנהג מי שמתקשה לשלוט בעצמו ומי שנוהג באלימות כה קשה מידת האשם שלו חמורה מאוד.</w:t>
      </w:r>
    </w:p>
    <w:p w14:paraId="56643423" w14:textId="77777777" w:rsidR="00341F8B" w:rsidRPr="003E5108" w:rsidRDefault="00341F8B" w:rsidP="00341F8B">
      <w:pPr>
        <w:pStyle w:val="a9"/>
        <w:spacing w:after="120"/>
        <w:ind w:left="368"/>
        <w:contextualSpacing w:val="0"/>
        <w:jc w:val="both"/>
        <w:rPr>
          <w:rFonts w:ascii="David" w:hAnsi="David" w:cs="David"/>
          <w:szCs w:val="24"/>
          <w:rtl/>
        </w:rPr>
      </w:pPr>
    </w:p>
    <w:p w14:paraId="5D3103BF"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לאור האמור לעיל אציע לדחות את טענת ההגנה לקיומה של התגרות (או קנטור) וקביעתנו בנושא זה בהכרעת הדין צריכה להישאר ללא שינוי גם לאחר בחינת הגישה המקלה לפי תיקון 137.</w:t>
      </w:r>
    </w:p>
    <w:p w14:paraId="3C6998D8" w14:textId="77777777" w:rsidR="00341F8B" w:rsidRPr="003E5108" w:rsidRDefault="00341F8B" w:rsidP="00341F8B">
      <w:pPr>
        <w:pStyle w:val="a9"/>
        <w:spacing w:after="120" w:line="360" w:lineRule="auto"/>
        <w:ind w:left="368"/>
        <w:contextualSpacing w:val="0"/>
        <w:jc w:val="both"/>
        <w:rPr>
          <w:rFonts w:ascii="David" w:hAnsi="David" w:cs="David"/>
          <w:szCs w:val="24"/>
        </w:rPr>
      </w:pPr>
    </w:p>
    <w:p w14:paraId="3A1963DF"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 xml:space="preserve">האם מדובר ברצח בנסיבות מחמירות </w:t>
      </w:r>
    </w:p>
    <w:p w14:paraId="7B192DD6"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 xml:space="preserve"> ב"כ המאשימה טען כי גם אם חל התיקון, במקרה זה מדובר ברצח בנסיבות מחמירות כהגדרות </w:t>
      </w:r>
      <w:hyperlink r:id="rId64" w:history="1">
        <w:r w:rsidR="00080112" w:rsidRPr="00080112">
          <w:rPr>
            <w:rFonts w:ascii="David" w:hAnsi="David" w:cs="David"/>
            <w:color w:val="0000FF"/>
            <w:szCs w:val="24"/>
            <w:u w:val="single"/>
            <w:rtl/>
          </w:rPr>
          <w:t>בסעיף 301א(א)</w:t>
        </w:r>
      </w:hyperlink>
      <w:r w:rsidRPr="003E5108">
        <w:rPr>
          <w:rFonts w:ascii="David" w:hAnsi="David" w:cs="David"/>
          <w:szCs w:val="24"/>
          <w:rtl/>
        </w:rPr>
        <w:t xml:space="preserve"> ל</w:t>
      </w:r>
      <w:hyperlink r:id="rId65"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לאחר תיקונו. תוך שהוא מפנה לחלופה</w:t>
      </w:r>
      <w:r w:rsidRPr="003E5108">
        <w:rPr>
          <w:rFonts w:ascii="David" w:hAnsi="David" w:cs="David"/>
          <w:szCs w:val="24"/>
        </w:rPr>
        <w:t>:</w:t>
      </w:r>
    </w:p>
    <w:p w14:paraId="1000640E" w14:textId="77777777" w:rsidR="00341F8B" w:rsidRPr="003E5108" w:rsidRDefault="00341F8B" w:rsidP="00341F8B">
      <w:pPr>
        <w:pStyle w:val="a9"/>
        <w:spacing w:after="120" w:line="360" w:lineRule="auto"/>
        <w:contextualSpacing w:val="0"/>
        <w:jc w:val="both"/>
        <w:rPr>
          <w:rFonts w:ascii="David" w:hAnsi="David" w:cs="David"/>
          <w:szCs w:val="24"/>
          <w:rtl/>
        </w:rPr>
      </w:pPr>
      <w:r w:rsidRPr="003E5108">
        <w:rPr>
          <w:rFonts w:ascii="David" w:hAnsi="David" w:cs="David"/>
          <w:szCs w:val="24"/>
          <w:rtl/>
        </w:rPr>
        <w:t>"(9) המעשה בוצע תוך יצירת סכנה ממשית לחייו של אדם אחר נוסף על הקרבן".</w:t>
      </w:r>
    </w:p>
    <w:p w14:paraId="7A0B238E" w14:textId="77777777" w:rsidR="00341F8B" w:rsidRPr="003E5108" w:rsidRDefault="00341F8B" w:rsidP="00341F8B">
      <w:pPr>
        <w:pStyle w:val="a9"/>
        <w:spacing w:after="120"/>
        <w:contextualSpacing w:val="0"/>
        <w:jc w:val="both"/>
        <w:rPr>
          <w:rFonts w:ascii="David" w:hAnsi="David" w:cs="David"/>
          <w:szCs w:val="24"/>
          <w:rtl/>
        </w:rPr>
      </w:pPr>
    </w:p>
    <w:p w14:paraId="186000D0" w14:textId="77777777" w:rsidR="00341F8B" w:rsidRPr="003E5108" w:rsidRDefault="00341F8B" w:rsidP="00341F8B">
      <w:pPr>
        <w:spacing w:after="120" w:line="360" w:lineRule="auto"/>
        <w:ind w:left="360"/>
        <w:jc w:val="both"/>
        <w:rPr>
          <w:rFonts w:ascii="David" w:hAnsi="David"/>
          <w:u w:val="single"/>
        </w:rPr>
      </w:pPr>
      <w:r w:rsidRPr="003E5108">
        <w:rPr>
          <w:rFonts w:ascii="David" w:hAnsi="David"/>
          <w:rtl/>
        </w:rPr>
        <w:t xml:space="preserve">לאחר ניתוח טענות הצדדים ובחינת הראיות, לרבות התיעוד במצלמות האבטחה מקובלת עליי עמדת המאשימה. </w:t>
      </w:r>
    </w:p>
    <w:p w14:paraId="360BF9B7"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בהתאם להכרעת הדין, סמוך לפני הירייה הראשונה היה הנאשם מוקף במספר רב של אנשים חלקם צופים חלקם מעורבים בתגרה. לפי מצלמות בקרת הרמזורים (ת/22ג, ת/74, ת/74א) בשעה 21:24:24 התפזרה החבורה במהירות ובכלל זה התרחק המנוח מהנאשם ו-4 שניות לאחר מכן בשעה 21:24:28 נראה הבזק אש שמקורו בירייה שירה הנאשם. </w:t>
      </w:r>
    </w:p>
    <w:p w14:paraId="0477A645" w14:textId="77777777" w:rsidR="00341F8B" w:rsidRPr="005F7E81" w:rsidRDefault="00341F8B" w:rsidP="00341F8B">
      <w:pPr>
        <w:pStyle w:val="a9"/>
        <w:spacing w:after="120"/>
        <w:ind w:left="368"/>
        <w:contextualSpacing w:val="0"/>
        <w:jc w:val="both"/>
        <w:rPr>
          <w:rFonts w:ascii="David" w:hAnsi="David" w:cs="David"/>
          <w:sz w:val="8"/>
          <w:szCs w:val="8"/>
        </w:rPr>
      </w:pPr>
    </w:p>
    <w:p w14:paraId="7D324ECC"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התנהגות קבוצת האנשים שברחה מהמקום</w:t>
      </w:r>
      <w:r w:rsidRPr="003E5108">
        <w:rPr>
          <w:rFonts w:ascii="David" w:hAnsi="David" w:cs="David" w:hint="cs"/>
          <w:szCs w:val="24"/>
          <w:rtl/>
        </w:rPr>
        <w:t xml:space="preserve"> בפתאומיות</w:t>
      </w:r>
      <w:r w:rsidRPr="003E5108">
        <w:rPr>
          <w:rFonts w:ascii="David" w:hAnsi="David" w:cs="David"/>
          <w:szCs w:val="24"/>
          <w:rtl/>
        </w:rPr>
        <w:t xml:space="preserve">, 4 שניות לפני הירי מתארת היטב את הסכנה הממשית בה חש כל אחד מהם, בהעדר סכנה עובר לירי לא הייתה מנוסה המונית ומותו של המנוח בסופו של </w:t>
      </w:r>
      <w:r w:rsidRPr="003E5108">
        <w:rPr>
          <w:rFonts w:ascii="David" w:hAnsi="David" w:cs="David" w:hint="cs"/>
          <w:szCs w:val="24"/>
          <w:rtl/>
        </w:rPr>
        <w:t xml:space="preserve">יום </w:t>
      </w:r>
      <w:r w:rsidRPr="003E5108">
        <w:rPr>
          <w:rFonts w:ascii="David" w:hAnsi="David" w:cs="David"/>
          <w:szCs w:val="24"/>
          <w:rtl/>
        </w:rPr>
        <w:t xml:space="preserve">מראה עד כמה גם הנוכחים היו בסכנה. </w:t>
      </w:r>
    </w:p>
    <w:p w14:paraId="0E05EEFC" w14:textId="77777777" w:rsidR="00341F8B" w:rsidRPr="005F7E81" w:rsidRDefault="00341F8B" w:rsidP="00341F8B">
      <w:pPr>
        <w:pStyle w:val="a9"/>
        <w:spacing w:after="120"/>
        <w:ind w:left="368"/>
        <w:contextualSpacing w:val="0"/>
        <w:jc w:val="both"/>
        <w:rPr>
          <w:rFonts w:ascii="David" w:hAnsi="David" w:cs="David"/>
          <w:sz w:val="8"/>
          <w:szCs w:val="8"/>
          <w:rtl/>
        </w:rPr>
      </w:pPr>
    </w:p>
    <w:p w14:paraId="14ADEB3A"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חשוב להזכיר את הקביעה (סעיף 11 להכרעת הדין) כי המנוח נפגע משתי יריות, האחת בראשו שגרמה למותו והשנייה בכף ידו. הירי היה ממרחק קצר, קטן מ-1 מטר ולטעמי הפגיעה בשני איברים שונים (הראש והיד)  מראה את פוטנציאל הסכנה במעשיו של הנאשם. </w:t>
      </w:r>
    </w:p>
    <w:p w14:paraId="6F25D3F4" w14:textId="77777777" w:rsidR="00341F8B" w:rsidRPr="005F7E81" w:rsidRDefault="00341F8B" w:rsidP="00341F8B">
      <w:pPr>
        <w:pStyle w:val="a9"/>
        <w:spacing w:after="120"/>
        <w:ind w:left="368"/>
        <w:contextualSpacing w:val="0"/>
        <w:jc w:val="both"/>
        <w:rPr>
          <w:rFonts w:ascii="David" w:hAnsi="David" w:cs="David"/>
          <w:sz w:val="10"/>
          <w:szCs w:val="10"/>
        </w:rPr>
      </w:pPr>
    </w:p>
    <w:p w14:paraId="19412736"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[לנאשם היו במהלך המשפט גרסאות שונות וסותרות, כולן תומכות בטענה כי העמיד אנשים אחרים במצב של סכנה ממשית לחייהם. אזכיר כי לגרסת הנאשם הוא ירה כשהוא מחוסר תודעה, גרסה שאינה אמינה עליי. סנגורו הקודם של הנאשם במסגרת סיכומיו בכתב (עמוד 3 ו-14) טען כי הירייה הראשונה נורתה על ידי הנאשם בעיצומה של הקטטה ורק לאחר התפזרות החבורה הוא ירה את הירייה השנייה ופגע במנוח, גרסה המצביעה על יצירת סכנה ממשית לקבוצת האנשים שהיו במקום]. </w:t>
      </w:r>
    </w:p>
    <w:p w14:paraId="738A07EC" w14:textId="77777777" w:rsidR="00341F8B" w:rsidRPr="003E5108" w:rsidRDefault="00341F8B" w:rsidP="00341F8B">
      <w:pPr>
        <w:pStyle w:val="a9"/>
        <w:spacing w:after="120"/>
        <w:ind w:left="368"/>
        <w:contextualSpacing w:val="0"/>
        <w:jc w:val="both"/>
        <w:rPr>
          <w:rFonts w:ascii="David" w:hAnsi="David" w:cs="David"/>
          <w:szCs w:val="24"/>
        </w:rPr>
      </w:pPr>
    </w:p>
    <w:p w14:paraId="115EE99D"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hint="cs"/>
          <w:szCs w:val="24"/>
          <w:rtl/>
        </w:rPr>
        <w:t xml:space="preserve">עוד </w:t>
      </w:r>
      <w:r w:rsidRPr="003E5108">
        <w:rPr>
          <w:rFonts w:ascii="David" w:hAnsi="David" w:cs="David"/>
          <w:szCs w:val="24"/>
          <w:rtl/>
        </w:rPr>
        <w:t xml:space="preserve">אוסיף כי קבענו בהכרעת הדין כי הנאשם ירה בראשו של המנוח ממרחק הקטן מ-1 מטר. התנהגות זו מצביעה על הליך ממשי של גיבוש והחלטה להמית כהגדרת רצח בנסיבות מחמירות לפי </w:t>
      </w:r>
      <w:hyperlink r:id="rId66" w:history="1">
        <w:r w:rsidR="00080112" w:rsidRPr="00080112">
          <w:rPr>
            <w:rFonts w:ascii="David" w:hAnsi="David" w:cs="David"/>
            <w:color w:val="0000FF"/>
            <w:szCs w:val="24"/>
            <w:u w:val="single"/>
            <w:rtl/>
          </w:rPr>
          <w:t>סעיף 301א(א)(1)</w:t>
        </w:r>
      </w:hyperlink>
      <w:r w:rsidRPr="003E5108">
        <w:rPr>
          <w:rFonts w:ascii="David" w:hAnsi="David" w:cs="David"/>
          <w:szCs w:val="24"/>
          <w:rtl/>
        </w:rPr>
        <w:t xml:space="preserve"> ל</w:t>
      </w:r>
      <w:hyperlink r:id="rId67" w:history="1">
        <w:r w:rsidR="00D85E6C" w:rsidRPr="00D85E6C">
          <w:rPr>
            <w:rFonts w:ascii="David" w:hAnsi="David" w:cs="David"/>
            <w:color w:val="0000FF"/>
            <w:szCs w:val="24"/>
            <w:u w:val="single"/>
            <w:rtl/>
          </w:rPr>
          <w:t>חוק העונשין</w:t>
        </w:r>
      </w:hyperlink>
      <w:r w:rsidRPr="003E5108">
        <w:rPr>
          <w:rFonts w:ascii="David" w:hAnsi="David" w:cs="David"/>
          <w:szCs w:val="24"/>
          <w:rtl/>
        </w:rPr>
        <w:t>.</w:t>
      </w:r>
    </w:p>
    <w:p w14:paraId="0134EFB3" w14:textId="77777777" w:rsidR="00341F8B" w:rsidRPr="005F7E81" w:rsidRDefault="00341F8B" w:rsidP="00341F8B">
      <w:pPr>
        <w:pStyle w:val="a9"/>
        <w:spacing w:after="120" w:line="360" w:lineRule="auto"/>
        <w:ind w:left="368"/>
        <w:contextualSpacing w:val="0"/>
        <w:jc w:val="both"/>
        <w:rPr>
          <w:rFonts w:ascii="David" w:hAnsi="David" w:cs="David"/>
          <w:sz w:val="6"/>
          <w:szCs w:val="6"/>
        </w:rPr>
      </w:pPr>
    </w:p>
    <w:p w14:paraId="66DC5A53"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לסיכום</w:t>
      </w:r>
      <w:r>
        <w:rPr>
          <w:rFonts w:ascii="David" w:hAnsi="David" w:cs="David" w:hint="cs"/>
          <w:szCs w:val="24"/>
          <w:rtl/>
        </w:rPr>
        <w:t xml:space="preserve"> </w:t>
      </w:r>
      <w:r w:rsidRPr="003E5108">
        <w:rPr>
          <w:rFonts w:ascii="David" w:hAnsi="David" w:cs="David"/>
          <w:szCs w:val="24"/>
          <w:rtl/>
        </w:rPr>
        <w:t>- אציע לחבריי לקבוע כי על פי העובדות שהוכחו בפנינו מעבר לכל ספק סביר הנאשם ביצע עבירה של רצח  בנסיבות מחמירות ועונשו בגין עבירה זו צריך להיות מאסר עולם ועונש זה בלבד.</w:t>
      </w:r>
    </w:p>
    <w:p w14:paraId="2E821A1D" w14:textId="77777777" w:rsidR="00341F8B" w:rsidRPr="003E5108" w:rsidRDefault="00341F8B" w:rsidP="00341F8B">
      <w:pPr>
        <w:pStyle w:val="a9"/>
        <w:spacing w:after="120"/>
        <w:ind w:left="368"/>
        <w:contextualSpacing w:val="0"/>
        <w:jc w:val="both"/>
        <w:rPr>
          <w:rFonts w:ascii="David" w:hAnsi="David" w:cs="David"/>
          <w:szCs w:val="24"/>
        </w:rPr>
      </w:pPr>
    </w:p>
    <w:p w14:paraId="5030A86B"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האם מתקיימ</w:t>
      </w:r>
      <w:r w:rsidRPr="003E5108">
        <w:rPr>
          <w:rFonts w:ascii="David" w:hAnsi="David" w:cs="David" w:hint="cs"/>
          <w:szCs w:val="24"/>
          <w:u w:val="single"/>
          <w:rtl/>
        </w:rPr>
        <w:t xml:space="preserve">ות </w:t>
      </w:r>
      <w:r w:rsidRPr="003E5108">
        <w:rPr>
          <w:rFonts w:ascii="David" w:hAnsi="David" w:cs="David"/>
          <w:szCs w:val="24"/>
          <w:u w:val="single"/>
          <w:rtl/>
        </w:rPr>
        <w:t>נסיבות מיוחדות שבשלהן המעשה אינו מבטא דרגת אשמה חמורה</w:t>
      </w:r>
    </w:p>
    <w:p w14:paraId="75BA018F"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 xml:space="preserve">הסנגור ביקש לקבוע כי במקרה זה  יש להחיל את </w:t>
      </w:r>
      <w:hyperlink r:id="rId68" w:history="1">
        <w:r w:rsidR="00080112" w:rsidRPr="00080112">
          <w:rPr>
            <w:rFonts w:ascii="David" w:hAnsi="David" w:cs="David"/>
            <w:color w:val="0000FF"/>
            <w:szCs w:val="24"/>
            <w:u w:val="single"/>
            <w:rtl/>
          </w:rPr>
          <w:t>סעיף 301א(ב)</w:t>
        </w:r>
      </w:hyperlink>
      <w:r w:rsidRPr="003E5108">
        <w:rPr>
          <w:rFonts w:ascii="David" w:hAnsi="David" w:cs="David"/>
          <w:szCs w:val="24"/>
          <w:rtl/>
        </w:rPr>
        <w:t xml:space="preserve"> ולקבוע כי התקיימו במעשה נסיבות מיוחדות שבשלהן המעשה אינו מבטא דרג</w:t>
      </w:r>
      <w:r w:rsidRPr="003E5108">
        <w:rPr>
          <w:rFonts w:ascii="David" w:hAnsi="David" w:cs="David" w:hint="cs"/>
          <w:szCs w:val="24"/>
          <w:rtl/>
        </w:rPr>
        <w:t xml:space="preserve">ת </w:t>
      </w:r>
      <w:r w:rsidRPr="003E5108">
        <w:rPr>
          <w:rFonts w:ascii="David" w:hAnsi="David" w:cs="David"/>
          <w:szCs w:val="24"/>
          <w:rtl/>
        </w:rPr>
        <w:t xml:space="preserve">אשמה חמורה במיוחד ולכן לקבוע כי העונש לא חייב להיות מאסר עולם. </w:t>
      </w:r>
    </w:p>
    <w:p w14:paraId="7BDAD257" w14:textId="77777777" w:rsidR="00341F8B" w:rsidRPr="005F7E81" w:rsidRDefault="00341F8B" w:rsidP="00341F8B">
      <w:pPr>
        <w:pStyle w:val="a9"/>
        <w:spacing w:after="120" w:line="360" w:lineRule="auto"/>
        <w:ind w:left="368"/>
        <w:contextualSpacing w:val="0"/>
        <w:jc w:val="both"/>
        <w:rPr>
          <w:rFonts w:ascii="David" w:hAnsi="David" w:cs="David"/>
          <w:sz w:val="8"/>
          <w:szCs w:val="8"/>
        </w:rPr>
      </w:pPr>
    </w:p>
    <w:p w14:paraId="14C45C81"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 xml:space="preserve"> </w:t>
      </w:r>
      <w:r w:rsidRPr="003E5108">
        <w:rPr>
          <w:rFonts w:ascii="David" w:hAnsi="David" w:cs="David" w:hint="cs"/>
          <w:szCs w:val="24"/>
          <w:rtl/>
        </w:rPr>
        <w:t xml:space="preserve">לטענת </w:t>
      </w:r>
      <w:r w:rsidRPr="003E5108">
        <w:rPr>
          <w:rFonts w:ascii="David" w:hAnsi="David" w:cs="David"/>
          <w:szCs w:val="24"/>
          <w:rtl/>
        </w:rPr>
        <w:t>הסנגור רק במקרים של גרימת אשמה חמורה במיוחד ירשיע בית משפט בעבירה של רצח בנסיבות מחמירות ולטענתו דרגת אשמתו של הנאשם אינה כזו, היא שונה ממקרים חמורים להם יועד הסעיף, מקרים של מלחמות בעולם התחתון או "וידוא הריגה".</w:t>
      </w:r>
    </w:p>
    <w:p w14:paraId="4C1D6EF2" w14:textId="77777777" w:rsidR="00341F8B" w:rsidRPr="005F7E81" w:rsidRDefault="00341F8B" w:rsidP="00341F8B">
      <w:pPr>
        <w:pStyle w:val="a9"/>
        <w:spacing w:after="120"/>
        <w:ind w:left="368"/>
        <w:contextualSpacing w:val="0"/>
        <w:jc w:val="both"/>
        <w:rPr>
          <w:rFonts w:ascii="David" w:hAnsi="David" w:cs="David"/>
          <w:sz w:val="6"/>
          <w:szCs w:val="6"/>
          <w:rtl/>
        </w:rPr>
      </w:pPr>
    </w:p>
    <w:p w14:paraId="20360897" w14:textId="77777777" w:rsidR="00341F8B" w:rsidRPr="003E5108" w:rsidRDefault="00341F8B" w:rsidP="00341F8B">
      <w:pPr>
        <w:pStyle w:val="a9"/>
        <w:spacing w:after="120" w:line="360" w:lineRule="auto"/>
        <w:ind w:left="368"/>
        <w:contextualSpacing w:val="0"/>
        <w:jc w:val="both"/>
        <w:rPr>
          <w:rFonts w:ascii="David" w:hAnsi="David" w:cs="David"/>
          <w:szCs w:val="24"/>
        </w:rPr>
      </w:pPr>
      <w:r w:rsidRPr="003E5108">
        <w:rPr>
          <w:rFonts w:ascii="David" w:hAnsi="David" w:cs="David"/>
          <w:szCs w:val="24"/>
          <w:rtl/>
        </w:rPr>
        <w:t xml:space="preserve">פרשנותו של הסנגור אינה מקובלת עלי, והיא הפוכה מלשון החוק ותכלית התיקון, משנקבע כי מדובר ברצח בנסיבות מחמירות למשל בשל יצירת סכנה ממשית לחייו של אדם אחר נוסף על המנוח, כוונת המחוקק היא </w:t>
      </w:r>
      <w:r w:rsidRPr="003E5108">
        <w:rPr>
          <w:rFonts w:ascii="David" w:hAnsi="David" w:cs="David" w:hint="cs"/>
          <w:szCs w:val="24"/>
          <w:rtl/>
        </w:rPr>
        <w:t>ש</w:t>
      </w:r>
      <w:r w:rsidRPr="003E5108">
        <w:rPr>
          <w:rFonts w:ascii="David" w:hAnsi="David" w:cs="David"/>
          <w:szCs w:val="24"/>
          <w:rtl/>
        </w:rPr>
        <w:t xml:space="preserve">הכלל יהיה עונש של מאסר עולם חובה ורק במקרים חריגים ויוצאי דופן לא ייגזר מאסר עולם כעונש חובה ואין זה המקרה שלפנינו. </w:t>
      </w:r>
    </w:p>
    <w:p w14:paraId="53F4580E" w14:textId="77777777" w:rsidR="00341F8B" w:rsidRPr="005F7E81" w:rsidRDefault="00341F8B" w:rsidP="00341F8B">
      <w:pPr>
        <w:pStyle w:val="a9"/>
        <w:spacing w:after="120"/>
        <w:ind w:left="368"/>
        <w:contextualSpacing w:val="0"/>
        <w:jc w:val="both"/>
        <w:rPr>
          <w:rFonts w:ascii="David" w:hAnsi="David" w:cs="David"/>
          <w:sz w:val="4"/>
          <w:szCs w:val="4"/>
        </w:rPr>
      </w:pPr>
    </w:p>
    <w:p w14:paraId="5FE2EAB3"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לטעמי דרגת אשמתו של הנאשם חמורה ומצדיקה עונש של מאסר עולם בגין רציחתו של המנוח, וגם אם לא הייתה חובה להטיל עונש שכזה, מאסר עולם הוא העונש המתאים בגין רצח המנוח, בין לפי </w:t>
      </w:r>
      <w:hyperlink r:id="rId69"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לפני התיקון ובין לפי תיקון 137 ואציע לחבריי לגזור בהתאם את עונשו של הנאשם בגין עבירת הרצח.</w:t>
      </w:r>
    </w:p>
    <w:p w14:paraId="1F52B829" w14:textId="77777777" w:rsidR="00341F8B" w:rsidRPr="005F7E81" w:rsidRDefault="00341F8B" w:rsidP="00341F8B">
      <w:pPr>
        <w:pStyle w:val="a9"/>
        <w:spacing w:after="120" w:line="360" w:lineRule="auto"/>
        <w:ind w:left="368"/>
        <w:contextualSpacing w:val="0"/>
        <w:jc w:val="both"/>
        <w:rPr>
          <w:rFonts w:ascii="David" w:hAnsi="David" w:cs="David"/>
          <w:sz w:val="10"/>
          <w:szCs w:val="10"/>
          <w:rtl/>
        </w:rPr>
      </w:pPr>
    </w:p>
    <w:p w14:paraId="436FBC49"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תמצית טיעוני הצדדים לעניין  עבירת ניסיון לרצח ועבירות בנשק.</w:t>
      </w:r>
    </w:p>
    <w:p w14:paraId="3097099F"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 xml:space="preserve"> ב"כ המאשימה ביקש לקבוע מתחם עונש הולם נפרד בגין עבירות הנשק והניסיון לרצח ולהעמידו על מתחם שבין 8 ל-12 שנות מאסר בפועל, ולהטיל על הנאשם מאסר עולם בגין עבירת הרצח, ענישה מצטברת ברף העליון של המתחם בגין העבירות האחרות, מאסר על תנאי ופיצויים בגובה 258,000 ש"ח למשפחת המנוח ופיצויים לבנו של המנוח.</w:t>
      </w:r>
    </w:p>
    <w:p w14:paraId="2D58EF15"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 xml:space="preserve">בטיעוניו הבהיר כי המנוח בן 49 במותו, הותיר אחריו אשה וארבעה ילדים. </w:t>
      </w:r>
      <w:r>
        <w:rPr>
          <w:rFonts w:ascii="David" w:hAnsi="David" w:cs="David" w:hint="cs"/>
          <w:szCs w:val="24"/>
          <w:rtl/>
        </w:rPr>
        <w:t xml:space="preserve">עוד </w:t>
      </w:r>
      <w:r w:rsidRPr="003E5108">
        <w:rPr>
          <w:rFonts w:ascii="David" w:hAnsi="David" w:cs="David"/>
          <w:szCs w:val="24"/>
          <w:rtl/>
        </w:rPr>
        <w:t>הסביר כי לו עבירת הנשק הייתה עומדת בפני עצמה</w:t>
      </w:r>
      <w:r>
        <w:rPr>
          <w:rFonts w:ascii="David" w:hAnsi="David" w:cs="David" w:hint="cs"/>
          <w:szCs w:val="24"/>
          <w:rtl/>
        </w:rPr>
        <w:t>,</w:t>
      </w:r>
      <w:r w:rsidRPr="003E5108">
        <w:rPr>
          <w:rFonts w:ascii="David" w:hAnsi="David" w:cs="David"/>
          <w:szCs w:val="24"/>
          <w:rtl/>
        </w:rPr>
        <w:t xml:space="preserve"> מתחם העונש היה צריך להיות בין 1.5 ל-4 שנות מאסר ולנוכח הזמן הרב שהנאשם נשא נשק, סיבת נשיאת הנשק והשימוש בו</w:t>
      </w:r>
      <w:r>
        <w:rPr>
          <w:rFonts w:ascii="David" w:hAnsi="David" w:cs="David" w:hint="cs"/>
          <w:szCs w:val="24"/>
          <w:rtl/>
        </w:rPr>
        <w:t>,</w:t>
      </w:r>
      <w:r w:rsidRPr="003E5108">
        <w:rPr>
          <w:rFonts w:ascii="David" w:hAnsi="David" w:cs="David"/>
          <w:szCs w:val="24"/>
          <w:rtl/>
        </w:rPr>
        <w:t xml:space="preserve"> יש לגזור עונש מצטבר גם בגין עבירה זו. לתמיכה  בטענותיו הפנה לפסקי דין שונים.</w:t>
      </w:r>
    </w:p>
    <w:p w14:paraId="47D8B5B2" w14:textId="77777777" w:rsidR="00341F8B" w:rsidRPr="005F7E81" w:rsidRDefault="00341F8B" w:rsidP="00341F8B">
      <w:pPr>
        <w:pStyle w:val="a9"/>
        <w:spacing w:after="120"/>
        <w:ind w:left="368"/>
        <w:contextualSpacing w:val="0"/>
        <w:jc w:val="both"/>
        <w:rPr>
          <w:rFonts w:ascii="David" w:hAnsi="David" w:cs="David"/>
          <w:sz w:val="12"/>
          <w:szCs w:val="12"/>
        </w:rPr>
      </w:pPr>
    </w:p>
    <w:p w14:paraId="5FBF48ED"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 xml:space="preserve"> הסנגור בטיעוניו בכתב ובעל פה </w:t>
      </w:r>
      <w:r w:rsidRPr="003E5108">
        <w:rPr>
          <w:rFonts w:ascii="David" w:hAnsi="David" w:cs="David" w:hint="cs"/>
          <w:szCs w:val="24"/>
          <w:rtl/>
        </w:rPr>
        <w:t xml:space="preserve">הבהיר כי מדובר באירוע אחד ולכן יש לקבוע מתחם אחד שאינו מאסר עולם ולגזור עונש כולל על כל המעשים, לאחר לקיחה בחשבון את נסיבותיו האישיות של הנאשם לרבות מצבו הבריאותי. </w:t>
      </w:r>
      <w:r>
        <w:rPr>
          <w:rFonts w:ascii="David" w:hAnsi="David" w:cs="David" w:hint="cs"/>
          <w:szCs w:val="24"/>
          <w:rtl/>
        </w:rPr>
        <w:t>ע</w:t>
      </w:r>
      <w:r w:rsidRPr="003E5108">
        <w:rPr>
          <w:rFonts w:ascii="David" w:hAnsi="David" w:cs="David" w:hint="cs"/>
          <w:szCs w:val="24"/>
          <w:rtl/>
        </w:rPr>
        <w:t>ו</w:t>
      </w:r>
      <w:r>
        <w:rPr>
          <w:rFonts w:ascii="David" w:hAnsi="David" w:cs="David" w:hint="cs"/>
          <w:szCs w:val="24"/>
          <w:rtl/>
        </w:rPr>
        <w:t xml:space="preserve">ד ביקש </w:t>
      </w:r>
      <w:r w:rsidRPr="003E5108">
        <w:rPr>
          <w:rFonts w:ascii="David" w:hAnsi="David" w:cs="David" w:hint="cs"/>
          <w:szCs w:val="24"/>
          <w:rtl/>
        </w:rPr>
        <w:t xml:space="preserve">להתייחס לנסיבות ביצוע העבירות, העדר תכנון בשל הזמן הקצר שחלף מרגע הגעת הנאשם לזירה ועד הירי, העובדה כי לא נפגעו אנשים נוספים וכי הנאשם לא ירה לעבר בנו של המנוח. </w:t>
      </w:r>
    </w:p>
    <w:p w14:paraId="485D8F14" w14:textId="77777777" w:rsidR="00341F8B" w:rsidRPr="003E5108" w:rsidRDefault="00341F8B" w:rsidP="00341F8B">
      <w:pPr>
        <w:pStyle w:val="a9"/>
        <w:spacing w:after="120"/>
        <w:ind w:left="368"/>
        <w:contextualSpacing w:val="0"/>
        <w:jc w:val="both"/>
        <w:rPr>
          <w:rFonts w:ascii="David" w:hAnsi="David" w:cs="David"/>
          <w:szCs w:val="24"/>
        </w:rPr>
      </w:pPr>
    </w:p>
    <w:p w14:paraId="4846CA15"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hint="cs"/>
          <w:szCs w:val="24"/>
          <w:rtl/>
        </w:rPr>
        <w:t xml:space="preserve">אשר לנסיבותיו האישיות, הפנה </w:t>
      </w:r>
      <w:r>
        <w:rPr>
          <w:rFonts w:ascii="David" w:hAnsi="David" w:cs="David" w:hint="cs"/>
          <w:szCs w:val="24"/>
          <w:rtl/>
        </w:rPr>
        <w:t>הסנגור לטראומות הרבות שחווה</w:t>
      </w:r>
      <w:r w:rsidRPr="003E5108">
        <w:rPr>
          <w:rFonts w:ascii="David" w:hAnsi="David" w:cs="David" w:hint="cs"/>
          <w:szCs w:val="24"/>
          <w:rtl/>
        </w:rPr>
        <w:t xml:space="preserve"> הנאשם </w:t>
      </w:r>
      <w:r>
        <w:rPr>
          <w:rFonts w:ascii="David" w:hAnsi="David" w:cs="David" w:hint="cs"/>
          <w:szCs w:val="24"/>
          <w:rtl/>
        </w:rPr>
        <w:t>ש</w:t>
      </w:r>
      <w:r w:rsidRPr="003E5108">
        <w:rPr>
          <w:rFonts w:ascii="David" w:hAnsi="David" w:cs="David" w:hint="cs"/>
          <w:szCs w:val="24"/>
          <w:rtl/>
        </w:rPr>
        <w:t>התגורר בכפר תלת באזור קלקיליה</w:t>
      </w:r>
      <w:r>
        <w:rPr>
          <w:rFonts w:ascii="David" w:hAnsi="David" w:cs="David" w:hint="cs"/>
          <w:szCs w:val="24"/>
          <w:rtl/>
        </w:rPr>
        <w:t>,</w:t>
      </w:r>
      <w:r w:rsidRPr="003E5108">
        <w:rPr>
          <w:rFonts w:ascii="David" w:hAnsi="David" w:cs="David" w:hint="cs"/>
          <w:szCs w:val="24"/>
          <w:rtl/>
        </w:rPr>
        <w:t xml:space="preserve"> במשפחה מוסלמית מסורתית, אביו ששימש כמוכתר הכפר נרצח בשנת 1989 על רקע חשדות לשיתוף פעולה עם ישראל.  הנאשם התגייס למשטרה, בתחילה באיו"ש ולאחר קבלת אזרחות ישראלית שירת במשטרת ישראל ובשב"כ.  הנאשם התחתן בשנת 1978 ונולדו לזוג ארבעה ילדים, שניים נפטרו מיד לאחר לידתם והבכור טבע בים לנגד עיניו בהיותו בן 16.  הנאשם ושניים מאחיו פעלו במסגרת השב"כ, הוא סיכן את חייו וחווה שנאה ואיומים מצד גורמים עוינים כפי שפורט בגזר הדין של בית המשפט המחוזי (נספח א). הנאשם הוכר כנכה מטעם משרד הביטחון בשל תסמונת בתר חבלתית, נכותו הצמיתה היא בשיעור של 30%. </w:t>
      </w:r>
    </w:p>
    <w:p w14:paraId="5EC35CF8" w14:textId="77777777" w:rsidR="00341F8B" w:rsidRPr="003E5108" w:rsidRDefault="00341F8B" w:rsidP="00341F8B">
      <w:pPr>
        <w:pStyle w:val="a9"/>
        <w:spacing w:after="120"/>
        <w:ind w:left="368"/>
        <w:contextualSpacing w:val="0"/>
        <w:jc w:val="both"/>
        <w:rPr>
          <w:rFonts w:ascii="David" w:hAnsi="David" w:cs="David"/>
          <w:szCs w:val="24"/>
          <w:rtl/>
        </w:rPr>
      </w:pPr>
    </w:p>
    <w:p w14:paraId="07D29207" w14:textId="77777777" w:rsidR="00341F8B" w:rsidRPr="003E5108" w:rsidRDefault="00341F8B" w:rsidP="00341F8B">
      <w:pPr>
        <w:pStyle w:val="a9"/>
        <w:spacing w:after="120" w:line="360" w:lineRule="auto"/>
        <w:ind w:left="368"/>
        <w:contextualSpacing w:val="0"/>
        <w:jc w:val="both"/>
        <w:rPr>
          <w:rFonts w:ascii="David" w:hAnsi="David" w:cs="David"/>
          <w:szCs w:val="24"/>
        </w:rPr>
      </w:pPr>
      <w:r w:rsidRPr="003E5108">
        <w:rPr>
          <w:rFonts w:ascii="David" w:hAnsi="David" w:cs="David" w:hint="cs"/>
          <w:szCs w:val="24"/>
          <w:rtl/>
        </w:rPr>
        <w:t>לטענת הסנגור יש להתחשב במצבו הנפשי בעת קביעת המתחם בשל הקרבה לסייג (</w:t>
      </w:r>
      <w:hyperlink r:id="rId70" w:history="1">
        <w:r w:rsidR="00080112" w:rsidRPr="00080112">
          <w:rPr>
            <w:rFonts w:ascii="David" w:hAnsi="David" w:cs="David"/>
            <w:color w:val="0000FF"/>
            <w:szCs w:val="24"/>
            <w:u w:val="single"/>
            <w:rtl/>
          </w:rPr>
          <w:t>סעיף 40ט(א)(9)</w:t>
        </w:r>
      </w:hyperlink>
      <w:r w:rsidRPr="003E5108">
        <w:rPr>
          <w:rFonts w:ascii="David" w:hAnsi="David" w:cs="David" w:hint="cs"/>
          <w:szCs w:val="24"/>
          <w:rtl/>
        </w:rPr>
        <w:t xml:space="preserve"> ל</w:t>
      </w:r>
      <w:hyperlink r:id="rId71" w:history="1">
        <w:r w:rsidR="00D85E6C" w:rsidRPr="00D85E6C">
          <w:rPr>
            <w:rFonts w:ascii="David" w:hAnsi="David" w:cs="David"/>
            <w:color w:val="0000FF"/>
            <w:szCs w:val="24"/>
            <w:u w:val="single"/>
            <w:rtl/>
          </w:rPr>
          <w:t>חוק העונשין</w:t>
        </w:r>
      </w:hyperlink>
      <w:r w:rsidRPr="003E5108">
        <w:rPr>
          <w:rFonts w:ascii="David" w:hAnsi="David" w:cs="David" w:hint="cs"/>
          <w:szCs w:val="24"/>
          <w:rtl/>
        </w:rPr>
        <w:t xml:space="preserve"> ובשל היותו נסיבה שהשפיעה על ביצוע מעשה העבירה (</w:t>
      </w:r>
      <w:hyperlink r:id="rId72" w:history="1">
        <w:r w:rsidR="00080112" w:rsidRPr="00080112">
          <w:rPr>
            <w:rFonts w:ascii="David" w:hAnsi="David" w:cs="David"/>
            <w:color w:val="0000FF"/>
            <w:szCs w:val="24"/>
            <w:u w:val="single"/>
            <w:rtl/>
          </w:rPr>
          <w:t>סעיף 40יא</w:t>
        </w:r>
      </w:hyperlink>
      <w:r w:rsidRPr="003E5108">
        <w:rPr>
          <w:rFonts w:ascii="David" w:hAnsi="David" w:cs="David" w:hint="cs"/>
          <w:szCs w:val="24"/>
          <w:rtl/>
        </w:rPr>
        <w:t>, ס"ק (1) ו-</w:t>
      </w:r>
      <w:hyperlink r:id="rId73" w:history="1">
        <w:r w:rsidR="00080112" w:rsidRPr="00080112">
          <w:rPr>
            <w:rStyle w:val="Hyperlink"/>
            <w:rFonts w:ascii="David" w:hAnsi="David" w:cs="David"/>
            <w:color w:val="0000FF"/>
            <w:szCs w:val="24"/>
            <w:rtl/>
          </w:rPr>
          <w:t>(8)</w:t>
        </w:r>
      </w:hyperlink>
      <w:r w:rsidRPr="003E5108">
        <w:rPr>
          <w:rFonts w:ascii="David" w:hAnsi="David" w:cs="David" w:hint="cs"/>
          <w:szCs w:val="24"/>
          <w:rtl/>
        </w:rPr>
        <w:t xml:space="preserve"> לחוק העונשין.</w:t>
      </w:r>
    </w:p>
    <w:p w14:paraId="3438DAA7" w14:textId="77777777" w:rsidR="00341F8B" w:rsidRPr="003E5108" w:rsidRDefault="00341F8B" w:rsidP="00341F8B">
      <w:pPr>
        <w:pStyle w:val="a9"/>
        <w:spacing w:after="120" w:line="360" w:lineRule="auto"/>
        <w:ind w:left="368"/>
        <w:contextualSpacing w:val="0"/>
        <w:jc w:val="both"/>
        <w:rPr>
          <w:rFonts w:ascii="David" w:hAnsi="David" w:cs="David"/>
          <w:szCs w:val="24"/>
        </w:rPr>
      </w:pPr>
      <w:r w:rsidRPr="003E5108">
        <w:rPr>
          <w:rFonts w:ascii="David" w:hAnsi="David" w:cs="David" w:hint="cs"/>
          <w:szCs w:val="24"/>
          <w:rtl/>
        </w:rPr>
        <w:t xml:space="preserve">עוד ביקש ליתן משקל נמוך להרשעתו הקודמת, מאחר ומדובר בהרשעה יחידה בגין אירוע משנת 1988 ומאז שחרורו מהכלא (בחלוף 8 שנות מאסר מתוך 13 שנגזרו עליו) חלפו כ-18 שנה עד להסתבכותו בתיק הנוכחי. </w:t>
      </w:r>
    </w:p>
    <w:p w14:paraId="042916C8"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hint="cs"/>
          <w:szCs w:val="24"/>
          <w:rtl/>
        </w:rPr>
        <w:t xml:space="preserve">לטענתו מידת אשמו של הנאשם אינה גבוהה במיוחד ולתמיכה בטענותיו הפנה לפסקי דין שונים בין הוטלו עונשים שבין 12 ל-20 שנות מאסר בגין מעשים שחומרתם לטענתו לא פחותה ממעשי הנאשם. </w:t>
      </w:r>
    </w:p>
    <w:p w14:paraId="375BAF87" w14:textId="77777777" w:rsidR="00341F8B" w:rsidRPr="003E5108" w:rsidRDefault="00341F8B" w:rsidP="00341F8B">
      <w:pPr>
        <w:pStyle w:val="a9"/>
        <w:spacing w:after="120"/>
        <w:ind w:left="368"/>
        <w:contextualSpacing w:val="0"/>
        <w:jc w:val="both"/>
        <w:rPr>
          <w:rFonts w:ascii="David" w:hAnsi="David" w:cs="David"/>
          <w:szCs w:val="24"/>
          <w:rtl/>
        </w:rPr>
      </w:pPr>
    </w:p>
    <w:p w14:paraId="5369A2B6"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hint="cs"/>
          <w:szCs w:val="24"/>
          <w:rtl/>
        </w:rPr>
        <w:t xml:space="preserve">בעת קביעת העונש בתוך המתחם ביקש הסנגור להתייחס לנסיבותיו האישיות והטראגיות של הנאשם, למצבו הנפשי המורכב ולנזק הרב הצפוי לו ולמשפחתו מריצוי מאסר ממושך בפועל, במיוחד בשל התנאים הקשים בהם הוא שוהה במעצר וישהה במאסר. לעניין גובה הפיצוי ביקש כי יהיה מידתי והפנה לעניין זה לפסקי דין בחלק מהם לא הוטל פיצוי כלל וביתר המקרים הפיצוי נע בין 25,000 ש"ח ל-150,000 ש"ח. </w:t>
      </w:r>
    </w:p>
    <w:p w14:paraId="169403B3" w14:textId="77777777" w:rsidR="00341F8B" w:rsidRPr="003E5108" w:rsidRDefault="00341F8B" w:rsidP="00341F8B">
      <w:pPr>
        <w:pStyle w:val="a9"/>
        <w:spacing w:after="120" w:line="360" w:lineRule="auto"/>
        <w:ind w:left="368"/>
        <w:contextualSpacing w:val="0"/>
        <w:jc w:val="both"/>
        <w:rPr>
          <w:rFonts w:ascii="David" w:hAnsi="David" w:cs="David"/>
          <w:szCs w:val="24"/>
        </w:rPr>
      </w:pPr>
    </w:p>
    <w:p w14:paraId="475EACDD"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hint="cs"/>
          <w:szCs w:val="24"/>
          <w:rtl/>
        </w:rPr>
        <w:t xml:space="preserve">הנאשם בתום הטיעונים טען באריכות, הנאשם חזר על גרסתו לפיה אינו זוכר דבר וכי החליט לתרום את ביתו להנצחת זכרו של המנוח. </w:t>
      </w:r>
    </w:p>
    <w:p w14:paraId="161A7507" w14:textId="77777777" w:rsidR="00341F8B" w:rsidRPr="003E5108" w:rsidRDefault="00341F8B" w:rsidP="00341F8B">
      <w:pPr>
        <w:pStyle w:val="a9"/>
        <w:spacing w:after="120"/>
        <w:ind w:left="368"/>
        <w:contextualSpacing w:val="0"/>
        <w:jc w:val="both"/>
        <w:rPr>
          <w:rFonts w:ascii="David" w:hAnsi="David" w:cs="David"/>
          <w:szCs w:val="24"/>
        </w:rPr>
      </w:pPr>
    </w:p>
    <w:p w14:paraId="10083FC0" w14:textId="77777777" w:rsidR="00341F8B" w:rsidRPr="00BD2033" w:rsidRDefault="00341F8B" w:rsidP="00341F8B">
      <w:pPr>
        <w:pStyle w:val="a9"/>
        <w:numPr>
          <w:ilvl w:val="0"/>
          <w:numId w:val="1"/>
        </w:numPr>
        <w:spacing w:after="120" w:line="360" w:lineRule="auto"/>
        <w:ind w:left="368"/>
        <w:contextualSpacing w:val="0"/>
        <w:jc w:val="both"/>
        <w:rPr>
          <w:rFonts w:ascii="David" w:hAnsi="David" w:cs="David"/>
          <w:szCs w:val="24"/>
        </w:rPr>
      </w:pPr>
      <w:r>
        <w:rPr>
          <w:rFonts w:ascii="David" w:hAnsi="David" w:cs="David" w:hint="cs"/>
          <w:szCs w:val="24"/>
          <w:rtl/>
        </w:rPr>
        <w:t xml:space="preserve">אציין כי </w:t>
      </w:r>
      <w:r w:rsidRPr="00BD2033">
        <w:rPr>
          <w:rFonts w:ascii="David" w:hAnsi="David" w:cs="David"/>
          <w:szCs w:val="24"/>
          <w:rtl/>
        </w:rPr>
        <w:t xml:space="preserve">בפתח ישיבת 25.6.2018, עוד בטרם נשמעו טיעוני המאשימה העלה סנגורו הקודם של הנאשם </w:t>
      </w:r>
      <w:r>
        <w:rPr>
          <w:rFonts w:ascii="David" w:hAnsi="David" w:cs="David" w:hint="cs"/>
          <w:szCs w:val="24"/>
          <w:rtl/>
        </w:rPr>
        <w:t>טענות נוספות</w:t>
      </w:r>
      <w:r w:rsidRPr="00BD2033">
        <w:rPr>
          <w:rFonts w:ascii="David" w:hAnsi="David" w:cs="David"/>
          <w:szCs w:val="24"/>
          <w:rtl/>
        </w:rPr>
        <w:t xml:space="preserve"> ובהם טענה של הגנה מהצדק. הסניגור הנוכחי זנח טענות אלו. לשם הזהירות והגם שבטיעון לעונש לא נטענו הטענות בחנ</w:t>
      </w:r>
      <w:r>
        <w:rPr>
          <w:rFonts w:ascii="David" w:hAnsi="David" w:cs="David" w:hint="cs"/>
          <w:szCs w:val="24"/>
          <w:rtl/>
        </w:rPr>
        <w:t>תי</w:t>
      </w:r>
      <w:r w:rsidRPr="00BD2033">
        <w:rPr>
          <w:rFonts w:ascii="David" w:hAnsi="David" w:cs="David"/>
          <w:szCs w:val="24"/>
          <w:rtl/>
        </w:rPr>
        <w:t xml:space="preserve"> גם את הטענות שנזנחו וסבור אנ</w:t>
      </w:r>
      <w:r>
        <w:rPr>
          <w:rFonts w:ascii="David" w:hAnsi="David" w:cs="David" w:hint="cs"/>
          <w:szCs w:val="24"/>
          <w:rtl/>
        </w:rPr>
        <w:t>י</w:t>
      </w:r>
      <w:r w:rsidRPr="00BD2033">
        <w:rPr>
          <w:rFonts w:ascii="David" w:hAnsi="David" w:cs="David"/>
          <w:szCs w:val="24"/>
          <w:rtl/>
        </w:rPr>
        <w:t xml:space="preserve"> כי דינן להידחות. </w:t>
      </w:r>
    </w:p>
    <w:p w14:paraId="278250B0" w14:textId="77777777" w:rsidR="00341F8B" w:rsidRPr="003E5108" w:rsidRDefault="00341F8B" w:rsidP="00341F8B">
      <w:pPr>
        <w:pStyle w:val="a9"/>
        <w:spacing w:after="120" w:line="360" w:lineRule="auto"/>
        <w:ind w:left="368"/>
        <w:contextualSpacing w:val="0"/>
        <w:jc w:val="both"/>
        <w:rPr>
          <w:rFonts w:ascii="David" w:hAnsi="David" w:cs="David"/>
          <w:szCs w:val="24"/>
          <w:u w:val="single"/>
        </w:rPr>
      </w:pPr>
      <w:r w:rsidRPr="003E5108">
        <w:rPr>
          <w:rFonts w:ascii="David" w:hAnsi="David" w:cs="David"/>
          <w:szCs w:val="24"/>
          <w:u w:val="single"/>
          <w:rtl/>
        </w:rPr>
        <w:t>דיון</w:t>
      </w:r>
    </w:p>
    <w:p w14:paraId="4D5E42A8" w14:textId="77777777" w:rsidR="00341F8B" w:rsidRPr="003E5108" w:rsidRDefault="00341F8B" w:rsidP="00341F8B">
      <w:pPr>
        <w:pStyle w:val="a9"/>
        <w:spacing w:after="120" w:line="360" w:lineRule="auto"/>
        <w:ind w:left="368"/>
        <w:contextualSpacing w:val="0"/>
        <w:jc w:val="both"/>
        <w:rPr>
          <w:rFonts w:ascii="David" w:hAnsi="David" w:cs="David"/>
          <w:szCs w:val="24"/>
          <w:u w:val="single"/>
          <w:rtl/>
        </w:rPr>
      </w:pPr>
      <w:r w:rsidRPr="003E5108">
        <w:rPr>
          <w:rFonts w:ascii="David" w:hAnsi="David" w:cs="David"/>
          <w:szCs w:val="24"/>
          <w:u w:val="single"/>
          <w:rtl/>
        </w:rPr>
        <w:t>מתחם העונש ההולם לעבירות רצח וניסיון רצח ועבירות בנשק</w:t>
      </w:r>
    </w:p>
    <w:p w14:paraId="34301540" w14:textId="77777777" w:rsidR="00341F8B" w:rsidRPr="003E5108" w:rsidRDefault="00341F8B" w:rsidP="00341F8B">
      <w:pPr>
        <w:pStyle w:val="a9"/>
        <w:numPr>
          <w:ilvl w:val="0"/>
          <w:numId w:val="1"/>
        </w:numPr>
        <w:spacing w:after="120" w:line="360" w:lineRule="auto"/>
        <w:ind w:left="368"/>
        <w:contextualSpacing w:val="0"/>
        <w:jc w:val="both"/>
        <w:outlineLvl w:val="0"/>
        <w:rPr>
          <w:rFonts w:ascii="David" w:hAnsi="David" w:cs="David"/>
          <w:szCs w:val="24"/>
        </w:rPr>
      </w:pPr>
      <w:r w:rsidRPr="003E5108">
        <w:rPr>
          <w:rFonts w:ascii="David" w:hAnsi="David" w:cs="David"/>
          <w:szCs w:val="24"/>
          <w:rtl/>
        </w:rPr>
        <w:t>על פי הכרעת הדין הנאשם הגיע לזירת האירוע עם אקדח ובתוכו מחסנית עם כדורים,</w:t>
      </w:r>
      <w:r w:rsidRPr="003E5108">
        <w:rPr>
          <w:rFonts w:ascii="David" w:hAnsi="David" w:cs="David" w:hint="cs"/>
          <w:szCs w:val="24"/>
          <w:rtl/>
        </w:rPr>
        <w:t xml:space="preserve"> </w:t>
      </w:r>
      <w:r>
        <w:rPr>
          <w:rFonts w:ascii="David" w:hAnsi="David" w:cs="David" w:hint="cs"/>
          <w:szCs w:val="24"/>
          <w:rtl/>
        </w:rPr>
        <w:t>4</w:t>
      </w:r>
      <w:r w:rsidRPr="003E5108">
        <w:rPr>
          <w:rFonts w:ascii="David" w:hAnsi="David" w:cs="David"/>
          <w:szCs w:val="24"/>
          <w:rtl/>
        </w:rPr>
        <w:t>3</w:t>
      </w:r>
      <w:r>
        <w:rPr>
          <w:rFonts w:ascii="David" w:hAnsi="David" w:cs="David" w:hint="cs"/>
          <w:szCs w:val="24"/>
          <w:rtl/>
        </w:rPr>
        <w:t xml:space="preserve"> </w:t>
      </w:r>
      <w:r w:rsidRPr="003E5108">
        <w:rPr>
          <w:rFonts w:ascii="David" w:hAnsi="David" w:cs="David"/>
          <w:szCs w:val="24"/>
          <w:rtl/>
        </w:rPr>
        <w:t xml:space="preserve">שניות לאחר הגעתו ירה הנאשם במנוח ממרחק קצר מאוד וגרם למותו, בגין מעשה זה הורשע הנאשם ברצח, העונש הקבוע בחוק </w:t>
      </w:r>
      <w:r w:rsidRPr="003E5108">
        <w:rPr>
          <w:rFonts w:ascii="David" w:hAnsi="David" w:cs="David" w:hint="cs"/>
          <w:szCs w:val="24"/>
          <w:rtl/>
        </w:rPr>
        <w:t xml:space="preserve">לעבירה זו </w:t>
      </w:r>
      <w:r w:rsidRPr="003E5108">
        <w:rPr>
          <w:rFonts w:ascii="David" w:hAnsi="David" w:cs="David"/>
          <w:szCs w:val="24"/>
          <w:rtl/>
        </w:rPr>
        <w:t xml:space="preserve">הוא מאסר עולם חובה. </w:t>
      </w:r>
    </w:p>
    <w:p w14:paraId="33AC1982" w14:textId="77777777" w:rsidR="00341F8B" w:rsidRPr="003E5108" w:rsidRDefault="00341F8B" w:rsidP="00341F8B">
      <w:pPr>
        <w:pStyle w:val="a9"/>
        <w:spacing w:after="120" w:line="360" w:lineRule="auto"/>
        <w:ind w:left="368"/>
        <w:contextualSpacing w:val="0"/>
        <w:jc w:val="both"/>
        <w:outlineLvl w:val="0"/>
        <w:rPr>
          <w:rFonts w:ascii="David" w:hAnsi="David" w:cs="David"/>
          <w:szCs w:val="24"/>
          <w:rtl/>
        </w:rPr>
      </w:pPr>
      <w:r w:rsidRPr="003E5108">
        <w:rPr>
          <w:rFonts w:ascii="David" w:hAnsi="David" w:cs="David"/>
          <w:szCs w:val="24"/>
          <w:rtl/>
        </w:rPr>
        <w:t xml:space="preserve">מיד לאחר מכן, הנאשם רדף אחרי ראזי בנו של המנוח שנמלט מהמקום, כשאקדחו שלוף בידו ומכוון לגבו של ראזי מתוך כוונה לרצוח אותו מבלי שהנאשם הספיק לירות לעברו. </w:t>
      </w:r>
    </w:p>
    <w:p w14:paraId="6C5B6139" w14:textId="77777777" w:rsidR="00341F8B" w:rsidRPr="00E77302" w:rsidRDefault="00341F8B" w:rsidP="00341F8B">
      <w:pPr>
        <w:spacing w:after="120" w:line="360" w:lineRule="auto"/>
        <w:jc w:val="both"/>
        <w:outlineLvl w:val="0"/>
        <w:rPr>
          <w:rFonts w:ascii="David" w:hAnsi="David"/>
          <w:sz w:val="8"/>
          <w:szCs w:val="8"/>
          <w:rtl/>
        </w:rPr>
      </w:pPr>
    </w:p>
    <w:p w14:paraId="08ADAF1D" w14:textId="77777777" w:rsidR="00341F8B" w:rsidRPr="003E5108" w:rsidRDefault="00341F8B" w:rsidP="00341F8B">
      <w:pPr>
        <w:pStyle w:val="a9"/>
        <w:numPr>
          <w:ilvl w:val="0"/>
          <w:numId w:val="1"/>
        </w:numPr>
        <w:spacing w:after="120" w:line="360" w:lineRule="auto"/>
        <w:ind w:left="368"/>
        <w:contextualSpacing w:val="0"/>
        <w:jc w:val="both"/>
        <w:outlineLvl w:val="0"/>
        <w:rPr>
          <w:rFonts w:ascii="David" w:hAnsi="David" w:cs="David"/>
          <w:szCs w:val="24"/>
        </w:rPr>
      </w:pPr>
      <w:r w:rsidRPr="003E5108">
        <w:rPr>
          <w:rFonts w:ascii="David" w:hAnsi="David" w:cs="David"/>
          <w:szCs w:val="24"/>
          <w:rtl/>
        </w:rPr>
        <w:t>על פי העדויות והראיות אציע לחבריי לקבוע מתחם עונש הולם אחד לאירוע הכולל</w:t>
      </w:r>
      <w:r>
        <w:rPr>
          <w:rFonts w:ascii="David" w:hAnsi="David" w:cs="David" w:hint="cs"/>
          <w:szCs w:val="24"/>
          <w:rtl/>
        </w:rPr>
        <w:t xml:space="preserve">. </w:t>
      </w:r>
      <w:r w:rsidRPr="003E5108">
        <w:rPr>
          <w:rFonts w:ascii="David" w:hAnsi="David" w:cs="David"/>
          <w:szCs w:val="24"/>
          <w:rtl/>
        </w:rPr>
        <w:t xml:space="preserve">בעת קביעת המתחם אתייחס לעובדה כי האירוע התפצל לשני  מעשים. ראו לעניין זה </w:t>
      </w:r>
      <w:hyperlink r:id="rId74" w:history="1">
        <w:r w:rsidR="00D85E6C" w:rsidRPr="00D85E6C">
          <w:rPr>
            <w:rFonts w:ascii="David" w:hAnsi="David" w:cs="David"/>
            <w:color w:val="0000FF"/>
            <w:szCs w:val="24"/>
            <w:u w:val="single"/>
            <w:rtl/>
          </w:rPr>
          <w:t>ע"פ 8686/15</w:t>
        </w:r>
      </w:hyperlink>
      <w:r w:rsidRPr="003E5108">
        <w:rPr>
          <w:rFonts w:ascii="David" w:hAnsi="David" w:cs="David"/>
          <w:szCs w:val="24"/>
          <w:rtl/>
        </w:rPr>
        <w:t xml:space="preserve"> </w:t>
      </w:r>
      <w:r w:rsidRPr="003E5108">
        <w:rPr>
          <w:rFonts w:ascii="David" w:hAnsi="David" w:cs="David"/>
          <w:b/>
          <w:bCs/>
          <w:szCs w:val="24"/>
          <w:rtl/>
        </w:rPr>
        <w:t>גריבוב נגד מדינת ישראל</w:t>
      </w:r>
      <w:r w:rsidRPr="003E5108">
        <w:rPr>
          <w:rFonts w:ascii="David" w:hAnsi="David" w:cs="David"/>
          <w:szCs w:val="24"/>
          <w:rtl/>
        </w:rPr>
        <w:t xml:space="preserve"> (3.10.2017), באותו מקרה דובר על רצח לאחר שוד של המנוח שנדון בפנינו ובית המשפט העליון </w:t>
      </w:r>
      <w:r w:rsidRPr="003E5108">
        <w:rPr>
          <w:rFonts w:ascii="David" w:hAnsi="David" w:cs="David" w:hint="cs"/>
          <w:szCs w:val="24"/>
          <w:rtl/>
        </w:rPr>
        <w:t xml:space="preserve">אישר </w:t>
      </w:r>
      <w:r w:rsidRPr="003E5108">
        <w:rPr>
          <w:rFonts w:ascii="David" w:hAnsi="David" w:cs="David"/>
          <w:szCs w:val="24"/>
          <w:rtl/>
        </w:rPr>
        <w:t>את הדרך בה קבענו את המתחם</w:t>
      </w:r>
      <w:r w:rsidRPr="003E5108">
        <w:rPr>
          <w:rFonts w:ascii="David" w:hAnsi="David" w:cs="David" w:hint="cs"/>
          <w:szCs w:val="24"/>
          <w:rtl/>
        </w:rPr>
        <w:t>, דהיינו מתחם הכולל עונש של מאסר עולם בגין עבירת הרצח אליו מתווסף מתחם העונש בגין העבירות הנלוות.</w:t>
      </w:r>
    </w:p>
    <w:p w14:paraId="0A239220" w14:textId="77777777" w:rsidR="00341F8B" w:rsidRPr="005F7E81" w:rsidRDefault="00341F8B" w:rsidP="00341F8B">
      <w:pPr>
        <w:pStyle w:val="a9"/>
        <w:spacing w:after="120" w:line="360" w:lineRule="auto"/>
        <w:ind w:left="368"/>
        <w:contextualSpacing w:val="0"/>
        <w:jc w:val="both"/>
        <w:outlineLvl w:val="0"/>
        <w:rPr>
          <w:rFonts w:ascii="David" w:hAnsi="David" w:cs="David"/>
          <w:sz w:val="10"/>
          <w:szCs w:val="10"/>
        </w:rPr>
      </w:pPr>
    </w:p>
    <w:p w14:paraId="11A99E02" w14:textId="77777777" w:rsidR="00341F8B" w:rsidRPr="003E5108" w:rsidRDefault="00341F8B" w:rsidP="00341F8B">
      <w:pPr>
        <w:pStyle w:val="a9"/>
        <w:numPr>
          <w:ilvl w:val="0"/>
          <w:numId w:val="1"/>
        </w:numPr>
        <w:spacing w:after="120" w:line="360" w:lineRule="auto"/>
        <w:ind w:left="368"/>
        <w:contextualSpacing w:val="0"/>
        <w:jc w:val="both"/>
        <w:outlineLvl w:val="0"/>
        <w:rPr>
          <w:rFonts w:ascii="David" w:hAnsi="David" w:cs="David"/>
          <w:szCs w:val="24"/>
        </w:rPr>
      </w:pPr>
      <w:r w:rsidRPr="003E5108">
        <w:rPr>
          <w:rFonts w:ascii="David" w:hAnsi="David" w:cs="David"/>
          <w:szCs w:val="24"/>
          <w:rtl/>
        </w:rPr>
        <w:t>כחלק ממסכת עבריינית אחת, הנאשם ירה למוות במנוח ומיד רדף אחרי בנו כדי להמיתו. למרות שמדובר במעשים שונים; ביחס לקורבנות שונים; ובמקומות שונים, לאור סמיכות הזמנים, והיות המעשים חלק מאותה תכנית עבריינית, ניתן לראות את הקשר הדוק ביניהם ואת עובדת היותן מסכת עבריינית אחת.</w:t>
      </w:r>
    </w:p>
    <w:p w14:paraId="331F7809" w14:textId="77777777" w:rsidR="00341F8B" w:rsidRPr="003E5108" w:rsidRDefault="00341F8B" w:rsidP="00341F8B">
      <w:pPr>
        <w:pStyle w:val="a9"/>
        <w:spacing w:after="120" w:line="360" w:lineRule="auto"/>
        <w:ind w:left="368"/>
        <w:contextualSpacing w:val="0"/>
        <w:jc w:val="both"/>
        <w:outlineLvl w:val="0"/>
        <w:rPr>
          <w:rFonts w:ascii="David" w:hAnsi="David" w:cs="David"/>
          <w:szCs w:val="24"/>
          <w:rtl/>
        </w:rPr>
      </w:pPr>
      <w:r w:rsidRPr="003E5108">
        <w:rPr>
          <w:rFonts w:ascii="David" w:hAnsi="David" w:cs="David"/>
          <w:szCs w:val="24"/>
          <w:rtl/>
        </w:rPr>
        <w:t xml:space="preserve">אין מניעה לקבוע מתחם במקרה זה שקצהו </w:t>
      </w:r>
      <w:r w:rsidRPr="003E5108">
        <w:rPr>
          <w:rFonts w:ascii="David" w:hAnsi="David" w:cs="David" w:hint="cs"/>
          <w:szCs w:val="24"/>
          <w:rtl/>
        </w:rPr>
        <w:t>ה</w:t>
      </w:r>
      <w:r w:rsidRPr="003E5108">
        <w:rPr>
          <w:rFonts w:ascii="David" w:hAnsi="David" w:cs="David"/>
          <w:szCs w:val="24"/>
          <w:rtl/>
        </w:rPr>
        <w:t>תחתון הוא מאסר עולם, בשל היותו מאסר עולם כעונש חובה, הקצה העליון של המתחם ייקבע לפי מרכיבי תיקון 113 ל</w:t>
      </w:r>
      <w:hyperlink r:id="rId75"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לרבות הענישה הראויה באשר לעבירות האחרות. </w:t>
      </w:r>
    </w:p>
    <w:p w14:paraId="594CCBC8" w14:textId="77777777" w:rsidR="00341F8B" w:rsidRPr="005F7E81" w:rsidRDefault="00341F8B" w:rsidP="00341F8B">
      <w:pPr>
        <w:pStyle w:val="a9"/>
        <w:spacing w:after="120"/>
        <w:ind w:left="368"/>
        <w:contextualSpacing w:val="0"/>
        <w:jc w:val="both"/>
        <w:outlineLvl w:val="0"/>
        <w:rPr>
          <w:rFonts w:ascii="David" w:hAnsi="David" w:cs="David"/>
          <w:sz w:val="10"/>
          <w:szCs w:val="10"/>
          <w:rtl/>
        </w:rPr>
      </w:pPr>
    </w:p>
    <w:p w14:paraId="7232A1AD" w14:textId="77777777" w:rsidR="00341F8B" w:rsidRPr="003E5108" w:rsidRDefault="00341F8B" w:rsidP="00341F8B">
      <w:pPr>
        <w:pStyle w:val="a9"/>
        <w:spacing w:after="120" w:line="360" w:lineRule="auto"/>
        <w:ind w:left="368"/>
        <w:contextualSpacing w:val="0"/>
        <w:jc w:val="both"/>
        <w:outlineLvl w:val="0"/>
        <w:rPr>
          <w:rFonts w:ascii="David" w:hAnsi="David" w:cs="David"/>
          <w:szCs w:val="24"/>
          <w:rtl/>
        </w:rPr>
      </w:pPr>
      <w:r w:rsidRPr="003E5108">
        <w:rPr>
          <w:rFonts w:ascii="David" w:hAnsi="David" w:cs="David"/>
          <w:szCs w:val="24"/>
          <w:rtl/>
        </w:rPr>
        <w:t>במקרה שלנו יש לזכור בעת קביעת קצהו העליון של המתחם</w:t>
      </w:r>
      <w:r>
        <w:rPr>
          <w:rFonts w:ascii="David" w:hAnsi="David" w:cs="David" w:hint="cs"/>
          <w:szCs w:val="24"/>
          <w:rtl/>
        </w:rPr>
        <w:t>,</w:t>
      </w:r>
      <w:r w:rsidRPr="003E5108">
        <w:rPr>
          <w:rFonts w:ascii="David" w:hAnsi="David" w:cs="David"/>
          <w:szCs w:val="24"/>
          <w:rtl/>
        </w:rPr>
        <w:t xml:space="preserve"> כי העונש </w:t>
      </w:r>
      <w:r w:rsidRPr="003E5108">
        <w:rPr>
          <w:rFonts w:ascii="David" w:hAnsi="David" w:cs="David" w:hint="cs"/>
          <w:szCs w:val="24"/>
          <w:rtl/>
        </w:rPr>
        <w:t>ה</w:t>
      </w:r>
      <w:r w:rsidRPr="003E5108">
        <w:rPr>
          <w:rFonts w:ascii="David" w:hAnsi="David" w:cs="David"/>
          <w:szCs w:val="24"/>
          <w:rtl/>
        </w:rPr>
        <w:t>מרבי בגין עבירה של ניסיון רצח עומד על 20 שנות מאסר (</w:t>
      </w:r>
      <w:hyperlink r:id="rId76" w:history="1">
        <w:r w:rsidR="00080112" w:rsidRPr="00080112">
          <w:rPr>
            <w:rStyle w:val="Hyperlink"/>
            <w:rFonts w:ascii="David" w:hAnsi="David" w:cs="David"/>
            <w:color w:val="0000FF"/>
            <w:szCs w:val="24"/>
            <w:rtl/>
          </w:rPr>
          <w:t>סעיף 305(1)</w:t>
        </w:r>
      </w:hyperlink>
      <w:r w:rsidRPr="003E5108">
        <w:rPr>
          <w:rFonts w:ascii="David" w:hAnsi="David" w:cs="David"/>
          <w:szCs w:val="24"/>
          <w:rtl/>
        </w:rPr>
        <w:t xml:space="preserve"> ל</w:t>
      </w:r>
      <w:hyperlink r:id="rId77" w:history="1">
        <w:r w:rsidR="00D85E6C" w:rsidRPr="00D85E6C">
          <w:rPr>
            <w:rFonts w:ascii="David" w:hAnsi="David" w:cs="David"/>
            <w:color w:val="0000FF"/>
            <w:szCs w:val="24"/>
            <w:u w:val="single"/>
            <w:rtl/>
          </w:rPr>
          <w:t>חוק העונשין</w:t>
        </w:r>
      </w:hyperlink>
      <w:r w:rsidRPr="003E5108">
        <w:rPr>
          <w:rFonts w:ascii="David" w:hAnsi="David" w:cs="David"/>
          <w:szCs w:val="24"/>
          <w:rtl/>
        </w:rPr>
        <w:t xml:space="preserve">), </w:t>
      </w:r>
      <w:r>
        <w:rPr>
          <w:rFonts w:ascii="David" w:hAnsi="David" w:cs="David" w:hint="cs"/>
          <w:szCs w:val="24"/>
          <w:rtl/>
        </w:rPr>
        <w:t>ו</w:t>
      </w:r>
      <w:r w:rsidRPr="003E5108">
        <w:rPr>
          <w:rFonts w:ascii="David" w:hAnsi="David" w:cs="David"/>
          <w:szCs w:val="24"/>
          <w:rtl/>
        </w:rPr>
        <w:t>העבירות בנשק יילקחו בחשבון אף הן בעת קביעת קצהו העליון של המתחם.</w:t>
      </w:r>
    </w:p>
    <w:p w14:paraId="1B716AE0" w14:textId="77777777" w:rsidR="00341F8B" w:rsidRPr="005F7E81" w:rsidRDefault="00341F8B" w:rsidP="00341F8B">
      <w:pPr>
        <w:pStyle w:val="a9"/>
        <w:spacing w:after="120"/>
        <w:ind w:left="368"/>
        <w:contextualSpacing w:val="0"/>
        <w:jc w:val="both"/>
        <w:outlineLvl w:val="0"/>
        <w:rPr>
          <w:rFonts w:ascii="David" w:hAnsi="David" w:cs="David"/>
          <w:sz w:val="10"/>
          <w:szCs w:val="10"/>
          <w:rtl/>
        </w:rPr>
      </w:pPr>
    </w:p>
    <w:p w14:paraId="691DE51F" w14:textId="77777777" w:rsidR="00341F8B" w:rsidRPr="003E5108" w:rsidRDefault="00341F8B" w:rsidP="00341F8B">
      <w:pPr>
        <w:pStyle w:val="a9"/>
        <w:spacing w:after="120"/>
        <w:ind w:left="368"/>
        <w:contextualSpacing w:val="0"/>
        <w:jc w:val="both"/>
        <w:outlineLvl w:val="0"/>
        <w:rPr>
          <w:rFonts w:ascii="David" w:hAnsi="David" w:cs="David"/>
          <w:szCs w:val="24"/>
          <w:rtl/>
        </w:rPr>
      </w:pPr>
      <w:r w:rsidRPr="003E5108">
        <w:rPr>
          <w:rFonts w:ascii="David" w:hAnsi="David" w:cs="David"/>
          <w:szCs w:val="24"/>
          <w:rtl/>
        </w:rPr>
        <w:t>במקרה זה נפגעו פגיעה קשה מאוד הערכים של קדושת החיים, כבוד האדם ובטחונו.</w:t>
      </w:r>
    </w:p>
    <w:p w14:paraId="3AEBB69F" w14:textId="77777777" w:rsidR="00341F8B" w:rsidRPr="005F7E81" w:rsidRDefault="00341F8B" w:rsidP="00341F8B">
      <w:pPr>
        <w:pStyle w:val="a9"/>
        <w:spacing w:after="120"/>
        <w:ind w:left="368"/>
        <w:contextualSpacing w:val="0"/>
        <w:jc w:val="both"/>
        <w:outlineLvl w:val="0"/>
        <w:rPr>
          <w:rFonts w:ascii="David" w:hAnsi="David" w:cs="David"/>
          <w:sz w:val="12"/>
          <w:szCs w:val="12"/>
          <w:rtl/>
        </w:rPr>
      </w:pPr>
    </w:p>
    <w:p w14:paraId="7FC9BBDD" w14:textId="77777777" w:rsidR="00341F8B" w:rsidRPr="003E5108" w:rsidRDefault="00341F8B" w:rsidP="00341F8B">
      <w:pPr>
        <w:pStyle w:val="a9"/>
        <w:spacing w:after="120" w:line="360" w:lineRule="auto"/>
        <w:ind w:left="368"/>
        <w:contextualSpacing w:val="0"/>
        <w:jc w:val="both"/>
        <w:outlineLvl w:val="0"/>
        <w:rPr>
          <w:rFonts w:ascii="David" w:hAnsi="David" w:cs="David"/>
          <w:szCs w:val="24"/>
          <w:rtl/>
        </w:rPr>
      </w:pPr>
      <w:r w:rsidRPr="003E5108">
        <w:rPr>
          <w:rFonts w:ascii="David" w:hAnsi="David" w:cs="David"/>
          <w:szCs w:val="24"/>
          <w:rtl/>
        </w:rPr>
        <w:t xml:space="preserve">אשר למדיניות הענישה אקדים ואזכיר כי המחוקק קבע </w:t>
      </w:r>
      <w:hyperlink r:id="rId78" w:history="1">
        <w:r w:rsidR="00080112" w:rsidRPr="00080112">
          <w:rPr>
            <w:rStyle w:val="Hyperlink"/>
            <w:rFonts w:ascii="David" w:hAnsi="David" w:cs="David"/>
            <w:color w:val="0000FF"/>
            <w:szCs w:val="24"/>
            <w:rtl/>
          </w:rPr>
          <w:t>בסעיף 34ד</w:t>
        </w:r>
      </w:hyperlink>
      <w:r w:rsidRPr="003E5108">
        <w:rPr>
          <w:rFonts w:ascii="David" w:hAnsi="David" w:cs="David"/>
          <w:szCs w:val="24"/>
          <w:rtl/>
        </w:rPr>
        <w:t xml:space="preserve"> לחוק, כי כל דין החל על הביצוע העיקרי של העבירה המושלמת, חל גם על ניסיון והעובדה כי בנו של המנוח הצליח להימלט, אינה יכולה להיזקף לזכותו של הנאשם וכפי שקבענו ברוב דעות הנאשם התכוון לרצוח את ראזי</w:t>
      </w:r>
      <w:r w:rsidRPr="003E5108">
        <w:rPr>
          <w:rFonts w:ascii="David" w:hAnsi="David" w:cs="David" w:hint="cs"/>
          <w:szCs w:val="24"/>
          <w:rtl/>
        </w:rPr>
        <w:t xml:space="preserve">. ראו לעניין זה את פסק דינו של </w:t>
      </w:r>
      <w:r w:rsidRPr="003E5108">
        <w:rPr>
          <w:rFonts w:ascii="David" w:hAnsi="David" w:cs="David"/>
          <w:szCs w:val="24"/>
          <w:rtl/>
        </w:rPr>
        <w:t>כבוד</w:t>
      </w:r>
      <w:r>
        <w:rPr>
          <w:rFonts w:ascii="David" w:hAnsi="David" w:cs="David"/>
          <w:szCs w:val="24"/>
          <w:rtl/>
        </w:rPr>
        <w:t xml:space="preserve"> השופט ס' ג'ובראן ב</w:t>
      </w:r>
      <w:hyperlink r:id="rId79" w:history="1">
        <w:r w:rsidR="00D85E6C" w:rsidRPr="00D85E6C">
          <w:rPr>
            <w:rFonts w:ascii="David" w:hAnsi="David" w:cs="David"/>
            <w:color w:val="0000FF"/>
            <w:szCs w:val="24"/>
            <w:u w:val="single"/>
            <w:rtl/>
          </w:rPr>
          <w:t>רע"פ 4194/12</w:t>
        </w:r>
      </w:hyperlink>
      <w:r>
        <w:rPr>
          <w:rFonts w:ascii="David" w:hAnsi="David" w:cs="David" w:hint="cs"/>
          <w:szCs w:val="24"/>
          <w:rtl/>
        </w:rPr>
        <w:t xml:space="preserve"> </w:t>
      </w:r>
      <w:r w:rsidRPr="00F4456A">
        <w:rPr>
          <w:rFonts w:ascii="David" w:hAnsi="David" w:cs="David"/>
          <w:b/>
          <w:bCs/>
          <w:szCs w:val="24"/>
          <w:rtl/>
        </w:rPr>
        <w:t>ציאש נגד מדינת ישראל</w:t>
      </w:r>
      <w:r w:rsidRPr="003E5108">
        <w:rPr>
          <w:rFonts w:ascii="David" w:hAnsi="David" w:cs="David"/>
          <w:szCs w:val="24"/>
          <w:rtl/>
        </w:rPr>
        <w:t xml:space="preserve"> (19.8.2012)</w:t>
      </w:r>
      <w:r w:rsidRPr="00F4456A">
        <w:rPr>
          <w:rFonts w:ascii="David" w:hAnsi="David" w:cs="David" w:hint="cs"/>
          <w:szCs w:val="24"/>
          <w:rtl/>
        </w:rPr>
        <w:t>:</w:t>
      </w:r>
    </w:p>
    <w:p w14:paraId="7938FFC6" w14:textId="77777777" w:rsidR="00341F8B" w:rsidRPr="003E5108" w:rsidRDefault="00341F8B" w:rsidP="00341F8B">
      <w:pPr>
        <w:pStyle w:val="a9"/>
        <w:spacing w:after="120" w:line="360" w:lineRule="auto"/>
        <w:ind w:right="567" w:firstLine="60"/>
        <w:contextualSpacing w:val="0"/>
        <w:jc w:val="both"/>
        <w:outlineLvl w:val="0"/>
        <w:rPr>
          <w:rFonts w:ascii="David" w:hAnsi="David" w:cs="David"/>
          <w:szCs w:val="24"/>
          <w:rtl/>
        </w:rPr>
      </w:pPr>
      <w:r w:rsidRPr="003E5108">
        <w:rPr>
          <w:rFonts w:ascii="David" w:hAnsi="David" w:cs="David"/>
          <w:szCs w:val="24"/>
          <w:rtl/>
        </w:rPr>
        <w:t>"אומנם כשבעבירת ניסיון עסקינן, אזי הדבר יקבל ביטוי בגזר הדין, אך עם זאת אין מקום לתגמל באופן משמעותי נאשם שלא הצליח להשלים את המעשה העברייני בשל נסיבות חיצוניות שאלמלא התרחשותן הוא היה ממשיך במעשיו".</w:t>
      </w:r>
    </w:p>
    <w:p w14:paraId="1AB93DC0" w14:textId="77777777" w:rsidR="00341F8B" w:rsidRPr="003E5108" w:rsidRDefault="00341F8B" w:rsidP="00341F8B">
      <w:pPr>
        <w:pStyle w:val="a9"/>
        <w:spacing w:after="120"/>
        <w:ind w:right="567" w:firstLine="60"/>
        <w:contextualSpacing w:val="0"/>
        <w:jc w:val="both"/>
        <w:outlineLvl w:val="0"/>
        <w:rPr>
          <w:rFonts w:ascii="David" w:hAnsi="David" w:cs="David"/>
          <w:szCs w:val="24"/>
          <w:rtl/>
        </w:rPr>
      </w:pPr>
    </w:p>
    <w:p w14:paraId="4F82BB1A" w14:textId="77777777" w:rsidR="00341F8B" w:rsidRPr="003E5108" w:rsidRDefault="00341F8B" w:rsidP="00341F8B">
      <w:pPr>
        <w:pStyle w:val="a9"/>
        <w:spacing w:after="120" w:line="360" w:lineRule="auto"/>
        <w:ind w:left="509"/>
        <w:contextualSpacing w:val="0"/>
        <w:jc w:val="both"/>
        <w:outlineLvl w:val="0"/>
        <w:rPr>
          <w:rFonts w:ascii="David" w:hAnsi="David" w:cs="David"/>
          <w:szCs w:val="24"/>
        </w:rPr>
      </w:pPr>
      <w:r w:rsidRPr="003E5108">
        <w:rPr>
          <w:rFonts w:ascii="David" w:hAnsi="David" w:cs="David" w:hint="cs"/>
          <w:szCs w:val="24"/>
          <w:rtl/>
        </w:rPr>
        <w:t>ב</w:t>
      </w:r>
      <w:r w:rsidRPr="003E5108">
        <w:rPr>
          <w:rFonts w:ascii="David" w:hAnsi="David" w:cs="David"/>
          <w:szCs w:val="24"/>
          <w:rtl/>
        </w:rPr>
        <w:t xml:space="preserve">ע"פ 3035/15 </w:t>
      </w:r>
      <w:r w:rsidRPr="003E5108">
        <w:rPr>
          <w:rFonts w:ascii="David" w:hAnsi="David" w:cs="David"/>
          <w:b/>
          <w:bCs/>
          <w:szCs w:val="24"/>
          <w:rtl/>
        </w:rPr>
        <w:t>מוגרבי נגד מדינת ישראל</w:t>
      </w:r>
      <w:r w:rsidRPr="003E5108">
        <w:rPr>
          <w:rFonts w:ascii="David" w:hAnsi="David" w:cs="David"/>
          <w:szCs w:val="24"/>
          <w:rtl/>
        </w:rPr>
        <w:t xml:space="preserve"> (9.4.2016) נדחה ערעורו של נאשם שנדון ל-10 שנות מאסר כחלק ממתחם שנע בין 8 ל-14 שנות מאסר, בגין ניסיון לרצח באמצעות יריות וכך נקבע באותו מקרה:</w:t>
      </w:r>
    </w:p>
    <w:p w14:paraId="6550B1CE" w14:textId="77777777" w:rsidR="00341F8B" w:rsidRPr="003E5108" w:rsidRDefault="00341F8B" w:rsidP="00341F8B">
      <w:pPr>
        <w:pStyle w:val="a9"/>
        <w:spacing w:after="120" w:line="360" w:lineRule="auto"/>
        <w:ind w:right="567"/>
        <w:contextualSpacing w:val="0"/>
        <w:jc w:val="both"/>
        <w:outlineLvl w:val="0"/>
        <w:rPr>
          <w:rFonts w:ascii="David" w:hAnsi="David" w:cs="David"/>
          <w:szCs w:val="24"/>
          <w:rtl/>
        </w:rPr>
      </w:pPr>
      <w:r w:rsidRPr="003E5108">
        <w:rPr>
          <w:rFonts w:ascii="David" w:hAnsi="David" w:cs="David"/>
          <w:szCs w:val="24"/>
          <w:rtl/>
        </w:rPr>
        <w:t>"עבירת הניסיון לרצח היא מהחמורות שבספר החוקים, כאשר הערך המוגן בה הינו הערך העליון של קדושת חיי אדם, וגלומים בה היסוד הנפשי של כוונת קטילה והפוטנציאל לקיפוח חייו של אדם, אשר ממחישים היטב את חומרתה</w:t>
      </w:r>
      <w:r>
        <w:rPr>
          <w:rFonts w:ascii="David" w:hAnsi="David" w:cs="David" w:hint="cs"/>
          <w:szCs w:val="24"/>
          <w:rtl/>
        </w:rPr>
        <w:t xml:space="preserve"> </w:t>
      </w:r>
      <w:r w:rsidRPr="003E5108">
        <w:rPr>
          <w:rFonts w:ascii="David" w:hAnsi="David" w:cs="David"/>
          <w:szCs w:val="24"/>
          <w:rtl/>
        </w:rPr>
        <w:t>...</w:t>
      </w:r>
      <w:r w:rsidRPr="003E5108">
        <w:rPr>
          <w:rFonts w:ascii="David" w:hAnsi="David" w:cs="David"/>
          <w:color w:val="000000"/>
          <w:szCs w:val="24"/>
          <w:rtl/>
        </w:rPr>
        <w:t xml:space="preserve"> לא בכדי קבוע </w:t>
      </w:r>
      <w:r w:rsidRPr="003E5108">
        <w:rPr>
          <w:rFonts w:ascii="David" w:hAnsi="David" w:cs="David"/>
          <w:szCs w:val="24"/>
          <w:rtl/>
        </w:rPr>
        <w:t>בצידה של עבירת הניסיון לרצח עונש של 20 שנות מאסר. לפיכך</w:t>
      </w:r>
      <w:r w:rsidRPr="003E5108">
        <w:rPr>
          <w:rFonts w:ascii="David" w:hAnsi="David" w:cs="David"/>
          <w:color w:val="000000"/>
          <w:szCs w:val="24"/>
          <w:rtl/>
        </w:rPr>
        <w:t xml:space="preserve">, נקבע לא אחת כי </w:t>
      </w:r>
      <w:r w:rsidRPr="003E5108">
        <w:rPr>
          <w:rFonts w:ascii="David" w:hAnsi="David" w:cs="David"/>
          <w:szCs w:val="24"/>
          <w:rtl/>
        </w:rPr>
        <w:t>מדיניות הענישה בעבירת הניסיון לרצח מחייבת גישה מחמירה, באופן ההולם את חומרת הפגיעה בזולת ואת מעמדו של הערך המוגן, וכי בעבירות אלה נתונה הבכורה לשיקולים של גמול והרתעה</w:t>
      </w:r>
      <w:r>
        <w:rPr>
          <w:rFonts w:ascii="David" w:hAnsi="David" w:cs="David" w:hint="cs"/>
          <w:szCs w:val="24"/>
          <w:rtl/>
        </w:rPr>
        <w:t xml:space="preserve"> </w:t>
      </w:r>
      <w:r w:rsidRPr="003E5108">
        <w:rPr>
          <w:rFonts w:ascii="David" w:hAnsi="David" w:cs="David"/>
          <w:szCs w:val="24"/>
          <w:rtl/>
        </w:rPr>
        <w:t xml:space="preserve">... המערער ניסה להביא למותו של המתלונן באמצעות שימוש בנשק חם, כאשר ירה על פלג גופו העליון מספר כדורים מטווח קצר". </w:t>
      </w:r>
    </w:p>
    <w:p w14:paraId="63C2121C" w14:textId="77777777" w:rsidR="00341F8B" w:rsidRPr="003E5108" w:rsidRDefault="00341F8B" w:rsidP="00341F8B">
      <w:pPr>
        <w:pStyle w:val="a9"/>
        <w:spacing w:after="120" w:line="360" w:lineRule="auto"/>
        <w:ind w:right="567"/>
        <w:contextualSpacing w:val="0"/>
        <w:jc w:val="both"/>
        <w:outlineLvl w:val="0"/>
        <w:rPr>
          <w:rFonts w:ascii="David" w:hAnsi="David" w:cs="David"/>
          <w:szCs w:val="24"/>
          <w:rtl/>
        </w:rPr>
      </w:pPr>
    </w:p>
    <w:p w14:paraId="273DBA0E" w14:textId="77777777" w:rsidR="00341F8B" w:rsidRPr="003E5108" w:rsidRDefault="00341F8B" w:rsidP="00341F8B">
      <w:pPr>
        <w:pStyle w:val="a9"/>
        <w:spacing w:after="120" w:line="360" w:lineRule="auto"/>
        <w:ind w:left="368"/>
        <w:contextualSpacing w:val="0"/>
        <w:jc w:val="both"/>
        <w:outlineLvl w:val="0"/>
        <w:rPr>
          <w:rFonts w:ascii="David" w:hAnsi="David" w:cs="David"/>
          <w:szCs w:val="24"/>
        </w:rPr>
      </w:pPr>
      <w:r w:rsidRPr="003E5108">
        <w:rPr>
          <w:rFonts w:ascii="David" w:hAnsi="David" w:cs="David"/>
          <w:szCs w:val="24"/>
          <w:rtl/>
        </w:rPr>
        <w:t>ב</w:t>
      </w:r>
      <w:hyperlink r:id="rId80" w:history="1">
        <w:r w:rsidR="00D85E6C" w:rsidRPr="00D85E6C">
          <w:rPr>
            <w:rFonts w:ascii="David" w:hAnsi="David" w:cs="David"/>
            <w:color w:val="0000FF"/>
            <w:szCs w:val="24"/>
            <w:u w:val="single"/>
            <w:rtl/>
          </w:rPr>
          <w:t>ע"פ 4770/14</w:t>
        </w:r>
      </w:hyperlink>
      <w:r w:rsidRPr="003E5108">
        <w:rPr>
          <w:rFonts w:ascii="David" w:hAnsi="David" w:cs="David"/>
          <w:szCs w:val="24"/>
          <w:rtl/>
        </w:rPr>
        <w:t xml:space="preserve"> </w:t>
      </w:r>
      <w:r w:rsidRPr="003E5108">
        <w:rPr>
          <w:rFonts w:ascii="David" w:hAnsi="David" w:cs="David"/>
          <w:b/>
          <w:bCs/>
          <w:szCs w:val="24"/>
          <w:rtl/>
        </w:rPr>
        <w:t>אגייב נגד מדינת ישראל</w:t>
      </w:r>
      <w:r w:rsidRPr="003E5108">
        <w:rPr>
          <w:rFonts w:ascii="David" w:hAnsi="David" w:cs="David"/>
          <w:szCs w:val="24"/>
          <w:rtl/>
        </w:rPr>
        <w:t xml:space="preserve"> (5.11.2015) נדחה ערעורו של נאשם שנדון ל-8.5 שנות מאסר בפועל כחלק ממתחם שנע בין 7 ל-11 שנות מאסר. </w:t>
      </w:r>
    </w:p>
    <w:p w14:paraId="0617648F" w14:textId="77777777" w:rsidR="00341F8B" w:rsidRPr="003E5108" w:rsidRDefault="00341F8B" w:rsidP="00341F8B">
      <w:pPr>
        <w:spacing w:after="120"/>
        <w:ind w:left="8"/>
        <w:jc w:val="both"/>
        <w:outlineLvl w:val="0"/>
        <w:rPr>
          <w:rFonts w:ascii="David" w:hAnsi="David"/>
          <w:rtl/>
        </w:rPr>
      </w:pPr>
      <w:r w:rsidRPr="003E5108">
        <w:rPr>
          <w:rFonts w:ascii="David" w:hAnsi="David"/>
          <w:rtl/>
        </w:rPr>
        <w:t xml:space="preserve">     </w:t>
      </w:r>
    </w:p>
    <w:p w14:paraId="4A7981A3" w14:textId="77777777" w:rsidR="00341F8B" w:rsidRPr="003E5108" w:rsidRDefault="00341F8B" w:rsidP="00341F8B">
      <w:pPr>
        <w:pStyle w:val="Ruller4"/>
        <w:tabs>
          <w:tab w:val="clear" w:pos="800"/>
        </w:tabs>
        <w:spacing w:after="120"/>
        <w:ind w:left="368"/>
        <w:rPr>
          <w:rFonts w:ascii="David" w:hAnsi="David" w:cs="David"/>
          <w:spacing w:val="0"/>
          <w:sz w:val="24"/>
          <w:szCs w:val="24"/>
          <w:rtl/>
        </w:rPr>
      </w:pPr>
      <w:r w:rsidRPr="003E5108">
        <w:rPr>
          <w:rFonts w:ascii="David" w:hAnsi="David" w:cs="David"/>
          <w:spacing w:val="0"/>
          <w:sz w:val="24"/>
          <w:szCs w:val="24"/>
          <w:rtl/>
        </w:rPr>
        <w:t>ב"כ המאשימה הפנה ל</w:t>
      </w:r>
      <w:hyperlink r:id="rId81" w:history="1">
        <w:r w:rsidR="00D85E6C" w:rsidRPr="00D85E6C">
          <w:rPr>
            <w:rFonts w:ascii="David" w:hAnsi="David" w:cs="David"/>
            <w:color w:val="0000FF"/>
            <w:spacing w:val="0"/>
            <w:sz w:val="24"/>
            <w:szCs w:val="24"/>
            <w:u w:val="single"/>
            <w:rtl/>
          </w:rPr>
          <w:t>תפ"ח 32272-01-10</w:t>
        </w:r>
      </w:hyperlink>
      <w:r w:rsidRPr="003E5108">
        <w:rPr>
          <w:rFonts w:ascii="David" w:hAnsi="David" w:cs="David"/>
          <w:spacing w:val="0"/>
          <w:sz w:val="24"/>
          <w:szCs w:val="24"/>
          <w:rtl/>
        </w:rPr>
        <w:t xml:space="preserve"> </w:t>
      </w:r>
      <w:r w:rsidRPr="003E5108">
        <w:rPr>
          <w:rFonts w:ascii="David" w:hAnsi="David" w:cs="David"/>
          <w:b/>
          <w:bCs/>
          <w:spacing w:val="0"/>
          <w:sz w:val="24"/>
          <w:szCs w:val="24"/>
          <w:rtl/>
        </w:rPr>
        <w:t>מדינת ישראל נגד בשארה</w:t>
      </w:r>
      <w:r w:rsidRPr="003E5108">
        <w:rPr>
          <w:rFonts w:ascii="David" w:hAnsi="David" w:cs="David"/>
          <w:spacing w:val="0"/>
          <w:sz w:val="24"/>
          <w:szCs w:val="24"/>
          <w:rtl/>
        </w:rPr>
        <w:t xml:space="preserve"> (27.3.2011) בו  נדון נאשם ל-6 שנות מאסר בפועל בגין עבירה של ניסיון לרצח. באותו מקרה לחץ הנאשם על ההדק אך בפועל לא נורתה ירייה.</w:t>
      </w:r>
    </w:p>
    <w:p w14:paraId="326F3331" w14:textId="77777777" w:rsidR="00341F8B" w:rsidRPr="003E5108" w:rsidRDefault="00341F8B" w:rsidP="00341F8B">
      <w:pPr>
        <w:pStyle w:val="Ruller4"/>
        <w:tabs>
          <w:tab w:val="clear" w:pos="800"/>
        </w:tabs>
        <w:spacing w:after="120" w:line="240" w:lineRule="auto"/>
        <w:ind w:left="368"/>
        <w:rPr>
          <w:rFonts w:ascii="David" w:hAnsi="David" w:cs="David"/>
          <w:spacing w:val="0"/>
          <w:sz w:val="24"/>
          <w:szCs w:val="24"/>
          <w:rtl/>
        </w:rPr>
      </w:pPr>
    </w:p>
    <w:p w14:paraId="6F0BA4A2" w14:textId="77777777" w:rsidR="00341F8B" w:rsidRPr="003E5108" w:rsidRDefault="00341F8B" w:rsidP="00341F8B">
      <w:pPr>
        <w:pStyle w:val="Ruller4"/>
        <w:tabs>
          <w:tab w:val="clear" w:pos="800"/>
        </w:tabs>
        <w:spacing w:after="120"/>
        <w:ind w:left="368"/>
        <w:rPr>
          <w:rFonts w:ascii="David" w:hAnsi="David" w:cs="David"/>
          <w:spacing w:val="0"/>
          <w:sz w:val="24"/>
          <w:szCs w:val="24"/>
          <w:rtl/>
        </w:rPr>
      </w:pPr>
      <w:r w:rsidRPr="003E5108">
        <w:rPr>
          <w:rFonts w:ascii="David" w:hAnsi="David" w:cs="David" w:hint="cs"/>
          <w:spacing w:val="0"/>
          <w:sz w:val="24"/>
          <w:szCs w:val="24"/>
          <w:rtl/>
        </w:rPr>
        <w:t xml:space="preserve">לפסקי הדין שאוזכרו על ידי הסנגור בטיעוניו בכתב מיום 28.4.2019 אין מקום להתייחס מאחר ומדובר בפסקי דין שאינם מתאימים לנסיבות המקרה שלפנינו, באותם מקרים דובר בעבירה של הריגה או חבלה בכוונה מחמירה ולא רצח או ניסיון לרצח ובאותם מקרים  הוסכם על הסדר טיעון שכלל הסכמה לעניין טווחי הענישה, ממנה לא ניתן להסיק דבר לענייננו. טווחי ענישה בהסדרי טיעון נקבעים לעיתים משיקולים של קשיי הוכחה או הכרה והתחשבות בלקיחת אחריות וזה לא המקרה שלפנינו. </w:t>
      </w:r>
    </w:p>
    <w:p w14:paraId="2CB7BFC8" w14:textId="77777777" w:rsidR="00341F8B" w:rsidRPr="003E5108" w:rsidRDefault="00341F8B" w:rsidP="00341F8B">
      <w:pPr>
        <w:pStyle w:val="Ruller4"/>
        <w:spacing w:after="120" w:line="240" w:lineRule="auto"/>
        <w:ind w:left="720"/>
        <w:rPr>
          <w:rFonts w:ascii="David" w:hAnsi="David" w:cs="David"/>
          <w:spacing w:val="0"/>
          <w:sz w:val="24"/>
          <w:szCs w:val="24"/>
          <w:rtl/>
        </w:rPr>
      </w:pPr>
    </w:p>
    <w:p w14:paraId="204528E9" w14:textId="77777777" w:rsidR="00341F8B" w:rsidRPr="003E5108" w:rsidRDefault="00341F8B" w:rsidP="00341F8B">
      <w:pPr>
        <w:pStyle w:val="Ruller4"/>
        <w:spacing w:after="120"/>
        <w:ind w:left="368"/>
        <w:rPr>
          <w:rFonts w:ascii="David" w:hAnsi="David" w:cs="David"/>
          <w:spacing w:val="0"/>
          <w:sz w:val="24"/>
          <w:szCs w:val="24"/>
          <w:rtl/>
        </w:rPr>
      </w:pPr>
      <w:r w:rsidRPr="003E5108">
        <w:rPr>
          <w:rFonts w:ascii="David" w:hAnsi="David" w:cs="David"/>
          <w:spacing w:val="0"/>
          <w:sz w:val="24"/>
          <w:szCs w:val="24"/>
          <w:rtl/>
        </w:rPr>
        <w:t>אשר לנסיבות הקשורות בבצוע העבירות, יש לקחת בחשבון את התוצאה הטרגית, גרימת מותו של המנוח והסיכון הגבוה לפגיע</w:t>
      </w:r>
      <w:r w:rsidRPr="003E5108">
        <w:rPr>
          <w:rFonts w:ascii="David" w:hAnsi="David" w:cs="David" w:hint="cs"/>
          <w:spacing w:val="0"/>
          <w:sz w:val="24"/>
          <w:szCs w:val="24"/>
          <w:rtl/>
        </w:rPr>
        <w:t xml:space="preserve">ה </w:t>
      </w:r>
      <w:r w:rsidRPr="003E5108">
        <w:rPr>
          <w:rFonts w:ascii="David" w:hAnsi="David" w:cs="David"/>
          <w:spacing w:val="0"/>
          <w:sz w:val="24"/>
          <w:szCs w:val="24"/>
          <w:rtl/>
        </w:rPr>
        <w:t xml:space="preserve">בבנו ראזי. </w:t>
      </w:r>
    </w:p>
    <w:p w14:paraId="183F308A" w14:textId="77777777" w:rsidR="00341F8B" w:rsidRPr="003E5108" w:rsidRDefault="00341F8B" w:rsidP="00341F8B">
      <w:pPr>
        <w:pStyle w:val="Ruller4"/>
        <w:spacing w:after="120"/>
        <w:ind w:left="368"/>
        <w:rPr>
          <w:rFonts w:ascii="David" w:hAnsi="David" w:cs="David"/>
          <w:spacing w:val="0"/>
          <w:sz w:val="24"/>
          <w:szCs w:val="24"/>
          <w:rtl/>
        </w:rPr>
      </w:pPr>
    </w:p>
    <w:p w14:paraId="4B35D2F5" w14:textId="77777777" w:rsidR="00341F8B" w:rsidRPr="003E5108" w:rsidRDefault="00341F8B" w:rsidP="00341F8B">
      <w:pPr>
        <w:pStyle w:val="Ruller4"/>
        <w:spacing w:after="120"/>
        <w:ind w:left="368"/>
        <w:rPr>
          <w:rStyle w:val="default"/>
          <w:rFonts w:ascii="David" w:hAnsi="David" w:cs="David"/>
          <w:spacing w:val="0"/>
          <w:sz w:val="24"/>
          <w:szCs w:val="24"/>
          <w:rtl/>
        </w:rPr>
      </w:pPr>
      <w:r w:rsidRPr="003E5108">
        <w:rPr>
          <w:rFonts w:ascii="David" w:hAnsi="David" w:cs="David" w:hint="cs"/>
          <w:spacing w:val="0"/>
          <w:sz w:val="24"/>
          <w:szCs w:val="24"/>
          <w:rtl/>
        </w:rPr>
        <w:t xml:space="preserve">בהתאם לקביעותנו בהכרעת </w:t>
      </w:r>
      <w:r w:rsidRPr="003E5108">
        <w:rPr>
          <w:rFonts w:ascii="David" w:hAnsi="David" w:cs="David"/>
          <w:spacing w:val="0"/>
          <w:sz w:val="24"/>
          <w:szCs w:val="24"/>
          <w:rtl/>
        </w:rPr>
        <w:t xml:space="preserve">הדין, בהסתמך על המומחים והמסמכים שהוגשו כראיות, מצבו הנפשי של הנאשם לא נמצא </w:t>
      </w:r>
      <w:r w:rsidRPr="003E5108">
        <w:rPr>
          <w:rStyle w:val="default"/>
          <w:rFonts w:ascii="David" w:hAnsi="David" w:cs="David"/>
          <w:spacing w:val="0"/>
          <w:sz w:val="24"/>
          <w:szCs w:val="24"/>
          <w:rtl/>
        </w:rPr>
        <w:t xml:space="preserve">בקרבה כלשהי לסייג לאחריות פלילית כאמור </w:t>
      </w:r>
      <w:hyperlink r:id="rId82" w:history="1">
        <w:r w:rsidR="00080112" w:rsidRPr="00080112">
          <w:rPr>
            <w:rStyle w:val="Hyperlink"/>
            <w:rFonts w:ascii="David" w:hAnsi="David" w:cs="David"/>
            <w:color w:val="0000FF"/>
            <w:spacing w:val="0"/>
            <w:sz w:val="24"/>
            <w:szCs w:val="24"/>
            <w:rtl/>
          </w:rPr>
          <w:t>בסימן ב'</w:t>
        </w:r>
      </w:hyperlink>
      <w:r w:rsidRPr="003E5108">
        <w:rPr>
          <w:rStyle w:val="default"/>
          <w:rFonts w:ascii="David" w:hAnsi="David" w:cs="David"/>
          <w:spacing w:val="0"/>
          <w:sz w:val="24"/>
          <w:szCs w:val="24"/>
          <w:rtl/>
        </w:rPr>
        <w:t xml:space="preserve"> לפרק ה'1 ל</w:t>
      </w:r>
      <w:hyperlink r:id="rId83" w:history="1">
        <w:r w:rsidR="00D85E6C" w:rsidRPr="00D85E6C">
          <w:rPr>
            <w:rStyle w:val="default"/>
            <w:rFonts w:ascii="David" w:hAnsi="David" w:cs="David"/>
            <w:color w:val="0000FF"/>
            <w:spacing w:val="0"/>
            <w:sz w:val="24"/>
            <w:szCs w:val="24"/>
            <w:u w:val="single"/>
            <w:rtl/>
          </w:rPr>
          <w:t>חוק העונשין</w:t>
        </w:r>
      </w:hyperlink>
      <w:r w:rsidRPr="003E5108">
        <w:rPr>
          <w:rStyle w:val="default"/>
          <w:rFonts w:ascii="David" w:hAnsi="David" w:cs="David" w:hint="cs"/>
          <w:spacing w:val="0"/>
          <w:sz w:val="24"/>
          <w:szCs w:val="24"/>
          <w:rtl/>
        </w:rPr>
        <w:t xml:space="preserve"> ולכן אציע לחבריי שלא לתת משקל למצבו הנפשי בעת קביעת מתחם העונש ההולם.</w:t>
      </w:r>
    </w:p>
    <w:p w14:paraId="6AEADD03" w14:textId="77777777" w:rsidR="00341F8B" w:rsidRPr="003E5108" w:rsidRDefault="00341F8B" w:rsidP="00341F8B">
      <w:pPr>
        <w:pStyle w:val="Ruller4"/>
        <w:spacing w:after="120" w:line="240" w:lineRule="auto"/>
        <w:ind w:left="720"/>
        <w:rPr>
          <w:rFonts w:ascii="David" w:hAnsi="David" w:cs="David"/>
          <w:spacing w:val="0"/>
          <w:sz w:val="24"/>
          <w:szCs w:val="24"/>
          <w:rtl/>
        </w:rPr>
      </w:pPr>
    </w:p>
    <w:p w14:paraId="4F2DBE64" w14:textId="77777777" w:rsidR="00341F8B" w:rsidRPr="003E5108" w:rsidRDefault="00341F8B" w:rsidP="00341F8B">
      <w:pPr>
        <w:pStyle w:val="Ruller4"/>
        <w:tabs>
          <w:tab w:val="clear" w:pos="800"/>
        </w:tabs>
        <w:spacing w:after="120"/>
        <w:ind w:left="368"/>
        <w:rPr>
          <w:rFonts w:ascii="David" w:hAnsi="David" w:cs="David"/>
          <w:spacing w:val="0"/>
          <w:sz w:val="24"/>
          <w:szCs w:val="24"/>
        </w:rPr>
      </w:pPr>
      <w:r w:rsidRPr="003E5108">
        <w:rPr>
          <w:rFonts w:ascii="David" w:hAnsi="David" w:cs="David"/>
          <w:spacing w:val="0"/>
          <w:sz w:val="24"/>
          <w:szCs w:val="24"/>
          <w:rtl/>
        </w:rPr>
        <w:t xml:space="preserve">בהתחשב בערך קדושת החיים וחומרת מעשיו של הנאשם, יש לקבוע מתחם ענישה בגין עבירת הניסיון לרצח שכולו מצטבר למאסר העולם. ראו </w:t>
      </w:r>
      <w:hyperlink r:id="rId84" w:history="1">
        <w:r w:rsidR="00D85E6C" w:rsidRPr="00D85E6C">
          <w:rPr>
            <w:rFonts w:ascii="David" w:hAnsi="David" w:cs="David"/>
            <w:color w:val="0000FF"/>
            <w:spacing w:val="0"/>
            <w:sz w:val="24"/>
            <w:szCs w:val="24"/>
            <w:u w:val="single"/>
            <w:rtl/>
          </w:rPr>
          <w:t>דנ"פ 4603/97</w:t>
        </w:r>
      </w:hyperlink>
      <w:r w:rsidRPr="003E5108">
        <w:rPr>
          <w:rFonts w:ascii="David" w:hAnsi="David" w:cs="David"/>
          <w:spacing w:val="0"/>
          <w:sz w:val="24"/>
          <w:szCs w:val="24"/>
          <w:rtl/>
        </w:rPr>
        <w:t xml:space="preserve"> </w:t>
      </w:r>
      <w:r w:rsidRPr="003E5108">
        <w:rPr>
          <w:rFonts w:ascii="David" w:hAnsi="David" w:cs="David"/>
          <w:b/>
          <w:bCs/>
          <w:spacing w:val="0"/>
          <w:sz w:val="24"/>
          <w:szCs w:val="24"/>
          <w:rtl/>
        </w:rPr>
        <w:t>משולם נגד מדינת ישראל</w:t>
      </w:r>
      <w:r w:rsidRPr="003E5108">
        <w:rPr>
          <w:rFonts w:ascii="David" w:hAnsi="David" w:cs="David"/>
          <w:spacing w:val="0"/>
          <w:sz w:val="24"/>
          <w:szCs w:val="24"/>
          <w:rtl/>
        </w:rPr>
        <w:t xml:space="preserve"> (29.6.1998).</w:t>
      </w:r>
    </w:p>
    <w:p w14:paraId="28EDD760" w14:textId="77777777" w:rsidR="00341F8B" w:rsidRPr="003E5108" w:rsidRDefault="00341F8B" w:rsidP="00341F8B">
      <w:pPr>
        <w:pStyle w:val="Ruller4"/>
        <w:spacing w:after="120" w:line="240" w:lineRule="auto"/>
        <w:ind w:left="720"/>
        <w:rPr>
          <w:rFonts w:ascii="David" w:hAnsi="David" w:cs="David"/>
          <w:spacing w:val="0"/>
          <w:sz w:val="24"/>
          <w:szCs w:val="24"/>
          <w:rtl/>
        </w:rPr>
      </w:pPr>
    </w:p>
    <w:p w14:paraId="476C3792"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בהתחשב בערכים החברתיים שנפגעו מביצוע העבירות, במידת הפגיעה בהן, במדיניות הענישה הנהוגה ובנסיבות הקשורות בביצוע העבירות, אציע לחבריי לקבוע כי מתחם העונש ההולם במקרה זה הוא מאסר במתחם שבין מאסר עולם בצירוף 6 שנ</w:t>
      </w:r>
      <w:r w:rsidRPr="003E5108">
        <w:rPr>
          <w:rFonts w:ascii="David" w:hAnsi="David" w:cs="David" w:hint="cs"/>
          <w:szCs w:val="24"/>
          <w:rtl/>
        </w:rPr>
        <w:t xml:space="preserve">ות מאסר </w:t>
      </w:r>
      <w:r w:rsidRPr="003E5108">
        <w:rPr>
          <w:rFonts w:ascii="David" w:hAnsi="David" w:cs="David"/>
          <w:szCs w:val="24"/>
          <w:rtl/>
        </w:rPr>
        <w:t xml:space="preserve">בפועל לבין מאסר עולם בצירוף 12 שנים </w:t>
      </w:r>
      <w:r w:rsidRPr="003E5108">
        <w:rPr>
          <w:rFonts w:ascii="David" w:hAnsi="David" w:cs="David" w:hint="cs"/>
          <w:szCs w:val="24"/>
          <w:rtl/>
        </w:rPr>
        <w:t xml:space="preserve">של מאסר </w:t>
      </w:r>
      <w:r w:rsidRPr="003E5108">
        <w:rPr>
          <w:rFonts w:ascii="David" w:hAnsi="David" w:cs="David"/>
          <w:szCs w:val="24"/>
          <w:rtl/>
        </w:rPr>
        <w:t>בפועל.</w:t>
      </w:r>
    </w:p>
    <w:p w14:paraId="1D9CB0A3" w14:textId="77777777" w:rsidR="00341F8B" w:rsidRPr="003E5108" w:rsidRDefault="00341F8B" w:rsidP="00341F8B">
      <w:pPr>
        <w:pStyle w:val="a9"/>
        <w:spacing w:after="120" w:line="360" w:lineRule="auto"/>
        <w:contextualSpacing w:val="0"/>
        <w:jc w:val="both"/>
        <w:rPr>
          <w:rFonts w:ascii="David" w:hAnsi="David" w:cs="David"/>
          <w:szCs w:val="24"/>
          <w:rtl/>
        </w:rPr>
      </w:pPr>
      <w:r w:rsidRPr="003E5108">
        <w:rPr>
          <w:rFonts w:ascii="David" w:hAnsi="David" w:cs="David"/>
          <w:szCs w:val="24"/>
          <w:rtl/>
        </w:rPr>
        <w:t xml:space="preserve"> </w:t>
      </w:r>
    </w:p>
    <w:p w14:paraId="1F311377" w14:textId="77777777" w:rsidR="00341F8B" w:rsidRPr="003E5108" w:rsidRDefault="00341F8B" w:rsidP="00341F8B">
      <w:pPr>
        <w:pStyle w:val="a9"/>
        <w:spacing w:after="120" w:line="360" w:lineRule="auto"/>
        <w:ind w:left="368"/>
        <w:contextualSpacing w:val="0"/>
        <w:jc w:val="both"/>
        <w:rPr>
          <w:rFonts w:ascii="David" w:hAnsi="David" w:cs="David"/>
          <w:szCs w:val="24"/>
          <w:u w:val="single"/>
          <w:rtl/>
        </w:rPr>
      </w:pPr>
      <w:r w:rsidRPr="003E5108">
        <w:rPr>
          <w:rFonts w:ascii="David" w:hAnsi="David" w:cs="David"/>
          <w:szCs w:val="24"/>
          <w:u w:val="single"/>
          <w:rtl/>
        </w:rPr>
        <w:t>העונש המתאים</w:t>
      </w:r>
    </w:p>
    <w:p w14:paraId="38C48330" w14:textId="77777777" w:rsidR="00341F8B" w:rsidRPr="003E5108" w:rsidRDefault="00341F8B" w:rsidP="00341F8B">
      <w:pPr>
        <w:pStyle w:val="a9"/>
        <w:numPr>
          <w:ilvl w:val="0"/>
          <w:numId w:val="1"/>
        </w:numPr>
        <w:spacing w:after="120" w:line="360" w:lineRule="auto"/>
        <w:ind w:left="368"/>
        <w:contextualSpacing w:val="0"/>
        <w:jc w:val="both"/>
        <w:rPr>
          <w:rFonts w:ascii="David" w:hAnsi="David" w:cs="David"/>
          <w:szCs w:val="24"/>
        </w:rPr>
      </w:pPr>
      <w:r w:rsidRPr="003E5108">
        <w:rPr>
          <w:rFonts w:ascii="David" w:hAnsi="David" w:cs="David"/>
          <w:szCs w:val="24"/>
          <w:rtl/>
        </w:rPr>
        <w:t xml:space="preserve">במקרה זה לא עומדת שאלת שיקום על הפרק וממילא קימת חובת הטלת עונש מאסר עולם בגין עבירת הרצח. </w:t>
      </w:r>
    </w:p>
    <w:p w14:paraId="65E9A2CD"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F4456A">
        <w:rPr>
          <w:rFonts w:ascii="David" w:hAnsi="David" w:cs="David"/>
          <w:szCs w:val="24"/>
          <w:rtl/>
        </w:rPr>
        <w:t xml:space="preserve">הנאשם צפוי לעונש ארוך וממושך בגין עבירת הרצח, </w:t>
      </w:r>
      <w:r>
        <w:rPr>
          <w:rFonts w:ascii="David" w:hAnsi="David" w:cs="David" w:hint="cs"/>
          <w:szCs w:val="24"/>
          <w:rtl/>
        </w:rPr>
        <w:t xml:space="preserve">ובנוסף </w:t>
      </w:r>
      <w:r w:rsidRPr="00F4456A">
        <w:rPr>
          <w:rFonts w:ascii="David" w:hAnsi="David" w:cs="David"/>
          <w:szCs w:val="24"/>
          <w:rtl/>
        </w:rPr>
        <w:t xml:space="preserve">בהתחשב בעברו הפלילי המשמעותי יש לקבוע כי הענישה בגין </w:t>
      </w:r>
      <w:r w:rsidRPr="00F4456A">
        <w:rPr>
          <w:rFonts w:ascii="David" w:hAnsi="David" w:cs="David" w:hint="cs"/>
          <w:szCs w:val="24"/>
          <w:rtl/>
        </w:rPr>
        <w:t>ה</w:t>
      </w:r>
      <w:r w:rsidRPr="00F4456A">
        <w:rPr>
          <w:rFonts w:ascii="David" w:hAnsi="David" w:cs="David"/>
          <w:szCs w:val="24"/>
          <w:rtl/>
        </w:rPr>
        <w:t>ניסיון לרצח תהיה במצטבר</w:t>
      </w:r>
      <w:r w:rsidRPr="00F4456A">
        <w:rPr>
          <w:rFonts w:ascii="David" w:hAnsi="David" w:cs="David" w:hint="cs"/>
          <w:szCs w:val="24"/>
          <w:rtl/>
        </w:rPr>
        <w:t>.</w:t>
      </w:r>
      <w:r w:rsidRPr="003E5108">
        <w:rPr>
          <w:rFonts w:ascii="David" w:hAnsi="David" w:cs="David" w:hint="cs"/>
          <w:szCs w:val="24"/>
          <w:rtl/>
        </w:rPr>
        <w:t xml:space="preserve"> </w:t>
      </w:r>
    </w:p>
    <w:p w14:paraId="4F176E8F" w14:textId="77777777" w:rsidR="00341F8B" w:rsidRPr="003E5108" w:rsidRDefault="00341F8B" w:rsidP="00341F8B">
      <w:pPr>
        <w:pStyle w:val="a9"/>
        <w:spacing w:after="120"/>
        <w:ind w:left="368"/>
        <w:contextualSpacing w:val="0"/>
        <w:jc w:val="both"/>
        <w:rPr>
          <w:rFonts w:ascii="David" w:hAnsi="David" w:cs="David"/>
          <w:szCs w:val="24"/>
          <w:rtl/>
        </w:rPr>
      </w:pPr>
    </w:p>
    <w:p w14:paraId="50F946DB"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על פי גיליון המרשם הפלילי וטיעוני ב"כ ה</w:t>
      </w:r>
      <w:r w:rsidRPr="003E5108">
        <w:rPr>
          <w:rFonts w:ascii="David" w:hAnsi="David" w:cs="David" w:hint="cs"/>
          <w:szCs w:val="24"/>
          <w:rtl/>
        </w:rPr>
        <w:t xml:space="preserve">צדדים, </w:t>
      </w:r>
      <w:r w:rsidRPr="003E5108">
        <w:rPr>
          <w:rFonts w:ascii="David" w:hAnsi="David" w:cs="David"/>
          <w:szCs w:val="24"/>
          <w:rtl/>
        </w:rPr>
        <w:t xml:space="preserve">הנאשם  </w:t>
      </w:r>
      <w:r w:rsidRPr="003E5108">
        <w:rPr>
          <w:rFonts w:ascii="David" w:hAnsi="David" w:cs="David" w:hint="cs"/>
          <w:szCs w:val="24"/>
          <w:rtl/>
        </w:rPr>
        <w:t xml:space="preserve">נדון בעבר </w:t>
      </w:r>
      <w:r w:rsidRPr="003E5108">
        <w:rPr>
          <w:rFonts w:ascii="David" w:hAnsi="David" w:cs="David"/>
          <w:szCs w:val="24"/>
          <w:rtl/>
        </w:rPr>
        <w:t>לתקופת מאסר בפועל של 13 שנה בגין הריגת שני אחים</w:t>
      </w:r>
      <w:r w:rsidRPr="003E5108">
        <w:rPr>
          <w:rFonts w:ascii="David" w:hAnsi="David" w:cs="David" w:hint="cs"/>
          <w:szCs w:val="24"/>
          <w:rtl/>
        </w:rPr>
        <w:t xml:space="preserve"> (בני 18 ו-14 שנים) </w:t>
      </w:r>
      <w:r w:rsidRPr="003E5108">
        <w:rPr>
          <w:rFonts w:ascii="David" w:hAnsi="David" w:cs="David"/>
          <w:szCs w:val="24"/>
          <w:rtl/>
        </w:rPr>
        <w:t xml:space="preserve">וניסיון </w:t>
      </w:r>
      <w:r w:rsidRPr="003E5108">
        <w:rPr>
          <w:rFonts w:ascii="David" w:hAnsi="David" w:cs="David" w:hint="cs"/>
          <w:szCs w:val="24"/>
          <w:rtl/>
        </w:rPr>
        <w:t>ל</w:t>
      </w:r>
      <w:r w:rsidRPr="003E5108">
        <w:rPr>
          <w:rFonts w:ascii="David" w:hAnsi="David" w:cs="David"/>
          <w:szCs w:val="24"/>
          <w:rtl/>
        </w:rPr>
        <w:t>רצח של אימם שגרם לשיתוקה.</w:t>
      </w:r>
      <w:r w:rsidRPr="003E5108">
        <w:rPr>
          <w:rFonts w:ascii="David" w:hAnsi="David" w:cs="David" w:hint="cs"/>
          <w:szCs w:val="24"/>
          <w:rtl/>
        </w:rPr>
        <w:t xml:space="preserve"> ראו את התיאור האלים כמתואר בעמוד 4 פיסקה ראשונה לגזר הדין (נספח א לטיעוני הסנגור),  הזמן הרב שחלף לא מקהה את השימוש הנמהר שעשה הנאשם בנשק באותו מקרה ולצערי הוא לא הפיק לקחים מהתוצאות הקטלניות להן גרם בעבר. </w:t>
      </w:r>
    </w:p>
    <w:p w14:paraId="06201069" w14:textId="77777777" w:rsidR="00341F8B" w:rsidRPr="003E5108" w:rsidRDefault="00341F8B" w:rsidP="00341F8B">
      <w:pPr>
        <w:pStyle w:val="a9"/>
        <w:spacing w:after="120"/>
        <w:ind w:left="368"/>
        <w:contextualSpacing w:val="0"/>
        <w:jc w:val="both"/>
        <w:rPr>
          <w:rFonts w:ascii="David" w:hAnsi="David" w:cs="David"/>
          <w:szCs w:val="24"/>
        </w:rPr>
      </w:pPr>
    </w:p>
    <w:p w14:paraId="17223F40" w14:textId="77777777" w:rsidR="00341F8B" w:rsidRPr="003E5108" w:rsidRDefault="00341F8B" w:rsidP="00341F8B">
      <w:pPr>
        <w:pStyle w:val="a9"/>
        <w:spacing w:after="120" w:line="360" w:lineRule="auto"/>
        <w:ind w:left="368"/>
        <w:contextualSpacing w:val="0"/>
        <w:jc w:val="both"/>
        <w:rPr>
          <w:rFonts w:ascii="David" w:hAnsi="David" w:cs="David"/>
          <w:szCs w:val="24"/>
        </w:rPr>
      </w:pPr>
      <w:r w:rsidRPr="003E5108">
        <w:rPr>
          <w:rFonts w:ascii="David" w:hAnsi="David" w:cs="David"/>
          <w:szCs w:val="24"/>
          <w:rtl/>
        </w:rPr>
        <w:t xml:space="preserve">לזכות הנאשם יש לקחת בחשבון את גילו (הנאשם היום בן 62 שנה), את משך המעצר הארוך </w:t>
      </w:r>
      <w:r w:rsidRPr="003E5108">
        <w:rPr>
          <w:rFonts w:ascii="David" w:hAnsi="David" w:cs="David" w:hint="cs"/>
          <w:szCs w:val="24"/>
          <w:rtl/>
        </w:rPr>
        <w:t xml:space="preserve">על כל המשתמע לעניין תנאי המעצר </w:t>
      </w:r>
      <w:r w:rsidRPr="003E5108">
        <w:rPr>
          <w:rFonts w:ascii="David" w:hAnsi="David" w:cs="David"/>
          <w:szCs w:val="24"/>
          <w:rtl/>
        </w:rPr>
        <w:t>(הנאשם עצור כ-4.5 שנים) ואת מצבו הבריאותי כפי שתואר על ידי הסנגור במהלך ניהול המשפט ובמסגרת הטיעונים הכתובים לעונש.</w:t>
      </w:r>
      <w:r w:rsidRPr="003E5108">
        <w:rPr>
          <w:rFonts w:ascii="David" w:hAnsi="David" w:cs="David" w:hint="cs"/>
          <w:szCs w:val="24"/>
          <w:rtl/>
        </w:rPr>
        <w:t xml:space="preserve"> יש להתחשב בנסיבות חייו הטראגיות כפי שפורטו בסיכומי הסנגור מיום 28.4.2019 ובהתאם לטיעונים שעלו בפני בית המשפט המחוזי שדן אותו ל-13 שנות מאסר (ראו נספח א לטיעוני הסנגור).</w:t>
      </w:r>
    </w:p>
    <w:p w14:paraId="17E12915" w14:textId="77777777" w:rsidR="00341F8B" w:rsidRPr="003E5108" w:rsidRDefault="00341F8B" w:rsidP="00341F8B">
      <w:pPr>
        <w:pStyle w:val="a9"/>
        <w:spacing w:after="120" w:line="360" w:lineRule="auto"/>
        <w:contextualSpacing w:val="0"/>
        <w:jc w:val="both"/>
        <w:rPr>
          <w:rFonts w:ascii="David" w:hAnsi="David" w:cs="David"/>
          <w:szCs w:val="24"/>
          <w:rtl/>
        </w:rPr>
      </w:pPr>
    </w:p>
    <w:p w14:paraId="33F1D243"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בהתחשב בעונש הכולל אציע לחבריי לא לפסוק עונש נפרד נוסף בגין העבירות בנשק</w:t>
      </w:r>
      <w:r w:rsidRPr="003E5108">
        <w:rPr>
          <w:rFonts w:ascii="David" w:hAnsi="David" w:cs="David" w:hint="cs"/>
          <w:szCs w:val="24"/>
          <w:rtl/>
        </w:rPr>
        <w:t xml:space="preserve"> ואבהיר כי על פי כתב האישום העבירות בנשק מתייחסות למועד ביצוע העבירות בלבד כך גם נקבע בהכרעת הדין ולכן לא מקובלת עליי עמדת המאשימה בטיעוניה הכתובים ולפיהם יש להתייחס לעובדה שהנאשם נשא את הנשק זמן רב לפני כן.</w:t>
      </w:r>
    </w:p>
    <w:p w14:paraId="5F1C20B1" w14:textId="77777777" w:rsidR="00341F8B" w:rsidRPr="003E5108" w:rsidRDefault="00341F8B" w:rsidP="00341F8B">
      <w:pPr>
        <w:pStyle w:val="a9"/>
        <w:spacing w:after="120"/>
        <w:ind w:left="368"/>
        <w:contextualSpacing w:val="0"/>
        <w:jc w:val="both"/>
        <w:rPr>
          <w:rFonts w:ascii="David" w:hAnsi="David" w:cs="David"/>
          <w:szCs w:val="24"/>
          <w:rtl/>
        </w:rPr>
      </w:pPr>
    </w:p>
    <w:p w14:paraId="551F03A9" w14:textId="77777777" w:rsidR="00341F8B" w:rsidRPr="003E5108" w:rsidRDefault="00341F8B" w:rsidP="00341F8B">
      <w:pPr>
        <w:pStyle w:val="a9"/>
        <w:spacing w:after="120" w:line="360" w:lineRule="auto"/>
        <w:ind w:left="368"/>
        <w:contextualSpacing w:val="0"/>
        <w:jc w:val="both"/>
        <w:rPr>
          <w:rFonts w:ascii="David" w:hAnsi="David" w:cs="David"/>
          <w:szCs w:val="24"/>
        </w:rPr>
      </w:pPr>
      <w:r w:rsidRPr="003E5108">
        <w:rPr>
          <w:rFonts w:ascii="David" w:hAnsi="David" w:cs="David" w:hint="cs"/>
          <w:szCs w:val="24"/>
          <w:rtl/>
        </w:rPr>
        <w:t xml:space="preserve">בהתחשב במהותו של מאסר מותנה ומשך המאסר בפועל, אציע לחבריי </w:t>
      </w:r>
      <w:r w:rsidRPr="003E5108">
        <w:rPr>
          <w:rFonts w:ascii="David" w:hAnsi="David" w:cs="David"/>
          <w:szCs w:val="24"/>
          <w:rtl/>
        </w:rPr>
        <w:t xml:space="preserve">לא להטיל מאסר מותנה. </w:t>
      </w:r>
    </w:p>
    <w:p w14:paraId="21DC50AC" w14:textId="77777777" w:rsidR="00341F8B" w:rsidRPr="003E5108" w:rsidRDefault="00341F8B" w:rsidP="00341F8B">
      <w:pPr>
        <w:spacing w:after="120"/>
        <w:ind w:left="360" w:firstLine="360"/>
        <w:jc w:val="both"/>
        <w:rPr>
          <w:rFonts w:ascii="David" w:hAnsi="David"/>
          <w:u w:val="single"/>
          <w:rtl/>
        </w:rPr>
      </w:pPr>
    </w:p>
    <w:p w14:paraId="1C0FAE01" w14:textId="77777777" w:rsidR="00341F8B" w:rsidRPr="003E5108" w:rsidRDefault="00341F8B" w:rsidP="00341F8B">
      <w:pPr>
        <w:spacing w:after="120" w:line="360" w:lineRule="auto"/>
        <w:ind w:left="368"/>
        <w:jc w:val="both"/>
        <w:rPr>
          <w:rFonts w:ascii="David" w:hAnsi="David"/>
        </w:rPr>
      </w:pPr>
      <w:r w:rsidRPr="003E5108">
        <w:rPr>
          <w:rFonts w:ascii="David" w:hAnsi="David"/>
          <w:rtl/>
        </w:rPr>
        <w:t xml:space="preserve">הנאשם גרם נזק כבד למשפחת המנוח, נחשפנו לדברים מפי מרוות אלמנת המנוח שתיארה כיצד האבל והשכול מלווים אותה ואת 4 ילדיהם מדי יום. לטעמי עזבון המנוח זכאי לפיצוי המקסימלי על פי </w:t>
      </w:r>
      <w:hyperlink r:id="rId85" w:history="1">
        <w:r w:rsidR="00D85E6C" w:rsidRPr="00D85E6C">
          <w:rPr>
            <w:rFonts w:ascii="David" w:hAnsi="David"/>
            <w:color w:val="0000FF"/>
            <w:u w:val="single"/>
            <w:rtl/>
          </w:rPr>
          <w:t>חוק העונשין</w:t>
        </w:r>
      </w:hyperlink>
      <w:r w:rsidRPr="003E5108">
        <w:rPr>
          <w:rFonts w:ascii="David" w:hAnsi="David"/>
          <w:rtl/>
        </w:rPr>
        <w:t xml:space="preserve">, וראזי אותו ניסה לרצוח הנאשם זכאי לפיצוי על הטראומה שחווה. כמובן שאין בגובה הפיצוי כדי להגביל את נפגעי העבירות </w:t>
      </w:r>
      <w:r>
        <w:rPr>
          <w:rFonts w:ascii="David" w:hAnsi="David" w:hint="cs"/>
          <w:rtl/>
        </w:rPr>
        <w:t>מ</w:t>
      </w:r>
      <w:r w:rsidRPr="003E5108">
        <w:rPr>
          <w:rFonts w:ascii="David" w:hAnsi="David"/>
          <w:rtl/>
        </w:rPr>
        <w:t>לתבוע פיצוי על מלוא נזקיהם בפורום מתאים אחר.</w:t>
      </w:r>
      <w:r w:rsidRPr="003E5108">
        <w:rPr>
          <w:rFonts w:ascii="David" w:hAnsi="David" w:hint="cs"/>
          <w:rtl/>
        </w:rPr>
        <w:t xml:space="preserve"> גם בעניין זה לא מצאתי הצדקה להתייחס לגובה הפיצוי שנפסק בתיקים אחרים אליהם הפנה הסנגור בטבלה שצרף לטיעונים בכתב. גובה הפיצוי נקבע לפי נסיבותיו של כל מקרה ומקרה ובמקרה שלפנינו יש לטעמי הצדקה לפסוק את הפיצוי המקסימלי לעיזבון המנוח. </w:t>
      </w:r>
    </w:p>
    <w:p w14:paraId="209315D6" w14:textId="77777777" w:rsidR="00341F8B" w:rsidRPr="003E5108" w:rsidRDefault="00341F8B" w:rsidP="00341F8B">
      <w:pPr>
        <w:pStyle w:val="a9"/>
        <w:spacing w:after="120" w:line="360" w:lineRule="auto"/>
        <w:contextualSpacing w:val="0"/>
        <w:jc w:val="both"/>
        <w:rPr>
          <w:rFonts w:ascii="David" w:hAnsi="David" w:cs="David"/>
          <w:szCs w:val="24"/>
          <w:u w:val="single"/>
          <w:rtl/>
        </w:rPr>
      </w:pPr>
    </w:p>
    <w:p w14:paraId="45B9726E"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u w:val="single"/>
          <w:rtl/>
        </w:rPr>
        <w:t>סיכום</w:t>
      </w:r>
    </w:p>
    <w:p w14:paraId="7667CEEF"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sidRPr="003E5108">
        <w:rPr>
          <w:rFonts w:ascii="David" w:hAnsi="David" w:cs="David"/>
          <w:szCs w:val="24"/>
          <w:rtl/>
        </w:rPr>
        <w:t>לאור האמור לעיל אציע לחבריי להטיל על הנאשם את העונשים הבאים:</w:t>
      </w:r>
    </w:p>
    <w:p w14:paraId="077A9306" w14:textId="77777777" w:rsidR="00341F8B" w:rsidRPr="003E5108" w:rsidRDefault="00341F8B" w:rsidP="00341F8B">
      <w:pPr>
        <w:spacing w:after="120" w:line="360" w:lineRule="auto"/>
        <w:ind w:firstLine="368"/>
        <w:jc w:val="both"/>
        <w:rPr>
          <w:rFonts w:ascii="David" w:hAnsi="David"/>
          <w:rtl/>
        </w:rPr>
      </w:pPr>
      <w:r w:rsidRPr="003E5108">
        <w:rPr>
          <w:rFonts w:ascii="David" w:hAnsi="David"/>
          <w:rtl/>
        </w:rPr>
        <w:t>-בגין רצח המנוח – מאסר עולם.</w:t>
      </w:r>
    </w:p>
    <w:p w14:paraId="04670BC0" w14:textId="77777777" w:rsidR="00341F8B" w:rsidRPr="003E5108" w:rsidRDefault="00341F8B" w:rsidP="00341F8B">
      <w:pPr>
        <w:spacing w:after="120" w:line="360" w:lineRule="auto"/>
        <w:ind w:left="368"/>
        <w:jc w:val="both"/>
        <w:rPr>
          <w:rFonts w:ascii="David" w:hAnsi="David"/>
          <w:rtl/>
        </w:rPr>
      </w:pPr>
      <w:r w:rsidRPr="003E5108">
        <w:rPr>
          <w:rFonts w:ascii="David" w:hAnsi="David"/>
          <w:rtl/>
        </w:rPr>
        <w:t>-בגין עבירת ניסיון לרצח- 7 שנות מאסר בפועל בהן יישא במצטבר לעונש מאסר העולם. תחילת המאסר תימנה מיום מעצרו של הנאשם – 26.10.2014.</w:t>
      </w:r>
    </w:p>
    <w:p w14:paraId="003A6B91" w14:textId="77777777" w:rsidR="00341F8B" w:rsidRDefault="00341F8B" w:rsidP="00341F8B">
      <w:pPr>
        <w:spacing w:after="120" w:line="360" w:lineRule="auto"/>
        <w:ind w:left="368" w:firstLine="7"/>
        <w:jc w:val="both"/>
        <w:rPr>
          <w:rFonts w:ascii="David" w:hAnsi="David"/>
          <w:rtl/>
        </w:rPr>
      </w:pPr>
      <w:r w:rsidRPr="003E5108">
        <w:rPr>
          <w:rFonts w:ascii="David" w:hAnsi="David"/>
          <w:rtl/>
        </w:rPr>
        <w:t xml:space="preserve">-בשים לב למשכו של המאסר שאנו גוזרים אציע לחברי שלא להוסיף עוד עונש של מאסר מותנה.    </w:t>
      </w:r>
    </w:p>
    <w:p w14:paraId="5C3D5099" w14:textId="77777777" w:rsidR="00341F8B" w:rsidRDefault="00341F8B" w:rsidP="00341F8B">
      <w:pPr>
        <w:spacing w:line="360" w:lineRule="auto"/>
        <w:ind w:left="368"/>
        <w:jc w:val="both"/>
        <w:rPr>
          <w:rFonts w:ascii="David" w:hAnsi="David"/>
          <w:rtl/>
        </w:rPr>
      </w:pPr>
      <w:r w:rsidRPr="00E868D9">
        <w:rPr>
          <w:rFonts w:ascii="David" w:hAnsi="David"/>
          <w:rtl/>
        </w:rPr>
        <w:t xml:space="preserve">-הנאשם ישלם פיצוי בשיעור של 258,000 ש"ח לעיזבון המנוח (אשתו וארבעת ילדיו) ופיצוי בשיעור של 14,000 ש"ח לראזי מחרום (עד תביעה מס' 9). הפיצוי לעיזבון המנוח </w:t>
      </w:r>
      <w:r>
        <w:rPr>
          <w:rFonts w:ascii="David" w:hAnsi="David" w:hint="cs"/>
          <w:rtl/>
        </w:rPr>
        <w:t xml:space="preserve">ישולם </w:t>
      </w:r>
      <w:r w:rsidRPr="00E868D9">
        <w:rPr>
          <w:rFonts w:ascii="David" w:hAnsi="David"/>
          <w:rtl/>
        </w:rPr>
        <w:t xml:space="preserve">באמצעות אלמנתו מרוות מחרום. </w:t>
      </w:r>
    </w:p>
    <w:p w14:paraId="3749DCE5" w14:textId="77777777" w:rsidR="00341F8B" w:rsidRDefault="00341F8B" w:rsidP="00341F8B">
      <w:pPr>
        <w:spacing w:line="360" w:lineRule="auto"/>
        <w:ind w:left="368"/>
        <w:jc w:val="both"/>
        <w:rPr>
          <w:rFonts w:ascii="David" w:hAnsi="David"/>
          <w:rtl/>
        </w:rPr>
      </w:pPr>
    </w:p>
    <w:p w14:paraId="27AC00DA" w14:textId="77777777" w:rsidR="00341F8B" w:rsidRDefault="00341F8B" w:rsidP="00341F8B">
      <w:pPr>
        <w:spacing w:line="360" w:lineRule="auto"/>
        <w:ind w:left="368"/>
        <w:jc w:val="both"/>
        <w:rPr>
          <w:rFonts w:ascii="David" w:hAnsi="David"/>
          <w:rtl/>
        </w:rPr>
      </w:pPr>
    </w:p>
    <w:tbl>
      <w:tblPr>
        <w:bidiVisual/>
        <w:tblW w:w="0" w:type="auto"/>
        <w:tblLook w:val="01E0" w:firstRow="1" w:lastRow="1" w:firstColumn="1" w:lastColumn="1" w:noHBand="0" w:noVBand="0"/>
      </w:tblPr>
      <w:tblGrid>
        <w:gridCol w:w="2801"/>
        <w:gridCol w:w="316"/>
        <w:gridCol w:w="2551"/>
        <w:gridCol w:w="236"/>
        <w:gridCol w:w="2600"/>
      </w:tblGrid>
      <w:tr w:rsidR="00341F8B" w14:paraId="65819A4E" w14:textId="77777777" w:rsidTr="00341F8B">
        <w:tc>
          <w:tcPr>
            <w:tcW w:w="2801" w:type="dxa"/>
            <w:tcBorders>
              <w:top w:val="nil"/>
              <w:left w:val="nil"/>
              <w:right w:val="nil"/>
            </w:tcBorders>
            <w:shd w:val="clear" w:color="auto" w:fill="auto"/>
            <w:vAlign w:val="center"/>
          </w:tcPr>
          <w:p w14:paraId="0CA985DD" w14:textId="77777777" w:rsidR="00341F8B" w:rsidRPr="00341F8B" w:rsidRDefault="00341F8B" w:rsidP="00341F8B">
            <w:pPr>
              <w:jc w:val="center"/>
              <w:rPr>
                <w:rFonts w:ascii="Courier New" w:hAnsi="Courier New"/>
                <w:b/>
                <w:bCs/>
              </w:rPr>
            </w:pPr>
          </w:p>
        </w:tc>
        <w:tc>
          <w:tcPr>
            <w:tcW w:w="316" w:type="dxa"/>
            <w:shd w:val="clear" w:color="auto" w:fill="auto"/>
            <w:vAlign w:val="center"/>
          </w:tcPr>
          <w:p w14:paraId="5E811A84" w14:textId="77777777" w:rsidR="00341F8B" w:rsidRPr="00341F8B" w:rsidRDefault="00341F8B" w:rsidP="00341F8B">
            <w:pPr>
              <w:jc w:val="center"/>
              <w:rPr>
                <w:rFonts w:ascii="Courier New" w:hAnsi="Courier New"/>
                <w:b/>
                <w:bCs/>
              </w:rPr>
            </w:pPr>
          </w:p>
        </w:tc>
        <w:tc>
          <w:tcPr>
            <w:tcW w:w="2551" w:type="dxa"/>
            <w:tcBorders>
              <w:top w:val="nil"/>
              <w:left w:val="nil"/>
              <w:right w:val="nil"/>
            </w:tcBorders>
            <w:shd w:val="clear" w:color="auto" w:fill="auto"/>
            <w:vAlign w:val="center"/>
          </w:tcPr>
          <w:p w14:paraId="19E332BD" w14:textId="77777777" w:rsidR="00341F8B" w:rsidRPr="00341F8B" w:rsidRDefault="00341F8B" w:rsidP="00341F8B">
            <w:pPr>
              <w:jc w:val="center"/>
              <w:rPr>
                <w:rFonts w:ascii="Courier New" w:hAnsi="Courier New"/>
                <w:b/>
                <w:bCs/>
              </w:rPr>
            </w:pPr>
          </w:p>
        </w:tc>
        <w:tc>
          <w:tcPr>
            <w:tcW w:w="236" w:type="dxa"/>
            <w:shd w:val="clear" w:color="auto" w:fill="auto"/>
            <w:vAlign w:val="center"/>
          </w:tcPr>
          <w:p w14:paraId="3C1E4F02" w14:textId="77777777" w:rsidR="00341F8B" w:rsidRPr="00341F8B" w:rsidRDefault="00341F8B" w:rsidP="00341F8B">
            <w:pPr>
              <w:jc w:val="center"/>
              <w:rPr>
                <w:rFonts w:ascii="Courier New" w:hAnsi="Courier New"/>
                <w:b/>
                <w:bCs/>
              </w:rPr>
            </w:pPr>
          </w:p>
        </w:tc>
        <w:tc>
          <w:tcPr>
            <w:tcW w:w="2600" w:type="dxa"/>
            <w:tcBorders>
              <w:top w:val="nil"/>
              <w:left w:val="nil"/>
              <w:bottom w:val="single" w:sz="4" w:space="0" w:color="auto"/>
              <w:right w:val="nil"/>
            </w:tcBorders>
            <w:shd w:val="clear" w:color="auto" w:fill="auto"/>
            <w:vAlign w:val="center"/>
          </w:tcPr>
          <w:p w14:paraId="71C9CB1A" w14:textId="77777777" w:rsidR="00341F8B" w:rsidRPr="00341F8B" w:rsidRDefault="00341F8B" w:rsidP="00341F8B">
            <w:pPr>
              <w:jc w:val="center"/>
              <w:rPr>
                <w:rFonts w:ascii="Courier New" w:hAnsi="Courier New"/>
                <w:b/>
                <w:bCs/>
                <w:rtl/>
              </w:rPr>
            </w:pPr>
          </w:p>
        </w:tc>
      </w:tr>
      <w:tr w:rsidR="00341F8B" w14:paraId="2CB7AA0D" w14:textId="77777777" w:rsidTr="00341F8B">
        <w:tc>
          <w:tcPr>
            <w:tcW w:w="2801" w:type="dxa"/>
            <w:tcBorders>
              <w:left w:val="nil"/>
              <w:bottom w:val="nil"/>
              <w:right w:val="nil"/>
            </w:tcBorders>
            <w:shd w:val="clear" w:color="auto" w:fill="auto"/>
          </w:tcPr>
          <w:p w14:paraId="380997E6" w14:textId="77777777" w:rsidR="00341F8B" w:rsidRPr="00341F8B" w:rsidRDefault="00341F8B" w:rsidP="00341F8B">
            <w:pPr>
              <w:jc w:val="center"/>
              <w:rPr>
                <w:b/>
                <w:bCs/>
              </w:rPr>
            </w:pPr>
          </w:p>
        </w:tc>
        <w:tc>
          <w:tcPr>
            <w:tcW w:w="316" w:type="dxa"/>
            <w:shd w:val="clear" w:color="auto" w:fill="auto"/>
          </w:tcPr>
          <w:p w14:paraId="63152C2B" w14:textId="77777777" w:rsidR="00341F8B" w:rsidRPr="00341F8B" w:rsidRDefault="00341F8B" w:rsidP="00341F8B">
            <w:pPr>
              <w:jc w:val="center"/>
              <w:rPr>
                <w:b/>
                <w:bCs/>
                <w:rtl/>
              </w:rPr>
            </w:pPr>
          </w:p>
        </w:tc>
        <w:tc>
          <w:tcPr>
            <w:tcW w:w="2551" w:type="dxa"/>
            <w:tcBorders>
              <w:left w:val="nil"/>
              <w:bottom w:val="nil"/>
              <w:right w:val="nil"/>
            </w:tcBorders>
            <w:shd w:val="clear" w:color="auto" w:fill="auto"/>
          </w:tcPr>
          <w:p w14:paraId="3E4C50C0" w14:textId="77777777" w:rsidR="00341F8B" w:rsidRPr="00341F8B" w:rsidRDefault="00341F8B" w:rsidP="00341F8B">
            <w:pPr>
              <w:jc w:val="center"/>
              <w:rPr>
                <w:b/>
                <w:bCs/>
              </w:rPr>
            </w:pPr>
          </w:p>
        </w:tc>
        <w:tc>
          <w:tcPr>
            <w:tcW w:w="236" w:type="dxa"/>
            <w:shd w:val="clear" w:color="auto" w:fill="auto"/>
          </w:tcPr>
          <w:p w14:paraId="10C2BB81" w14:textId="77777777" w:rsidR="00341F8B" w:rsidRPr="00341F8B" w:rsidRDefault="00341F8B" w:rsidP="00341F8B">
            <w:pPr>
              <w:jc w:val="center"/>
              <w:rPr>
                <w:b/>
                <w:bCs/>
              </w:rPr>
            </w:pPr>
          </w:p>
        </w:tc>
        <w:tc>
          <w:tcPr>
            <w:tcW w:w="2600" w:type="dxa"/>
            <w:tcBorders>
              <w:top w:val="single" w:sz="4" w:space="0" w:color="auto"/>
              <w:left w:val="nil"/>
              <w:bottom w:val="nil"/>
              <w:right w:val="nil"/>
            </w:tcBorders>
            <w:shd w:val="clear" w:color="auto" w:fill="auto"/>
          </w:tcPr>
          <w:p w14:paraId="19A010F8" w14:textId="77777777" w:rsidR="00341F8B" w:rsidRPr="00341F8B" w:rsidRDefault="00341F8B" w:rsidP="00341F8B">
            <w:pPr>
              <w:jc w:val="center"/>
              <w:rPr>
                <w:b/>
                <w:bCs/>
              </w:rPr>
            </w:pPr>
            <w:r w:rsidRPr="00341F8B">
              <w:rPr>
                <w:rFonts w:hint="cs"/>
                <w:b/>
                <w:bCs/>
                <w:rtl/>
              </w:rPr>
              <w:t>אברהם אליקים, סגן נשיא</w:t>
            </w:r>
          </w:p>
        </w:tc>
      </w:tr>
    </w:tbl>
    <w:p w14:paraId="1D0371CB" w14:textId="77777777" w:rsidR="00341F8B" w:rsidRPr="00C55FE9" w:rsidRDefault="00341F8B" w:rsidP="00341F8B"/>
    <w:p w14:paraId="28312DA6" w14:textId="77777777" w:rsidR="00341F8B" w:rsidRPr="00E868D9" w:rsidRDefault="00341F8B" w:rsidP="00341F8B">
      <w:pPr>
        <w:spacing w:line="360" w:lineRule="auto"/>
        <w:ind w:left="368"/>
        <w:jc w:val="both"/>
        <w:rPr>
          <w:rFonts w:ascii="David" w:hAnsi="David"/>
        </w:rPr>
      </w:pPr>
    </w:p>
    <w:p w14:paraId="01B0F5ED" w14:textId="77777777" w:rsidR="00341F8B" w:rsidRDefault="00341F8B" w:rsidP="00341F8B">
      <w:pPr>
        <w:spacing w:after="120" w:line="360" w:lineRule="auto"/>
        <w:jc w:val="both"/>
        <w:rPr>
          <w:rFonts w:ascii="David" w:hAnsi="David"/>
          <w:rtl/>
        </w:rPr>
      </w:pPr>
    </w:p>
    <w:p w14:paraId="7CD7368C" w14:textId="77777777" w:rsidR="00341F8B" w:rsidRDefault="00341F8B" w:rsidP="00341F8B">
      <w:pPr>
        <w:spacing w:after="120" w:line="360" w:lineRule="auto"/>
        <w:jc w:val="both"/>
        <w:rPr>
          <w:rFonts w:ascii="David" w:hAnsi="David"/>
          <w:rtl/>
        </w:rPr>
      </w:pPr>
    </w:p>
    <w:p w14:paraId="67549491" w14:textId="77777777" w:rsidR="00341F8B" w:rsidRPr="00E77302" w:rsidRDefault="00341F8B" w:rsidP="00341F8B">
      <w:pPr>
        <w:spacing w:after="120"/>
        <w:jc w:val="both"/>
        <w:rPr>
          <w:rFonts w:ascii="David" w:hAnsi="David"/>
          <w:sz w:val="14"/>
          <w:szCs w:val="14"/>
          <w:rtl/>
        </w:rPr>
      </w:pPr>
    </w:p>
    <w:p w14:paraId="32D46B3F" w14:textId="77777777" w:rsidR="00341F8B" w:rsidRPr="00E77302" w:rsidRDefault="00341F8B" w:rsidP="00341F8B">
      <w:pPr>
        <w:spacing w:after="120" w:line="360" w:lineRule="auto"/>
        <w:jc w:val="both"/>
        <w:rPr>
          <w:rFonts w:ascii="David" w:hAnsi="David"/>
          <w:b/>
          <w:bCs/>
          <w:u w:val="single"/>
          <w:rtl/>
        </w:rPr>
      </w:pPr>
      <w:r w:rsidRPr="00E77302">
        <w:rPr>
          <w:rFonts w:ascii="David" w:hAnsi="David"/>
          <w:b/>
          <w:bCs/>
          <w:u w:val="single"/>
          <w:rtl/>
        </w:rPr>
        <w:t>הנשיא השופט רון שפירא, אב"ד:</w:t>
      </w:r>
    </w:p>
    <w:p w14:paraId="1A23314C" w14:textId="77777777" w:rsidR="00341F8B" w:rsidRPr="00634939" w:rsidRDefault="00341F8B" w:rsidP="00341F8B">
      <w:pPr>
        <w:spacing w:after="120" w:line="360" w:lineRule="auto"/>
        <w:jc w:val="both"/>
        <w:rPr>
          <w:rFonts w:ascii="David" w:hAnsi="David"/>
          <w:rtl/>
        </w:rPr>
      </w:pPr>
      <w:r>
        <w:rPr>
          <w:rFonts w:ascii="David" w:hAnsi="David" w:hint="cs"/>
          <w:rtl/>
        </w:rPr>
        <w:t>א</w:t>
      </w:r>
      <w:r w:rsidRPr="00634939">
        <w:rPr>
          <w:rFonts w:ascii="David" w:hAnsi="David" w:hint="cs"/>
          <w:rtl/>
        </w:rPr>
        <w:t>ני מסכים.</w:t>
      </w:r>
    </w:p>
    <w:p w14:paraId="5326E92E" w14:textId="77777777" w:rsidR="00341F8B" w:rsidRDefault="00341F8B" w:rsidP="00341F8B">
      <w:pPr>
        <w:spacing w:after="120" w:line="360" w:lineRule="auto"/>
        <w:jc w:val="both"/>
        <w:rPr>
          <w:rFonts w:ascii="David" w:hAnsi="David"/>
          <w:rtl/>
        </w:rPr>
      </w:pPr>
      <w:r w:rsidRPr="00634939">
        <w:rPr>
          <w:rFonts w:ascii="David" w:hAnsi="David" w:hint="cs"/>
          <w:rtl/>
        </w:rPr>
        <w:t>בכל הנוגע לתחולת תיקון 137 ל</w:t>
      </w:r>
      <w:hyperlink r:id="rId86" w:history="1">
        <w:r w:rsidR="00D85E6C" w:rsidRPr="00D85E6C">
          <w:rPr>
            <w:rFonts w:ascii="David" w:hAnsi="David"/>
            <w:color w:val="0000FF"/>
            <w:u w:val="single"/>
            <w:rtl/>
          </w:rPr>
          <w:t>חוק העונשין</w:t>
        </w:r>
      </w:hyperlink>
      <w:r w:rsidRPr="00634939">
        <w:rPr>
          <w:rFonts w:ascii="David" w:hAnsi="David" w:hint="cs"/>
          <w:rtl/>
        </w:rPr>
        <w:t xml:space="preserve"> אני מסכים עם חברי כי </w:t>
      </w:r>
      <w:r w:rsidRPr="00634939">
        <w:rPr>
          <w:rFonts w:ascii="David" w:hAnsi="David"/>
          <w:rtl/>
        </w:rPr>
        <w:t xml:space="preserve">הפרשנות התכליתית של תיקון 137 ביחד עם </w:t>
      </w:r>
      <w:hyperlink r:id="rId87" w:history="1">
        <w:r w:rsidR="00080112" w:rsidRPr="00080112">
          <w:rPr>
            <w:rFonts w:ascii="David" w:hAnsi="David"/>
            <w:color w:val="0000FF"/>
            <w:u w:val="single"/>
            <w:rtl/>
          </w:rPr>
          <w:t>סעיף 5(א)</w:t>
        </w:r>
      </w:hyperlink>
      <w:r w:rsidRPr="00634939">
        <w:rPr>
          <w:rFonts w:ascii="David" w:hAnsi="David"/>
          <w:rtl/>
        </w:rPr>
        <w:t xml:space="preserve"> לחוק העונשין, תחולתו של ההסדר המקל שנקבע בתיקון (לעניין העונש ונסיבות של אחריות מופחתת) היא מיום  10.1.2019, ולכן יש להחילו על עבירת הרצח בגינה הורשע הנאשם (וזאת בהתאם לסעיף 25 לתיקון הדן בתחולתו, ביחד עם </w:t>
      </w:r>
      <w:hyperlink r:id="rId88" w:history="1">
        <w:r w:rsidR="00080112" w:rsidRPr="00080112">
          <w:rPr>
            <w:rFonts w:ascii="David" w:hAnsi="David"/>
            <w:color w:val="0000FF"/>
            <w:u w:val="single"/>
            <w:rtl/>
          </w:rPr>
          <w:t>סעיף 5(א)</w:t>
        </w:r>
      </w:hyperlink>
      <w:r w:rsidRPr="00634939">
        <w:rPr>
          <w:rFonts w:ascii="David" w:hAnsi="David"/>
          <w:rtl/>
        </w:rPr>
        <w:t xml:space="preserve"> לחוק העונשין).</w:t>
      </w:r>
    </w:p>
    <w:p w14:paraId="16CC68DF" w14:textId="77777777" w:rsidR="00341F8B" w:rsidRDefault="00341F8B" w:rsidP="00341F8B">
      <w:pPr>
        <w:spacing w:after="120" w:line="360" w:lineRule="auto"/>
        <w:jc w:val="both"/>
        <w:rPr>
          <w:rFonts w:ascii="David" w:hAnsi="David"/>
          <w:rtl/>
        </w:rPr>
      </w:pPr>
      <w:r>
        <w:rPr>
          <w:rFonts w:ascii="David" w:hAnsi="David" w:hint="cs"/>
          <w:rtl/>
        </w:rPr>
        <w:t>מעבר לפרשנות המשפטית, סבור אני כי גם בהיבט התכליתי וייעול הדיון יש להחיל את הוראות תיקון 137 בנסיבות המקרה שבפנינו. כי הרי התיקון חל על כל פסק דין שאינו חלוט. ממילא יחול התיקון על הליכי ערעור, ככל שיוגש ערעור על הכרעת הדין ו/או גזר הדין. ניתן להניח בסבירות רבה שהערעור, ככל שיוגש, לא ישמע בבית המשפט העליון קודם ליום 10.7.19. מכאן שערכאת הערעור תצטרך לבחון את הכרעת הדין ואת גזר דינו של בית משפט זה בהתאם להוראות תיקון 137 ל</w:t>
      </w:r>
      <w:hyperlink r:id="rId89" w:history="1">
        <w:r w:rsidR="00D85E6C" w:rsidRPr="00D85E6C">
          <w:rPr>
            <w:rFonts w:ascii="David" w:hAnsi="David"/>
            <w:color w:val="0000FF"/>
            <w:u w:val="single"/>
            <w:rtl/>
          </w:rPr>
          <w:t>חוק העונשין</w:t>
        </w:r>
      </w:hyperlink>
      <w:r>
        <w:rPr>
          <w:rFonts w:ascii="David" w:hAnsi="David" w:hint="cs"/>
          <w:rtl/>
        </w:rPr>
        <w:t xml:space="preserve">. העדר התייחסות וקביעת עמדה בסוגיה המשפטית ע"י הערכאה הדיונית עלול ליצור מצב בו הנושא ידון לראשונה בערכאת הערעור ויתכן שאף יגרור הליך של השבת הסוגיה לערכאה הדיונית כדי שתדון בה. מכאן שלו מהטעם של יעילות דיונית והתכלית של קיום דיון יעיל וקצר ככל שניתן, עלינו לבחון את הסוגיה ולהחליט בשים לב להוראות התיקון לחוק. </w:t>
      </w:r>
    </w:p>
    <w:p w14:paraId="3AE000B7" w14:textId="77777777" w:rsidR="00341F8B" w:rsidRDefault="00341F8B" w:rsidP="00341F8B">
      <w:pPr>
        <w:spacing w:after="120" w:line="360" w:lineRule="auto"/>
        <w:jc w:val="both"/>
        <w:rPr>
          <w:rFonts w:ascii="David" w:hAnsi="David"/>
          <w:rtl/>
        </w:rPr>
      </w:pPr>
      <w:r>
        <w:rPr>
          <w:rFonts w:ascii="David" w:hAnsi="David" w:hint="cs"/>
          <w:rtl/>
        </w:rPr>
        <w:t xml:space="preserve">כאמור, לגופו של עניין אני מצטרף לניתוח המשפטי של חברי, סגן הנשיא השופט א. אליקים ולתוצאה אליה הגיע.  </w:t>
      </w:r>
    </w:p>
    <w:p w14:paraId="3E882DD1" w14:textId="77777777" w:rsidR="00341F8B" w:rsidRDefault="00341F8B" w:rsidP="00341F8B">
      <w:pPr>
        <w:spacing w:after="120"/>
        <w:jc w:val="both"/>
        <w:rPr>
          <w:rFonts w:ascii="David" w:hAnsi="David"/>
          <w:rtl/>
        </w:rPr>
      </w:pPr>
    </w:p>
    <w:tbl>
      <w:tblPr>
        <w:bidiVisual/>
        <w:tblW w:w="0" w:type="auto"/>
        <w:tblLook w:val="01E0" w:firstRow="1" w:lastRow="1" w:firstColumn="1" w:lastColumn="1" w:noHBand="0" w:noVBand="0"/>
      </w:tblPr>
      <w:tblGrid>
        <w:gridCol w:w="2801"/>
        <w:gridCol w:w="316"/>
        <w:gridCol w:w="2551"/>
        <w:gridCol w:w="236"/>
        <w:gridCol w:w="2600"/>
      </w:tblGrid>
      <w:tr w:rsidR="00341F8B" w14:paraId="295D13BF" w14:textId="77777777" w:rsidTr="00341F8B">
        <w:tc>
          <w:tcPr>
            <w:tcW w:w="2801" w:type="dxa"/>
            <w:tcBorders>
              <w:top w:val="nil"/>
              <w:left w:val="nil"/>
              <w:right w:val="nil"/>
            </w:tcBorders>
            <w:shd w:val="clear" w:color="auto" w:fill="auto"/>
            <w:vAlign w:val="center"/>
          </w:tcPr>
          <w:p w14:paraId="095293C1" w14:textId="77777777" w:rsidR="00341F8B" w:rsidRPr="00341F8B" w:rsidRDefault="00341F8B" w:rsidP="00341F8B">
            <w:pPr>
              <w:jc w:val="center"/>
              <w:rPr>
                <w:rFonts w:ascii="Courier New" w:hAnsi="Courier New"/>
                <w:b/>
                <w:bCs/>
              </w:rPr>
            </w:pPr>
          </w:p>
        </w:tc>
        <w:tc>
          <w:tcPr>
            <w:tcW w:w="316" w:type="dxa"/>
            <w:shd w:val="clear" w:color="auto" w:fill="auto"/>
            <w:vAlign w:val="center"/>
          </w:tcPr>
          <w:p w14:paraId="3FFB0B03" w14:textId="77777777" w:rsidR="00341F8B" w:rsidRPr="00341F8B" w:rsidRDefault="00341F8B" w:rsidP="00341F8B">
            <w:pPr>
              <w:jc w:val="center"/>
              <w:rPr>
                <w:rFonts w:ascii="Courier New" w:hAnsi="Courier New"/>
                <w:b/>
                <w:bCs/>
              </w:rPr>
            </w:pPr>
          </w:p>
        </w:tc>
        <w:tc>
          <w:tcPr>
            <w:tcW w:w="2551" w:type="dxa"/>
            <w:tcBorders>
              <w:top w:val="nil"/>
              <w:left w:val="nil"/>
              <w:right w:val="nil"/>
            </w:tcBorders>
            <w:shd w:val="clear" w:color="auto" w:fill="auto"/>
            <w:vAlign w:val="center"/>
          </w:tcPr>
          <w:p w14:paraId="1CE238E6" w14:textId="77777777" w:rsidR="00341F8B" w:rsidRPr="00341F8B" w:rsidRDefault="00341F8B" w:rsidP="00341F8B">
            <w:pPr>
              <w:jc w:val="center"/>
              <w:rPr>
                <w:rFonts w:ascii="Courier New" w:hAnsi="Courier New"/>
                <w:b/>
                <w:bCs/>
              </w:rPr>
            </w:pPr>
          </w:p>
        </w:tc>
        <w:tc>
          <w:tcPr>
            <w:tcW w:w="236" w:type="dxa"/>
            <w:shd w:val="clear" w:color="auto" w:fill="auto"/>
            <w:vAlign w:val="center"/>
          </w:tcPr>
          <w:p w14:paraId="2DAD9BFC" w14:textId="77777777" w:rsidR="00341F8B" w:rsidRPr="00341F8B" w:rsidRDefault="00341F8B" w:rsidP="00341F8B">
            <w:pPr>
              <w:jc w:val="center"/>
              <w:rPr>
                <w:rFonts w:ascii="Courier New" w:hAnsi="Courier New"/>
                <w:b/>
                <w:bCs/>
              </w:rPr>
            </w:pPr>
          </w:p>
        </w:tc>
        <w:tc>
          <w:tcPr>
            <w:tcW w:w="2600" w:type="dxa"/>
            <w:tcBorders>
              <w:top w:val="nil"/>
              <w:left w:val="nil"/>
              <w:bottom w:val="single" w:sz="4" w:space="0" w:color="auto"/>
              <w:right w:val="nil"/>
            </w:tcBorders>
            <w:shd w:val="clear" w:color="auto" w:fill="auto"/>
            <w:vAlign w:val="center"/>
          </w:tcPr>
          <w:p w14:paraId="7845D082" w14:textId="77777777" w:rsidR="00341F8B" w:rsidRPr="00341F8B" w:rsidRDefault="00341F8B" w:rsidP="00341F8B">
            <w:pPr>
              <w:jc w:val="center"/>
              <w:rPr>
                <w:rFonts w:ascii="Courier New" w:hAnsi="Courier New"/>
                <w:b/>
                <w:bCs/>
                <w:rtl/>
              </w:rPr>
            </w:pPr>
          </w:p>
        </w:tc>
      </w:tr>
      <w:tr w:rsidR="00341F8B" w14:paraId="5C9C8938" w14:textId="77777777" w:rsidTr="00341F8B">
        <w:tc>
          <w:tcPr>
            <w:tcW w:w="2801" w:type="dxa"/>
            <w:tcBorders>
              <w:left w:val="nil"/>
              <w:bottom w:val="nil"/>
              <w:right w:val="nil"/>
            </w:tcBorders>
            <w:shd w:val="clear" w:color="auto" w:fill="auto"/>
          </w:tcPr>
          <w:p w14:paraId="72CB5E6D" w14:textId="77777777" w:rsidR="00341F8B" w:rsidRPr="00341F8B" w:rsidRDefault="00341F8B" w:rsidP="00341F8B">
            <w:pPr>
              <w:jc w:val="center"/>
              <w:rPr>
                <w:b/>
                <w:bCs/>
              </w:rPr>
            </w:pPr>
          </w:p>
        </w:tc>
        <w:tc>
          <w:tcPr>
            <w:tcW w:w="316" w:type="dxa"/>
            <w:shd w:val="clear" w:color="auto" w:fill="auto"/>
          </w:tcPr>
          <w:p w14:paraId="7EF265D8" w14:textId="77777777" w:rsidR="00341F8B" w:rsidRPr="00341F8B" w:rsidRDefault="00341F8B" w:rsidP="00341F8B">
            <w:pPr>
              <w:jc w:val="center"/>
              <w:rPr>
                <w:b/>
                <w:bCs/>
                <w:rtl/>
              </w:rPr>
            </w:pPr>
          </w:p>
        </w:tc>
        <w:tc>
          <w:tcPr>
            <w:tcW w:w="2551" w:type="dxa"/>
            <w:tcBorders>
              <w:left w:val="nil"/>
              <w:bottom w:val="nil"/>
              <w:right w:val="nil"/>
            </w:tcBorders>
            <w:shd w:val="clear" w:color="auto" w:fill="auto"/>
          </w:tcPr>
          <w:p w14:paraId="3439FF30" w14:textId="77777777" w:rsidR="00341F8B" w:rsidRPr="00341F8B" w:rsidRDefault="00341F8B" w:rsidP="00341F8B">
            <w:pPr>
              <w:jc w:val="center"/>
              <w:rPr>
                <w:b/>
                <w:bCs/>
              </w:rPr>
            </w:pPr>
          </w:p>
        </w:tc>
        <w:tc>
          <w:tcPr>
            <w:tcW w:w="236" w:type="dxa"/>
            <w:shd w:val="clear" w:color="auto" w:fill="auto"/>
          </w:tcPr>
          <w:p w14:paraId="2FFFA7AF" w14:textId="77777777" w:rsidR="00341F8B" w:rsidRPr="00341F8B" w:rsidRDefault="00341F8B" w:rsidP="00341F8B">
            <w:pPr>
              <w:jc w:val="center"/>
              <w:rPr>
                <w:b/>
                <w:bCs/>
              </w:rPr>
            </w:pPr>
          </w:p>
        </w:tc>
        <w:tc>
          <w:tcPr>
            <w:tcW w:w="2600" w:type="dxa"/>
            <w:tcBorders>
              <w:top w:val="single" w:sz="4" w:space="0" w:color="auto"/>
              <w:left w:val="nil"/>
              <w:bottom w:val="nil"/>
              <w:right w:val="nil"/>
            </w:tcBorders>
            <w:shd w:val="clear" w:color="auto" w:fill="auto"/>
          </w:tcPr>
          <w:p w14:paraId="7DD0B6D8" w14:textId="77777777" w:rsidR="00341F8B" w:rsidRPr="00341F8B" w:rsidRDefault="00341F8B" w:rsidP="00341F8B">
            <w:pPr>
              <w:jc w:val="center"/>
              <w:rPr>
                <w:b/>
                <w:bCs/>
              </w:rPr>
            </w:pPr>
            <w:r w:rsidRPr="00341F8B">
              <w:rPr>
                <w:rFonts w:hint="cs"/>
                <w:b/>
                <w:bCs/>
                <w:rtl/>
              </w:rPr>
              <w:t>רון שפירא, נשיא</w:t>
            </w:r>
          </w:p>
          <w:p w14:paraId="4B03673E" w14:textId="77777777" w:rsidR="00341F8B" w:rsidRPr="00341F8B" w:rsidRDefault="00341F8B" w:rsidP="00341F8B">
            <w:pPr>
              <w:jc w:val="center"/>
              <w:rPr>
                <w:b/>
                <w:bCs/>
              </w:rPr>
            </w:pPr>
            <w:r w:rsidRPr="00341F8B">
              <w:rPr>
                <w:rFonts w:hint="cs"/>
                <w:b/>
                <w:bCs/>
                <w:rtl/>
              </w:rPr>
              <w:t>[אב"ד]</w:t>
            </w:r>
          </w:p>
        </w:tc>
      </w:tr>
    </w:tbl>
    <w:p w14:paraId="7C48FF0F" w14:textId="77777777" w:rsidR="00341F8B" w:rsidRDefault="00341F8B" w:rsidP="00341F8B">
      <w:pPr>
        <w:spacing w:after="120" w:line="360" w:lineRule="auto"/>
        <w:jc w:val="both"/>
        <w:rPr>
          <w:rFonts w:ascii="David" w:hAnsi="David"/>
          <w:rtl/>
        </w:rPr>
      </w:pPr>
    </w:p>
    <w:p w14:paraId="176DDADD" w14:textId="77777777" w:rsidR="00341F8B" w:rsidRDefault="00341F8B" w:rsidP="00341F8B">
      <w:pPr>
        <w:spacing w:after="120" w:line="360" w:lineRule="auto"/>
        <w:jc w:val="both"/>
        <w:rPr>
          <w:rFonts w:ascii="David" w:hAnsi="David"/>
          <w:rtl/>
        </w:rPr>
      </w:pPr>
    </w:p>
    <w:p w14:paraId="6C71FFDD" w14:textId="77777777" w:rsidR="00341F8B" w:rsidRPr="00E77302" w:rsidRDefault="00341F8B" w:rsidP="00341F8B">
      <w:pPr>
        <w:spacing w:after="120"/>
        <w:jc w:val="both"/>
        <w:rPr>
          <w:rFonts w:ascii="David" w:hAnsi="David"/>
          <w:b/>
          <w:bCs/>
          <w:u w:val="single"/>
          <w:rtl/>
        </w:rPr>
      </w:pPr>
      <w:r w:rsidRPr="00E77302">
        <w:rPr>
          <w:rFonts w:ascii="David" w:hAnsi="David"/>
          <w:b/>
          <w:bCs/>
          <w:u w:val="single"/>
          <w:rtl/>
        </w:rPr>
        <w:t xml:space="preserve">השופטת תמר נאות-פרי: </w:t>
      </w:r>
    </w:p>
    <w:p w14:paraId="6C71A83C" w14:textId="77777777" w:rsidR="00341F8B" w:rsidRDefault="00341F8B" w:rsidP="00341F8B">
      <w:pPr>
        <w:spacing w:after="120" w:line="360" w:lineRule="auto"/>
        <w:jc w:val="both"/>
        <w:rPr>
          <w:rFonts w:ascii="David" w:hAnsi="David"/>
          <w:rtl/>
        </w:rPr>
      </w:pPr>
      <w:r>
        <w:rPr>
          <w:rFonts w:ascii="David" w:hAnsi="David" w:hint="cs"/>
          <w:rtl/>
        </w:rPr>
        <w:t>אני מסכימה.</w:t>
      </w:r>
    </w:p>
    <w:p w14:paraId="5F4FF5D0" w14:textId="77777777" w:rsidR="00341F8B" w:rsidRDefault="00341F8B" w:rsidP="00341F8B">
      <w:pPr>
        <w:spacing w:after="120"/>
        <w:jc w:val="both"/>
        <w:rPr>
          <w:rFonts w:ascii="David" w:hAnsi="David"/>
          <w:rtl/>
        </w:rPr>
      </w:pPr>
    </w:p>
    <w:tbl>
      <w:tblPr>
        <w:bidiVisual/>
        <w:tblW w:w="0" w:type="auto"/>
        <w:tblLook w:val="01E0" w:firstRow="1" w:lastRow="1" w:firstColumn="1" w:lastColumn="1" w:noHBand="0" w:noVBand="0"/>
      </w:tblPr>
      <w:tblGrid>
        <w:gridCol w:w="2801"/>
        <w:gridCol w:w="316"/>
        <w:gridCol w:w="2551"/>
        <w:gridCol w:w="236"/>
        <w:gridCol w:w="2600"/>
      </w:tblGrid>
      <w:tr w:rsidR="00341F8B" w14:paraId="0C67BFCB" w14:textId="77777777" w:rsidTr="00341F8B">
        <w:tc>
          <w:tcPr>
            <w:tcW w:w="2801" w:type="dxa"/>
            <w:tcBorders>
              <w:top w:val="nil"/>
              <w:left w:val="nil"/>
              <w:right w:val="nil"/>
            </w:tcBorders>
            <w:shd w:val="clear" w:color="auto" w:fill="auto"/>
            <w:vAlign w:val="center"/>
          </w:tcPr>
          <w:p w14:paraId="19961BAF" w14:textId="77777777" w:rsidR="00341F8B" w:rsidRPr="00341F8B" w:rsidRDefault="00341F8B" w:rsidP="00341F8B">
            <w:pPr>
              <w:jc w:val="center"/>
              <w:rPr>
                <w:rFonts w:ascii="Courier New" w:hAnsi="Courier New"/>
                <w:b/>
                <w:bCs/>
              </w:rPr>
            </w:pPr>
          </w:p>
        </w:tc>
        <w:tc>
          <w:tcPr>
            <w:tcW w:w="316" w:type="dxa"/>
            <w:shd w:val="clear" w:color="auto" w:fill="auto"/>
            <w:vAlign w:val="center"/>
          </w:tcPr>
          <w:p w14:paraId="2EB0CA5D" w14:textId="77777777" w:rsidR="00341F8B" w:rsidRPr="00341F8B" w:rsidRDefault="00341F8B" w:rsidP="00341F8B">
            <w:pPr>
              <w:jc w:val="center"/>
              <w:rPr>
                <w:rFonts w:ascii="Courier New" w:hAnsi="Courier New"/>
                <w:b/>
                <w:bCs/>
              </w:rPr>
            </w:pPr>
          </w:p>
        </w:tc>
        <w:tc>
          <w:tcPr>
            <w:tcW w:w="2551" w:type="dxa"/>
            <w:tcBorders>
              <w:top w:val="nil"/>
              <w:left w:val="nil"/>
              <w:right w:val="nil"/>
            </w:tcBorders>
            <w:shd w:val="clear" w:color="auto" w:fill="auto"/>
            <w:vAlign w:val="center"/>
          </w:tcPr>
          <w:p w14:paraId="4F5017B1" w14:textId="77777777" w:rsidR="00341F8B" w:rsidRPr="00341F8B" w:rsidRDefault="00341F8B" w:rsidP="00341F8B">
            <w:pPr>
              <w:jc w:val="center"/>
              <w:rPr>
                <w:rFonts w:ascii="Courier New" w:hAnsi="Courier New"/>
                <w:b/>
                <w:bCs/>
              </w:rPr>
            </w:pPr>
          </w:p>
        </w:tc>
        <w:tc>
          <w:tcPr>
            <w:tcW w:w="236" w:type="dxa"/>
            <w:shd w:val="clear" w:color="auto" w:fill="auto"/>
            <w:vAlign w:val="center"/>
          </w:tcPr>
          <w:p w14:paraId="4EA9CD32" w14:textId="77777777" w:rsidR="00341F8B" w:rsidRPr="00341F8B" w:rsidRDefault="00341F8B" w:rsidP="00341F8B">
            <w:pPr>
              <w:jc w:val="center"/>
              <w:rPr>
                <w:rFonts w:ascii="Courier New" w:hAnsi="Courier New"/>
                <w:b/>
                <w:bCs/>
              </w:rPr>
            </w:pPr>
          </w:p>
        </w:tc>
        <w:tc>
          <w:tcPr>
            <w:tcW w:w="2600" w:type="dxa"/>
            <w:tcBorders>
              <w:top w:val="nil"/>
              <w:left w:val="nil"/>
              <w:bottom w:val="single" w:sz="4" w:space="0" w:color="auto"/>
              <w:right w:val="nil"/>
            </w:tcBorders>
            <w:shd w:val="clear" w:color="auto" w:fill="auto"/>
            <w:vAlign w:val="center"/>
          </w:tcPr>
          <w:p w14:paraId="6331E695" w14:textId="77777777" w:rsidR="00341F8B" w:rsidRPr="00341F8B" w:rsidRDefault="00341F8B" w:rsidP="00341F8B">
            <w:pPr>
              <w:jc w:val="center"/>
              <w:rPr>
                <w:rFonts w:ascii="Courier New" w:hAnsi="Courier New"/>
                <w:b/>
                <w:bCs/>
                <w:rtl/>
              </w:rPr>
            </w:pPr>
          </w:p>
        </w:tc>
      </w:tr>
      <w:tr w:rsidR="00341F8B" w14:paraId="361927C7" w14:textId="77777777" w:rsidTr="00341F8B">
        <w:tc>
          <w:tcPr>
            <w:tcW w:w="2801" w:type="dxa"/>
            <w:tcBorders>
              <w:left w:val="nil"/>
              <w:bottom w:val="nil"/>
              <w:right w:val="nil"/>
            </w:tcBorders>
            <w:shd w:val="clear" w:color="auto" w:fill="auto"/>
          </w:tcPr>
          <w:p w14:paraId="0335842D" w14:textId="77777777" w:rsidR="00341F8B" w:rsidRPr="00341F8B" w:rsidRDefault="00341F8B" w:rsidP="00341F8B">
            <w:pPr>
              <w:jc w:val="center"/>
              <w:rPr>
                <w:b/>
                <w:bCs/>
              </w:rPr>
            </w:pPr>
          </w:p>
        </w:tc>
        <w:tc>
          <w:tcPr>
            <w:tcW w:w="316" w:type="dxa"/>
            <w:shd w:val="clear" w:color="auto" w:fill="auto"/>
          </w:tcPr>
          <w:p w14:paraId="371C5304" w14:textId="77777777" w:rsidR="00341F8B" w:rsidRPr="00341F8B" w:rsidRDefault="00341F8B" w:rsidP="00341F8B">
            <w:pPr>
              <w:jc w:val="center"/>
              <w:rPr>
                <w:b/>
                <w:bCs/>
                <w:rtl/>
              </w:rPr>
            </w:pPr>
          </w:p>
        </w:tc>
        <w:tc>
          <w:tcPr>
            <w:tcW w:w="2551" w:type="dxa"/>
            <w:tcBorders>
              <w:left w:val="nil"/>
              <w:bottom w:val="nil"/>
              <w:right w:val="nil"/>
            </w:tcBorders>
            <w:shd w:val="clear" w:color="auto" w:fill="auto"/>
          </w:tcPr>
          <w:p w14:paraId="54A9A1C9" w14:textId="77777777" w:rsidR="00341F8B" w:rsidRPr="00341F8B" w:rsidRDefault="00341F8B" w:rsidP="00341F8B">
            <w:pPr>
              <w:jc w:val="center"/>
              <w:rPr>
                <w:b/>
                <w:bCs/>
              </w:rPr>
            </w:pPr>
          </w:p>
        </w:tc>
        <w:tc>
          <w:tcPr>
            <w:tcW w:w="236" w:type="dxa"/>
            <w:shd w:val="clear" w:color="auto" w:fill="auto"/>
          </w:tcPr>
          <w:p w14:paraId="0AB08AFE" w14:textId="77777777" w:rsidR="00341F8B" w:rsidRPr="00341F8B" w:rsidRDefault="00341F8B" w:rsidP="00341F8B">
            <w:pPr>
              <w:jc w:val="center"/>
              <w:rPr>
                <w:b/>
                <w:bCs/>
              </w:rPr>
            </w:pPr>
          </w:p>
        </w:tc>
        <w:tc>
          <w:tcPr>
            <w:tcW w:w="2600" w:type="dxa"/>
            <w:tcBorders>
              <w:top w:val="single" w:sz="4" w:space="0" w:color="auto"/>
              <w:left w:val="nil"/>
              <w:bottom w:val="nil"/>
              <w:right w:val="nil"/>
            </w:tcBorders>
            <w:shd w:val="clear" w:color="auto" w:fill="auto"/>
          </w:tcPr>
          <w:p w14:paraId="31D0E620" w14:textId="77777777" w:rsidR="00341F8B" w:rsidRPr="00341F8B" w:rsidRDefault="00341F8B" w:rsidP="00341F8B">
            <w:pPr>
              <w:jc w:val="center"/>
              <w:rPr>
                <w:b/>
                <w:bCs/>
              </w:rPr>
            </w:pPr>
            <w:r w:rsidRPr="00341F8B">
              <w:rPr>
                <w:rFonts w:hint="cs"/>
                <w:b/>
                <w:bCs/>
                <w:rtl/>
              </w:rPr>
              <w:t>תמר נאות פרי, שופטת</w:t>
            </w:r>
          </w:p>
        </w:tc>
      </w:tr>
    </w:tbl>
    <w:p w14:paraId="7E17C213" w14:textId="77777777" w:rsidR="00341F8B" w:rsidRPr="00E77302" w:rsidRDefault="00341F8B" w:rsidP="00341F8B">
      <w:pPr>
        <w:spacing w:after="120" w:line="360" w:lineRule="auto"/>
        <w:jc w:val="both"/>
        <w:rPr>
          <w:rFonts w:ascii="David" w:hAnsi="David"/>
          <w:rtl/>
        </w:rPr>
      </w:pPr>
    </w:p>
    <w:p w14:paraId="707D495D" w14:textId="77777777" w:rsidR="00341F8B" w:rsidRDefault="006561E3" w:rsidP="00341F8B">
      <w:pPr>
        <w:spacing w:after="120" w:line="360" w:lineRule="auto"/>
        <w:jc w:val="both"/>
        <w:rPr>
          <w:rFonts w:ascii="David" w:hAnsi="David"/>
          <w:rtl/>
        </w:rPr>
      </w:pPr>
      <w:r>
        <w:rPr>
          <w:rFonts w:ascii="David" w:hAnsi="David" w:hint="cs"/>
          <w:rtl/>
        </w:rPr>
        <w:t xml:space="preserve">                    </w:t>
      </w:r>
    </w:p>
    <w:p w14:paraId="1174555F" w14:textId="77777777" w:rsidR="00341F8B" w:rsidRPr="003E5108" w:rsidRDefault="00341F8B" w:rsidP="00341F8B">
      <w:pPr>
        <w:pStyle w:val="a9"/>
        <w:spacing w:after="120" w:line="360" w:lineRule="auto"/>
        <w:ind w:left="368"/>
        <w:contextualSpacing w:val="0"/>
        <w:jc w:val="both"/>
        <w:rPr>
          <w:rFonts w:ascii="David" w:hAnsi="David" w:cs="David"/>
          <w:szCs w:val="24"/>
          <w:rtl/>
        </w:rPr>
      </w:pPr>
      <w:r>
        <w:rPr>
          <w:rFonts w:ascii="David" w:hAnsi="David" w:cs="David" w:hint="cs"/>
          <w:szCs w:val="24"/>
          <w:rtl/>
        </w:rPr>
        <w:t xml:space="preserve">הוחלט פה אחד </w:t>
      </w:r>
      <w:r w:rsidRPr="003E5108">
        <w:rPr>
          <w:rFonts w:ascii="David" w:hAnsi="David" w:cs="David"/>
          <w:szCs w:val="24"/>
          <w:rtl/>
        </w:rPr>
        <w:t>להטיל על הנאשם את העונשים הבאים:</w:t>
      </w:r>
    </w:p>
    <w:p w14:paraId="36FBD63C" w14:textId="77777777" w:rsidR="00341F8B" w:rsidRPr="003E5108" w:rsidRDefault="00341F8B" w:rsidP="00341F8B">
      <w:pPr>
        <w:spacing w:after="120" w:line="360" w:lineRule="auto"/>
        <w:ind w:firstLine="368"/>
        <w:jc w:val="both"/>
        <w:rPr>
          <w:rFonts w:ascii="David" w:hAnsi="David"/>
          <w:rtl/>
        </w:rPr>
      </w:pPr>
      <w:r w:rsidRPr="003E5108">
        <w:rPr>
          <w:rFonts w:ascii="David" w:hAnsi="David"/>
          <w:rtl/>
        </w:rPr>
        <w:t>-בגין רצח המנוח – מאסר עולם.</w:t>
      </w:r>
    </w:p>
    <w:p w14:paraId="76568287" w14:textId="77777777" w:rsidR="00341F8B" w:rsidRPr="003E5108" w:rsidRDefault="00341F8B" w:rsidP="00341F8B">
      <w:pPr>
        <w:spacing w:after="120" w:line="360" w:lineRule="auto"/>
        <w:ind w:left="368"/>
        <w:jc w:val="both"/>
        <w:rPr>
          <w:rFonts w:ascii="David" w:hAnsi="David"/>
          <w:rtl/>
        </w:rPr>
      </w:pPr>
      <w:r w:rsidRPr="003E5108">
        <w:rPr>
          <w:rFonts w:ascii="David" w:hAnsi="David"/>
          <w:rtl/>
        </w:rPr>
        <w:t>-בגין עבירת ניסיון לרצח- 7 שנות מאסר בפועל בהן יישא במצטבר לעונש מאסר העולם. תחילת המאסר תימנה מיום מעצרו של הנאשם – 26.10.2014.</w:t>
      </w:r>
    </w:p>
    <w:p w14:paraId="6FDA60DD" w14:textId="77777777" w:rsidR="00341F8B" w:rsidRDefault="00341F8B" w:rsidP="00341F8B">
      <w:pPr>
        <w:spacing w:after="120" w:line="360" w:lineRule="auto"/>
        <w:ind w:left="368" w:firstLine="7"/>
        <w:jc w:val="both"/>
        <w:rPr>
          <w:rFonts w:ascii="David" w:hAnsi="David"/>
          <w:rtl/>
        </w:rPr>
      </w:pPr>
      <w:r w:rsidRPr="003E5108">
        <w:rPr>
          <w:rFonts w:ascii="David" w:hAnsi="David"/>
          <w:rtl/>
        </w:rPr>
        <w:t xml:space="preserve">-בשים לב למשכו של המאסר שאנו גוזרים אציע לחברי שלא להוסיף עוד עונש של מאסר מותנה.    </w:t>
      </w:r>
    </w:p>
    <w:p w14:paraId="27C2E6D0" w14:textId="77777777" w:rsidR="00341F8B" w:rsidRPr="00E868D9" w:rsidRDefault="00341F8B" w:rsidP="00341F8B">
      <w:pPr>
        <w:spacing w:line="360" w:lineRule="auto"/>
        <w:ind w:left="368"/>
        <w:jc w:val="both"/>
        <w:rPr>
          <w:rFonts w:ascii="David" w:hAnsi="David"/>
        </w:rPr>
      </w:pPr>
      <w:r w:rsidRPr="00E868D9">
        <w:rPr>
          <w:rFonts w:ascii="David" w:hAnsi="David"/>
          <w:rtl/>
        </w:rPr>
        <w:t xml:space="preserve">-הנאשם ישלם פיצוי בשיעור של 258,000 ש"ח לעיזבון המנוח (אשתו וארבעת ילדיו) ופיצוי בשיעור של 14,000 ש"ח לראזי מחרום (עד תביעה מס' 9). הפיצוי לעיזבון המנוח </w:t>
      </w:r>
      <w:r>
        <w:rPr>
          <w:rFonts w:ascii="David" w:hAnsi="David" w:hint="cs"/>
          <w:rtl/>
        </w:rPr>
        <w:t xml:space="preserve">ישולם </w:t>
      </w:r>
      <w:r w:rsidRPr="00E868D9">
        <w:rPr>
          <w:rFonts w:ascii="David" w:hAnsi="David"/>
          <w:rtl/>
        </w:rPr>
        <w:t xml:space="preserve">באמצעות אלמנתו מרוות מחרום. </w:t>
      </w:r>
    </w:p>
    <w:p w14:paraId="7B1D7C05" w14:textId="77777777" w:rsidR="00341F8B" w:rsidRDefault="00341F8B" w:rsidP="00341F8B">
      <w:pPr>
        <w:spacing w:after="120" w:line="360" w:lineRule="auto"/>
        <w:ind w:left="368"/>
        <w:jc w:val="both"/>
        <w:rPr>
          <w:rFonts w:ascii="David" w:hAnsi="David"/>
          <w:rtl/>
        </w:rPr>
      </w:pPr>
      <w:r w:rsidRPr="003E5108">
        <w:rPr>
          <w:rFonts w:ascii="David" w:hAnsi="David"/>
          <w:rtl/>
        </w:rPr>
        <w:t xml:space="preserve">סכומי הפיצויים יופקדו על ידי הנאשם בקופת בית משפט  עד לא יאוחר מיום 31.12.2019, המאשימה תמסור למזכירות בית המשפט את הפרטים הדרושים לצורך ביצוע התשלום ובכלל זה את פרטי חשבון הבנק של נפגעי העבירות. </w:t>
      </w:r>
    </w:p>
    <w:p w14:paraId="352BD071" w14:textId="77777777" w:rsidR="00341F8B" w:rsidRDefault="00341F8B" w:rsidP="00341F8B">
      <w:pPr>
        <w:spacing w:after="120" w:line="360" w:lineRule="auto"/>
        <w:ind w:left="368"/>
        <w:jc w:val="both"/>
        <w:rPr>
          <w:rFonts w:ascii="David" w:hAnsi="David"/>
          <w:rtl/>
        </w:rPr>
      </w:pPr>
    </w:p>
    <w:p w14:paraId="6CE84601" w14:textId="77777777" w:rsidR="00341F8B" w:rsidRPr="00872C47" w:rsidRDefault="00341F8B" w:rsidP="00341F8B">
      <w:pPr>
        <w:ind w:firstLine="368"/>
        <w:rPr>
          <w:rFonts w:ascii="David" w:hAnsi="David"/>
          <w:b/>
          <w:bCs/>
          <w:rtl/>
        </w:rPr>
      </w:pPr>
      <w:r w:rsidRPr="00872C47">
        <w:rPr>
          <w:rFonts w:ascii="David" w:hAnsi="David" w:hint="cs"/>
          <w:b/>
          <w:bCs/>
          <w:rtl/>
        </w:rPr>
        <w:t xml:space="preserve">הוסברה לנאשם זכותו לערער על הכרעת הדין וגזר הדין בתוך 45 ימים מהיום. </w:t>
      </w:r>
    </w:p>
    <w:p w14:paraId="25D29518" w14:textId="77777777" w:rsidR="00341F8B" w:rsidRDefault="00341F8B" w:rsidP="00341F8B">
      <w:pPr>
        <w:pStyle w:val="a9"/>
        <w:rPr>
          <w:rFonts w:ascii="David" w:hAnsi="David" w:cs="David"/>
          <w:szCs w:val="24"/>
          <w:rtl/>
        </w:rPr>
      </w:pPr>
    </w:p>
    <w:p w14:paraId="1AAE6F98" w14:textId="77777777" w:rsidR="00341F8B" w:rsidRDefault="00D85E6C" w:rsidP="00341F8B">
      <w:pPr>
        <w:spacing w:line="360" w:lineRule="auto"/>
        <w:jc w:val="both"/>
        <w:rPr>
          <w:rFonts w:ascii="Arial" w:hAnsi="Arial"/>
          <w:rtl/>
        </w:rPr>
      </w:pPr>
      <w:bookmarkStart w:id="11" w:name="Nitan"/>
      <w:r>
        <w:rPr>
          <w:rFonts w:ascii="Arial" w:hAnsi="Arial"/>
          <w:rtl/>
        </w:rPr>
        <w:t xml:space="preserve">ניתן היום,  ט"ו אייר תשע"ט, 20 מאי 2019, במעמד הנאשם וב"כ הצדדים.  </w:t>
      </w:r>
      <w:bookmarkEnd w:id="11"/>
    </w:p>
    <w:p w14:paraId="30FBE4B3" w14:textId="77777777" w:rsidR="00341F8B" w:rsidRPr="00D85E6C" w:rsidRDefault="00D85E6C" w:rsidP="00341F8B">
      <w:pPr>
        <w:spacing w:line="360" w:lineRule="auto"/>
        <w:jc w:val="both"/>
        <w:rPr>
          <w:rFonts w:ascii="Arial" w:hAnsi="Arial"/>
          <w:color w:val="FFFFFF"/>
          <w:sz w:val="2"/>
          <w:szCs w:val="2"/>
        </w:rPr>
      </w:pPr>
      <w:r w:rsidRPr="00D85E6C">
        <w:rPr>
          <w:rFonts w:ascii="Arial" w:hAnsi="Arial"/>
          <w:color w:val="FFFFFF"/>
          <w:sz w:val="2"/>
          <w:szCs w:val="2"/>
          <w:rtl/>
        </w:rPr>
        <w:t>5129371</w:t>
      </w:r>
    </w:p>
    <w:tbl>
      <w:tblPr>
        <w:bidiVisual/>
        <w:tblW w:w="0" w:type="auto"/>
        <w:tblLook w:val="01E0" w:firstRow="1" w:lastRow="1" w:firstColumn="1" w:lastColumn="1" w:noHBand="0" w:noVBand="0"/>
      </w:tblPr>
      <w:tblGrid>
        <w:gridCol w:w="2801"/>
        <w:gridCol w:w="316"/>
        <w:gridCol w:w="2551"/>
        <w:gridCol w:w="236"/>
        <w:gridCol w:w="2600"/>
      </w:tblGrid>
      <w:tr w:rsidR="00341F8B" w14:paraId="5AE72E0C" w14:textId="77777777" w:rsidTr="00341F8B">
        <w:tc>
          <w:tcPr>
            <w:tcW w:w="2801" w:type="dxa"/>
            <w:tcBorders>
              <w:top w:val="nil"/>
              <w:left w:val="nil"/>
              <w:bottom w:val="single" w:sz="4" w:space="0" w:color="auto"/>
              <w:right w:val="nil"/>
            </w:tcBorders>
            <w:shd w:val="clear" w:color="auto" w:fill="auto"/>
            <w:vAlign w:val="center"/>
          </w:tcPr>
          <w:p w14:paraId="4A816FA2" w14:textId="77777777" w:rsidR="00341F8B" w:rsidRPr="00D85E6C" w:rsidRDefault="00D85E6C" w:rsidP="00341F8B">
            <w:pPr>
              <w:jc w:val="center"/>
              <w:rPr>
                <w:rFonts w:ascii="Courier New" w:hAnsi="Courier New"/>
                <w:b/>
                <w:bCs/>
                <w:color w:val="FFFFFF"/>
                <w:sz w:val="2"/>
                <w:szCs w:val="2"/>
              </w:rPr>
            </w:pPr>
            <w:r w:rsidRPr="00D85E6C">
              <w:rPr>
                <w:rFonts w:ascii="Courier New" w:hAnsi="Courier New"/>
                <w:b/>
                <w:bCs/>
                <w:color w:val="FFFFFF"/>
                <w:sz w:val="2"/>
                <w:szCs w:val="2"/>
                <w:rtl/>
              </w:rPr>
              <w:t>54678313</w:t>
            </w:r>
          </w:p>
        </w:tc>
        <w:tc>
          <w:tcPr>
            <w:tcW w:w="316" w:type="dxa"/>
            <w:shd w:val="clear" w:color="auto" w:fill="auto"/>
            <w:vAlign w:val="center"/>
          </w:tcPr>
          <w:p w14:paraId="62A47410" w14:textId="77777777" w:rsidR="00341F8B" w:rsidRPr="00341F8B" w:rsidRDefault="00341F8B" w:rsidP="00341F8B">
            <w:pPr>
              <w:jc w:val="center"/>
              <w:rPr>
                <w:rFonts w:ascii="Courier New" w:hAnsi="Courier New"/>
                <w:b/>
                <w:bCs/>
              </w:rPr>
            </w:pPr>
          </w:p>
        </w:tc>
        <w:tc>
          <w:tcPr>
            <w:tcW w:w="2551" w:type="dxa"/>
            <w:tcBorders>
              <w:top w:val="nil"/>
              <w:left w:val="nil"/>
              <w:bottom w:val="single" w:sz="4" w:space="0" w:color="auto"/>
              <w:right w:val="nil"/>
            </w:tcBorders>
            <w:shd w:val="clear" w:color="auto" w:fill="auto"/>
            <w:vAlign w:val="center"/>
          </w:tcPr>
          <w:p w14:paraId="5A057E53" w14:textId="77777777" w:rsidR="00341F8B" w:rsidRPr="00341F8B" w:rsidRDefault="00341F8B" w:rsidP="00341F8B">
            <w:pPr>
              <w:jc w:val="center"/>
              <w:rPr>
                <w:rFonts w:ascii="Courier New" w:hAnsi="Courier New"/>
                <w:b/>
                <w:bCs/>
              </w:rPr>
            </w:pPr>
          </w:p>
        </w:tc>
        <w:tc>
          <w:tcPr>
            <w:tcW w:w="236" w:type="dxa"/>
            <w:shd w:val="clear" w:color="auto" w:fill="auto"/>
            <w:vAlign w:val="center"/>
          </w:tcPr>
          <w:p w14:paraId="1FCC214D" w14:textId="77777777" w:rsidR="00341F8B" w:rsidRPr="00341F8B" w:rsidRDefault="00341F8B" w:rsidP="00341F8B">
            <w:pPr>
              <w:jc w:val="center"/>
              <w:rPr>
                <w:rFonts w:ascii="Courier New" w:hAnsi="Courier New"/>
                <w:b/>
                <w:bCs/>
              </w:rPr>
            </w:pPr>
          </w:p>
        </w:tc>
        <w:tc>
          <w:tcPr>
            <w:tcW w:w="2600" w:type="dxa"/>
            <w:tcBorders>
              <w:top w:val="nil"/>
              <w:left w:val="nil"/>
              <w:bottom w:val="single" w:sz="4" w:space="0" w:color="auto"/>
              <w:right w:val="nil"/>
            </w:tcBorders>
            <w:shd w:val="clear" w:color="auto" w:fill="auto"/>
            <w:vAlign w:val="center"/>
          </w:tcPr>
          <w:p w14:paraId="75265711" w14:textId="77777777" w:rsidR="00341F8B" w:rsidRPr="00341F8B" w:rsidRDefault="00341F8B" w:rsidP="00341F8B">
            <w:pPr>
              <w:jc w:val="center"/>
              <w:rPr>
                <w:rFonts w:ascii="Courier New" w:hAnsi="Courier New"/>
                <w:b/>
                <w:bCs/>
              </w:rPr>
            </w:pPr>
          </w:p>
        </w:tc>
      </w:tr>
      <w:tr w:rsidR="00341F8B" w14:paraId="068E7477" w14:textId="77777777" w:rsidTr="00341F8B">
        <w:tc>
          <w:tcPr>
            <w:tcW w:w="2801" w:type="dxa"/>
            <w:tcBorders>
              <w:top w:val="single" w:sz="4" w:space="0" w:color="auto"/>
              <w:left w:val="nil"/>
              <w:bottom w:val="nil"/>
              <w:right w:val="nil"/>
            </w:tcBorders>
            <w:shd w:val="clear" w:color="auto" w:fill="auto"/>
          </w:tcPr>
          <w:p w14:paraId="71DE5A66" w14:textId="77777777" w:rsidR="00341F8B" w:rsidRPr="00341F8B" w:rsidRDefault="00341F8B" w:rsidP="00341F8B">
            <w:pPr>
              <w:jc w:val="center"/>
              <w:rPr>
                <w:b/>
                <w:bCs/>
              </w:rPr>
            </w:pPr>
            <w:r w:rsidRPr="00341F8B">
              <w:rPr>
                <w:rFonts w:hint="cs"/>
                <w:b/>
                <w:bCs/>
                <w:rtl/>
              </w:rPr>
              <w:t xml:space="preserve"> רון שפירא, נשיא</w:t>
            </w:r>
          </w:p>
          <w:p w14:paraId="7A3EE54D" w14:textId="77777777" w:rsidR="00341F8B" w:rsidRPr="00341F8B" w:rsidRDefault="00341F8B" w:rsidP="00341F8B">
            <w:pPr>
              <w:jc w:val="center"/>
              <w:rPr>
                <w:b/>
                <w:bCs/>
              </w:rPr>
            </w:pPr>
            <w:r w:rsidRPr="00341F8B">
              <w:rPr>
                <w:rFonts w:hint="cs"/>
                <w:b/>
                <w:bCs/>
                <w:rtl/>
              </w:rPr>
              <w:t>[אב"ד]</w:t>
            </w:r>
          </w:p>
        </w:tc>
        <w:tc>
          <w:tcPr>
            <w:tcW w:w="316" w:type="dxa"/>
            <w:shd w:val="clear" w:color="auto" w:fill="auto"/>
          </w:tcPr>
          <w:p w14:paraId="59EFAAB1" w14:textId="77777777" w:rsidR="00341F8B" w:rsidRPr="00341F8B" w:rsidRDefault="00341F8B" w:rsidP="00341F8B">
            <w:pPr>
              <w:jc w:val="center"/>
              <w:rPr>
                <w:b/>
                <w:bCs/>
                <w:rtl/>
              </w:rPr>
            </w:pPr>
          </w:p>
        </w:tc>
        <w:tc>
          <w:tcPr>
            <w:tcW w:w="2551" w:type="dxa"/>
            <w:tcBorders>
              <w:top w:val="single" w:sz="4" w:space="0" w:color="auto"/>
              <w:left w:val="nil"/>
              <w:bottom w:val="nil"/>
              <w:right w:val="nil"/>
            </w:tcBorders>
            <w:shd w:val="clear" w:color="auto" w:fill="auto"/>
          </w:tcPr>
          <w:p w14:paraId="5A741B8B" w14:textId="77777777" w:rsidR="00341F8B" w:rsidRPr="00341F8B" w:rsidRDefault="00341F8B" w:rsidP="00341F8B">
            <w:pPr>
              <w:jc w:val="center"/>
              <w:rPr>
                <w:b/>
                <w:bCs/>
              </w:rPr>
            </w:pPr>
            <w:r w:rsidRPr="00341F8B">
              <w:rPr>
                <w:rFonts w:hint="cs"/>
                <w:b/>
                <w:bCs/>
                <w:rtl/>
              </w:rPr>
              <w:t>אברהם אליקים, סגן נשיא</w:t>
            </w:r>
          </w:p>
        </w:tc>
        <w:tc>
          <w:tcPr>
            <w:tcW w:w="236" w:type="dxa"/>
            <w:shd w:val="clear" w:color="auto" w:fill="auto"/>
          </w:tcPr>
          <w:p w14:paraId="33519C22" w14:textId="77777777" w:rsidR="00341F8B" w:rsidRPr="00341F8B" w:rsidRDefault="00341F8B" w:rsidP="00341F8B">
            <w:pPr>
              <w:jc w:val="center"/>
              <w:rPr>
                <w:b/>
                <w:bCs/>
              </w:rPr>
            </w:pPr>
          </w:p>
        </w:tc>
        <w:tc>
          <w:tcPr>
            <w:tcW w:w="2600" w:type="dxa"/>
            <w:tcBorders>
              <w:top w:val="single" w:sz="4" w:space="0" w:color="auto"/>
              <w:left w:val="nil"/>
              <w:bottom w:val="nil"/>
              <w:right w:val="nil"/>
            </w:tcBorders>
            <w:shd w:val="clear" w:color="auto" w:fill="auto"/>
          </w:tcPr>
          <w:p w14:paraId="5CDF88C2" w14:textId="77777777" w:rsidR="00341F8B" w:rsidRPr="00341F8B" w:rsidRDefault="00341F8B" w:rsidP="00341F8B">
            <w:pPr>
              <w:jc w:val="center"/>
              <w:rPr>
                <w:b/>
                <w:bCs/>
              </w:rPr>
            </w:pPr>
            <w:r w:rsidRPr="00341F8B">
              <w:rPr>
                <w:rFonts w:hint="cs"/>
                <w:b/>
                <w:bCs/>
                <w:rtl/>
              </w:rPr>
              <w:t>תמר נאות פרי, שופטת</w:t>
            </w:r>
          </w:p>
        </w:tc>
      </w:tr>
    </w:tbl>
    <w:p w14:paraId="2216A19E" w14:textId="77777777" w:rsidR="00341F8B" w:rsidRPr="00080112" w:rsidRDefault="00080112" w:rsidP="00341F8B">
      <w:pPr>
        <w:rPr>
          <w:rFonts w:cs="FrankRuehl"/>
          <w:color w:val="FFFFFF"/>
          <w:sz w:val="2"/>
          <w:szCs w:val="2"/>
          <w:rtl/>
        </w:rPr>
      </w:pPr>
      <w:r w:rsidRPr="00080112">
        <w:rPr>
          <w:rFonts w:cs="FrankRuehl"/>
          <w:color w:val="FFFFFF"/>
          <w:sz w:val="2"/>
          <w:szCs w:val="2"/>
          <w:rtl/>
        </w:rPr>
        <w:t>5129371</w:t>
      </w:r>
    </w:p>
    <w:p w14:paraId="59430091" w14:textId="77777777" w:rsidR="005B30DB" w:rsidRPr="00080112" w:rsidRDefault="00080112" w:rsidP="00D85E6C">
      <w:pPr>
        <w:keepNext/>
        <w:rPr>
          <w:rFonts w:ascii="David" w:hAnsi="David"/>
          <w:color w:val="FFFFFF"/>
          <w:sz w:val="2"/>
          <w:szCs w:val="2"/>
          <w:rtl/>
        </w:rPr>
      </w:pPr>
      <w:r w:rsidRPr="00080112">
        <w:rPr>
          <w:rFonts w:ascii="David" w:hAnsi="David"/>
          <w:color w:val="FFFFFF"/>
          <w:sz w:val="2"/>
          <w:szCs w:val="2"/>
          <w:rtl/>
        </w:rPr>
        <w:t>54678313</w:t>
      </w:r>
    </w:p>
    <w:p w14:paraId="7A79902A" w14:textId="77777777" w:rsidR="00D85E6C" w:rsidRDefault="00D85E6C" w:rsidP="00D85E6C">
      <w:pPr>
        <w:rPr>
          <w:rtl/>
        </w:rPr>
      </w:pPr>
    </w:p>
    <w:p w14:paraId="249CA521" w14:textId="77777777" w:rsidR="00D85E6C" w:rsidRDefault="00D85E6C" w:rsidP="00D85E6C">
      <w:pPr>
        <w:jc w:val="center"/>
        <w:rPr>
          <w:color w:val="0000FF"/>
          <w:u w:val="single"/>
        </w:rPr>
      </w:pPr>
      <w:hyperlink r:id="rId90" w:history="1">
        <w:r>
          <w:rPr>
            <w:color w:val="0000FF"/>
            <w:u w:val="single"/>
            <w:rtl/>
          </w:rPr>
          <w:t>בעניין עריכה ושינויים במסמכי פסיקה, חקיקה ועוד באתר נבו – הקש כאן</w:t>
        </w:r>
      </w:hyperlink>
    </w:p>
    <w:p w14:paraId="28779EDC" w14:textId="77777777" w:rsidR="00080112" w:rsidRPr="00080112" w:rsidRDefault="00080112" w:rsidP="00080112">
      <w:pPr>
        <w:keepNext/>
        <w:rPr>
          <w:rFonts w:ascii="David" w:hAnsi="David"/>
          <w:color w:val="000000"/>
          <w:sz w:val="22"/>
          <w:szCs w:val="22"/>
          <w:rtl/>
        </w:rPr>
      </w:pPr>
    </w:p>
    <w:p w14:paraId="1016166C" w14:textId="77777777" w:rsidR="00080112" w:rsidRPr="00080112" w:rsidRDefault="00080112" w:rsidP="00080112">
      <w:pPr>
        <w:keepNext/>
        <w:rPr>
          <w:rFonts w:ascii="David" w:hAnsi="David"/>
          <w:color w:val="000000"/>
          <w:sz w:val="22"/>
          <w:szCs w:val="22"/>
          <w:rtl/>
        </w:rPr>
      </w:pPr>
      <w:r w:rsidRPr="00080112">
        <w:rPr>
          <w:rFonts w:ascii="David" w:hAnsi="David"/>
          <w:color w:val="000000"/>
          <w:sz w:val="22"/>
          <w:szCs w:val="22"/>
          <w:rtl/>
        </w:rPr>
        <w:t>רון שפירא 54678313-/</w:t>
      </w:r>
    </w:p>
    <w:p w14:paraId="3A66DF10" w14:textId="77777777" w:rsidR="00D85E6C" w:rsidRPr="00D85E6C" w:rsidRDefault="00080112" w:rsidP="00080112">
      <w:pPr>
        <w:rPr>
          <w:color w:val="0000FF"/>
          <w:u w:val="single"/>
        </w:rPr>
      </w:pPr>
      <w:r w:rsidRPr="00080112">
        <w:rPr>
          <w:color w:val="000000"/>
          <w:u w:val="single"/>
          <w:rtl/>
        </w:rPr>
        <w:t>נוסח מסמך זה כפוף לשינויי ניסוח ועריכה</w:t>
      </w:r>
    </w:p>
    <w:sectPr w:rsidR="00D85E6C" w:rsidRPr="00D85E6C" w:rsidSect="00080112">
      <w:headerReference w:type="even" r:id="rId91"/>
      <w:headerReference w:type="default" r:id="rId92"/>
      <w:footerReference w:type="even" r:id="rId93"/>
      <w:footerReference w:type="default" r:id="rId9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8569F" w14:textId="77777777" w:rsidR="0012242D" w:rsidRDefault="0012242D" w:rsidP="00F40B58">
      <w:r>
        <w:separator/>
      </w:r>
    </w:p>
  </w:endnote>
  <w:endnote w:type="continuationSeparator" w:id="0">
    <w:p w14:paraId="07A1E756" w14:textId="77777777" w:rsidR="0012242D" w:rsidRDefault="0012242D" w:rsidP="00F4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01A8F" w14:textId="77777777" w:rsidR="00080112" w:rsidRDefault="00080112" w:rsidP="000801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27C6AD" w14:textId="77777777" w:rsidR="00C96D63" w:rsidRPr="00080112" w:rsidRDefault="00080112" w:rsidP="00080112">
    <w:pPr>
      <w:pStyle w:val="a5"/>
      <w:pBdr>
        <w:top w:val="single" w:sz="4" w:space="1" w:color="auto"/>
        <w:between w:val="single" w:sz="4" w:space="0" w:color="auto"/>
      </w:pBdr>
      <w:spacing w:after="60"/>
      <w:jc w:val="center"/>
      <w:rPr>
        <w:rFonts w:ascii="FrankRuehl" w:hAnsi="FrankRuehl" w:cs="FrankRuehl"/>
        <w:color w:val="000000"/>
      </w:rPr>
    </w:pPr>
    <w:r w:rsidRPr="000801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4B3AB" w14:textId="77777777" w:rsidR="00080112" w:rsidRDefault="00080112" w:rsidP="000801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1A00">
      <w:rPr>
        <w:rFonts w:ascii="FrankRuehl" w:hAnsi="FrankRuehl" w:cs="FrankRuehl"/>
        <w:noProof/>
        <w:rtl/>
      </w:rPr>
      <w:t>1</w:t>
    </w:r>
    <w:r>
      <w:rPr>
        <w:rFonts w:ascii="FrankRuehl" w:hAnsi="FrankRuehl" w:cs="FrankRuehl"/>
        <w:rtl/>
      </w:rPr>
      <w:fldChar w:fldCharType="end"/>
    </w:r>
  </w:p>
  <w:p w14:paraId="34DD8F7F" w14:textId="77777777" w:rsidR="00C96D63" w:rsidRPr="00080112" w:rsidRDefault="00080112" w:rsidP="00080112">
    <w:pPr>
      <w:pStyle w:val="a5"/>
      <w:pBdr>
        <w:top w:val="single" w:sz="4" w:space="1" w:color="auto"/>
        <w:between w:val="single" w:sz="4" w:space="0" w:color="auto"/>
      </w:pBdr>
      <w:spacing w:after="60"/>
      <w:jc w:val="center"/>
      <w:rPr>
        <w:rFonts w:ascii="FrankRuehl" w:hAnsi="FrankRuehl" w:cs="FrankRuehl"/>
        <w:color w:val="000000"/>
      </w:rPr>
    </w:pPr>
    <w:r w:rsidRPr="00080112">
      <w:rPr>
        <w:rFonts w:ascii="FrankRuehl" w:hAnsi="FrankRuehl" w:cs="FrankRuehl"/>
        <w:color w:val="000000"/>
      </w:rPr>
      <w:pict w14:anchorId="3DD7B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E402D" w14:textId="77777777" w:rsidR="0012242D" w:rsidRDefault="0012242D" w:rsidP="00F40B58">
      <w:r>
        <w:separator/>
      </w:r>
    </w:p>
  </w:footnote>
  <w:footnote w:type="continuationSeparator" w:id="0">
    <w:p w14:paraId="22A87B2B" w14:textId="77777777" w:rsidR="0012242D" w:rsidRDefault="0012242D" w:rsidP="00F40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B7139" w14:textId="77777777" w:rsidR="00D85E6C" w:rsidRPr="00080112" w:rsidRDefault="00080112" w:rsidP="000801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43709-11-14</w:t>
    </w:r>
    <w:r>
      <w:rPr>
        <w:rFonts w:ascii="David" w:hAnsi="David"/>
        <w:color w:val="000000"/>
        <w:sz w:val="22"/>
        <w:szCs w:val="22"/>
        <w:rtl/>
      </w:rPr>
      <w:tab/>
      <w:t xml:space="preserve"> מדינת ישראל נ' רפעת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2FDBF" w14:textId="77777777" w:rsidR="00D85E6C" w:rsidRPr="00080112" w:rsidRDefault="00080112" w:rsidP="000801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43709-11-14</w:t>
    </w:r>
    <w:r>
      <w:rPr>
        <w:rFonts w:ascii="David" w:hAnsi="David"/>
        <w:color w:val="000000"/>
        <w:sz w:val="22"/>
        <w:szCs w:val="22"/>
        <w:rtl/>
      </w:rPr>
      <w:tab/>
      <w:t xml:space="preserve"> מדינת ישראל נ' רפעת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E3844"/>
    <w:multiLevelType w:val="hybridMultilevel"/>
    <w:tmpl w:val="5EE4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96BD9"/>
    <w:multiLevelType w:val="hybridMultilevel"/>
    <w:tmpl w:val="9FE2477E"/>
    <w:lvl w:ilvl="0" w:tplc="2056DE40">
      <w:start w:val="1"/>
      <w:numFmt w:val="hebrew1"/>
      <w:lvlText w:val="(%1)"/>
      <w:lvlJc w:val="left"/>
      <w:pPr>
        <w:ind w:left="1080" w:hanging="360"/>
      </w:pPr>
      <w:rPr>
        <w:rFonts w:hint="default"/>
      </w:rPr>
    </w:lvl>
    <w:lvl w:ilvl="1" w:tplc="FB9ADE60" w:tentative="1">
      <w:start w:val="1"/>
      <w:numFmt w:val="lowerLetter"/>
      <w:lvlText w:val="%2."/>
      <w:lvlJc w:val="left"/>
      <w:pPr>
        <w:ind w:left="1800" w:hanging="360"/>
      </w:pPr>
    </w:lvl>
    <w:lvl w:ilvl="2" w:tplc="B0286A46" w:tentative="1">
      <w:start w:val="1"/>
      <w:numFmt w:val="lowerRoman"/>
      <w:lvlText w:val="%3."/>
      <w:lvlJc w:val="right"/>
      <w:pPr>
        <w:ind w:left="2520" w:hanging="180"/>
      </w:pPr>
    </w:lvl>
    <w:lvl w:ilvl="3" w:tplc="864229DC" w:tentative="1">
      <w:start w:val="1"/>
      <w:numFmt w:val="decimal"/>
      <w:lvlText w:val="%4."/>
      <w:lvlJc w:val="left"/>
      <w:pPr>
        <w:ind w:left="3240" w:hanging="360"/>
      </w:pPr>
    </w:lvl>
    <w:lvl w:ilvl="4" w:tplc="2C3C422E" w:tentative="1">
      <w:start w:val="1"/>
      <w:numFmt w:val="lowerLetter"/>
      <w:lvlText w:val="%5."/>
      <w:lvlJc w:val="left"/>
      <w:pPr>
        <w:ind w:left="3960" w:hanging="360"/>
      </w:pPr>
    </w:lvl>
    <w:lvl w:ilvl="5" w:tplc="5164E614" w:tentative="1">
      <w:start w:val="1"/>
      <w:numFmt w:val="lowerRoman"/>
      <w:lvlText w:val="%6."/>
      <w:lvlJc w:val="right"/>
      <w:pPr>
        <w:ind w:left="4680" w:hanging="180"/>
      </w:pPr>
    </w:lvl>
    <w:lvl w:ilvl="6" w:tplc="4BFC67BE" w:tentative="1">
      <w:start w:val="1"/>
      <w:numFmt w:val="decimal"/>
      <w:lvlText w:val="%7."/>
      <w:lvlJc w:val="left"/>
      <w:pPr>
        <w:ind w:left="5400" w:hanging="360"/>
      </w:pPr>
    </w:lvl>
    <w:lvl w:ilvl="7" w:tplc="62E09560" w:tentative="1">
      <w:start w:val="1"/>
      <w:numFmt w:val="lowerLetter"/>
      <w:lvlText w:val="%8."/>
      <w:lvlJc w:val="left"/>
      <w:pPr>
        <w:ind w:left="6120" w:hanging="360"/>
      </w:pPr>
    </w:lvl>
    <w:lvl w:ilvl="8" w:tplc="E826A5D6" w:tentative="1">
      <w:start w:val="1"/>
      <w:numFmt w:val="lowerRoman"/>
      <w:lvlText w:val="%9."/>
      <w:lvlJc w:val="right"/>
      <w:pPr>
        <w:ind w:left="6840" w:hanging="180"/>
      </w:pPr>
    </w:lvl>
  </w:abstractNum>
  <w:abstractNum w:abstractNumId="2" w15:restartNumberingAfterBreak="0">
    <w:nsid w:val="76EF0ACB"/>
    <w:multiLevelType w:val="hybridMultilevel"/>
    <w:tmpl w:val="3E1E70EE"/>
    <w:lvl w:ilvl="0" w:tplc="45682BA2">
      <w:start w:val="1"/>
      <w:numFmt w:val="decimal"/>
      <w:lvlText w:val="(%1)"/>
      <w:lvlJc w:val="left"/>
      <w:pPr>
        <w:ind w:left="720" w:hanging="360"/>
      </w:pPr>
      <w:rPr>
        <w:rFonts w:hint="default"/>
      </w:rPr>
    </w:lvl>
    <w:lvl w:ilvl="1" w:tplc="631EE3EE" w:tentative="1">
      <w:start w:val="1"/>
      <w:numFmt w:val="lowerLetter"/>
      <w:lvlText w:val="%2."/>
      <w:lvlJc w:val="left"/>
      <w:pPr>
        <w:ind w:left="1440" w:hanging="360"/>
      </w:pPr>
    </w:lvl>
    <w:lvl w:ilvl="2" w:tplc="D53E2586" w:tentative="1">
      <w:start w:val="1"/>
      <w:numFmt w:val="lowerRoman"/>
      <w:lvlText w:val="%3."/>
      <w:lvlJc w:val="right"/>
      <w:pPr>
        <w:ind w:left="2160" w:hanging="180"/>
      </w:pPr>
    </w:lvl>
    <w:lvl w:ilvl="3" w:tplc="1208435A" w:tentative="1">
      <w:start w:val="1"/>
      <w:numFmt w:val="decimal"/>
      <w:lvlText w:val="%4."/>
      <w:lvlJc w:val="left"/>
      <w:pPr>
        <w:ind w:left="2880" w:hanging="360"/>
      </w:pPr>
    </w:lvl>
    <w:lvl w:ilvl="4" w:tplc="2BB88B88" w:tentative="1">
      <w:start w:val="1"/>
      <w:numFmt w:val="lowerLetter"/>
      <w:lvlText w:val="%5."/>
      <w:lvlJc w:val="left"/>
      <w:pPr>
        <w:ind w:left="3600" w:hanging="360"/>
      </w:pPr>
    </w:lvl>
    <w:lvl w:ilvl="5" w:tplc="5CC097B8" w:tentative="1">
      <w:start w:val="1"/>
      <w:numFmt w:val="lowerRoman"/>
      <w:lvlText w:val="%6."/>
      <w:lvlJc w:val="right"/>
      <w:pPr>
        <w:ind w:left="4320" w:hanging="180"/>
      </w:pPr>
    </w:lvl>
    <w:lvl w:ilvl="6" w:tplc="02DAC5D6" w:tentative="1">
      <w:start w:val="1"/>
      <w:numFmt w:val="decimal"/>
      <w:lvlText w:val="%7."/>
      <w:lvlJc w:val="left"/>
      <w:pPr>
        <w:ind w:left="5040" w:hanging="360"/>
      </w:pPr>
    </w:lvl>
    <w:lvl w:ilvl="7" w:tplc="30489E64" w:tentative="1">
      <w:start w:val="1"/>
      <w:numFmt w:val="lowerLetter"/>
      <w:lvlText w:val="%8."/>
      <w:lvlJc w:val="left"/>
      <w:pPr>
        <w:ind w:left="5760" w:hanging="360"/>
      </w:pPr>
    </w:lvl>
    <w:lvl w:ilvl="8" w:tplc="DDDE4420" w:tentative="1">
      <w:start w:val="1"/>
      <w:numFmt w:val="lowerRoman"/>
      <w:lvlText w:val="%9."/>
      <w:lvlJc w:val="right"/>
      <w:pPr>
        <w:ind w:left="6480" w:hanging="180"/>
      </w:pPr>
    </w:lvl>
  </w:abstractNum>
  <w:num w:numId="1" w16cid:durableId="1194000640">
    <w:abstractNumId w:val="0"/>
  </w:num>
  <w:num w:numId="2" w16cid:durableId="192502779">
    <w:abstractNumId w:val="2"/>
  </w:num>
  <w:num w:numId="3" w16cid:durableId="1694258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1F8B"/>
    <w:rsid w:val="000404B4"/>
    <w:rsid w:val="00080112"/>
    <w:rsid w:val="0012242D"/>
    <w:rsid w:val="001B5A3B"/>
    <w:rsid w:val="00341F8B"/>
    <w:rsid w:val="005B30DB"/>
    <w:rsid w:val="006561E3"/>
    <w:rsid w:val="00A0146E"/>
    <w:rsid w:val="00B4407A"/>
    <w:rsid w:val="00C96D63"/>
    <w:rsid w:val="00D33D64"/>
    <w:rsid w:val="00D85E6C"/>
    <w:rsid w:val="00DE1A00"/>
    <w:rsid w:val="00F40B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D97456"/>
  <w15:chartTrackingRefBased/>
  <w15:docId w15:val="{F447C7E0-1EDF-4D01-BA48-BA05CB4F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1F8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1F8B"/>
    <w:pPr>
      <w:tabs>
        <w:tab w:val="center" w:pos="4153"/>
        <w:tab w:val="right" w:pos="8306"/>
      </w:tabs>
    </w:pPr>
  </w:style>
  <w:style w:type="character" w:customStyle="1" w:styleId="a4">
    <w:name w:val="כותרת עליונה תו"/>
    <w:link w:val="a3"/>
    <w:rsid w:val="00341F8B"/>
    <w:rPr>
      <w:rFonts w:ascii="Times New Roman" w:eastAsia="Times New Roman" w:hAnsi="Times New Roman" w:cs="David"/>
      <w:sz w:val="24"/>
      <w:szCs w:val="24"/>
    </w:rPr>
  </w:style>
  <w:style w:type="paragraph" w:styleId="a5">
    <w:name w:val="footer"/>
    <w:basedOn w:val="a"/>
    <w:link w:val="a6"/>
    <w:rsid w:val="00341F8B"/>
    <w:pPr>
      <w:tabs>
        <w:tab w:val="center" w:pos="4153"/>
        <w:tab w:val="right" w:pos="8306"/>
      </w:tabs>
    </w:pPr>
  </w:style>
  <w:style w:type="character" w:customStyle="1" w:styleId="a6">
    <w:name w:val="כותרת תחתונה תו"/>
    <w:link w:val="a5"/>
    <w:rsid w:val="00341F8B"/>
    <w:rPr>
      <w:rFonts w:ascii="Times New Roman" w:eastAsia="Times New Roman" w:hAnsi="Times New Roman" w:cs="David"/>
      <w:sz w:val="24"/>
      <w:szCs w:val="24"/>
    </w:rPr>
  </w:style>
  <w:style w:type="table" w:styleId="a7">
    <w:name w:val="Table Grid"/>
    <w:basedOn w:val="a1"/>
    <w:rsid w:val="00341F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1F8B"/>
  </w:style>
  <w:style w:type="character" w:customStyle="1" w:styleId="TimesNewRomanTimesNewRoman">
    <w:name w:val="סגנון (לטיני) Times New Roman (עברית ושפות אחרות) Times New Roman..."/>
    <w:rsid w:val="00341F8B"/>
    <w:rPr>
      <w:rFonts w:ascii="Times New Roman" w:hAnsi="Times New Roman" w:cs="David" w:hint="default"/>
      <w:b/>
      <w:bCs/>
      <w:sz w:val="26"/>
      <w:szCs w:val="26"/>
    </w:rPr>
  </w:style>
  <w:style w:type="character" w:customStyle="1" w:styleId="default">
    <w:name w:val="default"/>
    <w:rsid w:val="00341F8B"/>
    <w:rPr>
      <w:rFonts w:ascii="Times New Roman" w:hAnsi="Times New Roman" w:cs="Times New Roman" w:hint="default"/>
      <w:sz w:val="26"/>
      <w:szCs w:val="26"/>
    </w:rPr>
  </w:style>
  <w:style w:type="paragraph" w:customStyle="1" w:styleId="Ruller4">
    <w:name w:val="Ruller4"/>
    <w:basedOn w:val="a"/>
    <w:link w:val="Ruller40"/>
    <w:rsid w:val="00341F8B"/>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0">
    <w:name w:val="Ruller4 תו"/>
    <w:link w:val="Ruller4"/>
    <w:locked/>
    <w:rsid w:val="00341F8B"/>
    <w:rPr>
      <w:rFonts w:ascii="Arial TUR" w:eastAsia="Times New Roman" w:hAnsi="Arial TUR" w:cs="FrankRuehl"/>
      <w:spacing w:val="10"/>
      <w:szCs w:val="28"/>
    </w:rPr>
  </w:style>
  <w:style w:type="paragraph" w:customStyle="1" w:styleId="P00">
    <w:name w:val="P00"/>
    <w:link w:val="P000"/>
    <w:rsid w:val="00341F8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big-number">
    <w:name w:val="big-number"/>
    <w:rsid w:val="00341F8B"/>
    <w:rPr>
      <w:rFonts w:ascii="Times New Roman" w:hAnsi="Times New Roman" w:cs="Times New Roman" w:hint="default"/>
      <w:sz w:val="32"/>
      <w:szCs w:val="32"/>
    </w:rPr>
  </w:style>
  <w:style w:type="paragraph" w:styleId="a9">
    <w:name w:val="List Paragraph"/>
    <w:basedOn w:val="a"/>
    <w:qFormat/>
    <w:rsid w:val="00341F8B"/>
    <w:pPr>
      <w:ind w:left="720"/>
      <w:contextualSpacing/>
    </w:pPr>
    <w:rPr>
      <w:rFonts w:ascii="Arial" w:hAnsi="Arial" w:cs="FrankRuehl"/>
      <w:szCs w:val="28"/>
    </w:rPr>
  </w:style>
  <w:style w:type="character" w:customStyle="1" w:styleId="P000">
    <w:name w:val="P00 תו"/>
    <w:link w:val="P00"/>
    <w:rsid w:val="00341F8B"/>
    <w:rPr>
      <w:rFonts w:ascii="Times New Roman" w:eastAsia="Times New Roman" w:hAnsi="Times New Roman" w:cs="Times New Roman"/>
      <w:noProof/>
      <w:sz w:val="20"/>
      <w:szCs w:val="26"/>
      <w:lang w:eastAsia="he-IL"/>
    </w:rPr>
  </w:style>
  <w:style w:type="character" w:styleId="Hyperlink">
    <w:name w:val="Hyperlink"/>
    <w:rsid w:val="00D85E6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1" TargetMode="External"/><Relationship Id="rId21" Type="http://schemas.openxmlformats.org/officeDocument/2006/relationships/hyperlink" Target="http://www.nevo.co.il/law/70301/301a.b" TargetMode="External"/><Relationship Id="rId42" Type="http://schemas.openxmlformats.org/officeDocument/2006/relationships/hyperlink" Target="http://www.nevo.co.il/law/70301/311" TargetMode="External"/><Relationship Id="rId47" Type="http://schemas.openxmlformats.org/officeDocument/2006/relationships/hyperlink" Target="http://www.nevo.co.il/law/70301/5.a" TargetMode="External"/><Relationship Id="rId63" Type="http://schemas.openxmlformats.org/officeDocument/2006/relationships/hyperlink" Target="http://www.nevo.co.il/law/70301/5.a" TargetMode="External"/><Relationship Id="rId68" Type="http://schemas.openxmlformats.org/officeDocument/2006/relationships/hyperlink" Target="http://www.nevo.co.il/law/70301/301a.b" TargetMode="External"/><Relationship Id="rId84" Type="http://schemas.openxmlformats.org/officeDocument/2006/relationships/hyperlink" Target="http://www.nevo.co.il/case/5966542"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300a" TargetMode="External"/><Relationship Id="rId11" Type="http://schemas.openxmlformats.org/officeDocument/2006/relationships/hyperlink" Target="http://www.nevo.co.il/law/70301/40i.a.9" TargetMode="External"/><Relationship Id="rId32" Type="http://schemas.openxmlformats.org/officeDocument/2006/relationships/hyperlink" Target="http://www.nevo.co.il/law/70301/305" TargetMode="External"/><Relationship Id="rId37" Type="http://schemas.openxmlformats.org/officeDocument/2006/relationships/hyperlink" Target="http://www.nevo.co.il/law/70301/301a.a"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5689213" TargetMode="External"/><Relationship Id="rId74" Type="http://schemas.openxmlformats.org/officeDocument/2006/relationships/hyperlink" Target="http://www.nevo.co.il/case/20798648" TargetMode="External"/><Relationship Id="rId79" Type="http://schemas.openxmlformats.org/officeDocument/2006/relationships/hyperlink" Target="http://www.nevo.co.il/case/5585940" TargetMode="External"/><Relationship Id="rId5" Type="http://schemas.openxmlformats.org/officeDocument/2006/relationships/footnotes" Target="footnotes.xml"/><Relationship Id="rId90" Type="http://schemas.openxmlformats.org/officeDocument/2006/relationships/hyperlink" Target="http://www.nevo.co.il/advertisements/nevo-100.doc" TargetMode="External"/><Relationship Id="rId95" Type="http://schemas.openxmlformats.org/officeDocument/2006/relationships/fontTable" Target="fontTable.xml"/><Relationship Id="rId22" Type="http://schemas.openxmlformats.org/officeDocument/2006/relationships/hyperlink" Target="http://www.nevo.co.il/law/70301/301b.b.1" TargetMode="External"/><Relationship Id="rId27" Type="http://schemas.openxmlformats.org/officeDocument/2006/relationships/hyperlink" Target="http://www.nevo.co.il/law/70301/40ja.8"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0301/301a.a"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5.a" TargetMode="External"/><Relationship Id="rId51" Type="http://schemas.openxmlformats.org/officeDocument/2006/relationships/hyperlink" Target="http://www.nevo.co.il/law/70301/5.a" TargetMode="External"/><Relationship Id="rId72" Type="http://schemas.openxmlformats.org/officeDocument/2006/relationships/hyperlink" Target="http://www.nevo.co.il/law/70301/40ja.1" TargetMode="External"/><Relationship Id="rId80" Type="http://schemas.openxmlformats.org/officeDocument/2006/relationships/hyperlink" Target="http://www.nevo.co.il/case/17045921" TargetMode="External"/><Relationship Id="rId85" Type="http://schemas.openxmlformats.org/officeDocument/2006/relationships/hyperlink" Target="http://www.nevo.co.il/law/70301"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01" TargetMode="External"/><Relationship Id="rId25" Type="http://schemas.openxmlformats.org/officeDocument/2006/relationships/hyperlink" Target="http://www.nevo.co.il/law/70301/311" TargetMode="External"/><Relationship Id="rId33" Type="http://schemas.openxmlformats.org/officeDocument/2006/relationships/hyperlink" Target="http://www.nevo.co.il/law/70301/144.a.;144.b.;29"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301a.a.1" TargetMode="External"/><Relationship Id="rId41" Type="http://schemas.openxmlformats.org/officeDocument/2006/relationships/hyperlink" Target="http://www.nevo.co.il/law/70301/300.a" TargetMode="External"/><Relationship Id="rId54" Type="http://schemas.openxmlformats.org/officeDocument/2006/relationships/hyperlink" Target="http://www.nevo.co.il/law/70301/300.a"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40i.a.9" TargetMode="External"/><Relationship Id="rId75" Type="http://schemas.openxmlformats.org/officeDocument/2006/relationships/hyperlink" Target="http://www.nevo.co.il/law/70301"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5.a" TargetMode="External"/><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0.a.2." TargetMode="External"/><Relationship Id="rId23" Type="http://schemas.openxmlformats.org/officeDocument/2006/relationships/hyperlink" Target="http://www.nevo.co.il/law/70301/305" TargetMode="External"/><Relationship Id="rId28" Type="http://schemas.openxmlformats.org/officeDocument/2006/relationships/hyperlink" Target="http://www.nevo.co.il/law/70301/e1CbS" TargetMode="External"/><Relationship Id="rId36" Type="http://schemas.openxmlformats.org/officeDocument/2006/relationships/hyperlink" Target="http://www.nevo.co.il/case/17946982" TargetMode="External"/><Relationship Id="rId49" Type="http://schemas.openxmlformats.org/officeDocument/2006/relationships/hyperlink" Target="http://www.nevo.co.il/law/70301/5.a" TargetMode="External"/><Relationship Id="rId57" Type="http://schemas.openxmlformats.org/officeDocument/2006/relationships/hyperlink" Target="http://www.nevo.co.il/law/70301/300a" TargetMode="External"/><Relationship Id="rId10" Type="http://schemas.openxmlformats.org/officeDocument/2006/relationships/hyperlink" Target="http://www.nevo.co.il/law/70301/34d"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jCaS" TargetMode="External"/><Relationship Id="rId60" Type="http://schemas.openxmlformats.org/officeDocument/2006/relationships/hyperlink" Target="http://www.nevo.co.il/law/70301/5.a"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40ja.8" TargetMode="External"/><Relationship Id="rId78" Type="http://schemas.openxmlformats.org/officeDocument/2006/relationships/hyperlink" Target="http://www.nevo.co.il/law/70301/34d" TargetMode="External"/><Relationship Id="rId81" Type="http://schemas.openxmlformats.org/officeDocument/2006/relationships/hyperlink" Target="http://www.nevo.co.il/case/4451458" TargetMode="External"/><Relationship Id="rId86" Type="http://schemas.openxmlformats.org/officeDocument/2006/relationships/hyperlink" Target="http://www.nevo.co.il/law/70301"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01a" TargetMode="External"/><Relationship Id="rId39" Type="http://schemas.openxmlformats.org/officeDocument/2006/relationships/hyperlink" Target="http://www.nevo.co.il/law/70301/301b.b.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305.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www.nevo.co.il/law/70301/jCaS" TargetMode="External"/><Relationship Id="rId24" Type="http://schemas.openxmlformats.org/officeDocument/2006/relationships/hyperlink" Target="http://www.nevo.co.il/law/70301/305.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01a.b" TargetMode="External"/><Relationship Id="rId66" Type="http://schemas.openxmlformats.org/officeDocument/2006/relationships/hyperlink" Target="http://www.nevo.co.il/law/70301/301a.a.1" TargetMode="External"/><Relationship Id="rId87" Type="http://schemas.openxmlformats.org/officeDocument/2006/relationships/hyperlink" Target="http://www.nevo.co.il/law/70301/5.a" TargetMode="External"/><Relationship Id="rId61" Type="http://schemas.openxmlformats.org/officeDocument/2006/relationships/hyperlink" Target="http://www.nevo.co.il/law/70301/5.a" TargetMode="External"/><Relationship Id="rId82" Type="http://schemas.openxmlformats.org/officeDocument/2006/relationships/hyperlink" Target="http://www.nevo.co.il/law/70301/e1CbS" TargetMode="External"/><Relationship Id="rId19" Type="http://schemas.openxmlformats.org/officeDocument/2006/relationships/hyperlink" Target="http://www.nevo.co.il/law/70301/301a.a" TargetMode="External"/><Relationship Id="rId14" Type="http://schemas.openxmlformats.org/officeDocument/2006/relationships/hyperlink" Target="http://www.nevo.co.il/law/70301/300.a" TargetMode="External"/><Relationship Id="rId30" Type="http://schemas.openxmlformats.org/officeDocument/2006/relationships/hyperlink" Target="http://www.nevo.co.il/law/70301/300.a.2.;301"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301a" TargetMode="External"/><Relationship Id="rId7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5975</Words>
  <Characters>29877</Characters>
  <Application>Microsoft Office Word</Application>
  <DocSecurity>0</DocSecurity>
  <Lines>248</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35781</CharactersWithSpaces>
  <SharedDoc>false</SharedDoc>
  <HLinks>
    <vt:vector size="504" baseType="variant">
      <vt:variant>
        <vt:i4>393283</vt:i4>
      </vt:variant>
      <vt:variant>
        <vt:i4>249</vt:i4>
      </vt:variant>
      <vt:variant>
        <vt:i4>0</vt:i4>
      </vt:variant>
      <vt:variant>
        <vt:i4>5</vt:i4>
      </vt:variant>
      <vt:variant>
        <vt:lpwstr>http://www.nevo.co.il/advertisements/nevo-100.doc</vt:lpwstr>
      </vt:variant>
      <vt:variant>
        <vt:lpwstr/>
      </vt:variant>
      <vt:variant>
        <vt:i4>7995492</vt:i4>
      </vt:variant>
      <vt:variant>
        <vt:i4>246</vt:i4>
      </vt:variant>
      <vt:variant>
        <vt:i4>0</vt:i4>
      </vt:variant>
      <vt:variant>
        <vt:i4>5</vt:i4>
      </vt:variant>
      <vt:variant>
        <vt:lpwstr>http://www.nevo.co.il/law/70301</vt:lpwstr>
      </vt:variant>
      <vt:variant>
        <vt:lpwstr/>
      </vt:variant>
      <vt:variant>
        <vt:i4>8061024</vt:i4>
      </vt:variant>
      <vt:variant>
        <vt:i4>243</vt:i4>
      </vt:variant>
      <vt:variant>
        <vt:i4>0</vt:i4>
      </vt:variant>
      <vt:variant>
        <vt:i4>5</vt:i4>
      </vt:variant>
      <vt:variant>
        <vt:lpwstr>http://www.nevo.co.il/law/70301/5.a</vt:lpwstr>
      </vt:variant>
      <vt:variant>
        <vt:lpwstr/>
      </vt:variant>
      <vt:variant>
        <vt:i4>8061024</vt:i4>
      </vt:variant>
      <vt:variant>
        <vt:i4>240</vt:i4>
      </vt:variant>
      <vt:variant>
        <vt:i4>0</vt:i4>
      </vt:variant>
      <vt:variant>
        <vt:i4>5</vt:i4>
      </vt:variant>
      <vt:variant>
        <vt:lpwstr>http://www.nevo.co.il/law/70301/5.a</vt:lpwstr>
      </vt:variant>
      <vt:variant>
        <vt:lpwstr/>
      </vt:variant>
      <vt:variant>
        <vt:i4>7995492</vt:i4>
      </vt:variant>
      <vt:variant>
        <vt:i4>237</vt:i4>
      </vt:variant>
      <vt:variant>
        <vt:i4>0</vt:i4>
      </vt:variant>
      <vt:variant>
        <vt:i4>5</vt:i4>
      </vt:variant>
      <vt:variant>
        <vt:lpwstr>http://www.nevo.co.il/law/70301</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3407999</vt:i4>
      </vt:variant>
      <vt:variant>
        <vt:i4>231</vt:i4>
      </vt:variant>
      <vt:variant>
        <vt:i4>0</vt:i4>
      </vt:variant>
      <vt:variant>
        <vt:i4>5</vt:i4>
      </vt:variant>
      <vt:variant>
        <vt:lpwstr>http://www.nevo.co.il/case/5966542</vt:lpwstr>
      </vt:variant>
      <vt:variant>
        <vt:lpwstr/>
      </vt:variant>
      <vt:variant>
        <vt:i4>7995492</vt:i4>
      </vt:variant>
      <vt:variant>
        <vt:i4>228</vt:i4>
      </vt:variant>
      <vt:variant>
        <vt:i4>0</vt:i4>
      </vt:variant>
      <vt:variant>
        <vt:i4>5</vt:i4>
      </vt:variant>
      <vt:variant>
        <vt:lpwstr>http://www.nevo.co.il/law/70301</vt:lpwstr>
      </vt:variant>
      <vt:variant>
        <vt:lpwstr/>
      </vt:variant>
      <vt:variant>
        <vt:i4>393299</vt:i4>
      </vt:variant>
      <vt:variant>
        <vt:i4>225</vt:i4>
      </vt:variant>
      <vt:variant>
        <vt:i4>0</vt:i4>
      </vt:variant>
      <vt:variant>
        <vt:i4>5</vt:i4>
      </vt:variant>
      <vt:variant>
        <vt:lpwstr>http://www.nevo.co.il/law/70301/e1CbS</vt:lpwstr>
      </vt:variant>
      <vt:variant>
        <vt:lpwstr/>
      </vt:variant>
      <vt:variant>
        <vt:i4>3997812</vt:i4>
      </vt:variant>
      <vt:variant>
        <vt:i4>222</vt:i4>
      </vt:variant>
      <vt:variant>
        <vt:i4>0</vt:i4>
      </vt:variant>
      <vt:variant>
        <vt:i4>5</vt:i4>
      </vt:variant>
      <vt:variant>
        <vt:lpwstr>http://www.nevo.co.il/case/4451458</vt:lpwstr>
      </vt:variant>
      <vt:variant>
        <vt:lpwstr/>
      </vt:variant>
      <vt:variant>
        <vt:i4>3539070</vt:i4>
      </vt:variant>
      <vt:variant>
        <vt:i4>219</vt:i4>
      </vt:variant>
      <vt:variant>
        <vt:i4>0</vt:i4>
      </vt:variant>
      <vt:variant>
        <vt:i4>5</vt:i4>
      </vt:variant>
      <vt:variant>
        <vt:lpwstr>http://www.nevo.co.il/case/17045921</vt:lpwstr>
      </vt:variant>
      <vt:variant>
        <vt:lpwstr/>
      </vt:variant>
      <vt:variant>
        <vt:i4>3407984</vt:i4>
      </vt:variant>
      <vt:variant>
        <vt:i4>216</vt:i4>
      </vt:variant>
      <vt:variant>
        <vt:i4>0</vt:i4>
      </vt:variant>
      <vt:variant>
        <vt:i4>5</vt:i4>
      </vt:variant>
      <vt:variant>
        <vt:lpwstr>http://www.nevo.co.il/case/5585940</vt:lpwstr>
      </vt:variant>
      <vt:variant>
        <vt:lpwstr/>
      </vt:variant>
      <vt:variant>
        <vt:i4>6357094</vt:i4>
      </vt:variant>
      <vt:variant>
        <vt:i4>213</vt:i4>
      </vt:variant>
      <vt:variant>
        <vt:i4>0</vt:i4>
      </vt:variant>
      <vt:variant>
        <vt:i4>5</vt:i4>
      </vt:variant>
      <vt:variant>
        <vt:lpwstr>http://www.nevo.co.il/law/70301/34d</vt:lpwstr>
      </vt:variant>
      <vt:variant>
        <vt:lpwstr/>
      </vt:variant>
      <vt:variant>
        <vt:i4>7995492</vt:i4>
      </vt:variant>
      <vt:variant>
        <vt:i4>210</vt:i4>
      </vt:variant>
      <vt:variant>
        <vt:i4>0</vt:i4>
      </vt:variant>
      <vt:variant>
        <vt:i4>5</vt:i4>
      </vt:variant>
      <vt:variant>
        <vt:lpwstr>http://www.nevo.co.il/law/70301</vt:lpwstr>
      </vt:variant>
      <vt:variant>
        <vt:lpwstr/>
      </vt:variant>
      <vt:variant>
        <vt:i4>4915283</vt:i4>
      </vt:variant>
      <vt:variant>
        <vt:i4>207</vt:i4>
      </vt:variant>
      <vt:variant>
        <vt:i4>0</vt:i4>
      </vt:variant>
      <vt:variant>
        <vt:i4>5</vt:i4>
      </vt:variant>
      <vt:variant>
        <vt:lpwstr>http://www.nevo.co.il/law/70301/305.1</vt:lpwstr>
      </vt:variant>
      <vt:variant>
        <vt:lpwstr/>
      </vt:variant>
      <vt:variant>
        <vt:i4>7995492</vt:i4>
      </vt:variant>
      <vt:variant>
        <vt:i4>204</vt:i4>
      </vt:variant>
      <vt:variant>
        <vt:i4>0</vt:i4>
      </vt:variant>
      <vt:variant>
        <vt:i4>5</vt:i4>
      </vt:variant>
      <vt:variant>
        <vt:lpwstr>http://www.nevo.co.il/law/70301</vt:lpwstr>
      </vt:variant>
      <vt:variant>
        <vt:lpwstr/>
      </vt:variant>
      <vt:variant>
        <vt:i4>3735675</vt:i4>
      </vt:variant>
      <vt:variant>
        <vt:i4>201</vt:i4>
      </vt:variant>
      <vt:variant>
        <vt:i4>0</vt:i4>
      </vt:variant>
      <vt:variant>
        <vt:i4>5</vt:i4>
      </vt:variant>
      <vt:variant>
        <vt:lpwstr>http://www.nevo.co.il/case/20798648</vt:lpwstr>
      </vt:variant>
      <vt:variant>
        <vt:lpwstr/>
      </vt:variant>
      <vt:variant>
        <vt:i4>3932197</vt:i4>
      </vt:variant>
      <vt:variant>
        <vt:i4>198</vt:i4>
      </vt:variant>
      <vt:variant>
        <vt:i4>0</vt:i4>
      </vt:variant>
      <vt:variant>
        <vt:i4>5</vt:i4>
      </vt:variant>
      <vt:variant>
        <vt:lpwstr>http://www.nevo.co.il/law/70301/40ja.8</vt:lpwstr>
      </vt:variant>
      <vt:variant>
        <vt:lpwstr/>
      </vt:variant>
      <vt:variant>
        <vt:i4>3473445</vt:i4>
      </vt:variant>
      <vt:variant>
        <vt:i4>195</vt:i4>
      </vt:variant>
      <vt:variant>
        <vt:i4>0</vt:i4>
      </vt:variant>
      <vt:variant>
        <vt:i4>5</vt:i4>
      </vt:variant>
      <vt:variant>
        <vt:lpwstr>http://www.nevo.co.il/law/70301/40ja.1</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6619241</vt:i4>
      </vt:variant>
      <vt:variant>
        <vt:i4>189</vt:i4>
      </vt:variant>
      <vt:variant>
        <vt:i4>0</vt:i4>
      </vt:variant>
      <vt:variant>
        <vt:i4>5</vt:i4>
      </vt:variant>
      <vt:variant>
        <vt:lpwstr>http://www.nevo.co.il/law/70301/40i.a.9</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6684793</vt:i4>
      </vt:variant>
      <vt:variant>
        <vt:i4>183</vt:i4>
      </vt:variant>
      <vt:variant>
        <vt:i4>0</vt:i4>
      </vt:variant>
      <vt:variant>
        <vt:i4>5</vt:i4>
      </vt:variant>
      <vt:variant>
        <vt:lpwstr>http://www.nevo.co.il/law/70301/301a.b</vt:lpwstr>
      </vt:variant>
      <vt:variant>
        <vt:lpwstr/>
      </vt:variant>
      <vt:variant>
        <vt:i4>7995492</vt:i4>
      </vt:variant>
      <vt:variant>
        <vt:i4>180</vt:i4>
      </vt:variant>
      <vt:variant>
        <vt:i4>0</vt:i4>
      </vt:variant>
      <vt:variant>
        <vt:i4>5</vt:i4>
      </vt:variant>
      <vt:variant>
        <vt:lpwstr>http://www.nevo.co.il/law/70301</vt:lpwstr>
      </vt:variant>
      <vt:variant>
        <vt:lpwstr/>
      </vt:variant>
      <vt:variant>
        <vt:i4>5505111</vt:i4>
      </vt:variant>
      <vt:variant>
        <vt:i4>177</vt:i4>
      </vt:variant>
      <vt:variant>
        <vt:i4>0</vt:i4>
      </vt:variant>
      <vt:variant>
        <vt:i4>5</vt:i4>
      </vt:variant>
      <vt:variant>
        <vt:lpwstr>http://www.nevo.co.il/law/70301/301a.a.1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6619257</vt:i4>
      </vt:variant>
      <vt:variant>
        <vt:i4>171</vt:i4>
      </vt:variant>
      <vt:variant>
        <vt:i4>0</vt:i4>
      </vt:variant>
      <vt:variant>
        <vt:i4>5</vt:i4>
      </vt:variant>
      <vt:variant>
        <vt:lpwstr>http://www.nevo.co.il/law/70301/301a.a</vt:lpwstr>
      </vt:variant>
      <vt:variant>
        <vt:lpwstr/>
      </vt:variant>
      <vt:variant>
        <vt:i4>8061024</vt:i4>
      </vt:variant>
      <vt:variant>
        <vt:i4>168</vt:i4>
      </vt:variant>
      <vt:variant>
        <vt:i4>0</vt:i4>
      </vt:variant>
      <vt:variant>
        <vt:i4>5</vt:i4>
      </vt:variant>
      <vt:variant>
        <vt:lpwstr>http://www.nevo.co.il/law/70301/5.a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8061024</vt:i4>
      </vt:variant>
      <vt:variant>
        <vt:i4>162</vt:i4>
      </vt:variant>
      <vt:variant>
        <vt:i4>0</vt:i4>
      </vt:variant>
      <vt:variant>
        <vt:i4>5</vt:i4>
      </vt:variant>
      <vt:variant>
        <vt:lpwstr>http://www.nevo.co.il/law/70301/5.a</vt:lpwstr>
      </vt:variant>
      <vt:variant>
        <vt:lpwstr/>
      </vt:variant>
      <vt:variant>
        <vt:i4>8061024</vt:i4>
      </vt:variant>
      <vt:variant>
        <vt:i4>159</vt:i4>
      </vt:variant>
      <vt:variant>
        <vt:i4>0</vt:i4>
      </vt:variant>
      <vt:variant>
        <vt:i4>5</vt:i4>
      </vt:variant>
      <vt:variant>
        <vt:lpwstr>http://www.nevo.co.il/law/70301/5.a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3932282</vt:i4>
      </vt:variant>
      <vt:variant>
        <vt:i4>153</vt:i4>
      </vt:variant>
      <vt:variant>
        <vt:i4>0</vt:i4>
      </vt:variant>
      <vt:variant>
        <vt:i4>5</vt:i4>
      </vt:variant>
      <vt:variant>
        <vt:lpwstr>http://www.nevo.co.il/case/5689213</vt:lpwstr>
      </vt:variant>
      <vt:variant>
        <vt:lpwstr/>
      </vt:variant>
      <vt:variant>
        <vt:i4>262230</vt:i4>
      </vt:variant>
      <vt:variant>
        <vt:i4>150</vt:i4>
      </vt:variant>
      <vt:variant>
        <vt:i4>0</vt:i4>
      </vt:variant>
      <vt:variant>
        <vt:i4>5</vt:i4>
      </vt:variant>
      <vt:variant>
        <vt:lpwstr>http://www.nevo.co.il/law/70301/300a</vt:lpwstr>
      </vt:variant>
      <vt:variant>
        <vt:lpwstr/>
      </vt:variant>
      <vt:variant>
        <vt:i4>262231</vt:i4>
      </vt:variant>
      <vt:variant>
        <vt:i4>147</vt:i4>
      </vt:variant>
      <vt:variant>
        <vt:i4>0</vt:i4>
      </vt:variant>
      <vt:variant>
        <vt:i4>5</vt:i4>
      </vt:variant>
      <vt:variant>
        <vt:lpwstr>http://www.nevo.co.il/law/70301/301a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4915286</vt:i4>
      </vt:variant>
      <vt:variant>
        <vt:i4>141</vt:i4>
      </vt:variant>
      <vt:variant>
        <vt:i4>0</vt:i4>
      </vt:variant>
      <vt:variant>
        <vt:i4>5</vt:i4>
      </vt:variant>
      <vt:variant>
        <vt:lpwstr>http://www.nevo.co.il/law/70301/300.a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4522078</vt:i4>
      </vt:variant>
      <vt:variant>
        <vt:i4>135</vt:i4>
      </vt:variant>
      <vt:variant>
        <vt:i4>0</vt:i4>
      </vt:variant>
      <vt:variant>
        <vt:i4>5</vt:i4>
      </vt:variant>
      <vt:variant>
        <vt:lpwstr>http://www.nevo.co.il/law/70301/jCaS</vt:lpwstr>
      </vt:variant>
      <vt:variant>
        <vt:lpwstr/>
      </vt:variant>
      <vt:variant>
        <vt:i4>8061024</vt:i4>
      </vt:variant>
      <vt:variant>
        <vt:i4>132</vt:i4>
      </vt:variant>
      <vt:variant>
        <vt:i4>0</vt:i4>
      </vt:variant>
      <vt:variant>
        <vt:i4>5</vt:i4>
      </vt:variant>
      <vt:variant>
        <vt:lpwstr>http://www.nevo.co.il/law/70301/5.a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8061024</vt:i4>
      </vt:variant>
      <vt:variant>
        <vt:i4>126</vt:i4>
      </vt:variant>
      <vt:variant>
        <vt:i4>0</vt:i4>
      </vt:variant>
      <vt:variant>
        <vt:i4>5</vt:i4>
      </vt:variant>
      <vt:variant>
        <vt:lpwstr>http://www.nevo.co.il/law/70301/5.a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8061024</vt:i4>
      </vt:variant>
      <vt:variant>
        <vt:i4>120</vt:i4>
      </vt:variant>
      <vt:variant>
        <vt:i4>0</vt:i4>
      </vt:variant>
      <vt:variant>
        <vt:i4>5</vt:i4>
      </vt:variant>
      <vt:variant>
        <vt:lpwstr>http://www.nevo.co.il/law/70301/5.a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6684793</vt:i4>
      </vt:variant>
      <vt:variant>
        <vt:i4>114</vt:i4>
      </vt:variant>
      <vt:variant>
        <vt:i4>0</vt:i4>
      </vt:variant>
      <vt:variant>
        <vt:i4>5</vt:i4>
      </vt:variant>
      <vt:variant>
        <vt:lpwstr>http://www.nevo.co.il/law/70301/301a.b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6553702</vt:i4>
      </vt:variant>
      <vt:variant>
        <vt:i4>105</vt:i4>
      </vt:variant>
      <vt:variant>
        <vt:i4>0</vt:i4>
      </vt:variant>
      <vt:variant>
        <vt:i4>5</vt:i4>
      </vt:variant>
      <vt:variant>
        <vt:lpwstr>http://www.nevo.co.il/law/70301/311</vt:lpwstr>
      </vt:variant>
      <vt:variant>
        <vt:lpwstr/>
      </vt:variant>
      <vt:variant>
        <vt:i4>4915286</vt:i4>
      </vt:variant>
      <vt:variant>
        <vt:i4>102</vt:i4>
      </vt:variant>
      <vt:variant>
        <vt:i4>0</vt:i4>
      </vt:variant>
      <vt:variant>
        <vt:i4>5</vt:i4>
      </vt:variant>
      <vt:variant>
        <vt:lpwstr>http://www.nevo.co.il/law/70301/300.a</vt:lpwstr>
      </vt:variant>
      <vt:variant>
        <vt:lpwstr/>
      </vt:variant>
      <vt:variant>
        <vt:i4>7995492</vt:i4>
      </vt:variant>
      <vt:variant>
        <vt:i4>99</vt:i4>
      </vt:variant>
      <vt:variant>
        <vt:i4>0</vt:i4>
      </vt:variant>
      <vt:variant>
        <vt:i4>5</vt:i4>
      </vt:variant>
      <vt:variant>
        <vt:lpwstr>http://www.nevo.co.il/law/70301</vt:lpwstr>
      </vt:variant>
      <vt:variant>
        <vt:lpwstr/>
      </vt:variant>
      <vt:variant>
        <vt:i4>5505111</vt:i4>
      </vt:variant>
      <vt:variant>
        <vt:i4>96</vt:i4>
      </vt:variant>
      <vt:variant>
        <vt:i4>0</vt:i4>
      </vt:variant>
      <vt:variant>
        <vt:i4>5</vt:i4>
      </vt:variant>
      <vt:variant>
        <vt:lpwstr>http://www.nevo.co.il/law/70301/301b.b.1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6619257</vt:i4>
      </vt:variant>
      <vt:variant>
        <vt:i4>90</vt:i4>
      </vt:variant>
      <vt:variant>
        <vt:i4>0</vt:i4>
      </vt:variant>
      <vt:variant>
        <vt:i4>5</vt:i4>
      </vt:variant>
      <vt:variant>
        <vt:lpwstr>http://www.nevo.co.il/law/70301/301a.a</vt:lpwstr>
      </vt:variant>
      <vt:variant>
        <vt:lpwstr/>
      </vt:variant>
      <vt:variant>
        <vt:i4>3539070</vt:i4>
      </vt:variant>
      <vt:variant>
        <vt:i4>87</vt:i4>
      </vt:variant>
      <vt:variant>
        <vt:i4>0</vt:i4>
      </vt:variant>
      <vt:variant>
        <vt:i4>5</vt:i4>
      </vt:variant>
      <vt:variant>
        <vt:lpwstr>http://www.nevo.co.il/case/17946982</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262156</vt:i4>
      </vt:variant>
      <vt:variant>
        <vt:i4>78</vt:i4>
      </vt:variant>
      <vt:variant>
        <vt:i4>0</vt:i4>
      </vt:variant>
      <vt:variant>
        <vt:i4>5</vt:i4>
      </vt:variant>
      <vt:variant>
        <vt:lpwstr>http://www.nevo.co.il/law/70301/144.a.;144.b.;29</vt:lpwstr>
      </vt:variant>
      <vt:variant>
        <vt:lpwstr/>
      </vt:variant>
      <vt:variant>
        <vt:i4>6619238</vt:i4>
      </vt:variant>
      <vt:variant>
        <vt:i4>75</vt:i4>
      </vt:variant>
      <vt:variant>
        <vt:i4>0</vt:i4>
      </vt:variant>
      <vt:variant>
        <vt:i4>5</vt:i4>
      </vt:variant>
      <vt:variant>
        <vt:lpwstr>http://www.nevo.co.il/law/70301/305</vt:lpwstr>
      </vt:variant>
      <vt:variant>
        <vt:lpwstr/>
      </vt:variant>
      <vt:variant>
        <vt:i4>7995492</vt:i4>
      </vt:variant>
      <vt:variant>
        <vt:i4>72</vt:i4>
      </vt:variant>
      <vt:variant>
        <vt:i4>0</vt:i4>
      </vt:variant>
      <vt:variant>
        <vt:i4>5</vt:i4>
      </vt:variant>
      <vt:variant>
        <vt:lpwstr>http://www.nevo.co.il/law/70301</vt:lpwstr>
      </vt:variant>
      <vt:variant>
        <vt:lpwstr/>
      </vt:variant>
      <vt:variant>
        <vt:i4>4784142</vt:i4>
      </vt:variant>
      <vt:variant>
        <vt:i4>69</vt:i4>
      </vt:variant>
      <vt:variant>
        <vt:i4>0</vt:i4>
      </vt:variant>
      <vt:variant>
        <vt:i4>5</vt:i4>
      </vt:variant>
      <vt:variant>
        <vt:lpwstr>http://www.nevo.co.il/law/70301/300.a.2.;301</vt:lpwstr>
      </vt:variant>
      <vt:variant>
        <vt:lpwstr/>
      </vt:variant>
      <vt:variant>
        <vt:i4>4522078</vt:i4>
      </vt:variant>
      <vt:variant>
        <vt:i4>66</vt:i4>
      </vt:variant>
      <vt:variant>
        <vt:i4>0</vt:i4>
      </vt:variant>
      <vt:variant>
        <vt:i4>5</vt:i4>
      </vt:variant>
      <vt:variant>
        <vt:lpwstr>http://www.nevo.co.il/law/70301/jCaS</vt:lpwstr>
      </vt:variant>
      <vt:variant>
        <vt:lpwstr/>
      </vt:variant>
      <vt:variant>
        <vt:i4>393299</vt:i4>
      </vt:variant>
      <vt:variant>
        <vt:i4>63</vt:i4>
      </vt:variant>
      <vt:variant>
        <vt:i4>0</vt:i4>
      </vt:variant>
      <vt:variant>
        <vt:i4>5</vt:i4>
      </vt:variant>
      <vt:variant>
        <vt:lpwstr>http://www.nevo.co.il/law/70301/e1CbS</vt:lpwstr>
      </vt:variant>
      <vt:variant>
        <vt:lpwstr/>
      </vt:variant>
      <vt:variant>
        <vt:i4>3932197</vt:i4>
      </vt:variant>
      <vt:variant>
        <vt:i4>60</vt:i4>
      </vt:variant>
      <vt:variant>
        <vt:i4>0</vt:i4>
      </vt:variant>
      <vt:variant>
        <vt:i4>5</vt:i4>
      </vt:variant>
      <vt:variant>
        <vt:lpwstr>http://www.nevo.co.il/law/70301/40ja.8</vt:lpwstr>
      </vt:variant>
      <vt:variant>
        <vt:lpwstr/>
      </vt:variant>
      <vt:variant>
        <vt:i4>3473445</vt:i4>
      </vt:variant>
      <vt:variant>
        <vt:i4>57</vt:i4>
      </vt:variant>
      <vt:variant>
        <vt:i4>0</vt:i4>
      </vt:variant>
      <vt:variant>
        <vt:i4>5</vt:i4>
      </vt:variant>
      <vt:variant>
        <vt:lpwstr>http://www.nevo.co.il/law/70301/40ja.1</vt:lpwstr>
      </vt:variant>
      <vt:variant>
        <vt:lpwstr/>
      </vt:variant>
      <vt:variant>
        <vt:i4>6553702</vt:i4>
      </vt:variant>
      <vt:variant>
        <vt:i4>54</vt:i4>
      </vt:variant>
      <vt:variant>
        <vt:i4>0</vt:i4>
      </vt:variant>
      <vt:variant>
        <vt:i4>5</vt:i4>
      </vt:variant>
      <vt:variant>
        <vt:lpwstr>http://www.nevo.co.il/law/70301/311</vt:lpwstr>
      </vt:variant>
      <vt:variant>
        <vt:lpwstr/>
      </vt:variant>
      <vt:variant>
        <vt:i4>4915283</vt:i4>
      </vt:variant>
      <vt:variant>
        <vt:i4>51</vt:i4>
      </vt:variant>
      <vt:variant>
        <vt:i4>0</vt:i4>
      </vt:variant>
      <vt:variant>
        <vt:i4>5</vt:i4>
      </vt:variant>
      <vt:variant>
        <vt:lpwstr>http://www.nevo.co.il/law/70301/305.1</vt:lpwstr>
      </vt:variant>
      <vt:variant>
        <vt:lpwstr/>
      </vt:variant>
      <vt:variant>
        <vt:i4>6619238</vt:i4>
      </vt:variant>
      <vt:variant>
        <vt:i4>48</vt:i4>
      </vt:variant>
      <vt:variant>
        <vt:i4>0</vt:i4>
      </vt:variant>
      <vt:variant>
        <vt:i4>5</vt:i4>
      </vt:variant>
      <vt:variant>
        <vt:lpwstr>http://www.nevo.co.il/law/70301/305</vt:lpwstr>
      </vt:variant>
      <vt:variant>
        <vt:lpwstr/>
      </vt:variant>
      <vt:variant>
        <vt:i4>5505111</vt:i4>
      </vt:variant>
      <vt:variant>
        <vt:i4>45</vt:i4>
      </vt:variant>
      <vt:variant>
        <vt:i4>0</vt:i4>
      </vt:variant>
      <vt:variant>
        <vt:i4>5</vt:i4>
      </vt:variant>
      <vt:variant>
        <vt:lpwstr>http://www.nevo.co.il/law/70301/301b.b.1</vt:lpwstr>
      </vt:variant>
      <vt:variant>
        <vt:lpwstr/>
      </vt:variant>
      <vt:variant>
        <vt:i4>6684793</vt:i4>
      </vt:variant>
      <vt:variant>
        <vt:i4>42</vt:i4>
      </vt:variant>
      <vt:variant>
        <vt:i4>0</vt:i4>
      </vt:variant>
      <vt:variant>
        <vt:i4>5</vt:i4>
      </vt:variant>
      <vt:variant>
        <vt:lpwstr>http://www.nevo.co.il/law/70301/301a.b</vt:lpwstr>
      </vt:variant>
      <vt:variant>
        <vt:lpwstr/>
      </vt:variant>
      <vt:variant>
        <vt:i4>5505111</vt:i4>
      </vt:variant>
      <vt:variant>
        <vt:i4>39</vt:i4>
      </vt:variant>
      <vt:variant>
        <vt:i4>0</vt:i4>
      </vt:variant>
      <vt:variant>
        <vt:i4>5</vt:i4>
      </vt:variant>
      <vt:variant>
        <vt:lpwstr>http://www.nevo.co.il/law/70301/301a.a.1</vt:lpwstr>
      </vt:variant>
      <vt:variant>
        <vt:lpwstr/>
      </vt:variant>
      <vt:variant>
        <vt:i4>6619257</vt:i4>
      </vt:variant>
      <vt:variant>
        <vt:i4>36</vt:i4>
      </vt:variant>
      <vt:variant>
        <vt:i4>0</vt:i4>
      </vt:variant>
      <vt:variant>
        <vt:i4>5</vt:i4>
      </vt:variant>
      <vt:variant>
        <vt:lpwstr>http://www.nevo.co.il/law/70301/301a.a</vt:lpwstr>
      </vt:variant>
      <vt:variant>
        <vt:lpwstr/>
      </vt:variant>
      <vt:variant>
        <vt:i4>262231</vt:i4>
      </vt:variant>
      <vt:variant>
        <vt:i4>33</vt:i4>
      </vt:variant>
      <vt:variant>
        <vt:i4>0</vt:i4>
      </vt:variant>
      <vt:variant>
        <vt:i4>5</vt:i4>
      </vt:variant>
      <vt:variant>
        <vt:lpwstr>http://www.nevo.co.il/law/70301/301a</vt:lpwstr>
      </vt:variant>
      <vt:variant>
        <vt:lpwstr/>
      </vt:variant>
      <vt:variant>
        <vt:i4>6619238</vt:i4>
      </vt:variant>
      <vt:variant>
        <vt:i4>30</vt:i4>
      </vt:variant>
      <vt:variant>
        <vt:i4>0</vt:i4>
      </vt:variant>
      <vt:variant>
        <vt:i4>5</vt:i4>
      </vt:variant>
      <vt:variant>
        <vt:lpwstr>http://www.nevo.co.il/law/70301/301</vt:lpwstr>
      </vt:variant>
      <vt:variant>
        <vt:lpwstr/>
      </vt:variant>
      <vt:variant>
        <vt:i4>262230</vt:i4>
      </vt:variant>
      <vt:variant>
        <vt:i4>27</vt:i4>
      </vt:variant>
      <vt:variant>
        <vt:i4>0</vt:i4>
      </vt:variant>
      <vt:variant>
        <vt:i4>5</vt:i4>
      </vt:variant>
      <vt:variant>
        <vt:lpwstr>http://www.nevo.co.il/law/70301/300a</vt:lpwstr>
      </vt:variant>
      <vt:variant>
        <vt:lpwstr/>
      </vt:variant>
      <vt:variant>
        <vt:i4>4915205</vt:i4>
      </vt:variant>
      <vt:variant>
        <vt:i4>24</vt:i4>
      </vt:variant>
      <vt:variant>
        <vt:i4>0</vt:i4>
      </vt:variant>
      <vt:variant>
        <vt:i4>5</vt:i4>
      </vt:variant>
      <vt:variant>
        <vt:lpwstr>http://www.nevo.co.il/law/70301/300.a.2.</vt:lpwstr>
      </vt:variant>
      <vt:variant>
        <vt:lpwstr/>
      </vt:variant>
      <vt:variant>
        <vt:i4>4915286</vt:i4>
      </vt:variant>
      <vt:variant>
        <vt:i4>21</vt:i4>
      </vt:variant>
      <vt:variant>
        <vt:i4>0</vt:i4>
      </vt:variant>
      <vt:variant>
        <vt:i4>5</vt:i4>
      </vt:variant>
      <vt:variant>
        <vt:lpwstr>http://www.nevo.co.il/law/70301/300.a</vt:lpwstr>
      </vt:variant>
      <vt:variant>
        <vt:lpwstr/>
      </vt:variant>
      <vt:variant>
        <vt:i4>6357042</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6619241</vt:i4>
      </vt:variant>
      <vt:variant>
        <vt:i4>12</vt:i4>
      </vt:variant>
      <vt:variant>
        <vt:i4>0</vt:i4>
      </vt:variant>
      <vt:variant>
        <vt:i4>5</vt:i4>
      </vt:variant>
      <vt:variant>
        <vt:lpwstr>http://www.nevo.co.il/law/70301/40i.a.9</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7077991</vt:i4>
      </vt:variant>
      <vt:variant>
        <vt:i4>6</vt:i4>
      </vt:variant>
      <vt:variant>
        <vt:i4>0</vt:i4>
      </vt:variant>
      <vt:variant>
        <vt:i4>5</vt:i4>
      </vt:variant>
      <vt:variant>
        <vt:lpwstr>http://www.nevo.co.il/law/70301/29</vt:lpwstr>
      </vt:variant>
      <vt:variant>
        <vt:lpwstr/>
      </vt:variant>
      <vt:variant>
        <vt:i4>8061024</vt:i4>
      </vt:variant>
      <vt:variant>
        <vt:i4>3</vt:i4>
      </vt:variant>
      <vt:variant>
        <vt:i4>0</vt:i4>
      </vt:variant>
      <vt:variant>
        <vt:i4>5</vt:i4>
      </vt:variant>
      <vt:variant>
        <vt:lpwstr>http://www.nevo.co.il/law/70301/5.a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2025-01-19T15:57:00Z</dcterms:created>
  <dcterms:modified xsi:type="dcterms:W3CDTF">2025-01-19T15:57:00Z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43709</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רפעת עודה</vt:lpwstr>
  </property>
  <property fmtid="{D5CDD505-2E9C-101B-9397-08002B2CF9AE}" pid="10" name="JUDGE">
    <vt:lpwstr>רון שפירא;אברהם אליקים;תמר נאות פרי</vt:lpwstr>
  </property>
  <property fmtid="{D5CDD505-2E9C-101B-9397-08002B2CF9AE}" pid="11" name="CITY">
    <vt:lpwstr>חי'</vt:lpwstr>
  </property>
  <property fmtid="{D5CDD505-2E9C-101B-9397-08002B2CF9AE}" pid="12" name="DATE">
    <vt:lpwstr>20190520</vt:lpwstr>
  </property>
  <property fmtid="{D5CDD505-2E9C-101B-9397-08002B2CF9AE}" pid="13" name="TYPE_N_DATE">
    <vt:lpwstr>39020190520</vt:lpwstr>
  </property>
  <property fmtid="{D5CDD505-2E9C-101B-9397-08002B2CF9AE}" pid="14" name="WORDNUMPAGES">
    <vt:lpwstr>17</vt:lpwstr>
  </property>
  <property fmtid="{D5CDD505-2E9C-101B-9397-08002B2CF9AE}" pid="15" name="TYPE_ABS_DATE">
    <vt:lpwstr>390020190520</vt:lpwstr>
  </property>
  <property fmtid="{D5CDD505-2E9C-101B-9397-08002B2CF9AE}" pid="16" name="ISABSTRACT">
    <vt:lpwstr>Y</vt:lpwstr>
  </property>
  <property fmtid="{D5CDD505-2E9C-101B-9397-08002B2CF9AE}" pid="17" name="LAWYER">
    <vt:lpwstr>בוריס שרמן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17946982;5689213;20798648;5585940;17045921;4451458;5966542</vt:lpwstr>
  </property>
  <property fmtid="{D5CDD505-2E9C-101B-9397-08002B2CF9AE}" pid="36" name="LAWLISTTMP1">
    <vt:lpwstr>70301/300.a.2;301;305;144.a;144.b;029;301a.a:2;301b.b.1;300.a:2;311;301a.b:2;005.a:8;jCaS;301a;300a;301a.a.1;040i.a.9;40ja.1;40ja.8;305.1;034d;e1CbS</vt:lpwstr>
  </property>
</Properties>
</file>