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14E3D" w:rsidRPr="005C475C" w14:paraId="3BA94900" w14:textId="77777777">
        <w:trPr>
          <w:trHeight w:hRule="exact" w:val="418"/>
          <w:jc w:val="center"/>
        </w:trPr>
        <w:tc>
          <w:tcPr>
            <w:tcW w:w="8721" w:type="dxa"/>
            <w:gridSpan w:val="2"/>
          </w:tcPr>
          <w:p w14:paraId="2352D45A" w14:textId="77777777" w:rsidR="00014E3D" w:rsidRPr="005C475C" w:rsidRDefault="00014E3D" w:rsidP="005C475C">
            <w:pPr>
              <w:pStyle w:val="a3"/>
              <w:jc w:val="center"/>
              <w:rPr>
                <w:rFonts w:ascii="Tahoma" w:hAnsi="Tahoma" w:cs="Tahoma"/>
                <w:color w:val="000080"/>
                <w:rtl/>
              </w:rPr>
            </w:pPr>
            <w:bookmarkStart w:id="0" w:name="LastJudge"/>
            <w:r w:rsidRPr="005C475C">
              <w:rPr>
                <w:rFonts w:ascii="Tahoma" w:hAnsi="Tahoma" w:cs="Tahoma"/>
                <w:b/>
                <w:bCs/>
                <w:color w:val="000080"/>
                <w:rtl/>
              </w:rPr>
              <w:t>בית המשפט המחוזי בחיפה</w:t>
            </w:r>
          </w:p>
        </w:tc>
      </w:tr>
      <w:tr w:rsidR="00014E3D" w:rsidRPr="005C475C" w14:paraId="579F7B33" w14:textId="77777777">
        <w:trPr>
          <w:trHeight w:val="337"/>
          <w:jc w:val="center"/>
        </w:trPr>
        <w:tc>
          <w:tcPr>
            <w:tcW w:w="5054" w:type="dxa"/>
          </w:tcPr>
          <w:p w14:paraId="686269B4" w14:textId="77777777" w:rsidR="00014E3D" w:rsidRPr="005C475C" w:rsidRDefault="00014E3D" w:rsidP="005C475C">
            <w:pPr>
              <w:rPr>
                <w:rFonts w:cs="FrankRuehl"/>
                <w:sz w:val="28"/>
                <w:szCs w:val="28"/>
                <w:rtl/>
              </w:rPr>
            </w:pPr>
            <w:r w:rsidRPr="005C475C">
              <w:rPr>
                <w:rFonts w:cs="FrankRuehl"/>
                <w:sz w:val="28"/>
                <w:szCs w:val="28"/>
                <w:rtl/>
              </w:rPr>
              <w:t>ת"פ</w:t>
            </w:r>
            <w:r w:rsidRPr="005C475C">
              <w:rPr>
                <w:rFonts w:cs="FrankRuehl" w:hint="cs"/>
                <w:sz w:val="28"/>
                <w:szCs w:val="28"/>
                <w:rtl/>
              </w:rPr>
              <w:t xml:space="preserve"> </w:t>
            </w:r>
            <w:r w:rsidRPr="005C475C">
              <w:rPr>
                <w:rFonts w:cs="FrankRuehl"/>
                <w:sz w:val="28"/>
                <w:szCs w:val="28"/>
                <w:rtl/>
              </w:rPr>
              <w:t>17919-01-15</w:t>
            </w:r>
            <w:r w:rsidRPr="005C475C">
              <w:rPr>
                <w:rFonts w:cs="FrankRuehl" w:hint="cs"/>
                <w:sz w:val="28"/>
                <w:szCs w:val="28"/>
                <w:rtl/>
              </w:rPr>
              <w:t xml:space="preserve"> </w:t>
            </w:r>
            <w:r w:rsidRPr="005C475C">
              <w:rPr>
                <w:rFonts w:cs="FrankRuehl"/>
                <w:sz w:val="28"/>
                <w:szCs w:val="28"/>
                <w:rtl/>
              </w:rPr>
              <w:t>מדינת ישראל נ' חאג'</w:t>
            </w:r>
          </w:p>
          <w:p w14:paraId="227DFD07" w14:textId="77777777" w:rsidR="00014E3D" w:rsidRPr="005C475C" w:rsidRDefault="00014E3D" w:rsidP="005C475C">
            <w:pPr>
              <w:pStyle w:val="a3"/>
              <w:rPr>
                <w:rFonts w:cs="FrankRuehl"/>
                <w:sz w:val="10"/>
                <w:szCs w:val="10"/>
                <w:rtl/>
              </w:rPr>
            </w:pPr>
          </w:p>
        </w:tc>
        <w:tc>
          <w:tcPr>
            <w:tcW w:w="3667" w:type="dxa"/>
          </w:tcPr>
          <w:p w14:paraId="5660B8D4" w14:textId="77777777" w:rsidR="00014E3D" w:rsidRPr="005C475C" w:rsidRDefault="00014E3D" w:rsidP="005C475C">
            <w:pPr>
              <w:pStyle w:val="a3"/>
              <w:jc w:val="right"/>
              <w:rPr>
                <w:rFonts w:cs="FrankRuehl"/>
                <w:sz w:val="28"/>
                <w:szCs w:val="28"/>
                <w:rtl/>
              </w:rPr>
            </w:pPr>
          </w:p>
        </w:tc>
      </w:tr>
    </w:tbl>
    <w:p w14:paraId="1C4639BB" w14:textId="77777777" w:rsidR="00014E3D" w:rsidRPr="005C475C" w:rsidRDefault="00014E3D" w:rsidP="00014E3D">
      <w:pPr>
        <w:pStyle w:val="a3"/>
        <w:rPr>
          <w:rtl/>
        </w:rPr>
      </w:pPr>
      <w:r w:rsidRPr="005C475C">
        <w:rPr>
          <w:rFonts w:hint="cs"/>
          <w:rtl/>
        </w:rPr>
        <w:t xml:space="preserve"> </w:t>
      </w:r>
    </w:p>
    <w:p w14:paraId="4D218B7B" w14:textId="77777777" w:rsidR="00014E3D" w:rsidRPr="005C475C" w:rsidRDefault="00014E3D" w:rsidP="00014E3D">
      <w:pPr>
        <w:rPr>
          <w:sz w:val="2"/>
          <w:szCs w:val="2"/>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014E3D" w:rsidRPr="005C475C" w14:paraId="624AFA53" w14:textId="77777777" w:rsidTr="00B268D4">
        <w:trPr>
          <w:gridAfter w:val="2"/>
          <w:wAfter w:w="129" w:type="dxa"/>
        </w:trPr>
        <w:tc>
          <w:tcPr>
            <w:tcW w:w="8719" w:type="dxa"/>
            <w:gridSpan w:val="3"/>
            <w:shd w:val="clear" w:color="auto" w:fill="auto"/>
          </w:tcPr>
          <w:p w14:paraId="1AF0D1A4" w14:textId="77777777" w:rsidR="00014E3D" w:rsidRPr="005C475C" w:rsidRDefault="00014E3D" w:rsidP="005C475C">
            <w:pPr>
              <w:spacing w:line="360" w:lineRule="auto"/>
              <w:rPr>
                <w:rStyle w:val="TimesNewRomanTimesNewRoman"/>
                <w:rtl/>
              </w:rPr>
            </w:pPr>
            <w:r w:rsidRPr="005C475C">
              <w:rPr>
                <w:rFonts w:hint="cs"/>
                <w:b/>
                <w:bCs/>
                <w:sz w:val="26"/>
                <w:szCs w:val="26"/>
                <w:rtl/>
              </w:rPr>
              <w:t>בפני כב' ה</w:t>
            </w:r>
            <w:r w:rsidRPr="005C475C">
              <w:rPr>
                <w:rFonts w:hint="cs"/>
                <w:rtl/>
              </w:rPr>
              <w:t>שופטת דיאנה סלע</w:t>
            </w:r>
            <w:r w:rsidRPr="005C475C">
              <w:rPr>
                <w:rStyle w:val="TimesNewRomanTimesNewRoman"/>
                <w:rFonts w:hint="cs"/>
                <w:rtl/>
              </w:rPr>
              <w:t xml:space="preserve"> </w:t>
            </w:r>
          </w:p>
          <w:p w14:paraId="23A73FE5" w14:textId="77777777" w:rsidR="00014E3D" w:rsidRPr="005C475C" w:rsidRDefault="00014E3D" w:rsidP="005C475C">
            <w:pPr>
              <w:spacing w:line="360" w:lineRule="auto"/>
              <w:rPr>
                <w:b/>
                <w:bCs/>
                <w:sz w:val="26"/>
                <w:szCs w:val="26"/>
              </w:rPr>
            </w:pPr>
          </w:p>
        </w:tc>
      </w:tr>
      <w:tr w:rsidR="00014E3D" w:rsidRPr="005C475C" w14:paraId="71CC5C93" w14:textId="77777777" w:rsidTr="00B268D4">
        <w:trPr>
          <w:gridAfter w:val="1"/>
          <w:wAfter w:w="46" w:type="dxa"/>
        </w:trPr>
        <w:tc>
          <w:tcPr>
            <w:tcW w:w="2880" w:type="dxa"/>
            <w:gridSpan w:val="2"/>
            <w:shd w:val="clear" w:color="auto" w:fill="auto"/>
          </w:tcPr>
          <w:p w14:paraId="71721C97" w14:textId="77777777" w:rsidR="00014E3D" w:rsidRPr="005C475C" w:rsidRDefault="00014E3D" w:rsidP="005C475C">
            <w:pPr>
              <w:ind w:left="26"/>
              <w:rPr>
                <w:b/>
                <w:bCs/>
                <w:sz w:val="26"/>
                <w:szCs w:val="26"/>
              </w:rPr>
            </w:pPr>
            <w:bookmarkStart w:id="1" w:name="FirstAppellant"/>
            <w:r w:rsidRPr="005C475C">
              <w:rPr>
                <w:rFonts w:hint="cs"/>
                <w:b/>
                <w:bCs/>
                <w:sz w:val="26"/>
                <w:szCs w:val="26"/>
                <w:rtl/>
              </w:rPr>
              <w:t>ה</w:t>
            </w:r>
            <w:r w:rsidRPr="005C475C">
              <w:rPr>
                <w:rFonts w:hint="cs"/>
                <w:rtl/>
              </w:rPr>
              <w:t>מאשימה</w:t>
            </w:r>
          </w:p>
        </w:tc>
        <w:tc>
          <w:tcPr>
            <w:tcW w:w="5922" w:type="dxa"/>
            <w:gridSpan w:val="2"/>
            <w:shd w:val="clear" w:color="auto" w:fill="auto"/>
          </w:tcPr>
          <w:p w14:paraId="41BFAFE9" w14:textId="77777777" w:rsidR="00014E3D" w:rsidRPr="005C475C" w:rsidRDefault="00014E3D" w:rsidP="005C475C">
            <w:pPr>
              <w:rPr>
                <w:b/>
                <w:bCs/>
                <w:sz w:val="26"/>
                <w:szCs w:val="26"/>
              </w:rPr>
            </w:pPr>
            <w:r w:rsidRPr="005C475C">
              <w:rPr>
                <w:rFonts w:hint="cs"/>
                <w:rtl/>
              </w:rPr>
              <w:t>מדינת ישראל</w:t>
            </w:r>
          </w:p>
        </w:tc>
      </w:tr>
      <w:bookmarkEnd w:id="1"/>
      <w:tr w:rsidR="00014E3D" w:rsidRPr="005C475C" w14:paraId="2C20A7CF" w14:textId="77777777" w:rsidTr="00B268D4">
        <w:trPr>
          <w:gridAfter w:val="1"/>
          <w:wAfter w:w="46" w:type="dxa"/>
        </w:trPr>
        <w:tc>
          <w:tcPr>
            <w:tcW w:w="8802" w:type="dxa"/>
            <w:gridSpan w:val="4"/>
            <w:shd w:val="clear" w:color="auto" w:fill="auto"/>
          </w:tcPr>
          <w:p w14:paraId="480878ED" w14:textId="77777777" w:rsidR="00014E3D" w:rsidRPr="005C475C" w:rsidRDefault="00014E3D" w:rsidP="005C475C">
            <w:pPr>
              <w:jc w:val="center"/>
              <w:rPr>
                <w:rFonts w:ascii="Arial" w:hAnsi="Arial"/>
                <w:b/>
                <w:bCs/>
                <w:sz w:val="26"/>
                <w:szCs w:val="26"/>
                <w:rtl/>
              </w:rPr>
            </w:pPr>
          </w:p>
          <w:p w14:paraId="0813E9F4" w14:textId="77777777" w:rsidR="00014E3D" w:rsidRPr="005C475C" w:rsidRDefault="00014E3D" w:rsidP="005C475C">
            <w:pPr>
              <w:jc w:val="center"/>
              <w:rPr>
                <w:rFonts w:ascii="Arial" w:hAnsi="Arial"/>
                <w:b/>
                <w:bCs/>
                <w:sz w:val="26"/>
                <w:szCs w:val="26"/>
                <w:rtl/>
              </w:rPr>
            </w:pPr>
            <w:r w:rsidRPr="005C475C">
              <w:rPr>
                <w:rFonts w:ascii="Arial" w:hAnsi="Arial" w:hint="cs"/>
                <w:b/>
                <w:bCs/>
                <w:sz w:val="26"/>
                <w:szCs w:val="26"/>
                <w:rtl/>
              </w:rPr>
              <w:t>נגד</w:t>
            </w:r>
          </w:p>
          <w:p w14:paraId="7F02DE8C" w14:textId="77777777" w:rsidR="00014E3D" w:rsidRPr="005C475C" w:rsidRDefault="00014E3D" w:rsidP="005C475C">
            <w:pPr>
              <w:jc w:val="center"/>
              <w:rPr>
                <w:rFonts w:ascii="Arial" w:hAnsi="Arial"/>
                <w:b/>
                <w:bCs/>
                <w:sz w:val="26"/>
                <w:szCs w:val="26"/>
              </w:rPr>
            </w:pPr>
          </w:p>
        </w:tc>
      </w:tr>
      <w:tr w:rsidR="00014E3D" w:rsidRPr="005C475C" w14:paraId="47EF7D0D" w14:textId="77777777" w:rsidTr="00B268D4">
        <w:trPr>
          <w:gridAfter w:val="1"/>
          <w:wAfter w:w="46" w:type="dxa"/>
        </w:trPr>
        <w:tc>
          <w:tcPr>
            <w:tcW w:w="2880" w:type="dxa"/>
            <w:gridSpan w:val="2"/>
            <w:shd w:val="clear" w:color="auto" w:fill="auto"/>
          </w:tcPr>
          <w:p w14:paraId="7BD268EB" w14:textId="77777777" w:rsidR="00014E3D" w:rsidRPr="005C475C" w:rsidRDefault="00014E3D" w:rsidP="005C475C">
            <w:pPr>
              <w:ind w:left="26"/>
              <w:rPr>
                <w:b/>
                <w:bCs/>
                <w:sz w:val="26"/>
                <w:szCs w:val="26"/>
              </w:rPr>
            </w:pPr>
            <w:r w:rsidRPr="005C475C">
              <w:rPr>
                <w:rFonts w:hint="cs"/>
                <w:b/>
                <w:bCs/>
                <w:sz w:val="26"/>
                <w:szCs w:val="26"/>
                <w:rtl/>
              </w:rPr>
              <w:t>ה</w:t>
            </w:r>
            <w:r w:rsidRPr="005C475C">
              <w:rPr>
                <w:rFonts w:hint="cs"/>
                <w:rtl/>
              </w:rPr>
              <w:t>נאשם</w:t>
            </w:r>
          </w:p>
        </w:tc>
        <w:tc>
          <w:tcPr>
            <w:tcW w:w="5922" w:type="dxa"/>
            <w:gridSpan w:val="2"/>
            <w:shd w:val="clear" w:color="auto" w:fill="auto"/>
          </w:tcPr>
          <w:p w14:paraId="520FEC77" w14:textId="77777777" w:rsidR="00014E3D" w:rsidRPr="005C475C" w:rsidRDefault="00014E3D" w:rsidP="005C475C">
            <w:pPr>
              <w:rPr>
                <w:b/>
                <w:bCs/>
                <w:sz w:val="26"/>
                <w:szCs w:val="26"/>
              </w:rPr>
            </w:pPr>
            <w:r w:rsidRPr="005C475C">
              <w:rPr>
                <w:rFonts w:hint="cs"/>
                <w:rtl/>
              </w:rPr>
              <w:t xml:space="preserve">רבאח חאג' ת.ז. </w:t>
            </w:r>
            <w:r w:rsidR="005C475C">
              <w:t>xxxxxxxxx</w:t>
            </w:r>
          </w:p>
        </w:tc>
      </w:tr>
      <w:tr w:rsidR="00014E3D" w14:paraId="1F54DBE4" w14:textId="77777777" w:rsidTr="00B268D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499D442C" w14:textId="77777777" w:rsidR="00B268D4" w:rsidRDefault="00B268D4" w:rsidP="005C475C">
            <w:pPr>
              <w:jc w:val="center"/>
              <w:rPr>
                <w:rFonts w:ascii="Arial" w:hAnsi="Arial"/>
                <w:sz w:val="32"/>
                <w:szCs w:val="32"/>
                <w:rtl/>
              </w:rPr>
            </w:pPr>
            <w:bookmarkStart w:id="2" w:name="PsakDin" w:colFirst="0" w:colLast="0"/>
            <w:bookmarkStart w:id="3" w:name="LawTable"/>
            <w:bookmarkEnd w:id="0"/>
            <w:bookmarkEnd w:id="3"/>
          </w:p>
          <w:p w14:paraId="314D2DC4" w14:textId="77777777" w:rsidR="00B268D4" w:rsidRPr="00B268D4" w:rsidRDefault="00B268D4" w:rsidP="00B268D4">
            <w:pPr>
              <w:spacing w:after="120" w:line="240" w:lineRule="exact"/>
              <w:ind w:left="283" w:hanging="283"/>
              <w:jc w:val="both"/>
              <w:rPr>
                <w:rFonts w:ascii="FrankRuehl" w:hAnsi="FrankRuehl" w:cs="FrankRuehl"/>
                <w:rtl/>
              </w:rPr>
            </w:pPr>
          </w:p>
          <w:p w14:paraId="78E1939D" w14:textId="77777777" w:rsidR="00B268D4" w:rsidRPr="00B268D4" w:rsidRDefault="00B268D4" w:rsidP="00B268D4">
            <w:pPr>
              <w:spacing w:after="120" w:line="240" w:lineRule="exact"/>
              <w:ind w:left="283" w:hanging="283"/>
              <w:jc w:val="both"/>
              <w:rPr>
                <w:rFonts w:ascii="FrankRuehl" w:hAnsi="FrankRuehl" w:cs="FrankRuehl"/>
                <w:rtl/>
              </w:rPr>
            </w:pPr>
            <w:r w:rsidRPr="00B268D4">
              <w:rPr>
                <w:rFonts w:ascii="FrankRuehl" w:hAnsi="FrankRuehl" w:cs="FrankRuehl"/>
                <w:rtl/>
              </w:rPr>
              <w:t xml:space="preserve">חקיקה שאוזכרה: </w:t>
            </w:r>
          </w:p>
          <w:p w14:paraId="00E8DEF5" w14:textId="77777777" w:rsidR="00B268D4" w:rsidRPr="00B268D4" w:rsidRDefault="00B268D4" w:rsidP="00B268D4">
            <w:pPr>
              <w:spacing w:after="120" w:line="240" w:lineRule="exact"/>
              <w:ind w:left="283" w:hanging="283"/>
              <w:jc w:val="both"/>
              <w:rPr>
                <w:rFonts w:ascii="FrankRuehl" w:hAnsi="FrankRuehl" w:cs="FrankRuehl"/>
                <w:rtl/>
              </w:rPr>
            </w:pPr>
            <w:hyperlink r:id="rId6" w:history="1">
              <w:r w:rsidRPr="00B268D4">
                <w:rPr>
                  <w:rFonts w:ascii="FrankRuehl" w:hAnsi="FrankRuehl" w:cs="FrankRuehl"/>
                  <w:color w:val="0000FF"/>
                  <w:u w:val="single"/>
                  <w:rtl/>
                </w:rPr>
                <w:t>חוק העונשין, תשל"ז-1977</w:t>
              </w:r>
            </w:hyperlink>
            <w:r w:rsidRPr="00B268D4">
              <w:rPr>
                <w:rFonts w:ascii="FrankRuehl" w:hAnsi="FrankRuehl" w:cs="FrankRuehl"/>
                <w:rtl/>
              </w:rPr>
              <w:t xml:space="preserve">: סע'  </w:t>
            </w:r>
            <w:hyperlink r:id="rId7" w:history="1">
              <w:r w:rsidRPr="00B268D4">
                <w:rPr>
                  <w:rFonts w:ascii="FrankRuehl" w:hAnsi="FrankRuehl" w:cs="FrankRuehl"/>
                  <w:color w:val="0000FF"/>
                  <w:u w:val="single"/>
                  <w:rtl/>
                </w:rPr>
                <w:t>29</w:t>
              </w:r>
            </w:hyperlink>
            <w:r w:rsidRPr="00B268D4">
              <w:rPr>
                <w:rFonts w:ascii="FrankRuehl" w:hAnsi="FrankRuehl" w:cs="FrankRuehl"/>
                <w:rtl/>
              </w:rPr>
              <w:t xml:space="preserve">, </w:t>
            </w:r>
            <w:hyperlink r:id="rId8" w:history="1">
              <w:r w:rsidRPr="00B268D4">
                <w:rPr>
                  <w:rFonts w:ascii="FrankRuehl" w:hAnsi="FrankRuehl" w:cs="FrankRuehl"/>
                  <w:color w:val="0000FF"/>
                  <w:u w:val="single"/>
                  <w:rtl/>
                </w:rPr>
                <w:t>40ט</w:t>
              </w:r>
            </w:hyperlink>
            <w:r w:rsidRPr="00B268D4">
              <w:rPr>
                <w:rFonts w:ascii="FrankRuehl" w:hAnsi="FrankRuehl" w:cs="FrankRuehl"/>
                <w:rtl/>
              </w:rPr>
              <w:t xml:space="preserve">, </w:t>
            </w:r>
            <w:hyperlink r:id="rId9" w:history="1">
              <w:r w:rsidRPr="00B268D4">
                <w:rPr>
                  <w:rFonts w:ascii="FrankRuehl" w:hAnsi="FrankRuehl" w:cs="FrankRuehl"/>
                  <w:color w:val="0000FF"/>
                  <w:u w:val="single"/>
                  <w:rtl/>
                </w:rPr>
                <w:t>144(א)</w:t>
              </w:r>
            </w:hyperlink>
            <w:r w:rsidRPr="00B268D4">
              <w:rPr>
                <w:rFonts w:ascii="FrankRuehl" w:hAnsi="FrankRuehl" w:cs="FrankRuehl"/>
                <w:rtl/>
              </w:rPr>
              <w:t xml:space="preserve">, </w:t>
            </w:r>
            <w:hyperlink r:id="rId10" w:history="1">
              <w:r w:rsidRPr="00B268D4">
                <w:rPr>
                  <w:rFonts w:ascii="FrankRuehl" w:hAnsi="FrankRuehl" w:cs="FrankRuehl"/>
                  <w:color w:val="0000FF"/>
                  <w:u w:val="single"/>
                  <w:rtl/>
                </w:rPr>
                <w:t>144(ב)</w:t>
              </w:r>
            </w:hyperlink>
            <w:r w:rsidRPr="00B268D4">
              <w:rPr>
                <w:rFonts w:ascii="FrankRuehl" w:hAnsi="FrankRuehl" w:cs="FrankRuehl"/>
                <w:rtl/>
              </w:rPr>
              <w:t xml:space="preserve">, </w:t>
            </w:r>
            <w:hyperlink r:id="rId11" w:history="1">
              <w:r w:rsidRPr="00B268D4">
                <w:rPr>
                  <w:rFonts w:ascii="FrankRuehl" w:hAnsi="FrankRuehl" w:cs="FrankRuehl"/>
                  <w:color w:val="0000FF"/>
                  <w:u w:val="single"/>
                  <w:rtl/>
                </w:rPr>
                <w:t>144 (ב)(2)</w:t>
              </w:r>
            </w:hyperlink>
            <w:r w:rsidRPr="00B268D4">
              <w:rPr>
                <w:rFonts w:ascii="FrankRuehl" w:hAnsi="FrankRuehl" w:cs="FrankRuehl"/>
                <w:rtl/>
              </w:rPr>
              <w:t xml:space="preserve">, </w:t>
            </w:r>
            <w:hyperlink r:id="rId12" w:history="1">
              <w:r w:rsidRPr="00B268D4">
                <w:rPr>
                  <w:rFonts w:ascii="FrankRuehl" w:hAnsi="FrankRuehl" w:cs="FrankRuehl"/>
                  <w:color w:val="0000FF"/>
                  <w:u w:val="single"/>
                  <w:rtl/>
                </w:rPr>
                <w:t>40יא</w:t>
              </w:r>
            </w:hyperlink>
            <w:r w:rsidRPr="00B268D4">
              <w:rPr>
                <w:rFonts w:ascii="FrankRuehl" w:hAnsi="FrankRuehl" w:cs="FrankRuehl"/>
                <w:rtl/>
              </w:rPr>
              <w:t xml:space="preserve">, </w:t>
            </w:r>
            <w:hyperlink r:id="rId13" w:history="1">
              <w:r w:rsidRPr="00B268D4">
                <w:rPr>
                  <w:rFonts w:ascii="FrankRuehl" w:hAnsi="FrankRuehl" w:cs="FrankRuehl"/>
                  <w:color w:val="0000FF"/>
                  <w:u w:val="single"/>
                  <w:rtl/>
                </w:rPr>
                <w:t>499(א)(1)</w:t>
              </w:r>
            </w:hyperlink>
          </w:p>
          <w:p w14:paraId="00BE064B" w14:textId="77777777" w:rsidR="00B268D4" w:rsidRPr="00B268D4" w:rsidRDefault="00B268D4" w:rsidP="00B268D4">
            <w:pPr>
              <w:spacing w:after="120" w:line="240" w:lineRule="exact"/>
              <w:ind w:left="283" w:hanging="283"/>
              <w:jc w:val="both"/>
              <w:rPr>
                <w:rFonts w:ascii="FrankRuehl" w:hAnsi="FrankRuehl" w:cs="FrankRuehl"/>
                <w:rtl/>
              </w:rPr>
            </w:pPr>
          </w:p>
          <w:p w14:paraId="150421F3" w14:textId="77777777" w:rsidR="00B268D4" w:rsidRPr="00B268D4" w:rsidRDefault="00B268D4" w:rsidP="005C475C">
            <w:pPr>
              <w:jc w:val="center"/>
              <w:rPr>
                <w:rFonts w:ascii="Arial" w:hAnsi="Arial"/>
                <w:sz w:val="32"/>
                <w:szCs w:val="32"/>
                <w:rtl/>
              </w:rPr>
            </w:pPr>
            <w:bookmarkStart w:id="4" w:name="LawTable_End"/>
            <w:bookmarkEnd w:id="4"/>
          </w:p>
          <w:p w14:paraId="5A9716D1" w14:textId="77777777" w:rsidR="005C475C" w:rsidRPr="005C475C" w:rsidRDefault="005C475C" w:rsidP="005C475C">
            <w:pPr>
              <w:jc w:val="center"/>
              <w:rPr>
                <w:rFonts w:ascii="Arial" w:hAnsi="Arial"/>
                <w:b/>
                <w:bCs/>
                <w:sz w:val="32"/>
                <w:szCs w:val="32"/>
                <w:u w:val="single"/>
                <w:rtl/>
              </w:rPr>
            </w:pPr>
            <w:r w:rsidRPr="005C475C">
              <w:rPr>
                <w:rFonts w:ascii="Arial" w:hAnsi="Arial"/>
                <w:b/>
                <w:bCs/>
                <w:sz w:val="32"/>
                <w:szCs w:val="32"/>
                <w:u w:val="single"/>
                <w:rtl/>
              </w:rPr>
              <w:t>גזר דין</w:t>
            </w:r>
          </w:p>
          <w:p w14:paraId="71532F92" w14:textId="77777777" w:rsidR="00014E3D" w:rsidRPr="005C475C" w:rsidRDefault="00014E3D" w:rsidP="005C475C">
            <w:pPr>
              <w:jc w:val="center"/>
              <w:rPr>
                <w:rFonts w:ascii="Arial" w:hAnsi="Arial"/>
                <w:bCs/>
                <w:sz w:val="32"/>
                <w:szCs w:val="32"/>
                <w:u w:val="single"/>
                <w:rtl/>
              </w:rPr>
            </w:pPr>
          </w:p>
        </w:tc>
      </w:tr>
      <w:bookmarkEnd w:id="2"/>
    </w:tbl>
    <w:p w14:paraId="15848A61" w14:textId="77777777" w:rsidR="00014E3D" w:rsidRPr="00724E2B" w:rsidRDefault="00014E3D" w:rsidP="00014E3D">
      <w:pPr>
        <w:rPr>
          <w:rFonts w:ascii="Arial" w:hAnsi="Arial"/>
          <w:sz w:val="12"/>
          <w:szCs w:val="12"/>
          <w:rtl/>
        </w:rPr>
      </w:pPr>
    </w:p>
    <w:p w14:paraId="18BD68D5" w14:textId="77777777" w:rsidR="00014E3D" w:rsidRPr="00724E2B" w:rsidRDefault="00014E3D" w:rsidP="00014E3D">
      <w:pPr>
        <w:rPr>
          <w:sz w:val="20"/>
          <w:szCs w:val="20"/>
          <w:rtl/>
        </w:rPr>
      </w:pPr>
    </w:p>
    <w:p w14:paraId="356B72B2" w14:textId="77777777" w:rsidR="00014E3D" w:rsidRPr="00B05847" w:rsidRDefault="00014E3D" w:rsidP="00014E3D">
      <w:pPr>
        <w:rPr>
          <w:rtl/>
        </w:rPr>
      </w:pPr>
    </w:p>
    <w:p w14:paraId="761BDCCB" w14:textId="77777777" w:rsidR="00014E3D" w:rsidRPr="00724E2B" w:rsidRDefault="00014E3D" w:rsidP="00014E3D">
      <w:pPr>
        <w:spacing w:line="360" w:lineRule="auto"/>
        <w:ind w:left="720"/>
        <w:contextualSpacing/>
        <w:jc w:val="both"/>
        <w:rPr>
          <w:rtl/>
        </w:rPr>
      </w:pPr>
      <w:bookmarkStart w:id="5" w:name="ABSTRACT_START"/>
      <w:bookmarkEnd w:id="5"/>
      <w:r w:rsidRPr="00724E2B">
        <w:rPr>
          <w:rtl/>
        </w:rPr>
        <w:t xml:space="preserve">הנאשם, יליד 28/11/78, הודה והורשע, לאחר שמיעה חלקית של הראיות, בעובדות כתב אישום אשר תוקן במסגרת הסדר טיעון, בעבירות של קשירת קשר לפשע – עבירה לפי </w:t>
      </w:r>
      <w:hyperlink r:id="rId14" w:history="1">
        <w:r w:rsidR="00371CD2" w:rsidRPr="00371CD2">
          <w:rPr>
            <w:color w:val="0000FF"/>
            <w:u w:val="single"/>
            <w:rtl/>
          </w:rPr>
          <w:t>סעיף 499(א)(1)</w:t>
        </w:r>
      </w:hyperlink>
      <w:r w:rsidRPr="00724E2B">
        <w:rPr>
          <w:rtl/>
        </w:rPr>
        <w:t xml:space="preserve"> ל</w:t>
      </w:r>
      <w:hyperlink r:id="rId15" w:history="1">
        <w:r w:rsidR="005C475C" w:rsidRPr="005C475C">
          <w:rPr>
            <w:color w:val="0000FF"/>
            <w:u w:val="single"/>
            <w:rtl/>
          </w:rPr>
          <w:t>חוק העונשין</w:t>
        </w:r>
      </w:hyperlink>
      <w:r w:rsidRPr="00724E2B">
        <w:rPr>
          <w:rtl/>
        </w:rPr>
        <w:t xml:space="preserve">, תשל"ז – 1977 (להלן: חוק העונשין); ועבירות בנשק (רכישה, החזקה, נשיאה והובלה, וכן סחר) – עבירות לפי </w:t>
      </w:r>
      <w:hyperlink r:id="rId16" w:history="1">
        <w:r w:rsidR="00371CD2" w:rsidRPr="00371CD2">
          <w:rPr>
            <w:color w:val="0000FF"/>
            <w:u w:val="single"/>
            <w:rtl/>
          </w:rPr>
          <w:t>סעיפים 144(א)</w:t>
        </w:r>
      </w:hyperlink>
      <w:r w:rsidRPr="00724E2B">
        <w:rPr>
          <w:rtl/>
        </w:rPr>
        <w:t xml:space="preserve"> (רישא וסיפא) +  </w:t>
      </w:r>
      <w:hyperlink r:id="rId17" w:history="1">
        <w:r w:rsidR="00371CD2" w:rsidRPr="00371CD2">
          <w:rPr>
            <w:color w:val="0000FF"/>
            <w:u w:val="single"/>
            <w:rtl/>
          </w:rPr>
          <w:t>144(ב)</w:t>
        </w:r>
      </w:hyperlink>
      <w:r w:rsidRPr="00724E2B">
        <w:rPr>
          <w:rtl/>
        </w:rPr>
        <w:t xml:space="preserve"> רישא וסיפא) +</w:t>
      </w:r>
      <w:hyperlink r:id="rId18" w:history="1">
        <w:r w:rsidR="00371CD2" w:rsidRPr="00371CD2">
          <w:rPr>
            <w:color w:val="0000FF"/>
            <w:u w:val="single"/>
            <w:rtl/>
          </w:rPr>
          <w:t>144 (ב)(2)</w:t>
        </w:r>
      </w:hyperlink>
      <w:r w:rsidRPr="00724E2B">
        <w:rPr>
          <w:rtl/>
        </w:rPr>
        <w:t xml:space="preserve"> + </w:t>
      </w:r>
      <w:hyperlink r:id="rId19" w:history="1">
        <w:r w:rsidR="00371CD2" w:rsidRPr="00371CD2">
          <w:rPr>
            <w:color w:val="0000FF"/>
            <w:u w:val="single"/>
            <w:rtl/>
          </w:rPr>
          <w:t>29</w:t>
        </w:r>
      </w:hyperlink>
      <w:r w:rsidRPr="00724E2B">
        <w:rPr>
          <w:rtl/>
        </w:rPr>
        <w:t xml:space="preserve"> לחוק העונשין. </w:t>
      </w:r>
    </w:p>
    <w:p w14:paraId="25F2588D" w14:textId="77777777" w:rsidR="00014E3D" w:rsidRPr="0043766F" w:rsidRDefault="00014E3D" w:rsidP="00014E3D">
      <w:pPr>
        <w:spacing w:after="160" w:line="259" w:lineRule="auto"/>
        <w:jc w:val="both"/>
        <w:rPr>
          <w:rFonts w:ascii="Calibri" w:hAnsi="Calibri"/>
          <w:rtl/>
        </w:rPr>
      </w:pPr>
      <w:bookmarkStart w:id="6" w:name="ABSTRACT_END"/>
      <w:bookmarkEnd w:id="6"/>
    </w:p>
    <w:p w14:paraId="5D3BD5FD" w14:textId="77777777" w:rsidR="00014E3D" w:rsidRPr="0043766F" w:rsidRDefault="00014E3D" w:rsidP="00014E3D">
      <w:pPr>
        <w:spacing w:after="160"/>
        <w:ind w:left="720" w:hanging="720"/>
        <w:jc w:val="both"/>
        <w:rPr>
          <w:rFonts w:ascii="Calibri" w:hAnsi="Calibri"/>
          <w:b/>
          <w:bCs/>
          <w:u w:val="single"/>
          <w:rtl/>
        </w:rPr>
      </w:pPr>
      <w:r w:rsidRPr="0043766F">
        <w:rPr>
          <w:rFonts w:ascii="Calibri" w:hAnsi="Calibri"/>
          <w:b/>
          <w:bCs/>
          <w:rtl/>
        </w:rPr>
        <w:t>1.</w:t>
      </w:r>
      <w:r w:rsidRPr="0043766F">
        <w:rPr>
          <w:rFonts w:ascii="Calibri" w:hAnsi="Calibri"/>
          <w:b/>
          <w:bCs/>
          <w:rtl/>
        </w:rPr>
        <w:tab/>
      </w:r>
      <w:r w:rsidRPr="0043766F">
        <w:rPr>
          <w:rFonts w:ascii="Calibri" w:hAnsi="Calibri" w:hint="eastAsia"/>
          <w:b/>
          <w:bCs/>
          <w:u w:val="single"/>
          <w:rtl/>
        </w:rPr>
        <w:t>עובדות</w:t>
      </w:r>
      <w:r w:rsidRPr="0043766F">
        <w:rPr>
          <w:rFonts w:ascii="Calibri" w:hAnsi="Calibri"/>
          <w:b/>
          <w:bCs/>
          <w:u w:val="single"/>
          <w:rtl/>
        </w:rPr>
        <w:t xml:space="preserve"> </w:t>
      </w:r>
      <w:r w:rsidRPr="0043766F">
        <w:rPr>
          <w:rFonts w:ascii="Calibri" w:hAnsi="Calibri" w:hint="eastAsia"/>
          <w:b/>
          <w:bCs/>
          <w:u w:val="single"/>
          <w:rtl/>
        </w:rPr>
        <w:t>כתב</w:t>
      </w:r>
      <w:r w:rsidRPr="0043766F">
        <w:rPr>
          <w:rFonts w:ascii="Calibri" w:hAnsi="Calibri"/>
          <w:b/>
          <w:bCs/>
          <w:u w:val="single"/>
          <w:rtl/>
        </w:rPr>
        <w:t xml:space="preserve"> </w:t>
      </w:r>
      <w:r w:rsidRPr="0043766F">
        <w:rPr>
          <w:rFonts w:ascii="Calibri" w:hAnsi="Calibri" w:hint="eastAsia"/>
          <w:b/>
          <w:bCs/>
          <w:u w:val="single"/>
          <w:rtl/>
        </w:rPr>
        <w:t>האישום</w:t>
      </w:r>
      <w:r w:rsidRPr="0043766F">
        <w:rPr>
          <w:rFonts w:ascii="Calibri" w:hAnsi="Calibri"/>
          <w:b/>
          <w:bCs/>
          <w:u w:val="single"/>
          <w:rtl/>
        </w:rPr>
        <w:t xml:space="preserve"> </w:t>
      </w:r>
      <w:r w:rsidRPr="0043766F">
        <w:rPr>
          <w:rFonts w:ascii="Calibri" w:hAnsi="Calibri" w:hint="eastAsia"/>
          <w:b/>
          <w:bCs/>
          <w:u w:val="single"/>
          <w:rtl/>
        </w:rPr>
        <w:t>המתוקן</w:t>
      </w:r>
      <w:r w:rsidRPr="0043766F">
        <w:rPr>
          <w:rFonts w:ascii="Calibri" w:hAnsi="Calibri"/>
          <w:b/>
          <w:bCs/>
          <w:u w:val="single"/>
          <w:rtl/>
        </w:rPr>
        <w:t xml:space="preserve"> </w:t>
      </w:r>
      <w:r w:rsidRPr="0043766F">
        <w:rPr>
          <w:rFonts w:ascii="Calibri" w:hAnsi="Calibri" w:hint="eastAsia"/>
          <w:b/>
          <w:bCs/>
          <w:u w:val="single"/>
          <w:rtl/>
        </w:rPr>
        <w:t>בתמצית</w:t>
      </w:r>
    </w:p>
    <w:p w14:paraId="5B8D30A9" w14:textId="77777777" w:rsidR="00014E3D" w:rsidRPr="00724E2B" w:rsidRDefault="00014E3D" w:rsidP="00014E3D">
      <w:pPr>
        <w:spacing w:line="360" w:lineRule="auto"/>
        <w:ind w:left="720"/>
        <w:contextualSpacing/>
        <w:jc w:val="both"/>
        <w:rPr>
          <w:rtl/>
        </w:rPr>
      </w:pPr>
      <w:r w:rsidRPr="00724E2B">
        <w:rPr>
          <w:b/>
          <w:bCs/>
          <w:rtl/>
        </w:rPr>
        <w:t>א.</w:t>
      </w:r>
      <w:r w:rsidRPr="00724E2B">
        <w:rPr>
          <w:rtl/>
        </w:rPr>
        <w:t xml:space="preserve"> חברת "עמישב שירותים בע"מ" (להלן: חברת עמישב) הינה חברה המספקת שירותי שמירה, אבטחה, ניקיון ועוד, שלה סניפים שונים ברחבי הארץ. אחד הסניפים נמצא בשדרות ההסתדרות 33 בחיפה (להלן: הסניף). כחלק מפעילותה מחזיקה חברת עמישב כלי נשק, לרבות אקדחים, באישור המשרד לביטחון פנים. האקדחים הוחזקו דרך קבע במחסן נשק או בכספת אשר בחדר נשק בסניף (להלן: הכספת).</w:t>
      </w:r>
      <w:r>
        <w:rPr>
          <w:rFonts w:hint="cs"/>
          <w:rtl/>
        </w:rPr>
        <w:t xml:space="preserve"> </w:t>
      </w:r>
      <w:r w:rsidRPr="00724E2B">
        <w:rPr>
          <w:rtl/>
        </w:rPr>
        <w:t>במועד הרלוונטי לכתב אישום זה, עבד חברו של הנאשם, ג'יריס פרחאת (להלן: ג'יריס), בסניף של חברת עמישב, כמפקח ניקיון ואיש שטח. במסגרת תפקידו, ידע ג'יריס את קוד הכניסה לסניף וכן ידע כי מוחזקים אקדחים בכספת.</w:t>
      </w:r>
    </w:p>
    <w:p w14:paraId="5290B6DC" w14:textId="77777777" w:rsidR="00014E3D" w:rsidRPr="00724E2B" w:rsidRDefault="00014E3D" w:rsidP="00014E3D">
      <w:pPr>
        <w:spacing w:line="360" w:lineRule="auto"/>
        <w:ind w:left="720"/>
        <w:contextualSpacing/>
        <w:jc w:val="both"/>
        <w:rPr>
          <w:rtl/>
        </w:rPr>
      </w:pPr>
    </w:p>
    <w:p w14:paraId="14C3EC3E" w14:textId="77777777" w:rsidR="00014E3D" w:rsidRPr="00724E2B" w:rsidRDefault="00014E3D" w:rsidP="00014E3D">
      <w:pPr>
        <w:spacing w:line="360" w:lineRule="auto"/>
        <w:ind w:left="720"/>
        <w:contextualSpacing/>
        <w:jc w:val="both"/>
        <w:rPr>
          <w:rtl/>
        </w:rPr>
      </w:pPr>
      <w:r w:rsidRPr="00724E2B">
        <w:rPr>
          <w:b/>
          <w:bCs/>
          <w:rtl/>
        </w:rPr>
        <w:t>ב.</w:t>
      </w:r>
      <w:r w:rsidRPr="00724E2B">
        <w:rPr>
          <w:rtl/>
        </w:rPr>
        <w:t xml:space="preserve"> בין החודשים אוקטובר-נובמבר 14', קשר הנאשם קשר עם ג'יריס, לפיו ימכור לו ג'יריס אקדחים שלא כדין, תמורת תשלום בסך 10,000 ₪ עבור כל אקדח.</w:t>
      </w:r>
    </w:p>
    <w:p w14:paraId="3B4AC397" w14:textId="77777777" w:rsidR="00014E3D" w:rsidRPr="00740490" w:rsidRDefault="00014E3D" w:rsidP="00014E3D">
      <w:pPr>
        <w:spacing w:line="360" w:lineRule="auto"/>
        <w:ind w:left="720"/>
        <w:contextualSpacing/>
        <w:jc w:val="both"/>
        <w:rPr>
          <w:sz w:val="20"/>
          <w:szCs w:val="20"/>
          <w:rtl/>
        </w:rPr>
      </w:pPr>
    </w:p>
    <w:p w14:paraId="3E3E531E" w14:textId="77777777" w:rsidR="00014E3D" w:rsidRPr="00724E2B" w:rsidRDefault="00014E3D" w:rsidP="00014E3D">
      <w:pPr>
        <w:spacing w:line="360" w:lineRule="auto"/>
        <w:ind w:left="720"/>
        <w:contextualSpacing/>
        <w:jc w:val="both"/>
        <w:rPr>
          <w:rtl/>
        </w:rPr>
      </w:pPr>
      <w:r w:rsidRPr="00724E2B">
        <w:rPr>
          <w:b/>
          <w:bCs/>
          <w:rtl/>
        </w:rPr>
        <w:lastRenderedPageBreak/>
        <w:t>ג.</w:t>
      </w:r>
      <w:r w:rsidRPr="00724E2B">
        <w:rPr>
          <w:rtl/>
        </w:rPr>
        <w:t xml:space="preserve">  ביום שבת 20/12/14, היו בתוך הכספת שישה אקדחים השייכים לחברת עמישב ואשר בכוחם להמית אדם, כדלקמן: אקדח מסוג "יריחו" מספר 32306842, אקדח מסוג "גלוק 19" מספר </w:t>
      </w:r>
      <w:r w:rsidRPr="00724E2B">
        <w:t>NXG138</w:t>
      </w:r>
      <w:r w:rsidRPr="00724E2B">
        <w:rPr>
          <w:rtl/>
        </w:rPr>
        <w:t xml:space="preserve"> ובתוכו מחסנית ובה 12 כדורי 9 מ"מ, אקדח מסוג "יריחו" מספר 33303773 ובתוכו מחסנית ובה 12 כדורי 9 מ"מ, אקדח מסוג "יריחו" מספר 32321917 ובתוכו מחסנית ובה 12 כדורי 9 מ"מ, ואקדח מסוג "יריחו" מספר 33303791 ובתוכו מחסנית ובה 12 כדורי 9 מ"מ (להלן: האקדחים והתחמושת).</w:t>
      </w:r>
    </w:p>
    <w:p w14:paraId="780788E0" w14:textId="77777777" w:rsidR="00014E3D" w:rsidRPr="00724E2B" w:rsidRDefault="00014E3D" w:rsidP="00014E3D">
      <w:pPr>
        <w:spacing w:line="360" w:lineRule="auto"/>
        <w:ind w:left="720"/>
        <w:contextualSpacing/>
        <w:jc w:val="both"/>
        <w:rPr>
          <w:sz w:val="20"/>
          <w:szCs w:val="20"/>
          <w:rtl/>
        </w:rPr>
      </w:pPr>
    </w:p>
    <w:p w14:paraId="541AF78E" w14:textId="77777777" w:rsidR="00014E3D" w:rsidRDefault="00014E3D" w:rsidP="00014E3D">
      <w:pPr>
        <w:spacing w:line="360" w:lineRule="auto"/>
        <w:ind w:left="720"/>
        <w:contextualSpacing/>
        <w:jc w:val="both"/>
        <w:rPr>
          <w:rtl/>
        </w:rPr>
      </w:pPr>
      <w:r w:rsidRPr="00724E2B">
        <w:rPr>
          <w:b/>
          <w:bCs/>
          <w:rtl/>
        </w:rPr>
        <w:t>ד.</w:t>
      </w:r>
      <w:r w:rsidRPr="00724E2B">
        <w:rPr>
          <w:rtl/>
        </w:rPr>
        <w:t xml:space="preserve"> באותו יום - 20/12/14 בשעה 21:04  - הגיע ג'יריס אל הסניף, ביודעו כי מצלמות האבטחה לא פעלו באותה עת. הוא נכנס לסניף, כשבידו לום, במטרה ליטול לידיו את הכספת ובה האקדחים והתחמושת ולשלול אותם שלילת קבע, ובאמצעות הלום עקר את הכספת ממקומה. לאחר מכן היכה ג'יריס עם הלום באחד מחלונות המשרד וסדק אותו, וכן פתח חלון אחר במשרד. כל זאת עשה על מנת ליצור מצג שווא לפיו התרחשה התפרצות לסניף, וכדי למנוע או להכשיל הליך שיפוטי.</w:t>
      </w:r>
    </w:p>
    <w:p w14:paraId="2997D7EE" w14:textId="77777777" w:rsidR="00014E3D" w:rsidRPr="00740490" w:rsidRDefault="00014E3D" w:rsidP="00014E3D">
      <w:pPr>
        <w:spacing w:line="360" w:lineRule="auto"/>
        <w:ind w:left="720"/>
        <w:contextualSpacing/>
        <w:jc w:val="both"/>
        <w:rPr>
          <w:sz w:val="20"/>
          <w:szCs w:val="20"/>
          <w:rtl/>
        </w:rPr>
      </w:pPr>
    </w:p>
    <w:p w14:paraId="41439B07" w14:textId="77777777" w:rsidR="00014E3D" w:rsidRPr="00724E2B" w:rsidRDefault="00014E3D" w:rsidP="00014E3D">
      <w:pPr>
        <w:spacing w:line="360" w:lineRule="auto"/>
        <w:ind w:left="720"/>
        <w:contextualSpacing/>
        <w:jc w:val="both"/>
        <w:rPr>
          <w:rtl/>
        </w:rPr>
      </w:pPr>
      <w:r w:rsidRPr="00724E2B">
        <w:rPr>
          <w:b/>
          <w:bCs/>
          <w:rtl/>
        </w:rPr>
        <w:t>ה.</w:t>
      </w:r>
      <w:r w:rsidRPr="00724E2B">
        <w:rPr>
          <w:rtl/>
        </w:rPr>
        <w:t xml:space="preserve"> לאחר מכן, בשעה 21:13 לערך, התקשר ג'יריס אל הנאשם, ואמר לו להגיע אל הסניף על מנת למסור לו את הכספת עם האקדחים. כעבור מספר דקות הגיע הנאשם אל הסניף ברכב טויוטה, מ.ר. 2668561 (להלן: רכב הטויוטה). ג'יריס נטל והוציא את הכספת ובה האקדחים והתחמושת מהסניף, בכוונה לשלול אותם מחברת עמישב שלילת קבע. הוא מסר את הכספת עם ארבעה מהאקדחים והתחמושת לנאשם (להלן: ארבעת האקדחים), בלא רשות על פי דין, והניחה על המושב האחורי של רכב הטויוטה.</w:t>
      </w:r>
    </w:p>
    <w:p w14:paraId="599F4604" w14:textId="77777777" w:rsidR="00014E3D" w:rsidRPr="00740490" w:rsidRDefault="00014E3D" w:rsidP="00014E3D">
      <w:pPr>
        <w:spacing w:line="360" w:lineRule="auto"/>
        <w:ind w:left="720"/>
        <w:contextualSpacing/>
        <w:jc w:val="both"/>
        <w:rPr>
          <w:sz w:val="16"/>
          <w:szCs w:val="16"/>
          <w:rtl/>
        </w:rPr>
      </w:pPr>
    </w:p>
    <w:p w14:paraId="4E4DE590" w14:textId="77777777" w:rsidR="00014E3D" w:rsidRPr="00724E2B" w:rsidRDefault="00014E3D" w:rsidP="00014E3D">
      <w:pPr>
        <w:spacing w:line="360" w:lineRule="auto"/>
        <w:ind w:left="720"/>
        <w:contextualSpacing/>
        <w:jc w:val="both"/>
        <w:rPr>
          <w:rtl/>
        </w:rPr>
      </w:pPr>
      <w:r w:rsidRPr="00724E2B">
        <w:rPr>
          <w:rtl/>
        </w:rPr>
        <w:t>הנאשם נסע משם ברכב הטויוטה, כאשר הוא נושא ומוביל את ארבעת האקדחים והתחמושת ברכבו, בלא רשות על פי דין. סמוך למתואר לעיל, שילם הנאשם לג'יריס 30,000 ₪ כמקדמה עבור ארבעת האקדחים והתחמושת (להלן: התשלום).</w:t>
      </w:r>
    </w:p>
    <w:p w14:paraId="1D6CA48C" w14:textId="77777777" w:rsidR="00014E3D" w:rsidRPr="00740490" w:rsidRDefault="00014E3D" w:rsidP="00014E3D">
      <w:pPr>
        <w:spacing w:line="360" w:lineRule="auto"/>
        <w:ind w:left="720"/>
        <w:contextualSpacing/>
        <w:jc w:val="both"/>
        <w:rPr>
          <w:sz w:val="20"/>
          <w:szCs w:val="20"/>
          <w:rtl/>
        </w:rPr>
      </w:pPr>
    </w:p>
    <w:p w14:paraId="6BF16387" w14:textId="77777777" w:rsidR="00014E3D" w:rsidRPr="00724E2B" w:rsidRDefault="00014E3D" w:rsidP="00014E3D">
      <w:pPr>
        <w:spacing w:line="360" w:lineRule="auto"/>
        <w:ind w:left="720"/>
        <w:contextualSpacing/>
        <w:jc w:val="both"/>
        <w:rPr>
          <w:rtl/>
        </w:rPr>
      </w:pPr>
      <w:r w:rsidRPr="00724E2B">
        <w:rPr>
          <w:b/>
          <w:bCs/>
          <w:rtl/>
        </w:rPr>
        <w:t>ו.</w:t>
      </w:r>
      <w:r w:rsidRPr="00724E2B">
        <w:rPr>
          <w:rtl/>
        </w:rPr>
        <w:t xml:space="preserve"> סמוך לאחר מכן התקשר ג'יריס למוקד חברת עמישב, ודיווח בכזב כי אירעה פריצה לסניף וכי הכספת ובה האקדחים נגנבה, וזאת בכוונה למנוע או להכשיל הליך שיפוטי. </w:t>
      </w:r>
    </w:p>
    <w:p w14:paraId="268415A0" w14:textId="77777777" w:rsidR="00014E3D" w:rsidRPr="00740490" w:rsidRDefault="00014E3D" w:rsidP="00014E3D">
      <w:pPr>
        <w:spacing w:line="360" w:lineRule="auto"/>
        <w:ind w:left="720"/>
        <w:contextualSpacing/>
        <w:jc w:val="both"/>
        <w:rPr>
          <w:sz w:val="20"/>
          <w:szCs w:val="20"/>
          <w:rtl/>
        </w:rPr>
      </w:pPr>
    </w:p>
    <w:p w14:paraId="343E5E09" w14:textId="77777777" w:rsidR="00014E3D" w:rsidRPr="00724E2B" w:rsidRDefault="00014E3D" w:rsidP="00014E3D">
      <w:pPr>
        <w:spacing w:line="360" w:lineRule="auto"/>
        <w:ind w:left="720"/>
        <w:contextualSpacing/>
        <w:jc w:val="both"/>
        <w:rPr>
          <w:rtl/>
        </w:rPr>
      </w:pPr>
      <w:r w:rsidRPr="00724E2B">
        <w:rPr>
          <w:b/>
          <w:bCs/>
          <w:rtl/>
        </w:rPr>
        <w:t>ז.</w:t>
      </w:r>
      <w:r w:rsidRPr="00724E2B">
        <w:rPr>
          <w:rtl/>
        </w:rPr>
        <w:t xml:space="preserve"> לאחר מכן, עובר ליום 25/12/14, מסר הנאשם לידי אחר שזהותו לא ידועה למאשימה את ארבעת האקדחים, וזאת בלא רשות על פי דין.</w:t>
      </w:r>
    </w:p>
    <w:p w14:paraId="57AA60FA" w14:textId="77777777" w:rsidR="00014E3D" w:rsidRPr="00740490" w:rsidRDefault="00014E3D" w:rsidP="00014E3D">
      <w:pPr>
        <w:spacing w:line="360" w:lineRule="auto"/>
        <w:ind w:left="720"/>
        <w:contextualSpacing/>
        <w:jc w:val="both"/>
        <w:rPr>
          <w:sz w:val="20"/>
          <w:szCs w:val="20"/>
          <w:rtl/>
        </w:rPr>
      </w:pPr>
    </w:p>
    <w:p w14:paraId="3E572B44" w14:textId="77777777" w:rsidR="00014E3D" w:rsidRPr="00724E2B" w:rsidRDefault="00014E3D" w:rsidP="00014E3D">
      <w:pPr>
        <w:spacing w:line="360" w:lineRule="auto"/>
        <w:ind w:left="720"/>
        <w:contextualSpacing/>
        <w:jc w:val="both"/>
        <w:rPr>
          <w:rtl/>
        </w:rPr>
      </w:pPr>
      <w:r w:rsidRPr="00724E2B">
        <w:rPr>
          <w:b/>
          <w:bCs/>
          <w:rtl/>
        </w:rPr>
        <w:t>ח.</w:t>
      </w:r>
      <w:r w:rsidRPr="00724E2B">
        <w:rPr>
          <w:rtl/>
        </w:rPr>
        <w:t xml:space="preserve">  ביום 24/12/14, ולאחר שחוקר פרטי מטעם חברת עמישב יצר קשר עם ג'יריס וביקש ממנו כי יחזיר את האקדחים, שוחח ג'יריס עם הנאשם וביקש ממנו כי יחזיר לו את ארבעת האקדחים וג'יריס יחזיר לו את התשלום.  בהמשך, באותו יום, נפגש ג'יריס עם הנאשם, החזיר לו את התשלום, והנאשם הבטיח כי יחזיר לו את ארבעת האקדחים בשעה מאוחרת יותר.</w:t>
      </w:r>
    </w:p>
    <w:p w14:paraId="31239E61" w14:textId="77777777" w:rsidR="00014E3D" w:rsidRPr="00740490" w:rsidRDefault="00014E3D" w:rsidP="00014E3D">
      <w:pPr>
        <w:spacing w:line="360" w:lineRule="auto"/>
        <w:ind w:left="720"/>
        <w:contextualSpacing/>
        <w:jc w:val="both"/>
        <w:rPr>
          <w:sz w:val="18"/>
          <w:szCs w:val="18"/>
          <w:rtl/>
        </w:rPr>
      </w:pPr>
    </w:p>
    <w:p w14:paraId="3E7FBE70" w14:textId="77777777" w:rsidR="00014E3D" w:rsidRPr="00724E2B" w:rsidRDefault="00014E3D" w:rsidP="00014E3D">
      <w:pPr>
        <w:spacing w:line="360" w:lineRule="auto"/>
        <w:ind w:left="720"/>
        <w:contextualSpacing/>
        <w:jc w:val="both"/>
        <w:rPr>
          <w:rtl/>
        </w:rPr>
      </w:pPr>
      <w:r w:rsidRPr="00724E2B">
        <w:rPr>
          <w:b/>
          <w:bCs/>
          <w:rtl/>
        </w:rPr>
        <w:t>ט.</w:t>
      </w:r>
      <w:r w:rsidRPr="00724E2B">
        <w:rPr>
          <w:rtl/>
        </w:rPr>
        <w:t xml:space="preserve"> למחרת, ביום 25/12/14, בשעה 00:20 לערך, שוחח הנאשם עם ג'יריס והורה לו לנסוע לאעבלין על מנת לקבל לידיו את ארבעת האקדחים. ג'יריס נסע לאעבלין ושם נפגש עם אדם שזהותו אינה ידועה למאשימה, אשר מסר לידי ג'יריס שקית ובה ארבעת האקדחים. </w:t>
      </w:r>
      <w:r w:rsidRPr="00724E2B">
        <w:rPr>
          <w:rtl/>
        </w:rPr>
        <w:lastRenderedPageBreak/>
        <w:t>האחרון הניח את השקית ובה ארבעת האקדחים ברכבו מסוג שברולט, מ.ר. 2967832 (להלן: הרכב) ונסע מהמקום.</w:t>
      </w:r>
    </w:p>
    <w:p w14:paraId="45B9A84D" w14:textId="77777777" w:rsidR="00014E3D" w:rsidRPr="00740490" w:rsidRDefault="00014E3D" w:rsidP="00014E3D">
      <w:pPr>
        <w:spacing w:line="360" w:lineRule="auto"/>
        <w:ind w:left="720"/>
        <w:contextualSpacing/>
        <w:jc w:val="both"/>
        <w:rPr>
          <w:sz w:val="20"/>
          <w:szCs w:val="20"/>
          <w:rtl/>
        </w:rPr>
      </w:pPr>
    </w:p>
    <w:p w14:paraId="7E7A7519" w14:textId="77777777" w:rsidR="00014E3D" w:rsidRDefault="00014E3D" w:rsidP="00014E3D">
      <w:pPr>
        <w:spacing w:line="360" w:lineRule="auto"/>
        <w:ind w:left="720"/>
        <w:contextualSpacing/>
        <w:jc w:val="both"/>
        <w:rPr>
          <w:rtl/>
        </w:rPr>
      </w:pPr>
      <w:r w:rsidRPr="00724E2B">
        <w:rPr>
          <w:b/>
          <w:bCs/>
          <w:rtl/>
        </w:rPr>
        <w:t>י.</w:t>
      </w:r>
      <w:r w:rsidRPr="00724E2B">
        <w:rPr>
          <w:rtl/>
        </w:rPr>
        <w:t xml:space="preserve"> כעבור כשעה ועשר דקות, (ביום 25/12/14, בשעה 1:30 לערך), תפסה משטרת ישראל את ארבעת האקדחים ברכב כאשר הוא נהוג על ידי ג'יריס. שני האקדחים הנותרים והתחמושת לא אותרו על ידי המשטרה עד הגשת כתב אישום זה.</w:t>
      </w:r>
    </w:p>
    <w:p w14:paraId="3AEB4C33" w14:textId="77777777" w:rsidR="00014E3D" w:rsidRPr="00740490" w:rsidRDefault="00014E3D" w:rsidP="00014E3D">
      <w:pPr>
        <w:spacing w:line="360" w:lineRule="auto"/>
        <w:ind w:left="720"/>
        <w:contextualSpacing/>
        <w:jc w:val="both"/>
        <w:rPr>
          <w:sz w:val="20"/>
          <w:szCs w:val="20"/>
          <w:rtl/>
        </w:rPr>
      </w:pPr>
    </w:p>
    <w:p w14:paraId="6FD70DC7" w14:textId="77777777" w:rsidR="00014E3D" w:rsidRPr="00724E2B" w:rsidRDefault="00014E3D" w:rsidP="00014E3D">
      <w:pPr>
        <w:spacing w:line="360" w:lineRule="auto"/>
        <w:ind w:left="720" w:hanging="720"/>
        <w:jc w:val="both"/>
        <w:rPr>
          <w:rtl/>
        </w:rPr>
      </w:pPr>
      <w:r w:rsidRPr="00724E2B">
        <w:rPr>
          <w:b/>
          <w:bCs/>
          <w:rtl/>
        </w:rPr>
        <w:t>2</w:t>
      </w:r>
      <w:r w:rsidRPr="00724E2B">
        <w:rPr>
          <w:rtl/>
        </w:rPr>
        <w:t>.</w:t>
      </w:r>
      <w:r w:rsidRPr="00724E2B">
        <w:rPr>
          <w:rtl/>
        </w:rPr>
        <w:tab/>
        <w:t xml:space="preserve">ג'יריס, אשר נדון בפני מותב אחר, הודה בעובדות כתב אישום מתוקן, אשר יחסו לו עבירות דומות, וכן, גניבה ממעביד של שישה אקדחים, הורשע ונידון ביום 28/1/16 לשנתיים מאסר בפועל ולעונשי מאסר על תנאי בגין העבירות שביצע. ביום 4/2/16, לאחר שנשמעה עדותו של ג'יריס בעניינו של הנאשם, הגיעו הצדדים להסדר הטיעון, במסגרתו תוקן כתב האישום, והנאשם הורשע על פי הודייתו במיוחס לו. </w:t>
      </w:r>
    </w:p>
    <w:p w14:paraId="28386F8C" w14:textId="77777777" w:rsidR="00014E3D" w:rsidRPr="00740490" w:rsidRDefault="00014E3D" w:rsidP="00014E3D">
      <w:pPr>
        <w:spacing w:line="360" w:lineRule="auto"/>
        <w:jc w:val="both"/>
        <w:rPr>
          <w:sz w:val="20"/>
          <w:szCs w:val="20"/>
          <w:u w:val="single"/>
          <w:rtl/>
        </w:rPr>
      </w:pPr>
    </w:p>
    <w:p w14:paraId="181C2933" w14:textId="77777777" w:rsidR="00014E3D" w:rsidRPr="00724E2B" w:rsidRDefault="00014E3D" w:rsidP="00014E3D">
      <w:pPr>
        <w:jc w:val="both"/>
        <w:rPr>
          <w:b/>
          <w:bCs/>
          <w:rtl/>
        </w:rPr>
      </w:pPr>
      <w:r w:rsidRPr="00724E2B">
        <w:rPr>
          <w:b/>
          <w:bCs/>
          <w:rtl/>
        </w:rPr>
        <w:t>3.</w:t>
      </w:r>
      <w:r w:rsidRPr="00724E2B">
        <w:rPr>
          <w:b/>
          <w:bCs/>
          <w:rtl/>
        </w:rPr>
        <w:tab/>
      </w:r>
      <w:r w:rsidRPr="00724E2B">
        <w:rPr>
          <w:b/>
          <w:bCs/>
          <w:u w:val="single"/>
          <w:rtl/>
        </w:rPr>
        <w:t>ראיות הצדדים לעונש</w:t>
      </w:r>
    </w:p>
    <w:p w14:paraId="0B654D1E" w14:textId="77777777" w:rsidR="00014E3D" w:rsidRPr="0043766F" w:rsidRDefault="00014E3D" w:rsidP="00014E3D">
      <w:pPr>
        <w:spacing w:after="160" w:line="259" w:lineRule="auto"/>
        <w:ind w:firstLine="720"/>
        <w:rPr>
          <w:rFonts w:ascii="Calibri" w:hAnsi="Calibri"/>
          <w:b/>
          <w:bCs/>
          <w:sz w:val="2"/>
          <w:szCs w:val="2"/>
          <w:rtl/>
        </w:rPr>
      </w:pPr>
    </w:p>
    <w:p w14:paraId="484C253B" w14:textId="77777777" w:rsidR="00014E3D" w:rsidRPr="0043766F" w:rsidRDefault="00014E3D" w:rsidP="00014E3D">
      <w:pPr>
        <w:spacing w:after="160" w:line="259" w:lineRule="auto"/>
        <w:ind w:firstLine="720"/>
        <w:rPr>
          <w:rFonts w:ascii="Calibri" w:hAnsi="Calibri"/>
          <w:rtl/>
        </w:rPr>
      </w:pPr>
      <w:r w:rsidRPr="0043766F">
        <w:rPr>
          <w:rFonts w:ascii="Calibri" w:hAnsi="Calibri" w:hint="eastAsia"/>
          <w:b/>
          <w:bCs/>
          <w:rtl/>
        </w:rPr>
        <w:t>א</w:t>
      </w:r>
      <w:r w:rsidRPr="0043766F">
        <w:rPr>
          <w:rFonts w:ascii="Calibri" w:hAnsi="Calibri"/>
          <w:b/>
          <w:bCs/>
          <w:rtl/>
        </w:rPr>
        <w:t>.</w:t>
      </w:r>
      <w:r w:rsidRPr="0043766F">
        <w:rPr>
          <w:rFonts w:ascii="Calibri" w:hAnsi="Calibri"/>
          <w:rtl/>
        </w:rPr>
        <w:t xml:space="preserve"> </w:t>
      </w:r>
      <w:r w:rsidRPr="0043766F">
        <w:rPr>
          <w:rFonts w:ascii="Calibri" w:hAnsi="Calibri" w:hint="eastAsia"/>
          <w:rtl/>
        </w:rPr>
        <w:t>לנאשם</w:t>
      </w:r>
      <w:r w:rsidRPr="0043766F">
        <w:rPr>
          <w:rFonts w:ascii="Calibri" w:hAnsi="Calibri"/>
          <w:rtl/>
        </w:rPr>
        <w:t xml:space="preserve"> </w:t>
      </w:r>
      <w:r w:rsidRPr="0043766F">
        <w:rPr>
          <w:rFonts w:ascii="Calibri" w:hAnsi="Calibri" w:hint="eastAsia"/>
          <w:rtl/>
        </w:rPr>
        <w:t>אין</w:t>
      </w:r>
      <w:r w:rsidRPr="0043766F">
        <w:rPr>
          <w:rFonts w:ascii="Calibri" w:hAnsi="Calibri"/>
          <w:rtl/>
        </w:rPr>
        <w:t xml:space="preserve"> </w:t>
      </w:r>
      <w:r w:rsidRPr="0043766F">
        <w:rPr>
          <w:rFonts w:ascii="Calibri" w:hAnsi="Calibri" w:hint="eastAsia"/>
          <w:rtl/>
        </w:rPr>
        <w:t>הרשעות</w:t>
      </w:r>
      <w:r w:rsidRPr="0043766F">
        <w:rPr>
          <w:rFonts w:ascii="Calibri" w:hAnsi="Calibri"/>
          <w:rtl/>
        </w:rPr>
        <w:t xml:space="preserve"> </w:t>
      </w:r>
      <w:r w:rsidRPr="0043766F">
        <w:rPr>
          <w:rFonts w:ascii="Calibri" w:hAnsi="Calibri" w:hint="eastAsia"/>
          <w:rtl/>
        </w:rPr>
        <w:t>קודמות</w:t>
      </w:r>
      <w:r w:rsidRPr="0043766F">
        <w:rPr>
          <w:rFonts w:ascii="Calibri" w:hAnsi="Calibri"/>
          <w:rtl/>
        </w:rPr>
        <w:t xml:space="preserve">. </w:t>
      </w:r>
    </w:p>
    <w:p w14:paraId="2C3D1E27" w14:textId="77777777" w:rsidR="00014E3D" w:rsidRPr="00740490" w:rsidRDefault="00014E3D" w:rsidP="00014E3D">
      <w:pPr>
        <w:spacing w:line="360" w:lineRule="auto"/>
        <w:ind w:left="720" w:hanging="720"/>
        <w:jc w:val="both"/>
        <w:rPr>
          <w:sz w:val="14"/>
          <w:szCs w:val="14"/>
          <w:rtl/>
        </w:rPr>
      </w:pPr>
    </w:p>
    <w:p w14:paraId="3FBA9037" w14:textId="77777777" w:rsidR="00014E3D" w:rsidRPr="00724E2B" w:rsidRDefault="00014E3D" w:rsidP="00014E3D">
      <w:pPr>
        <w:spacing w:line="360" w:lineRule="auto"/>
        <w:ind w:left="720" w:hanging="720"/>
        <w:jc w:val="both"/>
        <w:rPr>
          <w:rtl/>
        </w:rPr>
      </w:pPr>
      <w:r w:rsidRPr="00724E2B">
        <w:rPr>
          <w:rtl/>
        </w:rPr>
        <w:tab/>
      </w:r>
      <w:r w:rsidRPr="00724E2B">
        <w:rPr>
          <w:b/>
          <w:bCs/>
          <w:rtl/>
        </w:rPr>
        <w:t>ב.</w:t>
      </w:r>
      <w:r w:rsidRPr="00724E2B">
        <w:rPr>
          <w:rtl/>
        </w:rPr>
        <w:t xml:space="preserve"> מטעם הנאשם העיד אביו בן ה-76, ראש מועצה לשעבר, אשר סיפר על החינוך הטוב שנתן לילדיו, לערכים וליושר. הוא התייחס לבעיותיו הרפואיות של בנו הנאשם, אשר נולד עם מום בלב, עבר שני ניתוחים וסובל ממחלת לב, וביקש להתחשב בכך שהוא נשוי, אב לילדים קטנים ואינו בריא. לפיכך ביקש את עזרת בית המשפט.</w:t>
      </w:r>
    </w:p>
    <w:p w14:paraId="733B63D8" w14:textId="77777777" w:rsidR="00014E3D" w:rsidRPr="00740490" w:rsidRDefault="00014E3D" w:rsidP="00014E3D">
      <w:pPr>
        <w:spacing w:line="360" w:lineRule="auto"/>
        <w:ind w:left="720" w:hanging="720"/>
        <w:jc w:val="both"/>
        <w:rPr>
          <w:sz w:val="18"/>
          <w:szCs w:val="18"/>
          <w:rtl/>
        </w:rPr>
      </w:pPr>
    </w:p>
    <w:p w14:paraId="48725BD1" w14:textId="77777777" w:rsidR="00014E3D" w:rsidRPr="00724E2B" w:rsidRDefault="00014E3D" w:rsidP="00014E3D">
      <w:pPr>
        <w:spacing w:line="360" w:lineRule="auto"/>
        <w:ind w:left="720" w:hanging="720"/>
        <w:jc w:val="both"/>
        <w:rPr>
          <w:rtl/>
        </w:rPr>
      </w:pPr>
      <w:r w:rsidRPr="00724E2B">
        <w:rPr>
          <w:rtl/>
        </w:rPr>
        <w:tab/>
      </w:r>
      <w:r w:rsidRPr="00724E2B">
        <w:rPr>
          <w:b/>
          <w:bCs/>
          <w:rtl/>
        </w:rPr>
        <w:t>ג.</w:t>
      </w:r>
      <w:r w:rsidRPr="00724E2B">
        <w:rPr>
          <w:rtl/>
        </w:rPr>
        <w:t xml:space="preserve"> הסנגורית הגישה מסמכים רפואיים המעידים על מחלת לב ממנה סובל הנאשם מילדות, שני ניתוחי לב פתוח, אותם עבר בגיל 14 ובגיל 35, תופעות הלוואי של המחלה בכל תחומי חייו, אשפוזים, ביקורות, ותופעות נוספות כמפורט במסמכים אלה.</w:t>
      </w:r>
    </w:p>
    <w:p w14:paraId="66392EA0" w14:textId="77777777" w:rsidR="00014E3D" w:rsidRPr="00724E2B" w:rsidRDefault="00014E3D" w:rsidP="00014E3D">
      <w:pPr>
        <w:spacing w:line="360" w:lineRule="auto"/>
        <w:ind w:left="720" w:hanging="720"/>
        <w:jc w:val="both"/>
        <w:rPr>
          <w:sz w:val="20"/>
          <w:szCs w:val="20"/>
          <w:rtl/>
        </w:rPr>
      </w:pPr>
    </w:p>
    <w:p w14:paraId="3ABE97D4" w14:textId="77777777" w:rsidR="00014E3D" w:rsidRPr="00724E2B" w:rsidRDefault="00014E3D" w:rsidP="00014E3D">
      <w:pPr>
        <w:spacing w:line="360" w:lineRule="auto"/>
        <w:ind w:left="720" w:hanging="720"/>
        <w:jc w:val="both"/>
        <w:rPr>
          <w:rtl/>
        </w:rPr>
      </w:pPr>
      <w:r w:rsidRPr="00724E2B">
        <w:rPr>
          <w:rtl/>
        </w:rPr>
        <w:tab/>
      </w:r>
      <w:r w:rsidRPr="00724E2B">
        <w:rPr>
          <w:b/>
          <w:bCs/>
          <w:rtl/>
        </w:rPr>
        <w:t>ד</w:t>
      </w:r>
      <w:r w:rsidRPr="00724E2B">
        <w:rPr>
          <w:rtl/>
        </w:rPr>
        <w:t>. כן הוגשו המלצות של סגן השר איוב קרע, לגבי משפחתו של הנאשם, המכובדת בכפרה, תוך ציון כי הנאשם הוא מפרנס יחיד במשפחתו.</w:t>
      </w:r>
    </w:p>
    <w:p w14:paraId="3CD3627A" w14:textId="77777777" w:rsidR="00014E3D" w:rsidRPr="00724E2B" w:rsidRDefault="00014E3D" w:rsidP="00014E3D">
      <w:pPr>
        <w:spacing w:line="360" w:lineRule="auto"/>
        <w:ind w:left="720" w:hanging="720"/>
        <w:jc w:val="both"/>
        <w:rPr>
          <w:sz w:val="20"/>
          <w:szCs w:val="20"/>
          <w:rtl/>
        </w:rPr>
      </w:pPr>
    </w:p>
    <w:p w14:paraId="1475C095" w14:textId="77777777" w:rsidR="00014E3D" w:rsidRPr="00724E2B" w:rsidRDefault="00014E3D" w:rsidP="00014E3D">
      <w:pPr>
        <w:spacing w:line="360" w:lineRule="auto"/>
        <w:ind w:left="720" w:hanging="720"/>
        <w:jc w:val="both"/>
        <w:rPr>
          <w:rtl/>
        </w:rPr>
      </w:pPr>
      <w:r w:rsidRPr="00724E2B">
        <w:rPr>
          <w:rtl/>
        </w:rPr>
        <w:tab/>
      </w:r>
      <w:r w:rsidRPr="00724E2B">
        <w:rPr>
          <w:b/>
          <w:bCs/>
          <w:rtl/>
        </w:rPr>
        <w:t>ה.</w:t>
      </w:r>
      <w:r w:rsidRPr="00724E2B">
        <w:rPr>
          <w:rtl/>
        </w:rPr>
        <w:t xml:space="preserve"> הסנגורית הגישה את טיעוני הצדדים לעונש בעניינו של ג'יריס, לרבות עמדת המאשימה לגביו. </w:t>
      </w:r>
    </w:p>
    <w:p w14:paraId="0469DAF1" w14:textId="77777777" w:rsidR="00014E3D" w:rsidRPr="00740490" w:rsidRDefault="00014E3D" w:rsidP="00014E3D">
      <w:pPr>
        <w:spacing w:line="360" w:lineRule="auto"/>
        <w:ind w:left="720" w:hanging="720"/>
        <w:jc w:val="both"/>
        <w:rPr>
          <w:sz w:val="20"/>
          <w:szCs w:val="20"/>
          <w:rtl/>
        </w:rPr>
      </w:pPr>
    </w:p>
    <w:p w14:paraId="6C00F59D" w14:textId="77777777" w:rsidR="00014E3D" w:rsidRPr="00724E2B" w:rsidRDefault="00014E3D" w:rsidP="00014E3D">
      <w:pPr>
        <w:spacing w:line="360" w:lineRule="auto"/>
        <w:jc w:val="both"/>
        <w:rPr>
          <w:b/>
          <w:bCs/>
          <w:u w:val="single"/>
          <w:rtl/>
        </w:rPr>
      </w:pPr>
      <w:r w:rsidRPr="00724E2B">
        <w:rPr>
          <w:b/>
          <w:bCs/>
          <w:rtl/>
        </w:rPr>
        <w:t>4.</w:t>
      </w:r>
      <w:r w:rsidRPr="00724E2B">
        <w:rPr>
          <w:b/>
          <w:bCs/>
          <w:rtl/>
        </w:rPr>
        <w:tab/>
      </w:r>
      <w:r w:rsidRPr="00724E2B">
        <w:rPr>
          <w:b/>
          <w:bCs/>
          <w:u w:val="single"/>
          <w:rtl/>
        </w:rPr>
        <w:t>טיעוני המאשימה לעונש</w:t>
      </w:r>
    </w:p>
    <w:p w14:paraId="7BDB6C5C" w14:textId="77777777" w:rsidR="00014E3D" w:rsidRPr="00724E2B" w:rsidRDefault="00014E3D" w:rsidP="00014E3D">
      <w:pPr>
        <w:spacing w:line="360" w:lineRule="auto"/>
        <w:ind w:left="720"/>
        <w:jc w:val="both"/>
        <w:rPr>
          <w:rtl/>
        </w:rPr>
      </w:pPr>
      <w:r w:rsidRPr="00724E2B">
        <w:rPr>
          <w:rtl/>
        </w:rPr>
        <w:t xml:space="preserve">המאשימה עתרה להשית על הנאשם מאסר בפועל בתוך מתחם הענישה, הנע במקרה זה לטענתה בטווח שבין 5 ל-7 שנות מאסר בפועל, וכן מאסר על תנאי ממושך וקנס כספי. </w:t>
      </w:r>
    </w:p>
    <w:p w14:paraId="2BD90E05" w14:textId="77777777" w:rsidR="00014E3D" w:rsidRPr="00724E2B" w:rsidRDefault="00014E3D" w:rsidP="00014E3D">
      <w:pPr>
        <w:spacing w:line="360" w:lineRule="auto"/>
        <w:ind w:left="720"/>
        <w:jc w:val="both"/>
        <w:rPr>
          <w:rtl/>
        </w:rPr>
      </w:pPr>
    </w:p>
    <w:p w14:paraId="40FB8E63" w14:textId="77777777" w:rsidR="00014E3D" w:rsidRPr="00724E2B" w:rsidRDefault="00014E3D" w:rsidP="00014E3D">
      <w:pPr>
        <w:spacing w:line="360" w:lineRule="auto"/>
        <w:ind w:left="720"/>
        <w:jc w:val="both"/>
        <w:rPr>
          <w:rtl/>
        </w:rPr>
      </w:pPr>
      <w:r w:rsidRPr="00724E2B">
        <w:rPr>
          <w:b/>
          <w:bCs/>
          <w:rtl/>
        </w:rPr>
        <w:t>א.</w:t>
      </w:r>
      <w:r w:rsidRPr="00724E2B">
        <w:rPr>
          <w:rtl/>
        </w:rPr>
        <w:t xml:space="preserve"> ב"כ המאשימה טען כי על העונש שיוטל על הנאשם בתיק זה להיות חמור מזה שהושת על שותפו ג'יריס, נוכח חומרתן של העבירות שביצע תוך הפרה בוטה של נורמות חברתיות, הן בשל אופי העבירות והן בשל נסיבות ביצוען. בנוסף ציין, כי בפני המותב שדן בעניינו של ג'יריס עמדו שני שיקולים לקולא, אשר אינם מתקיימים בעניינו של הנאשם בתיק זה. הראשון הוא התסקיר המשלים החיובי שניתן לגביו, אשר המליץ על ענישה טיפולית בעלת ביטוי לאפיק השיקומי, והשני הודייתו בהזדמנות הראשונה, ונטילת אחריות מתחילת החקירה. </w:t>
      </w:r>
    </w:p>
    <w:p w14:paraId="0D924B21" w14:textId="77777777" w:rsidR="00014E3D" w:rsidRPr="00724E2B" w:rsidRDefault="00014E3D" w:rsidP="00014E3D">
      <w:pPr>
        <w:spacing w:line="360" w:lineRule="auto"/>
        <w:ind w:left="720"/>
        <w:jc w:val="both"/>
        <w:rPr>
          <w:sz w:val="20"/>
          <w:szCs w:val="20"/>
          <w:rtl/>
        </w:rPr>
      </w:pPr>
    </w:p>
    <w:p w14:paraId="4058D853" w14:textId="77777777" w:rsidR="00014E3D" w:rsidRPr="00724E2B" w:rsidRDefault="00014E3D" w:rsidP="00014E3D">
      <w:pPr>
        <w:spacing w:line="360" w:lineRule="auto"/>
        <w:ind w:left="720"/>
        <w:jc w:val="both"/>
        <w:rPr>
          <w:rtl/>
        </w:rPr>
      </w:pPr>
      <w:r w:rsidRPr="00724E2B">
        <w:rPr>
          <w:b/>
          <w:bCs/>
          <w:rtl/>
        </w:rPr>
        <w:t>ב.</w:t>
      </w:r>
      <w:r w:rsidRPr="00724E2B">
        <w:rPr>
          <w:rtl/>
        </w:rPr>
        <w:t xml:space="preserve"> אשר לעונשו של ג'יריס, הובהר כי טרם התקבלה החלטה אם יוגש ערעור על גובה העונש שהושת עליו, על אף שפרקליטות המחוזי המליצה לעשות כן. </w:t>
      </w:r>
    </w:p>
    <w:p w14:paraId="2B6FCFDB" w14:textId="77777777" w:rsidR="00014E3D" w:rsidRPr="00724E2B" w:rsidRDefault="00014E3D" w:rsidP="00014E3D">
      <w:pPr>
        <w:spacing w:line="360" w:lineRule="auto"/>
        <w:ind w:left="720"/>
        <w:jc w:val="both"/>
        <w:rPr>
          <w:rtl/>
        </w:rPr>
      </w:pPr>
    </w:p>
    <w:p w14:paraId="7B85C704" w14:textId="77777777" w:rsidR="00014E3D" w:rsidRPr="00724E2B" w:rsidRDefault="00014E3D" w:rsidP="00014E3D">
      <w:pPr>
        <w:spacing w:line="360" w:lineRule="auto"/>
        <w:ind w:left="720"/>
        <w:jc w:val="both"/>
        <w:rPr>
          <w:rtl/>
        </w:rPr>
      </w:pPr>
      <w:r w:rsidRPr="00724E2B">
        <w:rPr>
          <w:b/>
          <w:bCs/>
          <w:rtl/>
        </w:rPr>
        <w:t>ג.</w:t>
      </w:r>
      <w:r w:rsidRPr="00724E2B">
        <w:rPr>
          <w:rtl/>
        </w:rPr>
        <w:t xml:space="preserve"> נטען כי אין המדובר במעשים שנעשו באופן ספונטני על ידי הנאשם ושותפו או במעידת בת רגע. מדובר ברמת תכנון ותחכום גבוהה מאוד, כאשר הנאשם ושותפו קושרים ביניהם קשר לפיו ג'יריס ימכור לנאשם נשקים, ואף מתאמים את המחיר שישולם עבור כל נשק. ביום האירוע מביים ג'יריס פריצה למקום עבודתו ומזעיק את הנאשם, אשר מגיע ומקבל לידיו ארבעה אקדחים ותחמושת. החומרה במעשי הנאשם אינה טמונה רק בעבירות הנשק עצמן, אלא אף במספרם של האקדחים שרכש - כאמור, מדובר בארבעה אקדחים וארבע מחסניות טעונות. </w:t>
      </w:r>
    </w:p>
    <w:p w14:paraId="5630E913" w14:textId="77777777" w:rsidR="00014E3D" w:rsidRPr="00724E2B" w:rsidRDefault="00014E3D" w:rsidP="00014E3D">
      <w:pPr>
        <w:spacing w:line="360" w:lineRule="auto"/>
        <w:ind w:left="720"/>
        <w:jc w:val="both"/>
        <w:rPr>
          <w:rtl/>
        </w:rPr>
      </w:pPr>
    </w:p>
    <w:p w14:paraId="2D6A6B39" w14:textId="77777777" w:rsidR="00014E3D" w:rsidRPr="00724E2B" w:rsidRDefault="00014E3D" w:rsidP="00014E3D">
      <w:pPr>
        <w:spacing w:line="360" w:lineRule="auto"/>
        <w:ind w:left="720"/>
        <w:jc w:val="both"/>
        <w:rPr>
          <w:rFonts w:ascii="Calibri" w:hAnsi="Calibri"/>
          <w:rtl/>
        </w:rPr>
      </w:pPr>
      <w:r w:rsidRPr="00724E2B">
        <w:rPr>
          <w:b/>
          <w:bCs/>
          <w:rtl/>
        </w:rPr>
        <w:t>ד.</w:t>
      </w:r>
      <w:r w:rsidRPr="00724E2B">
        <w:rPr>
          <w:rtl/>
        </w:rPr>
        <w:t xml:space="preserve"> הערך החברתי שנפגע מביצוע העבירות הוא בטחונו ושלומו של הציבור והגנה על חיי אדם, שכן זמינות נשק תורמת להגדלת מעגל האלימות ולתוצאות הקשות הנובעות מכך.</w:t>
      </w:r>
      <w:r w:rsidRPr="00724E2B">
        <w:rPr>
          <w:rFonts w:ascii="Calibri" w:hAnsi="Calibri"/>
          <w:rtl/>
        </w:rPr>
        <w:t xml:space="preserve">  </w:t>
      </w:r>
      <w:r w:rsidRPr="00724E2B">
        <w:rPr>
          <w:rFonts w:ascii="Calibri" w:hAnsi="Calibri" w:hint="eastAsia"/>
          <w:rtl/>
        </w:rPr>
        <w:t>בעניין</w:t>
      </w:r>
      <w:r w:rsidRPr="00724E2B">
        <w:rPr>
          <w:rFonts w:ascii="Calibri" w:hAnsi="Calibri"/>
          <w:rtl/>
        </w:rPr>
        <w:t xml:space="preserve"> </w:t>
      </w:r>
      <w:r w:rsidRPr="00724E2B">
        <w:rPr>
          <w:rFonts w:ascii="Calibri" w:hAnsi="Calibri" w:hint="eastAsia"/>
          <w:rtl/>
        </w:rPr>
        <w:t>זה</w:t>
      </w:r>
      <w:r w:rsidRPr="00724E2B">
        <w:rPr>
          <w:rFonts w:ascii="Calibri" w:hAnsi="Calibri"/>
          <w:rtl/>
        </w:rPr>
        <w:t xml:space="preserve">, </w:t>
      </w:r>
      <w:r w:rsidRPr="00724E2B">
        <w:rPr>
          <w:rFonts w:ascii="Calibri" w:hAnsi="Calibri" w:hint="eastAsia"/>
          <w:rtl/>
        </w:rPr>
        <w:t>הפנה</w:t>
      </w:r>
      <w:r w:rsidRPr="00724E2B">
        <w:rPr>
          <w:rFonts w:ascii="Calibri" w:hAnsi="Calibri"/>
          <w:rtl/>
        </w:rPr>
        <w:t xml:space="preserve"> </w:t>
      </w:r>
      <w:r w:rsidRPr="00724E2B">
        <w:rPr>
          <w:rFonts w:ascii="Calibri" w:hAnsi="Calibri" w:hint="eastAsia"/>
          <w:rtl/>
        </w:rPr>
        <w:t>לדברי</w:t>
      </w:r>
      <w:r w:rsidRPr="00724E2B">
        <w:rPr>
          <w:rFonts w:ascii="Calibri" w:hAnsi="Calibri"/>
          <w:rtl/>
        </w:rPr>
        <w:t xml:space="preserve"> </w:t>
      </w:r>
      <w:r w:rsidRPr="00724E2B">
        <w:rPr>
          <w:rFonts w:ascii="Calibri" w:hAnsi="Calibri" w:hint="eastAsia"/>
          <w:rtl/>
        </w:rPr>
        <w:t>בית</w:t>
      </w:r>
      <w:r w:rsidRPr="00724E2B">
        <w:rPr>
          <w:rFonts w:ascii="Calibri" w:hAnsi="Calibri"/>
          <w:rtl/>
        </w:rPr>
        <w:t xml:space="preserve"> </w:t>
      </w:r>
      <w:r w:rsidRPr="00724E2B">
        <w:rPr>
          <w:rFonts w:ascii="Calibri" w:hAnsi="Calibri" w:hint="eastAsia"/>
          <w:rtl/>
        </w:rPr>
        <w:t>המשפט</w:t>
      </w:r>
      <w:r w:rsidRPr="00724E2B">
        <w:rPr>
          <w:rFonts w:ascii="Calibri" w:hAnsi="Calibri"/>
          <w:rtl/>
        </w:rPr>
        <w:t xml:space="preserve"> </w:t>
      </w:r>
      <w:r w:rsidRPr="00724E2B">
        <w:rPr>
          <w:rFonts w:ascii="Calibri" w:hAnsi="Calibri" w:hint="eastAsia"/>
          <w:rtl/>
        </w:rPr>
        <w:t>העליון</w:t>
      </w:r>
      <w:r w:rsidRPr="00724E2B">
        <w:rPr>
          <w:rFonts w:ascii="Calibri" w:hAnsi="Calibri"/>
          <w:rtl/>
        </w:rPr>
        <w:t xml:space="preserve"> </w:t>
      </w:r>
      <w:r w:rsidRPr="00724E2B">
        <w:rPr>
          <w:rFonts w:ascii="Calibri" w:hAnsi="Calibri" w:hint="eastAsia"/>
          <w:rtl/>
        </w:rPr>
        <w:t>ב</w:t>
      </w:r>
      <w:hyperlink r:id="rId20"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1112/11</w:t>
        </w:r>
      </w:hyperlink>
      <w:r w:rsidRPr="00724E2B">
        <w:rPr>
          <w:rFonts w:ascii="Calibri" w:hAnsi="Calibri"/>
          <w:rtl/>
        </w:rPr>
        <w:t xml:space="preserve"> </w:t>
      </w:r>
      <w:r w:rsidRPr="00724E2B">
        <w:rPr>
          <w:rFonts w:ascii="Calibri" w:hAnsi="Calibri" w:hint="eastAsia"/>
          <w:b/>
          <w:bCs/>
          <w:rtl/>
        </w:rPr>
        <w:t>סרדיי</w:t>
      </w:r>
      <w:r w:rsidRPr="00724E2B">
        <w:rPr>
          <w:rFonts w:ascii="Calibri" w:hAnsi="Calibri"/>
          <w:b/>
          <w:bCs/>
          <w:rtl/>
        </w:rPr>
        <w:t xml:space="preserve"> </w:t>
      </w:r>
      <w:r w:rsidRPr="00724E2B">
        <w:rPr>
          <w:rFonts w:ascii="Calibri" w:hAnsi="Calibri" w:hint="eastAsia"/>
          <w:b/>
          <w:bCs/>
          <w:rtl/>
        </w:rPr>
        <w:t>ירזנר</w:t>
      </w:r>
      <w:r w:rsidRPr="00724E2B">
        <w:rPr>
          <w:rFonts w:ascii="Calibri" w:hAnsi="Calibri"/>
          <w:b/>
          <w:bCs/>
          <w:rtl/>
        </w:rPr>
        <w:t xml:space="preserve"> </w:t>
      </w:r>
      <w:r w:rsidRPr="00724E2B">
        <w:rPr>
          <w:rFonts w:ascii="Calibri" w:hAnsi="Calibri" w:hint="eastAsia"/>
          <w:b/>
          <w:bCs/>
          <w:rtl/>
        </w:rPr>
        <w:t>נ</w:t>
      </w:r>
      <w:r w:rsidRPr="00724E2B">
        <w:rPr>
          <w:rFonts w:ascii="Calibri" w:hAnsi="Calibri"/>
          <w:b/>
          <w:bCs/>
          <w:rtl/>
        </w:rPr>
        <w:t xml:space="preserve">' </w:t>
      </w:r>
      <w:r w:rsidRPr="00724E2B">
        <w:rPr>
          <w:rFonts w:ascii="Calibri" w:hAnsi="Calibri" w:hint="eastAsia"/>
          <w:b/>
          <w:bCs/>
          <w:rtl/>
        </w:rPr>
        <w:t>מ</w:t>
      </w:r>
      <w:r w:rsidRPr="00724E2B">
        <w:rPr>
          <w:rFonts w:ascii="Calibri" w:hAnsi="Calibri"/>
          <w:b/>
          <w:bCs/>
          <w:rtl/>
        </w:rPr>
        <w:t>"</w:t>
      </w:r>
      <w:r w:rsidRPr="00724E2B">
        <w:rPr>
          <w:rFonts w:ascii="Calibri" w:hAnsi="Calibri" w:hint="eastAsia"/>
          <w:b/>
          <w:bCs/>
          <w:rtl/>
        </w:rPr>
        <w:t>י</w:t>
      </w:r>
      <w:r w:rsidRPr="00724E2B">
        <w:rPr>
          <w:rFonts w:ascii="Calibri" w:hAnsi="Calibri"/>
          <w:rtl/>
        </w:rPr>
        <w:t xml:space="preserve">, </w:t>
      </w:r>
      <w:r w:rsidRPr="00724E2B">
        <w:rPr>
          <w:rFonts w:ascii="Calibri" w:hAnsi="Calibri" w:hint="eastAsia"/>
          <w:rtl/>
        </w:rPr>
        <w:t>מפי</w:t>
      </w:r>
      <w:r w:rsidRPr="00724E2B">
        <w:rPr>
          <w:rFonts w:ascii="Calibri" w:hAnsi="Calibri"/>
          <w:rtl/>
        </w:rPr>
        <w:t xml:space="preserve"> </w:t>
      </w:r>
      <w:r w:rsidRPr="00724E2B">
        <w:rPr>
          <w:rFonts w:ascii="Calibri" w:hAnsi="Calibri" w:hint="eastAsia"/>
          <w:rtl/>
        </w:rPr>
        <w:t>כב</w:t>
      </w:r>
      <w:r w:rsidRPr="00724E2B">
        <w:rPr>
          <w:rFonts w:ascii="Calibri" w:hAnsi="Calibri"/>
          <w:rtl/>
        </w:rPr>
        <w:t xml:space="preserve">' </w:t>
      </w:r>
      <w:r w:rsidRPr="00724E2B">
        <w:rPr>
          <w:rFonts w:ascii="Calibri" w:hAnsi="Calibri" w:hint="eastAsia"/>
          <w:rtl/>
        </w:rPr>
        <w:t>הש</w:t>
      </w:r>
      <w:r w:rsidRPr="00724E2B">
        <w:rPr>
          <w:rFonts w:ascii="Calibri" w:hAnsi="Calibri"/>
          <w:rtl/>
        </w:rPr>
        <w:t xml:space="preserve">' </w:t>
      </w:r>
      <w:r w:rsidRPr="00724E2B">
        <w:rPr>
          <w:rFonts w:ascii="Calibri" w:hAnsi="Calibri" w:hint="eastAsia"/>
          <w:rtl/>
        </w:rPr>
        <w:t>ג</w:t>
      </w:r>
      <w:r w:rsidRPr="00724E2B">
        <w:rPr>
          <w:rFonts w:ascii="Calibri" w:hAnsi="Calibri"/>
          <w:rtl/>
        </w:rPr>
        <w:t>'</w:t>
      </w:r>
      <w:r w:rsidRPr="00724E2B">
        <w:rPr>
          <w:rFonts w:ascii="Calibri" w:hAnsi="Calibri" w:hint="eastAsia"/>
          <w:rtl/>
        </w:rPr>
        <w:t>ובראן</w:t>
      </w:r>
      <w:r w:rsidRPr="00724E2B">
        <w:rPr>
          <w:rFonts w:ascii="Calibri" w:hAnsi="Calibri"/>
          <w:rtl/>
        </w:rPr>
        <w:t xml:space="preserve"> (</w:t>
      </w:r>
      <w:r w:rsidRPr="00724E2B">
        <w:rPr>
          <w:rFonts w:ascii="Calibri" w:hAnsi="Calibri" w:hint="eastAsia"/>
          <w:rtl/>
        </w:rPr>
        <w:t>להלן</w:t>
      </w:r>
      <w:r w:rsidRPr="00724E2B">
        <w:rPr>
          <w:rFonts w:ascii="Calibri" w:hAnsi="Calibri"/>
          <w:rtl/>
        </w:rPr>
        <w:t xml:space="preserve">: </w:t>
      </w:r>
      <w:r w:rsidRPr="00724E2B">
        <w:rPr>
          <w:rFonts w:ascii="Calibri" w:hAnsi="Calibri" w:hint="eastAsia"/>
          <w:rtl/>
        </w:rPr>
        <w:t>ענין</w:t>
      </w:r>
      <w:r w:rsidRPr="00724E2B">
        <w:rPr>
          <w:rFonts w:ascii="Calibri" w:hAnsi="Calibri"/>
          <w:rtl/>
        </w:rPr>
        <w:t xml:space="preserve"> </w:t>
      </w:r>
      <w:r w:rsidRPr="00724E2B">
        <w:rPr>
          <w:rFonts w:ascii="Calibri" w:hAnsi="Calibri" w:hint="eastAsia"/>
          <w:rtl/>
        </w:rPr>
        <w:t>ירזנר</w:t>
      </w:r>
      <w:r w:rsidRPr="00724E2B">
        <w:rPr>
          <w:rFonts w:ascii="Calibri" w:hAnsi="Calibri"/>
          <w:rtl/>
        </w:rPr>
        <w:t xml:space="preserve">) </w:t>
      </w:r>
      <w:r w:rsidRPr="00724E2B">
        <w:rPr>
          <w:rFonts w:ascii="Calibri" w:hAnsi="Calibri" w:hint="eastAsia"/>
          <w:rtl/>
        </w:rPr>
        <w:t>ול</w:t>
      </w:r>
      <w:hyperlink r:id="rId21"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4609/98</w:t>
        </w:r>
      </w:hyperlink>
      <w:r w:rsidRPr="00724E2B">
        <w:rPr>
          <w:rFonts w:ascii="Calibri" w:hAnsi="Calibri"/>
          <w:rtl/>
        </w:rPr>
        <w:t xml:space="preserve"> </w:t>
      </w:r>
      <w:r w:rsidRPr="00724E2B">
        <w:rPr>
          <w:rFonts w:ascii="Calibri" w:hAnsi="Calibri" w:hint="eastAsia"/>
          <w:b/>
          <w:bCs/>
          <w:rtl/>
        </w:rPr>
        <w:t>טאהא</w:t>
      </w:r>
      <w:r w:rsidRPr="00724E2B">
        <w:rPr>
          <w:rFonts w:ascii="Calibri" w:hAnsi="Calibri"/>
          <w:b/>
          <w:bCs/>
          <w:rtl/>
        </w:rPr>
        <w:t xml:space="preserve"> </w:t>
      </w:r>
      <w:r w:rsidRPr="00724E2B">
        <w:rPr>
          <w:rFonts w:ascii="Calibri" w:hAnsi="Calibri" w:hint="eastAsia"/>
          <w:b/>
          <w:bCs/>
          <w:rtl/>
        </w:rPr>
        <w:t>נ</w:t>
      </w:r>
      <w:r w:rsidRPr="00724E2B">
        <w:rPr>
          <w:rFonts w:ascii="Calibri" w:hAnsi="Calibri"/>
          <w:b/>
          <w:bCs/>
          <w:rtl/>
        </w:rPr>
        <w:t xml:space="preserve">' </w:t>
      </w:r>
      <w:r w:rsidRPr="00724E2B">
        <w:rPr>
          <w:rFonts w:ascii="Calibri" w:hAnsi="Calibri" w:hint="eastAsia"/>
          <w:b/>
          <w:bCs/>
          <w:rtl/>
        </w:rPr>
        <w:t>מ</w:t>
      </w:r>
      <w:r w:rsidRPr="00724E2B">
        <w:rPr>
          <w:rFonts w:ascii="Calibri" w:hAnsi="Calibri"/>
          <w:b/>
          <w:bCs/>
          <w:rtl/>
        </w:rPr>
        <w:t>"</w:t>
      </w:r>
      <w:r w:rsidRPr="00724E2B">
        <w:rPr>
          <w:rFonts w:ascii="Calibri" w:hAnsi="Calibri" w:hint="eastAsia"/>
          <w:b/>
          <w:bCs/>
          <w:rtl/>
        </w:rPr>
        <w:t>י</w:t>
      </w:r>
      <w:r w:rsidRPr="00724E2B">
        <w:rPr>
          <w:rFonts w:ascii="Calibri" w:hAnsi="Calibri"/>
          <w:rtl/>
        </w:rPr>
        <w:t xml:space="preserve">, </w:t>
      </w:r>
      <w:r w:rsidRPr="00724E2B">
        <w:rPr>
          <w:rFonts w:ascii="Calibri" w:hAnsi="Calibri" w:hint="eastAsia"/>
          <w:rtl/>
        </w:rPr>
        <w:t>מפי</w:t>
      </w:r>
      <w:r w:rsidRPr="00724E2B">
        <w:rPr>
          <w:rFonts w:ascii="Calibri" w:hAnsi="Calibri"/>
          <w:rtl/>
        </w:rPr>
        <w:t xml:space="preserve"> </w:t>
      </w:r>
      <w:r w:rsidRPr="00724E2B">
        <w:rPr>
          <w:rFonts w:ascii="Calibri" w:hAnsi="Calibri" w:hint="eastAsia"/>
          <w:rtl/>
        </w:rPr>
        <w:t>כב</w:t>
      </w:r>
      <w:r w:rsidRPr="00724E2B">
        <w:rPr>
          <w:rFonts w:ascii="Calibri" w:hAnsi="Calibri"/>
          <w:rtl/>
        </w:rPr>
        <w:t xml:space="preserve">' </w:t>
      </w:r>
      <w:r w:rsidRPr="00724E2B">
        <w:rPr>
          <w:rFonts w:ascii="Calibri" w:hAnsi="Calibri" w:hint="eastAsia"/>
          <w:rtl/>
        </w:rPr>
        <w:t>הש</w:t>
      </w:r>
      <w:r w:rsidRPr="00724E2B">
        <w:rPr>
          <w:rFonts w:ascii="Calibri" w:hAnsi="Calibri"/>
          <w:rtl/>
        </w:rPr>
        <w:t xml:space="preserve">' </w:t>
      </w:r>
      <w:r w:rsidRPr="00724E2B">
        <w:rPr>
          <w:rFonts w:ascii="Calibri" w:hAnsi="Calibri" w:hint="eastAsia"/>
          <w:rtl/>
        </w:rPr>
        <w:t>זמיר</w:t>
      </w:r>
      <w:r w:rsidRPr="00724E2B">
        <w:rPr>
          <w:rFonts w:ascii="Calibri" w:hAnsi="Calibri"/>
          <w:rtl/>
        </w:rPr>
        <w:t xml:space="preserve"> (</w:t>
      </w:r>
      <w:r w:rsidRPr="00724E2B">
        <w:rPr>
          <w:rFonts w:ascii="Calibri" w:hAnsi="Calibri" w:hint="eastAsia"/>
          <w:rtl/>
        </w:rPr>
        <w:t>להלן</w:t>
      </w:r>
      <w:r w:rsidRPr="00724E2B">
        <w:rPr>
          <w:rFonts w:ascii="Calibri" w:hAnsi="Calibri"/>
          <w:rtl/>
        </w:rPr>
        <w:t xml:space="preserve">: </w:t>
      </w:r>
      <w:r w:rsidRPr="00724E2B">
        <w:rPr>
          <w:rFonts w:ascii="Calibri" w:hAnsi="Calibri" w:hint="eastAsia"/>
          <w:rtl/>
        </w:rPr>
        <w:t>ענין</w:t>
      </w:r>
      <w:r w:rsidRPr="00724E2B">
        <w:rPr>
          <w:rFonts w:ascii="Calibri" w:hAnsi="Calibri"/>
          <w:rtl/>
        </w:rPr>
        <w:t xml:space="preserve"> </w:t>
      </w:r>
      <w:r w:rsidRPr="00724E2B">
        <w:rPr>
          <w:rFonts w:ascii="Calibri" w:hAnsi="Calibri" w:hint="eastAsia"/>
          <w:rtl/>
        </w:rPr>
        <w:t>טאהא</w:t>
      </w:r>
      <w:r w:rsidRPr="00724E2B">
        <w:rPr>
          <w:rFonts w:ascii="Calibri" w:hAnsi="Calibri"/>
          <w:rtl/>
        </w:rPr>
        <w:t>).</w:t>
      </w:r>
    </w:p>
    <w:p w14:paraId="66A04412" w14:textId="77777777" w:rsidR="00014E3D" w:rsidRPr="00724E2B" w:rsidRDefault="00014E3D" w:rsidP="00014E3D">
      <w:pPr>
        <w:spacing w:line="360" w:lineRule="auto"/>
        <w:ind w:left="720"/>
        <w:jc w:val="both"/>
        <w:rPr>
          <w:rFonts w:ascii="Calibri" w:hAnsi="Calibri"/>
          <w:rtl/>
        </w:rPr>
      </w:pPr>
    </w:p>
    <w:p w14:paraId="2D6042A1" w14:textId="77777777" w:rsidR="00014E3D" w:rsidRPr="00724E2B" w:rsidRDefault="00014E3D" w:rsidP="00014E3D">
      <w:pPr>
        <w:spacing w:line="360" w:lineRule="auto"/>
        <w:ind w:left="720"/>
        <w:jc w:val="both"/>
        <w:rPr>
          <w:rFonts w:ascii="Calibri" w:hAnsi="Calibri"/>
          <w:rtl/>
        </w:rPr>
      </w:pPr>
      <w:r w:rsidRPr="00724E2B">
        <w:rPr>
          <w:rFonts w:ascii="Calibri" w:hAnsi="Calibri" w:hint="eastAsia"/>
          <w:b/>
          <w:bCs/>
          <w:rtl/>
        </w:rPr>
        <w:t>ה</w:t>
      </w:r>
      <w:r w:rsidRPr="00724E2B">
        <w:rPr>
          <w:rFonts w:ascii="Calibri" w:hAnsi="Calibri"/>
          <w:b/>
          <w:bCs/>
          <w:rtl/>
        </w:rPr>
        <w:t>.</w:t>
      </w:r>
      <w:r w:rsidRPr="00724E2B">
        <w:rPr>
          <w:rFonts w:ascii="Calibri" w:hAnsi="Calibri"/>
          <w:rtl/>
        </w:rPr>
        <w:t xml:space="preserve"> </w:t>
      </w:r>
      <w:r w:rsidRPr="00724E2B">
        <w:rPr>
          <w:rFonts w:ascii="Calibri" w:hAnsi="Calibri" w:hint="eastAsia"/>
          <w:rtl/>
        </w:rPr>
        <w:t>לטענתו</w:t>
      </w:r>
      <w:r w:rsidRPr="00724E2B">
        <w:rPr>
          <w:rFonts w:ascii="Calibri" w:hAnsi="Calibri"/>
          <w:rtl/>
        </w:rPr>
        <w:t xml:space="preserve">, </w:t>
      </w:r>
      <w:r w:rsidRPr="00724E2B">
        <w:rPr>
          <w:rFonts w:ascii="Calibri" w:hAnsi="Calibri" w:hint="eastAsia"/>
          <w:rtl/>
        </w:rPr>
        <w:t>כמעט</w:t>
      </w:r>
      <w:r w:rsidRPr="00724E2B">
        <w:rPr>
          <w:rFonts w:ascii="Calibri" w:hAnsi="Calibri"/>
          <w:rtl/>
        </w:rPr>
        <w:t xml:space="preserve"> </w:t>
      </w:r>
      <w:r w:rsidRPr="00724E2B">
        <w:rPr>
          <w:rFonts w:ascii="Calibri" w:hAnsi="Calibri" w:hint="eastAsia"/>
          <w:rtl/>
        </w:rPr>
        <w:t>כל</w:t>
      </w:r>
      <w:r w:rsidRPr="00724E2B">
        <w:rPr>
          <w:rFonts w:ascii="Calibri" w:hAnsi="Calibri"/>
          <w:rtl/>
        </w:rPr>
        <w:t xml:space="preserve"> </w:t>
      </w:r>
      <w:r w:rsidRPr="00724E2B">
        <w:rPr>
          <w:rFonts w:ascii="Calibri" w:hAnsi="Calibri" w:hint="eastAsia"/>
          <w:rtl/>
        </w:rPr>
        <w:t>הקריטריונים</w:t>
      </w:r>
      <w:r w:rsidRPr="00724E2B">
        <w:rPr>
          <w:rFonts w:ascii="Calibri" w:hAnsi="Calibri"/>
          <w:rtl/>
        </w:rPr>
        <w:t xml:space="preserve"> </w:t>
      </w:r>
      <w:r w:rsidRPr="00724E2B">
        <w:rPr>
          <w:rFonts w:ascii="Calibri" w:hAnsi="Calibri" w:hint="eastAsia"/>
          <w:rtl/>
        </w:rPr>
        <w:t>והנסיבות</w:t>
      </w:r>
      <w:r w:rsidRPr="00724E2B">
        <w:rPr>
          <w:rFonts w:ascii="Calibri" w:hAnsi="Calibri"/>
          <w:rtl/>
        </w:rPr>
        <w:t xml:space="preserve"> </w:t>
      </w:r>
      <w:r w:rsidRPr="00724E2B">
        <w:rPr>
          <w:rFonts w:ascii="Calibri" w:hAnsi="Calibri" w:hint="eastAsia"/>
          <w:rtl/>
        </w:rPr>
        <w:t>הקבועים</w:t>
      </w:r>
      <w:r w:rsidRPr="00724E2B">
        <w:rPr>
          <w:rFonts w:ascii="Calibri" w:hAnsi="Calibri"/>
          <w:rtl/>
        </w:rPr>
        <w:t xml:space="preserve"> </w:t>
      </w:r>
      <w:hyperlink r:id="rId22" w:history="1">
        <w:r w:rsidR="00371CD2" w:rsidRPr="00371CD2">
          <w:rPr>
            <w:rFonts w:ascii="Calibri" w:hAnsi="Calibri" w:hint="eastAsia"/>
            <w:color w:val="0000FF"/>
            <w:u w:val="single"/>
            <w:rtl/>
          </w:rPr>
          <w:t>בסעיפים</w:t>
        </w:r>
        <w:r w:rsidR="00371CD2" w:rsidRPr="00371CD2">
          <w:rPr>
            <w:rFonts w:ascii="Calibri" w:hAnsi="Calibri"/>
            <w:color w:val="0000FF"/>
            <w:u w:val="single"/>
            <w:rtl/>
          </w:rPr>
          <w:t xml:space="preserve"> 40</w:t>
        </w:r>
        <w:r w:rsidR="00371CD2" w:rsidRPr="00371CD2">
          <w:rPr>
            <w:rFonts w:ascii="Calibri" w:hAnsi="Calibri" w:hint="eastAsia"/>
            <w:color w:val="0000FF"/>
            <w:u w:val="single"/>
            <w:rtl/>
          </w:rPr>
          <w:t>ט</w:t>
        </w:r>
      </w:hyperlink>
      <w:r w:rsidRPr="00724E2B">
        <w:rPr>
          <w:rFonts w:ascii="Calibri" w:hAnsi="Calibri"/>
          <w:rtl/>
        </w:rPr>
        <w:t xml:space="preserve"> </w:t>
      </w:r>
      <w:r w:rsidRPr="00724E2B">
        <w:rPr>
          <w:rFonts w:ascii="Calibri" w:hAnsi="Calibri" w:hint="eastAsia"/>
          <w:rtl/>
        </w:rPr>
        <w:t>ו</w:t>
      </w:r>
      <w:r w:rsidRPr="00724E2B">
        <w:rPr>
          <w:rFonts w:ascii="Calibri" w:hAnsi="Calibri"/>
          <w:rtl/>
        </w:rPr>
        <w:t xml:space="preserve">- </w:t>
      </w:r>
      <w:hyperlink r:id="rId23" w:history="1">
        <w:r w:rsidR="00371CD2" w:rsidRPr="00371CD2">
          <w:rPr>
            <w:rFonts w:ascii="Calibri" w:hAnsi="Calibri"/>
            <w:color w:val="0000FF"/>
            <w:u w:val="single"/>
            <w:rtl/>
          </w:rPr>
          <w:t>40</w:t>
        </w:r>
        <w:r w:rsidR="00371CD2" w:rsidRPr="00371CD2">
          <w:rPr>
            <w:rFonts w:ascii="Calibri" w:hAnsi="Calibri" w:hint="eastAsia"/>
            <w:color w:val="0000FF"/>
            <w:u w:val="single"/>
            <w:rtl/>
          </w:rPr>
          <w:t>יא</w:t>
        </w:r>
      </w:hyperlink>
      <w:r w:rsidRPr="00724E2B">
        <w:rPr>
          <w:rFonts w:ascii="Calibri" w:hAnsi="Calibri"/>
          <w:rtl/>
        </w:rPr>
        <w:t xml:space="preserve"> </w:t>
      </w:r>
      <w:r w:rsidRPr="00724E2B">
        <w:rPr>
          <w:rFonts w:ascii="Calibri" w:hAnsi="Calibri" w:hint="eastAsia"/>
          <w:rtl/>
        </w:rPr>
        <w:t>ל</w:t>
      </w:r>
      <w:hyperlink r:id="rId24" w:history="1">
        <w:r w:rsidR="005C475C" w:rsidRPr="005C475C">
          <w:rPr>
            <w:rFonts w:ascii="Calibri" w:hAnsi="Calibri" w:hint="eastAsia"/>
            <w:color w:val="0000FF"/>
            <w:u w:val="single"/>
            <w:rtl/>
          </w:rPr>
          <w:t>חוק</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העונשין</w:t>
        </w:r>
      </w:hyperlink>
      <w:r w:rsidRPr="00724E2B">
        <w:rPr>
          <w:rFonts w:ascii="Calibri" w:hAnsi="Calibri"/>
          <w:rtl/>
        </w:rPr>
        <w:t xml:space="preserve"> </w:t>
      </w:r>
      <w:r w:rsidRPr="00724E2B">
        <w:rPr>
          <w:rFonts w:ascii="Calibri" w:hAnsi="Calibri" w:hint="eastAsia"/>
          <w:rtl/>
        </w:rPr>
        <w:t>התקיימו</w:t>
      </w:r>
      <w:r w:rsidRPr="00724E2B">
        <w:rPr>
          <w:rFonts w:ascii="Calibri" w:hAnsi="Calibri"/>
          <w:rtl/>
        </w:rPr>
        <w:t xml:space="preserve"> </w:t>
      </w:r>
      <w:r w:rsidRPr="00724E2B">
        <w:rPr>
          <w:rFonts w:ascii="Calibri" w:hAnsi="Calibri" w:hint="eastAsia"/>
          <w:rtl/>
        </w:rPr>
        <w:t>על</w:t>
      </w:r>
      <w:r w:rsidRPr="00724E2B">
        <w:rPr>
          <w:rFonts w:ascii="Calibri" w:hAnsi="Calibri"/>
          <w:rtl/>
        </w:rPr>
        <w:t xml:space="preserve"> </w:t>
      </w:r>
      <w:r w:rsidRPr="00724E2B">
        <w:rPr>
          <w:rFonts w:ascii="Calibri" w:hAnsi="Calibri" w:hint="eastAsia"/>
          <w:rtl/>
        </w:rPr>
        <w:t>הצד</w:t>
      </w:r>
      <w:r w:rsidRPr="00724E2B">
        <w:rPr>
          <w:rFonts w:ascii="Calibri" w:hAnsi="Calibri"/>
          <w:rtl/>
        </w:rPr>
        <w:t xml:space="preserve"> </w:t>
      </w:r>
      <w:r w:rsidRPr="00724E2B">
        <w:rPr>
          <w:rFonts w:ascii="Calibri" w:hAnsi="Calibri" w:hint="eastAsia"/>
          <w:rtl/>
        </w:rPr>
        <w:t>החמור</w:t>
      </w:r>
      <w:r w:rsidRPr="00724E2B">
        <w:rPr>
          <w:rFonts w:ascii="Calibri" w:hAnsi="Calibri"/>
          <w:rtl/>
        </w:rPr>
        <w:t xml:space="preserve">, </w:t>
      </w:r>
      <w:r w:rsidRPr="00724E2B">
        <w:rPr>
          <w:rFonts w:ascii="Calibri" w:hAnsi="Calibri" w:hint="eastAsia"/>
          <w:rtl/>
        </w:rPr>
        <w:t>דבר</w:t>
      </w:r>
      <w:r w:rsidRPr="00724E2B">
        <w:rPr>
          <w:rFonts w:ascii="Calibri" w:hAnsi="Calibri"/>
          <w:rtl/>
        </w:rPr>
        <w:t xml:space="preserve"> </w:t>
      </w:r>
      <w:r w:rsidRPr="00724E2B">
        <w:rPr>
          <w:rFonts w:ascii="Calibri" w:hAnsi="Calibri" w:hint="eastAsia"/>
          <w:rtl/>
        </w:rPr>
        <w:t>המצדיק</w:t>
      </w:r>
      <w:r w:rsidRPr="00724E2B">
        <w:rPr>
          <w:rFonts w:ascii="Calibri" w:hAnsi="Calibri"/>
          <w:rtl/>
        </w:rPr>
        <w:t xml:space="preserve"> </w:t>
      </w:r>
      <w:r w:rsidRPr="00724E2B">
        <w:rPr>
          <w:rFonts w:ascii="Calibri" w:hAnsi="Calibri" w:hint="eastAsia"/>
          <w:rtl/>
        </w:rPr>
        <w:t>קביעת</w:t>
      </w:r>
      <w:r w:rsidRPr="00724E2B">
        <w:rPr>
          <w:rFonts w:ascii="Calibri" w:hAnsi="Calibri"/>
          <w:rtl/>
        </w:rPr>
        <w:t xml:space="preserve"> </w:t>
      </w:r>
      <w:r w:rsidRPr="00724E2B">
        <w:rPr>
          <w:rFonts w:ascii="Calibri" w:hAnsi="Calibri" w:hint="eastAsia"/>
          <w:rtl/>
        </w:rPr>
        <w:t>מתחם</w:t>
      </w:r>
      <w:r w:rsidRPr="00724E2B">
        <w:rPr>
          <w:rFonts w:ascii="Calibri" w:hAnsi="Calibri"/>
          <w:rtl/>
        </w:rPr>
        <w:t xml:space="preserve"> </w:t>
      </w:r>
      <w:r w:rsidRPr="00724E2B">
        <w:rPr>
          <w:rFonts w:ascii="Calibri" w:hAnsi="Calibri" w:hint="eastAsia"/>
          <w:rtl/>
        </w:rPr>
        <w:t>ענישה</w:t>
      </w:r>
      <w:r w:rsidRPr="00724E2B">
        <w:rPr>
          <w:rFonts w:ascii="Calibri" w:hAnsi="Calibri"/>
          <w:rtl/>
        </w:rPr>
        <w:t xml:space="preserve"> </w:t>
      </w:r>
      <w:r w:rsidRPr="00724E2B">
        <w:rPr>
          <w:rFonts w:ascii="Calibri" w:hAnsi="Calibri" w:hint="eastAsia"/>
          <w:rtl/>
        </w:rPr>
        <w:t>חמור</w:t>
      </w:r>
      <w:r w:rsidRPr="00724E2B">
        <w:rPr>
          <w:rFonts w:ascii="Calibri" w:hAnsi="Calibri"/>
          <w:rtl/>
        </w:rPr>
        <w:t xml:space="preserve">, </w:t>
      </w:r>
      <w:r w:rsidRPr="00724E2B">
        <w:rPr>
          <w:rFonts w:ascii="Calibri" w:hAnsi="Calibri" w:hint="eastAsia"/>
          <w:rtl/>
        </w:rPr>
        <w:t>והחמרה</w:t>
      </w:r>
      <w:r w:rsidRPr="00724E2B">
        <w:rPr>
          <w:rFonts w:ascii="Calibri" w:hAnsi="Calibri"/>
          <w:rtl/>
        </w:rPr>
        <w:t xml:space="preserve">  </w:t>
      </w:r>
      <w:r w:rsidRPr="00724E2B">
        <w:rPr>
          <w:rFonts w:ascii="Calibri" w:hAnsi="Calibri" w:hint="eastAsia"/>
          <w:rtl/>
        </w:rPr>
        <w:t>בעונשו</w:t>
      </w:r>
      <w:r w:rsidRPr="00724E2B">
        <w:rPr>
          <w:rFonts w:ascii="Calibri" w:hAnsi="Calibri"/>
          <w:rtl/>
        </w:rPr>
        <w:t xml:space="preserve"> </w:t>
      </w:r>
      <w:r w:rsidRPr="00724E2B">
        <w:rPr>
          <w:rFonts w:ascii="Calibri" w:hAnsi="Calibri" w:hint="eastAsia"/>
          <w:rtl/>
        </w:rPr>
        <w:t>של</w:t>
      </w:r>
      <w:r w:rsidRPr="00724E2B">
        <w:rPr>
          <w:rFonts w:ascii="Calibri" w:hAnsi="Calibri"/>
          <w:rtl/>
        </w:rPr>
        <w:t xml:space="preserve"> </w:t>
      </w:r>
      <w:r w:rsidRPr="00724E2B">
        <w:rPr>
          <w:rFonts w:ascii="Calibri" w:hAnsi="Calibri" w:hint="eastAsia"/>
          <w:rtl/>
        </w:rPr>
        <w:t>הנאשם</w:t>
      </w:r>
      <w:r w:rsidRPr="00724E2B">
        <w:rPr>
          <w:rFonts w:ascii="Calibri" w:hAnsi="Calibri"/>
          <w:rtl/>
        </w:rPr>
        <w:t xml:space="preserve">. </w:t>
      </w:r>
    </w:p>
    <w:p w14:paraId="60E8D707" w14:textId="77777777" w:rsidR="00014E3D" w:rsidRPr="00724E2B" w:rsidRDefault="00014E3D" w:rsidP="00014E3D">
      <w:pPr>
        <w:spacing w:line="360" w:lineRule="auto"/>
        <w:ind w:left="720"/>
        <w:jc w:val="both"/>
        <w:rPr>
          <w:rtl/>
        </w:rPr>
      </w:pPr>
    </w:p>
    <w:p w14:paraId="5F8E1EC1" w14:textId="77777777" w:rsidR="00014E3D" w:rsidRPr="00724E2B" w:rsidRDefault="00014E3D" w:rsidP="00014E3D">
      <w:pPr>
        <w:spacing w:line="360" w:lineRule="auto"/>
        <w:ind w:left="720"/>
        <w:jc w:val="both"/>
        <w:rPr>
          <w:rtl/>
        </w:rPr>
      </w:pPr>
      <w:r w:rsidRPr="00724E2B">
        <w:rPr>
          <w:b/>
          <w:bCs/>
          <w:rtl/>
        </w:rPr>
        <w:t>ו.</w:t>
      </w:r>
      <w:r w:rsidRPr="00724E2B">
        <w:rPr>
          <w:rtl/>
        </w:rPr>
        <w:t xml:space="preserve"> בנסיבות העניין ונוכח העובדה כי המדובר באירוע מתוכנן היטב אשר לנאשם בו חלק משמעותי, וכן הודייתו של האחרון רק לאחר תחילת ניהול הליך ההוכחות ותיקון כתב האישום, ביקש ב"כ המאשימה להשית על הנאשם עונש מאסר בפועל לתקופה המצויה במתחם שהוצע, מאסר על תנאי ממושך וקנס כספי.</w:t>
      </w:r>
    </w:p>
    <w:p w14:paraId="6A3EAB93" w14:textId="77777777" w:rsidR="00014E3D" w:rsidRPr="00724E2B" w:rsidRDefault="00014E3D" w:rsidP="00014E3D">
      <w:pPr>
        <w:spacing w:line="360" w:lineRule="auto"/>
        <w:ind w:left="720" w:hanging="720"/>
        <w:jc w:val="both"/>
        <w:rPr>
          <w:rtl/>
        </w:rPr>
      </w:pPr>
      <w:r w:rsidRPr="00724E2B">
        <w:rPr>
          <w:rtl/>
        </w:rPr>
        <w:tab/>
      </w:r>
    </w:p>
    <w:p w14:paraId="014921F7" w14:textId="77777777" w:rsidR="00014E3D" w:rsidRPr="00724E2B" w:rsidRDefault="00014E3D" w:rsidP="00014E3D">
      <w:pPr>
        <w:spacing w:line="360" w:lineRule="auto"/>
        <w:jc w:val="both"/>
        <w:rPr>
          <w:b/>
          <w:bCs/>
          <w:u w:val="single"/>
          <w:rtl/>
        </w:rPr>
      </w:pPr>
      <w:r w:rsidRPr="00724E2B">
        <w:rPr>
          <w:b/>
          <w:bCs/>
          <w:rtl/>
        </w:rPr>
        <w:t>5.</w:t>
      </w:r>
      <w:r w:rsidRPr="00724E2B">
        <w:rPr>
          <w:b/>
          <w:bCs/>
          <w:rtl/>
        </w:rPr>
        <w:tab/>
      </w:r>
      <w:r w:rsidRPr="00724E2B">
        <w:rPr>
          <w:b/>
          <w:bCs/>
          <w:u w:val="single"/>
          <w:rtl/>
        </w:rPr>
        <w:t>טיעוני ההגנה</w:t>
      </w:r>
    </w:p>
    <w:p w14:paraId="6DA8A1FF" w14:textId="77777777" w:rsidR="00014E3D" w:rsidRPr="005C2BAB" w:rsidRDefault="00014E3D" w:rsidP="00014E3D">
      <w:pPr>
        <w:spacing w:line="360" w:lineRule="auto"/>
        <w:ind w:firstLine="720"/>
        <w:jc w:val="both"/>
        <w:rPr>
          <w:sz w:val="4"/>
          <w:szCs w:val="4"/>
          <w:rtl/>
        </w:rPr>
      </w:pPr>
      <w:r w:rsidRPr="00724E2B">
        <w:rPr>
          <w:rtl/>
        </w:rPr>
        <w:t>ההגנה ביקשה להסתפק במאסר שירוצה על דרך של עבודות שירות.</w:t>
      </w:r>
    </w:p>
    <w:p w14:paraId="795BA65A" w14:textId="77777777" w:rsidR="00014E3D" w:rsidRPr="00724E2B" w:rsidRDefault="00014E3D" w:rsidP="00014E3D">
      <w:pPr>
        <w:spacing w:line="360" w:lineRule="auto"/>
        <w:ind w:left="720"/>
        <w:jc w:val="both"/>
        <w:rPr>
          <w:rtl/>
        </w:rPr>
      </w:pPr>
      <w:r w:rsidRPr="00724E2B">
        <w:rPr>
          <w:b/>
          <w:bCs/>
          <w:rtl/>
        </w:rPr>
        <w:t>א.</w:t>
      </w:r>
      <w:r w:rsidRPr="00724E2B">
        <w:rPr>
          <w:rtl/>
        </w:rPr>
        <w:t xml:space="preserve"> הסנגורית הפנתה לכתב האישום המתוקן, אשר שונה באופן שהוחלט שלא להאשים את הנאשם בגניבת שישה אקדחים, אלא בגניבת ארבעה אקדחים בלבד, אשר הוחזרו מיד עם דרישתו של ג'יריס. בנוסף שונו סעיפי האישום, כך שעבירת הגניבה בידי עובד נמחקה, ונשארו רק העבירות בנשק וקשירת קשר לפשע.</w:t>
      </w:r>
    </w:p>
    <w:p w14:paraId="4C09B3AB" w14:textId="77777777" w:rsidR="00014E3D" w:rsidRPr="00724E2B" w:rsidRDefault="00014E3D" w:rsidP="00014E3D">
      <w:pPr>
        <w:spacing w:line="360" w:lineRule="auto"/>
        <w:ind w:left="720"/>
        <w:jc w:val="both"/>
        <w:rPr>
          <w:rtl/>
        </w:rPr>
      </w:pPr>
    </w:p>
    <w:p w14:paraId="2B3E9365" w14:textId="77777777" w:rsidR="00014E3D" w:rsidRPr="00724E2B" w:rsidRDefault="00014E3D" w:rsidP="00014E3D">
      <w:pPr>
        <w:spacing w:line="360" w:lineRule="auto"/>
        <w:ind w:left="720"/>
        <w:jc w:val="both"/>
        <w:rPr>
          <w:rtl/>
        </w:rPr>
      </w:pPr>
      <w:r w:rsidRPr="00724E2B">
        <w:rPr>
          <w:b/>
          <w:bCs/>
          <w:rtl/>
        </w:rPr>
        <w:t>ב.</w:t>
      </w:r>
      <w:r w:rsidRPr="00724E2B">
        <w:rPr>
          <w:rtl/>
        </w:rPr>
        <w:t xml:space="preserve"> לטענת הסנגורית, לא ניתן שלא להתייחס לעניינו של השותף בעת בחינת נסיבות המקרה. היא הפנתה לכתב האישום המתוקן בתיק של ג'יריס, אשר מייחס לו מספר עבירות גדול יותר, שמהותן חמורה יותר. ג'יריס, אשר היה בעל תפקיד בכיר בחברת עמישב, והיה אמון על ביטחון מקום עבודתו והנשקים השמורים בו, נטל את הכספת בה נשמרו האקדחים בעזרת לום ומסר דיווח כוזב על פריצה לחברה. נטען כי התכנון והביצוע נעשה על ידי ג'יריס לבדו ועל דעתו בלבד, והנאשם לא ידע מה הוא הולך לעשות. בנוסף, במהלך שמיעת הראיות עלה כי ג'יריס נהג לגנוב חומרי ניקוי ממקום העבודה שלו, וכי חשב שהוא יכול לעשות מה שעולה על רוחו בחברה בה עבד וממנה קיבל משכורת.</w:t>
      </w:r>
    </w:p>
    <w:p w14:paraId="1AA94F3A" w14:textId="77777777" w:rsidR="00014E3D" w:rsidRPr="00724E2B" w:rsidRDefault="00014E3D" w:rsidP="00014E3D">
      <w:pPr>
        <w:spacing w:line="360" w:lineRule="auto"/>
        <w:ind w:left="720"/>
        <w:jc w:val="both"/>
        <w:rPr>
          <w:rtl/>
        </w:rPr>
      </w:pPr>
    </w:p>
    <w:p w14:paraId="6C512D1F" w14:textId="77777777" w:rsidR="00014E3D" w:rsidRDefault="00014E3D" w:rsidP="00014E3D">
      <w:pPr>
        <w:spacing w:line="360" w:lineRule="auto"/>
        <w:ind w:left="720"/>
        <w:jc w:val="both"/>
        <w:rPr>
          <w:rtl/>
        </w:rPr>
      </w:pPr>
      <w:r w:rsidRPr="00724E2B">
        <w:rPr>
          <w:b/>
          <w:bCs/>
          <w:rtl/>
        </w:rPr>
        <w:t>ג.</w:t>
      </w:r>
      <w:r w:rsidRPr="00724E2B">
        <w:rPr>
          <w:rtl/>
        </w:rPr>
        <w:t xml:space="preserve"> עוד נטען, כי ג'יריס היה אחראי על שני אקדחים נוספים אשר נגנבו ולא הוחזרו. על כן, מעשיו חמורים משמעותית ממעשיו של הנאשם וכי יש לתת את הדעת להבדלים ביניהם.</w:t>
      </w:r>
    </w:p>
    <w:p w14:paraId="013D024A" w14:textId="77777777" w:rsidR="00014E3D" w:rsidRPr="005C2BAB" w:rsidRDefault="00014E3D" w:rsidP="00014E3D">
      <w:pPr>
        <w:spacing w:line="360" w:lineRule="auto"/>
        <w:ind w:left="720"/>
        <w:jc w:val="both"/>
        <w:rPr>
          <w:sz w:val="18"/>
          <w:szCs w:val="18"/>
          <w:rtl/>
        </w:rPr>
      </w:pPr>
    </w:p>
    <w:p w14:paraId="1C8D8676" w14:textId="77777777" w:rsidR="00014E3D" w:rsidRPr="00724E2B" w:rsidRDefault="00014E3D" w:rsidP="00014E3D">
      <w:pPr>
        <w:spacing w:line="360" w:lineRule="auto"/>
        <w:ind w:left="720"/>
        <w:jc w:val="both"/>
        <w:rPr>
          <w:rtl/>
        </w:rPr>
      </w:pPr>
      <w:r w:rsidRPr="00724E2B">
        <w:rPr>
          <w:b/>
          <w:bCs/>
          <w:rtl/>
        </w:rPr>
        <w:t>ד.</w:t>
      </w:r>
      <w:r w:rsidRPr="00724E2B">
        <w:rPr>
          <w:rtl/>
        </w:rPr>
        <w:t xml:space="preserve"> הסנגורית סברה כי אין לתת ביטוי לאמירת המאשימה, לפיה המליצה לערער על גזר דינו של ג'יריס, מכיוון שטרם התקבלה החלטה בעניין זה, וגם אם יוגש ערעור לא ניתן לדעת אם יתקבל אם לאו.</w:t>
      </w:r>
    </w:p>
    <w:p w14:paraId="7C6C0B78" w14:textId="77777777" w:rsidR="00014E3D" w:rsidRPr="00724E2B" w:rsidRDefault="00014E3D" w:rsidP="00014E3D">
      <w:pPr>
        <w:spacing w:line="360" w:lineRule="auto"/>
        <w:ind w:left="720"/>
        <w:jc w:val="both"/>
        <w:rPr>
          <w:rtl/>
        </w:rPr>
      </w:pPr>
      <w:r w:rsidRPr="00724E2B">
        <w:rPr>
          <w:b/>
          <w:bCs/>
          <w:rtl/>
        </w:rPr>
        <w:t>ה.</w:t>
      </w:r>
      <w:r w:rsidRPr="00724E2B">
        <w:rPr>
          <w:rtl/>
        </w:rPr>
        <w:t xml:space="preserve"> הסנגורית סקרה את נסיבותיו האישיות של הנאשם. הנאשם בן 35, נשוי ואב לשלושה ילדים. הוא סיים 11 שנות לימוד ונהג לעבוד בעסק בבעלות משפחתו. מצבו הבריאותי אינו פשוט מאחר שנולד עם מום בלב ועבר מספר ניתוחים. </w:t>
      </w:r>
    </w:p>
    <w:p w14:paraId="5801058C" w14:textId="77777777" w:rsidR="00014E3D" w:rsidRPr="005C2BAB" w:rsidRDefault="00014E3D" w:rsidP="00014E3D">
      <w:pPr>
        <w:spacing w:line="360" w:lineRule="auto"/>
        <w:ind w:left="720"/>
        <w:jc w:val="both"/>
        <w:rPr>
          <w:sz w:val="20"/>
          <w:szCs w:val="20"/>
          <w:rtl/>
        </w:rPr>
      </w:pPr>
    </w:p>
    <w:p w14:paraId="3A3EB356" w14:textId="77777777" w:rsidR="00014E3D" w:rsidRPr="00724E2B" w:rsidRDefault="00014E3D" w:rsidP="00014E3D">
      <w:pPr>
        <w:spacing w:line="360" w:lineRule="auto"/>
        <w:ind w:left="720"/>
        <w:jc w:val="both"/>
        <w:rPr>
          <w:rtl/>
        </w:rPr>
      </w:pPr>
      <w:r w:rsidRPr="00724E2B">
        <w:rPr>
          <w:b/>
          <w:bCs/>
          <w:rtl/>
        </w:rPr>
        <w:t>ו.</w:t>
      </w:r>
      <w:r w:rsidRPr="00724E2B">
        <w:rPr>
          <w:rtl/>
        </w:rPr>
        <w:t xml:space="preserve"> הנאשם חסך מזמנו של בית המשפט בעצם הודייתו, והוא מתחרט על מעשיו ומתבייש בהם. הוא מעולם לא הפר את תנאי שחרורו מאז שוחרר בתנאים מגבילים, משפחתו תומכת בו ורוצה לשקמו.</w:t>
      </w:r>
    </w:p>
    <w:p w14:paraId="1272BE2A" w14:textId="77777777" w:rsidR="00014E3D" w:rsidRPr="005C2BAB" w:rsidRDefault="00014E3D" w:rsidP="00014E3D">
      <w:pPr>
        <w:spacing w:line="360" w:lineRule="auto"/>
        <w:ind w:left="720"/>
        <w:jc w:val="both"/>
        <w:rPr>
          <w:sz w:val="20"/>
          <w:szCs w:val="20"/>
          <w:rtl/>
        </w:rPr>
      </w:pPr>
    </w:p>
    <w:p w14:paraId="56F61584" w14:textId="77777777" w:rsidR="00014E3D" w:rsidRPr="00724E2B" w:rsidRDefault="00014E3D" w:rsidP="00014E3D">
      <w:pPr>
        <w:spacing w:line="360" w:lineRule="auto"/>
        <w:ind w:left="720"/>
        <w:jc w:val="both"/>
        <w:rPr>
          <w:rtl/>
        </w:rPr>
      </w:pPr>
      <w:r w:rsidRPr="00724E2B">
        <w:rPr>
          <w:b/>
          <w:bCs/>
          <w:rtl/>
        </w:rPr>
        <w:t>ז.</w:t>
      </w:r>
      <w:r w:rsidRPr="00724E2B">
        <w:rPr>
          <w:rtl/>
        </w:rPr>
        <w:t xml:space="preserve"> בהתייחסה לפסקי הדין שהובאו על ידי המאשימה, ציינה הסנגורית כי המדובר במקרים חמורים יותר, כאשר באף אחד מהם לא הוחזרו כלי הנשק הגנובים, בנאשמים בעלי עבר פלילי, וכי לא ניתן להשוות את העבירות שם ואת תוצאותיהן הקשות לעבירות נשוא תיק זה. </w:t>
      </w:r>
    </w:p>
    <w:p w14:paraId="39A45500" w14:textId="77777777" w:rsidR="00014E3D" w:rsidRPr="005C2BAB" w:rsidRDefault="00014E3D" w:rsidP="00014E3D">
      <w:pPr>
        <w:spacing w:line="360" w:lineRule="auto"/>
        <w:ind w:left="720"/>
        <w:jc w:val="both"/>
        <w:rPr>
          <w:sz w:val="6"/>
          <w:szCs w:val="6"/>
          <w:rtl/>
        </w:rPr>
      </w:pPr>
    </w:p>
    <w:p w14:paraId="705DB7FD" w14:textId="77777777" w:rsidR="00014E3D" w:rsidRPr="00724E2B" w:rsidRDefault="00014E3D" w:rsidP="00014E3D">
      <w:pPr>
        <w:spacing w:line="360" w:lineRule="auto"/>
        <w:ind w:left="720"/>
        <w:jc w:val="both"/>
        <w:rPr>
          <w:rtl/>
        </w:rPr>
      </w:pPr>
      <w:r w:rsidRPr="00724E2B">
        <w:rPr>
          <w:rtl/>
        </w:rPr>
        <w:t>לאור כל האמור, ביקשה להסתפק במאסר שירוצה על דרך של עבודות שירות.</w:t>
      </w:r>
    </w:p>
    <w:p w14:paraId="566860B1" w14:textId="77777777" w:rsidR="00014E3D" w:rsidRPr="005C2BAB" w:rsidRDefault="00014E3D" w:rsidP="00014E3D">
      <w:pPr>
        <w:spacing w:line="360" w:lineRule="auto"/>
        <w:ind w:left="720"/>
        <w:jc w:val="both"/>
        <w:rPr>
          <w:rFonts w:cs="Arial"/>
          <w:b/>
          <w:bCs/>
          <w:sz w:val="16"/>
          <w:szCs w:val="14"/>
          <w:highlight w:val="yellow"/>
          <w:rtl/>
        </w:rPr>
      </w:pPr>
    </w:p>
    <w:p w14:paraId="7D5242D5" w14:textId="77777777" w:rsidR="00014E3D" w:rsidRPr="00724E2B" w:rsidRDefault="00014E3D" w:rsidP="00014E3D">
      <w:pPr>
        <w:spacing w:line="360" w:lineRule="auto"/>
        <w:jc w:val="both"/>
        <w:rPr>
          <w:b/>
          <w:bCs/>
          <w:u w:val="single"/>
          <w:rtl/>
        </w:rPr>
      </w:pPr>
      <w:r w:rsidRPr="00724E2B">
        <w:rPr>
          <w:rtl/>
        </w:rPr>
        <w:tab/>
      </w:r>
      <w:r w:rsidRPr="00724E2B">
        <w:rPr>
          <w:b/>
          <w:bCs/>
          <w:u w:val="single"/>
          <w:rtl/>
        </w:rPr>
        <w:t>דברי הנאשם</w:t>
      </w:r>
    </w:p>
    <w:p w14:paraId="57DAF218" w14:textId="77777777" w:rsidR="00014E3D" w:rsidRPr="00724E2B" w:rsidRDefault="00014E3D" w:rsidP="00014E3D">
      <w:pPr>
        <w:spacing w:line="360" w:lineRule="auto"/>
        <w:ind w:firstLine="720"/>
        <w:jc w:val="both"/>
        <w:rPr>
          <w:rtl/>
        </w:rPr>
      </w:pPr>
      <w:r w:rsidRPr="00724E2B">
        <w:rPr>
          <w:rtl/>
        </w:rPr>
        <w:t>"אני טעיתי. אני עשיתי טעות".</w:t>
      </w:r>
    </w:p>
    <w:p w14:paraId="0586615B" w14:textId="77777777" w:rsidR="00014E3D" w:rsidRPr="0043766F" w:rsidRDefault="00014E3D" w:rsidP="00014E3D">
      <w:pPr>
        <w:spacing w:after="160" w:line="259" w:lineRule="auto"/>
        <w:rPr>
          <w:rFonts w:ascii="Calibri" w:hAnsi="Calibri" w:cs="Arial"/>
          <w:sz w:val="8"/>
          <w:szCs w:val="8"/>
        </w:rPr>
      </w:pPr>
    </w:p>
    <w:p w14:paraId="0F51A359" w14:textId="77777777" w:rsidR="00014E3D" w:rsidRPr="00724E2B" w:rsidRDefault="00014E3D" w:rsidP="00014E3D">
      <w:pPr>
        <w:spacing w:line="360" w:lineRule="auto"/>
        <w:ind w:left="720"/>
        <w:jc w:val="both"/>
        <w:rPr>
          <w:b/>
          <w:bCs/>
          <w:u w:val="single"/>
          <w:rtl/>
        </w:rPr>
      </w:pPr>
      <w:r w:rsidRPr="00724E2B">
        <w:rPr>
          <w:b/>
          <w:bCs/>
          <w:u w:val="single"/>
          <w:rtl/>
        </w:rPr>
        <w:t xml:space="preserve">דיון </w:t>
      </w:r>
    </w:p>
    <w:p w14:paraId="49F44527" w14:textId="77777777" w:rsidR="00014E3D" w:rsidRDefault="00014E3D" w:rsidP="00014E3D">
      <w:pPr>
        <w:spacing w:after="160" w:line="360" w:lineRule="auto"/>
        <w:ind w:left="720" w:hanging="720"/>
        <w:jc w:val="both"/>
        <w:rPr>
          <w:rtl/>
        </w:rPr>
      </w:pPr>
      <w:r w:rsidRPr="0043766F">
        <w:rPr>
          <w:rFonts w:ascii="Calibri" w:hAnsi="Calibri"/>
          <w:b/>
          <w:bCs/>
          <w:rtl/>
        </w:rPr>
        <w:t>6.</w:t>
      </w:r>
      <w:r w:rsidRPr="0043766F">
        <w:rPr>
          <w:rFonts w:ascii="Calibri" w:hAnsi="Calibri" w:cs="Arial"/>
          <w:b/>
          <w:bCs/>
          <w:sz w:val="22"/>
          <w:szCs w:val="22"/>
          <w:rtl/>
        </w:rPr>
        <w:tab/>
      </w:r>
      <w:r w:rsidRPr="00724E2B">
        <w:rPr>
          <w:rtl/>
        </w:rPr>
        <w:t xml:space="preserve">רבות נכתב על הקשיים בגזירת הדין, בעיקר כאשר עסקינן באנשים נעדרי עבר פלילי, אשר ביצעו עבירות חמורות המסכנות את בטחון הציבור. (לעניין זה ראו </w:t>
      </w:r>
      <w:hyperlink r:id="rId25" w:history="1">
        <w:r w:rsidR="005C475C" w:rsidRPr="005C475C">
          <w:rPr>
            <w:color w:val="0000FF"/>
            <w:u w:val="single"/>
            <w:rtl/>
          </w:rPr>
          <w:t>ע"פ 344/81 מ"י נ' סגל, פ"ד לה</w:t>
        </w:r>
      </w:hyperlink>
      <w:r w:rsidRPr="00724E2B">
        <w:rPr>
          <w:rtl/>
        </w:rPr>
        <w:t xml:space="preserve"> (4), 313, מפי כב' הנשיא שמגר; </w:t>
      </w:r>
      <w:hyperlink r:id="rId26" w:history="1">
        <w:r w:rsidR="005C475C" w:rsidRPr="005C475C">
          <w:rPr>
            <w:color w:val="0000FF"/>
            <w:u w:val="single"/>
            <w:rtl/>
          </w:rPr>
          <w:t>ע"פ 2163/05</w:t>
        </w:r>
      </w:hyperlink>
      <w:r w:rsidRPr="00724E2B">
        <w:rPr>
          <w:rtl/>
        </w:rPr>
        <w:t xml:space="preserve"> </w:t>
      </w:r>
      <w:r w:rsidRPr="00724E2B">
        <w:rPr>
          <w:b/>
          <w:bCs/>
          <w:rtl/>
        </w:rPr>
        <w:t>דג'מיל אלייב נ' מ"י</w:t>
      </w:r>
      <w:r w:rsidRPr="00724E2B">
        <w:rPr>
          <w:rtl/>
        </w:rPr>
        <w:t xml:space="preserve"> (12/12/05), מפי כב' הש' רובינשטיין ועוד). </w:t>
      </w:r>
    </w:p>
    <w:p w14:paraId="3B0DCF5F" w14:textId="77777777" w:rsidR="00014E3D" w:rsidRPr="005C2BAB" w:rsidRDefault="00014E3D" w:rsidP="00014E3D">
      <w:pPr>
        <w:spacing w:after="160" w:line="360" w:lineRule="auto"/>
        <w:ind w:left="720" w:hanging="720"/>
        <w:jc w:val="both"/>
        <w:rPr>
          <w:sz w:val="2"/>
          <w:szCs w:val="2"/>
          <w:rtl/>
        </w:rPr>
      </w:pPr>
    </w:p>
    <w:p w14:paraId="1BD94010" w14:textId="77777777" w:rsidR="00014E3D" w:rsidRPr="00724E2B" w:rsidRDefault="00014E3D" w:rsidP="00014E3D">
      <w:pPr>
        <w:spacing w:after="160" w:line="360" w:lineRule="auto"/>
        <w:ind w:left="720" w:hanging="720"/>
        <w:jc w:val="both"/>
        <w:rPr>
          <w:rtl/>
        </w:rPr>
      </w:pPr>
      <w:r w:rsidRPr="00724E2B">
        <w:rPr>
          <w:rtl/>
        </w:rPr>
        <w:tab/>
        <w:t xml:space="preserve">הענישה מושפעת בכללותה משיקולי גמול והרתעה (אף שקרנה של ההרתעה ירדה לאחרונה בעקבות מחקרים רבים שנעשו); מנסיבות ביצוע העבירות וחומרתן, נפיצותן ותדירות ביצוען, השפעתן על כלל הציבור וההשלכות היכולות להיגרם מהן, כגון הפגיעה בביטחון הציבור ומידתה, החשש והפחד שמעשים אלה נוטעים בלב אדם מן הישוב; עוד היא מושפעת מהנסיבות האישיות של מבצעי העבירות, גילם, עברם הפלילי, ושיקולי שיקום, ובכל מקרה ומקרה מוטלת על בית המשפט החובה לערוך את האיזון בין האינטרסים השונים. (ראו לעניין זה גם </w:t>
      </w:r>
      <w:hyperlink r:id="rId27" w:history="1">
        <w:r w:rsidR="005C475C" w:rsidRPr="005C475C">
          <w:rPr>
            <w:color w:val="0000FF"/>
            <w:u w:val="single"/>
            <w:rtl/>
          </w:rPr>
          <w:t>ע"פ 4890/01 מ"י נ' פלוני, פ"ד נו</w:t>
        </w:r>
      </w:hyperlink>
      <w:r w:rsidRPr="00724E2B">
        <w:rPr>
          <w:rtl/>
        </w:rPr>
        <w:t xml:space="preserve"> (1), 594).</w:t>
      </w:r>
    </w:p>
    <w:p w14:paraId="787B6367" w14:textId="77777777" w:rsidR="00014E3D" w:rsidRPr="0043766F" w:rsidRDefault="00014E3D" w:rsidP="00014E3D">
      <w:pPr>
        <w:spacing w:after="160" w:line="360" w:lineRule="auto"/>
        <w:ind w:left="720" w:hanging="720"/>
        <w:jc w:val="both"/>
        <w:rPr>
          <w:rFonts w:ascii="Calibri" w:hAnsi="Calibri" w:cs="Arial"/>
          <w:b/>
          <w:bCs/>
          <w:sz w:val="2"/>
          <w:szCs w:val="2"/>
          <w:rtl/>
        </w:rPr>
      </w:pPr>
    </w:p>
    <w:p w14:paraId="30A14C19" w14:textId="77777777" w:rsidR="00014E3D" w:rsidRPr="0043766F" w:rsidRDefault="00014E3D" w:rsidP="00014E3D">
      <w:pPr>
        <w:spacing w:after="160" w:line="360" w:lineRule="auto"/>
        <w:ind w:left="720"/>
        <w:jc w:val="both"/>
        <w:rPr>
          <w:rFonts w:ascii="Calibri" w:hAnsi="Calibri" w:cs="Arial"/>
          <w:sz w:val="2"/>
          <w:szCs w:val="2"/>
          <w:rtl/>
        </w:rPr>
      </w:pPr>
      <w:r w:rsidRPr="00724E2B">
        <w:rPr>
          <w:rtl/>
        </w:rPr>
        <w:t>העיקרון המנחה בגזירת עונשו של נאשם הוא קיומו של יחס הולם בין חומרת העבירה בנסיבותיה ומידת אשמו של הנאשם, לבין סוג העונש המוטל עליו ומידתו, כאשר עקרון ההלימה כמבטא את "עקרון הגמול". (ראו לענין זה דברי כב' הש' רובינשטיין ב</w:t>
      </w:r>
      <w:hyperlink r:id="rId28" w:history="1">
        <w:r w:rsidR="005C475C" w:rsidRPr="005C475C">
          <w:rPr>
            <w:color w:val="0000FF"/>
            <w:u w:val="single"/>
            <w:rtl/>
          </w:rPr>
          <w:t>ע"פ 1523/10 פלונית נ' מ"י (18/4/12), וכן ע"פ 156/80 כוכבי בנימין נ' מ"י, פ"ד לה</w:t>
        </w:r>
      </w:hyperlink>
      <w:r w:rsidRPr="00724E2B">
        <w:rPr>
          <w:rtl/>
        </w:rPr>
        <w:t>(4) 744, מפי כב' הש' אלון).</w:t>
      </w:r>
      <w:r w:rsidRPr="0043766F">
        <w:rPr>
          <w:rFonts w:ascii="Calibri" w:hAnsi="Calibri"/>
          <w:sz w:val="22"/>
          <w:szCs w:val="22"/>
          <w:rtl/>
        </w:rPr>
        <w:t xml:space="preserve"> </w:t>
      </w:r>
      <w:r w:rsidRPr="00724E2B">
        <w:rPr>
          <w:rtl/>
        </w:rPr>
        <w:t xml:space="preserve"> השיקולים לבחינת מתחם העונש ההולם למעשה העבירה, הם הערך החברתי שנפגע מביצוע העבירה ומידת הפגיעה בו, מדיניות הענישה הנהוגה, ונסיבות הקשורות בביצוע העבירה. כן ניתן לשקול נסיבות נוספות הקשורות בביצוע העבירה לשם קביעת מתחם העונש ההולם, ונסיבות נוספות שאינן קשורות בביצוע העבירה לשם גזירת העונש המתאים לנאשם הספציפי.</w:t>
      </w:r>
    </w:p>
    <w:p w14:paraId="36F1214A" w14:textId="77777777" w:rsidR="00014E3D" w:rsidRPr="0043766F" w:rsidRDefault="00014E3D" w:rsidP="00014E3D">
      <w:pPr>
        <w:spacing w:after="160" w:line="360" w:lineRule="auto"/>
        <w:ind w:left="720" w:hanging="720"/>
        <w:jc w:val="both"/>
        <w:rPr>
          <w:rFonts w:ascii="Calibri" w:hAnsi="Calibri" w:cs="Arial"/>
          <w:b/>
          <w:bCs/>
          <w:sz w:val="2"/>
          <w:szCs w:val="2"/>
          <w:rtl/>
        </w:rPr>
      </w:pPr>
    </w:p>
    <w:p w14:paraId="5B96F54A" w14:textId="77777777" w:rsidR="00014E3D" w:rsidRDefault="00014E3D" w:rsidP="00014E3D">
      <w:pPr>
        <w:spacing w:after="160" w:line="360" w:lineRule="auto"/>
        <w:ind w:left="720" w:hanging="720"/>
        <w:jc w:val="both"/>
        <w:rPr>
          <w:rtl/>
        </w:rPr>
      </w:pPr>
      <w:r w:rsidRPr="00724E2B">
        <w:rPr>
          <w:b/>
          <w:bCs/>
          <w:rtl/>
        </w:rPr>
        <w:t>7.</w:t>
      </w:r>
      <w:r w:rsidRPr="00724E2B">
        <w:rPr>
          <w:rtl/>
        </w:rPr>
        <w:tab/>
        <w:t>אין צור</w:t>
      </w:r>
      <w:r>
        <w:rPr>
          <w:rtl/>
        </w:rPr>
        <w:t>ך להכביר מילים אודות חומרת מעשי</w:t>
      </w:r>
      <w:r>
        <w:rPr>
          <w:rFonts w:hint="cs"/>
          <w:rtl/>
        </w:rPr>
        <w:t>ו</w:t>
      </w:r>
      <w:r>
        <w:rPr>
          <w:rtl/>
        </w:rPr>
        <w:t xml:space="preserve"> של הנאש</w:t>
      </w:r>
      <w:r>
        <w:rPr>
          <w:rFonts w:hint="cs"/>
          <w:rtl/>
        </w:rPr>
        <w:t>ם</w:t>
      </w:r>
      <w:r>
        <w:rPr>
          <w:rtl/>
        </w:rPr>
        <w:t>, אשר הורשע</w:t>
      </w:r>
      <w:r w:rsidRPr="00724E2B">
        <w:rPr>
          <w:rtl/>
        </w:rPr>
        <w:t xml:space="preserve"> </w:t>
      </w:r>
      <w:r>
        <w:rPr>
          <w:rFonts w:hint="cs"/>
          <w:rtl/>
        </w:rPr>
        <w:t>ב</w:t>
      </w:r>
      <w:r>
        <w:rPr>
          <w:rtl/>
        </w:rPr>
        <w:t>עביר</w:t>
      </w:r>
      <w:r>
        <w:rPr>
          <w:rFonts w:hint="cs"/>
          <w:rtl/>
        </w:rPr>
        <w:t>ות</w:t>
      </w:r>
      <w:r w:rsidRPr="00724E2B">
        <w:rPr>
          <w:rtl/>
        </w:rPr>
        <w:t xml:space="preserve"> ש</w:t>
      </w:r>
      <w:r>
        <w:rPr>
          <w:rFonts w:hint="cs"/>
          <w:rtl/>
        </w:rPr>
        <w:t>ל קשירת קשר לפשע, ועבירות בנשק - רכישה, החזקה, נשיאה והובלה, וכן סחר,</w:t>
      </w:r>
      <w:r w:rsidRPr="00724E2B">
        <w:rPr>
          <w:rtl/>
        </w:rPr>
        <w:t xml:space="preserve"> כמפורט לעיל, ואין מקום לחזור על הדברים.</w:t>
      </w:r>
    </w:p>
    <w:p w14:paraId="494CF6D1" w14:textId="77777777" w:rsidR="00014E3D" w:rsidRPr="00740490" w:rsidRDefault="00014E3D" w:rsidP="00014E3D">
      <w:pPr>
        <w:spacing w:after="160" w:line="360" w:lineRule="auto"/>
        <w:ind w:left="720" w:hanging="720"/>
        <w:jc w:val="both"/>
        <w:rPr>
          <w:sz w:val="2"/>
          <w:szCs w:val="2"/>
          <w:rtl/>
        </w:rPr>
      </w:pPr>
    </w:p>
    <w:p w14:paraId="28A58F16" w14:textId="77777777" w:rsidR="00014E3D" w:rsidRPr="00724E2B" w:rsidRDefault="00014E3D" w:rsidP="00014E3D">
      <w:pPr>
        <w:spacing w:after="160" w:line="360" w:lineRule="auto"/>
        <w:ind w:left="662"/>
        <w:jc w:val="both"/>
        <w:rPr>
          <w:rtl/>
        </w:rPr>
      </w:pPr>
      <w:r w:rsidRPr="00724E2B">
        <w:rPr>
          <w:rtl/>
        </w:rPr>
        <w:t xml:space="preserve">הנאשם קשר קשר עם ג'יריס לבצע עבירות בנשק, ובצוותא חדא עמו רכש, החזיק, נשא, הוביל וסחר בנשק ובתחמושת או עשה בהם כל עסקה אחרת שיש עמה מסירת החזקה בנשק לזולתו בלא רשות על פי דין. רבות נכתב אודות סכנה היתרה הגלומה בעבירות נשק -  החזקה, נשיאה והובלה וסחר - כאשר מדובר בארבעה אקדחים ותחמושת, אשר נמכרו לנאשם על ידי ג'יריס, ועל הפוטנציאל הגבוה לפגיעה בחפים מפשע - עד כדי תוצאות קטלניות - הגלום בהחזקת הנשק בידי גורמים עבריינים, אם פליליים ואם גורמים עוינים אחרים. </w:t>
      </w:r>
    </w:p>
    <w:p w14:paraId="726F0CB1" w14:textId="77777777" w:rsidR="00014E3D" w:rsidRPr="00740490" w:rsidRDefault="00014E3D" w:rsidP="00014E3D">
      <w:pPr>
        <w:spacing w:line="360" w:lineRule="auto"/>
        <w:ind w:left="720"/>
        <w:jc w:val="both"/>
        <w:rPr>
          <w:sz w:val="14"/>
          <w:szCs w:val="14"/>
          <w:rtl/>
        </w:rPr>
      </w:pPr>
    </w:p>
    <w:p w14:paraId="2946CA01" w14:textId="77777777" w:rsidR="00014E3D" w:rsidRPr="00724E2B" w:rsidRDefault="00014E3D" w:rsidP="00014E3D">
      <w:pPr>
        <w:spacing w:line="360" w:lineRule="auto"/>
        <w:ind w:left="720"/>
        <w:jc w:val="both"/>
        <w:rPr>
          <w:rtl/>
        </w:rPr>
      </w:pPr>
      <w:r w:rsidRPr="00724E2B">
        <w:rPr>
          <w:rtl/>
        </w:rPr>
        <w:t xml:space="preserve">עבירות הנשק הפכו למכת מדינה שיש צורך להתייחס אליה בחומרה, בצדן של עבירות הנשק - אשר הפכו למכת מדינה - והסחר בו בראשן, נקבעו עונשי מאסר ממושכים, והפסיקה הדגישה את הצורך להיאבק בהן על ידי החמרה בענישה, לצורך הרתעה. כך גם צוין כי זמינותו של הנשק החם עלולה לגרום להסלמת האלימות העבריינית, כאשר החזקתו נעשית בדרך כלל כדי לאפשר ביצוען של עבירות אחרות. (ראו ע"פ </w:t>
      </w:r>
      <w:hyperlink r:id="rId29" w:history="1">
        <w:r w:rsidR="00B268D4" w:rsidRPr="00B268D4">
          <w:rPr>
            <w:color w:val="0000FF"/>
            <w:u w:val="single"/>
            <w:rtl/>
          </w:rPr>
          <w:t xml:space="preserve">1332/04 </w:t>
        </w:r>
      </w:hyperlink>
      <w:r w:rsidRPr="00724E2B">
        <w:rPr>
          <w:rtl/>
        </w:rPr>
        <w:t xml:space="preserve"> </w:t>
      </w:r>
      <w:r w:rsidRPr="00724E2B">
        <w:rPr>
          <w:b/>
          <w:bCs/>
          <w:rtl/>
        </w:rPr>
        <w:t xml:space="preserve">מ"י נ' פס, </w:t>
      </w:r>
      <w:r w:rsidRPr="00724E2B">
        <w:rPr>
          <w:rtl/>
        </w:rPr>
        <w:t xml:space="preserve">פ"ד נח(5) 541 (19/4/04), מפי כב' הש' ביניש (כתוארה אז; ראו גם </w:t>
      </w:r>
      <w:hyperlink r:id="rId30" w:history="1">
        <w:r w:rsidR="005C475C" w:rsidRPr="005C475C">
          <w:rPr>
            <w:color w:val="0000FF"/>
            <w:u w:val="single"/>
            <w:rtl/>
          </w:rPr>
          <w:t>ע"פ 5913/11</w:t>
        </w:r>
      </w:hyperlink>
      <w:r w:rsidRPr="00724E2B">
        <w:rPr>
          <w:b/>
          <w:bCs/>
          <w:rtl/>
        </w:rPr>
        <w:t xml:space="preserve"> הייב נ' מ"י </w:t>
      </w:r>
      <w:r w:rsidRPr="00724E2B">
        <w:rPr>
          <w:rtl/>
        </w:rPr>
        <w:t>(12/9/12),</w:t>
      </w:r>
      <w:r w:rsidRPr="00724E2B">
        <w:rPr>
          <w:b/>
          <w:bCs/>
          <w:rtl/>
        </w:rPr>
        <w:t xml:space="preserve"> </w:t>
      </w:r>
      <w:r w:rsidRPr="00724E2B">
        <w:rPr>
          <w:rtl/>
        </w:rPr>
        <w:t xml:space="preserve">מפי כב' הש' ברק- ארז; ראו גם </w:t>
      </w:r>
      <w:hyperlink r:id="rId31" w:history="1">
        <w:r w:rsidR="005C475C" w:rsidRPr="005C475C">
          <w:rPr>
            <w:color w:val="0000FF"/>
            <w:u w:val="single"/>
            <w:rtl/>
          </w:rPr>
          <w:t>ע"פ 2251/11</w:t>
        </w:r>
      </w:hyperlink>
      <w:r w:rsidRPr="00724E2B">
        <w:rPr>
          <w:rtl/>
        </w:rPr>
        <w:t xml:space="preserve"> ו</w:t>
      </w:r>
      <w:hyperlink r:id="rId32" w:history="1">
        <w:r w:rsidR="005C475C" w:rsidRPr="005C475C">
          <w:rPr>
            <w:color w:val="0000FF"/>
            <w:u w:val="single"/>
            <w:rtl/>
          </w:rPr>
          <w:t>ע"פ 2368/11</w:t>
        </w:r>
      </w:hyperlink>
      <w:r w:rsidRPr="00724E2B">
        <w:rPr>
          <w:rtl/>
        </w:rPr>
        <w:t xml:space="preserve"> </w:t>
      </w:r>
      <w:r w:rsidRPr="00724E2B">
        <w:rPr>
          <w:b/>
          <w:bCs/>
          <w:rtl/>
        </w:rPr>
        <w:t>מ"י נ' ג'מאל נפאע</w:t>
      </w:r>
      <w:r w:rsidRPr="00724E2B">
        <w:rPr>
          <w:rtl/>
        </w:rPr>
        <w:t xml:space="preserve"> (4/12/11), מפי כב' הש' חיות). </w:t>
      </w:r>
    </w:p>
    <w:p w14:paraId="1BC04AD4" w14:textId="77777777" w:rsidR="00014E3D" w:rsidRPr="00724E2B" w:rsidRDefault="00014E3D" w:rsidP="00014E3D">
      <w:pPr>
        <w:spacing w:line="360" w:lineRule="auto"/>
        <w:ind w:left="720"/>
        <w:jc w:val="both"/>
        <w:rPr>
          <w:rtl/>
        </w:rPr>
      </w:pPr>
    </w:p>
    <w:p w14:paraId="3B035EEA" w14:textId="77777777" w:rsidR="00014E3D" w:rsidRPr="0043766F" w:rsidRDefault="00014E3D" w:rsidP="00014E3D">
      <w:pPr>
        <w:spacing w:after="160" w:line="360" w:lineRule="auto"/>
        <w:ind w:left="720"/>
        <w:jc w:val="both"/>
        <w:rPr>
          <w:rFonts w:ascii="Calibri" w:hAnsi="Calibri"/>
          <w:rtl/>
        </w:rPr>
      </w:pPr>
      <w:r w:rsidRPr="00724E2B">
        <w:rPr>
          <w:rtl/>
        </w:rPr>
        <w:t xml:space="preserve">ההשלכות הרות האסון בעבירות בנשק בכלל והסחר בנשק בפרט, והסיכון הגלום בהן נידונו רבות בפסיקה של בתי המשפט. שוב ושוב קבע בית המשפט העליון כי העוסקים בכך יוצרים סכנות המצריכות התייחסות מיוחדת, באמצעות ענישה משמעותית ומרתיעה. </w:t>
      </w:r>
      <w:r w:rsidRPr="0043766F">
        <w:rPr>
          <w:rFonts w:ascii="Calibri" w:hAnsi="Calibri"/>
          <w:rtl/>
        </w:rPr>
        <w:t>(</w:t>
      </w:r>
      <w:r w:rsidRPr="0043766F">
        <w:rPr>
          <w:rFonts w:ascii="Calibri" w:hAnsi="Calibri" w:hint="eastAsia"/>
          <w:rtl/>
        </w:rPr>
        <w:t>ראו</w:t>
      </w:r>
      <w:r w:rsidRPr="0043766F">
        <w:rPr>
          <w:rFonts w:ascii="Calibri" w:hAnsi="Calibri"/>
          <w:rtl/>
        </w:rPr>
        <w:t xml:space="preserve"> </w:t>
      </w:r>
      <w:hyperlink r:id="rId33"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5833/07</w:t>
        </w:r>
      </w:hyperlink>
      <w:r w:rsidRPr="0043766F">
        <w:rPr>
          <w:rFonts w:ascii="Calibri" w:hAnsi="Calibri"/>
          <w:rtl/>
        </w:rPr>
        <w:t xml:space="preserve"> </w:t>
      </w:r>
      <w:r w:rsidRPr="0043766F">
        <w:rPr>
          <w:rFonts w:ascii="Calibri" w:hAnsi="Calibri" w:hint="eastAsia"/>
          <w:b/>
          <w:bCs/>
          <w:rtl/>
        </w:rPr>
        <w:t>ח</w:t>
      </w:r>
      <w:r w:rsidRPr="0043766F">
        <w:rPr>
          <w:rFonts w:ascii="Calibri" w:hAnsi="Calibri"/>
          <w:b/>
          <w:bCs/>
          <w:rtl/>
        </w:rPr>
        <w:t>'</w:t>
      </w:r>
      <w:r w:rsidRPr="0043766F">
        <w:rPr>
          <w:rFonts w:ascii="Calibri" w:hAnsi="Calibri" w:hint="eastAsia"/>
          <w:b/>
          <w:bCs/>
          <w:rtl/>
        </w:rPr>
        <w:t>ורי</w:t>
      </w:r>
      <w:r w:rsidRPr="0043766F">
        <w:rPr>
          <w:rFonts w:ascii="Calibri" w:hAnsi="Calibri"/>
          <w:b/>
          <w:bCs/>
          <w:rtl/>
        </w:rPr>
        <w:t xml:space="preserve"> </w:t>
      </w:r>
      <w:r w:rsidRPr="0043766F">
        <w:rPr>
          <w:rFonts w:ascii="Calibri" w:hAnsi="Calibri" w:hint="eastAsia"/>
          <w:b/>
          <w:bCs/>
          <w:rtl/>
        </w:rPr>
        <w:t>נ</w:t>
      </w:r>
      <w:r w:rsidRPr="0043766F">
        <w:rPr>
          <w:rFonts w:ascii="Calibri" w:hAnsi="Calibri"/>
          <w:b/>
          <w:bCs/>
          <w:rtl/>
        </w:rPr>
        <w:t xml:space="preserve">' </w:t>
      </w:r>
      <w:r w:rsidRPr="0043766F">
        <w:rPr>
          <w:rFonts w:ascii="Calibri" w:hAnsi="Calibri" w:hint="eastAsia"/>
          <w:b/>
          <w:bCs/>
          <w:rtl/>
        </w:rPr>
        <w:t>מ</w:t>
      </w:r>
      <w:r w:rsidRPr="0043766F">
        <w:rPr>
          <w:rFonts w:ascii="Calibri" w:hAnsi="Calibri"/>
          <w:b/>
          <w:bCs/>
          <w:rtl/>
        </w:rPr>
        <w:t>"</w:t>
      </w:r>
      <w:r w:rsidRPr="0043766F">
        <w:rPr>
          <w:rFonts w:ascii="Calibri" w:hAnsi="Calibri" w:hint="eastAsia"/>
          <w:b/>
          <w:bCs/>
          <w:rtl/>
        </w:rPr>
        <w:t>י</w:t>
      </w:r>
      <w:r w:rsidRPr="0043766F">
        <w:rPr>
          <w:rFonts w:ascii="Calibri" w:hAnsi="Calibri"/>
          <w:rtl/>
        </w:rPr>
        <w:t xml:space="preserve"> (18/11/07); </w:t>
      </w:r>
      <w:r w:rsidRPr="0043766F">
        <w:rPr>
          <w:rFonts w:ascii="Calibri" w:hAnsi="Calibri" w:hint="eastAsia"/>
          <w:rtl/>
        </w:rPr>
        <w:t>ראו</w:t>
      </w:r>
      <w:r w:rsidRPr="0043766F">
        <w:rPr>
          <w:rFonts w:ascii="Calibri" w:hAnsi="Calibri"/>
          <w:rtl/>
        </w:rPr>
        <w:t xml:space="preserve"> </w:t>
      </w:r>
      <w:r w:rsidRPr="0043766F">
        <w:rPr>
          <w:rFonts w:ascii="Calibri" w:hAnsi="Calibri" w:hint="eastAsia"/>
          <w:rtl/>
        </w:rPr>
        <w:t>גם</w:t>
      </w:r>
      <w:r w:rsidRPr="0043766F">
        <w:rPr>
          <w:rFonts w:ascii="Calibri" w:hAnsi="Calibri"/>
          <w:rtl/>
        </w:rPr>
        <w:t xml:space="preserve"> </w:t>
      </w:r>
      <w:hyperlink r:id="rId34"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761/07</w:t>
        </w:r>
      </w:hyperlink>
      <w:r w:rsidRPr="0043766F">
        <w:rPr>
          <w:rFonts w:ascii="Calibri" w:hAnsi="Calibri"/>
          <w:rtl/>
        </w:rPr>
        <w:t xml:space="preserve"> </w:t>
      </w:r>
      <w:r w:rsidRPr="0043766F">
        <w:rPr>
          <w:rFonts w:ascii="Calibri" w:hAnsi="Calibri" w:hint="eastAsia"/>
          <w:b/>
          <w:bCs/>
          <w:rtl/>
        </w:rPr>
        <w:t>מ</w:t>
      </w:r>
      <w:r w:rsidRPr="0043766F">
        <w:rPr>
          <w:rFonts w:ascii="Calibri" w:hAnsi="Calibri"/>
          <w:b/>
          <w:bCs/>
          <w:rtl/>
        </w:rPr>
        <w:t>"</w:t>
      </w:r>
      <w:r w:rsidRPr="0043766F">
        <w:rPr>
          <w:rFonts w:ascii="Calibri" w:hAnsi="Calibri" w:hint="eastAsia"/>
          <w:b/>
          <w:bCs/>
          <w:rtl/>
        </w:rPr>
        <w:t>י</w:t>
      </w:r>
      <w:r w:rsidRPr="0043766F">
        <w:rPr>
          <w:rFonts w:ascii="Calibri" w:hAnsi="Calibri"/>
          <w:b/>
          <w:bCs/>
          <w:rtl/>
        </w:rPr>
        <w:t xml:space="preserve"> </w:t>
      </w:r>
      <w:r w:rsidRPr="0043766F">
        <w:rPr>
          <w:rFonts w:ascii="Calibri" w:hAnsi="Calibri" w:hint="eastAsia"/>
          <w:b/>
          <w:bCs/>
          <w:rtl/>
        </w:rPr>
        <w:t>נ</w:t>
      </w:r>
      <w:r w:rsidRPr="0043766F">
        <w:rPr>
          <w:rFonts w:ascii="Calibri" w:hAnsi="Calibri"/>
          <w:b/>
          <w:bCs/>
          <w:rtl/>
        </w:rPr>
        <w:t xml:space="preserve">' </w:t>
      </w:r>
      <w:r w:rsidRPr="0043766F">
        <w:rPr>
          <w:rFonts w:ascii="Calibri" w:hAnsi="Calibri" w:hint="eastAsia"/>
          <w:b/>
          <w:bCs/>
          <w:rtl/>
        </w:rPr>
        <w:t>אדרי</w:t>
      </w:r>
      <w:r w:rsidRPr="0043766F">
        <w:rPr>
          <w:rFonts w:ascii="Calibri" w:hAnsi="Calibri"/>
          <w:rtl/>
        </w:rPr>
        <w:t xml:space="preserve"> (22/2/07), </w:t>
      </w:r>
      <w:r w:rsidRPr="0043766F">
        <w:rPr>
          <w:rFonts w:ascii="Calibri" w:hAnsi="Calibri" w:hint="eastAsia"/>
          <w:rtl/>
        </w:rPr>
        <w:t>שניהם</w:t>
      </w:r>
      <w:r w:rsidRPr="0043766F">
        <w:rPr>
          <w:rFonts w:ascii="Calibri" w:hAnsi="Calibri"/>
          <w:rtl/>
        </w:rPr>
        <w:t xml:space="preserve"> </w:t>
      </w:r>
      <w:r w:rsidRPr="0043766F">
        <w:rPr>
          <w:rFonts w:ascii="Calibri" w:hAnsi="Calibri" w:hint="eastAsia"/>
          <w:rtl/>
        </w:rPr>
        <w:t>מפי</w:t>
      </w:r>
      <w:r w:rsidRPr="0043766F">
        <w:rPr>
          <w:rFonts w:ascii="Calibri" w:hAnsi="Calibri"/>
          <w:rtl/>
        </w:rPr>
        <w:t xml:space="preserve"> </w:t>
      </w:r>
      <w:r w:rsidRPr="0043766F">
        <w:rPr>
          <w:rFonts w:ascii="Calibri" w:hAnsi="Calibri" w:hint="eastAsia"/>
          <w:rtl/>
        </w:rPr>
        <w:t>כב</w:t>
      </w:r>
      <w:r w:rsidRPr="0043766F">
        <w:rPr>
          <w:rFonts w:ascii="Calibri" w:hAnsi="Calibri"/>
          <w:rtl/>
        </w:rPr>
        <w:t xml:space="preserve">' </w:t>
      </w:r>
      <w:r w:rsidRPr="0043766F">
        <w:rPr>
          <w:rFonts w:ascii="Calibri" w:hAnsi="Calibri" w:hint="eastAsia"/>
          <w:rtl/>
        </w:rPr>
        <w:t>הש</w:t>
      </w:r>
      <w:r w:rsidRPr="0043766F">
        <w:rPr>
          <w:rFonts w:ascii="Calibri" w:hAnsi="Calibri"/>
          <w:rtl/>
        </w:rPr>
        <w:t xml:space="preserve">' </w:t>
      </w:r>
      <w:r w:rsidRPr="0043766F">
        <w:rPr>
          <w:rFonts w:ascii="Calibri" w:hAnsi="Calibri" w:hint="eastAsia"/>
          <w:rtl/>
        </w:rPr>
        <w:t>לוי</w:t>
      </w:r>
      <w:r w:rsidRPr="0043766F">
        <w:rPr>
          <w:rFonts w:ascii="Calibri" w:hAnsi="Calibri"/>
          <w:rtl/>
        </w:rPr>
        <w:t xml:space="preserve">; </w:t>
      </w:r>
      <w:hyperlink r:id="rId35"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3300/06</w:t>
        </w:r>
      </w:hyperlink>
      <w:r w:rsidRPr="0043766F">
        <w:rPr>
          <w:rFonts w:ascii="Calibri" w:hAnsi="Calibri"/>
          <w:rtl/>
        </w:rPr>
        <w:t xml:space="preserve"> </w:t>
      </w:r>
      <w:r w:rsidRPr="0043766F">
        <w:rPr>
          <w:rFonts w:ascii="Calibri" w:hAnsi="Calibri" w:hint="eastAsia"/>
          <w:b/>
          <w:bCs/>
          <w:rtl/>
        </w:rPr>
        <w:t>סנינה</w:t>
      </w:r>
      <w:r w:rsidRPr="0043766F">
        <w:rPr>
          <w:rFonts w:ascii="Calibri" w:hAnsi="Calibri"/>
          <w:b/>
          <w:bCs/>
          <w:rtl/>
        </w:rPr>
        <w:t xml:space="preserve"> </w:t>
      </w:r>
      <w:r w:rsidRPr="0043766F">
        <w:rPr>
          <w:rFonts w:ascii="Calibri" w:hAnsi="Calibri" w:hint="eastAsia"/>
          <w:b/>
          <w:bCs/>
          <w:rtl/>
        </w:rPr>
        <w:t>נ</w:t>
      </w:r>
      <w:r w:rsidRPr="0043766F">
        <w:rPr>
          <w:rFonts w:ascii="Calibri" w:hAnsi="Calibri"/>
          <w:b/>
          <w:bCs/>
          <w:rtl/>
        </w:rPr>
        <w:t xml:space="preserve">' </w:t>
      </w:r>
      <w:r w:rsidRPr="0043766F">
        <w:rPr>
          <w:rFonts w:ascii="Calibri" w:hAnsi="Calibri" w:hint="eastAsia"/>
          <w:b/>
          <w:bCs/>
          <w:rtl/>
        </w:rPr>
        <w:t>מ</w:t>
      </w:r>
      <w:r w:rsidRPr="0043766F">
        <w:rPr>
          <w:rFonts w:ascii="Calibri" w:hAnsi="Calibri"/>
          <w:b/>
          <w:bCs/>
          <w:rtl/>
        </w:rPr>
        <w:t>"</w:t>
      </w:r>
      <w:r w:rsidRPr="0043766F">
        <w:rPr>
          <w:rFonts w:ascii="Calibri" w:hAnsi="Calibri" w:hint="eastAsia"/>
          <w:b/>
          <w:bCs/>
          <w:rtl/>
        </w:rPr>
        <w:t>י</w:t>
      </w:r>
      <w:r w:rsidRPr="0043766F">
        <w:rPr>
          <w:rFonts w:ascii="Calibri" w:hAnsi="Calibri"/>
          <w:rtl/>
        </w:rPr>
        <w:t xml:space="preserve"> (10/8/06), </w:t>
      </w:r>
      <w:r w:rsidRPr="0043766F">
        <w:rPr>
          <w:rFonts w:ascii="Calibri" w:hAnsi="Calibri" w:hint="eastAsia"/>
          <w:rtl/>
        </w:rPr>
        <w:t>מפי</w:t>
      </w:r>
      <w:r w:rsidRPr="0043766F">
        <w:rPr>
          <w:rFonts w:ascii="Calibri" w:hAnsi="Calibri"/>
          <w:rtl/>
        </w:rPr>
        <w:t xml:space="preserve"> </w:t>
      </w:r>
      <w:r w:rsidRPr="0043766F">
        <w:rPr>
          <w:rFonts w:ascii="Calibri" w:hAnsi="Calibri" w:hint="eastAsia"/>
          <w:rtl/>
        </w:rPr>
        <w:t>כב</w:t>
      </w:r>
      <w:r w:rsidRPr="0043766F">
        <w:rPr>
          <w:rFonts w:ascii="Calibri" w:hAnsi="Calibri"/>
          <w:rtl/>
        </w:rPr>
        <w:t xml:space="preserve">' </w:t>
      </w:r>
      <w:r w:rsidRPr="0043766F">
        <w:rPr>
          <w:rFonts w:ascii="Calibri" w:hAnsi="Calibri" w:hint="eastAsia"/>
          <w:rtl/>
        </w:rPr>
        <w:t>הש</w:t>
      </w:r>
      <w:r w:rsidRPr="0043766F">
        <w:rPr>
          <w:rFonts w:ascii="Calibri" w:hAnsi="Calibri"/>
          <w:rtl/>
        </w:rPr>
        <w:t xml:space="preserve">' </w:t>
      </w:r>
      <w:r w:rsidRPr="0043766F">
        <w:rPr>
          <w:rFonts w:ascii="Calibri" w:hAnsi="Calibri" w:hint="eastAsia"/>
          <w:rtl/>
        </w:rPr>
        <w:t>ארבל</w:t>
      </w:r>
      <w:r w:rsidRPr="0043766F">
        <w:rPr>
          <w:rFonts w:ascii="Calibri" w:hAnsi="Calibri"/>
          <w:rtl/>
        </w:rPr>
        <w:t xml:space="preserve">; </w:t>
      </w:r>
      <w:hyperlink r:id="rId36" w:history="1">
        <w:r w:rsidR="005C475C" w:rsidRPr="005C475C">
          <w:rPr>
            <w:rFonts w:ascii="Calibri" w:hAnsi="Calibri" w:hint="eastAsia"/>
            <w:color w:val="0000FF"/>
            <w:u w:val="single"/>
            <w:rtl/>
          </w:rPr>
          <w:t>רע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2718/04</w:t>
        </w:r>
      </w:hyperlink>
      <w:r w:rsidRPr="0043766F">
        <w:rPr>
          <w:rFonts w:ascii="Calibri" w:hAnsi="Calibri"/>
          <w:rtl/>
        </w:rPr>
        <w:t xml:space="preserve"> </w:t>
      </w:r>
      <w:r w:rsidRPr="0043766F">
        <w:rPr>
          <w:rFonts w:ascii="Calibri" w:hAnsi="Calibri" w:hint="eastAsia"/>
          <w:b/>
          <w:bCs/>
          <w:rtl/>
        </w:rPr>
        <w:t>דחאל</w:t>
      </w:r>
      <w:r w:rsidRPr="0043766F">
        <w:rPr>
          <w:rFonts w:ascii="Calibri" w:hAnsi="Calibri"/>
          <w:b/>
          <w:bCs/>
          <w:rtl/>
        </w:rPr>
        <w:t xml:space="preserve"> </w:t>
      </w:r>
      <w:r w:rsidRPr="0043766F">
        <w:rPr>
          <w:rFonts w:ascii="Calibri" w:hAnsi="Calibri" w:hint="eastAsia"/>
          <w:b/>
          <w:bCs/>
          <w:rtl/>
        </w:rPr>
        <w:t>נ</w:t>
      </w:r>
      <w:r w:rsidRPr="0043766F">
        <w:rPr>
          <w:rFonts w:ascii="Calibri" w:hAnsi="Calibri"/>
          <w:b/>
          <w:bCs/>
          <w:rtl/>
        </w:rPr>
        <w:t xml:space="preserve">' </w:t>
      </w:r>
      <w:r w:rsidRPr="0043766F">
        <w:rPr>
          <w:rFonts w:ascii="Calibri" w:hAnsi="Calibri" w:hint="eastAsia"/>
          <w:b/>
          <w:bCs/>
          <w:rtl/>
        </w:rPr>
        <w:t>מ</w:t>
      </w:r>
      <w:r w:rsidRPr="0043766F">
        <w:rPr>
          <w:rFonts w:ascii="Calibri" w:hAnsi="Calibri"/>
          <w:b/>
          <w:bCs/>
          <w:rtl/>
        </w:rPr>
        <w:t>"</w:t>
      </w:r>
      <w:r w:rsidRPr="0043766F">
        <w:rPr>
          <w:rFonts w:ascii="Calibri" w:hAnsi="Calibri" w:hint="eastAsia"/>
          <w:b/>
          <w:bCs/>
          <w:rtl/>
        </w:rPr>
        <w:t>י</w:t>
      </w:r>
      <w:r w:rsidRPr="0043766F">
        <w:rPr>
          <w:rFonts w:ascii="Calibri" w:hAnsi="Calibri"/>
          <w:rtl/>
        </w:rPr>
        <w:t xml:space="preserve"> (29/3/04), </w:t>
      </w:r>
      <w:r w:rsidRPr="0043766F">
        <w:rPr>
          <w:rFonts w:ascii="Calibri" w:hAnsi="Calibri" w:hint="eastAsia"/>
          <w:rtl/>
        </w:rPr>
        <w:t>מפי</w:t>
      </w:r>
      <w:r w:rsidRPr="0043766F">
        <w:rPr>
          <w:rFonts w:ascii="Calibri" w:hAnsi="Calibri"/>
          <w:rtl/>
        </w:rPr>
        <w:t xml:space="preserve"> </w:t>
      </w:r>
      <w:r w:rsidRPr="0043766F">
        <w:rPr>
          <w:rFonts w:ascii="Calibri" w:hAnsi="Calibri" w:hint="eastAsia"/>
          <w:rtl/>
        </w:rPr>
        <w:t>כב</w:t>
      </w:r>
      <w:r w:rsidRPr="0043766F">
        <w:rPr>
          <w:rFonts w:ascii="Calibri" w:hAnsi="Calibri"/>
          <w:rtl/>
        </w:rPr>
        <w:t xml:space="preserve">' </w:t>
      </w:r>
      <w:r w:rsidRPr="0043766F">
        <w:rPr>
          <w:rFonts w:ascii="Calibri" w:hAnsi="Calibri" w:hint="eastAsia"/>
          <w:rtl/>
        </w:rPr>
        <w:t>הש</w:t>
      </w:r>
      <w:r w:rsidRPr="0043766F">
        <w:rPr>
          <w:rFonts w:ascii="Calibri" w:hAnsi="Calibri"/>
          <w:rtl/>
        </w:rPr>
        <w:t xml:space="preserve">' </w:t>
      </w:r>
      <w:r w:rsidRPr="0043766F">
        <w:rPr>
          <w:rFonts w:ascii="Calibri" w:hAnsi="Calibri" w:hint="eastAsia"/>
          <w:rtl/>
        </w:rPr>
        <w:t>ג</w:t>
      </w:r>
      <w:r w:rsidRPr="0043766F">
        <w:rPr>
          <w:rFonts w:ascii="Calibri" w:hAnsi="Calibri"/>
          <w:rtl/>
        </w:rPr>
        <w:t>'</w:t>
      </w:r>
      <w:r w:rsidRPr="0043766F">
        <w:rPr>
          <w:rFonts w:ascii="Calibri" w:hAnsi="Calibri" w:hint="eastAsia"/>
          <w:rtl/>
        </w:rPr>
        <w:t>ובראן</w:t>
      </w:r>
      <w:r w:rsidRPr="0043766F">
        <w:rPr>
          <w:rFonts w:ascii="Calibri" w:hAnsi="Calibri"/>
          <w:rtl/>
        </w:rPr>
        <w:t xml:space="preserve">). </w:t>
      </w:r>
    </w:p>
    <w:p w14:paraId="0B5CFDD2" w14:textId="77777777" w:rsidR="00014E3D" w:rsidRPr="00724E2B" w:rsidRDefault="00014E3D" w:rsidP="00014E3D">
      <w:pPr>
        <w:spacing w:line="360" w:lineRule="auto"/>
        <w:ind w:left="720"/>
        <w:jc w:val="both"/>
        <w:rPr>
          <w:rFonts w:cs="Miriam"/>
          <w:sz w:val="8"/>
          <w:szCs w:val="8"/>
          <w:rtl/>
        </w:rPr>
      </w:pPr>
    </w:p>
    <w:p w14:paraId="0982075B" w14:textId="77777777" w:rsidR="00014E3D" w:rsidRPr="00724E2B" w:rsidRDefault="00014E3D" w:rsidP="00014E3D">
      <w:pPr>
        <w:spacing w:line="360" w:lineRule="auto"/>
        <w:ind w:left="1440"/>
        <w:jc w:val="both"/>
        <w:rPr>
          <w:rtl/>
        </w:rPr>
      </w:pPr>
      <w:r w:rsidRPr="00724E2B">
        <w:rPr>
          <w:rFonts w:cs="Miriam"/>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r w:rsidRPr="00724E2B">
        <w:rPr>
          <w:rtl/>
        </w:rPr>
        <w:t xml:space="preserve"> (</w:t>
      </w:r>
      <w:hyperlink r:id="rId37" w:history="1">
        <w:r w:rsidR="005C475C" w:rsidRPr="005C475C">
          <w:rPr>
            <w:color w:val="0000FF"/>
            <w:u w:val="single"/>
            <w:rtl/>
          </w:rPr>
          <w:t>ע"פ 1323/13</w:t>
        </w:r>
      </w:hyperlink>
      <w:r w:rsidRPr="00724E2B">
        <w:rPr>
          <w:rtl/>
        </w:rPr>
        <w:t xml:space="preserve"> </w:t>
      </w:r>
      <w:r w:rsidRPr="00724E2B">
        <w:rPr>
          <w:b/>
          <w:bCs/>
          <w:rtl/>
        </w:rPr>
        <w:t>רך חסן נ' מ"י</w:t>
      </w:r>
      <w:r w:rsidRPr="00724E2B">
        <w:rPr>
          <w:rtl/>
        </w:rPr>
        <w:t xml:space="preserve"> (5/6/13), מפי כב' הש' ארבל; ראו גם </w:t>
      </w:r>
      <w:hyperlink r:id="rId38" w:history="1">
        <w:r w:rsidR="005C475C" w:rsidRPr="005C475C">
          <w:rPr>
            <w:color w:val="0000FF"/>
            <w:u w:val="single"/>
            <w:rtl/>
          </w:rPr>
          <w:t>ע"פ 8416/09</w:t>
        </w:r>
      </w:hyperlink>
      <w:r w:rsidRPr="00724E2B">
        <w:rPr>
          <w:rtl/>
        </w:rPr>
        <w:t xml:space="preserve"> </w:t>
      </w:r>
      <w:r w:rsidRPr="00724E2B">
        <w:rPr>
          <w:b/>
          <w:bCs/>
          <w:rtl/>
        </w:rPr>
        <w:t>מ"י נ' חרבוש ואח'</w:t>
      </w:r>
      <w:r w:rsidRPr="00724E2B">
        <w:rPr>
          <w:rtl/>
        </w:rPr>
        <w:t xml:space="preserve"> (9/6/10),</w:t>
      </w:r>
      <w:r w:rsidRPr="00724E2B">
        <w:rPr>
          <w:b/>
          <w:bCs/>
          <w:rtl/>
        </w:rPr>
        <w:t xml:space="preserve"> </w:t>
      </w:r>
      <w:r w:rsidRPr="00724E2B">
        <w:rPr>
          <w:rtl/>
        </w:rPr>
        <w:t>מפי כב' הש' פוגלמן).</w:t>
      </w:r>
    </w:p>
    <w:p w14:paraId="5C60EC06" w14:textId="77777777" w:rsidR="00014E3D" w:rsidRPr="005C2BAB" w:rsidRDefault="00014E3D" w:rsidP="00014E3D">
      <w:pPr>
        <w:spacing w:line="360" w:lineRule="auto"/>
        <w:ind w:left="1440"/>
        <w:jc w:val="both"/>
        <w:rPr>
          <w:sz w:val="18"/>
          <w:szCs w:val="18"/>
          <w:rtl/>
        </w:rPr>
      </w:pPr>
    </w:p>
    <w:p w14:paraId="0D4B8457" w14:textId="77777777" w:rsidR="00014E3D" w:rsidRDefault="00014E3D" w:rsidP="00014E3D">
      <w:pPr>
        <w:spacing w:after="160" w:line="360" w:lineRule="auto"/>
        <w:ind w:left="720"/>
        <w:jc w:val="both"/>
        <w:rPr>
          <w:rtl/>
        </w:rPr>
      </w:pPr>
      <w:r w:rsidRPr="00724E2B">
        <w:rPr>
          <w:rtl/>
        </w:rPr>
        <w:t>לסיכום, הכלל הוא כי יש להחמיר בעונשם של מי שסחר בנשק, ולהטיל על העבריינים עונשי מאסר ממושכים.</w:t>
      </w:r>
    </w:p>
    <w:p w14:paraId="2520AF23" w14:textId="77777777" w:rsidR="00014E3D" w:rsidRPr="00740490" w:rsidRDefault="00014E3D" w:rsidP="00014E3D">
      <w:pPr>
        <w:spacing w:after="160" w:line="360" w:lineRule="auto"/>
        <w:ind w:left="720"/>
        <w:jc w:val="both"/>
        <w:rPr>
          <w:sz w:val="2"/>
          <w:szCs w:val="2"/>
          <w:rtl/>
        </w:rPr>
      </w:pPr>
    </w:p>
    <w:p w14:paraId="71EB87A9" w14:textId="77777777" w:rsidR="00014E3D" w:rsidRPr="00724E2B" w:rsidRDefault="00014E3D" w:rsidP="00014E3D">
      <w:pPr>
        <w:spacing w:line="360" w:lineRule="auto"/>
        <w:ind w:left="720" w:hanging="720"/>
        <w:jc w:val="both"/>
        <w:rPr>
          <w:rtl/>
        </w:rPr>
      </w:pPr>
      <w:r w:rsidRPr="00724E2B">
        <w:rPr>
          <w:b/>
          <w:bCs/>
          <w:rtl/>
        </w:rPr>
        <w:t>8.</w:t>
      </w:r>
      <w:r w:rsidRPr="00724E2B">
        <w:rPr>
          <w:rtl/>
        </w:rPr>
        <w:tab/>
        <w:t>הערכים החברתיים שנפגעו כתוצאה מהעבירות שביצע הנאשם הם שלומו ובטחונו של הציבור,  פגיעה בסדר הציבורי ובשלטון החוק, ערכים שהמחוקק ראה להגן עליהם מכל משמר.</w:t>
      </w:r>
    </w:p>
    <w:p w14:paraId="73C05634" w14:textId="77777777" w:rsidR="00014E3D" w:rsidRPr="00740490" w:rsidRDefault="00014E3D" w:rsidP="00014E3D">
      <w:pPr>
        <w:spacing w:line="360" w:lineRule="auto"/>
        <w:ind w:left="720" w:hanging="720"/>
        <w:jc w:val="both"/>
        <w:rPr>
          <w:sz w:val="22"/>
          <w:szCs w:val="22"/>
          <w:rtl/>
        </w:rPr>
      </w:pPr>
      <w:r w:rsidRPr="00724E2B">
        <w:rPr>
          <w:rtl/>
        </w:rPr>
        <w:tab/>
      </w:r>
    </w:p>
    <w:p w14:paraId="34B7F3D0" w14:textId="77777777" w:rsidR="00014E3D" w:rsidRPr="00724E2B" w:rsidRDefault="00014E3D" w:rsidP="00014E3D">
      <w:pPr>
        <w:spacing w:line="360" w:lineRule="auto"/>
        <w:ind w:left="720" w:hanging="720"/>
        <w:jc w:val="both"/>
        <w:rPr>
          <w:highlight w:val="yellow"/>
          <w:rtl/>
        </w:rPr>
      </w:pPr>
      <w:r w:rsidRPr="00724E2B">
        <w:rPr>
          <w:b/>
          <w:bCs/>
          <w:rtl/>
        </w:rPr>
        <w:t>9.</w:t>
      </w:r>
      <w:r w:rsidRPr="00724E2B">
        <w:rPr>
          <w:rtl/>
        </w:rPr>
        <w:tab/>
        <w:t>לענין מתחם העונש ההולם, בעניינו של ג'יריס נקבע כי בהתחשב בערכים החברתיים שנפגעו מביצוע העבירה, במידת הפגיעה בהם, במדיניות הענישה הנהוגה ובנסיבות הקשורות בביצוע העבירה, נע בטווח בין שנתיים לארבע שנות מאסר בפועל, ומעשיו של הנאשם פחותים בחומרתם מאלו שביצע ג'יריס.</w:t>
      </w:r>
    </w:p>
    <w:p w14:paraId="10115433" w14:textId="77777777" w:rsidR="00014E3D" w:rsidRPr="0043766F" w:rsidRDefault="00014E3D" w:rsidP="00014E3D">
      <w:pPr>
        <w:spacing w:after="160" w:line="360" w:lineRule="auto"/>
        <w:ind w:left="720"/>
        <w:jc w:val="both"/>
        <w:rPr>
          <w:rFonts w:ascii="Calibri" w:hAnsi="Calibri" w:cs="Times New Roman"/>
          <w:sz w:val="2"/>
          <w:szCs w:val="2"/>
          <w:highlight w:val="yellow"/>
          <w:rtl/>
        </w:rPr>
      </w:pPr>
    </w:p>
    <w:p w14:paraId="03D7CFA5" w14:textId="77777777" w:rsidR="00014E3D" w:rsidRPr="0043766F" w:rsidRDefault="00014E3D" w:rsidP="00014E3D">
      <w:pPr>
        <w:spacing w:after="160" w:line="360" w:lineRule="auto"/>
        <w:ind w:left="720"/>
        <w:jc w:val="both"/>
        <w:rPr>
          <w:rFonts w:ascii="Calibri" w:hAnsi="Calibri" w:cs="Arial"/>
          <w:sz w:val="2"/>
          <w:szCs w:val="2"/>
          <w:rtl/>
        </w:rPr>
      </w:pPr>
    </w:p>
    <w:p w14:paraId="09459961" w14:textId="77777777" w:rsidR="00014E3D" w:rsidRDefault="00014E3D" w:rsidP="00014E3D">
      <w:pPr>
        <w:spacing w:line="360" w:lineRule="auto"/>
        <w:ind w:left="720" w:hanging="720"/>
        <w:jc w:val="both"/>
        <w:rPr>
          <w:rtl/>
        </w:rPr>
      </w:pPr>
      <w:r w:rsidRPr="0043766F">
        <w:rPr>
          <w:rFonts w:ascii="Calibri" w:hAnsi="Calibri"/>
          <w:b/>
          <w:bCs/>
          <w:rtl/>
        </w:rPr>
        <w:t>10.</w:t>
      </w:r>
      <w:r w:rsidRPr="0043766F">
        <w:rPr>
          <w:rFonts w:ascii="Calibri" w:hAnsi="Calibri" w:cs="Arial"/>
          <w:sz w:val="22"/>
          <w:szCs w:val="22"/>
          <w:rtl/>
        </w:rPr>
        <w:tab/>
      </w:r>
      <w:r w:rsidRPr="00724E2B">
        <w:rPr>
          <w:rtl/>
        </w:rPr>
        <w:t xml:space="preserve">לצד האמור, הענישה היא לעולם אינדיבידואלית, ובית המשפט מצווה לשקול, בנוסף לחומרת העבירות, גם שיקולים הנוגעים לכל </w:t>
      </w:r>
      <w:r>
        <w:rPr>
          <w:rFonts w:hint="cs"/>
          <w:rtl/>
        </w:rPr>
        <w:t>נאשם</w:t>
      </w:r>
      <w:r w:rsidRPr="00724E2B">
        <w:rPr>
          <w:rtl/>
        </w:rPr>
        <w:t>, עברו, נסיבותיו האישיות, לקיחת אחריות על ידו, חרטתו, וכן שיקולי שיקום וחינוך</w:t>
      </w:r>
      <w:r w:rsidRPr="0043766F">
        <w:rPr>
          <w:rFonts w:ascii="Calibri" w:hAnsi="Calibri"/>
          <w:rtl/>
        </w:rPr>
        <w:t>. (</w:t>
      </w:r>
      <w:hyperlink r:id="rId39"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5106/99 </w:t>
        </w:r>
        <w:r w:rsidR="005C475C" w:rsidRPr="005C475C">
          <w:rPr>
            <w:rFonts w:ascii="Calibri" w:hAnsi="Calibri" w:hint="eastAsia"/>
            <w:color w:val="0000FF"/>
            <w:u w:val="single"/>
            <w:rtl/>
          </w:rPr>
          <w:t>אבו</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נג</w:t>
        </w:r>
        <w:r w:rsidR="005C475C" w:rsidRPr="005C475C">
          <w:rPr>
            <w:rFonts w:ascii="Calibri" w:hAnsi="Calibri"/>
            <w:color w:val="0000FF"/>
            <w:u w:val="single"/>
            <w:rtl/>
          </w:rPr>
          <w:t>'</w:t>
        </w:r>
        <w:r w:rsidR="005C475C" w:rsidRPr="005C475C">
          <w:rPr>
            <w:rFonts w:ascii="Calibri" w:hAnsi="Calibri" w:hint="eastAsia"/>
            <w:color w:val="0000FF"/>
            <w:u w:val="single"/>
            <w:rtl/>
          </w:rPr>
          <w:t>ימה</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נ</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מ</w:t>
        </w:r>
        <w:r w:rsidR="005C475C" w:rsidRPr="005C475C">
          <w:rPr>
            <w:rFonts w:ascii="Calibri" w:hAnsi="Calibri"/>
            <w:color w:val="0000FF"/>
            <w:u w:val="single"/>
            <w:rtl/>
          </w:rPr>
          <w:t>"</w:t>
        </w:r>
        <w:r w:rsidR="005C475C" w:rsidRPr="005C475C">
          <w:rPr>
            <w:rFonts w:ascii="Calibri" w:hAnsi="Calibri" w:hint="eastAsia"/>
            <w:color w:val="0000FF"/>
            <w:u w:val="single"/>
            <w:rtl/>
          </w:rPr>
          <w:t>י</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פ</w:t>
        </w:r>
        <w:r w:rsidR="005C475C" w:rsidRPr="005C475C">
          <w:rPr>
            <w:rFonts w:ascii="Calibri" w:hAnsi="Calibri"/>
            <w:color w:val="0000FF"/>
            <w:u w:val="single"/>
            <w:rtl/>
          </w:rPr>
          <w:t>"</w:t>
        </w:r>
        <w:r w:rsidR="005C475C" w:rsidRPr="005C475C">
          <w:rPr>
            <w:rFonts w:ascii="Calibri" w:hAnsi="Calibri" w:hint="eastAsia"/>
            <w:color w:val="0000FF"/>
            <w:u w:val="single"/>
            <w:rtl/>
          </w:rPr>
          <w:t>ד</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נד</w:t>
        </w:r>
      </w:hyperlink>
      <w:r w:rsidRPr="0043766F">
        <w:rPr>
          <w:rFonts w:ascii="Calibri" w:hAnsi="Calibri"/>
          <w:rtl/>
        </w:rPr>
        <w:t xml:space="preserve">(1) 350, 354; </w:t>
      </w:r>
      <w:r w:rsidRPr="005C475C">
        <w:rPr>
          <w:rFonts w:ascii="Calibri" w:hAnsi="Calibri" w:hint="eastAsia"/>
          <w:color w:val="000000"/>
          <w:rtl/>
        </w:rPr>
        <w:t>ע</w:t>
      </w:r>
      <w:r w:rsidRPr="005C475C">
        <w:rPr>
          <w:rFonts w:ascii="Calibri" w:hAnsi="Calibri"/>
          <w:color w:val="000000"/>
          <w:rtl/>
        </w:rPr>
        <w:t>"</w:t>
      </w:r>
      <w:hyperlink r:id="rId40" w:history="1">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4980/01 </w:t>
        </w:r>
        <w:r w:rsidR="005C475C" w:rsidRPr="005C475C">
          <w:rPr>
            <w:rFonts w:ascii="Calibri" w:hAnsi="Calibri" w:hint="eastAsia"/>
            <w:color w:val="0000FF"/>
            <w:u w:val="single"/>
            <w:rtl/>
          </w:rPr>
          <w:t>מ</w:t>
        </w:r>
        <w:r w:rsidR="005C475C" w:rsidRPr="005C475C">
          <w:rPr>
            <w:rFonts w:ascii="Calibri" w:hAnsi="Calibri"/>
            <w:color w:val="0000FF"/>
            <w:u w:val="single"/>
            <w:rtl/>
          </w:rPr>
          <w:t>"</w:t>
        </w:r>
        <w:r w:rsidR="005C475C" w:rsidRPr="005C475C">
          <w:rPr>
            <w:rFonts w:ascii="Calibri" w:hAnsi="Calibri" w:hint="eastAsia"/>
            <w:color w:val="0000FF"/>
            <w:u w:val="single"/>
            <w:rtl/>
          </w:rPr>
          <w:t>י</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נ</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פלוני</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ואח</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פ</w:t>
        </w:r>
        <w:r w:rsidR="005C475C" w:rsidRPr="005C475C">
          <w:rPr>
            <w:rFonts w:ascii="Calibri" w:hAnsi="Calibri"/>
            <w:color w:val="0000FF"/>
            <w:u w:val="single"/>
            <w:rtl/>
          </w:rPr>
          <w:t>"</w:t>
        </w:r>
        <w:r w:rsidR="005C475C" w:rsidRPr="005C475C">
          <w:rPr>
            <w:rFonts w:ascii="Calibri" w:hAnsi="Calibri" w:hint="eastAsia"/>
            <w:color w:val="0000FF"/>
            <w:u w:val="single"/>
            <w:rtl/>
          </w:rPr>
          <w:t>ד</w:t>
        </w:r>
        <w:r w:rsidR="005C475C" w:rsidRPr="005C475C">
          <w:rPr>
            <w:rFonts w:ascii="Calibri" w:hAnsi="Calibri"/>
            <w:color w:val="0000FF"/>
            <w:u w:val="single"/>
            <w:rtl/>
          </w:rPr>
          <w:t xml:space="preserve"> </w:t>
        </w:r>
        <w:r w:rsidR="005C475C" w:rsidRPr="005C475C">
          <w:rPr>
            <w:rFonts w:ascii="Calibri" w:hAnsi="Calibri" w:hint="eastAsia"/>
            <w:color w:val="0000FF"/>
            <w:u w:val="single"/>
            <w:rtl/>
          </w:rPr>
          <w:t>נו</w:t>
        </w:r>
      </w:hyperlink>
      <w:r w:rsidRPr="00724E2B">
        <w:rPr>
          <w:rtl/>
        </w:rPr>
        <w:t xml:space="preserve">(1) 594, מפי כב' הש' ביניש (כתוארה אז). </w:t>
      </w:r>
    </w:p>
    <w:p w14:paraId="4E19C6B3" w14:textId="77777777" w:rsidR="00014E3D" w:rsidRPr="00740490" w:rsidRDefault="00014E3D" w:rsidP="00014E3D">
      <w:pPr>
        <w:spacing w:line="360" w:lineRule="auto"/>
        <w:ind w:left="720" w:hanging="720"/>
        <w:jc w:val="both"/>
        <w:rPr>
          <w:sz w:val="20"/>
          <w:szCs w:val="20"/>
          <w:rtl/>
        </w:rPr>
      </w:pPr>
    </w:p>
    <w:p w14:paraId="4DE89E2A" w14:textId="77777777" w:rsidR="00014E3D" w:rsidRPr="00724E2B" w:rsidRDefault="00014E3D" w:rsidP="00014E3D">
      <w:pPr>
        <w:spacing w:line="360" w:lineRule="auto"/>
        <w:ind w:left="720"/>
        <w:jc w:val="both"/>
        <w:rPr>
          <w:rtl/>
        </w:rPr>
      </w:pPr>
      <w:r w:rsidRPr="00724E2B">
        <w:rPr>
          <w:rtl/>
        </w:rPr>
        <w:t xml:space="preserve">על אף שהסנגורית שקלה לבקש דחייה של הטיעון לעונש לצורך קבלת תסקיר של שירות המבחן, טענו הצדדים לעונש על יסוד הנתונים שהיו קיימים בידי ההגנה, לרבות ההמלצות אותן המציא הנאשם, אודות משפחתו ודרך חייו. נסיבותיו האישיות של הנאשם נתחוורו מטיעוני הסנגורית,  ממכתבי ההמלצה ומהמסמכים הרפואיים שהוצגו לבית המשפט, ולא נטענה טענה כנגד תפקודו הנורמטיבי של הנאשם עובר לביצוע העבירות נשוא תיק זה. על כך נאמר: </w:t>
      </w:r>
    </w:p>
    <w:p w14:paraId="700882A1" w14:textId="77777777" w:rsidR="00014E3D" w:rsidRPr="00724E2B" w:rsidRDefault="00014E3D" w:rsidP="00014E3D">
      <w:pPr>
        <w:spacing w:after="160" w:line="259" w:lineRule="auto"/>
        <w:rPr>
          <w:sz w:val="14"/>
          <w:szCs w:val="14"/>
          <w:rtl/>
        </w:rPr>
      </w:pPr>
    </w:p>
    <w:p w14:paraId="11883E5F" w14:textId="77777777" w:rsidR="00014E3D" w:rsidRPr="00724E2B" w:rsidRDefault="00014E3D" w:rsidP="00014E3D">
      <w:pPr>
        <w:spacing w:after="160" w:line="360" w:lineRule="auto"/>
        <w:ind w:left="1440"/>
        <w:jc w:val="both"/>
        <w:rPr>
          <w:rtl/>
        </w:rPr>
      </w:pPr>
      <w:r w:rsidRPr="00724E2B">
        <w:rPr>
          <w:rFonts w:cs="Miriam"/>
          <w:rtl/>
        </w:rPr>
        <w:t>"</w:t>
      </w:r>
      <w:r w:rsidRPr="0043766F">
        <w:rPr>
          <w:rFonts w:ascii="Calibri" w:hAnsi="Calibri" w:cs="Miriam" w:hint="eastAsia"/>
          <w:rtl/>
        </w:rPr>
        <w:t>מקום</w:t>
      </w:r>
      <w:r w:rsidRPr="0043766F">
        <w:rPr>
          <w:rFonts w:ascii="Calibri" w:hAnsi="Calibri" w:cs="Miriam"/>
          <w:rtl/>
        </w:rPr>
        <w:t xml:space="preserve"> </w:t>
      </w:r>
      <w:r w:rsidRPr="0043766F">
        <w:rPr>
          <w:rFonts w:ascii="Calibri" w:hAnsi="Calibri" w:cs="Miriam" w:hint="eastAsia"/>
          <w:rtl/>
        </w:rPr>
        <w:t>בו</w:t>
      </w:r>
      <w:r w:rsidRPr="0043766F">
        <w:rPr>
          <w:rFonts w:ascii="Calibri" w:hAnsi="Calibri" w:cs="Miriam"/>
          <w:rtl/>
        </w:rPr>
        <w:t xml:space="preserve"> </w:t>
      </w:r>
      <w:r w:rsidRPr="0043766F">
        <w:rPr>
          <w:rFonts w:ascii="Calibri" w:hAnsi="Calibri" w:cs="Miriam" w:hint="eastAsia"/>
          <w:rtl/>
        </w:rPr>
        <w:t>גלוי</w:t>
      </w:r>
      <w:r w:rsidRPr="0043766F">
        <w:rPr>
          <w:rFonts w:ascii="Calibri" w:hAnsi="Calibri" w:cs="Miriam"/>
          <w:rtl/>
        </w:rPr>
        <w:t xml:space="preserve"> </w:t>
      </w:r>
      <w:r w:rsidRPr="0043766F">
        <w:rPr>
          <w:rFonts w:ascii="Calibri" w:hAnsi="Calibri" w:cs="Miriam" w:hint="eastAsia"/>
          <w:rtl/>
        </w:rPr>
        <w:t>וידוע</w:t>
      </w:r>
      <w:r w:rsidRPr="0043766F">
        <w:rPr>
          <w:rFonts w:ascii="Calibri" w:hAnsi="Calibri" w:cs="Miriam"/>
          <w:rtl/>
        </w:rPr>
        <w:t xml:space="preserve"> </w:t>
      </w:r>
      <w:r w:rsidRPr="0043766F">
        <w:rPr>
          <w:rFonts w:ascii="Calibri" w:hAnsi="Calibri" w:cs="Miriam" w:hint="eastAsia"/>
          <w:rtl/>
        </w:rPr>
        <w:t>לבית</w:t>
      </w:r>
      <w:r w:rsidRPr="0043766F">
        <w:rPr>
          <w:rFonts w:ascii="Calibri" w:hAnsi="Calibri" w:cs="Miriam"/>
          <w:rtl/>
        </w:rPr>
        <w:t xml:space="preserve"> </w:t>
      </w:r>
      <w:r w:rsidRPr="0043766F">
        <w:rPr>
          <w:rFonts w:ascii="Calibri" w:hAnsi="Calibri" w:cs="Miriam" w:hint="eastAsia"/>
          <w:rtl/>
        </w:rPr>
        <w:t>המשפט</w:t>
      </w:r>
      <w:r w:rsidRPr="0043766F">
        <w:rPr>
          <w:rFonts w:ascii="Calibri" w:hAnsi="Calibri" w:cs="Miriam"/>
          <w:rtl/>
        </w:rPr>
        <w:t xml:space="preserve"> </w:t>
      </w:r>
      <w:r w:rsidRPr="0043766F">
        <w:rPr>
          <w:rFonts w:ascii="Calibri" w:hAnsi="Calibri" w:cs="Miriam" w:hint="eastAsia"/>
          <w:rtl/>
        </w:rPr>
        <w:t>כי</w:t>
      </w:r>
      <w:r w:rsidRPr="0043766F">
        <w:rPr>
          <w:rFonts w:ascii="Calibri" w:hAnsi="Calibri" w:cs="Miriam"/>
          <w:rtl/>
        </w:rPr>
        <w:t xml:space="preserve"> </w:t>
      </w:r>
      <w:r w:rsidRPr="0043766F">
        <w:rPr>
          <w:rFonts w:ascii="Calibri" w:hAnsi="Calibri" w:cs="Miriam" w:hint="eastAsia"/>
          <w:rtl/>
        </w:rPr>
        <w:t>משקל</w:t>
      </w:r>
      <w:r w:rsidRPr="0043766F">
        <w:rPr>
          <w:rFonts w:ascii="Calibri" w:hAnsi="Calibri" w:cs="Miriam"/>
          <w:rtl/>
        </w:rPr>
        <w:t xml:space="preserve"> </w:t>
      </w:r>
      <w:r w:rsidRPr="0043766F">
        <w:rPr>
          <w:rFonts w:ascii="Calibri" w:hAnsi="Calibri" w:cs="Miriam" w:hint="eastAsia"/>
          <w:rtl/>
        </w:rPr>
        <w:t>השיקום</w:t>
      </w:r>
      <w:r w:rsidRPr="0043766F">
        <w:rPr>
          <w:rFonts w:ascii="Calibri" w:hAnsi="Calibri" w:cs="Miriam"/>
          <w:rtl/>
        </w:rPr>
        <w:t xml:space="preserve"> </w:t>
      </w:r>
      <w:r w:rsidRPr="0043766F">
        <w:rPr>
          <w:rFonts w:ascii="Calibri" w:hAnsi="Calibri" w:cs="Miriam" w:hint="eastAsia"/>
          <w:rtl/>
        </w:rPr>
        <w:t>בגזירת</w:t>
      </w:r>
      <w:r w:rsidRPr="0043766F">
        <w:rPr>
          <w:rFonts w:ascii="Calibri" w:hAnsi="Calibri" w:cs="Miriam"/>
          <w:rtl/>
        </w:rPr>
        <w:t xml:space="preserve"> </w:t>
      </w:r>
      <w:r w:rsidRPr="0043766F">
        <w:rPr>
          <w:rFonts w:ascii="Calibri" w:hAnsi="Calibri" w:cs="Miriam" w:hint="eastAsia"/>
          <w:rtl/>
        </w:rPr>
        <w:t>הדין</w:t>
      </w:r>
      <w:r w:rsidRPr="0043766F">
        <w:rPr>
          <w:rFonts w:ascii="Calibri" w:hAnsi="Calibri" w:cs="Miriam"/>
          <w:rtl/>
        </w:rPr>
        <w:t xml:space="preserve"> </w:t>
      </w:r>
      <w:r w:rsidRPr="0043766F">
        <w:rPr>
          <w:rFonts w:ascii="Calibri" w:hAnsi="Calibri" w:cs="Miriam" w:hint="eastAsia"/>
          <w:rtl/>
        </w:rPr>
        <w:t>יהיה</w:t>
      </w:r>
      <w:r w:rsidRPr="0043766F">
        <w:rPr>
          <w:rFonts w:ascii="Calibri" w:hAnsi="Calibri" w:cs="Miriam"/>
          <w:rtl/>
        </w:rPr>
        <w:t xml:space="preserve"> </w:t>
      </w:r>
      <w:r w:rsidRPr="0043766F">
        <w:rPr>
          <w:rFonts w:ascii="Calibri" w:hAnsi="Calibri" w:cs="Miriam" w:hint="eastAsia"/>
          <w:rtl/>
        </w:rPr>
        <w:t>קטן</w:t>
      </w:r>
      <w:r w:rsidRPr="0043766F">
        <w:rPr>
          <w:rFonts w:ascii="Calibri" w:hAnsi="Calibri" w:cs="Miriam"/>
          <w:rtl/>
        </w:rPr>
        <w:t xml:space="preserve"> </w:t>
      </w:r>
      <w:r w:rsidRPr="0043766F">
        <w:rPr>
          <w:rFonts w:ascii="Calibri" w:hAnsi="Calibri" w:cs="Miriam" w:hint="eastAsia"/>
          <w:rtl/>
        </w:rPr>
        <w:t>עד</w:t>
      </w:r>
      <w:r w:rsidRPr="0043766F">
        <w:rPr>
          <w:rFonts w:ascii="Calibri" w:hAnsi="Calibri" w:cs="Miriam"/>
          <w:rtl/>
        </w:rPr>
        <w:t xml:space="preserve"> </w:t>
      </w:r>
      <w:r w:rsidRPr="0043766F">
        <w:rPr>
          <w:rFonts w:ascii="Calibri" w:hAnsi="Calibri" w:cs="Miriam" w:hint="eastAsia"/>
          <w:rtl/>
        </w:rPr>
        <w:t>אפסי</w:t>
      </w:r>
      <w:r w:rsidRPr="0043766F">
        <w:rPr>
          <w:rFonts w:ascii="Calibri" w:hAnsi="Calibri" w:cs="Miriam"/>
          <w:rtl/>
        </w:rPr>
        <w:t xml:space="preserve">, </w:t>
      </w:r>
      <w:r w:rsidRPr="0043766F">
        <w:rPr>
          <w:rFonts w:ascii="Calibri" w:hAnsi="Calibri" w:cs="Miriam" w:hint="eastAsia"/>
          <w:rtl/>
        </w:rPr>
        <w:t>ספק</w:t>
      </w:r>
      <w:r w:rsidRPr="0043766F">
        <w:rPr>
          <w:rFonts w:ascii="Calibri" w:hAnsi="Calibri" w:cs="Miriam"/>
          <w:rtl/>
        </w:rPr>
        <w:t xml:space="preserve"> </w:t>
      </w:r>
      <w:r w:rsidRPr="0043766F">
        <w:rPr>
          <w:rFonts w:ascii="Calibri" w:hAnsi="Calibri" w:cs="Miriam" w:hint="eastAsia"/>
          <w:rtl/>
        </w:rPr>
        <w:t>אם</w:t>
      </w:r>
      <w:r w:rsidRPr="0043766F">
        <w:rPr>
          <w:rFonts w:ascii="Calibri" w:hAnsi="Calibri" w:cs="Miriam"/>
          <w:rtl/>
        </w:rPr>
        <w:t xml:space="preserve"> </w:t>
      </w:r>
      <w:r w:rsidRPr="0043766F">
        <w:rPr>
          <w:rFonts w:ascii="Calibri" w:hAnsi="Calibri" w:cs="Miriam" w:hint="eastAsia"/>
          <w:rtl/>
        </w:rPr>
        <w:t>יש</w:t>
      </w:r>
      <w:r w:rsidRPr="0043766F">
        <w:rPr>
          <w:rFonts w:ascii="Calibri" w:hAnsi="Calibri" w:cs="Miriam"/>
          <w:rtl/>
        </w:rPr>
        <w:t xml:space="preserve"> </w:t>
      </w:r>
      <w:r w:rsidRPr="0043766F">
        <w:rPr>
          <w:rFonts w:ascii="Calibri" w:hAnsi="Calibri" w:cs="Miriam" w:hint="eastAsia"/>
          <w:rtl/>
        </w:rPr>
        <w:t>טעם</w:t>
      </w:r>
      <w:r w:rsidRPr="0043766F">
        <w:rPr>
          <w:rFonts w:ascii="Calibri" w:hAnsi="Calibri" w:cs="Miriam"/>
          <w:rtl/>
        </w:rPr>
        <w:t xml:space="preserve"> </w:t>
      </w:r>
      <w:r w:rsidRPr="0043766F">
        <w:rPr>
          <w:rFonts w:ascii="Calibri" w:hAnsi="Calibri" w:cs="Miriam" w:hint="eastAsia"/>
          <w:rtl/>
        </w:rPr>
        <w:t>בקבלת</w:t>
      </w:r>
      <w:r w:rsidRPr="0043766F">
        <w:rPr>
          <w:rFonts w:ascii="Calibri" w:hAnsi="Calibri" w:cs="Miriam"/>
          <w:rtl/>
        </w:rPr>
        <w:t xml:space="preserve"> </w:t>
      </w:r>
      <w:r w:rsidRPr="0043766F">
        <w:rPr>
          <w:rFonts w:ascii="Calibri" w:hAnsi="Calibri" w:cs="Miriam" w:hint="eastAsia"/>
          <w:rtl/>
        </w:rPr>
        <w:t>תסקיר</w:t>
      </w:r>
      <w:r w:rsidRPr="0043766F">
        <w:rPr>
          <w:rFonts w:ascii="Calibri" w:hAnsi="Calibri" w:cs="Miriam"/>
          <w:rtl/>
        </w:rPr>
        <w:t xml:space="preserve">. </w:t>
      </w:r>
      <w:r w:rsidRPr="0043766F">
        <w:rPr>
          <w:rFonts w:ascii="Calibri" w:hAnsi="Calibri" w:cs="Miriam" w:hint="eastAsia"/>
          <w:rtl/>
        </w:rPr>
        <w:t>שירות</w:t>
      </w:r>
      <w:r w:rsidRPr="0043766F">
        <w:rPr>
          <w:rFonts w:ascii="Calibri" w:hAnsi="Calibri" w:cs="Miriam"/>
          <w:rtl/>
        </w:rPr>
        <w:t xml:space="preserve"> </w:t>
      </w:r>
      <w:r w:rsidRPr="0043766F">
        <w:rPr>
          <w:rFonts w:ascii="Calibri" w:hAnsi="Calibri" w:cs="Miriam" w:hint="eastAsia"/>
          <w:rtl/>
        </w:rPr>
        <w:t>המבחן</w:t>
      </w:r>
      <w:r w:rsidRPr="0043766F">
        <w:rPr>
          <w:rFonts w:ascii="Calibri" w:hAnsi="Calibri" w:cs="Miriam"/>
          <w:rtl/>
        </w:rPr>
        <w:t xml:space="preserve"> </w:t>
      </w:r>
      <w:r w:rsidRPr="0043766F">
        <w:rPr>
          <w:rFonts w:ascii="Calibri" w:hAnsi="Calibri" w:cs="Miriam" w:hint="eastAsia"/>
          <w:rtl/>
        </w:rPr>
        <w:t>פורס</w:t>
      </w:r>
      <w:r w:rsidRPr="0043766F">
        <w:rPr>
          <w:rFonts w:ascii="Calibri" w:hAnsi="Calibri" w:cs="Miriam"/>
          <w:rtl/>
        </w:rPr>
        <w:t xml:space="preserve"> </w:t>
      </w:r>
      <w:r w:rsidRPr="0043766F">
        <w:rPr>
          <w:rFonts w:ascii="Calibri" w:hAnsi="Calibri" w:cs="Miriam" w:hint="eastAsia"/>
          <w:rtl/>
        </w:rPr>
        <w:t>בפני</w:t>
      </w:r>
      <w:r w:rsidRPr="0043766F">
        <w:rPr>
          <w:rFonts w:ascii="Calibri" w:hAnsi="Calibri" w:cs="Miriam"/>
          <w:rtl/>
        </w:rPr>
        <w:t xml:space="preserve"> </w:t>
      </w:r>
      <w:r w:rsidRPr="0043766F">
        <w:rPr>
          <w:rFonts w:ascii="Calibri" w:hAnsi="Calibri" w:cs="Miriam" w:hint="eastAsia"/>
          <w:rtl/>
        </w:rPr>
        <w:t>בית</w:t>
      </w:r>
      <w:r w:rsidRPr="0043766F">
        <w:rPr>
          <w:rFonts w:ascii="Calibri" w:hAnsi="Calibri" w:cs="Miriam"/>
          <w:rtl/>
        </w:rPr>
        <w:t xml:space="preserve"> </w:t>
      </w:r>
      <w:r w:rsidRPr="0043766F">
        <w:rPr>
          <w:rFonts w:ascii="Calibri" w:hAnsi="Calibri" w:cs="Miriam" w:hint="eastAsia"/>
          <w:rtl/>
        </w:rPr>
        <w:t>המשפט</w:t>
      </w:r>
      <w:r w:rsidRPr="0043766F">
        <w:rPr>
          <w:rFonts w:ascii="Calibri" w:hAnsi="Calibri" w:cs="Miriam"/>
          <w:rtl/>
        </w:rPr>
        <w:t xml:space="preserve"> </w:t>
      </w:r>
      <w:r w:rsidRPr="0043766F">
        <w:rPr>
          <w:rFonts w:ascii="Calibri" w:hAnsi="Calibri" w:cs="Miriam" w:hint="eastAsia"/>
          <w:rtl/>
        </w:rPr>
        <w:t>רקע</w:t>
      </w:r>
      <w:r w:rsidRPr="0043766F">
        <w:rPr>
          <w:rFonts w:ascii="Calibri" w:hAnsi="Calibri" w:cs="Miriam"/>
          <w:rtl/>
        </w:rPr>
        <w:t xml:space="preserve"> </w:t>
      </w:r>
      <w:r w:rsidRPr="0043766F">
        <w:rPr>
          <w:rFonts w:ascii="Calibri" w:hAnsi="Calibri" w:cs="Miriam" w:hint="eastAsia"/>
          <w:rtl/>
        </w:rPr>
        <w:t>כללי</w:t>
      </w:r>
      <w:r w:rsidRPr="0043766F">
        <w:rPr>
          <w:rFonts w:ascii="Calibri" w:hAnsi="Calibri" w:cs="Miriam"/>
          <w:rtl/>
        </w:rPr>
        <w:t xml:space="preserve"> </w:t>
      </w:r>
      <w:r w:rsidRPr="0043766F">
        <w:rPr>
          <w:rFonts w:ascii="Calibri" w:hAnsi="Calibri" w:cs="Miriam" w:hint="eastAsia"/>
          <w:rtl/>
        </w:rPr>
        <w:t>ומשפחתי</w:t>
      </w:r>
      <w:r w:rsidRPr="0043766F">
        <w:rPr>
          <w:rFonts w:ascii="Calibri" w:hAnsi="Calibri" w:cs="Miriam"/>
          <w:rtl/>
        </w:rPr>
        <w:t xml:space="preserve"> </w:t>
      </w:r>
      <w:r w:rsidRPr="0043766F">
        <w:rPr>
          <w:rFonts w:ascii="Calibri" w:hAnsi="Calibri" w:cs="Miriam" w:hint="eastAsia"/>
          <w:rtl/>
        </w:rPr>
        <w:t>אודות</w:t>
      </w:r>
      <w:r w:rsidRPr="0043766F">
        <w:rPr>
          <w:rFonts w:ascii="Calibri" w:hAnsi="Calibri" w:cs="Miriam"/>
          <w:rtl/>
        </w:rPr>
        <w:t xml:space="preserve"> </w:t>
      </w:r>
      <w:r w:rsidRPr="0043766F">
        <w:rPr>
          <w:rFonts w:ascii="Calibri" w:hAnsi="Calibri" w:cs="Miriam" w:hint="eastAsia"/>
          <w:rtl/>
        </w:rPr>
        <w:t>הנאשם</w:t>
      </w:r>
      <w:r w:rsidRPr="0043766F">
        <w:rPr>
          <w:rFonts w:ascii="Calibri" w:hAnsi="Calibri" w:cs="Miriam"/>
          <w:rtl/>
        </w:rPr>
        <w:t xml:space="preserve">, </w:t>
      </w:r>
      <w:r w:rsidRPr="0043766F">
        <w:rPr>
          <w:rFonts w:ascii="Calibri" w:hAnsi="Calibri" w:cs="Miriam" w:hint="eastAsia"/>
          <w:rtl/>
        </w:rPr>
        <w:t>אך</w:t>
      </w:r>
      <w:r w:rsidRPr="0043766F">
        <w:rPr>
          <w:rFonts w:ascii="Calibri" w:hAnsi="Calibri" w:cs="Miriam"/>
          <w:rtl/>
        </w:rPr>
        <w:t xml:space="preserve"> </w:t>
      </w:r>
      <w:r w:rsidRPr="0043766F">
        <w:rPr>
          <w:rFonts w:ascii="Calibri" w:hAnsi="Calibri" w:cs="Miriam" w:hint="eastAsia"/>
          <w:rtl/>
        </w:rPr>
        <w:t>זאת</w:t>
      </w:r>
      <w:r w:rsidRPr="0043766F">
        <w:rPr>
          <w:rFonts w:ascii="Calibri" w:hAnsi="Calibri" w:cs="Miriam"/>
          <w:rtl/>
        </w:rPr>
        <w:t xml:space="preserve"> </w:t>
      </w:r>
      <w:r w:rsidRPr="0043766F">
        <w:rPr>
          <w:rFonts w:ascii="Calibri" w:hAnsi="Calibri" w:cs="Miriam" w:hint="eastAsia"/>
          <w:rtl/>
        </w:rPr>
        <w:t>רשאי</w:t>
      </w:r>
      <w:r w:rsidRPr="0043766F">
        <w:rPr>
          <w:rFonts w:ascii="Calibri" w:hAnsi="Calibri" w:cs="Miriam"/>
          <w:rtl/>
        </w:rPr>
        <w:t xml:space="preserve"> </w:t>
      </w:r>
      <w:r w:rsidRPr="0043766F">
        <w:rPr>
          <w:rFonts w:ascii="Calibri" w:hAnsi="Calibri" w:cs="Miriam" w:hint="eastAsia"/>
          <w:rtl/>
        </w:rPr>
        <w:t>לעשות</w:t>
      </w:r>
      <w:r w:rsidRPr="0043766F">
        <w:rPr>
          <w:rFonts w:ascii="Calibri" w:hAnsi="Calibri" w:cs="Miriam"/>
          <w:rtl/>
        </w:rPr>
        <w:t xml:space="preserve"> </w:t>
      </w:r>
      <w:r w:rsidRPr="0043766F">
        <w:rPr>
          <w:rFonts w:ascii="Calibri" w:hAnsi="Calibri" w:cs="Miriam" w:hint="eastAsia"/>
          <w:rtl/>
        </w:rPr>
        <w:t>גם</w:t>
      </w:r>
      <w:r w:rsidRPr="0043766F">
        <w:rPr>
          <w:rFonts w:ascii="Calibri" w:hAnsi="Calibri" w:cs="Miriam"/>
          <w:rtl/>
        </w:rPr>
        <w:t xml:space="preserve"> </w:t>
      </w:r>
      <w:r w:rsidRPr="0043766F">
        <w:rPr>
          <w:rFonts w:ascii="Calibri" w:hAnsi="Calibri" w:cs="Miriam" w:hint="eastAsia"/>
          <w:rtl/>
        </w:rPr>
        <w:t>הסניגור</w:t>
      </w:r>
      <w:r w:rsidRPr="0043766F">
        <w:rPr>
          <w:rFonts w:ascii="Calibri" w:hAnsi="Calibri" w:cs="Miriam"/>
          <w:rtl/>
        </w:rPr>
        <w:t xml:space="preserve"> </w:t>
      </w:r>
      <w:r w:rsidRPr="0043766F">
        <w:rPr>
          <w:rFonts w:ascii="Calibri" w:hAnsi="Calibri" w:cs="Miriam" w:hint="eastAsia"/>
          <w:rtl/>
        </w:rPr>
        <w:t>בשלב</w:t>
      </w:r>
      <w:r w:rsidRPr="0043766F">
        <w:rPr>
          <w:rFonts w:ascii="Calibri" w:hAnsi="Calibri" w:cs="Miriam"/>
          <w:rtl/>
        </w:rPr>
        <w:t xml:space="preserve"> </w:t>
      </w:r>
      <w:r w:rsidRPr="0043766F">
        <w:rPr>
          <w:rFonts w:ascii="Calibri" w:hAnsi="Calibri" w:cs="Miriam" w:hint="eastAsia"/>
          <w:rtl/>
        </w:rPr>
        <w:t>הטיעון</w:t>
      </w:r>
      <w:r w:rsidRPr="0043766F">
        <w:rPr>
          <w:rFonts w:ascii="Calibri" w:hAnsi="Calibri" w:cs="Miriam"/>
          <w:rtl/>
        </w:rPr>
        <w:t xml:space="preserve"> </w:t>
      </w:r>
      <w:r w:rsidRPr="0043766F">
        <w:rPr>
          <w:rFonts w:ascii="Calibri" w:hAnsi="Calibri" w:cs="Miriam" w:hint="eastAsia"/>
          <w:rtl/>
        </w:rPr>
        <w:t>לעונש</w:t>
      </w:r>
      <w:r w:rsidRPr="0043766F">
        <w:rPr>
          <w:rFonts w:ascii="Calibri" w:hAnsi="Calibri" w:cs="Miriam"/>
          <w:rtl/>
        </w:rPr>
        <w:t>".</w:t>
      </w:r>
      <w:r w:rsidRPr="0043766F">
        <w:rPr>
          <w:rFonts w:ascii="Calibri" w:hAnsi="Calibri"/>
          <w:rtl/>
        </w:rPr>
        <w:t xml:space="preserve"> (</w:t>
      </w:r>
      <w:hyperlink r:id="rId41" w:history="1">
        <w:r w:rsidR="005C475C" w:rsidRPr="005C475C">
          <w:rPr>
            <w:rFonts w:ascii="Calibri" w:hAnsi="Calibri" w:hint="eastAsia"/>
            <w:color w:val="0000FF"/>
            <w:u w:val="single"/>
            <w:rtl/>
          </w:rPr>
          <w:t>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9612/10</w:t>
        </w:r>
      </w:hyperlink>
      <w:r w:rsidRPr="0043766F">
        <w:rPr>
          <w:rFonts w:ascii="Calibri" w:hAnsi="Calibri"/>
          <w:rtl/>
        </w:rPr>
        <w:t xml:space="preserve"> </w:t>
      </w:r>
      <w:r w:rsidRPr="0043766F">
        <w:rPr>
          <w:rFonts w:ascii="Calibri" w:hAnsi="Calibri" w:hint="eastAsia"/>
          <w:b/>
          <w:bCs/>
          <w:rtl/>
        </w:rPr>
        <w:t>קוגמן</w:t>
      </w:r>
      <w:r w:rsidRPr="0043766F">
        <w:rPr>
          <w:rFonts w:ascii="Calibri" w:hAnsi="Calibri"/>
          <w:b/>
          <w:bCs/>
          <w:rtl/>
        </w:rPr>
        <w:t xml:space="preserve"> </w:t>
      </w:r>
      <w:r w:rsidRPr="0043766F">
        <w:rPr>
          <w:rFonts w:ascii="Calibri" w:hAnsi="Calibri" w:hint="eastAsia"/>
          <w:b/>
          <w:bCs/>
          <w:rtl/>
        </w:rPr>
        <w:t>נ</w:t>
      </w:r>
      <w:r w:rsidRPr="0043766F">
        <w:rPr>
          <w:rFonts w:ascii="Calibri" w:hAnsi="Calibri"/>
          <w:b/>
          <w:bCs/>
          <w:rtl/>
        </w:rPr>
        <w:t xml:space="preserve">' </w:t>
      </w:r>
      <w:r w:rsidRPr="0043766F">
        <w:rPr>
          <w:rFonts w:ascii="Calibri" w:hAnsi="Calibri" w:hint="eastAsia"/>
          <w:b/>
          <w:bCs/>
          <w:rtl/>
        </w:rPr>
        <w:t>מ</w:t>
      </w:r>
      <w:r w:rsidRPr="0043766F">
        <w:rPr>
          <w:rFonts w:ascii="Calibri" w:hAnsi="Calibri"/>
          <w:b/>
          <w:bCs/>
          <w:rtl/>
        </w:rPr>
        <w:t>"</w:t>
      </w:r>
      <w:r w:rsidRPr="0043766F">
        <w:rPr>
          <w:rFonts w:ascii="Calibri" w:hAnsi="Calibri" w:hint="eastAsia"/>
          <w:b/>
          <w:bCs/>
          <w:rtl/>
        </w:rPr>
        <w:t>י</w:t>
      </w:r>
      <w:r w:rsidRPr="0043766F">
        <w:rPr>
          <w:rFonts w:ascii="Calibri" w:hAnsi="Calibri"/>
          <w:rtl/>
        </w:rPr>
        <w:t xml:space="preserve"> (27/4/14), </w:t>
      </w:r>
      <w:r w:rsidRPr="0043766F">
        <w:rPr>
          <w:rFonts w:ascii="Calibri" w:hAnsi="Calibri" w:hint="eastAsia"/>
          <w:rtl/>
        </w:rPr>
        <w:t>מפי</w:t>
      </w:r>
      <w:r w:rsidRPr="0043766F">
        <w:rPr>
          <w:rFonts w:ascii="Calibri" w:hAnsi="Calibri"/>
          <w:rtl/>
        </w:rPr>
        <w:t xml:space="preserve"> </w:t>
      </w:r>
      <w:r w:rsidRPr="0043766F">
        <w:rPr>
          <w:rFonts w:ascii="Calibri" w:hAnsi="Calibri" w:hint="eastAsia"/>
          <w:rtl/>
        </w:rPr>
        <w:t>כב</w:t>
      </w:r>
      <w:r w:rsidRPr="0043766F">
        <w:rPr>
          <w:rFonts w:ascii="Calibri" w:hAnsi="Calibri"/>
          <w:rtl/>
        </w:rPr>
        <w:t xml:space="preserve">' </w:t>
      </w:r>
      <w:r w:rsidRPr="0043766F">
        <w:rPr>
          <w:rFonts w:ascii="Calibri" w:hAnsi="Calibri" w:hint="eastAsia"/>
          <w:rtl/>
        </w:rPr>
        <w:t>הש</w:t>
      </w:r>
      <w:r w:rsidRPr="0043766F">
        <w:rPr>
          <w:rFonts w:ascii="Calibri" w:hAnsi="Calibri"/>
          <w:rtl/>
        </w:rPr>
        <w:t xml:space="preserve">' </w:t>
      </w:r>
      <w:r w:rsidRPr="0043766F">
        <w:rPr>
          <w:rFonts w:ascii="Calibri" w:hAnsi="Calibri" w:hint="eastAsia"/>
          <w:rtl/>
        </w:rPr>
        <w:t>עמית</w:t>
      </w:r>
      <w:r w:rsidRPr="0043766F">
        <w:rPr>
          <w:rFonts w:ascii="Calibri" w:hAnsi="Calibri"/>
          <w:rtl/>
        </w:rPr>
        <w:t xml:space="preserve">; </w:t>
      </w:r>
      <w:r w:rsidRPr="0043766F">
        <w:rPr>
          <w:rFonts w:ascii="Calibri" w:hAnsi="Calibri" w:hint="eastAsia"/>
          <w:rtl/>
        </w:rPr>
        <w:t>ראו</w:t>
      </w:r>
      <w:r w:rsidRPr="0043766F">
        <w:rPr>
          <w:rFonts w:ascii="Calibri" w:hAnsi="Calibri"/>
          <w:rtl/>
        </w:rPr>
        <w:t xml:space="preserve"> </w:t>
      </w:r>
      <w:r w:rsidRPr="0043766F">
        <w:rPr>
          <w:rFonts w:ascii="Calibri" w:hAnsi="Calibri" w:hint="eastAsia"/>
          <w:rtl/>
        </w:rPr>
        <w:t>גם</w:t>
      </w:r>
      <w:r w:rsidRPr="0043766F">
        <w:rPr>
          <w:rFonts w:ascii="Calibri" w:hAnsi="Calibri"/>
          <w:rtl/>
        </w:rPr>
        <w:t xml:space="preserve"> </w:t>
      </w:r>
      <w:hyperlink r:id="rId42" w:history="1">
        <w:r w:rsidR="005C475C" w:rsidRPr="005C475C">
          <w:rPr>
            <w:rFonts w:ascii="Calibri" w:hAnsi="Calibri" w:hint="eastAsia"/>
            <w:color w:val="0000FF"/>
            <w:u w:val="single"/>
            <w:rtl/>
          </w:rPr>
          <w:t>רע</w:t>
        </w:r>
        <w:r w:rsidR="005C475C" w:rsidRPr="005C475C">
          <w:rPr>
            <w:rFonts w:ascii="Calibri" w:hAnsi="Calibri"/>
            <w:color w:val="0000FF"/>
            <w:u w:val="single"/>
            <w:rtl/>
          </w:rPr>
          <w:t>"</w:t>
        </w:r>
        <w:r w:rsidR="005C475C" w:rsidRPr="005C475C">
          <w:rPr>
            <w:rFonts w:ascii="Calibri" w:hAnsi="Calibri" w:hint="eastAsia"/>
            <w:color w:val="0000FF"/>
            <w:u w:val="single"/>
            <w:rtl/>
          </w:rPr>
          <w:t>פ</w:t>
        </w:r>
        <w:r w:rsidR="005C475C" w:rsidRPr="005C475C">
          <w:rPr>
            <w:rFonts w:ascii="Calibri" w:hAnsi="Calibri"/>
            <w:color w:val="0000FF"/>
            <w:u w:val="single"/>
            <w:rtl/>
          </w:rPr>
          <w:t xml:space="preserve">  5858/10</w:t>
        </w:r>
      </w:hyperlink>
      <w:r w:rsidRPr="00724E2B">
        <w:rPr>
          <w:rtl/>
        </w:rPr>
        <w:t xml:space="preserve"> </w:t>
      </w:r>
      <w:r w:rsidRPr="00724E2B">
        <w:rPr>
          <w:b/>
          <w:bCs/>
          <w:rtl/>
        </w:rPr>
        <w:t>אדר נ' מ"י</w:t>
      </w:r>
      <w:r w:rsidRPr="00724E2B">
        <w:rPr>
          <w:rtl/>
        </w:rPr>
        <w:t xml:space="preserve"> (11/8/10), מפי כב' הש' לוי).</w:t>
      </w:r>
    </w:p>
    <w:p w14:paraId="32CD7AEF" w14:textId="77777777" w:rsidR="00014E3D" w:rsidRPr="00740490" w:rsidRDefault="00014E3D" w:rsidP="00014E3D">
      <w:pPr>
        <w:rPr>
          <w:rFonts w:cs="Times New Roman"/>
          <w:sz w:val="20"/>
          <w:szCs w:val="20"/>
          <w:rtl/>
        </w:rPr>
      </w:pPr>
    </w:p>
    <w:p w14:paraId="0FF1F40D" w14:textId="77777777" w:rsidR="00014E3D" w:rsidRPr="00724E2B" w:rsidRDefault="00014E3D" w:rsidP="00014E3D">
      <w:pPr>
        <w:spacing w:line="360" w:lineRule="auto"/>
        <w:ind w:left="720" w:hanging="720"/>
        <w:jc w:val="both"/>
        <w:rPr>
          <w:rtl/>
        </w:rPr>
      </w:pPr>
      <w:r w:rsidRPr="00724E2B">
        <w:rPr>
          <w:b/>
          <w:bCs/>
          <w:rtl/>
        </w:rPr>
        <w:t>11.</w:t>
      </w:r>
      <w:r w:rsidRPr="00724E2B">
        <w:rPr>
          <w:rtl/>
        </w:rPr>
        <w:tab/>
        <w:t>הנאשם, יליד 78', נעדר הרשעות קודמו</w:t>
      </w:r>
      <w:r>
        <w:rPr>
          <w:rFonts w:hint="cs"/>
          <w:rtl/>
        </w:rPr>
        <w:t>ת</w:t>
      </w:r>
      <w:r w:rsidRPr="00724E2B">
        <w:rPr>
          <w:rtl/>
        </w:rPr>
        <w:t>, נשוי ואב לשלושה ילדים, ועבד לפרנסתו בעסק המשפחתי. הנאשם סובל ממחלת לב מילדותו, עבר שני ניתוחי "לב פתוח", ומצבו הבריאותי משפיע על כל תחומי חייו, מפני שהוא נזקק ל</w:t>
      </w:r>
      <w:r>
        <w:rPr>
          <w:rFonts w:hint="cs"/>
          <w:rtl/>
        </w:rPr>
        <w:t xml:space="preserve">מעקב, </w:t>
      </w:r>
      <w:r w:rsidRPr="00724E2B">
        <w:rPr>
          <w:rtl/>
        </w:rPr>
        <w:t>א</w:t>
      </w:r>
      <w:r>
        <w:rPr>
          <w:rtl/>
        </w:rPr>
        <w:t>שפוזים, טיפולים</w:t>
      </w:r>
      <w:r>
        <w:rPr>
          <w:rFonts w:hint="cs"/>
          <w:rtl/>
        </w:rPr>
        <w:t xml:space="preserve"> </w:t>
      </w:r>
      <w:r w:rsidRPr="00724E2B">
        <w:rPr>
          <w:rtl/>
        </w:rPr>
        <w:t>ועוד, כמפורט במסמכים הרפואיים ובטיעוני הסנגורית.</w:t>
      </w:r>
    </w:p>
    <w:p w14:paraId="502C464D" w14:textId="77777777" w:rsidR="00014E3D" w:rsidRPr="005C2BAB" w:rsidRDefault="00014E3D" w:rsidP="00014E3D">
      <w:pPr>
        <w:spacing w:line="360" w:lineRule="auto"/>
        <w:ind w:left="720" w:hanging="720"/>
        <w:jc w:val="both"/>
        <w:rPr>
          <w:sz w:val="18"/>
          <w:szCs w:val="18"/>
          <w:rtl/>
        </w:rPr>
      </w:pPr>
      <w:r w:rsidRPr="00724E2B">
        <w:rPr>
          <w:rtl/>
        </w:rPr>
        <w:t xml:space="preserve"> </w:t>
      </w:r>
    </w:p>
    <w:p w14:paraId="4D91DEEC" w14:textId="77777777" w:rsidR="00014E3D" w:rsidRPr="00724E2B" w:rsidRDefault="00014E3D" w:rsidP="00014E3D">
      <w:pPr>
        <w:spacing w:line="360" w:lineRule="auto"/>
        <w:ind w:left="720"/>
        <w:jc w:val="both"/>
        <w:rPr>
          <w:rtl/>
        </w:rPr>
      </w:pPr>
      <w:r w:rsidRPr="00724E2B">
        <w:rPr>
          <w:rtl/>
        </w:rPr>
        <w:t>הנאשם שוחרר בתנאים מגבילים, לא הפר את תנאי שחרורו, וכעולה מדברי אביו, משפחתו, המכובדת בכפר (כעולה גם ממכתבו של מר איוב קרא), תומכת בו ומקווה לשקמו.</w:t>
      </w:r>
    </w:p>
    <w:p w14:paraId="7021F39A" w14:textId="77777777" w:rsidR="00014E3D" w:rsidRPr="005C2BAB" w:rsidRDefault="00014E3D" w:rsidP="00014E3D">
      <w:pPr>
        <w:spacing w:line="360" w:lineRule="auto"/>
        <w:ind w:left="720"/>
        <w:jc w:val="both"/>
        <w:rPr>
          <w:sz w:val="20"/>
          <w:szCs w:val="20"/>
          <w:rtl/>
        </w:rPr>
      </w:pPr>
    </w:p>
    <w:p w14:paraId="618B3C0D" w14:textId="77777777" w:rsidR="00014E3D" w:rsidRPr="00724E2B" w:rsidRDefault="00014E3D" w:rsidP="00014E3D">
      <w:pPr>
        <w:spacing w:line="360" w:lineRule="auto"/>
        <w:ind w:left="720" w:hanging="720"/>
        <w:jc w:val="both"/>
        <w:rPr>
          <w:rtl/>
        </w:rPr>
      </w:pPr>
      <w:r w:rsidRPr="00724E2B">
        <w:rPr>
          <w:b/>
          <w:bCs/>
          <w:rtl/>
        </w:rPr>
        <w:t>12.</w:t>
      </w:r>
      <w:r w:rsidRPr="00724E2B">
        <w:rPr>
          <w:rtl/>
        </w:rPr>
        <w:tab/>
      </w:r>
      <w:r>
        <w:rPr>
          <w:rFonts w:hint="cs"/>
          <w:rtl/>
        </w:rPr>
        <w:t xml:space="preserve">לקולא אני רואה לקחת בחשבון כי </w:t>
      </w:r>
      <w:r w:rsidRPr="00724E2B">
        <w:rPr>
          <w:rtl/>
        </w:rPr>
        <w:t>הנאשם הודה בעבירות המפורטות בכתב האישום המתוקן</w:t>
      </w:r>
      <w:r>
        <w:rPr>
          <w:rFonts w:hint="cs"/>
          <w:rtl/>
        </w:rPr>
        <w:t xml:space="preserve"> בשלב מוקדם יחסית</w:t>
      </w:r>
      <w:r w:rsidRPr="00724E2B">
        <w:rPr>
          <w:rtl/>
        </w:rPr>
        <w:t xml:space="preserve">, ונטל אחריות על מעשיו, אותם הגדיר כטעות. </w:t>
      </w:r>
    </w:p>
    <w:p w14:paraId="358BA826" w14:textId="77777777" w:rsidR="00014E3D" w:rsidRPr="00724E2B" w:rsidRDefault="00014E3D" w:rsidP="00014E3D">
      <w:pPr>
        <w:spacing w:line="360" w:lineRule="auto"/>
        <w:ind w:left="720" w:hanging="720"/>
        <w:jc w:val="both"/>
        <w:rPr>
          <w:sz w:val="18"/>
          <w:szCs w:val="18"/>
          <w:rtl/>
        </w:rPr>
      </w:pPr>
      <w:r w:rsidRPr="00724E2B">
        <w:rPr>
          <w:rtl/>
        </w:rPr>
        <w:tab/>
      </w:r>
      <w:r w:rsidRPr="00724E2B">
        <w:rPr>
          <w:rtl/>
        </w:rPr>
        <w:tab/>
      </w:r>
    </w:p>
    <w:p w14:paraId="49BE8316" w14:textId="77777777" w:rsidR="00014E3D" w:rsidRPr="00724E2B" w:rsidRDefault="00014E3D" w:rsidP="00014E3D">
      <w:pPr>
        <w:spacing w:line="360" w:lineRule="auto"/>
        <w:jc w:val="both"/>
        <w:rPr>
          <w:b/>
          <w:bCs/>
          <w:u w:val="single"/>
          <w:rtl/>
        </w:rPr>
      </w:pPr>
      <w:r w:rsidRPr="00724E2B">
        <w:rPr>
          <w:b/>
          <w:bCs/>
          <w:rtl/>
        </w:rPr>
        <w:t>13.</w:t>
      </w:r>
      <w:r w:rsidRPr="00724E2B">
        <w:rPr>
          <w:b/>
          <w:bCs/>
          <w:rtl/>
        </w:rPr>
        <w:tab/>
      </w:r>
      <w:r w:rsidRPr="00724E2B">
        <w:rPr>
          <w:b/>
          <w:bCs/>
          <w:u w:val="single"/>
          <w:rtl/>
        </w:rPr>
        <w:t>אחידות הענישה</w:t>
      </w:r>
    </w:p>
    <w:p w14:paraId="2CB7AF32" w14:textId="77777777" w:rsidR="00014E3D" w:rsidRPr="00724E2B" w:rsidRDefault="00014E3D" w:rsidP="00014E3D">
      <w:pPr>
        <w:shd w:val="clear" w:color="auto" w:fill="FFFFFF"/>
        <w:spacing w:line="360" w:lineRule="auto"/>
        <w:ind w:left="720"/>
        <w:jc w:val="both"/>
        <w:rPr>
          <w:rtl/>
        </w:rPr>
      </w:pPr>
      <w:r w:rsidRPr="00724E2B">
        <w:rPr>
          <w:b/>
          <w:bCs/>
          <w:rtl/>
        </w:rPr>
        <w:t>א.</w:t>
      </w:r>
      <w:r w:rsidRPr="00724E2B">
        <w:rPr>
          <w:rtl/>
        </w:rPr>
        <w:t xml:space="preserve"> בענייננו, יש ליתן ביטוי גם לעקרון של אחידות הענישה, שעה שמדובר בשותפים לחלק מהעבירות, כאשר עונשו של ג'יריס נגזר זה מכבר. מדובר בעקרון יסוד במערכת המשפט הפלילי, ה</w:t>
      </w:r>
      <w:r w:rsidRPr="00724E2B">
        <w:rPr>
          <w:b/>
          <w:bCs/>
          <w:rtl/>
        </w:rPr>
        <w:t>"משקף את ערכי השוויון, ההגינות והצדק, ואף את האינטרס לשמור על אמון הציבור בהליך הפלילי ובמערכת המשפט".</w:t>
      </w:r>
      <w:r w:rsidRPr="00724E2B">
        <w:rPr>
          <w:rtl/>
        </w:rPr>
        <w:t xml:space="preserve"> (</w:t>
      </w:r>
      <w:hyperlink r:id="rId43" w:history="1">
        <w:r w:rsidR="005C475C" w:rsidRPr="005C475C">
          <w:rPr>
            <w:color w:val="0000FF"/>
            <w:u w:val="single"/>
            <w:rtl/>
          </w:rPr>
          <w:t>ע"פ 5195/11</w:t>
        </w:r>
      </w:hyperlink>
      <w:r w:rsidRPr="00724E2B">
        <w:rPr>
          <w:rtl/>
        </w:rPr>
        <w:t xml:space="preserve"> </w:t>
      </w:r>
      <w:r w:rsidRPr="00724E2B">
        <w:rPr>
          <w:b/>
          <w:bCs/>
          <w:rtl/>
        </w:rPr>
        <w:t>קריניאן נ' מ"י</w:t>
      </w:r>
      <w:r w:rsidRPr="00724E2B">
        <w:rPr>
          <w:rtl/>
        </w:rPr>
        <w:t xml:space="preserve"> (28/3/12), מפי כב' הש' הנדל).  עם זאת נקבע, כי אחידות אינה בהכרח זהות. קיומה של פרשה אחת מחייבת קנה מידה אחיד לבחינת הענישה של המשתתפים השונים, אך אין משמעות הדבר כי השורה התחתונה צריכה להיות זהה, אלא שעליה לשקף את נסיבותיו הייחודיות של כל משתתף ואת חלקו ומשקלו בפרשה. לסוגים דומים של נסיבות צריך להינתן משקל זהה, אך התוצאה תלויה בתוכן הנסיבות ולא רק בקיומן. (ראו גם </w:t>
      </w:r>
      <w:hyperlink r:id="rId44" w:history="1">
        <w:r w:rsidR="005C475C" w:rsidRPr="005C475C">
          <w:rPr>
            <w:color w:val="0000FF"/>
            <w:u w:val="single"/>
            <w:rtl/>
          </w:rPr>
          <w:t>ע"פ 5640/97 רייך נ' מ"י, פ"ד נג</w:t>
        </w:r>
      </w:hyperlink>
      <w:r w:rsidRPr="00724E2B">
        <w:rPr>
          <w:rtl/>
        </w:rPr>
        <w:t xml:space="preserve">(2) 433, 470, מפי כב' הש' אילן; </w:t>
      </w:r>
      <w:hyperlink r:id="rId45" w:history="1">
        <w:r w:rsidR="005C475C" w:rsidRPr="005C475C">
          <w:rPr>
            <w:color w:val="0000FF"/>
            <w:u w:val="single"/>
            <w:rtl/>
          </w:rPr>
          <w:t>רע"פ 3173/09</w:t>
        </w:r>
      </w:hyperlink>
      <w:r w:rsidRPr="00724E2B">
        <w:rPr>
          <w:rtl/>
        </w:rPr>
        <w:t xml:space="preserve"> </w:t>
      </w:r>
      <w:r w:rsidRPr="00724E2B">
        <w:rPr>
          <w:b/>
          <w:bCs/>
          <w:rtl/>
        </w:rPr>
        <w:t>פראגין נ' מ"י</w:t>
      </w:r>
      <w:r w:rsidRPr="00724E2B">
        <w:rPr>
          <w:rtl/>
        </w:rPr>
        <w:t xml:space="preserve"> (5/5/09), מפי כב' הש' רובינשטיין).</w:t>
      </w:r>
    </w:p>
    <w:p w14:paraId="1DC8E097" w14:textId="77777777" w:rsidR="00014E3D" w:rsidRPr="00724E2B" w:rsidRDefault="00014E3D" w:rsidP="00014E3D">
      <w:pPr>
        <w:shd w:val="clear" w:color="auto" w:fill="FFFFFF"/>
        <w:spacing w:line="360" w:lineRule="auto"/>
        <w:ind w:left="720"/>
        <w:jc w:val="both"/>
        <w:rPr>
          <w:rtl/>
        </w:rPr>
      </w:pPr>
    </w:p>
    <w:p w14:paraId="3E5CC903" w14:textId="77777777" w:rsidR="00014E3D" w:rsidRPr="00724E2B" w:rsidRDefault="00014E3D" w:rsidP="00014E3D">
      <w:pPr>
        <w:shd w:val="clear" w:color="auto" w:fill="FFFFFF"/>
        <w:spacing w:line="360" w:lineRule="auto"/>
        <w:ind w:left="720"/>
        <w:jc w:val="both"/>
        <w:rPr>
          <w:rtl/>
        </w:rPr>
      </w:pPr>
      <w:r w:rsidRPr="00724E2B">
        <w:rPr>
          <w:rtl/>
        </w:rPr>
        <w:t>עקרון אחידות הענישה אינו נכלל במפורש בתיקון 113 ל</w:t>
      </w:r>
      <w:hyperlink r:id="rId46" w:history="1">
        <w:r w:rsidR="005C475C" w:rsidRPr="005C475C">
          <w:rPr>
            <w:color w:val="0000FF"/>
            <w:u w:val="single"/>
            <w:rtl/>
          </w:rPr>
          <w:t>חוק העונשין</w:t>
        </w:r>
      </w:hyperlink>
      <w:r w:rsidRPr="00724E2B">
        <w:rPr>
          <w:rtl/>
        </w:rPr>
        <w:t>, אך בית המשפט רשאי לשקול נסיבות נוספות הקשורות בביצוע העבירה. (על חשיבותו של עיקרון אחידות הענישה, ראו דבריו של כב' הש' ג'ובראן ב</w:t>
      </w:r>
      <w:hyperlink r:id="rId47" w:history="1">
        <w:r w:rsidR="005C475C" w:rsidRPr="005C475C">
          <w:rPr>
            <w:color w:val="0000FF"/>
            <w:u w:val="single"/>
            <w:rtl/>
          </w:rPr>
          <w:t>ע"פ 9545/09</w:t>
        </w:r>
      </w:hyperlink>
      <w:r w:rsidRPr="00724E2B">
        <w:rPr>
          <w:rtl/>
        </w:rPr>
        <w:t xml:space="preserve"> </w:t>
      </w:r>
      <w:r w:rsidRPr="00724E2B">
        <w:rPr>
          <w:b/>
          <w:bCs/>
          <w:rtl/>
        </w:rPr>
        <w:t>אלדין נ' מ"י</w:t>
      </w:r>
      <w:r w:rsidRPr="00724E2B">
        <w:rPr>
          <w:rtl/>
        </w:rPr>
        <w:t xml:space="preserve"> (24/3/10)). </w:t>
      </w:r>
    </w:p>
    <w:p w14:paraId="08984EDC" w14:textId="77777777" w:rsidR="00014E3D" w:rsidRPr="00724E2B" w:rsidRDefault="00014E3D" w:rsidP="00014E3D">
      <w:pPr>
        <w:shd w:val="clear" w:color="auto" w:fill="FFFFFF"/>
        <w:spacing w:line="360" w:lineRule="auto"/>
        <w:ind w:left="720"/>
        <w:jc w:val="both"/>
        <w:rPr>
          <w:rtl/>
        </w:rPr>
      </w:pPr>
    </w:p>
    <w:p w14:paraId="56160E6F" w14:textId="77777777" w:rsidR="00014E3D" w:rsidRDefault="00014E3D" w:rsidP="00014E3D">
      <w:pPr>
        <w:shd w:val="clear" w:color="auto" w:fill="FFFFFF"/>
        <w:spacing w:line="360" w:lineRule="auto"/>
        <w:ind w:left="720"/>
        <w:jc w:val="both"/>
        <w:rPr>
          <w:rtl/>
        </w:rPr>
      </w:pPr>
      <w:r w:rsidRPr="00724E2B">
        <w:rPr>
          <w:rtl/>
        </w:rPr>
        <w:t>אכן, גזר דינו של ג'יריס אינו חלוט, אך עד היום לא הוגש ערעור בעניינו, ואף לא נתקבלה החלטה לעשות כן.</w:t>
      </w:r>
    </w:p>
    <w:p w14:paraId="2734A13A" w14:textId="77777777" w:rsidR="00014E3D" w:rsidRPr="005C2BAB" w:rsidRDefault="00014E3D" w:rsidP="00014E3D">
      <w:pPr>
        <w:shd w:val="clear" w:color="auto" w:fill="FFFFFF"/>
        <w:spacing w:line="360" w:lineRule="auto"/>
        <w:ind w:left="720"/>
        <w:jc w:val="both"/>
        <w:rPr>
          <w:sz w:val="16"/>
          <w:szCs w:val="16"/>
          <w:rtl/>
        </w:rPr>
      </w:pPr>
    </w:p>
    <w:p w14:paraId="2919ECF0" w14:textId="77777777" w:rsidR="00014E3D" w:rsidRPr="00724E2B" w:rsidRDefault="00014E3D" w:rsidP="00014E3D">
      <w:pPr>
        <w:shd w:val="clear" w:color="auto" w:fill="FFFFFF"/>
        <w:spacing w:line="360" w:lineRule="auto"/>
        <w:ind w:left="720"/>
        <w:jc w:val="both"/>
        <w:rPr>
          <w:rtl/>
        </w:rPr>
      </w:pPr>
      <w:r w:rsidRPr="00724E2B">
        <w:rPr>
          <w:b/>
          <w:bCs/>
          <w:rtl/>
        </w:rPr>
        <w:t>ב.</w:t>
      </w:r>
      <w:r w:rsidRPr="00724E2B">
        <w:rPr>
          <w:rtl/>
        </w:rPr>
        <w:t xml:space="preserve"> אין חולק כי חלקו של הנאשם בביצוע העבירות קטן מחלקו של ג'יריס, כנטען על ידי הסנגורית הנכבדה.</w:t>
      </w:r>
    </w:p>
    <w:p w14:paraId="62A375DF" w14:textId="77777777" w:rsidR="00014E3D" w:rsidRPr="00724E2B" w:rsidRDefault="00014E3D" w:rsidP="00014E3D">
      <w:pPr>
        <w:shd w:val="clear" w:color="auto" w:fill="FFFFFF"/>
        <w:spacing w:line="360" w:lineRule="auto"/>
        <w:ind w:left="720"/>
        <w:jc w:val="both"/>
        <w:rPr>
          <w:rFonts w:cs="Arial"/>
          <w:sz w:val="16"/>
          <w:szCs w:val="14"/>
          <w:rtl/>
        </w:rPr>
      </w:pPr>
    </w:p>
    <w:p w14:paraId="33EDDF2D" w14:textId="77777777" w:rsidR="00014E3D" w:rsidRDefault="00014E3D" w:rsidP="00014E3D">
      <w:pPr>
        <w:spacing w:line="360" w:lineRule="auto"/>
        <w:ind w:left="720"/>
        <w:jc w:val="both"/>
        <w:rPr>
          <w:rtl/>
        </w:rPr>
      </w:pPr>
      <w:r w:rsidRPr="00724E2B">
        <w:rPr>
          <w:rtl/>
        </w:rPr>
        <w:t xml:space="preserve">ג'יריס עבר עבירות של גניבה ממעביד והתפרצות, אשר תוכננה בקפידה, תוך תחכום רב, ומעילה באמון רב שנים שניתן בו, ואילו הנאשם לא היה מודע, על פי עובדות כתב האישום </w:t>
      </w:r>
      <w:r w:rsidRPr="00740490">
        <w:rPr>
          <w:rtl/>
        </w:rPr>
        <w:t>המתוקן, לאופן בו הושגו כלי הנשק והתחמושת, אשר נמכרו לו. ג'יריס גנב כספת ובה שישה</w:t>
      </w:r>
      <w:r w:rsidRPr="00724E2B">
        <w:rPr>
          <w:rtl/>
        </w:rPr>
        <w:t xml:space="preserve"> אקדחים, ואילו לנאשם נמסרה כספת ובה ארבעה אקדחים ותחמושת. </w:t>
      </w:r>
    </w:p>
    <w:p w14:paraId="4797A228" w14:textId="77777777" w:rsidR="00014E3D" w:rsidRPr="005C2BAB" w:rsidRDefault="00014E3D" w:rsidP="00014E3D">
      <w:pPr>
        <w:spacing w:line="360" w:lineRule="auto"/>
        <w:ind w:left="720"/>
        <w:jc w:val="both"/>
        <w:rPr>
          <w:sz w:val="18"/>
          <w:szCs w:val="18"/>
          <w:rtl/>
        </w:rPr>
      </w:pPr>
    </w:p>
    <w:p w14:paraId="1F34A616" w14:textId="77777777" w:rsidR="00014E3D" w:rsidRPr="00724E2B" w:rsidRDefault="00014E3D" w:rsidP="00014E3D">
      <w:pPr>
        <w:spacing w:line="360" w:lineRule="auto"/>
        <w:ind w:left="720"/>
        <w:jc w:val="both"/>
        <w:rPr>
          <w:rtl/>
        </w:rPr>
      </w:pPr>
      <w:r w:rsidRPr="00724E2B">
        <w:rPr>
          <w:rtl/>
        </w:rPr>
        <w:t xml:space="preserve">לזכות ג'יריס ייאמר כי הודה בטרם נשמעו ראיות, ואילו הנאשם הודה לאחר שנשמעה עדותו של ג'יריס, אך לא למותר לציין כי בעקבות עדותו וכן מידע נוסף, אכן תוקן כתב האישום, והנאשם הודה במיוחס לו מיד לאחר מכן. </w:t>
      </w:r>
    </w:p>
    <w:p w14:paraId="41D44D65" w14:textId="77777777" w:rsidR="00014E3D" w:rsidRPr="00724E2B" w:rsidRDefault="00014E3D" w:rsidP="00014E3D">
      <w:pPr>
        <w:spacing w:line="360" w:lineRule="auto"/>
        <w:ind w:left="720"/>
        <w:jc w:val="both"/>
        <w:rPr>
          <w:rtl/>
        </w:rPr>
      </w:pPr>
    </w:p>
    <w:p w14:paraId="08A9E666" w14:textId="77777777" w:rsidR="00014E3D" w:rsidRPr="00724E2B" w:rsidRDefault="00014E3D" w:rsidP="00014E3D">
      <w:pPr>
        <w:spacing w:line="360" w:lineRule="auto"/>
        <w:ind w:left="720"/>
        <w:jc w:val="both"/>
        <w:rPr>
          <w:rtl/>
        </w:rPr>
      </w:pPr>
      <w:r w:rsidRPr="00724E2B">
        <w:rPr>
          <w:b/>
          <w:bCs/>
          <w:rtl/>
        </w:rPr>
        <w:t>ג.</w:t>
      </w:r>
      <w:r w:rsidRPr="00724E2B">
        <w:rPr>
          <w:rtl/>
        </w:rPr>
        <w:t xml:space="preserve"> בהתחשב בנתוניו האישיים של ג'יריס, יליד 67', בעל משפחה, נעדר עבר פלילי, אשר עד לביצוע העבירות בהן הורשע ניהל אורח חיים נורמטיבי ומעד, בחן בית המשפט אשר דן בעניינו את הפוטנציאל השיקומי, כפי שבא לידי ביטוי בתסקיר של שירות המבחן, ונתן ביטוי לחרטתו, להודייתו, וללקיחת אחריות על עצמו בשלב מוקדם של ההליך. עוד נתן ביטוי לכך שארבעה מתוך שישה האקדחים שגנב הוחזרו. לפיכך, גזר עליו מאסר של שנתיים בלבד.  </w:t>
      </w:r>
    </w:p>
    <w:p w14:paraId="78F88E33" w14:textId="77777777" w:rsidR="00014E3D" w:rsidRPr="00724E2B" w:rsidRDefault="00014E3D" w:rsidP="00014E3D">
      <w:pPr>
        <w:spacing w:line="360" w:lineRule="auto"/>
        <w:ind w:left="720"/>
        <w:jc w:val="both"/>
        <w:rPr>
          <w:rtl/>
        </w:rPr>
      </w:pPr>
    </w:p>
    <w:p w14:paraId="72742EBD" w14:textId="77777777" w:rsidR="00014E3D" w:rsidRPr="00724E2B" w:rsidRDefault="00014E3D" w:rsidP="00014E3D">
      <w:pPr>
        <w:spacing w:line="360" w:lineRule="auto"/>
        <w:ind w:left="720"/>
        <w:jc w:val="both"/>
        <w:rPr>
          <w:rtl/>
        </w:rPr>
      </w:pPr>
      <w:r w:rsidRPr="00724E2B">
        <w:rPr>
          <w:b/>
          <w:bCs/>
          <w:rtl/>
        </w:rPr>
        <w:t>ד.</w:t>
      </w:r>
      <w:r w:rsidRPr="00724E2B">
        <w:rPr>
          <w:rtl/>
        </w:rPr>
        <w:t xml:space="preserve"> אשר לנאשם, אין חולק כי גם הוא כג'יריס נעדר הרשעות קודמות, ועד לביצוע העבירות דנן ניהל לכאורה אורח חיים נורמטיבי. גם הוא בעל משפחה, איש עובד, מפרנס יחיד של אשתו וילדיו. אכן, הנאשם הודה בכתב האישום המתוקן רק לאחר שמיעתו של ג'יריס, אך כנטען על ידי ההגנה, קיים שוני בין כתב האישום המתוקן לבין כתב האישום המקורי.</w:t>
      </w:r>
    </w:p>
    <w:p w14:paraId="6E31FE5F" w14:textId="77777777" w:rsidR="00014E3D" w:rsidRPr="00724E2B" w:rsidRDefault="00014E3D" w:rsidP="00014E3D">
      <w:pPr>
        <w:spacing w:line="360" w:lineRule="auto"/>
        <w:ind w:left="720"/>
        <w:jc w:val="both"/>
        <w:rPr>
          <w:rtl/>
        </w:rPr>
      </w:pPr>
    </w:p>
    <w:p w14:paraId="0EF86A24" w14:textId="77777777" w:rsidR="00014E3D" w:rsidRPr="00724E2B" w:rsidRDefault="00014E3D" w:rsidP="00014E3D">
      <w:pPr>
        <w:spacing w:line="360" w:lineRule="auto"/>
        <w:ind w:left="720"/>
        <w:jc w:val="both"/>
        <w:rPr>
          <w:rtl/>
        </w:rPr>
      </w:pPr>
      <w:r w:rsidRPr="00724E2B">
        <w:rPr>
          <w:rtl/>
        </w:rPr>
        <w:t xml:space="preserve">ועוד, משהחליט ג'יריס להחזיר לחברת עמישב את האקדחים והתחמושת אותם גנב ממנה ומכר לנאשם, בעקבות פגישה עם החוקר הפרטי ששכרה חברת עמישב, פנה לנאשם, והנאשם החזירם לאלתר לג'יריס באמצעות אחר. דהיינו, הנאשם שיתף פעולה עם ג'יריס, וארבעת האקדחים הנזכרים בכתב האישום הוחזרו, ולא יגיעו לגורמים שלישיים, אם כי כפסע היה בין החזרתם לבין העברתם לידיים עברייניות על הסיכון הנובע מכך. </w:t>
      </w:r>
    </w:p>
    <w:p w14:paraId="6B0CA2A5" w14:textId="77777777" w:rsidR="00014E3D" w:rsidRPr="00724E2B" w:rsidRDefault="00014E3D" w:rsidP="00014E3D">
      <w:pPr>
        <w:spacing w:line="360" w:lineRule="auto"/>
        <w:ind w:left="720"/>
        <w:jc w:val="both"/>
        <w:rPr>
          <w:rtl/>
        </w:rPr>
      </w:pPr>
    </w:p>
    <w:p w14:paraId="5EC87D4A" w14:textId="77777777" w:rsidR="00014E3D" w:rsidRPr="00724E2B" w:rsidRDefault="00014E3D" w:rsidP="00014E3D">
      <w:pPr>
        <w:spacing w:line="360" w:lineRule="auto"/>
        <w:ind w:left="720"/>
        <w:jc w:val="both"/>
        <w:rPr>
          <w:rtl/>
        </w:rPr>
      </w:pPr>
      <w:r w:rsidRPr="00724E2B">
        <w:rPr>
          <w:b/>
          <w:bCs/>
          <w:rtl/>
        </w:rPr>
        <w:t>ה.</w:t>
      </w:r>
      <w:r w:rsidRPr="00724E2B">
        <w:rPr>
          <w:rtl/>
        </w:rPr>
        <w:t xml:space="preserve"> בנסיבות אלה, על אף שהיה מקום להחמיר עם הנאשם באופן משמעותי, ולהטיל עליו עונש של שנות מאסר רבות, לאור העקרון של אחידות הענישה, זכאי הנאשם לכך שעונשו יפחת מעונשו של ג'יריס, אשר מעשיו חמורים משלו, הן לענין כמות האקדחים בה עסקינן, הן לענין הגניבה מהמעביד, הן לגבי ההתפרצות דהיינו, התחכום בביצוע העבירות הנזכרות לעיל </w:t>
      </w:r>
      <w:r w:rsidRPr="00740490">
        <w:rPr>
          <w:rtl/>
        </w:rPr>
        <w:t>והפרת האמון של מעבידו. בנוסף, לג'יריס יוחס גם שיבוש מהלכי משפט, בשונה מהנאשם</w:t>
      </w:r>
      <w:r w:rsidRPr="00724E2B">
        <w:rPr>
          <w:rtl/>
        </w:rPr>
        <w:t xml:space="preserve"> שבפני. מאידך גיסא, לגבי מידת ההפחתה בענישה, אני רואה ליתן ביטוי לכך שג'יריס הוא שחשף את חלקו של הנאשם במסגרת הודייתו הכוללת בחקירה ובבית המשפט, וכי הנאשם העביר את האקדחים לאדם אחר, אם כי האחרון החזירם מיד לכשנתבקש.</w:t>
      </w:r>
    </w:p>
    <w:p w14:paraId="4C7B68B5" w14:textId="77777777" w:rsidR="00014E3D" w:rsidRPr="00724E2B" w:rsidRDefault="00014E3D" w:rsidP="00014E3D">
      <w:pPr>
        <w:ind w:left="720" w:hanging="720"/>
        <w:jc w:val="both"/>
        <w:rPr>
          <w:rtl/>
        </w:rPr>
      </w:pPr>
    </w:p>
    <w:p w14:paraId="356CC604" w14:textId="77777777" w:rsidR="00014E3D" w:rsidRPr="00724E2B" w:rsidRDefault="00014E3D" w:rsidP="00014E3D">
      <w:pPr>
        <w:spacing w:line="360" w:lineRule="auto"/>
        <w:ind w:left="720" w:hanging="720"/>
        <w:jc w:val="both"/>
        <w:rPr>
          <w:rtl/>
        </w:rPr>
      </w:pPr>
      <w:r w:rsidRPr="00724E2B">
        <w:rPr>
          <w:b/>
          <w:bCs/>
          <w:rtl/>
        </w:rPr>
        <w:t>14.</w:t>
      </w:r>
      <w:r>
        <w:rPr>
          <w:rtl/>
        </w:rPr>
        <w:tab/>
        <w:t>על יסוד כל האמור לעיל,</w:t>
      </w:r>
      <w:r>
        <w:rPr>
          <w:rFonts w:hint="cs"/>
          <w:rtl/>
        </w:rPr>
        <w:t xml:space="preserve"> בהתחשב בכל השיקולים לחומרא ולקולא, וכן בעיקרון של </w:t>
      </w:r>
      <w:r>
        <w:rPr>
          <w:rtl/>
        </w:rPr>
        <w:t>אחידות הענישה</w:t>
      </w:r>
      <w:r>
        <w:rPr>
          <w:rFonts w:hint="cs"/>
          <w:rtl/>
        </w:rPr>
        <w:t xml:space="preserve">, </w:t>
      </w:r>
      <w:r w:rsidRPr="00724E2B">
        <w:rPr>
          <w:rtl/>
        </w:rPr>
        <w:t>אני גוזרת על הנאשם עונשים כדלהלן:</w:t>
      </w:r>
    </w:p>
    <w:p w14:paraId="28F54E43" w14:textId="77777777" w:rsidR="00014E3D" w:rsidRPr="00724E2B" w:rsidRDefault="00014E3D" w:rsidP="00014E3D">
      <w:pPr>
        <w:ind w:left="720" w:hanging="720"/>
        <w:jc w:val="both"/>
        <w:rPr>
          <w:rtl/>
        </w:rPr>
      </w:pPr>
    </w:p>
    <w:p w14:paraId="65C82CC4" w14:textId="77777777" w:rsidR="00014E3D" w:rsidRPr="00724E2B" w:rsidRDefault="00014E3D" w:rsidP="00014E3D">
      <w:pPr>
        <w:spacing w:line="360" w:lineRule="auto"/>
        <w:ind w:left="720"/>
        <w:jc w:val="both"/>
        <w:rPr>
          <w:rtl/>
        </w:rPr>
      </w:pPr>
      <w:r w:rsidRPr="00724E2B">
        <w:rPr>
          <w:b/>
          <w:bCs/>
          <w:rtl/>
        </w:rPr>
        <w:t>א.</w:t>
      </w:r>
      <w:r w:rsidRPr="00724E2B">
        <w:rPr>
          <w:rtl/>
        </w:rPr>
        <w:t xml:space="preserve">  20 חודשי מאסר בפועל, בניכוי ימי מעצרו החל מיום 25/12/14 ועד ליום 15/1/15. </w:t>
      </w:r>
    </w:p>
    <w:p w14:paraId="4B6A3F88" w14:textId="77777777" w:rsidR="00014E3D" w:rsidRPr="00724E2B" w:rsidRDefault="00014E3D" w:rsidP="00014E3D">
      <w:pPr>
        <w:spacing w:line="360" w:lineRule="auto"/>
        <w:ind w:left="720"/>
        <w:jc w:val="both"/>
        <w:rPr>
          <w:sz w:val="16"/>
          <w:szCs w:val="16"/>
        </w:rPr>
      </w:pPr>
    </w:p>
    <w:p w14:paraId="46142690" w14:textId="77777777" w:rsidR="00014E3D" w:rsidRPr="00724E2B" w:rsidRDefault="00014E3D" w:rsidP="00014E3D">
      <w:pPr>
        <w:spacing w:line="360" w:lineRule="auto"/>
        <w:ind w:left="720"/>
        <w:jc w:val="both"/>
        <w:rPr>
          <w:rtl/>
        </w:rPr>
      </w:pPr>
      <w:r w:rsidRPr="00724E2B">
        <w:rPr>
          <w:rtl/>
        </w:rPr>
        <w:t xml:space="preserve">הנאשם יתייצב לתחילת ריצוי מאסרו בבית המעצר "קישון" ביום 15/3/16 בשעה 8:00, או על פי החלטת שב"ס, כשברשותו תעודת זהות או דרכון. עד לתחילת ריצוי המאסר ימשיכו לחול על הנאשם התנאים המגבילים החלים עליו כיום. </w:t>
      </w:r>
    </w:p>
    <w:p w14:paraId="0E183A35" w14:textId="77777777" w:rsidR="00014E3D" w:rsidRPr="00724E2B" w:rsidRDefault="00014E3D" w:rsidP="00014E3D">
      <w:pPr>
        <w:spacing w:line="360" w:lineRule="auto"/>
        <w:ind w:left="720"/>
        <w:jc w:val="both"/>
        <w:rPr>
          <w:sz w:val="10"/>
          <w:szCs w:val="10"/>
          <w:rtl/>
        </w:rPr>
      </w:pPr>
    </w:p>
    <w:p w14:paraId="527DB934" w14:textId="77777777" w:rsidR="00014E3D" w:rsidRPr="00724E2B" w:rsidRDefault="00014E3D" w:rsidP="00014E3D">
      <w:pPr>
        <w:ind w:left="720" w:hanging="720"/>
        <w:jc w:val="both"/>
        <w:rPr>
          <w:rtl/>
        </w:rPr>
      </w:pPr>
    </w:p>
    <w:p w14:paraId="3C36D157" w14:textId="77777777" w:rsidR="00014E3D" w:rsidRPr="00724E2B" w:rsidRDefault="00014E3D" w:rsidP="00014E3D">
      <w:pPr>
        <w:spacing w:line="360" w:lineRule="auto"/>
        <w:ind w:left="720"/>
        <w:jc w:val="both"/>
        <w:rPr>
          <w:rtl/>
        </w:rPr>
      </w:pPr>
      <w:r w:rsidRPr="00724E2B">
        <w:rPr>
          <w:b/>
          <w:bCs/>
          <w:rtl/>
        </w:rPr>
        <w:t>ב.</w:t>
      </w:r>
      <w:r w:rsidRPr="00724E2B">
        <w:rPr>
          <w:rtl/>
        </w:rPr>
        <w:t xml:space="preserve">  מאסר על תנאי למשך 18 חודשים, שהנאשם לא ישא בו זולת אם יעבור במשך 3 שנים  מיום שחרורו עבירה בה הורשע, או כל עבירת או רכוש מסוג פשע ויורשע בה בתוך תקופת התנאי או לאחריה. </w:t>
      </w:r>
    </w:p>
    <w:p w14:paraId="1E09BB18" w14:textId="77777777" w:rsidR="00014E3D" w:rsidRPr="00724E2B" w:rsidRDefault="00014E3D" w:rsidP="00014E3D">
      <w:pPr>
        <w:spacing w:line="360" w:lineRule="auto"/>
        <w:ind w:left="720" w:hanging="720"/>
        <w:jc w:val="both"/>
        <w:rPr>
          <w:b/>
          <w:bCs/>
          <w:rtl/>
        </w:rPr>
      </w:pPr>
    </w:p>
    <w:p w14:paraId="765B3BF1" w14:textId="77777777" w:rsidR="00014E3D" w:rsidRPr="00724E2B" w:rsidRDefault="00014E3D" w:rsidP="00014E3D">
      <w:pPr>
        <w:spacing w:line="360" w:lineRule="auto"/>
        <w:ind w:left="720" w:hanging="720"/>
        <w:jc w:val="both"/>
        <w:rPr>
          <w:b/>
          <w:bCs/>
          <w:u w:val="single"/>
          <w:rtl/>
        </w:rPr>
      </w:pPr>
      <w:r w:rsidRPr="00724E2B">
        <w:rPr>
          <w:b/>
          <w:bCs/>
          <w:rtl/>
        </w:rPr>
        <w:tab/>
      </w:r>
      <w:r w:rsidRPr="00724E2B">
        <w:rPr>
          <w:b/>
          <w:bCs/>
          <w:u w:val="single"/>
          <w:rtl/>
        </w:rPr>
        <w:t>זכות ערעור לבית המשפט העליון בתוך 45 יום</w:t>
      </w:r>
      <w:r w:rsidRPr="00724E2B">
        <w:rPr>
          <w:b/>
          <w:bCs/>
          <w:rtl/>
        </w:rPr>
        <w:t>.</w:t>
      </w:r>
    </w:p>
    <w:p w14:paraId="25177D8B" w14:textId="77777777" w:rsidR="00014E3D" w:rsidRPr="00724E2B" w:rsidRDefault="00014E3D" w:rsidP="00014E3D">
      <w:pPr>
        <w:spacing w:line="360" w:lineRule="auto"/>
        <w:jc w:val="both"/>
        <w:rPr>
          <w:rFonts w:cs="Arial"/>
          <w:b/>
          <w:bCs/>
          <w:szCs w:val="22"/>
          <w:u w:val="single"/>
          <w:rtl/>
        </w:rPr>
      </w:pPr>
    </w:p>
    <w:p w14:paraId="1138140B" w14:textId="77777777" w:rsidR="00014E3D" w:rsidRPr="005C475C" w:rsidRDefault="005C475C" w:rsidP="00014E3D">
      <w:pPr>
        <w:rPr>
          <w:rFonts w:cs="Times New Roman"/>
          <w:color w:val="FFFFFF"/>
          <w:sz w:val="2"/>
          <w:szCs w:val="2"/>
          <w:rtl/>
        </w:rPr>
      </w:pPr>
      <w:r w:rsidRPr="005C475C">
        <w:rPr>
          <w:rFonts w:cs="Times New Roman"/>
          <w:color w:val="FFFFFF"/>
          <w:sz w:val="2"/>
          <w:szCs w:val="2"/>
          <w:rtl/>
        </w:rPr>
        <w:t>5129371</w:t>
      </w:r>
    </w:p>
    <w:p w14:paraId="2F65959B" w14:textId="77777777" w:rsidR="00014E3D" w:rsidRDefault="005C475C" w:rsidP="00014E3D">
      <w:pPr>
        <w:rPr>
          <w:rFonts w:cs="FrankRuehl"/>
          <w:sz w:val="28"/>
          <w:szCs w:val="28"/>
          <w:rtl/>
        </w:rPr>
      </w:pPr>
      <w:r w:rsidRPr="005C475C">
        <w:rPr>
          <w:rFonts w:ascii="Arial" w:hAnsi="Arial"/>
          <w:color w:val="FFFFFF"/>
          <w:sz w:val="2"/>
          <w:szCs w:val="2"/>
          <w:rtl/>
        </w:rPr>
        <w:t>54678313</w:t>
      </w:r>
      <w:r>
        <w:rPr>
          <w:rFonts w:ascii="Arial" w:hAnsi="Arial"/>
          <w:rtl/>
        </w:rPr>
        <w:t xml:space="preserve">ניתן היום,  כ' אדר א' תשע"ו, 29 פברואר 2016.  </w:t>
      </w:r>
    </w:p>
    <w:p w14:paraId="67292A35" w14:textId="77777777" w:rsidR="00014E3D" w:rsidRDefault="00014E3D" w:rsidP="00014E3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145175C" w14:textId="77777777" w:rsidR="00014E3D" w:rsidRDefault="00014E3D" w:rsidP="00014E3D">
      <w:pPr>
        <w:jc w:val="center"/>
        <w:rPr>
          <w:rFonts w:ascii="Arial" w:hAnsi="Arial" w:cs="FrankRuehl"/>
          <w:sz w:val="28"/>
          <w:szCs w:val="28"/>
          <w:rtl/>
        </w:rPr>
      </w:pPr>
    </w:p>
    <w:p w14:paraId="429DF1AC" w14:textId="77777777" w:rsidR="00014E3D" w:rsidRDefault="00014E3D" w:rsidP="00014E3D">
      <w:pPr>
        <w:rPr>
          <w:rFonts w:cs="FrankRuehl"/>
          <w:sz w:val="28"/>
          <w:szCs w:val="28"/>
          <w:rtl/>
        </w:rPr>
      </w:pPr>
    </w:p>
    <w:p w14:paraId="404D37BD" w14:textId="77777777" w:rsidR="00014E3D" w:rsidRDefault="00014E3D" w:rsidP="00014E3D">
      <w:pPr>
        <w:pStyle w:val="a3"/>
        <w:jc w:val="center"/>
        <w:rPr>
          <w:rtl/>
        </w:rPr>
      </w:pPr>
    </w:p>
    <w:p w14:paraId="6D6028D8" w14:textId="77777777" w:rsidR="005C475C" w:rsidRPr="005C475C" w:rsidRDefault="005C475C" w:rsidP="005C475C">
      <w:pPr>
        <w:keepNext/>
        <w:rPr>
          <w:rFonts w:ascii="David" w:hAnsi="David"/>
          <w:color w:val="000000"/>
          <w:sz w:val="22"/>
          <w:szCs w:val="22"/>
          <w:rtl/>
        </w:rPr>
      </w:pPr>
    </w:p>
    <w:p w14:paraId="1D0BE8D9" w14:textId="77777777" w:rsidR="005C475C" w:rsidRPr="005C475C" w:rsidRDefault="005C475C" w:rsidP="005C475C">
      <w:pPr>
        <w:keepNext/>
        <w:rPr>
          <w:rFonts w:ascii="David" w:hAnsi="David"/>
          <w:color w:val="000000"/>
          <w:sz w:val="22"/>
          <w:szCs w:val="22"/>
          <w:rtl/>
        </w:rPr>
      </w:pPr>
      <w:r w:rsidRPr="005C475C">
        <w:rPr>
          <w:rFonts w:ascii="David" w:hAnsi="David"/>
          <w:color w:val="000000"/>
          <w:sz w:val="22"/>
          <w:szCs w:val="22"/>
          <w:rtl/>
        </w:rPr>
        <w:t>דיאנה סלע 54678313</w:t>
      </w:r>
    </w:p>
    <w:p w14:paraId="6CF08267" w14:textId="77777777" w:rsidR="005C475C" w:rsidRDefault="005C475C" w:rsidP="005C475C">
      <w:r w:rsidRPr="005C475C">
        <w:rPr>
          <w:color w:val="000000"/>
          <w:rtl/>
        </w:rPr>
        <w:t>נוסח מסמך זה כפוף לשינויי ניסוח ועריכה</w:t>
      </w:r>
    </w:p>
    <w:p w14:paraId="61C7A4C0" w14:textId="77777777" w:rsidR="005C475C" w:rsidRDefault="005C475C" w:rsidP="005C475C">
      <w:pPr>
        <w:rPr>
          <w:rtl/>
        </w:rPr>
      </w:pPr>
    </w:p>
    <w:p w14:paraId="430832FD" w14:textId="77777777" w:rsidR="005C475C" w:rsidRDefault="005C475C" w:rsidP="005C475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2C98FA90" w14:textId="77777777" w:rsidR="00B1215F" w:rsidRPr="005C475C" w:rsidRDefault="00B1215F" w:rsidP="005C475C">
      <w:pPr>
        <w:jc w:val="center"/>
        <w:rPr>
          <w:color w:val="0000FF"/>
          <w:u w:val="single"/>
        </w:rPr>
      </w:pPr>
    </w:p>
    <w:sectPr w:rsidR="00B1215F" w:rsidRPr="005C475C" w:rsidSect="005C475C">
      <w:headerReference w:type="even" r:id="rId49"/>
      <w:headerReference w:type="default" r:id="rId50"/>
      <w:footerReference w:type="even" r:id="rId51"/>
      <w:footerReference w:type="default" r:id="rId52"/>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A9A69" w14:textId="77777777" w:rsidR="00F25351" w:rsidRDefault="00F25351">
      <w:r>
        <w:separator/>
      </w:r>
    </w:p>
  </w:endnote>
  <w:endnote w:type="continuationSeparator" w:id="0">
    <w:p w14:paraId="309FC99B" w14:textId="77777777" w:rsidR="00F25351" w:rsidRDefault="00F25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ED7A5" w14:textId="77777777" w:rsidR="00E217B4" w:rsidRDefault="00E217B4" w:rsidP="005C475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23AD6E" w14:textId="77777777" w:rsidR="00E217B4" w:rsidRPr="005C475C" w:rsidRDefault="00E217B4" w:rsidP="005C475C">
    <w:pPr>
      <w:pStyle w:val="a4"/>
      <w:pBdr>
        <w:top w:val="single" w:sz="4" w:space="1" w:color="auto"/>
        <w:between w:val="single" w:sz="4" w:space="0" w:color="auto"/>
      </w:pBdr>
      <w:spacing w:after="60"/>
      <w:jc w:val="center"/>
      <w:rPr>
        <w:rFonts w:ascii="FrankRuehl" w:hAnsi="FrankRuehl" w:cs="FrankRuehl"/>
        <w:color w:val="000000"/>
      </w:rPr>
    </w:pPr>
    <w:r w:rsidRPr="005C47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6FDE0" w14:textId="77777777" w:rsidR="00E217B4" w:rsidRDefault="00E217B4" w:rsidP="005C475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3235">
      <w:rPr>
        <w:rFonts w:ascii="FrankRuehl" w:hAnsi="FrankRuehl" w:cs="FrankRuehl"/>
        <w:noProof/>
        <w:rtl/>
      </w:rPr>
      <w:t>1</w:t>
    </w:r>
    <w:r>
      <w:rPr>
        <w:rFonts w:ascii="FrankRuehl" w:hAnsi="FrankRuehl" w:cs="FrankRuehl"/>
        <w:rtl/>
      </w:rPr>
      <w:fldChar w:fldCharType="end"/>
    </w:r>
  </w:p>
  <w:p w14:paraId="04E641DC" w14:textId="77777777" w:rsidR="00E217B4" w:rsidRPr="005C475C" w:rsidRDefault="00E217B4" w:rsidP="005C475C">
    <w:pPr>
      <w:pStyle w:val="a4"/>
      <w:pBdr>
        <w:top w:val="single" w:sz="4" w:space="1" w:color="auto"/>
        <w:between w:val="single" w:sz="4" w:space="0" w:color="auto"/>
      </w:pBdr>
      <w:spacing w:after="60"/>
      <w:jc w:val="center"/>
      <w:rPr>
        <w:rFonts w:ascii="FrankRuehl" w:hAnsi="FrankRuehl" w:cs="FrankRuehl"/>
        <w:color w:val="000000"/>
      </w:rPr>
    </w:pPr>
    <w:r w:rsidRPr="005C475C">
      <w:rPr>
        <w:rFonts w:ascii="FrankRuehl" w:hAnsi="FrankRuehl" w:cs="FrankRuehl"/>
        <w:color w:val="000000"/>
      </w:rPr>
      <w:pict w14:anchorId="35C41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6B3EE" w14:textId="77777777" w:rsidR="00F25351" w:rsidRDefault="00F25351">
      <w:r>
        <w:separator/>
      </w:r>
    </w:p>
  </w:footnote>
  <w:footnote w:type="continuationSeparator" w:id="0">
    <w:p w14:paraId="1646848D" w14:textId="77777777" w:rsidR="00F25351" w:rsidRDefault="00F25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4260" w14:textId="77777777" w:rsidR="00E217B4" w:rsidRPr="005C475C" w:rsidRDefault="00E217B4" w:rsidP="005C47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17919-01-15</w:t>
    </w:r>
    <w:r>
      <w:rPr>
        <w:rFonts w:ascii="David" w:hAnsi="David"/>
        <w:color w:val="000000"/>
        <w:sz w:val="22"/>
        <w:szCs w:val="22"/>
        <w:rtl/>
      </w:rPr>
      <w:tab/>
      <w:t xml:space="preserve"> מדינת ישראל נ' רבאח חאג'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A763" w14:textId="77777777" w:rsidR="00E217B4" w:rsidRPr="005C475C" w:rsidRDefault="00E217B4" w:rsidP="005C47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17919-01-15</w:t>
    </w:r>
    <w:r>
      <w:rPr>
        <w:rFonts w:ascii="David" w:hAnsi="David"/>
        <w:color w:val="000000"/>
        <w:sz w:val="22"/>
        <w:szCs w:val="22"/>
        <w:rtl/>
      </w:rPr>
      <w:tab/>
      <w:t xml:space="preserve"> מדינת ישראל נ' רבאח חאג'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14E3D"/>
    <w:rsid w:val="00014E3D"/>
    <w:rsid w:val="00031C3F"/>
    <w:rsid w:val="00174FB2"/>
    <w:rsid w:val="001B57B0"/>
    <w:rsid w:val="00371CD2"/>
    <w:rsid w:val="005C475C"/>
    <w:rsid w:val="005E78A6"/>
    <w:rsid w:val="00837896"/>
    <w:rsid w:val="00850348"/>
    <w:rsid w:val="00B1215F"/>
    <w:rsid w:val="00B268D4"/>
    <w:rsid w:val="00C73235"/>
    <w:rsid w:val="00CB720D"/>
    <w:rsid w:val="00E217B4"/>
    <w:rsid w:val="00F253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F447D7"/>
  <w15:chartTrackingRefBased/>
  <w15:docId w15:val="{71BFC3FF-0B67-4941-BFB9-53B1B53F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4E3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14E3D"/>
    <w:pPr>
      <w:tabs>
        <w:tab w:val="center" w:pos="4153"/>
        <w:tab w:val="right" w:pos="8306"/>
      </w:tabs>
    </w:pPr>
  </w:style>
  <w:style w:type="paragraph" w:styleId="a4">
    <w:name w:val="footer"/>
    <w:basedOn w:val="a"/>
    <w:rsid w:val="00014E3D"/>
    <w:pPr>
      <w:tabs>
        <w:tab w:val="center" w:pos="4153"/>
        <w:tab w:val="right" w:pos="8306"/>
      </w:tabs>
    </w:pPr>
  </w:style>
  <w:style w:type="character" w:styleId="a5">
    <w:name w:val="page number"/>
    <w:basedOn w:val="a0"/>
    <w:rsid w:val="00014E3D"/>
  </w:style>
  <w:style w:type="character" w:customStyle="1" w:styleId="TimesNewRomanTimesNewRoman">
    <w:name w:val="סגנון (לטיני) Times New Roman (עברית ושפות אחרות) Times New Roman..."/>
    <w:rsid w:val="00014E3D"/>
    <w:rPr>
      <w:rFonts w:ascii="Times New Roman" w:hAnsi="Times New Roman" w:cs="David" w:hint="default"/>
      <w:b/>
      <w:bCs/>
      <w:sz w:val="26"/>
      <w:szCs w:val="26"/>
    </w:rPr>
  </w:style>
  <w:style w:type="character" w:styleId="Hyperlink">
    <w:name w:val="Hyperlink"/>
    <w:rsid w:val="005C4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5815848" TargetMode="External"/><Relationship Id="rId39" Type="http://schemas.openxmlformats.org/officeDocument/2006/relationships/hyperlink" Target="http://www.nevo.co.il/case/5993616" TargetMode="External"/><Relationship Id="rId21" Type="http://schemas.openxmlformats.org/officeDocument/2006/relationships/hyperlink" Target="http://www.nevo.co.il/case/5707014" TargetMode="External"/><Relationship Id="rId34" Type="http://schemas.openxmlformats.org/officeDocument/2006/relationships/hyperlink" Target="http://www.nevo.co.il/case/5724364" TargetMode="External"/><Relationship Id="rId42" Type="http://schemas.openxmlformats.org/officeDocument/2006/relationships/hyperlink" Target="http://www.nevo.co.il/case/6036707" TargetMode="External"/><Relationship Id="rId47" Type="http://schemas.openxmlformats.org/officeDocument/2006/relationships/hyperlink" Target="http://www.nevo.co.il/case/6155180" TargetMode="External"/><Relationship Id="rId50" Type="http://schemas.openxmlformats.org/officeDocument/2006/relationships/header" Target="header2.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5762686"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821328" TargetMode="External"/><Relationship Id="rId37" Type="http://schemas.openxmlformats.org/officeDocument/2006/relationships/hyperlink" Target="http://www.nevo.co.il/case/6473037" TargetMode="External"/><Relationship Id="rId40" Type="http://schemas.openxmlformats.org/officeDocument/2006/relationships/hyperlink" Target="http://www.nevo.co.il/case/914462" TargetMode="External"/><Relationship Id="rId45" Type="http://schemas.openxmlformats.org/officeDocument/2006/relationships/hyperlink" Target="http://www.nevo.co.il/case/5880417"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144.b"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5821327" TargetMode="External"/><Relationship Id="rId44" Type="http://schemas.openxmlformats.org/officeDocument/2006/relationships/hyperlink" Target="http://www.nevo.co.il/case/5820942"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5982047" TargetMode="External"/><Relationship Id="rId30" Type="http://schemas.openxmlformats.org/officeDocument/2006/relationships/hyperlink" Target="http://www.nevo.co.il/case/5716796" TargetMode="External"/><Relationship Id="rId35" Type="http://schemas.openxmlformats.org/officeDocument/2006/relationships/hyperlink" Target="http://www.nevo.co.il/case/5887664" TargetMode="External"/><Relationship Id="rId43" Type="http://schemas.openxmlformats.org/officeDocument/2006/relationships/hyperlink" Target="http://www.nevo.co.il/case/593366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7939098" TargetMode="External"/><Relationship Id="rId33" Type="http://schemas.openxmlformats.org/officeDocument/2006/relationships/hyperlink" Target="http://www.nevo.co.il/case/6034921" TargetMode="External"/><Relationship Id="rId38" Type="http://schemas.openxmlformats.org/officeDocument/2006/relationships/hyperlink" Target="http://www.nevo.co.il/case/5969313"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5747837" TargetMode="External"/><Relationship Id="rId41" Type="http://schemas.openxmlformats.org/officeDocument/2006/relationships/hyperlink" Target="http://www.nevo.co.il/case/5979891"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585240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3617</Words>
  <Characters>18088</Characters>
  <Application>Microsoft Office Word</Application>
  <DocSecurity>0</DocSecurity>
  <Lines>150</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21662</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3276920</vt:i4>
      </vt:variant>
      <vt:variant>
        <vt:i4>123</vt:i4>
      </vt:variant>
      <vt:variant>
        <vt:i4>0</vt:i4>
      </vt:variant>
      <vt:variant>
        <vt:i4>5</vt:i4>
      </vt:variant>
      <vt:variant>
        <vt:lpwstr>http://www.nevo.co.il/case/6155180</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4063357</vt:i4>
      </vt:variant>
      <vt:variant>
        <vt:i4>117</vt:i4>
      </vt:variant>
      <vt:variant>
        <vt:i4>0</vt:i4>
      </vt:variant>
      <vt:variant>
        <vt:i4>5</vt:i4>
      </vt:variant>
      <vt:variant>
        <vt:lpwstr>http://www.nevo.co.il/case/5880417</vt:lpwstr>
      </vt:variant>
      <vt:variant>
        <vt:lpwstr/>
      </vt:variant>
      <vt:variant>
        <vt:i4>3932280</vt:i4>
      </vt:variant>
      <vt:variant>
        <vt:i4>114</vt:i4>
      </vt:variant>
      <vt:variant>
        <vt:i4>0</vt:i4>
      </vt:variant>
      <vt:variant>
        <vt:i4>5</vt:i4>
      </vt:variant>
      <vt:variant>
        <vt:lpwstr>http://www.nevo.co.il/case/5820942</vt:lpwstr>
      </vt:variant>
      <vt:variant>
        <vt:lpwstr/>
      </vt:variant>
      <vt:variant>
        <vt:i4>3407992</vt:i4>
      </vt:variant>
      <vt:variant>
        <vt:i4>111</vt:i4>
      </vt:variant>
      <vt:variant>
        <vt:i4>0</vt:i4>
      </vt:variant>
      <vt:variant>
        <vt:i4>5</vt:i4>
      </vt:variant>
      <vt:variant>
        <vt:lpwstr>http://www.nevo.co.il/case/5933664</vt:lpwstr>
      </vt:variant>
      <vt:variant>
        <vt:lpwstr/>
      </vt:variant>
      <vt:variant>
        <vt:i4>3473522</vt:i4>
      </vt:variant>
      <vt:variant>
        <vt:i4>108</vt:i4>
      </vt:variant>
      <vt:variant>
        <vt:i4>0</vt:i4>
      </vt:variant>
      <vt:variant>
        <vt:i4>5</vt:i4>
      </vt:variant>
      <vt:variant>
        <vt:lpwstr>http://www.nevo.co.il/case/6036707</vt:lpwstr>
      </vt:variant>
      <vt:variant>
        <vt:lpwstr/>
      </vt:variant>
      <vt:variant>
        <vt:i4>3866749</vt:i4>
      </vt:variant>
      <vt:variant>
        <vt:i4>105</vt:i4>
      </vt:variant>
      <vt:variant>
        <vt:i4>0</vt:i4>
      </vt:variant>
      <vt:variant>
        <vt:i4>5</vt:i4>
      </vt:variant>
      <vt:variant>
        <vt:lpwstr>http://www.nevo.co.il/case/5979891</vt:lpwstr>
      </vt:variant>
      <vt:variant>
        <vt:lpwstr/>
      </vt:variant>
      <vt:variant>
        <vt:i4>720961</vt:i4>
      </vt:variant>
      <vt:variant>
        <vt:i4>102</vt:i4>
      </vt:variant>
      <vt:variant>
        <vt:i4>0</vt:i4>
      </vt:variant>
      <vt:variant>
        <vt:i4>5</vt:i4>
      </vt:variant>
      <vt:variant>
        <vt:lpwstr>http://www.nevo.co.il/case/914462</vt:lpwstr>
      </vt:variant>
      <vt:variant>
        <vt:lpwstr/>
      </vt:variant>
      <vt:variant>
        <vt:i4>3932287</vt:i4>
      </vt:variant>
      <vt:variant>
        <vt:i4>99</vt:i4>
      </vt:variant>
      <vt:variant>
        <vt:i4>0</vt:i4>
      </vt:variant>
      <vt:variant>
        <vt:i4>5</vt:i4>
      </vt:variant>
      <vt:variant>
        <vt:lpwstr>http://www.nevo.co.il/case/5993616</vt:lpwstr>
      </vt:variant>
      <vt:variant>
        <vt:lpwstr/>
      </vt:variant>
      <vt:variant>
        <vt:i4>3342453</vt:i4>
      </vt:variant>
      <vt:variant>
        <vt:i4>96</vt:i4>
      </vt:variant>
      <vt:variant>
        <vt:i4>0</vt:i4>
      </vt:variant>
      <vt:variant>
        <vt:i4>5</vt:i4>
      </vt:variant>
      <vt:variant>
        <vt:lpwstr>http://www.nevo.co.il/case/5969313</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3145854</vt:i4>
      </vt:variant>
      <vt:variant>
        <vt:i4>90</vt:i4>
      </vt:variant>
      <vt:variant>
        <vt:i4>0</vt:i4>
      </vt:variant>
      <vt:variant>
        <vt:i4>5</vt:i4>
      </vt:variant>
      <vt:variant>
        <vt:lpwstr>http://www.nevo.co.il/case/5852404</vt:lpwstr>
      </vt:variant>
      <vt:variant>
        <vt:lpwstr/>
      </vt:variant>
      <vt:variant>
        <vt:i4>4128893</vt:i4>
      </vt:variant>
      <vt:variant>
        <vt:i4>87</vt:i4>
      </vt:variant>
      <vt:variant>
        <vt:i4>0</vt:i4>
      </vt:variant>
      <vt:variant>
        <vt:i4>5</vt:i4>
      </vt:variant>
      <vt:variant>
        <vt:lpwstr>http://www.nevo.co.il/case/5887664</vt:lpwstr>
      </vt:variant>
      <vt:variant>
        <vt:lpwstr/>
      </vt:variant>
      <vt:variant>
        <vt:i4>3145841</vt:i4>
      </vt:variant>
      <vt:variant>
        <vt:i4>84</vt:i4>
      </vt:variant>
      <vt:variant>
        <vt:i4>0</vt:i4>
      </vt:variant>
      <vt:variant>
        <vt:i4>5</vt:i4>
      </vt:variant>
      <vt:variant>
        <vt:lpwstr>http://www.nevo.co.il/case/5724364</vt:lpwstr>
      </vt:variant>
      <vt:variant>
        <vt:lpwstr/>
      </vt:variant>
      <vt:variant>
        <vt:i4>3997810</vt:i4>
      </vt:variant>
      <vt:variant>
        <vt:i4>81</vt:i4>
      </vt:variant>
      <vt:variant>
        <vt:i4>0</vt:i4>
      </vt:variant>
      <vt:variant>
        <vt:i4>5</vt:i4>
      </vt:variant>
      <vt:variant>
        <vt:lpwstr>http://www.nevo.co.il/case/6034921</vt:lpwstr>
      </vt:variant>
      <vt:variant>
        <vt:lpwstr/>
      </vt:variant>
      <vt:variant>
        <vt:i4>3932287</vt:i4>
      </vt:variant>
      <vt:variant>
        <vt:i4>78</vt:i4>
      </vt:variant>
      <vt:variant>
        <vt:i4>0</vt:i4>
      </vt:variant>
      <vt:variant>
        <vt:i4>5</vt:i4>
      </vt:variant>
      <vt:variant>
        <vt:lpwstr>http://www.nevo.co.il/case/5821328</vt:lpwstr>
      </vt:variant>
      <vt:variant>
        <vt:lpwstr/>
      </vt:variant>
      <vt:variant>
        <vt:i4>3342463</vt:i4>
      </vt:variant>
      <vt:variant>
        <vt:i4>75</vt:i4>
      </vt:variant>
      <vt:variant>
        <vt:i4>0</vt:i4>
      </vt:variant>
      <vt:variant>
        <vt:i4>5</vt:i4>
      </vt:variant>
      <vt:variant>
        <vt:lpwstr>http://www.nevo.co.il/case/5821327</vt:lpwstr>
      </vt:variant>
      <vt:variant>
        <vt:lpwstr/>
      </vt:variant>
      <vt:variant>
        <vt:i4>3473532</vt:i4>
      </vt:variant>
      <vt:variant>
        <vt:i4>72</vt:i4>
      </vt:variant>
      <vt:variant>
        <vt:i4>0</vt:i4>
      </vt:variant>
      <vt:variant>
        <vt:i4>5</vt:i4>
      </vt:variant>
      <vt:variant>
        <vt:lpwstr>http://www.nevo.co.il/case/5716796</vt:lpwstr>
      </vt:variant>
      <vt:variant>
        <vt:lpwstr/>
      </vt:variant>
      <vt:variant>
        <vt:i4>3342457</vt:i4>
      </vt:variant>
      <vt:variant>
        <vt:i4>69</vt:i4>
      </vt:variant>
      <vt:variant>
        <vt:i4>0</vt:i4>
      </vt:variant>
      <vt:variant>
        <vt:i4>5</vt:i4>
      </vt:variant>
      <vt:variant>
        <vt:lpwstr>http://www.nevo.co.il/case/5762686</vt:lpwstr>
      </vt:variant>
      <vt:variant>
        <vt:lpwstr/>
      </vt:variant>
      <vt:variant>
        <vt:i4>3342455</vt:i4>
      </vt:variant>
      <vt:variant>
        <vt:i4>66</vt:i4>
      </vt:variant>
      <vt:variant>
        <vt:i4>0</vt:i4>
      </vt:variant>
      <vt:variant>
        <vt:i4>5</vt:i4>
      </vt:variant>
      <vt:variant>
        <vt:lpwstr>http://www.nevo.co.il/case/6243627</vt:lpwstr>
      </vt:variant>
      <vt:variant>
        <vt:lpwstr/>
      </vt:variant>
      <vt:variant>
        <vt:i4>3801211</vt:i4>
      </vt:variant>
      <vt:variant>
        <vt:i4>63</vt:i4>
      </vt:variant>
      <vt:variant>
        <vt:i4>0</vt:i4>
      </vt:variant>
      <vt:variant>
        <vt:i4>5</vt:i4>
      </vt:variant>
      <vt:variant>
        <vt:lpwstr>http://www.nevo.co.il/case/5982047</vt:lpwstr>
      </vt:variant>
      <vt:variant>
        <vt:lpwstr/>
      </vt:variant>
      <vt:variant>
        <vt:i4>3407997</vt:i4>
      </vt:variant>
      <vt:variant>
        <vt:i4>60</vt:i4>
      </vt:variant>
      <vt:variant>
        <vt:i4>0</vt:i4>
      </vt:variant>
      <vt:variant>
        <vt:i4>5</vt:i4>
      </vt:variant>
      <vt:variant>
        <vt:lpwstr>http://www.nevo.co.il/case/5815848</vt:lpwstr>
      </vt:variant>
      <vt:variant>
        <vt:lpwstr/>
      </vt:variant>
      <vt:variant>
        <vt:i4>3670128</vt:i4>
      </vt:variant>
      <vt:variant>
        <vt:i4>57</vt:i4>
      </vt:variant>
      <vt:variant>
        <vt:i4>0</vt:i4>
      </vt:variant>
      <vt:variant>
        <vt:i4>5</vt:i4>
      </vt:variant>
      <vt:variant>
        <vt:lpwstr>http://www.nevo.co.il/case/17939098</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3211381</vt:i4>
      </vt:variant>
      <vt:variant>
        <vt:i4>45</vt:i4>
      </vt:variant>
      <vt:variant>
        <vt:i4>0</vt:i4>
      </vt:variant>
      <vt:variant>
        <vt:i4>5</vt:i4>
      </vt:variant>
      <vt:variant>
        <vt:lpwstr>http://www.nevo.co.il/case/5707014</vt:lpwstr>
      </vt:variant>
      <vt:variant>
        <vt:lpwstr/>
      </vt:variant>
      <vt:variant>
        <vt:i4>4063351</vt:i4>
      </vt:variant>
      <vt:variant>
        <vt:i4>42</vt:i4>
      </vt:variant>
      <vt:variant>
        <vt:i4>0</vt:i4>
      </vt:variant>
      <vt:variant>
        <vt:i4>5</vt:i4>
      </vt:variant>
      <vt:variant>
        <vt:lpwstr>http://www.nevo.co.il/case/5747837</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6357042</vt:i4>
      </vt:variant>
      <vt:variant>
        <vt:i4>36</vt:i4>
      </vt:variant>
      <vt:variant>
        <vt:i4>0</vt:i4>
      </vt:variant>
      <vt:variant>
        <vt:i4>5</vt:i4>
      </vt:variant>
      <vt:variant>
        <vt:lpwstr>http://www.nevo.co.il/law/70301/144.b.2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6357042</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17919</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רבאח חאג'</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20160229</vt:lpwstr>
  </property>
  <property fmtid="{D5CDD505-2E9C-101B-9397-08002B2CF9AE}" pid="13" name="TYPE_N_DATE">
    <vt:lpwstr>39020160229</vt:lpwstr>
  </property>
  <property fmtid="{D5CDD505-2E9C-101B-9397-08002B2CF9AE}" pid="14" name="WORDNUMPAGES">
    <vt:lpwstr>10</vt:lpwstr>
  </property>
  <property fmtid="{D5CDD505-2E9C-101B-9397-08002B2CF9AE}" pid="15" name="TYPE_ABS_DATE">
    <vt:lpwstr>390020160229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5747837;5707014;17939098;5815848;5982047;6243627;5762686;5716796;5821327;5821328;6034921;5724364;5887664;5852404;6473037;5969313;5993616;914462;5979891;6036707;5933664;5820942;5880417;6155180</vt:lpwstr>
  </property>
  <property fmtid="{D5CDD505-2E9C-101B-9397-08002B2CF9AE}" pid="36" name="LAWLISTTMP1">
    <vt:lpwstr>70301/499.a.1;144.a;144.b;144.b.2;029;040i;40ja</vt:lpwstr>
  </property>
</Properties>
</file>