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6"/>
        <w:gridCol w:w="3675"/>
      </w:tblGrid>
      <w:tr w:rsidR="00A53FB3" w:rsidRPr="00D40547" w14:paraId="1953C227" w14:textId="77777777" w:rsidTr="00D47BE0">
        <w:trPr>
          <w:trHeight w:hRule="exact" w:val="549"/>
          <w:jc w:val="center"/>
        </w:trPr>
        <w:tc>
          <w:tcPr>
            <w:tcW w:w="8721" w:type="dxa"/>
            <w:gridSpan w:val="2"/>
          </w:tcPr>
          <w:p w14:paraId="73E0FCEB" w14:textId="77777777" w:rsidR="00A53FB3" w:rsidRPr="00D40547" w:rsidRDefault="00D40547">
            <w:pPr>
              <w:pStyle w:val="a3"/>
              <w:jc w:val="center"/>
              <w:rPr>
                <w:rFonts w:ascii="Tahoma" w:hAnsi="Tahoma" w:cs="Tahoma"/>
                <w:color w:val="000080"/>
                <w:rtl/>
              </w:rPr>
            </w:pPr>
            <w:bookmarkStart w:id="0" w:name="LastJudge"/>
            <w:r w:rsidRPr="00D40547">
              <w:rPr>
                <w:rFonts w:ascii="Tahoma" w:hAnsi="Tahoma" w:cs="Tahoma"/>
                <w:b/>
                <w:bCs/>
                <w:color w:val="000080"/>
                <w:rtl/>
              </w:rPr>
              <w:t>בית המשפט המחוזי בחיפה</w:t>
            </w:r>
          </w:p>
        </w:tc>
      </w:tr>
      <w:tr w:rsidR="00A53FB3" w:rsidRPr="00D40547" w14:paraId="075722B4" w14:textId="77777777">
        <w:trPr>
          <w:trHeight w:val="337"/>
          <w:jc w:val="center"/>
        </w:trPr>
        <w:tc>
          <w:tcPr>
            <w:tcW w:w="5046" w:type="dxa"/>
          </w:tcPr>
          <w:p w14:paraId="3D4C1288" w14:textId="77777777" w:rsidR="00A53FB3" w:rsidRPr="00D40547" w:rsidRDefault="00D40547">
            <w:pPr>
              <w:rPr>
                <w:b/>
                <w:bCs/>
                <w:rtl/>
              </w:rPr>
            </w:pPr>
            <w:r w:rsidRPr="00D40547">
              <w:rPr>
                <w:b/>
                <w:bCs/>
                <w:rtl/>
              </w:rPr>
              <w:t>ת"פ</w:t>
            </w:r>
            <w:r w:rsidRPr="00D40547">
              <w:rPr>
                <w:rFonts w:hint="cs"/>
                <w:b/>
                <w:bCs/>
                <w:rtl/>
              </w:rPr>
              <w:t xml:space="preserve"> </w:t>
            </w:r>
            <w:r w:rsidRPr="00D40547">
              <w:rPr>
                <w:b/>
                <w:bCs/>
                <w:rtl/>
              </w:rPr>
              <w:t>27277-01-15</w:t>
            </w:r>
            <w:r w:rsidRPr="00D40547">
              <w:rPr>
                <w:rFonts w:hint="cs"/>
                <w:b/>
                <w:bCs/>
                <w:rtl/>
              </w:rPr>
              <w:t xml:space="preserve"> </w:t>
            </w:r>
            <w:r w:rsidRPr="00D40547">
              <w:rPr>
                <w:b/>
                <w:bCs/>
                <w:rtl/>
              </w:rPr>
              <w:t>מדינת ישראל נ' קעדאן</w:t>
            </w:r>
          </w:p>
          <w:p w14:paraId="2A6FC65F" w14:textId="77777777" w:rsidR="00A53FB3" w:rsidRPr="00D40547" w:rsidRDefault="00A53FB3">
            <w:pPr>
              <w:pStyle w:val="a3"/>
              <w:rPr>
                <w:rFonts w:cs="FrankRuehl"/>
                <w:sz w:val="28"/>
                <w:szCs w:val="28"/>
                <w:rtl/>
              </w:rPr>
            </w:pPr>
          </w:p>
        </w:tc>
        <w:tc>
          <w:tcPr>
            <w:tcW w:w="3675" w:type="dxa"/>
          </w:tcPr>
          <w:p w14:paraId="1D19F19F" w14:textId="77777777" w:rsidR="00A53FB3" w:rsidRPr="00D40547" w:rsidRDefault="00D40547">
            <w:pPr>
              <w:pStyle w:val="a3"/>
              <w:jc w:val="right"/>
              <w:rPr>
                <w:b/>
                <w:bCs/>
                <w:rtl/>
              </w:rPr>
            </w:pPr>
            <w:r w:rsidRPr="00D40547">
              <w:rPr>
                <w:rFonts w:hint="cs"/>
                <w:b/>
                <w:bCs/>
                <w:rtl/>
              </w:rPr>
              <w:t>16/9/15</w:t>
            </w:r>
          </w:p>
        </w:tc>
      </w:tr>
    </w:tbl>
    <w:p w14:paraId="34DB00E0" w14:textId="77777777" w:rsidR="00A53FB3" w:rsidRPr="00D40547" w:rsidRDefault="00D40547">
      <w:pPr>
        <w:pStyle w:val="a3"/>
        <w:rPr>
          <w:rtl/>
        </w:rPr>
      </w:pPr>
      <w:r w:rsidRPr="00D40547">
        <w:rPr>
          <w:rFonts w:hint="cs"/>
          <w:rtl/>
        </w:rPr>
        <w:t xml:space="preserve"> </w:t>
      </w:r>
    </w:p>
    <w:p w14:paraId="50BD4EAA" w14:textId="77777777" w:rsidR="00A53FB3" w:rsidRPr="00D40547" w:rsidRDefault="00A53FB3">
      <w:pPr>
        <w:pStyle w:val="12"/>
        <w:rPr>
          <w:u w:val="none"/>
          <w:rtl/>
        </w:rPr>
      </w:pPr>
    </w:p>
    <w:tbl>
      <w:tblPr>
        <w:bidiVisual/>
        <w:tblW w:w="8505" w:type="dxa"/>
        <w:tblInd w:w="297" w:type="dxa"/>
        <w:tblLook w:val="01E0" w:firstRow="1" w:lastRow="1" w:firstColumn="1" w:lastColumn="1" w:noHBand="0" w:noVBand="0"/>
      </w:tblPr>
      <w:tblGrid>
        <w:gridCol w:w="2583"/>
        <w:gridCol w:w="5867"/>
        <w:gridCol w:w="55"/>
      </w:tblGrid>
      <w:tr w:rsidR="00A53FB3" w:rsidRPr="00D40547" w14:paraId="6F64EE6B" w14:textId="77777777">
        <w:trPr>
          <w:gridAfter w:val="1"/>
          <w:wAfter w:w="55" w:type="dxa"/>
        </w:trPr>
        <w:tc>
          <w:tcPr>
            <w:tcW w:w="8450" w:type="dxa"/>
            <w:gridSpan w:val="2"/>
            <w:shd w:val="clear" w:color="auto" w:fill="auto"/>
          </w:tcPr>
          <w:p w14:paraId="097FBFEE" w14:textId="77777777" w:rsidR="00A53FB3" w:rsidRPr="00D40547" w:rsidRDefault="00D40547">
            <w:pPr>
              <w:spacing w:line="360" w:lineRule="auto"/>
              <w:rPr>
                <w:b/>
                <w:bCs/>
                <w:sz w:val="26"/>
                <w:szCs w:val="26"/>
                <w:rtl/>
              </w:rPr>
            </w:pPr>
            <w:r w:rsidRPr="00D40547">
              <w:rPr>
                <w:rFonts w:hint="cs"/>
                <w:b/>
                <w:bCs/>
                <w:sz w:val="26"/>
                <w:szCs w:val="26"/>
                <w:rtl/>
              </w:rPr>
              <w:t>בפני כב' ה</w:t>
            </w:r>
            <w:r w:rsidRPr="00D40547">
              <w:rPr>
                <w:rFonts w:hint="cs"/>
                <w:rtl/>
              </w:rPr>
              <w:t>שופט כמאל סעב</w:t>
            </w:r>
            <w:r w:rsidRPr="00D40547">
              <w:rPr>
                <w:rStyle w:val="TimesNewRomanTimesNewRoman"/>
                <w:rFonts w:hint="cs"/>
                <w:rtl/>
              </w:rPr>
              <w:t xml:space="preserve"> </w:t>
            </w:r>
          </w:p>
          <w:p w14:paraId="04F2BDB8" w14:textId="77777777" w:rsidR="00A53FB3" w:rsidRPr="00D40547" w:rsidRDefault="00A53FB3">
            <w:pPr>
              <w:spacing w:line="360" w:lineRule="auto"/>
              <w:rPr>
                <w:b/>
                <w:bCs/>
                <w:sz w:val="26"/>
                <w:szCs w:val="26"/>
              </w:rPr>
            </w:pPr>
          </w:p>
        </w:tc>
      </w:tr>
      <w:tr w:rsidR="00A53FB3" w:rsidRPr="00D40547" w14:paraId="4F25F582" w14:textId="77777777">
        <w:tc>
          <w:tcPr>
            <w:tcW w:w="2583" w:type="dxa"/>
            <w:shd w:val="clear" w:color="auto" w:fill="auto"/>
          </w:tcPr>
          <w:p w14:paraId="0E1B7004" w14:textId="77777777" w:rsidR="00A53FB3" w:rsidRPr="00D40547" w:rsidRDefault="00D40547">
            <w:pPr>
              <w:ind w:left="26"/>
              <w:rPr>
                <w:b/>
                <w:bCs/>
                <w:sz w:val="26"/>
                <w:szCs w:val="26"/>
              </w:rPr>
            </w:pPr>
            <w:bookmarkStart w:id="1" w:name="FirstAppellant"/>
            <w:r w:rsidRPr="00D40547">
              <w:rPr>
                <w:rFonts w:hint="cs"/>
                <w:b/>
                <w:bCs/>
                <w:sz w:val="26"/>
                <w:szCs w:val="26"/>
                <w:rtl/>
              </w:rPr>
              <w:t>ה</w:t>
            </w:r>
            <w:r w:rsidRPr="00D40547">
              <w:rPr>
                <w:rFonts w:hint="cs"/>
                <w:rtl/>
              </w:rPr>
              <w:t>מאשימה</w:t>
            </w:r>
          </w:p>
        </w:tc>
        <w:tc>
          <w:tcPr>
            <w:tcW w:w="5922" w:type="dxa"/>
            <w:gridSpan w:val="2"/>
            <w:shd w:val="clear" w:color="auto" w:fill="auto"/>
          </w:tcPr>
          <w:p w14:paraId="4DA507B8" w14:textId="77777777" w:rsidR="00A53FB3" w:rsidRPr="00D40547" w:rsidRDefault="00D40547">
            <w:pPr>
              <w:rPr>
                <w:b/>
                <w:bCs/>
                <w:sz w:val="26"/>
                <w:szCs w:val="26"/>
              </w:rPr>
            </w:pPr>
            <w:r w:rsidRPr="00D40547">
              <w:rPr>
                <w:rFonts w:hint="cs"/>
                <w:rtl/>
              </w:rPr>
              <w:t>מדינת ישראל</w:t>
            </w:r>
          </w:p>
        </w:tc>
      </w:tr>
      <w:bookmarkEnd w:id="1"/>
      <w:tr w:rsidR="00A53FB3" w:rsidRPr="00D40547" w14:paraId="7057A3EE" w14:textId="77777777">
        <w:tc>
          <w:tcPr>
            <w:tcW w:w="8505" w:type="dxa"/>
            <w:gridSpan w:val="3"/>
            <w:shd w:val="clear" w:color="auto" w:fill="auto"/>
          </w:tcPr>
          <w:p w14:paraId="7E4869FE" w14:textId="77777777" w:rsidR="00A53FB3" w:rsidRPr="00D40547" w:rsidRDefault="00A53FB3">
            <w:pPr>
              <w:jc w:val="center"/>
              <w:rPr>
                <w:rFonts w:ascii="Arial" w:hAnsi="Arial"/>
                <w:b/>
                <w:bCs/>
                <w:sz w:val="26"/>
                <w:szCs w:val="26"/>
                <w:rtl/>
              </w:rPr>
            </w:pPr>
          </w:p>
          <w:p w14:paraId="3B173973" w14:textId="77777777" w:rsidR="00A53FB3" w:rsidRPr="00D40547" w:rsidRDefault="00A53FB3">
            <w:pPr>
              <w:jc w:val="center"/>
              <w:rPr>
                <w:rFonts w:ascii="Arial" w:hAnsi="Arial"/>
                <w:b/>
                <w:bCs/>
                <w:sz w:val="26"/>
                <w:szCs w:val="26"/>
                <w:rtl/>
              </w:rPr>
            </w:pPr>
          </w:p>
          <w:p w14:paraId="0503B424" w14:textId="77777777" w:rsidR="00A53FB3" w:rsidRPr="00D40547" w:rsidRDefault="00D40547">
            <w:pPr>
              <w:jc w:val="center"/>
              <w:rPr>
                <w:rFonts w:ascii="Arial" w:hAnsi="Arial"/>
                <w:b/>
                <w:bCs/>
                <w:sz w:val="26"/>
                <w:szCs w:val="26"/>
                <w:rtl/>
              </w:rPr>
            </w:pPr>
            <w:r w:rsidRPr="00D40547">
              <w:rPr>
                <w:rFonts w:ascii="Arial" w:hAnsi="Arial" w:hint="cs"/>
                <w:b/>
                <w:bCs/>
                <w:sz w:val="26"/>
                <w:szCs w:val="26"/>
                <w:rtl/>
              </w:rPr>
              <w:t>נגד</w:t>
            </w:r>
          </w:p>
          <w:p w14:paraId="7A2287DD" w14:textId="77777777" w:rsidR="00A53FB3" w:rsidRPr="00D40547" w:rsidRDefault="00A53FB3">
            <w:pPr>
              <w:jc w:val="center"/>
              <w:rPr>
                <w:rFonts w:ascii="Arial" w:hAnsi="Arial"/>
                <w:b/>
                <w:bCs/>
                <w:sz w:val="26"/>
                <w:szCs w:val="26"/>
                <w:rtl/>
              </w:rPr>
            </w:pPr>
          </w:p>
          <w:p w14:paraId="19C331BB" w14:textId="77777777" w:rsidR="00A53FB3" w:rsidRPr="00D40547" w:rsidRDefault="00A53FB3">
            <w:pPr>
              <w:jc w:val="center"/>
              <w:rPr>
                <w:rFonts w:ascii="Arial" w:hAnsi="Arial"/>
                <w:b/>
                <w:bCs/>
                <w:sz w:val="26"/>
                <w:szCs w:val="26"/>
              </w:rPr>
            </w:pPr>
          </w:p>
        </w:tc>
      </w:tr>
      <w:tr w:rsidR="00A53FB3" w:rsidRPr="00D40547" w14:paraId="30E3539E" w14:textId="77777777">
        <w:tc>
          <w:tcPr>
            <w:tcW w:w="2583" w:type="dxa"/>
            <w:shd w:val="clear" w:color="auto" w:fill="auto"/>
          </w:tcPr>
          <w:p w14:paraId="6D38C8DC" w14:textId="77777777" w:rsidR="00A53FB3" w:rsidRPr="00D40547" w:rsidRDefault="00D40547">
            <w:pPr>
              <w:ind w:left="26"/>
              <w:rPr>
                <w:b/>
                <w:bCs/>
                <w:sz w:val="26"/>
                <w:szCs w:val="26"/>
              </w:rPr>
            </w:pPr>
            <w:r w:rsidRPr="00D40547">
              <w:rPr>
                <w:rFonts w:hint="cs"/>
                <w:b/>
                <w:bCs/>
                <w:sz w:val="26"/>
                <w:szCs w:val="26"/>
                <w:rtl/>
              </w:rPr>
              <w:t>ה</w:t>
            </w:r>
            <w:r w:rsidRPr="00D40547">
              <w:rPr>
                <w:rFonts w:hint="cs"/>
                <w:rtl/>
              </w:rPr>
              <w:t>נאשם</w:t>
            </w:r>
          </w:p>
        </w:tc>
        <w:tc>
          <w:tcPr>
            <w:tcW w:w="5922" w:type="dxa"/>
            <w:gridSpan w:val="2"/>
            <w:shd w:val="clear" w:color="auto" w:fill="auto"/>
          </w:tcPr>
          <w:p w14:paraId="367E933D" w14:textId="77777777" w:rsidR="00A53FB3" w:rsidRPr="00D40547" w:rsidRDefault="00D40547">
            <w:pPr>
              <w:rPr>
                <w:b/>
                <w:bCs/>
                <w:sz w:val="26"/>
                <w:szCs w:val="26"/>
              </w:rPr>
            </w:pPr>
            <w:r w:rsidRPr="00D40547">
              <w:rPr>
                <w:rFonts w:hint="cs"/>
                <w:rtl/>
              </w:rPr>
              <w:t>ראג'ב קעדאן, ת"ז 206041717</w:t>
            </w:r>
          </w:p>
        </w:tc>
      </w:tr>
    </w:tbl>
    <w:p w14:paraId="1C0BA0AE" w14:textId="77777777" w:rsidR="00A53FB3" w:rsidRPr="00D40547" w:rsidRDefault="00A53FB3">
      <w:pPr>
        <w:pStyle w:val="12"/>
        <w:rPr>
          <w:u w:val="none"/>
          <w:rtl/>
        </w:rPr>
      </w:pPr>
    </w:p>
    <w:p w14:paraId="051FE33E" w14:textId="77777777" w:rsidR="00A53FB3" w:rsidRPr="00D40547" w:rsidRDefault="00A53FB3">
      <w:pPr>
        <w:pStyle w:val="12"/>
        <w:rPr>
          <w:u w:val="none"/>
          <w:rtl/>
        </w:rPr>
      </w:pPr>
    </w:p>
    <w:p w14:paraId="335D858F" w14:textId="77777777" w:rsidR="00A53FB3" w:rsidRPr="00D40547" w:rsidRDefault="00A53FB3">
      <w:pPr>
        <w:pStyle w:val="12"/>
        <w:rPr>
          <w:u w:val="none"/>
          <w:rtl/>
        </w:rPr>
      </w:pPr>
    </w:p>
    <w:p w14:paraId="25D99618" w14:textId="77777777" w:rsidR="00A53FB3" w:rsidRPr="00D40547" w:rsidRDefault="00D40547">
      <w:pPr>
        <w:pStyle w:val="12"/>
        <w:spacing w:line="360" w:lineRule="auto"/>
        <w:rPr>
          <w:rFonts w:hint="cs"/>
          <w:b w:val="0"/>
          <w:bCs w:val="0"/>
          <w:u w:val="none"/>
          <w:rtl/>
        </w:rPr>
      </w:pPr>
      <w:bookmarkStart w:id="2" w:name="FirstLawyer"/>
      <w:r w:rsidRPr="00D40547">
        <w:rPr>
          <w:rFonts w:hint="cs"/>
          <w:b w:val="0"/>
          <w:bCs w:val="0"/>
          <w:u w:val="none"/>
          <w:rtl/>
        </w:rPr>
        <w:t>בשם</w:t>
      </w:r>
      <w:bookmarkEnd w:id="2"/>
      <w:r w:rsidRPr="00D40547">
        <w:rPr>
          <w:rFonts w:hint="cs"/>
          <w:b w:val="0"/>
          <w:bCs w:val="0"/>
          <w:u w:val="none"/>
          <w:rtl/>
        </w:rPr>
        <w:t xml:space="preserve"> המאשימה: עו"ד הגב' עינב אטסקו-גולד – פמ"ח - (פלילי)</w:t>
      </w:r>
      <w:r w:rsidR="00D47BE0">
        <w:rPr>
          <w:rFonts w:hint="cs"/>
          <w:b w:val="0"/>
          <w:bCs w:val="0"/>
          <w:u w:val="none"/>
          <w:rtl/>
        </w:rPr>
        <w:t xml:space="preserve"> </w:t>
      </w:r>
    </w:p>
    <w:p w14:paraId="275FD3B6" w14:textId="77777777" w:rsidR="00A53FB3" w:rsidRPr="00D40547" w:rsidRDefault="00D40547">
      <w:pPr>
        <w:pStyle w:val="12"/>
        <w:spacing w:line="360" w:lineRule="auto"/>
        <w:rPr>
          <w:b w:val="0"/>
          <w:bCs w:val="0"/>
          <w:u w:val="none"/>
          <w:rtl/>
        </w:rPr>
      </w:pPr>
      <w:r w:rsidRPr="00D40547">
        <w:rPr>
          <w:rFonts w:hint="cs"/>
          <w:b w:val="0"/>
          <w:bCs w:val="0"/>
          <w:u w:val="none"/>
          <w:rtl/>
        </w:rPr>
        <w:t>בשם הנאשם: עו"ד עאדל בויראת</w:t>
      </w:r>
    </w:p>
    <w:p w14:paraId="2249C16A" w14:textId="77777777" w:rsidR="00250895" w:rsidRDefault="00250895">
      <w:pPr>
        <w:pStyle w:val="12"/>
        <w:ind w:hanging="284"/>
        <w:rPr>
          <w:b w:val="0"/>
          <w:bCs w:val="0"/>
          <w:u w:val="none"/>
          <w:rtl/>
        </w:rPr>
      </w:pPr>
      <w:bookmarkStart w:id="3" w:name="LawTable"/>
      <w:bookmarkEnd w:id="3"/>
    </w:p>
    <w:p w14:paraId="028DC040" w14:textId="77777777" w:rsidR="00250895" w:rsidRPr="00250895" w:rsidRDefault="00250895" w:rsidP="00250895">
      <w:pPr>
        <w:pStyle w:val="12"/>
        <w:spacing w:after="120" w:line="240" w:lineRule="exact"/>
        <w:ind w:left="283" w:hanging="283"/>
        <w:jc w:val="both"/>
        <w:rPr>
          <w:rFonts w:ascii="FrankRuehl" w:hAnsi="FrankRuehl" w:cs="FrankRuehl"/>
          <w:b w:val="0"/>
          <w:bCs w:val="0"/>
          <w:u w:val="none"/>
          <w:rtl/>
        </w:rPr>
      </w:pPr>
    </w:p>
    <w:p w14:paraId="13150855" w14:textId="77777777" w:rsidR="00250895" w:rsidRPr="00250895" w:rsidRDefault="00250895" w:rsidP="00250895">
      <w:pPr>
        <w:pStyle w:val="12"/>
        <w:spacing w:after="120" w:line="240" w:lineRule="exact"/>
        <w:ind w:left="283" w:hanging="283"/>
        <w:jc w:val="both"/>
        <w:rPr>
          <w:rFonts w:ascii="FrankRuehl" w:hAnsi="FrankRuehl" w:cs="FrankRuehl"/>
          <w:b w:val="0"/>
          <w:bCs w:val="0"/>
          <w:u w:val="none"/>
          <w:rtl/>
        </w:rPr>
      </w:pPr>
      <w:r w:rsidRPr="00250895">
        <w:rPr>
          <w:rFonts w:ascii="FrankRuehl" w:hAnsi="FrankRuehl" w:cs="FrankRuehl"/>
          <w:b w:val="0"/>
          <w:bCs w:val="0"/>
          <w:u w:val="none"/>
          <w:rtl/>
        </w:rPr>
        <w:t xml:space="preserve">חקיקה שאוזכרה: </w:t>
      </w:r>
    </w:p>
    <w:p w14:paraId="28ED5762" w14:textId="77777777" w:rsidR="00250895" w:rsidRPr="00250895" w:rsidRDefault="00250895" w:rsidP="00250895">
      <w:pPr>
        <w:pStyle w:val="12"/>
        <w:spacing w:after="120" w:line="240" w:lineRule="exact"/>
        <w:ind w:left="283" w:hanging="283"/>
        <w:jc w:val="both"/>
        <w:rPr>
          <w:rFonts w:ascii="FrankRuehl" w:hAnsi="FrankRuehl" w:cs="FrankRuehl"/>
          <w:b w:val="0"/>
          <w:bCs w:val="0"/>
          <w:u w:val="none"/>
          <w:rtl/>
        </w:rPr>
      </w:pPr>
      <w:hyperlink r:id="rId7" w:history="1">
        <w:r w:rsidRPr="00250895">
          <w:rPr>
            <w:rFonts w:ascii="FrankRuehl" w:hAnsi="FrankRuehl" w:cs="FrankRuehl"/>
            <w:b w:val="0"/>
            <w:bCs w:val="0"/>
            <w:color w:val="0000FF"/>
            <w:rtl/>
          </w:rPr>
          <w:t>חוק העונשין, תשל"ז-1977</w:t>
        </w:r>
      </w:hyperlink>
      <w:r w:rsidRPr="00250895">
        <w:rPr>
          <w:rFonts w:ascii="FrankRuehl" w:hAnsi="FrankRuehl" w:cs="FrankRuehl"/>
          <w:b w:val="0"/>
          <w:bCs w:val="0"/>
          <w:u w:val="none"/>
          <w:rtl/>
        </w:rPr>
        <w:t xml:space="preserve">: סע'  </w:t>
      </w:r>
      <w:hyperlink r:id="rId8" w:history="1">
        <w:r w:rsidRPr="00250895">
          <w:rPr>
            <w:rFonts w:ascii="FrankRuehl" w:hAnsi="FrankRuehl" w:cs="FrankRuehl"/>
            <w:b w:val="0"/>
            <w:bCs w:val="0"/>
            <w:color w:val="0000FF"/>
            <w:rtl/>
          </w:rPr>
          <w:t>144(א)</w:t>
        </w:r>
      </w:hyperlink>
    </w:p>
    <w:p w14:paraId="343E256A" w14:textId="77777777" w:rsidR="00250895" w:rsidRPr="00250895" w:rsidRDefault="00250895" w:rsidP="00250895">
      <w:pPr>
        <w:pStyle w:val="12"/>
        <w:spacing w:after="120" w:line="240" w:lineRule="exact"/>
        <w:ind w:left="283" w:hanging="283"/>
        <w:jc w:val="both"/>
        <w:rPr>
          <w:rFonts w:ascii="FrankRuehl" w:hAnsi="FrankRuehl" w:cs="FrankRuehl"/>
          <w:b w:val="0"/>
          <w:bCs w:val="0"/>
          <w:u w:val="none"/>
          <w:rtl/>
        </w:rPr>
      </w:pPr>
    </w:p>
    <w:p w14:paraId="4F2E330A" w14:textId="77777777" w:rsidR="00250895" w:rsidRPr="00250895" w:rsidRDefault="00250895">
      <w:pPr>
        <w:pStyle w:val="12"/>
        <w:ind w:hanging="284"/>
        <w:rPr>
          <w:b w:val="0"/>
          <w:bCs w:val="0"/>
          <w:u w:val="none"/>
          <w:rtl/>
        </w:rPr>
      </w:pPr>
      <w:bookmarkStart w:id="4" w:name="LawTable_End"/>
      <w:bookmarkEnd w:id="4"/>
    </w:p>
    <w:p w14:paraId="3A68F72D" w14:textId="77777777" w:rsidR="00250895" w:rsidRPr="00250895" w:rsidRDefault="00250895">
      <w:pPr>
        <w:pStyle w:val="12"/>
        <w:ind w:hanging="284"/>
        <w:rPr>
          <w:b w:val="0"/>
          <w:bCs w:val="0"/>
          <w:u w:val="none"/>
          <w:rtl/>
        </w:rPr>
      </w:pPr>
    </w:p>
    <w:p w14:paraId="67DF4C71" w14:textId="77777777" w:rsidR="00A53FB3" w:rsidRPr="00250895" w:rsidRDefault="00A53FB3">
      <w:pPr>
        <w:pStyle w:val="12"/>
        <w:ind w:hanging="284"/>
        <w:rPr>
          <w:b w:val="0"/>
          <w:bCs w:val="0"/>
          <w:u w:val="none"/>
          <w:rtl/>
        </w:rPr>
      </w:pPr>
    </w:p>
    <w:p w14:paraId="7C8475BF" w14:textId="77777777" w:rsidR="00A53FB3" w:rsidRPr="00D40547" w:rsidRDefault="00A53FB3">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53FB3" w14:paraId="7196B18B" w14:textId="77777777">
        <w:trPr>
          <w:trHeight w:val="355"/>
          <w:jc w:val="center"/>
        </w:trPr>
        <w:tc>
          <w:tcPr>
            <w:tcW w:w="8820" w:type="dxa"/>
            <w:tcBorders>
              <w:top w:val="nil"/>
              <w:left w:val="nil"/>
              <w:bottom w:val="nil"/>
              <w:right w:val="nil"/>
            </w:tcBorders>
            <w:shd w:val="clear" w:color="auto" w:fill="auto"/>
          </w:tcPr>
          <w:p w14:paraId="00A61368" w14:textId="77777777" w:rsidR="00D40547" w:rsidRPr="00D40547" w:rsidRDefault="00D40547" w:rsidP="00D40547">
            <w:pPr>
              <w:jc w:val="center"/>
              <w:rPr>
                <w:rFonts w:ascii="Arial" w:hAnsi="Arial"/>
                <w:b/>
                <w:bCs/>
                <w:sz w:val="32"/>
                <w:szCs w:val="32"/>
                <w:u w:val="single"/>
                <w:rtl/>
              </w:rPr>
            </w:pPr>
            <w:bookmarkStart w:id="5" w:name="PsakDin" w:colFirst="0" w:colLast="0"/>
            <w:bookmarkEnd w:id="0"/>
            <w:r w:rsidRPr="00D40547">
              <w:rPr>
                <w:rFonts w:ascii="Arial" w:hAnsi="Arial"/>
                <w:b/>
                <w:bCs/>
                <w:sz w:val="32"/>
                <w:szCs w:val="32"/>
                <w:u w:val="single"/>
                <w:rtl/>
              </w:rPr>
              <w:t>גזר דין</w:t>
            </w:r>
          </w:p>
          <w:p w14:paraId="7E43295C" w14:textId="77777777" w:rsidR="00A53FB3" w:rsidRPr="00D40547" w:rsidRDefault="00A53FB3" w:rsidP="00D40547">
            <w:pPr>
              <w:jc w:val="center"/>
              <w:rPr>
                <w:rFonts w:ascii="Arial" w:hAnsi="Arial"/>
                <w:bCs/>
                <w:sz w:val="32"/>
                <w:szCs w:val="32"/>
                <w:u w:val="single"/>
                <w:rtl/>
              </w:rPr>
            </w:pPr>
          </w:p>
        </w:tc>
      </w:tr>
      <w:bookmarkEnd w:id="5"/>
    </w:tbl>
    <w:p w14:paraId="3D26284B" w14:textId="77777777" w:rsidR="00A53FB3" w:rsidRDefault="00A53FB3">
      <w:pPr>
        <w:rPr>
          <w:rFonts w:ascii="Arial" w:hAnsi="Arial"/>
          <w:rtl/>
        </w:rPr>
      </w:pPr>
    </w:p>
    <w:p w14:paraId="7BE49664" w14:textId="77777777" w:rsidR="00A53FB3" w:rsidRDefault="00D40547">
      <w:pPr>
        <w:rPr>
          <w:b/>
          <w:bCs/>
          <w:color w:val="000000"/>
          <w:u w:val="single"/>
          <w:rtl/>
        </w:rPr>
      </w:pPr>
      <w:r>
        <w:rPr>
          <w:b/>
          <w:bCs/>
          <w:color w:val="000000"/>
          <w:u w:val="single"/>
          <w:rtl/>
        </w:rPr>
        <w:t>מבוא:</w:t>
      </w:r>
    </w:p>
    <w:p w14:paraId="0B6A6FAB" w14:textId="77777777" w:rsidR="00A53FB3" w:rsidRDefault="00A53FB3">
      <w:pPr>
        <w:spacing w:line="360" w:lineRule="auto"/>
        <w:ind w:left="720" w:hanging="720"/>
        <w:rPr>
          <w:color w:val="000000"/>
          <w:rtl/>
        </w:rPr>
      </w:pPr>
    </w:p>
    <w:p w14:paraId="0D4AB7FC" w14:textId="77777777" w:rsidR="00A53FB3" w:rsidRDefault="00D40547">
      <w:pPr>
        <w:spacing w:line="360" w:lineRule="auto"/>
        <w:ind w:left="746" w:hanging="720"/>
        <w:jc w:val="both"/>
        <w:rPr>
          <w:color w:val="000000"/>
          <w:rtl/>
        </w:rPr>
      </w:pPr>
      <w:r>
        <w:rPr>
          <w:b/>
          <w:bCs/>
          <w:color w:val="000000"/>
          <w:rtl/>
        </w:rPr>
        <w:t>1.</w:t>
      </w:r>
      <w:r>
        <w:rPr>
          <w:b/>
          <w:bCs/>
          <w:color w:val="000000"/>
          <w:rtl/>
        </w:rPr>
        <w:tab/>
      </w:r>
      <w:r>
        <w:rPr>
          <w:color w:val="000000"/>
          <w:rtl/>
        </w:rPr>
        <w:t xml:space="preserve">הנאשם הובא לדין בגין עבירות בנשק, עבירות לפי </w:t>
      </w:r>
      <w:hyperlink r:id="rId9" w:history="1">
        <w:r w:rsidR="00B30514" w:rsidRPr="00B30514">
          <w:rPr>
            <w:rStyle w:val="Hyperlink"/>
            <w:rFonts w:cs="David"/>
            <w:rtl/>
          </w:rPr>
          <w:t>סעיף 144(א)</w:t>
        </w:r>
      </w:hyperlink>
      <w:r>
        <w:rPr>
          <w:color w:val="000000"/>
          <w:rtl/>
        </w:rPr>
        <w:t xml:space="preserve"> ל</w:t>
      </w:r>
      <w:hyperlink r:id="rId10" w:history="1">
        <w:r w:rsidRPr="00D40547">
          <w:rPr>
            <w:color w:val="0000FF"/>
            <w:u w:val="single"/>
            <w:rtl/>
          </w:rPr>
          <w:t>חוק העונשין</w:t>
        </w:r>
      </w:hyperlink>
      <w:r>
        <w:rPr>
          <w:color w:val="000000"/>
          <w:rtl/>
        </w:rPr>
        <w:t xml:space="preserve"> תשל"ז – 1977 (להלן: "</w:t>
      </w:r>
      <w:r>
        <w:rPr>
          <w:b/>
          <w:bCs/>
          <w:color w:val="000000"/>
          <w:rtl/>
        </w:rPr>
        <w:t>חוק העונשין</w:t>
      </w:r>
      <w:r>
        <w:rPr>
          <w:color w:val="000000"/>
          <w:rtl/>
        </w:rPr>
        <w:t xml:space="preserve">"). </w:t>
      </w:r>
    </w:p>
    <w:p w14:paraId="0680EF41" w14:textId="77777777" w:rsidR="00A53FB3" w:rsidRDefault="00A53FB3">
      <w:pPr>
        <w:spacing w:line="360" w:lineRule="auto"/>
        <w:ind w:left="720" w:hanging="720"/>
        <w:rPr>
          <w:color w:val="000000"/>
          <w:rtl/>
        </w:rPr>
      </w:pPr>
    </w:p>
    <w:p w14:paraId="1B6746A4" w14:textId="77777777" w:rsidR="00A53FB3" w:rsidRDefault="00D40547">
      <w:pPr>
        <w:spacing w:line="360" w:lineRule="auto"/>
        <w:rPr>
          <w:b/>
          <w:bCs/>
          <w:color w:val="000000"/>
          <w:u w:val="single"/>
          <w:rtl/>
        </w:rPr>
      </w:pPr>
      <w:r>
        <w:rPr>
          <w:b/>
          <w:bCs/>
          <w:color w:val="000000"/>
          <w:u w:val="single"/>
          <w:rtl/>
        </w:rPr>
        <w:t>עובדות כתב האישום המתוקן:</w:t>
      </w:r>
    </w:p>
    <w:p w14:paraId="640DB3A1" w14:textId="77777777" w:rsidR="00A53FB3" w:rsidRDefault="00A53FB3">
      <w:pPr>
        <w:spacing w:line="360" w:lineRule="auto"/>
        <w:rPr>
          <w:color w:val="000000"/>
          <w:rtl/>
        </w:rPr>
      </w:pPr>
    </w:p>
    <w:p w14:paraId="7CB10E36" w14:textId="77777777" w:rsidR="00A53FB3" w:rsidRDefault="00D40547">
      <w:pPr>
        <w:spacing w:line="360" w:lineRule="auto"/>
        <w:ind w:left="746" w:hanging="720"/>
        <w:jc w:val="both"/>
        <w:rPr>
          <w:color w:val="000000"/>
          <w:rtl/>
        </w:rPr>
      </w:pPr>
      <w:r>
        <w:rPr>
          <w:b/>
          <w:bCs/>
          <w:color w:val="000000"/>
          <w:rtl/>
        </w:rPr>
        <w:t>2.</w:t>
      </w:r>
      <w:r>
        <w:rPr>
          <w:b/>
          <w:bCs/>
          <w:color w:val="000000"/>
          <w:rtl/>
        </w:rPr>
        <w:tab/>
      </w:r>
      <w:r>
        <w:rPr>
          <w:color w:val="000000"/>
          <w:rtl/>
        </w:rPr>
        <w:t xml:space="preserve">בעובדות כתב האישום המתוקן נטען, כי </w:t>
      </w:r>
      <w:bookmarkStart w:id="6" w:name="ABSTRACT_START"/>
      <w:bookmarkEnd w:id="6"/>
      <w:r>
        <w:rPr>
          <w:color w:val="000000"/>
          <w:rtl/>
        </w:rPr>
        <w:t>בסוף חודש אוקטובר 2014, פנה הנאשם אל עאמר אבו חוסיין (להלן: "</w:t>
      </w:r>
      <w:r>
        <w:rPr>
          <w:b/>
          <w:bCs/>
          <w:color w:val="000000"/>
          <w:rtl/>
        </w:rPr>
        <w:t>עאמר</w:t>
      </w:r>
      <w:r>
        <w:rPr>
          <w:color w:val="000000"/>
          <w:rtl/>
        </w:rPr>
        <w:t>") וביקש ממנו שישיג לו נשק.</w:t>
      </w:r>
    </w:p>
    <w:p w14:paraId="2F7B2EF2" w14:textId="77777777" w:rsidR="00A53FB3" w:rsidRDefault="00A53FB3">
      <w:pPr>
        <w:spacing w:line="360" w:lineRule="auto"/>
        <w:rPr>
          <w:color w:val="000000"/>
          <w:rtl/>
        </w:rPr>
      </w:pPr>
      <w:bookmarkStart w:id="7" w:name="ABSTRACT_END"/>
      <w:bookmarkEnd w:id="7"/>
    </w:p>
    <w:p w14:paraId="23C4C12C" w14:textId="77777777" w:rsidR="00A53FB3" w:rsidRDefault="00D40547">
      <w:pPr>
        <w:spacing w:line="360" w:lineRule="auto"/>
        <w:ind w:left="720" w:hanging="720"/>
        <w:jc w:val="both"/>
        <w:rPr>
          <w:color w:val="000000"/>
          <w:rtl/>
        </w:rPr>
      </w:pPr>
      <w:r>
        <w:rPr>
          <w:b/>
          <w:bCs/>
          <w:color w:val="000000"/>
          <w:rtl/>
        </w:rPr>
        <w:lastRenderedPageBreak/>
        <w:t>3</w:t>
      </w:r>
      <w:r>
        <w:rPr>
          <w:color w:val="000000"/>
          <w:rtl/>
        </w:rPr>
        <w:t>.</w:t>
      </w:r>
      <w:r>
        <w:rPr>
          <w:color w:val="000000"/>
          <w:rtl/>
        </w:rPr>
        <w:tab/>
        <w:t>עאמר נענה לבקשת הנאשם, והשניים נפגשו בסמוך לביתו של עאמר, שם מסר עאמר לנאשם אקדח, מחסנית וכדור</w:t>
      </w:r>
      <w:r>
        <w:rPr>
          <w:rFonts w:hint="cs"/>
          <w:color w:val="000000"/>
          <w:rtl/>
        </w:rPr>
        <w:t xml:space="preserve"> </w:t>
      </w:r>
      <w:r>
        <w:rPr>
          <w:color w:val="000000"/>
          <w:rtl/>
        </w:rPr>
        <w:t>(להלן: "</w:t>
      </w:r>
      <w:r>
        <w:rPr>
          <w:b/>
          <w:bCs/>
          <w:color w:val="000000"/>
          <w:rtl/>
        </w:rPr>
        <w:t>הנשק</w:t>
      </w:r>
      <w:r>
        <w:rPr>
          <w:color w:val="000000"/>
          <w:rtl/>
        </w:rPr>
        <w:t xml:space="preserve">"). </w:t>
      </w:r>
    </w:p>
    <w:p w14:paraId="4E3384DB" w14:textId="77777777" w:rsidR="00A53FB3" w:rsidRDefault="00A53FB3">
      <w:pPr>
        <w:spacing w:line="360" w:lineRule="auto"/>
        <w:rPr>
          <w:color w:val="000000"/>
          <w:rtl/>
        </w:rPr>
      </w:pPr>
    </w:p>
    <w:p w14:paraId="297CB787" w14:textId="77777777" w:rsidR="00A53FB3" w:rsidRDefault="00D40547">
      <w:pPr>
        <w:spacing w:line="360" w:lineRule="auto"/>
        <w:ind w:left="720" w:hanging="720"/>
        <w:jc w:val="both"/>
        <w:rPr>
          <w:color w:val="000000"/>
          <w:rtl/>
        </w:rPr>
      </w:pPr>
      <w:r>
        <w:rPr>
          <w:b/>
          <w:bCs/>
          <w:color w:val="000000"/>
          <w:rtl/>
        </w:rPr>
        <w:t>4</w:t>
      </w:r>
      <w:r>
        <w:rPr>
          <w:color w:val="000000"/>
          <w:rtl/>
        </w:rPr>
        <w:t>.</w:t>
      </w:r>
      <w:r>
        <w:rPr>
          <w:color w:val="000000"/>
          <w:rtl/>
        </w:rPr>
        <w:tab/>
        <w:t>הנאשם קיבל לידיו את הנשק, החזיק בו והחביא אותו בסמוך לביתו. למחרת, או במועד סמוך לכך, שב הנאשם למקום בו החביא את הנשק, אך לא מצא אותו. בשל אובדן הנשק, שילם הנאשם לעאמר בתמורה סכום של 19,000 ₪.</w:t>
      </w:r>
    </w:p>
    <w:p w14:paraId="30997416" w14:textId="77777777" w:rsidR="00A53FB3" w:rsidRDefault="00A53FB3">
      <w:pPr>
        <w:spacing w:line="360" w:lineRule="auto"/>
        <w:rPr>
          <w:color w:val="000000"/>
          <w:rtl/>
        </w:rPr>
      </w:pPr>
    </w:p>
    <w:p w14:paraId="0A0732C2" w14:textId="77777777" w:rsidR="00A53FB3" w:rsidRDefault="00D40547">
      <w:pPr>
        <w:spacing w:line="360" w:lineRule="auto"/>
        <w:ind w:left="720" w:hanging="720"/>
        <w:jc w:val="both"/>
        <w:rPr>
          <w:color w:val="000000"/>
          <w:rtl/>
        </w:rPr>
      </w:pPr>
      <w:r>
        <w:rPr>
          <w:b/>
          <w:bCs/>
          <w:color w:val="000000"/>
          <w:rtl/>
        </w:rPr>
        <w:t>5</w:t>
      </w:r>
      <w:r>
        <w:rPr>
          <w:color w:val="000000"/>
          <w:rtl/>
        </w:rPr>
        <w:t>.</w:t>
      </w:r>
      <w:r>
        <w:rPr>
          <w:color w:val="000000"/>
          <w:rtl/>
        </w:rPr>
        <w:tab/>
        <w:t xml:space="preserve">במעשיו הנ"ל, החזיק הנאשם נשק ותחמושת בלא רשות על פי דין. המדובר בכלי  נשק שסוגל להמית אדם.  </w:t>
      </w:r>
    </w:p>
    <w:p w14:paraId="5132E9E2" w14:textId="77777777" w:rsidR="00A53FB3" w:rsidRDefault="00A53FB3">
      <w:pPr>
        <w:spacing w:line="360" w:lineRule="auto"/>
        <w:ind w:left="720" w:hanging="720"/>
        <w:jc w:val="both"/>
        <w:rPr>
          <w:color w:val="000000"/>
          <w:rtl/>
        </w:rPr>
      </w:pPr>
    </w:p>
    <w:p w14:paraId="29435FCA" w14:textId="77777777" w:rsidR="00A53FB3" w:rsidRDefault="00D40547">
      <w:pPr>
        <w:spacing w:line="360" w:lineRule="auto"/>
        <w:jc w:val="both"/>
        <w:rPr>
          <w:b/>
          <w:bCs/>
          <w:color w:val="000000"/>
          <w:u w:val="single"/>
          <w:rtl/>
        </w:rPr>
      </w:pPr>
      <w:r>
        <w:rPr>
          <w:b/>
          <w:bCs/>
          <w:color w:val="000000"/>
          <w:u w:val="single"/>
          <w:rtl/>
        </w:rPr>
        <w:t>הסדר הטיעון:</w:t>
      </w:r>
    </w:p>
    <w:p w14:paraId="18BE9650" w14:textId="77777777" w:rsidR="00A53FB3" w:rsidRDefault="00A53FB3">
      <w:pPr>
        <w:spacing w:line="360" w:lineRule="auto"/>
        <w:ind w:left="720" w:hanging="720"/>
        <w:jc w:val="both"/>
        <w:rPr>
          <w:color w:val="000000"/>
          <w:rtl/>
        </w:rPr>
      </w:pPr>
    </w:p>
    <w:p w14:paraId="62992AF1" w14:textId="77777777" w:rsidR="00A53FB3" w:rsidRDefault="00D40547">
      <w:pPr>
        <w:spacing w:line="360" w:lineRule="auto"/>
        <w:ind w:left="720" w:hanging="720"/>
        <w:jc w:val="both"/>
        <w:rPr>
          <w:color w:val="000000"/>
          <w:rtl/>
        </w:rPr>
      </w:pPr>
      <w:r>
        <w:rPr>
          <w:b/>
          <w:bCs/>
          <w:color w:val="000000"/>
          <w:rtl/>
        </w:rPr>
        <w:t>6</w:t>
      </w:r>
      <w:r>
        <w:rPr>
          <w:color w:val="000000"/>
          <w:rtl/>
        </w:rPr>
        <w:t>.</w:t>
      </w:r>
      <w:r>
        <w:rPr>
          <w:color w:val="000000"/>
          <w:rtl/>
        </w:rPr>
        <w:tab/>
        <w:t>הצדדים הגיעו לידי הסדר טיעון, לפיו יחזור בו הנאשם מכפירתו, יודה בעובדות כתב האישום המתוקן ויורשע. עוד הוסכם כי הטיעון לעונש יהיה חופשי.</w:t>
      </w:r>
    </w:p>
    <w:p w14:paraId="29113C04" w14:textId="77777777" w:rsidR="00A53FB3" w:rsidRDefault="00D40547">
      <w:pPr>
        <w:spacing w:line="360" w:lineRule="auto"/>
        <w:jc w:val="both"/>
        <w:rPr>
          <w:color w:val="000000"/>
          <w:rtl/>
        </w:rPr>
      </w:pPr>
      <w:r>
        <w:rPr>
          <w:color w:val="000000"/>
          <w:rtl/>
        </w:rPr>
        <w:tab/>
      </w:r>
    </w:p>
    <w:p w14:paraId="15381E7A" w14:textId="77777777" w:rsidR="00A53FB3" w:rsidRDefault="00D40547">
      <w:pPr>
        <w:spacing w:line="360" w:lineRule="auto"/>
        <w:ind w:left="720" w:hanging="720"/>
        <w:jc w:val="both"/>
        <w:rPr>
          <w:color w:val="000000"/>
          <w:rtl/>
        </w:rPr>
      </w:pPr>
      <w:r>
        <w:rPr>
          <w:b/>
          <w:bCs/>
          <w:color w:val="000000"/>
          <w:rtl/>
        </w:rPr>
        <w:t>7</w:t>
      </w:r>
      <w:r>
        <w:rPr>
          <w:color w:val="000000"/>
          <w:rtl/>
        </w:rPr>
        <w:t>.</w:t>
      </w:r>
      <w:r>
        <w:rPr>
          <w:color w:val="000000"/>
          <w:rtl/>
        </w:rPr>
        <w:tab/>
        <w:t xml:space="preserve">הנאשם חזר בו מכפירתו, הודה והורשע עפ"י הודאתו במסגרת הסדר טיעון, בעובדות כתב האישום המתוקן, בעבירות בנשק, לפי </w:t>
      </w:r>
      <w:hyperlink r:id="rId11" w:history="1">
        <w:r w:rsidR="00B30514" w:rsidRPr="00B30514">
          <w:rPr>
            <w:rStyle w:val="Hyperlink"/>
            <w:rFonts w:cs="David"/>
            <w:rtl/>
          </w:rPr>
          <w:t>סעיף 144(א)</w:t>
        </w:r>
      </w:hyperlink>
      <w:r>
        <w:rPr>
          <w:color w:val="000000"/>
          <w:rtl/>
        </w:rPr>
        <w:t xml:space="preserve"> ל</w:t>
      </w:r>
      <w:hyperlink r:id="rId12" w:history="1">
        <w:r w:rsidRPr="00D40547">
          <w:rPr>
            <w:color w:val="0000FF"/>
            <w:u w:val="single"/>
            <w:rtl/>
          </w:rPr>
          <w:t>חוק העונשין</w:t>
        </w:r>
      </w:hyperlink>
      <w:r>
        <w:rPr>
          <w:color w:val="000000"/>
          <w:rtl/>
        </w:rPr>
        <w:t xml:space="preserve">. </w:t>
      </w:r>
    </w:p>
    <w:p w14:paraId="24F5EA91" w14:textId="77777777" w:rsidR="00A53FB3" w:rsidRDefault="00A53FB3">
      <w:pPr>
        <w:spacing w:line="360" w:lineRule="auto"/>
        <w:jc w:val="both"/>
        <w:rPr>
          <w:color w:val="000000"/>
          <w:rtl/>
        </w:rPr>
      </w:pPr>
    </w:p>
    <w:p w14:paraId="093471A7" w14:textId="77777777" w:rsidR="00A53FB3" w:rsidRDefault="00D40547">
      <w:pPr>
        <w:spacing w:line="360" w:lineRule="auto"/>
        <w:jc w:val="both"/>
        <w:rPr>
          <w:color w:val="000000"/>
          <w:rtl/>
        </w:rPr>
      </w:pPr>
      <w:r>
        <w:rPr>
          <w:b/>
          <w:bCs/>
          <w:color w:val="000000"/>
          <w:rtl/>
        </w:rPr>
        <w:t>8.</w:t>
      </w:r>
      <w:r>
        <w:rPr>
          <w:color w:val="000000"/>
          <w:rtl/>
        </w:rPr>
        <w:tab/>
        <w:t>הנאשם נשלח לשירות המבחן לקבלת תסקיר.</w:t>
      </w:r>
    </w:p>
    <w:p w14:paraId="3BF8D741" w14:textId="77777777" w:rsidR="00A53FB3" w:rsidRDefault="00A53FB3">
      <w:pPr>
        <w:spacing w:line="360" w:lineRule="auto"/>
        <w:jc w:val="both"/>
        <w:rPr>
          <w:color w:val="000000"/>
          <w:rtl/>
        </w:rPr>
      </w:pPr>
    </w:p>
    <w:p w14:paraId="5466AC4F" w14:textId="77777777" w:rsidR="00A53FB3" w:rsidRDefault="00D40547">
      <w:pPr>
        <w:spacing w:line="360" w:lineRule="auto"/>
        <w:jc w:val="both"/>
        <w:rPr>
          <w:b/>
          <w:bCs/>
          <w:color w:val="000000"/>
          <w:u w:val="single"/>
          <w:rtl/>
        </w:rPr>
      </w:pPr>
      <w:r>
        <w:rPr>
          <w:b/>
          <w:bCs/>
          <w:color w:val="000000"/>
          <w:u w:val="single"/>
          <w:rtl/>
        </w:rPr>
        <w:t>תסקיר שירות המבחן:</w:t>
      </w:r>
    </w:p>
    <w:p w14:paraId="01ED286C" w14:textId="77777777" w:rsidR="00A53FB3" w:rsidRDefault="00A53FB3">
      <w:pPr>
        <w:spacing w:line="360" w:lineRule="auto"/>
        <w:jc w:val="both"/>
        <w:rPr>
          <w:color w:val="000000"/>
          <w:rtl/>
        </w:rPr>
      </w:pPr>
    </w:p>
    <w:p w14:paraId="023462EC" w14:textId="77777777" w:rsidR="00A53FB3" w:rsidRDefault="00D40547">
      <w:pPr>
        <w:spacing w:line="360" w:lineRule="auto"/>
        <w:ind w:left="720" w:hanging="720"/>
        <w:jc w:val="both"/>
        <w:rPr>
          <w:color w:val="000000"/>
          <w:rtl/>
        </w:rPr>
      </w:pPr>
      <w:r>
        <w:rPr>
          <w:b/>
          <w:bCs/>
          <w:color w:val="000000"/>
          <w:rtl/>
        </w:rPr>
        <w:t>9</w:t>
      </w:r>
      <w:r>
        <w:rPr>
          <w:rFonts w:hint="cs"/>
          <w:b/>
          <w:bCs/>
          <w:color w:val="000000"/>
          <w:rtl/>
        </w:rPr>
        <w:t>.</w:t>
      </w:r>
      <w:r>
        <w:rPr>
          <w:color w:val="000000"/>
          <w:rtl/>
        </w:rPr>
        <w:tab/>
        <w:t>בתסקיר שהוגש ביום 22.6.15, סקר שירות המבחן את נסיבותיו האישיות והמשפחתיות של הנאשם. המדובר בצעיר כבן 19 שנים, רווק, סיים 12 שנות לימוד, ללא זכאות לתעודת בגרות, בהמשך ניהל עסק עצמאי לשטיפת מכוניות, במימון אביו, אך נטה להזניח את תפעול  העסק ולכן הוחלט להפסיק את פעילותו.</w:t>
      </w:r>
    </w:p>
    <w:p w14:paraId="2EC3A73E" w14:textId="77777777" w:rsidR="00A53FB3" w:rsidRDefault="00A53FB3">
      <w:pPr>
        <w:spacing w:line="360" w:lineRule="auto"/>
        <w:ind w:left="720" w:hanging="720"/>
        <w:jc w:val="both"/>
        <w:rPr>
          <w:color w:val="000000"/>
          <w:rtl/>
        </w:rPr>
      </w:pPr>
    </w:p>
    <w:p w14:paraId="22F3C625" w14:textId="77777777" w:rsidR="00A53FB3" w:rsidRDefault="00D40547">
      <w:pPr>
        <w:spacing w:line="360" w:lineRule="auto"/>
        <w:ind w:left="720" w:hanging="720"/>
        <w:jc w:val="both"/>
        <w:rPr>
          <w:color w:val="000000"/>
          <w:rtl/>
        </w:rPr>
      </w:pPr>
      <w:r>
        <w:rPr>
          <w:b/>
          <w:bCs/>
          <w:color w:val="000000"/>
          <w:rtl/>
        </w:rPr>
        <w:t>10</w:t>
      </w:r>
      <w:r>
        <w:rPr>
          <w:color w:val="000000"/>
          <w:rtl/>
        </w:rPr>
        <w:t>.</w:t>
      </w:r>
      <w:r>
        <w:rPr>
          <w:color w:val="000000"/>
          <w:rtl/>
        </w:rPr>
        <w:tab/>
        <w:t>אין לחובתו של הנאשם הרשעות קודמות.</w:t>
      </w:r>
    </w:p>
    <w:p w14:paraId="7D05365B" w14:textId="77777777" w:rsidR="00A53FB3" w:rsidRDefault="00A53FB3">
      <w:pPr>
        <w:spacing w:line="360" w:lineRule="auto"/>
        <w:ind w:left="720" w:hanging="720"/>
        <w:jc w:val="both"/>
        <w:rPr>
          <w:color w:val="000000"/>
          <w:rtl/>
        </w:rPr>
      </w:pPr>
    </w:p>
    <w:p w14:paraId="4C0334BF" w14:textId="77777777" w:rsidR="00A53FB3" w:rsidRDefault="00D40547">
      <w:pPr>
        <w:spacing w:line="360" w:lineRule="auto"/>
        <w:ind w:left="720" w:hanging="720"/>
        <w:jc w:val="both"/>
        <w:rPr>
          <w:color w:val="000000"/>
          <w:rtl/>
        </w:rPr>
      </w:pPr>
      <w:r>
        <w:rPr>
          <w:b/>
          <w:bCs/>
          <w:color w:val="000000"/>
          <w:rtl/>
        </w:rPr>
        <w:t>11</w:t>
      </w:r>
      <w:r>
        <w:rPr>
          <w:color w:val="000000"/>
          <w:rtl/>
        </w:rPr>
        <w:t>.</w:t>
      </w:r>
      <w:r>
        <w:rPr>
          <w:color w:val="000000"/>
          <w:rtl/>
        </w:rPr>
        <w:tab/>
        <w:t>הנאשם הודה בעבירה המיוחסת לו בכתב האישום המתוקן, הבין את חומרת מעשיו וגילה מודעות ראשונית לסיכון הנובע מהחזקת נשק וירי בחתונה, כפי שהתכוון לבצע.</w:t>
      </w:r>
    </w:p>
    <w:p w14:paraId="320B6E9C" w14:textId="77777777" w:rsidR="00A53FB3" w:rsidRDefault="00A53FB3">
      <w:pPr>
        <w:spacing w:line="360" w:lineRule="auto"/>
        <w:ind w:left="720" w:hanging="720"/>
        <w:jc w:val="both"/>
        <w:rPr>
          <w:color w:val="000000"/>
          <w:rtl/>
        </w:rPr>
      </w:pPr>
    </w:p>
    <w:p w14:paraId="7B9F2DBC" w14:textId="77777777" w:rsidR="00A53FB3" w:rsidRDefault="00D40547">
      <w:pPr>
        <w:spacing w:line="360" w:lineRule="auto"/>
        <w:ind w:left="720"/>
        <w:jc w:val="both"/>
        <w:rPr>
          <w:color w:val="000000"/>
          <w:rtl/>
        </w:rPr>
      </w:pPr>
      <w:r>
        <w:rPr>
          <w:color w:val="000000"/>
          <w:rtl/>
        </w:rPr>
        <w:t xml:space="preserve">שירות המבחן לא התרשם מקיומם של דפוסים עברייניים מושרשים. עם זאת התרשם שירות המבחן ממאפייני אישיות תלותיים ובלתי בשלים, הנובעים מגוננות יתר מצד בני המשפחה. </w:t>
      </w:r>
    </w:p>
    <w:p w14:paraId="24AA880C" w14:textId="77777777" w:rsidR="00A53FB3" w:rsidRDefault="00A53FB3">
      <w:pPr>
        <w:spacing w:line="360" w:lineRule="auto"/>
        <w:ind w:left="720" w:hanging="720"/>
        <w:jc w:val="both"/>
        <w:rPr>
          <w:color w:val="000000"/>
          <w:rtl/>
        </w:rPr>
      </w:pPr>
    </w:p>
    <w:p w14:paraId="3D320CDA" w14:textId="77777777" w:rsidR="00A53FB3" w:rsidRDefault="00D40547">
      <w:pPr>
        <w:spacing w:line="360" w:lineRule="auto"/>
        <w:ind w:left="720" w:hanging="720"/>
        <w:jc w:val="both"/>
        <w:rPr>
          <w:color w:val="000000"/>
          <w:rtl/>
        </w:rPr>
      </w:pPr>
      <w:r>
        <w:rPr>
          <w:b/>
          <w:bCs/>
          <w:color w:val="000000"/>
          <w:rtl/>
        </w:rPr>
        <w:t>12</w:t>
      </w:r>
      <w:r>
        <w:rPr>
          <w:color w:val="000000"/>
          <w:rtl/>
        </w:rPr>
        <w:t>.</w:t>
      </w:r>
      <w:r>
        <w:rPr>
          <w:color w:val="000000"/>
          <w:rtl/>
        </w:rPr>
        <w:tab/>
        <w:t xml:space="preserve">עוד התרשם שירות המבחן כי ההליך המשפטי המתנהל נגד הנאשם לצד התנאים המגבילים בהם נתון, מהווים גורם הרתעה עבורו. </w:t>
      </w:r>
    </w:p>
    <w:p w14:paraId="4423CE87" w14:textId="77777777" w:rsidR="00A53FB3" w:rsidRDefault="00A53FB3">
      <w:pPr>
        <w:spacing w:line="360" w:lineRule="auto"/>
        <w:ind w:left="720" w:hanging="720"/>
        <w:jc w:val="both"/>
        <w:rPr>
          <w:color w:val="000000"/>
          <w:rtl/>
        </w:rPr>
      </w:pPr>
    </w:p>
    <w:p w14:paraId="2CB6E7E3" w14:textId="77777777" w:rsidR="00A53FB3" w:rsidRDefault="00D40547">
      <w:pPr>
        <w:spacing w:line="360" w:lineRule="auto"/>
        <w:ind w:left="720" w:hanging="720"/>
        <w:jc w:val="both"/>
        <w:rPr>
          <w:color w:val="000000"/>
          <w:rtl/>
        </w:rPr>
      </w:pPr>
      <w:r>
        <w:rPr>
          <w:b/>
          <w:bCs/>
          <w:color w:val="000000"/>
          <w:rtl/>
        </w:rPr>
        <w:t>13</w:t>
      </w:r>
      <w:r>
        <w:rPr>
          <w:color w:val="000000"/>
          <w:rtl/>
        </w:rPr>
        <w:t>.</w:t>
      </w:r>
      <w:r>
        <w:rPr>
          <w:color w:val="000000"/>
          <w:rtl/>
        </w:rPr>
        <w:tab/>
        <w:t>הנאשם הביע נכונות להשתלב בהליך טיפולי, שלהערכת שירות המבחן יסייע לו בהפחתת הסיכון להישנות התנהגות עוברת חוק מצדו בעתיד.</w:t>
      </w:r>
    </w:p>
    <w:p w14:paraId="7FEAB6F1" w14:textId="77777777" w:rsidR="00A53FB3" w:rsidRDefault="00A53FB3">
      <w:pPr>
        <w:spacing w:line="360" w:lineRule="auto"/>
        <w:ind w:left="720"/>
        <w:jc w:val="both"/>
        <w:rPr>
          <w:color w:val="000000"/>
          <w:rtl/>
        </w:rPr>
      </w:pPr>
    </w:p>
    <w:p w14:paraId="6A7946B1" w14:textId="77777777" w:rsidR="00A53FB3" w:rsidRDefault="00D40547">
      <w:pPr>
        <w:spacing w:line="360" w:lineRule="auto"/>
        <w:ind w:left="720" w:hanging="720"/>
        <w:jc w:val="both"/>
        <w:rPr>
          <w:color w:val="000000"/>
          <w:rtl/>
        </w:rPr>
      </w:pPr>
      <w:r>
        <w:rPr>
          <w:b/>
          <w:bCs/>
          <w:color w:val="000000"/>
          <w:rtl/>
        </w:rPr>
        <w:t>14</w:t>
      </w:r>
      <w:r>
        <w:rPr>
          <w:color w:val="000000"/>
          <w:rtl/>
        </w:rPr>
        <w:t>.</w:t>
      </w:r>
      <w:r>
        <w:rPr>
          <w:color w:val="000000"/>
          <w:rtl/>
        </w:rPr>
        <w:tab/>
        <w:t>שירות המבחן סבור כי יש חשיבות בהטלת ענישה מוחשית וחינוכית שתרתיע את הנאשם ממעורבות נוספת בפלילים וכי שילוב של רכיבים הרתעתיים, מוחשיים וטיפוליים, יש בהם כדי להפחית את הסיכון להישנות עבירות דומות בעתיד..</w:t>
      </w:r>
    </w:p>
    <w:p w14:paraId="4999D9FA" w14:textId="77777777" w:rsidR="00A53FB3" w:rsidRDefault="00A53FB3">
      <w:pPr>
        <w:spacing w:line="360" w:lineRule="auto"/>
        <w:ind w:left="720"/>
        <w:jc w:val="both"/>
        <w:rPr>
          <w:color w:val="000000"/>
          <w:rtl/>
        </w:rPr>
      </w:pPr>
    </w:p>
    <w:p w14:paraId="2E4C3851" w14:textId="77777777" w:rsidR="00A53FB3" w:rsidRDefault="00D40547">
      <w:pPr>
        <w:spacing w:line="360" w:lineRule="auto"/>
        <w:ind w:left="720" w:hanging="720"/>
        <w:jc w:val="both"/>
        <w:rPr>
          <w:color w:val="000000"/>
          <w:rtl/>
        </w:rPr>
      </w:pPr>
      <w:r>
        <w:rPr>
          <w:b/>
          <w:bCs/>
          <w:color w:val="000000"/>
          <w:rtl/>
        </w:rPr>
        <w:t>15</w:t>
      </w:r>
      <w:r>
        <w:rPr>
          <w:color w:val="000000"/>
          <w:rtl/>
        </w:rPr>
        <w:t>.</w:t>
      </w:r>
      <w:r>
        <w:rPr>
          <w:color w:val="000000"/>
          <w:rtl/>
        </w:rPr>
        <w:tab/>
        <w:t xml:space="preserve">לאור כל האמור, ועל רקע גילו הצעיר של הנאשם, המליץ שירות המבחן להימנע מהטלת מאסר בפועל ולשקול הטלת מאסר שירוצה בדרך של עבודות שירות. </w:t>
      </w:r>
    </w:p>
    <w:p w14:paraId="3D1955DD" w14:textId="77777777" w:rsidR="00A53FB3" w:rsidRDefault="00A53FB3">
      <w:pPr>
        <w:spacing w:line="360" w:lineRule="auto"/>
        <w:ind w:left="720" w:hanging="720"/>
        <w:jc w:val="both"/>
        <w:rPr>
          <w:color w:val="000000"/>
          <w:rtl/>
        </w:rPr>
      </w:pPr>
    </w:p>
    <w:p w14:paraId="0FFFE258" w14:textId="77777777" w:rsidR="00A53FB3" w:rsidRDefault="00D40547">
      <w:pPr>
        <w:spacing w:line="360" w:lineRule="auto"/>
        <w:ind w:left="720"/>
        <w:jc w:val="both"/>
        <w:rPr>
          <w:color w:val="000000"/>
          <w:rtl/>
        </w:rPr>
      </w:pPr>
      <w:r>
        <w:rPr>
          <w:color w:val="000000"/>
          <w:rtl/>
        </w:rPr>
        <w:t xml:space="preserve">בנוסף המליץ שירות המבחן על הטלת  צו מבחן לשנה, במהלכו ישתלב הנאשם בהליך טיפולי. </w:t>
      </w:r>
    </w:p>
    <w:p w14:paraId="669B0263" w14:textId="77777777" w:rsidR="00A53FB3" w:rsidRDefault="00A53FB3">
      <w:pPr>
        <w:spacing w:line="360" w:lineRule="auto"/>
        <w:ind w:left="720"/>
        <w:jc w:val="both"/>
        <w:rPr>
          <w:color w:val="000000"/>
          <w:rtl/>
        </w:rPr>
      </w:pPr>
    </w:p>
    <w:p w14:paraId="63B7878C" w14:textId="77777777" w:rsidR="00A53FB3" w:rsidRDefault="00D40547">
      <w:pPr>
        <w:spacing w:line="360" w:lineRule="auto"/>
        <w:ind w:left="720" w:hanging="720"/>
        <w:jc w:val="both"/>
        <w:rPr>
          <w:color w:val="000000"/>
          <w:rtl/>
        </w:rPr>
      </w:pPr>
      <w:r>
        <w:rPr>
          <w:b/>
          <w:bCs/>
          <w:color w:val="000000"/>
          <w:rtl/>
        </w:rPr>
        <w:t>16</w:t>
      </w:r>
      <w:r>
        <w:rPr>
          <w:color w:val="000000"/>
          <w:rtl/>
        </w:rPr>
        <w:t>.</w:t>
      </w:r>
      <w:r>
        <w:rPr>
          <w:color w:val="000000"/>
          <w:rtl/>
        </w:rPr>
        <w:tab/>
        <w:t>להערכת שירות המבחן שליחת הנאשם לריצוי מאסר בפועל ושהותו בקרב עבריינים, עלולה להביא להפנמת נורמות עברייניות וביסוס דפוסים שוליים וכן להגביר את הסיכון להתנהגות עוברת חוק בעתיד.</w:t>
      </w:r>
    </w:p>
    <w:p w14:paraId="12D8022B" w14:textId="77777777" w:rsidR="00A53FB3" w:rsidRDefault="00D40547">
      <w:pPr>
        <w:spacing w:line="360" w:lineRule="auto"/>
        <w:jc w:val="both"/>
        <w:rPr>
          <w:color w:val="000000"/>
          <w:rtl/>
        </w:rPr>
      </w:pPr>
      <w:r>
        <w:rPr>
          <w:color w:val="000000"/>
          <w:rtl/>
        </w:rPr>
        <w:t xml:space="preserve"> </w:t>
      </w:r>
    </w:p>
    <w:p w14:paraId="03D7EC37" w14:textId="77777777" w:rsidR="00A53FB3" w:rsidRDefault="00D40547">
      <w:pPr>
        <w:spacing w:line="360" w:lineRule="auto"/>
        <w:jc w:val="both"/>
        <w:rPr>
          <w:b/>
          <w:bCs/>
          <w:color w:val="000000"/>
          <w:u w:val="single"/>
          <w:rtl/>
        </w:rPr>
      </w:pPr>
      <w:r>
        <w:rPr>
          <w:b/>
          <w:bCs/>
          <w:color w:val="000000"/>
          <w:u w:val="single"/>
          <w:rtl/>
        </w:rPr>
        <w:t>טענות הצדדים:</w:t>
      </w:r>
    </w:p>
    <w:p w14:paraId="0D8D9D20" w14:textId="77777777" w:rsidR="00A53FB3" w:rsidRDefault="00A53FB3">
      <w:pPr>
        <w:spacing w:line="360" w:lineRule="auto"/>
        <w:jc w:val="both"/>
        <w:rPr>
          <w:color w:val="000000"/>
          <w:rtl/>
        </w:rPr>
      </w:pPr>
    </w:p>
    <w:p w14:paraId="0CD18F5F" w14:textId="77777777" w:rsidR="00A53FB3" w:rsidRDefault="00D40547">
      <w:pPr>
        <w:spacing w:line="360" w:lineRule="auto"/>
        <w:jc w:val="both"/>
        <w:rPr>
          <w:b/>
          <w:bCs/>
          <w:color w:val="000000"/>
          <w:u w:val="single"/>
          <w:rtl/>
        </w:rPr>
      </w:pPr>
      <w:r>
        <w:rPr>
          <w:color w:val="000000"/>
          <w:rtl/>
        </w:rPr>
        <w:tab/>
      </w:r>
      <w:r>
        <w:rPr>
          <w:b/>
          <w:bCs/>
          <w:color w:val="000000"/>
          <w:u w:val="single"/>
          <w:rtl/>
        </w:rPr>
        <w:t>טענות המאשימה:</w:t>
      </w:r>
    </w:p>
    <w:p w14:paraId="5E75F292" w14:textId="77777777" w:rsidR="00A53FB3" w:rsidRDefault="00A53FB3">
      <w:pPr>
        <w:spacing w:line="360" w:lineRule="auto"/>
        <w:jc w:val="both"/>
        <w:rPr>
          <w:color w:val="000000"/>
          <w:rtl/>
        </w:rPr>
      </w:pPr>
    </w:p>
    <w:p w14:paraId="6DE7BAAE" w14:textId="77777777" w:rsidR="00A53FB3" w:rsidRDefault="00D40547">
      <w:pPr>
        <w:spacing w:line="360" w:lineRule="auto"/>
        <w:ind w:left="716" w:hanging="716"/>
        <w:jc w:val="both"/>
        <w:rPr>
          <w:color w:val="000000"/>
        </w:rPr>
      </w:pPr>
      <w:r>
        <w:rPr>
          <w:rFonts w:hint="cs"/>
          <w:b/>
          <w:bCs/>
          <w:color w:val="000000"/>
          <w:rtl/>
        </w:rPr>
        <w:t>17</w:t>
      </w:r>
      <w:r>
        <w:rPr>
          <w:rFonts w:hint="cs"/>
          <w:color w:val="000000"/>
          <w:rtl/>
        </w:rPr>
        <w:t>.</w:t>
      </w:r>
      <w:r>
        <w:rPr>
          <w:rFonts w:hint="cs"/>
          <w:color w:val="000000"/>
          <w:rtl/>
        </w:rPr>
        <w:tab/>
      </w:r>
      <w:r>
        <w:rPr>
          <w:color w:val="000000"/>
          <w:rtl/>
        </w:rPr>
        <w:t>המאשימה טענה כי הנאשם הורשע בעבירה חמורה מאוד תוך מודעות לחומרת המעשה ואף לסיכון הרב הטמון בהחזקת הנשק.</w:t>
      </w:r>
    </w:p>
    <w:p w14:paraId="6DF197C6" w14:textId="77777777" w:rsidR="00A53FB3" w:rsidRDefault="00A53FB3">
      <w:pPr>
        <w:spacing w:line="360" w:lineRule="auto"/>
        <w:jc w:val="both"/>
        <w:rPr>
          <w:color w:val="000000"/>
          <w:rtl/>
        </w:rPr>
      </w:pPr>
    </w:p>
    <w:p w14:paraId="68587CCA" w14:textId="77777777" w:rsidR="00A53FB3" w:rsidRDefault="00D40547">
      <w:pPr>
        <w:spacing w:line="360" w:lineRule="auto"/>
        <w:ind w:left="716" w:hanging="690"/>
        <w:jc w:val="both"/>
        <w:rPr>
          <w:color w:val="000000"/>
          <w:rtl/>
        </w:rPr>
      </w:pPr>
      <w:r>
        <w:rPr>
          <w:b/>
          <w:bCs/>
          <w:color w:val="000000"/>
          <w:rtl/>
        </w:rPr>
        <w:t>18</w:t>
      </w:r>
      <w:r>
        <w:rPr>
          <w:color w:val="000000"/>
          <w:rtl/>
        </w:rPr>
        <w:t>.</w:t>
      </w:r>
      <w:r>
        <w:rPr>
          <w:color w:val="000000"/>
          <w:rtl/>
        </w:rPr>
        <w:tab/>
        <w:t>המאשימה ציינה כי חלקו של הנאשם באירוע הינו עקרי והוא ביצע את העבירה לבדו, והנזק הצפוי מביצועה הינו רב.</w:t>
      </w:r>
    </w:p>
    <w:p w14:paraId="25B846F2" w14:textId="77777777" w:rsidR="00A53FB3" w:rsidRDefault="00A53FB3">
      <w:pPr>
        <w:spacing w:line="360" w:lineRule="auto"/>
        <w:ind w:left="720"/>
        <w:jc w:val="both"/>
        <w:rPr>
          <w:color w:val="000000"/>
          <w:rtl/>
        </w:rPr>
      </w:pPr>
    </w:p>
    <w:p w14:paraId="29868B88" w14:textId="77777777" w:rsidR="00A53FB3" w:rsidRDefault="00D40547">
      <w:pPr>
        <w:spacing w:line="360" w:lineRule="auto"/>
        <w:ind w:left="716" w:hanging="690"/>
        <w:jc w:val="both"/>
        <w:rPr>
          <w:color w:val="000000"/>
          <w:rtl/>
        </w:rPr>
      </w:pPr>
      <w:r>
        <w:rPr>
          <w:b/>
          <w:bCs/>
          <w:color w:val="000000"/>
          <w:rtl/>
        </w:rPr>
        <w:t>19</w:t>
      </w:r>
      <w:r>
        <w:rPr>
          <w:color w:val="000000"/>
          <w:rtl/>
        </w:rPr>
        <w:t>.</w:t>
      </w:r>
      <w:r>
        <w:rPr>
          <w:color w:val="000000"/>
          <w:rtl/>
        </w:rPr>
        <w:tab/>
        <w:t>המאשימה הפנתה לפסיקה וציינה כי בית המשפט העליון נתן דעתו בהזדמנויות שונות  לסיכון הפוטנציאלי הגבוה מאוד הגלום בעבירות של החזקת נשק שהפכו למרבה הצער לנפוצות מאוד בשנים האחרונות . עוד ציינה כי בעבירות מסוג זה ישנה חשיבות בהטלת עונשים מרתיעים והעדפת האינטרס הציבורי על פני נסיבותיו האישיות של הנאשם.</w:t>
      </w:r>
    </w:p>
    <w:p w14:paraId="29A39D2D" w14:textId="77777777" w:rsidR="00A53FB3" w:rsidRDefault="00A53FB3">
      <w:pPr>
        <w:spacing w:line="360" w:lineRule="auto"/>
        <w:ind w:left="716" w:hanging="690"/>
        <w:jc w:val="both"/>
        <w:rPr>
          <w:color w:val="000000"/>
          <w:rtl/>
        </w:rPr>
      </w:pPr>
    </w:p>
    <w:p w14:paraId="04D186BE" w14:textId="77777777" w:rsidR="00A53FB3" w:rsidRDefault="00D40547">
      <w:pPr>
        <w:spacing w:line="360" w:lineRule="auto"/>
        <w:ind w:left="716" w:hanging="690"/>
        <w:jc w:val="both"/>
        <w:rPr>
          <w:color w:val="000000"/>
          <w:rtl/>
        </w:rPr>
      </w:pPr>
      <w:r>
        <w:rPr>
          <w:b/>
          <w:bCs/>
          <w:color w:val="000000"/>
          <w:rtl/>
        </w:rPr>
        <w:t>20</w:t>
      </w:r>
      <w:r>
        <w:rPr>
          <w:color w:val="000000"/>
          <w:rtl/>
        </w:rPr>
        <w:t>.</w:t>
      </w:r>
      <w:r>
        <w:rPr>
          <w:color w:val="000000"/>
          <w:rtl/>
        </w:rPr>
        <w:tab/>
        <w:t>המאשימה הפנתה לתסקיר וציינה כי  התסקיר מפרט את אורחות חיו של הנאשם ואת היותו אדם נורמטיבי ובן למשפחה נורמטיבית. יחד עם זאת ביקשה המאשימה להסתייג מהמלצת שירות המבחן הסופית והדגישה כי האינטרס הציבורי וחומרת העבירה  אינם מאפשרים הטלת  עונש שניתן לרצות בדרך של עבודות שירות.</w:t>
      </w:r>
    </w:p>
    <w:p w14:paraId="752ACDC2" w14:textId="77777777" w:rsidR="00A53FB3" w:rsidRDefault="00A53FB3">
      <w:pPr>
        <w:spacing w:line="360" w:lineRule="auto"/>
        <w:ind w:left="720"/>
        <w:jc w:val="both"/>
        <w:rPr>
          <w:color w:val="000000"/>
          <w:rtl/>
        </w:rPr>
      </w:pPr>
    </w:p>
    <w:p w14:paraId="06248829" w14:textId="77777777" w:rsidR="00A53FB3" w:rsidRDefault="00D40547">
      <w:pPr>
        <w:spacing w:line="360" w:lineRule="auto"/>
        <w:ind w:left="716" w:hanging="690"/>
        <w:jc w:val="both"/>
        <w:rPr>
          <w:color w:val="000000"/>
          <w:rtl/>
        </w:rPr>
      </w:pPr>
      <w:r>
        <w:rPr>
          <w:b/>
          <w:bCs/>
          <w:color w:val="000000"/>
          <w:rtl/>
        </w:rPr>
        <w:t>21</w:t>
      </w:r>
      <w:r>
        <w:rPr>
          <w:color w:val="000000"/>
          <w:rtl/>
        </w:rPr>
        <w:t>.</w:t>
      </w:r>
      <w:r>
        <w:rPr>
          <w:color w:val="000000"/>
          <w:rtl/>
        </w:rPr>
        <w:tab/>
        <w:t>לטענת המאשימה, מתחם הענישה ההולם בנסיבות בגינן הורשע הנאשם, הינו בין 9 ל- 24 חודשי מאסר בפועל.</w:t>
      </w:r>
    </w:p>
    <w:p w14:paraId="428849F6" w14:textId="77777777" w:rsidR="00A53FB3" w:rsidRDefault="00A53FB3">
      <w:pPr>
        <w:spacing w:line="360" w:lineRule="auto"/>
        <w:ind w:left="716" w:hanging="690"/>
        <w:jc w:val="both"/>
        <w:rPr>
          <w:color w:val="000000"/>
          <w:rtl/>
        </w:rPr>
      </w:pPr>
    </w:p>
    <w:p w14:paraId="018A3DA2" w14:textId="77777777" w:rsidR="00A53FB3" w:rsidRDefault="00D40547">
      <w:pPr>
        <w:spacing w:line="360" w:lineRule="auto"/>
        <w:ind w:left="716" w:hanging="690"/>
        <w:jc w:val="both"/>
        <w:rPr>
          <w:color w:val="000000"/>
          <w:rtl/>
        </w:rPr>
      </w:pPr>
      <w:r>
        <w:rPr>
          <w:color w:val="000000"/>
          <w:rtl/>
        </w:rPr>
        <w:tab/>
        <w:t>המאשימה הדגישה כי לאור גילו של הנאשם, היעדר הרשעות קודמות ולאור העונש שהושת על שותפו של הנאשם (9 חודשי מאסר בפועל), תעתור המאשימה לעונש מהרף התחתון של מתחם הענישה.</w:t>
      </w:r>
    </w:p>
    <w:p w14:paraId="2F6B2C78" w14:textId="77777777" w:rsidR="00A53FB3" w:rsidRDefault="00A53FB3">
      <w:pPr>
        <w:spacing w:line="360" w:lineRule="auto"/>
        <w:ind w:left="720"/>
        <w:jc w:val="both"/>
        <w:rPr>
          <w:color w:val="000000"/>
          <w:rtl/>
        </w:rPr>
      </w:pPr>
    </w:p>
    <w:p w14:paraId="3D95CF69" w14:textId="77777777" w:rsidR="00A53FB3" w:rsidRDefault="00D40547">
      <w:pPr>
        <w:spacing w:line="360" w:lineRule="auto"/>
        <w:ind w:left="716" w:hanging="690"/>
        <w:jc w:val="both"/>
        <w:rPr>
          <w:color w:val="000000"/>
          <w:rtl/>
        </w:rPr>
      </w:pPr>
      <w:r>
        <w:rPr>
          <w:b/>
          <w:bCs/>
          <w:color w:val="000000"/>
          <w:rtl/>
        </w:rPr>
        <w:t>22</w:t>
      </w:r>
      <w:r>
        <w:rPr>
          <w:color w:val="000000"/>
          <w:rtl/>
        </w:rPr>
        <w:t>.</w:t>
      </w:r>
      <w:r>
        <w:rPr>
          <w:color w:val="000000"/>
          <w:rtl/>
        </w:rPr>
        <w:tab/>
        <w:t>המאשימה ביקשה  להטיל על הנאשם עונש מאסר בפועל שיהיה ברף התחתון של מתחם הענישה המוצע וכן מאסר מותנה מרתיע.</w:t>
      </w:r>
    </w:p>
    <w:p w14:paraId="3742CFFD" w14:textId="77777777" w:rsidR="00A53FB3" w:rsidRDefault="00A53FB3">
      <w:pPr>
        <w:spacing w:line="360" w:lineRule="auto"/>
        <w:ind w:left="716" w:hanging="690"/>
        <w:jc w:val="both"/>
        <w:rPr>
          <w:color w:val="000000"/>
          <w:rtl/>
        </w:rPr>
      </w:pPr>
    </w:p>
    <w:p w14:paraId="1932012B" w14:textId="77777777" w:rsidR="00A53FB3" w:rsidRDefault="00D40547">
      <w:pPr>
        <w:spacing w:line="360" w:lineRule="auto"/>
        <w:ind w:firstLine="716"/>
        <w:jc w:val="both"/>
        <w:rPr>
          <w:b/>
          <w:bCs/>
          <w:color w:val="000000"/>
          <w:u w:val="single"/>
          <w:rtl/>
        </w:rPr>
      </w:pPr>
      <w:r>
        <w:rPr>
          <w:b/>
          <w:bCs/>
          <w:color w:val="000000"/>
          <w:u w:val="single"/>
          <w:rtl/>
        </w:rPr>
        <w:t>טענות ב"כ הנאשם:</w:t>
      </w:r>
    </w:p>
    <w:p w14:paraId="2E638372" w14:textId="77777777" w:rsidR="00A53FB3" w:rsidRDefault="00A53FB3">
      <w:pPr>
        <w:spacing w:line="360" w:lineRule="auto"/>
        <w:ind w:left="26" w:firstLine="690"/>
        <w:jc w:val="both"/>
        <w:rPr>
          <w:b/>
          <w:bCs/>
          <w:color w:val="000000"/>
          <w:u w:val="single"/>
          <w:rtl/>
        </w:rPr>
      </w:pPr>
    </w:p>
    <w:p w14:paraId="3AB6886D" w14:textId="77777777" w:rsidR="00A53FB3" w:rsidRDefault="00D40547">
      <w:pPr>
        <w:spacing w:line="360" w:lineRule="auto"/>
        <w:ind w:left="720" w:hanging="720"/>
        <w:jc w:val="both"/>
        <w:rPr>
          <w:color w:val="000000"/>
          <w:rtl/>
        </w:rPr>
      </w:pPr>
      <w:r>
        <w:rPr>
          <w:b/>
          <w:bCs/>
          <w:color w:val="000000"/>
          <w:rtl/>
        </w:rPr>
        <w:t>23</w:t>
      </w:r>
      <w:r>
        <w:rPr>
          <w:color w:val="000000"/>
          <w:rtl/>
        </w:rPr>
        <w:t>.</w:t>
      </w:r>
      <w:r>
        <w:rPr>
          <w:color w:val="000000"/>
          <w:rtl/>
        </w:rPr>
        <w:tab/>
        <w:t xml:space="preserve">הסנגור ציין כי  הנאשם יליד 1996 , בהיותו בן 18 הכיר את עאמר, שותפו לעבירה וכי לאור חתונה שהיתה לקרובת משפחה של הנאשם, ביקש האחרון מעאמר להשיג עבורו אקדח לצורך ירי בחתונה. באקדח לא נעשה שימוש והוא אבד, וכתוצאה מכך נאלץ הנאשם לשלם לעאמר תמורתו סך של 19,000 ₪. הסנגור הדגיש כי עאמר הבעלים של הנשק הוא הדמות הדומיננטית שהחזיק בנשק  והשאיל אותו  לנאשם לצורך ירי בחתונה. </w:t>
      </w:r>
    </w:p>
    <w:p w14:paraId="079C998A" w14:textId="77777777" w:rsidR="00A53FB3" w:rsidRDefault="00A53FB3">
      <w:pPr>
        <w:spacing w:line="360" w:lineRule="auto"/>
        <w:jc w:val="both"/>
        <w:rPr>
          <w:color w:val="000000"/>
          <w:rtl/>
        </w:rPr>
      </w:pPr>
    </w:p>
    <w:p w14:paraId="1DBAF1BE" w14:textId="77777777" w:rsidR="00A53FB3" w:rsidRDefault="00D40547">
      <w:pPr>
        <w:spacing w:line="360" w:lineRule="auto"/>
        <w:ind w:left="720" w:hanging="720"/>
        <w:jc w:val="both"/>
        <w:rPr>
          <w:color w:val="000000"/>
          <w:rtl/>
        </w:rPr>
      </w:pPr>
      <w:r>
        <w:rPr>
          <w:b/>
          <w:bCs/>
          <w:color w:val="000000"/>
          <w:rtl/>
        </w:rPr>
        <w:t>24</w:t>
      </w:r>
      <w:r>
        <w:rPr>
          <w:color w:val="000000"/>
          <w:rtl/>
        </w:rPr>
        <w:t>.</w:t>
      </w:r>
      <w:r>
        <w:rPr>
          <w:color w:val="000000"/>
          <w:rtl/>
        </w:rPr>
        <w:tab/>
        <w:t>לטענת הסנגור המלומד, שיקולי אחדות הענישה מצדיקים הבחנה בין שני הנאשמים  בהתאם לחלקם ואחריותם בפרשה וכן בשים לב לנתונים האישיים של כל אחד מהם. הסנגור הדגיש כי בעניינו של עאמר הסכימה המאשימה  להטיל עליו 9 חודשים על אף שלחובתו עבר פלילי מכביד, ולכן, כך לטענת הסנגור, הטלת עונש זהה על הנאשם ועאמר אינה הגיונית.</w:t>
      </w:r>
    </w:p>
    <w:p w14:paraId="27D8B8C0" w14:textId="77777777" w:rsidR="00A53FB3" w:rsidRDefault="00A53FB3">
      <w:pPr>
        <w:spacing w:line="360" w:lineRule="auto"/>
        <w:jc w:val="both"/>
        <w:rPr>
          <w:color w:val="000000"/>
          <w:rtl/>
        </w:rPr>
      </w:pPr>
    </w:p>
    <w:p w14:paraId="40347677" w14:textId="77777777" w:rsidR="00A53FB3" w:rsidRDefault="00D40547">
      <w:pPr>
        <w:spacing w:line="360" w:lineRule="auto"/>
        <w:ind w:left="720" w:hanging="720"/>
        <w:jc w:val="both"/>
        <w:rPr>
          <w:color w:val="000000"/>
          <w:rtl/>
        </w:rPr>
      </w:pPr>
      <w:r>
        <w:rPr>
          <w:b/>
          <w:bCs/>
          <w:color w:val="000000"/>
          <w:rtl/>
        </w:rPr>
        <w:t>25</w:t>
      </w:r>
      <w:r>
        <w:rPr>
          <w:color w:val="000000"/>
          <w:rtl/>
        </w:rPr>
        <w:t>.</w:t>
      </w:r>
      <w:r>
        <w:rPr>
          <w:color w:val="000000"/>
          <w:rtl/>
        </w:rPr>
        <w:tab/>
        <w:t>הסנגור ביקש להתחשב בכך כי הנאשם היה במעצר כחודש ימים מיום 23.12.14 עד 29.1.15 ולאחר מכן שוחרר ל</w:t>
      </w:r>
      <w:r>
        <w:rPr>
          <w:rFonts w:hint="cs"/>
          <w:color w:val="000000"/>
          <w:rtl/>
        </w:rPr>
        <w:t xml:space="preserve">חלופת </w:t>
      </w:r>
      <w:r>
        <w:rPr>
          <w:color w:val="000000"/>
          <w:rtl/>
        </w:rPr>
        <w:t>מעצר</w:t>
      </w:r>
      <w:r>
        <w:rPr>
          <w:rFonts w:hint="cs"/>
          <w:color w:val="000000"/>
          <w:rtl/>
        </w:rPr>
        <w:t xml:space="preserve"> </w:t>
      </w:r>
      <w:r>
        <w:rPr>
          <w:color w:val="000000"/>
          <w:rtl/>
        </w:rPr>
        <w:t xml:space="preserve">בתנאים מגבילים </w:t>
      </w:r>
      <w:r>
        <w:rPr>
          <w:rFonts w:hint="cs"/>
          <w:color w:val="000000"/>
          <w:rtl/>
        </w:rPr>
        <w:t xml:space="preserve">מאוד (מעצר בית מלא) ורק </w:t>
      </w:r>
      <w:r>
        <w:rPr>
          <w:color w:val="000000"/>
          <w:rtl/>
        </w:rPr>
        <w:t xml:space="preserve">ביום 14.5.15 צומצם מעצר הבית והפך לחלקי ומאז שחרורו לא ביצע כל עבירה. </w:t>
      </w:r>
    </w:p>
    <w:p w14:paraId="37B18F78" w14:textId="77777777" w:rsidR="00A53FB3" w:rsidRDefault="00A53FB3">
      <w:pPr>
        <w:spacing w:line="360" w:lineRule="auto"/>
        <w:ind w:left="720" w:hanging="720"/>
        <w:jc w:val="both"/>
        <w:rPr>
          <w:color w:val="000000"/>
          <w:rtl/>
        </w:rPr>
      </w:pPr>
    </w:p>
    <w:p w14:paraId="31D9B913" w14:textId="77777777" w:rsidR="00A53FB3" w:rsidRDefault="00D40547">
      <w:pPr>
        <w:spacing w:line="360" w:lineRule="auto"/>
        <w:ind w:left="720" w:hanging="720"/>
        <w:jc w:val="both"/>
        <w:rPr>
          <w:color w:val="000000"/>
          <w:rtl/>
        </w:rPr>
      </w:pPr>
      <w:r>
        <w:rPr>
          <w:b/>
          <w:bCs/>
          <w:color w:val="000000"/>
          <w:rtl/>
        </w:rPr>
        <w:t>26</w:t>
      </w:r>
      <w:r>
        <w:rPr>
          <w:color w:val="000000"/>
          <w:rtl/>
        </w:rPr>
        <w:t>.</w:t>
      </w:r>
      <w:r>
        <w:rPr>
          <w:color w:val="000000"/>
          <w:rtl/>
        </w:rPr>
        <w:tab/>
        <w:t>הסנגור הפנה לתסקיר שירות המבחן וביקש לאמץ את המלצתו. ציין כי הנאשם הודה בעבירה נשוא כתב האישום המתוקן והוא זה שהפליל את שותפו עאמר והביא לגילוי העבירה נשוא שני כתבי האישום וכי שיתוף הפעולה מצד הנאשם נעשה ללא שום טובת הנאה או הסדר טיעון כפי שהיה עם שותפו לעבירה.</w:t>
      </w:r>
    </w:p>
    <w:p w14:paraId="089DD683" w14:textId="77777777" w:rsidR="00A53FB3" w:rsidRDefault="00A53FB3">
      <w:pPr>
        <w:spacing w:line="360" w:lineRule="auto"/>
        <w:jc w:val="both"/>
        <w:rPr>
          <w:color w:val="000000"/>
          <w:rtl/>
        </w:rPr>
      </w:pPr>
    </w:p>
    <w:p w14:paraId="2A3B1371" w14:textId="77777777" w:rsidR="00A53FB3" w:rsidRDefault="00D40547">
      <w:pPr>
        <w:spacing w:line="360" w:lineRule="auto"/>
        <w:ind w:left="720" w:hanging="720"/>
        <w:jc w:val="both"/>
        <w:rPr>
          <w:color w:val="000000"/>
          <w:rtl/>
        </w:rPr>
      </w:pPr>
      <w:r>
        <w:rPr>
          <w:b/>
          <w:bCs/>
          <w:color w:val="000000"/>
          <w:rtl/>
        </w:rPr>
        <w:t>27</w:t>
      </w:r>
      <w:r>
        <w:rPr>
          <w:color w:val="000000"/>
          <w:rtl/>
        </w:rPr>
        <w:t>.</w:t>
      </w:r>
      <w:r>
        <w:rPr>
          <w:color w:val="000000"/>
          <w:rtl/>
        </w:rPr>
        <w:tab/>
        <w:t>הסנגור הפנה לפסיקה וביקש שלא למצות את הדין עם הנאשם, הדגיש כי המדובר בבחור צעיר, בן למשפחה נורמטיבית, נעדר עבר פלילי וזו מעורבותו הראשונה בפלילים, לכן ביקש לתת לו הזדמנות ולהטיל עליו עונש מאסר שירוצה בדרך של עבודות שירות.</w:t>
      </w:r>
    </w:p>
    <w:p w14:paraId="3765A434" w14:textId="77777777" w:rsidR="00A53FB3" w:rsidRDefault="00A53FB3">
      <w:pPr>
        <w:spacing w:line="360" w:lineRule="auto"/>
        <w:jc w:val="both"/>
        <w:rPr>
          <w:color w:val="000000"/>
          <w:rtl/>
        </w:rPr>
      </w:pPr>
    </w:p>
    <w:p w14:paraId="515923AD" w14:textId="77777777" w:rsidR="00A53FB3" w:rsidRDefault="00D40547">
      <w:pPr>
        <w:spacing w:line="360" w:lineRule="auto"/>
        <w:jc w:val="both"/>
        <w:rPr>
          <w:color w:val="000000"/>
          <w:rtl/>
        </w:rPr>
      </w:pPr>
      <w:r>
        <w:rPr>
          <w:b/>
          <w:bCs/>
          <w:color w:val="000000"/>
          <w:rtl/>
        </w:rPr>
        <w:t>28</w:t>
      </w:r>
      <w:r>
        <w:rPr>
          <w:color w:val="000000"/>
          <w:rtl/>
        </w:rPr>
        <w:t>.</w:t>
      </w:r>
      <w:r>
        <w:rPr>
          <w:color w:val="000000"/>
          <w:rtl/>
        </w:rPr>
        <w:tab/>
        <w:t xml:space="preserve">הנאשם בפנותו לביהמ"ש הביע צער וחרטה על מעשיו. </w:t>
      </w:r>
    </w:p>
    <w:p w14:paraId="63BA73F2" w14:textId="77777777" w:rsidR="00A53FB3" w:rsidRDefault="00A53FB3">
      <w:pPr>
        <w:spacing w:line="360" w:lineRule="auto"/>
        <w:jc w:val="both"/>
        <w:rPr>
          <w:color w:val="000000"/>
          <w:rtl/>
        </w:rPr>
      </w:pPr>
    </w:p>
    <w:p w14:paraId="02FEEB6D" w14:textId="77777777" w:rsidR="00A53FB3" w:rsidRDefault="00D40547">
      <w:pPr>
        <w:spacing w:line="360" w:lineRule="auto"/>
        <w:jc w:val="both"/>
        <w:rPr>
          <w:color w:val="000000"/>
          <w:rtl/>
        </w:rPr>
      </w:pPr>
      <w:r>
        <w:rPr>
          <w:rFonts w:hint="cs"/>
          <w:b/>
          <w:bCs/>
          <w:color w:val="000000"/>
          <w:u w:val="single"/>
          <w:rtl/>
        </w:rPr>
        <w:t>ההליך נגד עאמר</w:t>
      </w:r>
      <w:r>
        <w:rPr>
          <w:rFonts w:hint="cs"/>
          <w:color w:val="000000"/>
          <w:rtl/>
        </w:rPr>
        <w:t>:</w:t>
      </w:r>
    </w:p>
    <w:p w14:paraId="089A6647" w14:textId="77777777" w:rsidR="00A53FB3" w:rsidRDefault="00A53FB3">
      <w:pPr>
        <w:spacing w:line="360" w:lineRule="auto"/>
        <w:jc w:val="both"/>
        <w:rPr>
          <w:color w:val="000000"/>
          <w:rtl/>
        </w:rPr>
      </w:pPr>
    </w:p>
    <w:p w14:paraId="265275AF" w14:textId="77777777" w:rsidR="00A53FB3" w:rsidRDefault="00D40547">
      <w:pPr>
        <w:spacing w:line="360" w:lineRule="auto"/>
        <w:ind w:left="720" w:hanging="720"/>
        <w:jc w:val="both"/>
        <w:rPr>
          <w:color w:val="000000"/>
        </w:rPr>
      </w:pPr>
      <w:r>
        <w:rPr>
          <w:b/>
          <w:bCs/>
          <w:color w:val="000000"/>
          <w:rtl/>
        </w:rPr>
        <w:t>29</w:t>
      </w:r>
      <w:r>
        <w:rPr>
          <w:color w:val="000000"/>
          <w:rtl/>
        </w:rPr>
        <w:t>.</w:t>
      </w:r>
      <w:r>
        <w:rPr>
          <w:color w:val="000000"/>
          <w:rtl/>
        </w:rPr>
        <w:tab/>
        <w:t>כאן המקום לציין כי עאמר שותפו של הנאשם בביצוע העבירה, נדון ב</w:t>
      </w:r>
      <w:hyperlink r:id="rId13" w:history="1">
        <w:r w:rsidRPr="00D40547">
          <w:rPr>
            <w:color w:val="0000FF"/>
            <w:u w:val="single"/>
            <w:rtl/>
          </w:rPr>
          <w:t>ת"פ 27270-01-15</w:t>
        </w:r>
      </w:hyperlink>
      <w:r>
        <w:rPr>
          <w:color w:val="000000"/>
          <w:rtl/>
        </w:rPr>
        <w:t>, שם הגיעו הצדדים להסדר טיעון סגור לפיו עאמר יודה בעובדות כתב האישום המתוקן</w:t>
      </w:r>
      <w:r>
        <w:rPr>
          <w:rFonts w:hint="cs"/>
          <w:color w:val="000000"/>
          <w:rtl/>
        </w:rPr>
        <w:t>,</w:t>
      </w:r>
      <w:r>
        <w:rPr>
          <w:color w:val="000000"/>
          <w:rtl/>
        </w:rPr>
        <w:t xml:space="preserve"> יורשע  ויוטל עליו</w:t>
      </w:r>
      <w:r>
        <w:rPr>
          <w:rFonts w:hint="cs"/>
          <w:color w:val="000000"/>
          <w:rtl/>
        </w:rPr>
        <w:t xml:space="preserve"> עונש של</w:t>
      </w:r>
      <w:r>
        <w:rPr>
          <w:color w:val="000000"/>
          <w:rtl/>
        </w:rPr>
        <w:t xml:space="preserve"> 9 חודשי מאסר בפועל מיום מעצרו ומאסר על תנאי. </w:t>
      </w:r>
    </w:p>
    <w:p w14:paraId="44797469" w14:textId="77777777" w:rsidR="00A53FB3" w:rsidRDefault="00A53FB3">
      <w:pPr>
        <w:spacing w:line="360" w:lineRule="auto"/>
        <w:ind w:left="1080"/>
        <w:jc w:val="both"/>
        <w:rPr>
          <w:color w:val="000000"/>
          <w:rtl/>
        </w:rPr>
      </w:pPr>
    </w:p>
    <w:p w14:paraId="0273B36E" w14:textId="77777777" w:rsidR="00A53FB3" w:rsidRDefault="00D40547">
      <w:pPr>
        <w:spacing w:line="360" w:lineRule="auto"/>
        <w:ind w:left="720"/>
        <w:jc w:val="both"/>
        <w:rPr>
          <w:color w:val="000000"/>
          <w:rtl/>
        </w:rPr>
      </w:pPr>
      <w:r>
        <w:rPr>
          <w:color w:val="000000"/>
          <w:rtl/>
        </w:rPr>
        <w:t xml:space="preserve">ביום 8.3.15 הורשע עאמר על סמך הודאתו, במסגרת הסדר הטיעון, בביצוע עבירות נשק, לפי </w:t>
      </w:r>
      <w:hyperlink r:id="rId14" w:history="1">
        <w:r w:rsidR="00B30514" w:rsidRPr="00B30514">
          <w:rPr>
            <w:rStyle w:val="Hyperlink"/>
            <w:rFonts w:cs="David"/>
            <w:rtl/>
          </w:rPr>
          <w:t>סעיף 144(א)</w:t>
        </w:r>
      </w:hyperlink>
      <w:r>
        <w:rPr>
          <w:color w:val="000000"/>
          <w:rtl/>
        </w:rPr>
        <w:t xml:space="preserve"> ל</w:t>
      </w:r>
      <w:hyperlink r:id="rId15" w:history="1">
        <w:r w:rsidRPr="00D40547">
          <w:rPr>
            <w:color w:val="0000FF"/>
            <w:u w:val="single"/>
            <w:rtl/>
          </w:rPr>
          <w:t>חוק העונשין</w:t>
        </w:r>
      </w:hyperlink>
      <w:r>
        <w:rPr>
          <w:color w:val="000000"/>
          <w:rtl/>
        </w:rPr>
        <w:t xml:space="preserve"> והוטל</w:t>
      </w:r>
      <w:r>
        <w:rPr>
          <w:rFonts w:hint="cs"/>
          <w:color w:val="000000"/>
          <w:rtl/>
        </w:rPr>
        <w:t>ו</w:t>
      </w:r>
      <w:r>
        <w:rPr>
          <w:color w:val="000000"/>
          <w:rtl/>
        </w:rPr>
        <w:t xml:space="preserve"> עליו 9 חודשי מאסר בפועל  וששה חודשי מאסר על תנאי למשך 3 שנים.</w:t>
      </w:r>
    </w:p>
    <w:p w14:paraId="2BB74580" w14:textId="77777777" w:rsidR="00A53FB3" w:rsidRDefault="00A53FB3">
      <w:pPr>
        <w:spacing w:line="360" w:lineRule="auto"/>
        <w:ind w:left="360"/>
        <w:jc w:val="both"/>
        <w:rPr>
          <w:color w:val="000000"/>
          <w:rtl/>
        </w:rPr>
      </w:pPr>
    </w:p>
    <w:p w14:paraId="30F1FE5E" w14:textId="77777777" w:rsidR="00A53FB3" w:rsidRDefault="00D40547">
      <w:pPr>
        <w:spacing w:line="360" w:lineRule="auto"/>
        <w:ind w:left="720"/>
        <w:jc w:val="both"/>
        <w:rPr>
          <w:color w:val="000000"/>
          <w:rtl/>
        </w:rPr>
      </w:pPr>
      <w:r>
        <w:rPr>
          <w:color w:val="000000"/>
          <w:rtl/>
        </w:rPr>
        <w:t>יודגש  כי לחובתו של עאמר שלוש הרשעות קודמות</w:t>
      </w:r>
      <w:r>
        <w:rPr>
          <w:rFonts w:hint="cs"/>
          <w:color w:val="000000"/>
          <w:rtl/>
        </w:rPr>
        <w:t>:</w:t>
      </w:r>
      <w:r>
        <w:rPr>
          <w:color w:val="000000"/>
          <w:rtl/>
        </w:rPr>
        <w:t xml:space="preserve"> הרשעתו מש</w:t>
      </w:r>
      <w:r>
        <w:rPr>
          <w:rFonts w:hint="cs"/>
          <w:color w:val="000000"/>
          <w:rtl/>
        </w:rPr>
        <w:t>נ</w:t>
      </w:r>
      <w:r>
        <w:rPr>
          <w:color w:val="000000"/>
          <w:rtl/>
        </w:rPr>
        <w:t>ת 2004, בגין עבירות של החזקת אגרופ</w:t>
      </w:r>
      <w:r>
        <w:rPr>
          <w:rFonts w:hint="cs"/>
          <w:color w:val="000000"/>
          <w:rtl/>
        </w:rPr>
        <w:t>ן</w:t>
      </w:r>
      <w:r>
        <w:rPr>
          <w:color w:val="000000"/>
          <w:rtl/>
        </w:rPr>
        <w:t xml:space="preserve"> או סכין, הפרעה לשוטר, תקיפת שוטר והעלבת עובד ציבור</w:t>
      </w:r>
      <w:r>
        <w:rPr>
          <w:rFonts w:hint="cs"/>
          <w:color w:val="000000"/>
          <w:rtl/>
        </w:rPr>
        <w:t xml:space="preserve"> והוטל עליו מאסר על תנאי, התחייבות להימנע מעבירה ותשלום פיצוי; ההרשעה השנייה </w:t>
      </w:r>
      <w:r>
        <w:rPr>
          <w:color w:val="000000"/>
          <w:rtl/>
        </w:rPr>
        <w:t>משנת</w:t>
      </w:r>
      <w:r>
        <w:rPr>
          <w:rFonts w:hint="cs"/>
          <w:color w:val="000000"/>
          <w:rtl/>
        </w:rPr>
        <w:t xml:space="preserve"> </w:t>
      </w:r>
      <w:r>
        <w:rPr>
          <w:color w:val="000000"/>
          <w:rtl/>
        </w:rPr>
        <w:t xml:space="preserve">2009 בגין עבירות לפי חוק תכנון ובניה, תשכ"ה </w:t>
      </w:r>
      <w:r>
        <w:rPr>
          <w:rFonts w:hint="cs"/>
          <w:color w:val="000000"/>
          <w:rtl/>
        </w:rPr>
        <w:t>1965, והוטלו עליו קנס והתחייבות להימנע מעבירה וההרשעה השלישית משנת</w:t>
      </w:r>
      <w:r>
        <w:rPr>
          <w:color w:val="000000"/>
          <w:rtl/>
        </w:rPr>
        <w:t xml:space="preserve"> 2011 בגין עבירה של איומים שם הוטל</w:t>
      </w:r>
      <w:r>
        <w:rPr>
          <w:rFonts w:hint="cs"/>
          <w:color w:val="000000"/>
          <w:rtl/>
        </w:rPr>
        <w:t>ו</w:t>
      </w:r>
      <w:r>
        <w:rPr>
          <w:color w:val="000000"/>
          <w:rtl/>
        </w:rPr>
        <w:t xml:space="preserve"> עליו 7 חודשי מאסר בפועל. </w:t>
      </w:r>
    </w:p>
    <w:p w14:paraId="4EB835D6" w14:textId="77777777" w:rsidR="00A53FB3" w:rsidRDefault="00A53FB3">
      <w:pPr>
        <w:spacing w:line="360" w:lineRule="auto"/>
        <w:jc w:val="both"/>
        <w:rPr>
          <w:color w:val="000000"/>
          <w:rtl/>
        </w:rPr>
      </w:pPr>
    </w:p>
    <w:p w14:paraId="0BF63CD8" w14:textId="77777777" w:rsidR="00A53FB3" w:rsidRDefault="00D40547">
      <w:pPr>
        <w:spacing w:line="360" w:lineRule="auto"/>
        <w:jc w:val="both"/>
        <w:rPr>
          <w:b/>
          <w:bCs/>
          <w:color w:val="000000"/>
          <w:u w:val="single"/>
          <w:rtl/>
        </w:rPr>
      </w:pPr>
      <w:r>
        <w:rPr>
          <w:rFonts w:hint="cs"/>
          <w:b/>
          <w:bCs/>
          <w:color w:val="000000"/>
          <w:u w:val="single"/>
          <w:rtl/>
        </w:rPr>
        <w:t>דיון וקביעת מתחם הענישה</w:t>
      </w:r>
      <w:r>
        <w:rPr>
          <w:b/>
          <w:bCs/>
          <w:color w:val="000000"/>
          <w:rtl/>
        </w:rPr>
        <w:t>:</w:t>
      </w:r>
    </w:p>
    <w:p w14:paraId="0088E5BE" w14:textId="77777777" w:rsidR="00A53FB3" w:rsidRDefault="00A53FB3">
      <w:pPr>
        <w:spacing w:line="360" w:lineRule="auto"/>
        <w:jc w:val="both"/>
        <w:rPr>
          <w:color w:val="000000"/>
          <w:rtl/>
        </w:rPr>
      </w:pPr>
    </w:p>
    <w:p w14:paraId="1EE25123" w14:textId="77777777" w:rsidR="00A53FB3" w:rsidRDefault="00D40547">
      <w:pPr>
        <w:spacing w:line="360" w:lineRule="auto"/>
        <w:ind w:left="720" w:hanging="720"/>
        <w:jc w:val="both"/>
        <w:rPr>
          <w:color w:val="000000"/>
          <w:rtl/>
        </w:rPr>
      </w:pPr>
      <w:r>
        <w:rPr>
          <w:b/>
          <w:bCs/>
          <w:color w:val="000000"/>
          <w:rtl/>
        </w:rPr>
        <w:t>30</w:t>
      </w:r>
      <w:r>
        <w:rPr>
          <w:color w:val="000000"/>
          <w:rtl/>
        </w:rPr>
        <w:t>.</w:t>
      </w:r>
      <w:r>
        <w:rPr>
          <w:color w:val="000000"/>
          <w:rtl/>
        </w:rPr>
        <w:tab/>
        <w:t>הנאשם הורשע בביצוע עבירות בנשק, לאחר שקיבל לידיו אקדח, החזיק בו בלא רשות על פי דין והחביאו בסמוך לביתו. בהמשך, לאחר שאבד האקדח,  הוא שילם לעאמר בתמורה סך של 19,000 ₪.</w:t>
      </w:r>
    </w:p>
    <w:p w14:paraId="6B4F7E82" w14:textId="77777777" w:rsidR="00A53FB3" w:rsidRDefault="00A53FB3">
      <w:pPr>
        <w:spacing w:line="360" w:lineRule="auto"/>
        <w:ind w:left="720" w:hanging="720"/>
        <w:jc w:val="both"/>
        <w:rPr>
          <w:color w:val="000000"/>
          <w:rtl/>
        </w:rPr>
      </w:pPr>
    </w:p>
    <w:p w14:paraId="63B541EA" w14:textId="77777777" w:rsidR="00A53FB3" w:rsidRDefault="00D40547">
      <w:pPr>
        <w:spacing w:line="360" w:lineRule="auto"/>
        <w:ind w:left="720" w:hanging="720"/>
        <w:jc w:val="both"/>
        <w:rPr>
          <w:color w:val="000000"/>
          <w:rtl/>
          <w:lang w:eastAsia="he-IL"/>
        </w:rPr>
      </w:pPr>
      <w:r>
        <w:rPr>
          <w:b/>
          <w:bCs/>
          <w:color w:val="000000"/>
          <w:rtl/>
        </w:rPr>
        <w:t>31</w:t>
      </w:r>
      <w:r>
        <w:rPr>
          <w:color w:val="000000"/>
          <w:rtl/>
        </w:rPr>
        <w:t>.</w:t>
      </w:r>
      <w:r>
        <w:rPr>
          <w:color w:val="000000"/>
          <w:rtl/>
        </w:rPr>
        <w:tab/>
        <w:t xml:space="preserve">אכן ריבוי העבירות המבוצעות בנשק, </w:t>
      </w:r>
      <w:r>
        <w:rPr>
          <w:rFonts w:hint="cs"/>
          <w:color w:val="000000"/>
          <w:rtl/>
        </w:rPr>
        <w:t>הקלות שבה נשק</w:t>
      </w:r>
      <w:r>
        <w:rPr>
          <w:color w:val="000000"/>
          <w:rtl/>
        </w:rPr>
        <w:t xml:space="preserve"> בלתי מורשה</w:t>
      </w:r>
      <w:r>
        <w:rPr>
          <w:rFonts w:hint="cs"/>
          <w:color w:val="000000"/>
          <w:rtl/>
        </w:rPr>
        <w:t xml:space="preserve"> עלול להימצא</w:t>
      </w:r>
      <w:r>
        <w:rPr>
          <w:color w:val="000000"/>
          <w:rtl/>
        </w:rPr>
        <w:t xml:space="preserve"> בידי כל מי שחפץ ובשל הסכנה הנשקפת מנשק זה לציבור, נקטו בתי המשפט בגישה מחמירה שתכליתה הכרזת מלחמה של רשויות האכיפה בתופעה זו ועל כך נאמר ב</w:t>
      </w:r>
      <w:hyperlink r:id="rId16" w:history="1">
        <w:r w:rsidRPr="00D40547">
          <w:rPr>
            <w:color w:val="0000FF"/>
            <w:u w:val="single"/>
            <w:rtl/>
            <w:lang w:eastAsia="he-IL"/>
          </w:rPr>
          <w:t>ע"פ 4460/11</w:t>
        </w:r>
      </w:hyperlink>
      <w:r>
        <w:rPr>
          <w:color w:val="000000"/>
          <w:rtl/>
          <w:lang w:eastAsia="he-IL"/>
        </w:rPr>
        <w:t xml:space="preserve"> </w:t>
      </w:r>
      <w:r>
        <w:rPr>
          <w:b/>
          <w:bCs/>
          <w:color w:val="000000"/>
          <w:rtl/>
          <w:lang w:eastAsia="he-IL"/>
        </w:rPr>
        <w:t>מדינת ישראל נ' אחד פאיד</w:t>
      </w:r>
      <w:r>
        <w:rPr>
          <w:color w:val="000000"/>
          <w:rtl/>
          <w:lang w:eastAsia="he-IL"/>
        </w:rPr>
        <w:t xml:space="preserve"> </w:t>
      </w:r>
      <w:r>
        <w:rPr>
          <w:color w:val="000000"/>
          <w:sz w:val="22"/>
          <w:rtl/>
          <w:lang w:eastAsia="he-IL"/>
        </w:rPr>
        <w:t xml:space="preserve"> </w:t>
      </w:r>
      <w:r>
        <w:rPr>
          <w:color w:val="000000"/>
          <w:rtl/>
          <w:lang w:eastAsia="he-IL"/>
        </w:rPr>
        <w:t xml:space="preserve">(ניתן ביום 28.11.11), כי:  </w:t>
      </w:r>
    </w:p>
    <w:p w14:paraId="3BAE99D5" w14:textId="77777777" w:rsidR="00A53FB3" w:rsidRDefault="00A53FB3">
      <w:pPr>
        <w:spacing w:line="360" w:lineRule="auto"/>
        <w:ind w:left="1286"/>
        <w:jc w:val="both"/>
        <w:rPr>
          <w:rtl/>
          <w:lang w:eastAsia="he-IL"/>
        </w:rPr>
      </w:pPr>
    </w:p>
    <w:p w14:paraId="34504277" w14:textId="77777777" w:rsidR="00A53FB3" w:rsidRDefault="00D40547">
      <w:pPr>
        <w:pStyle w:val="Ruller40"/>
        <w:ind w:left="720"/>
        <w:rPr>
          <w:rFonts w:cs="David"/>
          <w:b/>
          <w:bCs/>
          <w:sz w:val="24"/>
          <w:szCs w:val="24"/>
          <w:rtl/>
        </w:rPr>
      </w:pPr>
      <w:r>
        <w:rPr>
          <w:rFonts w:cs="David"/>
          <w:b/>
          <w:bCs/>
          <w:sz w:val="24"/>
          <w:szCs w:val="24"/>
          <w:rtl/>
        </w:rPr>
        <w:t>"אכן נראה לנו כי הגיעה השעה להחמיר בעבירות של החזקת נשק ושימוש בו</w:t>
      </w:r>
      <w:r>
        <w:rPr>
          <w:rFonts w:ascii="David" w:cs="David"/>
          <w:b/>
          <w:bCs/>
          <w:sz w:val="24"/>
          <w:szCs w:val="24"/>
          <w:rtl/>
        </w:rPr>
        <w:t xml:space="preserve">. </w:t>
      </w:r>
      <w:r>
        <w:rPr>
          <w:rFonts w:cs="David"/>
          <w:b/>
          <w:bCs/>
          <w:sz w:val="24"/>
          <w:szCs w:val="24"/>
          <w:rtl/>
        </w:rPr>
        <w:t>נשק המוחזק שלא כדין עלול למצוא דרכו לידים עוינות ועלול גם לשמש למטרות פליליות</w:t>
      </w:r>
      <w:r>
        <w:rPr>
          <w:rFonts w:ascii="David" w:cs="David"/>
          <w:b/>
          <w:bCs/>
          <w:sz w:val="24"/>
          <w:szCs w:val="24"/>
          <w:rtl/>
        </w:rPr>
        <w:t xml:space="preserve">. </w:t>
      </w:r>
      <w:r>
        <w:rPr>
          <w:rFonts w:cs="David"/>
          <w:b/>
          <w:bCs/>
          <w:sz w:val="24"/>
          <w:szCs w:val="24"/>
          <w:rtl/>
        </w:rPr>
        <w:t xml:space="preserve">יריות שמחה באירועים יש בהן כדי לסכן חפים מפשע..." </w:t>
      </w:r>
    </w:p>
    <w:p w14:paraId="0612B104" w14:textId="77777777" w:rsidR="00A53FB3" w:rsidRDefault="00A53FB3">
      <w:pPr>
        <w:spacing w:line="360" w:lineRule="auto"/>
        <w:jc w:val="both"/>
        <w:rPr>
          <w:color w:val="000000"/>
          <w:rtl/>
        </w:rPr>
      </w:pPr>
    </w:p>
    <w:p w14:paraId="161D9B81" w14:textId="77777777" w:rsidR="00A53FB3" w:rsidRDefault="00D40547">
      <w:pPr>
        <w:spacing w:line="360" w:lineRule="auto"/>
        <w:ind w:left="720" w:hanging="720"/>
        <w:jc w:val="both"/>
        <w:rPr>
          <w:color w:val="000000"/>
          <w:rtl/>
        </w:rPr>
      </w:pPr>
      <w:r>
        <w:rPr>
          <w:b/>
          <w:bCs/>
          <w:color w:val="000000"/>
          <w:rtl/>
        </w:rPr>
        <w:t>32</w:t>
      </w:r>
      <w:r>
        <w:rPr>
          <w:color w:val="000000"/>
          <w:rtl/>
        </w:rPr>
        <w:t>.</w:t>
      </w:r>
      <w:r>
        <w:rPr>
          <w:color w:val="000000"/>
          <w:rtl/>
        </w:rPr>
        <w:tab/>
        <w:t>בשנים האחרונות, אכן</w:t>
      </w:r>
      <w:r>
        <w:rPr>
          <w:rFonts w:hint="cs"/>
          <w:color w:val="000000"/>
          <w:rtl/>
        </w:rPr>
        <w:t xml:space="preserve"> בלטה בפסיקה</w:t>
      </w:r>
      <w:r>
        <w:rPr>
          <w:color w:val="000000"/>
          <w:rtl/>
        </w:rPr>
        <w:t xml:space="preserve"> המגמה להחמיר בענישה בעבירות נשק - ראו </w:t>
      </w:r>
      <w:hyperlink r:id="rId17" w:history="1">
        <w:r w:rsidRPr="00D40547">
          <w:rPr>
            <w:color w:val="0000FF"/>
            <w:u w:val="single"/>
            <w:rtl/>
          </w:rPr>
          <w:t>ע"פ 2251/11</w:t>
        </w:r>
      </w:hyperlink>
      <w:r>
        <w:rPr>
          <w:color w:val="000000"/>
          <w:rtl/>
        </w:rPr>
        <w:t xml:space="preserve"> </w:t>
      </w:r>
      <w:r>
        <w:rPr>
          <w:b/>
          <w:bCs/>
          <w:color w:val="000000"/>
          <w:rtl/>
        </w:rPr>
        <w:t>נפאע נ' מדינת ישראל</w:t>
      </w:r>
      <w:r>
        <w:rPr>
          <w:color w:val="000000"/>
          <w:rtl/>
        </w:rPr>
        <w:t xml:space="preserve"> (ניתן ביום 4.12.11), </w:t>
      </w:r>
      <w:hyperlink r:id="rId18" w:history="1">
        <w:r w:rsidRPr="00D40547">
          <w:rPr>
            <w:color w:val="0000FF"/>
            <w:u w:val="single"/>
            <w:rtl/>
          </w:rPr>
          <w:t>ע"פ 4450/11</w:t>
        </w:r>
      </w:hyperlink>
      <w:r>
        <w:rPr>
          <w:color w:val="000000"/>
          <w:rtl/>
        </w:rPr>
        <w:t xml:space="preserve"> </w:t>
      </w:r>
      <w:r>
        <w:rPr>
          <w:b/>
          <w:bCs/>
          <w:color w:val="000000"/>
          <w:rtl/>
        </w:rPr>
        <w:t>עספור נ' מדינת ישראל</w:t>
      </w:r>
      <w:r>
        <w:rPr>
          <w:color w:val="000000"/>
          <w:rtl/>
        </w:rPr>
        <w:t xml:space="preserve"> (ניתן ביום 8.2.12) ו</w:t>
      </w:r>
      <w:hyperlink r:id="rId19" w:history="1">
        <w:r w:rsidRPr="00D40547">
          <w:rPr>
            <w:color w:val="0000FF"/>
            <w:u w:val="single"/>
            <w:rtl/>
          </w:rPr>
          <w:t>ע"פ 1323/13</w:t>
        </w:r>
      </w:hyperlink>
      <w:r>
        <w:rPr>
          <w:color w:val="000000"/>
          <w:rtl/>
        </w:rPr>
        <w:t xml:space="preserve"> </w:t>
      </w:r>
      <w:r>
        <w:rPr>
          <w:b/>
          <w:bCs/>
          <w:color w:val="000000"/>
          <w:rtl/>
        </w:rPr>
        <w:t>רך חסן ואח' נגד מדינת ישראל</w:t>
      </w:r>
      <w:r>
        <w:rPr>
          <w:color w:val="000000"/>
          <w:rtl/>
        </w:rPr>
        <w:t xml:space="preserve"> (ניתן ביום 5.6.13). </w:t>
      </w:r>
      <w:r>
        <w:rPr>
          <w:rFonts w:ascii="Arial" w:hAnsi="Arial"/>
          <w:color w:val="000000"/>
          <w:rtl/>
        </w:rPr>
        <w:t>מגמת ההחמרה באה לביטוי בפסק דינו של ביהמ"ש העליון, מפי כב' השופט הנדל ב</w:t>
      </w:r>
      <w:hyperlink r:id="rId20" w:history="1">
        <w:r w:rsidRPr="00D40547">
          <w:rPr>
            <w:rFonts w:ascii="Arial" w:hAnsi="Arial" w:cs="Times New Roman"/>
            <w:color w:val="0000FF"/>
            <w:u w:val="single"/>
            <w:rtl/>
          </w:rPr>
          <w:t>ע"פ 7241/12</w:t>
        </w:r>
      </w:hyperlink>
      <w:r>
        <w:rPr>
          <w:rFonts w:ascii="Arial" w:hAnsi="Arial"/>
          <w:color w:val="000000"/>
          <w:rtl/>
        </w:rPr>
        <w:t xml:space="preserve"> </w:t>
      </w:r>
      <w:r>
        <w:rPr>
          <w:rFonts w:ascii="Arial" w:hAnsi="Arial"/>
          <w:b/>
          <w:bCs/>
          <w:color w:val="000000"/>
          <w:rtl/>
        </w:rPr>
        <w:t>טאטור נ' מדינת ישראל</w:t>
      </w:r>
      <w:r>
        <w:rPr>
          <w:rFonts w:ascii="Arial" w:hAnsi="Arial"/>
          <w:color w:val="000000"/>
          <w:rtl/>
        </w:rPr>
        <w:t xml:space="preserve"> </w:t>
      </w:r>
      <w:r>
        <w:rPr>
          <w:color w:val="000000"/>
          <w:rtl/>
        </w:rPr>
        <w:t>(</w:t>
      </w:r>
      <w:r>
        <w:rPr>
          <w:rFonts w:ascii="Arial" w:hAnsi="Arial"/>
          <w:color w:val="000000"/>
          <w:rtl/>
        </w:rPr>
        <w:t xml:space="preserve">ניתן ביום 12.2.13) </w:t>
      </w:r>
      <w:r>
        <w:rPr>
          <w:rFonts w:ascii="Arial" w:hAnsi="Arial" w:hint="cs"/>
          <w:color w:val="000000"/>
          <w:rtl/>
        </w:rPr>
        <w:t xml:space="preserve">- </w:t>
      </w:r>
      <w:r>
        <w:rPr>
          <w:rFonts w:ascii="Arial" w:hAnsi="Arial"/>
          <w:color w:val="000000"/>
          <w:rtl/>
        </w:rPr>
        <w:t>(להלן: "</w:t>
      </w:r>
      <w:r>
        <w:rPr>
          <w:rFonts w:ascii="Arial" w:hAnsi="Arial"/>
          <w:b/>
          <w:bCs/>
          <w:color w:val="000000"/>
          <w:rtl/>
        </w:rPr>
        <w:t>טאטור</w:t>
      </w:r>
      <w:r>
        <w:rPr>
          <w:rFonts w:ascii="Arial" w:hAnsi="Arial"/>
          <w:color w:val="000000"/>
          <w:rtl/>
        </w:rPr>
        <w:t>")</w:t>
      </w:r>
      <w:r>
        <w:rPr>
          <w:rFonts w:ascii="Arial" w:hAnsi="Arial" w:hint="cs"/>
          <w:color w:val="000000"/>
          <w:rtl/>
        </w:rPr>
        <w:t xml:space="preserve">, </w:t>
      </w:r>
      <w:r>
        <w:rPr>
          <w:rFonts w:ascii="Arial" w:hAnsi="Arial"/>
          <w:color w:val="000000"/>
          <w:rtl/>
        </w:rPr>
        <w:t xml:space="preserve">שבו נדחה ערעור של מי שמסר אקדח לקרוב משפחתו על מנת שיירה בו במהלך חתונה ונידון ל- 9 חודשי מאסר בפועל, </w:t>
      </w:r>
      <w:r>
        <w:rPr>
          <w:rFonts w:ascii="Arial" w:hAnsi="Arial" w:hint="cs"/>
          <w:color w:val="000000"/>
          <w:rtl/>
        </w:rPr>
        <w:t>ושם נכתבו הדברים הבאים</w:t>
      </w:r>
      <w:r>
        <w:rPr>
          <w:rFonts w:ascii="Arial" w:hAnsi="Arial"/>
          <w:color w:val="000000"/>
          <w:rtl/>
        </w:rPr>
        <w:t xml:space="preserve">: </w:t>
      </w:r>
    </w:p>
    <w:p w14:paraId="08E36E6C" w14:textId="77777777" w:rsidR="00A53FB3" w:rsidRDefault="00A53FB3">
      <w:pPr>
        <w:spacing w:line="360" w:lineRule="auto"/>
        <w:ind w:right="1134"/>
        <w:jc w:val="both"/>
        <w:rPr>
          <w:rFonts w:ascii="Arial" w:hAnsi="Arial"/>
          <w:color w:val="000000"/>
          <w:rtl/>
        </w:rPr>
      </w:pPr>
    </w:p>
    <w:p w14:paraId="180FCE73" w14:textId="77777777" w:rsidR="00A53FB3" w:rsidRDefault="00D40547">
      <w:pPr>
        <w:pStyle w:val="Ruller40"/>
        <w:ind w:left="720"/>
        <w:rPr>
          <w:rFonts w:cs="David"/>
          <w:b/>
          <w:bCs/>
          <w:color w:val="000000"/>
          <w:sz w:val="24"/>
          <w:szCs w:val="24"/>
          <w:rtl/>
        </w:rPr>
      </w:pPr>
      <w:r>
        <w:rPr>
          <w:rFonts w:cs="David"/>
          <w:b/>
          <w:bCs/>
          <w:color w:val="000000"/>
          <w:sz w:val="24"/>
          <w:szCs w:val="24"/>
          <w:rtl/>
        </w:rPr>
        <w:t>"... לא אחת עמד בית משפט זה על הצורך בנקיטת רף מחמיר כלפי עבירות נשק</w:t>
      </w:r>
      <w:r>
        <w:rPr>
          <w:rFonts w:ascii="David" w:cs="David"/>
          <w:b/>
          <w:bCs/>
          <w:color w:val="000000"/>
          <w:sz w:val="24"/>
          <w:szCs w:val="24"/>
          <w:rtl/>
        </w:rPr>
        <w:t xml:space="preserve">, </w:t>
      </w:r>
      <w:r>
        <w:rPr>
          <w:rFonts w:cs="David"/>
          <w:b/>
          <w:bCs/>
          <w:color w:val="000000"/>
          <w:sz w:val="24"/>
          <w:szCs w:val="24"/>
          <w:rtl/>
        </w:rPr>
        <w:t>גם כלפי אלו המצויות לכאורה בשלבים נמוכים יחסית של המדרג ... ב</w:t>
      </w:r>
      <w:hyperlink r:id="rId21" w:history="1">
        <w:r w:rsidRPr="00D40547">
          <w:rPr>
            <w:rFonts w:ascii="David" w:cs="David"/>
            <w:b/>
            <w:bCs/>
            <w:color w:val="0000FF"/>
            <w:sz w:val="24"/>
            <w:szCs w:val="24"/>
            <w:u w:val="single"/>
            <w:rtl/>
          </w:rPr>
          <w:t>ע"פ 5604/11</w:t>
        </w:r>
      </w:hyperlink>
      <w:r>
        <w:rPr>
          <w:rFonts w:cs="David"/>
          <w:b/>
          <w:bCs/>
          <w:color w:val="000000"/>
          <w:sz w:val="24"/>
          <w:szCs w:val="24"/>
          <w:rtl/>
        </w:rPr>
        <w:t xml:space="preserve"> </w:t>
      </w:r>
      <w:r>
        <w:rPr>
          <w:rFonts w:ascii="Times New Roman" w:hAnsi="Times New Roman" w:cs="David"/>
          <w:b/>
          <w:bCs/>
          <w:color w:val="000000"/>
          <w:spacing w:val="0"/>
          <w:sz w:val="24"/>
          <w:szCs w:val="24"/>
          <w:rtl/>
        </w:rPr>
        <w:t>נאסר נ</w:t>
      </w:r>
      <w:r>
        <w:rPr>
          <w:rFonts w:ascii="David" w:hAnsi="Times New Roman" w:cs="David"/>
          <w:b/>
          <w:bCs/>
          <w:color w:val="000000"/>
          <w:spacing w:val="0"/>
          <w:sz w:val="24"/>
          <w:szCs w:val="24"/>
          <w:rtl/>
        </w:rPr>
        <w:t xml:space="preserve">' </w:t>
      </w:r>
      <w:r>
        <w:rPr>
          <w:rFonts w:ascii="Times New Roman" w:hAnsi="Times New Roman" w:cs="David"/>
          <w:b/>
          <w:bCs/>
          <w:color w:val="000000"/>
          <w:spacing w:val="0"/>
          <w:sz w:val="24"/>
          <w:szCs w:val="24"/>
          <w:rtl/>
        </w:rPr>
        <w:t xml:space="preserve">מדינת ישראל </w:t>
      </w:r>
      <w:r>
        <w:rPr>
          <w:rFonts w:ascii="David" w:hAnsi="Times New Roman" w:cs="David"/>
          <w:b/>
          <w:bCs/>
          <w:color w:val="000000"/>
          <w:spacing w:val="0"/>
          <w:sz w:val="24"/>
          <w:szCs w:val="24"/>
          <w:rtl/>
        </w:rPr>
        <w:t>[</w:t>
      </w:r>
      <w:r>
        <w:rPr>
          <w:rFonts w:ascii="Times New Roman" w:hAnsi="Times New Roman" w:cs="David"/>
          <w:b/>
          <w:bCs/>
          <w:color w:val="000000"/>
          <w:spacing w:val="0"/>
          <w:sz w:val="24"/>
          <w:szCs w:val="24"/>
          <w:rtl/>
        </w:rPr>
        <w:t>פורסם בנבו</w:t>
      </w:r>
      <w:r>
        <w:rPr>
          <w:rFonts w:ascii="David" w:hAnsi="Times New Roman" w:cs="David"/>
          <w:b/>
          <w:bCs/>
          <w:color w:val="000000"/>
          <w:spacing w:val="0"/>
          <w:sz w:val="24"/>
          <w:szCs w:val="24"/>
          <w:rtl/>
        </w:rPr>
        <w:t xml:space="preserve">] </w:t>
      </w:r>
      <w:r>
        <w:rPr>
          <w:rFonts w:ascii="Times New Roman" w:hAnsi="Times New Roman" w:cs="David"/>
          <w:b/>
          <w:bCs/>
          <w:color w:val="000000"/>
          <w:sz w:val="24"/>
          <w:szCs w:val="24"/>
          <w:rtl/>
        </w:rPr>
        <w:t>(5.10.2011</w:t>
      </w:r>
      <w:r>
        <w:rPr>
          <w:rFonts w:cs="David"/>
          <w:b/>
          <w:bCs/>
          <w:color w:val="000000"/>
          <w:sz w:val="24"/>
          <w:szCs w:val="24"/>
          <w:rtl/>
        </w:rPr>
        <w:t xml:space="preserve">) נאמר באשר לעבירת החזקת נשק כי היא </w:t>
      </w:r>
      <w:r>
        <w:rPr>
          <w:rFonts w:ascii="David" w:cs="David"/>
          <w:b/>
          <w:bCs/>
          <w:color w:val="000000"/>
          <w:sz w:val="24"/>
          <w:szCs w:val="24"/>
          <w:rtl/>
        </w:rPr>
        <w:t>"</w:t>
      </w:r>
      <w:r>
        <w:rPr>
          <w:rFonts w:cs="David"/>
          <w:b/>
          <w:bCs/>
          <w:color w:val="000000"/>
          <w:sz w:val="24"/>
          <w:szCs w:val="24"/>
          <w:rtl/>
        </w:rPr>
        <w:t>מקימה סיכון ממשי וחמור לציבור ויוצרת פוטנציאל להסלמה עבריינית</w:t>
      </w:r>
      <w:r>
        <w:rPr>
          <w:rFonts w:ascii="David" w:cs="David"/>
          <w:b/>
          <w:bCs/>
          <w:color w:val="000000"/>
          <w:sz w:val="24"/>
          <w:szCs w:val="24"/>
          <w:rtl/>
        </w:rPr>
        <w:t xml:space="preserve">, </w:t>
      </w:r>
      <w:r>
        <w:rPr>
          <w:rFonts w:cs="David"/>
          <w:b/>
          <w:bCs/>
          <w:color w:val="000000"/>
          <w:sz w:val="24"/>
          <w:szCs w:val="24"/>
          <w:rtl/>
        </w:rPr>
        <w:t>ולפיכך מחייבת ליתן ביטוי עונשי הולם ומרתיע באמצעות הרחקת מבצע העבירה מן החברה לתקופה מסוימת</w:t>
      </w:r>
      <w:r>
        <w:rPr>
          <w:rFonts w:ascii="David" w:cs="David"/>
          <w:b/>
          <w:bCs/>
          <w:color w:val="000000"/>
          <w:sz w:val="24"/>
          <w:szCs w:val="24"/>
          <w:rtl/>
        </w:rPr>
        <w:t xml:space="preserve">". </w:t>
      </w:r>
      <w:r>
        <w:rPr>
          <w:rFonts w:cs="David"/>
          <w:b/>
          <w:bCs/>
          <w:color w:val="000000"/>
          <w:sz w:val="24"/>
          <w:szCs w:val="24"/>
          <w:rtl/>
        </w:rPr>
        <w:t xml:space="preserve">באותו מקרה נגזרו </w:t>
      </w:r>
      <w:r>
        <w:rPr>
          <w:rFonts w:ascii="David" w:cs="David"/>
          <w:b/>
          <w:bCs/>
          <w:color w:val="000000"/>
          <w:sz w:val="24"/>
          <w:szCs w:val="24"/>
          <w:rtl/>
        </w:rPr>
        <w:t xml:space="preserve">12 </w:t>
      </w:r>
      <w:r>
        <w:rPr>
          <w:rFonts w:cs="David"/>
          <w:b/>
          <w:bCs/>
          <w:color w:val="000000"/>
          <w:sz w:val="24"/>
          <w:szCs w:val="24"/>
          <w:rtl/>
        </w:rPr>
        <w:t>חודשי מאסר בפועל על אדם אשר הורשע בהחזקת אקדח וכדורים</w:t>
      </w:r>
      <w:r>
        <w:rPr>
          <w:rFonts w:ascii="David" w:cs="David"/>
          <w:b/>
          <w:bCs/>
          <w:color w:val="000000"/>
          <w:sz w:val="24"/>
          <w:szCs w:val="24"/>
          <w:rtl/>
        </w:rPr>
        <w:t xml:space="preserve">, </w:t>
      </w:r>
      <w:r>
        <w:rPr>
          <w:rFonts w:cs="David"/>
          <w:b/>
          <w:bCs/>
          <w:color w:val="000000"/>
          <w:sz w:val="24"/>
          <w:szCs w:val="24"/>
          <w:rtl/>
        </w:rPr>
        <w:t xml:space="preserve">וזאת על אף נסיבות לקולא </w:t>
      </w:r>
      <w:r>
        <w:rPr>
          <w:rFonts w:cs="David" w:hint="cs"/>
          <w:b/>
          <w:bCs/>
          <w:color w:val="000000"/>
          <w:sz w:val="24"/>
          <w:szCs w:val="24"/>
          <w:rtl/>
        </w:rPr>
        <w:t xml:space="preserve">שבהם </w:t>
      </w:r>
      <w:r>
        <w:rPr>
          <w:rFonts w:cs="David" w:hint="cs"/>
          <w:color w:val="000000"/>
          <w:sz w:val="24"/>
          <w:szCs w:val="24"/>
          <w:rtl/>
        </w:rPr>
        <w:t>(כך במקור)</w:t>
      </w:r>
      <w:r>
        <w:rPr>
          <w:rFonts w:cs="David"/>
          <w:b/>
          <w:bCs/>
          <w:color w:val="000000"/>
          <w:sz w:val="24"/>
          <w:szCs w:val="24"/>
          <w:rtl/>
        </w:rPr>
        <w:t xml:space="preserve"> התאפיין המקרה הקונקרטי</w:t>
      </w:r>
      <w:r>
        <w:rPr>
          <w:rFonts w:ascii="David" w:cs="David"/>
          <w:b/>
          <w:bCs/>
          <w:color w:val="000000"/>
          <w:sz w:val="24"/>
          <w:szCs w:val="24"/>
          <w:rtl/>
        </w:rPr>
        <w:t xml:space="preserve">. </w:t>
      </w:r>
      <w:r>
        <w:rPr>
          <w:rFonts w:cs="David"/>
          <w:b/>
          <w:bCs/>
          <w:color w:val="000000"/>
          <w:sz w:val="24"/>
          <w:szCs w:val="24"/>
          <w:rtl/>
        </w:rPr>
        <w:t>חמורה היא אם כן עבירת החזקת הנשק</w:t>
      </w:r>
      <w:r>
        <w:rPr>
          <w:rFonts w:ascii="David" w:cs="David"/>
          <w:b/>
          <w:bCs/>
          <w:color w:val="000000"/>
          <w:sz w:val="24"/>
          <w:szCs w:val="24"/>
          <w:rtl/>
        </w:rPr>
        <w:t xml:space="preserve">, </w:t>
      </w:r>
      <w:r>
        <w:rPr>
          <w:rFonts w:cs="David"/>
          <w:b/>
          <w:bCs/>
          <w:color w:val="000000"/>
          <w:sz w:val="24"/>
          <w:szCs w:val="24"/>
          <w:rtl/>
        </w:rPr>
        <w:t>וחומרה יתירה נודעת לה מקום בו נעשה בנשק שימוש בפועל</w:t>
      </w:r>
      <w:r>
        <w:rPr>
          <w:rFonts w:ascii="David" w:cs="David"/>
          <w:b/>
          <w:bCs/>
          <w:color w:val="000000"/>
          <w:sz w:val="24"/>
          <w:szCs w:val="24"/>
          <w:rtl/>
        </w:rPr>
        <w:t xml:space="preserve">, </w:t>
      </w:r>
      <w:r>
        <w:rPr>
          <w:rFonts w:cs="David"/>
          <w:b/>
          <w:bCs/>
          <w:color w:val="000000"/>
          <w:sz w:val="24"/>
          <w:szCs w:val="24"/>
          <w:rtl/>
        </w:rPr>
        <w:t>כמו במקרה שלפנינו</w:t>
      </w:r>
      <w:r>
        <w:rPr>
          <w:rFonts w:ascii="David" w:cs="David"/>
          <w:b/>
          <w:bCs/>
          <w:color w:val="000000"/>
          <w:sz w:val="24"/>
          <w:szCs w:val="24"/>
          <w:rtl/>
        </w:rPr>
        <w:t xml:space="preserve">. </w:t>
      </w:r>
      <w:r>
        <w:rPr>
          <w:rFonts w:cs="David"/>
          <w:b/>
          <w:bCs/>
          <w:color w:val="000000"/>
          <w:sz w:val="24"/>
          <w:szCs w:val="24"/>
          <w:rtl/>
        </w:rPr>
        <w:t>המערער התבקש לתת את הנשק בו החזיק לצורך ירי בחתונה</w:t>
      </w:r>
      <w:r>
        <w:rPr>
          <w:rFonts w:ascii="David" w:cs="David"/>
          <w:b/>
          <w:bCs/>
          <w:color w:val="000000"/>
          <w:sz w:val="24"/>
          <w:szCs w:val="24"/>
          <w:rtl/>
        </w:rPr>
        <w:t xml:space="preserve">. </w:t>
      </w:r>
      <w:r>
        <w:rPr>
          <w:rFonts w:cs="David"/>
          <w:b/>
          <w:bCs/>
          <w:color w:val="000000"/>
          <w:sz w:val="24"/>
          <w:szCs w:val="24"/>
          <w:rtl/>
        </w:rPr>
        <w:t>לא פעם ולא פעמיים הסתיים אירוע מסוג זה בפגיעה בחפים מפשע שכל חטאם בהשתתפות בשמחה</w:t>
      </w:r>
      <w:r>
        <w:rPr>
          <w:rFonts w:ascii="David" w:cs="David"/>
          <w:b/>
          <w:bCs/>
          <w:color w:val="000000"/>
          <w:sz w:val="24"/>
          <w:szCs w:val="24"/>
          <w:rtl/>
        </w:rPr>
        <w:t xml:space="preserve">. </w:t>
      </w:r>
      <w:r>
        <w:rPr>
          <w:rFonts w:cs="David"/>
          <w:b/>
          <w:bCs/>
          <w:color w:val="000000"/>
          <w:sz w:val="24"/>
          <w:szCs w:val="24"/>
          <w:rtl/>
        </w:rPr>
        <w:t xml:space="preserve">בית המשפט המחוזי אף התייחס למארג עובדתי זה כתופעה שהפכה ל'מכה אזורית'". </w:t>
      </w:r>
    </w:p>
    <w:p w14:paraId="316FC182" w14:textId="77777777" w:rsidR="00A53FB3" w:rsidRDefault="00A53FB3">
      <w:pPr>
        <w:spacing w:line="360" w:lineRule="auto"/>
        <w:ind w:left="720"/>
        <w:jc w:val="both"/>
        <w:rPr>
          <w:rFonts w:ascii="Arial" w:hAnsi="Arial"/>
          <w:b/>
          <w:bCs/>
          <w:color w:val="000000"/>
          <w:rtl/>
        </w:rPr>
      </w:pPr>
    </w:p>
    <w:p w14:paraId="275F66C1" w14:textId="77777777" w:rsidR="00A53FB3" w:rsidRDefault="00D40547">
      <w:pPr>
        <w:spacing w:line="360" w:lineRule="auto"/>
        <w:ind w:left="720"/>
        <w:jc w:val="both"/>
        <w:rPr>
          <w:rFonts w:ascii="Arial" w:hAnsi="Arial"/>
          <w:color w:val="000000"/>
          <w:rtl/>
        </w:rPr>
      </w:pPr>
      <w:r>
        <w:rPr>
          <w:rFonts w:ascii="Arial" w:hAnsi="Arial"/>
          <w:color w:val="000000"/>
          <w:rtl/>
        </w:rPr>
        <w:t>יוער כבר כאן כי במקרה שלפנינו, להבד</w:t>
      </w:r>
      <w:r>
        <w:rPr>
          <w:rFonts w:ascii="Arial" w:hAnsi="Arial" w:hint="cs"/>
          <w:color w:val="000000"/>
          <w:rtl/>
        </w:rPr>
        <w:t>י</w:t>
      </w:r>
      <w:r>
        <w:rPr>
          <w:rFonts w:ascii="Arial" w:hAnsi="Arial"/>
          <w:color w:val="000000"/>
          <w:rtl/>
        </w:rPr>
        <w:t>ל מהמקרה של טאטור, לא נעשה כל שימוש בנשק לצורך ירי בחתונה והנשק אבד.</w:t>
      </w:r>
    </w:p>
    <w:p w14:paraId="11F5BB61" w14:textId="77777777" w:rsidR="00A53FB3" w:rsidRDefault="00A53FB3">
      <w:pPr>
        <w:spacing w:line="360" w:lineRule="auto"/>
        <w:ind w:left="720"/>
        <w:jc w:val="both"/>
        <w:rPr>
          <w:rFonts w:ascii="Arial" w:hAnsi="Arial"/>
          <w:color w:val="000000"/>
          <w:rtl/>
        </w:rPr>
      </w:pPr>
    </w:p>
    <w:p w14:paraId="1B2233BC" w14:textId="77777777" w:rsidR="00A53FB3" w:rsidRDefault="00D40547">
      <w:pPr>
        <w:spacing w:line="360" w:lineRule="auto"/>
        <w:ind w:left="720" w:hanging="720"/>
        <w:jc w:val="both"/>
        <w:outlineLvl w:val="0"/>
        <w:rPr>
          <w:color w:val="000000"/>
          <w:rtl/>
        </w:rPr>
      </w:pPr>
      <w:r>
        <w:rPr>
          <w:b/>
          <w:bCs/>
          <w:color w:val="000000"/>
          <w:rtl/>
        </w:rPr>
        <w:t>33</w:t>
      </w:r>
      <w:r>
        <w:rPr>
          <w:color w:val="000000"/>
          <w:rtl/>
        </w:rPr>
        <w:t>.</w:t>
      </w:r>
      <w:r>
        <w:rPr>
          <w:color w:val="000000"/>
          <w:rtl/>
        </w:rPr>
        <w:tab/>
        <w:t xml:space="preserve">בחינת הענישה הנוהגת מעלה, כי במקרים דומים למקרה שלפנינו הוטלו עונשי מאסר </w:t>
      </w:r>
      <w:r>
        <w:rPr>
          <w:rFonts w:hint="cs"/>
          <w:color w:val="000000"/>
          <w:rtl/>
        </w:rPr>
        <w:t xml:space="preserve">שרוצו </w:t>
      </w:r>
      <w:r>
        <w:rPr>
          <w:color w:val="000000"/>
          <w:rtl/>
        </w:rPr>
        <w:t>בעבודות שירות</w:t>
      </w:r>
      <w:r>
        <w:rPr>
          <w:rFonts w:hint="cs"/>
          <w:color w:val="000000"/>
          <w:rtl/>
        </w:rPr>
        <w:t>,</w:t>
      </w:r>
      <w:r>
        <w:rPr>
          <w:color w:val="000000"/>
          <w:rtl/>
        </w:rPr>
        <w:t xml:space="preserve"> כך למשל נגזרו על נאשמים בנסיבות דומות העונשים הבאים:</w:t>
      </w:r>
    </w:p>
    <w:p w14:paraId="0A276F51" w14:textId="77777777" w:rsidR="00A53FB3" w:rsidRDefault="00D40547">
      <w:pPr>
        <w:spacing w:line="360" w:lineRule="auto"/>
        <w:ind w:left="720" w:hanging="720"/>
        <w:jc w:val="both"/>
        <w:outlineLvl w:val="0"/>
        <w:rPr>
          <w:b/>
          <w:bCs/>
          <w:color w:val="000000"/>
          <w:rtl/>
        </w:rPr>
      </w:pPr>
      <w:r>
        <w:rPr>
          <w:b/>
          <w:bCs/>
          <w:color w:val="000000"/>
          <w:rtl/>
        </w:rPr>
        <w:tab/>
      </w:r>
      <w:r>
        <w:rPr>
          <w:b/>
          <w:bCs/>
          <w:color w:val="000000"/>
          <w:rtl/>
        </w:rPr>
        <w:tab/>
      </w:r>
    </w:p>
    <w:p w14:paraId="25E63CDC" w14:textId="77777777" w:rsidR="00A53FB3" w:rsidRDefault="00D40547">
      <w:pPr>
        <w:spacing w:line="360" w:lineRule="auto"/>
        <w:ind w:left="1440" w:hanging="720"/>
        <w:jc w:val="both"/>
        <w:outlineLvl w:val="0"/>
        <w:rPr>
          <w:color w:val="000000"/>
          <w:rtl/>
        </w:rPr>
      </w:pPr>
      <w:r>
        <w:rPr>
          <w:b/>
          <w:bCs/>
          <w:color w:val="000000"/>
          <w:rtl/>
        </w:rPr>
        <w:t>(-)</w:t>
      </w:r>
      <w:r>
        <w:rPr>
          <w:color w:val="000000"/>
          <w:rtl/>
        </w:rPr>
        <w:tab/>
      </w:r>
      <w:hyperlink r:id="rId22" w:history="1">
        <w:r w:rsidRPr="00D40547">
          <w:rPr>
            <w:color w:val="0000FF"/>
            <w:u w:val="single"/>
            <w:rtl/>
          </w:rPr>
          <w:t>ע"פ 7139/12</w:t>
        </w:r>
      </w:hyperlink>
      <w:r>
        <w:rPr>
          <w:color w:val="000000"/>
          <w:rtl/>
        </w:rPr>
        <w:t xml:space="preserve"> </w:t>
      </w:r>
      <w:r>
        <w:rPr>
          <w:b/>
          <w:bCs/>
          <w:color w:val="000000"/>
          <w:rtl/>
        </w:rPr>
        <w:t>גורנו ליאור נגד מ"י</w:t>
      </w:r>
      <w:r>
        <w:rPr>
          <w:color w:val="000000"/>
          <w:rtl/>
        </w:rPr>
        <w:t xml:space="preserve"> (ניתן ביום 7.3.13): בית המשפט העליון הקל בעונשו של המערער שהורשע בשתי עבירות של החזקת נשק והעמידו על 6 חודשים </w:t>
      </w:r>
      <w:r>
        <w:rPr>
          <w:rFonts w:hint="cs"/>
          <w:color w:val="000000"/>
          <w:rtl/>
        </w:rPr>
        <w:t xml:space="preserve"> </w:t>
      </w:r>
      <w:r>
        <w:rPr>
          <w:color w:val="000000"/>
          <w:rtl/>
        </w:rPr>
        <w:t>(תחת 8 חודשים)</w:t>
      </w:r>
      <w:r>
        <w:rPr>
          <w:rFonts w:hint="cs"/>
          <w:color w:val="000000"/>
          <w:rtl/>
        </w:rPr>
        <w:t xml:space="preserve"> </w:t>
      </w:r>
      <w:r>
        <w:rPr>
          <w:color w:val="000000"/>
          <w:rtl/>
        </w:rPr>
        <w:t>שירוצו בעבודות שירות</w:t>
      </w:r>
      <w:r>
        <w:rPr>
          <w:rFonts w:hint="cs"/>
          <w:color w:val="000000"/>
          <w:rtl/>
        </w:rPr>
        <w:t>,</w:t>
      </w:r>
      <w:r>
        <w:rPr>
          <w:color w:val="000000"/>
          <w:rtl/>
        </w:rPr>
        <w:t xml:space="preserve"> תוך התחשבות בעברו הנקי כמעט של המערער, חלוף שנים רבות מאז העבירות ואת העובדה שהמערער לא שב לעבירות וכן התפתחותו המקצועית והמשפחתית החיובית. </w:t>
      </w:r>
    </w:p>
    <w:p w14:paraId="0CB993E0" w14:textId="77777777" w:rsidR="00A53FB3" w:rsidRDefault="00A53FB3">
      <w:pPr>
        <w:spacing w:line="360" w:lineRule="auto"/>
        <w:ind w:left="720" w:hanging="720"/>
        <w:jc w:val="both"/>
        <w:outlineLvl w:val="0"/>
        <w:rPr>
          <w:color w:val="000000"/>
          <w:rtl/>
        </w:rPr>
      </w:pPr>
    </w:p>
    <w:p w14:paraId="466AA495" w14:textId="77777777" w:rsidR="00A53FB3" w:rsidRDefault="00D40547">
      <w:pPr>
        <w:spacing w:line="360" w:lineRule="auto"/>
        <w:ind w:left="1436" w:hanging="690"/>
        <w:jc w:val="both"/>
        <w:outlineLvl w:val="0"/>
        <w:rPr>
          <w:color w:val="000000"/>
          <w:rtl/>
        </w:rPr>
      </w:pPr>
      <w:r>
        <w:rPr>
          <w:b/>
          <w:bCs/>
          <w:color w:val="000000"/>
          <w:rtl/>
        </w:rPr>
        <w:t>(-)</w:t>
      </w:r>
      <w:r>
        <w:rPr>
          <w:color w:val="000000"/>
          <w:rtl/>
        </w:rPr>
        <w:tab/>
      </w:r>
      <w:hyperlink r:id="rId23" w:history="1">
        <w:r w:rsidRPr="00D40547">
          <w:rPr>
            <w:color w:val="0000FF"/>
            <w:u w:val="single"/>
            <w:rtl/>
          </w:rPr>
          <w:t>ע"פ 1505/14</w:t>
        </w:r>
      </w:hyperlink>
      <w:r>
        <w:rPr>
          <w:color w:val="000000"/>
          <w:rtl/>
        </w:rPr>
        <w:t xml:space="preserve"> </w:t>
      </w:r>
      <w:r>
        <w:rPr>
          <w:b/>
          <w:bCs/>
          <w:color w:val="000000"/>
          <w:rtl/>
        </w:rPr>
        <w:t>לידאוי נגד מ"י</w:t>
      </w:r>
      <w:r>
        <w:rPr>
          <w:color w:val="000000"/>
          <w:rtl/>
        </w:rPr>
        <w:t xml:space="preserve"> (ניתן ביום 4.11.14): בית המשפט העליון הקל בעונשו של המערער שהורשע בעבירה של החזקת נשק והעמידו על 6 חודשים שירוצו בעבודות שירות (תחת 8 חודשים).</w:t>
      </w:r>
    </w:p>
    <w:p w14:paraId="0438C86A" w14:textId="77777777" w:rsidR="00A53FB3" w:rsidRDefault="00A53FB3">
      <w:pPr>
        <w:pStyle w:val="a6"/>
        <w:spacing w:line="360" w:lineRule="auto"/>
        <w:ind w:left="1440" w:hanging="360"/>
        <w:jc w:val="both"/>
        <w:outlineLvl w:val="0"/>
        <w:rPr>
          <w:rFonts w:cs="David"/>
          <w:color w:val="000000"/>
          <w:rtl/>
        </w:rPr>
      </w:pPr>
    </w:p>
    <w:p w14:paraId="116D4DA6" w14:textId="77777777" w:rsidR="00A53FB3" w:rsidRDefault="00D40547">
      <w:pPr>
        <w:spacing w:line="360" w:lineRule="auto"/>
        <w:ind w:left="1436" w:hanging="716"/>
        <w:jc w:val="both"/>
        <w:outlineLvl w:val="0"/>
        <w:rPr>
          <w:rtl/>
        </w:rPr>
      </w:pPr>
      <w:r>
        <w:rPr>
          <w:b/>
          <w:bCs/>
          <w:rtl/>
        </w:rPr>
        <w:t>(-)</w:t>
      </w:r>
      <w:r>
        <w:rPr>
          <w:rtl/>
        </w:rPr>
        <w:tab/>
      </w:r>
      <w:hyperlink r:id="rId24" w:history="1">
        <w:r w:rsidRPr="00D40547">
          <w:rPr>
            <w:rFonts w:cs="Times New Roman"/>
            <w:color w:val="0000FF"/>
            <w:u w:val="single"/>
            <w:rtl/>
          </w:rPr>
          <w:t>ע"פ 5713/10</w:t>
        </w:r>
      </w:hyperlink>
      <w:r>
        <w:rPr>
          <w:rtl/>
        </w:rPr>
        <w:t xml:space="preserve"> </w:t>
      </w:r>
      <w:r>
        <w:rPr>
          <w:b/>
          <w:bCs/>
          <w:rtl/>
        </w:rPr>
        <w:t xml:space="preserve">אקרמן נ' מדינת ישראל, </w:t>
      </w:r>
      <w:r>
        <w:rPr>
          <w:rtl/>
        </w:rPr>
        <w:t>(ניתן ביום 1.3.11), הורשע מערער שהחזיק לבנת חבלה המכילה כ-</w:t>
      </w:r>
      <w:r>
        <w:rPr>
          <w:rFonts w:hint="cs"/>
          <w:rtl/>
        </w:rPr>
        <w:t xml:space="preserve"> </w:t>
      </w:r>
      <w:smartTag w:uri="urn:schemas-microsoft-com:office:smarttags" w:element="metricconverter">
        <w:smartTagPr>
          <w:attr w:name="ProductID" w:val="500 גרם"/>
        </w:smartTagPr>
        <w:r>
          <w:rPr>
            <w:rtl/>
          </w:rPr>
          <w:t>500 גרם</w:t>
        </w:r>
      </w:smartTag>
      <w:r>
        <w:rPr>
          <w:rtl/>
        </w:rPr>
        <w:t xml:space="preserve"> חומר נפץ מרסק ואצבע חבלה המכילה כ-</w:t>
      </w:r>
      <w:r>
        <w:rPr>
          <w:rFonts w:hint="cs"/>
          <w:rtl/>
        </w:rPr>
        <w:t xml:space="preserve"> </w:t>
      </w:r>
      <w:smartTag w:uri="urn:schemas-microsoft-com:office:smarttags" w:element="metricconverter">
        <w:smartTagPr>
          <w:attr w:name="ProductID" w:val="100 גרם"/>
        </w:smartTagPr>
        <w:r>
          <w:rPr>
            <w:rtl/>
          </w:rPr>
          <w:t>100 גרם</w:t>
        </w:r>
      </w:smartTag>
      <w:r>
        <w:rPr>
          <w:rtl/>
        </w:rPr>
        <w:t xml:space="preserve"> חומר נפץ מרסק. </w:t>
      </w:r>
    </w:p>
    <w:p w14:paraId="29488331" w14:textId="77777777" w:rsidR="00A53FB3" w:rsidRDefault="00A53FB3">
      <w:pPr>
        <w:spacing w:line="360" w:lineRule="auto"/>
        <w:ind w:left="1436" w:hanging="716"/>
        <w:jc w:val="both"/>
        <w:outlineLvl w:val="0"/>
        <w:rPr>
          <w:rtl/>
        </w:rPr>
      </w:pPr>
    </w:p>
    <w:p w14:paraId="5DDDB6E1" w14:textId="77777777" w:rsidR="00A53FB3" w:rsidRDefault="00D40547">
      <w:pPr>
        <w:spacing w:line="360" w:lineRule="auto"/>
        <w:ind w:left="1436"/>
        <w:jc w:val="both"/>
        <w:outlineLvl w:val="0"/>
      </w:pPr>
      <w:r>
        <w:rPr>
          <w:rtl/>
        </w:rPr>
        <w:t>בימ"ש העליון הקל בעונש שנגזר עליו  והשית עליו 6 חודשי מאסר לריצוי בעבודות שירות לאור הודאתו, חרטתו ותיפקודו הנורמטיבי.</w:t>
      </w:r>
    </w:p>
    <w:p w14:paraId="1DBDCBE7" w14:textId="77777777" w:rsidR="00A53FB3" w:rsidRDefault="00A53FB3">
      <w:pPr>
        <w:spacing w:line="360" w:lineRule="auto"/>
        <w:ind w:left="720" w:hanging="720"/>
        <w:jc w:val="both"/>
        <w:outlineLvl w:val="0"/>
      </w:pPr>
    </w:p>
    <w:p w14:paraId="1544218E" w14:textId="77777777" w:rsidR="00A53FB3" w:rsidRDefault="00D40547">
      <w:pPr>
        <w:pStyle w:val="a6"/>
        <w:spacing w:line="360" w:lineRule="auto"/>
        <w:ind w:left="1436" w:hanging="716"/>
        <w:jc w:val="both"/>
        <w:outlineLvl w:val="0"/>
        <w:rPr>
          <w:rFonts w:cs="David"/>
          <w:color w:val="000000"/>
          <w:rtl/>
        </w:rPr>
      </w:pPr>
      <w:r>
        <w:rPr>
          <w:rFonts w:cs="David"/>
          <w:b/>
          <w:bCs/>
          <w:rtl/>
        </w:rPr>
        <w:t>(-)</w:t>
      </w:r>
      <w:r>
        <w:rPr>
          <w:rFonts w:cs="David"/>
        </w:rPr>
        <w:tab/>
      </w:r>
      <w:hyperlink r:id="rId25" w:history="1">
        <w:r w:rsidRPr="00D40547">
          <w:rPr>
            <w:rFonts w:cs="David"/>
            <w:color w:val="0000FF"/>
            <w:u w:val="single"/>
            <w:rtl/>
          </w:rPr>
          <w:t>ע"פ (חיפה)  6059-02-12</w:t>
        </w:r>
      </w:hyperlink>
      <w:r>
        <w:rPr>
          <w:rFonts w:cs="David"/>
          <w:rtl/>
        </w:rPr>
        <w:t xml:space="preserve"> </w:t>
      </w:r>
      <w:r>
        <w:rPr>
          <w:rFonts w:cs="David"/>
          <w:b/>
          <w:bCs/>
          <w:rtl/>
        </w:rPr>
        <w:t xml:space="preserve">מדינת ישראל נ' גהגאה, </w:t>
      </w:r>
      <w:r>
        <w:rPr>
          <w:rFonts w:cs="David"/>
          <w:rtl/>
        </w:rPr>
        <w:t xml:space="preserve">(ניתן ביום 19.4.12): נדון עניינו של משיב שהחזיק ברכבו אקדח ושתי מחסניות ובימ"ש השלום בחדרה גזר עליו עונש של 6 חודשי </w:t>
      </w:r>
      <w:r>
        <w:rPr>
          <w:rFonts w:cs="David" w:hint="cs"/>
          <w:rtl/>
        </w:rPr>
        <w:t>מאסר שירוצו ב</w:t>
      </w:r>
      <w:r>
        <w:rPr>
          <w:rFonts w:cs="David"/>
          <w:rtl/>
        </w:rPr>
        <w:t>עבודות שירות.</w:t>
      </w:r>
      <w:r>
        <w:rPr>
          <w:rFonts w:cs="David"/>
          <w:color w:val="000000"/>
          <w:rtl/>
        </w:rPr>
        <w:t xml:space="preserve"> </w:t>
      </w:r>
    </w:p>
    <w:p w14:paraId="71C806BF" w14:textId="77777777" w:rsidR="00A53FB3" w:rsidRDefault="00A53FB3">
      <w:pPr>
        <w:pStyle w:val="a6"/>
        <w:spacing w:line="360" w:lineRule="auto"/>
        <w:ind w:left="1436" w:hanging="716"/>
        <w:jc w:val="both"/>
        <w:outlineLvl w:val="0"/>
        <w:rPr>
          <w:rFonts w:cs="David"/>
          <w:color w:val="000000"/>
          <w:rtl/>
        </w:rPr>
      </w:pPr>
    </w:p>
    <w:p w14:paraId="21B7B623" w14:textId="77777777" w:rsidR="00A53FB3" w:rsidRDefault="00D40547">
      <w:pPr>
        <w:pStyle w:val="a6"/>
        <w:spacing w:line="360" w:lineRule="auto"/>
        <w:ind w:left="1436"/>
        <w:jc w:val="both"/>
        <w:outlineLvl w:val="0"/>
        <w:rPr>
          <w:rFonts w:cs="David"/>
          <w:color w:val="000000"/>
          <w:rtl/>
        </w:rPr>
      </w:pPr>
      <w:r>
        <w:rPr>
          <w:rFonts w:cs="David"/>
          <w:color w:val="000000"/>
          <w:rtl/>
        </w:rPr>
        <w:t>בימ"ש המחוזי בחיפה לא התערב בעונש המאסר בפועל שנגזר עליו אלא רק החמיר במאסר המותנה ובגובה הקנס וזאת לאור הודאתו, התסקיר החיובי, ועובדת היותו אדם נורמטיבי.</w:t>
      </w:r>
    </w:p>
    <w:p w14:paraId="1FD33429" w14:textId="77777777" w:rsidR="00A53FB3" w:rsidRDefault="00A53FB3">
      <w:pPr>
        <w:pStyle w:val="a6"/>
        <w:spacing w:line="360" w:lineRule="auto"/>
        <w:ind w:hanging="694"/>
        <w:jc w:val="both"/>
        <w:outlineLvl w:val="0"/>
        <w:rPr>
          <w:rFonts w:cs="David"/>
          <w:color w:val="000000"/>
          <w:rtl/>
        </w:rPr>
      </w:pPr>
    </w:p>
    <w:p w14:paraId="0484BB66" w14:textId="77777777" w:rsidR="00A53FB3" w:rsidRDefault="00D40547">
      <w:pPr>
        <w:pStyle w:val="a6"/>
        <w:spacing w:line="360" w:lineRule="auto"/>
        <w:ind w:left="1436" w:hanging="716"/>
        <w:jc w:val="both"/>
        <w:outlineLvl w:val="0"/>
        <w:rPr>
          <w:rFonts w:cs="David"/>
          <w:color w:val="000000"/>
          <w:rtl/>
        </w:rPr>
      </w:pPr>
      <w:r>
        <w:rPr>
          <w:rFonts w:cs="David"/>
          <w:b/>
          <w:bCs/>
          <w:color w:val="000000"/>
          <w:rtl/>
        </w:rPr>
        <w:t>(-)</w:t>
      </w:r>
      <w:r>
        <w:rPr>
          <w:rFonts w:cs="David"/>
          <w:color w:val="000000"/>
          <w:rtl/>
        </w:rPr>
        <w:tab/>
        <w:t>ע"</w:t>
      </w:r>
      <w:hyperlink r:id="rId26" w:history="1">
        <w:r w:rsidRPr="00D40547">
          <w:rPr>
            <w:rFonts w:cs="David"/>
            <w:color w:val="0000FF"/>
            <w:u w:val="single"/>
            <w:rtl/>
          </w:rPr>
          <w:t>פ (נצרת) 1330/06</w:t>
        </w:r>
      </w:hyperlink>
      <w:r>
        <w:rPr>
          <w:rFonts w:cs="David"/>
          <w:color w:val="000000"/>
          <w:rtl/>
        </w:rPr>
        <w:t xml:space="preserve"> </w:t>
      </w:r>
      <w:r>
        <w:rPr>
          <w:rFonts w:cs="David"/>
          <w:b/>
          <w:bCs/>
          <w:color w:val="000000"/>
          <w:rtl/>
        </w:rPr>
        <w:t xml:space="preserve">ח'טיב נ' מדינת ישראל, </w:t>
      </w:r>
      <w:r>
        <w:rPr>
          <w:rFonts w:cs="David"/>
          <w:color w:val="000000"/>
          <w:rtl/>
        </w:rPr>
        <w:t>(ניתן ביום 6.3.07), דובר במערער שהחזיק בביתו נשק ותחמ</w:t>
      </w:r>
      <w:r>
        <w:rPr>
          <w:rFonts w:cs="David" w:hint="cs"/>
          <w:color w:val="000000"/>
          <w:rtl/>
        </w:rPr>
        <w:t>ו</w:t>
      </w:r>
      <w:r>
        <w:rPr>
          <w:rFonts w:cs="David"/>
          <w:color w:val="000000"/>
          <w:rtl/>
        </w:rPr>
        <w:t xml:space="preserve">שת ונידון ל- 6 חודשי </w:t>
      </w:r>
      <w:r>
        <w:rPr>
          <w:rFonts w:cs="David" w:hint="cs"/>
          <w:color w:val="000000"/>
          <w:rtl/>
        </w:rPr>
        <w:t xml:space="preserve">מאסר לריצוי במסגרת </w:t>
      </w:r>
      <w:r>
        <w:rPr>
          <w:rFonts w:cs="David"/>
          <w:color w:val="000000"/>
          <w:rtl/>
        </w:rPr>
        <w:t xml:space="preserve">עבודות שירות </w:t>
      </w:r>
      <w:r>
        <w:rPr>
          <w:rFonts w:cs="David" w:hint="cs"/>
          <w:color w:val="000000"/>
          <w:rtl/>
        </w:rPr>
        <w:t>ו</w:t>
      </w:r>
      <w:r>
        <w:rPr>
          <w:rFonts w:cs="David"/>
          <w:color w:val="000000"/>
          <w:rtl/>
        </w:rPr>
        <w:t xml:space="preserve">מע"ת לנוכח הודייתו, היעדר עבר פלילי והעובדה שהחזיק את הנשק לצורך סיפוק תחושת ביטחון אישי מאחר ובכפרו שרר מתח בין חמולות שלעיתים הפך לעימותים עקובים מדם. </w:t>
      </w:r>
    </w:p>
    <w:p w14:paraId="7315FBDD" w14:textId="77777777" w:rsidR="00A53FB3" w:rsidRDefault="00A53FB3">
      <w:pPr>
        <w:pStyle w:val="a6"/>
        <w:spacing w:line="360" w:lineRule="auto"/>
        <w:ind w:left="1436" w:hanging="716"/>
        <w:jc w:val="both"/>
        <w:outlineLvl w:val="0"/>
        <w:rPr>
          <w:rFonts w:cs="David"/>
          <w:color w:val="000000"/>
          <w:rtl/>
        </w:rPr>
      </w:pPr>
    </w:p>
    <w:p w14:paraId="2D6C35E3" w14:textId="77777777" w:rsidR="00A53FB3" w:rsidRDefault="00D40547">
      <w:pPr>
        <w:pStyle w:val="a6"/>
        <w:spacing w:line="360" w:lineRule="auto"/>
        <w:ind w:left="1436"/>
        <w:jc w:val="both"/>
        <w:outlineLvl w:val="0"/>
        <w:rPr>
          <w:rFonts w:cs="David"/>
          <w:color w:val="000000"/>
          <w:rtl/>
        </w:rPr>
      </w:pPr>
      <w:r>
        <w:rPr>
          <w:rFonts w:cs="David"/>
          <w:color w:val="000000"/>
          <w:rtl/>
        </w:rPr>
        <w:t>בית המשפט המחוזי הקל בעונשו של המערער והעמידו על 3 חודשים שירוצו בעבודות שירות.</w:t>
      </w:r>
      <w:r>
        <w:rPr>
          <w:rFonts w:cs="David" w:hint="cs"/>
          <w:color w:val="000000"/>
          <w:rtl/>
        </w:rPr>
        <w:t xml:space="preserve"> </w:t>
      </w:r>
    </w:p>
    <w:p w14:paraId="2B5C0ED2" w14:textId="77777777" w:rsidR="00A53FB3" w:rsidRDefault="00A53FB3">
      <w:pPr>
        <w:pStyle w:val="a6"/>
        <w:spacing w:line="360" w:lineRule="auto"/>
        <w:ind w:hanging="694"/>
        <w:jc w:val="both"/>
        <w:outlineLvl w:val="0"/>
        <w:rPr>
          <w:rFonts w:cs="David"/>
          <w:color w:val="000000"/>
          <w:rtl/>
        </w:rPr>
      </w:pPr>
    </w:p>
    <w:p w14:paraId="05B16177" w14:textId="77777777" w:rsidR="00A53FB3" w:rsidRDefault="00D40547">
      <w:pPr>
        <w:spacing w:line="360" w:lineRule="auto"/>
        <w:ind w:left="1436" w:hanging="690"/>
        <w:jc w:val="both"/>
        <w:outlineLvl w:val="0"/>
        <w:rPr>
          <w:color w:val="000000"/>
          <w:rtl/>
        </w:rPr>
      </w:pPr>
      <w:r>
        <w:rPr>
          <w:b/>
          <w:bCs/>
          <w:color w:val="000000"/>
          <w:rtl/>
        </w:rPr>
        <w:t>(-)</w:t>
      </w:r>
      <w:r>
        <w:rPr>
          <w:color w:val="000000"/>
          <w:rtl/>
        </w:rPr>
        <w:tab/>
      </w:r>
      <w:hyperlink r:id="rId27" w:history="1">
        <w:r w:rsidRPr="00D40547">
          <w:rPr>
            <w:color w:val="0000FF"/>
            <w:u w:val="single"/>
            <w:rtl/>
          </w:rPr>
          <w:t>עפ"ג (חיפה) 30827-01-14</w:t>
        </w:r>
      </w:hyperlink>
      <w:r>
        <w:rPr>
          <w:color w:val="000000"/>
          <w:rtl/>
        </w:rPr>
        <w:t xml:space="preserve"> </w:t>
      </w:r>
      <w:r>
        <w:rPr>
          <w:b/>
          <w:bCs/>
          <w:color w:val="000000"/>
          <w:rtl/>
        </w:rPr>
        <w:t>סלים אבו דבי נגד מ"י</w:t>
      </w:r>
      <w:r>
        <w:rPr>
          <w:color w:val="000000"/>
          <w:rtl/>
        </w:rPr>
        <w:t xml:space="preserve"> (ניתן ביום 3.4.14): שם הורשע המערער על סמך הודאתו בעבירה של החזקת נשק. בית המשפט השלום בעכו הטיל עליו 10 חודש מאסר בפועל. </w:t>
      </w:r>
    </w:p>
    <w:p w14:paraId="00F4B72D" w14:textId="77777777" w:rsidR="00A53FB3" w:rsidRDefault="00A53FB3">
      <w:pPr>
        <w:spacing w:line="360" w:lineRule="auto"/>
        <w:ind w:left="1436"/>
        <w:jc w:val="both"/>
        <w:outlineLvl w:val="0"/>
        <w:rPr>
          <w:color w:val="000000"/>
          <w:rtl/>
        </w:rPr>
      </w:pPr>
    </w:p>
    <w:p w14:paraId="4723DB84" w14:textId="77777777" w:rsidR="00A53FB3" w:rsidRDefault="00D40547">
      <w:pPr>
        <w:spacing w:line="360" w:lineRule="auto"/>
        <w:ind w:left="1436"/>
        <w:jc w:val="both"/>
        <w:outlineLvl w:val="0"/>
        <w:rPr>
          <w:color w:val="000000"/>
          <w:rtl/>
        </w:rPr>
      </w:pPr>
      <w:r>
        <w:rPr>
          <w:color w:val="000000"/>
          <w:rtl/>
        </w:rPr>
        <w:t>בית המשפט המחוזי בחיפה  קיבל את הערעור על חומרת העונש והפחית את העונש לששה חודשי מאסר אשר ירוצו בעבודות שירות והעמדתו בצו פיקוח</w:t>
      </w:r>
      <w:r>
        <w:rPr>
          <w:rFonts w:hint="cs"/>
          <w:color w:val="000000"/>
          <w:rtl/>
        </w:rPr>
        <w:t xml:space="preserve"> של שירות המבחן</w:t>
      </w:r>
      <w:r>
        <w:rPr>
          <w:color w:val="000000"/>
          <w:rtl/>
        </w:rPr>
        <w:t>, תוך מתן עדיפות לשיקולי השיקום של המערער.</w:t>
      </w:r>
    </w:p>
    <w:p w14:paraId="45A92A33" w14:textId="77777777" w:rsidR="00A53FB3" w:rsidRDefault="00A53FB3">
      <w:pPr>
        <w:spacing w:line="360" w:lineRule="auto"/>
        <w:ind w:left="1436" w:hanging="690"/>
        <w:jc w:val="both"/>
        <w:outlineLvl w:val="0"/>
        <w:rPr>
          <w:color w:val="000000"/>
          <w:rtl/>
        </w:rPr>
      </w:pPr>
    </w:p>
    <w:p w14:paraId="05C4C444" w14:textId="77777777" w:rsidR="00A53FB3" w:rsidRDefault="00D40547">
      <w:pPr>
        <w:spacing w:line="360" w:lineRule="auto"/>
        <w:ind w:left="1436" w:hanging="716"/>
        <w:jc w:val="both"/>
        <w:outlineLvl w:val="0"/>
        <w:rPr>
          <w:color w:val="000000"/>
          <w:rtl/>
        </w:rPr>
      </w:pPr>
      <w:r>
        <w:rPr>
          <w:b/>
          <w:bCs/>
          <w:color w:val="000000"/>
          <w:rtl/>
        </w:rPr>
        <w:t>(-)</w:t>
      </w:r>
      <w:r>
        <w:rPr>
          <w:color w:val="000000"/>
          <w:rtl/>
        </w:rPr>
        <w:tab/>
      </w:r>
      <w:hyperlink r:id="rId28" w:history="1">
        <w:r w:rsidRPr="00D40547">
          <w:rPr>
            <w:color w:val="0000FF"/>
            <w:u w:val="single"/>
            <w:rtl/>
          </w:rPr>
          <w:t>ע"פ 4945/13</w:t>
        </w:r>
      </w:hyperlink>
      <w:r>
        <w:rPr>
          <w:color w:val="000000"/>
          <w:rtl/>
        </w:rPr>
        <w:t xml:space="preserve"> </w:t>
      </w:r>
      <w:r>
        <w:rPr>
          <w:b/>
          <w:bCs/>
          <w:color w:val="000000"/>
          <w:rtl/>
        </w:rPr>
        <w:t>מ"י נגד עבד אלכרים סלימאן</w:t>
      </w:r>
      <w:r>
        <w:rPr>
          <w:rFonts w:hint="cs"/>
          <w:b/>
          <w:bCs/>
          <w:color w:val="000000"/>
          <w:rtl/>
        </w:rPr>
        <w:t>,</w:t>
      </w:r>
      <w:r>
        <w:rPr>
          <w:b/>
          <w:bCs/>
          <w:color w:val="000000"/>
          <w:rtl/>
        </w:rPr>
        <w:t xml:space="preserve"> </w:t>
      </w:r>
      <w:r>
        <w:rPr>
          <w:color w:val="000000"/>
          <w:rtl/>
        </w:rPr>
        <w:t>(ניתן ביום 19.1.14)</w:t>
      </w:r>
      <w:r>
        <w:rPr>
          <w:rFonts w:hint="cs"/>
          <w:color w:val="000000"/>
          <w:rtl/>
        </w:rPr>
        <w:t xml:space="preserve"> - (להלן </w:t>
      </w:r>
      <w:r>
        <w:rPr>
          <w:color w:val="000000"/>
          <w:rtl/>
        </w:rPr>
        <w:t>–</w:t>
      </w:r>
      <w:r>
        <w:rPr>
          <w:rFonts w:hint="cs"/>
          <w:color w:val="000000"/>
          <w:rtl/>
        </w:rPr>
        <w:t xml:space="preserve"> "</w:t>
      </w:r>
      <w:r>
        <w:rPr>
          <w:rFonts w:hint="cs"/>
          <w:b/>
          <w:bCs/>
          <w:color w:val="000000"/>
          <w:rtl/>
        </w:rPr>
        <w:t>עניין עבדאלכרים</w:t>
      </w:r>
      <w:r>
        <w:rPr>
          <w:rFonts w:hint="cs"/>
          <w:color w:val="000000"/>
          <w:rtl/>
        </w:rPr>
        <w:t>"),</w:t>
      </w:r>
      <w:r>
        <w:rPr>
          <w:color w:val="000000"/>
          <w:rtl/>
        </w:rPr>
        <w:t xml:space="preserve">: שם הורשע המשיב לאחר שמיעת ראיות בעבירות של רכישה והחזקת נשק, רכישה והחזקת תחמושת, נשיאה והובלת נשק ונשיאה והובלת תחמושת, הפרעה לשוטר במילוי תפקידו, מעשה פזיזות ורשלנות והסתייעות ברכב לביצוע פשע. </w:t>
      </w:r>
    </w:p>
    <w:p w14:paraId="68AA2118" w14:textId="77777777" w:rsidR="00A53FB3" w:rsidRDefault="00A53FB3">
      <w:pPr>
        <w:spacing w:line="360" w:lineRule="auto"/>
        <w:ind w:left="1436" w:hanging="716"/>
        <w:jc w:val="both"/>
        <w:outlineLvl w:val="0"/>
        <w:rPr>
          <w:color w:val="000000"/>
          <w:rtl/>
        </w:rPr>
      </w:pPr>
    </w:p>
    <w:p w14:paraId="61C47EFE" w14:textId="77777777" w:rsidR="00A53FB3" w:rsidRDefault="00D40547">
      <w:pPr>
        <w:spacing w:line="360" w:lineRule="auto"/>
        <w:ind w:left="1436"/>
        <w:jc w:val="both"/>
        <w:outlineLvl w:val="0"/>
        <w:rPr>
          <w:color w:val="000000"/>
          <w:rtl/>
        </w:rPr>
      </w:pPr>
      <w:r>
        <w:rPr>
          <w:color w:val="000000"/>
          <w:rtl/>
        </w:rPr>
        <w:t xml:space="preserve">בית המשפט המחוזי בנצרת השית על המשיב עונש של 6 חודשי מאסר בפועל בעבודות שירות. בית המשפט העליון דחה את ערעור המדינה על </w:t>
      </w:r>
      <w:r>
        <w:rPr>
          <w:rFonts w:hint="cs"/>
          <w:color w:val="000000"/>
          <w:rtl/>
        </w:rPr>
        <w:t>קלות</w:t>
      </w:r>
      <w:r>
        <w:rPr>
          <w:color w:val="000000"/>
          <w:rtl/>
        </w:rPr>
        <w:t xml:space="preserve"> העונש תוך קביעה כי:</w:t>
      </w:r>
      <w:r>
        <w:rPr>
          <w:rFonts w:hint="cs"/>
          <w:color w:val="000000"/>
          <w:rtl/>
        </w:rPr>
        <w:t xml:space="preserve"> </w:t>
      </w:r>
    </w:p>
    <w:p w14:paraId="4A48B7FB" w14:textId="77777777" w:rsidR="00A53FB3" w:rsidRDefault="00A53FB3">
      <w:pPr>
        <w:spacing w:line="360" w:lineRule="auto"/>
        <w:ind w:left="720" w:hanging="720"/>
        <w:jc w:val="both"/>
        <w:outlineLvl w:val="0"/>
        <w:rPr>
          <w:b/>
          <w:bCs/>
          <w:color w:val="000000"/>
          <w:rtl/>
        </w:rPr>
      </w:pPr>
    </w:p>
    <w:p w14:paraId="62C6ECA0" w14:textId="77777777" w:rsidR="00A53FB3" w:rsidRDefault="00D40547">
      <w:pPr>
        <w:pStyle w:val="Ruller40"/>
        <w:ind w:left="1436"/>
        <w:rPr>
          <w:rFonts w:cs="David"/>
          <w:b/>
          <w:bCs/>
          <w:color w:val="000000"/>
          <w:sz w:val="24"/>
          <w:szCs w:val="24"/>
          <w:rtl/>
        </w:rPr>
      </w:pPr>
      <w:r>
        <w:rPr>
          <w:rFonts w:cs="David"/>
          <w:b/>
          <w:bCs/>
          <w:color w:val="000000"/>
          <w:sz w:val="24"/>
          <w:szCs w:val="24"/>
          <w:rtl/>
        </w:rPr>
        <w:tab/>
        <w:t>"במקרה הפרטני שלפנינו הגעתי לידי מסקנה כי למשיב סיכוי של ממש להשתקם</w:t>
      </w:r>
      <w:r>
        <w:rPr>
          <w:rFonts w:ascii="David" w:cs="David"/>
          <w:b/>
          <w:bCs/>
          <w:color w:val="000000"/>
          <w:sz w:val="24"/>
          <w:szCs w:val="24"/>
          <w:rtl/>
        </w:rPr>
        <w:t xml:space="preserve">, </w:t>
      </w:r>
      <w:r>
        <w:rPr>
          <w:rFonts w:cs="David"/>
          <w:b/>
          <w:bCs/>
          <w:color w:val="000000"/>
          <w:sz w:val="24"/>
          <w:szCs w:val="24"/>
          <w:rtl/>
        </w:rPr>
        <w:t xml:space="preserve">באופן המצדיק חריגה מהמתחם שנקבע בהתאם </w:t>
      </w:r>
      <w:r w:rsidRPr="00D40547">
        <w:rPr>
          <w:rFonts w:cs="David"/>
          <w:b/>
          <w:bCs/>
          <w:color w:val="000000"/>
          <w:sz w:val="24"/>
          <w:szCs w:val="24"/>
          <w:rtl/>
        </w:rPr>
        <w:t xml:space="preserve">לסעיף </w:t>
      </w:r>
      <w:r w:rsidRPr="00D40547">
        <w:rPr>
          <w:rFonts w:ascii="David" w:cs="David"/>
          <w:b/>
          <w:bCs/>
          <w:color w:val="000000"/>
          <w:sz w:val="24"/>
          <w:szCs w:val="24"/>
          <w:rtl/>
        </w:rPr>
        <w:t>40</w:t>
      </w:r>
      <w:r w:rsidRPr="00D40547">
        <w:rPr>
          <w:rFonts w:cs="David"/>
          <w:b/>
          <w:bCs/>
          <w:color w:val="000000"/>
          <w:sz w:val="24"/>
          <w:szCs w:val="24"/>
          <w:rtl/>
        </w:rPr>
        <w:t>ד</w:t>
      </w:r>
      <w:r w:rsidRPr="00D40547">
        <w:rPr>
          <w:rFonts w:ascii="David" w:cs="David"/>
          <w:b/>
          <w:bCs/>
          <w:color w:val="000000"/>
          <w:sz w:val="24"/>
          <w:szCs w:val="24"/>
          <w:rtl/>
        </w:rPr>
        <w:t>(</w:t>
      </w:r>
      <w:r w:rsidRPr="00D40547">
        <w:rPr>
          <w:rFonts w:cs="David"/>
          <w:b/>
          <w:bCs/>
          <w:color w:val="000000"/>
          <w:sz w:val="24"/>
          <w:szCs w:val="24"/>
          <w:rtl/>
        </w:rPr>
        <w:t>א</w:t>
      </w:r>
      <w:r w:rsidRPr="00D40547">
        <w:rPr>
          <w:rFonts w:ascii="David" w:cs="David"/>
          <w:b/>
          <w:bCs/>
          <w:color w:val="000000"/>
          <w:sz w:val="24"/>
          <w:szCs w:val="24"/>
          <w:rtl/>
        </w:rPr>
        <w:t>)</w:t>
      </w:r>
      <w:r>
        <w:rPr>
          <w:rFonts w:cs="David"/>
          <w:b/>
          <w:bCs/>
          <w:color w:val="000000"/>
          <w:sz w:val="24"/>
          <w:szCs w:val="24"/>
          <w:rtl/>
        </w:rPr>
        <w:t xml:space="preserve"> לחוק</w:t>
      </w:r>
      <w:r>
        <w:rPr>
          <w:rFonts w:ascii="David" w:cs="David"/>
          <w:b/>
          <w:bCs/>
          <w:color w:val="000000"/>
          <w:sz w:val="24"/>
          <w:szCs w:val="24"/>
          <w:rtl/>
        </w:rPr>
        <w:t xml:space="preserve">, </w:t>
      </w:r>
      <w:r>
        <w:rPr>
          <w:rFonts w:cs="David"/>
          <w:b/>
          <w:bCs/>
          <w:color w:val="000000"/>
          <w:sz w:val="24"/>
          <w:szCs w:val="24"/>
          <w:rtl/>
        </w:rPr>
        <w:t>ולפיכך איני רואה לשנות מהעונש שנגזר עליו</w:t>
      </w:r>
      <w:r>
        <w:rPr>
          <w:rFonts w:ascii="David" w:cs="David"/>
          <w:b/>
          <w:bCs/>
          <w:color w:val="000000"/>
          <w:sz w:val="24"/>
          <w:szCs w:val="24"/>
          <w:rtl/>
        </w:rPr>
        <w:t xml:space="preserve">. </w:t>
      </w:r>
      <w:r>
        <w:rPr>
          <w:rFonts w:cs="David"/>
          <w:b/>
          <w:bCs/>
          <w:color w:val="000000"/>
          <w:sz w:val="24"/>
          <w:szCs w:val="24"/>
          <w:rtl/>
        </w:rPr>
        <w:t>המשיב הוא בחור צעיר שניהל אורח חיים נורמטיבי עד למעצרו בתיק זה</w:t>
      </w:r>
      <w:r>
        <w:rPr>
          <w:rFonts w:ascii="David" w:cs="David"/>
          <w:b/>
          <w:bCs/>
          <w:color w:val="000000"/>
          <w:sz w:val="24"/>
          <w:szCs w:val="24"/>
          <w:rtl/>
        </w:rPr>
        <w:t xml:space="preserve">. </w:t>
      </w:r>
      <w:r>
        <w:rPr>
          <w:rFonts w:cs="David"/>
          <w:b/>
          <w:bCs/>
          <w:color w:val="000000"/>
          <w:sz w:val="24"/>
          <w:szCs w:val="24"/>
          <w:rtl/>
        </w:rPr>
        <w:t>עברו נקי וזו הסתבכותו הראשונה עם החוק</w:t>
      </w:r>
      <w:r>
        <w:rPr>
          <w:rFonts w:ascii="David" w:cs="David"/>
          <w:b/>
          <w:bCs/>
          <w:color w:val="000000"/>
          <w:sz w:val="24"/>
          <w:szCs w:val="24"/>
          <w:rtl/>
        </w:rPr>
        <w:t xml:space="preserve">. </w:t>
      </w:r>
      <w:r>
        <w:rPr>
          <w:rFonts w:cs="David"/>
          <w:b/>
          <w:bCs/>
          <w:color w:val="000000"/>
          <w:sz w:val="24"/>
          <w:szCs w:val="24"/>
          <w:rtl/>
        </w:rPr>
        <w:t>מהתסקירים שנערכו בעניינו עולה כי הוא הודה במיוחס לו</w:t>
      </w:r>
      <w:r>
        <w:rPr>
          <w:rFonts w:ascii="David" w:cs="David"/>
          <w:b/>
          <w:bCs/>
          <w:color w:val="000000"/>
          <w:sz w:val="24"/>
          <w:szCs w:val="24"/>
          <w:rtl/>
        </w:rPr>
        <w:t xml:space="preserve">, </w:t>
      </w:r>
      <w:r>
        <w:rPr>
          <w:rFonts w:cs="David"/>
          <w:b/>
          <w:bCs/>
          <w:color w:val="000000"/>
          <w:sz w:val="24"/>
          <w:szCs w:val="24"/>
          <w:rtl/>
        </w:rPr>
        <w:t>נטל אחריות מלאה למעשיו ושיתף פעולה עם נציגי שירות המבחן</w:t>
      </w:r>
      <w:r>
        <w:rPr>
          <w:rFonts w:ascii="David" w:cs="David"/>
          <w:b/>
          <w:bCs/>
          <w:color w:val="000000"/>
          <w:sz w:val="24"/>
          <w:szCs w:val="24"/>
          <w:rtl/>
        </w:rPr>
        <w:t xml:space="preserve">. </w:t>
      </w:r>
      <w:r>
        <w:rPr>
          <w:rFonts w:cs="David"/>
          <w:b/>
          <w:bCs/>
          <w:color w:val="000000"/>
          <w:sz w:val="24"/>
          <w:szCs w:val="24"/>
          <w:rtl/>
        </w:rPr>
        <w:t xml:space="preserve">קציני המבחן התרשמו כי למשיב אין דפוסי התנהגות עבריינים וכי עצם ניהול ההליך והחזקתו במעצר ולאחר מכן במעצר בית </w:t>
      </w:r>
      <w:r>
        <w:rPr>
          <w:rFonts w:ascii="David" w:cs="David"/>
          <w:b/>
          <w:bCs/>
          <w:color w:val="000000"/>
          <w:sz w:val="24"/>
          <w:szCs w:val="24"/>
          <w:rtl/>
        </w:rPr>
        <w:t xml:space="preserve">– </w:t>
      </w:r>
      <w:r>
        <w:rPr>
          <w:rFonts w:cs="David"/>
          <w:b/>
          <w:bCs/>
          <w:color w:val="000000"/>
          <w:sz w:val="24"/>
          <w:szCs w:val="24"/>
          <w:rtl/>
        </w:rPr>
        <w:t>הרתיעו אותו</w:t>
      </w:r>
      <w:r>
        <w:rPr>
          <w:rFonts w:ascii="David" w:cs="David"/>
          <w:b/>
          <w:bCs/>
          <w:color w:val="000000"/>
          <w:sz w:val="24"/>
          <w:szCs w:val="24"/>
          <w:rtl/>
        </w:rPr>
        <w:t xml:space="preserve">, </w:t>
      </w:r>
      <w:r>
        <w:rPr>
          <w:rFonts w:cs="David"/>
          <w:b/>
          <w:bCs/>
          <w:color w:val="000000"/>
          <w:sz w:val="24"/>
          <w:szCs w:val="24"/>
          <w:rtl/>
        </w:rPr>
        <w:t>כך שהסיכוי שישוב לבצע עבירות דומות בעתיד הוא נמוך</w:t>
      </w:r>
      <w:r>
        <w:rPr>
          <w:rFonts w:ascii="David" w:cs="David"/>
          <w:b/>
          <w:bCs/>
          <w:color w:val="000000"/>
          <w:sz w:val="24"/>
          <w:szCs w:val="24"/>
          <w:rtl/>
        </w:rPr>
        <w:t xml:space="preserve">. </w:t>
      </w:r>
      <w:r>
        <w:rPr>
          <w:rFonts w:cs="David"/>
          <w:b/>
          <w:bCs/>
          <w:color w:val="000000"/>
          <w:sz w:val="24"/>
          <w:szCs w:val="24"/>
          <w:rtl/>
        </w:rPr>
        <w:t>עוד העריכו קציני המבחן כי ביכולתו לערוך שינוי משמעותי בחייו</w:t>
      </w:r>
      <w:r>
        <w:rPr>
          <w:rFonts w:ascii="David" w:cs="David"/>
          <w:b/>
          <w:bCs/>
          <w:color w:val="000000"/>
          <w:sz w:val="24"/>
          <w:szCs w:val="24"/>
          <w:rtl/>
        </w:rPr>
        <w:t xml:space="preserve">, </w:t>
      </w:r>
      <w:r>
        <w:rPr>
          <w:rFonts w:cs="David"/>
          <w:b/>
          <w:bCs/>
          <w:color w:val="000000"/>
          <w:sz w:val="24"/>
          <w:szCs w:val="24"/>
          <w:rtl/>
        </w:rPr>
        <w:t>ודווקא כניסתו לבית הסוהר תחשוף אותו להתנהלות עבריינית</w:t>
      </w:r>
      <w:r>
        <w:rPr>
          <w:rFonts w:ascii="David" w:cs="David"/>
          <w:b/>
          <w:bCs/>
          <w:color w:val="000000"/>
          <w:sz w:val="24"/>
          <w:szCs w:val="24"/>
          <w:rtl/>
        </w:rPr>
        <w:t xml:space="preserve">, </w:t>
      </w:r>
      <w:r>
        <w:rPr>
          <w:rFonts w:cs="David"/>
          <w:b/>
          <w:bCs/>
          <w:color w:val="000000"/>
          <w:sz w:val="24"/>
          <w:szCs w:val="24"/>
          <w:rtl/>
        </w:rPr>
        <w:t>כאשר קיים חשש לניצולו על</w:t>
      </w:r>
      <w:r>
        <w:rPr>
          <w:rFonts w:ascii="David" w:cs="David"/>
          <w:b/>
          <w:bCs/>
          <w:color w:val="000000"/>
          <w:sz w:val="24"/>
          <w:szCs w:val="24"/>
          <w:rtl/>
        </w:rPr>
        <w:t>-</w:t>
      </w:r>
      <w:r>
        <w:rPr>
          <w:rFonts w:cs="David"/>
          <w:b/>
          <w:bCs/>
          <w:color w:val="000000"/>
          <w:sz w:val="24"/>
          <w:szCs w:val="24"/>
          <w:rtl/>
        </w:rPr>
        <w:t>ידי אחרים</w:t>
      </w:r>
      <w:r>
        <w:rPr>
          <w:rFonts w:ascii="David" w:cs="David"/>
          <w:b/>
          <w:bCs/>
          <w:color w:val="000000"/>
          <w:sz w:val="24"/>
          <w:szCs w:val="24"/>
          <w:rtl/>
        </w:rPr>
        <w:t xml:space="preserve">. </w:t>
      </w:r>
      <w:r>
        <w:rPr>
          <w:rFonts w:cs="David"/>
          <w:b/>
          <w:bCs/>
          <w:color w:val="000000"/>
          <w:sz w:val="24"/>
          <w:szCs w:val="24"/>
          <w:rtl/>
        </w:rPr>
        <w:t>נתונים אלה בשילוב הרקע לביצוע העבירות</w:t>
      </w:r>
      <w:r>
        <w:rPr>
          <w:rFonts w:ascii="David" w:cs="David"/>
          <w:b/>
          <w:bCs/>
          <w:color w:val="000000"/>
          <w:sz w:val="24"/>
          <w:szCs w:val="24"/>
          <w:rtl/>
        </w:rPr>
        <w:t xml:space="preserve">, </w:t>
      </w:r>
      <w:r>
        <w:rPr>
          <w:rFonts w:cs="David"/>
          <w:b/>
          <w:bCs/>
          <w:color w:val="000000"/>
          <w:sz w:val="24"/>
          <w:szCs w:val="24"/>
          <w:rtl/>
        </w:rPr>
        <w:t xml:space="preserve">שאינו </w:t>
      </w:r>
      <w:r>
        <w:rPr>
          <w:rFonts w:ascii="David" w:cs="David"/>
          <w:b/>
          <w:bCs/>
          <w:color w:val="000000"/>
          <w:sz w:val="24"/>
          <w:szCs w:val="24"/>
          <w:rtl/>
        </w:rPr>
        <w:t>"</w:t>
      </w:r>
      <w:r>
        <w:rPr>
          <w:rFonts w:cs="David"/>
          <w:b/>
          <w:bCs/>
          <w:color w:val="000000"/>
          <w:sz w:val="24"/>
          <w:szCs w:val="24"/>
          <w:rtl/>
        </w:rPr>
        <w:t>עברייני טהור</w:t>
      </w:r>
      <w:r>
        <w:rPr>
          <w:rFonts w:ascii="David" w:cs="David"/>
          <w:b/>
          <w:bCs/>
          <w:color w:val="000000"/>
          <w:sz w:val="24"/>
          <w:szCs w:val="24"/>
          <w:rtl/>
        </w:rPr>
        <w:t>"</w:t>
      </w:r>
      <w:r>
        <w:rPr>
          <w:rFonts w:cs="David"/>
          <w:b/>
          <w:bCs/>
          <w:color w:val="000000"/>
          <w:sz w:val="24"/>
          <w:szCs w:val="24"/>
          <w:rtl/>
        </w:rPr>
        <w:t>, מלמדים כי למשיב פוטנציאל שיקום גבוה במידה המצדיקה לחרוג מהמתחם ולהותיר על כנו את העונש שנגזר עליו בבית המשפט קמא</w:t>
      </w:r>
      <w:r>
        <w:rPr>
          <w:rFonts w:ascii="David" w:cs="David"/>
          <w:b/>
          <w:bCs/>
          <w:color w:val="000000"/>
          <w:sz w:val="24"/>
          <w:szCs w:val="24"/>
          <w:rtl/>
        </w:rPr>
        <w:t xml:space="preserve">, </w:t>
      </w:r>
      <w:r>
        <w:rPr>
          <w:rFonts w:cs="David"/>
          <w:b/>
          <w:bCs/>
          <w:color w:val="000000"/>
          <w:sz w:val="24"/>
          <w:szCs w:val="24"/>
          <w:rtl/>
        </w:rPr>
        <w:t xml:space="preserve">שעיקרו </w:t>
      </w:r>
      <w:r>
        <w:rPr>
          <w:rFonts w:ascii="David" w:cs="David"/>
          <w:b/>
          <w:bCs/>
          <w:color w:val="000000"/>
          <w:sz w:val="24"/>
          <w:szCs w:val="24"/>
          <w:rtl/>
        </w:rPr>
        <w:t xml:space="preserve">6 </w:t>
      </w:r>
      <w:r>
        <w:rPr>
          <w:rFonts w:cs="David"/>
          <w:b/>
          <w:bCs/>
          <w:color w:val="000000"/>
          <w:sz w:val="24"/>
          <w:szCs w:val="24"/>
          <w:rtl/>
        </w:rPr>
        <w:t>חודשי מאסר בעבודות שירות</w:t>
      </w:r>
      <w:r>
        <w:rPr>
          <w:rFonts w:ascii="David" w:cs="David"/>
          <w:b/>
          <w:bCs/>
          <w:color w:val="000000"/>
          <w:sz w:val="24"/>
          <w:szCs w:val="24"/>
          <w:rtl/>
        </w:rPr>
        <w:t xml:space="preserve">. </w:t>
      </w:r>
      <w:r>
        <w:rPr>
          <w:rFonts w:cs="David"/>
          <w:b/>
          <w:bCs/>
          <w:color w:val="000000"/>
          <w:sz w:val="24"/>
          <w:szCs w:val="24"/>
          <w:rtl/>
        </w:rPr>
        <w:t>נותר רק לקוות כי ההימנעות מהחמרת עונשו תביא לשיפור במצבו הנפשי של המשיב</w:t>
      </w:r>
      <w:r>
        <w:rPr>
          <w:rFonts w:ascii="David" w:cs="David"/>
          <w:b/>
          <w:bCs/>
          <w:color w:val="000000"/>
          <w:sz w:val="24"/>
          <w:szCs w:val="24"/>
          <w:rtl/>
        </w:rPr>
        <w:t xml:space="preserve">, </w:t>
      </w:r>
      <w:r>
        <w:rPr>
          <w:rFonts w:cs="David"/>
          <w:b/>
          <w:bCs/>
          <w:color w:val="000000"/>
          <w:sz w:val="24"/>
          <w:szCs w:val="24"/>
          <w:rtl/>
        </w:rPr>
        <w:t>וכי הוא ישכיל לנצל את ההזדמנות שניתנה לו ויעלה על דרך הישר</w:t>
      </w:r>
      <w:r>
        <w:rPr>
          <w:rFonts w:ascii="David" w:cs="David"/>
          <w:b/>
          <w:bCs/>
          <w:color w:val="000000"/>
          <w:sz w:val="24"/>
          <w:szCs w:val="24"/>
          <w:rtl/>
        </w:rPr>
        <w:t>"</w:t>
      </w:r>
    </w:p>
    <w:p w14:paraId="0470AB2B" w14:textId="77777777" w:rsidR="00A53FB3" w:rsidRDefault="00A53FB3">
      <w:pPr>
        <w:pStyle w:val="Ruller40"/>
        <w:rPr>
          <w:rFonts w:cs="David"/>
          <w:b/>
          <w:bCs/>
          <w:color w:val="000000"/>
          <w:sz w:val="24"/>
          <w:szCs w:val="24"/>
          <w:rtl/>
        </w:rPr>
      </w:pPr>
    </w:p>
    <w:p w14:paraId="71633974" w14:textId="77777777" w:rsidR="00A53FB3" w:rsidRDefault="00D40547">
      <w:pPr>
        <w:pStyle w:val="Ruller40"/>
        <w:ind w:left="708"/>
        <w:rPr>
          <w:rFonts w:cs="David"/>
          <w:color w:val="000000"/>
          <w:sz w:val="24"/>
          <w:szCs w:val="24"/>
          <w:rtl/>
        </w:rPr>
      </w:pPr>
      <w:r>
        <w:rPr>
          <w:rFonts w:cs="David"/>
          <w:color w:val="000000"/>
          <w:sz w:val="24"/>
          <w:szCs w:val="24"/>
          <w:rtl/>
        </w:rPr>
        <w:t xml:space="preserve">יודגש כי בית המשפט העליון בעניין עבד אלכרים סקר את מדיניות הענישה הנוהגת במקרים דומים והגיע למסקנה כי מתחם העונש ההולם בעבירות מסוג זה נע בין </w:t>
      </w:r>
      <w:r>
        <w:rPr>
          <w:rFonts w:ascii="David" w:cs="David"/>
          <w:color w:val="000000"/>
          <w:sz w:val="24"/>
          <w:szCs w:val="24"/>
          <w:rtl/>
        </w:rPr>
        <w:t xml:space="preserve">12 </w:t>
      </w:r>
      <w:r>
        <w:rPr>
          <w:rFonts w:cs="David"/>
          <w:color w:val="000000"/>
          <w:sz w:val="24"/>
          <w:szCs w:val="24"/>
          <w:rtl/>
        </w:rPr>
        <w:t>ל</w:t>
      </w:r>
      <w:r>
        <w:rPr>
          <w:rFonts w:ascii="David" w:cs="David"/>
          <w:color w:val="000000"/>
          <w:sz w:val="24"/>
          <w:szCs w:val="24"/>
          <w:rtl/>
        </w:rPr>
        <w:t xml:space="preserve">- </w:t>
      </w:r>
      <w:r>
        <w:rPr>
          <w:rFonts w:cs="David"/>
          <w:color w:val="000000"/>
          <w:sz w:val="24"/>
          <w:szCs w:val="24"/>
          <w:rtl/>
        </w:rPr>
        <w:t>36 חודשי מאסר בפועל וככלל אין להסתפק בעונש של מאסר בעבודות שירות</w:t>
      </w:r>
      <w:r>
        <w:rPr>
          <w:rFonts w:ascii="David" w:cs="David"/>
          <w:color w:val="000000"/>
          <w:sz w:val="24"/>
          <w:szCs w:val="24"/>
          <w:rtl/>
        </w:rPr>
        <w:t xml:space="preserve">. </w:t>
      </w:r>
      <w:r>
        <w:rPr>
          <w:rFonts w:cs="David"/>
          <w:color w:val="000000"/>
          <w:sz w:val="24"/>
          <w:szCs w:val="24"/>
          <w:rtl/>
        </w:rPr>
        <w:t xml:space="preserve">יחד עם זאת קבע בית משפט העליון כי במקרה </w:t>
      </w:r>
      <w:r>
        <w:rPr>
          <w:rFonts w:cs="David" w:hint="cs"/>
          <w:color w:val="000000"/>
          <w:sz w:val="24"/>
          <w:szCs w:val="24"/>
          <w:rtl/>
        </w:rPr>
        <w:t>ה</w:t>
      </w:r>
      <w:r>
        <w:rPr>
          <w:rFonts w:cs="David"/>
          <w:color w:val="000000"/>
          <w:sz w:val="24"/>
          <w:szCs w:val="24"/>
          <w:rtl/>
        </w:rPr>
        <w:t xml:space="preserve">פרטני </w:t>
      </w:r>
      <w:r>
        <w:rPr>
          <w:rFonts w:cs="David" w:hint="cs"/>
          <w:color w:val="000000"/>
          <w:sz w:val="24"/>
          <w:szCs w:val="24"/>
          <w:rtl/>
        </w:rPr>
        <w:t>דנן</w:t>
      </w:r>
      <w:r>
        <w:rPr>
          <w:rFonts w:cs="David"/>
          <w:color w:val="000000"/>
          <w:sz w:val="24"/>
          <w:szCs w:val="24"/>
          <w:rtl/>
        </w:rPr>
        <w:t xml:space="preserve"> למשיב סיכוי של ממש להשתקם</w:t>
      </w:r>
      <w:r>
        <w:rPr>
          <w:rFonts w:ascii="David" w:cs="David"/>
          <w:color w:val="000000"/>
          <w:sz w:val="24"/>
          <w:szCs w:val="24"/>
          <w:rtl/>
        </w:rPr>
        <w:t xml:space="preserve">, </w:t>
      </w:r>
      <w:r>
        <w:rPr>
          <w:rFonts w:cs="David"/>
          <w:color w:val="000000"/>
          <w:sz w:val="24"/>
          <w:szCs w:val="24"/>
          <w:rtl/>
        </w:rPr>
        <w:t xml:space="preserve">דבר שמצדיק חריגה </w:t>
      </w:r>
      <w:r>
        <w:rPr>
          <w:rFonts w:cs="David" w:hint="cs"/>
          <w:color w:val="000000"/>
          <w:sz w:val="24"/>
          <w:szCs w:val="24"/>
          <w:rtl/>
        </w:rPr>
        <w:t xml:space="preserve">לקולא </w:t>
      </w:r>
      <w:r>
        <w:rPr>
          <w:rFonts w:cs="David"/>
          <w:color w:val="000000"/>
          <w:sz w:val="24"/>
          <w:szCs w:val="24"/>
          <w:rtl/>
        </w:rPr>
        <w:t>ממתחם הענישה והטלת עונש מאסר שירוצה בעבודות שירות</w:t>
      </w:r>
      <w:r>
        <w:rPr>
          <w:rFonts w:ascii="David" w:cs="David"/>
          <w:color w:val="000000"/>
          <w:sz w:val="24"/>
          <w:szCs w:val="24"/>
          <w:rtl/>
        </w:rPr>
        <w:t>.</w:t>
      </w:r>
    </w:p>
    <w:p w14:paraId="06A0171F" w14:textId="77777777" w:rsidR="00A53FB3" w:rsidRDefault="00A53FB3">
      <w:pPr>
        <w:spacing w:line="360" w:lineRule="auto"/>
        <w:ind w:left="992"/>
        <w:jc w:val="both"/>
        <w:rPr>
          <w:color w:val="000000"/>
          <w:rtl/>
        </w:rPr>
      </w:pPr>
    </w:p>
    <w:p w14:paraId="46A3BD07" w14:textId="77777777" w:rsidR="00A53FB3" w:rsidRDefault="00D40547">
      <w:pPr>
        <w:spacing w:line="360" w:lineRule="auto"/>
        <w:ind w:left="720" w:hanging="720"/>
        <w:jc w:val="both"/>
        <w:rPr>
          <w:color w:val="000000"/>
          <w:rtl/>
        </w:rPr>
      </w:pPr>
      <w:r>
        <w:rPr>
          <w:b/>
          <w:bCs/>
          <w:color w:val="000000"/>
          <w:rtl/>
        </w:rPr>
        <w:t>34</w:t>
      </w:r>
      <w:r>
        <w:rPr>
          <w:color w:val="000000"/>
          <w:rtl/>
        </w:rPr>
        <w:t>.</w:t>
      </w:r>
      <w:r>
        <w:rPr>
          <w:color w:val="000000"/>
          <w:rtl/>
        </w:rPr>
        <w:tab/>
        <w:t xml:space="preserve">בענייננו </w:t>
      </w:r>
      <w:r>
        <w:rPr>
          <w:rFonts w:hint="cs"/>
          <w:color w:val="000000"/>
          <w:rtl/>
        </w:rPr>
        <w:t>ועל דרך ההיקש ו</w:t>
      </w:r>
      <w:r>
        <w:rPr>
          <w:color w:val="000000"/>
          <w:rtl/>
        </w:rPr>
        <w:t>בהתחשב בנסיבות ביצוע העבירה, הפגיעה בערכים המוגנים ומדיניות הענישה הנהוגה, אני קובע כי מתחם העונש ההולם נע בין מאסר לתקופה של ששה חודשים לריצוי בעבודות שירות לבין  36 חודשי מאסר בפועל.</w:t>
      </w:r>
    </w:p>
    <w:p w14:paraId="12979B4C" w14:textId="77777777" w:rsidR="00A53FB3" w:rsidRDefault="00A53FB3">
      <w:pPr>
        <w:spacing w:after="80" w:line="360" w:lineRule="auto"/>
        <w:jc w:val="both"/>
        <w:rPr>
          <w:color w:val="000000"/>
          <w:rtl/>
        </w:rPr>
      </w:pPr>
    </w:p>
    <w:p w14:paraId="5D2D7FB6" w14:textId="77777777" w:rsidR="00A53FB3" w:rsidRDefault="00D40547">
      <w:pPr>
        <w:spacing w:after="80" w:line="360" w:lineRule="auto"/>
        <w:jc w:val="both"/>
        <w:rPr>
          <w:b/>
          <w:bCs/>
          <w:color w:val="000000"/>
          <w:rtl/>
        </w:rPr>
      </w:pPr>
      <w:r>
        <w:rPr>
          <w:rFonts w:hint="cs"/>
          <w:b/>
          <w:bCs/>
          <w:color w:val="000000"/>
          <w:u w:val="single"/>
          <w:rtl/>
        </w:rPr>
        <w:t>עיקרון הענישה האינדיווידואלית</w:t>
      </w:r>
      <w:r>
        <w:rPr>
          <w:rFonts w:hint="cs"/>
          <w:b/>
          <w:bCs/>
          <w:color w:val="000000"/>
          <w:rtl/>
        </w:rPr>
        <w:t>:</w:t>
      </w:r>
    </w:p>
    <w:p w14:paraId="35893F6F" w14:textId="77777777" w:rsidR="00A53FB3" w:rsidRDefault="00A53FB3">
      <w:pPr>
        <w:spacing w:after="80" w:line="360" w:lineRule="auto"/>
        <w:jc w:val="both"/>
        <w:rPr>
          <w:b/>
          <w:bCs/>
          <w:color w:val="000000"/>
          <w:rtl/>
        </w:rPr>
      </w:pPr>
    </w:p>
    <w:p w14:paraId="6D5368C0" w14:textId="77777777" w:rsidR="00A53FB3" w:rsidRDefault="00D40547">
      <w:pPr>
        <w:spacing w:after="80" w:line="360" w:lineRule="auto"/>
        <w:ind w:left="720" w:hanging="720"/>
        <w:jc w:val="both"/>
        <w:rPr>
          <w:color w:val="000000"/>
          <w:rtl/>
        </w:rPr>
      </w:pPr>
      <w:r>
        <w:rPr>
          <w:b/>
          <w:bCs/>
          <w:color w:val="000000"/>
          <w:rtl/>
        </w:rPr>
        <w:t>35</w:t>
      </w:r>
      <w:r>
        <w:rPr>
          <w:color w:val="000000"/>
          <w:rtl/>
        </w:rPr>
        <w:t>.</w:t>
      </w:r>
      <w:r>
        <w:rPr>
          <w:color w:val="000000"/>
          <w:rtl/>
        </w:rPr>
        <w:tab/>
        <w:t>אדגיש כי הענישה במקומותינו היא אינדיווידואלית ומותאמת לנסיבות</w:t>
      </w:r>
      <w:r>
        <w:rPr>
          <w:rFonts w:hint="cs"/>
          <w:color w:val="000000"/>
          <w:rtl/>
        </w:rPr>
        <w:t xml:space="preserve"> הקונקרטיות והשיקולים הפרטניים בכל מקרה לגופו</w:t>
      </w:r>
      <w:r>
        <w:rPr>
          <w:color w:val="000000"/>
          <w:rtl/>
        </w:rPr>
        <w:t xml:space="preserve"> ולנאשם הספציפי העומד לתת את הדין בפני ביהמ"ש – ראו </w:t>
      </w:r>
      <w:hyperlink r:id="rId29" w:history="1">
        <w:r w:rsidR="00250895" w:rsidRPr="00250895">
          <w:rPr>
            <w:color w:val="0000FF"/>
            <w:u w:val="single"/>
            <w:rtl/>
          </w:rPr>
          <w:t xml:space="preserve">ע"פ 8465/15 </w:t>
        </w:r>
      </w:hyperlink>
      <w:r>
        <w:rPr>
          <w:rFonts w:hint="cs"/>
          <w:color w:val="000000"/>
          <w:rtl/>
        </w:rPr>
        <w:t xml:space="preserve"> </w:t>
      </w:r>
      <w:r>
        <w:rPr>
          <w:rFonts w:hint="cs"/>
          <w:b/>
          <w:bCs/>
          <w:color w:val="000000"/>
          <w:rtl/>
        </w:rPr>
        <w:t>כרכי נ' מ"י</w:t>
      </w:r>
      <w:r>
        <w:rPr>
          <w:rFonts w:hint="cs"/>
          <w:color w:val="000000"/>
          <w:rtl/>
        </w:rPr>
        <w:t xml:space="preserve"> (ניתן ביום 24.8.15); </w:t>
      </w:r>
      <w:hyperlink r:id="rId30" w:history="1">
        <w:r w:rsidRPr="00D40547">
          <w:rPr>
            <w:color w:val="0000FF"/>
            <w:u w:val="single"/>
            <w:rtl/>
          </w:rPr>
          <w:t>ע"פ 1307/15</w:t>
        </w:r>
      </w:hyperlink>
      <w:r>
        <w:rPr>
          <w:rFonts w:hint="cs"/>
          <w:color w:val="000000"/>
          <w:rtl/>
        </w:rPr>
        <w:t xml:space="preserve"> </w:t>
      </w:r>
      <w:r>
        <w:rPr>
          <w:rFonts w:hint="cs"/>
          <w:b/>
          <w:bCs/>
          <w:color w:val="000000"/>
          <w:rtl/>
        </w:rPr>
        <w:t xml:space="preserve">פלוני נ' מ"י </w:t>
      </w:r>
      <w:r>
        <w:rPr>
          <w:rFonts w:hint="cs"/>
          <w:color w:val="000000"/>
          <w:rtl/>
        </w:rPr>
        <w:t xml:space="preserve"> (ניתן ביום 1.4.15); </w:t>
      </w:r>
      <w:hyperlink r:id="rId31" w:history="1">
        <w:r w:rsidRPr="00D40547">
          <w:rPr>
            <w:color w:val="0000FF"/>
            <w:u w:val="single"/>
            <w:rtl/>
          </w:rPr>
          <w:t>ע"פ 7006/14</w:t>
        </w:r>
      </w:hyperlink>
      <w:r>
        <w:rPr>
          <w:rFonts w:hint="cs"/>
          <w:color w:val="000000"/>
          <w:rtl/>
        </w:rPr>
        <w:t xml:space="preserve"> </w:t>
      </w:r>
      <w:r>
        <w:rPr>
          <w:rFonts w:hint="cs"/>
          <w:b/>
          <w:bCs/>
          <w:color w:val="000000"/>
          <w:rtl/>
        </w:rPr>
        <w:t>תורג'מן נ' מ"י</w:t>
      </w:r>
      <w:r>
        <w:rPr>
          <w:rFonts w:hint="cs"/>
          <w:color w:val="000000"/>
          <w:rtl/>
        </w:rPr>
        <w:t xml:space="preserve"> (ניתן ביום 23.3.15) ו</w:t>
      </w:r>
      <w:hyperlink r:id="rId32" w:history="1">
        <w:r w:rsidRPr="00D40547">
          <w:rPr>
            <w:color w:val="0000FF"/>
            <w:u w:val="single"/>
            <w:rtl/>
          </w:rPr>
          <w:t>ע"פ 433/89 ג'ורג' אטיאס נ. מידת ישראל, פ"ד מ"ג</w:t>
        </w:r>
      </w:hyperlink>
      <w:r>
        <w:rPr>
          <w:color w:val="000000"/>
          <w:rtl/>
        </w:rPr>
        <w:t xml:space="preserve"> (4) 170, 174).</w:t>
      </w:r>
    </w:p>
    <w:p w14:paraId="33E68F61" w14:textId="77777777" w:rsidR="00A53FB3" w:rsidRDefault="00A53FB3">
      <w:pPr>
        <w:pStyle w:val="filenumber"/>
        <w:ind w:left="720"/>
        <w:jc w:val="both"/>
        <w:rPr>
          <w:rFonts w:cs="David"/>
          <w:color w:val="000000"/>
          <w:sz w:val="24"/>
          <w:szCs w:val="24"/>
          <w:rtl/>
        </w:rPr>
      </w:pPr>
    </w:p>
    <w:p w14:paraId="2F173902" w14:textId="77777777" w:rsidR="00A53FB3" w:rsidRDefault="00D40547">
      <w:pPr>
        <w:pStyle w:val="filenumber"/>
        <w:ind w:left="720"/>
        <w:jc w:val="both"/>
        <w:rPr>
          <w:rFonts w:cs="David"/>
          <w:color w:val="000000"/>
          <w:sz w:val="24"/>
          <w:szCs w:val="24"/>
          <w:rtl/>
        </w:rPr>
      </w:pPr>
      <w:r>
        <w:rPr>
          <w:rFonts w:cs="David"/>
          <w:color w:val="000000"/>
          <w:sz w:val="24"/>
          <w:szCs w:val="24"/>
          <w:rtl/>
        </w:rPr>
        <w:t>לכן יש לבחון כל מקרה ונסיבותיו, לרבות הנסיבות האישיות של הנאשם שעומד לדין בפני בית המשפט, וכך נקבע ב</w:t>
      </w:r>
      <w:hyperlink r:id="rId33" w:history="1">
        <w:r w:rsidRPr="00D40547">
          <w:rPr>
            <w:rFonts w:cs="David"/>
            <w:color w:val="0000FF"/>
            <w:sz w:val="24"/>
            <w:szCs w:val="24"/>
            <w:u w:val="single"/>
            <w:rtl/>
          </w:rPr>
          <w:t>ע"פ 3210/06</w:t>
        </w:r>
      </w:hyperlink>
      <w:r>
        <w:rPr>
          <w:rFonts w:cs="David"/>
          <w:color w:val="000000"/>
          <w:sz w:val="24"/>
          <w:szCs w:val="24"/>
          <w:rtl/>
        </w:rPr>
        <w:t xml:space="preserve"> </w:t>
      </w:r>
      <w:r>
        <w:rPr>
          <w:rFonts w:cs="David"/>
          <w:b/>
          <w:bCs/>
          <w:color w:val="000000"/>
          <w:sz w:val="24"/>
          <w:szCs w:val="24"/>
          <w:rtl/>
        </w:rPr>
        <w:t>עמארה נ' מדינת ישראל</w:t>
      </w:r>
      <w:r>
        <w:rPr>
          <w:rFonts w:cs="David"/>
          <w:color w:val="000000"/>
          <w:sz w:val="24"/>
          <w:szCs w:val="24"/>
          <w:rtl/>
        </w:rPr>
        <w:t>, (ניתן ביום 18.03.07):</w:t>
      </w:r>
    </w:p>
    <w:p w14:paraId="28F2C11E" w14:textId="77777777" w:rsidR="00A53FB3" w:rsidRDefault="00A53FB3">
      <w:pPr>
        <w:spacing w:line="360" w:lineRule="auto"/>
        <w:jc w:val="both"/>
        <w:rPr>
          <w:color w:val="000000"/>
          <w:rtl/>
        </w:rPr>
      </w:pPr>
    </w:p>
    <w:p w14:paraId="03E76901" w14:textId="77777777" w:rsidR="00A53FB3" w:rsidRDefault="00D40547">
      <w:pPr>
        <w:spacing w:line="360" w:lineRule="auto"/>
        <w:ind w:left="720"/>
        <w:jc w:val="both"/>
        <w:rPr>
          <w:b/>
          <w:bCs/>
          <w:color w:val="000000"/>
          <w:rtl/>
        </w:rPr>
      </w:pPr>
      <w:r>
        <w:rPr>
          <w:b/>
          <w:bCs/>
          <w:color w:val="000000"/>
          <w:rtl/>
        </w:rPr>
        <w:t>"הפרמטרים הרלבנטיים האפשריים לגזירת העונש על עבירה זו כשלעצמה, הם חומרת התוצאה, השאלה האם היו בני אדם במקום והועמדו בסכנה, עברו הפלילי של הנאשם וכיוצא בזה.".</w:t>
      </w:r>
    </w:p>
    <w:p w14:paraId="5FB3FB51" w14:textId="77777777" w:rsidR="00A53FB3" w:rsidRDefault="00A53FB3">
      <w:pPr>
        <w:tabs>
          <w:tab w:val="left" w:pos="567"/>
          <w:tab w:val="left" w:pos="1134"/>
          <w:tab w:val="left" w:pos="1701"/>
          <w:tab w:val="left" w:pos="2268"/>
          <w:tab w:val="left" w:pos="2835"/>
          <w:tab w:val="left" w:pos="3402"/>
        </w:tabs>
        <w:spacing w:line="360" w:lineRule="auto"/>
        <w:jc w:val="both"/>
        <w:rPr>
          <w:b/>
          <w:bCs/>
          <w:color w:val="000000"/>
          <w:rtl/>
        </w:rPr>
      </w:pPr>
    </w:p>
    <w:p w14:paraId="16BD35DC" w14:textId="77777777" w:rsidR="00A53FB3" w:rsidRDefault="00D40547">
      <w:pPr>
        <w:tabs>
          <w:tab w:val="left" w:pos="567"/>
          <w:tab w:val="left" w:pos="1134"/>
          <w:tab w:val="left" w:pos="1701"/>
          <w:tab w:val="left" w:pos="2268"/>
          <w:tab w:val="left" w:pos="2835"/>
          <w:tab w:val="left" w:pos="3402"/>
        </w:tabs>
        <w:spacing w:line="360" w:lineRule="auto"/>
        <w:ind w:left="567" w:hanging="567"/>
        <w:jc w:val="both"/>
        <w:rPr>
          <w:color w:val="000000"/>
          <w:rtl/>
        </w:rPr>
      </w:pPr>
      <w:r>
        <w:rPr>
          <w:b/>
          <w:bCs/>
          <w:rtl/>
        </w:rPr>
        <w:t>36</w:t>
      </w:r>
      <w:r>
        <w:rPr>
          <w:rtl/>
        </w:rPr>
        <w:t>.</w:t>
      </w:r>
      <w:r>
        <w:rPr>
          <w:rtl/>
        </w:rPr>
        <w:tab/>
        <w:t>לפי פסיקתו של בית המשפט העליון יש לקבוע את מתח</w:t>
      </w:r>
      <w:r>
        <w:rPr>
          <w:rFonts w:hint="cs"/>
          <w:rtl/>
        </w:rPr>
        <w:t>ם</w:t>
      </w:r>
      <w:r>
        <w:rPr>
          <w:rtl/>
        </w:rPr>
        <w:t xml:space="preserve"> הענישה ההולם בהתאם לסוג וכמות הנשק שבו החזיק הנאשם, נשא והוביל כשגם התכלית לכך חשובה ובעלת משקל.</w:t>
      </w:r>
    </w:p>
    <w:p w14:paraId="73C7EDD2" w14:textId="77777777" w:rsidR="00A53FB3" w:rsidRDefault="00A53FB3">
      <w:pPr>
        <w:pStyle w:val="Ruller50"/>
        <w:spacing w:line="360" w:lineRule="auto"/>
        <w:ind w:left="567" w:right="0"/>
        <w:rPr>
          <w:rFonts w:cs="David"/>
          <w:color w:val="000000"/>
          <w:sz w:val="24"/>
          <w:szCs w:val="24"/>
          <w:rtl/>
        </w:rPr>
      </w:pPr>
    </w:p>
    <w:p w14:paraId="57FB7445" w14:textId="77777777" w:rsidR="00A53FB3" w:rsidRDefault="00D40547">
      <w:pPr>
        <w:pStyle w:val="Ruller50"/>
        <w:spacing w:line="360" w:lineRule="auto"/>
        <w:ind w:left="567" w:right="0"/>
        <w:rPr>
          <w:rFonts w:cs="David"/>
          <w:color w:val="000000"/>
          <w:sz w:val="24"/>
          <w:szCs w:val="24"/>
          <w:rtl/>
        </w:rPr>
      </w:pPr>
      <w:r>
        <w:rPr>
          <w:rFonts w:cs="David"/>
          <w:color w:val="000000"/>
          <w:sz w:val="24"/>
          <w:szCs w:val="24"/>
          <w:rtl/>
        </w:rPr>
        <w:t xml:space="preserve">בענייננו מדובר באקדח אחד עם מחסנית וכדור, דברים אלה מהווים </w:t>
      </w:r>
      <w:r>
        <w:rPr>
          <w:rFonts w:ascii="Times New Roman" w:hAnsi="Times New Roman" w:cs="David"/>
          <w:color w:val="000000"/>
          <w:sz w:val="24"/>
          <w:szCs w:val="24"/>
          <w:rtl/>
        </w:rPr>
        <w:t xml:space="preserve">נסיבות הקשורות בביצוע העבירה </w:t>
      </w:r>
      <w:r>
        <w:rPr>
          <w:rFonts w:cs="David"/>
          <w:color w:val="000000"/>
          <w:sz w:val="24"/>
          <w:szCs w:val="24"/>
          <w:rtl/>
        </w:rPr>
        <w:t>והם שקובעים את פוטנציאל הנזק הכרוך במעשה העבירה</w:t>
      </w:r>
      <w:r>
        <w:rPr>
          <w:rFonts w:ascii="David" w:cs="David"/>
          <w:color w:val="000000"/>
          <w:sz w:val="24"/>
          <w:szCs w:val="24"/>
          <w:rtl/>
        </w:rPr>
        <w:t>.</w:t>
      </w:r>
    </w:p>
    <w:p w14:paraId="64A852F5" w14:textId="77777777" w:rsidR="00A53FB3" w:rsidRDefault="00A53FB3">
      <w:pPr>
        <w:pStyle w:val="Ruller50"/>
        <w:spacing w:line="360" w:lineRule="auto"/>
        <w:ind w:left="567" w:right="0"/>
        <w:rPr>
          <w:rFonts w:cs="David"/>
          <w:color w:val="000000"/>
          <w:sz w:val="24"/>
          <w:szCs w:val="24"/>
          <w:rtl/>
        </w:rPr>
      </w:pPr>
    </w:p>
    <w:p w14:paraId="28835D51" w14:textId="77777777" w:rsidR="00A53FB3" w:rsidRDefault="00D40547">
      <w:pPr>
        <w:pStyle w:val="Ruller40"/>
        <w:ind w:left="567"/>
        <w:rPr>
          <w:rFonts w:cs="David"/>
          <w:color w:val="000000"/>
          <w:sz w:val="24"/>
          <w:szCs w:val="24"/>
          <w:rtl/>
        </w:rPr>
      </w:pPr>
      <w:r>
        <w:rPr>
          <w:rFonts w:cs="David"/>
          <w:color w:val="000000"/>
          <w:sz w:val="24"/>
          <w:szCs w:val="24"/>
          <w:rtl/>
        </w:rPr>
        <w:t>יודגש</w:t>
      </w:r>
      <w:r>
        <w:rPr>
          <w:rFonts w:ascii="David" w:cs="David"/>
          <w:color w:val="000000"/>
          <w:sz w:val="24"/>
          <w:szCs w:val="24"/>
          <w:rtl/>
        </w:rPr>
        <w:t xml:space="preserve">, </w:t>
      </w:r>
      <w:r>
        <w:rPr>
          <w:rFonts w:cs="David"/>
          <w:color w:val="000000"/>
          <w:sz w:val="24"/>
          <w:szCs w:val="24"/>
          <w:rtl/>
        </w:rPr>
        <w:t>בעניין זה כי כבר נקבע בעבר שקיים מדרג ענישה בעבירות המבוצעות בנשק</w:t>
      </w:r>
      <w:r>
        <w:rPr>
          <w:rFonts w:ascii="David" w:cs="David"/>
          <w:color w:val="000000"/>
          <w:sz w:val="24"/>
          <w:szCs w:val="24"/>
          <w:rtl/>
        </w:rPr>
        <w:t xml:space="preserve">, </w:t>
      </w:r>
      <w:r>
        <w:rPr>
          <w:rFonts w:cs="David"/>
          <w:color w:val="000000"/>
          <w:sz w:val="24"/>
          <w:szCs w:val="24"/>
          <w:rtl/>
        </w:rPr>
        <w:t>הנקבע</w:t>
      </w:r>
      <w:r>
        <w:rPr>
          <w:rFonts w:ascii="David" w:cs="David"/>
          <w:color w:val="000000"/>
          <w:sz w:val="24"/>
          <w:szCs w:val="24"/>
          <w:rtl/>
        </w:rPr>
        <w:t xml:space="preserve">, </w:t>
      </w:r>
      <w:r>
        <w:rPr>
          <w:rFonts w:cs="David"/>
          <w:color w:val="000000"/>
          <w:sz w:val="24"/>
          <w:szCs w:val="24"/>
          <w:rtl/>
        </w:rPr>
        <w:t>בין השאר</w:t>
      </w:r>
      <w:r>
        <w:rPr>
          <w:rFonts w:ascii="David" w:cs="David"/>
          <w:color w:val="000000"/>
          <w:sz w:val="24"/>
          <w:szCs w:val="24"/>
          <w:rtl/>
        </w:rPr>
        <w:t xml:space="preserve">, </w:t>
      </w:r>
      <w:r>
        <w:rPr>
          <w:rFonts w:cs="David"/>
          <w:color w:val="000000"/>
          <w:sz w:val="24"/>
          <w:szCs w:val="24"/>
          <w:rtl/>
        </w:rPr>
        <w:t>ע</w:t>
      </w:r>
      <w:r>
        <w:rPr>
          <w:rFonts w:ascii="David" w:cs="David"/>
          <w:color w:val="000000"/>
          <w:sz w:val="24"/>
          <w:szCs w:val="24"/>
          <w:rtl/>
        </w:rPr>
        <w:t>"</w:t>
      </w:r>
      <w:r>
        <w:rPr>
          <w:rFonts w:cs="David"/>
          <w:color w:val="000000"/>
          <w:sz w:val="24"/>
          <w:szCs w:val="24"/>
          <w:rtl/>
        </w:rPr>
        <w:t>פ סוג</w:t>
      </w:r>
      <w:r>
        <w:rPr>
          <w:rFonts w:ascii="David" w:cs="David"/>
          <w:color w:val="000000"/>
          <w:sz w:val="24"/>
          <w:szCs w:val="24"/>
          <w:rtl/>
        </w:rPr>
        <w:t xml:space="preserve">, </w:t>
      </w:r>
      <w:r>
        <w:rPr>
          <w:rFonts w:cs="David"/>
          <w:color w:val="000000"/>
          <w:sz w:val="24"/>
          <w:szCs w:val="24"/>
          <w:rtl/>
        </w:rPr>
        <w:t>איכות וכמות הנשק שנעשה בו שימוש וכך נאמר לא אחת כי</w:t>
      </w:r>
      <w:r>
        <w:rPr>
          <w:rFonts w:ascii="David" w:cs="David"/>
          <w:color w:val="000000"/>
          <w:sz w:val="24"/>
          <w:szCs w:val="24"/>
          <w:rtl/>
        </w:rPr>
        <w:t xml:space="preserve">: </w:t>
      </w:r>
    </w:p>
    <w:p w14:paraId="529FBDDF" w14:textId="77777777" w:rsidR="00A53FB3" w:rsidRDefault="00A53FB3">
      <w:pPr>
        <w:pStyle w:val="Ruller40"/>
        <w:ind w:left="567"/>
        <w:rPr>
          <w:rFonts w:cs="David"/>
          <w:color w:val="000000"/>
          <w:sz w:val="24"/>
          <w:szCs w:val="24"/>
          <w:rtl/>
        </w:rPr>
      </w:pPr>
    </w:p>
    <w:p w14:paraId="5543FEDC" w14:textId="77777777" w:rsidR="00A53FB3" w:rsidRDefault="00D40547">
      <w:pPr>
        <w:pStyle w:val="Ruller40"/>
        <w:ind w:left="567"/>
        <w:rPr>
          <w:rFonts w:ascii="Times New Roman" w:hAnsi="Times New Roman" w:cs="David"/>
          <w:color w:val="000000"/>
          <w:sz w:val="24"/>
          <w:szCs w:val="24"/>
          <w:rtl/>
        </w:rPr>
      </w:pPr>
      <w:r>
        <w:rPr>
          <w:rFonts w:cs="David"/>
          <w:b/>
          <w:bCs/>
          <w:color w:val="000000"/>
          <w:sz w:val="24"/>
          <w:szCs w:val="24"/>
          <w:rtl/>
        </w:rPr>
        <w:t>"... מידת העונש המוטל בגין עבירות המבוצעות בנשק, מושפעת מפוטנציאל הסיכון הרב הטמון בנשק המוחזק שלא כדין ומהעברתו מיד ליד ללא פיקוח</w:t>
      </w:r>
      <w:r>
        <w:rPr>
          <w:rFonts w:ascii="David" w:cs="David"/>
          <w:b/>
          <w:bCs/>
          <w:color w:val="000000"/>
          <w:sz w:val="24"/>
          <w:szCs w:val="24"/>
          <w:rtl/>
        </w:rPr>
        <w:t xml:space="preserve">. </w:t>
      </w:r>
      <w:r>
        <w:rPr>
          <w:rFonts w:cs="David"/>
          <w:b/>
          <w:bCs/>
          <w:color w:val="000000"/>
          <w:sz w:val="24"/>
          <w:szCs w:val="24"/>
          <w:rtl/>
        </w:rPr>
        <w:t>בבוא בית</w:t>
      </w:r>
      <w:r>
        <w:rPr>
          <w:rFonts w:ascii="David" w:cs="David"/>
          <w:b/>
          <w:bCs/>
          <w:color w:val="000000"/>
          <w:sz w:val="24"/>
          <w:szCs w:val="24"/>
          <w:rtl/>
        </w:rPr>
        <w:t>-</w:t>
      </w:r>
      <w:r>
        <w:rPr>
          <w:rFonts w:cs="David"/>
          <w:b/>
          <w:bCs/>
          <w:color w:val="000000"/>
          <w:sz w:val="24"/>
          <w:szCs w:val="24"/>
          <w:rtl/>
        </w:rPr>
        <w:t>המשפט לגזור את הדין בעבירה של החזקה ונשיאה של נשק עליו להתחשב בנסיבות שבהן באה לידי ביטוי החומרה המיוחדת שבעבירה</w:t>
      </w:r>
      <w:r>
        <w:rPr>
          <w:rFonts w:ascii="David" w:cs="David"/>
          <w:b/>
          <w:bCs/>
          <w:color w:val="000000"/>
          <w:sz w:val="24"/>
          <w:szCs w:val="24"/>
          <w:rtl/>
        </w:rPr>
        <w:t xml:space="preserve">. </w:t>
      </w:r>
      <w:r>
        <w:rPr>
          <w:rFonts w:cs="David"/>
          <w:b/>
          <w:bCs/>
          <w:color w:val="000000"/>
          <w:sz w:val="24"/>
          <w:szCs w:val="24"/>
          <w:rtl/>
        </w:rPr>
        <w:t>בין היתר</w:t>
      </w:r>
      <w:r>
        <w:rPr>
          <w:rFonts w:ascii="David" w:cs="David"/>
          <w:b/>
          <w:bCs/>
          <w:color w:val="000000"/>
          <w:sz w:val="24"/>
          <w:szCs w:val="24"/>
          <w:rtl/>
        </w:rPr>
        <w:t xml:space="preserve">, </w:t>
      </w:r>
      <w:r>
        <w:rPr>
          <w:rFonts w:cs="David"/>
          <w:b/>
          <w:bCs/>
          <w:color w:val="000000"/>
          <w:sz w:val="24"/>
          <w:szCs w:val="24"/>
          <w:rtl/>
        </w:rPr>
        <w:t>ייתן בית</w:t>
      </w:r>
      <w:r>
        <w:rPr>
          <w:rFonts w:ascii="David" w:cs="David"/>
          <w:b/>
          <w:bCs/>
          <w:color w:val="000000"/>
          <w:sz w:val="24"/>
          <w:szCs w:val="24"/>
          <w:rtl/>
        </w:rPr>
        <w:t>-</w:t>
      </w:r>
      <w:r>
        <w:rPr>
          <w:rFonts w:cs="David"/>
          <w:b/>
          <w:bCs/>
          <w:color w:val="000000"/>
          <w:sz w:val="24"/>
          <w:szCs w:val="24"/>
          <w:rtl/>
        </w:rPr>
        <w:t>המשפט דעתו על סוג הנשק המוחזק שלא כדין</w:t>
      </w:r>
      <w:r>
        <w:rPr>
          <w:rFonts w:ascii="David" w:cs="David"/>
          <w:b/>
          <w:bCs/>
          <w:color w:val="000000"/>
          <w:sz w:val="24"/>
          <w:szCs w:val="24"/>
          <w:rtl/>
        </w:rPr>
        <w:t xml:space="preserve">, </w:t>
      </w:r>
      <w:r>
        <w:rPr>
          <w:rFonts w:cs="David"/>
          <w:b/>
          <w:bCs/>
          <w:color w:val="000000"/>
          <w:sz w:val="24"/>
          <w:szCs w:val="24"/>
          <w:rtl/>
        </w:rPr>
        <w:t>על כמותו</w:t>
      </w:r>
      <w:r>
        <w:rPr>
          <w:rFonts w:ascii="David" w:cs="David"/>
          <w:b/>
          <w:bCs/>
          <w:color w:val="000000"/>
          <w:sz w:val="24"/>
          <w:szCs w:val="24"/>
          <w:rtl/>
        </w:rPr>
        <w:t xml:space="preserve">, </w:t>
      </w:r>
      <w:r>
        <w:rPr>
          <w:rFonts w:cs="David"/>
          <w:b/>
          <w:bCs/>
          <w:color w:val="000000"/>
          <w:sz w:val="24"/>
          <w:szCs w:val="24"/>
          <w:rtl/>
        </w:rPr>
        <w:t xml:space="preserve">על התכלית שלשמה הוא מוחזק ועל הסכנה המוחשית שיעשה בו </w:t>
      </w:r>
      <w:r>
        <w:rPr>
          <w:rFonts w:ascii="David" w:cs="David"/>
          <w:b/>
          <w:bCs/>
          <w:color w:val="000000"/>
          <w:sz w:val="24"/>
          <w:szCs w:val="24"/>
          <w:rtl/>
        </w:rPr>
        <w:t xml:space="preserve">... </w:t>
      </w:r>
      <w:r>
        <w:rPr>
          <w:rFonts w:cs="David"/>
          <w:b/>
          <w:bCs/>
          <w:color w:val="000000"/>
          <w:sz w:val="24"/>
          <w:szCs w:val="24"/>
          <w:rtl/>
        </w:rPr>
        <w:t>כאשר מדובר בנשק שעל</w:t>
      </w:r>
      <w:r>
        <w:rPr>
          <w:rFonts w:ascii="David" w:cs="David"/>
          <w:b/>
          <w:bCs/>
          <w:color w:val="000000"/>
          <w:sz w:val="24"/>
          <w:szCs w:val="24"/>
          <w:rtl/>
        </w:rPr>
        <w:t>-</w:t>
      </w:r>
      <w:r>
        <w:rPr>
          <w:rFonts w:cs="David"/>
          <w:b/>
          <w:bCs/>
          <w:color w:val="000000"/>
          <w:sz w:val="24"/>
          <w:szCs w:val="24"/>
          <w:rtl/>
        </w:rPr>
        <w:t>פי טיבו אינו מיועד להגנה עצמית</w:t>
      </w:r>
      <w:r>
        <w:rPr>
          <w:rFonts w:ascii="David" w:cs="David"/>
          <w:b/>
          <w:bCs/>
          <w:color w:val="000000"/>
          <w:sz w:val="24"/>
          <w:szCs w:val="24"/>
          <w:rtl/>
        </w:rPr>
        <w:t xml:space="preserve">, </w:t>
      </w:r>
      <w:r>
        <w:rPr>
          <w:rFonts w:cs="David"/>
          <w:b/>
          <w:bCs/>
          <w:color w:val="000000"/>
          <w:sz w:val="24"/>
          <w:szCs w:val="24"/>
          <w:rtl/>
        </w:rPr>
        <w:t>וכל כולו נשק התקפי רב עוצמה אשר השימוש בו יכול להביא להרג ללא הבחנה</w:t>
      </w:r>
      <w:r>
        <w:rPr>
          <w:rFonts w:ascii="David" w:cs="David"/>
          <w:b/>
          <w:bCs/>
          <w:color w:val="000000"/>
          <w:sz w:val="24"/>
          <w:szCs w:val="24"/>
          <w:rtl/>
        </w:rPr>
        <w:t xml:space="preserve">, </w:t>
      </w:r>
      <w:r>
        <w:rPr>
          <w:rFonts w:cs="David"/>
          <w:b/>
          <w:bCs/>
          <w:color w:val="000000"/>
          <w:sz w:val="24"/>
          <w:szCs w:val="24"/>
          <w:rtl/>
        </w:rPr>
        <w:t>יש בעבירת ההחזקה והנשיאה של אותו נשק חומרה מיוחדת</w:t>
      </w:r>
      <w:r>
        <w:rPr>
          <w:rFonts w:ascii="David" w:cs="David"/>
          <w:b/>
          <w:bCs/>
          <w:color w:val="000000"/>
          <w:sz w:val="24"/>
          <w:szCs w:val="24"/>
          <w:rtl/>
        </w:rPr>
        <w:t>.</w:t>
      </w:r>
      <w:r>
        <w:rPr>
          <w:rFonts w:ascii="Times New Roman" w:hAnsi="Times New Roman" w:cs="David"/>
          <w:b/>
          <w:bCs/>
          <w:color w:val="000000"/>
          <w:sz w:val="24"/>
          <w:szCs w:val="24"/>
          <w:rtl/>
        </w:rPr>
        <w:t>"</w:t>
      </w:r>
      <w:r>
        <w:rPr>
          <w:rFonts w:ascii="Times New Roman" w:hAnsi="Times New Roman" w:cs="David"/>
          <w:color w:val="000000"/>
          <w:sz w:val="24"/>
          <w:szCs w:val="24"/>
          <w:rtl/>
        </w:rPr>
        <w:t xml:space="preserve"> - ראו </w:t>
      </w:r>
      <w:hyperlink r:id="rId34" w:history="1">
        <w:r w:rsidR="00250895" w:rsidRPr="00250895">
          <w:rPr>
            <w:rFonts w:ascii="David" w:hAnsi="Times New Roman" w:cs="David"/>
            <w:color w:val="0000FF"/>
            <w:sz w:val="24"/>
            <w:szCs w:val="24"/>
            <w:u w:val="single"/>
            <w:rtl/>
          </w:rPr>
          <w:t xml:space="preserve">ע"פ 1332/04 </w:t>
        </w:r>
      </w:hyperlink>
      <w:r w:rsidRPr="00D40547">
        <w:rPr>
          <w:rFonts w:ascii="Times New Roman" w:hAnsi="Times New Roman" w:cs="David"/>
          <w:color w:val="000000"/>
          <w:sz w:val="24"/>
          <w:szCs w:val="24"/>
          <w:rtl/>
        </w:rPr>
        <w:t xml:space="preserve"> </w:t>
      </w:r>
      <w:r w:rsidRPr="00D40547">
        <w:rPr>
          <w:rFonts w:ascii="Times New Roman" w:hAnsi="Times New Roman" w:cs="David"/>
          <w:b/>
          <w:bCs/>
          <w:color w:val="000000"/>
          <w:sz w:val="24"/>
          <w:szCs w:val="24"/>
          <w:rtl/>
        </w:rPr>
        <w:t>פס נ</w:t>
      </w:r>
      <w:r w:rsidRPr="00D40547">
        <w:rPr>
          <w:rFonts w:ascii="David" w:hAnsi="Times New Roman" w:cs="David"/>
          <w:b/>
          <w:bCs/>
          <w:color w:val="000000"/>
          <w:sz w:val="24"/>
          <w:szCs w:val="24"/>
          <w:rtl/>
        </w:rPr>
        <w:t xml:space="preserve">' </w:t>
      </w:r>
      <w:r w:rsidRPr="00D40547">
        <w:rPr>
          <w:rFonts w:ascii="Times New Roman" w:hAnsi="Times New Roman" w:cs="David"/>
          <w:b/>
          <w:bCs/>
          <w:color w:val="000000"/>
          <w:sz w:val="24"/>
          <w:szCs w:val="24"/>
          <w:rtl/>
        </w:rPr>
        <w:t>מדינת ישראל</w:t>
      </w:r>
      <w:r w:rsidRPr="00D40547">
        <w:rPr>
          <w:rFonts w:ascii="Times New Roman" w:hAnsi="Times New Roman" w:cs="David"/>
          <w:color w:val="000000"/>
          <w:sz w:val="24"/>
          <w:szCs w:val="24"/>
          <w:rtl/>
        </w:rPr>
        <w:t>, פ</w:t>
      </w:r>
      <w:r w:rsidRPr="00D40547">
        <w:rPr>
          <w:rFonts w:ascii="David" w:hAnsi="Times New Roman" w:cs="David"/>
          <w:color w:val="000000"/>
          <w:sz w:val="24"/>
          <w:szCs w:val="24"/>
          <w:rtl/>
        </w:rPr>
        <w:t>"</w:t>
      </w:r>
      <w:r w:rsidRPr="00D40547">
        <w:rPr>
          <w:rFonts w:ascii="Times New Roman" w:hAnsi="Times New Roman" w:cs="David"/>
          <w:color w:val="000000"/>
          <w:sz w:val="24"/>
          <w:szCs w:val="24"/>
          <w:rtl/>
        </w:rPr>
        <w:t>ד נח</w:t>
      </w:r>
      <w:r>
        <w:rPr>
          <w:rFonts w:ascii="Times New Roman" w:hAnsi="Times New Roman" w:cs="David"/>
          <w:color w:val="000000"/>
          <w:sz w:val="24"/>
          <w:szCs w:val="24"/>
          <w:rtl/>
        </w:rPr>
        <w:t>(5) 541, 544 (2004).</w:t>
      </w:r>
    </w:p>
    <w:p w14:paraId="2C951883" w14:textId="77777777" w:rsidR="00A53FB3" w:rsidRDefault="00A53FB3">
      <w:pPr>
        <w:pStyle w:val="Ruller50"/>
        <w:spacing w:line="360" w:lineRule="auto"/>
        <w:ind w:left="567" w:right="0"/>
        <w:rPr>
          <w:rFonts w:ascii="Times New Roman" w:hAnsi="Times New Roman" w:cs="David"/>
          <w:color w:val="000000"/>
          <w:sz w:val="24"/>
          <w:szCs w:val="24"/>
          <w:rtl/>
        </w:rPr>
      </w:pPr>
    </w:p>
    <w:p w14:paraId="6EDA2437" w14:textId="77777777" w:rsidR="00A53FB3" w:rsidRDefault="00D40547">
      <w:pPr>
        <w:spacing w:line="360" w:lineRule="auto"/>
        <w:ind w:left="567" w:hanging="567"/>
        <w:jc w:val="both"/>
        <w:rPr>
          <w:color w:val="000000"/>
        </w:rPr>
      </w:pPr>
      <w:r>
        <w:rPr>
          <w:b/>
          <w:bCs/>
          <w:color w:val="000000"/>
          <w:rtl/>
        </w:rPr>
        <w:t>37</w:t>
      </w:r>
      <w:r>
        <w:rPr>
          <w:color w:val="000000"/>
          <w:rtl/>
        </w:rPr>
        <w:t>.</w:t>
      </w:r>
      <w:r>
        <w:rPr>
          <w:color w:val="000000"/>
          <w:rtl/>
        </w:rPr>
        <w:tab/>
        <w:t xml:space="preserve">בענייננו, לא מיוחסות לנאשם עבירות סחר בנשק, או הובלה ונשיאת נשק אלא רק החזקת נשק לפי </w:t>
      </w:r>
      <w:hyperlink r:id="rId35" w:history="1">
        <w:r w:rsidR="00B30514" w:rsidRPr="00B30514">
          <w:rPr>
            <w:rStyle w:val="Hyperlink"/>
            <w:rFonts w:cs="David"/>
            <w:rtl/>
          </w:rPr>
          <w:t>סעיף 144(א)</w:t>
        </w:r>
      </w:hyperlink>
      <w:r>
        <w:rPr>
          <w:color w:val="000000"/>
          <w:rtl/>
        </w:rPr>
        <w:t xml:space="preserve"> ל</w:t>
      </w:r>
      <w:hyperlink r:id="rId36" w:history="1">
        <w:r w:rsidRPr="00D40547">
          <w:rPr>
            <w:color w:val="0000FF"/>
            <w:u w:val="single"/>
            <w:rtl/>
          </w:rPr>
          <w:t>חוק העונשין</w:t>
        </w:r>
      </w:hyperlink>
      <w:r>
        <w:rPr>
          <w:color w:val="000000"/>
          <w:rtl/>
        </w:rPr>
        <w:t>, שהינה עבירה הנמצאת במדרג הנמוך של עבירות הנשק. מה גם</w:t>
      </w:r>
      <w:r>
        <w:rPr>
          <w:rFonts w:hint="cs"/>
          <w:color w:val="000000"/>
          <w:rtl/>
        </w:rPr>
        <w:t xml:space="preserve">, </w:t>
      </w:r>
      <w:r>
        <w:rPr>
          <w:color w:val="000000"/>
          <w:rtl/>
        </w:rPr>
        <w:t xml:space="preserve">המדובר בנאשם יליד 1996, שזו לו מעורבותו הראשונה בפלילים, הודה בעבירה והביע חרטה. </w:t>
      </w:r>
    </w:p>
    <w:p w14:paraId="41AC4EE3" w14:textId="77777777" w:rsidR="00A53FB3" w:rsidRDefault="00A53FB3">
      <w:pPr>
        <w:spacing w:line="360" w:lineRule="auto"/>
        <w:ind w:left="720" w:hanging="694"/>
        <w:jc w:val="both"/>
        <w:rPr>
          <w:color w:val="000000"/>
          <w:rtl/>
        </w:rPr>
      </w:pPr>
    </w:p>
    <w:p w14:paraId="0A5B2C84" w14:textId="77777777" w:rsidR="00A53FB3" w:rsidRDefault="00D40547">
      <w:pPr>
        <w:spacing w:line="360" w:lineRule="auto"/>
        <w:ind w:left="720" w:hanging="694"/>
        <w:jc w:val="both"/>
        <w:rPr>
          <w:color w:val="000000"/>
          <w:rtl/>
        </w:rPr>
      </w:pPr>
      <w:r>
        <w:rPr>
          <w:rFonts w:hint="cs"/>
          <w:b/>
          <w:bCs/>
          <w:color w:val="000000"/>
          <w:u w:val="single"/>
          <w:rtl/>
        </w:rPr>
        <w:t>עיקרון אחידות הענישה</w:t>
      </w:r>
      <w:r>
        <w:rPr>
          <w:rFonts w:hint="cs"/>
          <w:color w:val="000000"/>
          <w:rtl/>
        </w:rPr>
        <w:t>:</w:t>
      </w:r>
    </w:p>
    <w:p w14:paraId="66C77375" w14:textId="77777777" w:rsidR="00A53FB3" w:rsidRDefault="00A53FB3">
      <w:pPr>
        <w:spacing w:line="360" w:lineRule="auto"/>
        <w:ind w:left="720" w:hanging="694"/>
        <w:jc w:val="both"/>
        <w:rPr>
          <w:color w:val="000000"/>
          <w:rtl/>
        </w:rPr>
      </w:pPr>
    </w:p>
    <w:p w14:paraId="0CA52F7E" w14:textId="77777777" w:rsidR="00A53FB3" w:rsidRDefault="00D40547">
      <w:pPr>
        <w:spacing w:line="360" w:lineRule="auto"/>
        <w:ind w:firstLine="26"/>
        <w:jc w:val="both"/>
        <w:rPr>
          <w:color w:val="000000"/>
          <w:rtl/>
        </w:rPr>
      </w:pPr>
      <w:r>
        <w:rPr>
          <w:b/>
          <w:bCs/>
          <w:color w:val="000000"/>
          <w:rtl/>
        </w:rPr>
        <w:t>38</w:t>
      </w:r>
      <w:r>
        <w:rPr>
          <w:color w:val="000000"/>
          <w:rtl/>
        </w:rPr>
        <w:t>.</w:t>
      </w:r>
      <w:r>
        <w:rPr>
          <w:color w:val="000000"/>
          <w:rtl/>
        </w:rPr>
        <w:tab/>
        <w:t>באשר לתחולת עקרון אחידות הענישה במקרה דנן, אכן בהלכה הפסוקה נקבע, כי:</w:t>
      </w:r>
    </w:p>
    <w:p w14:paraId="381B9C09" w14:textId="77777777" w:rsidR="00A53FB3" w:rsidRDefault="00A53FB3">
      <w:pPr>
        <w:spacing w:line="360" w:lineRule="auto"/>
        <w:ind w:firstLine="567"/>
        <w:jc w:val="both"/>
        <w:rPr>
          <w:color w:val="000000"/>
          <w:rtl/>
        </w:rPr>
      </w:pPr>
    </w:p>
    <w:p w14:paraId="163DE601" w14:textId="77777777" w:rsidR="00A53FB3" w:rsidRDefault="00D40547">
      <w:pPr>
        <w:spacing w:line="360" w:lineRule="auto"/>
        <w:ind w:left="720"/>
        <w:jc w:val="both"/>
        <w:rPr>
          <w:color w:val="000000"/>
          <w:rtl/>
        </w:rPr>
      </w:pPr>
      <w:r>
        <w:rPr>
          <w:b/>
          <w:bCs/>
          <w:color w:val="000000"/>
          <w:rtl/>
        </w:rPr>
        <w:t xml:space="preserve">"עקרון אחידות הענישה הוא עקרון יסוד במשפט הפלילי אשר נועד להבטיח שוויון בפני החוק ולמנוע שרירות בענישה. עקרון זה מורה כי יש להחיל שיקולי ענישה דומים על מי שביצעו עבירות דומות במהותן, בנסיבות דומות ובעלי נסיבות אישיות דומות. עקרון זה מקבל משנה חשיבות כאשר מדובר בנאשמים שונים המורשעים בגדרה של אותה פרשה. במצב דברים זה מצדד עקרון אחידות הענישה בהטלת עונשים דומים על מי שביצעו מעשים דומים וכן בשמירה על יחס של שקילות בין מבצעיהם של מעשים הנבדלים זה מזה במניינם, חומרתם או בנסיבותיו האישיות של המבצע. יחד עם זאת, מובן כי ענישה אינה יכולה להידמות לפעולת חישוב אריתמטית, ועקרון אחידות הענישה אינו יכול להוביל להעתקה מכאנית ומאולצת של עונשים או של שיקולי ענישה מנאשם אחד למשנהו. כמו כן, עקרון אחידות הענישה הינו שיקול אחד בלבד במכלול השיקולים הרלוונטיים לענישה ואין מדובר בעקרון-על שאין אחריו ולא כלום". </w:t>
      </w:r>
      <w:r>
        <w:rPr>
          <w:color w:val="000000"/>
          <w:rtl/>
        </w:rPr>
        <w:t>(ראו ב</w:t>
      </w:r>
      <w:hyperlink r:id="rId37" w:history="1">
        <w:r w:rsidRPr="00D40547">
          <w:rPr>
            <w:color w:val="0000FF"/>
            <w:u w:val="single"/>
            <w:rtl/>
          </w:rPr>
          <w:t>ע"פ 2580/14</w:t>
        </w:r>
      </w:hyperlink>
      <w:r>
        <w:rPr>
          <w:color w:val="000000"/>
          <w:rtl/>
        </w:rPr>
        <w:t xml:space="preserve"> </w:t>
      </w:r>
      <w:r>
        <w:rPr>
          <w:b/>
          <w:bCs/>
          <w:color w:val="000000"/>
          <w:rtl/>
        </w:rPr>
        <w:t>חסן נ' מדינת ישראל</w:t>
      </w:r>
      <w:r>
        <w:rPr>
          <w:color w:val="000000"/>
          <w:rtl/>
        </w:rPr>
        <w:t xml:space="preserve"> (ניתן ביום 23.09.14).</w:t>
      </w:r>
    </w:p>
    <w:p w14:paraId="5FAD7AF2" w14:textId="77777777" w:rsidR="00A53FB3" w:rsidRDefault="00A53FB3">
      <w:pPr>
        <w:ind w:left="567"/>
        <w:jc w:val="both"/>
        <w:rPr>
          <w:color w:val="000000"/>
          <w:rtl/>
        </w:rPr>
      </w:pPr>
    </w:p>
    <w:p w14:paraId="1D5273CD" w14:textId="77777777" w:rsidR="00A53FB3" w:rsidRDefault="00D40547">
      <w:pPr>
        <w:spacing w:line="360" w:lineRule="auto"/>
        <w:ind w:left="567" w:firstLine="153"/>
        <w:jc w:val="both"/>
        <w:rPr>
          <w:b/>
          <w:bCs/>
          <w:color w:val="000000"/>
          <w:rtl/>
        </w:rPr>
      </w:pPr>
      <w:r>
        <w:rPr>
          <w:color w:val="000000"/>
          <w:rtl/>
        </w:rPr>
        <w:t xml:space="preserve">ראו גם </w:t>
      </w:r>
      <w:r>
        <w:rPr>
          <w:b/>
          <w:bCs/>
          <w:color w:val="000000"/>
          <w:rtl/>
        </w:rPr>
        <w:t xml:space="preserve"> </w:t>
      </w:r>
      <w:hyperlink r:id="rId38" w:history="1">
        <w:r w:rsidRPr="00D40547">
          <w:rPr>
            <w:color w:val="0000FF"/>
            <w:u w:val="single"/>
            <w:rtl/>
          </w:rPr>
          <w:t>ע"פ 9792/06</w:t>
        </w:r>
      </w:hyperlink>
      <w:r>
        <w:rPr>
          <w:color w:val="000000"/>
          <w:rtl/>
        </w:rPr>
        <w:t xml:space="preserve"> </w:t>
      </w:r>
      <w:r>
        <w:rPr>
          <w:b/>
          <w:bCs/>
          <w:color w:val="000000"/>
          <w:rtl/>
        </w:rPr>
        <w:t>חמוד</w:t>
      </w:r>
      <w:r>
        <w:rPr>
          <w:color w:val="000000"/>
          <w:rtl/>
        </w:rPr>
        <w:t xml:space="preserve"> נ. </w:t>
      </w:r>
      <w:r>
        <w:rPr>
          <w:b/>
          <w:bCs/>
          <w:color w:val="000000"/>
          <w:rtl/>
        </w:rPr>
        <w:t xml:space="preserve">מדינת ישראל, </w:t>
      </w:r>
      <w:r>
        <w:rPr>
          <w:color w:val="000000"/>
          <w:rtl/>
        </w:rPr>
        <w:t>(ניתן ביום 1.4.07).</w:t>
      </w:r>
    </w:p>
    <w:p w14:paraId="7F3149CC" w14:textId="77777777" w:rsidR="00A53FB3" w:rsidRDefault="00A53FB3">
      <w:pPr>
        <w:spacing w:line="360" w:lineRule="auto"/>
        <w:ind w:left="567"/>
        <w:jc w:val="both"/>
        <w:rPr>
          <w:b/>
          <w:bCs/>
          <w:color w:val="000000"/>
        </w:rPr>
      </w:pPr>
    </w:p>
    <w:p w14:paraId="20E91E82" w14:textId="77777777" w:rsidR="00A53FB3" w:rsidRDefault="00D40547">
      <w:pPr>
        <w:spacing w:line="360" w:lineRule="auto"/>
        <w:ind w:left="567" w:hanging="567"/>
        <w:jc w:val="both"/>
        <w:textAlignment w:val="top"/>
        <w:rPr>
          <w:rFonts w:ascii="Arial" w:hAnsi="Arial"/>
          <w:color w:val="000000"/>
          <w:rtl/>
        </w:rPr>
      </w:pPr>
      <w:r>
        <w:rPr>
          <w:rFonts w:ascii="Arial" w:hAnsi="Arial"/>
          <w:b/>
          <w:bCs/>
          <w:color w:val="000000"/>
          <w:rtl/>
        </w:rPr>
        <w:t>39</w:t>
      </w:r>
      <w:r>
        <w:rPr>
          <w:rFonts w:ascii="Arial" w:hAnsi="Arial"/>
          <w:color w:val="000000"/>
          <w:rtl/>
        </w:rPr>
        <w:t>.</w:t>
      </w:r>
      <w:r>
        <w:rPr>
          <w:rFonts w:ascii="Arial" w:hAnsi="Arial"/>
          <w:color w:val="000000"/>
          <w:rtl/>
        </w:rPr>
        <w:tab/>
        <w:t>אעיר כי תכליתו של תיקון 113 ל</w:t>
      </w:r>
      <w:hyperlink r:id="rId39" w:history="1">
        <w:r w:rsidRPr="00D40547">
          <w:rPr>
            <w:rFonts w:ascii="Arial" w:hAnsi="Arial"/>
            <w:color w:val="0000FF"/>
            <w:u w:val="single"/>
            <w:rtl/>
          </w:rPr>
          <w:t>חוק העונשין</w:t>
        </w:r>
      </w:hyperlink>
      <w:r>
        <w:rPr>
          <w:rFonts w:ascii="Arial" w:hAnsi="Arial"/>
          <w:color w:val="000000"/>
          <w:rtl/>
        </w:rPr>
        <w:t xml:space="preserve"> באה למנוע ענישה שונה במקרים דומים.</w:t>
      </w:r>
    </w:p>
    <w:p w14:paraId="2A441D65" w14:textId="77777777" w:rsidR="00A53FB3" w:rsidRDefault="00A53FB3">
      <w:pPr>
        <w:spacing w:line="360" w:lineRule="auto"/>
        <w:ind w:left="567" w:hanging="567"/>
        <w:jc w:val="both"/>
        <w:textAlignment w:val="top"/>
        <w:rPr>
          <w:rFonts w:ascii="Arial" w:hAnsi="Arial"/>
          <w:color w:val="000000"/>
          <w:rtl/>
        </w:rPr>
      </w:pPr>
    </w:p>
    <w:p w14:paraId="12288010" w14:textId="77777777" w:rsidR="00A53FB3" w:rsidRDefault="00D40547">
      <w:pPr>
        <w:spacing w:line="360" w:lineRule="auto"/>
        <w:ind w:left="567"/>
        <w:jc w:val="both"/>
        <w:textAlignment w:val="top"/>
        <w:rPr>
          <w:rFonts w:ascii="Arial" w:hAnsi="Arial"/>
          <w:color w:val="000000"/>
          <w:rtl/>
        </w:rPr>
      </w:pPr>
      <w:r>
        <w:rPr>
          <w:rFonts w:ascii="Arial" w:hAnsi="Arial"/>
          <w:color w:val="000000"/>
          <w:rtl/>
        </w:rPr>
        <w:t xml:space="preserve">על כן, היא כוללת בחובה הן עקרון ההלימה ביחד ולפעמים בכפוף לעקרון אחידות הענישה והשוויון בין נאשמים שביצעו אותן עבירות ובנסיבות דומות. </w:t>
      </w:r>
    </w:p>
    <w:p w14:paraId="36C5AD85" w14:textId="77777777" w:rsidR="00A53FB3" w:rsidRDefault="00A53FB3">
      <w:pPr>
        <w:spacing w:line="360" w:lineRule="auto"/>
        <w:ind w:left="567" w:hanging="567"/>
        <w:jc w:val="both"/>
        <w:textAlignment w:val="top"/>
        <w:rPr>
          <w:rFonts w:ascii="Arial" w:hAnsi="Arial"/>
          <w:color w:val="000000"/>
          <w:rtl/>
        </w:rPr>
      </w:pPr>
    </w:p>
    <w:p w14:paraId="589E9AA3" w14:textId="77777777" w:rsidR="00A53FB3" w:rsidRDefault="00D40547">
      <w:pPr>
        <w:spacing w:line="360" w:lineRule="auto"/>
        <w:ind w:left="567" w:hanging="567"/>
        <w:jc w:val="both"/>
        <w:textAlignment w:val="top"/>
        <w:rPr>
          <w:rtl/>
        </w:rPr>
      </w:pPr>
      <w:r>
        <w:rPr>
          <w:rFonts w:ascii="Arial" w:hAnsi="Arial"/>
          <w:b/>
          <w:bCs/>
          <w:color w:val="000000"/>
          <w:rtl/>
        </w:rPr>
        <w:t>40</w:t>
      </w:r>
      <w:r>
        <w:rPr>
          <w:rFonts w:ascii="Arial" w:hAnsi="Arial"/>
          <w:color w:val="000000"/>
          <w:rtl/>
        </w:rPr>
        <w:t>.</w:t>
      </w:r>
      <w:r>
        <w:rPr>
          <w:rFonts w:ascii="Arial" w:hAnsi="Arial"/>
          <w:color w:val="000000"/>
          <w:rtl/>
        </w:rPr>
        <w:tab/>
      </w:r>
      <w:r>
        <w:rPr>
          <w:color w:val="000000"/>
          <w:rtl/>
        </w:rPr>
        <w:t xml:space="preserve">במקרה דנן, </w:t>
      </w:r>
      <w:r>
        <w:rPr>
          <w:rtl/>
        </w:rPr>
        <w:t xml:space="preserve">אומנם הנאשם והשותף היו מעורבים באותה פרשה, יחד עם זאת, ישנם קווי שוני מסוימים, בנסיבות הקשורות לכל אחד מהם, המצדיקים ליצור שוני מסוים ואף פערים בענישה. כך שעניינו של הנאשם שונה באורח מהותי מזה של השותף עאמר.  </w:t>
      </w:r>
    </w:p>
    <w:p w14:paraId="579F3874" w14:textId="77777777" w:rsidR="00A53FB3" w:rsidRDefault="00A53FB3">
      <w:pPr>
        <w:spacing w:line="360" w:lineRule="auto"/>
        <w:ind w:left="567" w:hanging="567"/>
        <w:jc w:val="both"/>
        <w:textAlignment w:val="top"/>
        <w:rPr>
          <w:rtl/>
        </w:rPr>
      </w:pPr>
    </w:p>
    <w:p w14:paraId="1245A0CC" w14:textId="77777777" w:rsidR="00A53FB3" w:rsidRDefault="00D40547">
      <w:pPr>
        <w:spacing w:line="360" w:lineRule="auto"/>
        <w:ind w:left="567"/>
        <w:jc w:val="both"/>
        <w:textAlignment w:val="top"/>
        <w:rPr>
          <w:rFonts w:ascii="Arial" w:hAnsi="Arial"/>
          <w:color w:val="000000"/>
          <w:rtl/>
        </w:rPr>
      </w:pPr>
      <w:r>
        <w:rPr>
          <w:rtl/>
        </w:rPr>
        <w:t xml:space="preserve">אכן הנאשם הורשע באותה עבירה  </w:t>
      </w:r>
      <w:r>
        <w:rPr>
          <w:color w:val="000000"/>
          <w:rtl/>
        </w:rPr>
        <w:t>של החזקת נשק, אך מי שסיפק לו את הנשק זה עאמר. מה גם</w:t>
      </w:r>
      <w:r>
        <w:rPr>
          <w:rFonts w:hint="cs"/>
          <w:color w:val="000000"/>
          <w:rtl/>
        </w:rPr>
        <w:t>,</w:t>
      </w:r>
      <w:r>
        <w:rPr>
          <w:color w:val="000000"/>
          <w:rtl/>
        </w:rPr>
        <w:t xml:space="preserve"> הנשק אבד ולא נעשה בו כל שימוש. </w:t>
      </w:r>
    </w:p>
    <w:p w14:paraId="14365FBE" w14:textId="77777777" w:rsidR="00A53FB3" w:rsidRDefault="00A53FB3">
      <w:pPr>
        <w:spacing w:line="360" w:lineRule="auto"/>
        <w:ind w:left="360"/>
        <w:jc w:val="both"/>
        <w:rPr>
          <w:color w:val="000000"/>
          <w:rtl/>
        </w:rPr>
      </w:pPr>
    </w:p>
    <w:p w14:paraId="0503C741" w14:textId="77777777" w:rsidR="00A53FB3" w:rsidRDefault="00D40547">
      <w:pPr>
        <w:pStyle w:val="ruller41"/>
        <w:ind w:left="567" w:hanging="567"/>
        <w:rPr>
          <w:rFonts w:cs="David"/>
          <w:color w:val="000000"/>
          <w:rtl/>
        </w:rPr>
      </w:pPr>
      <w:r>
        <w:rPr>
          <w:rFonts w:ascii="Times New Roman" w:hAnsi="Times New Roman" w:cs="David"/>
          <w:b/>
          <w:bCs/>
          <w:color w:val="000000"/>
          <w:spacing w:val="0"/>
          <w:sz w:val="24"/>
          <w:szCs w:val="24"/>
          <w:rtl/>
          <w:lang w:eastAsia="en-US"/>
        </w:rPr>
        <w:t>41</w:t>
      </w:r>
      <w:r>
        <w:rPr>
          <w:rFonts w:ascii="Times New Roman" w:hAnsi="Times New Roman" w:cs="David"/>
          <w:color w:val="000000"/>
          <w:spacing w:val="0"/>
          <w:sz w:val="24"/>
          <w:szCs w:val="24"/>
          <w:rtl/>
          <w:lang w:eastAsia="en-US"/>
        </w:rPr>
        <w:t>.</w:t>
      </w:r>
      <w:r>
        <w:rPr>
          <w:rFonts w:ascii="Times New Roman" w:hAnsi="Times New Roman" w:cs="David"/>
          <w:color w:val="000000"/>
          <w:spacing w:val="0"/>
          <w:sz w:val="24"/>
          <w:szCs w:val="24"/>
          <w:rtl/>
          <w:lang w:eastAsia="en-US"/>
        </w:rPr>
        <w:tab/>
      </w:r>
      <w:r>
        <w:rPr>
          <w:rFonts w:cs="David"/>
          <w:sz w:val="24"/>
          <w:szCs w:val="24"/>
          <w:rtl/>
        </w:rPr>
        <w:t xml:space="preserve">אכן מתבקש שוני והבדל בענישה בין הנאשם שלפנינו לבין השותף עאמר וזאת נוכח העובדה כי לשותף </w:t>
      </w:r>
      <w:r>
        <w:rPr>
          <w:rFonts w:cs="David" w:hint="cs"/>
          <w:sz w:val="24"/>
          <w:szCs w:val="24"/>
          <w:rtl/>
        </w:rPr>
        <w:t xml:space="preserve">עאמר יש </w:t>
      </w:r>
      <w:r>
        <w:rPr>
          <w:rFonts w:cs="David"/>
          <w:sz w:val="24"/>
          <w:szCs w:val="24"/>
          <w:rtl/>
        </w:rPr>
        <w:t>עבר פלילי</w:t>
      </w:r>
      <w:r>
        <w:rPr>
          <w:rFonts w:cs="David" w:hint="cs"/>
          <w:sz w:val="24"/>
          <w:szCs w:val="24"/>
          <w:rtl/>
        </w:rPr>
        <w:t xml:space="preserve"> לא קל</w:t>
      </w:r>
      <w:r>
        <w:rPr>
          <w:rFonts w:cs="David"/>
          <w:sz w:val="24"/>
          <w:szCs w:val="24"/>
          <w:rtl/>
        </w:rPr>
        <w:t>, והסדר טיעון מוסכם גם לעניין העונש בעוד לנאשם שלפנינו אין עבר פלילי וקיימת המלצה חיובית משירות המבחן.</w:t>
      </w:r>
    </w:p>
    <w:p w14:paraId="7CFFCA2C" w14:textId="77777777" w:rsidR="00A53FB3" w:rsidRDefault="00A53FB3">
      <w:pPr>
        <w:pStyle w:val="ruller41"/>
        <w:ind w:left="567" w:hanging="567"/>
        <w:rPr>
          <w:rFonts w:cs="David"/>
          <w:color w:val="000000"/>
          <w:rtl/>
        </w:rPr>
      </w:pPr>
    </w:p>
    <w:p w14:paraId="7BFBF7B6" w14:textId="77777777" w:rsidR="00A53FB3" w:rsidRDefault="00D40547">
      <w:pPr>
        <w:pStyle w:val="ruller41"/>
        <w:ind w:left="567"/>
        <w:rPr>
          <w:rFonts w:cs="David"/>
          <w:rtl/>
        </w:rPr>
      </w:pPr>
      <w:r>
        <w:rPr>
          <w:rFonts w:cs="David"/>
          <w:color w:val="000000"/>
          <w:sz w:val="24"/>
          <w:szCs w:val="24"/>
          <w:rtl/>
        </w:rPr>
        <w:t>המדובר בנאשם שניהל חיים נורמטיביים, אין לו דפוסים עברייניים מושרשים והביע נכונות להשתלב בהליך טיפולי לחזור לדרך המלך.</w:t>
      </w:r>
    </w:p>
    <w:p w14:paraId="0C5AF988" w14:textId="77777777" w:rsidR="00A53FB3" w:rsidRDefault="00A53FB3">
      <w:pPr>
        <w:pStyle w:val="ruller41"/>
        <w:ind w:left="567" w:hanging="567"/>
        <w:rPr>
          <w:rFonts w:cs="David"/>
          <w:sz w:val="24"/>
          <w:szCs w:val="24"/>
          <w:rtl/>
        </w:rPr>
      </w:pPr>
    </w:p>
    <w:p w14:paraId="192385FD" w14:textId="77777777" w:rsidR="00A53FB3" w:rsidRDefault="00D40547">
      <w:pPr>
        <w:pStyle w:val="ruller41"/>
        <w:ind w:left="567"/>
        <w:rPr>
          <w:rFonts w:cs="David"/>
          <w:sz w:val="24"/>
          <w:szCs w:val="24"/>
          <w:rtl/>
        </w:rPr>
      </w:pPr>
      <w:r>
        <w:rPr>
          <w:rFonts w:cs="David"/>
          <w:sz w:val="24"/>
          <w:szCs w:val="24"/>
          <w:rtl/>
        </w:rPr>
        <w:t xml:space="preserve">כל אלה, לרבות נסיבותיו האישיות של הנאשם והעדפת הפן השיקומי בעניינו מצדיקים הקלה בעונשו.  </w:t>
      </w:r>
    </w:p>
    <w:p w14:paraId="02D7FB81" w14:textId="77777777" w:rsidR="00A53FB3" w:rsidRDefault="00A53FB3">
      <w:pPr>
        <w:rPr>
          <w:color w:val="000000"/>
        </w:rPr>
      </w:pPr>
    </w:p>
    <w:p w14:paraId="32D82701" w14:textId="77777777" w:rsidR="00A53FB3" w:rsidRDefault="00D40547">
      <w:pPr>
        <w:spacing w:line="360" w:lineRule="auto"/>
        <w:ind w:left="567" w:hanging="567"/>
        <w:jc w:val="both"/>
        <w:rPr>
          <w:color w:val="000000"/>
          <w:rtl/>
        </w:rPr>
      </w:pPr>
      <w:r>
        <w:rPr>
          <w:b/>
          <w:bCs/>
          <w:color w:val="000000"/>
          <w:rtl/>
        </w:rPr>
        <w:t>42</w:t>
      </w:r>
      <w:r>
        <w:rPr>
          <w:color w:val="000000"/>
          <w:rtl/>
        </w:rPr>
        <w:t>.</w:t>
      </w:r>
      <w:r>
        <w:rPr>
          <w:color w:val="000000"/>
          <w:rtl/>
        </w:rPr>
        <w:tab/>
        <w:t xml:space="preserve">שיקולי השיקום מקבלים משנה תוקף כאשר גילו של הנאשם שלפנינו קרוב לגיל הקטינות – ראו לעניין זה </w:t>
      </w:r>
      <w:hyperlink r:id="rId40" w:history="1">
        <w:r w:rsidRPr="00D40547">
          <w:rPr>
            <w:color w:val="0000FF"/>
            <w:u w:val="single"/>
            <w:rtl/>
          </w:rPr>
          <w:t>ע"פ 7781/12</w:t>
        </w:r>
      </w:hyperlink>
      <w:r>
        <w:rPr>
          <w:rFonts w:hint="cs"/>
          <w:color w:val="000000"/>
          <w:rtl/>
        </w:rPr>
        <w:t xml:space="preserve">, </w:t>
      </w:r>
      <w:r>
        <w:rPr>
          <w:b/>
          <w:bCs/>
          <w:color w:val="000000"/>
          <w:rtl/>
        </w:rPr>
        <w:t>פלוני נגד מדינת ישראל</w:t>
      </w:r>
      <w:r>
        <w:rPr>
          <w:color w:val="000000"/>
          <w:rtl/>
        </w:rPr>
        <w:t xml:space="preserve"> (ניתן ביום 25.6.13), שם התייחס כבוד השופט ג'ובראן לשיקולים ה</w:t>
      </w:r>
      <w:r>
        <w:rPr>
          <w:rFonts w:hint="cs"/>
          <w:color w:val="000000"/>
          <w:rtl/>
        </w:rPr>
        <w:t>מ</w:t>
      </w:r>
      <w:r>
        <w:rPr>
          <w:color w:val="000000"/>
          <w:rtl/>
        </w:rPr>
        <w:t>ייחדים את קבוצת ה"בגירים הצעירים" בקבעו כי:</w:t>
      </w:r>
    </w:p>
    <w:p w14:paraId="295D3279" w14:textId="77777777" w:rsidR="00A53FB3" w:rsidRDefault="00A53FB3">
      <w:pPr>
        <w:tabs>
          <w:tab w:val="left" w:pos="800"/>
        </w:tabs>
        <w:overflowPunct w:val="0"/>
        <w:autoSpaceDE w:val="0"/>
        <w:autoSpaceDN w:val="0"/>
        <w:adjustRightInd w:val="0"/>
        <w:spacing w:line="360" w:lineRule="auto"/>
        <w:jc w:val="both"/>
        <w:rPr>
          <w:color w:val="000000"/>
          <w:rtl/>
        </w:rPr>
      </w:pPr>
    </w:p>
    <w:p w14:paraId="77662605" w14:textId="77777777" w:rsidR="00A53FB3" w:rsidRDefault="00D40547">
      <w:pPr>
        <w:tabs>
          <w:tab w:val="left" w:pos="800"/>
        </w:tabs>
        <w:overflowPunct w:val="0"/>
        <w:autoSpaceDE w:val="0"/>
        <w:autoSpaceDN w:val="0"/>
        <w:adjustRightInd w:val="0"/>
        <w:spacing w:line="360" w:lineRule="auto"/>
        <w:ind w:left="567"/>
        <w:jc w:val="both"/>
        <w:rPr>
          <w:rFonts w:ascii="Arial TUR" w:hAnsi="Arial TUR"/>
          <w:b/>
          <w:bCs/>
          <w:spacing w:val="10"/>
          <w:rtl/>
        </w:rPr>
      </w:pPr>
      <w:r>
        <w:rPr>
          <w:b/>
          <w:bCs/>
          <w:color w:val="000000"/>
          <w:rtl/>
        </w:rPr>
        <w:t>"</w:t>
      </w:r>
      <w:r>
        <w:rPr>
          <w:rFonts w:ascii="Arial TUR" w:hAnsi="Arial TUR"/>
          <w:b/>
          <w:bCs/>
          <w:spacing w:val="10"/>
          <w:rtl/>
        </w:rPr>
        <w:t>יש מקום להתחשב במסגרת שיקולי הענישה בייחודיותה של קבוצת ה"בגירים צעירים". חשוב להבהיר כי אין בקביעתנו זו כדי לקבוע כי בגזירת עונשם של קבוצה זו, יש לשקול שיקולים זהים לאלו של קטינים. יחד עם זאת, על בית המשפט בקובעו את עונשו של "בגיר צעיר" לייחס לגילו משקל משמעותי. במסגרת זאת, עליו לשקול בין היתר את קרבתו לגיל 18, ההשפעה האפשרית של מאסר בפועל על שיקומו ומצבו הנפשי, ובגרותו..."</w:t>
      </w:r>
    </w:p>
    <w:p w14:paraId="24CD7465" w14:textId="77777777" w:rsidR="00A53FB3" w:rsidRDefault="00A53FB3">
      <w:pPr>
        <w:tabs>
          <w:tab w:val="left" w:pos="800"/>
        </w:tabs>
        <w:overflowPunct w:val="0"/>
        <w:autoSpaceDE w:val="0"/>
        <w:autoSpaceDN w:val="0"/>
        <w:adjustRightInd w:val="0"/>
        <w:spacing w:line="360" w:lineRule="auto"/>
        <w:ind w:left="720"/>
        <w:jc w:val="both"/>
        <w:rPr>
          <w:rFonts w:ascii="Arial TUR" w:hAnsi="Arial TUR"/>
          <w:b/>
          <w:bCs/>
          <w:spacing w:val="10"/>
          <w:rtl/>
        </w:rPr>
      </w:pPr>
    </w:p>
    <w:p w14:paraId="78F713CA" w14:textId="77777777" w:rsidR="00A53FB3" w:rsidRDefault="00D40547">
      <w:pPr>
        <w:tabs>
          <w:tab w:val="left" w:pos="800"/>
        </w:tabs>
        <w:overflowPunct w:val="0"/>
        <w:autoSpaceDE w:val="0"/>
        <w:autoSpaceDN w:val="0"/>
        <w:adjustRightInd w:val="0"/>
        <w:spacing w:line="360" w:lineRule="auto"/>
        <w:ind w:left="720" w:hanging="720"/>
        <w:jc w:val="both"/>
        <w:rPr>
          <w:rFonts w:ascii="Arial TUR" w:hAnsi="Arial TUR"/>
          <w:spacing w:val="10"/>
          <w:rtl/>
        </w:rPr>
      </w:pPr>
      <w:r>
        <w:rPr>
          <w:rFonts w:ascii="Arial TUR" w:hAnsi="Arial TUR"/>
          <w:b/>
          <w:bCs/>
          <w:spacing w:val="10"/>
          <w:rtl/>
        </w:rPr>
        <w:t>43</w:t>
      </w:r>
      <w:r>
        <w:rPr>
          <w:rFonts w:ascii="Arial TUR" w:hAnsi="Arial TUR"/>
          <w:spacing w:val="10"/>
          <w:rtl/>
        </w:rPr>
        <w:t>.</w:t>
      </w:r>
      <w:r>
        <w:rPr>
          <w:rFonts w:ascii="Arial TUR" w:hAnsi="Arial TUR"/>
          <w:spacing w:val="10"/>
          <w:rtl/>
        </w:rPr>
        <w:tab/>
        <w:t>בענייננו, הנאשם היה כבן 18 בעת ביצוע העבירה, ולכן יש לתת משקל להיותו של הנאשם "בגיר צעיר", שיש לו פוטנציאל שיקומי כפי שזה בא לידי ביטוי בתסקיר שירות המבחן ומאסרו בכלא יסב לו נזק רב.</w:t>
      </w:r>
    </w:p>
    <w:p w14:paraId="39BF2910" w14:textId="77777777" w:rsidR="00A53FB3" w:rsidRDefault="00A53FB3">
      <w:pPr>
        <w:spacing w:line="360" w:lineRule="auto"/>
        <w:jc w:val="both"/>
        <w:rPr>
          <w:color w:val="000000"/>
          <w:rtl/>
        </w:rPr>
      </w:pPr>
    </w:p>
    <w:p w14:paraId="75972E3D" w14:textId="77777777" w:rsidR="00A53FB3" w:rsidRDefault="00D40547">
      <w:pPr>
        <w:spacing w:line="360" w:lineRule="auto"/>
        <w:jc w:val="both"/>
        <w:rPr>
          <w:color w:val="000000"/>
          <w:rtl/>
        </w:rPr>
      </w:pPr>
      <w:r>
        <w:rPr>
          <w:rFonts w:hint="cs"/>
          <w:b/>
          <w:bCs/>
          <w:color w:val="000000"/>
          <w:u w:val="single"/>
          <w:rtl/>
        </w:rPr>
        <w:t>קביעת העונש</w:t>
      </w:r>
      <w:r>
        <w:rPr>
          <w:rFonts w:hint="cs"/>
          <w:color w:val="000000"/>
          <w:rtl/>
        </w:rPr>
        <w:t>:</w:t>
      </w:r>
    </w:p>
    <w:p w14:paraId="43D5DBC9" w14:textId="77777777" w:rsidR="00A53FB3" w:rsidRDefault="00A53FB3">
      <w:pPr>
        <w:spacing w:line="360" w:lineRule="auto"/>
        <w:jc w:val="both"/>
        <w:rPr>
          <w:color w:val="000000"/>
          <w:rtl/>
        </w:rPr>
      </w:pPr>
    </w:p>
    <w:p w14:paraId="7E5D9125" w14:textId="77777777" w:rsidR="00A53FB3" w:rsidRDefault="00D40547">
      <w:pPr>
        <w:spacing w:line="360" w:lineRule="auto"/>
        <w:ind w:left="720" w:hanging="720"/>
        <w:jc w:val="both"/>
        <w:rPr>
          <w:color w:val="000000"/>
          <w:rtl/>
        </w:rPr>
      </w:pPr>
      <w:r>
        <w:rPr>
          <w:b/>
          <w:bCs/>
          <w:color w:val="000000"/>
          <w:rtl/>
        </w:rPr>
        <w:t>44</w:t>
      </w:r>
      <w:r>
        <w:rPr>
          <w:color w:val="000000"/>
          <w:rtl/>
        </w:rPr>
        <w:t>.</w:t>
      </w:r>
      <w:r>
        <w:rPr>
          <w:color w:val="000000"/>
          <w:rtl/>
        </w:rPr>
        <w:tab/>
        <w:t xml:space="preserve">לאחר שבחנתי את טענות הצדדים ובהתחשב במכלול הנסיבות ובעיקר, סוג וכמות הנשק, הרקע הנורמטיבי של הנאשם, עברו הנקי, גילו הצעיר, מעצרו יותר מחודש ימים בתיק דנן, </w:t>
      </w:r>
      <w:r>
        <w:rPr>
          <w:rFonts w:hint="cs"/>
          <w:color w:val="000000"/>
          <w:rtl/>
        </w:rPr>
        <w:t xml:space="preserve">ובהמשך שחרורו לחלופת מעצר בתנאים מגבילים, </w:t>
      </w:r>
      <w:r>
        <w:rPr>
          <w:color w:val="000000"/>
          <w:rtl/>
        </w:rPr>
        <w:t xml:space="preserve">הודאתו המידית, לקיחת האחריות, הפוטנציאל השיקומי </w:t>
      </w:r>
      <w:r>
        <w:rPr>
          <w:rFonts w:hint="cs"/>
          <w:color w:val="000000"/>
          <w:rtl/>
        </w:rPr>
        <w:t xml:space="preserve">הטוב </w:t>
      </w:r>
      <w:r>
        <w:rPr>
          <w:color w:val="000000"/>
          <w:rtl/>
        </w:rPr>
        <w:t>ותסקיר שירות המבחן החיובי; נראה לי כי הנאשם הפנים את הפסול שבהתנהגותו ולמד לקח מהסתבכותו הראשונה ולכן החלטתי לחרוג לקול</w:t>
      </w:r>
      <w:r>
        <w:rPr>
          <w:rFonts w:hint="cs"/>
          <w:color w:val="000000"/>
          <w:rtl/>
        </w:rPr>
        <w:t>א, תוך התחשבות ב</w:t>
      </w:r>
      <w:r>
        <w:rPr>
          <w:color w:val="000000"/>
          <w:rtl/>
        </w:rPr>
        <w:t xml:space="preserve">מתחם הענישה ההולם וזאת משיקולים שבטובת האינטרס הציבורי והוא שיקום הנאשם, ועל מנת לאפשר לו לעלות על דרך </w:t>
      </w:r>
      <w:r>
        <w:rPr>
          <w:rFonts w:hint="cs"/>
          <w:color w:val="000000"/>
          <w:rtl/>
        </w:rPr>
        <w:t>הישר</w:t>
      </w:r>
      <w:r>
        <w:rPr>
          <w:color w:val="000000"/>
          <w:rtl/>
        </w:rPr>
        <w:t>, כאשר שליחתו למאסר מאחורי סורג ובריח עלולה לפגוע באורחות חייו הנורמטיביות והפנמת נורמות עברייניות, במידה ויהיה במגע עם אסירים אחרים, אני רואה שלא למצות את הדין עם הנאשם שבפני ומחליט לגזור עליו את העונשים הבאים:</w:t>
      </w:r>
    </w:p>
    <w:p w14:paraId="6696448E" w14:textId="77777777" w:rsidR="00A53FB3" w:rsidRDefault="00A53FB3">
      <w:pPr>
        <w:spacing w:line="360" w:lineRule="auto"/>
        <w:ind w:left="720" w:hanging="720"/>
        <w:jc w:val="both"/>
        <w:rPr>
          <w:color w:val="000000"/>
          <w:rtl/>
        </w:rPr>
      </w:pPr>
    </w:p>
    <w:p w14:paraId="2DD0EF34" w14:textId="77777777" w:rsidR="00A53FB3" w:rsidRDefault="00D40547">
      <w:pPr>
        <w:numPr>
          <w:ilvl w:val="0"/>
          <w:numId w:val="1"/>
        </w:numPr>
        <w:spacing w:line="360" w:lineRule="auto"/>
        <w:jc w:val="both"/>
        <w:rPr>
          <w:color w:val="000000"/>
        </w:rPr>
      </w:pPr>
      <w:r>
        <w:rPr>
          <w:color w:val="000000"/>
          <w:rtl/>
        </w:rPr>
        <w:t>ששה חודשי מאסר בפועל אשר ירוצו בעבודות שירות.</w:t>
      </w:r>
    </w:p>
    <w:p w14:paraId="43755BC8" w14:textId="77777777" w:rsidR="00A53FB3" w:rsidRDefault="00A53FB3">
      <w:pPr>
        <w:spacing w:line="360" w:lineRule="auto"/>
        <w:jc w:val="both"/>
        <w:rPr>
          <w:color w:val="000000"/>
          <w:rtl/>
        </w:rPr>
      </w:pPr>
    </w:p>
    <w:p w14:paraId="084EE2D9" w14:textId="77777777" w:rsidR="00A53FB3" w:rsidRDefault="00D40547">
      <w:pPr>
        <w:spacing w:line="360" w:lineRule="auto"/>
        <w:ind w:left="1080"/>
        <w:jc w:val="both"/>
        <w:rPr>
          <w:rFonts w:ascii="Arial" w:hAnsi="Arial"/>
          <w:color w:val="000000"/>
          <w:rtl/>
        </w:rPr>
      </w:pPr>
      <w:r>
        <w:rPr>
          <w:rFonts w:ascii="Arial" w:hAnsi="Arial"/>
          <w:color w:val="000000"/>
          <w:rtl/>
        </w:rPr>
        <w:t>הואיל והממונה על עבודות שירות, אליו הופנה הנאשם על ידי, מצא כי נאשם זה מתאים לביצוע עונש המאסר במסגרת עבודות שירות החל מיום 25.11.15, אני מאמץ את המלצתו וקובע כי ה</w:t>
      </w:r>
      <w:r>
        <w:rPr>
          <w:rFonts w:ascii="Arial" w:hAnsi="Arial" w:hint="cs"/>
          <w:color w:val="000000"/>
          <w:rtl/>
        </w:rPr>
        <w:t>נ</w:t>
      </w:r>
      <w:r>
        <w:rPr>
          <w:rFonts w:ascii="Arial" w:hAnsi="Arial"/>
          <w:color w:val="000000"/>
          <w:rtl/>
        </w:rPr>
        <w:t>א</w:t>
      </w:r>
      <w:r>
        <w:rPr>
          <w:rFonts w:ascii="Arial" w:hAnsi="Arial" w:hint="cs"/>
          <w:color w:val="000000"/>
          <w:rtl/>
        </w:rPr>
        <w:t>שם</w:t>
      </w:r>
      <w:r>
        <w:rPr>
          <w:rFonts w:ascii="Arial" w:hAnsi="Arial"/>
          <w:color w:val="000000"/>
          <w:rtl/>
        </w:rPr>
        <w:t xml:space="preserve"> ירצה את עונשו במסגרת זו בעמותת "חכמה, ידע, לב",  </w:t>
      </w:r>
      <w:r>
        <w:rPr>
          <w:rFonts w:ascii="Arial" w:hAnsi="Arial" w:hint="cs"/>
          <w:color w:val="000000"/>
          <w:rtl/>
        </w:rPr>
        <w:t>ש</w:t>
      </w:r>
      <w:r>
        <w:rPr>
          <w:rFonts w:ascii="Arial" w:hAnsi="Arial"/>
          <w:color w:val="000000"/>
          <w:rtl/>
        </w:rPr>
        <w:t>ברח' רוטשילד 38, חדרה</w:t>
      </w:r>
      <w:r>
        <w:rPr>
          <w:color w:val="000000"/>
          <w:rtl/>
        </w:rPr>
        <w:t xml:space="preserve"> </w:t>
      </w:r>
      <w:r>
        <w:rPr>
          <w:rFonts w:ascii="Arial" w:hAnsi="Arial"/>
          <w:color w:val="000000"/>
          <w:rtl/>
        </w:rPr>
        <w:t xml:space="preserve">וכמפורט בחוות </w:t>
      </w:r>
      <w:r>
        <w:rPr>
          <w:rFonts w:ascii="Arial" w:hAnsi="Arial" w:hint="cs"/>
          <w:color w:val="000000"/>
          <w:rtl/>
        </w:rPr>
        <w:t>ה</w:t>
      </w:r>
      <w:r>
        <w:rPr>
          <w:rFonts w:ascii="Arial" w:hAnsi="Arial"/>
          <w:color w:val="000000"/>
          <w:rtl/>
        </w:rPr>
        <w:t xml:space="preserve">דעת. </w:t>
      </w:r>
    </w:p>
    <w:p w14:paraId="5561547B" w14:textId="77777777" w:rsidR="00A53FB3" w:rsidRDefault="00A53FB3">
      <w:pPr>
        <w:spacing w:line="360" w:lineRule="auto"/>
        <w:jc w:val="both"/>
        <w:rPr>
          <w:rFonts w:ascii="Arial" w:hAnsi="Arial"/>
          <w:color w:val="000000"/>
          <w:rtl/>
        </w:rPr>
      </w:pPr>
    </w:p>
    <w:p w14:paraId="11F2CEA0" w14:textId="77777777" w:rsidR="00A53FB3" w:rsidRDefault="00D40547">
      <w:pPr>
        <w:spacing w:line="360" w:lineRule="auto"/>
        <w:ind w:left="1080"/>
        <w:jc w:val="both"/>
        <w:rPr>
          <w:rtl/>
        </w:rPr>
      </w:pPr>
      <w:r>
        <w:rPr>
          <w:rtl/>
        </w:rPr>
        <w:t>על הנאשם להתייצב</w:t>
      </w:r>
      <w:r>
        <w:rPr>
          <w:rFonts w:hint="cs"/>
          <w:rtl/>
        </w:rPr>
        <w:t xml:space="preserve"> לשם קליטתו</w:t>
      </w:r>
      <w:r>
        <w:rPr>
          <w:rtl/>
        </w:rPr>
        <w:t xml:space="preserve"> במועד הנ"ל, קרי ביום 25.11.15, בשעה 08:00, במפקדת מחוז צפון, יחידת עבודות שירות, ברח' הציונות 14, טבריה. </w:t>
      </w:r>
    </w:p>
    <w:p w14:paraId="2AED7EBB" w14:textId="77777777" w:rsidR="00A53FB3" w:rsidRDefault="00A53FB3">
      <w:pPr>
        <w:spacing w:line="360" w:lineRule="auto"/>
        <w:ind w:left="720"/>
        <w:jc w:val="both"/>
        <w:rPr>
          <w:rtl/>
        </w:rPr>
      </w:pPr>
    </w:p>
    <w:p w14:paraId="7423A505" w14:textId="77777777" w:rsidR="00A53FB3" w:rsidRDefault="00D40547">
      <w:pPr>
        <w:spacing w:line="360" w:lineRule="auto"/>
        <w:ind w:left="1080"/>
        <w:jc w:val="both"/>
        <w:rPr>
          <w:rtl/>
        </w:rPr>
      </w:pPr>
      <w:r>
        <w:rPr>
          <w:rtl/>
        </w:rPr>
        <w:t>הוסברו לנאשם חובותיו במסגרת ריצוי העונש בעבודות שירות וכן את סמכויות הממונה על עבודות שירות להפקיע את צו השירות</w:t>
      </w:r>
      <w:r>
        <w:rPr>
          <w:rFonts w:hint="cs"/>
          <w:rtl/>
        </w:rPr>
        <w:t xml:space="preserve"> במקרה של הפרת התנאים והנוהלים ושליחת הנאשם מאחורי סורג ובריח לריצוי יתרת העונש.</w:t>
      </w:r>
    </w:p>
    <w:p w14:paraId="167EAFE6" w14:textId="77777777" w:rsidR="00A53FB3" w:rsidRDefault="00A53FB3">
      <w:pPr>
        <w:spacing w:line="360" w:lineRule="auto"/>
        <w:ind w:left="720"/>
        <w:jc w:val="both"/>
        <w:rPr>
          <w:color w:val="000000"/>
          <w:rtl/>
        </w:rPr>
      </w:pPr>
    </w:p>
    <w:p w14:paraId="152EC06E" w14:textId="77777777" w:rsidR="00A53FB3" w:rsidRDefault="00D40547">
      <w:pPr>
        <w:numPr>
          <w:ilvl w:val="0"/>
          <w:numId w:val="1"/>
        </w:numPr>
        <w:spacing w:line="360" w:lineRule="auto"/>
        <w:jc w:val="both"/>
        <w:rPr>
          <w:color w:val="000000"/>
        </w:rPr>
      </w:pPr>
      <w:r>
        <w:rPr>
          <w:color w:val="000000"/>
          <w:rtl/>
        </w:rPr>
        <w:t>18 חודשי מאסר על תנאי, כשהתנאי הוא, שהנאשם לא יישא עונש זה אלא אם, תוך 3 שנים, יעבור עבירה בה הורשע, ויורשעו עליה בדין.</w:t>
      </w:r>
    </w:p>
    <w:p w14:paraId="3D990671" w14:textId="77777777" w:rsidR="00A53FB3" w:rsidRDefault="00A53FB3">
      <w:pPr>
        <w:spacing w:line="360" w:lineRule="auto"/>
        <w:ind w:left="1080"/>
        <w:jc w:val="both"/>
        <w:rPr>
          <w:color w:val="000000"/>
          <w:rtl/>
        </w:rPr>
      </w:pPr>
    </w:p>
    <w:p w14:paraId="3298E5A8" w14:textId="77777777" w:rsidR="00A53FB3" w:rsidRDefault="00D40547">
      <w:pPr>
        <w:numPr>
          <w:ilvl w:val="0"/>
          <w:numId w:val="1"/>
        </w:numPr>
        <w:spacing w:line="360" w:lineRule="auto"/>
        <w:jc w:val="both"/>
        <w:rPr>
          <w:color w:val="000000"/>
        </w:rPr>
      </w:pPr>
      <w:r>
        <w:rPr>
          <w:color w:val="000000"/>
          <w:rtl/>
        </w:rPr>
        <w:t>הנאשם יועמד למבחן בפיקוח שירות המבחן למשך שנה ממועד סיום ריצוי העונש במסגרת עבודות השירות.</w:t>
      </w:r>
    </w:p>
    <w:p w14:paraId="2EAF383F" w14:textId="77777777" w:rsidR="00A53FB3" w:rsidRDefault="00A53FB3">
      <w:pPr>
        <w:spacing w:line="360" w:lineRule="auto"/>
        <w:jc w:val="both"/>
        <w:rPr>
          <w:color w:val="000000"/>
          <w:rtl/>
        </w:rPr>
      </w:pPr>
    </w:p>
    <w:p w14:paraId="130D970A" w14:textId="77777777" w:rsidR="00A53FB3" w:rsidRDefault="00D40547">
      <w:pPr>
        <w:spacing w:line="360" w:lineRule="auto"/>
        <w:ind w:left="1080"/>
        <w:jc w:val="both"/>
        <w:rPr>
          <w:color w:val="000000"/>
        </w:rPr>
      </w:pPr>
      <w:r>
        <w:rPr>
          <w:rFonts w:hint="cs"/>
          <w:color w:val="000000"/>
          <w:rtl/>
        </w:rPr>
        <w:t xml:space="preserve">הוסבר לנאשם כי היה ולא ישתף פעולה עם שירות המבחן והאחרון יבקש הפקעת צו המבחן, עלול הנאשם למצוא עצמו מובא שוב בפני בית המשפט לשם השלמת גזר הדין וכי במסגרת זו יוכל בית המשפט להטיל על הנאשם עונש מאסר בפועל נוסף לזה שהוטל עליו במסגרת גזר דין זה. </w:t>
      </w:r>
    </w:p>
    <w:p w14:paraId="0B681F6C" w14:textId="77777777" w:rsidR="00A53FB3" w:rsidRDefault="00A53FB3">
      <w:pPr>
        <w:suppressLineNumbers/>
        <w:spacing w:line="360" w:lineRule="auto"/>
        <w:jc w:val="both"/>
        <w:rPr>
          <w:color w:val="000000"/>
          <w:rtl/>
        </w:rPr>
      </w:pPr>
    </w:p>
    <w:p w14:paraId="348A1BF8" w14:textId="77777777" w:rsidR="00A53FB3" w:rsidRDefault="00D40547">
      <w:pPr>
        <w:suppressLineNumbers/>
        <w:spacing w:line="360" w:lineRule="auto"/>
        <w:ind w:left="360" w:firstLine="720"/>
        <w:jc w:val="both"/>
        <w:rPr>
          <w:color w:val="000000"/>
          <w:rtl/>
        </w:rPr>
      </w:pPr>
      <w:r>
        <w:rPr>
          <w:rFonts w:hint="cs"/>
          <w:b/>
          <w:bCs/>
          <w:color w:val="000000"/>
          <w:u w:val="single"/>
          <w:rtl/>
        </w:rPr>
        <w:t>זכות ערעור תוך 45 יום מיום לבית המשפט העליון, הודעה לנאשם</w:t>
      </w:r>
      <w:r>
        <w:rPr>
          <w:rFonts w:hint="cs"/>
          <w:color w:val="000000"/>
          <w:rtl/>
        </w:rPr>
        <w:t>.</w:t>
      </w:r>
    </w:p>
    <w:p w14:paraId="315FD99A" w14:textId="77777777" w:rsidR="00A53FB3" w:rsidRDefault="00A53FB3">
      <w:pPr>
        <w:suppressLineNumbers/>
        <w:spacing w:line="360" w:lineRule="auto"/>
        <w:ind w:left="360" w:firstLine="720"/>
        <w:jc w:val="both"/>
        <w:rPr>
          <w:color w:val="000000"/>
          <w:rtl/>
        </w:rPr>
      </w:pPr>
    </w:p>
    <w:p w14:paraId="452BC0FC" w14:textId="77777777" w:rsidR="00A53FB3" w:rsidRDefault="00D40547">
      <w:pPr>
        <w:suppressLineNumbers/>
        <w:spacing w:line="360" w:lineRule="auto"/>
        <w:ind w:left="360" w:firstLine="720"/>
        <w:jc w:val="both"/>
        <w:rPr>
          <w:b/>
          <w:bCs/>
          <w:color w:val="000000"/>
          <w:u w:val="single"/>
          <w:rtl/>
        </w:rPr>
      </w:pPr>
      <w:r>
        <w:rPr>
          <w:b/>
          <w:bCs/>
          <w:color w:val="000000"/>
          <w:u w:val="single"/>
          <w:rtl/>
        </w:rPr>
        <w:t>המזכירות תמציא לשירות המבחן ולממונה על עבודות השירות עותק מגזר הדין.</w:t>
      </w:r>
    </w:p>
    <w:p w14:paraId="3A976DCC" w14:textId="77777777" w:rsidR="00A53FB3" w:rsidRDefault="00A53FB3">
      <w:pPr>
        <w:suppressLineNumbers/>
        <w:spacing w:line="360" w:lineRule="auto"/>
        <w:ind w:left="360" w:firstLine="720"/>
        <w:jc w:val="both"/>
        <w:rPr>
          <w:color w:val="000000"/>
          <w:rtl/>
        </w:rPr>
      </w:pPr>
    </w:p>
    <w:p w14:paraId="5E5BF450" w14:textId="77777777" w:rsidR="00A53FB3" w:rsidRDefault="00A53FB3">
      <w:pPr>
        <w:rPr>
          <w:rtl/>
        </w:rPr>
      </w:pPr>
    </w:p>
    <w:p w14:paraId="08B88CAA" w14:textId="77777777" w:rsidR="00A53FB3" w:rsidRDefault="00D40547">
      <w:pPr>
        <w:spacing w:line="360" w:lineRule="auto"/>
        <w:ind w:left="1080"/>
        <w:jc w:val="both"/>
        <w:rPr>
          <w:rFonts w:ascii="Arial" w:hAnsi="Arial"/>
          <w:rtl/>
        </w:rPr>
      </w:pPr>
      <w:r>
        <w:rPr>
          <w:rFonts w:ascii="Arial" w:hAnsi="Arial"/>
          <w:rtl/>
        </w:rPr>
        <w:t xml:space="preserve">ניתן היום,  ג' תשרי תשע"ו, 16 ספטמבר 2015, במעמד ב"כ המאשימה עו"ד הגב' מאי ה </w:t>
      </w:r>
      <w:r>
        <w:rPr>
          <w:rFonts w:ascii="Arial" w:hAnsi="Arial" w:hint="cs"/>
          <w:rtl/>
        </w:rPr>
        <w:t>חזן -דהאן , הנאשם בעצמו ובא כוחו עו"ד עאדל בויראת.</w:t>
      </w:r>
    </w:p>
    <w:p w14:paraId="2AF902F1" w14:textId="77777777" w:rsidR="00A53FB3" w:rsidRDefault="00A53FB3">
      <w:pPr>
        <w:spacing w:line="360" w:lineRule="auto"/>
        <w:ind w:left="585"/>
        <w:jc w:val="both"/>
        <w:rPr>
          <w:rFonts w:ascii="Arial" w:hAnsi="Arial"/>
          <w:rtl/>
        </w:rPr>
      </w:pPr>
    </w:p>
    <w:p w14:paraId="2DF29F55" w14:textId="77777777" w:rsidR="00A53FB3" w:rsidRPr="00D40547" w:rsidRDefault="00D40547">
      <w:pPr>
        <w:spacing w:line="360" w:lineRule="auto"/>
        <w:ind w:left="585"/>
        <w:jc w:val="both"/>
        <w:rPr>
          <w:rFonts w:ascii="Arial" w:hAnsi="Arial"/>
          <w:color w:val="FFFFFF"/>
          <w:sz w:val="2"/>
          <w:szCs w:val="2"/>
        </w:rPr>
      </w:pPr>
      <w:r w:rsidRPr="00D40547">
        <w:rPr>
          <w:rFonts w:ascii="Arial" w:hAnsi="Arial"/>
          <w:color w:val="FFFFFF"/>
          <w:sz w:val="2"/>
          <w:szCs w:val="2"/>
          <w:rtl/>
        </w:rPr>
        <w:t>5129371</w:t>
      </w:r>
    </w:p>
    <w:p w14:paraId="4FD75A2B" w14:textId="77777777" w:rsidR="00A53FB3" w:rsidRPr="00D40547" w:rsidRDefault="00D40547">
      <w:pPr>
        <w:rPr>
          <w:color w:val="FFFFFF"/>
          <w:sz w:val="2"/>
          <w:szCs w:val="2"/>
          <w:rtl/>
        </w:rPr>
      </w:pPr>
      <w:r w:rsidRPr="00D40547">
        <w:rPr>
          <w:color w:val="FFFFFF"/>
          <w:sz w:val="2"/>
          <w:szCs w:val="2"/>
          <w:rtl/>
        </w:rPr>
        <w:t>54678313</w:t>
      </w:r>
    </w:p>
    <w:p w14:paraId="13AAF8BE" w14:textId="77777777" w:rsidR="00A53FB3" w:rsidRDefault="00D4054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11551B0" w14:textId="77777777" w:rsidR="00A53FB3" w:rsidRPr="00B30514" w:rsidRDefault="00B30514">
      <w:pPr>
        <w:pStyle w:val="a3"/>
        <w:jc w:val="center"/>
        <w:rPr>
          <w:color w:val="FFFFFF"/>
          <w:sz w:val="2"/>
          <w:szCs w:val="2"/>
          <w:rtl/>
        </w:rPr>
      </w:pPr>
      <w:r w:rsidRPr="00B30514">
        <w:rPr>
          <w:color w:val="FFFFFF"/>
          <w:sz w:val="2"/>
          <w:szCs w:val="2"/>
          <w:rtl/>
        </w:rPr>
        <w:t>5129371</w:t>
      </w:r>
    </w:p>
    <w:p w14:paraId="49EB9D69" w14:textId="77777777" w:rsidR="00D40547" w:rsidRPr="00B30514" w:rsidRDefault="00B30514" w:rsidP="00D40547">
      <w:pPr>
        <w:keepNext/>
        <w:rPr>
          <w:rFonts w:ascii="David" w:hAnsi="David"/>
          <w:color w:val="FFFFFF"/>
          <w:sz w:val="2"/>
          <w:szCs w:val="2"/>
          <w:rtl/>
        </w:rPr>
      </w:pPr>
      <w:r w:rsidRPr="00B30514">
        <w:rPr>
          <w:rFonts w:ascii="David" w:hAnsi="David"/>
          <w:color w:val="FFFFFF"/>
          <w:sz w:val="2"/>
          <w:szCs w:val="2"/>
          <w:rtl/>
        </w:rPr>
        <w:t>54678313</w:t>
      </w:r>
    </w:p>
    <w:p w14:paraId="6F02A221" w14:textId="77777777" w:rsidR="00D40547" w:rsidRPr="00D40547" w:rsidRDefault="00D40547" w:rsidP="00D40547">
      <w:pPr>
        <w:keepNext/>
        <w:rPr>
          <w:rFonts w:ascii="David" w:hAnsi="David"/>
          <w:color w:val="000000"/>
          <w:sz w:val="22"/>
          <w:szCs w:val="22"/>
          <w:rtl/>
        </w:rPr>
      </w:pPr>
      <w:r w:rsidRPr="00D40547">
        <w:rPr>
          <w:rFonts w:ascii="David" w:hAnsi="David"/>
          <w:color w:val="000000"/>
          <w:sz w:val="22"/>
          <w:szCs w:val="22"/>
          <w:rtl/>
        </w:rPr>
        <w:t>כמאל סעב 54678313</w:t>
      </w:r>
    </w:p>
    <w:p w14:paraId="5312B5C9" w14:textId="77777777" w:rsidR="00D40547" w:rsidRDefault="00D40547" w:rsidP="00D40547">
      <w:r w:rsidRPr="00D40547">
        <w:rPr>
          <w:color w:val="000000"/>
          <w:rtl/>
        </w:rPr>
        <w:t>נוסח מסמך זה כפוף לשינויי ניסוח ועריכה</w:t>
      </w:r>
    </w:p>
    <w:p w14:paraId="0FD4CC25" w14:textId="77777777" w:rsidR="00D40547" w:rsidRDefault="00D40547" w:rsidP="00D40547">
      <w:pPr>
        <w:rPr>
          <w:rtl/>
        </w:rPr>
      </w:pPr>
    </w:p>
    <w:p w14:paraId="71A85F09" w14:textId="77777777" w:rsidR="00D40547" w:rsidRDefault="00D40547" w:rsidP="00D40547">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sectPr w:rsidR="00D40547" w:rsidSect="00B30514">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4FF910" w14:textId="77777777" w:rsidR="00157D07" w:rsidRDefault="00157D07">
      <w:r>
        <w:separator/>
      </w:r>
    </w:p>
  </w:endnote>
  <w:endnote w:type="continuationSeparator" w:id="0">
    <w:p w14:paraId="3D5F5941" w14:textId="77777777" w:rsidR="00157D07" w:rsidRDefault="00157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16152" w14:textId="77777777" w:rsidR="00FE596C" w:rsidRDefault="00FE596C" w:rsidP="00B30514">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85F7EAC" w14:textId="77777777" w:rsidR="00FE596C" w:rsidRPr="00B30514" w:rsidRDefault="00FE596C" w:rsidP="00B30514">
    <w:pPr>
      <w:pStyle w:val="a4"/>
      <w:pBdr>
        <w:top w:val="single" w:sz="4" w:space="1" w:color="auto"/>
        <w:between w:val="single" w:sz="4" w:space="0" w:color="auto"/>
      </w:pBdr>
      <w:spacing w:after="60"/>
      <w:jc w:val="center"/>
      <w:rPr>
        <w:rFonts w:ascii="FrankRuehl" w:hAnsi="FrankRuehl" w:cs="FrankRuehl"/>
        <w:color w:val="000000"/>
      </w:rPr>
    </w:pPr>
    <w:r w:rsidRPr="00B3051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92671" w14:textId="77777777" w:rsidR="00FE596C" w:rsidRDefault="00FE596C" w:rsidP="00B30514">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B2CD1">
      <w:rPr>
        <w:rFonts w:ascii="FrankRuehl" w:hAnsi="FrankRuehl" w:cs="FrankRuehl"/>
        <w:noProof/>
        <w:rtl/>
      </w:rPr>
      <w:t>1</w:t>
    </w:r>
    <w:r>
      <w:rPr>
        <w:rFonts w:ascii="FrankRuehl" w:hAnsi="FrankRuehl" w:cs="FrankRuehl"/>
        <w:rtl/>
      </w:rPr>
      <w:fldChar w:fldCharType="end"/>
    </w:r>
  </w:p>
  <w:p w14:paraId="6EC4880D" w14:textId="77777777" w:rsidR="00FE596C" w:rsidRPr="00B30514" w:rsidRDefault="00FE596C" w:rsidP="00B30514">
    <w:pPr>
      <w:pStyle w:val="a4"/>
      <w:pBdr>
        <w:top w:val="single" w:sz="4" w:space="1" w:color="auto"/>
        <w:between w:val="single" w:sz="4" w:space="0" w:color="auto"/>
      </w:pBdr>
      <w:spacing w:after="60"/>
      <w:jc w:val="center"/>
      <w:rPr>
        <w:rFonts w:ascii="FrankRuehl" w:hAnsi="FrankRuehl" w:cs="FrankRuehl"/>
        <w:color w:val="000000"/>
      </w:rPr>
    </w:pPr>
    <w:r w:rsidRPr="00B30514">
      <w:rPr>
        <w:rFonts w:ascii="FrankRuehl" w:hAnsi="FrankRuehl" w:cs="FrankRuehl"/>
        <w:color w:val="000000"/>
      </w:rPr>
      <w:pict w14:anchorId="16CC45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992E72" w14:textId="77777777" w:rsidR="00157D07" w:rsidRDefault="00157D07">
      <w:r>
        <w:separator/>
      </w:r>
    </w:p>
  </w:footnote>
  <w:footnote w:type="continuationSeparator" w:id="0">
    <w:p w14:paraId="5D0FC4BD" w14:textId="77777777" w:rsidR="00157D07" w:rsidRDefault="00157D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AAB5C" w14:textId="77777777" w:rsidR="00FE596C" w:rsidRPr="00B30514" w:rsidRDefault="00FE596C" w:rsidP="00B3051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27277-01-15</w:t>
    </w:r>
    <w:r>
      <w:rPr>
        <w:rFonts w:ascii="David" w:hAnsi="David"/>
        <w:color w:val="000000"/>
        <w:sz w:val="22"/>
        <w:szCs w:val="22"/>
        <w:rtl/>
      </w:rPr>
      <w:tab/>
      <w:t xml:space="preserve"> מדינת ישראל נ' ראג'ב קעדאן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4BEAE" w14:textId="77777777" w:rsidR="00FE596C" w:rsidRPr="00B30514" w:rsidRDefault="00FE596C" w:rsidP="00B3051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27277-01-15</w:t>
    </w:r>
    <w:r>
      <w:rPr>
        <w:rFonts w:ascii="David" w:hAnsi="David"/>
        <w:color w:val="000000"/>
        <w:sz w:val="22"/>
        <w:szCs w:val="22"/>
        <w:rtl/>
      </w:rPr>
      <w:tab/>
      <w:t xml:space="preserve"> מדינת ישראל נ' ראג'ב קעדאן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094AFC"/>
    <w:multiLevelType w:val="hybridMultilevel"/>
    <w:tmpl w:val="527CEA2C"/>
    <w:lvl w:ilvl="0" w:tplc="38B6FABE">
      <w:start w:val="1"/>
      <w:numFmt w:val="hebrew1"/>
      <w:lvlText w:val="%1."/>
      <w:lvlJc w:val="left"/>
      <w:pPr>
        <w:tabs>
          <w:tab w:val="num" w:pos="1080"/>
        </w:tabs>
        <w:ind w:left="1080" w:hanging="360"/>
      </w:pPr>
      <w:rPr>
        <w:rFonts w:cs="David" w:hint="default"/>
        <w:b w:val="0"/>
        <w:bCs/>
        <w:sz w:val="2"/>
        <w:szCs w:val="24"/>
      </w:rPr>
    </w:lvl>
    <w:lvl w:ilvl="1" w:tplc="E460C832">
      <w:start w:val="43"/>
      <w:numFmt w:val="decimal"/>
      <w:lvlText w:val="%2."/>
      <w:lvlJc w:val="left"/>
      <w:pPr>
        <w:tabs>
          <w:tab w:val="num" w:pos="1800"/>
        </w:tabs>
        <w:ind w:left="1800" w:hanging="360"/>
      </w:pPr>
      <w:rPr>
        <w:rFonts w:cs="Times New Roman" w:hint="default"/>
        <w:b/>
        <w:bCs/>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883326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53FB3"/>
    <w:rsid w:val="00157D07"/>
    <w:rsid w:val="001B64E5"/>
    <w:rsid w:val="00250895"/>
    <w:rsid w:val="00262800"/>
    <w:rsid w:val="00515C08"/>
    <w:rsid w:val="005B2CD1"/>
    <w:rsid w:val="00643640"/>
    <w:rsid w:val="008C00D1"/>
    <w:rsid w:val="00944A77"/>
    <w:rsid w:val="00A53FB3"/>
    <w:rsid w:val="00B30514"/>
    <w:rsid w:val="00D40547"/>
    <w:rsid w:val="00D47BE0"/>
    <w:rsid w:val="00F811B6"/>
    <w:rsid w:val="00FA5546"/>
    <w:rsid w:val="00FE59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C0B569C"/>
  <w15:chartTrackingRefBased/>
  <w15:docId w15:val="{C4805D12-DD1B-4BCF-A2EB-110A5F9DB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53FB3"/>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53FB3"/>
    <w:pPr>
      <w:tabs>
        <w:tab w:val="center" w:pos="4153"/>
        <w:tab w:val="right" w:pos="8306"/>
      </w:tabs>
    </w:pPr>
  </w:style>
  <w:style w:type="paragraph" w:styleId="a4">
    <w:name w:val="footer"/>
    <w:basedOn w:val="a"/>
    <w:rsid w:val="00A53FB3"/>
    <w:pPr>
      <w:tabs>
        <w:tab w:val="center" w:pos="4153"/>
        <w:tab w:val="right" w:pos="8306"/>
      </w:tabs>
    </w:pPr>
  </w:style>
  <w:style w:type="character" w:styleId="a5">
    <w:name w:val="page number"/>
    <w:basedOn w:val="a0"/>
    <w:rsid w:val="00A53FB3"/>
  </w:style>
  <w:style w:type="paragraph" w:customStyle="1" w:styleId="12">
    <w:name w:val="רגיל + ‏12 נק'"/>
    <w:aliases w:val="מיושר לשני הצדדים,מרווח בין שורות:  שורה וחצי"/>
    <w:basedOn w:val="a"/>
    <w:rsid w:val="00A53FB3"/>
    <w:rPr>
      <w:b/>
      <w:bCs/>
      <w:u w:val="single"/>
    </w:rPr>
  </w:style>
  <w:style w:type="character" w:customStyle="1" w:styleId="TimesNewRomanTimesNewRoman">
    <w:name w:val="סגנון (לטיני) Times New Roman (עברית ושפות אחרות) Times New Roman..."/>
    <w:rsid w:val="00A53FB3"/>
    <w:rPr>
      <w:rFonts w:ascii="Times New Roman" w:hAnsi="Times New Roman" w:cs="David" w:hint="default"/>
      <w:b/>
      <w:bCs/>
      <w:sz w:val="26"/>
      <w:szCs w:val="26"/>
    </w:rPr>
  </w:style>
  <w:style w:type="character" w:customStyle="1" w:styleId="Ruller4">
    <w:name w:val="Ruller4 תו"/>
    <w:link w:val="Ruller40"/>
    <w:locked/>
    <w:rsid w:val="00A53FB3"/>
    <w:rPr>
      <w:rFonts w:ascii="Arial TUR" w:hAnsi="Arial TUR"/>
      <w:spacing w:val="10"/>
      <w:sz w:val="28"/>
      <w:szCs w:val="28"/>
      <w:lang w:bidi="he-IL"/>
    </w:rPr>
  </w:style>
  <w:style w:type="paragraph" w:customStyle="1" w:styleId="Ruller40">
    <w:name w:val="Ruller4"/>
    <w:basedOn w:val="a"/>
    <w:link w:val="Ruller4"/>
    <w:rsid w:val="00A53FB3"/>
    <w:pPr>
      <w:tabs>
        <w:tab w:val="left" w:pos="800"/>
      </w:tabs>
      <w:overflowPunct w:val="0"/>
      <w:autoSpaceDE w:val="0"/>
      <w:autoSpaceDN w:val="0"/>
      <w:adjustRightInd w:val="0"/>
      <w:spacing w:line="360" w:lineRule="auto"/>
      <w:jc w:val="both"/>
    </w:pPr>
    <w:rPr>
      <w:rFonts w:ascii="Arial TUR" w:hAnsi="Arial TUR" w:cs="Times New Roman"/>
      <w:spacing w:val="10"/>
      <w:sz w:val="28"/>
      <w:szCs w:val="28"/>
    </w:rPr>
  </w:style>
  <w:style w:type="character" w:customStyle="1" w:styleId="Ruller5">
    <w:name w:val="Ruller5 תו"/>
    <w:link w:val="Ruller50"/>
    <w:locked/>
    <w:rsid w:val="00A53FB3"/>
    <w:rPr>
      <w:rFonts w:ascii="Arial TUR" w:hAnsi="Arial TUR"/>
      <w:spacing w:val="10"/>
      <w:sz w:val="28"/>
      <w:szCs w:val="28"/>
      <w:lang w:bidi="he-IL"/>
    </w:rPr>
  </w:style>
  <w:style w:type="paragraph" w:customStyle="1" w:styleId="Ruller50">
    <w:name w:val="Ruller5"/>
    <w:basedOn w:val="a"/>
    <w:link w:val="Ruller5"/>
    <w:rsid w:val="00A53FB3"/>
    <w:pPr>
      <w:overflowPunct w:val="0"/>
      <w:autoSpaceDE w:val="0"/>
      <w:autoSpaceDN w:val="0"/>
      <w:adjustRightInd w:val="0"/>
      <w:ind w:left="1642" w:right="1282"/>
      <w:jc w:val="both"/>
    </w:pPr>
    <w:rPr>
      <w:rFonts w:ascii="Arial TUR" w:hAnsi="Arial TUR" w:cs="Times New Roman"/>
      <w:spacing w:val="10"/>
      <w:sz w:val="28"/>
      <w:szCs w:val="28"/>
    </w:rPr>
  </w:style>
  <w:style w:type="paragraph" w:customStyle="1" w:styleId="filenumber">
    <w:name w:val="filenumber"/>
    <w:basedOn w:val="a"/>
    <w:rsid w:val="00A53FB3"/>
    <w:pPr>
      <w:overflowPunct w:val="0"/>
      <w:autoSpaceDE w:val="0"/>
      <w:autoSpaceDN w:val="0"/>
      <w:spacing w:line="360" w:lineRule="auto"/>
      <w:jc w:val="right"/>
    </w:pPr>
    <w:rPr>
      <w:rFonts w:eastAsia="Arial Unicode MS" w:cs="Times New Roman"/>
      <w:sz w:val="20"/>
      <w:szCs w:val="20"/>
      <w:lang w:eastAsia="he-IL"/>
    </w:rPr>
  </w:style>
  <w:style w:type="paragraph" w:customStyle="1" w:styleId="ruller41">
    <w:name w:val="ruller4"/>
    <w:basedOn w:val="a"/>
    <w:rsid w:val="00A53FB3"/>
    <w:pPr>
      <w:overflowPunct w:val="0"/>
      <w:autoSpaceDE w:val="0"/>
      <w:autoSpaceDN w:val="0"/>
      <w:spacing w:line="360" w:lineRule="auto"/>
      <w:jc w:val="both"/>
    </w:pPr>
    <w:rPr>
      <w:rFonts w:ascii="Arial TUR" w:hAnsi="Arial TUR" w:cs="Times New Roman"/>
      <w:spacing w:val="10"/>
      <w:sz w:val="22"/>
      <w:szCs w:val="22"/>
      <w:lang w:eastAsia="he-IL"/>
    </w:rPr>
  </w:style>
  <w:style w:type="character" w:styleId="Hyperlink">
    <w:name w:val="Hyperlink"/>
    <w:rsid w:val="00A53FB3"/>
    <w:rPr>
      <w:rFonts w:cs="Times New Roman"/>
      <w:color w:val="0000FF"/>
      <w:u w:val="single"/>
    </w:rPr>
  </w:style>
  <w:style w:type="paragraph" w:styleId="a6">
    <w:name w:val="List Paragraph"/>
    <w:basedOn w:val="a"/>
    <w:qFormat/>
    <w:rsid w:val="00A53FB3"/>
    <w:pPr>
      <w:ind w:left="720"/>
      <w:contextualSpacing/>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18814987" TargetMode="External"/><Relationship Id="rId18" Type="http://schemas.openxmlformats.org/officeDocument/2006/relationships/hyperlink" Target="http://www.nevo.co.il/case/5703734" TargetMode="External"/><Relationship Id="rId26" Type="http://schemas.openxmlformats.org/officeDocument/2006/relationships/hyperlink" Target="http://www.nevo.co.il/case/2100382"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6024035" TargetMode="External"/><Relationship Id="rId34" Type="http://schemas.openxmlformats.org/officeDocument/2006/relationships/hyperlink" Target="http://www.nevo.co.il/case/5762686"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5958231" TargetMode="External"/><Relationship Id="rId29" Type="http://schemas.openxmlformats.org/officeDocument/2006/relationships/hyperlink" Target="http://www.nevo.co.il/case/1872016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5678001" TargetMode="External"/><Relationship Id="rId32" Type="http://schemas.openxmlformats.org/officeDocument/2006/relationships/hyperlink" Target="http://www.nevo.co.il/case/17941073" TargetMode="External"/><Relationship Id="rId37" Type="http://schemas.openxmlformats.org/officeDocument/2006/relationships/hyperlink" Target="http://www.nevo.co.il/case/13104267" TargetMode="External"/><Relationship Id="rId40" Type="http://schemas.openxmlformats.org/officeDocument/2006/relationships/hyperlink" Target="http://www.nevo.co.il/case/6248029"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13015506" TargetMode="External"/><Relationship Id="rId28" Type="http://schemas.openxmlformats.org/officeDocument/2006/relationships/hyperlink" Target="http://www.nevo.co.il/case/7791493"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6473037" TargetMode="External"/><Relationship Id="rId31" Type="http://schemas.openxmlformats.org/officeDocument/2006/relationships/hyperlink" Target="http://www.nevo.co.il/case/18107456"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5614477" TargetMode="External"/><Relationship Id="rId27" Type="http://schemas.openxmlformats.org/officeDocument/2006/relationships/hyperlink" Target="http://www.nevo.co.il/case/11250688" TargetMode="External"/><Relationship Id="rId30" Type="http://schemas.openxmlformats.org/officeDocument/2006/relationships/hyperlink" Target="http://www.nevo.co.il/case/20154414" TargetMode="External"/><Relationship Id="rId35" Type="http://schemas.openxmlformats.org/officeDocument/2006/relationships/hyperlink" Target="http://www.nevo.co.il/law/70301/144.a" TargetMode="External"/><Relationship Id="rId43" Type="http://schemas.openxmlformats.org/officeDocument/2006/relationships/header" Target="header2.xml"/><Relationship Id="rId8"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case/5821327" TargetMode="External"/><Relationship Id="rId25" Type="http://schemas.openxmlformats.org/officeDocument/2006/relationships/hyperlink" Target="http://www.nevo.co.il/case/4258499" TargetMode="External"/><Relationship Id="rId33" Type="http://schemas.openxmlformats.org/officeDocument/2006/relationships/hyperlink" Target="http://www.nevo.co.il/case/5882592" TargetMode="External"/><Relationship Id="rId38" Type="http://schemas.openxmlformats.org/officeDocument/2006/relationships/hyperlink" Target="http://www.nevo.co.il/case/6159820" TargetMode="External"/><Relationship Id="rId46" Type="http://schemas.openxmlformats.org/officeDocument/2006/relationships/fontTable" Target="fontTable.xml"/><Relationship Id="rId20" Type="http://schemas.openxmlformats.org/officeDocument/2006/relationships/hyperlink" Target="http://www.nevo.co.il/case/5597217"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3580</Words>
  <Characters>17902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21440</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3866748</vt:i4>
      </vt:variant>
      <vt:variant>
        <vt:i4>99</vt:i4>
      </vt:variant>
      <vt:variant>
        <vt:i4>0</vt:i4>
      </vt:variant>
      <vt:variant>
        <vt:i4>5</vt:i4>
      </vt:variant>
      <vt:variant>
        <vt:lpwstr>http://www.nevo.co.il/case/6248029</vt:lpwstr>
      </vt:variant>
      <vt:variant>
        <vt:lpwstr/>
      </vt:variant>
      <vt:variant>
        <vt:i4>7995492</vt:i4>
      </vt:variant>
      <vt:variant>
        <vt:i4>96</vt:i4>
      </vt:variant>
      <vt:variant>
        <vt:i4>0</vt:i4>
      </vt:variant>
      <vt:variant>
        <vt:i4>5</vt:i4>
      </vt:variant>
      <vt:variant>
        <vt:lpwstr>http://www.nevo.co.il/law/70301</vt:lpwstr>
      </vt:variant>
      <vt:variant>
        <vt:lpwstr/>
      </vt:variant>
      <vt:variant>
        <vt:i4>3866750</vt:i4>
      </vt:variant>
      <vt:variant>
        <vt:i4>93</vt:i4>
      </vt:variant>
      <vt:variant>
        <vt:i4>0</vt:i4>
      </vt:variant>
      <vt:variant>
        <vt:i4>5</vt:i4>
      </vt:variant>
      <vt:variant>
        <vt:lpwstr>http://www.nevo.co.il/case/6159820</vt:lpwstr>
      </vt:variant>
      <vt:variant>
        <vt:lpwstr/>
      </vt:variant>
      <vt:variant>
        <vt:i4>3276917</vt:i4>
      </vt:variant>
      <vt:variant>
        <vt:i4>90</vt:i4>
      </vt:variant>
      <vt:variant>
        <vt:i4>0</vt:i4>
      </vt:variant>
      <vt:variant>
        <vt:i4>5</vt:i4>
      </vt:variant>
      <vt:variant>
        <vt:lpwstr>http://www.nevo.co.il/case/13104267</vt:lpwstr>
      </vt:variant>
      <vt:variant>
        <vt:lpwstr/>
      </vt:variant>
      <vt:variant>
        <vt:i4>7995492</vt:i4>
      </vt:variant>
      <vt:variant>
        <vt:i4>87</vt:i4>
      </vt:variant>
      <vt:variant>
        <vt:i4>0</vt:i4>
      </vt:variant>
      <vt:variant>
        <vt:i4>5</vt:i4>
      </vt:variant>
      <vt:variant>
        <vt:lpwstr>http://www.nevo.co.il/law/70301</vt:lpwstr>
      </vt:variant>
      <vt:variant>
        <vt:lpwstr/>
      </vt:variant>
      <vt:variant>
        <vt:i4>5177424</vt:i4>
      </vt:variant>
      <vt:variant>
        <vt:i4>84</vt:i4>
      </vt:variant>
      <vt:variant>
        <vt:i4>0</vt:i4>
      </vt:variant>
      <vt:variant>
        <vt:i4>5</vt:i4>
      </vt:variant>
      <vt:variant>
        <vt:lpwstr>http://www.nevo.co.il/law/70301/144.a</vt:lpwstr>
      </vt:variant>
      <vt:variant>
        <vt:lpwstr/>
      </vt:variant>
      <vt:variant>
        <vt:i4>3342457</vt:i4>
      </vt:variant>
      <vt:variant>
        <vt:i4>81</vt:i4>
      </vt:variant>
      <vt:variant>
        <vt:i4>0</vt:i4>
      </vt:variant>
      <vt:variant>
        <vt:i4>5</vt:i4>
      </vt:variant>
      <vt:variant>
        <vt:lpwstr>http://www.nevo.co.il/case/5762686</vt:lpwstr>
      </vt:variant>
      <vt:variant>
        <vt:lpwstr/>
      </vt:variant>
      <vt:variant>
        <vt:i4>3801207</vt:i4>
      </vt:variant>
      <vt:variant>
        <vt:i4>78</vt:i4>
      </vt:variant>
      <vt:variant>
        <vt:i4>0</vt:i4>
      </vt:variant>
      <vt:variant>
        <vt:i4>5</vt:i4>
      </vt:variant>
      <vt:variant>
        <vt:lpwstr>http://www.nevo.co.il/case/5882592</vt:lpwstr>
      </vt:variant>
      <vt:variant>
        <vt:lpwstr/>
      </vt:variant>
      <vt:variant>
        <vt:i4>4063351</vt:i4>
      </vt:variant>
      <vt:variant>
        <vt:i4>75</vt:i4>
      </vt:variant>
      <vt:variant>
        <vt:i4>0</vt:i4>
      </vt:variant>
      <vt:variant>
        <vt:i4>5</vt:i4>
      </vt:variant>
      <vt:variant>
        <vt:lpwstr>http://www.nevo.co.il/case/17941073</vt:lpwstr>
      </vt:variant>
      <vt:variant>
        <vt:lpwstr/>
      </vt:variant>
      <vt:variant>
        <vt:i4>3276920</vt:i4>
      </vt:variant>
      <vt:variant>
        <vt:i4>72</vt:i4>
      </vt:variant>
      <vt:variant>
        <vt:i4>0</vt:i4>
      </vt:variant>
      <vt:variant>
        <vt:i4>5</vt:i4>
      </vt:variant>
      <vt:variant>
        <vt:lpwstr>http://www.nevo.co.il/case/18107456</vt:lpwstr>
      </vt:variant>
      <vt:variant>
        <vt:lpwstr/>
      </vt:variant>
      <vt:variant>
        <vt:i4>3539061</vt:i4>
      </vt:variant>
      <vt:variant>
        <vt:i4>69</vt:i4>
      </vt:variant>
      <vt:variant>
        <vt:i4>0</vt:i4>
      </vt:variant>
      <vt:variant>
        <vt:i4>5</vt:i4>
      </vt:variant>
      <vt:variant>
        <vt:lpwstr>http://www.nevo.co.il/case/20154414</vt:lpwstr>
      </vt:variant>
      <vt:variant>
        <vt:lpwstr/>
      </vt:variant>
      <vt:variant>
        <vt:i4>3145855</vt:i4>
      </vt:variant>
      <vt:variant>
        <vt:i4>66</vt:i4>
      </vt:variant>
      <vt:variant>
        <vt:i4>0</vt:i4>
      </vt:variant>
      <vt:variant>
        <vt:i4>5</vt:i4>
      </vt:variant>
      <vt:variant>
        <vt:lpwstr>http://www.nevo.co.il/case/18720163</vt:lpwstr>
      </vt:variant>
      <vt:variant>
        <vt:lpwstr/>
      </vt:variant>
      <vt:variant>
        <vt:i4>3735675</vt:i4>
      </vt:variant>
      <vt:variant>
        <vt:i4>63</vt:i4>
      </vt:variant>
      <vt:variant>
        <vt:i4>0</vt:i4>
      </vt:variant>
      <vt:variant>
        <vt:i4>5</vt:i4>
      </vt:variant>
      <vt:variant>
        <vt:lpwstr>http://www.nevo.co.il/case/7791493</vt:lpwstr>
      </vt:variant>
      <vt:variant>
        <vt:lpwstr/>
      </vt:variant>
      <vt:variant>
        <vt:i4>3866742</vt:i4>
      </vt:variant>
      <vt:variant>
        <vt:i4>60</vt:i4>
      </vt:variant>
      <vt:variant>
        <vt:i4>0</vt:i4>
      </vt:variant>
      <vt:variant>
        <vt:i4>5</vt:i4>
      </vt:variant>
      <vt:variant>
        <vt:lpwstr>http://www.nevo.co.il/case/11250688</vt:lpwstr>
      </vt:variant>
      <vt:variant>
        <vt:lpwstr/>
      </vt:variant>
      <vt:variant>
        <vt:i4>3342461</vt:i4>
      </vt:variant>
      <vt:variant>
        <vt:i4>57</vt:i4>
      </vt:variant>
      <vt:variant>
        <vt:i4>0</vt:i4>
      </vt:variant>
      <vt:variant>
        <vt:i4>5</vt:i4>
      </vt:variant>
      <vt:variant>
        <vt:lpwstr>http://www.nevo.co.il/case/2100382</vt:lpwstr>
      </vt:variant>
      <vt:variant>
        <vt:lpwstr/>
      </vt:variant>
      <vt:variant>
        <vt:i4>3932279</vt:i4>
      </vt:variant>
      <vt:variant>
        <vt:i4>54</vt:i4>
      </vt:variant>
      <vt:variant>
        <vt:i4>0</vt:i4>
      </vt:variant>
      <vt:variant>
        <vt:i4>5</vt:i4>
      </vt:variant>
      <vt:variant>
        <vt:lpwstr>http://www.nevo.co.il/case/4258499</vt:lpwstr>
      </vt:variant>
      <vt:variant>
        <vt:lpwstr/>
      </vt:variant>
      <vt:variant>
        <vt:i4>3342458</vt:i4>
      </vt:variant>
      <vt:variant>
        <vt:i4>51</vt:i4>
      </vt:variant>
      <vt:variant>
        <vt:i4>0</vt:i4>
      </vt:variant>
      <vt:variant>
        <vt:i4>5</vt:i4>
      </vt:variant>
      <vt:variant>
        <vt:lpwstr>http://www.nevo.co.il/case/5678001</vt:lpwstr>
      </vt:variant>
      <vt:variant>
        <vt:lpwstr/>
      </vt:variant>
      <vt:variant>
        <vt:i4>3407987</vt:i4>
      </vt:variant>
      <vt:variant>
        <vt:i4>48</vt:i4>
      </vt:variant>
      <vt:variant>
        <vt:i4>0</vt:i4>
      </vt:variant>
      <vt:variant>
        <vt:i4>5</vt:i4>
      </vt:variant>
      <vt:variant>
        <vt:lpwstr>http://www.nevo.co.il/case/13015506</vt:lpwstr>
      </vt:variant>
      <vt:variant>
        <vt:lpwstr/>
      </vt:variant>
      <vt:variant>
        <vt:i4>3604593</vt:i4>
      </vt:variant>
      <vt:variant>
        <vt:i4>45</vt:i4>
      </vt:variant>
      <vt:variant>
        <vt:i4>0</vt:i4>
      </vt:variant>
      <vt:variant>
        <vt:i4>5</vt:i4>
      </vt:variant>
      <vt:variant>
        <vt:lpwstr>http://www.nevo.co.il/case/5614477</vt:lpwstr>
      </vt:variant>
      <vt:variant>
        <vt:lpwstr/>
      </vt:variant>
      <vt:variant>
        <vt:i4>3211379</vt:i4>
      </vt:variant>
      <vt:variant>
        <vt:i4>42</vt:i4>
      </vt:variant>
      <vt:variant>
        <vt:i4>0</vt:i4>
      </vt:variant>
      <vt:variant>
        <vt:i4>5</vt:i4>
      </vt:variant>
      <vt:variant>
        <vt:lpwstr>http://www.nevo.co.il/case/6024035</vt:lpwstr>
      </vt:variant>
      <vt:variant>
        <vt:lpwstr/>
      </vt:variant>
      <vt:variant>
        <vt:i4>3735671</vt:i4>
      </vt:variant>
      <vt:variant>
        <vt:i4>39</vt:i4>
      </vt:variant>
      <vt:variant>
        <vt:i4>0</vt:i4>
      </vt:variant>
      <vt:variant>
        <vt:i4>5</vt:i4>
      </vt:variant>
      <vt:variant>
        <vt:lpwstr>http://www.nevo.co.il/case/5597217</vt:lpwstr>
      </vt:variant>
      <vt:variant>
        <vt:lpwstr/>
      </vt:variant>
      <vt:variant>
        <vt:i4>3539056</vt:i4>
      </vt:variant>
      <vt:variant>
        <vt:i4>36</vt:i4>
      </vt:variant>
      <vt:variant>
        <vt:i4>0</vt:i4>
      </vt:variant>
      <vt:variant>
        <vt:i4>5</vt:i4>
      </vt:variant>
      <vt:variant>
        <vt:lpwstr>http://www.nevo.co.il/case/6473037</vt:lpwstr>
      </vt:variant>
      <vt:variant>
        <vt:lpwstr/>
      </vt:variant>
      <vt:variant>
        <vt:i4>3539059</vt:i4>
      </vt:variant>
      <vt:variant>
        <vt:i4>33</vt:i4>
      </vt:variant>
      <vt:variant>
        <vt:i4>0</vt:i4>
      </vt:variant>
      <vt:variant>
        <vt:i4>5</vt:i4>
      </vt:variant>
      <vt:variant>
        <vt:lpwstr>http://www.nevo.co.il/case/5703734</vt:lpwstr>
      </vt:variant>
      <vt:variant>
        <vt:lpwstr/>
      </vt:variant>
      <vt:variant>
        <vt:i4>3342463</vt:i4>
      </vt:variant>
      <vt:variant>
        <vt:i4>30</vt:i4>
      </vt:variant>
      <vt:variant>
        <vt:i4>0</vt:i4>
      </vt:variant>
      <vt:variant>
        <vt:i4>5</vt:i4>
      </vt:variant>
      <vt:variant>
        <vt:lpwstr>http://www.nevo.co.il/case/5821327</vt:lpwstr>
      </vt:variant>
      <vt:variant>
        <vt:lpwstr/>
      </vt:variant>
      <vt:variant>
        <vt:i4>3342454</vt:i4>
      </vt:variant>
      <vt:variant>
        <vt:i4>27</vt:i4>
      </vt:variant>
      <vt:variant>
        <vt:i4>0</vt:i4>
      </vt:variant>
      <vt:variant>
        <vt:i4>5</vt:i4>
      </vt:variant>
      <vt:variant>
        <vt:lpwstr>http://www.nevo.co.il/case/5958231</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3473524</vt:i4>
      </vt:variant>
      <vt:variant>
        <vt:i4>18</vt:i4>
      </vt:variant>
      <vt:variant>
        <vt:i4>0</vt:i4>
      </vt:variant>
      <vt:variant>
        <vt:i4>5</vt:i4>
      </vt:variant>
      <vt:variant>
        <vt:lpwstr>http://www.nevo.co.il/case/18814987</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2025-01-19T15:58:00Z</dcterms:created>
  <dcterms:modified xsi:type="dcterms:W3CDTF">2025-01-19T15:58:00Z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27277</vt:lpwstr>
  </property>
  <property fmtid="{D5CDD505-2E9C-101B-9397-08002B2CF9AE}" pid="6" name="NEWPARTB">
    <vt:lpwstr>01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ראג'ב קעדאן</vt:lpwstr>
  </property>
  <property fmtid="{D5CDD505-2E9C-101B-9397-08002B2CF9AE}" pid="10" name="LAWYER">
    <vt:lpwstr>עינב אטסקו גולד ;עאדל בויראת</vt:lpwstr>
  </property>
  <property fmtid="{D5CDD505-2E9C-101B-9397-08002B2CF9AE}" pid="11" name="JUDGE">
    <vt:lpwstr>כמאל סעב</vt:lpwstr>
  </property>
  <property fmtid="{D5CDD505-2E9C-101B-9397-08002B2CF9AE}" pid="12" name="CITY">
    <vt:lpwstr>חי'</vt:lpwstr>
  </property>
  <property fmtid="{D5CDD505-2E9C-101B-9397-08002B2CF9AE}" pid="13" name="TYPE_N_DATE">
    <vt:lpwstr>39020150916</vt:lpwstr>
  </property>
  <property fmtid="{D5CDD505-2E9C-101B-9397-08002B2CF9AE}" pid="14" name="ISABSTRACT">
    <vt:lpwstr>Y</vt:lpwstr>
  </property>
  <property fmtid="{D5CDD505-2E9C-101B-9397-08002B2CF9AE}" pid="15" name="WORDNUMPAGES">
    <vt:lpwstr>13</vt:lpwstr>
  </property>
  <property fmtid="{D5CDD505-2E9C-101B-9397-08002B2CF9AE}" pid="16" name="APPELLANT1">
    <vt:lpwstr/>
  </property>
  <property fmtid="{D5CDD505-2E9C-101B-9397-08002B2CF9AE}" pid="17" name="APPELLANT2">
    <vt:lpwstr/>
  </property>
  <property fmtid="{D5CDD505-2E9C-101B-9397-08002B2CF9AE}" pid="18" name="APPELLEE1">
    <vt:lpwstr/>
  </property>
  <property fmtid="{D5CDD505-2E9C-101B-9397-08002B2CF9AE}" pid="19" name="APPELLEE2">
    <vt:lpwstr/>
  </property>
  <property fmtid="{D5CDD505-2E9C-101B-9397-08002B2CF9AE}" pid="20" name="PROCESS">
    <vt:lpwstr/>
  </property>
  <property fmtid="{D5CDD505-2E9C-101B-9397-08002B2CF9AE}" pid="21" name="PROCNUM">
    <vt:lpwstr/>
  </property>
  <property fmtid="{D5CDD505-2E9C-101B-9397-08002B2CF9AE}" pid="22" name="PROCYEAR">
    <vt:lpwstr/>
  </property>
  <property fmtid="{D5CDD505-2E9C-101B-9397-08002B2CF9AE}" pid="23" name="VOLUME">
    <vt:lpwstr/>
  </property>
  <property fmtid="{D5CDD505-2E9C-101B-9397-08002B2CF9AE}" pid="24" name="PART">
    <vt:lpwstr/>
  </property>
  <property fmtid="{D5CDD505-2E9C-101B-9397-08002B2CF9AE}" pid="25" name="PAGE">
    <vt:lpwstr/>
  </property>
  <property fmtid="{D5CDD505-2E9C-101B-9397-08002B2CF9AE}" pid="26" name="PADIMAIL">
    <vt:lpwstr/>
  </property>
  <property fmtid="{D5CDD505-2E9C-101B-9397-08002B2CF9AE}" pid="27" name="DELEMATA">
    <vt:lpwstr/>
  </property>
  <property fmtid="{D5CDD505-2E9C-101B-9397-08002B2CF9AE}" pid="28" name="LINKK1">
    <vt:lpwstr/>
  </property>
  <property fmtid="{D5CDD505-2E9C-101B-9397-08002B2CF9AE}" pid="29" name="LINKK2">
    <vt:lpwstr/>
  </property>
  <property fmtid="{D5CDD505-2E9C-101B-9397-08002B2CF9AE}" pid="30" name="LINKK3">
    <vt:lpwstr/>
  </property>
  <property fmtid="{D5CDD505-2E9C-101B-9397-08002B2CF9AE}" pid="31" name="LINKK4">
    <vt:lpwstr/>
  </property>
  <property fmtid="{D5CDD505-2E9C-101B-9397-08002B2CF9AE}" pid="32" name="LINKK5">
    <vt:lpwstr/>
  </property>
  <property fmtid="{D5CDD505-2E9C-101B-9397-08002B2CF9AE}" pid="33" name="CASESLISTTMP1">
    <vt:lpwstr>18814987;5958231;5821327;5703734;6473037;5597217;6024035;5614477;13015506;5678001;4258499;2100382;11250688;7791493;18720163;20154414;18107456;17941073;5882592;5762686;13104267;6159820;6248029</vt:lpwstr>
  </property>
  <property fmtid="{D5CDD505-2E9C-101B-9397-08002B2CF9AE}" pid="34" name="LAWLISTTMP1">
    <vt:lpwstr>70301/144.a:4</vt:lpwstr>
  </property>
  <property fmtid="{D5CDD505-2E9C-101B-9397-08002B2CF9AE}" pid="35" name="DATE">
    <vt:lpwstr>20150916</vt:lpwstr>
  </property>
  <property fmtid="{D5CDD505-2E9C-101B-9397-08002B2CF9AE}" pid="36" name="TYPE_ABS_DATE">
    <vt:lpwstr>390020150916</vt:lpwstr>
  </property>
</Properties>
</file>