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244"/>
        <w:gridCol w:w="3261"/>
      </w:tblGrid>
      <w:tr w:rsidR="001A58A0" w:rsidRPr="009B3B47" w14:paraId="2E340B86" w14:textId="77777777">
        <w:trPr>
          <w:trHeight w:hRule="exact" w:val="418"/>
          <w:jc w:val="center"/>
        </w:trPr>
        <w:tc>
          <w:tcPr>
            <w:tcW w:w="8505" w:type="dxa"/>
            <w:gridSpan w:val="2"/>
          </w:tcPr>
          <w:p w14:paraId="1AB50957" w14:textId="77777777" w:rsidR="001A58A0" w:rsidRPr="009B3B47" w:rsidRDefault="009B3B47">
            <w:pPr>
              <w:pStyle w:val="a3"/>
              <w:jc w:val="center"/>
              <w:rPr>
                <w:rFonts w:ascii="Tahoma" w:hAnsi="Tahoma" w:cs="Tahoma"/>
                <w:color w:val="000080"/>
                <w:rtl/>
              </w:rPr>
            </w:pPr>
            <w:bookmarkStart w:id="0" w:name="LastJudge"/>
            <w:r w:rsidRPr="009B3B47">
              <w:rPr>
                <w:rFonts w:ascii="Tahoma" w:hAnsi="Tahoma" w:cs="Tahoma"/>
                <w:b/>
                <w:bCs/>
                <w:color w:val="000080"/>
                <w:rtl/>
              </w:rPr>
              <w:t>בית המשפט המחוזי בחיפה</w:t>
            </w:r>
          </w:p>
        </w:tc>
      </w:tr>
      <w:tr w:rsidR="001A58A0" w:rsidRPr="009B3B47" w14:paraId="4DEA7556" w14:textId="77777777">
        <w:trPr>
          <w:trHeight w:val="337"/>
          <w:jc w:val="center"/>
        </w:trPr>
        <w:tc>
          <w:tcPr>
            <w:tcW w:w="5244" w:type="dxa"/>
          </w:tcPr>
          <w:p w14:paraId="1DAAE102" w14:textId="77777777" w:rsidR="001A58A0" w:rsidRPr="009B3B47" w:rsidRDefault="009B3B47">
            <w:pPr>
              <w:rPr>
                <w:rFonts w:hint="cs"/>
                <w:sz w:val="28"/>
                <w:szCs w:val="28"/>
                <w:rtl/>
              </w:rPr>
            </w:pPr>
            <w:r w:rsidRPr="009B3B47">
              <w:rPr>
                <w:sz w:val="28"/>
                <w:szCs w:val="28"/>
                <w:rtl/>
              </w:rPr>
              <w:t>ת"פ</w:t>
            </w:r>
            <w:r w:rsidRPr="009B3B47">
              <w:rPr>
                <w:rFonts w:hint="cs"/>
                <w:sz w:val="28"/>
                <w:szCs w:val="28"/>
                <w:rtl/>
              </w:rPr>
              <w:t xml:space="preserve"> </w:t>
            </w:r>
            <w:r w:rsidRPr="009B3B47">
              <w:rPr>
                <w:sz w:val="28"/>
                <w:szCs w:val="28"/>
                <w:rtl/>
              </w:rPr>
              <w:t>34344-01-15</w:t>
            </w:r>
            <w:r w:rsidRPr="009B3B47">
              <w:rPr>
                <w:rFonts w:hint="cs"/>
                <w:sz w:val="28"/>
                <w:szCs w:val="28"/>
                <w:rtl/>
              </w:rPr>
              <w:t xml:space="preserve"> </w:t>
            </w:r>
            <w:r w:rsidRPr="009B3B47">
              <w:rPr>
                <w:sz w:val="28"/>
                <w:szCs w:val="28"/>
                <w:rtl/>
              </w:rPr>
              <w:t>מדינת ישראל נ' אמארה</w:t>
            </w:r>
            <w:r w:rsidRPr="009B3B47">
              <w:rPr>
                <w:rFonts w:hint="cs"/>
                <w:sz w:val="28"/>
                <w:szCs w:val="28"/>
                <w:rtl/>
              </w:rPr>
              <w:t xml:space="preserve"> </w:t>
            </w:r>
          </w:p>
          <w:p w14:paraId="3F86CE96" w14:textId="77777777" w:rsidR="001A58A0" w:rsidRPr="009B3B47" w:rsidRDefault="001A58A0">
            <w:pPr>
              <w:pStyle w:val="a3"/>
              <w:rPr>
                <w:rFonts w:cs="FrankRuehl"/>
                <w:sz w:val="28"/>
                <w:szCs w:val="28"/>
                <w:rtl/>
              </w:rPr>
            </w:pPr>
          </w:p>
        </w:tc>
        <w:tc>
          <w:tcPr>
            <w:tcW w:w="3261" w:type="dxa"/>
          </w:tcPr>
          <w:p w14:paraId="31B0278F" w14:textId="77777777" w:rsidR="001A58A0" w:rsidRPr="009B3B47" w:rsidRDefault="009B3B47">
            <w:pPr>
              <w:pStyle w:val="a3"/>
              <w:jc w:val="right"/>
              <w:rPr>
                <w:rFonts w:cs="FrankRuehl"/>
                <w:sz w:val="28"/>
                <w:szCs w:val="28"/>
                <w:rtl/>
              </w:rPr>
            </w:pPr>
            <w:r w:rsidRPr="009B3B47">
              <w:rPr>
                <w:rFonts w:hint="cs"/>
                <w:b/>
                <w:bCs/>
                <w:rtl/>
              </w:rPr>
              <w:t>15.07.15</w:t>
            </w:r>
          </w:p>
        </w:tc>
      </w:tr>
    </w:tbl>
    <w:p w14:paraId="36A43CA9" w14:textId="77777777" w:rsidR="001A58A0" w:rsidRPr="009B3B47" w:rsidRDefault="009B3B47">
      <w:pPr>
        <w:pStyle w:val="a3"/>
        <w:rPr>
          <w:rtl/>
        </w:rPr>
      </w:pPr>
      <w:r w:rsidRPr="009B3B47">
        <w:rPr>
          <w:rFonts w:hint="cs"/>
          <w:rtl/>
        </w:rPr>
        <w:t xml:space="preserve"> </w:t>
      </w:r>
    </w:p>
    <w:p w14:paraId="55B7DFC2" w14:textId="77777777" w:rsidR="001A58A0" w:rsidRPr="009B3B47" w:rsidRDefault="001A58A0">
      <w:pPr>
        <w:jc w:val="right"/>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1"/>
        <w:gridCol w:w="6379"/>
      </w:tblGrid>
      <w:tr w:rsidR="001A58A0" w:rsidRPr="009B3B47" w14:paraId="59E7EA97" w14:textId="77777777">
        <w:trPr>
          <w:trHeight w:val="295"/>
          <w:jc w:val="center"/>
        </w:trPr>
        <w:tc>
          <w:tcPr>
            <w:tcW w:w="2441" w:type="dxa"/>
            <w:tcBorders>
              <w:top w:val="nil"/>
              <w:left w:val="nil"/>
              <w:bottom w:val="nil"/>
              <w:right w:val="nil"/>
            </w:tcBorders>
          </w:tcPr>
          <w:p w14:paraId="0A0FF071" w14:textId="77777777" w:rsidR="001A58A0" w:rsidRPr="009B3B47" w:rsidRDefault="009B3B47">
            <w:pPr>
              <w:jc w:val="both"/>
              <w:rPr>
                <w:rFonts w:ascii="Arial" w:hAnsi="Arial"/>
              </w:rPr>
            </w:pPr>
            <w:r w:rsidRPr="009B3B47">
              <w:rPr>
                <w:rFonts w:ascii="Arial" w:hAnsi="Arial" w:hint="cs"/>
                <w:rtl/>
              </w:rPr>
              <w:t>ב</w:t>
            </w:r>
            <w:r w:rsidRPr="009B3B47">
              <w:rPr>
                <w:rFonts w:ascii="Arial" w:hAnsi="Arial"/>
                <w:rtl/>
              </w:rPr>
              <w:t xml:space="preserve">פני </w:t>
            </w:r>
          </w:p>
        </w:tc>
        <w:tc>
          <w:tcPr>
            <w:tcW w:w="6379" w:type="dxa"/>
            <w:tcBorders>
              <w:top w:val="nil"/>
              <w:left w:val="nil"/>
              <w:bottom w:val="nil"/>
              <w:right w:val="nil"/>
            </w:tcBorders>
          </w:tcPr>
          <w:p w14:paraId="2087E629" w14:textId="77777777" w:rsidR="001A58A0" w:rsidRPr="009B3B47" w:rsidRDefault="009B3B47">
            <w:pPr>
              <w:rPr>
                <w:rFonts w:ascii="Arial" w:hAnsi="Arial"/>
                <w:b/>
                <w:bCs/>
                <w:rtl/>
              </w:rPr>
            </w:pPr>
            <w:r w:rsidRPr="009B3B47">
              <w:rPr>
                <w:rFonts w:ascii="Arial" w:hAnsi="Arial" w:hint="cs"/>
                <w:b/>
                <w:bCs/>
                <w:rtl/>
              </w:rPr>
              <w:t>כבוד ה</w:t>
            </w:r>
            <w:r w:rsidRPr="009B3B47">
              <w:rPr>
                <w:rFonts w:hint="cs"/>
                <w:rtl/>
              </w:rPr>
              <w:t>שופט</w:t>
            </w:r>
            <w:r w:rsidRPr="009B3B47">
              <w:rPr>
                <w:rFonts w:ascii="Arial" w:hAnsi="Arial" w:hint="cs"/>
                <w:b/>
                <w:bCs/>
                <w:rtl/>
              </w:rPr>
              <w:t xml:space="preserve">  </w:t>
            </w:r>
            <w:r w:rsidRPr="009B3B47">
              <w:rPr>
                <w:rFonts w:hint="cs"/>
                <w:rtl/>
              </w:rPr>
              <w:t>כמאל סעב</w:t>
            </w:r>
          </w:p>
          <w:p w14:paraId="189574D6" w14:textId="77777777" w:rsidR="001A58A0" w:rsidRPr="009B3B47" w:rsidRDefault="001A58A0">
            <w:pPr>
              <w:rPr>
                <w:rtl/>
              </w:rPr>
            </w:pPr>
          </w:p>
          <w:p w14:paraId="38AFE339" w14:textId="77777777" w:rsidR="001A58A0" w:rsidRPr="009B3B47" w:rsidRDefault="001A58A0">
            <w:pPr>
              <w:rPr>
                <w:rtl/>
              </w:rPr>
            </w:pPr>
          </w:p>
          <w:p w14:paraId="4EACE55C" w14:textId="77777777" w:rsidR="001A58A0" w:rsidRPr="009B3B47" w:rsidRDefault="001A58A0">
            <w:pPr>
              <w:jc w:val="both"/>
              <w:rPr>
                <w:rFonts w:ascii="Arial" w:hAnsi="Arial"/>
              </w:rPr>
            </w:pPr>
          </w:p>
        </w:tc>
      </w:tr>
      <w:tr w:rsidR="001A58A0" w:rsidRPr="009B3B47" w14:paraId="761A425B" w14:textId="77777777">
        <w:tblPrEx>
          <w:jc w:val="left"/>
          <w:tblLook w:val="04A0" w:firstRow="1" w:lastRow="0" w:firstColumn="1" w:lastColumn="0" w:noHBand="0" w:noVBand="1"/>
        </w:tblPrEx>
        <w:tc>
          <w:tcPr>
            <w:tcW w:w="2441" w:type="dxa"/>
            <w:tcBorders>
              <w:top w:val="nil"/>
              <w:left w:val="nil"/>
              <w:bottom w:val="nil"/>
              <w:right w:val="nil"/>
            </w:tcBorders>
          </w:tcPr>
          <w:p w14:paraId="311F7979" w14:textId="77777777" w:rsidR="001A58A0" w:rsidRPr="009B3B47" w:rsidRDefault="009B3B47">
            <w:pPr>
              <w:ind w:left="26"/>
              <w:rPr>
                <w:b/>
                <w:bCs/>
                <w:sz w:val="26"/>
                <w:szCs w:val="26"/>
              </w:rPr>
            </w:pPr>
            <w:bookmarkStart w:id="1" w:name="FirstAppellant"/>
            <w:r w:rsidRPr="009B3B47">
              <w:rPr>
                <w:rFonts w:hint="cs"/>
                <w:b/>
                <w:bCs/>
                <w:sz w:val="26"/>
                <w:szCs w:val="26"/>
                <w:rtl/>
              </w:rPr>
              <w:t>ה</w:t>
            </w:r>
            <w:r w:rsidRPr="009B3B47">
              <w:rPr>
                <w:rFonts w:hint="cs"/>
                <w:rtl/>
              </w:rPr>
              <w:t>מאשימה</w:t>
            </w:r>
          </w:p>
        </w:tc>
        <w:tc>
          <w:tcPr>
            <w:tcW w:w="6379" w:type="dxa"/>
            <w:tcBorders>
              <w:top w:val="nil"/>
              <w:left w:val="nil"/>
              <w:bottom w:val="nil"/>
              <w:right w:val="nil"/>
            </w:tcBorders>
          </w:tcPr>
          <w:p w14:paraId="1F83EFE6" w14:textId="77777777" w:rsidR="001A58A0" w:rsidRPr="009B3B47" w:rsidRDefault="009B3B47">
            <w:pPr>
              <w:rPr>
                <w:b/>
                <w:bCs/>
                <w:sz w:val="26"/>
                <w:szCs w:val="26"/>
                <w:rtl/>
              </w:rPr>
            </w:pPr>
            <w:r w:rsidRPr="009B3B47">
              <w:rPr>
                <w:rFonts w:hint="cs"/>
                <w:rtl/>
              </w:rPr>
              <w:t>מדינת ישראל</w:t>
            </w:r>
          </w:p>
          <w:p w14:paraId="23971556" w14:textId="77777777" w:rsidR="001A58A0" w:rsidRPr="009B3B47" w:rsidRDefault="001A58A0">
            <w:pPr>
              <w:rPr>
                <w:b/>
                <w:bCs/>
                <w:sz w:val="26"/>
                <w:szCs w:val="26"/>
                <w:rtl/>
              </w:rPr>
            </w:pPr>
          </w:p>
        </w:tc>
      </w:tr>
      <w:bookmarkEnd w:id="1"/>
      <w:tr w:rsidR="001A58A0" w:rsidRPr="009B3B47" w14:paraId="585E4A50" w14:textId="77777777">
        <w:tblPrEx>
          <w:jc w:val="left"/>
          <w:tblLook w:val="04A0" w:firstRow="1" w:lastRow="0" w:firstColumn="1" w:lastColumn="0" w:noHBand="0" w:noVBand="1"/>
        </w:tblPrEx>
        <w:trPr>
          <w:gridAfter w:val="1"/>
          <w:wAfter w:w="6379" w:type="dxa"/>
        </w:trPr>
        <w:tc>
          <w:tcPr>
            <w:tcW w:w="2441" w:type="dxa"/>
            <w:tcBorders>
              <w:top w:val="nil"/>
              <w:left w:val="nil"/>
              <w:bottom w:val="nil"/>
              <w:right w:val="nil"/>
            </w:tcBorders>
          </w:tcPr>
          <w:p w14:paraId="68708D26" w14:textId="77777777" w:rsidR="001A58A0" w:rsidRPr="009B3B47" w:rsidRDefault="009B3B47">
            <w:pPr>
              <w:jc w:val="center"/>
              <w:rPr>
                <w:rFonts w:ascii="Arial" w:hAnsi="Arial"/>
                <w:b/>
                <w:bCs/>
                <w:sz w:val="26"/>
                <w:szCs w:val="26"/>
                <w:rtl/>
              </w:rPr>
            </w:pPr>
            <w:r w:rsidRPr="009B3B47">
              <w:rPr>
                <w:rFonts w:ascii="Arial" w:hAnsi="Arial" w:hint="cs"/>
                <w:b/>
                <w:bCs/>
                <w:sz w:val="26"/>
                <w:szCs w:val="26"/>
                <w:rtl/>
              </w:rPr>
              <w:t xml:space="preserve">                                </w:t>
            </w:r>
          </w:p>
          <w:p w14:paraId="40E3E0D1" w14:textId="77777777" w:rsidR="001A58A0" w:rsidRPr="009B3B47" w:rsidRDefault="009B3B47">
            <w:pPr>
              <w:jc w:val="right"/>
              <w:rPr>
                <w:rFonts w:ascii="Arial" w:hAnsi="Arial"/>
                <w:b/>
                <w:bCs/>
                <w:sz w:val="26"/>
                <w:szCs w:val="26"/>
                <w:rtl/>
              </w:rPr>
            </w:pPr>
            <w:r w:rsidRPr="009B3B47">
              <w:rPr>
                <w:rFonts w:ascii="Arial" w:hAnsi="Arial" w:hint="cs"/>
                <w:b/>
                <w:bCs/>
                <w:sz w:val="26"/>
                <w:szCs w:val="26"/>
                <w:rtl/>
              </w:rPr>
              <w:t xml:space="preserve">                                                  נגד</w:t>
            </w:r>
          </w:p>
          <w:p w14:paraId="01348EFE" w14:textId="77777777" w:rsidR="001A58A0" w:rsidRPr="009B3B47" w:rsidRDefault="001A58A0">
            <w:pPr>
              <w:jc w:val="center"/>
              <w:rPr>
                <w:rFonts w:ascii="Arial" w:hAnsi="Arial"/>
                <w:b/>
                <w:bCs/>
                <w:sz w:val="26"/>
                <w:szCs w:val="26"/>
                <w:rtl/>
              </w:rPr>
            </w:pPr>
          </w:p>
        </w:tc>
      </w:tr>
      <w:tr w:rsidR="001A58A0" w:rsidRPr="009B3B47" w14:paraId="59C29A9C" w14:textId="77777777">
        <w:tblPrEx>
          <w:jc w:val="left"/>
          <w:tblLook w:val="04A0" w:firstRow="1" w:lastRow="0" w:firstColumn="1" w:lastColumn="0" w:noHBand="0" w:noVBand="1"/>
        </w:tblPrEx>
        <w:trPr>
          <w:gridAfter w:val="1"/>
          <w:wAfter w:w="6379" w:type="dxa"/>
        </w:trPr>
        <w:tc>
          <w:tcPr>
            <w:tcW w:w="2441" w:type="dxa"/>
            <w:tcBorders>
              <w:top w:val="nil"/>
              <w:left w:val="nil"/>
              <w:bottom w:val="nil"/>
              <w:right w:val="nil"/>
            </w:tcBorders>
          </w:tcPr>
          <w:p w14:paraId="3455C711" w14:textId="77777777" w:rsidR="001A58A0" w:rsidRPr="009B3B47" w:rsidRDefault="001A58A0">
            <w:pPr>
              <w:jc w:val="center"/>
              <w:rPr>
                <w:rFonts w:ascii="Arial" w:hAnsi="Arial"/>
                <w:b/>
                <w:bCs/>
                <w:sz w:val="26"/>
                <w:szCs w:val="26"/>
                <w:rtl/>
              </w:rPr>
            </w:pPr>
          </w:p>
        </w:tc>
      </w:tr>
      <w:tr w:rsidR="001A58A0" w:rsidRPr="009B3B47" w14:paraId="661FCFB4" w14:textId="77777777">
        <w:tblPrEx>
          <w:jc w:val="left"/>
          <w:tblLook w:val="04A0" w:firstRow="1" w:lastRow="0" w:firstColumn="1" w:lastColumn="0" w:noHBand="0" w:noVBand="1"/>
        </w:tblPrEx>
        <w:trPr>
          <w:gridAfter w:val="1"/>
          <w:wAfter w:w="6379" w:type="dxa"/>
        </w:trPr>
        <w:tc>
          <w:tcPr>
            <w:tcW w:w="2441" w:type="dxa"/>
            <w:tcBorders>
              <w:top w:val="nil"/>
              <w:left w:val="nil"/>
              <w:bottom w:val="nil"/>
              <w:right w:val="nil"/>
            </w:tcBorders>
          </w:tcPr>
          <w:p w14:paraId="19B23ECC" w14:textId="77777777" w:rsidR="001A58A0" w:rsidRPr="009B3B47" w:rsidRDefault="001A58A0">
            <w:pPr>
              <w:jc w:val="center"/>
              <w:rPr>
                <w:rFonts w:ascii="Arial" w:hAnsi="Arial"/>
                <w:b/>
                <w:bCs/>
                <w:sz w:val="26"/>
                <w:szCs w:val="26"/>
                <w:rtl/>
              </w:rPr>
            </w:pPr>
          </w:p>
        </w:tc>
      </w:tr>
      <w:tr w:rsidR="001A58A0" w:rsidRPr="009B3B47" w14:paraId="05812376" w14:textId="77777777">
        <w:tblPrEx>
          <w:jc w:val="left"/>
          <w:tblLook w:val="04A0" w:firstRow="1" w:lastRow="0" w:firstColumn="1" w:lastColumn="0" w:noHBand="0" w:noVBand="1"/>
        </w:tblPrEx>
        <w:tc>
          <w:tcPr>
            <w:tcW w:w="2441" w:type="dxa"/>
            <w:tcBorders>
              <w:top w:val="nil"/>
              <w:left w:val="nil"/>
              <w:bottom w:val="nil"/>
              <w:right w:val="nil"/>
            </w:tcBorders>
          </w:tcPr>
          <w:p w14:paraId="6D70240C" w14:textId="77777777" w:rsidR="001A58A0" w:rsidRPr="009B3B47" w:rsidRDefault="009B3B47">
            <w:pPr>
              <w:ind w:left="26"/>
              <w:rPr>
                <w:b/>
                <w:bCs/>
                <w:sz w:val="26"/>
                <w:szCs w:val="26"/>
              </w:rPr>
            </w:pPr>
            <w:r w:rsidRPr="009B3B47">
              <w:rPr>
                <w:rFonts w:hint="cs"/>
                <w:b/>
                <w:bCs/>
                <w:sz w:val="26"/>
                <w:szCs w:val="26"/>
                <w:rtl/>
              </w:rPr>
              <w:t>ה</w:t>
            </w:r>
            <w:r w:rsidRPr="009B3B47">
              <w:rPr>
                <w:rFonts w:hint="cs"/>
                <w:rtl/>
              </w:rPr>
              <w:t>נאשם</w:t>
            </w:r>
          </w:p>
        </w:tc>
        <w:tc>
          <w:tcPr>
            <w:tcW w:w="6379" w:type="dxa"/>
            <w:tcBorders>
              <w:top w:val="nil"/>
              <w:left w:val="nil"/>
              <w:bottom w:val="nil"/>
              <w:right w:val="nil"/>
            </w:tcBorders>
          </w:tcPr>
          <w:p w14:paraId="0223E3A3" w14:textId="77777777" w:rsidR="001A58A0" w:rsidRPr="009B3B47" w:rsidRDefault="003D2D2B">
            <w:pPr>
              <w:rPr>
                <w:b/>
                <w:bCs/>
                <w:sz w:val="26"/>
                <w:szCs w:val="26"/>
                <w:rtl/>
              </w:rPr>
            </w:pPr>
            <w:r>
              <w:rPr>
                <w:rFonts w:hint="cs"/>
                <w:rtl/>
              </w:rPr>
              <w:t xml:space="preserve">עלי אמארה </w:t>
            </w:r>
            <w:r w:rsidR="009B3B47" w:rsidRPr="009B3B47">
              <w:rPr>
                <w:rFonts w:hint="cs"/>
                <w:rtl/>
              </w:rPr>
              <w:t>, ת"ז 303114326</w:t>
            </w:r>
          </w:p>
          <w:p w14:paraId="35E0A0AF" w14:textId="77777777" w:rsidR="001A58A0" w:rsidRPr="009B3B47" w:rsidRDefault="001A58A0">
            <w:pPr>
              <w:rPr>
                <w:b/>
                <w:bCs/>
                <w:sz w:val="26"/>
                <w:szCs w:val="26"/>
                <w:rtl/>
              </w:rPr>
            </w:pPr>
          </w:p>
        </w:tc>
      </w:tr>
    </w:tbl>
    <w:p w14:paraId="463A0DBB" w14:textId="77777777" w:rsidR="001A58A0" w:rsidRPr="009B3B47" w:rsidRDefault="001A58A0">
      <w:pPr>
        <w:rPr>
          <w:rtl/>
        </w:rPr>
      </w:pPr>
    </w:p>
    <w:p w14:paraId="3C2D8AB0" w14:textId="77777777" w:rsidR="001A58A0" w:rsidRPr="009B3B47" w:rsidRDefault="009B3B47">
      <w:pPr>
        <w:spacing w:line="360" w:lineRule="auto"/>
        <w:rPr>
          <w:rtl/>
        </w:rPr>
      </w:pPr>
      <w:bookmarkStart w:id="2" w:name="FirstLawyer"/>
      <w:r w:rsidRPr="009B3B47">
        <w:rPr>
          <w:rFonts w:hint="cs"/>
          <w:rtl/>
        </w:rPr>
        <w:t>בשם</w:t>
      </w:r>
      <w:bookmarkEnd w:id="2"/>
      <w:r w:rsidRPr="009B3B47">
        <w:rPr>
          <w:rFonts w:hint="cs"/>
          <w:rtl/>
        </w:rPr>
        <w:t xml:space="preserve"> המאשימה: עו"ד הגב' שונית קדם-נימצן</w:t>
      </w:r>
    </w:p>
    <w:p w14:paraId="3A2E4DEA" w14:textId="77777777" w:rsidR="002E3E6E" w:rsidRDefault="009B3B47" w:rsidP="002E3E6E">
      <w:pPr>
        <w:spacing w:line="360" w:lineRule="auto"/>
        <w:rPr>
          <w:rtl/>
        </w:rPr>
      </w:pPr>
      <w:r w:rsidRPr="009B3B47">
        <w:rPr>
          <w:rFonts w:hint="cs"/>
          <w:rtl/>
        </w:rPr>
        <w:t>בשם הנאשם: עו"ד ח'אלד אמאר</w:t>
      </w:r>
      <w:bookmarkStart w:id="3" w:name="LawTable"/>
      <w:bookmarkEnd w:id="3"/>
    </w:p>
    <w:p w14:paraId="1D6FEAE4" w14:textId="77777777" w:rsidR="002E3E6E" w:rsidRPr="002E3E6E" w:rsidRDefault="002E3E6E" w:rsidP="002E3E6E">
      <w:pPr>
        <w:spacing w:after="120" w:line="240" w:lineRule="exact"/>
        <w:ind w:left="283" w:hanging="283"/>
        <w:jc w:val="both"/>
        <w:rPr>
          <w:rFonts w:ascii="FrankRuehl" w:hAnsi="FrankRuehl" w:cs="FrankRuehl"/>
          <w:rtl/>
        </w:rPr>
      </w:pPr>
    </w:p>
    <w:p w14:paraId="69930158" w14:textId="77777777" w:rsidR="002E3E6E" w:rsidRPr="002E3E6E" w:rsidRDefault="002E3E6E" w:rsidP="002E3E6E">
      <w:pPr>
        <w:spacing w:after="120" w:line="240" w:lineRule="exact"/>
        <w:ind w:left="283" w:hanging="283"/>
        <w:jc w:val="both"/>
        <w:rPr>
          <w:rFonts w:ascii="FrankRuehl" w:hAnsi="FrankRuehl" w:cs="FrankRuehl"/>
          <w:rtl/>
        </w:rPr>
      </w:pPr>
      <w:r w:rsidRPr="002E3E6E">
        <w:rPr>
          <w:rFonts w:ascii="FrankRuehl" w:hAnsi="FrankRuehl" w:cs="FrankRuehl"/>
          <w:rtl/>
        </w:rPr>
        <w:t xml:space="preserve">חקיקה שאוזכרה: </w:t>
      </w:r>
    </w:p>
    <w:p w14:paraId="47A788FA" w14:textId="77777777" w:rsidR="002E3E6E" w:rsidRPr="002E3E6E" w:rsidRDefault="002E3E6E" w:rsidP="002E3E6E">
      <w:pPr>
        <w:spacing w:after="120" w:line="240" w:lineRule="exact"/>
        <w:ind w:left="283" w:hanging="283"/>
        <w:jc w:val="both"/>
        <w:rPr>
          <w:rFonts w:ascii="FrankRuehl" w:hAnsi="FrankRuehl" w:cs="FrankRuehl"/>
          <w:rtl/>
        </w:rPr>
      </w:pPr>
      <w:hyperlink r:id="rId7" w:history="1">
        <w:r w:rsidRPr="002E3E6E">
          <w:rPr>
            <w:rFonts w:ascii="FrankRuehl" w:hAnsi="FrankRuehl" w:cs="FrankRuehl"/>
            <w:color w:val="0000FF"/>
            <w:u w:val="single"/>
            <w:rtl/>
          </w:rPr>
          <w:t>חוק העונשין, תשל"ז-1977</w:t>
        </w:r>
      </w:hyperlink>
      <w:r w:rsidRPr="002E3E6E">
        <w:rPr>
          <w:rFonts w:ascii="FrankRuehl" w:hAnsi="FrankRuehl" w:cs="FrankRuehl"/>
          <w:rtl/>
        </w:rPr>
        <w:t xml:space="preserve">: סע'  </w:t>
      </w:r>
      <w:hyperlink r:id="rId8" w:history="1">
        <w:r w:rsidRPr="002E3E6E">
          <w:rPr>
            <w:rFonts w:ascii="FrankRuehl" w:hAnsi="FrankRuehl" w:cs="FrankRuehl"/>
            <w:color w:val="0000FF"/>
            <w:u w:val="single"/>
            <w:rtl/>
          </w:rPr>
          <w:t>144(א)</w:t>
        </w:r>
      </w:hyperlink>
      <w:r w:rsidRPr="002E3E6E">
        <w:rPr>
          <w:rFonts w:ascii="FrankRuehl" w:hAnsi="FrankRuehl" w:cs="FrankRuehl"/>
          <w:rtl/>
        </w:rPr>
        <w:t xml:space="preserve">, </w:t>
      </w:r>
      <w:hyperlink r:id="rId9" w:history="1">
        <w:r w:rsidRPr="002E3E6E">
          <w:rPr>
            <w:rFonts w:ascii="FrankRuehl" w:hAnsi="FrankRuehl" w:cs="FrankRuehl"/>
            <w:color w:val="0000FF"/>
            <w:u w:val="single"/>
            <w:rtl/>
          </w:rPr>
          <w:t>144(א)(ב)</w:t>
        </w:r>
      </w:hyperlink>
      <w:r w:rsidRPr="002E3E6E">
        <w:rPr>
          <w:rFonts w:ascii="FrankRuehl" w:hAnsi="FrankRuehl" w:cs="FrankRuehl"/>
          <w:rtl/>
        </w:rPr>
        <w:t xml:space="preserve">, </w:t>
      </w:r>
      <w:hyperlink r:id="rId10" w:history="1">
        <w:r w:rsidRPr="002E3E6E">
          <w:rPr>
            <w:rFonts w:ascii="FrankRuehl" w:hAnsi="FrankRuehl" w:cs="FrankRuehl"/>
            <w:color w:val="0000FF"/>
            <w:u w:val="single"/>
            <w:rtl/>
          </w:rPr>
          <w:t>144(ב2)</w:t>
        </w:r>
      </w:hyperlink>
    </w:p>
    <w:p w14:paraId="013EA9E7" w14:textId="77777777" w:rsidR="002E3E6E" w:rsidRPr="002E3E6E" w:rsidRDefault="002E3E6E" w:rsidP="002E3E6E">
      <w:pPr>
        <w:spacing w:after="120" w:line="240" w:lineRule="exact"/>
        <w:ind w:left="283" w:hanging="283"/>
        <w:jc w:val="both"/>
        <w:rPr>
          <w:rFonts w:ascii="FrankRuehl" w:hAnsi="FrankRuehl" w:cs="FrankRuehl"/>
          <w:rtl/>
        </w:rPr>
      </w:pPr>
      <w:hyperlink r:id="rId11" w:history="1">
        <w:r w:rsidRPr="002E3E6E">
          <w:rPr>
            <w:rFonts w:ascii="FrankRuehl" w:hAnsi="FrankRuehl" w:cs="FrankRuehl"/>
            <w:color w:val="0000FF"/>
            <w:u w:val="single"/>
            <w:rtl/>
          </w:rPr>
          <w:t>פקודת התעבורה [נוסח חדש]</w:t>
        </w:r>
      </w:hyperlink>
      <w:r w:rsidRPr="002E3E6E">
        <w:rPr>
          <w:rFonts w:ascii="FrankRuehl" w:hAnsi="FrankRuehl" w:cs="FrankRuehl"/>
          <w:rtl/>
        </w:rPr>
        <w:t xml:space="preserve">: סע'  </w:t>
      </w:r>
      <w:hyperlink r:id="rId12" w:history="1">
        <w:r w:rsidRPr="002E3E6E">
          <w:rPr>
            <w:rFonts w:ascii="FrankRuehl" w:hAnsi="FrankRuehl" w:cs="FrankRuehl"/>
            <w:color w:val="0000FF"/>
            <w:u w:val="single"/>
            <w:rtl/>
          </w:rPr>
          <w:t>2</w:t>
        </w:r>
      </w:hyperlink>
    </w:p>
    <w:p w14:paraId="5C08B68B" w14:textId="77777777" w:rsidR="002E3E6E" w:rsidRPr="002E3E6E" w:rsidRDefault="002E3E6E" w:rsidP="002E3E6E">
      <w:pPr>
        <w:spacing w:after="120" w:line="240" w:lineRule="exact"/>
        <w:ind w:left="283" w:hanging="283"/>
        <w:jc w:val="both"/>
        <w:rPr>
          <w:rFonts w:ascii="FrankRuehl" w:hAnsi="FrankRuehl" w:cs="FrankRuehl"/>
          <w:rtl/>
        </w:rPr>
      </w:pPr>
      <w:hyperlink r:id="rId13" w:history="1">
        <w:r w:rsidRPr="002E3E6E">
          <w:rPr>
            <w:rFonts w:ascii="FrankRuehl" w:hAnsi="FrankRuehl" w:cs="FrankRuehl"/>
            <w:color w:val="0000FF"/>
            <w:u w:val="single"/>
            <w:rtl/>
          </w:rPr>
          <w:t>פקודת ביטוח רכב מנועי [נוסח חדש], תש"ל-1970</w:t>
        </w:r>
      </w:hyperlink>
      <w:r w:rsidRPr="002E3E6E">
        <w:rPr>
          <w:rFonts w:ascii="FrankRuehl" w:hAnsi="FrankRuehl" w:cs="FrankRuehl"/>
          <w:rtl/>
        </w:rPr>
        <w:t xml:space="preserve">: סע'  </w:t>
      </w:r>
      <w:hyperlink r:id="rId14" w:history="1">
        <w:r w:rsidRPr="002E3E6E">
          <w:rPr>
            <w:rFonts w:ascii="FrankRuehl" w:hAnsi="FrankRuehl" w:cs="FrankRuehl"/>
            <w:color w:val="0000FF"/>
            <w:u w:val="single"/>
            <w:rtl/>
          </w:rPr>
          <w:t>2</w:t>
        </w:r>
      </w:hyperlink>
    </w:p>
    <w:p w14:paraId="554FD21B" w14:textId="77777777" w:rsidR="002E3E6E" w:rsidRPr="002E3E6E" w:rsidRDefault="002E3E6E" w:rsidP="002E3E6E">
      <w:pPr>
        <w:spacing w:after="120" w:line="240" w:lineRule="exact"/>
        <w:ind w:left="283" w:hanging="283"/>
        <w:jc w:val="both"/>
        <w:rPr>
          <w:rFonts w:ascii="FrankRuehl" w:hAnsi="FrankRuehl" w:cs="FrankRuehl"/>
          <w:rtl/>
        </w:rPr>
      </w:pPr>
      <w:hyperlink r:id="rId15" w:history="1">
        <w:r w:rsidRPr="002E3E6E">
          <w:rPr>
            <w:rFonts w:ascii="FrankRuehl" w:hAnsi="FrankRuehl" w:cs="FrankRuehl"/>
            <w:color w:val="0000FF"/>
            <w:u w:val="single"/>
            <w:rtl/>
          </w:rPr>
          <w:t>פקודת סדר הדין הפלילי (מעצר וחיפוש) [נוסח חדש], תשכ"ט-1969</w:t>
        </w:r>
      </w:hyperlink>
      <w:r w:rsidRPr="002E3E6E">
        <w:rPr>
          <w:rFonts w:ascii="FrankRuehl" w:hAnsi="FrankRuehl" w:cs="FrankRuehl"/>
          <w:rtl/>
        </w:rPr>
        <w:t xml:space="preserve">: סע'  </w:t>
      </w:r>
      <w:hyperlink r:id="rId16" w:history="1">
        <w:r w:rsidRPr="002E3E6E">
          <w:rPr>
            <w:rFonts w:ascii="FrankRuehl" w:hAnsi="FrankRuehl" w:cs="FrankRuehl"/>
            <w:color w:val="0000FF"/>
            <w:u w:val="single"/>
            <w:rtl/>
          </w:rPr>
          <w:t>39א</w:t>
        </w:r>
      </w:hyperlink>
    </w:p>
    <w:p w14:paraId="723C326B" w14:textId="77777777" w:rsidR="002E3E6E" w:rsidRPr="002E3E6E" w:rsidRDefault="002E3E6E" w:rsidP="002E3E6E">
      <w:pPr>
        <w:spacing w:after="120" w:line="240" w:lineRule="exact"/>
        <w:ind w:left="283" w:hanging="283"/>
        <w:jc w:val="both"/>
        <w:rPr>
          <w:rFonts w:ascii="FrankRuehl" w:hAnsi="FrankRuehl" w:cs="FrankRuehl"/>
          <w:rtl/>
        </w:rPr>
      </w:pPr>
    </w:p>
    <w:p w14:paraId="0A672032" w14:textId="77777777" w:rsidR="002E3E6E" w:rsidRPr="002E3E6E" w:rsidRDefault="002E3E6E" w:rsidP="002E3E6E">
      <w:pPr>
        <w:spacing w:line="360" w:lineRule="auto"/>
        <w:rPr>
          <w:rtl/>
        </w:rPr>
      </w:pPr>
      <w:bookmarkStart w:id="4" w:name="LawTable_End"/>
      <w:bookmarkEnd w:id="4"/>
    </w:p>
    <w:p w14:paraId="314AD23E" w14:textId="77777777" w:rsidR="002E3E6E" w:rsidRPr="002E3E6E" w:rsidRDefault="002E3E6E" w:rsidP="002E3E6E">
      <w:pPr>
        <w:spacing w:line="360" w:lineRule="auto"/>
        <w:rPr>
          <w:rtl/>
        </w:rPr>
      </w:pPr>
    </w:p>
    <w:p w14:paraId="1E705138" w14:textId="77777777" w:rsidR="003D2D2B" w:rsidRPr="003D2D2B" w:rsidRDefault="009B3B47" w:rsidP="002E3E6E">
      <w:pPr>
        <w:spacing w:line="360" w:lineRule="auto"/>
        <w:rPr>
          <w:rFonts w:ascii="FrankRuehl" w:hAnsi="FrankRuehl" w:cs="FrankRuehl"/>
          <w:rtl/>
        </w:rPr>
      </w:pPr>
      <w:r w:rsidRPr="002E3E6E">
        <w:rPr>
          <w:rFonts w:hint="cs"/>
          <w:rtl/>
        </w:rPr>
        <w:t>ה</w:t>
      </w:r>
    </w:p>
    <w:p w14:paraId="55E889C4" w14:textId="77777777" w:rsidR="001A58A0" w:rsidRPr="003D2D2B" w:rsidRDefault="001A58A0">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58A0" w14:paraId="563E9115" w14:textId="77777777">
        <w:trPr>
          <w:trHeight w:val="355"/>
          <w:jc w:val="center"/>
        </w:trPr>
        <w:tc>
          <w:tcPr>
            <w:tcW w:w="8820" w:type="dxa"/>
            <w:tcBorders>
              <w:top w:val="nil"/>
              <w:left w:val="nil"/>
              <w:bottom w:val="nil"/>
              <w:right w:val="nil"/>
            </w:tcBorders>
          </w:tcPr>
          <w:p w14:paraId="54F9F56D" w14:textId="77777777" w:rsidR="009B3B47" w:rsidRPr="009B3B47" w:rsidRDefault="009B3B47" w:rsidP="009B3B47">
            <w:pPr>
              <w:jc w:val="center"/>
              <w:rPr>
                <w:rFonts w:ascii="Arial" w:hAnsi="Arial"/>
                <w:b/>
                <w:bCs/>
                <w:sz w:val="32"/>
                <w:szCs w:val="32"/>
                <w:u w:val="single"/>
                <w:rtl/>
              </w:rPr>
            </w:pPr>
            <w:bookmarkStart w:id="5" w:name="PsakDin" w:colFirst="0" w:colLast="0"/>
            <w:bookmarkEnd w:id="0"/>
            <w:r w:rsidRPr="009B3B47">
              <w:rPr>
                <w:rFonts w:ascii="Arial" w:hAnsi="Arial"/>
                <w:b/>
                <w:bCs/>
                <w:sz w:val="32"/>
                <w:szCs w:val="32"/>
                <w:u w:val="single"/>
                <w:rtl/>
              </w:rPr>
              <w:t>גזר דין</w:t>
            </w:r>
          </w:p>
          <w:p w14:paraId="14492C8B" w14:textId="77777777" w:rsidR="001A58A0" w:rsidRPr="009B3B47" w:rsidRDefault="001A58A0" w:rsidP="009B3B47">
            <w:pPr>
              <w:jc w:val="center"/>
              <w:rPr>
                <w:rFonts w:ascii="Arial" w:hAnsi="Arial"/>
                <w:bCs/>
                <w:sz w:val="32"/>
                <w:szCs w:val="32"/>
                <w:u w:val="single"/>
                <w:rtl/>
              </w:rPr>
            </w:pPr>
          </w:p>
        </w:tc>
      </w:tr>
      <w:bookmarkEnd w:id="5"/>
    </w:tbl>
    <w:p w14:paraId="3950C27F" w14:textId="77777777" w:rsidR="001A58A0" w:rsidRDefault="001A58A0">
      <w:pPr>
        <w:rPr>
          <w:rFonts w:ascii="Arial" w:hAnsi="Arial"/>
          <w:rtl/>
        </w:rPr>
      </w:pPr>
    </w:p>
    <w:p w14:paraId="6A42633E" w14:textId="77777777" w:rsidR="001A58A0" w:rsidRDefault="001A58A0">
      <w:pPr>
        <w:rPr>
          <w:b/>
          <w:bCs/>
          <w:color w:val="000000"/>
          <w:u w:val="single"/>
          <w:rtl/>
        </w:rPr>
      </w:pPr>
    </w:p>
    <w:p w14:paraId="0FE62AF3" w14:textId="77777777" w:rsidR="001A58A0" w:rsidRDefault="009B3B47">
      <w:pPr>
        <w:rPr>
          <w:b/>
          <w:bCs/>
          <w:color w:val="000000"/>
          <w:u w:val="single"/>
          <w:rtl/>
        </w:rPr>
      </w:pPr>
      <w:r>
        <w:rPr>
          <w:b/>
          <w:bCs/>
          <w:color w:val="000000"/>
          <w:u w:val="single"/>
          <w:rtl/>
        </w:rPr>
        <w:t>מבוא:</w:t>
      </w:r>
    </w:p>
    <w:p w14:paraId="0C0A7590" w14:textId="77777777" w:rsidR="001A58A0" w:rsidRDefault="001A58A0">
      <w:pPr>
        <w:spacing w:line="360" w:lineRule="auto"/>
        <w:ind w:left="720" w:hanging="720"/>
        <w:rPr>
          <w:color w:val="000000"/>
          <w:rtl/>
        </w:rPr>
      </w:pPr>
    </w:p>
    <w:p w14:paraId="084CBB28" w14:textId="77777777" w:rsidR="001A58A0" w:rsidRDefault="009B3B47">
      <w:pPr>
        <w:spacing w:line="360" w:lineRule="auto"/>
        <w:ind w:left="746" w:hanging="720"/>
        <w:jc w:val="both"/>
        <w:rPr>
          <w:color w:val="000000"/>
          <w:rtl/>
        </w:rPr>
      </w:pPr>
      <w:r>
        <w:rPr>
          <w:b/>
          <w:bCs/>
          <w:color w:val="000000"/>
          <w:rtl/>
        </w:rPr>
        <w:t>1.</w:t>
      </w:r>
      <w:r>
        <w:rPr>
          <w:b/>
          <w:bCs/>
          <w:color w:val="000000"/>
          <w:rtl/>
        </w:rPr>
        <w:tab/>
      </w:r>
      <w:r>
        <w:rPr>
          <w:color w:val="000000"/>
          <w:rtl/>
        </w:rPr>
        <w:t xml:space="preserve">הנאשם הורשע, על פי הודאתו, בעבירות של החזקה ונשיאת נשק, לפי </w:t>
      </w:r>
      <w:hyperlink r:id="rId17" w:history="1">
        <w:r w:rsidR="003D2D2B" w:rsidRPr="003D2D2B">
          <w:rPr>
            <w:rStyle w:val="Hyperlink"/>
            <w:rtl/>
          </w:rPr>
          <w:t>סעיף144(א)(ב)</w:t>
        </w:r>
      </w:hyperlink>
      <w:r>
        <w:rPr>
          <w:color w:val="000000"/>
          <w:rtl/>
        </w:rPr>
        <w:t xml:space="preserve"> ל</w:t>
      </w:r>
      <w:hyperlink r:id="rId18" w:history="1">
        <w:r w:rsidRPr="009B3B47">
          <w:rPr>
            <w:color w:val="0000FF"/>
            <w:u w:val="single"/>
            <w:rtl/>
          </w:rPr>
          <w:t>חוק העונשין</w:t>
        </w:r>
      </w:hyperlink>
      <w:r>
        <w:rPr>
          <w:color w:val="000000"/>
          <w:rtl/>
        </w:rPr>
        <w:t xml:space="preserve"> תשל"ז – 1977 (להלן: "</w:t>
      </w:r>
      <w:r>
        <w:rPr>
          <w:b/>
          <w:bCs/>
          <w:color w:val="000000"/>
          <w:rtl/>
        </w:rPr>
        <w:t>חוק העונשין</w:t>
      </w:r>
      <w:r>
        <w:rPr>
          <w:color w:val="000000"/>
          <w:rtl/>
        </w:rPr>
        <w:t xml:space="preserve">"), נהיגה ללא רישיון רכב, עבירה לפי </w:t>
      </w:r>
      <w:hyperlink r:id="rId19" w:history="1">
        <w:r w:rsidR="003D2D2B" w:rsidRPr="003D2D2B">
          <w:rPr>
            <w:rStyle w:val="Hyperlink"/>
            <w:rtl/>
          </w:rPr>
          <w:t>סעיף 2</w:t>
        </w:r>
      </w:hyperlink>
      <w:r>
        <w:rPr>
          <w:color w:val="000000"/>
          <w:rtl/>
        </w:rPr>
        <w:t xml:space="preserve"> </w:t>
      </w:r>
      <w:r>
        <w:rPr>
          <w:color w:val="000000"/>
          <w:rtl/>
        </w:rPr>
        <w:lastRenderedPageBreak/>
        <w:t>ל</w:t>
      </w:r>
      <w:hyperlink r:id="rId20" w:history="1">
        <w:r w:rsidRPr="009B3B47">
          <w:rPr>
            <w:color w:val="0000FF"/>
            <w:u w:val="single"/>
            <w:rtl/>
          </w:rPr>
          <w:t>פקודת התעבורה</w:t>
        </w:r>
      </w:hyperlink>
      <w:r>
        <w:rPr>
          <w:color w:val="000000"/>
          <w:rtl/>
        </w:rPr>
        <w:t xml:space="preserve"> [נוסח חדש], תשכ"א – 1961 וכן עבירה של נהיגה ללא פוליסת ביטוח, לפי </w:t>
      </w:r>
      <w:hyperlink r:id="rId21" w:history="1">
        <w:r w:rsidR="003D2D2B" w:rsidRPr="003D2D2B">
          <w:rPr>
            <w:rStyle w:val="Hyperlink"/>
            <w:rtl/>
          </w:rPr>
          <w:t>סעיף 2</w:t>
        </w:r>
      </w:hyperlink>
      <w:r>
        <w:rPr>
          <w:color w:val="000000"/>
          <w:rtl/>
        </w:rPr>
        <w:t xml:space="preserve"> ל</w:t>
      </w:r>
      <w:hyperlink r:id="rId22" w:history="1">
        <w:r w:rsidRPr="009B3B47">
          <w:rPr>
            <w:color w:val="0000FF"/>
            <w:u w:val="single"/>
            <w:rtl/>
          </w:rPr>
          <w:t>פקודת ביטוח רכב מנועי</w:t>
        </w:r>
      </w:hyperlink>
      <w:r>
        <w:rPr>
          <w:color w:val="000000"/>
          <w:rtl/>
        </w:rPr>
        <w:t xml:space="preserve"> [נוסח חדש], תש"ל – 1970.</w:t>
      </w:r>
    </w:p>
    <w:p w14:paraId="02B49699" w14:textId="77777777" w:rsidR="001A58A0" w:rsidRDefault="001A58A0">
      <w:pPr>
        <w:spacing w:line="360" w:lineRule="auto"/>
        <w:ind w:left="720" w:hanging="720"/>
        <w:rPr>
          <w:color w:val="000000"/>
          <w:rtl/>
        </w:rPr>
      </w:pPr>
    </w:p>
    <w:p w14:paraId="65020D5F" w14:textId="77777777" w:rsidR="001A58A0" w:rsidRDefault="009B3B47">
      <w:pPr>
        <w:spacing w:line="360" w:lineRule="auto"/>
        <w:rPr>
          <w:b/>
          <w:bCs/>
          <w:color w:val="000000"/>
          <w:u w:val="single"/>
          <w:rtl/>
        </w:rPr>
      </w:pPr>
      <w:r>
        <w:rPr>
          <w:b/>
          <w:bCs/>
          <w:color w:val="000000"/>
          <w:u w:val="single"/>
          <w:rtl/>
        </w:rPr>
        <w:t>עובדות כתב האישום:</w:t>
      </w:r>
    </w:p>
    <w:p w14:paraId="1AC7F2A6" w14:textId="77777777" w:rsidR="001A58A0" w:rsidRDefault="001A58A0">
      <w:pPr>
        <w:spacing w:line="360" w:lineRule="auto"/>
        <w:rPr>
          <w:color w:val="000000"/>
          <w:rtl/>
        </w:rPr>
      </w:pPr>
    </w:p>
    <w:p w14:paraId="03B47B76" w14:textId="77777777" w:rsidR="001A58A0" w:rsidRDefault="009B3B47">
      <w:pPr>
        <w:spacing w:line="360" w:lineRule="auto"/>
        <w:ind w:left="746" w:hanging="720"/>
        <w:jc w:val="both"/>
        <w:rPr>
          <w:color w:val="000000"/>
          <w:rtl/>
        </w:rPr>
      </w:pPr>
      <w:r>
        <w:rPr>
          <w:b/>
          <w:bCs/>
          <w:color w:val="000000"/>
          <w:rtl/>
        </w:rPr>
        <w:t>2.</w:t>
      </w:r>
      <w:r>
        <w:rPr>
          <w:b/>
          <w:bCs/>
          <w:color w:val="000000"/>
          <w:rtl/>
        </w:rPr>
        <w:tab/>
      </w:r>
      <w:bookmarkStart w:id="6" w:name="ABSTRACT_START"/>
      <w:bookmarkEnd w:id="6"/>
      <w:r>
        <w:rPr>
          <w:color w:val="000000"/>
          <w:rtl/>
        </w:rPr>
        <w:t>בעובדות כתב האישום נטען, כי ביום 25.12.14, סמוך לשעה 20:35, בעת שהנאשם נהג ברכב מסוג פורד פוקוס, מ"ר 33-585-14 (להלן: "</w:t>
      </w:r>
      <w:r>
        <w:rPr>
          <w:b/>
          <w:bCs/>
          <w:color w:val="000000"/>
          <w:rtl/>
        </w:rPr>
        <w:t>הרכב</w:t>
      </w:r>
      <w:r>
        <w:rPr>
          <w:color w:val="000000"/>
          <w:rtl/>
        </w:rPr>
        <w:t>")</w:t>
      </w:r>
      <w:r>
        <w:rPr>
          <w:rFonts w:hint="cs"/>
          <w:color w:val="000000"/>
          <w:rtl/>
        </w:rPr>
        <w:t xml:space="preserve"> </w:t>
      </w:r>
      <w:r>
        <w:rPr>
          <w:color w:val="000000"/>
          <w:rtl/>
        </w:rPr>
        <w:t xml:space="preserve">שבבעלותו, בכביש 79 סמוך לכניסה המזרחית לשפרעם, החזיק הנאשם ונשא אקדח מסוג </w:t>
      </w:r>
      <w:r>
        <w:rPr>
          <w:color w:val="000000"/>
        </w:rPr>
        <w:t>FN</w:t>
      </w:r>
      <w:r>
        <w:rPr>
          <w:color w:val="000000"/>
          <w:rtl/>
        </w:rPr>
        <w:t xml:space="preserve"> חצי אוטומטי </w:t>
      </w:r>
      <w:r>
        <w:rPr>
          <w:rFonts w:hint="cs"/>
          <w:color w:val="000000"/>
          <w:rtl/>
        </w:rPr>
        <w:t>-</w:t>
      </w:r>
      <w:r>
        <w:rPr>
          <w:color w:val="000000"/>
          <w:rtl/>
        </w:rPr>
        <w:t xml:space="preserve"> (להלן: "</w:t>
      </w:r>
      <w:r>
        <w:rPr>
          <w:b/>
          <w:bCs/>
          <w:color w:val="000000"/>
          <w:rtl/>
        </w:rPr>
        <w:t>האקדח</w:t>
      </w:r>
      <w:r>
        <w:rPr>
          <w:color w:val="000000"/>
          <w:rtl/>
        </w:rPr>
        <w:t>") ומחסנית לאקדח, בלא רשות על פי דין להחזקתם ולנשיאתם.</w:t>
      </w:r>
    </w:p>
    <w:p w14:paraId="3DF11756" w14:textId="77777777" w:rsidR="001A58A0" w:rsidRDefault="001A58A0">
      <w:pPr>
        <w:spacing w:line="360" w:lineRule="auto"/>
        <w:rPr>
          <w:color w:val="000000"/>
          <w:rtl/>
        </w:rPr>
      </w:pPr>
      <w:bookmarkStart w:id="7" w:name="ABSTRACT_END"/>
      <w:bookmarkEnd w:id="7"/>
    </w:p>
    <w:p w14:paraId="6519244B" w14:textId="77777777" w:rsidR="001A58A0" w:rsidRDefault="009B3B47">
      <w:pPr>
        <w:spacing w:line="360" w:lineRule="auto"/>
        <w:ind w:left="720" w:hanging="720"/>
        <w:jc w:val="both"/>
        <w:rPr>
          <w:color w:val="000000"/>
          <w:rtl/>
        </w:rPr>
      </w:pPr>
      <w:r>
        <w:rPr>
          <w:b/>
          <w:bCs/>
          <w:color w:val="000000"/>
          <w:rtl/>
        </w:rPr>
        <w:t>3</w:t>
      </w:r>
      <w:r>
        <w:rPr>
          <w:color w:val="000000"/>
          <w:rtl/>
        </w:rPr>
        <w:t>.</w:t>
      </w:r>
      <w:r>
        <w:rPr>
          <w:color w:val="000000"/>
          <w:rtl/>
        </w:rPr>
        <w:tab/>
        <w:t xml:space="preserve">הנאשם החזיק ונשא את האקדח והמחסנית מתחת למושב הנהג ברכב. האקדח הוא כלי </w:t>
      </w:r>
      <w:r>
        <w:rPr>
          <w:rFonts w:hint="cs"/>
          <w:color w:val="000000"/>
          <w:rtl/>
        </w:rPr>
        <w:t>ש</w:t>
      </w:r>
      <w:r>
        <w:rPr>
          <w:color w:val="000000"/>
          <w:rtl/>
        </w:rPr>
        <w:t xml:space="preserve">סוגל לירות כדור </w:t>
      </w:r>
      <w:r>
        <w:rPr>
          <w:rFonts w:hint="cs"/>
          <w:color w:val="000000"/>
          <w:rtl/>
        </w:rPr>
        <w:t>ו</w:t>
      </w:r>
      <w:r>
        <w:rPr>
          <w:color w:val="000000"/>
          <w:rtl/>
        </w:rPr>
        <w:t xml:space="preserve">שבכוחו להמית אדם. </w:t>
      </w:r>
    </w:p>
    <w:p w14:paraId="10923A39" w14:textId="77777777" w:rsidR="001A58A0" w:rsidRDefault="001A58A0">
      <w:pPr>
        <w:spacing w:line="360" w:lineRule="auto"/>
        <w:rPr>
          <w:color w:val="000000"/>
          <w:rtl/>
        </w:rPr>
      </w:pPr>
    </w:p>
    <w:p w14:paraId="54D0628A" w14:textId="77777777" w:rsidR="001A58A0" w:rsidRDefault="009B3B47">
      <w:pPr>
        <w:spacing w:line="360" w:lineRule="auto"/>
        <w:ind w:left="720" w:hanging="720"/>
        <w:jc w:val="both"/>
        <w:rPr>
          <w:color w:val="000000"/>
          <w:rtl/>
        </w:rPr>
      </w:pPr>
      <w:r>
        <w:rPr>
          <w:b/>
          <w:bCs/>
          <w:color w:val="000000"/>
          <w:rtl/>
        </w:rPr>
        <w:t>4</w:t>
      </w:r>
      <w:r>
        <w:rPr>
          <w:color w:val="000000"/>
          <w:rtl/>
        </w:rPr>
        <w:t>.</w:t>
      </w:r>
      <w:r>
        <w:rPr>
          <w:color w:val="000000"/>
          <w:rtl/>
        </w:rPr>
        <w:tab/>
        <w:t>עוד נטען, כי הנאשם נהג ברכב , ללא רישיון רכב תקף וללא פוליסת ביטוח בת תוקף.</w:t>
      </w:r>
    </w:p>
    <w:p w14:paraId="59612D0F" w14:textId="77777777" w:rsidR="001A58A0" w:rsidRDefault="001A58A0">
      <w:pPr>
        <w:spacing w:line="360" w:lineRule="auto"/>
        <w:ind w:left="720" w:hanging="720"/>
        <w:jc w:val="both"/>
        <w:rPr>
          <w:color w:val="000000"/>
          <w:rtl/>
        </w:rPr>
      </w:pPr>
    </w:p>
    <w:p w14:paraId="000A8BFE" w14:textId="77777777" w:rsidR="001A58A0" w:rsidRDefault="009B3B47">
      <w:pPr>
        <w:spacing w:line="360" w:lineRule="auto"/>
        <w:jc w:val="both"/>
        <w:rPr>
          <w:b/>
          <w:bCs/>
          <w:color w:val="000000"/>
          <w:u w:val="single"/>
          <w:rtl/>
        </w:rPr>
      </w:pPr>
      <w:r>
        <w:rPr>
          <w:b/>
          <w:bCs/>
          <w:color w:val="000000"/>
          <w:u w:val="single"/>
          <w:rtl/>
        </w:rPr>
        <w:t>תסקיר שירות המבחן:</w:t>
      </w:r>
    </w:p>
    <w:p w14:paraId="2FA94632" w14:textId="77777777" w:rsidR="001A58A0" w:rsidRDefault="001A58A0">
      <w:pPr>
        <w:spacing w:line="360" w:lineRule="auto"/>
        <w:jc w:val="both"/>
        <w:rPr>
          <w:b/>
          <w:bCs/>
          <w:color w:val="000000"/>
          <w:u w:val="single"/>
          <w:rtl/>
        </w:rPr>
      </w:pPr>
    </w:p>
    <w:p w14:paraId="0BF6CB7A" w14:textId="77777777" w:rsidR="001A58A0" w:rsidRDefault="009B3B47">
      <w:pPr>
        <w:spacing w:line="360" w:lineRule="auto"/>
        <w:ind w:left="720" w:hanging="720"/>
        <w:jc w:val="both"/>
        <w:rPr>
          <w:color w:val="000000"/>
          <w:rtl/>
        </w:rPr>
      </w:pPr>
      <w:r>
        <w:rPr>
          <w:b/>
          <w:bCs/>
          <w:color w:val="000000"/>
          <w:rtl/>
        </w:rPr>
        <w:t>5</w:t>
      </w:r>
      <w:r>
        <w:rPr>
          <w:color w:val="000000"/>
          <w:rtl/>
        </w:rPr>
        <w:t>.</w:t>
      </w:r>
      <w:r>
        <w:rPr>
          <w:color w:val="000000"/>
          <w:rtl/>
        </w:rPr>
        <w:tab/>
        <w:t>בתסקיר שהוגש ביום 28.5.15, סקר שירות המבחן את נסיבותיו האישיות והמשפחתיות של הנאשם. המדובר בצעיר כבן 25 שנים, יליד הארץ, מתגורר בבית הוריו בכפר כנא, סיים 10 שנות לימוד, והשתלב  במעגל העבודה.</w:t>
      </w:r>
    </w:p>
    <w:p w14:paraId="15E8CA3C" w14:textId="77777777" w:rsidR="001A58A0" w:rsidRDefault="001A58A0">
      <w:pPr>
        <w:spacing w:line="360" w:lineRule="auto"/>
        <w:jc w:val="both"/>
        <w:rPr>
          <w:color w:val="000000"/>
          <w:rtl/>
        </w:rPr>
      </w:pPr>
    </w:p>
    <w:p w14:paraId="1EA31B24" w14:textId="77777777" w:rsidR="001A58A0" w:rsidRDefault="009B3B47">
      <w:pPr>
        <w:spacing w:line="360" w:lineRule="auto"/>
        <w:ind w:left="720" w:hanging="720"/>
        <w:jc w:val="both"/>
        <w:rPr>
          <w:color w:val="000000"/>
          <w:rtl/>
        </w:rPr>
      </w:pPr>
      <w:r>
        <w:rPr>
          <w:b/>
          <w:bCs/>
          <w:color w:val="000000"/>
          <w:rtl/>
        </w:rPr>
        <w:t>6</w:t>
      </w:r>
      <w:r>
        <w:rPr>
          <w:color w:val="000000"/>
          <w:rtl/>
        </w:rPr>
        <w:t>.</w:t>
      </w:r>
      <w:r>
        <w:rPr>
          <w:color w:val="000000"/>
          <w:rtl/>
        </w:rPr>
        <w:tab/>
        <w:t>מעיון בג</w:t>
      </w:r>
      <w:r>
        <w:rPr>
          <w:rFonts w:hint="cs"/>
          <w:color w:val="000000"/>
          <w:rtl/>
        </w:rPr>
        <w:t>י</w:t>
      </w:r>
      <w:r>
        <w:rPr>
          <w:color w:val="000000"/>
          <w:rtl/>
        </w:rPr>
        <w:t>ליון הרישום הפלילי עולה כי לחובתו של הנאשם הרשעות קודמות. בשנת 2010 הוא ריצה שישה חודשי מאסר, בגין עבירה של הפרעה לשוטר במילוי תפקידו ואיומים, ובשנת 2013, ריצה 12 חודשי מאסר בגין עבירה של סיוע לסחיטה באיומים.</w:t>
      </w:r>
    </w:p>
    <w:p w14:paraId="72550885" w14:textId="77777777" w:rsidR="001A58A0" w:rsidRDefault="001A58A0">
      <w:pPr>
        <w:spacing w:line="360" w:lineRule="auto"/>
        <w:ind w:left="720" w:hanging="720"/>
        <w:jc w:val="both"/>
        <w:rPr>
          <w:color w:val="000000"/>
          <w:rtl/>
        </w:rPr>
      </w:pPr>
    </w:p>
    <w:p w14:paraId="4334CB5B" w14:textId="77777777" w:rsidR="001A58A0" w:rsidRDefault="009B3B47">
      <w:pPr>
        <w:spacing w:line="360" w:lineRule="auto"/>
        <w:ind w:left="720" w:hanging="720"/>
        <w:jc w:val="both"/>
        <w:rPr>
          <w:color w:val="000000"/>
          <w:rtl/>
        </w:rPr>
      </w:pPr>
      <w:r>
        <w:rPr>
          <w:b/>
          <w:bCs/>
          <w:color w:val="000000"/>
          <w:rtl/>
        </w:rPr>
        <w:t>7</w:t>
      </w:r>
      <w:r>
        <w:rPr>
          <w:color w:val="000000"/>
          <w:rtl/>
        </w:rPr>
        <w:t>.</w:t>
      </w:r>
      <w:r>
        <w:rPr>
          <w:color w:val="000000"/>
          <w:rtl/>
        </w:rPr>
        <w:tab/>
        <w:t>הנאשם לקח אחריות חלקית על ביצוע</w:t>
      </w:r>
      <w:r>
        <w:rPr>
          <w:rFonts w:hint="cs"/>
          <w:color w:val="000000"/>
          <w:rtl/>
        </w:rPr>
        <w:t xml:space="preserve"> העבירות המיוחסות לו בכתב האישום</w:t>
      </w:r>
      <w:r>
        <w:rPr>
          <w:color w:val="000000"/>
          <w:rtl/>
        </w:rPr>
        <w:t>. מחד גיסא, הוא הביע חרטה ומוכנות לשאת בתוצאות מעשיו, אך מאידך גיסא, נראה כי הוא אינו מבין את חומרת מעשיו וכי אינו מצליח לבחון את התנהגותו באופן ביקורתי.</w:t>
      </w:r>
    </w:p>
    <w:p w14:paraId="5B6A3168" w14:textId="77777777" w:rsidR="001A58A0" w:rsidRDefault="001A58A0">
      <w:pPr>
        <w:spacing w:line="360" w:lineRule="auto"/>
        <w:jc w:val="both"/>
        <w:rPr>
          <w:color w:val="000000"/>
          <w:rtl/>
        </w:rPr>
      </w:pPr>
    </w:p>
    <w:p w14:paraId="13F64A56" w14:textId="77777777" w:rsidR="001A58A0" w:rsidRDefault="009B3B47">
      <w:pPr>
        <w:spacing w:line="360" w:lineRule="auto"/>
        <w:ind w:left="720" w:hanging="720"/>
        <w:jc w:val="both"/>
        <w:rPr>
          <w:color w:val="000000"/>
          <w:rtl/>
        </w:rPr>
      </w:pPr>
      <w:r>
        <w:rPr>
          <w:b/>
          <w:bCs/>
          <w:color w:val="000000"/>
          <w:rtl/>
        </w:rPr>
        <w:t>8</w:t>
      </w:r>
      <w:r>
        <w:rPr>
          <w:color w:val="000000"/>
          <w:rtl/>
        </w:rPr>
        <w:t>.</w:t>
      </w:r>
      <w:r>
        <w:rPr>
          <w:color w:val="000000"/>
          <w:rtl/>
        </w:rPr>
        <w:tab/>
        <w:t>שירות המבחן התרשם כי הנאשם מתמקד בתוצאות האירוע ולא בנסיבותיו. עוד התרשם שירות המבחן כי הנאשם מקיים אורח חיים לא שקול</w:t>
      </w:r>
      <w:r>
        <w:rPr>
          <w:rFonts w:hint="cs"/>
          <w:color w:val="000000"/>
          <w:rtl/>
        </w:rPr>
        <w:t xml:space="preserve"> </w:t>
      </w:r>
      <w:r>
        <w:rPr>
          <w:color w:val="000000"/>
          <w:rtl/>
        </w:rPr>
        <w:t xml:space="preserve">ומחושב, אשר לא נותן חשיבות לסמכות ולגבולות. בנוסף התרשם שירות המבחן מקיומם של קשיים ברמת התפקוד הבאים לידי ביטוי בחוסר יציבות במסגרת החיים וביכולת ההסתגלות למסגרות המאפיינות סמכות, כפי שבא לידי ביטוי במסגרת הבית ספרית ובהחלפת מקומות עבודה. </w:t>
      </w:r>
    </w:p>
    <w:p w14:paraId="6A8E79C4" w14:textId="77777777" w:rsidR="001A58A0" w:rsidRDefault="001A58A0">
      <w:pPr>
        <w:spacing w:line="360" w:lineRule="auto"/>
        <w:jc w:val="both"/>
        <w:rPr>
          <w:color w:val="000000"/>
          <w:rtl/>
        </w:rPr>
      </w:pPr>
    </w:p>
    <w:p w14:paraId="76E23AB4" w14:textId="77777777" w:rsidR="001A58A0" w:rsidRDefault="009B3B47">
      <w:pPr>
        <w:spacing w:line="360" w:lineRule="auto"/>
        <w:ind w:left="720" w:hanging="720"/>
        <w:jc w:val="both"/>
        <w:rPr>
          <w:color w:val="000000"/>
          <w:rtl/>
        </w:rPr>
      </w:pPr>
      <w:r>
        <w:rPr>
          <w:b/>
          <w:bCs/>
          <w:color w:val="000000"/>
          <w:rtl/>
        </w:rPr>
        <w:lastRenderedPageBreak/>
        <w:t>9</w:t>
      </w:r>
      <w:r>
        <w:rPr>
          <w:color w:val="000000"/>
          <w:rtl/>
        </w:rPr>
        <w:t>.</w:t>
      </w:r>
      <w:r>
        <w:rPr>
          <w:color w:val="000000"/>
          <w:rtl/>
        </w:rPr>
        <w:tab/>
        <w:t>יחד עם זאת, התרשם שירות המבחן כי  הנאשם החל במגמת שינוי ומנסה לייצב את מערך תפקודו ומגלה אחריות כלפי התפקידים בחייו  כפי שבא ל</w:t>
      </w:r>
      <w:r>
        <w:rPr>
          <w:rFonts w:hint="cs"/>
          <w:color w:val="000000"/>
          <w:rtl/>
        </w:rPr>
        <w:t>י</w:t>
      </w:r>
      <w:r>
        <w:rPr>
          <w:color w:val="000000"/>
          <w:rtl/>
        </w:rPr>
        <w:t>די ביטוי בפן התעסוקתי כשנמצא בעבודה יציבה וחש סיפוק  ושביעות רצון  מעבודתו.</w:t>
      </w:r>
    </w:p>
    <w:p w14:paraId="5FF2F7CF" w14:textId="77777777" w:rsidR="001A58A0" w:rsidRDefault="001A58A0">
      <w:pPr>
        <w:spacing w:line="360" w:lineRule="auto"/>
        <w:ind w:left="720"/>
        <w:jc w:val="both"/>
        <w:rPr>
          <w:color w:val="000000"/>
          <w:rtl/>
        </w:rPr>
      </w:pPr>
    </w:p>
    <w:p w14:paraId="0719BA1D" w14:textId="77777777" w:rsidR="001A58A0" w:rsidRDefault="009B3B47">
      <w:pPr>
        <w:spacing w:line="360" w:lineRule="auto"/>
        <w:ind w:left="720" w:hanging="720"/>
        <w:jc w:val="both"/>
        <w:rPr>
          <w:color w:val="000000"/>
          <w:rtl/>
        </w:rPr>
      </w:pPr>
      <w:r>
        <w:rPr>
          <w:b/>
          <w:bCs/>
          <w:color w:val="000000"/>
          <w:rtl/>
        </w:rPr>
        <w:t>10</w:t>
      </w:r>
      <w:r>
        <w:rPr>
          <w:color w:val="000000"/>
          <w:rtl/>
        </w:rPr>
        <w:t>.</w:t>
      </w:r>
      <w:r>
        <w:rPr>
          <w:color w:val="000000"/>
          <w:rtl/>
        </w:rPr>
        <w:tab/>
        <w:t>שירות המבחן ציין כי הנאשם באישיותו מאופיין בנטיות אימפולסיביות ובחוסר יכולת לווסת את דחפיו, לשלוט בהם ובהפעלת שיקול דעת מקדם, כפי שבא לידי ביטוי בעברו הפלילי.</w:t>
      </w:r>
    </w:p>
    <w:p w14:paraId="01058BF5" w14:textId="77777777" w:rsidR="001A58A0" w:rsidRDefault="001A58A0">
      <w:pPr>
        <w:spacing w:line="360" w:lineRule="auto"/>
        <w:ind w:left="720" w:hanging="720"/>
        <w:jc w:val="both"/>
        <w:rPr>
          <w:color w:val="000000"/>
          <w:rtl/>
        </w:rPr>
      </w:pPr>
    </w:p>
    <w:p w14:paraId="4CD6E9EE" w14:textId="77777777" w:rsidR="001A58A0" w:rsidRDefault="009B3B47">
      <w:pPr>
        <w:spacing w:line="360" w:lineRule="auto"/>
        <w:ind w:left="720" w:hanging="720"/>
        <w:jc w:val="both"/>
        <w:rPr>
          <w:color w:val="000000"/>
          <w:rtl/>
        </w:rPr>
      </w:pPr>
      <w:r>
        <w:rPr>
          <w:b/>
          <w:bCs/>
          <w:color w:val="000000"/>
          <w:rtl/>
        </w:rPr>
        <w:t>11</w:t>
      </w:r>
      <w:r>
        <w:rPr>
          <w:color w:val="000000"/>
          <w:rtl/>
        </w:rPr>
        <w:t>.</w:t>
      </w:r>
      <w:r>
        <w:rPr>
          <w:color w:val="000000"/>
          <w:rtl/>
        </w:rPr>
        <w:tab/>
        <w:t>להערכת שירות המבחן, ללא תהליך טיפולי משמעותי, קיימת סבירות גבוהה להישנות התנהגות מפרת חוק בעתיד. לטעם  שירות המבחן, על אף העובדה שהנאשם מביע רצון לטיפול ושיקום, הוא במקביל אינו מכיר בבעיותיו.</w:t>
      </w:r>
    </w:p>
    <w:p w14:paraId="6BD92494" w14:textId="77777777" w:rsidR="001A58A0" w:rsidRDefault="001A58A0">
      <w:pPr>
        <w:spacing w:line="360" w:lineRule="auto"/>
        <w:ind w:left="720"/>
        <w:jc w:val="both"/>
        <w:rPr>
          <w:color w:val="000000"/>
          <w:rtl/>
        </w:rPr>
      </w:pPr>
    </w:p>
    <w:p w14:paraId="045D3443" w14:textId="77777777" w:rsidR="001A58A0" w:rsidRDefault="009B3B47">
      <w:pPr>
        <w:spacing w:line="360" w:lineRule="auto"/>
        <w:ind w:left="720" w:hanging="720"/>
        <w:jc w:val="both"/>
        <w:rPr>
          <w:color w:val="000000"/>
          <w:rtl/>
        </w:rPr>
      </w:pPr>
      <w:r>
        <w:rPr>
          <w:b/>
          <w:bCs/>
          <w:color w:val="000000"/>
          <w:rtl/>
        </w:rPr>
        <w:t>12</w:t>
      </w:r>
      <w:r>
        <w:rPr>
          <w:color w:val="000000"/>
          <w:rtl/>
        </w:rPr>
        <w:t>.</w:t>
      </w:r>
      <w:r>
        <w:rPr>
          <w:color w:val="000000"/>
          <w:rtl/>
        </w:rPr>
        <w:tab/>
        <w:t xml:space="preserve">לאור כל האמור, ונוכח מאפייני אישיותו, שירות המבחן ספקן באשר ליכולתו  של הנאשם להפיק  תועלת מהליך טיפולי, לכן נמנע </w:t>
      </w:r>
      <w:r>
        <w:rPr>
          <w:rFonts w:hint="cs"/>
          <w:color w:val="000000"/>
          <w:rtl/>
        </w:rPr>
        <w:t>הוא</w:t>
      </w:r>
      <w:r>
        <w:rPr>
          <w:color w:val="000000"/>
          <w:rtl/>
        </w:rPr>
        <w:t xml:space="preserve"> מלבוא בהמלצה טיפולית בעניינו של הנאשם. </w:t>
      </w:r>
    </w:p>
    <w:p w14:paraId="06AA9070" w14:textId="77777777" w:rsidR="001A58A0" w:rsidRDefault="009B3B47">
      <w:pPr>
        <w:spacing w:line="360" w:lineRule="auto"/>
        <w:jc w:val="both"/>
        <w:rPr>
          <w:color w:val="000000"/>
          <w:rtl/>
        </w:rPr>
      </w:pPr>
      <w:r>
        <w:rPr>
          <w:color w:val="000000"/>
          <w:rtl/>
        </w:rPr>
        <w:t xml:space="preserve"> </w:t>
      </w:r>
    </w:p>
    <w:p w14:paraId="5873BE9A" w14:textId="77777777" w:rsidR="001A58A0" w:rsidRDefault="009B3B47">
      <w:pPr>
        <w:spacing w:line="360" w:lineRule="auto"/>
        <w:jc w:val="both"/>
        <w:rPr>
          <w:b/>
          <w:bCs/>
          <w:color w:val="000000"/>
          <w:u w:val="single"/>
          <w:rtl/>
        </w:rPr>
      </w:pPr>
      <w:r>
        <w:rPr>
          <w:b/>
          <w:bCs/>
          <w:color w:val="000000"/>
          <w:u w:val="single"/>
          <w:rtl/>
        </w:rPr>
        <w:t>טענות הצדדים:</w:t>
      </w:r>
      <w:r>
        <w:rPr>
          <w:rFonts w:hint="cs"/>
          <w:b/>
          <w:bCs/>
          <w:color w:val="000000"/>
          <w:u w:val="single"/>
        </w:rPr>
        <w:t xml:space="preserve"> </w:t>
      </w:r>
    </w:p>
    <w:p w14:paraId="6B63F056" w14:textId="77777777" w:rsidR="001A58A0" w:rsidRDefault="001A58A0">
      <w:pPr>
        <w:spacing w:line="360" w:lineRule="auto"/>
        <w:jc w:val="both"/>
        <w:rPr>
          <w:color w:val="000000"/>
          <w:rtl/>
        </w:rPr>
      </w:pPr>
    </w:p>
    <w:p w14:paraId="7407FDA3" w14:textId="77777777" w:rsidR="001A58A0" w:rsidRDefault="009B3B47">
      <w:pPr>
        <w:spacing w:line="360" w:lineRule="auto"/>
        <w:ind w:firstLine="720"/>
        <w:jc w:val="both"/>
        <w:rPr>
          <w:b/>
          <w:bCs/>
          <w:color w:val="000000"/>
          <w:u w:val="single"/>
          <w:rtl/>
        </w:rPr>
      </w:pPr>
      <w:r>
        <w:rPr>
          <w:b/>
          <w:bCs/>
          <w:color w:val="000000"/>
          <w:u w:val="single"/>
          <w:rtl/>
        </w:rPr>
        <w:t>טענות המאשימה:</w:t>
      </w:r>
    </w:p>
    <w:p w14:paraId="719A53B8" w14:textId="77777777" w:rsidR="001A58A0" w:rsidRDefault="001A58A0">
      <w:pPr>
        <w:spacing w:line="360" w:lineRule="auto"/>
        <w:jc w:val="both"/>
        <w:rPr>
          <w:color w:val="000000"/>
          <w:rtl/>
        </w:rPr>
      </w:pPr>
    </w:p>
    <w:p w14:paraId="488A9D46" w14:textId="77777777" w:rsidR="001A58A0" w:rsidRDefault="009B3B47">
      <w:pPr>
        <w:spacing w:line="360" w:lineRule="auto"/>
        <w:ind w:left="720" w:hanging="720"/>
        <w:jc w:val="both"/>
        <w:rPr>
          <w:color w:val="000000"/>
        </w:rPr>
      </w:pPr>
      <w:r>
        <w:rPr>
          <w:rFonts w:hint="cs"/>
          <w:b/>
          <w:bCs/>
          <w:color w:val="000000"/>
          <w:rtl/>
        </w:rPr>
        <w:t>13.</w:t>
      </w:r>
      <w:r>
        <w:rPr>
          <w:rFonts w:hint="cs"/>
          <w:color w:val="000000"/>
          <w:rtl/>
        </w:rPr>
        <w:tab/>
      </w:r>
      <w:r>
        <w:rPr>
          <w:color w:val="000000"/>
          <w:rtl/>
        </w:rPr>
        <w:t>המאשימה סבורה כי  העונש הראוי בגין העבירות שבהן הורשע הנאשם,  הינו עונש של מאסר בפועל, המגלם  יחס הולם בין חומרת המעשה, העבירה, נסיבותיו  ומידת אשמו של הנאשם ומידת העונש שיוטל עליו. לטענת המאשימה</w:t>
      </w:r>
      <w:r>
        <w:rPr>
          <w:rFonts w:hint="cs"/>
          <w:color w:val="000000"/>
          <w:rtl/>
        </w:rPr>
        <w:t>,</w:t>
      </w:r>
      <w:r>
        <w:rPr>
          <w:color w:val="000000"/>
          <w:rtl/>
        </w:rPr>
        <w:t xml:space="preserve"> מתחם הענישה בגין העבירות שיוחסו לנאשם,  נע בין שנתיים עד ארבע שנות מאסר. </w:t>
      </w:r>
    </w:p>
    <w:p w14:paraId="08C061C5" w14:textId="77777777" w:rsidR="001A58A0" w:rsidRDefault="001A58A0">
      <w:pPr>
        <w:spacing w:line="360" w:lineRule="auto"/>
        <w:ind w:left="26"/>
        <w:jc w:val="both"/>
        <w:rPr>
          <w:color w:val="000000"/>
        </w:rPr>
      </w:pPr>
    </w:p>
    <w:p w14:paraId="57738627" w14:textId="77777777" w:rsidR="001A58A0" w:rsidRDefault="009B3B47">
      <w:pPr>
        <w:spacing w:line="360" w:lineRule="auto"/>
        <w:ind w:left="716" w:hanging="716"/>
        <w:jc w:val="both"/>
        <w:rPr>
          <w:color w:val="000000"/>
        </w:rPr>
      </w:pPr>
      <w:r>
        <w:rPr>
          <w:rFonts w:hint="cs"/>
          <w:b/>
          <w:bCs/>
          <w:color w:val="000000"/>
          <w:rtl/>
        </w:rPr>
        <w:t>14</w:t>
      </w:r>
      <w:r>
        <w:rPr>
          <w:rFonts w:hint="cs"/>
          <w:color w:val="000000"/>
          <w:rtl/>
        </w:rPr>
        <w:t>.</w:t>
      </w:r>
      <w:r>
        <w:rPr>
          <w:rFonts w:hint="cs"/>
          <w:color w:val="000000"/>
          <w:rtl/>
        </w:rPr>
        <w:tab/>
      </w:r>
      <w:r>
        <w:rPr>
          <w:color w:val="000000"/>
          <w:rtl/>
        </w:rPr>
        <w:t>עוד ביקשה המאשימה לחלט את הרכב</w:t>
      </w:r>
      <w:r>
        <w:rPr>
          <w:rFonts w:hint="cs"/>
          <w:color w:val="000000"/>
          <w:rtl/>
        </w:rPr>
        <w:t xml:space="preserve"> </w:t>
      </w:r>
      <w:r>
        <w:rPr>
          <w:color w:val="000000"/>
          <w:rtl/>
        </w:rPr>
        <w:t>של הנאשם שנמצא בבעלותו ובו נתפס האקדח כשהוא מוסלק. המאשימה טענה כי רכב זה  שימש את הנאשם כאמצעי לביצוע העבירה.</w:t>
      </w:r>
    </w:p>
    <w:p w14:paraId="05EE59DE" w14:textId="77777777" w:rsidR="001A58A0" w:rsidRDefault="001A58A0">
      <w:pPr>
        <w:spacing w:line="360" w:lineRule="auto"/>
        <w:jc w:val="both"/>
        <w:rPr>
          <w:color w:val="000000"/>
          <w:rtl/>
        </w:rPr>
      </w:pPr>
    </w:p>
    <w:p w14:paraId="23FA4901" w14:textId="77777777" w:rsidR="001A58A0" w:rsidRDefault="009B3B47">
      <w:pPr>
        <w:spacing w:line="360" w:lineRule="auto"/>
        <w:ind w:left="716" w:hanging="716"/>
        <w:jc w:val="both"/>
        <w:rPr>
          <w:color w:val="000000"/>
          <w:rtl/>
        </w:rPr>
      </w:pPr>
      <w:r>
        <w:rPr>
          <w:rFonts w:hint="cs"/>
          <w:b/>
          <w:bCs/>
          <w:color w:val="000000"/>
          <w:rtl/>
        </w:rPr>
        <w:t>15</w:t>
      </w:r>
      <w:r>
        <w:rPr>
          <w:rFonts w:hint="cs"/>
          <w:color w:val="000000"/>
          <w:rtl/>
        </w:rPr>
        <w:t>.</w:t>
      </w:r>
      <w:r>
        <w:rPr>
          <w:rFonts w:hint="cs"/>
          <w:color w:val="000000"/>
          <w:rtl/>
        </w:rPr>
        <w:tab/>
      </w:r>
      <w:r>
        <w:rPr>
          <w:color w:val="000000"/>
          <w:rtl/>
        </w:rPr>
        <w:t xml:space="preserve">המאשימה הפנתה לנסיבות ביצוע העבירה והדגישה כי הנאשם החזיק את האקדח </w:t>
      </w:r>
      <w:r>
        <w:rPr>
          <w:rFonts w:hint="cs"/>
          <w:color w:val="000000"/>
          <w:rtl/>
        </w:rPr>
        <w:t>כשלצדו</w:t>
      </w:r>
      <w:r>
        <w:rPr>
          <w:color w:val="000000"/>
          <w:rtl/>
        </w:rPr>
        <w:t xml:space="preserve"> מחסנית, כשהם מוסלקים יחד בתוך רכבו </w:t>
      </w:r>
      <w:r>
        <w:rPr>
          <w:rFonts w:hint="cs"/>
          <w:color w:val="000000"/>
          <w:rtl/>
        </w:rPr>
        <w:t xml:space="preserve">ומוכנים </w:t>
      </w:r>
      <w:r>
        <w:rPr>
          <w:color w:val="000000"/>
          <w:rtl/>
        </w:rPr>
        <w:t>לשימוש מידי וכי בנסיבות העניין ניתן להניח כי נשיאתם לא הי</w:t>
      </w:r>
      <w:r>
        <w:rPr>
          <w:rFonts w:hint="cs"/>
          <w:color w:val="000000"/>
          <w:rtl/>
        </w:rPr>
        <w:t>י</w:t>
      </w:r>
      <w:r>
        <w:rPr>
          <w:color w:val="000000"/>
          <w:rtl/>
        </w:rPr>
        <w:t>תה למטרות תמימות.</w:t>
      </w:r>
    </w:p>
    <w:p w14:paraId="53CF7D69" w14:textId="77777777" w:rsidR="001A58A0" w:rsidRDefault="001A58A0">
      <w:pPr>
        <w:spacing w:line="360" w:lineRule="auto"/>
        <w:ind w:left="716" w:hanging="690"/>
        <w:jc w:val="both"/>
        <w:rPr>
          <w:color w:val="000000"/>
          <w:rtl/>
        </w:rPr>
      </w:pPr>
    </w:p>
    <w:p w14:paraId="5A0AFB03" w14:textId="77777777" w:rsidR="001A58A0" w:rsidRDefault="009B3B47">
      <w:pPr>
        <w:spacing w:line="360" w:lineRule="auto"/>
        <w:ind w:left="716"/>
        <w:jc w:val="both"/>
        <w:rPr>
          <w:color w:val="000000"/>
          <w:rtl/>
        </w:rPr>
      </w:pPr>
      <w:r>
        <w:rPr>
          <w:color w:val="000000"/>
          <w:rtl/>
        </w:rPr>
        <w:t>באשר לנסיבות שאינן קשורות לביצוע העבירה הדגישה המאשימה כי לחובתו של הנאשם שתי הרשעות  קודמות  בחמשה תיקים שונים.</w:t>
      </w:r>
    </w:p>
    <w:p w14:paraId="724C8212" w14:textId="77777777" w:rsidR="001A58A0" w:rsidRDefault="001A58A0">
      <w:pPr>
        <w:spacing w:line="360" w:lineRule="auto"/>
        <w:jc w:val="both"/>
        <w:rPr>
          <w:color w:val="000000"/>
          <w:rtl/>
        </w:rPr>
      </w:pPr>
    </w:p>
    <w:p w14:paraId="7C26E086" w14:textId="77777777" w:rsidR="001A58A0" w:rsidRDefault="009B3B47">
      <w:pPr>
        <w:spacing w:line="360" w:lineRule="auto"/>
        <w:ind w:left="716" w:hanging="690"/>
        <w:jc w:val="both"/>
        <w:rPr>
          <w:color w:val="000000"/>
          <w:rtl/>
        </w:rPr>
      </w:pPr>
      <w:r>
        <w:rPr>
          <w:b/>
          <w:bCs/>
          <w:color w:val="000000"/>
          <w:rtl/>
        </w:rPr>
        <w:t>16</w:t>
      </w:r>
      <w:r>
        <w:rPr>
          <w:color w:val="000000"/>
          <w:rtl/>
        </w:rPr>
        <w:t>.</w:t>
      </w:r>
      <w:r>
        <w:rPr>
          <w:color w:val="000000"/>
          <w:rtl/>
        </w:rPr>
        <w:tab/>
        <w:t>המאשימה הפנתה לתסקיר שירות המבחן וציינה כי התסקיר מדבר בעד עצמו. הנאשם לקח אחריות חלקית ואינו מבין את חומרת מעשיו.</w:t>
      </w:r>
    </w:p>
    <w:p w14:paraId="7A807BC6" w14:textId="77777777" w:rsidR="001A58A0" w:rsidRDefault="001A58A0">
      <w:pPr>
        <w:spacing w:line="360" w:lineRule="auto"/>
        <w:ind w:left="720"/>
        <w:jc w:val="both"/>
        <w:rPr>
          <w:color w:val="000000"/>
          <w:rtl/>
        </w:rPr>
      </w:pPr>
    </w:p>
    <w:p w14:paraId="2E1947F4" w14:textId="77777777" w:rsidR="001A58A0" w:rsidRDefault="009B3B47">
      <w:pPr>
        <w:spacing w:line="360" w:lineRule="auto"/>
        <w:ind w:left="716" w:hanging="690"/>
        <w:jc w:val="both"/>
        <w:rPr>
          <w:color w:val="000000"/>
          <w:rtl/>
        </w:rPr>
      </w:pPr>
      <w:r>
        <w:rPr>
          <w:b/>
          <w:bCs/>
          <w:color w:val="000000"/>
          <w:rtl/>
        </w:rPr>
        <w:t>17</w:t>
      </w:r>
      <w:r>
        <w:rPr>
          <w:color w:val="000000"/>
          <w:rtl/>
        </w:rPr>
        <w:t>.</w:t>
      </w:r>
      <w:r>
        <w:rPr>
          <w:color w:val="000000"/>
          <w:rtl/>
        </w:rPr>
        <w:tab/>
      </w:r>
      <w:r>
        <w:rPr>
          <w:rFonts w:hint="cs"/>
          <w:color w:val="000000"/>
          <w:rtl/>
        </w:rPr>
        <w:t>בסוף דבריה,</w:t>
      </w:r>
      <w:r>
        <w:rPr>
          <w:color w:val="000000"/>
          <w:rtl/>
        </w:rPr>
        <w:t xml:space="preserve"> הפנתה המאשימה לפסיקה וביקשה להטיל על הנאשם מאסר בפועל, מאסר מותנה וקנס. בנוסף ביקשה המאשימה חילוט הרכב.</w:t>
      </w:r>
    </w:p>
    <w:p w14:paraId="1AEA1A35" w14:textId="77777777" w:rsidR="001A58A0" w:rsidRDefault="001A58A0">
      <w:pPr>
        <w:spacing w:line="360" w:lineRule="auto"/>
        <w:ind w:left="716" w:hanging="690"/>
        <w:jc w:val="both"/>
        <w:rPr>
          <w:color w:val="000000"/>
          <w:rtl/>
        </w:rPr>
      </w:pPr>
    </w:p>
    <w:p w14:paraId="21FC306F" w14:textId="77777777" w:rsidR="001A58A0" w:rsidRDefault="009B3B47">
      <w:pPr>
        <w:spacing w:line="360" w:lineRule="auto"/>
        <w:ind w:firstLine="716"/>
        <w:jc w:val="both"/>
        <w:rPr>
          <w:b/>
          <w:bCs/>
          <w:color w:val="000000"/>
          <w:u w:val="single"/>
        </w:rPr>
      </w:pPr>
      <w:r>
        <w:rPr>
          <w:b/>
          <w:bCs/>
          <w:color w:val="000000"/>
          <w:u w:val="single"/>
          <w:rtl/>
        </w:rPr>
        <w:t>טענות ב"כ הנאשם:</w:t>
      </w:r>
    </w:p>
    <w:p w14:paraId="62DAC93F" w14:textId="77777777" w:rsidR="001A58A0" w:rsidRDefault="001A58A0">
      <w:pPr>
        <w:spacing w:line="360" w:lineRule="auto"/>
        <w:ind w:firstLine="716"/>
        <w:jc w:val="both"/>
        <w:rPr>
          <w:b/>
          <w:bCs/>
          <w:color w:val="000000"/>
          <w:u w:val="single"/>
          <w:rtl/>
        </w:rPr>
      </w:pPr>
    </w:p>
    <w:p w14:paraId="7E675531" w14:textId="77777777" w:rsidR="001A58A0" w:rsidRDefault="009B3B47">
      <w:pPr>
        <w:spacing w:line="360" w:lineRule="auto"/>
        <w:ind w:left="720" w:hanging="720"/>
        <w:jc w:val="both"/>
        <w:rPr>
          <w:color w:val="000000"/>
          <w:rtl/>
        </w:rPr>
      </w:pPr>
      <w:r>
        <w:rPr>
          <w:b/>
          <w:bCs/>
          <w:color w:val="000000"/>
          <w:rtl/>
        </w:rPr>
        <w:t>18</w:t>
      </w:r>
      <w:r>
        <w:rPr>
          <w:color w:val="000000"/>
          <w:rtl/>
        </w:rPr>
        <w:t>.</w:t>
      </w:r>
      <w:r>
        <w:rPr>
          <w:color w:val="000000"/>
          <w:rtl/>
        </w:rPr>
        <w:tab/>
        <w:t xml:space="preserve">הסנגור ציין כי הנאשם הודה כבר בשלב מקדמי מאוד של המשפט וחסך זמן שיפוטי יקר. עוד ציין כי הודאתו מלמדת  על כך שהוא הפנים חומרת המעשים </w:t>
      </w:r>
      <w:r>
        <w:rPr>
          <w:rFonts w:hint="cs"/>
          <w:color w:val="000000"/>
          <w:rtl/>
        </w:rPr>
        <w:t>וגילה חרטה כנה</w:t>
      </w:r>
      <w:r>
        <w:rPr>
          <w:color w:val="000000"/>
          <w:rtl/>
        </w:rPr>
        <w:t>.</w:t>
      </w:r>
    </w:p>
    <w:p w14:paraId="5D3C3ACD" w14:textId="77777777" w:rsidR="001A58A0" w:rsidRDefault="001A58A0">
      <w:pPr>
        <w:spacing w:line="360" w:lineRule="auto"/>
        <w:jc w:val="both"/>
        <w:rPr>
          <w:color w:val="000000"/>
          <w:rtl/>
        </w:rPr>
      </w:pPr>
    </w:p>
    <w:p w14:paraId="6AA8AA01" w14:textId="77777777" w:rsidR="001A58A0" w:rsidRDefault="009B3B47">
      <w:pPr>
        <w:spacing w:line="360" w:lineRule="auto"/>
        <w:ind w:left="720" w:hanging="720"/>
        <w:jc w:val="both"/>
        <w:rPr>
          <w:color w:val="000000"/>
          <w:rtl/>
        </w:rPr>
      </w:pPr>
      <w:r>
        <w:rPr>
          <w:b/>
          <w:bCs/>
          <w:color w:val="000000"/>
          <w:rtl/>
        </w:rPr>
        <w:t>19</w:t>
      </w:r>
      <w:r>
        <w:rPr>
          <w:color w:val="000000"/>
          <w:rtl/>
        </w:rPr>
        <w:t>.</w:t>
      </w:r>
      <w:r>
        <w:rPr>
          <w:color w:val="000000"/>
          <w:rtl/>
        </w:rPr>
        <w:tab/>
        <w:t>לטענת הסנגור, מבלי להקל ראש בעבירה שהורשע בה הנאשם, הוא לא נתפס בדרך לבצע עבירה ולא נתפס עם נשק שעולה ממנו כוונה לפגוע, אל</w:t>
      </w:r>
      <w:r>
        <w:rPr>
          <w:rFonts w:hint="cs"/>
          <w:color w:val="000000"/>
          <w:rtl/>
        </w:rPr>
        <w:t>א</w:t>
      </w:r>
      <w:r>
        <w:rPr>
          <w:color w:val="000000"/>
          <w:rtl/>
        </w:rPr>
        <w:t xml:space="preserve"> נתפס עם אקדח ומחסנית ריקה. </w:t>
      </w:r>
    </w:p>
    <w:p w14:paraId="638ED8E7" w14:textId="77777777" w:rsidR="001A58A0" w:rsidRDefault="001A58A0">
      <w:pPr>
        <w:spacing w:line="360" w:lineRule="auto"/>
        <w:jc w:val="both"/>
        <w:rPr>
          <w:color w:val="000000"/>
          <w:rtl/>
        </w:rPr>
      </w:pPr>
    </w:p>
    <w:p w14:paraId="7A240F60" w14:textId="77777777" w:rsidR="001A58A0" w:rsidRDefault="009B3B47">
      <w:pPr>
        <w:spacing w:line="360" w:lineRule="auto"/>
        <w:ind w:left="720" w:hanging="720"/>
        <w:jc w:val="both"/>
        <w:rPr>
          <w:color w:val="000000"/>
          <w:rtl/>
        </w:rPr>
      </w:pPr>
      <w:r>
        <w:rPr>
          <w:b/>
          <w:bCs/>
          <w:color w:val="000000"/>
          <w:rtl/>
        </w:rPr>
        <w:t>20</w:t>
      </w:r>
      <w:r>
        <w:rPr>
          <w:color w:val="000000"/>
          <w:rtl/>
        </w:rPr>
        <w:t>.</w:t>
      </w:r>
      <w:r>
        <w:rPr>
          <w:color w:val="000000"/>
          <w:rtl/>
        </w:rPr>
        <w:tab/>
        <w:t>באשר לחילוט הרכב,  טען הסנגור כי אומנם הרכב רשום על שם הנאשם</w:t>
      </w:r>
      <w:r>
        <w:rPr>
          <w:rFonts w:hint="cs"/>
          <w:color w:val="000000"/>
          <w:rtl/>
        </w:rPr>
        <w:t>,</w:t>
      </w:r>
      <w:r>
        <w:rPr>
          <w:color w:val="000000"/>
          <w:rtl/>
        </w:rPr>
        <w:t xml:space="preserve"> אך  בפועל  רכב זה משמש כל בני המשפחה וחילוטו  פוגע לא רק בנאשם עצמו אלא גם בבני משפחתו, לכן ביקש הסנגור לדחות את בקשת המאשימה לחילוט הרכב ולהורות על החזרתו לידי קרובי משפחת הנאשם. </w:t>
      </w:r>
    </w:p>
    <w:p w14:paraId="546EC092" w14:textId="77777777" w:rsidR="001A58A0" w:rsidRDefault="001A58A0">
      <w:pPr>
        <w:spacing w:line="360" w:lineRule="auto"/>
        <w:jc w:val="both"/>
        <w:rPr>
          <w:color w:val="000000"/>
          <w:rtl/>
        </w:rPr>
      </w:pPr>
    </w:p>
    <w:p w14:paraId="37DE940E" w14:textId="77777777" w:rsidR="001A58A0" w:rsidRDefault="009B3B47">
      <w:pPr>
        <w:spacing w:line="360" w:lineRule="auto"/>
        <w:ind w:left="720" w:hanging="720"/>
        <w:jc w:val="both"/>
        <w:rPr>
          <w:color w:val="000000"/>
          <w:rtl/>
        </w:rPr>
      </w:pPr>
      <w:r>
        <w:rPr>
          <w:b/>
          <w:bCs/>
          <w:color w:val="000000"/>
          <w:rtl/>
        </w:rPr>
        <w:t>21</w:t>
      </w:r>
      <w:r>
        <w:rPr>
          <w:color w:val="000000"/>
          <w:rtl/>
        </w:rPr>
        <w:t>.</w:t>
      </w:r>
      <w:r>
        <w:rPr>
          <w:color w:val="000000"/>
          <w:rtl/>
        </w:rPr>
        <w:tab/>
        <w:t>הסנגור הפנה לפסיקה וביקש שלא למצות את הדין עם הנאשם, הדגיש כי המדובר בבחור צעיר, שאין לו הרשעות בעבירות מסוג העבירות בהן הורשע בתיק זה. לכן ביקש להסתפק בתקופת מעצרו מיום 25.12.14 ועד להיום, או לחילופין להטיל עליו מאסר לתקופה קצרה.</w:t>
      </w:r>
    </w:p>
    <w:p w14:paraId="70E2AFF4" w14:textId="77777777" w:rsidR="001A58A0" w:rsidRDefault="001A58A0">
      <w:pPr>
        <w:spacing w:line="360" w:lineRule="auto"/>
        <w:ind w:left="720" w:hanging="720"/>
        <w:jc w:val="both"/>
        <w:rPr>
          <w:color w:val="000000"/>
          <w:rtl/>
        </w:rPr>
      </w:pPr>
    </w:p>
    <w:p w14:paraId="43851FCC" w14:textId="77777777" w:rsidR="001A58A0" w:rsidRDefault="009B3B47">
      <w:pPr>
        <w:spacing w:line="360" w:lineRule="auto"/>
        <w:ind w:left="720" w:hanging="720"/>
        <w:jc w:val="both"/>
        <w:rPr>
          <w:color w:val="000000"/>
          <w:rtl/>
        </w:rPr>
      </w:pPr>
      <w:r>
        <w:rPr>
          <w:b/>
          <w:bCs/>
          <w:color w:val="000000"/>
          <w:rtl/>
        </w:rPr>
        <w:t>22</w:t>
      </w:r>
      <w:r>
        <w:rPr>
          <w:color w:val="000000"/>
          <w:rtl/>
        </w:rPr>
        <w:t>.</w:t>
      </w:r>
      <w:r>
        <w:rPr>
          <w:color w:val="000000"/>
          <w:rtl/>
        </w:rPr>
        <w:tab/>
        <w:t xml:space="preserve">הנאשם בפנותו לבית המשפט הביע צער על מעשיו וציין כי הוא רוצה להתחתן ולהקים משפחה. </w:t>
      </w:r>
    </w:p>
    <w:p w14:paraId="6521AE32" w14:textId="77777777" w:rsidR="001A58A0" w:rsidRDefault="001A58A0">
      <w:pPr>
        <w:spacing w:line="360" w:lineRule="auto"/>
        <w:jc w:val="both"/>
        <w:rPr>
          <w:color w:val="000000"/>
          <w:rtl/>
        </w:rPr>
      </w:pPr>
    </w:p>
    <w:p w14:paraId="5824B33E" w14:textId="77777777" w:rsidR="001A58A0" w:rsidRDefault="009B3B47">
      <w:pPr>
        <w:spacing w:line="360" w:lineRule="auto"/>
        <w:jc w:val="both"/>
        <w:rPr>
          <w:b/>
          <w:bCs/>
          <w:color w:val="000000"/>
          <w:u w:val="single"/>
          <w:rtl/>
        </w:rPr>
      </w:pPr>
      <w:r>
        <w:rPr>
          <w:b/>
          <w:bCs/>
          <w:color w:val="000000"/>
          <w:u w:val="single"/>
          <w:rtl/>
        </w:rPr>
        <w:t>גזירת</w:t>
      </w:r>
      <w:r>
        <w:rPr>
          <w:rFonts w:hint="cs"/>
          <w:b/>
          <w:bCs/>
          <w:color w:val="000000"/>
          <w:u w:val="single"/>
          <w:rtl/>
        </w:rPr>
        <w:t xml:space="preserve"> -</w:t>
      </w:r>
      <w:r>
        <w:rPr>
          <w:b/>
          <w:bCs/>
          <w:color w:val="000000"/>
          <w:u w:val="single"/>
          <w:rtl/>
        </w:rPr>
        <w:t xml:space="preserve"> הדין:</w:t>
      </w:r>
    </w:p>
    <w:p w14:paraId="12FD2DC3" w14:textId="77777777" w:rsidR="001A58A0" w:rsidRDefault="001A58A0">
      <w:pPr>
        <w:spacing w:line="360" w:lineRule="auto"/>
        <w:jc w:val="both"/>
        <w:rPr>
          <w:color w:val="000000"/>
          <w:rtl/>
        </w:rPr>
      </w:pPr>
    </w:p>
    <w:p w14:paraId="15D15C52" w14:textId="77777777" w:rsidR="001A58A0" w:rsidRDefault="009B3B47">
      <w:pPr>
        <w:spacing w:line="360" w:lineRule="auto"/>
        <w:ind w:left="720" w:hanging="720"/>
        <w:jc w:val="both"/>
        <w:rPr>
          <w:color w:val="000000"/>
          <w:rtl/>
        </w:rPr>
      </w:pPr>
      <w:r>
        <w:rPr>
          <w:b/>
          <w:bCs/>
          <w:color w:val="000000"/>
          <w:rtl/>
        </w:rPr>
        <w:t>23</w:t>
      </w:r>
      <w:r>
        <w:rPr>
          <w:color w:val="000000"/>
          <w:rtl/>
        </w:rPr>
        <w:t>.</w:t>
      </w:r>
      <w:r>
        <w:rPr>
          <w:color w:val="000000"/>
          <w:rtl/>
        </w:rPr>
        <w:tab/>
        <w:t>הנאשם הורשע בביצוע עבירות בנשק, לאחר שהחזיק ונשא אקדח ומחסנית מתחת למושב הנהג ברכב שבבעלותו. בנוסף הורשע הנאשם בביצוע עבירות של נהיגה ללא רישיון רכב וללא ביטוח.</w:t>
      </w:r>
    </w:p>
    <w:p w14:paraId="1BCF7E66" w14:textId="77777777" w:rsidR="001A58A0" w:rsidRDefault="001A58A0">
      <w:pPr>
        <w:spacing w:line="360" w:lineRule="auto"/>
        <w:jc w:val="both"/>
        <w:rPr>
          <w:color w:val="000000"/>
          <w:rtl/>
        </w:rPr>
      </w:pPr>
    </w:p>
    <w:p w14:paraId="0230C2E9" w14:textId="77777777" w:rsidR="001A58A0" w:rsidRDefault="009B3B47">
      <w:pPr>
        <w:spacing w:line="360" w:lineRule="auto"/>
        <w:ind w:left="716"/>
        <w:jc w:val="both"/>
        <w:rPr>
          <w:rFonts w:ascii="Arial" w:hAnsi="Arial"/>
          <w:color w:val="000000"/>
          <w:rtl/>
        </w:rPr>
      </w:pPr>
      <w:r>
        <w:rPr>
          <w:rFonts w:ascii="Arial" w:hAnsi="Arial"/>
          <w:color w:val="000000"/>
          <w:rtl/>
        </w:rPr>
        <w:t xml:space="preserve">במדרג עבירות הנשק מצויה העבירה של נשיאת נשק, בדרגת הביניים מבחינת חומרתה, בין עבירה של רכישת והחזקת נשק לפי </w:t>
      </w:r>
      <w:hyperlink r:id="rId23" w:history="1">
        <w:r w:rsidR="003D2D2B" w:rsidRPr="003D2D2B">
          <w:rPr>
            <w:rStyle w:val="Hyperlink"/>
            <w:rFonts w:ascii="Arial" w:hAnsi="Arial"/>
            <w:rtl/>
          </w:rPr>
          <w:t>סעיף 144(א)</w:t>
        </w:r>
      </w:hyperlink>
      <w:r>
        <w:rPr>
          <w:rFonts w:ascii="Arial" w:hAnsi="Arial"/>
          <w:color w:val="000000"/>
          <w:rtl/>
        </w:rPr>
        <w:t xml:space="preserve"> ל</w:t>
      </w:r>
      <w:hyperlink r:id="rId24" w:history="1">
        <w:r w:rsidRPr="009B3B47">
          <w:rPr>
            <w:rFonts w:ascii="Arial" w:hAnsi="Arial"/>
            <w:color w:val="0000FF"/>
            <w:u w:val="single"/>
            <w:rtl/>
          </w:rPr>
          <w:t>חוק העונשין</w:t>
        </w:r>
      </w:hyperlink>
      <w:r>
        <w:rPr>
          <w:rFonts w:ascii="Arial" w:hAnsi="Arial"/>
          <w:color w:val="000000"/>
          <w:rtl/>
        </w:rPr>
        <w:t xml:space="preserve"> לבין עבירה של יצור, יבוא, יצוא וסחר בנשק לפי </w:t>
      </w:r>
      <w:hyperlink r:id="rId25" w:history="1">
        <w:r w:rsidR="003D2D2B" w:rsidRPr="003D2D2B">
          <w:rPr>
            <w:rStyle w:val="Hyperlink"/>
            <w:rFonts w:ascii="Arial" w:hAnsi="Arial"/>
            <w:rtl/>
          </w:rPr>
          <w:t>סעיף 144(ב2)</w:t>
        </w:r>
      </w:hyperlink>
      <w:r>
        <w:rPr>
          <w:rFonts w:ascii="Arial" w:hAnsi="Arial"/>
          <w:color w:val="000000"/>
          <w:rtl/>
        </w:rPr>
        <w:t xml:space="preserve"> לחוק העונשין. העונש המקסימאלי בגינה הוא 10 שנות מאסר. </w:t>
      </w:r>
    </w:p>
    <w:p w14:paraId="23B20C6F" w14:textId="77777777" w:rsidR="001A58A0" w:rsidRDefault="001A58A0">
      <w:pPr>
        <w:spacing w:line="360" w:lineRule="auto"/>
        <w:jc w:val="both"/>
        <w:rPr>
          <w:color w:val="000000"/>
          <w:rtl/>
        </w:rPr>
      </w:pPr>
    </w:p>
    <w:p w14:paraId="0093C31D" w14:textId="77777777" w:rsidR="001A58A0" w:rsidRDefault="009B3B47">
      <w:pPr>
        <w:spacing w:line="360" w:lineRule="auto"/>
        <w:ind w:left="720" w:hanging="694"/>
        <w:jc w:val="both"/>
        <w:rPr>
          <w:color w:val="000000"/>
          <w:rtl/>
        </w:rPr>
      </w:pPr>
      <w:r>
        <w:rPr>
          <w:b/>
          <w:bCs/>
          <w:color w:val="000000"/>
          <w:rtl/>
        </w:rPr>
        <w:t>24</w:t>
      </w:r>
      <w:r>
        <w:rPr>
          <w:color w:val="000000"/>
          <w:rtl/>
        </w:rPr>
        <w:t>.</w:t>
      </w:r>
      <w:r>
        <w:rPr>
          <w:color w:val="000000"/>
          <w:rtl/>
        </w:rPr>
        <w:tab/>
        <w:t>אכן ריבוי העבירות המבוצעות בנשק, התחושה שנשק בלתי מורשה מצוי בידי כל מי שחפץ ובשל הסכנה הנשקפת מנשק זה לציבור, נקטו בתי המשפט בשנים האחרונות בגישה מחמירה שתכליתה הכרזת מלחמה של רשויות האכיפה בתופעה זו</w:t>
      </w:r>
      <w:r>
        <w:rPr>
          <w:rFonts w:hint="cs"/>
          <w:color w:val="000000"/>
          <w:rtl/>
        </w:rPr>
        <w:t xml:space="preserve"> </w:t>
      </w:r>
      <w:r>
        <w:rPr>
          <w:color w:val="000000"/>
          <w:rtl/>
        </w:rPr>
        <w:t>– ראו</w:t>
      </w:r>
      <w:r>
        <w:rPr>
          <w:rFonts w:hint="cs"/>
          <w:color w:val="000000"/>
          <w:rtl/>
        </w:rPr>
        <w:t xml:space="preserve"> לעניין זה</w:t>
      </w:r>
      <w:r>
        <w:rPr>
          <w:color w:val="000000"/>
          <w:rtl/>
        </w:rPr>
        <w:t xml:space="preserve"> </w:t>
      </w:r>
      <w:hyperlink r:id="rId26" w:history="1">
        <w:r w:rsidRPr="009B3B47">
          <w:rPr>
            <w:color w:val="0000FF"/>
            <w:u w:val="single"/>
            <w:rtl/>
          </w:rPr>
          <w:t>ע"פ 2251/11</w:t>
        </w:r>
      </w:hyperlink>
      <w:r>
        <w:rPr>
          <w:color w:val="000000"/>
          <w:rtl/>
        </w:rPr>
        <w:t xml:space="preserve"> </w:t>
      </w:r>
      <w:r>
        <w:rPr>
          <w:b/>
          <w:bCs/>
          <w:color w:val="000000"/>
          <w:rtl/>
        </w:rPr>
        <w:t>נפאע נ' מדינת ישראל</w:t>
      </w:r>
      <w:r>
        <w:rPr>
          <w:color w:val="000000"/>
          <w:rtl/>
        </w:rPr>
        <w:t xml:space="preserve"> (ניתן ביום 4.12.11) ו</w:t>
      </w:r>
      <w:hyperlink r:id="rId27" w:history="1">
        <w:r w:rsidRPr="009B3B47">
          <w:rPr>
            <w:color w:val="0000FF"/>
            <w:u w:val="single"/>
            <w:rtl/>
          </w:rPr>
          <w:t>ע"פ 4450/11</w:t>
        </w:r>
      </w:hyperlink>
      <w:r>
        <w:rPr>
          <w:color w:val="000000"/>
          <w:rtl/>
        </w:rPr>
        <w:t xml:space="preserve"> </w:t>
      </w:r>
      <w:r>
        <w:rPr>
          <w:b/>
          <w:bCs/>
          <w:color w:val="000000"/>
          <w:rtl/>
        </w:rPr>
        <w:t>עספור נ' מדינת ישראל</w:t>
      </w:r>
      <w:r>
        <w:rPr>
          <w:color w:val="000000"/>
          <w:rtl/>
        </w:rPr>
        <w:t xml:space="preserve"> (ניתן ביום 8.2.12). </w:t>
      </w:r>
    </w:p>
    <w:p w14:paraId="3FB0F046" w14:textId="77777777" w:rsidR="001A58A0" w:rsidRDefault="001A58A0">
      <w:pPr>
        <w:spacing w:line="360" w:lineRule="auto"/>
        <w:ind w:left="720" w:hanging="694"/>
        <w:jc w:val="both"/>
        <w:rPr>
          <w:color w:val="000000"/>
          <w:rtl/>
        </w:rPr>
      </w:pPr>
    </w:p>
    <w:p w14:paraId="01FE84E0" w14:textId="77777777" w:rsidR="001A58A0" w:rsidRDefault="009B3B47">
      <w:pPr>
        <w:spacing w:line="360" w:lineRule="auto"/>
        <w:ind w:left="720"/>
        <w:jc w:val="both"/>
        <w:rPr>
          <w:color w:val="000000"/>
          <w:rtl/>
        </w:rPr>
      </w:pPr>
      <w:r>
        <w:rPr>
          <w:color w:val="000000"/>
          <w:rtl/>
        </w:rPr>
        <w:t>המגמה להחמיר בענישה בעבירות נשק זכתה לתמיכה מליאה בפסק דין שניתן ע"י בית משפט העליון ב</w:t>
      </w:r>
      <w:hyperlink r:id="rId28" w:history="1">
        <w:r w:rsidRPr="009B3B47">
          <w:rPr>
            <w:color w:val="0000FF"/>
            <w:u w:val="single"/>
            <w:rtl/>
          </w:rPr>
          <w:t>ע"פ 1323/13</w:t>
        </w:r>
      </w:hyperlink>
      <w:r>
        <w:rPr>
          <w:color w:val="000000"/>
          <w:rtl/>
        </w:rPr>
        <w:t xml:space="preserve"> </w:t>
      </w:r>
      <w:r>
        <w:rPr>
          <w:b/>
          <w:bCs/>
          <w:color w:val="000000"/>
          <w:rtl/>
        </w:rPr>
        <w:t>רך חסן ואח' נגד מדינת ישראל</w:t>
      </w:r>
      <w:r>
        <w:rPr>
          <w:color w:val="000000"/>
          <w:rtl/>
        </w:rPr>
        <w:t xml:space="preserve"> (ניתן ביום 5.6.13) (להלן: "</w:t>
      </w:r>
      <w:r>
        <w:rPr>
          <w:b/>
          <w:bCs/>
          <w:color w:val="000000"/>
          <w:rtl/>
        </w:rPr>
        <w:t>חסן</w:t>
      </w:r>
      <w:r>
        <w:rPr>
          <w:color w:val="000000"/>
          <w:rtl/>
        </w:rPr>
        <w:t>"), שם קבעה השופטת ע. ארבל:</w:t>
      </w:r>
    </w:p>
    <w:p w14:paraId="1C3C4358" w14:textId="77777777" w:rsidR="001A58A0" w:rsidRDefault="001A58A0">
      <w:pPr>
        <w:spacing w:line="360" w:lineRule="auto"/>
        <w:jc w:val="both"/>
        <w:rPr>
          <w:color w:val="000000"/>
          <w:rtl/>
        </w:rPr>
      </w:pPr>
    </w:p>
    <w:p w14:paraId="4EF042C3" w14:textId="77777777" w:rsidR="001A58A0" w:rsidRDefault="009B3B47">
      <w:pPr>
        <w:pStyle w:val="Ruller40"/>
        <w:tabs>
          <w:tab w:val="clear" w:pos="800"/>
          <w:tab w:val="left" w:pos="708"/>
        </w:tabs>
        <w:ind w:left="720"/>
        <w:rPr>
          <w:rFonts w:ascii="Times New Roman" w:hAnsi="Times New Roman" w:cs="David"/>
          <w:b/>
          <w:bCs/>
          <w:sz w:val="24"/>
          <w:szCs w:val="24"/>
          <w:rtl/>
        </w:rPr>
      </w:pPr>
      <w:r>
        <w:rPr>
          <w:rFonts w:ascii="Times New Roman" w:hAnsi="Times New Roman" w:cs="David"/>
          <w:b/>
          <w:bCs/>
          <w:sz w:val="24"/>
          <w:szCs w:val="24"/>
          <w:rtl/>
        </w:rPr>
        <w:t>"נוכח היקפן המתרחב של עבירות המבוצעות בנשק בכלל וסחר בנשק בפרט</w:t>
      </w:r>
      <w:r>
        <w:rPr>
          <w:rFonts w:ascii="David" w:hAnsi="Times New Roman" w:cs="David"/>
          <w:b/>
          <w:bCs/>
          <w:sz w:val="24"/>
          <w:szCs w:val="24"/>
          <w:rtl/>
        </w:rPr>
        <w:t xml:space="preserve">, </w:t>
      </w:r>
      <w:r>
        <w:rPr>
          <w:rFonts w:ascii="Times New Roman" w:hAnsi="Times New Roman" w:cs="David"/>
          <w:b/>
          <w:bCs/>
          <w:sz w:val="24"/>
          <w:szCs w:val="24"/>
          <w:rtl/>
        </w:rPr>
        <w:t>וזמינותו המדאיגה של נשק בלתי חוקי במחוזותינו</w:t>
      </w:r>
      <w:r>
        <w:rPr>
          <w:rFonts w:ascii="David" w:hAnsi="Times New Roman" w:cs="David"/>
          <w:b/>
          <w:bCs/>
          <w:sz w:val="24"/>
          <w:szCs w:val="24"/>
          <w:rtl/>
        </w:rPr>
        <w:t xml:space="preserve">, </w:t>
      </w:r>
      <w:r>
        <w:rPr>
          <w:rFonts w:ascii="Times New Roman" w:hAnsi="Times New Roman" w:cs="David"/>
          <w:b/>
          <w:bCs/>
          <w:sz w:val="24"/>
          <w:szCs w:val="24"/>
          <w:rtl/>
        </w:rPr>
        <w:t>התעורר הצורך להחמיר בעונשי המאסר המוטלים בעבירות אלה</w:t>
      </w:r>
      <w:r>
        <w:rPr>
          <w:rFonts w:ascii="David" w:hAnsi="Times New Roman" w:cs="David"/>
          <w:b/>
          <w:bCs/>
          <w:sz w:val="24"/>
          <w:szCs w:val="24"/>
          <w:rtl/>
        </w:rPr>
        <w:t xml:space="preserve">. </w:t>
      </w:r>
      <w:r>
        <w:rPr>
          <w:rFonts w:ascii="Times New Roman" w:hAnsi="Times New Roman" w:cs="David"/>
          <w:b/>
          <w:bCs/>
          <w:sz w:val="24"/>
          <w:szCs w:val="24"/>
          <w:rtl/>
        </w:rPr>
        <w:t>אכן</w:t>
      </w:r>
      <w:r>
        <w:rPr>
          <w:rFonts w:ascii="David" w:hAnsi="Times New Roman" w:cs="David"/>
          <w:b/>
          <w:bCs/>
          <w:sz w:val="24"/>
          <w:szCs w:val="24"/>
          <w:rtl/>
        </w:rPr>
        <w:t xml:space="preserve">, </w:t>
      </w:r>
      <w:r>
        <w:rPr>
          <w:rFonts w:ascii="Times New Roman" w:hAnsi="Times New Roman" w:cs="David"/>
          <w:b/>
          <w:bCs/>
          <w:sz w:val="24"/>
          <w:szCs w:val="24"/>
          <w:rtl/>
        </w:rPr>
        <w:t>"התגלגלותם</w:t>
      </w:r>
      <w:r>
        <w:rPr>
          <w:rFonts w:ascii="David" w:hAnsi="Times New Roman" w:cs="David"/>
          <w:b/>
          <w:bCs/>
          <w:sz w:val="24"/>
          <w:szCs w:val="24"/>
          <w:rtl/>
        </w:rPr>
        <w:t xml:space="preserve">" </w:t>
      </w:r>
      <w:r>
        <w:rPr>
          <w:rFonts w:ascii="Times New Roman" w:hAnsi="Times New Roman" w:cs="David"/>
          <w:b/>
          <w:bCs/>
          <w:sz w:val="24"/>
          <w:szCs w:val="24"/>
          <w:rtl/>
        </w:rPr>
        <w:t>של כלי נשק מיד ליד ללא פיקוח עלול להוביל להגעתם בדרך לא דרך לגורמים פליליים ועוינים</w:t>
      </w:r>
      <w:r>
        <w:rPr>
          <w:rFonts w:ascii="David" w:hAnsi="Times New Roman" w:cs="David"/>
          <w:b/>
          <w:bCs/>
          <w:sz w:val="24"/>
          <w:szCs w:val="24"/>
          <w:rtl/>
        </w:rPr>
        <w:t xml:space="preserve">. </w:t>
      </w:r>
      <w:r>
        <w:rPr>
          <w:rFonts w:ascii="Times New Roman" w:hAnsi="Times New Roman" w:cs="David"/>
          <w:b/>
          <w:bCs/>
          <w:sz w:val="24"/>
          <w:szCs w:val="24"/>
          <w:rtl/>
        </w:rPr>
        <w:t xml:space="preserve">אין לדעת מה יעלה בגורלם של כלי נשק אלה ולאילו תוצאות הרסניות יובילו </w:t>
      </w:r>
      <w:r>
        <w:rPr>
          <w:rFonts w:ascii="David" w:hAnsi="Times New Roman" w:cs="David"/>
          <w:b/>
          <w:bCs/>
          <w:sz w:val="24"/>
          <w:szCs w:val="24"/>
          <w:rtl/>
        </w:rPr>
        <w:t xml:space="preserve">– </w:t>
      </w:r>
      <w:r>
        <w:rPr>
          <w:rFonts w:ascii="Times New Roman" w:hAnsi="Times New Roman" w:cs="David"/>
          <w:b/>
          <w:bCs/>
          <w:sz w:val="24"/>
          <w:szCs w:val="24"/>
          <w:rtl/>
        </w:rPr>
        <w:t>בסכסוך ברחוב</w:t>
      </w:r>
      <w:r>
        <w:rPr>
          <w:rFonts w:ascii="David" w:hAnsi="Times New Roman" w:cs="David"/>
          <w:b/>
          <w:bCs/>
          <w:sz w:val="24"/>
          <w:szCs w:val="24"/>
          <w:rtl/>
        </w:rPr>
        <w:t xml:space="preserve">, </w:t>
      </w:r>
      <w:r>
        <w:rPr>
          <w:rFonts w:ascii="Times New Roman" w:hAnsi="Times New Roman" w:cs="David"/>
          <w:b/>
          <w:bCs/>
          <w:sz w:val="24"/>
          <w:szCs w:val="24"/>
          <w:rtl/>
        </w:rPr>
        <w:t>בקטטה בין ניצים ואף בתוך המשפחה פנימה</w:t>
      </w:r>
      <w:r>
        <w:rPr>
          <w:rFonts w:ascii="David" w:hAnsi="Times New Roman" w:cs="David"/>
          <w:b/>
          <w:bCs/>
          <w:sz w:val="24"/>
          <w:szCs w:val="24"/>
          <w:rtl/>
        </w:rPr>
        <w:t xml:space="preserve">. </w:t>
      </w:r>
      <w:r>
        <w:rPr>
          <w:rFonts w:ascii="Times New Roman" w:hAnsi="Times New Roman" w:cs="David"/>
          <w:b/>
          <w:bCs/>
          <w:sz w:val="24"/>
          <w:szCs w:val="24"/>
          <w:rtl/>
        </w:rPr>
        <w:t>הסכנה הנשקפת לציבור כתוצאה מעבירות אלה</w:t>
      </w:r>
      <w:r>
        <w:rPr>
          <w:rFonts w:ascii="David" w:hAnsi="Times New Roman" w:cs="David"/>
          <w:b/>
          <w:bCs/>
          <w:sz w:val="24"/>
          <w:szCs w:val="24"/>
          <w:rtl/>
        </w:rPr>
        <w:t xml:space="preserve">, </w:t>
      </w:r>
      <w:r>
        <w:rPr>
          <w:rFonts w:ascii="Times New Roman" w:hAnsi="Times New Roman" w:cs="David"/>
          <w:b/>
          <w:bCs/>
          <w:sz w:val="24"/>
          <w:szCs w:val="24"/>
          <w:rtl/>
        </w:rPr>
        <w:t>לצד המ</w:t>
      </w:r>
      <w:r>
        <w:rPr>
          <w:rFonts w:ascii="Times New Roman" w:hAnsi="Times New Roman" w:cs="David" w:hint="cs"/>
          <w:b/>
          <w:bCs/>
          <w:sz w:val="24"/>
          <w:szCs w:val="24"/>
          <w:rtl/>
        </w:rPr>
        <w:t>י</w:t>
      </w:r>
      <w:r>
        <w:rPr>
          <w:rFonts w:ascii="Times New Roman" w:hAnsi="Times New Roman" w:cs="David"/>
          <w:b/>
          <w:bCs/>
          <w:sz w:val="24"/>
          <w:szCs w:val="24"/>
          <w:rtl/>
        </w:rPr>
        <w:t>מדים שאליהם הגיעו</w:t>
      </w:r>
      <w:r>
        <w:rPr>
          <w:rFonts w:ascii="David" w:hAnsi="Times New Roman" w:cs="David"/>
          <w:b/>
          <w:bCs/>
          <w:sz w:val="24"/>
          <w:szCs w:val="24"/>
          <w:rtl/>
        </w:rPr>
        <w:t xml:space="preserve">, </w:t>
      </w:r>
      <w:r>
        <w:rPr>
          <w:rFonts w:ascii="Times New Roman" w:hAnsi="Times New Roman" w:cs="David"/>
          <w:b/>
          <w:bCs/>
          <w:sz w:val="24"/>
          <w:szCs w:val="24"/>
          <w:rtl/>
        </w:rPr>
        <w:t>מחייבים לתת ביטוי הולם וכבד משקל להגנה על הערך החברתי שנפגע כתוצאה מפעילות עבריינית זאת</w:t>
      </w:r>
      <w:r>
        <w:rPr>
          <w:rFonts w:ascii="David" w:hAnsi="Times New Roman" w:cs="David"/>
          <w:b/>
          <w:bCs/>
          <w:sz w:val="24"/>
          <w:szCs w:val="24"/>
          <w:rtl/>
        </w:rPr>
        <w:t xml:space="preserve">, </w:t>
      </w:r>
      <w:r>
        <w:rPr>
          <w:rFonts w:ascii="Times New Roman" w:hAnsi="Times New Roman" w:cs="David"/>
          <w:b/>
          <w:bCs/>
          <w:sz w:val="24"/>
          <w:szCs w:val="24"/>
          <w:rtl/>
        </w:rPr>
        <w:t>הגנה על שלום הציבור מפני פגיעות בגוף או בנפש</w:t>
      </w:r>
      <w:r>
        <w:rPr>
          <w:rFonts w:ascii="David" w:hAnsi="Times New Roman" w:cs="David"/>
          <w:b/>
          <w:bCs/>
          <w:sz w:val="24"/>
          <w:szCs w:val="24"/>
          <w:rtl/>
        </w:rPr>
        <w:t xml:space="preserve">, </w:t>
      </w:r>
      <w:r>
        <w:rPr>
          <w:rFonts w:ascii="Times New Roman" w:hAnsi="Times New Roman" w:cs="David"/>
          <w:b/>
          <w:bCs/>
          <w:sz w:val="24"/>
          <w:szCs w:val="24"/>
          <w:rtl/>
        </w:rPr>
        <w:t>ולהחמיר את עונשי המאסר המוטלים בגין פעילות עבריינית זאת</w:t>
      </w:r>
      <w:r>
        <w:rPr>
          <w:rFonts w:ascii="David" w:hAnsi="Times New Roman" w:cs="David"/>
          <w:b/>
          <w:bCs/>
          <w:sz w:val="24"/>
          <w:szCs w:val="24"/>
          <w:rtl/>
        </w:rPr>
        <w:t xml:space="preserve">, </w:t>
      </w:r>
      <w:r>
        <w:rPr>
          <w:rFonts w:ascii="Times New Roman" w:hAnsi="Times New Roman" w:cs="David"/>
          <w:b/>
          <w:bCs/>
          <w:sz w:val="24"/>
          <w:szCs w:val="24"/>
          <w:rtl/>
        </w:rPr>
        <w:t>בהדרגה</w:t>
      </w:r>
      <w:r>
        <w:rPr>
          <w:rFonts w:ascii="David" w:hAnsi="Times New Roman" w:cs="David" w:hint="cs"/>
          <w:b/>
          <w:bCs/>
          <w:sz w:val="24"/>
          <w:szCs w:val="24"/>
          <w:rtl/>
        </w:rPr>
        <w:t>".</w:t>
      </w:r>
    </w:p>
    <w:p w14:paraId="723E21BB" w14:textId="77777777" w:rsidR="001A58A0" w:rsidRDefault="001A58A0">
      <w:pPr>
        <w:spacing w:after="80" w:line="360" w:lineRule="auto"/>
        <w:jc w:val="both"/>
        <w:rPr>
          <w:b/>
          <w:bCs/>
          <w:color w:val="000000"/>
          <w:rtl/>
        </w:rPr>
      </w:pPr>
    </w:p>
    <w:p w14:paraId="54A0FC8B" w14:textId="77777777" w:rsidR="001A58A0" w:rsidRDefault="009B3B47">
      <w:pPr>
        <w:spacing w:after="80" w:line="360" w:lineRule="auto"/>
        <w:ind w:left="720"/>
        <w:jc w:val="both"/>
        <w:rPr>
          <w:color w:val="000000"/>
          <w:rtl/>
        </w:rPr>
      </w:pPr>
      <w:r>
        <w:rPr>
          <w:color w:val="000000"/>
          <w:rtl/>
        </w:rPr>
        <w:t>בעניין חסן, הנסיבות חמורות יותר מהנסיבות של המקרה שבפני. מדובר בעבירות סחר בנשק מסוג רימון הלם וסחר בסמים לסוכן משטרתי כשלנאשמים עבר פלילי מכביד, חרף הנסיבות המחמירות הוטל על מערער 1 עונש של 24 חודשי מאסר בפועל ועל השני 36 חודשים, להבדיל מהנאשם שבפני שהחזיק ונשא אקדח עם מחסנית ללא כדורים.</w:t>
      </w:r>
      <w:r>
        <w:rPr>
          <w:rFonts w:hint="cs"/>
          <w:color w:val="000000"/>
          <w:rtl/>
        </w:rPr>
        <w:t xml:space="preserve"> </w:t>
      </w:r>
    </w:p>
    <w:p w14:paraId="3F0532D8" w14:textId="77777777" w:rsidR="001A58A0" w:rsidRDefault="001A58A0">
      <w:pPr>
        <w:spacing w:after="80" w:line="360" w:lineRule="auto"/>
        <w:ind w:left="720"/>
        <w:jc w:val="both"/>
        <w:rPr>
          <w:color w:val="000000"/>
          <w:rtl/>
        </w:rPr>
      </w:pPr>
    </w:p>
    <w:p w14:paraId="457C53D9" w14:textId="77777777" w:rsidR="001A58A0" w:rsidRDefault="009B3B47">
      <w:pPr>
        <w:spacing w:after="80" w:line="360" w:lineRule="auto"/>
        <w:jc w:val="both"/>
        <w:rPr>
          <w:b/>
          <w:bCs/>
          <w:color w:val="000000"/>
          <w:u w:val="single"/>
          <w:rtl/>
        </w:rPr>
      </w:pPr>
      <w:r>
        <w:rPr>
          <w:rFonts w:hint="cs"/>
          <w:b/>
          <w:bCs/>
          <w:color w:val="000000"/>
          <w:u w:val="single"/>
          <w:rtl/>
        </w:rPr>
        <w:t>קביעת</w:t>
      </w:r>
      <w:r>
        <w:rPr>
          <w:b/>
          <w:bCs/>
          <w:color w:val="000000"/>
          <w:u w:val="single"/>
          <w:rtl/>
        </w:rPr>
        <w:t xml:space="preserve"> מתחם </w:t>
      </w:r>
      <w:r>
        <w:rPr>
          <w:rFonts w:hint="cs"/>
          <w:b/>
          <w:bCs/>
          <w:color w:val="000000"/>
          <w:u w:val="single"/>
          <w:rtl/>
        </w:rPr>
        <w:t>הענישה</w:t>
      </w:r>
      <w:r>
        <w:rPr>
          <w:b/>
          <w:bCs/>
          <w:color w:val="000000"/>
          <w:u w:val="single"/>
          <w:rtl/>
        </w:rPr>
        <w:t xml:space="preserve"> ההולם</w:t>
      </w:r>
      <w:r>
        <w:rPr>
          <w:rFonts w:ascii="David"/>
          <w:b/>
          <w:bCs/>
          <w:color w:val="000000"/>
          <w:u w:val="single"/>
          <w:rtl/>
        </w:rPr>
        <w:t>:</w:t>
      </w:r>
    </w:p>
    <w:p w14:paraId="4DA97B55" w14:textId="77777777" w:rsidR="001A58A0" w:rsidRDefault="009B3B47">
      <w:pPr>
        <w:pStyle w:val="Ruller40"/>
        <w:rPr>
          <w:rFonts w:cs="David"/>
          <w:b/>
          <w:bCs/>
          <w:color w:val="000000"/>
          <w:sz w:val="24"/>
          <w:szCs w:val="24"/>
          <w:rtl/>
        </w:rPr>
      </w:pPr>
      <w:r>
        <w:rPr>
          <w:rFonts w:cs="David"/>
          <w:b/>
          <w:bCs/>
          <w:color w:val="000000"/>
          <w:sz w:val="24"/>
          <w:szCs w:val="24"/>
          <w:rtl/>
        </w:rPr>
        <w:tab/>
      </w:r>
    </w:p>
    <w:p w14:paraId="79ED3B00" w14:textId="77777777" w:rsidR="001A58A0" w:rsidRDefault="009B3B47">
      <w:pPr>
        <w:spacing w:after="80" w:line="360" w:lineRule="auto"/>
        <w:ind w:left="708" w:hanging="579"/>
        <w:jc w:val="both"/>
        <w:rPr>
          <w:color w:val="000000"/>
          <w:rtl/>
        </w:rPr>
      </w:pPr>
      <w:r>
        <w:rPr>
          <w:rFonts w:hint="cs"/>
          <w:b/>
          <w:bCs/>
          <w:color w:val="000000"/>
          <w:rtl/>
        </w:rPr>
        <w:t>25</w:t>
      </w:r>
      <w:r>
        <w:rPr>
          <w:color w:val="000000"/>
          <w:rtl/>
        </w:rPr>
        <w:t>.</w:t>
      </w:r>
      <w:r>
        <w:rPr>
          <w:color w:val="000000"/>
          <w:rtl/>
        </w:rPr>
        <w:tab/>
      </w:r>
      <w:r>
        <w:rPr>
          <w:rFonts w:hint="cs"/>
          <w:color w:val="000000"/>
          <w:rtl/>
        </w:rPr>
        <w:t>בעניין חסן, בית המשפט המחוזי</w:t>
      </w:r>
      <w:r>
        <w:rPr>
          <w:color w:val="000000"/>
          <w:rtl/>
        </w:rPr>
        <w:t xml:space="preserve"> קבע מתחם ענישה הולם</w:t>
      </w:r>
      <w:r>
        <w:rPr>
          <w:rFonts w:ascii="David"/>
          <w:color w:val="000000"/>
          <w:rtl/>
        </w:rPr>
        <w:t xml:space="preserve">, </w:t>
      </w:r>
      <w:r>
        <w:rPr>
          <w:color w:val="000000"/>
          <w:rtl/>
        </w:rPr>
        <w:t>בעבירות הנשק</w:t>
      </w:r>
      <w:r>
        <w:rPr>
          <w:rFonts w:ascii="David"/>
          <w:color w:val="000000"/>
          <w:rtl/>
        </w:rPr>
        <w:t xml:space="preserve">, </w:t>
      </w:r>
      <w:r>
        <w:rPr>
          <w:color w:val="000000"/>
          <w:rtl/>
        </w:rPr>
        <w:t xml:space="preserve">שנע בין </w:t>
      </w:r>
      <w:r>
        <w:rPr>
          <w:rFonts w:ascii="David"/>
          <w:color w:val="000000"/>
          <w:rtl/>
        </w:rPr>
        <w:t xml:space="preserve">1 </w:t>
      </w:r>
      <w:r>
        <w:rPr>
          <w:color w:val="000000"/>
          <w:rtl/>
        </w:rPr>
        <w:t xml:space="preserve">עד  </w:t>
      </w:r>
      <w:r>
        <w:rPr>
          <w:rFonts w:ascii="David"/>
          <w:color w:val="000000"/>
          <w:rtl/>
        </w:rPr>
        <w:t xml:space="preserve">4 </w:t>
      </w:r>
      <w:r>
        <w:rPr>
          <w:color w:val="000000"/>
          <w:rtl/>
        </w:rPr>
        <w:t>שנות מאסר וכן קבע מתחם לפי מדיניות הענישה הנוהגת</w:t>
      </w:r>
      <w:r>
        <w:rPr>
          <w:rFonts w:ascii="David"/>
          <w:color w:val="000000"/>
          <w:rtl/>
        </w:rPr>
        <w:t xml:space="preserve">, </w:t>
      </w:r>
      <w:r>
        <w:rPr>
          <w:color w:val="000000"/>
          <w:rtl/>
        </w:rPr>
        <w:t xml:space="preserve">שנע בין </w:t>
      </w:r>
      <w:r>
        <w:rPr>
          <w:rFonts w:ascii="David"/>
          <w:color w:val="000000"/>
          <w:rtl/>
        </w:rPr>
        <w:t xml:space="preserve">10 </w:t>
      </w:r>
      <w:r>
        <w:rPr>
          <w:color w:val="000000"/>
          <w:rtl/>
        </w:rPr>
        <w:t xml:space="preserve">עד </w:t>
      </w:r>
      <w:r>
        <w:rPr>
          <w:rFonts w:ascii="David"/>
          <w:color w:val="000000"/>
          <w:rtl/>
        </w:rPr>
        <w:t xml:space="preserve">27 </w:t>
      </w:r>
      <w:r>
        <w:rPr>
          <w:color w:val="000000"/>
          <w:rtl/>
        </w:rPr>
        <w:t>חודשי מאסר</w:t>
      </w:r>
      <w:r>
        <w:rPr>
          <w:rFonts w:hint="cs"/>
          <w:color w:val="000000"/>
          <w:rtl/>
        </w:rPr>
        <w:t xml:space="preserve">. בית המשפט העליון קבע כי </w:t>
      </w:r>
      <w:r>
        <w:rPr>
          <w:rtl/>
        </w:rPr>
        <w:t xml:space="preserve">אף שמתחם </w:t>
      </w:r>
      <w:r>
        <w:rPr>
          <w:rFonts w:hint="cs"/>
          <w:rtl/>
        </w:rPr>
        <w:t>זה</w:t>
      </w:r>
      <w:r>
        <w:rPr>
          <w:rtl/>
        </w:rPr>
        <w:t xml:space="preserve"> מעט מחמיר, </w:t>
      </w:r>
      <w:r>
        <w:rPr>
          <w:rFonts w:hint="cs"/>
          <w:rtl/>
        </w:rPr>
        <w:t xml:space="preserve">אך </w:t>
      </w:r>
      <w:r>
        <w:rPr>
          <w:rtl/>
        </w:rPr>
        <w:t>אין להתערב בו</w:t>
      </w:r>
      <w:r>
        <w:rPr>
          <w:rFonts w:hint="cs"/>
          <w:rtl/>
        </w:rPr>
        <w:t xml:space="preserve"> וכי</w:t>
      </w:r>
      <w:r>
        <w:rPr>
          <w:rtl/>
        </w:rPr>
        <w:t xml:space="preserve"> העונש שנקבע מידתי ומקיים את עקרון ההלימה שביסוד</w:t>
      </w:r>
      <w:r>
        <w:rPr>
          <w:rFonts w:hint="cs"/>
          <w:color w:val="000000"/>
          <w:rtl/>
        </w:rPr>
        <w:t xml:space="preserve"> </w:t>
      </w:r>
      <w:hyperlink r:id="rId29" w:history="1">
        <w:r w:rsidRPr="009B3B47">
          <w:rPr>
            <w:color w:val="0000FF"/>
            <w:u w:val="single"/>
            <w:rtl/>
          </w:rPr>
          <w:t>חוק העונשין</w:t>
        </w:r>
      </w:hyperlink>
      <w:r>
        <w:rPr>
          <w:rFonts w:hint="cs"/>
          <w:color w:val="000000"/>
          <w:rtl/>
        </w:rPr>
        <w:t>.</w:t>
      </w:r>
    </w:p>
    <w:p w14:paraId="1CFD6803" w14:textId="77777777" w:rsidR="001A58A0" w:rsidRDefault="001A58A0">
      <w:pPr>
        <w:spacing w:after="80" w:line="360" w:lineRule="auto"/>
        <w:ind w:left="708" w:hanging="579"/>
        <w:jc w:val="both"/>
        <w:rPr>
          <w:color w:val="000000"/>
          <w:rtl/>
        </w:rPr>
      </w:pPr>
    </w:p>
    <w:p w14:paraId="408BFC0E" w14:textId="77777777" w:rsidR="001A58A0" w:rsidRDefault="009B3B47">
      <w:pPr>
        <w:spacing w:after="80" w:line="360" w:lineRule="auto"/>
        <w:ind w:left="708" w:hanging="579"/>
        <w:jc w:val="both"/>
        <w:rPr>
          <w:color w:val="000000"/>
          <w:rtl/>
        </w:rPr>
      </w:pPr>
      <w:r>
        <w:rPr>
          <w:rFonts w:hint="cs"/>
          <w:b/>
          <w:bCs/>
          <w:color w:val="000000"/>
          <w:rtl/>
        </w:rPr>
        <w:t>26</w:t>
      </w:r>
      <w:r>
        <w:rPr>
          <w:rFonts w:hint="cs"/>
          <w:color w:val="000000"/>
          <w:rtl/>
        </w:rPr>
        <w:t>.</w:t>
      </w:r>
      <w:r>
        <w:rPr>
          <w:color w:val="000000"/>
          <w:rtl/>
        </w:rPr>
        <w:tab/>
      </w:r>
      <w:r>
        <w:rPr>
          <w:rFonts w:ascii="Arial" w:hAnsi="Arial"/>
          <w:color w:val="000000"/>
          <w:rtl/>
        </w:rPr>
        <w:t>ב</w:t>
      </w:r>
      <w:hyperlink r:id="rId30" w:history="1">
        <w:r w:rsidRPr="009B3B47">
          <w:rPr>
            <w:rFonts w:ascii="Arial" w:hAnsi="Arial"/>
            <w:color w:val="0000FF"/>
            <w:u w:val="single"/>
            <w:rtl/>
          </w:rPr>
          <w:t>ע"פ 2044/11</w:t>
        </w:r>
      </w:hyperlink>
      <w:r>
        <w:rPr>
          <w:rFonts w:ascii="Arial" w:hAnsi="Arial"/>
          <w:color w:val="000000"/>
          <w:rtl/>
        </w:rPr>
        <w:t xml:space="preserve"> </w:t>
      </w:r>
      <w:r>
        <w:rPr>
          <w:rFonts w:ascii="Arial" w:hAnsi="Arial"/>
          <w:b/>
          <w:bCs/>
          <w:color w:val="000000"/>
          <w:rtl/>
        </w:rPr>
        <w:t xml:space="preserve">מדינת ישראל נ. גנאדי בלוצרקובסקי </w:t>
      </w:r>
      <w:r>
        <w:rPr>
          <w:rFonts w:ascii="Arial" w:hAnsi="Arial"/>
          <w:color w:val="000000"/>
          <w:rtl/>
        </w:rPr>
        <w:t>(ניתן ביום 7.7.11), שם הורשע המשיב בעבירות של נשיאת והחזקת נשק בכך שנשא שני אקדחים ומחסניות המכילות תחמושת חיה אותם מצא, מחיפה לביתו ושם ה</w:t>
      </w:r>
      <w:r>
        <w:rPr>
          <w:rFonts w:ascii="Arial" w:hAnsi="Arial" w:hint="cs"/>
          <w:color w:val="000000"/>
          <w:rtl/>
        </w:rPr>
        <w:t>סתיר</w:t>
      </w:r>
      <w:r>
        <w:rPr>
          <w:rFonts w:ascii="Arial" w:hAnsi="Arial"/>
          <w:color w:val="000000"/>
          <w:rtl/>
        </w:rPr>
        <w:t xml:space="preserve">ם בארון בגדים. בית המשפט העליון החמיר בעונשו של המשיב והעמידו על 7 חודשים. </w:t>
      </w:r>
    </w:p>
    <w:p w14:paraId="55516B11" w14:textId="77777777" w:rsidR="001A58A0" w:rsidRDefault="001A58A0">
      <w:pPr>
        <w:spacing w:after="80" w:line="360" w:lineRule="auto"/>
        <w:ind w:left="708" w:hanging="579"/>
        <w:jc w:val="both"/>
        <w:rPr>
          <w:color w:val="000000"/>
          <w:rtl/>
        </w:rPr>
      </w:pPr>
    </w:p>
    <w:p w14:paraId="2F855E0B" w14:textId="77777777" w:rsidR="001A58A0" w:rsidRDefault="009B3B47">
      <w:pPr>
        <w:spacing w:after="80" w:line="360" w:lineRule="auto"/>
        <w:ind w:left="708" w:hanging="579"/>
        <w:jc w:val="both"/>
        <w:rPr>
          <w:color w:val="000000"/>
          <w:rtl/>
        </w:rPr>
      </w:pPr>
      <w:r>
        <w:rPr>
          <w:rFonts w:hint="cs"/>
          <w:b/>
          <w:bCs/>
          <w:color w:val="000000"/>
          <w:rtl/>
        </w:rPr>
        <w:t>27</w:t>
      </w:r>
      <w:r>
        <w:rPr>
          <w:rFonts w:hint="cs"/>
          <w:color w:val="000000"/>
          <w:rtl/>
        </w:rPr>
        <w:t>.</w:t>
      </w:r>
      <w:r>
        <w:rPr>
          <w:color w:val="000000"/>
          <w:rtl/>
        </w:rPr>
        <w:tab/>
      </w:r>
      <w:r>
        <w:rPr>
          <w:rFonts w:ascii="Arial" w:hAnsi="Arial"/>
          <w:color w:val="000000"/>
          <w:rtl/>
        </w:rPr>
        <w:t>ב</w:t>
      </w:r>
      <w:hyperlink r:id="rId31" w:history="1">
        <w:r w:rsidRPr="009B3B47">
          <w:rPr>
            <w:rFonts w:ascii="Arial" w:hAnsi="Arial"/>
            <w:color w:val="0000FF"/>
            <w:u w:val="single"/>
            <w:rtl/>
          </w:rPr>
          <w:t>ע"פ 2892/13</w:t>
        </w:r>
      </w:hyperlink>
      <w:r>
        <w:rPr>
          <w:rFonts w:ascii="Arial" w:hAnsi="Arial"/>
          <w:color w:val="000000"/>
          <w:rtl/>
        </w:rPr>
        <w:t xml:space="preserve"> </w:t>
      </w:r>
      <w:r>
        <w:rPr>
          <w:rFonts w:ascii="Arial" w:hAnsi="Arial"/>
          <w:b/>
          <w:bCs/>
          <w:color w:val="000000"/>
          <w:rtl/>
        </w:rPr>
        <w:t>עודתאללה נ. מדינת ישראל</w:t>
      </w:r>
      <w:r>
        <w:rPr>
          <w:rFonts w:ascii="Arial" w:hAnsi="Arial"/>
          <w:color w:val="000000"/>
          <w:rtl/>
        </w:rPr>
        <w:t xml:space="preserve"> (ניתן ביום 29.9.13), אישר בית משפט עליון עונש של מאסר בפועל בן 21 חודשים שהוטל על בחור צעיר וללא עבר פלילי שנהג ברכבו כשהוא מוביל אקדח עם מחסנית ריקה מתחת למושבו, ולא ניתן על ידו הסבר להחזקת הנשק באופן האמור. בית המשפט העליון אישר במקרה זה מתחם ענישה שבין 12 ל-36 חודשי מאסר בפועל. </w:t>
      </w:r>
    </w:p>
    <w:p w14:paraId="2A7590EF" w14:textId="77777777" w:rsidR="001A58A0" w:rsidRDefault="001A58A0">
      <w:pPr>
        <w:spacing w:line="360" w:lineRule="auto"/>
        <w:jc w:val="both"/>
        <w:rPr>
          <w:rFonts w:ascii="Arial" w:hAnsi="Arial"/>
          <w:color w:val="000000"/>
          <w:rtl/>
        </w:rPr>
      </w:pPr>
    </w:p>
    <w:p w14:paraId="7B45D87E" w14:textId="77777777" w:rsidR="001A58A0" w:rsidRDefault="009B3B47">
      <w:pPr>
        <w:spacing w:line="360" w:lineRule="auto"/>
        <w:ind w:left="708" w:hanging="708"/>
        <w:jc w:val="both"/>
        <w:rPr>
          <w:rFonts w:ascii="Arial" w:hAnsi="Arial"/>
          <w:color w:val="000000"/>
          <w:rtl/>
        </w:rPr>
      </w:pPr>
      <w:r>
        <w:rPr>
          <w:rFonts w:ascii="Arial" w:hAnsi="Arial" w:hint="cs"/>
          <w:b/>
          <w:bCs/>
          <w:color w:val="000000"/>
          <w:rtl/>
        </w:rPr>
        <w:t>28</w:t>
      </w:r>
      <w:r>
        <w:rPr>
          <w:rFonts w:ascii="Arial" w:hAnsi="Arial" w:hint="cs"/>
          <w:color w:val="000000"/>
          <w:rtl/>
        </w:rPr>
        <w:t>.</w:t>
      </w:r>
      <w:r>
        <w:rPr>
          <w:rFonts w:ascii="Arial" w:hAnsi="Arial" w:hint="cs"/>
          <w:color w:val="000000"/>
          <w:rtl/>
        </w:rPr>
        <w:tab/>
      </w:r>
      <w:r>
        <w:rPr>
          <w:rFonts w:ascii="Arial" w:hAnsi="Arial"/>
          <w:color w:val="000000"/>
          <w:rtl/>
        </w:rPr>
        <w:t>ב</w:t>
      </w:r>
      <w:hyperlink r:id="rId32" w:history="1">
        <w:r w:rsidRPr="009B3B47">
          <w:rPr>
            <w:rFonts w:ascii="Arial" w:hAnsi="Arial"/>
            <w:color w:val="0000FF"/>
            <w:u w:val="single"/>
            <w:rtl/>
          </w:rPr>
          <w:t>ע"פ 4945/13</w:t>
        </w:r>
      </w:hyperlink>
      <w:r>
        <w:rPr>
          <w:rFonts w:ascii="Arial" w:hAnsi="Arial"/>
          <w:color w:val="000000"/>
          <w:rtl/>
        </w:rPr>
        <w:t xml:space="preserve"> </w:t>
      </w:r>
      <w:r>
        <w:rPr>
          <w:rFonts w:ascii="Arial" w:hAnsi="Arial"/>
          <w:b/>
          <w:bCs/>
          <w:color w:val="000000"/>
          <w:rtl/>
        </w:rPr>
        <w:t>מדינת ישראל נ. עבד אלכרים סלימאן</w:t>
      </w:r>
      <w:r>
        <w:rPr>
          <w:rFonts w:ascii="Arial" w:hAnsi="Arial"/>
          <w:color w:val="000000"/>
          <w:rtl/>
        </w:rPr>
        <w:t xml:space="preserve"> (ניתן ביום 19.1.14), המשיב הורשע בעבירות של רכישת, החזקת, נשיאת והובלת נשק ותחמושת. בית המשפט העליון קבע  מתחם ענישה הולם בין 12 ל-36 חודשים. יצויין כי באותו מקרה ראה בית המשפט העליון לנכון לאשר חריגה מהמתחם בשל הנסיבות המיוחדות שפורטו, אך כן מצא לנכון להתערב במתחם הענישה הנמוך יותר שנקבע על ידי בית המשפט המחוזי (עבודות שירות עד 20 חודשי מאסר), בקובעו כי:</w:t>
      </w:r>
    </w:p>
    <w:p w14:paraId="418F5867" w14:textId="77777777" w:rsidR="001A58A0" w:rsidRDefault="001A58A0">
      <w:pPr>
        <w:spacing w:line="360" w:lineRule="auto"/>
        <w:ind w:left="720"/>
        <w:jc w:val="both"/>
        <w:rPr>
          <w:rFonts w:ascii="Arial" w:hAnsi="Arial"/>
          <w:color w:val="000000"/>
          <w:rtl/>
        </w:rPr>
      </w:pPr>
    </w:p>
    <w:p w14:paraId="333F405C" w14:textId="77777777" w:rsidR="001A58A0" w:rsidRDefault="009B3B47">
      <w:pPr>
        <w:spacing w:line="360" w:lineRule="auto"/>
        <w:ind w:left="720"/>
        <w:jc w:val="both"/>
        <w:rPr>
          <w:rFonts w:ascii="Arial" w:hAnsi="Arial"/>
          <w:b/>
          <w:bCs/>
          <w:color w:val="000000"/>
          <w:rtl/>
        </w:rPr>
      </w:pPr>
      <w:r>
        <w:rPr>
          <w:b/>
          <w:bCs/>
          <w:rtl/>
        </w:rPr>
        <w:t>"בהתחשב בערכים החברתיים הנפגעים ומידת הפגיעה בהם, ובשים לב לנסיבות ביצוע העבירות ומידת אשמו של המשיב, וכן לאחר שלקחתי בחשבון את מדיניות הענישה הנוהגת לצד המדיניות הראויה, אני סבורה כי מתחם העונש ההולם בענייננו נע בין 12 ל- 36 חודשי מאסר בפועל".</w:t>
      </w:r>
    </w:p>
    <w:p w14:paraId="1C94D434" w14:textId="77777777" w:rsidR="001A58A0" w:rsidRDefault="001A58A0">
      <w:pPr>
        <w:spacing w:line="360" w:lineRule="auto"/>
        <w:ind w:left="720"/>
        <w:jc w:val="both"/>
        <w:rPr>
          <w:rFonts w:ascii="Arial" w:hAnsi="Arial"/>
          <w:b/>
          <w:bCs/>
          <w:color w:val="000000"/>
          <w:rtl/>
        </w:rPr>
      </w:pPr>
    </w:p>
    <w:p w14:paraId="149D8D02" w14:textId="77777777" w:rsidR="001A58A0" w:rsidRDefault="009B3B47">
      <w:pPr>
        <w:pStyle w:val="Ruller50"/>
        <w:spacing w:line="360" w:lineRule="auto"/>
        <w:ind w:left="708" w:right="0" w:hanging="708"/>
        <w:rPr>
          <w:rFonts w:cs="David"/>
          <w:color w:val="000000"/>
          <w:sz w:val="24"/>
          <w:szCs w:val="24"/>
          <w:rtl/>
        </w:rPr>
      </w:pPr>
      <w:r>
        <w:rPr>
          <w:rFonts w:ascii="Arial" w:hAnsi="Arial" w:cs="David" w:hint="cs"/>
          <w:b/>
          <w:bCs/>
          <w:color w:val="000000"/>
          <w:sz w:val="24"/>
          <w:szCs w:val="24"/>
          <w:rtl/>
        </w:rPr>
        <w:t>29.</w:t>
      </w:r>
      <w:r>
        <w:rPr>
          <w:rFonts w:ascii="Arial" w:hAnsi="Arial" w:cs="David" w:hint="cs"/>
          <w:b/>
          <w:bCs/>
          <w:color w:val="000000"/>
          <w:sz w:val="24"/>
          <w:szCs w:val="24"/>
          <w:rtl/>
        </w:rPr>
        <w:tab/>
      </w:r>
      <w:r>
        <w:rPr>
          <w:rFonts w:cs="David"/>
          <w:sz w:val="24"/>
          <w:szCs w:val="24"/>
          <w:rtl/>
        </w:rPr>
        <w:t>יודגש</w:t>
      </w:r>
      <w:r>
        <w:rPr>
          <w:rFonts w:ascii="David" w:cs="David"/>
          <w:sz w:val="24"/>
          <w:szCs w:val="24"/>
          <w:rtl/>
        </w:rPr>
        <w:t xml:space="preserve">, </w:t>
      </w:r>
      <w:r>
        <w:rPr>
          <w:rFonts w:cs="David"/>
          <w:sz w:val="24"/>
          <w:szCs w:val="24"/>
          <w:rtl/>
        </w:rPr>
        <w:t>כי כבר נקבע בעבר שקיים מדרג ענישה בעבירות המבוצעות בנשק</w:t>
      </w:r>
      <w:r>
        <w:rPr>
          <w:rFonts w:ascii="David" w:cs="David"/>
          <w:sz w:val="24"/>
          <w:szCs w:val="24"/>
          <w:rtl/>
        </w:rPr>
        <w:t xml:space="preserve">, </w:t>
      </w:r>
      <w:r>
        <w:rPr>
          <w:rFonts w:cs="David" w:hint="cs"/>
          <w:sz w:val="24"/>
          <w:szCs w:val="24"/>
          <w:rtl/>
        </w:rPr>
        <w:t xml:space="preserve">מדרג </w:t>
      </w:r>
      <w:r>
        <w:rPr>
          <w:rFonts w:cs="David"/>
          <w:sz w:val="24"/>
          <w:szCs w:val="24"/>
          <w:rtl/>
        </w:rPr>
        <w:t>הנקבע</w:t>
      </w:r>
      <w:r>
        <w:rPr>
          <w:rFonts w:ascii="David" w:cs="David"/>
          <w:sz w:val="24"/>
          <w:szCs w:val="24"/>
          <w:rtl/>
        </w:rPr>
        <w:t xml:space="preserve">, </w:t>
      </w:r>
      <w:r>
        <w:rPr>
          <w:rFonts w:cs="David"/>
          <w:sz w:val="24"/>
          <w:szCs w:val="24"/>
          <w:rtl/>
        </w:rPr>
        <w:t>בין השאר</w:t>
      </w:r>
      <w:r>
        <w:rPr>
          <w:rFonts w:ascii="David" w:cs="David"/>
          <w:sz w:val="24"/>
          <w:szCs w:val="24"/>
          <w:rtl/>
        </w:rPr>
        <w:t xml:space="preserve">, </w:t>
      </w:r>
      <w:r>
        <w:rPr>
          <w:rFonts w:cs="David"/>
          <w:sz w:val="24"/>
          <w:szCs w:val="24"/>
          <w:rtl/>
        </w:rPr>
        <w:t>ע</w:t>
      </w:r>
      <w:r>
        <w:rPr>
          <w:rFonts w:ascii="David" w:cs="David" w:hint="cs"/>
          <w:sz w:val="24"/>
          <w:szCs w:val="24"/>
          <w:rtl/>
        </w:rPr>
        <w:t>פ"י</w:t>
      </w:r>
      <w:r>
        <w:rPr>
          <w:rFonts w:cs="David"/>
          <w:sz w:val="24"/>
          <w:szCs w:val="24"/>
          <w:rtl/>
        </w:rPr>
        <w:t xml:space="preserve"> סוג</w:t>
      </w:r>
      <w:r>
        <w:rPr>
          <w:rFonts w:ascii="David" w:cs="David"/>
          <w:sz w:val="24"/>
          <w:szCs w:val="24"/>
          <w:rtl/>
        </w:rPr>
        <w:t xml:space="preserve">, </w:t>
      </w:r>
      <w:r>
        <w:rPr>
          <w:rFonts w:cs="David"/>
          <w:sz w:val="24"/>
          <w:szCs w:val="24"/>
          <w:rtl/>
        </w:rPr>
        <w:t>איכות וכמות הנשק שנעשה בו שימוש</w:t>
      </w:r>
      <w:r>
        <w:rPr>
          <w:rFonts w:ascii="David" w:cs="David"/>
          <w:sz w:val="24"/>
          <w:szCs w:val="24"/>
          <w:rtl/>
        </w:rPr>
        <w:t xml:space="preserve">, </w:t>
      </w:r>
      <w:r>
        <w:rPr>
          <w:rFonts w:cs="David"/>
          <w:sz w:val="24"/>
          <w:szCs w:val="24"/>
          <w:rtl/>
        </w:rPr>
        <w:t>ועל התכלית שלשמה הוא מוחזק וכך נאמר לא אחת כי</w:t>
      </w:r>
      <w:r>
        <w:rPr>
          <w:rFonts w:ascii="David" w:cs="David"/>
          <w:sz w:val="24"/>
          <w:szCs w:val="24"/>
          <w:rtl/>
        </w:rPr>
        <w:t xml:space="preserve">: </w:t>
      </w:r>
    </w:p>
    <w:p w14:paraId="7B374F74" w14:textId="77777777" w:rsidR="001A58A0" w:rsidRDefault="001A58A0">
      <w:pPr>
        <w:pStyle w:val="Ruller40"/>
        <w:ind w:left="567"/>
        <w:rPr>
          <w:rFonts w:cs="David"/>
          <w:sz w:val="24"/>
          <w:szCs w:val="24"/>
          <w:rtl/>
        </w:rPr>
      </w:pPr>
    </w:p>
    <w:p w14:paraId="13F00B28" w14:textId="77777777" w:rsidR="001A58A0" w:rsidRDefault="009B3B47">
      <w:pPr>
        <w:pStyle w:val="Ruller40"/>
        <w:ind w:left="708"/>
        <w:rPr>
          <w:rFonts w:ascii="Times New Roman" w:hAnsi="Times New Roman" w:cs="David"/>
          <w:color w:val="000000"/>
          <w:sz w:val="24"/>
          <w:szCs w:val="24"/>
          <w:rtl/>
        </w:rPr>
      </w:pPr>
      <w:r>
        <w:rPr>
          <w:rFonts w:cs="David"/>
          <w:b/>
          <w:bCs/>
          <w:sz w:val="24"/>
          <w:szCs w:val="24"/>
          <w:rtl/>
        </w:rPr>
        <w:t>"... מידת העונש המוטל בגין עבירות המבוצעות בנשק</w:t>
      </w:r>
      <w:r>
        <w:rPr>
          <w:rFonts w:ascii="David" w:cs="David"/>
          <w:b/>
          <w:bCs/>
          <w:sz w:val="24"/>
          <w:szCs w:val="24"/>
          <w:rtl/>
        </w:rPr>
        <w:t xml:space="preserve">, </w:t>
      </w:r>
      <w:r>
        <w:rPr>
          <w:rFonts w:cs="David"/>
          <w:b/>
          <w:bCs/>
          <w:sz w:val="24"/>
          <w:szCs w:val="24"/>
          <w:rtl/>
        </w:rPr>
        <w:t>מושפעת מפוטנציאל הסיכון הרב הטמון בנשק המוחזק שלא כדין ומהעברתו מיד ליד ללא פיקוח</w:t>
      </w:r>
      <w:r>
        <w:rPr>
          <w:rFonts w:ascii="David" w:cs="David"/>
          <w:b/>
          <w:bCs/>
          <w:sz w:val="24"/>
          <w:szCs w:val="24"/>
          <w:rtl/>
        </w:rPr>
        <w:t xml:space="preserve">. </w:t>
      </w:r>
      <w:r>
        <w:rPr>
          <w:rFonts w:cs="David"/>
          <w:b/>
          <w:bCs/>
          <w:sz w:val="24"/>
          <w:szCs w:val="24"/>
          <w:rtl/>
        </w:rPr>
        <w:t>בבוא בית</w:t>
      </w:r>
      <w:r>
        <w:rPr>
          <w:rFonts w:ascii="David" w:cs="David"/>
          <w:b/>
          <w:bCs/>
          <w:sz w:val="24"/>
          <w:szCs w:val="24"/>
          <w:rtl/>
        </w:rPr>
        <w:t>-</w:t>
      </w:r>
      <w:r>
        <w:rPr>
          <w:rFonts w:cs="David"/>
          <w:b/>
          <w:bCs/>
          <w:sz w:val="24"/>
          <w:szCs w:val="24"/>
          <w:rtl/>
        </w:rPr>
        <w:t>המשפט לגזור את הדין בעבירה של החזקה ונשיאה של נשק עליו להתחשב בנסיבות שבהן באה לידי ביטוי החומרה המיוחדת שבעבירה</w:t>
      </w:r>
      <w:r>
        <w:rPr>
          <w:rFonts w:ascii="David" w:cs="David"/>
          <w:b/>
          <w:bCs/>
          <w:sz w:val="24"/>
          <w:szCs w:val="24"/>
          <w:rtl/>
        </w:rPr>
        <w:t xml:space="preserve">. </w:t>
      </w:r>
      <w:r>
        <w:rPr>
          <w:rFonts w:cs="David"/>
          <w:b/>
          <w:bCs/>
          <w:sz w:val="24"/>
          <w:szCs w:val="24"/>
          <w:rtl/>
        </w:rPr>
        <w:t>בין היתר</w:t>
      </w:r>
      <w:r>
        <w:rPr>
          <w:rFonts w:ascii="David" w:cs="David"/>
          <w:b/>
          <w:bCs/>
          <w:sz w:val="24"/>
          <w:szCs w:val="24"/>
          <w:rtl/>
        </w:rPr>
        <w:t xml:space="preserve">, </w:t>
      </w:r>
      <w:r>
        <w:rPr>
          <w:rFonts w:cs="David"/>
          <w:b/>
          <w:bCs/>
          <w:sz w:val="24"/>
          <w:szCs w:val="24"/>
          <w:rtl/>
        </w:rPr>
        <w:t>ייתן בית</w:t>
      </w:r>
      <w:r>
        <w:rPr>
          <w:rFonts w:ascii="David" w:cs="David"/>
          <w:b/>
          <w:bCs/>
          <w:sz w:val="24"/>
          <w:szCs w:val="24"/>
          <w:rtl/>
        </w:rPr>
        <w:t>-</w:t>
      </w:r>
      <w:r>
        <w:rPr>
          <w:rFonts w:cs="David"/>
          <w:b/>
          <w:bCs/>
          <w:sz w:val="24"/>
          <w:szCs w:val="24"/>
          <w:rtl/>
        </w:rPr>
        <w:t>המשפט דעתו על סוג הנשק המוחזק שלא כדין</w:t>
      </w:r>
      <w:r>
        <w:rPr>
          <w:rFonts w:ascii="David" w:cs="David"/>
          <w:b/>
          <w:bCs/>
          <w:sz w:val="24"/>
          <w:szCs w:val="24"/>
          <w:rtl/>
        </w:rPr>
        <w:t xml:space="preserve">, </w:t>
      </w:r>
      <w:r>
        <w:rPr>
          <w:rFonts w:cs="David"/>
          <w:b/>
          <w:bCs/>
          <w:sz w:val="24"/>
          <w:szCs w:val="24"/>
          <w:rtl/>
        </w:rPr>
        <w:t>על כמותו,... כאשר מדובר בנשק שעל</w:t>
      </w:r>
      <w:r>
        <w:rPr>
          <w:rFonts w:ascii="David" w:cs="David"/>
          <w:b/>
          <w:bCs/>
          <w:sz w:val="24"/>
          <w:szCs w:val="24"/>
          <w:rtl/>
        </w:rPr>
        <w:t>-</w:t>
      </w:r>
      <w:r>
        <w:rPr>
          <w:rFonts w:cs="David"/>
          <w:b/>
          <w:bCs/>
          <w:sz w:val="24"/>
          <w:szCs w:val="24"/>
          <w:rtl/>
        </w:rPr>
        <w:t>פי טיבו אינו מיועד להגנה עצמית</w:t>
      </w:r>
      <w:r>
        <w:rPr>
          <w:rFonts w:ascii="David" w:cs="David"/>
          <w:b/>
          <w:bCs/>
          <w:sz w:val="24"/>
          <w:szCs w:val="24"/>
          <w:rtl/>
        </w:rPr>
        <w:t xml:space="preserve">, </w:t>
      </w:r>
      <w:r>
        <w:rPr>
          <w:rFonts w:cs="David"/>
          <w:b/>
          <w:bCs/>
          <w:sz w:val="24"/>
          <w:szCs w:val="24"/>
          <w:rtl/>
        </w:rPr>
        <w:t>וכל כולו נשק התקפי רב עוצמה אשר השימוש בו יכול להביא להרג ללא הבחנה</w:t>
      </w:r>
      <w:r>
        <w:rPr>
          <w:rFonts w:ascii="David" w:cs="David"/>
          <w:b/>
          <w:bCs/>
          <w:sz w:val="24"/>
          <w:szCs w:val="24"/>
          <w:rtl/>
        </w:rPr>
        <w:t xml:space="preserve">, </w:t>
      </w:r>
      <w:r>
        <w:rPr>
          <w:rFonts w:cs="David"/>
          <w:b/>
          <w:bCs/>
          <w:sz w:val="24"/>
          <w:szCs w:val="24"/>
          <w:rtl/>
        </w:rPr>
        <w:t>יש בעבירת ההחזקה והנשיאה של אותו נשק חומרה מיוחדת</w:t>
      </w:r>
      <w:r>
        <w:rPr>
          <w:rFonts w:ascii="David" w:cs="David"/>
          <w:b/>
          <w:bCs/>
          <w:sz w:val="24"/>
          <w:szCs w:val="24"/>
          <w:rtl/>
        </w:rPr>
        <w:t>.</w:t>
      </w:r>
      <w:r>
        <w:rPr>
          <w:rFonts w:ascii="Times New Roman" w:hAnsi="Times New Roman" w:cs="David"/>
          <w:b/>
          <w:bCs/>
          <w:sz w:val="24"/>
          <w:szCs w:val="24"/>
          <w:rtl/>
        </w:rPr>
        <w:t>"</w:t>
      </w:r>
      <w:r>
        <w:rPr>
          <w:rFonts w:ascii="Times New Roman" w:hAnsi="Times New Roman" w:cs="David"/>
          <w:sz w:val="24"/>
          <w:szCs w:val="24"/>
          <w:rtl/>
        </w:rPr>
        <w:t xml:space="preserve"> (ראו </w:t>
      </w:r>
      <w:hyperlink r:id="rId33" w:history="1">
        <w:r w:rsidR="0092217F" w:rsidRPr="0092217F">
          <w:rPr>
            <w:rFonts w:ascii="Times New Roman" w:hAnsi="Times New Roman" w:cs="David"/>
            <w:color w:val="0000FF"/>
            <w:sz w:val="24"/>
            <w:szCs w:val="24"/>
            <w:u w:val="single"/>
            <w:rtl/>
          </w:rPr>
          <w:t xml:space="preserve">ע"פ 1332/04 </w:t>
        </w:r>
      </w:hyperlink>
      <w:r w:rsidRPr="009B3B47">
        <w:rPr>
          <w:rFonts w:ascii="Times New Roman" w:hAnsi="Times New Roman" w:cs="David"/>
          <w:color w:val="000000"/>
          <w:sz w:val="24"/>
          <w:szCs w:val="24"/>
          <w:rtl/>
        </w:rPr>
        <w:t xml:space="preserve"> </w:t>
      </w:r>
      <w:r w:rsidRPr="009B3B47">
        <w:rPr>
          <w:rFonts w:ascii="Times New Roman" w:hAnsi="Times New Roman" w:cs="David"/>
          <w:b/>
          <w:bCs/>
          <w:color w:val="000000"/>
          <w:sz w:val="24"/>
          <w:szCs w:val="24"/>
          <w:rtl/>
        </w:rPr>
        <w:t>פס נ</w:t>
      </w:r>
      <w:r w:rsidRPr="009B3B47">
        <w:rPr>
          <w:rFonts w:ascii="David" w:hAnsi="Times New Roman" w:cs="David"/>
          <w:b/>
          <w:bCs/>
          <w:color w:val="000000"/>
          <w:sz w:val="24"/>
          <w:szCs w:val="24"/>
          <w:rtl/>
        </w:rPr>
        <w:t xml:space="preserve">' </w:t>
      </w:r>
      <w:r w:rsidRPr="009B3B47">
        <w:rPr>
          <w:rFonts w:ascii="Times New Roman" w:hAnsi="Times New Roman" w:cs="David"/>
          <w:b/>
          <w:bCs/>
          <w:color w:val="000000"/>
          <w:sz w:val="24"/>
          <w:szCs w:val="24"/>
          <w:rtl/>
        </w:rPr>
        <w:t>מדינת ישראל</w:t>
      </w:r>
      <w:r w:rsidRPr="009B3B47">
        <w:rPr>
          <w:rFonts w:ascii="Times New Roman" w:hAnsi="Times New Roman" w:cs="David"/>
          <w:color w:val="000000"/>
          <w:sz w:val="24"/>
          <w:szCs w:val="24"/>
          <w:rtl/>
        </w:rPr>
        <w:t>, פ</w:t>
      </w:r>
      <w:r w:rsidRPr="009B3B47">
        <w:rPr>
          <w:rFonts w:ascii="David" w:hAnsi="Times New Roman" w:cs="David"/>
          <w:color w:val="000000"/>
          <w:sz w:val="24"/>
          <w:szCs w:val="24"/>
          <w:rtl/>
        </w:rPr>
        <w:t>"</w:t>
      </w:r>
      <w:r w:rsidRPr="009B3B47">
        <w:rPr>
          <w:rFonts w:ascii="Times New Roman" w:hAnsi="Times New Roman" w:cs="David"/>
          <w:color w:val="000000"/>
          <w:sz w:val="24"/>
          <w:szCs w:val="24"/>
          <w:rtl/>
        </w:rPr>
        <w:t>ד נח</w:t>
      </w:r>
      <w:r>
        <w:rPr>
          <w:rFonts w:ascii="Times New Roman" w:hAnsi="Times New Roman" w:cs="David"/>
          <w:sz w:val="24"/>
          <w:szCs w:val="24"/>
          <w:rtl/>
        </w:rPr>
        <w:t>(5) 541, 544 (2004).</w:t>
      </w:r>
    </w:p>
    <w:p w14:paraId="7AE8B44D" w14:textId="77777777" w:rsidR="001A58A0" w:rsidRDefault="001A58A0">
      <w:pPr>
        <w:pStyle w:val="Ruller40"/>
        <w:ind w:left="708"/>
        <w:rPr>
          <w:rFonts w:ascii="Times New Roman" w:hAnsi="Times New Roman" w:cs="David"/>
          <w:color w:val="000000"/>
          <w:sz w:val="24"/>
          <w:szCs w:val="24"/>
          <w:rtl/>
        </w:rPr>
      </w:pPr>
    </w:p>
    <w:p w14:paraId="4C59E5B5" w14:textId="77777777" w:rsidR="001A58A0" w:rsidRDefault="009B3B47">
      <w:pPr>
        <w:pStyle w:val="Ruller50"/>
        <w:spacing w:line="360" w:lineRule="auto"/>
        <w:ind w:left="708" w:right="0"/>
        <w:rPr>
          <w:rFonts w:cs="David"/>
          <w:color w:val="000000"/>
          <w:sz w:val="24"/>
          <w:szCs w:val="24"/>
          <w:rtl/>
        </w:rPr>
      </w:pPr>
      <w:r>
        <w:rPr>
          <w:rFonts w:cs="David"/>
          <w:color w:val="000000"/>
          <w:sz w:val="24"/>
          <w:szCs w:val="24"/>
          <w:rtl/>
        </w:rPr>
        <w:t>לפי פסיקתו של בית המשפט העליון יש לקבוע את מתח</w:t>
      </w:r>
      <w:r>
        <w:rPr>
          <w:rFonts w:cs="David" w:hint="cs"/>
          <w:color w:val="000000"/>
          <w:sz w:val="24"/>
          <w:szCs w:val="24"/>
          <w:rtl/>
        </w:rPr>
        <w:t>ם</w:t>
      </w:r>
      <w:r>
        <w:rPr>
          <w:rFonts w:cs="David"/>
          <w:color w:val="000000"/>
          <w:sz w:val="24"/>
          <w:szCs w:val="24"/>
          <w:rtl/>
        </w:rPr>
        <w:t xml:space="preserve"> הענישה ההולם בהתאם לסוג וכמות הנשק שבו החזיק הנאשם</w:t>
      </w:r>
      <w:r>
        <w:rPr>
          <w:rFonts w:ascii="David" w:cs="David"/>
          <w:color w:val="000000"/>
          <w:sz w:val="24"/>
          <w:szCs w:val="24"/>
          <w:rtl/>
        </w:rPr>
        <w:t xml:space="preserve">, </w:t>
      </w:r>
      <w:r>
        <w:rPr>
          <w:rFonts w:cs="David"/>
          <w:color w:val="000000"/>
          <w:sz w:val="24"/>
          <w:szCs w:val="24"/>
          <w:rtl/>
        </w:rPr>
        <w:t>נשא והוביל כשגם התכלית לכך חשובה ובעלת משקל</w:t>
      </w:r>
      <w:r>
        <w:rPr>
          <w:rFonts w:ascii="David" w:cs="David"/>
          <w:color w:val="000000"/>
          <w:sz w:val="24"/>
          <w:szCs w:val="24"/>
          <w:rtl/>
        </w:rPr>
        <w:t>.</w:t>
      </w:r>
    </w:p>
    <w:p w14:paraId="2FCE34C9" w14:textId="77777777" w:rsidR="001A58A0" w:rsidRDefault="001A58A0">
      <w:pPr>
        <w:pStyle w:val="Ruller50"/>
        <w:spacing w:line="360" w:lineRule="auto"/>
        <w:ind w:left="567" w:right="0"/>
        <w:rPr>
          <w:rFonts w:cs="David"/>
          <w:color w:val="000000"/>
          <w:sz w:val="24"/>
          <w:szCs w:val="24"/>
          <w:rtl/>
        </w:rPr>
      </w:pPr>
    </w:p>
    <w:p w14:paraId="14CBC94E" w14:textId="77777777" w:rsidR="001A58A0" w:rsidRDefault="009B3B47">
      <w:pPr>
        <w:pStyle w:val="Ruller50"/>
        <w:spacing w:line="360" w:lineRule="auto"/>
        <w:ind w:left="708" w:right="0"/>
        <w:rPr>
          <w:rFonts w:cs="David"/>
          <w:color w:val="000000"/>
          <w:sz w:val="24"/>
          <w:szCs w:val="24"/>
          <w:rtl/>
        </w:rPr>
      </w:pPr>
      <w:r>
        <w:rPr>
          <w:rFonts w:cs="David"/>
          <w:color w:val="000000"/>
          <w:sz w:val="24"/>
          <w:szCs w:val="24"/>
          <w:rtl/>
        </w:rPr>
        <w:t>בענייננו מדובר באקדח אחד עם מחסנית ללא כדורים</w:t>
      </w:r>
      <w:r>
        <w:rPr>
          <w:rFonts w:ascii="David" w:cs="David"/>
          <w:color w:val="000000"/>
          <w:sz w:val="24"/>
          <w:szCs w:val="24"/>
          <w:rtl/>
        </w:rPr>
        <w:t xml:space="preserve">, </w:t>
      </w:r>
      <w:r>
        <w:rPr>
          <w:rFonts w:cs="David"/>
          <w:color w:val="000000"/>
          <w:sz w:val="24"/>
          <w:szCs w:val="24"/>
          <w:rtl/>
        </w:rPr>
        <w:t xml:space="preserve">דברים אלה </w:t>
      </w:r>
      <w:r>
        <w:rPr>
          <w:rFonts w:cs="David"/>
          <w:sz w:val="24"/>
          <w:szCs w:val="24"/>
          <w:rtl/>
        </w:rPr>
        <w:t xml:space="preserve">מהווים </w:t>
      </w:r>
      <w:r>
        <w:rPr>
          <w:rFonts w:ascii="Times New Roman" w:hAnsi="Times New Roman" w:cs="David"/>
          <w:sz w:val="24"/>
          <w:szCs w:val="24"/>
          <w:rtl/>
        </w:rPr>
        <w:t xml:space="preserve">נסיבות הקשורות בביצוע העבירה </w:t>
      </w:r>
      <w:r>
        <w:rPr>
          <w:rFonts w:cs="David"/>
          <w:sz w:val="24"/>
          <w:szCs w:val="24"/>
          <w:rtl/>
        </w:rPr>
        <w:t>והם שקובעים את פוטנציאל הנזק הכרוך במעשה העבירה</w:t>
      </w:r>
      <w:r>
        <w:rPr>
          <w:rFonts w:cs="David"/>
          <w:color w:val="000000"/>
          <w:sz w:val="24"/>
          <w:szCs w:val="24"/>
          <w:rtl/>
        </w:rPr>
        <w:t>.</w:t>
      </w:r>
    </w:p>
    <w:p w14:paraId="68F67758" w14:textId="77777777" w:rsidR="001A58A0" w:rsidRDefault="001A58A0">
      <w:pPr>
        <w:spacing w:line="360" w:lineRule="auto"/>
        <w:jc w:val="both"/>
        <w:rPr>
          <w:rFonts w:ascii="Arial" w:hAnsi="Arial"/>
          <w:b/>
          <w:bCs/>
          <w:color w:val="000000"/>
        </w:rPr>
      </w:pPr>
    </w:p>
    <w:p w14:paraId="524D6C25" w14:textId="77777777" w:rsidR="001A58A0" w:rsidRDefault="009B3B47">
      <w:pPr>
        <w:spacing w:line="360" w:lineRule="auto"/>
        <w:jc w:val="both"/>
        <w:rPr>
          <w:rFonts w:ascii="Arial" w:hAnsi="Arial"/>
          <w:color w:val="000000"/>
          <w:rtl/>
        </w:rPr>
      </w:pPr>
      <w:r>
        <w:rPr>
          <w:rFonts w:ascii="Arial" w:hAnsi="Arial" w:hint="cs"/>
          <w:b/>
          <w:bCs/>
          <w:color w:val="000000"/>
          <w:rtl/>
        </w:rPr>
        <w:t>30</w:t>
      </w:r>
      <w:r>
        <w:rPr>
          <w:rFonts w:ascii="Arial" w:hAnsi="Arial" w:hint="cs"/>
          <w:color w:val="000000"/>
          <w:rtl/>
        </w:rPr>
        <w:t>.</w:t>
      </w:r>
      <w:r>
        <w:rPr>
          <w:rFonts w:ascii="Arial" w:hAnsi="Arial" w:hint="cs"/>
          <w:color w:val="000000"/>
          <w:rtl/>
        </w:rPr>
        <w:tab/>
      </w:r>
      <w:r>
        <w:rPr>
          <w:rFonts w:ascii="Arial" w:hAnsi="Arial"/>
          <w:color w:val="000000"/>
          <w:rtl/>
        </w:rPr>
        <w:t>אשר על כן, סבורני כי מתחם העונש ההולם בענייננו נע בין 12 עד 36 חודשי מאסר בפועל.</w:t>
      </w:r>
    </w:p>
    <w:p w14:paraId="7F3AA6F9" w14:textId="77777777" w:rsidR="001A58A0" w:rsidRDefault="001A58A0">
      <w:pPr>
        <w:spacing w:line="360" w:lineRule="auto"/>
        <w:ind w:left="720"/>
        <w:jc w:val="both"/>
        <w:rPr>
          <w:rFonts w:ascii="Arial" w:hAnsi="Arial"/>
          <w:color w:val="000000"/>
          <w:rtl/>
        </w:rPr>
      </w:pPr>
    </w:p>
    <w:p w14:paraId="08248F01" w14:textId="77777777" w:rsidR="001A58A0" w:rsidRDefault="009B3B47">
      <w:pPr>
        <w:spacing w:after="80" w:line="360" w:lineRule="auto"/>
        <w:ind w:left="720" w:hanging="720"/>
        <w:jc w:val="both"/>
        <w:rPr>
          <w:color w:val="000000"/>
          <w:rtl/>
        </w:rPr>
      </w:pPr>
      <w:r>
        <w:rPr>
          <w:rFonts w:hint="cs"/>
          <w:b/>
          <w:bCs/>
          <w:color w:val="000000"/>
          <w:rtl/>
        </w:rPr>
        <w:t>31</w:t>
      </w:r>
      <w:r>
        <w:rPr>
          <w:rFonts w:hint="cs"/>
          <w:color w:val="000000"/>
          <w:rtl/>
        </w:rPr>
        <w:t>.</w:t>
      </w:r>
      <w:r>
        <w:rPr>
          <w:rFonts w:hint="cs"/>
          <w:color w:val="000000"/>
          <w:rtl/>
        </w:rPr>
        <w:tab/>
      </w:r>
      <w:r>
        <w:rPr>
          <w:color w:val="000000"/>
          <w:rtl/>
        </w:rPr>
        <w:t xml:space="preserve">אדגיש כי הענישה במקומותינו היא אינדיווידואלית ומותאמת לנסיבות ולנאשם הספציפי העומד לתת את הדין בפני בית המשפט – ראו </w:t>
      </w:r>
      <w:hyperlink r:id="rId34" w:history="1">
        <w:r w:rsidRPr="009B3B47">
          <w:rPr>
            <w:b/>
            <w:bCs/>
            <w:color w:val="0000FF"/>
            <w:u w:val="single"/>
            <w:rtl/>
          </w:rPr>
          <w:t>ע"פ 433/89 ג'ורג' אטיאס נ. מידת ישראל, פ"ד מ"ג</w:t>
        </w:r>
      </w:hyperlink>
      <w:r>
        <w:rPr>
          <w:color w:val="000000"/>
          <w:rtl/>
        </w:rPr>
        <w:t xml:space="preserve"> (4) 170, 174).</w:t>
      </w:r>
    </w:p>
    <w:p w14:paraId="7D8EC63E" w14:textId="77777777" w:rsidR="001A58A0" w:rsidRDefault="001A58A0">
      <w:pPr>
        <w:pStyle w:val="filenumber"/>
        <w:ind w:left="720"/>
        <w:jc w:val="both"/>
        <w:rPr>
          <w:rFonts w:cs="David"/>
          <w:color w:val="000000"/>
          <w:sz w:val="24"/>
          <w:szCs w:val="24"/>
          <w:rtl/>
        </w:rPr>
      </w:pPr>
    </w:p>
    <w:p w14:paraId="69583128" w14:textId="77777777" w:rsidR="001A58A0" w:rsidRDefault="009B3B47">
      <w:pPr>
        <w:pStyle w:val="filenumber"/>
        <w:ind w:left="720"/>
        <w:jc w:val="both"/>
        <w:rPr>
          <w:rFonts w:cs="David"/>
          <w:color w:val="000000"/>
          <w:sz w:val="24"/>
          <w:szCs w:val="24"/>
          <w:rtl/>
        </w:rPr>
      </w:pPr>
      <w:r>
        <w:rPr>
          <w:rFonts w:cs="David"/>
          <w:color w:val="000000"/>
          <w:sz w:val="24"/>
          <w:szCs w:val="24"/>
          <w:rtl/>
        </w:rPr>
        <w:t xml:space="preserve">לכן יש לבחון כל מקרה ונסיבותיו, לרבות הנסיבות האישיות של הנאשם שעומד לדין בפני בית המשפט -  ראו </w:t>
      </w:r>
      <w:hyperlink r:id="rId35" w:history="1">
        <w:r w:rsidRPr="009B3B47">
          <w:rPr>
            <w:rFonts w:cs="David"/>
            <w:color w:val="0000FF"/>
            <w:sz w:val="24"/>
            <w:szCs w:val="24"/>
            <w:u w:val="single"/>
            <w:rtl/>
          </w:rPr>
          <w:t>ע"פ 3210/06</w:t>
        </w:r>
      </w:hyperlink>
      <w:r>
        <w:rPr>
          <w:rFonts w:cs="David"/>
          <w:color w:val="000000"/>
          <w:sz w:val="24"/>
          <w:szCs w:val="24"/>
          <w:rtl/>
        </w:rPr>
        <w:t xml:space="preserve"> </w:t>
      </w:r>
      <w:r>
        <w:rPr>
          <w:rFonts w:cs="David"/>
          <w:b/>
          <w:bCs/>
          <w:color w:val="000000"/>
          <w:sz w:val="24"/>
          <w:szCs w:val="24"/>
          <w:rtl/>
        </w:rPr>
        <w:t>עמארה נ' מדינת ישראל</w:t>
      </w:r>
      <w:r>
        <w:rPr>
          <w:rFonts w:cs="David"/>
          <w:color w:val="000000"/>
          <w:sz w:val="24"/>
          <w:szCs w:val="24"/>
          <w:rtl/>
        </w:rPr>
        <w:t>, (ניתן ביום 18.03.07).</w:t>
      </w:r>
    </w:p>
    <w:p w14:paraId="7762B673" w14:textId="77777777" w:rsidR="001A58A0" w:rsidRDefault="001A58A0">
      <w:pPr>
        <w:tabs>
          <w:tab w:val="left" w:pos="567"/>
          <w:tab w:val="left" w:pos="1134"/>
          <w:tab w:val="left" w:pos="1701"/>
          <w:tab w:val="left" w:pos="2268"/>
          <w:tab w:val="left" w:pos="2835"/>
          <w:tab w:val="left" w:pos="3402"/>
        </w:tabs>
        <w:spacing w:line="360" w:lineRule="auto"/>
        <w:jc w:val="both"/>
        <w:rPr>
          <w:b/>
          <w:bCs/>
          <w:color w:val="000000"/>
          <w:rtl/>
        </w:rPr>
      </w:pPr>
    </w:p>
    <w:p w14:paraId="20FE61B3" w14:textId="77777777" w:rsidR="001A58A0" w:rsidRDefault="009B3B47">
      <w:pPr>
        <w:tabs>
          <w:tab w:val="left" w:pos="708"/>
          <w:tab w:val="left" w:pos="1134"/>
          <w:tab w:val="left" w:pos="1701"/>
          <w:tab w:val="left" w:pos="2268"/>
          <w:tab w:val="left" w:pos="2835"/>
          <w:tab w:val="left" w:pos="3402"/>
        </w:tabs>
        <w:spacing w:line="360" w:lineRule="auto"/>
        <w:ind w:left="705" w:hanging="705"/>
        <w:jc w:val="both"/>
        <w:rPr>
          <w:color w:val="000000"/>
          <w:rtl/>
        </w:rPr>
      </w:pPr>
      <w:r>
        <w:rPr>
          <w:rFonts w:hint="cs"/>
          <w:b/>
          <w:bCs/>
          <w:color w:val="000000"/>
          <w:rtl/>
        </w:rPr>
        <w:t>32</w:t>
      </w:r>
      <w:r>
        <w:rPr>
          <w:color w:val="000000"/>
          <w:rtl/>
        </w:rPr>
        <w:t>.</w:t>
      </w:r>
      <w:r>
        <w:rPr>
          <w:color w:val="000000"/>
          <w:rtl/>
        </w:rPr>
        <w:tab/>
      </w:r>
      <w:r>
        <w:rPr>
          <w:color w:val="000000"/>
          <w:rtl/>
        </w:rPr>
        <w:tab/>
        <w:t>על כן, ובשל כל אשר הובא לעיל, על בית המשפט להטיל עונש שיהיה בו כדי לאזן בין מכלול השיקולים ומבלי שיהיה בו כדי לפגוע בסיכויי הנאשם לעלות על דרך המלך, לחזור למוטב להמשיך את התהליך השיקומי, וכל זאת מבלי להתעלם מחומרת העבירה והחובה להגן על רכוש הציבור, בהתחשב בשיקולי הענישה שבאינטרס הציבורי.</w:t>
      </w:r>
    </w:p>
    <w:p w14:paraId="59F6D6AF" w14:textId="77777777" w:rsidR="001A58A0" w:rsidRDefault="001A58A0">
      <w:pPr>
        <w:tabs>
          <w:tab w:val="left" w:pos="567"/>
          <w:tab w:val="left" w:pos="1134"/>
          <w:tab w:val="left" w:pos="1701"/>
          <w:tab w:val="left" w:pos="2268"/>
          <w:tab w:val="left" w:pos="2835"/>
          <w:tab w:val="left" w:pos="3402"/>
        </w:tabs>
        <w:spacing w:line="360" w:lineRule="auto"/>
        <w:ind w:left="567" w:hanging="567"/>
        <w:jc w:val="both"/>
        <w:rPr>
          <w:color w:val="000000"/>
          <w:rtl/>
        </w:rPr>
      </w:pPr>
    </w:p>
    <w:p w14:paraId="6D96DC6D" w14:textId="77777777" w:rsidR="001A58A0" w:rsidRDefault="009B3B47">
      <w:pPr>
        <w:spacing w:line="360" w:lineRule="auto"/>
        <w:ind w:left="720" w:hanging="720"/>
        <w:jc w:val="both"/>
        <w:rPr>
          <w:color w:val="000000"/>
          <w:rtl/>
        </w:rPr>
      </w:pPr>
      <w:r>
        <w:rPr>
          <w:rFonts w:hint="cs"/>
          <w:b/>
          <w:bCs/>
          <w:color w:val="000000"/>
          <w:rtl/>
        </w:rPr>
        <w:t>33</w:t>
      </w:r>
      <w:r>
        <w:rPr>
          <w:rFonts w:hint="cs"/>
          <w:color w:val="000000"/>
          <w:rtl/>
        </w:rPr>
        <w:t>.</w:t>
      </w:r>
      <w:r>
        <w:rPr>
          <w:rFonts w:hint="cs"/>
          <w:color w:val="000000"/>
          <w:rtl/>
        </w:rPr>
        <w:tab/>
        <w:t xml:space="preserve">בענייננו ובהתייחס לנסיבות שאינן קשורות בביצוע העבירות ראוי לציין כי המדובר בבחור צעיר שהודה כבר בתחילת ההליך. יחד עם זאת ראוי לציין כי שירות המבחן לא נתן המלצה טיפולית בעניינו של הנאשם. שירות המבחן ציין כי </w:t>
      </w:r>
      <w:r>
        <w:rPr>
          <w:color w:val="000000"/>
          <w:rtl/>
        </w:rPr>
        <w:t>הנאשם לקח אחריות חלקית על ביצוע</w:t>
      </w:r>
      <w:r>
        <w:rPr>
          <w:rFonts w:hint="cs"/>
          <w:color w:val="000000"/>
          <w:rtl/>
        </w:rPr>
        <w:t xml:space="preserve"> העבירות המיוחסות לו בכתב האישום</w:t>
      </w:r>
      <w:r>
        <w:rPr>
          <w:color w:val="000000"/>
          <w:rtl/>
        </w:rPr>
        <w:t xml:space="preserve">. </w:t>
      </w:r>
      <w:r>
        <w:rPr>
          <w:rFonts w:hint="cs"/>
          <w:color w:val="000000"/>
          <w:rtl/>
        </w:rPr>
        <w:t>עוד ציין שירות המבחן כי אומנם הנאשם</w:t>
      </w:r>
      <w:r>
        <w:rPr>
          <w:color w:val="000000"/>
          <w:rtl/>
        </w:rPr>
        <w:t xml:space="preserve"> הביע חרטה ומוכנות לשאת בתוצאות מעשיו, אך אינו מבין את חומרת מעשיו ואינו מצליח לבחון את התנהגותו באופן ביקורתי, </w:t>
      </w:r>
      <w:r>
        <w:rPr>
          <w:rFonts w:hint="cs"/>
          <w:color w:val="000000"/>
          <w:rtl/>
        </w:rPr>
        <w:t xml:space="preserve"> ו</w:t>
      </w:r>
      <w:r>
        <w:rPr>
          <w:color w:val="000000"/>
          <w:rtl/>
        </w:rPr>
        <w:t xml:space="preserve">על אף העובדה </w:t>
      </w:r>
      <w:r>
        <w:rPr>
          <w:rFonts w:hint="cs"/>
          <w:color w:val="000000"/>
          <w:rtl/>
        </w:rPr>
        <w:t>שהוא</w:t>
      </w:r>
      <w:r>
        <w:rPr>
          <w:color w:val="000000"/>
          <w:rtl/>
        </w:rPr>
        <w:t xml:space="preserve"> מביע רצון לטיפול ושיקום, הוא במקביל אינו מכיר בבעיותיו.</w:t>
      </w:r>
      <w:r>
        <w:rPr>
          <w:rFonts w:hint="cs"/>
          <w:color w:val="000000"/>
          <w:rtl/>
        </w:rPr>
        <w:t xml:space="preserve"> להערכת שירות המבחן </w:t>
      </w:r>
      <w:r>
        <w:rPr>
          <w:color w:val="000000"/>
          <w:rtl/>
        </w:rPr>
        <w:t xml:space="preserve">ללא תהליך טיפולי משמעותי, קיימת סבירות גבוהה להישנות התנהגות מפרת חוק בעתיד. </w:t>
      </w:r>
    </w:p>
    <w:p w14:paraId="4F932E2B" w14:textId="77777777" w:rsidR="001A58A0" w:rsidRDefault="001A58A0">
      <w:pPr>
        <w:spacing w:line="360" w:lineRule="auto"/>
        <w:ind w:left="720" w:hanging="720"/>
        <w:jc w:val="both"/>
        <w:rPr>
          <w:color w:val="000000"/>
          <w:rtl/>
        </w:rPr>
      </w:pPr>
    </w:p>
    <w:p w14:paraId="5C5F091A" w14:textId="77777777" w:rsidR="001A58A0" w:rsidRDefault="009B3B47">
      <w:pPr>
        <w:spacing w:line="360" w:lineRule="auto"/>
        <w:ind w:left="720" w:hanging="720"/>
        <w:jc w:val="both"/>
        <w:rPr>
          <w:color w:val="000000"/>
          <w:rtl/>
        </w:rPr>
      </w:pPr>
      <w:r>
        <w:rPr>
          <w:color w:val="000000"/>
          <w:rtl/>
        </w:rPr>
        <w:tab/>
      </w:r>
      <w:r>
        <w:rPr>
          <w:rFonts w:hint="cs"/>
          <w:color w:val="000000"/>
          <w:rtl/>
        </w:rPr>
        <w:t>זאת ועוד לחובתו של הנאשם שתי הרשעות קודמות. אחת משנת 2012 בגין עבירות של סיוע לסחיטה באיומים (בשלושה תיקים שונים) וריצה בגינן 9 חודשי מאסר בפועל, וההרשעה השנייה משנת 2010 בגין עבירות של  החזקת אגרופן או סכין, הפרעה לשוטר במילוי תפקידו, תקיפת שוטר ואיומים וריצה בגינן 6 חודשי עבודות שירות.</w:t>
      </w:r>
    </w:p>
    <w:p w14:paraId="44ED1059" w14:textId="77777777" w:rsidR="001A58A0" w:rsidRDefault="001A58A0">
      <w:pPr>
        <w:spacing w:line="360" w:lineRule="auto"/>
        <w:ind w:left="720" w:hanging="720"/>
        <w:jc w:val="both"/>
        <w:rPr>
          <w:color w:val="000000"/>
          <w:rtl/>
        </w:rPr>
      </w:pPr>
    </w:p>
    <w:p w14:paraId="5599015E" w14:textId="77777777" w:rsidR="001A58A0" w:rsidRDefault="009B3B47">
      <w:pPr>
        <w:spacing w:line="360" w:lineRule="auto"/>
        <w:ind w:left="720" w:hanging="720"/>
        <w:jc w:val="both"/>
        <w:rPr>
          <w:color w:val="000000"/>
          <w:rtl/>
        </w:rPr>
      </w:pPr>
      <w:r>
        <w:rPr>
          <w:rFonts w:hint="cs"/>
          <w:b/>
          <w:bCs/>
          <w:color w:val="000000"/>
          <w:rtl/>
        </w:rPr>
        <w:t>34</w:t>
      </w:r>
      <w:r>
        <w:rPr>
          <w:rFonts w:hint="cs"/>
          <w:color w:val="000000"/>
          <w:rtl/>
        </w:rPr>
        <w:t>.</w:t>
      </w:r>
      <w:r>
        <w:rPr>
          <w:color w:val="000000"/>
          <w:rtl/>
        </w:rPr>
        <w:tab/>
        <w:t>לאחר שבחנתי את טענות הצדדים ובהתחשב במכלול הנסיבות שפורטו לעיל לקולה ולחומרה ובעיקר, סוג וכמות הנשק (אקדח ומחסנית ללא כדורים), תסקיר שירות המבחן ומבלי להתעלם מחומרת העבירה ובהתחשב  בגילו הצעיר, הודאתו, אני מחליט לגזור על הנאשם את העונשים הבאים:</w:t>
      </w:r>
    </w:p>
    <w:p w14:paraId="69D66796" w14:textId="77777777" w:rsidR="001A58A0" w:rsidRDefault="001A58A0">
      <w:pPr>
        <w:spacing w:line="360" w:lineRule="auto"/>
        <w:jc w:val="both"/>
        <w:rPr>
          <w:color w:val="000000"/>
          <w:rtl/>
        </w:rPr>
      </w:pPr>
    </w:p>
    <w:p w14:paraId="6150C9AB" w14:textId="77777777" w:rsidR="001A58A0" w:rsidRDefault="009B3B47">
      <w:pPr>
        <w:spacing w:line="360" w:lineRule="auto"/>
        <w:ind w:firstLine="720"/>
        <w:jc w:val="both"/>
        <w:rPr>
          <w:color w:val="000000"/>
          <w:rtl/>
        </w:rPr>
      </w:pPr>
      <w:r>
        <w:rPr>
          <w:b/>
          <w:bCs/>
          <w:color w:val="000000"/>
          <w:rtl/>
        </w:rPr>
        <w:t>א</w:t>
      </w:r>
      <w:r>
        <w:rPr>
          <w:color w:val="000000"/>
          <w:rtl/>
        </w:rPr>
        <w:t>.</w:t>
      </w:r>
      <w:r>
        <w:rPr>
          <w:color w:val="000000"/>
          <w:rtl/>
        </w:rPr>
        <w:tab/>
        <w:t xml:space="preserve">24 חודשי מאסר בפועל מיום מעצרו 25.12.14. </w:t>
      </w:r>
    </w:p>
    <w:p w14:paraId="73559FB3" w14:textId="77777777" w:rsidR="001A58A0" w:rsidRDefault="001A58A0">
      <w:pPr>
        <w:spacing w:line="360" w:lineRule="auto"/>
        <w:jc w:val="both"/>
        <w:rPr>
          <w:color w:val="000000"/>
          <w:rtl/>
        </w:rPr>
      </w:pPr>
    </w:p>
    <w:p w14:paraId="36DC9C86" w14:textId="77777777" w:rsidR="001A58A0" w:rsidRDefault="009B3B47">
      <w:pPr>
        <w:spacing w:line="360" w:lineRule="auto"/>
        <w:ind w:left="1440" w:hanging="720"/>
        <w:jc w:val="both"/>
        <w:rPr>
          <w:color w:val="000000"/>
          <w:rtl/>
        </w:rPr>
      </w:pPr>
      <w:r>
        <w:rPr>
          <w:b/>
          <w:bCs/>
          <w:color w:val="000000"/>
          <w:rtl/>
        </w:rPr>
        <w:t>ב</w:t>
      </w:r>
      <w:r>
        <w:rPr>
          <w:color w:val="000000"/>
          <w:rtl/>
        </w:rPr>
        <w:t>.</w:t>
      </w:r>
      <w:r>
        <w:rPr>
          <w:color w:val="000000"/>
          <w:rtl/>
        </w:rPr>
        <w:tab/>
        <w:t xml:space="preserve">12 חודשי מאסר על תנאי לשלוש שנים, כשהתנאי להפעלת העונש, הוא הרשעת הנאשם בעבירות </w:t>
      </w:r>
      <w:r>
        <w:rPr>
          <w:rFonts w:hint="cs"/>
          <w:color w:val="000000"/>
          <w:rtl/>
        </w:rPr>
        <w:t>נשק</w:t>
      </w:r>
      <w:r>
        <w:rPr>
          <w:color w:val="000000"/>
          <w:rtl/>
        </w:rPr>
        <w:t xml:space="preserve">. </w:t>
      </w:r>
    </w:p>
    <w:p w14:paraId="486D9C51" w14:textId="77777777" w:rsidR="001A58A0" w:rsidRDefault="001A58A0">
      <w:pPr>
        <w:spacing w:line="360" w:lineRule="auto"/>
        <w:ind w:left="720" w:hanging="720"/>
        <w:jc w:val="both"/>
        <w:rPr>
          <w:color w:val="000000"/>
          <w:rtl/>
        </w:rPr>
      </w:pPr>
    </w:p>
    <w:p w14:paraId="3012AEE3" w14:textId="77777777" w:rsidR="001A58A0" w:rsidRDefault="009B3B47">
      <w:pPr>
        <w:numPr>
          <w:ilvl w:val="0"/>
          <w:numId w:val="1"/>
        </w:numPr>
        <w:spacing w:line="360" w:lineRule="auto"/>
        <w:ind w:hanging="694"/>
        <w:jc w:val="both"/>
        <w:rPr>
          <w:color w:val="000000"/>
        </w:rPr>
      </w:pPr>
      <w:r>
        <w:rPr>
          <w:color w:val="000000"/>
          <w:rtl/>
        </w:rPr>
        <w:t>קנס כספי בסך 5</w:t>
      </w:r>
      <w:r>
        <w:rPr>
          <w:rFonts w:hint="cs"/>
          <w:color w:val="000000"/>
          <w:rtl/>
        </w:rPr>
        <w:t>,</w:t>
      </w:r>
      <w:r>
        <w:rPr>
          <w:color w:val="000000"/>
          <w:rtl/>
        </w:rPr>
        <w:t>000 ₪. הקנס ישולם ב- 5 תשלומים והתשלום הראשון יהיה ביום 1.8.15 ובכל 1 לכל חודש שלאחריו.</w:t>
      </w:r>
    </w:p>
    <w:p w14:paraId="57CBFDAD" w14:textId="77777777" w:rsidR="001A58A0" w:rsidRDefault="001A58A0">
      <w:pPr>
        <w:spacing w:line="360" w:lineRule="auto"/>
        <w:ind w:left="720"/>
        <w:jc w:val="both"/>
        <w:rPr>
          <w:color w:val="000000"/>
          <w:rtl/>
        </w:rPr>
      </w:pPr>
    </w:p>
    <w:p w14:paraId="47CFAD10" w14:textId="77777777" w:rsidR="001A58A0" w:rsidRDefault="009B3B47">
      <w:pPr>
        <w:numPr>
          <w:ilvl w:val="0"/>
          <w:numId w:val="1"/>
        </w:numPr>
        <w:spacing w:line="360" w:lineRule="auto"/>
        <w:ind w:hanging="694"/>
        <w:jc w:val="both"/>
        <w:rPr>
          <w:color w:val="000000"/>
        </w:rPr>
      </w:pPr>
      <w:r>
        <w:rPr>
          <w:rFonts w:ascii="Arial" w:hAnsi="Arial"/>
          <w:color w:val="000000"/>
          <w:rtl/>
        </w:rPr>
        <w:t>פסילה מלקבל או להחזיק ברישיון נהיגה בפועל</w:t>
      </w:r>
      <w:r>
        <w:rPr>
          <w:color w:val="000000"/>
          <w:rtl/>
        </w:rPr>
        <w:t xml:space="preserve"> לתקופה של 10 חודשים.</w:t>
      </w:r>
    </w:p>
    <w:p w14:paraId="052F2924" w14:textId="77777777" w:rsidR="001A58A0" w:rsidRDefault="001A58A0">
      <w:pPr>
        <w:spacing w:line="360" w:lineRule="auto"/>
        <w:jc w:val="both"/>
        <w:rPr>
          <w:color w:val="000000"/>
          <w:rtl/>
        </w:rPr>
      </w:pPr>
    </w:p>
    <w:p w14:paraId="7D49F3E2" w14:textId="77777777" w:rsidR="001A58A0" w:rsidRDefault="009B3B47">
      <w:pPr>
        <w:numPr>
          <w:ilvl w:val="0"/>
          <w:numId w:val="1"/>
        </w:numPr>
        <w:spacing w:line="360" w:lineRule="auto"/>
        <w:ind w:hanging="694"/>
        <w:jc w:val="both"/>
        <w:rPr>
          <w:color w:val="000000"/>
          <w:rtl/>
        </w:rPr>
      </w:pPr>
      <w:r>
        <w:rPr>
          <w:color w:val="000000"/>
          <w:rtl/>
        </w:rPr>
        <w:t>6 חודשי פסילה על תנאי למשך 3 שנים שלא יעבור עביר</w:t>
      </w:r>
      <w:r>
        <w:rPr>
          <w:rFonts w:hint="cs"/>
          <w:color w:val="000000"/>
          <w:rtl/>
        </w:rPr>
        <w:t>ת</w:t>
      </w:r>
      <w:r>
        <w:rPr>
          <w:color w:val="000000"/>
          <w:rtl/>
        </w:rPr>
        <w:t xml:space="preserve"> נהיגה ללא רישיון נהיגה</w:t>
      </w:r>
      <w:r>
        <w:rPr>
          <w:rFonts w:hint="cs"/>
          <w:color w:val="000000"/>
          <w:rtl/>
        </w:rPr>
        <w:t xml:space="preserve"> ו/או ללא רישיון רכב</w:t>
      </w:r>
      <w:r>
        <w:rPr>
          <w:color w:val="000000"/>
          <w:rtl/>
        </w:rPr>
        <w:t xml:space="preserve"> ו/או ללא פוליסת ביטוח.</w:t>
      </w:r>
    </w:p>
    <w:p w14:paraId="191E32F2" w14:textId="77777777" w:rsidR="001A58A0" w:rsidRDefault="001A58A0">
      <w:pPr>
        <w:spacing w:line="360" w:lineRule="auto"/>
        <w:jc w:val="both"/>
        <w:rPr>
          <w:color w:val="000000"/>
          <w:rtl/>
        </w:rPr>
      </w:pPr>
    </w:p>
    <w:p w14:paraId="36951B8C" w14:textId="77777777" w:rsidR="001A58A0" w:rsidRDefault="009B3B47">
      <w:pPr>
        <w:spacing w:line="360" w:lineRule="auto"/>
        <w:rPr>
          <w:rtl/>
        </w:rPr>
      </w:pPr>
      <w:r>
        <w:rPr>
          <w:rFonts w:hint="cs"/>
          <w:b/>
          <w:bCs/>
          <w:rtl/>
        </w:rPr>
        <w:t>35</w:t>
      </w:r>
      <w:r>
        <w:rPr>
          <w:rFonts w:hint="cs"/>
          <w:rtl/>
        </w:rPr>
        <w:t>.</w:t>
      </w:r>
      <w:r>
        <w:rPr>
          <w:rFonts w:hint="cs"/>
          <w:rtl/>
        </w:rPr>
        <w:tab/>
      </w:r>
      <w:r>
        <w:rPr>
          <w:rtl/>
        </w:rPr>
        <w:t>באשר לבקשה לחילוט הרכב , נחה דעתי שדין הבקשה להתקבל.</w:t>
      </w:r>
    </w:p>
    <w:p w14:paraId="114E9517" w14:textId="77777777" w:rsidR="001A58A0" w:rsidRDefault="001A58A0">
      <w:pPr>
        <w:spacing w:line="360" w:lineRule="auto"/>
        <w:rPr>
          <w:rtl/>
        </w:rPr>
      </w:pPr>
    </w:p>
    <w:p w14:paraId="0EBA54EC" w14:textId="77777777" w:rsidR="001A58A0" w:rsidRDefault="009B3B47">
      <w:pPr>
        <w:spacing w:line="360" w:lineRule="auto"/>
        <w:ind w:left="720"/>
        <w:jc w:val="both"/>
        <w:rPr>
          <w:rtl/>
        </w:rPr>
      </w:pPr>
      <w:r>
        <w:rPr>
          <w:rtl/>
        </w:rPr>
        <w:t xml:space="preserve">סמכות לחלט רכב מוסדרת </w:t>
      </w:r>
      <w:hyperlink r:id="rId36" w:history="1">
        <w:r w:rsidR="003D2D2B" w:rsidRPr="003D2D2B">
          <w:rPr>
            <w:rStyle w:val="Hyperlink"/>
            <w:rtl/>
          </w:rPr>
          <w:t>בסעיף 39א</w:t>
        </w:r>
      </w:hyperlink>
      <w:r>
        <w:rPr>
          <w:rtl/>
        </w:rPr>
        <w:t xml:space="preserve"> ל</w:t>
      </w:r>
      <w:hyperlink r:id="rId37" w:history="1">
        <w:r w:rsidRPr="009B3B47">
          <w:rPr>
            <w:color w:val="0000FF"/>
            <w:u w:val="single"/>
            <w:rtl/>
          </w:rPr>
          <w:t>פקודת סדר הדין הפלילי (מעצר וחיפוש)</w:t>
        </w:r>
      </w:hyperlink>
      <w:r>
        <w:rPr>
          <w:rtl/>
        </w:rPr>
        <w:t xml:space="preserve"> [נוסח חדש], תשכ"ט -1969, הקובע כי:</w:t>
      </w:r>
    </w:p>
    <w:p w14:paraId="1D5892BD" w14:textId="77777777" w:rsidR="001A58A0" w:rsidRDefault="001A58A0">
      <w:pPr>
        <w:spacing w:line="360" w:lineRule="auto"/>
        <w:jc w:val="both"/>
        <w:rPr>
          <w:rtl/>
        </w:rPr>
      </w:pPr>
    </w:p>
    <w:p w14:paraId="6A022E8E" w14:textId="77777777" w:rsidR="001A58A0" w:rsidRDefault="009B3B47">
      <w:pPr>
        <w:spacing w:line="360" w:lineRule="auto"/>
        <w:ind w:left="720"/>
        <w:jc w:val="both"/>
        <w:rPr>
          <w:b/>
          <w:bCs/>
          <w:rtl/>
        </w:rPr>
      </w:pPr>
      <w:r>
        <w:rPr>
          <w:b/>
          <w:bCs/>
          <w:rtl/>
        </w:rPr>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70C0EBE1" w14:textId="77777777" w:rsidR="001A58A0" w:rsidRDefault="001A58A0">
      <w:pPr>
        <w:spacing w:line="360" w:lineRule="auto"/>
        <w:ind w:left="720"/>
        <w:jc w:val="both"/>
        <w:rPr>
          <w:b/>
          <w:bCs/>
          <w:rtl/>
        </w:rPr>
      </w:pPr>
    </w:p>
    <w:p w14:paraId="3425FEF7" w14:textId="77777777" w:rsidR="001A58A0" w:rsidRDefault="009B3B47">
      <w:pPr>
        <w:spacing w:line="360" w:lineRule="auto"/>
        <w:ind w:left="720"/>
        <w:jc w:val="both"/>
        <w:rPr>
          <w:rtl/>
        </w:rPr>
      </w:pPr>
      <w:r>
        <w:rPr>
          <w:rFonts w:hint="cs"/>
          <w:rtl/>
        </w:rPr>
        <w:t xml:space="preserve">לעניין סמכות חילוט הרכב ראו </w:t>
      </w:r>
      <w:hyperlink r:id="rId38" w:history="1">
        <w:r w:rsidRPr="009B3B47">
          <w:rPr>
            <w:color w:val="0000FF"/>
            <w:u w:val="single"/>
            <w:rtl/>
          </w:rPr>
          <w:t>ע"פ 6234/03</w:t>
        </w:r>
      </w:hyperlink>
      <w:r>
        <w:rPr>
          <w:rtl/>
        </w:rPr>
        <w:t xml:space="preserve"> </w:t>
      </w:r>
      <w:r>
        <w:rPr>
          <w:b/>
          <w:bCs/>
          <w:rtl/>
        </w:rPr>
        <w:t>מדינת ישראל נגד מוראד זיתאווי</w:t>
      </w:r>
      <w:r>
        <w:rPr>
          <w:rtl/>
        </w:rPr>
        <w:t xml:space="preserve"> (ניתן ביום 9.3.05), </w:t>
      </w:r>
      <w:r>
        <w:rPr>
          <w:rFonts w:hint="cs"/>
          <w:rtl/>
        </w:rPr>
        <w:t xml:space="preserve">שם נקבע </w:t>
      </w:r>
      <w:r>
        <w:rPr>
          <w:rtl/>
        </w:rPr>
        <w:t xml:space="preserve">כי: </w:t>
      </w:r>
    </w:p>
    <w:p w14:paraId="30B316AF" w14:textId="77777777" w:rsidR="001A58A0" w:rsidRDefault="001A58A0">
      <w:pPr>
        <w:spacing w:line="360" w:lineRule="auto"/>
        <w:jc w:val="both"/>
        <w:rPr>
          <w:b/>
          <w:bCs/>
          <w:u w:val="single"/>
          <w:rtl/>
        </w:rPr>
      </w:pPr>
    </w:p>
    <w:p w14:paraId="6179FFF4" w14:textId="77777777" w:rsidR="001A58A0" w:rsidRDefault="009B3B47">
      <w:pPr>
        <w:spacing w:line="360" w:lineRule="auto"/>
        <w:ind w:left="720"/>
        <w:jc w:val="both"/>
        <w:rPr>
          <w:b/>
          <w:bCs/>
          <w:rtl/>
        </w:rPr>
      </w:pPr>
      <w:r>
        <w:rPr>
          <w:b/>
          <w:bCs/>
          <w:rtl/>
        </w:rPr>
        <w:t>"</w:t>
      </w:r>
      <w:r>
        <w:rPr>
          <w:rFonts w:hint="cs"/>
          <w:b/>
          <w:bCs/>
          <w:rtl/>
        </w:rPr>
        <w:t>...</w:t>
      </w:r>
      <w:r>
        <w:rPr>
          <w:b/>
          <w:bCs/>
          <w:rtl/>
        </w:rPr>
        <w:t xml:space="preserve"> הפעלתה של סמכות החילוט מותנית בקיומם של תנאים מצטברים אלה: בחפץ שנתפש בוצעה עבירה או עומדים לבצע עבירה; בעל החפץ הורשע בדינו והרשעתו מתייחסת למעשה שנעשה בחפץ או לגביו</w:t>
      </w:r>
      <w:r>
        <w:rPr>
          <w:rFonts w:hint="cs"/>
          <w:b/>
          <w:bCs/>
          <w:rtl/>
        </w:rPr>
        <w:t>..."</w:t>
      </w:r>
    </w:p>
    <w:p w14:paraId="205D1F51" w14:textId="77777777" w:rsidR="001A58A0" w:rsidRDefault="001A58A0">
      <w:pPr>
        <w:spacing w:line="360" w:lineRule="auto"/>
        <w:jc w:val="both"/>
        <w:rPr>
          <w:b/>
          <w:bCs/>
          <w:rtl/>
        </w:rPr>
      </w:pPr>
    </w:p>
    <w:p w14:paraId="2F871A94" w14:textId="77777777" w:rsidR="001A58A0" w:rsidRDefault="009B3B47">
      <w:pPr>
        <w:spacing w:line="360" w:lineRule="auto"/>
        <w:jc w:val="both"/>
        <w:rPr>
          <w:rtl/>
        </w:rPr>
      </w:pPr>
      <w:r>
        <w:rPr>
          <w:rtl/>
        </w:rPr>
        <w:tab/>
      </w:r>
      <w:r>
        <w:rPr>
          <w:rFonts w:hint="cs"/>
          <w:rtl/>
        </w:rPr>
        <w:t xml:space="preserve">ראו גם </w:t>
      </w:r>
      <w:hyperlink r:id="rId39" w:history="1">
        <w:r w:rsidRPr="009B3B47">
          <w:rPr>
            <w:color w:val="0000FF"/>
            <w:u w:val="single"/>
            <w:rtl/>
          </w:rPr>
          <w:t>ת.פ.(חי') 59297-11-12</w:t>
        </w:r>
      </w:hyperlink>
      <w:r>
        <w:rPr>
          <w:rFonts w:hint="cs"/>
          <w:rtl/>
        </w:rPr>
        <w:t xml:space="preserve"> </w:t>
      </w:r>
      <w:r>
        <w:rPr>
          <w:rFonts w:hint="cs"/>
          <w:b/>
          <w:bCs/>
          <w:rtl/>
        </w:rPr>
        <w:t>מדינת ישראל נגד בדארנה</w:t>
      </w:r>
      <w:r>
        <w:rPr>
          <w:rFonts w:hint="cs"/>
          <w:rtl/>
        </w:rPr>
        <w:t xml:space="preserve"> (ניתן ביום 8.9.13).</w:t>
      </w:r>
    </w:p>
    <w:p w14:paraId="6D13636C" w14:textId="77777777" w:rsidR="001A58A0" w:rsidRDefault="001A58A0">
      <w:pPr>
        <w:spacing w:line="360" w:lineRule="auto"/>
        <w:jc w:val="both"/>
      </w:pPr>
    </w:p>
    <w:p w14:paraId="1BDA2743" w14:textId="77777777" w:rsidR="001A58A0" w:rsidRDefault="009B3B47">
      <w:pPr>
        <w:spacing w:line="360" w:lineRule="auto"/>
        <w:ind w:left="720"/>
        <w:jc w:val="both"/>
        <w:rPr>
          <w:rtl/>
        </w:rPr>
      </w:pPr>
      <w:r>
        <w:rPr>
          <w:rtl/>
        </w:rPr>
        <w:t xml:space="preserve">לאחרונה דן בית המשפט העליון בחוקיות חילוט רכב ששימש לביצוע עבירה – ראו </w:t>
      </w:r>
      <w:hyperlink r:id="rId40" w:history="1">
        <w:r w:rsidRPr="009B3B47">
          <w:rPr>
            <w:color w:val="0000FF"/>
            <w:u w:val="single"/>
            <w:rtl/>
          </w:rPr>
          <w:t>ע"פ 1000/15</w:t>
        </w:r>
      </w:hyperlink>
      <w:r>
        <w:rPr>
          <w:rtl/>
        </w:rPr>
        <w:t xml:space="preserve"> </w:t>
      </w:r>
      <w:r>
        <w:rPr>
          <w:b/>
          <w:bCs/>
          <w:rtl/>
        </w:rPr>
        <w:t>אשרף אבו אלחווה נגד מדינת ישראל</w:t>
      </w:r>
      <w:r>
        <w:rPr>
          <w:rtl/>
        </w:rPr>
        <w:t xml:space="preserve"> (ניתן ביום 3.7.15). באותו מקרה דובר על מערער שהורשע בהובלת נשק, לאחר שנעצר</w:t>
      </w:r>
      <w:r>
        <w:t xml:space="preserve"> </w:t>
      </w:r>
      <w:r>
        <w:rPr>
          <w:rtl/>
        </w:rPr>
        <w:t>בשעה</w:t>
      </w:r>
      <w:r>
        <w:t xml:space="preserve"> </w:t>
      </w:r>
      <w:r>
        <w:rPr>
          <w:rtl/>
        </w:rPr>
        <w:t>שנסע</w:t>
      </w:r>
      <w:r>
        <w:t xml:space="preserve"> </w:t>
      </w:r>
      <w:r>
        <w:rPr>
          <w:rtl/>
        </w:rPr>
        <w:t>במכוניתו. בחיפוש</w:t>
      </w:r>
      <w:r>
        <w:t xml:space="preserve"> </w:t>
      </w:r>
      <w:r>
        <w:rPr>
          <w:rtl/>
        </w:rPr>
        <w:t>במכוניתו</w:t>
      </w:r>
      <w:r>
        <w:t xml:space="preserve"> </w:t>
      </w:r>
      <w:r>
        <w:rPr>
          <w:rtl/>
        </w:rPr>
        <w:t>נמצאו</w:t>
      </w:r>
      <w:r>
        <w:t xml:space="preserve"> </w:t>
      </w:r>
      <w:r>
        <w:rPr>
          <w:rtl/>
        </w:rPr>
        <w:t>תת</w:t>
      </w:r>
      <w:r>
        <w:t>-</w:t>
      </w:r>
      <w:r>
        <w:rPr>
          <w:rtl/>
        </w:rPr>
        <w:t>מקלע</w:t>
      </w:r>
      <w:r>
        <w:t xml:space="preserve"> </w:t>
      </w:r>
      <w:r>
        <w:rPr>
          <w:rtl/>
        </w:rPr>
        <w:t>מאולתר,</w:t>
      </w:r>
      <w:r>
        <w:t xml:space="preserve"> </w:t>
      </w:r>
      <w:r>
        <w:rPr>
          <w:rtl/>
        </w:rPr>
        <w:t>מחסנית,</w:t>
      </w:r>
      <w:r>
        <w:t xml:space="preserve"> </w:t>
      </w:r>
      <w:r>
        <w:rPr>
          <w:rtl/>
        </w:rPr>
        <w:t>ושמונה</w:t>
      </w:r>
      <w:r>
        <w:t xml:space="preserve"> </w:t>
      </w:r>
      <w:r>
        <w:rPr>
          <w:rtl/>
        </w:rPr>
        <w:t>כדורי</w:t>
      </w:r>
      <w:r>
        <w:t xml:space="preserve"> </w:t>
      </w:r>
      <w:smartTag w:uri="urn:schemas-microsoft-com:office:smarttags" w:element="metricconverter">
        <w:smartTagPr>
          <w:attr w:name="ProductID" w:val="9 מ&quot;מ"/>
        </w:smartTagPr>
        <w:r>
          <w:t xml:space="preserve">9 </w:t>
        </w:r>
        <w:r>
          <w:rPr>
            <w:rtl/>
          </w:rPr>
          <w:t>מ</w:t>
        </w:r>
        <w:r>
          <w:t>"</w:t>
        </w:r>
        <w:r>
          <w:rPr>
            <w:rtl/>
          </w:rPr>
          <w:t>מ</w:t>
        </w:r>
      </w:smartTag>
      <w:r>
        <w:t xml:space="preserve"> </w:t>
      </w:r>
      <w:r>
        <w:rPr>
          <w:rtl/>
        </w:rPr>
        <w:t>אשר</w:t>
      </w:r>
      <w:r>
        <w:t xml:space="preserve"> </w:t>
      </w:r>
      <w:r>
        <w:rPr>
          <w:rtl/>
        </w:rPr>
        <w:t>הוטמנו</w:t>
      </w:r>
      <w:r>
        <w:t xml:space="preserve"> </w:t>
      </w:r>
      <w:r>
        <w:rPr>
          <w:rtl/>
        </w:rPr>
        <w:t>מתחת</w:t>
      </w:r>
      <w:r>
        <w:t xml:space="preserve"> </w:t>
      </w:r>
      <w:r>
        <w:rPr>
          <w:rtl/>
        </w:rPr>
        <w:t>למושב</w:t>
      </w:r>
      <w:r>
        <w:t xml:space="preserve"> </w:t>
      </w:r>
      <w:r>
        <w:rPr>
          <w:rtl/>
        </w:rPr>
        <w:t>האחורי</w:t>
      </w:r>
      <w:r>
        <w:t xml:space="preserve"> </w:t>
      </w:r>
      <w:r>
        <w:rPr>
          <w:rtl/>
        </w:rPr>
        <w:t>של</w:t>
      </w:r>
      <w:r>
        <w:t xml:space="preserve"> </w:t>
      </w:r>
      <w:r>
        <w:rPr>
          <w:rtl/>
        </w:rPr>
        <w:t>המכונית. בית המשפט המחוזי חילט את המכונית ששימשה לביצוע העבירה. המערער הגיש ערעור על החלטה זו לבית המשפט העליון אשר דחה את הערעור בקובעו כי:</w:t>
      </w:r>
    </w:p>
    <w:p w14:paraId="1B210717" w14:textId="77777777" w:rsidR="001A58A0" w:rsidRDefault="001A58A0">
      <w:pPr>
        <w:autoSpaceDE w:val="0"/>
        <w:autoSpaceDN w:val="0"/>
        <w:adjustRightInd w:val="0"/>
        <w:spacing w:before="100" w:after="100"/>
        <w:jc w:val="both"/>
        <w:rPr>
          <w:rtl/>
        </w:rPr>
      </w:pPr>
    </w:p>
    <w:p w14:paraId="5D19B759" w14:textId="77777777" w:rsidR="001A58A0" w:rsidRDefault="009B3B47">
      <w:pPr>
        <w:autoSpaceDE w:val="0"/>
        <w:autoSpaceDN w:val="0"/>
        <w:adjustRightInd w:val="0"/>
        <w:spacing w:before="100" w:after="100"/>
        <w:ind w:left="720"/>
        <w:jc w:val="both"/>
      </w:pPr>
      <w:r>
        <w:rPr>
          <w:b/>
          <w:bCs/>
          <w:rtl/>
        </w:rPr>
        <w:t>"בחינת</w:t>
      </w:r>
      <w:r>
        <w:rPr>
          <w:b/>
          <w:bCs/>
        </w:rPr>
        <w:t xml:space="preserve"> </w:t>
      </w:r>
      <w:r>
        <w:rPr>
          <w:b/>
          <w:bCs/>
          <w:rtl/>
        </w:rPr>
        <w:t>'מהותה</w:t>
      </w:r>
      <w:r>
        <w:rPr>
          <w:b/>
          <w:bCs/>
        </w:rPr>
        <w:t xml:space="preserve"> </w:t>
      </w:r>
      <w:r>
        <w:rPr>
          <w:b/>
          <w:bCs/>
          <w:rtl/>
        </w:rPr>
        <w:t>ועוצמתה</w:t>
      </w:r>
      <w:r>
        <w:rPr>
          <w:b/>
          <w:bCs/>
        </w:rPr>
        <w:t xml:space="preserve"> </w:t>
      </w:r>
      <w:r>
        <w:rPr>
          <w:b/>
          <w:bCs/>
          <w:rtl/>
        </w:rPr>
        <w:t>של</w:t>
      </w:r>
      <w:r>
        <w:rPr>
          <w:b/>
          <w:bCs/>
        </w:rPr>
        <w:t xml:space="preserve"> </w:t>
      </w:r>
      <w:r>
        <w:rPr>
          <w:b/>
          <w:bCs/>
          <w:rtl/>
        </w:rPr>
        <w:t>הזיקה' (ראו</w:t>
      </w:r>
      <w:r>
        <w:rPr>
          <w:b/>
          <w:bCs/>
        </w:rPr>
        <w:t xml:space="preserve"> </w:t>
      </w:r>
      <w:hyperlink r:id="rId41" w:history="1">
        <w:r w:rsidRPr="009B3B47">
          <w:rPr>
            <w:b/>
            <w:bCs/>
            <w:color w:val="0000FF"/>
            <w:u w:val="single"/>
            <w:rtl/>
          </w:rPr>
          <w:t>ע"פ 4148/92</w:t>
        </w:r>
      </w:hyperlink>
      <w:r>
        <w:rPr>
          <w:b/>
          <w:bCs/>
        </w:rPr>
        <w:t xml:space="preserve"> </w:t>
      </w:r>
      <w:r>
        <w:rPr>
          <w:b/>
          <w:bCs/>
          <w:rtl/>
        </w:rPr>
        <w:t>מועד</w:t>
      </w:r>
      <w:r>
        <w:rPr>
          <w:b/>
          <w:bCs/>
        </w:rPr>
        <w:t xml:space="preserve"> </w:t>
      </w:r>
      <w:r>
        <w:rPr>
          <w:rFonts w:hint="cs"/>
          <w:b/>
          <w:bCs/>
          <w:rtl/>
        </w:rPr>
        <w:t xml:space="preserve">נ' </w:t>
      </w:r>
      <w:r>
        <w:rPr>
          <w:b/>
          <w:bCs/>
          <w:rtl/>
        </w:rPr>
        <w:t>מדינת</w:t>
      </w:r>
      <w:r>
        <w:rPr>
          <w:b/>
          <w:bCs/>
        </w:rPr>
        <w:t xml:space="preserve"> </w:t>
      </w:r>
      <w:r>
        <w:rPr>
          <w:b/>
          <w:bCs/>
          <w:rtl/>
        </w:rPr>
        <w:t>ישראל</w:t>
      </w:r>
      <w:r>
        <w:rPr>
          <w:b/>
          <w:bCs/>
        </w:rPr>
        <w:t xml:space="preserve"> (22.9.1994) </w:t>
      </w:r>
      <w:r>
        <w:rPr>
          <w:rFonts w:hint="cs"/>
          <w:b/>
          <w:bCs/>
          <w:rtl/>
        </w:rPr>
        <w:t xml:space="preserve">)  </w:t>
      </w:r>
      <w:r>
        <w:rPr>
          <w:b/>
          <w:bCs/>
          <w:rtl/>
        </w:rPr>
        <w:t>בין</w:t>
      </w:r>
      <w:r>
        <w:rPr>
          <w:b/>
          <w:bCs/>
        </w:rPr>
        <w:t xml:space="preserve"> </w:t>
      </w:r>
      <w:r>
        <w:rPr>
          <w:b/>
          <w:bCs/>
          <w:rtl/>
        </w:rPr>
        <w:t>הנשק</w:t>
      </w:r>
      <w:r>
        <w:rPr>
          <w:b/>
          <w:bCs/>
        </w:rPr>
        <w:t xml:space="preserve"> </w:t>
      </w:r>
      <w:r>
        <w:rPr>
          <w:b/>
          <w:bCs/>
          <w:rtl/>
        </w:rPr>
        <w:t>לבין</w:t>
      </w:r>
      <w:r>
        <w:rPr>
          <w:b/>
          <w:bCs/>
        </w:rPr>
        <w:t xml:space="preserve"> </w:t>
      </w:r>
      <w:r>
        <w:rPr>
          <w:b/>
          <w:bCs/>
          <w:rtl/>
        </w:rPr>
        <w:t>מכוניתו</w:t>
      </w:r>
      <w:r>
        <w:rPr>
          <w:b/>
          <w:bCs/>
        </w:rPr>
        <w:t xml:space="preserve"> </w:t>
      </w:r>
      <w:r>
        <w:rPr>
          <w:b/>
          <w:bCs/>
          <w:rtl/>
        </w:rPr>
        <w:t>של</w:t>
      </w:r>
      <w:r>
        <w:rPr>
          <w:b/>
          <w:bCs/>
        </w:rPr>
        <w:t xml:space="preserve"> </w:t>
      </w:r>
      <w:r>
        <w:rPr>
          <w:b/>
          <w:bCs/>
          <w:rtl/>
        </w:rPr>
        <w:t>המערער</w:t>
      </w:r>
      <w:r>
        <w:rPr>
          <w:b/>
          <w:bCs/>
        </w:rPr>
        <w:t xml:space="preserve"> </w:t>
      </w:r>
      <w:r>
        <w:rPr>
          <w:b/>
          <w:bCs/>
          <w:rtl/>
        </w:rPr>
        <w:t>מלמדת</w:t>
      </w:r>
      <w:r>
        <w:rPr>
          <w:b/>
          <w:bCs/>
        </w:rPr>
        <w:t xml:space="preserve"> </w:t>
      </w:r>
      <w:r>
        <w:rPr>
          <w:b/>
          <w:bCs/>
          <w:rtl/>
        </w:rPr>
        <w:t>כי</w:t>
      </w:r>
      <w:r>
        <w:rPr>
          <w:b/>
          <w:bCs/>
        </w:rPr>
        <w:t xml:space="preserve"> </w:t>
      </w:r>
      <w:r>
        <w:rPr>
          <w:b/>
          <w:bCs/>
          <w:rtl/>
        </w:rPr>
        <w:t>חילוטה</w:t>
      </w:r>
      <w:r>
        <w:rPr>
          <w:b/>
          <w:bCs/>
        </w:rPr>
        <w:t xml:space="preserve"> </w:t>
      </w:r>
      <w:r>
        <w:rPr>
          <w:b/>
          <w:bCs/>
          <w:rtl/>
        </w:rPr>
        <w:t>של</w:t>
      </w:r>
      <w:r>
        <w:rPr>
          <w:b/>
          <w:bCs/>
        </w:rPr>
        <w:t xml:space="preserve"> </w:t>
      </w:r>
      <w:r>
        <w:rPr>
          <w:b/>
          <w:bCs/>
          <w:rtl/>
        </w:rPr>
        <w:t>המכונית</w:t>
      </w:r>
      <w:r>
        <w:rPr>
          <w:b/>
          <w:bCs/>
        </w:rPr>
        <w:t xml:space="preserve"> </w:t>
      </w:r>
      <w:r>
        <w:rPr>
          <w:b/>
          <w:bCs/>
          <w:rtl/>
        </w:rPr>
        <w:t>מוצדק, שכן</w:t>
      </w:r>
      <w:r>
        <w:rPr>
          <w:b/>
          <w:bCs/>
        </w:rPr>
        <w:t xml:space="preserve"> </w:t>
      </w:r>
      <w:r>
        <w:rPr>
          <w:b/>
          <w:bCs/>
          <w:rtl/>
        </w:rPr>
        <w:t>המכונית</w:t>
      </w:r>
      <w:r>
        <w:rPr>
          <w:b/>
          <w:bCs/>
        </w:rPr>
        <w:t xml:space="preserve"> </w:t>
      </w:r>
      <w:r>
        <w:rPr>
          <w:b/>
          <w:bCs/>
          <w:rtl/>
        </w:rPr>
        <w:t>שימשה</w:t>
      </w:r>
      <w:r>
        <w:rPr>
          <w:b/>
          <w:bCs/>
        </w:rPr>
        <w:t xml:space="preserve"> </w:t>
      </w:r>
      <w:r>
        <w:rPr>
          <w:b/>
          <w:bCs/>
          <w:rtl/>
        </w:rPr>
        <w:t>רכיב</w:t>
      </w:r>
      <w:r>
        <w:rPr>
          <w:b/>
          <w:bCs/>
        </w:rPr>
        <w:t xml:space="preserve"> </w:t>
      </w:r>
      <w:r>
        <w:rPr>
          <w:b/>
          <w:bCs/>
          <w:rtl/>
        </w:rPr>
        <w:t>מהותי</w:t>
      </w:r>
      <w:r>
        <w:rPr>
          <w:b/>
          <w:bCs/>
        </w:rPr>
        <w:t xml:space="preserve"> </w:t>
      </w:r>
      <w:r>
        <w:rPr>
          <w:b/>
          <w:bCs/>
          <w:rtl/>
        </w:rPr>
        <w:t>בביצוע</w:t>
      </w:r>
      <w:r>
        <w:rPr>
          <w:b/>
          <w:bCs/>
        </w:rPr>
        <w:t xml:space="preserve"> </w:t>
      </w:r>
      <w:r>
        <w:rPr>
          <w:b/>
          <w:bCs/>
          <w:rtl/>
        </w:rPr>
        <w:t>העבירה</w:t>
      </w:r>
      <w:r>
        <w:rPr>
          <w:b/>
          <w:bCs/>
        </w:rPr>
        <w:t xml:space="preserve"> </w:t>
      </w:r>
      <w:r>
        <w:rPr>
          <w:b/>
          <w:bCs/>
          <w:rtl/>
        </w:rPr>
        <w:t>אשר</w:t>
      </w:r>
      <w:r>
        <w:rPr>
          <w:b/>
          <w:bCs/>
        </w:rPr>
        <w:t xml:space="preserve"> </w:t>
      </w:r>
      <w:r>
        <w:rPr>
          <w:b/>
          <w:bCs/>
          <w:rtl/>
        </w:rPr>
        <w:t>בלעדיו</w:t>
      </w:r>
      <w:r>
        <w:rPr>
          <w:b/>
          <w:bCs/>
        </w:rPr>
        <w:t xml:space="preserve"> </w:t>
      </w:r>
      <w:r>
        <w:rPr>
          <w:b/>
          <w:bCs/>
          <w:rtl/>
        </w:rPr>
        <w:t>לא</w:t>
      </w:r>
      <w:r>
        <w:rPr>
          <w:b/>
          <w:bCs/>
        </w:rPr>
        <w:t xml:space="preserve"> </w:t>
      </w:r>
      <w:r>
        <w:rPr>
          <w:b/>
          <w:bCs/>
          <w:rtl/>
        </w:rPr>
        <w:t>הייתה</w:t>
      </w:r>
      <w:r>
        <w:rPr>
          <w:b/>
          <w:bCs/>
        </w:rPr>
        <w:t xml:space="preserve"> </w:t>
      </w:r>
      <w:r>
        <w:rPr>
          <w:b/>
          <w:bCs/>
          <w:rtl/>
        </w:rPr>
        <w:t>יכולה</w:t>
      </w:r>
      <w:r>
        <w:rPr>
          <w:b/>
          <w:bCs/>
        </w:rPr>
        <w:t xml:space="preserve"> </w:t>
      </w:r>
      <w:r>
        <w:rPr>
          <w:b/>
          <w:bCs/>
          <w:rtl/>
        </w:rPr>
        <w:t>העבירה</w:t>
      </w:r>
      <w:r>
        <w:rPr>
          <w:b/>
          <w:bCs/>
        </w:rPr>
        <w:t xml:space="preserve"> </w:t>
      </w:r>
      <w:r>
        <w:rPr>
          <w:b/>
          <w:bCs/>
          <w:rtl/>
        </w:rPr>
        <w:t>להתבצע</w:t>
      </w:r>
      <w:r>
        <w:rPr>
          <w:b/>
          <w:bCs/>
        </w:rPr>
        <w:t xml:space="preserve">) </w:t>
      </w:r>
      <w:r>
        <w:rPr>
          <w:b/>
          <w:bCs/>
          <w:rtl/>
        </w:rPr>
        <w:t>השוו:</w:t>
      </w:r>
      <w:r>
        <w:rPr>
          <w:b/>
          <w:bCs/>
        </w:rPr>
        <w:t xml:space="preserve"> </w:t>
      </w:r>
      <w:hyperlink r:id="rId42" w:history="1">
        <w:r w:rsidRPr="009B3B47">
          <w:rPr>
            <w:b/>
            <w:bCs/>
            <w:color w:val="0000FF"/>
            <w:u w:val="single"/>
            <w:rtl/>
          </w:rPr>
          <w:t>ע"פ 2963/13</w:t>
        </w:r>
      </w:hyperlink>
      <w:r>
        <w:rPr>
          <w:b/>
          <w:bCs/>
        </w:rPr>
        <w:t xml:space="preserve"> </w:t>
      </w:r>
      <w:r>
        <w:rPr>
          <w:b/>
          <w:bCs/>
          <w:rtl/>
        </w:rPr>
        <w:t>מדינת</w:t>
      </w:r>
      <w:r>
        <w:rPr>
          <w:b/>
          <w:bCs/>
        </w:rPr>
        <w:t xml:space="preserve"> </w:t>
      </w:r>
      <w:r>
        <w:rPr>
          <w:b/>
          <w:bCs/>
          <w:rtl/>
        </w:rPr>
        <w:t>ישראל</w:t>
      </w:r>
      <w:r>
        <w:rPr>
          <w:b/>
          <w:bCs/>
        </w:rPr>
        <w:t xml:space="preserve"> </w:t>
      </w:r>
      <w:r>
        <w:rPr>
          <w:b/>
          <w:bCs/>
          <w:rtl/>
        </w:rPr>
        <w:t>נ</w:t>
      </w:r>
      <w:r>
        <w:rPr>
          <w:b/>
          <w:bCs/>
        </w:rPr>
        <w:t xml:space="preserve">' </w:t>
      </w:r>
      <w:r>
        <w:rPr>
          <w:b/>
          <w:bCs/>
          <w:rtl/>
        </w:rPr>
        <w:t>פלוני,</w:t>
      </w:r>
      <w:r>
        <w:rPr>
          <w:b/>
          <w:bCs/>
        </w:rPr>
        <w:t xml:space="preserve"> (10.2.2014) </w:t>
      </w:r>
      <w:r>
        <w:rPr>
          <w:b/>
          <w:bCs/>
          <w:rtl/>
        </w:rPr>
        <w:t>פסקה</w:t>
      </w:r>
      <w:r>
        <w:rPr>
          <w:b/>
          <w:bCs/>
        </w:rPr>
        <w:t xml:space="preserve"> 35 </w:t>
      </w:r>
      <w:r>
        <w:rPr>
          <w:b/>
          <w:bCs/>
          <w:rtl/>
        </w:rPr>
        <w:t>לפסק</w:t>
      </w:r>
      <w:r>
        <w:rPr>
          <w:b/>
          <w:bCs/>
        </w:rPr>
        <w:t xml:space="preserve"> </w:t>
      </w:r>
      <w:r>
        <w:rPr>
          <w:b/>
          <w:bCs/>
          <w:rtl/>
        </w:rPr>
        <w:t>הדין)"</w:t>
      </w:r>
      <w:r>
        <w:rPr>
          <w:rFonts w:hint="cs"/>
          <w:b/>
          <w:bCs/>
          <w:rtl/>
        </w:rPr>
        <w:t>.</w:t>
      </w:r>
    </w:p>
    <w:p w14:paraId="3E9BC1CD" w14:textId="77777777" w:rsidR="001A58A0" w:rsidRDefault="001A58A0">
      <w:pPr>
        <w:spacing w:line="360" w:lineRule="auto"/>
        <w:jc w:val="both"/>
        <w:rPr>
          <w:b/>
          <w:bCs/>
          <w:rtl/>
        </w:rPr>
      </w:pPr>
    </w:p>
    <w:p w14:paraId="7866A199" w14:textId="77777777" w:rsidR="001A58A0" w:rsidRDefault="009B3B47">
      <w:pPr>
        <w:spacing w:line="360" w:lineRule="auto"/>
        <w:ind w:left="720" w:hanging="720"/>
        <w:jc w:val="both"/>
        <w:rPr>
          <w:color w:val="FFFFFF"/>
          <w:rtl/>
        </w:rPr>
      </w:pPr>
      <w:r>
        <w:rPr>
          <w:rFonts w:hint="cs"/>
          <w:b/>
          <w:bCs/>
          <w:rtl/>
        </w:rPr>
        <w:t>36</w:t>
      </w:r>
      <w:r>
        <w:rPr>
          <w:rFonts w:hint="cs"/>
          <w:rtl/>
        </w:rPr>
        <w:t>.</w:t>
      </w:r>
      <w:r>
        <w:rPr>
          <w:rFonts w:hint="cs"/>
          <w:rtl/>
        </w:rPr>
        <w:tab/>
      </w:r>
      <w:r>
        <w:rPr>
          <w:rtl/>
        </w:rPr>
        <w:t>בענייננו, הרכב שמבקשת</w:t>
      </w:r>
      <w:r>
        <w:rPr>
          <w:rFonts w:hint="cs"/>
          <w:rtl/>
        </w:rPr>
        <w:t xml:space="preserve"> </w:t>
      </w:r>
      <w:r>
        <w:rPr>
          <w:rtl/>
        </w:rPr>
        <w:t>המאשימה לחלט הינו בבעלות הנאשם ונתפס בחזקתו ביום 25.12.14, יום ביצוע העבירה. הנאשם עשה שימוש ברכב לשם ביצוע עבירת החזקת ונשיאת הנשק, בכך שהוא החזיק ונשא  את האקדח והמחסנית מתחת למושב הנהג ברכב ובדרך זו ביצע גם את העבירות הנוספות.</w:t>
      </w:r>
    </w:p>
    <w:p w14:paraId="14525967" w14:textId="77777777" w:rsidR="001A58A0" w:rsidRDefault="001A58A0">
      <w:pPr>
        <w:spacing w:line="360" w:lineRule="auto"/>
        <w:jc w:val="both"/>
        <w:rPr>
          <w:color w:val="FFFFFF"/>
          <w:rtl/>
        </w:rPr>
      </w:pPr>
    </w:p>
    <w:p w14:paraId="363C90C5" w14:textId="77777777" w:rsidR="001A58A0" w:rsidRDefault="009B3B47">
      <w:pPr>
        <w:spacing w:line="360" w:lineRule="auto"/>
        <w:jc w:val="both"/>
        <w:rPr>
          <w:rtl/>
        </w:rPr>
      </w:pPr>
      <w:r>
        <w:rPr>
          <w:rFonts w:hint="cs"/>
          <w:b/>
          <w:bCs/>
          <w:rtl/>
        </w:rPr>
        <w:t>37</w:t>
      </w:r>
      <w:r>
        <w:rPr>
          <w:rFonts w:hint="cs"/>
          <w:rtl/>
        </w:rPr>
        <w:t>.</w:t>
      </w:r>
      <w:r>
        <w:rPr>
          <w:rFonts w:hint="cs"/>
          <w:rtl/>
        </w:rPr>
        <w:tab/>
      </w:r>
      <w:r>
        <w:rPr>
          <w:rtl/>
        </w:rPr>
        <w:t>אשר על כן, אני מורה על חילוט הרכב של הנאשם מסוג פורד פוקס, מ"ר 85562.</w:t>
      </w:r>
    </w:p>
    <w:p w14:paraId="4C8AB2ED" w14:textId="77777777" w:rsidR="001A58A0" w:rsidRDefault="001A58A0">
      <w:pPr>
        <w:spacing w:line="360" w:lineRule="auto"/>
        <w:jc w:val="both"/>
        <w:rPr>
          <w:color w:val="000000"/>
          <w:rtl/>
        </w:rPr>
      </w:pPr>
    </w:p>
    <w:p w14:paraId="7FFF145F" w14:textId="77777777" w:rsidR="001A58A0" w:rsidRDefault="009B3B47">
      <w:pPr>
        <w:spacing w:line="360" w:lineRule="auto"/>
        <w:jc w:val="both"/>
        <w:rPr>
          <w:b/>
          <w:bCs/>
          <w:color w:val="000000"/>
          <w:u w:val="single"/>
          <w:rtl/>
        </w:rPr>
      </w:pPr>
      <w:r>
        <w:rPr>
          <w:b/>
          <w:bCs/>
          <w:color w:val="000000"/>
          <w:u w:val="single"/>
          <w:rtl/>
        </w:rPr>
        <w:t xml:space="preserve">זכות ערעור לביהמ"ש העליון תוך 45 יום מהיום, הודעה לנאשם. </w:t>
      </w:r>
    </w:p>
    <w:p w14:paraId="77BD7E63" w14:textId="77777777" w:rsidR="001A58A0" w:rsidRDefault="009B3B47">
      <w:pPr>
        <w:spacing w:line="360" w:lineRule="auto"/>
        <w:jc w:val="both"/>
        <w:rPr>
          <w:rFonts w:ascii="Arial" w:hAnsi="Arial"/>
        </w:rPr>
      </w:pPr>
      <w:r w:rsidRPr="009B3B47">
        <w:rPr>
          <w:rFonts w:ascii="Arial" w:hAnsi="Arial"/>
          <w:color w:val="FFFFFF"/>
          <w:sz w:val="2"/>
          <w:szCs w:val="2"/>
          <w:rtl/>
        </w:rPr>
        <w:t>54678313</w:t>
      </w:r>
      <w:r>
        <w:rPr>
          <w:rFonts w:ascii="Arial" w:hAnsi="Arial"/>
          <w:rtl/>
        </w:rPr>
        <w:t xml:space="preserve">ניתן היום,  כ"ח תמוז תשע"ה, (15 יולי 2015), במעמד ב"כ המאשימה עו"ד אדם סרי, הנאשם </w:t>
      </w:r>
      <w:r>
        <w:rPr>
          <w:rFonts w:ascii="Arial" w:hAnsi="Arial" w:hint="cs"/>
          <w:rtl/>
        </w:rPr>
        <w:t>באמצעות יחידת הליווי ובא כוחו עו"ד חאלד אמארה</w:t>
      </w:r>
      <w:bookmarkStart w:id="8" w:name="_GoBack"/>
      <w:bookmarkEnd w:id="8"/>
      <w:r>
        <w:rPr>
          <w:rFonts w:ascii="Arial" w:hAnsi="Arial" w:hint="cs"/>
          <w:rtl/>
        </w:rPr>
        <w:t xml:space="preserve">.  </w:t>
      </w:r>
    </w:p>
    <w:p w14:paraId="3BA6A229" w14:textId="77777777" w:rsidR="001A58A0" w:rsidRDefault="001A58A0">
      <w:pPr>
        <w:rPr>
          <w:rtl/>
        </w:rPr>
      </w:pPr>
    </w:p>
    <w:p w14:paraId="02A7E507" w14:textId="77777777" w:rsidR="009B3B47" w:rsidRPr="003D2D2B" w:rsidRDefault="003D2D2B" w:rsidP="009B3B47">
      <w:pPr>
        <w:keepNext/>
        <w:rPr>
          <w:rFonts w:ascii="David" w:hAnsi="David"/>
          <w:color w:val="FFFFFF"/>
          <w:sz w:val="2"/>
          <w:szCs w:val="2"/>
          <w:rtl/>
        </w:rPr>
      </w:pPr>
      <w:r w:rsidRPr="003D2D2B">
        <w:rPr>
          <w:rFonts w:ascii="David" w:hAnsi="David"/>
          <w:color w:val="FFFFFF"/>
          <w:sz w:val="2"/>
          <w:szCs w:val="2"/>
          <w:rtl/>
        </w:rPr>
        <w:t>54678313</w:t>
      </w:r>
    </w:p>
    <w:p w14:paraId="7E09E0C1" w14:textId="77777777" w:rsidR="009B3B47" w:rsidRPr="009B3B47" w:rsidRDefault="009B3B47" w:rsidP="009B3B47">
      <w:pPr>
        <w:keepNext/>
        <w:rPr>
          <w:rFonts w:ascii="David" w:hAnsi="David"/>
          <w:color w:val="000000"/>
          <w:sz w:val="22"/>
          <w:szCs w:val="22"/>
          <w:rtl/>
        </w:rPr>
      </w:pPr>
      <w:r w:rsidRPr="009B3B47">
        <w:rPr>
          <w:rFonts w:ascii="David" w:hAnsi="David"/>
          <w:color w:val="000000"/>
          <w:sz w:val="22"/>
          <w:szCs w:val="22"/>
          <w:rtl/>
        </w:rPr>
        <w:t>כמאל סעב 54678313</w:t>
      </w:r>
    </w:p>
    <w:p w14:paraId="5C005A8E" w14:textId="77777777" w:rsidR="009B3B47" w:rsidRDefault="009B3B47" w:rsidP="009B3B47">
      <w:r w:rsidRPr="009B3B47">
        <w:rPr>
          <w:color w:val="000000"/>
          <w:rtl/>
        </w:rPr>
        <w:t>נוסח מסמך זה כפוף לשינויי ניסוח ועריכה</w:t>
      </w:r>
    </w:p>
    <w:p w14:paraId="149ECF88" w14:textId="77777777" w:rsidR="009B3B47" w:rsidRDefault="009B3B47" w:rsidP="009B3B47">
      <w:pPr>
        <w:rPr>
          <w:rtl/>
        </w:rPr>
      </w:pPr>
    </w:p>
    <w:p w14:paraId="2B8C54FF" w14:textId="77777777" w:rsidR="003D2D2B" w:rsidRPr="003D2D2B" w:rsidRDefault="009B3B47" w:rsidP="003D2D2B">
      <w:pPr>
        <w:jc w:val="center"/>
        <w:rPr>
          <w:rFonts w:hint="cs"/>
          <w:color w:val="0000FF"/>
          <w:u w:val="single"/>
          <w:rtl/>
        </w:rPr>
      </w:pPr>
      <w:hyperlink r:id="rId43" w:history="1">
        <w:r>
          <w:rPr>
            <w:color w:val="0000FF"/>
            <w:u w:val="single"/>
            <w:rtl/>
          </w:rPr>
          <w:t>בעניין עריכה ושינויים במסמכי פסיקה, חקיקה ועוד באתר נבו – הקש כאן</w:t>
        </w:r>
      </w:hyperlink>
      <w:r w:rsidR="0092217F">
        <w:rPr>
          <w:rFonts w:hint="cs"/>
          <w:color w:val="0000FF"/>
          <w:u w:val="single"/>
          <w:rtl/>
        </w:rPr>
        <w:t xml:space="preserve">  </w:t>
      </w:r>
    </w:p>
    <w:sectPr w:rsidR="003D2D2B" w:rsidRPr="003D2D2B" w:rsidSect="003D2D2B">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70858" w14:textId="77777777" w:rsidR="004325FD" w:rsidRPr="00C56F2D" w:rsidRDefault="004325FD">
      <w:pPr>
        <w:rPr>
          <w:rFonts w:cs="Arial"/>
          <w:szCs w:val="20"/>
        </w:rPr>
      </w:pPr>
      <w:r>
        <w:separator/>
      </w:r>
    </w:p>
  </w:endnote>
  <w:endnote w:type="continuationSeparator" w:id="0">
    <w:p w14:paraId="30FDC041" w14:textId="77777777" w:rsidR="004325FD" w:rsidRPr="00C56F2D" w:rsidRDefault="004325F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3F330" w14:textId="77777777" w:rsidR="00021545" w:rsidRDefault="00021545" w:rsidP="003D2D2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1D5569F" w14:textId="77777777" w:rsidR="00021545" w:rsidRPr="003D2D2B" w:rsidRDefault="00021545" w:rsidP="003D2D2B">
    <w:pPr>
      <w:pStyle w:val="a4"/>
      <w:pBdr>
        <w:top w:val="single" w:sz="4" w:space="1" w:color="auto"/>
        <w:between w:val="single" w:sz="4" w:space="0" w:color="auto"/>
      </w:pBdr>
      <w:spacing w:after="60"/>
      <w:jc w:val="center"/>
      <w:rPr>
        <w:rFonts w:ascii="FrankRuehl" w:hAnsi="FrankRuehl" w:cs="FrankRuehl"/>
        <w:color w:val="000000"/>
      </w:rPr>
    </w:pPr>
    <w:r w:rsidRPr="003D2D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8F47" w14:textId="77777777" w:rsidR="00021545" w:rsidRDefault="00021545" w:rsidP="003D2D2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4D73">
      <w:rPr>
        <w:rFonts w:ascii="FrankRuehl" w:hAnsi="FrankRuehl" w:cs="FrankRuehl"/>
        <w:noProof/>
        <w:rtl/>
      </w:rPr>
      <w:t>1</w:t>
    </w:r>
    <w:r>
      <w:rPr>
        <w:rFonts w:ascii="FrankRuehl" w:hAnsi="FrankRuehl" w:cs="FrankRuehl"/>
        <w:rtl/>
      </w:rPr>
      <w:fldChar w:fldCharType="end"/>
    </w:r>
  </w:p>
  <w:p w14:paraId="2B6E7AC0" w14:textId="77777777" w:rsidR="00021545" w:rsidRPr="003D2D2B" w:rsidRDefault="00021545" w:rsidP="003D2D2B">
    <w:pPr>
      <w:pStyle w:val="a4"/>
      <w:pBdr>
        <w:top w:val="single" w:sz="4" w:space="1" w:color="auto"/>
        <w:between w:val="single" w:sz="4" w:space="0" w:color="auto"/>
      </w:pBdr>
      <w:spacing w:after="60"/>
      <w:jc w:val="center"/>
      <w:rPr>
        <w:rFonts w:ascii="FrankRuehl" w:hAnsi="FrankRuehl" w:cs="FrankRuehl"/>
        <w:color w:val="000000"/>
      </w:rPr>
    </w:pPr>
    <w:r w:rsidRPr="003D2D2B">
      <w:rPr>
        <w:rFonts w:ascii="FrankRuehl" w:hAnsi="FrankRuehl" w:cs="FrankRuehl"/>
        <w:color w:val="000000"/>
      </w:rPr>
      <w:pict w14:anchorId="22184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B3A30" w14:textId="77777777" w:rsidR="004325FD" w:rsidRPr="00C56F2D" w:rsidRDefault="004325FD">
      <w:pPr>
        <w:rPr>
          <w:rFonts w:cs="Arial"/>
          <w:szCs w:val="20"/>
        </w:rPr>
      </w:pPr>
      <w:r>
        <w:separator/>
      </w:r>
    </w:p>
  </w:footnote>
  <w:footnote w:type="continuationSeparator" w:id="0">
    <w:p w14:paraId="43FA25C8" w14:textId="77777777" w:rsidR="004325FD" w:rsidRPr="00C56F2D" w:rsidRDefault="004325F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88E7F" w14:textId="77777777" w:rsidR="00021545" w:rsidRPr="003D2D2B" w:rsidRDefault="00021545" w:rsidP="003D2D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34344-01-15</w:t>
    </w:r>
    <w:r>
      <w:rPr>
        <w:rFonts w:ascii="David" w:hAnsi="David"/>
        <w:color w:val="000000"/>
        <w:sz w:val="22"/>
        <w:szCs w:val="22"/>
        <w:rtl/>
      </w:rPr>
      <w:tab/>
      <w:t xml:space="preserve"> מדינת ישראל נ' עלי אמארה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DCF30" w14:textId="77777777" w:rsidR="00021545" w:rsidRPr="003D2D2B" w:rsidRDefault="00021545" w:rsidP="003D2D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34344-01-15</w:t>
    </w:r>
    <w:r>
      <w:rPr>
        <w:rFonts w:ascii="David" w:hAnsi="David"/>
        <w:color w:val="000000"/>
        <w:sz w:val="22"/>
        <w:szCs w:val="22"/>
        <w:rtl/>
      </w:rPr>
      <w:tab/>
      <w:t xml:space="preserve"> מדינת ישראל נ' עלי אמארה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8C6329"/>
    <w:multiLevelType w:val="hybridMultilevel"/>
    <w:tmpl w:val="7974DE9A"/>
    <w:lvl w:ilvl="0" w:tplc="353A3E86">
      <w:start w:val="3"/>
      <w:numFmt w:val="hebrew1"/>
      <w:lvlText w:val="%1."/>
      <w:lvlJc w:val="left"/>
      <w:pPr>
        <w:tabs>
          <w:tab w:val="num" w:pos="1440"/>
        </w:tabs>
        <w:ind w:left="1440" w:hanging="360"/>
      </w:pPr>
      <w:rPr>
        <w:rFonts w:cs="David" w:hint="default"/>
        <w:b w:val="0"/>
        <w:bCs/>
        <w:szCs w:val="24"/>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16cid:durableId="144573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58A0"/>
    <w:rsid w:val="00021545"/>
    <w:rsid w:val="00047B7F"/>
    <w:rsid w:val="00124D73"/>
    <w:rsid w:val="00132419"/>
    <w:rsid w:val="001A58A0"/>
    <w:rsid w:val="002E3E6E"/>
    <w:rsid w:val="003D2D2B"/>
    <w:rsid w:val="004325FD"/>
    <w:rsid w:val="00555507"/>
    <w:rsid w:val="0092217F"/>
    <w:rsid w:val="009B3B47"/>
    <w:rsid w:val="00CD3C21"/>
    <w:rsid w:val="00FF79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B5A7B5B"/>
  <w15:chartTrackingRefBased/>
  <w15:docId w15:val="{5F3954FF-D310-42EA-8D26-D245AB07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58A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A58A0"/>
    <w:pPr>
      <w:tabs>
        <w:tab w:val="center" w:pos="4153"/>
        <w:tab w:val="right" w:pos="8306"/>
      </w:tabs>
    </w:pPr>
  </w:style>
  <w:style w:type="paragraph" w:styleId="a4">
    <w:name w:val="footer"/>
    <w:basedOn w:val="a"/>
    <w:rsid w:val="001A58A0"/>
    <w:pPr>
      <w:tabs>
        <w:tab w:val="center" w:pos="4153"/>
        <w:tab w:val="right" w:pos="8306"/>
      </w:tabs>
    </w:pPr>
  </w:style>
  <w:style w:type="character" w:styleId="a5">
    <w:name w:val="page number"/>
    <w:basedOn w:val="a0"/>
    <w:rsid w:val="001A58A0"/>
  </w:style>
  <w:style w:type="character" w:customStyle="1" w:styleId="Ruller4">
    <w:name w:val="Ruller4 תו"/>
    <w:link w:val="Ruller40"/>
    <w:locked/>
    <w:rsid w:val="001A58A0"/>
    <w:rPr>
      <w:rFonts w:ascii="Arial TUR" w:hAnsi="Arial TUR"/>
      <w:spacing w:val="10"/>
      <w:sz w:val="28"/>
      <w:szCs w:val="28"/>
      <w:lang w:bidi="he-IL"/>
    </w:rPr>
  </w:style>
  <w:style w:type="paragraph" w:customStyle="1" w:styleId="Ruller40">
    <w:name w:val="Ruller4"/>
    <w:basedOn w:val="a"/>
    <w:link w:val="Ruller4"/>
    <w:rsid w:val="001A58A0"/>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customStyle="1" w:styleId="Ruller5">
    <w:name w:val="Ruller5 תו"/>
    <w:link w:val="Ruller50"/>
    <w:locked/>
    <w:rsid w:val="001A58A0"/>
    <w:rPr>
      <w:rFonts w:ascii="Arial TUR" w:hAnsi="Arial TUR"/>
      <w:spacing w:val="10"/>
      <w:sz w:val="28"/>
      <w:szCs w:val="28"/>
      <w:lang w:bidi="he-IL"/>
    </w:rPr>
  </w:style>
  <w:style w:type="paragraph" w:customStyle="1" w:styleId="Ruller50">
    <w:name w:val="Ruller5"/>
    <w:basedOn w:val="a"/>
    <w:link w:val="Ruller5"/>
    <w:rsid w:val="001A58A0"/>
    <w:pPr>
      <w:overflowPunct w:val="0"/>
      <w:autoSpaceDE w:val="0"/>
      <w:autoSpaceDN w:val="0"/>
      <w:adjustRightInd w:val="0"/>
      <w:ind w:left="1642" w:right="1282"/>
      <w:jc w:val="both"/>
    </w:pPr>
    <w:rPr>
      <w:rFonts w:ascii="Arial TUR" w:hAnsi="Arial TUR" w:cs="Times New Roman"/>
      <w:spacing w:val="10"/>
      <w:sz w:val="28"/>
      <w:szCs w:val="28"/>
    </w:rPr>
  </w:style>
  <w:style w:type="paragraph" w:customStyle="1" w:styleId="filenumber">
    <w:name w:val="filenumber"/>
    <w:basedOn w:val="a"/>
    <w:rsid w:val="001A58A0"/>
    <w:pPr>
      <w:overflowPunct w:val="0"/>
      <w:autoSpaceDE w:val="0"/>
      <w:autoSpaceDN w:val="0"/>
      <w:spacing w:line="360" w:lineRule="auto"/>
      <w:jc w:val="right"/>
    </w:pPr>
    <w:rPr>
      <w:rFonts w:eastAsia="Arial Unicode MS" w:cs="Times New Roman"/>
      <w:sz w:val="20"/>
      <w:szCs w:val="20"/>
      <w:lang w:eastAsia="he-IL"/>
    </w:rPr>
  </w:style>
  <w:style w:type="character" w:styleId="Hyperlink">
    <w:name w:val="Hyperlink"/>
    <w:rsid w:val="009B3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21327" TargetMode="External"/><Relationship Id="rId39" Type="http://schemas.openxmlformats.org/officeDocument/2006/relationships/hyperlink" Target="http://www.nevo.co.il/case/4074962" TargetMode="External"/><Relationship Id="rId21" Type="http://schemas.openxmlformats.org/officeDocument/2006/relationships/hyperlink" Target="http://www.nevo.co.il/law/74501/2" TargetMode="External"/><Relationship Id="rId34" Type="http://schemas.openxmlformats.org/officeDocument/2006/relationships/hyperlink" Target="http://www.nevo.co.il/case/17941073" TargetMode="External"/><Relationship Id="rId42" Type="http://schemas.openxmlformats.org/officeDocument/2006/relationships/hyperlink" Target="http://www.nevo.co.il/case/11312605"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39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5227"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7791493" TargetMode="External"/><Relationship Id="rId37" Type="http://schemas.openxmlformats.org/officeDocument/2006/relationships/hyperlink" Target="http://www.nevo.co.il/law/74918" TargetMode="External"/><Relationship Id="rId40" Type="http://schemas.openxmlformats.org/officeDocument/2006/relationships/hyperlink" Target="http://www.nevo.co.il/case/20138359"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4918"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6473037" TargetMode="External"/><Relationship Id="rId36" Type="http://schemas.openxmlformats.org/officeDocument/2006/relationships/hyperlink" Target="http://www.nevo.co.il/law/74918/39a" TargetMode="External"/><Relationship Id="rId49" Type="http://schemas.openxmlformats.org/officeDocument/2006/relationships/theme" Target="theme/theme1.xml"/><Relationship Id="rId10" Type="http://schemas.openxmlformats.org/officeDocument/2006/relationships/hyperlink" Target="http://www.nevo.co.il/law/70301/144.b2" TargetMode="External"/><Relationship Id="rId19" Type="http://schemas.openxmlformats.org/officeDocument/2006/relationships/hyperlink" Target="http://www.nevo.co.il/law/5227/2" TargetMode="External"/><Relationship Id="rId31" Type="http://schemas.openxmlformats.org/officeDocument/2006/relationships/hyperlink" Target="http://www.nevo.co.il/case/6949290"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b" TargetMode="External"/><Relationship Id="rId14" Type="http://schemas.openxmlformats.org/officeDocument/2006/relationships/hyperlink" Target="http://www.nevo.co.il/law/74501/2" TargetMode="External"/><Relationship Id="rId22" Type="http://schemas.openxmlformats.org/officeDocument/2006/relationships/hyperlink" Target="http://www.nevo.co.il/law/74501" TargetMode="External"/><Relationship Id="rId27" Type="http://schemas.openxmlformats.org/officeDocument/2006/relationships/hyperlink" Target="http://www.nevo.co.il/case/5703734" TargetMode="External"/><Relationship Id="rId30" Type="http://schemas.openxmlformats.org/officeDocument/2006/relationships/hyperlink" Target="http://www.nevo.co.il/case/5808567" TargetMode="External"/><Relationship Id="rId35" Type="http://schemas.openxmlformats.org/officeDocument/2006/relationships/hyperlink" Target="http://www.nevo.co.il/case/588259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5227/2" TargetMode="External"/><Relationship Id="rId17" Type="http://schemas.openxmlformats.org/officeDocument/2006/relationships/hyperlink" Target="http://www.nevo.co.il/law/70301/144.a.b" TargetMode="External"/><Relationship Id="rId25" Type="http://schemas.openxmlformats.org/officeDocument/2006/relationships/hyperlink" Target="http://www.nevo.co.il/law/70301/144.b2" TargetMode="External"/><Relationship Id="rId33" Type="http://schemas.openxmlformats.org/officeDocument/2006/relationships/hyperlink" Target="http://www.nevo.co.il/case/5762686" TargetMode="External"/><Relationship Id="rId38" Type="http://schemas.openxmlformats.org/officeDocument/2006/relationships/hyperlink" Target="http://www.nevo.co.il/case/6055128" TargetMode="External"/><Relationship Id="rId46" Type="http://schemas.openxmlformats.org/officeDocument/2006/relationships/footer" Target="footer1.xml"/><Relationship Id="rId20" Type="http://schemas.openxmlformats.org/officeDocument/2006/relationships/hyperlink" Target="http://www.nevo.co.il/law/5227" TargetMode="External"/><Relationship Id="rId41" Type="http://schemas.openxmlformats.org/officeDocument/2006/relationships/hyperlink" Target="http://www.nevo.co.il/case/1792222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2653</Words>
  <Characters>13268</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15890</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3145842</vt:i4>
      </vt:variant>
      <vt:variant>
        <vt:i4>105</vt:i4>
      </vt:variant>
      <vt:variant>
        <vt:i4>0</vt:i4>
      </vt:variant>
      <vt:variant>
        <vt:i4>5</vt:i4>
      </vt:variant>
      <vt:variant>
        <vt:lpwstr>http://www.nevo.co.il/case/11312605</vt:lpwstr>
      </vt:variant>
      <vt:variant>
        <vt:lpwstr/>
      </vt:variant>
      <vt:variant>
        <vt:i4>3670131</vt:i4>
      </vt:variant>
      <vt:variant>
        <vt:i4>102</vt:i4>
      </vt:variant>
      <vt:variant>
        <vt:i4>0</vt:i4>
      </vt:variant>
      <vt:variant>
        <vt:i4>5</vt:i4>
      </vt:variant>
      <vt:variant>
        <vt:lpwstr>http://www.nevo.co.il/case/17922225</vt:lpwstr>
      </vt:variant>
      <vt:variant>
        <vt:lpwstr/>
      </vt:variant>
      <vt:variant>
        <vt:i4>4063348</vt:i4>
      </vt:variant>
      <vt:variant>
        <vt:i4>99</vt:i4>
      </vt:variant>
      <vt:variant>
        <vt:i4>0</vt:i4>
      </vt:variant>
      <vt:variant>
        <vt:i4>5</vt:i4>
      </vt:variant>
      <vt:variant>
        <vt:lpwstr>http://www.nevo.co.il/case/20138359</vt:lpwstr>
      </vt:variant>
      <vt:variant>
        <vt:lpwstr/>
      </vt:variant>
      <vt:variant>
        <vt:i4>3670134</vt:i4>
      </vt:variant>
      <vt:variant>
        <vt:i4>96</vt:i4>
      </vt:variant>
      <vt:variant>
        <vt:i4>0</vt:i4>
      </vt:variant>
      <vt:variant>
        <vt:i4>5</vt:i4>
      </vt:variant>
      <vt:variant>
        <vt:lpwstr>http://www.nevo.co.il/case/4074962</vt:lpwstr>
      </vt:variant>
      <vt:variant>
        <vt:lpwstr/>
      </vt:variant>
      <vt:variant>
        <vt:i4>3801203</vt:i4>
      </vt:variant>
      <vt:variant>
        <vt:i4>93</vt:i4>
      </vt:variant>
      <vt:variant>
        <vt:i4>0</vt:i4>
      </vt:variant>
      <vt:variant>
        <vt:i4>5</vt:i4>
      </vt:variant>
      <vt:variant>
        <vt:lpwstr>http://www.nevo.co.il/case/6055128</vt:lpwstr>
      </vt:variant>
      <vt:variant>
        <vt:lpwstr/>
      </vt:variant>
      <vt:variant>
        <vt:i4>8323182</vt:i4>
      </vt:variant>
      <vt:variant>
        <vt:i4>90</vt:i4>
      </vt:variant>
      <vt:variant>
        <vt:i4>0</vt:i4>
      </vt:variant>
      <vt:variant>
        <vt:i4>5</vt:i4>
      </vt:variant>
      <vt:variant>
        <vt:lpwstr>http://www.nevo.co.il/law/74918</vt:lpwstr>
      </vt:variant>
      <vt:variant>
        <vt:lpwstr/>
      </vt:variant>
      <vt:variant>
        <vt:i4>6881381</vt:i4>
      </vt:variant>
      <vt:variant>
        <vt:i4>87</vt:i4>
      </vt:variant>
      <vt:variant>
        <vt:i4>0</vt:i4>
      </vt:variant>
      <vt:variant>
        <vt:i4>5</vt:i4>
      </vt:variant>
      <vt:variant>
        <vt:lpwstr>http://www.nevo.co.il/law/74918/39a</vt:lpwstr>
      </vt:variant>
      <vt:variant>
        <vt:lpwstr/>
      </vt:variant>
      <vt:variant>
        <vt:i4>3801207</vt:i4>
      </vt:variant>
      <vt:variant>
        <vt:i4>84</vt:i4>
      </vt:variant>
      <vt:variant>
        <vt:i4>0</vt:i4>
      </vt:variant>
      <vt:variant>
        <vt:i4>5</vt:i4>
      </vt:variant>
      <vt:variant>
        <vt:lpwstr>http://www.nevo.co.il/case/5882592</vt:lpwstr>
      </vt:variant>
      <vt:variant>
        <vt:lpwstr/>
      </vt:variant>
      <vt:variant>
        <vt:i4>4063351</vt:i4>
      </vt:variant>
      <vt:variant>
        <vt:i4>81</vt:i4>
      </vt:variant>
      <vt:variant>
        <vt:i4>0</vt:i4>
      </vt:variant>
      <vt:variant>
        <vt:i4>5</vt:i4>
      </vt:variant>
      <vt:variant>
        <vt:lpwstr>http://www.nevo.co.il/case/17941073</vt:lpwstr>
      </vt:variant>
      <vt:variant>
        <vt:lpwstr/>
      </vt:variant>
      <vt:variant>
        <vt:i4>3342457</vt:i4>
      </vt:variant>
      <vt:variant>
        <vt:i4>78</vt:i4>
      </vt:variant>
      <vt:variant>
        <vt:i4>0</vt:i4>
      </vt:variant>
      <vt:variant>
        <vt:i4>5</vt:i4>
      </vt:variant>
      <vt:variant>
        <vt:lpwstr>http://www.nevo.co.il/case/5762686</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3145853</vt:i4>
      </vt:variant>
      <vt:variant>
        <vt:i4>72</vt:i4>
      </vt:variant>
      <vt:variant>
        <vt:i4>0</vt:i4>
      </vt:variant>
      <vt:variant>
        <vt:i4>5</vt:i4>
      </vt:variant>
      <vt:variant>
        <vt:lpwstr>http://www.nevo.co.il/case/6949290</vt:lpwstr>
      </vt:variant>
      <vt:variant>
        <vt:lpwstr/>
      </vt:variant>
      <vt:variant>
        <vt:i4>3604594</vt:i4>
      </vt:variant>
      <vt:variant>
        <vt:i4>69</vt:i4>
      </vt:variant>
      <vt:variant>
        <vt:i4>0</vt:i4>
      </vt:variant>
      <vt:variant>
        <vt:i4>5</vt:i4>
      </vt:variant>
      <vt:variant>
        <vt:lpwstr>http://www.nevo.co.il/case/5808567</vt:lpwstr>
      </vt:variant>
      <vt:variant>
        <vt:lpwstr/>
      </vt:variant>
      <vt:variant>
        <vt:i4>7995492</vt:i4>
      </vt:variant>
      <vt:variant>
        <vt:i4>66</vt:i4>
      </vt:variant>
      <vt:variant>
        <vt:i4>0</vt:i4>
      </vt:variant>
      <vt:variant>
        <vt:i4>5</vt:i4>
      </vt:variant>
      <vt:variant>
        <vt:lpwstr>http://www.nevo.co.il/law/70301</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3539059</vt:i4>
      </vt:variant>
      <vt:variant>
        <vt:i4>60</vt:i4>
      </vt:variant>
      <vt:variant>
        <vt:i4>0</vt:i4>
      </vt:variant>
      <vt:variant>
        <vt:i4>5</vt:i4>
      </vt:variant>
      <vt:variant>
        <vt:lpwstr>http://www.nevo.co.il/case/5703734</vt:lpwstr>
      </vt:variant>
      <vt:variant>
        <vt:lpwstr/>
      </vt:variant>
      <vt:variant>
        <vt:i4>3342463</vt:i4>
      </vt:variant>
      <vt:variant>
        <vt:i4>57</vt:i4>
      </vt:variant>
      <vt:variant>
        <vt:i4>0</vt:i4>
      </vt:variant>
      <vt:variant>
        <vt:i4>5</vt:i4>
      </vt:variant>
      <vt:variant>
        <vt:lpwstr>http://www.nevo.co.il/case/5821327</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8257634</vt:i4>
      </vt:variant>
      <vt:variant>
        <vt:i4>45</vt:i4>
      </vt:variant>
      <vt:variant>
        <vt:i4>0</vt:i4>
      </vt:variant>
      <vt:variant>
        <vt:i4>5</vt:i4>
      </vt:variant>
      <vt:variant>
        <vt:lpwstr>http://www.nevo.co.il/law/74501</vt:lpwstr>
      </vt:variant>
      <vt:variant>
        <vt:lpwstr/>
      </vt:variant>
      <vt:variant>
        <vt:i4>5308499</vt:i4>
      </vt:variant>
      <vt:variant>
        <vt:i4>42</vt:i4>
      </vt:variant>
      <vt:variant>
        <vt:i4>0</vt:i4>
      </vt:variant>
      <vt:variant>
        <vt:i4>5</vt:i4>
      </vt:variant>
      <vt:variant>
        <vt:lpwstr>http://www.nevo.co.il/law/74501/2</vt:lpwstr>
      </vt:variant>
      <vt:variant>
        <vt:lpwstr/>
      </vt:variant>
      <vt:variant>
        <vt:i4>8323175</vt:i4>
      </vt:variant>
      <vt:variant>
        <vt:i4>39</vt:i4>
      </vt:variant>
      <vt:variant>
        <vt:i4>0</vt:i4>
      </vt:variant>
      <vt:variant>
        <vt:i4>5</vt:i4>
      </vt:variant>
      <vt:variant>
        <vt:lpwstr>http://www.nevo.co.il/law/5227</vt:lpwstr>
      </vt:variant>
      <vt:variant>
        <vt:lpwstr/>
      </vt:variant>
      <vt:variant>
        <vt:i4>5046344</vt:i4>
      </vt:variant>
      <vt:variant>
        <vt:i4>36</vt:i4>
      </vt:variant>
      <vt:variant>
        <vt:i4>0</vt:i4>
      </vt:variant>
      <vt:variant>
        <vt:i4>5</vt:i4>
      </vt:variant>
      <vt:variant>
        <vt:lpwstr>http://www.nevo.co.il/law/5227/2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6357041</vt:i4>
      </vt:variant>
      <vt:variant>
        <vt:i4>30</vt:i4>
      </vt:variant>
      <vt:variant>
        <vt:i4>0</vt:i4>
      </vt:variant>
      <vt:variant>
        <vt:i4>5</vt:i4>
      </vt:variant>
      <vt:variant>
        <vt:lpwstr>http://www.nevo.co.il/law/70301/144.a.b</vt:lpwstr>
      </vt:variant>
      <vt:variant>
        <vt:lpwstr/>
      </vt:variant>
      <vt:variant>
        <vt:i4>6881381</vt:i4>
      </vt:variant>
      <vt:variant>
        <vt:i4>27</vt:i4>
      </vt:variant>
      <vt:variant>
        <vt:i4>0</vt:i4>
      </vt:variant>
      <vt:variant>
        <vt:i4>5</vt:i4>
      </vt:variant>
      <vt:variant>
        <vt:lpwstr>http://www.nevo.co.il/law/74918/39a</vt:lpwstr>
      </vt:variant>
      <vt:variant>
        <vt:lpwstr/>
      </vt:variant>
      <vt:variant>
        <vt:i4>8323182</vt:i4>
      </vt:variant>
      <vt:variant>
        <vt:i4>24</vt:i4>
      </vt:variant>
      <vt:variant>
        <vt:i4>0</vt:i4>
      </vt:variant>
      <vt:variant>
        <vt:i4>5</vt:i4>
      </vt:variant>
      <vt:variant>
        <vt:lpwstr>http://www.nevo.co.il/law/74918</vt:lpwstr>
      </vt:variant>
      <vt:variant>
        <vt:lpwstr/>
      </vt:variant>
      <vt:variant>
        <vt:i4>5308499</vt:i4>
      </vt:variant>
      <vt:variant>
        <vt:i4>21</vt:i4>
      </vt:variant>
      <vt:variant>
        <vt:i4>0</vt:i4>
      </vt:variant>
      <vt:variant>
        <vt:i4>5</vt:i4>
      </vt:variant>
      <vt:variant>
        <vt:lpwstr>http://www.nevo.co.il/law/74501/2</vt:lpwstr>
      </vt:variant>
      <vt:variant>
        <vt:lpwstr/>
      </vt:variant>
      <vt:variant>
        <vt:i4>8257634</vt:i4>
      </vt:variant>
      <vt:variant>
        <vt:i4>18</vt:i4>
      </vt:variant>
      <vt:variant>
        <vt:i4>0</vt:i4>
      </vt:variant>
      <vt:variant>
        <vt:i4>5</vt:i4>
      </vt:variant>
      <vt:variant>
        <vt:lpwstr>http://www.nevo.co.il/law/74501</vt:lpwstr>
      </vt:variant>
      <vt:variant>
        <vt:lpwstr/>
      </vt:variant>
      <vt:variant>
        <vt:i4>5046344</vt:i4>
      </vt:variant>
      <vt:variant>
        <vt:i4>15</vt:i4>
      </vt:variant>
      <vt:variant>
        <vt:i4>0</vt:i4>
      </vt:variant>
      <vt:variant>
        <vt:i4>5</vt:i4>
      </vt:variant>
      <vt:variant>
        <vt:lpwstr>http://www.nevo.co.il/law/5227/2</vt:lpwstr>
      </vt:variant>
      <vt:variant>
        <vt:lpwstr/>
      </vt:variant>
      <vt:variant>
        <vt:i4>8323175</vt:i4>
      </vt:variant>
      <vt:variant>
        <vt:i4>12</vt:i4>
      </vt:variant>
      <vt:variant>
        <vt:i4>0</vt:i4>
      </vt:variant>
      <vt:variant>
        <vt:i4>5</vt:i4>
      </vt:variant>
      <vt:variant>
        <vt:lpwstr>http://www.nevo.co.il/law/5227</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6357041</vt:i4>
      </vt:variant>
      <vt:variant>
        <vt:i4>6</vt:i4>
      </vt:variant>
      <vt:variant>
        <vt:i4>0</vt:i4>
      </vt:variant>
      <vt:variant>
        <vt:i4>5</vt:i4>
      </vt:variant>
      <vt:variant>
        <vt:lpwstr>http://www.nevo.co.il/law/70301/144.a.b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2025-01-19T15:58:00Z</dcterms:created>
  <dcterms:modified xsi:type="dcterms:W3CDTF">2025-01-19T15:58:00Z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34344</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עלי אמארה </vt:lpwstr>
  </property>
  <property fmtid="{D5CDD505-2E9C-101B-9397-08002B2CF9AE}" pid="10" name="LAWYER">
    <vt:lpwstr>שונית קדם נימצן;ח'אלד אמארה</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20150715</vt:lpwstr>
  </property>
  <property fmtid="{D5CDD505-2E9C-101B-9397-08002B2CF9AE}" pid="14" name="TYPE_N_DATE">
    <vt:lpwstr>39020150715</vt:lpwstr>
  </property>
  <property fmtid="{D5CDD505-2E9C-101B-9397-08002B2CF9AE}" pid="15" name="ISABSTRACT">
    <vt:lpwstr>Y</vt:lpwstr>
  </property>
  <property fmtid="{D5CDD505-2E9C-101B-9397-08002B2CF9AE}" pid="16" name="WORDNUMPAGES">
    <vt:lpwstr>9</vt:lpwstr>
  </property>
  <property fmtid="{D5CDD505-2E9C-101B-9397-08002B2CF9AE}" pid="17" name="TYPE_ABS_DATE">
    <vt:lpwstr>390020150715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5821327;5703734;6473037;5808567;6949290;7791493;5762686;17941073;5882592;6055128;4074962;20138359;17922225;11312605</vt:lpwstr>
  </property>
  <property fmtid="{D5CDD505-2E9C-101B-9397-08002B2CF9AE}" pid="36" name="LAWLISTTMP1">
    <vt:lpwstr>70301/144.a.b;144.a;144.b2</vt:lpwstr>
  </property>
  <property fmtid="{D5CDD505-2E9C-101B-9397-08002B2CF9AE}" pid="37" name="LAWLISTTMP2">
    <vt:lpwstr>5227/002</vt:lpwstr>
  </property>
  <property fmtid="{D5CDD505-2E9C-101B-9397-08002B2CF9AE}" pid="38" name="LAWLISTTMP3">
    <vt:lpwstr>74501/002</vt:lpwstr>
  </property>
  <property fmtid="{D5CDD505-2E9C-101B-9397-08002B2CF9AE}" pid="39" name="LAWLISTTMP4">
    <vt:lpwstr>74918/039a</vt:lpwstr>
  </property>
</Properties>
</file>