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26539A" w:rsidRPr="00754D65" w14:paraId="3D5DF758" w14:textId="77777777">
        <w:trPr>
          <w:trHeight w:hRule="exact" w:val="418"/>
          <w:jc w:val="center"/>
        </w:trPr>
        <w:tc>
          <w:tcPr>
            <w:tcW w:w="8721" w:type="dxa"/>
            <w:gridSpan w:val="2"/>
          </w:tcPr>
          <w:p w14:paraId="293DA7E0" w14:textId="77777777" w:rsidR="0026539A" w:rsidRPr="00754D65" w:rsidRDefault="00754D65">
            <w:pPr>
              <w:pStyle w:val="a3"/>
              <w:jc w:val="center"/>
              <w:rPr>
                <w:rFonts w:ascii="Tahoma" w:hAnsi="Tahoma" w:cs="Tahoma"/>
                <w:color w:val="000080"/>
                <w:rtl/>
              </w:rPr>
            </w:pPr>
            <w:bookmarkStart w:id="0" w:name="LastJudge"/>
            <w:r w:rsidRPr="00754D65">
              <w:rPr>
                <w:rFonts w:ascii="Tahoma" w:hAnsi="Tahoma" w:cs="Tahoma"/>
                <w:b/>
                <w:bCs/>
                <w:color w:val="000080"/>
                <w:rtl/>
              </w:rPr>
              <w:t>בית המשפט המחוזי בחיפה</w:t>
            </w:r>
          </w:p>
        </w:tc>
      </w:tr>
      <w:tr w:rsidR="0026539A" w:rsidRPr="00754D65" w14:paraId="7499F692" w14:textId="77777777">
        <w:trPr>
          <w:trHeight w:val="337"/>
          <w:jc w:val="center"/>
        </w:trPr>
        <w:tc>
          <w:tcPr>
            <w:tcW w:w="5053" w:type="dxa"/>
          </w:tcPr>
          <w:p w14:paraId="58E6C2EF" w14:textId="77777777" w:rsidR="0026539A" w:rsidRPr="00754D65" w:rsidRDefault="00754D65">
            <w:pPr>
              <w:rPr>
                <w:rFonts w:cs="FrankRuehl" w:hint="cs"/>
                <w:sz w:val="28"/>
                <w:szCs w:val="28"/>
                <w:rtl/>
              </w:rPr>
            </w:pPr>
            <w:r w:rsidRPr="00754D65">
              <w:rPr>
                <w:rFonts w:cs="FrankRuehl"/>
                <w:sz w:val="28"/>
                <w:szCs w:val="28"/>
                <w:rtl/>
              </w:rPr>
              <w:t>ת"פ</w:t>
            </w:r>
            <w:r w:rsidRPr="00754D65">
              <w:rPr>
                <w:rFonts w:cs="FrankRuehl" w:hint="cs"/>
                <w:sz w:val="28"/>
                <w:szCs w:val="28"/>
                <w:rtl/>
              </w:rPr>
              <w:t xml:space="preserve"> </w:t>
            </w:r>
            <w:r w:rsidRPr="00754D65">
              <w:rPr>
                <w:rFonts w:cs="FrankRuehl"/>
                <w:sz w:val="28"/>
                <w:szCs w:val="28"/>
                <w:rtl/>
              </w:rPr>
              <w:t>39731-01-15</w:t>
            </w:r>
            <w:r w:rsidRPr="00754D65">
              <w:rPr>
                <w:rFonts w:cs="FrankRuehl" w:hint="cs"/>
                <w:sz w:val="28"/>
                <w:szCs w:val="28"/>
                <w:rtl/>
              </w:rPr>
              <w:t xml:space="preserve"> </w:t>
            </w:r>
            <w:r w:rsidR="00280C09">
              <w:rPr>
                <w:rFonts w:cs="FrankRuehl"/>
                <w:sz w:val="28"/>
                <w:szCs w:val="28"/>
                <w:rtl/>
              </w:rPr>
              <w:t>מדינת ישראל נ' קבהא</w:t>
            </w:r>
          </w:p>
          <w:p w14:paraId="27D12E1B" w14:textId="77777777" w:rsidR="0026539A" w:rsidRPr="00754D65" w:rsidRDefault="0026539A">
            <w:pPr>
              <w:pStyle w:val="a3"/>
              <w:rPr>
                <w:rFonts w:cs="FrankRuehl"/>
                <w:sz w:val="28"/>
                <w:szCs w:val="28"/>
                <w:rtl/>
              </w:rPr>
            </w:pPr>
          </w:p>
        </w:tc>
        <w:tc>
          <w:tcPr>
            <w:tcW w:w="3668" w:type="dxa"/>
          </w:tcPr>
          <w:p w14:paraId="1EE28F23" w14:textId="77777777" w:rsidR="0026539A" w:rsidRPr="00754D65" w:rsidRDefault="00754D65">
            <w:pPr>
              <w:pStyle w:val="a3"/>
              <w:jc w:val="right"/>
              <w:rPr>
                <w:rFonts w:cs="FrankRuehl"/>
                <w:sz w:val="28"/>
                <w:szCs w:val="28"/>
                <w:rtl/>
              </w:rPr>
            </w:pPr>
            <w:r w:rsidRPr="00754D65">
              <w:rPr>
                <w:rFonts w:cs="FrankRuehl" w:hint="cs"/>
                <w:sz w:val="28"/>
                <w:szCs w:val="28"/>
                <w:rtl/>
              </w:rPr>
              <w:t>28 ביוני 2015</w:t>
            </w:r>
          </w:p>
        </w:tc>
      </w:tr>
    </w:tbl>
    <w:p w14:paraId="51953C78" w14:textId="77777777" w:rsidR="0026539A" w:rsidRPr="00754D65" w:rsidRDefault="00754D65">
      <w:pPr>
        <w:pStyle w:val="a3"/>
        <w:rPr>
          <w:rtl/>
        </w:rPr>
      </w:pPr>
      <w:r w:rsidRPr="00754D65">
        <w:rPr>
          <w:rFonts w:hint="cs"/>
          <w:rtl/>
        </w:rPr>
        <w:t xml:space="preserve"> </w:t>
      </w:r>
    </w:p>
    <w:p w14:paraId="653DA421" w14:textId="77777777" w:rsidR="0026539A" w:rsidRPr="00754D65" w:rsidRDefault="0026539A">
      <w:pPr>
        <w:rPr>
          <w:rtl/>
        </w:rPr>
      </w:pPr>
    </w:p>
    <w:tbl>
      <w:tblPr>
        <w:bidiVisual/>
        <w:tblW w:w="8802" w:type="dxa"/>
        <w:tblInd w:w="-28" w:type="dxa"/>
        <w:tblLook w:val="01E0" w:firstRow="1" w:lastRow="1" w:firstColumn="1" w:lastColumn="1" w:noHBand="0" w:noVBand="0"/>
      </w:tblPr>
      <w:tblGrid>
        <w:gridCol w:w="2880"/>
        <w:gridCol w:w="5839"/>
        <w:gridCol w:w="83"/>
      </w:tblGrid>
      <w:tr w:rsidR="0026539A" w:rsidRPr="00754D65" w14:paraId="721F2416" w14:textId="77777777">
        <w:trPr>
          <w:gridAfter w:val="1"/>
          <w:wAfter w:w="55" w:type="dxa"/>
        </w:trPr>
        <w:tc>
          <w:tcPr>
            <w:tcW w:w="8719" w:type="dxa"/>
            <w:gridSpan w:val="2"/>
            <w:shd w:val="clear" w:color="auto" w:fill="auto"/>
          </w:tcPr>
          <w:p w14:paraId="08CE6C58" w14:textId="77777777" w:rsidR="0026539A" w:rsidRPr="00754D65" w:rsidRDefault="00754D65">
            <w:pPr>
              <w:spacing w:line="360" w:lineRule="auto"/>
              <w:rPr>
                <w:b/>
                <w:bCs/>
                <w:sz w:val="26"/>
                <w:szCs w:val="26"/>
              </w:rPr>
            </w:pPr>
            <w:r w:rsidRPr="00754D65">
              <w:rPr>
                <w:rFonts w:hint="cs"/>
                <w:b/>
                <w:bCs/>
                <w:sz w:val="26"/>
                <w:szCs w:val="26"/>
                <w:rtl/>
              </w:rPr>
              <w:t>בפני כב' ה</w:t>
            </w:r>
            <w:r w:rsidRPr="00754D65">
              <w:rPr>
                <w:rFonts w:hint="cs"/>
                <w:rtl/>
              </w:rPr>
              <w:t>שופטת רונית בש</w:t>
            </w:r>
            <w:r w:rsidRPr="00754D65">
              <w:rPr>
                <w:rStyle w:val="TimesNewRomanTimesNewRoman"/>
                <w:rFonts w:hint="cs"/>
                <w:rtl/>
              </w:rPr>
              <w:t xml:space="preserve"> </w:t>
            </w:r>
          </w:p>
        </w:tc>
      </w:tr>
      <w:tr w:rsidR="0026539A" w:rsidRPr="00754D65" w14:paraId="70CB5565" w14:textId="77777777">
        <w:tc>
          <w:tcPr>
            <w:tcW w:w="2880" w:type="dxa"/>
            <w:shd w:val="clear" w:color="auto" w:fill="auto"/>
          </w:tcPr>
          <w:p w14:paraId="2FB86212" w14:textId="77777777" w:rsidR="0026539A" w:rsidRPr="00754D65" w:rsidRDefault="00754D65">
            <w:pPr>
              <w:ind w:left="26"/>
              <w:rPr>
                <w:b/>
                <w:bCs/>
                <w:sz w:val="26"/>
                <w:szCs w:val="26"/>
              </w:rPr>
            </w:pPr>
            <w:bookmarkStart w:id="1" w:name="FirstAppellant"/>
            <w:r w:rsidRPr="00754D65">
              <w:rPr>
                <w:rFonts w:hint="cs"/>
                <w:b/>
                <w:bCs/>
                <w:sz w:val="26"/>
                <w:szCs w:val="26"/>
                <w:rtl/>
              </w:rPr>
              <w:t>ה</w:t>
            </w:r>
            <w:r w:rsidRPr="00754D65">
              <w:rPr>
                <w:rFonts w:hint="cs"/>
                <w:rtl/>
              </w:rPr>
              <w:t>מאשימה</w:t>
            </w:r>
          </w:p>
        </w:tc>
        <w:tc>
          <w:tcPr>
            <w:tcW w:w="5922" w:type="dxa"/>
            <w:gridSpan w:val="2"/>
            <w:shd w:val="clear" w:color="auto" w:fill="auto"/>
          </w:tcPr>
          <w:p w14:paraId="4F970C9A" w14:textId="77777777" w:rsidR="0026539A" w:rsidRPr="00754D65" w:rsidRDefault="00754D65">
            <w:pPr>
              <w:rPr>
                <w:b/>
                <w:bCs/>
                <w:sz w:val="26"/>
                <w:szCs w:val="26"/>
              </w:rPr>
            </w:pPr>
            <w:r w:rsidRPr="00754D65">
              <w:rPr>
                <w:rFonts w:hint="cs"/>
                <w:rtl/>
              </w:rPr>
              <w:t>מדינת ישראל</w:t>
            </w:r>
          </w:p>
        </w:tc>
      </w:tr>
      <w:bookmarkEnd w:id="1"/>
      <w:tr w:rsidR="0026539A" w:rsidRPr="00754D65" w14:paraId="17AD23D4" w14:textId="77777777">
        <w:tc>
          <w:tcPr>
            <w:tcW w:w="8802" w:type="dxa"/>
            <w:gridSpan w:val="3"/>
            <w:shd w:val="clear" w:color="auto" w:fill="auto"/>
          </w:tcPr>
          <w:p w14:paraId="439801A5" w14:textId="77777777" w:rsidR="0026539A" w:rsidRPr="00754D65" w:rsidRDefault="00754D65">
            <w:pPr>
              <w:jc w:val="center"/>
              <w:rPr>
                <w:rFonts w:ascii="Arial" w:hAnsi="Arial"/>
                <w:b/>
                <w:bCs/>
                <w:sz w:val="26"/>
                <w:szCs w:val="26"/>
                <w:rtl/>
              </w:rPr>
            </w:pPr>
            <w:r w:rsidRPr="00754D65">
              <w:rPr>
                <w:rFonts w:ascii="Arial" w:hAnsi="Arial" w:hint="cs"/>
                <w:b/>
                <w:bCs/>
                <w:sz w:val="26"/>
                <w:szCs w:val="26"/>
                <w:rtl/>
              </w:rPr>
              <w:t>נגד</w:t>
            </w:r>
          </w:p>
          <w:p w14:paraId="3983FDD2" w14:textId="77777777" w:rsidR="0026539A" w:rsidRPr="00754D65" w:rsidRDefault="0026539A">
            <w:pPr>
              <w:jc w:val="center"/>
              <w:rPr>
                <w:rFonts w:ascii="Arial" w:hAnsi="Arial"/>
                <w:b/>
                <w:bCs/>
                <w:sz w:val="26"/>
                <w:szCs w:val="26"/>
              </w:rPr>
            </w:pPr>
          </w:p>
        </w:tc>
      </w:tr>
      <w:tr w:rsidR="0026539A" w:rsidRPr="00754D65" w14:paraId="693EBC2F" w14:textId="77777777">
        <w:tc>
          <w:tcPr>
            <w:tcW w:w="2880" w:type="dxa"/>
            <w:shd w:val="clear" w:color="auto" w:fill="auto"/>
          </w:tcPr>
          <w:p w14:paraId="68443AE1" w14:textId="77777777" w:rsidR="0026539A" w:rsidRPr="00754D65" w:rsidRDefault="00754D65">
            <w:pPr>
              <w:ind w:left="26"/>
              <w:rPr>
                <w:b/>
                <w:bCs/>
                <w:sz w:val="26"/>
                <w:szCs w:val="26"/>
              </w:rPr>
            </w:pPr>
            <w:r w:rsidRPr="00754D65">
              <w:rPr>
                <w:rFonts w:hint="cs"/>
                <w:b/>
                <w:bCs/>
                <w:sz w:val="26"/>
                <w:szCs w:val="26"/>
                <w:rtl/>
              </w:rPr>
              <w:t>ה</w:t>
            </w:r>
            <w:r w:rsidRPr="00754D65">
              <w:rPr>
                <w:rFonts w:hint="cs"/>
                <w:rtl/>
              </w:rPr>
              <w:t>נאשם</w:t>
            </w:r>
          </w:p>
        </w:tc>
        <w:tc>
          <w:tcPr>
            <w:tcW w:w="5922" w:type="dxa"/>
            <w:gridSpan w:val="2"/>
            <w:shd w:val="clear" w:color="auto" w:fill="auto"/>
          </w:tcPr>
          <w:p w14:paraId="1C93B2CA" w14:textId="77777777" w:rsidR="0026539A" w:rsidRPr="00754D65" w:rsidRDefault="00280C09">
            <w:pPr>
              <w:rPr>
                <w:b/>
                <w:bCs/>
                <w:sz w:val="26"/>
                <w:szCs w:val="26"/>
              </w:rPr>
            </w:pPr>
            <w:r>
              <w:rPr>
                <w:rFonts w:ascii="Times New Roman-Normal-1255" w:hint="cs"/>
                <w:b/>
                <w:bCs/>
                <w:rtl/>
              </w:rPr>
              <w:t xml:space="preserve">אסמאעיל קבהא </w:t>
            </w:r>
            <w:r w:rsidR="00754D65" w:rsidRPr="00754D65">
              <w:rPr>
                <w:rFonts w:ascii="Times New Roman-Normal-1255" w:hint="cs"/>
                <w:b/>
                <w:bCs/>
                <w:rtl/>
              </w:rPr>
              <w:t xml:space="preserve"> ת.ז 317851285</w:t>
            </w:r>
          </w:p>
        </w:tc>
      </w:tr>
    </w:tbl>
    <w:p w14:paraId="26C637E2" w14:textId="77777777" w:rsidR="0024255D" w:rsidRDefault="0024255D">
      <w:pPr>
        <w:spacing w:line="360" w:lineRule="auto"/>
        <w:ind w:left="720" w:hanging="720"/>
        <w:jc w:val="both"/>
        <w:rPr>
          <w:rFonts w:ascii="Arial" w:hAnsi="Arial"/>
          <w:sz w:val="28"/>
          <w:szCs w:val="28"/>
          <w:rtl/>
        </w:rPr>
      </w:pPr>
      <w:bookmarkStart w:id="2" w:name="LawTable"/>
      <w:bookmarkEnd w:id="2"/>
    </w:p>
    <w:p w14:paraId="1D5AA6A8" w14:textId="77777777" w:rsidR="0024255D" w:rsidRPr="0024255D" w:rsidRDefault="0024255D" w:rsidP="0024255D">
      <w:pPr>
        <w:spacing w:after="120" w:line="240" w:lineRule="exact"/>
        <w:ind w:left="283" w:hanging="283"/>
        <w:jc w:val="both"/>
        <w:rPr>
          <w:rFonts w:ascii="FrankRuehl" w:hAnsi="FrankRuehl" w:cs="FrankRuehl"/>
          <w:rtl/>
        </w:rPr>
      </w:pPr>
    </w:p>
    <w:p w14:paraId="39B82E6F" w14:textId="77777777" w:rsidR="0024255D" w:rsidRPr="0024255D" w:rsidRDefault="0024255D" w:rsidP="0024255D">
      <w:pPr>
        <w:spacing w:after="120" w:line="240" w:lineRule="exact"/>
        <w:ind w:left="283" w:hanging="283"/>
        <w:jc w:val="both"/>
        <w:rPr>
          <w:rFonts w:ascii="FrankRuehl" w:hAnsi="FrankRuehl" w:cs="FrankRuehl"/>
          <w:rtl/>
        </w:rPr>
      </w:pPr>
      <w:r w:rsidRPr="0024255D">
        <w:rPr>
          <w:rFonts w:ascii="FrankRuehl" w:hAnsi="FrankRuehl" w:cs="FrankRuehl"/>
          <w:rtl/>
        </w:rPr>
        <w:t xml:space="preserve">חקיקה שאוזכרה: </w:t>
      </w:r>
    </w:p>
    <w:p w14:paraId="69DA2307" w14:textId="77777777" w:rsidR="0024255D" w:rsidRPr="0024255D" w:rsidRDefault="0024255D" w:rsidP="0024255D">
      <w:pPr>
        <w:spacing w:after="120" w:line="240" w:lineRule="exact"/>
        <w:ind w:left="283" w:hanging="283"/>
        <w:jc w:val="both"/>
        <w:rPr>
          <w:rFonts w:ascii="FrankRuehl" w:hAnsi="FrankRuehl" w:cs="FrankRuehl"/>
          <w:rtl/>
        </w:rPr>
      </w:pPr>
      <w:hyperlink r:id="rId6" w:history="1">
        <w:r w:rsidRPr="0024255D">
          <w:rPr>
            <w:rFonts w:ascii="FrankRuehl" w:hAnsi="FrankRuehl" w:cs="FrankRuehl"/>
            <w:color w:val="0000FF"/>
            <w:u w:val="single"/>
            <w:rtl/>
          </w:rPr>
          <w:t>חוק העונשין, תשל"ז-1977</w:t>
        </w:r>
      </w:hyperlink>
      <w:r w:rsidRPr="0024255D">
        <w:rPr>
          <w:rFonts w:ascii="FrankRuehl" w:hAnsi="FrankRuehl" w:cs="FrankRuehl"/>
          <w:rtl/>
        </w:rPr>
        <w:t xml:space="preserve">: סע'  </w:t>
      </w:r>
      <w:hyperlink r:id="rId7" w:history="1">
        <w:r w:rsidRPr="0024255D">
          <w:rPr>
            <w:rFonts w:ascii="FrankRuehl" w:hAnsi="FrankRuehl" w:cs="FrankRuehl"/>
            <w:color w:val="0000FF"/>
            <w:u w:val="single"/>
            <w:rtl/>
          </w:rPr>
          <w:t>25</w:t>
        </w:r>
      </w:hyperlink>
      <w:r w:rsidRPr="0024255D">
        <w:rPr>
          <w:rFonts w:ascii="FrankRuehl" w:hAnsi="FrankRuehl" w:cs="FrankRuehl"/>
          <w:rtl/>
        </w:rPr>
        <w:t xml:space="preserve">, </w:t>
      </w:r>
      <w:hyperlink r:id="rId8" w:history="1">
        <w:r w:rsidRPr="0024255D">
          <w:rPr>
            <w:rFonts w:ascii="FrankRuehl" w:hAnsi="FrankRuehl" w:cs="FrankRuehl"/>
            <w:color w:val="0000FF"/>
            <w:u w:val="single"/>
            <w:rtl/>
          </w:rPr>
          <w:t>40 ב</w:t>
        </w:r>
      </w:hyperlink>
      <w:r w:rsidRPr="0024255D">
        <w:rPr>
          <w:rFonts w:ascii="FrankRuehl" w:hAnsi="FrankRuehl" w:cs="FrankRuehl"/>
          <w:rtl/>
        </w:rPr>
        <w:t xml:space="preserve">, </w:t>
      </w:r>
      <w:hyperlink r:id="rId9" w:history="1">
        <w:r w:rsidRPr="0024255D">
          <w:rPr>
            <w:rFonts w:ascii="FrankRuehl" w:hAnsi="FrankRuehl" w:cs="FrankRuehl"/>
            <w:color w:val="0000FF"/>
            <w:u w:val="single"/>
            <w:rtl/>
          </w:rPr>
          <w:t>40 ג'</w:t>
        </w:r>
      </w:hyperlink>
      <w:r w:rsidRPr="0024255D">
        <w:rPr>
          <w:rFonts w:ascii="FrankRuehl" w:hAnsi="FrankRuehl" w:cs="FrankRuehl"/>
          <w:rtl/>
        </w:rPr>
        <w:t xml:space="preserve">, </w:t>
      </w:r>
      <w:hyperlink r:id="rId10" w:history="1">
        <w:r w:rsidRPr="0024255D">
          <w:rPr>
            <w:rFonts w:ascii="FrankRuehl" w:hAnsi="FrankRuehl" w:cs="FrankRuehl"/>
            <w:color w:val="0000FF"/>
            <w:u w:val="single"/>
            <w:rtl/>
          </w:rPr>
          <w:t>40 ט'</w:t>
        </w:r>
      </w:hyperlink>
      <w:r w:rsidRPr="0024255D">
        <w:rPr>
          <w:rFonts w:ascii="FrankRuehl" w:hAnsi="FrankRuehl" w:cs="FrankRuehl"/>
          <w:rtl/>
        </w:rPr>
        <w:t xml:space="preserve">, </w:t>
      </w:r>
      <w:hyperlink r:id="rId11" w:history="1">
        <w:r w:rsidRPr="0024255D">
          <w:rPr>
            <w:rFonts w:ascii="FrankRuehl" w:hAnsi="FrankRuehl" w:cs="FrankRuehl"/>
            <w:color w:val="0000FF"/>
            <w:u w:val="single"/>
            <w:rtl/>
          </w:rPr>
          <w:t>144</w:t>
        </w:r>
      </w:hyperlink>
      <w:r w:rsidRPr="0024255D">
        <w:rPr>
          <w:rFonts w:ascii="FrankRuehl" w:hAnsi="FrankRuehl" w:cs="FrankRuehl"/>
          <w:rtl/>
        </w:rPr>
        <w:t xml:space="preserve">, </w:t>
      </w:r>
      <w:hyperlink r:id="rId12" w:history="1">
        <w:r w:rsidRPr="0024255D">
          <w:rPr>
            <w:rFonts w:ascii="FrankRuehl" w:hAnsi="FrankRuehl" w:cs="FrankRuehl"/>
            <w:color w:val="0000FF"/>
            <w:u w:val="single"/>
            <w:rtl/>
          </w:rPr>
          <w:t>144 (א)</w:t>
        </w:r>
      </w:hyperlink>
      <w:r w:rsidRPr="0024255D">
        <w:rPr>
          <w:rFonts w:ascii="FrankRuehl" w:hAnsi="FrankRuehl" w:cs="FrankRuehl"/>
          <w:rtl/>
        </w:rPr>
        <w:t xml:space="preserve">, </w:t>
      </w:r>
      <w:hyperlink r:id="rId13" w:history="1">
        <w:r w:rsidRPr="0024255D">
          <w:rPr>
            <w:rFonts w:ascii="FrankRuehl" w:hAnsi="FrankRuehl" w:cs="FrankRuehl"/>
            <w:color w:val="0000FF"/>
            <w:u w:val="single"/>
            <w:rtl/>
          </w:rPr>
          <w:t>-(ב)</w:t>
        </w:r>
      </w:hyperlink>
      <w:r w:rsidRPr="0024255D">
        <w:rPr>
          <w:rFonts w:ascii="FrankRuehl" w:hAnsi="FrankRuehl" w:cs="FrankRuehl"/>
          <w:rtl/>
        </w:rPr>
        <w:t xml:space="preserve">, </w:t>
      </w:r>
      <w:hyperlink r:id="rId14" w:history="1">
        <w:r w:rsidRPr="0024255D">
          <w:rPr>
            <w:rFonts w:ascii="FrankRuehl" w:hAnsi="FrankRuehl" w:cs="FrankRuehl"/>
            <w:color w:val="0000FF"/>
            <w:u w:val="single"/>
            <w:rtl/>
          </w:rPr>
          <w:t>340 א</w:t>
        </w:r>
      </w:hyperlink>
      <w:r w:rsidRPr="0024255D">
        <w:rPr>
          <w:rFonts w:ascii="FrankRuehl" w:hAnsi="FrankRuehl" w:cs="FrankRuehl"/>
          <w:rtl/>
        </w:rPr>
        <w:t xml:space="preserve">, </w:t>
      </w:r>
      <w:hyperlink r:id="rId15" w:history="1">
        <w:r w:rsidRPr="0024255D">
          <w:rPr>
            <w:rFonts w:ascii="FrankRuehl" w:hAnsi="FrankRuehl" w:cs="FrankRuehl"/>
            <w:color w:val="0000FF"/>
            <w:u w:val="single"/>
            <w:rtl/>
          </w:rPr>
          <w:t>40יג (ב)</w:t>
        </w:r>
      </w:hyperlink>
      <w:r w:rsidRPr="0024255D">
        <w:rPr>
          <w:rFonts w:ascii="FrankRuehl" w:hAnsi="FrankRuehl" w:cs="FrankRuehl"/>
          <w:rtl/>
        </w:rPr>
        <w:t xml:space="preserve">, </w:t>
      </w:r>
      <w:hyperlink r:id="rId16" w:history="1">
        <w:r w:rsidRPr="0024255D">
          <w:rPr>
            <w:rFonts w:ascii="FrankRuehl" w:hAnsi="FrankRuehl" w:cs="FrankRuehl"/>
            <w:color w:val="0000FF"/>
            <w:u w:val="single"/>
            <w:rtl/>
          </w:rPr>
          <w:t>413 ה</w:t>
        </w:r>
      </w:hyperlink>
      <w:r w:rsidRPr="0024255D">
        <w:rPr>
          <w:rFonts w:ascii="FrankRuehl" w:hAnsi="FrankRuehl" w:cs="FrankRuehl"/>
          <w:rtl/>
        </w:rPr>
        <w:t xml:space="preserve">, </w:t>
      </w:r>
      <w:hyperlink r:id="rId17" w:history="1">
        <w:r w:rsidRPr="0024255D">
          <w:rPr>
            <w:rFonts w:ascii="FrankRuehl" w:hAnsi="FrankRuehl" w:cs="FrankRuehl"/>
            <w:color w:val="0000FF"/>
            <w:u w:val="single"/>
            <w:rtl/>
          </w:rPr>
          <w:t>452</w:t>
        </w:r>
      </w:hyperlink>
    </w:p>
    <w:p w14:paraId="707EA10D" w14:textId="77777777" w:rsidR="0024255D" w:rsidRPr="0024255D" w:rsidRDefault="0024255D" w:rsidP="0024255D">
      <w:pPr>
        <w:spacing w:after="120" w:line="240" w:lineRule="exact"/>
        <w:ind w:left="283" w:hanging="283"/>
        <w:jc w:val="both"/>
        <w:rPr>
          <w:rFonts w:ascii="FrankRuehl" w:hAnsi="FrankRuehl" w:cs="FrankRuehl"/>
          <w:rtl/>
        </w:rPr>
      </w:pPr>
      <w:hyperlink r:id="rId18" w:history="1">
        <w:r w:rsidRPr="0024255D">
          <w:rPr>
            <w:rFonts w:ascii="FrankRuehl" w:hAnsi="FrankRuehl" w:cs="FrankRuehl"/>
            <w:color w:val="0000FF"/>
            <w:u w:val="single"/>
            <w:rtl/>
          </w:rPr>
          <w:t>פקודת התעבורה [נוסח חדש]</w:t>
        </w:r>
      </w:hyperlink>
      <w:r w:rsidRPr="0024255D">
        <w:rPr>
          <w:rFonts w:ascii="FrankRuehl" w:hAnsi="FrankRuehl" w:cs="FrankRuehl"/>
          <w:rtl/>
        </w:rPr>
        <w:t xml:space="preserve">: סע'  </w:t>
      </w:r>
      <w:hyperlink r:id="rId19" w:history="1">
        <w:r w:rsidRPr="0024255D">
          <w:rPr>
            <w:rFonts w:ascii="FrankRuehl" w:hAnsi="FrankRuehl" w:cs="FrankRuehl"/>
            <w:color w:val="0000FF"/>
            <w:u w:val="single"/>
            <w:rtl/>
          </w:rPr>
          <w:t>10(א)</w:t>
        </w:r>
      </w:hyperlink>
      <w:r w:rsidRPr="0024255D">
        <w:rPr>
          <w:rFonts w:ascii="FrankRuehl" w:hAnsi="FrankRuehl" w:cs="FrankRuehl"/>
          <w:rtl/>
        </w:rPr>
        <w:t xml:space="preserve">, </w:t>
      </w:r>
      <w:hyperlink r:id="rId20" w:history="1">
        <w:r w:rsidRPr="0024255D">
          <w:rPr>
            <w:rFonts w:ascii="FrankRuehl" w:hAnsi="FrankRuehl" w:cs="FrankRuehl"/>
            <w:color w:val="0000FF"/>
            <w:u w:val="single"/>
            <w:rtl/>
          </w:rPr>
          <w:t>38</w:t>
        </w:r>
      </w:hyperlink>
      <w:r w:rsidRPr="0024255D">
        <w:rPr>
          <w:rFonts w:ascii="FrankRuehl" w:hAnsi="FrankRuehl" w:cs="FrankRuehl"/>
          <w:rtl/>
        </w:rPr>
        <w:t xml:space="preserve">, </w:t>
      </w:r>
      <w:hyperlink r:id="rId21" w:history="1">
        <w:r w:rsidRPr="0024255D">
          <w:rPr>
            <w:rFonts w:ascii="FrankRuehl" w:hAnsi="FrankRuehl" w:cs="FrankRuehl"/>
            <w:color w:val="0000FF"/>
            <w:u w:val="single"/>
            <w:rtl/>
          </w:rPr>
          <w:t>62(1)</w:t>
        </w:r>
      </w:hyperlink>
      <w:r w:rsidRPr="0024255D">
        <w:rPr>
          <w:rFonts w:ascii="FrankRuehl" w:hAnsi="FrankRuehl" w:cs="FrankRuehl"/>
          <w:rtl/>
        </w:rPr>
        <w:t xml:space="preserve">, </w:t>
      </w:r>
      <w:hyperlink r:id="rId22" w:history="1">
        <w:r w:rsidRPr="0024255D">
          <w:rPr>
            <w:rFonts w:ascii="FrankRuehl" w:hAnsi="FrankRuehl" w:cs="FrankRuehl"/>
            <w:color w:val="0000FF"/>
            <w:u w:val="single"/>
            <w:rtl/>
          </w:rPr>
          <w:t>67</w:t>
        </w:r>
      </w:hyperlink>
    </w:p>
    <w:p w14:paraId="44F563F0" w14:textId="77777777" w:rsidR="0024255D" w:rsidRPr="0024255D" w:rsidRDefault="0024255D" w:rsidP="0024255D">
      <w:pPr>
        <w:spacing w:after="120" w:line="240" w:lineRule="exact"/>
        <w:ind w:left="283" w:hanging="283"/>
        <w:jc w:val="both"/>
        <w:rPr>
          <w:rFonts w:ascii="FrankRuehl" w:hAnsi="FrankRuehl" w:cs="FrankRuehl"/>
          <w:rtl/>
        </w:rPr>
      </w:pPr>
      <w:hyperlink r:id="rId23" w:history="1">
        <w:r w:rsidRPr="0024255D">
          <w:rPr>
            <w:rFonts w:ascii="FrankRuehl" w:hAnsi="FrankRuehl" w:cs="FrankRuehl"/>
            <w:color w:val="0000FF"/>
            <w:u w:val="single"/>
            <w:rtl/>
          </w:rPr>
          <w:t>פקודת ביטוח רכב מנועי [נוסח חדש], תש"ל-1970</w:t>
        </w:r>
      </w:hyperlink>
      <w:r w:rsidRPr="0024255D">
        <w:rPr>
          <w:rFonts w:ascii="FrankRuehl" w:hAnsi="FrankRuehl" w:cs="FrankRuehl"/>
          <w:rtl/>
        </w:rPr>
        <w:t xml:space="preserve">: סע'  </w:t>
      </w:r>
      <w:hyperlink r:id="rId24" w:history="1">
        <w:r w:rsidRPr="0024255D">
          <w:rPr>
            <w:rFonts w:ascii="FrankRuehl" w:hAnsi="FrankRuehl" w:cs="FrankRuehl"/>
            <w:color w:val="0000FF"/>
            <w:u w:val="single"/>
            <w:rtl/>
          </w:rPr>
          <w:t>2</w:t>
        </w:r>
      </w:hyperlink>
    </w:p>
    <w:p w14:paraId="1507BD8A" w14:textId="77777777" w:rsidR="0024255D" w:rsidRPr="0024255D" w:rsidRDefault="0024255D" w:rsidP="0024255D">
      <w:pPr>
        <w:spacing w:after="120" w:line="240" w:lineRule="exact"/>
        <w:ind w:left="283" w:hanging="283"/>
        <w:jc w:val="both"/>
        <w:rPr>
          <w:rFonts w:ascii="FrankRuehl" w:hAnsi="FrankRuehl" w:cs="FrankRuehl"/>
          <w:rtl/>
        </w:rPr>
      </w:pPr>
    </w:p>
    <w:p w14:paraId="64FF1852" w14:textId="77777777" w:rsidR="0024255D" w:rsidRPr="0024255D" w:rsidRDefault="0024255D">
      <w:pPr>
        <w:spacing w:line="360" w:lineRule="auto"/>
        <w:ind w:left="720" w:hanging="720"/>
        <w:jc w:val="both"/>
        <w:rPr>
          <w:rFonts w:ascii="Arial" w:hAnsi="Arial"/>
          <w:sz w:val="28"/>
          <w:szCs w:val="28"/>
          <w:rtl/>
        </w:rPr>
      </w:pPr>
      <w:bookmarkStart w:id="3" w:name="LawTable_End"/>
      <w:bookmarkEnd w:id="3"/>
    </w:p>
    <w:p w14:paraId="2954DCAE" w14:textId="77777777" w:rsidR="0026539A" w:rsidRPr="00754D65" w:rsidRDefault="0026539A">
      <w:pPr>
        <w:spacing w:line="360" w:lineRule="auto"/>
        <w:ind w:left="720" w:hanging="720"/>
        <w:jc w:val="both"/>
        <w:rPr>
          <w:rFonts w:ascii="Arial" w:hAnsi="Aria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539A" w14:paraId="304AB096" w14:textId="77777777">
        <w:trPr>
          <w:trHeight w:val="355"/>
          <w:jc w:val="center"/>
        </w:trPr>
        <w:tc>
          <w:tcPr>
            <w:tcW w:w="8820" w:type="dxa"/>
            <w:tcBorders>
              <w:top w:val="nil"/>
              <w:left w:val="nil"/>
              <w:bottom w:val="nil"/>
              <w:right w:val="nil"/>
            </w:tcBorders>
            <w:shd w:val="clear" w:color="auto" w:fill="auto"/>
          </w:tcPr>
          <w:p w14:paraId="37A2BF5A" w14:textId="77777777" w:rsidR="00754D65" w:rsidRPr="00754D65" w:rsidRDefault="00754D65" w:rsidP="00754D65">
            <w:pPr>
              <w:jc w:val="center"/>
              <w:rPr>
                <w:rFonts w:ascii="Arial" w:hAnsi="Arial" w:cs="FrankRuehl"/>
                <w:b/>
                <w:bCs/>
                <w:sz w:val="32"/>
                <w:szCs w:val="32"/>
                <w:u w:val="single"/>
                <w:rtl/>
              </w:rPr>
            </w:pPr>
            <w:bookmarkStart w:id="4" w:name="PsakDin" w:colFirst="0" w:colLast="0"/>
            <w:bookmarkEnd w:id="0"/>
            <w:r w:rsidRPr="00754D65">
              <w:rPr>
                <w:rFonts w:ascii="Arial" w:hAnsi="Arial" w:cs="FrankRuehl"/>
                <w:b/>
                <w:bCs/>
                <w:sz w:val="32"/>
                <w:szCs w:val="32"/>
                <w:u w:val="single"/>
                <w:rtl/>
              </w:rPr>
              <w:t>גזר דין</w:t>
            </w:r>
          </w:p>
          <w:p w14:paraId="7993A5C0" w14:textId="77777777" w:rsidR="0026539A" w:rsidRPr="00754D65" w:rsidRDefault="0026539A" w:rsidP="00754D65">
            <w:pPr>
              <w:jc w:val="center"/>
              <w:rPr>
                <w:rFonts w:ascii="Arial" w:hAnsi="Arial" w:cs="FrankRuehl"/>
                <w:bCs/>
                <w:sz w:val="32"/>
                <w:szCs w:val="32"/>
                <w:u w:val="single"/>
                <w:rtl/>
              </w:rPr>
            </w:pPr>
          </w:p>
        </w:tc>
      </w:tr>
    </w:tbl>
    <w:bookmarkEnd w:id="4"/>
    <w:p w14:paraId="3C652B75" w14:textId="77777777" w:rsidR="0026539A" w:rsidRDefault="00754D65">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t>מבוא</w:t>
      </w:r>
    </w:p>
    <w:p w14:paraId="1040ED7D" w14:textId="77777777" w:rsidR="0026539A" w:rsidRDefault="00754D65">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הנאשם הודה בתיק זה בעובדות כתב האישום שתוקן, במסגרת הסדר טיעון בין הצדדים, אשר לא כלל הסדר לעניין העונש והורשע בביצוע העבירות הבאות:</w:t>
      </w:r>
      <w:r>
        <w:rPr>
          <w:rFonts w:ascii="Arial" w:hAnsi="Arial" w:hint="cs"/>
          <w:rtl/>
        </w:rPr>
        <w:tab/>
      </w:r>
    </w:p>
    <w:p w14:paraId="25E3A0EA" w14:textId="77777777" w:rsidR="0026539A" w:rsidRDefault="00754D65">
      <w:pPr>
        <w:spacing w:line="360" w:lineRule="auto"/>
        <w:ind w:left="720"/>
        <w:jc w:val="both"/>
        <w:rPr>
          <w:rFonts w:ascii="Arial" w:hAnsi="Arial"/>
          <w:rtl/>
        </w:rPr>
      </w:pPr>
      <w:r>
        <w:rPr>
          <w:rFonts w:ascii="Arial" w:hAnsi="Arial" w:hint="cs"/>
          <w:rtl/>
        </w:rPr>
        <w:t xml:space="preserve">עבירות בנשק (החזקה ונשיאה), עבירה לפי </w:t>
      </w:r>
      <w:hyperlink r:id="rId25" w:history="1">
        <w:r w:rsidR="00280C09" w:rsidRPr="00280C09">
          <w:rPr>
            <w:rStyle w:val="Hyperlink"/>
            <w:rFonts w:ascii="Arial" w:hAnsi="Arial" w:hint="eastAsia"/>
            <w:rtl/>
          </w:rPr>
          <w:t>סעיפים</w:t>
        </w:r>
        <w:r w:rsidR="00280C09" w:rsidRPr="00280C09">
          <w:rPr>
            <w:rStyle w:val="Hyperlink"/>
            <w:rFonts w:ascii="Arial" w:hAnsi="Arial"/>
            <w:rtl/>
          </w:rPr>
          <w:t xml:space="preserve"> 144 (א)</w:t>
        </w:r>
      </w:hyperlink>
      <w:r>
        <w:rPr>
          <w:rFonts w:ascii="Arial" w:hAnsi="Arial" w:hint="cs"/>
          <w:rtl/>
        </w:rPr>
        <w:t xml:space="preserve"> ו</w:t>
      </w:r>
      <w:hyperlink r:id="rId26" w:history="1">
        <w:r w:rsidR="00280C09" w:rsidRPr="00280C09">
          <w:rPr>
            <w:rStyle w:val="Hyperlink"/>
            <w:rFonts w:ascii="Arial" w:hAnsi="Arial"/>
            <w:rtl/>
          </w:rPr>
          <w:t>-(ב)</w:t>
        </w:r>
      </w:hyperlink>
      <w:r>
        <w:rPr>
          <w:rFonts w:ascii="Arial" w:hAnsi="Arial" w:hint="cs"/>
          <w:rtl/>
        </w:rPr>
        <w:t xml:space="preserve"> ל</w:t>
      </w:r>
      <w:hyperlink r:id="rId27" w:history="1">
        <w:r w:rsidRPr="00754D65">
          <w:rPr>
            <w:rFonts w:ascii="Arial" w:hAnsi="Arial"/>
            <w:color w:val="0000FF"/>
            <w:u w:val="single"/>
            <w:rtl/>
          </w:rPr>
          <w:t>חוק העונשין</w:t>
        </w:r>
      </w:hyperlink>
      <w:r>
        <w:rPr>
          <w:rFonts w:ascii="Arial" w:hAnsi="Arial" w:hint="cs"/>
          <w:rtl/>
        </w:rPr>
        <w:t xml:space="preserve">, התשל"ז – 1977 (להלן: "חוק העונשין"), עבירה של ירי באזור מגורים, עבירה לפי </w:t>
      </w:r>
      <w:hyperlink r:id="rId28" w:history="1">
        <w:r w:rsidR="00280C09" w:rsidRPr="00280C09">
          <w:rPr>
            <w:rStyle w:val="Hyperlink"/>
            <w:rFonts w:ascii="Arial" w:hAnsi="Arial" w:hint="eastAsia"/>
            <w:rtl/>
          </w:rPr>
          <w:t>סעיף</w:t>
        </w:r>
        <w:r w:rsidR="00280C09" w:rsidRPr="00280C09">
          <w:rPr>
            <w:rStyle w:val="Hyperlink"/>
            <w:rFonts w:ascii="Arial" w:hAnsi="Arial"/>
            <w:rtl/>
          </w:rPr>
          <w:t xml:space="preserve"> 340 א</w:t>
        </w:r>
      </w:hyperlink>
      <w:r>
        <w:rPr>
          <w:rFonts w:ascii="Arial" w:hAnsi="Arial" w:hint="cs"/>
          <w:rtl/>
        </w:rPr>
        <w:t xml:space="preserve"> לחוק העונשין, עבירה של היזק בזדון, עבירה לפי </w:t>
      </w:r>
      <w:hyperlink r:id="rId29" w:history="1">
        <w:r w:rsidR="00280C09" w:rsidRPr="00280C09">
          <w:rPr>
            <w:rStyle w:val="Hyperlink"/>
            <w:rFonts w:ascii="Arial" w:hAnsi="Arial" w:hint="eastAsia"/>
            <w:rtl/>
          </w:rPr>
          <w:t>סעיף</w:t>
        </w:r>
        <w:r w:rsidR="00280C09" w:rsidRPr="00280C09">
          <w:rPr>
            <w:rStyle w:val="Hyperlink"/>
            <w:rFonts w:ascii="Arial" w:hAnsi="Arial"/>
            <w:rtl/>
          </w:rPr>
          <w:t xml:space="preserve"> 452</w:t>
        </w:r>
      </w:hyperlink>
      <w:r>
        <w:rPr>
          <w:rFonts w:ascii="Arial" w:hAnsi="Arial" w:hint="cs"/>
          <w:rtl/>
        </w:rPr>
        <w:t xml:space="preserve"> לחוק העונשין, עבירה של ניסיון לחבלה במזיד, עבירה לפי </w:t>
      </w:r>
      <w:hyperlink r:id="rId30" w:history="1">
        <w:r w:rsidR="00280C09" w:rsidRPr="00280C09">
          <w:rPr>
            <w:rStyle w:val="Hyperlink"/>
            <w:rFonts w:ascii="Arial" w:hAnsi="Arial" w:hint="eastAsia"/>
            <w:rtl/>
          </w:rPr>
          <w:t>סעיפים</w:t>
        </w:r>
        <w:r w:rsidR="00280C09" w:rsidRPr="00280C09">
          <w:rPr>
            <w:rStyle w:val="Hyperlink"/>
            <w:rFonts w:ascii="Arial" w:hAnsi="Arial"/>
            <w:rtl/>
          </w:rPr>
          <w:t xml:space="preserve"> 413 ה</w:t>
        </w:r>
      </w:hyperlink>
      <w:r>
        <w:rPr>
          <w:rFonts w:ascii="Arial" w:hAnsi="Arial" w:hint="cs"/>
          <w:rtl/>
        </w:rPr>
        <w:t xml:space="preserve"> ו- </w:t>
      </w:r>
      <w:hyperlink r:id="rId31" w:history="1">
        <w:r w:rsidR="00280C09" w:rsidRPr="00280C09">
          <w:rPr>
            <w:rStyle w:val="Hyperlink"/>
            <w:rFonts w:ascii="Arial" w:hAnsi="Arial"/>
            <w:rtl/>
          </w:rPr>
          <w:t>25</w:t>
        </w:r>
      </w:hyperlink>
      <w:r>
        <w:rPr>
          <w:rFonts w:ascii="Arial" w:hAnsi="Arial" w:hint="cs"/>
          <w:rtl/>
        </w:rPr>
        <w:t xml:space="preserve"> לחוק העונשין, עבירה של נהיגה ללא רישיון נהיגה, עבירה לפי </w:t>
      </w:r>
      <w:hyperlink r:id="rId32" w:history="1">
        <w:r w:rsidR="00280C09" w:rsidRPr="00280C09">
          <w:rPr>
            <w:rStyle w:val="Hyperlink"/>
            <w:rFonts w:ascii="Arial" w:hAnsi="Arial" w:hint="eastAsia"/>
            <w:rtl/>
          </w:rPr>
          <w:t>סעיפים</w:t>
        </w:r>
        <w:r w:rsidR="00280C09" w:rsidRPr="00280C09">
          <w:rPr>
            <w:rStyle w:val="Hyperlink"/>
            <w:rFonts w:ascii="Arial" w:hAnsi="Arial"/>
            <w:rtl/>
          </w:rPr>
          <w:t xml:space="preserve"> 10(א)</w:t>
        </w:r>
      </w:hyperlink>
      <w:r>
        <w:rPr>
          <w:rFonts w:ascii="Arial" w:hAnsi="Arial" w:hint="cs"/>
          <w:rtl/>
        </w:rPr>
        <w:t xml:space="preserve"> ו- </w:t>
      </w:r>
      <w:hyperlink r:id="rId33" w:history="1">
        <w:r w:rsidR="00280C09" w:rsidRPr="00280C09">
          <w:rPr>
            <w:rStyle w:val="Hyperlink"/>
            <w:rFonts w:ascii="Arial" w:hAnsi="Arial"/>
            <w:rtl/>
          </w:rPr>
          <w:t>62(1)</w:t>
        </w:r>
      </w:hyperlink>
      <w:r>
        <w:rPr>
          <w:rFonts w:ascii="Arial" w:hAnsi="Arial" w:hint="cs"/>
          <w:rtl/>
        </w:rPr>
        <w:t xml:space="preserve"> ל</w:t>
      </w:r>
      <w:hyperlink r:id="rId34" w:history="1">
        <w:r w:rsidRPr="00754D65">
          <w:rPr>
            <w:rFonts w:ascii="Arial" w:hAnsi="Arial"/>
            <w:color w:val="0000FF"/>
            <w:u w:val="single"/>
            <w:rtl/>
          </w:rPr>
          <w:t>פקודת התעבורה</w:t>
        </w:r>
      </w:hyperlink>
      <w:r>
        <w:rPr>
          <w:rFonts w:ascii="Arial" w:hAnsi="Arial" w:hint="cs"/>
          <w:rtl/>
        </w:rPr>
        <w:t xml:space="preserve"> [נוסח חדש], התשכ"א – 1961 ועבירה של נהיגה ללא פוליסה, עבירה לפי </w:t>
      </w:r>
      <w:hyperlink r:id="rId35" w:history="1">
        <w:r w:rsidR="00280C09" w:rsidRPr="00280C09">
          <w:rPr>
            <w:rStyle w:val="Hyperlink"/>
            <w:rFonts w:ascii="Arial" w:hAnsi="Arial" w:hint="eastAsia"/>
            <w:rtl/>
          </w:rPr>
          <w:t>סעיף</w:t>
        </w:r>
        <w:r w:rsidR="00280C09" w:rsidRPr="00280C09">
          <w:rPr>
            <w:rStyle w:val="Hyperlink"/>
            <w:rFonts w:ascii="Arial" w:hAnsi="Arial"/>
            <w:rtl/>
          </w:rPr>
          <w:t xml:space="preserve"> 2</w:t>
        </w:r>
      </w:hyperlink>
      <w:r>
        <w:rPr>
          <w:rFonts w:ascii="Arial" w:hAnsi="Arial" w:hint="cs"/>
          <w:rtl/>
        </w:rPr>
        <w:t xml:space="preserve"> ל</w:t>
      </w:r>
      <w:hyperlink r:id="rId36" w:history="1">
        <w:r w:rsidRPr="00754D65">
          <w:rPr>
            <w:rFonts w:ascii="Arial" w:hAnsi="Arial"/>
            <w:color w:val="0000FF"/>
            <w:u w:val="single"/>
            <w:rtl/>
          </w:rPr>
          <w:t>פקודת ביטוח רכב מנועי</w:t>
        </w:r>
      </w:hyperlink>
      <w:r>
        <w:rPr>
          <w:rFonts w:ascii="Arial" w:hAnsi="Arial" w:hint="cs"/>
          <w:rtl/>
        </w:rPr>
        <w:t>[נוסח חדש], התש"ל-1970.</w:t>
      </w:r>
    </w:p>
    <w:p w14:paraId="28A0F5F2" w14:textId="77777777" w:rsidR="0026539A" w:rsidRDefault="0026539A">
      <w:pPr>
        <w:spacing w:line="360" w:lineRule="auto"/>
        <w:jc w:val="both"/>
        <w:rPr>
          <w:rFonts w:ascii="Arial" w:hAnsi="Arial"/>
          <w:rtl/>
        </w:rPr>
      </w:pPr>
      <w:bookmarkStart w:id="6" w:name="ABSTRACT_END"/>
      <w:bookmarkEnd w:id="6"/>
    </w:p>
    <w:p w14:paraId="4207FC96" w14:textId="77777777" w:rsidR="0026539A" w:rsidRDefault="00754D65">
      <w:pPr>
        <w:spacing w:line="360" w:lineRule="auto"/>
        <w:ind w:left="720" w:hanging="720"/>
        <w:jc w:val="both"/>
        <w:rPr>
          <w:rFonts w:ascii="Arial" w:hAnsi="Arial"/>
          <w:rtl/>
        </w:rPr>
      </w:pPr>
      <w:r>
        <w:rPr>
          <w:rFonts w:ascii="Arial" w:hAnsi="Arial" w:hint="cs"/>
          <w:rtl/>
        </w:rPr>
        <w:t>2.</w:t>
      </w:r>
      <w:r>
        <w:rPr>
          <w:rFonts w:ascii="Arial" w:hAnsi="Arial" w:hint="cs"/>
          <w:rtl/>
        </w:rPr>
        <w:tab/>
      </w:r>
      <w:r>
        <w:rPr>
          <w:rFonts w:hint="cs"/>
          <w:rtl/>
        </w:rPr>
        <w:t>לאחר מתן הכרעת הדין, שניתנה ביום 15.4.15, נדחה המשך הדיון  בפניי לצורך הגשת תסקיר שירות המבחן בעניינו של הנאשם  ולטיעונים לעונש. כעת, לאחר שהוגש התסקיר הנ"ל וב"כ הצדדים העלו את טיעוניהם לעונש בפניי,  כל שנותר הוא לגזור את דינו של הנאשם</w:t>
      </w:r>
      <w:r>
        <w:rPr>
          <w:rFonts w:ascii="Arial" w:hAnsi="Arial" w:hint="cs"/>
          <w:rtl/>
        </w:rPr>
        <w:t>.</w:t>
      </w:r>
    </w:p>
    <w:p w14:paraId="4771DEC2" w14:textId="77777777" w:rsidR="0026539A" w:rsidRDefault="0026539A">
      <w:pPr>
        <w:spacing w:line="360" w:lineRule="auto"/>
        <w:ind w:left="720" w:hanging="720"/>
        <w:jc w:val="both"/>
        <w:rPr>
          <w:rFonts w:ascii="Arial" w:hAnsi="Arial"/>
          <w:rtl/>
        </w:rPr>
      </w:pPr>
    </w:p>
    <w:p w14:paraId="767B9143" w14:textId="77777777" w:rsidR="0026539A" w:rsidRDefault="00754D65">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lastRenderedPageBreak/>
        <w:t>כתב האישום המתוקן</w:t>
      </w:r>
    </w:p>
    <w:p w14:paraId="7D80C0E8" w14:textId="77777777" w:rsidR="0026539A" w:rsidRDefault="00754D65">
      <w:pPr>
        <w:spacing w:line="360" w:lineRule="auto"/>
        <w:ind w:left="720" w:hanging="720"/>
        <w:jc w:val="both"/>
        <w:rPr>
          <w:rFonts w:ascii="Arial" w:hAnsi="Arial"/>
          <w:rtl/>
        </w:rPr>
      </w:pPr>
      <w:r>
        <w:rPr>
          <w:rFonts w:ascii="Arial" w:hAnsi="Arial" w:hint="cs"/>
          <w:rtl/>
        </w:rPr>
        <w:t>3.</w:t>
      </w:r>
      <w:r>
        <w:rPr>
          <w:rFonts w:ascii="Arial" w:hAnsi="Arial" w:hint="cs"/>
          <w:rtl/>
        </w:rPr>
        <w:tab/>
        <w:t>בכתב האישום המתוקן נטען, כדלקמן:</w:t>
      </w:r>
    </w:p>
    <w:p w14:paraId="4F757100" w14:textId="77777777" w:rsidR="0026539A" w:rsidRDefault="00754D65">
      <w:pPr>
        <w:spacing w:line="360" w:lineRule="auto"/>
        <w:ind w:left="720" w:hanging="720"/>
        <w:jc w:val="both"/>
        <w:rPr>
          <w:rFonts w:ascii="Arial" w:hAnsi="Arial"/>
          <w:b/>
          <w:bCs/>
          <w:u w:val="single"/>
          <w:rtl/>
        </w:rPr>
      </w:pPr>
      <w:r>
        <w:rPr>
          <w:rFonts w:ascii="Arial" w:hAnsi="Arial" w:hint="cs"/>
          <w:rtl/>
        </w:rPr>
        <w:tab/>
        <w:t>מרלין זחאלקה (להלן:"מרלין") היא גיסתו של נידאל זחאלקה (להלן:"המתלונן").הנאשם ומרלין הם בני דודים וביניהם קשרי חברות. המתלונן, בת זוגו יסמין וילדיהם הקטינים מתגוררים בבית קרקע בן שתי קומות בכפר ערערה (להלן:"הבית"). הנאשם עוין את המתלונן ואשתו מסיבות שונות, בין היתר על רקע חשדו שהמתלונן  מתבטא כלפי מרלין באופן שיש בו כדי לפגוע בכבודה. במועד שאינו ידוע למאשימה, במהלך חודש דצמבר 2014, נפגשו הנאשם ומרלין בכפר ברטעה והנאשם סיפר למרלין על כוונתו לבצע ירי מנשק חם על הבית ועל הרכב של המתלונן ומרלין הביעה הסכמתה לתוכנית זו. בהמשך, התכתב הנאשם, באמצעות תוכנת מסרים, עם מרלין, אשר פנתה אליו בדברי שכנוע, עידוד, הפצרה ודרישה כי יממש את הירי. ביום 1.1.15 בשעה 12:00 או סמוך לכך, הגיע הנאשם אל הבית כשהוא נוהג, ללא רישיון לנהיגת רכב מנועי וללא פוליסת ביטוח בתוקף, בקטנוע אותו שאל מחבר. בהגיעו למקום, הוציא הנאשם מתא המטען של הקטנוע נשק, שסוגל לירות כדור שבכוחו להמית אדם וכן תחמושת לנשק, בהם הצטייד מספר ימים קודם לכן ושאותם החזיק ללא רישיון על פי דין. הנאשם נטל את הנשק שהיה טעון בכדורים וניגש אל שער חצר הבית. הנאשם ניסה לפתוח את שער חצר הבית  על מנת לבצע ירי לעבר רכבו של המתלונן אשר חנה בחניית הבית. לאחר שהדבר לא עלה בידו, דרך הנאשם את הנשק וביצע ירי לעבר חזית הבית, בו שהו אותה שעה המתלונן ובני משפחתו. כתוצאה מהירי, נשבר חלון בקומה השנייה של  הבית ונגרם לבית נזק המוערך בכ – 18,000 ₪. לאחר שירה לעבר הבית, כמפורט לעיל, ניסה הנאשם לירות פעמים נוספות לעבר הבית, אולם תקלה בנשק מנעה זאת ממנו והוא נמלט מהמקום כשהוא נוהג בקטנוע.</w:t>
      </w:r>
    </w:p>
    <w:p w14:paraId="677CFC6B" w14:textId="77777777" w:rsidR="0026539A" w:rsidRDefault="0026539A">
      <w:pPr>
        <w:spacing w:line="360" w:lineRule="auto"/>
        <w:jc w:val="both"/>
        <w:rPr>
          <w:rtl/>
        </w:rPr>
      </w:pPr>
    </w:p>
    <w:p w14:paraId="40EC7288" w14:textId="77777777" w:rsidR="0026539A" w:rsidRDefault="00754D65">
      <w:pPr>
        <w:spacing w:line="360" w:lineRule="auto"/>
        <w:ind w:left="720" w:hanging="720"/>
        <w:jc w:val="both"/>
        <w:rPr>
          <w:sz w:val="28"/>
          <w:szCs w:val="28"/>
          <w:rtl/>
        </w:rPr>
      </w:pPr>
      <w:r>
        <w:rPr>
          <w:rFonts w:hint="cs"/>
          <w:b/>
          <w:bCs/>
          <w:sz w:val="28"/>
          <w:szCs w:val="28"/>
          <w:u w:val="single"/>
          <w:rtl/>
        </w:rPr>
        <w:t xml:space="preserve">תסקיר שירות המבחן </w:t>
      </w:r>
    </w:p>
    <w:p w14:paraId="49F2A731" w14:textId="77777777" w:rsidR="0026539A" w:rsidRDefault="00754D65">
      <w:pPr>
        <w:spacing w:line="360" w:lineRule="auto"/>
        <w:ind w:left="720" w:hanging="720"/>
        <w:jc w:val="both"/>
        <w:rPr>
          <w:rtl/>
        </w:rPr>
      </w:pPr>
      <w:r>
        <w:rPr>
          <w:rFonts w:hint="cs"/>
          <w:rtl/>
        </w:rPr>
        <w:t>4.</w:t>
      </w:r>
      <w:r>
        <w:rPr>
          <w:rFonts w:hint="cs"/>
          <w:rtl/>
        </w:rPr>
        <w:tab/>
        <w:t>מתסקיר שירות המבחן עולה כי הנאשם בן 20, רווק וכי עובר למעצרו בתיק הנדון לא עבד. מדברי הנאשם בפני שירות המבחן עולה, כי סיים 11 שנות לימוד, אך נאלץ לעזוב את לימודיו בשל מצבה הכלכלי הקשה של משפחתו, זאת במטרה לתמוך  בכלכלת הבית. הנאשם  תיאר, באופן מצומצם בפני שירות המבחן, גדילה בסביבה משפחתית תומכת וקרובה בה קיבל מענה לצרכיו הבסיסיים, למרות מצבה הכלכלי הקשה של המשפחה.</w:t>
      </w:r>
    </w:p>
    <w:p w14:paraId="7D04F031" w14:textId="77777777" w:rsidR="0026539A" w:rsidRDefault="0026539A">
      <w:pPr>
        <w:spacing w:line="360" w:lineRule="auto"/>
        <w:ind w:left="720" w:hanging="720"/>
        <w:jc w:val="both"/>
        <w:rPr>
          <w:rtl/>
        </w:rPr>
      </w:pPr>
    </w:p>
    <w:p w14:paraId="417F8F7F" w14:textId="77777777" w:rsidR="0026539A" w:rsidRDefault="00754D65">
      <w:pPr>
        <w:spacing w:line="360" w:lineRule="auto"/>
        <w:ind w:left="720" w:hanging="720"/>
        <w:jc w:val="both"/>
        <w:rPr>
          <w:rtl/>
        </w:rPr>
      </w:pPr>
      <w:r>
        <w:rPr>
          <w:rFonts w:hint="cs"/>
          <w:rtl/>
        </w:rPr>
        <w:t xml:space="preserve">5. </w:t>
      </w:r>
      <w:r>
        <w:rPr>
          <w:rFonts w:hint="cs"/>
          <w:rtl/>
        </w:rPr>
        <w:tab/>
        <w:t xml:space="preserve">שירות המבחן ציין בתסקיר, כי עברו הפלילי של הנאשם נקי ללא רבב. באשר להתייחסותו לעבירה הנדונה, הנאשם הודה בפני שירות המבחן במיוחס לו בכתב האישום המתוקן. הנאשם תיאר יחסים משפחתיים תקינים עם בת דודו, אשר נשואה מזה כשנה. מדבריו עולה, כי בת הדוד פנתה אליו ובקשה את עזרתו מתוך מצוקה אישית ונפשית, לאחר שחשה כי המתלונן פגע בכבודה. הנאשם שלל סכסוך או הכרות קודמת עם המתלונן והסביר  את התנהלותו על רקע בקשתה של בת דודו וכן לחצים נשנים וחוזרים שהופעלו עליו מצידה. </w:t>
      </w:r>
      <w:r>
        <w:rPr>
          <w:rFonts w:hint="cs"/>
          <w:rtl/>
        </w:rPr>
        <w:lastRenderedPageBreak/>
        <w:t>הנאשם הביע חרטה בגין התנהלותו במהלך ביצוע העבירות, אשר לדבריו בוצעו, מתוך תחושת לחץ ובאופן אימפולסיבי, מבלי לשקול את השלכות מעשיו על עצמו, על משפחתו ועל משפחת המתלונן. עוד טען הנאשם בפני שירות המבחן, כי מעצרו בתיק הנדון היווה עבורו גורם מרתיע ,משמעותי ומחדד גבולות המותר והאסור.</w:t>
      </w:r>
    </w:p>
    <w:p w14:paraId="55B0D32D" w14:textId="77777777" w:rsidR="0026539A" w:rsidRDefault="0026539A">
      <w:pPr>
        <w:spacing w:line="360" w:lineRule="auto"/>
        <w:ind w:left="720" w:hanging="720"/>
        <w:jc w:val="both"/>
        <w:rPr>
          <w:rtl/>
        </w:rPr>
      </w:pPr>
    </w:p>
    <w:p w14:paraId="7BA24F98" w14:textId="77777777" w:rsidR="0026539A" w:rsidRDefault="00754D65">
      <w:pPr>
        <w:spacing w:line="360" w:lineRule="auto"/>
        <w:ind w:left="720" w:hanging="720"/>
        <w:jc w:val="both"/>
        <w:rPr>
          <w:rtl/>
        </w:rPr>
      </w:pPr>
      <w:r>
        <w:rPr>
          <w:rFonts w:hint="cs"/>
          <w:rtl/>
        </w:rPr>
        <w:t>6.</w:t>
      </w:r>
      <w:r>
        <w:rPr>
          <w:rFonts w:hint="cs"/>
          <w:rtl/>
        </w:rPr>
        <w:tab/>
        <w:t xml:space="preserve">במסגרת הערכת הסיכון להישנות העבירות והסיכוי לשיקום, שירות המבחן התרשם מצעיר, המצוי בתהליך של גיבוש זהות עצמית, אשר מתנהל במצבים מורכבים מתוך חוסר בשלות ובגרות. שירות המבחן התרשם עוד, כי הנאשם מחזיק בעמדות ותפיסות שמרניות ונוקשות בהתייחסותו לדימוי גברי ושמירה על כבוד המשפחה, בסביבתו החברתית והתרבותית. שירות המבחן סבר, כי על רקע האמור לעיל ובהיות הנאשם בגיר צעיר המתנהל באופן בלתי יציב במישורי חייו השונים, נוטה הנאשם לפעול באופן מרדני, אימפולסיבי וללא שיקול דעת במצבים בהם חש כי קיימת ציפייה ממנו "להוכיח", על פי תפיסתו, את גבריותו. עם זאת, הוסיף שרות המבחן, כי ההליך המשפטי הנוכחי חידד בפני הנאשם את גבולות המותר והאסור והיווה עבורו גורם הרתעתי. לאור האמור לעיל, העריך שירות המבחן, כי הסיכון להישנות מעשים דומים בעתיד, הינו בינוני. </w:t>
      </w:r>
    </w:p>
    <w:p w14:paraId="1CD469CA" w14:textId="77777777" w:rsidR="0026539A" w:rsidRDefault="0026539A">
      <w:pPr>
        <w:spacing w:line="360" w:lineRule="auto"/>
        <w:ind w:left="720" w:hanging="720"/>
        <w:jc w:val="both"/>
        <w:rPr>
          <w:rtl/>
        </w:rPr>
      </w:pPr>
    </w:p>
    <w:p w14:paraId="1BEB2FB2" w14:textId="77777777" w:rsidR="0026539A" w:rsidRDefault="00754D65">
      <w:pPr>
        <w:spacing w:line="360" w:lineRule="auto"/>
        <w:ind w:left="720" w:hanging="720"/>
        <w:jc w:val="both"/>
        <w:rPr>
          <w:rtl/>
        </w:rPr>
      </w:pPr>
      <w:r>
        <w:rPr>
          <w:rFonts w:hint="cs"/>
          <w:rtl/>
        </w:rPr>
        <w:t>7.</w:t>
      </w:r>
      <w:r>
        <w:rPr>
          <w:rFonts w:hint="cs"/>
          <w:rtl/>
        </w:rPr>
        <w:tab/>
        <w:t>שירות המבחן ציין, כי הנאשם התייחס לעבירות הנדונות כמעידה חד -פעמית, לא ביטא נזקקות או צרכים טיפוליים וגילה קושי בהתבוננות פנימית בעולמו הרגשי וביחסיו הבינאישיים. הנאשם הביע את רצונו לרצות את עונשו ולסיים את ההליך המשפטי בהקדם האפשרי על מנת לחזור לחייו האישיים, למשפחתו ולמעגל העבודה. שירות המבחן העריך, כי הנאשם לא בשל בעת הנוכחית להשתלב בהליך טיפולי ארוך טווח במסגרת שירות המבחן.</w:t>
      </w:r>
    </w:p>
    <w:p w14:paraId="289173D1" w14:textId="77777777" w:rsidR="0026539A" w:rsidRDefault="0026539A">
      <w:pPr>
        <w:spacing w:line="360" w:lineRule="auto"/>
        <w:ind w:left="720" w:hanging="720"/>
        <w:jc w:val="both"/>
        <w:rPr>
          <w:rtl/>
        </w:rPr>
      </w:pPr>
    </w:p>
    <w:p w14:paraId="6F14DC95" w14:textId="77777777" w:rsidR="0026539A" w:rsidRDefault="00754D65">
      <w:pPr>
        <w:spacing w:line="360" w:lineRule="auto"/>
        <w:ind w:left="720" w:hanging="720"/>
        <w:jc w:val="both"/>
        <w:rPr>
          <w:rtl/>
        </w:rPr>
      </w:pPr>
      <w:r>
        <w:rPr>
          <w:rFonts w:hint="cs"/>
          <w:rtl/>
        </w:rPr>
        <w:t>8.</w:t>
      </w:r>
      <w:r>
        <w:rPr>
          <w:rFonts w:hint="cs"/>
          <w:rtl/>
        </w:rPr>
        <w:tab/>
        <w:t>לפיכך, לאור חומרת העבירות ולצד קשייו וחוסר בשלותו של הנאשם, בשלב זה, להיעזר במסגרת של שירות המבחן, העריך שירות המבחן, כי ענישה מוחשית הרתעתית, תסייע לנאשם בהצבת גבול ברור בפני התנהגות דומה בעתיד ותפחית את הסיכון להישנות עבירות דומות.</w:t>
      </w:r>
    </w:p>
    <w:p w14:paraId="0E5F4129" w14:textId="77777777" w:rsidR="0026539A" w:rsidRDefault="0026539A">
      <w:pPr>
        <w:spacing w:line="360" w:lineRule="auto"/>
        <w:ind w:left="720" w:hanging="720"/>
        <w:jc w:val="both"/>
      </w:pPr>
    </w:p>
    <w:p w14:paraId="77536D46" w14:textId="77777777" w:rsidR="0026539A" w:rsidRDefault="00754D65">
      <w:pPr>
        <w:spacing w:line="360" w:lineRule="auto"/>
        <w:jc w:val="both"/>
        <w:rPr>
          <w:b/>
          <w:bCs/>
          <w:sz w:val="28"/>
          <w:szCs w:val="28"/>
          <w:u w:val="single"/>
          <w:rtl/>
        </w:rPr>
      </w:pPr>
      <w:r>
        <w:rPr>
          <w:rFonts w:hint="cs"/>
          <w:b/>
          <w:bCs/>
          <w:sz w:val="28"/>
          <w:szCs w:val="28"/>
          <w:u w:val="single"/>
          <w:rtl/>
        </w:rPr>
        <w:t>טיעוני המאשימה לעונש</w:t>
      </w:r>
    </w:p>
    <w:p w14:paraId="56941D26" w14:textId="77777777" w:rsidR="0026539A" w:rsidRDefault="00754D65">
      <w:pPr>
        <w:spacing w:line="360" w:lineRule="auto"/>
        <w:ind w:left="720" w:hanging="720"/>
      </w:pPr>
      <w:r>
        <w:rPr>
          <w:rFonts w:hint="cs"/>
          <w:rtl/>
        </w:rPr>
        <w:t>9.</w:t>
      </w:r>
      <w:r>
        <w:rPr>
          <w:rFonts w:hint="cs"/>
          <w:rtl/>
        </w:rPr>
        <w:tab/>
        <w:t xml:space="preserve">בפתח הדיון בפניי ביום 14.6.15 הגישה ב"כ המאשימה את טיעוניה לעונש בכתב (ת/1) וכן פסיקה (ת/2) להמחשת עמדתה העונשית של המאשימה. </w:t>
      </w:r>
    </w:p>
    <w:p w14:paraId="0B2F2B6D" w14:textId="77777777" w:rsidR="0026539A" w:rsidRDefault="0026539A">
      <w:pPr>
        <w:spacing w:line="360" w:lineRule="auto"/>
        <w:ind w:left="720" w:hanging="720"/>
        <w:rPr>
          <w:rtl/>
        </w:rPr>
      </w:pPr>
    </w:p>
    <w:p w14:paraId="2BA1A84D" w14:textId="77777777" w:rsidR="0026539A" w:rsidRDefault="00754D65">
      <w:pPr>
        <w:spacing w:line="360" w:lineRule="auto"/>
        <w:ind w:left="720" w:hanging="720"/>
        <w:rPr>
          <w:rtl/>
        </w:rPr>
      </w:pPr>
      <w:r>
        <w:rPr>
          <w:rFonts w:hint="cs"/>
          <w:rtl/>
        </w:rPr>
        <w:t>10.</w:t>
      </w:r>
      <w:r>
        <w:rPr>
          <w:rFonts w:hint="cs"/>
          <w:rtl/>
        </w:rPr>
        <w:tab/>
        <w:t xml:space="preserve">במסגרת טיעוניה בעל-פה בדיון בפניי, עתרה ב"כ המאשימה למתחם עונש הולם בנסיבותיו של תיק זה הנע בין 30 חודש  ל- 3 שנות מאסר בפועל. כמו כן, עתרה ב"כ המאשימה, כי יוטלו על הנאשם עונשים נלווים בדמות מאסר על תנאי ופיצוי למתלוננים. באשר לנסיבות הקשורות בביצוע העבירה, הטעימה ב"כ המאשימה, כי הנאשם נהג בקטנוע ללא רישיון וללא ביטוח, תוך שציינה, כי המאשימה רואה בנסיבה הנ"ל כחלק מנסיבות ביצוע העבירות ואינה טוענת למתחם עונש נפרד בגין העבירה  הנ"ל. עוד הפנתה ב"כ המאשימה להוראת </w:t>
      </w:r>
      <w:hyperlink r:id="rId37" w:history="1">
        <w:r w:rsidR="00280C09" w:rsidRPr="00280C09">
          <w:rPr>
            <w:rStyle w:val="Hyperlink"/>
            <w:rFonts w:hint="eastAsia"/>
            <w:rtl/>
          </w:rPr>
          <w:t>סעיף</w:t>
        </w:r>
        <w:r w:rsidR="00280C09" w:rsidRPr="00280C09">
          <w:rPr>
            <w:rStyle w:val="Hyperlink"/>
            <w:rtl/>
          </w:rPr>
          <w:t xml:space="preserve"> 38</w:t>
        </w:r>
      </w:hyperlink>
      <w:r>
        <w:rPr>
          <w:rFonts w:hint="cs"/>
          <w:rtl/>
        </w:rPr>
        <w:t xml:space="preserve"> ל</w:t>
      </w:r>
      <w:hyperlink r:id="rId38" w:history="1">
        <w:r w:rsidRPr="00754D65">
          <w:rPr>
            <w:color w:val="0000FF"/>
            <w:u w:val="single"/>
            <w:rtl/>
          </w:rPr>
          <w:t>פקודת התעבורה</w:t>
        </w:r>
      </w:hyperlink>
      <w:r>
        <w:rPr>
          <w:rFonts w:hint="cs"/>
          <w:rtl/>
        </w:rPr>
        <w:t xml:space="preserve"> [נוסח חדש], התשכ"א-1961 (להלן: "פקודת התעבורה"), לפיה בצד ביצוע העבירה של נהיגה ללא רישיון נהיגה , תלוי ועומד עונש של פסילת מינימום למשך 3 חודשים. ב"כ המאשימה ביקשה, כי </w:t>
      </w:r>
      <w:r>
        <w:rPr>
          <w:rtl/>
        </w:rPr>
        <w:t>בית המשפט את הדעת ל</w:t>
      </w:r>
      <w:r>
        <w:rPr>
          <w:rFonts w:hint="cs"/>
          <w:rtl/>
        </w:rPr>
        <w:t>אמור לעיל, במסגרת קביעת מתחם העונש ההולם ובמסגרת קביעת העונש שיושת על הנאשם במסגרת המתחם. ב"כ המאשימה הפנתה בנקודה זו לאסופת פסיקה המלמדת בדבר העונשים שהוטלו על נאשמים בגין עבירה של נהיגה ללא רישיון (ת/3).</w:t>
      </w:r>
    </w:p>
    <w:p w14:paraId="73C2522F" w14:textId="77777777" w:rsidR="0026539A" w:rsidRDefault="00754D65">
      <w:pPr>
        <w:spacing w:line="360" w:lineRule="auto"/>
        <w:ind w:left="720" w:hanging="720"/>
        <w:jc w:val="both"/>
        <w:rPr>
          <w:rtl/>
        </w:rPr>
      </w:pPr>
      <w:r>
        <w:rPr>
          <w:rFonts w:hint="cs"/>
          <w:rtl/>
        </w:rPr>
        <w:t>11.</w:t>
      </w:r>
      <w:r>
        <w:rPr>
          <w:rFonts w:hint="cs"/>
          <w:rtl/>
        </w:rPr>
        <w:tab/>
        <w:t>ב"כ המאשימה ציינה , כי המאשימה ערה לגילו הצעיר של הנאשם ולעובדה כי עברו הפלילי נקי ללא רבב, כמו גם להודייתו ולחסכון בזמן השיפוטי, תוך שהטעימה כי אין ליתן לנסיבות אלו רלוונטיות במסגרת קביעת מתחם העונש ההולם, אלא יש לשקלל את הנסיבות הנ"ל רק במסגרת קביעת העונש בתוך מתחם הענישה. ב"כ המאשימה הפנתה לאמור בתסקיר שירות המבחן, שהוגש בעניינו של הנאשם, תוך שביקשה ללמוד מהתסקיר הנ"ל  בדבר המסוכנות הנשקפת מהנאשם. ב"כ המאשימה הטעימה, כי מהתסקיר הנ"ל עולה עוד, כי הנאשם נוטה לפעול באופן  מרדני, אימפולסיבי וללא שיקול דעת וציינה, כי שירות המבחן סבר, כי המסוכנות שנשקפת מהנאשם הינה בינונית ולא בא בהמלצה טיפולית,  כי אם בהמלצה להשית על הנאשם ענישה מוחשית ומרתיעה.</w:t>
      </w:r>
    </w:p>
    <w:p w14:paraId="00D7C878" w14:textId="77777777" w:rsidR="0026539A" w:rsidRDefault="0026539A">
      <w:pPr>
        <w:spacing w:line="360" w:lineRule="auto"/>
        <w:ind w:left="720" w:hanging="720"/>
        <w:jc w:val="both"/>
        <w:rPr>
          <w:rtl/>
        </w:rPr>
      </w:pPr>
    </w:p>
    <w:p w14:paraId="71324C94" w14:textId="77777777" w:rsidR="0026539A" w:rsidRDefault="00754D65">
      <w:pPr>
        <w:spacing w:line="360" w:lineRule="auto"/>
        <w:ind w:left="720" w:hanging="720"/>
        <w:jc w:val="both"/>
        <w:rPr>
          <w:rtl/>
        </w:rPr>
      </w:pPr>
      <w:r>
        <w:rPr>
          <w:rFonts w:hint="cs"/>
          <w:rtl/>
        </w:rPr>
        <w:t>12.</w:t>
      </w:r>
      <w:r>
        <w:rPr>
          <w:rFonts w:hint="cs"/>
          <w:rtl/>
        </w:rPr>
        <w:tab/>
        <w:t xml:space="preserve">ב- ת/1 ציינה המאשימה את עובדות כתב האישום המתוקן על מנת ללמד בדבר חומרת מעשיו של הנאשם. המאשימה הדגישה כי, הנאשם ביצע את הירי תוך תכנון מוקפד, כשבאותה עת  שהו בבית המתלונן ובני משפחתו, וכי כתוצאה מהירי, נשבר חלון בקומה השנייה של הבית ונגרם נזק המוערך בכ- 18,000 ש"ח.  </w:t>
      </w:r>
    </w:p>
    <w:p w14:paraId="31B0B152" w14:textId="77777777" w:rsidR="0026539A" w:rsidRDefault="0026539A">
      <w:pPr>
        <w:spacing w:line="360" w:lineRule="auto"/>
        <w:ind w:left="720" w:hanging="720"/>
        <w:jc w:val="both"/>
        <w:rPr>
          <w:rtl/>
        </w:rPr>
      </w:pPr>
    </w:p>
    <w:p w14:paraId="628F56DA" w14:textId="77777777" w:rsidR="0026539A" w:rsidRDefault="00754D65">
      <w:pPr>
        <w:shd w:val="clear" w:color="auto" w:fill="FFFFFF"/>
        <w:spacing w:line="360" w:lineRule="auto"/>
        <w:ind w:left="720" w:hanging="720"/>
        <w:jc w:val="both"/>
        <w:rPr>
          <w:rtl/>
        </w:rPr>
      </w:pPr>
      <w:r>
        <w:rPr>
          <w:rFonts w:hint="cs"/>
          <w:rtl/>
        </w:rPr>
        <w:t>13.</w:t>
      </w:r>
      <w:r>
        <w:rPr>
          <w:rFonts w:hint="cs"/>
          <w:rtl/>
        </w:rPr>
        <w:tab/>
        <w:t>באשר לנסיבות הקשורות בביצוע העבירה וחומרתן, טענה המאשימה בת/1, כי הנאשם תכנן את הירי, הצטייד באמצעים לקידום מטרתו והוציא לפועל את תוכניתו לבצע ירי לעבר בית מגורים, באור יום, תוך שבני הבית שוהים בתוכו, דבר המעיד, לדידה, על המסוכנות הגבוהה הנשקפת מהנאשם. באשר לערך החברתי שנפגע, טענה המאשימה בת/1, כי במקרה דנן התנהגותו של הנאשם גרמה לפגיעה בשלווה הנפשית, בביטחון ובחירות של קורבנות העבירה, בביטחון לחייהם ולשלמות גופם וכי, רק במזל לא נפגעו המתלונן ובני משפחתו ישירות ממעשיו של הנאשם.</w:t>
      </w:r>
    </w:p>
    <w:p w14:paraId="3003CEA6" w14:textId="77777777" w:rsidR="0026539A" w:rsidRDefault="0026539A">
      <w:pPr>
        <w:shd w:val="clear" w:color="auto" w:fill="FFFFFF"/>
        <w:spacing w:line="360" w:lineRule="auto"/>
        <w:ind w:left="720" w:hanging="720"/>
        <w:jc w:val="both"/>
        <w:rPr>
          <w:rtl/>
        </w:rPr>
      </w:pPr>
    </w:p>
    <w:p w14:paraId="1D1B8DE6" w14:textId="77777777" w:rsidR="0026539A" w:rsidRDefault="00754D65">
      <w:pPr>
        <w:shd w:val="clear" w:color="auto" w:fill="FFFFFF"/>
        <w:spacing w:line="360" w:lineRule="auto"/>
        <w:ind w:left="720" w:hanging="720"/>
        <w:jc w:val="both"/>
        <w:rPr>
          <w:rtl/>
        </w:rPr>
      </w:pPr>
      <w:r>
        <w:rPr>
          <w:rFonts w:hint="cs"/>
          <w:rtl/>
        </w:rPr>
        <w:t>14.</w:t>
      </w:r>
      <w:r>
        <w:rPr>
          <w:rFonts w:hint="cs"/>
          <w:rtl/>
        </w:rPr>
        <w:tab/>
        <w:t>באשר למדיניות הענישה הנהוגה, טענה המאשימה בת/1 כי, המחוקק ראה בחומרה את העבירה של נשיאת והובלת נשק, וכי לא בכדי קבע בצידה עונש מירבי של 10 שנות מאסר. המאשימה הדגישה, כי הנאשם ביצע  את העבירה ברף חומרה מירבי- נשיאת נשק על מנת לבצע באמצעותו עבירה  וציינה, כי אין מדובר בביצוע "ירי בשטח מגורים", סתם כך, אלא ביצירת סיכון מכוון, מסוים וממשי מאד לתושבי הבית לעברו ביצע הנאשם את הירי. בנסיבות אלו, סבורה המאשימה, כי יש להשית על הנאשם עונש  המצוי ברף הגבוה ביותר של מתחם הענישה.</w:t>
      </w:r>
    </w:p>
    <w:p w14:paraId="451F70FE" w14:textId="77777777" w:rsidR="0026539A" w:rsidRDefault="0026539A">
      <w:pPr>
        <w:shd w:val="clear" w:color="auto" w:fill="FFFFFF"/>
        <w:spacing w:line="360" w:lineRule="auto"/>
        <w:jc w:val="both"/>
      </w:pPr>
    </w:p>
    <w:p w14:paraId="623EA234" w14:textId="77777777" w:rsidR="0026539A" w:rsidRDefault="00754D65">
      <w:pPr>
        <w:shd w:val="clear" w:color="auto" w:fill="FFFFFF"/>
        <w:spacing w:line="360" w:lineRule="auto"/>
        <w:ind w:left="720" w:hanging="720"/>
        <w:jc w:val="both"/>
        <w:rPr>
          <w:rtl/>
        </w:rPr>
      </w:pPr>
      <w:r>
        <w:rPr>
          <w:rFonts w:hint="cs"/>
          <w:rtl/>
        </w:rPr>
        <w:t>15.</w:t>
      </w:r>
      <w:r>
        <w:rPr>
          <w:rFonts w:hint="cs"/>
          <w:rtl/>
        </w:rPr>
        <w:tab/>
        <w:t xml:space="preserve">בהסתמך על הפסיקה העולה מת/1 ומת/2 עותרת המאשימה </w:t>
      </w:r>
      <w:r>
        <w:rPr>
          <w:rFonts w:ascii="Calibri" w:hAnsi="Calibri" w:hint="cs"/>
          <w:rtl/>
        </w:rPr>
        <w:t xml:space="preserve">בת/1 למתחם עונש הולם, שנע בין 30 חודשי מאסר בפועל עד 5 שנות מאסר בפועל. בנקודה זו יוער, כי ב"כ המאשימה בדיון בפניי עתרה למתחם עונש הולם שנע בין 30 חודשי מאסר בפועל לבין 3 שנות מאסר בפועל. עוד מבקשת המאשימה להשית  על הנאשם עונש ברף הגבוה של המתחם,  בצד עונש של מאסר על תנאי ממושך ופיצוי למתלוננים. </w:t>
      </w:r>
      <w:r>
        <w:rPr>
          <w:rFonts w:hint="cs"/>
          <w:rtl/>
        </w:rPr>
        <w:t xml:space="preserve">באשר לפיצוי שיושת על הנאשם, טוענת  המאשימה, כי סכום הפיצוי אינו נגזר אך מהנזק הממוני שנגרם למתלוננים, אלא נדרש שיפוצו המתלוננים, ולו במעט, בגין הנזק הנפשי הכבד וערעור שלוות חייהם בעקבות האירוע. </w:t>
      </w:r>
      <w:r>
        <w:rPr>
          <w:rFonts w:hint="cs"/>
        </w:rPr>
        <w:t xml:space="preserve"> </w:t>
      </w:r>
    </w:p>
    <w:p w14:paraId="17E18E3E" w14:textId="77777777" w:rsidR="0026539A" w:rsidRDefault="0026539A">
      <w:pPr>
        <w:shd w:val="clear" w:color="auto" w:fill="FFFFFF"/>
        <w:spacing w:line="360" w:lineRule="auto"/>
        <w:ind w:left="720" w:hanging="720"/>
        <w:jc w:val="both"/>
        <w:rPr>
          <w:rtl/>
        </w:rPr>
      </w:pPr>
    </w:p>
    <w:p w14:paraId="431AA2D6" w14:textId="77777777" w:rsidR="0026539A" w:rsidRDefault="00754D65">
      <w:pPr>
        <w:spacing w:line="360" w:lineRule="auto"/>
        <w:jc w:val="both"/>
        <w:rPr>
          <w:b/>
          <w:bCs/>
          <w:sz w:val="28"/>
          <w:szCs w:val="28"/>
          <w:u w:val="single"/>
          <w:rtl/>
        </w:rPr>
      </w:pPr>
      <w:r>
        <w:rPr>
          <w:rFonts w:hint="cs"/>
          <w:b/>
          <w:bCs/>
          <w:sz w:val="28"/>
          <w:szCs w:val="28"/>
          <w:u w:val="single"/>
          <w:rtl/>
        </w:rPr>
        <w:t>טיעוני הסנגור  לעונש</w:t>
      </w:r>
    </w:p>
    <w:p w14:paraId="6FE5BC10" w14:textId="77777777" w:rsidR="0026539A" w:rsidRDefault="00754D65">
      <w:pPr>
        <w:spacing w:line="360" w:lineRule="auto"/>
        <w:ind w:left="720" w:hanging="720"/>
        <w:jc w:val="both"/>
        <w:rPr>
          <w:rtl/>
        </w:rPr>
      </w:pPr>
      <w:r>
        <w:rPr>
          <w:rFonts w:hint="cs"/>
          <w:rtl/>
        </w:rPr>
        <w:t>16.</w:t>
      </w:r>
      <w:r>
        <w:rPr>
          <w:rFonts w:hint="cs"/>
          <w:rtl/>
        </w:rPr>
        <w:tab/>
        <w:t>בפתח טיעוניו לעונש, הטעים הסנגור, כי בעת גזירת דינו של הנאשם, על בית המשפט לערוך איזונים בין אינטרסים שונים, כשמחד עומד אינטרס הענישה וההרתעה ומאידך, שיקולי שיקום העבריין.</w:t>
      </w:r>
    </w:p>
    <w:p w14:paraId="5B6CA739" w14:textId="77777777" w:rsidR="0026539A" w:rsidRDefault="0026539A">
      <w:pPr>
        <w:spacing w:line="360" w:lineRule="auto"/>
        <w:ind w:left="720" w:hanging="720"/>
        <w:jc w:val="both"/>
        <w:rPr>
          <w:rtl/>
        </w:rPr>
      </w:pPr>
    </w:p>
    <w:p w14:paraId="725827D2" w14:textId="77777777" w:rsidR="0026539A" w:rsidRDefault="00754D65">
      <w:pPr>
        <w:spacing w:line="360" w:lineRule="auto"/>
        <w:ind w:left="720" w:hanging="720"/>
        <w:jc w:val="both"/>
        <w:rPr>
          <w:rtl/>
        </w:rPr>
      </w:pPr>
      <w:r>
        <w:rPr>
          <w:rFonts w:hint="cs"/>
          <w:rtl/>
        </w:rPr>
        <w:t>17.</w:t>
      </w:r>
      <w:r>
        <w:rPr>
          <w:rFonts w:hint="cs"/>
          <w:rtl/>
        </w:rPr>
        <w:tab/>
        <w:t xml:space="preserve">באשר לנסיבותיו האישיות של הנאשם, ציין הסנגור כי, הנאשם הינו צעיר, כבן 20, אשר הודה בהזדמנות הראשונה וחסך זמן שיפוטי יקר. הסנגור הטעים בנקודה זו, כי כבר בהליך החקירה במשטרה, שיתף הנאשם פעולה ושיחזר את האירוע. הסנגור ציין, כי התנהלותו של הנאשם לאחר האירוע, מלמדת בדבר לקיחת אחריות ע"י הנאשם ובדבר רצונו "לשלם על מעשיו". עוד הבהיר הסנגור בנקודה זו, כי הנאשם  נותר נתון במעצר לאורך כל ההליך בשל רצונו לרצות את עונשו ו"לשלם על מעשיו". </w:t>
      </w:r>
    </w:p>
    <w:p w14:paraId="3AFC95A1" w14:textId="77777777" w:rsidR="0026539A" w:rsidRDefault="0026539A">
      <w:pPr>
        <w:spacing w:line="360" w:lineRule="auto"/>
        <w:ind w:left="720" w:hanging="720"/>
        <w:jc w:val="both"/>
        <w:rPr>
          <w:rtl/>
        </w:rPr>
      </w:pPr>
    </w:p>
    <w:p w14:paraId="07052286" w14:textId="77777777" w:rsidR="0026539A" w:rsidRDefault="00754D65">
      <w:pPr>
        <w:spacing w:line="360" w:lineRule="auto"/>
        <w:ind w:left="720" w:hanging="720"/>
        <w:jc w:val="both"/>
        <w:rPr>
          <w:rtl/>
        </w:rPr>
      </w:pPr>
      <w:r>
        <w:rPr>
          <w:rFonts w:hint="cs"/>
          <w:rtl/>
        </w:rPr>
        <w:t>18.</w:t>
      </w:r>
      <w:r>
        <w:rPr>
          <w:rFonts w:hint="cs"/>
          <w:rtl/>
        </w:rPr>
        <w:tab/>
        <w:t xml:space="preserve">באשר לנזק שנגרם למתלוננים, טען הסנגור, כי לא נגרם נזק ממשי למתלוננים וציין עוד, כי בין הנאשם לבין המתלוננים נערכה "סולחה". </w:t>
      </w:r>
    </w:p>
    <w:p w14:paraId="6B0A2AC5" w14:textId="77777777" w:rsidR="0026539A" w:rsidRDefault="0026539A">
      <w:pPr>
        <w:spacing w:line="360" w:lineRule="auto"/>
        <w:ind w:left="720" w:hanging="720"/>
        <w:jc w:val="both"/>
        <w:rPr>
          <w:rtl/>
        </w:rPr>
      </w:pPr>
    </w:p>
    <w:p w14:paraId="0017BB56" w14:textId="77777777" w:rsidR="0026539A" w:rsidRDefault="00754D65">
      <w:pPr>
        <w:spacing w:line="360" w:lineRule="auto"/>
        <w:ind w:left="720" w:hanging="720"/>
        <w:jc w:val="both"/>
        <w:rPr>
          <w:rtl/>
        </w:rPr>
      </w:pPr>
      <w:r>
        <w:rPr>
          <w:rFonts w:hint="cs"/>
          <w:rtl/>
        </w:rPr>
        <w:t>19.</w:t>
      </w:r>
      <w:r>
        <w:rPr>
          <w:rFonts w:hint="cs"/>
          <w:rtl/>
        </w:rPr>
        <w:tab/>
        <w:t xml:space="preserve">נוכח האמור, סבר הסנגור, כי בנסיבות העניין, יש להקל בעונשו של הנאשם ולהעדיף את אינטרס השיקום בעניינו. הסנגור טען למתחם עונש הולם הנע בין 6 חודשי מאסר, שניתן וירוצו בעבודות שירות ועד לעונש של מאסר בפועל לתקופה של 15 חודש. להמחשת עמדתו העונשית הגיש הסנגור אסופת פסיקה נ/1. </w:t>
      </w:r>
    </w:p>
    <w:p w14:paraId="297A77C8" w14:textId="77777777" w:rsidR="0026539A" w:rsidRDefault="0026539A">
      <w:pPr>
        <w:spacing w:line="360" w:lineRule="auto"/>
        <w:ind w:left="720" w:hanging="720"/>
        <w:jc w:val="both"/>
        <w:rPr>
          <w:rtl/>
        </w:rPr>
      </w:pPr>
    </w:p>
    <w:p w14:paraId="5A520D92" w14:textId="77777777" w:rsidR="0026539A" w:rsidRDefault="00754D65">
      <w:pPr>
        <w:spacing w:line="360" w:lineRule="auto"/>
        <w:ind w:left="720" w:hanging="720"/>
        <w:jc w:val="both"/>
        <w:rPr>
          <w:rtl/>
        </w:rPr>
      </w:pPr>
      <w:r>
        <w:rPr>
          <w:rFonts w:hint="cs"/>
          <w:rtl/>
        </w:rPr>
        <w:t>20.</w:t>
      </w:r>
      <w:r>
        <w:rPr>
          <w:rFonts w:hint="cs"/>
          <w:rtl/>
        </w:rPr>
        <w:tab/>
        <w:t xml:space="preserve">באשר לנסיבות שאינן  קשורות בביצוע  העבירה, ציין הסנגור, כי עברו הפלילי והתעבורתי של הנאשם, נקי ללא רבב. הסנגור הוסיף וטען, כי זו מעידתו החד פעמית של הנאשם, עליה כאמור לקח אחריות בהזדמנות הראשונה. עוד טען הסנגור, כי הנאשם מעוניין להשתקם, לחזור לביתו ולעזור להוריו. באשר לביצוע העבירה של נהיגה ללא רישיון, טען הסנגור לעונש הולם של 8 חודשי פסילה בפועל. הסנגור ביקש שלא ללמוד גזירה שווה מהפסיקה שהגישה ב"כ המאשימה וטען בנקודה זו, כי המקרים שנדונו באסופת הפסיקה ת/3 מטעם המאשימה </w:t>
      </w:r>
      <w:r>
        <w:rPr>
          <w:rFonts w:hint="cs"/>
        </w:rPr>
        <w:t xml:space="preserve"> </w:t>
      </w:r>
      <w:r>
        <w:rPr>
          <w:rFonts w:hint="cs"/>
          <w:rtl/>
        </w:rPr>
        <w:t xml:space="preserve">חמורים מעניינו של הנאשם. </w:t>
      </w:r>
    </w:p>
    <w:p w14:paraId="18DF8052" w14:textId="77777777" w:rsidR="0026539A" w:rsidRDefault="0026539A">
      <w:pPr>
        <w:spacing w:line="360" w:lineRule="auto"/>
        <w:ind w:left="720" w:hanging="720"/>
        <w:jc w:val="both"/>
        <w:rPr>
          <w:rtl/>
        </w:rPr>
      </w:pPr>
    </w:p>
    <w:p w14:paraId="514A7AF1" w14:textId="77777777" w:rsidR="0026539A" w:rsidRDefault="00754D65">
      <w:pPr>
        <w:spacing w:line="360" w:lineRule="auto"/>
        <w:jc w:val="both"/>
        <w:rPr>
          <w:rtl/>
        </w:rPr>
      </w:pPr>
      <w:r>
        <w:rPr>
          <w:rFonts w:hint="cs"/>
          <w:rtl/>
        </w:rPr>
        <w:t>21.</w:t>
      </w:r>
      <w:r>
        <w:rPr>
          <w:rFonts w:hint="cs"/>
          <w:rtl/>
        </w:rPr>
        <w:tab/>
        <w:t>הנאשם, בדבריו בפניי, הביע חרטה על מעשיו והבטיח כי זוהי מעידתו האחרונה.</w:t>
      </w:r>
    </w:p>
    <w:p w14:paraId="315B4F63" w14:textId="77777777" w:rsidR="0026539A" w:rsidRDefault="0026539A">
      <w:pPr>
        <w:spacing w:line="360" w:lineRule="auto"/>
        <w:jc w:val="both"/>
        <w:rPr>
          <w:rtl/>
        </w:rPr>
      </w:pPr>
    </w:p>
    <w:p w14:paraId="170148A8" w14:textId="77777777" w:rsidR="0026539A" w:rsidRDefault="00754D65">
      <w:pPr>
        <w:spacing w:line="360" w:lineRule="auto"/>
        <w:jc w:val="both"/>
        <w:rPr>
          <w:b/>
          <w:bCs/>
          <w:u w:val="single"/>
          <w:rtl/>
        </w:rPr>
      </w:pPr>
      <w:r>
        <w:rPr>
          <w:rFonts w:hint="cs"/>
          <w:b/>
          <w:bCs/>
          <w:u w:val="single"/>
          <w:rtl/>
        </w:rPr>
        <w:t xml:space="preserve">דיון והכרעה </w:t>
      </w:r>
    </w:p>
    <w:p w14:paraId="274D17A5" w14:textId="77777777" w:rsidR="0026539A" w:rsidRDefault="00754D65">
      <w:pPr>
        <w:spacing w:line="360" w:lineRule="auto"/>
        <w:ind w:left="720" w:hanging="720"/>
        <w:jc w:val="both"/>
        <w:rPr>
          <w:rtl/>
        </w:rPr>
      </w:pPr>
      <w:r>
        <w:rPr>
          <w:rFonts w:hint="cs"/>
          <w:rtl/>
        </w:rPr>
        <w:t>22</w:t>
      </w:r>
      <w:r>
        <w:rPr>
          <w:rtl/>
        </w:rPr>
        <w:t>.</w:t>
      </w:r>
      <w:r>
        <w:rPr>
          <w:rtl/>
        </w:rPr>
        <w:tab/>
        <w:t xml:space="preserve">תיקון מס' 113 מתווה את העיקרון המנחה כיום את ביהמ"ש בבואו לגזור דינו של נאשם, שהינו, לפי </w:t>
      </w:r>
      <w:hyperlink r:id="rId39" w:history="1">
        <w:r w:rsidR="00280C09" w:rsidRPr="00280C09">
          <w:rPr>
            <w:rStyle w:val="Hyperlink"/>
            <w:rtl/>
          </w:rPr>
          <w:t>סעיף 40 ב</w:t>
        </w:r>
      </w:hyperlink>
      <w:r>
        <w:rPr>
          <w:rtl/>
        </w:rPr>
        <w:t xml:space="preserve"> ל</w:t>
      </w:r>
      <w:hyperlink r:id="rId40" w:history="1">
        <w:r w:rsidRPr="00754D65">
          <w:rPr>
            <w:color w:val="0000FF"/>
            <w:u w:val="single"/>
            <w:rtl/>
          </w:rPr>
          <w:t>חוק העונשין</w:t>
        </w:r>
      </w:hyperlink>
      <w:r>
        <w:rPr>
          <w:rtl/>
        </w:rPr>
        <w:t xml:space="preserve">,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(ראה </w:t>
      </w:r>
      <w:hyperlink r:id="rId41" w:history="1">
        <w:r w:rsidRPr="00754D65">
          <w:rPr>
            <w:color w:val="0000FF"/>
            <w:u w:val="single"/>
            <w:rtl/>
          </w:rPr>
          <w:t>ע.פ. 1523/10</w:t>
        </w:r>
      </w:hyperlink>
      <w:r>
        <w:rPr>
          <w:rtl/>
        </w:rPr>
        <w:t xml:space="preserve"> </w:t>
      </w:r>
      <w:r>
        <w:rPr>
          <w:b/>
          <w:bCs/>
          <w:rtl/>
        </w:rPr>
        <w:t xml:space="preserve">פלוני נ' מדינת ישראל, </w:t>
      </w:r>
      <w:r>
        <w:rPr>
          <w:rtl/>
        </w:rPr>
        <w:t xml:space="preserve">18/4/12, לא פורסם). </w:t>
      </w:r>
      <w:hyperlink r:id="rId42" w:history="1">
        <w:r w:rsidR="00280C09" w:rsidRPr="00280C09">
          <w:rPr>
            <w:rStyle w:val="Hyperlink"/>
            <w:rtl/>
          </w:rPr>
          <w:t>סעיף 40 ג'</w:t>
        </w:r>
      </w:hyperlink>
      <w:r>
        <w:rPr>
          <w:rtl/>
        </w:rPr>
        <w:t xml:space="preserve"> ל</w:t>
      </w:r>
      <w:hyperlink r:id="rId43" w:history="1">
        <w:r w:rsidRPr="00754D65">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44" w:history="1">
        <w:r w:rsidR="00280C09" w:rsidRPr="00280C09">
          <w:rPr>
            <w:rStyle w:val="Hyperlink"/>
            <w:rtl/>
          </w:rPr>
          <w:t>בסעיף 40 ט'</w:t>
        </w:r>
      </w:hyperlink>
      <w:r>
        <w:rPr>
          <w:rtl/>
        </w:rPr>
        <w:t xml:space="preserve"> ל</w:t>
      </w:r>
      <w:hyperlink r:id="rId45" w:history="1">
        <w:r w:rsidRPr="00754D65">
          <w:rPr>
            <w:color w:val="0000FF"/>
            <w:u w:val="single"/>
            <w:rtl/>
          </w:rPr>
          <w:t>חוק העונשין</w:t>
        </w:r>
      </w:hyperlink>
      <w:r>
        <w:rPr>
          <w:rtl/>
        </w:rPr>
        <w:t>.</w:t>
      </w:r>
    </w:p>
    <w:p w14:paraId="5390DAC6" w14:textId="77777777" w:rsidR="0026539A" w:rsidRDefault="0026539A">
      <w:pPr>
        <w:spacing w:line="360" w:lineRule="auto"/>
        <w:ind w:left="746"/>
        <w:jc w:val="both"/>
        <w:rPr>
          <w:rtl/>
        </w:rPr>
      </w:pPr>
    </w:p>
    <w:p w14:paraId="7725C2DB" w14:textId="77777777" w:rsidR="0026539A" w:rsidRDefault="00754D65">
      <w:pPr>
        <w:spacing w:line="360" w:lineRule="auto"/>
        <w:ind w:left="720" w:hanging="720"/>
        <w:jc w:val="both"/>
        <w:rPr>
          <w:rtl/>
        </w:rPr>
      </w:pPr>
      <w:r>
        <w:rPr>
          <w:rFonts w:hint="cs"/>
          <w:rtl/>
        </w:rPr>
        <w:t>23.</w:t>
      </w:r>
      <w:r>
        <w:rPr>
          <w:rFonts w:hint="cs"/>
          <w:rtl/>
        </w:rPr>
        <w:tab/>
      </w:r>
      <w:r>
        <w:rPr>
          <w:rtl/>
        </w:rPr>
        <w:t>על בית המשפט בשלב הראשון של יישום תיקון 113 ל</w:t>
      </w:r>
      <w:hyperlink r:id="rId46" w:history="1">
        <w:r w:rsidRPr="00754D65">
          <w:rPr>
            <w:color w:val="0000FF"/>
            <w:u w:val="single"/>
            <w:rtl/>
          </w:rPr>
          <w:t>חוק העונשין</w:t>
        </w:r>
      </w:hyperlink>
      <w:r>
        <w:rPr>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47" w:history="1">
        <w:r w:rsidR="00280C09" w:rsidRPr="00280C09">
          <w:rPr>
            <w:rStyle w:val="Hyperlink"/>
            <w:rtl/>
          </w:rPr>
          <w:t>סעיף 40י"ג (ב)</w:t>
        </w:r>
      </w:hyperlink>
      <w:r>
        <w:rPr>
          <w:rtl/>
        </w:rPr>
        <w:t xml:space="preserve"> לחוק העונשין) (ראה </w:t>
      </w:r>
      <w:hyperlink r:id="rId48" w:history="1">
        <w:r w:rsidRPr="00754D65">
          <w:rPr>
            <w:color w:val="0000FF"/>
            <w:u w:val="single"/>
            <w:rtl/>
          </w:rPr>
          <w:t>ע"פ 8641-12</w:t>
        </w:r>
      </w:hyperlink>
      <w:r>
        <w:rPr>
          <w:rtl/>
        </w:rPr>
        <w:t xml:space="preserve"> </w:t>
      </w:r>
      <w:r>
        <w:rPr>
          <w:b/>
          <w:bCs/>
          <w:rtl/>
        </w:rPr>
        <w:t>מוחמד סעד נ' מ"י</w:t>
      </w:r>
      <w:r>
        <w:rPr>
          <w:rtl/>
        </w:rPr>
        <w:t>, פורסם בנבו,  ניתן ביום 5.8.13).</w:t>
      </w:r>
    </w:p>
    <w:p w14:paraId="7EB13F18" w14:textId="77777777" w:rsidR="0026539A" w:rsidRDefault="0026539A">
      <w:pPr>
        <w:spacing w:line="360" w:lineRule="auto"/>
        <w:ind w:left="720" w:hanging="720"/>
        <w:jc w:val="both"/>
        <w:rPr>
          <w:rtl/>
        </w:rPr>
      </w:pPr>
    </w:p>
    <w:p w14:paraId="70CE7F84" w14:textId="77777777" w:rsidR="0026539A" w:rsidRDefault="00754D65">
      <w:pPr>
        <w:spacing w:line="360" w:lineRule="auto"/>
        <w:rPr>
          <w:rtl/>
        </w:rPr>
      </w:pPr>
      <w:r>
        <w:rPr>
          <w:rFonts w:hint="cs"/>
          <w:rtl/>
        </w:rPr>
        <w:t>24.</w:t>
      </w:r>
      <w:r>
        <w:rPr>
          <w:rtl/>
        </w:rPr>
        <w:tab/>
      </w:r>
      <w:r>
        <w:rPr>
          <w:rFonts w:hint="cs"/>
          <w:rtl/>
        </w:rPr>
        <w:t>ומהתם להכא:</w:t>
      </w:r>
    </w:p>
    <w:p w14:paraId="3CFED846" w14:textId="77777777" w:rsidR="0026539A" w:rsidRDefault="00754D65">
      <w:pPr>
        <w:spacing w:line="360" w:lineRule="auto"/>
        <w:ind w:left="720"/>
        <w:jc w:val="both"/>
        <w:rPr>
          <w:rtl/>
        </w:rPr>
      </w:pPr>
      <w:r>
        <w:rPr>
          <w:rFonts w:hint="cs"/>
          <w:rtl/>
        </w:rPr>
        <w:t xml:space="preserve">במקרה דנן אין חולק כי העבירות בהן הורשע הנאשם מהוות אירוע אחד, לו ייקבע </w:t>
      </w:r>
      <w:r>
        <w:rPr>
          <w:rFonts w:hint="cs"/>
        </w:rPr>
        <w:t xml:space="preserve"> </w:t>
      </w:r>
      <w:r>
        <w:rPr>
          <w:rFonts w:hint="cs"/>
          <w:rtl/>
        </w:rPr>
        <w:t xml:space="preserve">מתחם עונש הולם, בהינתן כל השיקולים הנדרשים לעניין. ראשית אציין, כי הערך החברתי שנפגע כתוצאה מביצוע העבירות על ידי הנאשם הינו בטחון הציבור בכלל וביטחונם ושלומם של המתלונן ובני משפחתו, בפרט. ודוק, התנהלותו של הנאשם, כפי שעולה ממקרא כתב האישום המתוקן, מגלמת בחובה פגיעה בערכים חברתיים חשובים </w:t>
      </w:r>
      <w:r>
        <w:rPr>
          <w:rtl/>
        </w:rPr>
        <w:t>–</w:t>
      </w:r>
      <w:r>
        <w:rPr>
          <w:rFonts w:hint="cs"/>
          <w:rtl/>
        </w:rPr>
        <w:t xml:space="preserve"> בביטחון הציבור וכן בביטחונם ובקניינם של המתלונן ובני משפחתו. עוד יצוין, כי הנאשם, מעבר לעבירות הנשק ולעבירות של ירי באזור מגורים, היזק בזדון  וניסיון לחבלה במזיד, ביצע גם עבירה של נהיגה ללא רישיון נהיגה, אשר יש בה כדי לסכן את כלל המשתמשים בדרך. </w:t>
      </w:r>
    </w:p>
    <w:p w14:paraId="17BBCFDF" w14:textId="77777777" w:rsidR="0026539A" w:rsidRDefault="0026539A">
      <w:pPr>
        <w:spacing w:line="360" w:lineRule="auto"/>
        <w:ind w:left="720"/>
        <w:jc w:val="both"/>
        <w:rPr>
          <w:rtl/>
        </w:rPr>
      </w:pPr>
    </w:p>
    <w:p w14:paraId="1B225AB5" w14:textId="77777777" w:rsidR="0026539A" w:rsidRDefault="00754D65">
      <w:pPr>
        <w:spacing w:line="360" w:lineRule="auto"/>
        <w:ind w:left="720" w:hanging="720"/>
        <w:jc w:val="both"/>
        <w:rPr>
          <w:rtl/>
        </w:rPr>
      </w:pPr>
      <w:r>
        <w:rPr>
          <w:rFonts w:hint="cs"/>
          <w:rtl/>
        </w:rPr>
        <w:t>25.</w:t>
      </w:r>
      <w:r>
        <w:rPr>
          <w:rFonts w:hint="cs"/>
          <w:rtl/>
        </w:rPr>
        <w:tab/>
        <w:t xml:space="preserve">אין צורך להכביר במילים באשר לחומרת העבירה, שעניינה נשיאת נשק, שהינה עבירה שהעונש המירבי בגינה הוא עונש של 10 שנות מאסר, כל שכן כאשר נלוות לעבירה הנ"ל עבירות נוספות, אשר בוצעו באמצעות הנשק. להמחשת הסכנה הרבה הטמונה בעבירות נשק יפים דבריו הבאים של בית המשפט העליון </w:t>
      </w:r>
      <w:hyperlink r:id="rId49" w:history="1">
        <w:r w:rsidR="0024255D" w:rsidRPr="0024255D">
          <w:rPr>
            <w:rStyle w:val="Hyperlink"/>
            <w:rFonts w:hint="eastAsia"/>
            <w:rtl/>
          </w:rPr>
          <w:t>בע</w:t>
        </w:r>
        <w:r w:rsidR="0024255D" w:rsidRPr="0024255D">
          <w:rPr>
            <w:rStyle w:val="Hyperlink"/>
            <w:rtl/>
          </w:rPr>
          <w:t xml:space="preserve">"פ 6289/13 </w:t>
        </w:r>
      </w:hyperlink>
      <w:r>
        <w:rPr>
          <w:rFonts w:hint="cs"/>
          <w:rtl/>
        </w:rPr>
        <w:t xml:space="preserve"> </w:t>
      </w:r>
      <w:r>
        <w:rPr>
          <w:rFonts w:hint="cs"/>
          <w:b/>
          <w:bCs/>
          <w:rtl/>
        </w:rPr>
        <w:t xml:space="preserve">חנא פרח נ' מ"י </w:t>
      </w:r>
      <w:r>
        <w:rPr>
          <w:rFonts w:hint="cs"/>
          <w:rtl/>
        </w:rPr>
        <w:t>(25.2.14):</w:t>
      </w:r>
    </w:p>
    <w:p w14:paraId="0FFE8A2E" w14:textId="77777777" w:rsidR="0026539A" w:rsidRDefault="0026539A">
      <w:pPr>
        <w:bidi w:val="0"/>
        <w:spacing w:line="276" w:lineRule="auto"/>
        <w:ind w:left="720"/>
      </w:pPr>
    </w:p>
    <w:p w14:paraId="3307B192" w14:textId="77777777" w:rsidR="0026539A" w:rsidRDefault="00754D65">
      <w:pPr>
        <w:spacing w:line="360" w:lineRule="auto"/>
        <w:ind w:left="1440" w:right="567"/>
        <w:jc w:val="both"/>
        <w:rPr>
          <w:b/>
          <w:bCs/>
          <w:rtl/>
        </w:rPr>
      </w:pPr>
      <w:r>
        <w:rPr>
          <w:rFonts w:hint="cs"/>
          <w:rtl/>
        </w:rPr>
        <w:t>"</w:t>
      </w:r>
      <w:r>
        <w:rPr>
          <w:rFonts w:hint="cs"/>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50" w:history="1">
        <w:r w:rsidRPr="00754D65">
          <w:rPr>
            <w:b/>
            <w:bCs/>
            <w:color w:val="0000FF"/>
            <w:u w:val="single"/>
            <w:rtl/>
          </w:rPr>
          <w:t>ע"פ 3156/11</w:t>
        </w:r>
      </w:hyperlink>
      <w:r>
        <w:rPr>
          <w:rFonts w:hint="cs"/>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 . ..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 . . לא ניתן להשלים עם מצב של ירי באזור מגורים בשל סכסוך אישי או כעס שחש המערער כלפי המתלונן. . .".</w:t>
      </w:r>
    </w:p>
    <w:p w14:paraId="493403FB" w14:textId="77777777" w:rsidR="0026539A" w:rsidRDefault="0026539A">
      <w:pPr>
        <w:spacing w:line="360" w:lineRule="auto"/>
        <w:ind w:left="720" w:hanging="720"/>
        <w:jc w:val="both"/>
        <w:rPr>
          <w:rtl/>
        </w:rPr>
      </w:pPr>
    </w:p>
    <w:p w14:paraId="6B899B22" w14:textId="77777777" w:rsidR="0026539A" w:rsidRDefault="00754D65">
      <w:pPr>
        <w:spacing w:line="360" w:lineRule="auto"/>
        <w:ind w:left="720" w:hanging="720"/>
        <w:jc w:val="both"/>
        <w:rPr>
          <w:rtl/>
        </w:rPr>
      </w:pPr>
      <w:r>
        <w:rPr>
          <w:rFonts w:hint="cs"/>
          <w:rtl/>
        </w:rPr>
        <w:t>26.</w:t>
      </w:r>
      <w:r>
        <w:rPr>
          <w:rFonts w:hint="cs"/>
          <w:rtl/>
        </w:rPr>
        <w:tab/>
        <w:t>ומן הכלל אל הפרט:</w:t>
      </w:r>
    </w:p>
    <w:p w14:paraId="19115739" w14:textId="77777777" w:rsidR="0026539A" w:rsidRDefault="00754D65">
      <w:pPr>
        <w:spacing w:line="360" w:lineRule="auto"/>
        <w:ind w:left="720" w:hanging="720"/>
        <w:jc w:val="both"/>
        <w:rPr>
          <w:rtl/>
        </w:rPr>
      </w:pPr>
      <w:r>
        <w:rPr>
          <w:rtl/>
        </w:rPr>
        <w:tab/>
      </w:r>
      <w:r>
        <w:rPr>
          <w:rFonts w:hint="cs"/>
          <w:rtl/>
        </w:rPr>
        <w:t>במסגרת בחינת הנסיבות הקשורות בביצוע העבירות על ידי הנאשם, יצוין, לחומרא התכנון של הנאשם, אשר תכנן מבעוד מועד את מעשיו, כפי שעולה מעיון בכתב האישום המתוקן. כך הגיע הנאשם אל בית המתלונן, כשהוא נוהג בקטנוע, ללא רישיון נהיגה, ונושא עמו נשק טעון בכדורים. לא עלה בידי הנאשם לירות, באמצעות הנשק, על רכבו של המתלונן, שאז ביצע הנאשם ירי לעבר חזית הבית, כאשר באותה עת שהו בו המתלונן ובני משפחתו. לפיכך, מעבר לנזק הרכושי המוערך, עפ"י כתב האישום המתוקן, בסכום של כ- 18,000 ₪, יכול היה המקרה דנן להסתיים, חלילה,  בנזק חמור בהרבה ואף בקיפוד חיי אדם. זאת ועוד, הנאשם ניסה לירות שוב פעמים נוספות לעבר הבית, אולם לא עשה כן אך בשל תקלה בנשק ולא בשל החלטת הנאשם לחדול ממעשיו.</w:t>
      </w:r>
    </w:p>
    <w:p w14:paraId="494BE087" w14:textId="77777777" w:rsidR="0026539A" w:rsidRDefault="0026539A">
      <w:pPr>
        <w:spacing w:line="360" w:lineRule="auto"/>
        <w:ind w:left="720" w:hanging="720"/>
        <w:jc w:val="both"/>
        <w:rPr>
          <w:rtl/>
        </w:rPr>
      </w:pPr>
    </w:p>
    <w:p w14:paraId="7EF16512" w14:textId="77777777" w:rsidR="0026539A" w:rsidRDefault="00754D65">
      <w:pPr>
        <w:spacing w:line="360" w:lineRule="auto"/>
        <w:ind w:left="720" w:hanging="720"/>
        <w:jc w:val="both"/>
        <w:rPr>
          <w:rtl/>
        </w:rPr>
      </w:pPr>
      <w:r>
        <w:rPr>
          <w:rFonts w:hint="cs"/>
          <w:rtl/>
        </w:rPr>
        <w:t>27.</w:t>
      </w:r>
      <w:r>
        <w:rPr>
          <w:rFonts w:hint="cs"/>
          <w:rtl/>
        </w:rPr>
        <w:tab/>
        <w:t xml:space="preserve">במסגרת בחינת המדיניות הנהוגה בגין עבירות דומות, תובא הפסיקה להלן: </w:t>
      </w:r>
    </w:p>
    <w:p w14:paraId="0DBF4F11" w14:textId="77777777" w:rsidR="0026539A" w:rsidRDefault="00754D65">
      <w:pPr>
        <w:spacing w:line="360" w:lineRule="auto"/>
        <w:ind w:left="720" w:hanging="720"/>
        <w:jc w:val="both"/>
        <w:rPr>
          <w:rtl/>
        </w:rPr>
      </w:pPr>
      <w:r>
        <w:rPr>
          <w:rFonts w:hint="cs"/>
          <w:rtl/>
        </w:rPr>
        <w:t xml:space="preserve"> </w:t>
      </w:r>
    </w:p>
    <w:p w14:paraId="7F48E576" w14:textId="77777777" w:rsidR="0026539A" w:rsidRDefault="00754D65">
      <w:pPr>
        <w:spacing w:line="360" w:lineRule="auto"/>
        <w:ind w:left="720" w:hanging="720"/>
        <w:jc w:val="both"/>
        <w:rPr>
          <w:rFonts w:cs="Times New Roman"/>
          <w:rtl/>
        </w:rPr>
      </w:pPr>
      <w:r>
        <w:rPr>
          <w:rFonts w:hint="cs"/>
          <w:rtl/>
        </w:rPr>
        <w:t xml:space="preserve">* </w:t>
      </w:r>
      <w:r>
        <w:rPr>
          <w:rtl/>
        </w:rPr>
        <w:tab/>
      </w:r>
      <w:hyperlink r:id="rId51" w:history="1">
        <w:r w:rsidRPr="00754D65">
          <w:rPr>
            <w:color w:val="0000FF"/>
            <w:u w:val="single"/>
            <w:rtl/>
          </w:rPr>
          <w:t>ת.פ. (מחוזי ב"ש) 28139-10-13</w:t>
        </w:r>
      </w:hyperlink>
      <w:r>
        <w:rPr>
          <w:rFonts w:hint="cs"/>
          <w:rtl/>
        </w:rPr>
        <w:t xml:space="preserve"> </w:t>
      </w:r>
      <w:r>
        <w:rPr>
          <w:rFonts w:hint="cs"/>
          <w:b/>
          <w:bCs/>
          <w:rtl/>
        </w:rPr>
        <w:t>מ"י נ' אבו אעמר</w:t>
      </w:r>
      <w:r>
        <w:rPr>
          <w:rFonts w:hint="cs"/>
          <w:rtl/>
        </w:rPr>
        <w:t xml:space="preserve">(18.1.15). במקרה הנ"ל ירה הנאשם לעבר המתלונן ובנו שישבו ברכב, ממרחק מטרים ספורים. בית המשפט קבע מתחם של בין 3 ל 6 שנות מאסר וגזר על הנאשם (צעיר בן 19.5, נעדר עבר פלילי, אשר הודה במיוחס לו, הגיע להסכם סולחה עם המתלונן ושירות המבחן המליץ בדבר עבודות שירות) עונש של 4 שנות מאסר בפועל וכן רכיבי ענישה נוספים. הוגש ערעור בתיק </w:t>
      </w:r>
      <w:hyperlink r:id="rId52" w:history="1">
        <w:r w:rsidRPr="00754D65">
          <w:rPr>
            <w:color w:val="0000FF"/>
            <w:u w:val="single"/>
            <w:rtl/>
          </w:rPr>
          <w:t>ע"פ 1244/15</w:t>
        </w:r>
      </w:hyperlink>
      <w:r>
        <w:rPr>
          <w:rFonts w:hint="cs"/>
          <w:rtl/>
        </w:rPr>
        <w:t xml:space="preserve"> אשר טרם הוכרע. </w:t>
      </w:r>
      <w:r>
        <w:rPr>
          <w:rFonts w:hint="cs"/>
        </w:rPr>
        <w:t xml:space="preserve"> </w:t>
      </w:r>
    </w:p>
    <w:p w14:paraId="2A97D91A" w14:textId="77777777" w:rsidR="0026539A" w:rsidRDefault="0026539A">
      <w:pPr>
        <w:spacing w:line="360" w:lineRule="auto"/>
        <w:ind w:left="720" w:hanging="720"/>
        <w:jc w:val="both"/>
        <w:rPr>
          <w:rFonts w:cs="Times New Roman"/>
        </w:rPr>
      </w:pPr>
    </w:p>
    <w:p w14:paraId="1E709064" w14:textId="77777777" w:rsidR="0026539A" w:rsidRDefault="00754D65">
      <w:pPr>
        <w:spacing w:line="360" w:lineRule="auto"/>
        <w:ind w:left="720" w:hanging="720"/>
        <w:jc w:val="both"/>
        <w:rPr>
          <w:rFonts w:ascii="Calibri" w:hAnsi="Calibri" w:cs="Arial"/>
          <w:rtl/>
        </w:rPr>
      </w:pPr>
      <w:r>
        <w:rPr>
          <w:rFonts w:hint="cs"/>
          <w:rtl/>
        </w:rPr>
        <w:t>*</w:t>
      </w:r>
      <w:r>
        <w:rPr>
          <w:rtl/>
        </w:rPr>
        <w:tab/>
      </w:r>
      <w:hyperlink r:id="rId53" w:history="1">
        <w:r w:rsidRPr="00754D65">
          <w:rPr>
            <w:color w:val="0000FF"/>
            <w:u w:val="single"/>
            <w:rtl/>
          </w:rPr>
          <w:t>ת.פ. (מחוזי חיפה) 7136/08</w:t>
        </w:r>
      </w:hyperlink>
      <w:r>
        <w:rPr>
          <w:rFonts w:hint="cs"/>
          <w:rtl/>
        </w:rPr>
        <w:t xml:space="preserve"> </w:t>
      </w:r>
      <w:r>
        <w:rPr>
          <w:rFonts w:hint="cs"/>
          <w:b/>
          <w:bCs/>
          <w:rtl/>
        </w:rPr>
        <w:t>מ"י נ' יאסין</w:t>
      </w:r>
      <w:r>
        <w:rPr>
          <w:rFonts w:hint="cs"/>
          <w:rtl/>
        </w:rPr>
        <w:t>(4.12.08). במקרה הנ"ל נגזרו 36 חודשי מאסר על נאשם שירה לעבר מתלונן בעת שהאחרון שהה במסעדה. גם לאחר הירי הראשוני המשיך הנאשם לרדוף אחר המתלונן שניסה להימלט. המתלונן לא נפגע מהירי. הנאשם היה בן 27, בעל עבר פלילי לא מכביד יחסית וכן גובש הסכם סולחה עם המתלונן. הנאשם הודה במיוחס לו. ערעור שהוגש על חומרת העונש – נדחה (</w:t>
      </w:r>
      <w:hyperlink r:id="rId54" w:history="1">
        <w:r w:rsidRPr="00754D65">
          <w:rPr>
            <w:color w:val="0000FF"/>
            <w:u w:val="single"/>
            <w:rtl/>
          </w:rPr>
          <w:t>ע"פ 10837/08</w:t>
        </w:r>
      </w:hyperlink>
      <w:r>
        <w:rPr>
          <w:rFonts w:hint="cs"/>
          <w:rtl/>
        </w:rPr>
        <w:t xml:space="preserve">). </w:t>
      </w:r>
    </w:p>
    <w:p w14:paraId="5F600CEA" w14:textId="77777777" w:rsidR="0026539A" w:rsidRDefault="0026539A">
      <w:pPr>
        <w:bidi w:val="0"/>
        <w:spacing w:line="276" w:lineRule="auto"/>
        <w:ind w:left="720"/>
        <w:rPr>
          <w:rtl/>
        </w:rPr>
      </w:pPr>
    </w:p>
    <w:p w14:paraId="02DC5CE1" w14:textId="77777777" w:rsidR="0026539A" w:rsidRDefault="00754D65">
      <w:pPr>
        <w:spacing w:line="360" w:lineRule="auto"/>
        <w:ind w:left="720" w:hanging="720"/>
        <w:jc w:val="both"/>
      </w:pPr>
      <w:r>
        <w:rPr>
          <w:rFonts w:hint="cs"/>
          <w:rtl/>
        </w:rPr>
        <w:t>*</w:t>
      </w:r>
      <w:r>
        <w:rPr>
          <w:rtl/>
        </w:rPr>
        <w:tab/>
      </w:r>
      <w:hyperlink r:id="rId55" w:history="1">
        <w:r w:rsidRPr="00754D65">
          <w:rPr>
            <w:color w:val="0000FF"/>
            <w:u w:val="single"/>
            <w:rtl/>
          </w:rPr>
          <w:t>ת.פ. (מחוזי ירושלים) 1578-04-13</w:t>
        </w:r>
      </w:hyperlink>
      <w:r>
        <w:rPr>
          <w:rFonts w:hint="cs"/>
          <w:rtl/>
        </w:rPr>
        <w:t xml:space="preserve"> </w:t>
      </w:r>
      <w:r>
        <w:rPr>
          <w:rFonts w:hint="cs"/>
          <w:b/>
          <w:bCs/>
          <w:rtl/>
        </w:rPr>
        <w:t>מ"י נ' עווידה</w:t>
      </w:r>
      <w:r>
        <w:rPr>
          <w:rFonts w:hint="cs"/>
          <w:rtl/>
        </w:rPr>
        <w:t>(19.12.13). במקרה הנ"ל ירה הנאשם לעבר המתלונן ממרפסת ביתו וממרחק של כ 15-</w:t>
      </w:r>
      <w:smartTag w:uri="urn:schemas-microsoft-com:office:smarttags" w:element="metricconverter">
        <w:smartTagPr>
          <w:attr w:name="ProductID" w:val="20 מטרים"/>
        </w:smartTagPr>
        <w:r>
          <w:rPr>
            <w:rFonts w:hint="cs"/>
            <w:rtl/>
          </w:rPr>
          <w:t>20 מטרים</w:t>
        </w:r>
      </w:smartTag>
      <w:r>
        <w:rPr>
          <w:rFonts w:hint="cs"/>
          <w:rtl/>
        </w:rPr>
        <w:t xml:space="preserve">, בהמשך לסכסוך קודם. בית המשפט קבע מתחם של בין 30 חודשי מאסר ועד 5 שנות מאסר וגזר על הנאשם (בן 48, בעל עבר פלילי שאינו מכביד, שהודה במיוחס לו) עונש של 30 חודשי מאסר בפועל. </w:t>
      </w:r>
    </w:p>
    <w:p w14:paraId="5AE3DE7B" w14:textId="77777777" w:rsidR="0026539A" w:rsidRDefault="0026539A">
      <w:pPr>
        <w:spacing w:line="360" w:lineRule="auto"/>
        <w:ind w:left="357"/>
        <w:jc w:val="both"/>
        <w:rPr>
          <w:rFonts w:cs="Times New Roman"/>
          <w:rtl/>
        </w:rPr>
      </w:pPr>
    </w:p>
    <w:p w14:paraId="72DAFE1B" w14:textId="77777777" w:rsidR="0026539A" w:rsidRDefault="00754D65">
      <w:pPr>
        <w:spacing w:line="360" w:lineRule="auto"/>
        <w:ind w:left="720" w:hanging="720"/>
        <w:jc w:val="both"/>
      </w:pPr>
      <w:r>
        <w:rPr>
          <w:rFonts w:hint="cs"/>
          <w:rtl/>
        </w:rPr>
        <w:t>*</w:t>
      </w:r>
      <w:r>
        <w:rPr>
          <w:rtl/>
        </w:rPr>
        <w:tab/>
      </w:r>
      <w:hyperlink r:id="rId56" w:history="1">
        <w:r w:rsidRPr="00754D65">
          <w:rPr>
            <w:color w:val="0000FF"/>
            <w:u w:val="single"/>
            <w:rtl/>
          </w:rPr>
          <w:t>ת.פ. (מחוזי חיפה) 3639-11-14</w:t>
        </w:r>
      </w:hyperlink>
      <w:r>
        <w:rPr>
          <w:rFonts w:hint="cs"/>
          <w:b/>
          <w:bCs/>
          <w:rtl/>
        </w:rPr>
        <w:t xml:space="preserve"> מ"י נ'חסארמה</w:t>
      </w:r>
      <w:r>
        <w:rPr>
          <w:rFonts w:hint="cs"/>
          <w:rtl/>
        </w:rPr>
        <w:t>(19.5.15).</w:t>
      </w:r>
      <w:r>
        <w:rPr>
          <w:rFonts w:hint="cs"/>
          <w:b/>
          <w:bCs/>
          <w:rtl/>
        </w:rPr>
        <w:t xml:space="preserve"> </w:t>
      </w:r>
      <w:r>
        <w:rPr>
          <w:rFonts w:hint="cs"/>
          <w:rtl/>
        </w:rPr>
        <w:t xml:space="preserve">בתיק הנ"ל הורשע הנאשם, עפ"י הודייתו, בביצוע עבירה של נשיאת והובלת נשק ובביצוע עבירה של ניסיון לחבלה חמורה בנסיבות מחמירות. הנאשם במקרה הנ"ל הגיע לבניין כשהוא נושא בידו כלי נשק, וירה לעבר המתלוננים ממרחק של מטרים בודדים לפחות 6 יריות במטרה לגרום להם חבלה חמורה. כתוצאה מהירי, נגרמו נזקים לדירה בקומה השנייה בבניין. עברו של הנאשם הנ"ל נקי וגילו צעיר (בן 21 ומספר חודשים בעת ביצוע העבירות). בית המשפט השית על הנאשם הנ"ל עונש של 36 חודשי מאסר בפועל, בתוספת רכיב ענישה של מאסר על תנאי. </w:t>
      </w:r>
    </w:p>
    <w:p w14:paraId="56535874" w14:textId="77777777" w:rsidR="0026539A" w:rsidRDefault="0026539A">
      <w:pPr>
        <w:spacing w:line="360" w:lineRule="auto"/>
        <w:jc w:val="both"/>
        <w:rPr>
          <w:rtl/>
        </w:rPr>
      </w:pPr>
    </w:p>
    <w:p w14:paraId="567543B7" w14:textId="77777777" w:rsidR="0026539A" w:rsidRDefault="00754D65">
      <w:pPr>
        <w:spacing w:line="360" w:lineRule="auto"/>
        <w:ind w:left="720" w:hanging="720"/>
        <w:jc w:val="both"/>
        <w:rPr>
          <w:rtl/>
        </w:rPr>
      </w:pPr>
      <w:r>
        <w:rPr>
          <w:rtl/>
        </w:rPr>
        <w:t>2</w:t>
      </w:r>
      <w:r>
        <w:rPr>
          <w:rFonts w:hint="cs"/>
          <w:rtl/>
        </w:rPr>
        <w:t>8</w:t>
      </w:r>
      <w:r>
        <w:rPr>
          <w:rtl/>
        </w:rPr>
        <w:t>.</w:t>
      </w:r>
      <w:r>
        <w:rPr>
          <w:rtl/>
        </w:rPr>
        <w:tab/>
      </w:r>
      <w:r>
        <w:rPr>
          <w:rFonts w:hint="cs"/>
          <w:rtl/>
        </w:rPr>
        <w:t xml:space="preserve">לאחר ששקלתי את הערכים החברתיים שנפגעו במקרה שבפנינו, כמו גם את נסיבות ביצוע העבירות, את מדיניות הענישה בפסיקה שהובאה לעיל וכן נתתי את הדעת לפסיקה שהוגשה ע"י ב"כ הצדדים, הגעתי לכלל מסקנה כי מתחם העונש ההולם במקרה שבפנינו נע בין עונש של 30 חודשי מאסר לריצוי בפועל עד לעונש של 48 חודשי מאסר לריצוי בפועל. </w:t>
      </w:r>
    </w:p>
    <w:p w14:paraId="6BB39AB2" w14:textId="77777777" w:rsidR="0026539A" w:rsidRDefault="0026539A">
      <w:pPr>
        <w:spacing w:line="360" w:lineRule="auto"/>
        <w:ind w:left="720" w:hanging="720"/>
        <w:jc w:val="both"/>
        <w:rPr>
          <w:rtl/>
        </w:rPr>
      </w:pPr>
    </w:p>
    <w:p w14:paraId="644288FC" w14:textId="77777777" w:rsidR="0026539A" w:rsidRDefault="00754D65">
      <w:pPr>
        <w:spacing w:line="360" w:lineRule="auto"/>
        <w:ind w:left="720" w:hanging="720"/>
        <w:jc w:val="both"/>
        <w:rPr>
          <w:rtl/>
        </w:rPr>
      </w:pPr>
      <w:r>
        <w:rPr>
          <w:rFonts w:hint="cs"/>
          <w:rtl/>
        </w:rPr>
        <w:t>29.</w:t>
      </w:r>
      <w:r>
        <w:rPr>
          <w:rFonts w:hint="cs"/>
          <w:rtl/>
        </w:rPr>
        <w:tab/>
        <w:t>במסגרת בחינת הנסיבות, אשר אינן קשורות בביצוע העבירות, יצוין, לטובת הנאשם, עברו התעבורתי והפלילי הנקי ללא רבב, כמו גם גילו הצעיר של הנאשם, שהינו כבן 20 שנה. עוד אציין בנקודה זו את טענת הסנגור לגבי עריכת "סולחה", אם כי לא הוגש מסמך כלשהו לאישוש הטענה הנ"ל. לחובת הנאשם אציין, כי מתסקיר שירות המבחן עולה כי הסיכון להישנות מעשים דומים בעתיד מצדו מצוי ברמת סיכון בינונית, אף כי ההליך המשפטי הנוכחי חידד עבורו את גבולות המותר והאסור והיווה עבורו משום גורם הרתעתי. שירות המבחן המליץ במקרה שבפנינו בדבר השתת ענישה מוחשית והרתעתית על הנאשם.</w:t>
      </w:r>
    </w:p>
    <w:p w14:paraId="678E2228" w14:textId="77777777" w:rsidR="0026539A" w:rsidRDefault="0026539A">
      <w:pPr>
        <w:spacing w:line="360" w:lineRule="auto"/>
        <w:ind w:left="720" w:hanging="720"/>
        <w:jc w:val="both"/>
        <w:rPr>
          <w:rtl/>
        </w:rPr>
      </w:pPr>
    </w:p>
    <w:p w14:paraId="52C146FA" w14:textId="77777777" w:rsidR="0026539A" w:rsidRDefault="00754D65">
      <w:pPr>
        <w:spacing w:line="360" w:lineRule="auto"/>
        <w:ind w:left="720" w:hanging="720"/>
        <w:jc w:val="both"/>
        <w:rPr>
          <w:rtl/>
        </w:rPr>
      </w:pPr>
      <w:r>
        <w:rPr>
          <w:rFonts w:hint="cs"/>
          <w:rtl/>
        </w:rPr>
        <w:t>30.</w:t>
      </w:r>
      <w:r>
        <w:rPr>
          <w:rFonts w:hint="cs"/>
          <w:rtl/>
        </w:rPr>
        <w:tab/>
        <w:t>לאחר ששקלתי את הנסיבות אשר אינן קשורות בביצוע העבירות, כמו גם את הודאת הנאשם בהזדמנות הראשונה ואת חרטתו, הגעתי לידי מסקנה כי העונש המתאים במקרה זה הינו עונש של 36 חודשי מאסר בפועל, בצד רכיבי ענישה של מאסר על תנאי ופסילה בפועל מלהחזיק ו/או לקבל רישיון נהיגה וכן פיצוי כספי לטובת המתלונן.</w:t>
      </w:r>
    </w:p>
    <w:p w14:paraId="5BCCB49E" w14:textId="77777777" w:rsidR="0026539A" w:rsidRDefault="0026539A">
      <w:pPr>
        <w:spacing w:line="360" w:lineRule="auto"/>
        <w:ind w:left="720" w:hanging="720"/>
        <w:jc w:val="both"/>
        <w:rPr>
          <w:rtl/>
        </w:rPr>
      </w:pPr>
    </w:p>
    <w:p w14:paraId="5739FC65" w14:textId="77777777" w:rsidR="0026539A" w:rsidRDefault="00754D65">
      <w:pPr>
        <w:spacing w:line="360" w:lineRule="auto"/>
        <w:jc w:val="both"/>
        <w:rPr>
          <w:b/>
          <w:bCs/>
          <w:u w:val="single"/>
          <w:rtl/>
        </w:rPr>
      </w:pPr>
      <w:r>
        <w:rPr>
          <w:rFonts w:hint="cs"/>
          <w:b/>
          <w:bCs/>
          <w:u w:val="single"/>
          <w:rtl/>
        </w:rPr>
        <w:t>אחרית דבר</w:t>
      </w:r>
    </w:p>
    <w:p w14:paraId="66949737" w14:textId="77777777" w:rsidR="0026539A" w:rsidRDefault="00754D65">
      <w:pPr>
        <w:spacing w:line="360" w:lineRule="auto"/>
        <w:jc w:val="both"/>
        <w:rPr>
          <w:rtl/>
        </w:rPr>
      </w:pPr>
      <w:r>
        <w:rPr>
          <w:rFonts w:hint="cs"/>
          <w:rtl/>
        </w:rPr>
        <w:t>31.</w:t>
      </w:r>
      <w:r>
        <w:rPr>
          <w:rFonts w:hint="cs"/>
          <w:rtl/>
        </w:rPr>
        <w:tab/>
        <w:t>סיכומו של דבר אני דנה את הנאשם, כדלקמן:</w:t>
      </w:r>
    </w:p>
    <w:p w14:paraId="6D7A01BA" w14:textId="77777777" w:rsidR="0026539A" w:rsidRDefault="00754D65">
      <w:pPr>
        <w:spacing w:line="360" w:lineRule="auto"/>
        <w:jc w:val="both"/>
        <w:rPr>
          <w:rtl/>
        </w:rPr>
      </w:pPr>
      <w:r>
        <w:rPr>
          <w:rtl/>
        </w:rPr>
        <w:tab/>
      </w:r>
      <w:r>
        <w:rPr>
          <w:rFonts w:hint="cs"/>
          <w:rtl/>
        </w:rPr>
        <w:t xml:space="preserve">למאסר בפועל לתקופה של 36 חודש, בניכוי ימי מעצרו (מיום 8.1.15). </w:t>
      </w:r>
    </w:p>
    <w:p w14:paraId="7CA13A39" w14:textId="77777777" w:rsidR="0026539A" w:rsidRDefault="0026539A">
      <w:pPr>
        <w:jc w:val="both"/>
        <w:rPr>
          <w:rtl/>
        </w:rPr>
      </w:pPr>
    </w:p>
    <w:p w14:paraId="50438E13" w14:textId="77777777" w:rsidR="0026539A" w:rsidRDefault="00754D65">
      <w:pPr>
        <w:spacing w:line="360" w:lineRule="auto"/>
        <w:ind w:left="720"/>
        <w:jc w:val="both"/>
        <w:rPr>
          <w:rtl/>
        </w:rPr>
      </w:pPr>
      <w:r>
        <w:rPr>
          <w:rFonts w:hint="cs"/>
          <w:rtl/>
        </w:rPr>
        <w:t xml:space="preserve">למאסר על תנאי לתקופה של 15 חודש למשך 3 שנים והתנאי הוא כי לא יעבור עבירה מסוג פשע לפי </w:t>
      </w:r>
      <w:hyperlink r:id="rId57" w:history="1">
        <w:r w:rsidR="00280C09" w:rsidRPr="00280C09">
          <w:rPr>
            <w:rStyle w:val="Hyperlink"/>
            <w:rFonts w:hint="eastAsia"/>
            <w:rtl/>
          </w:rPr>
          <w:t>סעיף</w:t>
        </w:r>
        <w:r w:rsidR="00280C09" w:rsidRPr="00280C09">
          <w:rPr>
            <w:rStyle w:val="Hyperlink"/>
            <w:rtl/>
          </w:rPr>
          <w:t xml:space="preserve"> 144</w:t>
        </w:r>
      </w:hyperlink>
      <w:r>
        <w:rPr>
          <w:rFonts w:hint="cs"/>
          <w:rtl/>
        </w:rPr>
        <w:t xml:space="preserve"> ל</w:t>
      </w:r>
      <w:hyperlink r:id="rId58" w:history="1">
        <w:r w:rsidRPr="00754D65">
          <w:rPr>
            <w:color w:val="0000FF"/>
            <w:u w:val="single"/>
            <w:rtl/>
          </w:rPr>
          <w:t>חוק העונשין</w:t>
        </w:r>
      </w:hyperlink>
      <w:r>
        <w:rPr>
          <w:rFonts w:hint="cs"/>
          <w:rtl/>
        </w:rPr>
        <w:t xml:space="preserve">. </w:t>
      </w:r>
    </w:p>
    <w:p w14:paraId="4AAE41FF" w14:textId="77777777" w:rsidR="0026539A" w:rsidRDefault="0026539A">
      <w:pPr>
        <w:jc w:val="both"/>
        <w:rPr>
          <w:rtl/>
        </w:rPr>
      </w:pPr>
    </w:p>
    <w:p w14:paraId="1A26BE56" w14:textId="77777777" w:rsidR="0026539A" w:rsidRDefault="00754D65">
      <w:pPr>
        <w:spacing w:line="360" w:lineRule="auto"/>
        <w:ind w:left="720"/>
        <w:jc w:val="both"/>
        <w:rPr>
          <w:rtl/>
        </w:rPr>
      </w:pPr>
      <w:r>
        <w:rPr>
          <w:rFonts w:hint="cs"/>
          <w:rtl/>
        </w:rPr>
        <w:t xml:space="preserve">למאסר על תנאי לתקופה של 6 חודשים למשך 3 שנים והתנאי הוא כי לא יעבור עבירה לפי </w:t>
      </w:r>
      <w:hyperlink r:id="rId59" w:history="1">
        <w:r w:rsidR="00280C09" w:rsidRPr="00280C09">
          <w:rPr>
            <w:rStyle w:val="Hyperlink"/>
            <w:rFonts w:hint="eastAsia"/>
            <w:rtl/>
          </w:rPr>
          <w:t>סעיפים</w:t>
        </w:r>
        <w:r w:rsidR="00280C09" w:rsidRPr="00280C09">
          <w:rPr>
            <w:rStyle w:val="Hyperlink"/>
            <w:rtl/>
          </w:rPr>
          <w:t xml:space="preserve"> 340א</w:t>
        </w:r>
      </w:hyperlink>
      <w:r>
        <w:rPr>
          <w:rFonts w:hint="cs"/>
          <w:rtl/>
        </w:rPr>
        <w:t xml:space="preserve">, </w:t>
      </w:r>
      <w:hyperlink r:id="rId60" w:history="1">
        <w:r w:rsidR="00280C09" w:rsidRPr="00280C09">
          <w:rPr>
            <w:rStyle w:val="Hyperlink"/>
            <w:rtl/>
          </w:rPr>
          <w:t>452</w:t>
        </w:r>
      </w:hyperlink>
      <w:r>
        <w:rPr>
          <w:rFonts w:hint="cs"/>
          <w:rtl/>
        </w:rPr>
        <w:t xml:space="preserve"> או </w:t>
      </w:r>
      <w:hyperlink r:id="rId61" w:history="1">
        <w:r w:rsidR="00280C09" w:rsidRPr="00280C09">
          <w:rPr>
            <w:rStyle w:val="Hyperlink"/>
            <w:rtl/>
          </w:rPr>
          <w:t>413ה</w:t>
        </w:r>
      </w:hyperlink>
      <w:r>
        <w:rPr>
          <w:rFonts w:hint="cs"/>
          <w:rtl/>
        </w:rPr>
        <w:t xml:space="preserve"> ל</w:t>
      </w:r>
      <w:hyperlink r:id="rId62" w:history="1">
        <w:r w:rsidRPr="00754D65">
          <w:rPr>
            <w:color w:val="0000FF"/>
            <w:u w:val="single"/>
            <w:rtl/>
          </w:rPr>
          <w:t>חוק העונשין</w:t>
        </w:r>
      </w:hyperlink>
      <w:r>
        <w:rPr>
          <w:rFonts w:hint="cs"/>
          <w:rtl/>
        </w:rPr>
        <w:t xml:space="preserve"> או עבירה לפי </w:t>
      </w:r>
      <w:hyperlink r:id="rId63" w:history="1">
        <w:r w:rsidR="00280C09" w:rsidRPr="00280C09">
          <w:rPr>
            <w:rStyle w:val="Hyperlink"/>
            <w:rFonts w:hint="eastAsia"/>
            <w:rtl/>
          </w:rPr>
          <w:t>סעיף</w:t>
        </w:r>
        <w:r w:rsidR="00280C09" w:rsidRPr="00280C09">
          <w:rPr>
            <w:rStyle w:val="Hyperlink"/>
            <w:rtl/>
          </w:rPr>
          <w:t xml:space="preserve"> 67</w:t>
        </w:r>
      </w:hyperlink>
      <w:r>
        <w:rPr>
          <w:rFonts w:hint="cs"/>
          <w:rtl/>
        </w:rPr>
        <w:t xml:space="preserve"> ל</w:t>
      </w:r>
      <w:hyperlink r:id="rId64" w:history="1">
        <w:r w:rsidRPr="00754D65">
          <w:rPr>
            <w:color w:val="0000FF"/>
            <w:u w:val="single"/>
            <w:rtl/>
          </w:rPr>
          <w:t>פקודת התעבורה</w:t>
        </w:r>
      </w:hyperlink>
      <w:r>
        <w:rPr>
          <w:rFonts w:hint="cs"/>
          <w:rtl/>
        </w:rPr>
        <w:t xml:space="preserve"> ויורשע בגין אחת מהן.</w:t>
      </w:r>
    </w:p>
    <w:p w14:paraId="5B60B5E4" w14:textId="77777777" w:rsidR="0026539A" w:rsidRDefault="0026539A">
      <w:pPr>
        <w:ind w:left="720"/>
        <w:jc w:val="both"/>
        <w:rPr>
          <w:rtl/>
        </w:rPr>
      </w:pPr>
    </w:p>
    <w:p w14:paraId="282EE510" w14:textId="77777777" w:rsidR="0026539A" w:rsidRDefault="00754D65">
      <w:pPr>
        <w:spacing w:line="360" w:lineRule="auto"/>
        <w:ind w:left="720"/>
        <w:jc w:val="both"/>
        <w:rPr>
          <w:rtl/>
        </w:rPr>
      </w:pPr>
      <w:r>
        <w:rPr>
          <w:rFonts w:hint="cs"/>
          <w:rtl/>
        </w:rPr>
        <w:t>הנני מורה בדבר פסילת הנאשם בפועל מלקבל או מלהחזיק רישיון נהיגה לתקופה של 9 חודשים מיום שחרורו ממאסר.</w:t>
      </w:r>
    </w:p>
    <w:p w14:paraId="2A166C9B" w14:textId="77777777" w:rsidR="0026539A" w:rsidRDefault="0026539A">
      <w:pPr>
        <w:ind w:left="720"/>
        <w:jc w:val="both"/>
        <w:rPr>
          <w:rtl/>
        </w:rPr>
      </w:pPr>
    </w:p>
    <w:p w14:paraId="39514F53" w14:textId="77777777" w:rsidR="0026539A" w:rsidRDefault="00754D65">
      <w:pPr>
        <w:spacing w:line="360" w:lineRule="auto"/>
        <w:ind w:left="720"/>
        <w:jc w:val="both"/>
        <w:rPr>
          <w:rtl/>
        </w:rPr>
      </w:pPr>
      <w:r>
        <w:rPr>
          <w:rFonts w:hint="cs"/>
          <w:rtl/>
        </w:rPr>
        <w:t>הנני מורה לנאשם לפצות את המתלונן, נדאל זחאלקה (עד תביעה מס' 2) לפי כתב האישום, פיצוי בסכום של 20,000 ₪, זאת בתיתי את הדעת לשווי הנזק שנגרם לבית המתלונן (כ- 18,000 ₪) וכן לפגיעה בשלוות נפשם של המתלונן ובני משפחתו. הסכום הנ"ל יופקד ע"י הנאשם בקופת בית המשפט עד ליום 1.10.15. על המאשימה להמציא את פרטי המתלונן הנ"ל במזכירות בית המשפט תוך 7 ימים וכן להמציא למתלונן העתק מגזר הדין.</w:t>
      </w:r>
    </w:p>
    <w:p w14:paraId="7F5CF4E5" w14:textId="77777777" w:rsidR="0026539A" w:rsidRDefault="0026539A">
      <w:pPr>
        <w:ind w:left="720"/>
        <w:jc w:val="both"/>
        <w:rPr>
          <w:u w:val="single"/>
          <w:rtl/>
        </w:rPr>
      </w:pPr>
    </w:p>
    <w:p w14:paraId="2C2BFBEA" w14:textId="77777777" w:rsidR="0026539A" w:rsidRDefault="00754D65">
      <w:pPr>
        <w:spacing w:line="360" w:lineRule="auto"/>
        <w:ind w:left="720"/>
        <w:jc w:val="both"/>
        <w:rPr>
          <w:u w:val="single"/>
          <w:rtl/>
        </w:rPr>
      </w:pPr>
      <w:r>
        <w:rPr>
          <w:rFonts w:hint="cs"/>
          <w:u w:val="single"/>
          <w:rtl/>
        </w:rPr>
        <w:t xml:space="preserve">המזכירות תמציא העתק מגזר הדין לשירות המבחן. </w:t>
      </w:r>
    </w:p>
    <w:p w14:paraId="2E6C0A43" w14:textId="77777777" w:rsidR="0026539A" w:rsidRDefault="00754D65">
      <w:pPr>
        <w:spacing w:line="360" w:lineRule="auto"/>
        <w:ind w:left="720"/>
        <w:jc w:val="both"/>
        <w:rPr>
          <w:b/>
          <w:bCs/>
          <w:rtl/>
        </w:rPr>
      </w:pPr>
      <w:r>
        <w:rPr>
          <w:rFonts w:hint="cs"/>
          <w:b/>
          <w:bCs/>
          <w:rtl/>
        </w:rPr>
        <w:t xml:space="preserve">זכות ערעור לבית המשפט העליון בתוך 45 יום. </w:t>
      </w:r>
    </w:p>
    <w:p w14:paraId="01D28668" w14:textId="77777777" w:rsidR="0026539A" w:rsidRDefault="0026539A">
      <w:pPr>
        <w:rPr>
          <w:rtl/>
        </w:rPr>
      </w:pPr>
    </w:p>
    <w:p w14:paraId="047B0400" w14:textId="77777777" w:rsidR="0026539A" w:rsidRDefault="00754D65">
      <w:pPr>
        <w:spacing w:line="360" w:lineRule="auto"/>
        <w:jc w:val="both"/>
        <w:rPr>
          <w:rFonts w:ascii="Arial" w:hAnsi="Arial"/>
        </w:rPr>
      </w:pPr>
      <w:r w:rsidRPr="00754D65">
        <w:rPr>
          <w:rFonts w:ascii="Arial" w:hAnsi="Arial"/>
          <w:color w:val="FFFFFF"/>
          <w:sz w:val="2"/>
          <w:szCs w:val="2"/>
          <w:rtl/>
        </w:rPr>
        <w:t>5129371</w:t>
      </w:r>
      <w:r>
        <w:rPr>
          <w:rFonts w:ascii="Arial" w:hAnsi="Arial"/>
          <w:rtl/>
        </w:rPr>
        <w:t xml:space="preserve">ניתן היום, י"א תמוז תשע"ה, 28 יוני 2015, במעמד ב"כ המאשימה, הנאשם וסנגורו. </w:t>
      </w:r>
    </w:p>
    <w:tbl>
      <w:tblPr>
        <w:tblpPr w:leftFromText="180" w:rightFromText="180" w:vertAnchor="text" w:horzAnchor="margin" w:tblpY="182"/>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26539A" w14:paraId="1544FECC" w14:textId="77777777">
        <w:trPr>
          <w:trHeight w:val="316"/>
        </w:trPr>
        <w:tc>
          <w:tcPr>
            <w:tcW w:w="3936" w:type="dxa"/>
            <w:tcBorders>
              <w:top w:val="nil"/>
              <w:left w:val="nil"/>
              <w:bottom w:val="single" w:sz="4" w:space="0" w:color="auto"/>
              <w:right w:val="nil"/>
            </w:tcBorders>
            <w:shd w:val="clear" w:color="auto" w:fill="auto"/>
          </w:tcPr>
          <w:p w14:paraId="7E551AA9" w14:textId="77777777" w:rsidR="0026539A" w:rsidRPr="00754D65" w:rsidRDefault="00754D65">
            <w:pPr>
              <w:jc w:val="center"/>
              <w:rPr>
                <w:rFonts w:cs="Times New Roman"/>
                <w:color w:val="FFFFFF"/>
                <w:sz w:val="2"/>
                <w:szCs w:val="2"/>
              </w:rPr>
            </w:pPr>
            <w:r w:rsidRPr="00754D65">
              <w:rPr>
                <w:rFonts w:cs="Times New Roman"/>
                <w:color w:val="FFFFFF"/>
                <w:sz w:val="2"/>
                <w:szCs w:val="2"/>
                <w:rtl/>
              </w:rPr>
              <w:t>54678313</w:t>
            </w:r>
          </w:p>
          <w:p w14:paraId="21ECD21A" w14:textId="77777777" w:rsidR="0026539A" w:rsidRDefault="0026539A">
            <w:pPr>
              <w:jc w:val="center"/>
            </w:pPr>
          </w:p>
        </w:tc>
      </w:tr>
      <w:tr w:rsidR="0026539A" w14:paraId="0CD8D380" w14:textId="77777777">
        <w:trPr>
          <w:trHeight w:val="361"/>
        </w:trPr>
        <w:tc>
          <w:tcPr>
            <w:tcW w:w="3936" w:type="dxa"/>
            <w:tcBorders>
              <w:top w:val="single" w:sz="4" w:space="0" w:color="auto"/>
              <w:left w:val="nil"/>
              <w:bottom w:val="nil"/>
              <w:right w:val="nil"/>
            </w:tcBorders>
            <w:shd w:val="clear" w:color="auto" w:fill="auto"/>
          </w:tcPr>
          <w:p w14:paraId="12EF994D" w14:textId="77777777" w:rsidR="0026539A" w:rsidRDefault="00754D65">
            <w:pPr>
              <w:jc w:val="center"/>
              <w:rPr>
                <w:b/>
                <w:bCs/>
                <w:rtl/>
              </w:rPr>
            </w:pPr>
            <w:r>
              <w:rPr>
                <w:rFonts w:hint="cs"/>
                <w:b/>
                <w:bCs/>
                <w:rtl/>
              </w:rPr>
              <w:t xml:space="preserve">רונית </w:t>
            </w:r>
            <w:r>
              <w:rPr>
                <w:rFonts w:cs="Times New Roman" w:hint="cs"/>
                <w:b/>
                <w:bCs/>
                <w:rtl/>
              </w:rPr>
              <w:t>בש</w:t>
            </w:r>
            <w:r>
              <w:rPr>
                <w:rFonts w:hint="cs"/>
                <w:b/>
                <w:bCs/>
                <w:rtl/>
              </w:rPr>
              <w:t xml:space="preserve"> , </w:t>
            </w:r>
            <w:r>
              <w:rPr>
                <w:rFonts w:cs="Times New Roman" w:hint="cs"/>
                <w:b/>
                <w:bCs/>
                <w:rtl/>
              </w:rPr>
              <w:t>שופטת</w:t>
            </w:r>
            <w:r>
              <w:rPr>
                <w:rFonts w:hint="cs"/>
                <w:b/>
                <w:bCs/>
                <w:rtl/>
              </w:rPr>
              <w:t xml:space="preserve"> </w:t>
            </w:r>
          </w:p>
        </w:tc>
      </w:tr>
    </w:tbl>
    <w:p w14:paraId="753695A3" w14:textId="77777777" w:rsidR="0026539A" w:rsidRDefault="00754D65">
      <w:pPr>
        <w:jc w:val="center"/>
        <w:rPr>
          <w:rFonts w:ascii="Arial" w:hAnsi="Arial" w:cs="FrankRuehl"/>
          <w:sz w:val="28"/>
          <w:szCs w:val="28"/>
          <w:rtl/>
        </w:rPr>
      </w:pPr>
      <w:r>
        <w:rPr>
          <w:rFonts w:ascii="Arial" w:hAnsi="Arial" w:cs="FrankRuehl" w:hint="cs"/>
          <w:sz w:val="28"/>
          <w:szCs w:val="28"/>
          <w:rtl/>
        </w:rPr>
        <w:t xml:space="preserve"> </w:t>
      </w:r>
    </w:p>
    <w:p w14:paraId="4A177AA3" w14:textId="77777777" w:rsidR="0026539A" w:rsidRDefault="0026539A">
      <w:pPr>
        <w:jc w:val="center"/>
        <w:rPr>
          <w:rFonts w:ascii="Arial" w:hAnsi="Arial" w:cs="FrankRuehl"/>
          <w:sz w:val="28"/>
          <w:szCs w:val="28"/>
          <w:rtl/>
        </w:rPr>
      </w:pPr>
    </w:p>
    <w:p w14:paraId="01C892C4" w14:textId="77777777" w:rsidR="00754D65" w:rsidRPr="00754D65" w:rsidRDefault="00754D65" w:rsidP="00754D65">
      <w:pPr>
        <w:keepNext/>
        <w:rPr>
          <w:rFonts w:ascii="David" w:hAnsi="David"/>
          <w:color w:val="000000"/>
          <w:sz w:val="22"/>
          <w:szCs w:val="22"/>
          <w:rtl/>
        </w:rPr>
      </w:pPr>
    </w:p>
    <w:p w14:paraId="06B30AA0" w14:textId="77777777" w:rsidR="00754D65" w:rsidRPr="00754D65" w:rsidRDefault="00754D65" w:rsidP="00754D65">
      <w:pPr>
        <w:keepNext/>
        <w:rPr>
          <w:rFonts w:ascii="David" w:hAnsi="David"/>
          <w:color w:val="000000"/>
          <w:sz w:val="22"/>
          <w:szCs w:val="22"/>
          <w:rtl/>
        </w:rPr>
      </w:pPr>
      <w:r w:rsidRPr="00754D65">
        <w:rPr>
          <w:rFonts w:ascii="David" w:hAnsi="David"/>
          <w:color w:val="000000"/>
          <w:sz w:val="22"/>
          <w:szCs w:val="22"/>
          <w:rtl/>
        </w:rPr>
        <w:t>רונית בש 54678313</w:t>
      </w:r>
    </w:p>
    <w:p w14:paraId="1DAB500E" w14:textId="77777777" w:rsidR="00754D65" w:rsidRDefault="00754D65" w:rsidP="00754D65">
      <w:r w:rsidRPr="00754D65">
        <w:rPr>
          <w:color w:val="000000"/>
          <w:rtl/>
        </w:rPr>
        <w:t>נוסח מסמך זה כפוף לשינויי ניסוח ועריכה</w:t>
      </w:r>
    </w:p>
    <w:p w14:paraId="502AEED6" w14:textId="77777777" w:rsidR="00754D65" w:rsidRDefault="00754D65" w:rsidP="00754D65">
      <w:pPr>
        <w:rPr>
          <w:rtl/>
        </w:rPr>
      </w:pPr>
    </w:p>
    <w:p w14:paraId="1A195675" w14:textId="77777777" w:rsidR="00754D65" w:rsidRDefault="00754D65" w:rsidP="00754D65">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5916860B" w14:textId="77777777" w:rsidR="0026539A" w:rsidRPr="00754D65" w:rsidRDefault="0026539A" w:rsidP="00754D65">
      <w:pPr>
        <w:jc w:val="center"/>
        <w:rPr>
          <w:color w:val="0000FF"/>
          <w:u w:val="single"/>
        </w:rPr>
      </w:pPr>
    </w:p>
    <w:sectPr w:rsidR="0026539A" w:rsidRPr="00754D65" w:rsidSect="00754D65">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4BA9F" w14:textId="77777777" w:rsidR="009C70AA" w:rsidRDefault="009C70AA">
      <w:r>
        <w:separator/>
      </w:r>
    </w:p>
  </w:endnote>
  <w:endnote w:type="continuationSeparator" w:id="0">
    <w:p w14:paraId="0BC8C8CF" w14:textId="77777777" w:rsidR="009C70AA" w:rsidRDefault="009C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Normal-1255">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89E31" w14:textId="77777777" w:rsidR="00B25AC9" w:rsidRDefault="00B25AC9" w:rsidP="00754D6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99715B" w14:textId="77777777" w:rsidR="00B25AC9" w:rsidRPr="00754D65" w:rsidRDefault="00B25AC9" w:rsidP="00754D65">
    <w:pPr>
      <w:pStyle w:val="a4"/>
      <w:pBdr>
        <w:top w:val="single" w:sz="4" w:space="1" w:color="auto"/>
        <w:between w:val="single" w:sz="4" w:space="0" w:color="auto"/>
      </w:pBdr>
      <w:spacing w:after="60"/>
      <w:jc w:val="center"/>
      <w:rPr>
        <w:rFonts w:ascii="FrankRuehl" w:hAnsi="FrankRuehl" w:cs="FrankRuehl"/>
        <w:color w:val="000000"/>
      </w:rPr>
    </w:pPr>
    <w:r w:rsidRPr="00754D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F5283" w14:textId="77777777" w:rsidR="00B25AC9" w:rsidRDefault="00B25AC9" w:rsidP="00754D6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3E72">
      <w:rPr>
        <w:rFonts w:ascii="FrankRuehl" w:hAnsi="FrankRuehl" w:cs="FrankRuehl"/>
        <w:noProof/>
        <w:rtl/>
      </w:rPr>
      <w:t>1</w:t>
    </w:r>
    <w:r>
      <w:rPr>
        <w:rFonts w:ascii="FrankRuehl" w:hAnsi="FrankRuehl" w:cs="FrankRuehl"/>
        <w:rtl/>
      </w:rPr>
      <w:fldChar w:fldCharType="end"/>
    </w:r>
  </w:p>
  <w:p w14:paraId="207D3A31" w14:textId="77777777" w:rsidR="00B25AC9" w:rsidRPr="00754D65" w:rsidRDefault="00B25AC9" w:rsidP="00754D65">
    <w:pPr>
      <w:pStyle w:val="a4"/>
      <w:pBdr>
        <w:top w:val="single" w:sz="4" w:space="1" w:color="auto"/>
        <w:between w:val="single" w:sz="4" w:space="0" w:color="auto"/>
      </w:pBdr>
      <w:spacing w:after="60"/>
      <w:jc w:val="center"/>
      <w:rPr>
        <w:rFonts w:ascii="FrankRuehl" w:hAnsi="FrankRuehl" w:cs="FrankRuehl"/>
        <w:color w:val="000000"/>
      </w:rPr>
    </w:pPr>
    <w:r w:rsidRPr="00754D65">
      <w:rPr>
        <w:rFonts w:ascii="FrankRuehl" w:hAnsi="FrankRuehl" w:cs="FrankRuehl"/>
        <w:color w:val="000000"/>
      </w:rPr>
      <w:pict w14:anchorId="49D08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63A59" w14:textId="77777777" w:rsidR="009C70AA" w:rsidRDefault="009C70AA">
      <w:r>
        <w:separator/>
      </w:r>
    </w:p>
  </w:footnote>
  <w:footnote w:type="continuationSeparator" w:id="0">
    <w:p w14:paraId="56C95406" w14:textId="77777777" w:rsidR="009C70AA" w:rsidRDefault="009C7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0D78A" w14:textId="77777777" w:rsidR="00B25AC9" w:rsidRPr="00754D65" w:rsidRDefault="00B25AC9" w:rsidP="00754D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39731-01-15</w:t>
    </w:r>
    <w:r>
      <w:rPr>
        <w:rFonts w:ascii="David" w:hAnsi="David"/>
        <w:color w:val="000000"/>
        <w:sz w:val="22"/>
        <w:szCs w:val="22"/>
        <w:rtl/>
      </w:rPr>
      <w:tab/>
      <w:t xml:space="preserve"> מדינת ישראל נ' אסמאעיל קבהא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231ED" w14:textId="77777777" w:rsidR="00B25AC9" w:rsidRPr="00754D65" w:rsidRDefault="00B25AC9" w:rsidP="00754D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39731-01-15</w:t>
    </w:r>
    <w:r>
      <w:rPr>
        <w:rFonts w:ascii="David" w:hAnsi="David"/>
        <w:color w:val="000000"/>
        <w:sz w:val="22"/>
        <w:szCs w:val="22"/>
        <w:rtl/>
      </w:rPr>
      <w:tab/>
      <w:t xml:space="preserve"> מדינת ישראל נ' אסמאעיל קבהא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539A"/>
    <w:rsid w:val="00077460"/>
    <w:rsid w:val="0024255D"/>
    <w:rsid w:val="0026539A"/>
    <w:rsid w:val="00280C09"/>
    <w:rsid w:val="00400614"/>
    <w:rsid w:val="007513A0"/>
    <w:rsid w:val="00754D65"/>
    <w:rsid w:val="007B3E72"/>
    <w:rsid w:val="009C70AA"/>
    <w:rsid w:val="00B25AC9"/>
    <w:rsid w:val="00FF31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17139C5"/>
  <w15:chartTrackingRefBased/>
  <w15:docId w15:val="{6FB283CA-92BB-4F18-A92A-9C713B80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539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6539A"/>
    <w:pPr>
      <w:tabs>
        <w:tab w:val="center" w:pos="4153"/>
        <w:tab w:val="right" w:pos="8306"/>
      </w:tabs>
    </w:pPr>
  </w:style>
  <w:style w:type="paragraph" w:styleId="a4">
    <w:name w:val="footer"/>
    <w:basedOn w:val="a"/>
    <w:rsid w:val="0026539A"/>
    <w:pPr>
      <w:tabs>
        <w:tab w:val="center" w:pos="4153"/>
        <w:tab w:val="right" w:pos="8306"/>
      </w:tabs>
    </w:pPr>
  </w:style>
  <w:style w:type="character" w:styleId="a5">
    <w:name w:val="page number"/>
    <w:basedOn w:val="a0"/>
    <w:rsid w:val="0026539A"/>
  </w:style>
  <w:style w:type="character" w:customStyle="1" w:styleId="TimesNewRomanTimesNewRoman">
    <w:name w:val="סגנון (לטיני) Times New Roman (עברית ושפות אחרות) Times New Roman..."/>
    <w:rsid w:val="0026539A"/>
    <w:rPr>
      <w:rFonts w:ascii="Times New Roman" w:hAnsi="Times New Roman" w:cs="David" w:hint="default"/>
      <w:b/>
      <w:bCs/>
      <w:sz w:val="26"/>
      <w:szCs w:val="26"/>
    </w:rPr>
  </w:style>
  <w:style w:type="character" w:styleId="Hyperlink">
    <w:name w:val="Hyperlink"/>
    <w:rsid w:val="00754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5227/62.1" TargetMode="External"/><Relationship Id="rId42" Type="http://schemas.openxmlformats.org/officeDocument/2006/relationships/hyperlink" Target="http://www.nevo.co.il/law/70301/40c" TargetMode="External"/><Relationship Id="rId47" Type="http://schemas.openxmlformats.org/officeDocument/2006/relationships/hyperlink" Target="http://www.nevo.co.il/law/70301/40jc.b" TargetMode="External"/><Relationship Id="rId63" Type="http://schemas.openxmlformats.org/officeDocument/2006/relationships/hyperlink" Target="http://www.nevo.co.il/law/5227/67" TargetMode="External"/><Relationship Id="rId68" Type="http://schemas.openxmlformats.org/officeDocument/2006/relationships/footer" Target="footer1.xml"/><Relationship Id="rId7" Type="http://schemas.openxmlformats.org/officeDocument/2006/relationships/hyperlink" Target="http://www.nevo.co.il/law/70301/25"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413e" TargetMode="External"/><Relationship Id="rId29" Type="http://schemas.openxmlformats.org/officeDocument/2006/relationships/hyperlink" Target="http://www.nevo.co.il/law/70301/452"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4501/2" TargetMode="External"/><Relationship Id="rId32" Type="http://schemas.openxmlformats.org/officeDocument/2006/relationships/hyperlink" Target="http://www.nevo.co.il/law/5227/10.a" TargetMode="External"/><Relationship Id="rId37" Type="http://schemas.openxmlformats.org/officeDocument/2006/relationships/hyperlink" Target="http://www.nevo.co.il/law/5227/38"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485477" TargetMode="External"/><Relationship Id="rId58" Type="http://schemas.openxmlformats.org/officeDocument/2006/relationships/hyperlink" Target="http://www.nevo.co.il/law/70301" TargetMode="External"/><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www.nevo.co.il/law/70301/413e" TargetMode="External"/><Relationship Id="rId19" Type="http://schemas.openxmlformats.org/officeDocument/2006/relationships/hyperlink" Target="http://www.nevo.co.il/law/5227/10.a"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law/5227/6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13e" TargetMode="External"/><Relationship Id="rId35" Type="http://schemas.openxmlformats.org/officeDocument/2006/relationships/hyperlink" Target="http://www.nevo.co.il/law/74501/2"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573417" TargetMode="External"/><Relationship Id="rId56" Type="http://schemas.openxmlformats.org/officeDocument/2006/relationships/hyperlink" Target="http://www.nevo.co.il/case/18124293" TargetMode="External"/><Relationship Id="rId64" Type="http://schemas.openxmlformats.org/officeDocument/2006/relationships/hyperlink" Target="http://www.nevo.co.il/law/5227" TargetMode="External"/><Relationship Id="rId69"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case/8437593"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5227/62.1" TargetMode="External"/><Relationship Id="rId38" Type="http://schemas.openxmlformats.org/officeDocument/2006/relationships/hyperlink" Target="http://www.nevo.co.il/law/5227"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340a" TargetMode="External"/><Relationship Id="rId67" Type="http://schemas.openxmlformats.org/officeDocument/2006/relationships/header" Target="header2.xml"/><Relationship Id="rId20" Type="http://schemas.openxmlformats.org/officeDocument/2006/relationships/hyperlink" Target="http://www.nevo.co.il/law/5227/38" TargetMode="External"/><Relationship Id="rId41" Type="http://schemas.openxmlformats.org/officeDocument/2006/relationships/hyperlink" Target="http://www.nevo.co.il/case/6243627" TargetMode="External"/><Relationship Id="rId54" Type="http://schemas.openxmlformats.org/officeDocument/2006/relationships/hyperlink" Target="http://www.nevo.co.il/case/6175447" TargetMode="External"/><Relationship Id="rId62" Type="http://schemas.openxmlformats.org/officeDocument/2006/relationships/hyperlink" Target="http://www.nevo.co.il/law/70301"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c.b" TargetMode="External"/><Relationship Id="rId23" Type="http://schemas.openxmlformats.org/officeDocument/2006/relationships/hyperlink" Target="http://www.nevo.co.il/law/74501" TargetMode="External"/><Relationship Id="rId28" Type="http://schemas.openxmlformats.org/officeDocument/2006/relationships/hyperlink" Target="http://www.nevo.co.il/law/70301/340a" TargetMode="External"/><Relationship Id="rId36" Type="http://schemas.openxmlformats.org/officeDocument/2006/relationships/hyperlink" Target="http://www.nevo.co.il/law/74501" TargetMode="External"/><Relationship Id="rId49" Type="http://schemas.openxmlformats.org/officeDocument/2006/relationships/hyperlink" Target="http://www.nevo.co.il/case/8291683" TargetMode="External"/><Relationship Id="rId57" Type="http://schemas.openxmlformats.org/officeDocument/2006/relationships/hyperlink" Target="http://www.nevo.co.il/law/70301/144"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25" TargetMode="External"/><Relationship Id="rId44" Type="http://schemas.openxmlformats.org/officeDocument/2006/relationships/hyperlink" Target="http://www.nevo.co.il/law/70301/40i" TargetMode="External"/><Relationship Id="rId52" Type="http://schemas.openxmlformats.org/officeDocument/2006/relationships/hyperlink" Target="http://www.nevo.co.il/case/20033653" TargetMode="External"/><Relationship Id="rId60" Type="http://schemas.openxmlformats.org/officeDocument/2006/relationships/hyperlink" Target="http://www.nevo.co.il/law/70301/452" TargetMode="External"/><Relationship Id="rId65"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0c"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5227" TargetMode="External"/><Relationship Id="rId39" Type="http://schemas.openxmlformats.org/officeDocument/2006/relationships/hyperlink" Target="http://www.nevo.co.il/law/70301/40b" TargetMode="External"/><Relationship Id="rId34" Type="http://schemas.openxmlformats.org/officeDocument/2006/relationships/hyperlink" Target="http://www.nevo.co.il/law/5227" TargetMode="External"/><Relationship Id="rId50" Type="http://schemas.openxmlformats.org/officeDocument/2006/relationships/hyperlink" Target="http://www.nevo.co.il/case/5878682" TargetMode="External"/><Relationship Id="rId55" Type="http://schemas.openxmlformats.org/officeDocument/2006/relationships/hyperlink" Target="http://www.nevo.co.il/case/686124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3480</Words>
  <Characters>17400</Characters>
  <Application>Microsoft Office Word</Application>
  <DocSecurity>0</DocSecurity>
  <Lines>145</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20839</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8323175</vt:i4>
      </vt:variant>
      <vt:variant>
        <vt:i4>174</vt:i4>
      </vt:variant>
      <vt:variant>
        <vt:i4>0</vt:i4>
      </vt:variant>
      <vt:variant>
        <vt:i4>5</vt:i4>
      </vt:variant>
      <vt:variant>
        <vt:lpwstr>http://www.nevo.co.il/law/5227</vt:lpwstr>
      </vt:variant>
      <vt:variant>
        <vt:lpwstr/>
      </vt:variant>
      <vt:variant>
        <vt:i4>4784200</vt:i4>
      </vt:variant>
      <vt:variant>
        <vt:i4>171</vt:i4>
      </vt:variant>
      <vt:variant>
        <vt:i4>0</vt:i4>
      </vt:variant>
      <vt:variant>
        <vt:i4>5</vt:i4>
      </vt:variant>
      <vt:variant>
        <vt:lpwstr>http://www.nevo.co.il/law/5227/67</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65618</vt:i4>
      </vt:variant>
      <vt:variant>
        <vt:i4>165</vt:i4>
      </vt:variant>
      <vt:variant>
        <vt:i4>0</vt:i4>
      </vt:variant>
      <vt:variant>
        <vt:i4>5</vt:i4>
      </vt:variant>
      <vt:variant>
        <vt:lpwstr>http://www.nevo.co.il/law/70301/413e</vt:lpwstr>
      </vt:variant>
      <vt:variant>
        <vt:lpwstr/>
      </vt:variant>
      <vt:variant>
        <vt:i4>6291553</vt:i4>
      </vt:variant>
      <vt:variant>
        <vt:i4>162</vt:i4>
      </vt:variant>
      <vt:variant>
        <vt:i4>0</vt:i4>
      </vt:variant>
      <vt:variant>
        <vt:i4>5</vt:i4>
      </vt:variant>
      <vt:variant>
        <vt:lpwstr>http://www.nevo.co.il/law/70301/452</vt:lpwstr>
      </vt:variant>
      <vt:variant>
        <vt:lpwstr/>
      </vt:variant>
      <vt:variant>
        <vt:i4>86</vt:i4>
      </vt:variant>
      <vt:variant>
        <vt:i4>159</vt:i4>
      </vt:variant>
      <vt:variant>
        <vt:i4>0</vt:i4>
      </vt:variant>
      <vt:variant>
        <vt:i4>5</vt:i4>
      </vt:variant>
      <vt:variant>
        <vt:lpwstr>http://www.nevo.co.il/law/70301/340a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6357092</vt:i4>
      </vt:variant>
      <vt:variant>
        <vt:i4>153</vt:i4>
      </vt:variant>
      <vt:variant>
        <vt:i4>0</vt:i4>
      </vt:variant>
      <vt:variant>
        <vt:i4>5</vt:i4>
      </vt:variant>
      <vt:variant>
        <vt:lpwstr>http://www.nevo.co.il/law/70301/144</vt:lpwstr>
      </vt:variant>
      <vt:variant>
        <vt:lpwstr/>
      </vt:variant>
      <vt:variant>
        <vt:i4>3997820</vt:i4>
      </vt:variant>
      <vt:variant>
        <vt:i4>150</vt:i4>
      </vt:variant>
      <vt:variant>
        <vt:i4>0</vt:i4>
      </vt:variant>
      <vt:variant>
        <vt:i4>5</vt:i4>
      </vt:variant>
      <vt:variant>
        <vt:lpwstr>http://www.nevo.co.il/case/18124293</vt:lpwstr>
      </vt:variant>
      <vt:variant>
        <vt:lpwstr/>
      </vt:variant>
      <vt:variant>
        <vt:i4>3145849</vt:i4>
      </vt:variant>
      <vt:variant>
        <vt:i4>147</vt:i4>
      </vt:variant>
      <vt:variant>
        <vt:i4>0</vt:i4>
      </vt:variant>
      <vt:variant>
        <vt:i4>5</vt:i4>
      </vt:variant>
      <vt:variant>
        <vt:lpwstr>http://www.nevo.co.il/case/6861242</vt:lpwstr>
      </vt:variant>
      <vt:variant>
        <vt:lpwstr/>
      </vt:variant>
      <vt:variant>
        <vt:i4>3276916</vt:i4>
      </vt:variant>
      <vt:variant>
        <vt:i4>144</vt:i4>
      </vt:variant>
      <vt:variant>
        <vt:i4>0</vt:i4>
      </vt:variant>
      <vt:variant>
        <vt:i4>5</vt:i4>
      </vt:variant>
      <vt:variant>
        <vt:lpwstr>http://www.nevo.co.il/case/6175447</vt:lpwstr>
      </vt:variant>
      <vt:variant>
        <vt:lpwstr/>
      </vt:variant>
      <vt:variant>
        <vt:i4>3735666</vt:i4>
      </vt:variant>
      <vt:variant>
        <vt:i4>141</vt:i4>
      </vt:variant>
      <vt:variant>
        <vt:i4>0</vt:i4>
      </vt:variant>
      <vt:variant>
        <vt:i4>5</vt:i4>
      </vt:variant>
      <vt:variant>
        <vt:lpwstr>http://www.nevo.co.il/case/2485477</vt:lpwstr>
      </vt:variant>
      <vt:variant>
        <vt:lpwstr/>
      </vt:variant>
      <vt:variant>
        <vt:i4>3407985</vt:i4>
      </vt:variant>
      <vt:variant>
        <vt:i4>138</vt:i4>
      </vt:variant>
      <vt:variant>
        <vt:i4>0</vt:i4>
      </vt:variant>
      <vt:variant>
        <vt:i4>5</vt:i4>
      </vt:variant>
      <vt:variant>
        <vt:lpwstr>http://www.nevo.co.il/case/20033653</vt:lpwstr>
      </vt:variant>
      <vt:variant>
        <vt:lpwstr/>
      </vt:variant>
      <vt:variant>
        <vt:i4>3997822</vt:i4>
      </vt:variant>
      <vt:variant>
        <vt:i4>135</vt:i4>
      </vt:variant>
      <vt:variant>
        <vt:i4>0</vt:i4>
      </vt:variant>
      <vt:variant>
        <vt:i4>5</vt:i4>
      </vt:variant>
      <vt:variant>
        <vt:lpwstr>http://www.nevo.co.il/case/8437593</vt:lpwstr>
      </vt:variant>
      <vt:variant>
        <vt:lpwstr/>
      </vt:variant>
      <vt:variant>
        <vt:i4>3539068</vt:i4>
      </vt:variant>
      <vt:variant>
        <vt:i4>132</vt:i4>
      </vt:variant>
      <vt:variant>
        <vt:i4>0</vt:i4>
      </vt:variant>
      <vt:variant>
        <vt:i4>5</vt:i4>
      </vt:variant>
      <vt:variant>
        <vt:lpwstr>http://www.nevo.co.il/case/5878682</vt:lpwstr>
      </vt:variant>
      <vt:variant>
        <vt:lpwstr/>
      </vt:variant>
      <vt:variant>
        <vt:i4>3407999</vt:i4>
      </vt:variant>
      <vt:variant>
        <vt:i4>129</vt:i4>
      </vt:variant>
      <vt:variant>
        <vt:i4>0</vt:i4>
      </vt:variant>
      <vt:variant>
        <vt:i4>5</vt:i4>
      </vt:variant>
      <vt:variant>
        <vt:lpwstr>http://www.nevo.co.il/case/8291683</vt:lpwstr>
      </vt:variant>
      <vt:variant>
        <vt:lpwstr/>
      </vt:variant>
      <vt:variant>
        <vt:i4>3211379</vt:i4>
      </vt:variant>
      <vt:variant>
        <vt:i4>126</vt:i4>
      </vt:variant>
      <vt:variant>
        <vt:i4>0</vt:i4>
      </vt:variant>
      <vt:variant>
        <vt:i4>5</vt:i4>
      </vt:variant>
      <vt:variant>
        <vt:lpwstr>http://www.nevo.co.il/case/5573417</vt:lpwstr>
      </vt:variant>
      <vt:variant>
        <vt:lpwstr/>
      </vt:variant>
      <vt:variant>
        <vt:i4>6553637</vt:i4>
      </vt:variant>
      <vt:variant>
        <vt:i4>123</vt:i4>
      </vt:variant>
      <vt:variant>
        <vt:i4>0</vt:i4>
      </vt:variant>
      <vt:variant>
        <vt:i4>5</vt:i4>
      </vt:variant>
      <vt:variant>
        <vt:lpwstr>http://www.nevo.co.il/law/70301/40jc.b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http://www.nevo.co.il/law/70301/40c</vt:lpwstr>
      </vt:variant>
      <vt:variant>
        <vt:lpwstr/>
      </vt:variant>
      <vt:variant>
        <vt:i4>3342455</vt:i4>
      </vt:variant>
      <vt:variant>
        <vt:i4>105</vt:i4>
      </vt:variant>
      <vt:variant>
        <vt:i4>0</vt:i4>
      </vt:variant>
      <vt:variant>
        <vt:i4>5</vt:i4>
      </vt:variant>
      <vt:variant>
        <vt:lpwstr>http://www.nevo.co.il/case/6243627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http://www.nevo.co.il/law/70301/40b</vt:lpwstr>
      </vt:variant>
      <vt:variant>
        <vt:lpwstr/>
      </vt:variant>
      <vt:variant>
        <vt:i4>8323175</vt:i4>
      </vt:variant>
      <vt:variant>
        <vt:i4>96</vt:i4>
      </vt:variant>
      <vt:variant>
        <vt:i4>0</vt:i4>
      </vt:variant>
      <vt:variant>
        <vt:i4>5</vt:i4>
      </vt:variant>
      <vt:variant>
        <vt:lpwstr>http://www.nevo.co.il/law/5227</vt:lpwstr>
      </vt:variant>
      <vt:variant>
        <vt:lpwstr/>
      </vt:variant>
      <vt:variant>
        <vt:i4>4980808</vt:i4>
      </vt:variant>
      <vt:variant>
        <vt:i4>93</vt:i4>
      </vt:variant>
      <vt:variant>
        <vt:i4>0</vt:i4>
      </vt:variant>
      <vt:variant>
        <vt:i4>5</vt:i4>
      </vt:variant>
      <vt:variant>
        <vt:lpwstr>http://www.nevo.co.il/law/5227/38</vt:lpwstr>
      </vt:variant>
      <vt:variant>
        <vt:lpwstr/>
      </vt:variant>
      <vt:variant>
        <vt:i4>8257634</vt:i4>
      </vt:variant>
      <vt:variant>
        <vt:i4>90</vt:i4>
      </vt:variant>
      <vt:variant>
        <vt:i4>0</vt:i4>
      </vt:variant>
      <vt:variant>
        <vt:i4>5</vt:i4>
      </vt:variant>
      <vt:variant>
        <vt:lpwstr>http://www.nevo.co.il/law/74501</vt:lpwstr>
      </vt:variant>
      <vt:variant>
        <vt:lpwstr/>
      </vt:variant>
      <vt:variant>
        <vt:i4>5308499</vt:i4>
      </vt:variant>
      <vt:variant>
        <vt:i4>87</vt:i4>
      </vt:variant>
      <vt:variant>
        <vt:i4>0</vt:i4>
      </vt:variant>
      <vt:variant>
        <vt:i4>5</vt:i4>
      </vt:variant>
      <vt:variant>
        <vt:lpwstr>http://www.nevo.co.il/law/74501/2</vt:lpwstr>
      </vt:variant>
      <vt:variant>
        <vt:lpwstr/>
      </vt:variant>
      <vt:variant>
        <vt:i4>8323175</vt:i4>
      </vt:variant>
      <vt:variant>
        <vt:i4>84</vt:i4>
      </vt:variant>
      <vt:variant>
        <vt:i4>0</vt:i4>
      </vt:variant>
      <vt:variant>
        <vt:i4>5</vt:i4>
      </vt:variant>
      <vt:variant>
        <vt:lpwstr>http://www.nevo.co.il/law/5227</vt:lpwstr>
      </vt:variant>
      <vt:variant>
        <vt:lpwstr/>
      </vt:variant>
      <vt:variant>
        <vt:i4>6750330</vt:i4>
      </vt:variant>
      <vt:variant>
        <vt:i4>81</vt:i4>
      </vt:variant>
      <vt:variant>
        <vt:i4>0</vt:i4>
      </vt:variant>
      <vt:variant>
        <vt:i4>5</vt:i4>
      </vt:variant>
      <vt:variant>
        <vt:lpwstr>http://www.nevo.co.il/law/5227/62.1</vt:lpwstr>
      </vt:variant>
      <vt:variant>
        <vt:lpwstr/>
      </vt:variant>
      <vt:variant>
        <vt:i4>6291576</vt:i4>
      </vt:variant>
      <vt:variant>
        <vt:i4>78</vt:i4>
      </vt:variant>
      <vt:variant>
        <vt:i4>0</vt:i4>
      </vt:variant>
      <vt:variant>
        <vt:i4>5</vt:i4>
      </vt:variant>
      <vt:variant>
        <vt:lpwstr>http://www.nevo.co.il/law/5227/10.a</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65618</vt:i4>
      </vt:variant>
      <vt:variant>
        <vt:i4>72</vt:i4>
      </vt:variant>
      <vt:variant>
        <vt:i4>0</vt:i4>
      </vt:variant>
      <vt:variant>
        <vt:i4>5</vt:i4>
      </vt:variant>
      <vt:variant>
        <vt:lpwstr>http://www.nevo.co.il/law/70301/413e</vt:lpwstr>
      </vt:variant>
      <vt:variant>
        <vt:lpwstr/>
      </vt:variant>
      <vt:variant>
        <vt:i4>6291553</vt:i4>
      </vt:variant>
      <vt:variant>
        <vt:i4>69</vt:i4>
      </vt:variant>
      <vt:variant>
        <vt:i4>0</vt:i4>
      </vt:variant>
      <vt:variant>
        <vt:i4>5</vt:i4>
      </vt:variant>
      <vt:variant>
        <vt:lpwstr>http://www.nevo.co.il/law/70301/452</vt:lpwstr>
      </vt:variant>
      <vt:variant>
        <vt:lpwstr/>
      </vt:variant>
      <vt:variant>
        <vt:i4>86</vt:i4>
      </vt:variant>
      <vt:variant>
        <vt:i4>66</vt:i4>
      </vt:variant>
      <vt:variant>
        <vt:i4>0</vt:i4>
      </vt:variant>
      <vt:variant>
        <vt:i4>5</vt:i4>
      </vt:variant>
      <vt:variant>
        <vt:lpwstr>http://www.nevo.co.il/law/70301/340a</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5308499</vt:i4>
      </vt:variant>
      <vt:variant>
        <vt:i4>54</vt:i4>
      </vt:variant>
      <vt:variant>
        <vt:i4>0</vt:i4>
      </vt:variant>
      <vt:variant>
        <vt:i4>5</vt:i4>
      </vt:variant>
      <vt:variant>
        <vt:lpwstr>http://www.nevo.co.il/law/74501/2</vt:lpwstr>
      </vt:variant>
      <vt:variant>
        <vt:lpwstr/>
      </vt:variant>
      <vt:variant>
        <vt:i4>8257634</vt:i4>
      </vt:variant>
      <vt:variant>
        <vt:i4>51</vt:i4>
      </vt:variant>
      <vt:variant>
        <vt:i4>0</vt:i4>
      </vt:variant>
      <vt:variant>
        <vt:i4>5</vt:i4>
      </vt:variant>
      <vt:variant>
        <vt:lpwstr>http://www.nevo.co.il/law/74501</vt:lpwstr>
      </vt:variant>
      <vt:variant>
        <vt:lpwstr/>
      </vt:variant>
      <vt:variant>
        <vt:i4>4784200</vt:i4>
      </vt:variant>
      <vt:variant>
        <vt:i4>48</vt:i4>
      </vt:variant>
      <vt:variant>
        <vt:i4>0</vt:i4>
      </vt:variant>
      <vt:variant>
        <vt:i4>5</vt:i4>
      </vt:variant>
      <vt:variant>
        <vt:lpwstr>http://www.nevo.co.il/law/5227/67</vt:lpwstr>
      </vt:variant>
      <vt:variant>
        <vt:lpwstr/>
      </vt:variant>
      <vt:variant>
        <vt:i4>6750330</vt:i4>
      </vt:variant>
      <vt:variant>
        <vt:i4>45</vt:i4>
      </vt:variant>
      <vt:variant>
        <vt:i4>0</vt:i4>
      </vt:variant>
      <vt:variant>
        <vt:i4>5</vt:i4>
      </vt:variant>
      <vt:variant>
        <vt:lpwstr>http://www.nevo.co.il/law/5227/62.1</vt:lpwstr>
      </vt:variant>
      <vt:variant>
        <vt:lpwstr/>
      </vt:variant>
      <vt:variant>
        <vt:i4>4980808</vt:i4>
      </vt:variant>
      <vt:variant>
        <vt:i4>42</vt:i4>
      </vt:variant>
      <vt:variant>
        <vt:i4>0</vt:i4>
      </vt:variant>
      <vt:variant>
        <vt:i4>5</vt:i4>
      </vt:variant>
      <vt:variant>
        <vt:lpwstr>http://www.nevo.co.il/law/5227/38</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8323175</vt:i4>
      </vt:variant>
      <vt:variant>
        <vt:i4>36</vt:i4>
      </vt:variant>
      <vt:variant>
        <vt:i4>0</vt:i4>
      </vt:variant>
      <vt:variant>
        <vt:i4>5</vt:i4>
      </vt:variant>
      <vt:variant>
        <vt:lpwstr>http://www.nevo.co.il/law/5227</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86</vt:i4>
      </vt:variant>
      <vt:variant>
        <vt:i4>24</vt:i4>
      </vt:variant>
      <vt:variant>
        <vt:i4>0</vt:i4>
      </vt:variant>
      <vt:variant>
        <vt:i4>5</vt:i4>
      </vt:variant>
      <vt:variant>
        <vt:lpwstr>http://www.nevo.co.il/law/70301/340a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2025-01-19T15:59:00Z</dcterms:created>
  <dcterms:modified xsi:type="dcterms:W3CDTF">2025-01-19T15:59:00Z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39731</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אסמאעיל קבהא</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20150628</vt:lpwstr>
  </property>
  <property fmtid="{D5CDD505-2E9C-101B-9397-08002B2CF9AE}" pid="13" name="TYPE_N_DATE">
    <vt:lpwstr>39020150628</vt:lpwstr>
  </property>
  <property fmtid="{D5CDD505-2E9C-101B-9397-08002B2CF9AE}" pid="14" name="ISABSTRACT">
    <vt:lpwstr>Y</vt:lpwstr>
  </property>
  <property fmtid="{D5CDD505-2E9C-101B-9397-08002B2CF9AE}" pid="15" name="WORDNUMPAGES">
    <vt:lpwstr>9</vt:lpwstr>
  </property>
  <property fmtid="{D5CDD505-2E9C-101B-9397-08002B2CF9AE}" pid="16" name="TYPE_ABS_DATE">
    <vt:lpwstr>390020150628</vt:lpwstr>
  </property>
  <property fmtid="{D5CDD505-2E9C-101B-9397-08002B2CF9AE}" pid="17" name="CASESLISTTMP1">
    <vt:lpwstr>6243627;5573417;8291683;5878682;8437593;20033653;2485477;6175447;6861242;18124293</vt:lpwstr>
  </property>
  <property fmtid="{D5CDD505-2E9C-101B-9397-08002B2CF9AE}" pid="18" name="LAWLISTTMP1">
    <vt:lpwstr>70301/144.a;144.b;340a:2;452:2;413e:2;025;040b;040c;040i;40jc.b;144</vt:lpwstr>
  </property>
  <property fmtid="{D5CDD505-2E9C-101B-9397-08002B2CF9AE}" pid="19" name="LAWLISTTMP2">
    <vt:lpwstr>5227/010.a;062.1;038;067</vt:lpwstr>
  </property>
  <property fmtid="{D5CDD505-2E9C-101B-9397-08002B2CF9AE}" pid="20" name="LAWLISTTMP3">
    <vt:lpwstr>74501/002</vt:lpwstr>
  </property>
</Properties>
</file>