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9077DC" w:rsidRPr="009513CF" w14:paraId="38D01B4E" w14:textId="77777777">
        <w:trPr>
          <w:trHeight w:hRule="exact" w:val="418"/>
          <w:jc w:val="center"/>
        </w:trPr>
        <w:tc>
          <w:tcPr>
            <w:tcW w:w="8721" w:type="dxa"/>
            <w:gridSpan w:val="2"/>
          </w:tcPr>
          <w:p w14:paraId="3ADFDA8D" w14:textId="77777777" w:rsidR="009077DC" w:rsidRPr="009513CF" w:rsidRDefault="009513CF">
            <w:pPr>
              <w:pStyle w:val="a3"/>
              <w:jc w:val="center"/>
              <w:rPr>
                <w:rFonts w:ascii="Tahoma" w:hAnsi="Tahoma" w:cs="Tahoma"/>
                <w:color w:val="000080"/>
                <w:rtl/>
              </w:rPr>
            </w:pPr>
            <w:r w:rsidRPr="009513CF">
              <w:rPr>
                <w:rFonts w:ascii="Tahoma" w:hAnsi="Tahoma" w:cs="Tahoma"/>
                <w:b/>
                <w:bCs/>
                <w:color w:val="000080"/>
                <w:rtl/>
              </w:rPr>
              <w:t>בית המשפט המחוזי בתל אביב - יפו</w:t>
            </w:r>
          </w:p>
        </w:tc>
      </w:tr>
      <w:tr w:rsidR="009077DC" w:rsidRPr="009513CF" w14:paraId="4B832662" w14:textId="77777777">
        <w:trPr>
          <w:trHeight w:val="337"/>
          <w:jc w:val="center"/>
        </w:trPr>
        <w:tc>
          <w:tcPr>
            <w:tcW w:w="5057" w:type="dxa"/>
          </w:tcPr>
          <w:p w14:paraId="22B44F23" w14:textId="77777777" w:rsidR="009077DC" w:rsidRPr="009513CF" w:rsidRDefault="009513CF">
            <w:pPr>
              <w:rPr>
                <w:rFonts w:cs="FrankRuehl"/>
                <w:sz w:val="28"/>
                <w:szCs w:val="28"/>
                <w:rtl/>
              </w:rPr>
            </w:pPr>
            <w:r w:rsidRPr="009513CF">
              <w:rPr>
                <w:rFonts w:cs="FrankRuehl"/>
                <w:sz w:val="28"/>
                <w:szCs w:val="28"/>
                <w:rtl/>
              </w:rPr>
              <w:t>ת"פ</w:t>
            </w:r>
            <w:r w:rsidRPr="009513CF">
              <w:rPr>
                <w:rFonts w:cs="FrankRuehl" w:hint="cs"/>
                <w:sz w:val="28"/>
                <w:szCs w:val="28"/>
                <w:rtl/>
              </w:rPr>
              <w:t xml:space="preserve"> </w:t>
            </w:r>
            <w:r w:rsidRPr="009513CF">
              <w:rPr>
                <w:rFonts w:cs="FrankRuehl"/>
                <w:sz w:val="28"/>
                <w:szCs w:val="28"/>
                <w:rtl/>
              </w:rPr>
              <w:t>13142-02-15</w:t>
            </w:r>
            <w:r w:rsidRPr="009513CF">
              <w:rPr>
                <w:rFonts w:cs="FrankRuehl" w:hint="cs"/>
                <w:sz w:val="28"/>
                <w:szCs w:val="28"/>
                <w:rtl/>
              </w:rPr>
              <w:t xml:space="preserve"> </w:t>
            </w:r>
            <w:r w:rsidRPr="009513CF">
              <w:rPr>
                <w:rFonts w:cs="FrankRuehl"/>
                <w:sz w:val="28"/>
                <w:szCs w:val="28"/>
                <w:rtl/>
              </w:rPr>
              <w:t>מדינת ישראל נ' מעוז(עציר)</w:t>
            </w:r>
          </w:p>
          <w:p w14:paraId="7A4CB659" w14:textId="77777777" w:rsidR="009077DC" w:rsidRPr="009513CF" w:rsidRDefault="009077DC">
            <w:pPr>
              <w:pStyle w:val="a3"/>
              <w:rPr>
                <w:rFonts w:cs="FrankRuehl"/>
                <w:sz w:val="28"/>
                <w:szCs w:val="28"/>
                <w:rtl/>
              </w:rPr>
            </w:pPr>
          </w:p>
        </w:tc>
        <w:tc>
          <w:tcPr>
            <w:tcW w:w="3664" w:type="dxa"/>
          </w:tcPr>
          <w:p w14:paraId="6BFC5CDB" w14:textId="77777777" w:rsidR="009077DC" w:rsidRPr="009513CF" w:rsidRDefault="009077DC">
            <w:pPr>
              <w:pStyle w:val="a3"/>
              <w:jc w:val="right"/>
              <w:rPr>
                <w:rFonts w:cs="FrankRuehl"/>
                <w:sz w:val="28"/>
                <w:szCs w:val="28"/>
                <w:rtl/>
              </w:rPr>
            </w:pPr>
          </w:p>
        </w:tc>
      </w:tr>
    </w:tbl>
    <w:p w14:paraId="01645BF1" w14:textId="77777777" w:rsidR="009077DC" w:rsidRPr="009513CF" w:rsidRDefault="009513CF">
      <w:pPr>
        <w:pStyle w:val="a3"/>
        <w:rPr>
          <w:rtl/>
        </w:rPr>
      </w:pPr>
      <w:r w:rsidRPr="009513CF">
        <w:rPr>
          <w:rFonts w:hint="cs"/>
          <w:rtl/>
        </w:rPr>
        <w:t xml:space="preserve"> </w:t>
      </w:r>
    </w:p>
    <w:p w14:paraId="0227D3F8" w14:textId="77777777" w:rsidR="009077DC" w:rsidRPr="009513CF" w:rsidRDefault="009077D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077DC" w:rsidRPr="009513CF" w14:paraId="5B31BB42" w14:textId="77777777">
        <w:trPr>
          <w:trHeight w:val="295"/>
          <w:jc w:val="center"/>
        </w:trPr>
        <w:tc>
          <w:tcPr>
            <w:tcW w:w="923" w:type="dxa"/>
            <w:tcBorders>
              <w:top w:val="nil"/>
              <w:left w:val="nil"/>
              <w:bottom w:val="nil"/>
              <w:right w:val="nil"/>
            </w:tcBorders>
          </w:tcPr>
          <w:p w14:paraId="4CFB7309" w14:textId="77777777" w:rsidR="009077DC" w:rsidRPr="009513CF" w:rsidRDefault="009513CF">
            <w:pPr>
              <w:jc w:val="both"/>
              <w:rPr>
                <w:rFonts w:ascii="Arial" w:hAnsi="Arial"/>
                <w:sz w:val="28"/>
                <w:szCs w:val="28"/>
              </w:rPr>
            </w:pPr>
            <w:r w:rsidRPr="009513CF">
              <w:rPr>
                <w:rFonts w:ascii="Arial" w:hAnsi="Arial" w:hint="cs"/>
                <w:sz w:val="28"/>
                <w:szCs w:val="28"/>
                <w:rtl/>
              </w:rPr>
              <w:t>ב</w:t>
            </w:r>
            <w:r w:rsidRPr="009513CF">
              <w:rPr>
                <w:rFonts w:ascii="Arial" w:hAnsi="Arial"/>
                <w:sz w:val="28"/>
                <w:szCs w:val="28"/>
                <w:rtl/>
              </w:rPr>
              <w:t xml:space="preserve">פני </w:t>
            </w:r>
          </w:p>
        </w:tc>
        <w:tc>
          <w:tcPr>
            <w:tcW w:w="7897" w:type="dxa"/>
            <w:gridSpan w:val="2"/>
            <w:tcBorders>
              <w:top w:val="nil"/>
              <w:left w:val="nil"/>
              <w:bottom w:val="nil"/>
              <w:right w:val="nil"/>
            </w:tcBorders>
          </w:tcPr>
          <w:p w14:paraId="65791078" w14:textId="77777777" w:rsidR="009077DC" w:rsidRPr="009513CF" w:rsidRDefault="009513CF">
            <w:pPr>
              <w:rPr>
                <w:rFonts w:ascii="Arial" w:hAnsi="Arial"/>
                <w:b/>
                <w:bCs/>
                <w:rtl/>
              </w:rPr>
            </w:pPr>
            <w:r w:rsidRPr="009513CF">
              <w:rPr>
                <w:rFonts w:ascii="Arial" w:hAnsi="Arial" w:hint="cs"/>
                <w:b/>
                <w:bCs/>
                <w:rtl/>
              </w:rPr>
              <w:t>כבוד ה</w:t>
            </w:r>
            <w:r w:rsidRPr="009513CF">
              <w:rPr>
                <w:rFonts w:hint="cs"/>
                <w:rtl/>
              </w:rPr>
              <w:t>שופט, סגן נשיאה</w:t>
            </w:r>
            <w:r w:rsidRPr="009513CF">
              <w:rPr>
                <w:rFonts w:ascii="Arial" w:hAnsi="Arial" w:hint="cs"/>
                <w:b/>
                <w:bCs/>
                <w:rtl/>
              </w:rPr>
              <w:t xml:space="preserve">  </w:t>
            </w:r>
            <w:r w:rsidRPr="009513CF">
              <w:rPr>
                <w:rFonts w:hint="cs"/>
                <w:rtl/>
              </w:rPr>
              <w:t>ג'ורג' קרא</w:t>
            </w:r>
          </w:p>
          <w:p w14:paraId="7079C846" w14:textId="77777777" w:rsidR="009077DC" w:rsidRPr="009513CF" w:rsidRDefault="009077DC">
            <w:pPr>
              <w:rPr>
                <w:rtl/>
              </w:rPr>
            </w:pPr>
          </w:p>
          <w:p w14:paraId="0B0508DD" w14:textId="77777777" w:rsidR="009077DC" w:rsidRPr="009513CF" w:rsidRDefault="009077DC">
            <w:pPr>
              <w:jc w:val="both"/>
              <w:rPr>
                <w:rFonts w:ascii="Arial" w:hAnsi="Arial"/>
                <w:sz w:val="28"/>
                <w:szCs w:val="28"/>
              </w:rPr>
            </w:pPr>
          </w:p>
        </w:tc>
      </w:tr>
      <w:tr w:rsidR="009077DC" w:rsidRPr="009513CF" w14:paraId="7C1B3F46" w14:textId="77777777">
        <w:trPr>
          <w:trHeight w:val="355"/>
          <w:jc w:val="center"/>
        </w:trPr>
        <w:tc>
          <w:tcPr>
            <w:tcW w:w="923" w:type="dxa"/>
            <w:tcBorders>
              <w:top w:val="nil"/>
              <w:left w:val="nil"/>
              <w:bottom w:val="nil"/>
              <w:right w:val="nil"/>
            </w:tcBorders>
          </w:tcPr>
          <w:p w14:paraId="1DE9BCED" w14:textId="77777777" w:rsidR="009077DC" w:rsidRPr="009513CF" w:rsidRDefault="009513CF">
            <w:pPr>
              <w:jc w:val="both"/>
              <w:rPr>
                <w:rFonts w:ascii="Arial" w:hAnsi="Arial"/>
                <w:sz w:val="28"/>
                <w:szCs w:val="28"/>
              </w:rPr>
            </w:pPr>
            <w:bookmarkStart w:id="0" w:name="FirstAppellant"/>
            <w:bookmarkStart w:id="1" w:name="LastJudge"/>
            <w:bookmarkEnd w:id="1"/>
            <w:r w:rsidRPr="009513CF">
              <w:rPr>
                <w:rFonts w:ascii="Arial" w:hAnsi="Arial" w:hint="cs"/>
                <w:sz w:val="28"/>
                <w:szCs w:val="28"/>
                <w:rtl/>
              </w:rPr>
              <w:t>בעניין:</w:t>
            </w:r>
          </w:p>
        </w:tc>
        <w:tc>
          <w:tcPr>
            <w:tcW w:w="4126" w:type="dxa"/>
            <w:tcBorders>
              <w:top w:val="nil"/>
              <w:left w:val="nil"/>
              <w:bottom w:val="nil"/>
              <w:right w:val="nil"/>
            </w:tcBorders>
          </w:tcPr>
          <w:p w14:paraId="2B01A3CB" w14:textId="77777777" w:rsidR="009077DC" w:rsidRPr="009513CF" w:rsidRDefault="009513CF">
            <w:r w:rsidRPr="009513CF">
              <w:rPr>
                <w:rFonts w:hint="cs"/>
                <w:rtl/>
              </w:rPr>
              <w:t>מדינת ישראל</w:t>
            </w:r>
          </w:p>
        </w:tc>
        <w:tc>
          <w:tcPr>
            <w:tcW w:w="3771" w:type="dxa"/>
            <w:tcBorders>
              <w:top w:val="nil"/>
              <w:left w:val="nil"/>
              <w:bottom w:val="nil"/>
              <w:right w:val="nil"/>
            </w:tcBorders>
          </w:tcPr>
          <w:p w14:paraId="78F57876" w14:textId="77777777" w:rsidR="009077DC" w:rsidRPr="009513CF" w:rsidRDefault="009077DC">
            <w:pPr>
              <w:jc w:val="both"/>
              <w:rPr>
                <w:rFonts w:ascii="Arial" w:hAnsi="Arial"/>
                <w:sz w:val="28"/>
                <w:szCs w:val="28"/>
              </w:rPr>
            </w:pPr>
          </w:p>
        </w:tc>
      </w:tr>
      <w:tr w:rsidR="009077DC" w:rsidRPr="009513CF" w14:paraId="47ACCE43" w14:textId="77777777">
        <w:trPr>
          <w:trHeight w:val="355"/>
          <w:jc w:val="center"/>
        </w:trPr>
        <w:tc>
          <w:tcPr>
            <w:tcW w:w="923" w:type="dxa"/>
            <w:tcBorders>
              <w:top w:val="nil"/>
              <w:left w:val="nil"/>
              <w:bottom w:val="nil"/>
              <w:right w:val="nil"/>
            </w:tcBorders>
          </w:tcPr>
          <w:p w14:paraId="3C575CBC" w14:textId="77777777" w:rsidR="009077DC" w:rsidRPr="009513CF" w:rsidRDefault="009077DC">
            <w:pPr>
              <w:jc w:val="both"/>
              <w:rPr>
                <w:rFonts w:ascii="Arial" w:hAnsi="Arial"/>
                <w:sz w:val="28"/>
                <w:szCs w:val="28"/>
                <w:rtl/>
              </w:rPr>
            </w:pPr>
            <w:bookmarkStart w:id="2" w:name="FirstLawyer"/>
            <w:bookmarkEnd w:id="0"/>
          </w:p>
        </w:tc>
        <w:tc>
          <w:tcPr>
            <w:tcW w:w="4126" w:type="dxa"/>
            <w:tcBorders>
              <w:top w:val="nil"/>
              <w:left w:val="nil"/>
              <w:bottom w:val="nil"/>
              <w:right w:val="nil"/>
            </w:tcBorders>
          </w:tcPr>
          <w:p w14:paraId="7E8D7F52" w14:textId="77777777" w:rsidR="009077DC" w:rsidRPr="009513CF" w:rsidRDefault="009513CF">
            <w:pPr>
              <w:jc w:val="both"/>
              <w:rPr>
                <w:rtl/>
              </w:rPr>
            </w:pPr>
            <w:r w:rsidRPr="009513CF">
              <w:rPr>
                <w:rFonts w:hint="cs"/>
                <w:rtl/>
              </w:rPr>
              <w:t>ע"י ב"כ עו"ד הבדלי</w:t>
            </w:r>
          </w:p>
        </w:tc>
        <w:tc>
          <w:tcPr>
            <w:tcW w:w="3771" w:type="dxa"/>
            <w:tcBorders>
              <w:top w:val="nil"/>
              <w:left w:val="nil"/>
              <w:bottom w:val="nil"/>
              <w:right w:val="nil"/>
            </w:tcBorders>
          </w:tcPr>
          <w:p w14:paraId="155A63A1" w14:textId="77777777" w:rsidR="009077DC" w:rsidRPr="009513CF" w:rsidRDefault="009513CF">
            <w:pPr>
              <w:jc w:val="right"/>
              <w:rPr>
                <w:rFonts w:ascii="Arial" w:hAnsi="Arial"/>
                <w:sz w:val="28"/>
                <w:szCs w:val="28"/>
                <w:rtl/>
              </w:rPr>
            </w:pPr>
            <w:r w:rsidRPr="009513CF">
              <w:rPr>
                <w:rFonts w:ascii="Arial" w:hAnsi="Arial" w:hint="cs"/>
                <w:sz w:val="28"/>
                <w:szCs w:val="28"/>
                <w:rtl/>
              </w:rPr>
              <w:t>ה</w:t>
            </w:r>
            <w:r w:rsidRPr="009513CF">
              <w:rPr>
                <w:rFonts w:hint="cs"/>
                <w:rtl/>
              </w:rPr>
              <w:t>מאשימה</w:t>
            </w:r>
          </w:p>
        </w:tc>
      </w:tr>
      <w:bookmarkEnd w:id="2"/>
      <w:tr w:rsidR="009077DC" w:rsidRPr="009513CF" w14:paraId="39D6BF8F" w14:textId="77777777">
        <w:trPr>
          <w:trHeight w:val="355"/>
          <w:jc w:val="center"/>
        </w:trPr>
        <w:tc>
          <w:tcPr>
            <w:tcW w:w="923" w:type="dxa"/>
            <w:tcBorders>
              <w:top w:val="nil"/>
              <w:left w:val="nil"/>
              <w:bottom w:val="nil"/>
              <w:right w:val="nil"/>
            </w:tcBorders>
          </w:tcPr>
          <w:p w14:paraId="4B71B1B6" w14:textId="77777777" w:rsidR="009077DC" w:rsidRPr="009513CF" w:rsidRDefault="009077DC">
            <w:pPr>
              <w:jc w:val="both"/>
              <w:rPr>
                <w:rFonts w:ascii="Arial" w:hAnsi="Arial"/>
                <w:sz w:val="28"/>
                <w:szCs w:val="28"/>
                <w:rtl/>
              </w:rPr>
            </w:pPr>
          </w:p>
        </w:tc>
        <w:tc>
          <w:tcPr>
            <w:tcW w:w="7897" w:type="dxa"/>
            <w:gridSpan w:val="2"/>
            <w:tcBorders>
              <w:top w:val="nil"/>
              <w:left w:val="nil"/>
              <w:bottom w:val="nil"/>
              <w:right w:val="nil"/>
            </w:tcBorders>
          </w:tcPr>
          <w:p w14:paraId="63BB76FF" w14:textId="77777777" w:rsidR="009077DC" w:rsidRPr="009513CF" w:rsidRDefault="009077DC">
            <w:pPr>
              <w:jc w:val="center"/>
              <w:rPr>
                <w:rFonts w:ascii="Arial" w:hAnsi="Arial"/>
                <w:b/>
                <w:bCs/>
                <w:sz w:val="28"/>
                <w:szCs w:val="28"/>
                <w:rtl/>
              </w:rPr>
            </w:pPr>
          </w:p>
          <w:p w14:paraId="29D0F359" w14:textId="77777777" w:rsidR="009077DC" w:rsidRPr="009513CF" w:rsidRDefault="009513CF">
            <w:pPr>
              <w:jc w:val="center"/>
              <w:rPr>
                <w:rFonts w:ascii="Arial" w:hAnsi="Arial"/>
                <w:b/>
                <w:bCs/>
                <w:sz w:val="28"/>
                <w:szCs w:val="28"/>
                <w:rtl/>
              </w:rPr>
            </w:pPr>
            <w:r w:rsidRPr="009513CF">
              <w:rPr>
                <w:rFonts w:ascii="Arial" w:hAnsi="Arial"/>
                <w:b/>
                <w:bCs/>
                <w:sz w:val="28"/>
                <w:szCs w:val="28"/>
                <w:rtl/>
              </w:rPr>
              <w:t>נגד</w:t>
            </w:r>
          </w:p>
          <w:p w14:paraId="50146796" w14:textId="77777777" w:rsidR="009077DC" w:rsidRPr="009513CF" w:rsidRDefault="009077DC">
            <w:pPr>
              <w:jc w:val="both"/>
              <w:rPr>
                <w:rFonts w:ascii="Arial" w:hAnsi="Arial"/>
                <w:sz w:val="28"/>
                <w:szCs w:val="28"/>
              </w:rPr>
            </w:pPr>
          </w:p>
        </w:tc>
      </w:tr>
      <w:tr w:rsidR="009077DC" w:rsidRPr="009513CF" w14:paraId="60A43C46" w14:textId="77777777">
        <w:trPr>
          <w:trHeight w:val="355"/>
          <w:jc w:val="center"/>
        </w:trPr>
        <w:tc>
          <w:tcPr>
            <w:tcW w:w="923" w:type="dxa"/>
            <w:tcBorders>
              <w:top w:val="nil"/>
              <w:left w:val="nil"/>
              <w:bottom w:val="nil"/>
              <w:right w:val="nil"/>
            </w:tcBorders>
          </w:tcPr>
          <w:p w14:paraId="7E7F9129" w14:textId="77777777" w:rsidR="009077DC" w:rsidRPr="009513CF" w:rsidRDefault="009077DC">
            <w:pPr>
              <w:rPr>
                <w:rFonts w:ascii="Arial" w:hAnsi="Arial"/>
                <w:sz w:val="28"/>
                <w:szCs w:val="28"/>
                <w:rtl/>
              </w:rPr>
            </w:pPr>
          </w:p>
        </w:tc>
        <w:tc>
          <w:tcPr>
            <w:tcW w:w="4126" w:type="dxa"/>
            <w:tcBorders>
              <w:top w:val="nil"/>
              <w:left w:val="nil"/>
              <w:bottom w:val="nil"/>
              <w:right w:val="nil"/>
            </w:tcBorders>
          </w:tcPr>
          <w:p w14:paraId="7EF0C548" w14:textId="77777777" w:rsidR="009077DC" w:rsidRPr="009513CF" w:rsidRDefault="009513CF">
            <w:pPr>
              <w:rPr>
                <w:rtl/>
              </w:rPr>
            </w:pPr>
            <w:r w:rsidRPr="009513CF">
              <w:rPr>
                <w:rFonts w:hint="cs"/>
                <w:rtl/>
              </w:rPr>
              <w:t>אייל מעוז (עציר)</w:t>
            </w:r>
            <w:r w:rsidRPr="009513CF">
              <w:rPr>
                <w:rFonts w:hint="cs"/>
                <w:rtl/>
              </w:rPr>
              <w:br/>
              <w:t>ע"י ב"כ עו"ד אלפסה</w:t>
            </w:r>
          </w:p>
        </w:tc>
        <w:tc>
          <w:tcPr>
            <w:tcW w:w="3771" w:type="dxa"/>
            <w:tcBorders>
              <w:top w:val="nil"/>
              <w:left w:val="nil"/>
              <w:bottom w:val="nil"/>
              <w:right w:val="nil"/>
            </w:tcBorders>
          </w:tcPr>
          <w:p w14:paraId="75CD50DE" w14:textId="77777777" w:rsidR="009077DC" w:rsidRPr="009513CF" w:rsidRDefault="009077DC">
            <w:pPr>
              <w:jc w:val="right"/>
              <w:rPr>
                <w:rFonts w:ascii="Arial" w:hAnsi="Arial"/>
                <w:sz w:val="28"/>
                <w:szCs w:val="28"/>
              </w:rPr>
            </w:pPr>
          </w:p>
        </w:tc>
      </w:tr>
      <w:tr w:rsidR="009077DC" w:rsidRPr="009513CF" w14:paraId="2219A9D9" w14:textId="77777777">
        <w:trPr>
          <w:trHeight w:val="355"/>
          <w:jc w:val="center"/>
        </w:trPr>
        <w:tc>
          <w:tcPr>
            <w:tcW w:w="923" w:type="dxa"/>
            <w:tcBorders>
              <w:top w:val="nil"/>
              <w:left w:val="nil"/>
              <w:bottom w:val="nil"/>
              <w:right w:val="nil"/>
            </w:tcBorders>
          </w:tcPr>
          <w:p w14:paraId="17A92B5D" w14:textId="77777777" w:rsidR="009077DC" w:rsidRPr="009513CF" w:rsidRDefault="009077DC">
            <w:pPr>
              <w:jc w:val="both"/>
              <w:rPr>
                <w:rFonts w:ascii="Arial" w:hAnsi="Arial"/>
                <w:sz w:val="28"/>
                <w:szCs w:val="28"/>
                <w:rtl/>
              </w:rPr>
            </w:pPr>
          </w:p>
        </w:tc>
        <w:tc>
          <w:tcPr>
            <w:tcW w:w="4126" w:type="dxa"/>
            <w:tcBorders>
              <w:top w:val="nil"/>
              <w:left w:val="nil"/>
              <w:bottom w:val="nil"/>
              <w:right w:val="nil"/>
            </w:tcBorders>
          </w:tcPr>
          <w:p w14:paraId="4FF151C5" w14:textId="77777777" w:rsidR="009077DC" w:rsidRPr="009513CF" w:rsidRDefault="009077DC">
            <w:pPr>
              <w:jc w:val="both"/>
              <w:rPr>
                <w:rtl/>
              </w:rPr>
            </w:pPr>
          </w:p>
        </w:tc>
        <w:tc>
          <w:tcPr>
            <w:tcW w:w="3771" w:type="dxa"/>
            <w:tcBorders>
              <w:top w:val="nil"/>
              <w:left w:val="nil"/>
              <w:bottom w:val="nil"/>
              <w:right w:val="nil"/>
            </w:tcBorders>
          </w:tcPr>
          <w:p w14:paraId="77DADB3D" w14:textId="77777777" w:rsidR="009077DC" w:rsidRPr="009513CF" w:rsidRDefault="009513CF">
            <w:pPr>
              <w:jc w:val="right"/>
              <w:rPr>
                <w:rFonts w:ascii="Arial" w:hAnsi="Arial"/>
                <w:sz w:val="28"/>
                <w:szCs w:val="28"/>
              </w:rPr>
            </w:pPr>
            <w:r w:rsidRPr="009513CF">
              <w:rPr>
                <w:rFonts w:ascii="Arial" w:hAnsi="Arial" w:hint="cs"/>
                <w:sz w:val="28"/>
                <w:szCs w:val="28"/>
                <w:rtl/>
              </w:rPr>
              <w:t>ה</w:t>
            </w:r>
            <w:r w:rsidRPr="009513CF">
              <w:rPr>
                <w:rFonts w:hint="cs"/>
                <w:rtl/>
              </w:rPr>
              <w:t>נאשם</w:t>
            </w:r>
          </w:p>
        </w:tc>
      </w:tr>
    </w:tbl>
    <w:p w14:paraId="4D95B8E2" w14:textId="77777777" w:rsidR="00D64806" w:rsidRDefault="00D64806">
      <w:pPr>
        <w:rPr>
          <w:rtl/>
        </w:rPr>
      </w:pPr>
    </w:p>
    <w:p w14:paraId="03E281C8" w14:textId="77777777" w:rsidR="00D64806" w:rsidRPr="00D64806" w:rsidRDefault="00D64806" w:rsidP="00D64806">
      <w:pPr>
        <w:spacing w:after="120" w:line="240" w:lineRule="exact"/>
        <w:ind w:left="283" w:hanging="283"/>
        <w:jc w:val="both"/>
        <w:rPr>
          <w:rFonts w:ascii="FrankRuehl" w:hAnsi="FrankRuehl" w:cs="FrankRuehl"/>
          <w:rtl/>
        </w:rPr>
      </w:pPr>
    </w:p>
    <w:p w14:paraId="23999AAB" w14:textId="77777777" w:rsidR="00F91492" w:rsidRDefault="00F91492" w:rsidP="00F91492">
      <w:pPr>
        <w:rPr>
          <w:rtl/>
        </w:rPr>
      </w:pPr>
      <w:bookmarkStart w:id="3" w:name="LawTable"/>
      <w:bookmarkEnd w:id="3"/>
    </w:p>
    <w:p w14:paraId="56CF50C3" w14:textId="77777777" w:rsidR="00F91492" w:rsidRPr="00F91492" w:rsidRDefault="00F91492" w:rsidP="00F91492">
      <w:pPr>
        <w:spacing w:before="120" w:after="120" w:line="240" w:lineRule="exact"/>
        <w:ind w:left="283" w:hanging="283"/>
        <w:jc w:val="both"/>
        <w:rPr>
          <w:rFonts w:ascii="FrankRuehl" w:hAnsi="FrankRuehl" w:cs="FrankRuehl"/>
          <w:rtl/>
        </w:rPr>
      </w:pPr>
    </w:p>
    <w:p w14:paraId="6A5A1CFB" w14:textId="77777777" w:rsidR="00F91492" w:rsidRPr="00F91492" w:rsidRDefault="00F91492" w:rsidP="00F91492">
      <w:pPr>
        <w:spacing w:before="120" w:after="120" w:line="240" w:lineRule="exact"/>
        <w:ind w:left="283" w:hanging="283"/>
        <w:jc w:val="both"/>
        <w:rPr>
          <w:rFonts w:ascii="FrankRuehl" w:hAnsi="FrankRuehl" w:cs="FrankRuehl"/>
          <w:rtl/>
        </w:rPr>
      </w:pPr>
    </w:p>
    <w:p w14:paraId="1E16C8B7" w14:textId="77777777" w:rsidR="00F91492" w:rsidRPr="00F91492" w:rsidRDefault="00F91492" w:rsidP="00F91492">
      <w:pPr>
        <w:spacing w:before="120" w:after="120" w:line="240" w:lineRule="exact"/>
        <w:ind w:left="283" w:hanging="283"/>
        <w:jc w:val="both"/>
        <w:rPr>
          <w:rFonts w:ascii="FrankRuehl" w:hAnsi="FrankRuehl" w:cs="FrankRuehl"/>
          <w:rtl/>
        </w:rPr>
      </w:pPr>
      <w:r w:rsidRPr="00F91492">
        <w:rPr>
          <w:rFonts w:ascii="FrankRuehl" w:hAnsi="FrankRuehl" w:cs="FrankRuehl"/>
          <w:rtl/>
        </w:rPr>
        <w:t xml:space="preserve">חקיקה שאוזכרה: </w:t>
      </w:r>
    </w:p>
    <w:p w14:paraId="6B1ECDCC" w14:textId="77777777" w:rsidR="00F91492" w:rsidRPr="00F91492" w:rsidRDefault="00F91492" w:rsidP="00F91492">
      <w:pPr>
        <w:spacing w:before="120" w:after="120" w:line="240" w:lineRule="exact"/>
        <w:ind w:left="283" w:hanging="283"/>
        <w:jc w:val="both"/>
        <w:rPr>
          <w:rFonts w:ascii="FrankRuehl" w:hAnsi="FrankRuehl" w:cs="FrankRuehl"/>
          <w:rtl/>
        </w:rPr>
      </w:pPr>
      <w:hyperlink r:id="rId6" w:history="1">
        <w:r w:rsidRPr="00F91492">
          <w:rPr>
            <w:rFonts w:ascii="FrankRuehl" w:hAnsi="FrankRuehl" w:cs="FrankRuehl"/>
            <w:color w:val="0000FF"/>
            <w:rtl/>
          </w:rPr>
          <w:t>חוק העונשין, תשל"ז-1977</w:t>
        </w:r>
      </w:hyperlink>
      <w:r w:rsidRPr="00F91492">
        <w:rPr>
          <w:rFonts w:ascii="FrankRuehl" w:hAnsi="FrankRuehl" w:cs="FrankRuehl"/>
          <w:rtl/>
        </w:rPr>
        <w:t xml:space="preserve">: סע'  </w:t>
      </w:r>
      <w:hyperlink r:id="rId7" w:history="1">
        <w:r w:rsidRPr="00F91492">
          <w:rPr>
            <w:rFonts w:ascii="FrankRuehl" w:hAnsi="FrankRuehl" w:cs="FrankRuehl"/>
            <w:color w:val="0000FF"/>
            <w:rtl/>
          </w:rPr>
          <w:t>31</w:t>
        </w:r>
      </w:hyperlink>
      <w:r w:rsidRPr="00F91492">
        <w:rPr>
          <w:rFonts w:ascii="FrankRuehl" w:hAnsi="FrankRuehl" w:cs="FrankRuehl"/>
          <w:rtl/>
        </w:rPr>
        <w:t xml:space="preserve">, </w:t>
      </w:r>
      <w:hyperlink r:id="rId8" w:history="1">
        <w:r w:rsidRPr="00F91492">
          <w:rPr>
            <w:rFonts w:ascii="FrankRuehl" w:hAnsi="FrankRuehl" w:cs="FrankRuehl"/>
            <w:color w:val="0000FF"/>
            <w:rtl/>
          </w:rPr>
          <w:t>144(א)</w:t>
        </w:r>
      </w:hyperlink>
      <w:r w:rsidRPr="00F91492">
        <w:rPr>
          <w:rFonts w:ascii="FrankRuehl" w:hAnsi="FrankRuehl" w:cs="FrankRuehl"/>
          <w:rtl/>
        </w:rPr>
        <w:t xml:space="preserve">, </w:t>
      </w:r>
      <w:hyperlink r:id="rId9" w:history="1">
        <w:r w:rsidRPr="00F91492">
          <w:rPr>
            <w:rFonts w:ascii="FrankRuehl" w:hAnsi="FrankRuehl" w:cs="FrankRuehl"/>
            <w:color w:val="0000FF"/>
            <w:rtl/>
          </w:rPr>
          <w:t>144(ב)</w:t>
        </w:r>
      </w:hyperlink>
    </w:p>
    <w:p w14:paraId="17CA0997" w14:textId="77777777" w:rsidR="00F91492" w:rsidRPr="00F91492" w:rsidRDefault="00F91492" w:rsidP="00F91492">
      <w:pPr>
        <w:rPr>
          <w:rtl/>
        </w:rPr>
      </w:pPr>
      <w:bookmarkStart w:id="4" w:name="LawTable_End"/>
      <w:bookmarkEnd w:id="4"/>
    </w:p>
    <w:p w14:paraId="3CDEB0B6" w14:textId="77777777" w:rsidR="009077DC" w:rsidRPr="009513CF" w:rsidRDefault="009077D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077DC" w14:paraId="50616186" w14:textId="77777777">
        <w:trPr>
          <w:trHeight w:val="355"/>
          <w:jc w:val="center"/>
        </w:trPr>
        <w:tc>
          <w:tcPr>
            <w:tcW w:w="8820" w:type="dxa"/>
            <w:tcBorders>
              <w:top w:val="nil"/>
              <w:left w:val="nil"/>
              <w:bottom w:val="nil"/>
              <w:right w:val="nil"/>
            </w:tcBorders>
          </w:tcPr>
          <w:p w14:paraId="462DFB33" w14:textId="77777777" w:rsidR="009513CF" w:rsidRPr="009513CF" w:rsidRDefault="009513CF" w:rsidP="009513CF">
            <w:pPr>
              <w:jc w:val="center"/>
              <w:rPr>
                <w:rFonts w:ascii="Arial" w:hAnsi="Arial"/>
                <w:b/>
                <w:bCs/>
                <w:sz w:val="32"/>
                <w:szCs w:val="32"/>
                <w:u w:val="single"/>
                <w:rtl/>
              </w:rPr>
            </w:pPr>
            <w:bookmarkStart w:id="5" w:name="PsakDin" w:colFirst="0" w:colLast="0"/>
            <w:r w:rsidRPr="009513CF">
              <w:rPr>
                <w:rFonts w:ascii="Arial" w:hAnsi="Arial"/>
                <w:b/>
                <w:bCs/>
                <w:sz w:val="32"/>
                <w:szCs w:val="32"/>
                <w:u w:val="single"/>
                <w:rtl/>
              </w:rPr>
              <w:t>גזר - דין</w:t>
            </w:r>
          </w:p>
          <w:p w14:paraId="6D0ABF7F" w14:textId="77777777" w:rsidR="009077DC" w:rsidRPr="009513CF" w:rsidRDefault="009077DC" w:rsidP="009513CF">
            <w:pPr>
              <w:jc w:val="center"/>
              <w:rPr>
                <w:rFonts w:ascii="Arial" w:hAnsi="Arial"/>
                <w:bCs/>
                <w:sz w:val="32"/>
                <w:szCs w:val="32"/>
                <w:u w:val="single"/>
                <w:rtl/>
              </w:rPr>
            </w:pPr>
          </w:p>
        </w:tc>
      </w:tr>
      <w:bookmarkEnd w:id="5"/>
    </w:tbl>
    <w:p w14:paraId="42E72B38" w14:textId="77777777" w:rsidR="009077DC" w:rsidRDefault="009077DC">
      <w:pPr>
        <w:rPr>
          <w:rFonts w:ascii="Arial" w:hAnsi="Arial"/>
          <w:rtl/>
        </w:rPr>
      </w:pPr>
    </w:p>
    <w:p w14:paraId="3971DF82" w14:textId="77777777" w:rsidR="009077DC" w:rsidRDefault="009077DC">
      <w:pPr>
        <w:rPr>
          <w:rFonts w:ascii="Arial" w:hAnsi="Arial"/>
          <w:rtl/>
        </w:rPr>
      </w:pPr>
    </w:p>
    <w:p w14:paraId="609841BC" w14:textId="77777777" w:rsidR="009077DC" w:rsidRDefault="009513CF">
      <w:pPr>
        <w:spacing w:after="160" w:line="360" w:lineRule="auto"/>
        <w:ind w:left="720" w:hanging="720"/>
        <w:jc w:val="both"/>
        <w:rPr>
          <w:rFonts w:ascii="Arial" w:hAnsi="Arial"/>
          <w:rtl/>
        </w:rPr>
      </w:pPr>
      <w:r>
        <w:rPr>
          <w:rFonts w:ascii="Arial" w:hAnsi="Arial"/>
          <w:rtl/>
        </w:rPr>
        <w:t xml:space="preserve">1. </w:t>
      </w:r>
      <w:r>
        <w:rPr>
          <w:rFonts w:ascii="Arial" w:hAnsi="Arial"/>
          <w:rtl/>
        </w:rPr>
        <w:tab/>
      </w:r>
      <w:bookmarkStart w:id="6" w:name="ABSTRACT_START"/>
      <w:bookmarkEnd w:id="6"/>
      <w:r>
        <w:rPr>
          <w:rFonts w:ascii="Arial" w:hAnsi="Arial"/>
          <w:rtl/>
        </w:rPr>
        <w:t xml:space="preserve">הנאשם הורשע בכתב אישום מתוקן במסגרת הסדר טיעון בעבירות של החזקת נשק (עבירה לפי </w:t>
      </w:r>
      <w:hyperlink r:id="rId10" w:history="1">
        <w:r w:rsidR="001B78A5" w:rsidRPr="001B78A5">
          <w:rPr>
            <w:rFonts w:ascii="Arial" w:hAnsi="Arial"/>
            <w:color w:val="0000FF"/>
            <w:u w:val="single"/>
            <w:rtl/>
          </w:rPr>
          <w:t>סעיף 144(א)</w:t>
        </w:r>
      </w:hyperlink>
      <w:r>
        <w:rPr>
          <w:rFonts w:ascii="Arial" w:hAnsi="Arial"/>
          <w:rtl/>
        </w:rPr>
        <w:t xml:space="preserve"> ל</w:t>
      </w:r>
      <w:hyperlink r:id="rId11" w:history="1">
        <w:r w:rsidRPr="009513CF">
          <w:rPr>
            <w:rFonts w:ascii="Arial" w:hAnsi="Arial"/>
            <w:color w:val="0000FF"/>
            <w:u w:val="single"/>
            <w:rtl/>
          </w:rPr>
          <w:t>חוק העונשין</w:t>
        </w:r>
      </w:hyperlink>
      <w:r>
        <w:rPr>
          <w:rFonts w:ascii="Arial" w:hAnsi="Arial"/>
          <w:rtl/>
        </w:rPr>
        <w:t xml:space="preserve"> – התשל"ז, 1977; </w:t>
      </w:r>
      <w:r>
        <w:rPr>
          <w:rFonts w:ascii="Arial" w:hAnsi="Arial" w:hint="cs"/>
          <w:rtl/>
        </w:rPr>
        <w:t>(</w:t>
      </w:r>
      <w:r>
        <w:rPr>
          <w:rFonts w:ascii="Arial" w:hAnsi="Arial"/>
          <w:rtl/>
        </w:rPr>
        <w:t xml:space="preserve">להלן: "החוק"), נשיאת נשק לפי </w:t>
      </w:r>
      <w:hyperlink r:id="rId12" w:history="1">
        <w:r w:rsidR="001B78A5" w:rsidRPr="001B78A5">
          <w:rPr>
            <w:rFonts w:ascii="Arial" w:hAnsi="Arial"/>
            <w:color w:val="0000FF"/>
            <w:u w:val="single"/>
            <w:rtl/>
          </w:rPr>
          <w:t>סעיף 144(ב)</w:t>
        </w:r>
      </w:hyperlink>
      <w:r>
        <w:rPr>
          <w:rFonts w:ascii="Arial" w:hAnsi="Arial"/>
          <w:rtl/>
        </w:rPr>
        <w:t xml:space="preserve"> לחוק</w:t>
      </w:r>
      <w:r>
        <w:rPr>
          <w:rFonts w:ascii="Arial" w:hAnsi="Arial" w:hint="cs"/>
          <w:rtl/>
        </w:rPr>
        <w:t>,</w:t>
      </w:r>
      <w:r>
        <w:rPr>
          <w:rFonts w:ascii="Arial" w:hAnsi="Arial"/>
          <w:rtl/>
        </w:rPr>
        <w:t xml:space="preserve"> וסיוע להחזקת נשק (עבירה לפי </w:t>
      </w:r>
      <w:hyperlink r:id="rId13" w:history="1">
        <w:r w:rsidR="001B78A5" w:rsidRPr="001B78A5">
          <w:rPr>
            <w:rFonts w:ascii="Arial" w:hAnsi="Arial"/>
            <w:color w:val="0000FF"/>
            <w:u w:val="single"/>
            <w:rtl/>
          </w:rPr>
          <w:t>סעיף 144(א)</w:t>
        </w:r>
      </w:hyperlink>
      <w:r>
        <w:rPr>
          <w:rFonts w:ascii="Arial" w:hAnsi="Arial"/>
          <w:rtl/>
        </w:rPr>
        <w:t xml:space="preserve"> יחד עם </w:t>
      </w:r>
      <w:hyperlink r:id="rId14" w:history="1">
        <w:r w:rsidR="001B78A5" w:rsidRPr="001B78A5">
          <w:rPr>
            <w:rFonts w:ascii="Arial" w:hAnsi="Arial"/>
            <w:color w:val="0000FF"/>
            <w:u w:val="single"/>
            <w:rtl/>
          </w:rPr>
          <w:t>סעיף 31</w:t>
        </w:r>
      </w:hyperlink>
      <w:r>
        <w:rPr>
          <w:rFonts w:ascii="Arial" w:hAnsi="Arial"/>
          <w:rtl/>
        </w:rPr>
        <w:t xml:space="preserve"> לחוק.</w:t>
      </w:r>
    </w:p>
    <w:p w14:paraId="4C1EBC63" w14:textId="77777777" w:rsidR="009077DC" w:rsidRDefault="009513CF">
      <w:pPr>
        <w:spacing w:after="160" w:line="360" w:lineRule="auto"/>
        <w:ind w:left="720" w:hanging="720"/>
        <w:jc w:val="both"/>
        <w:rPr>
          <w:rFonts w:ascii="Arial" w:hAnsi="Arial"/>
          <w:rtl/>
        </w:rPr>
      </w:pPr>
      <w:bookmarkStart w:id="7" w:name="ABSTRACT_END"/>
      <w:bookmarkEnd w:id="7"/>
      <w:r>
        <w:rPr>
          <w:rFonts w:ascii="Arial" w:hAnsi="Arial"/>
          <w:rtl/>
        </w:rPr>
        <w:t xml:space="preserve">2. </w:t>
      </w:r>
      <w:r>
        <w:rPr>
          <w:rFonts w:ascii="Arial" w:hAnsi="Arial"/>
          <w:rtl/>
        </w:rPr>
        <w:tab/>
        <w:t xml:space="preserve">על פי עובדות כתב האישום המתוקן, על רקע סכסוך בין אנשים המשתייכים לשתי קבוצות יריבות, יזם אחד מהם, ששמו מיקי, קשר לפגיעה באחד המעורבים ולשם קידומו רכש רובה. הנאשם לא נמנה על קבוצת הקושרים, אולם היה מודע לפרטי הסכסוך ולכך כי מיקי עתיד לעשות שימוש ברובה. ביום 31.12.14 נכח הנאשם, בחברת מיקי ושלושה אחרים, בעת הטמנת הרובה תחת שיח. בשל כך יוחסה לנאשם עבירה של סיוע להחזקת נשק (להלן: "המעשה הראשון" או "עבירת הסיוע"). </w:t>
      </w:r>
    </w:p>
    <w:p w14:paraId="522DFBCE" w14:textId="77777777" w:rsidR="009077DC" w:rsidRDefault="009513CF">
      <w:pPr>
        <w:spacing w:after="160" w:line="360" w:lineRule="auto"/>
        <w:ind w:left="720"/>
        <w:jc w:val="both"/>
        <w:rPr>
          <w:rFonts w:ascii="Arial" w:hAnsi="Arial"/>
          <w:rtl/>
        </w:rPr>
      </w:pPr>
      <w:r>
        <w:rPr>
          <w:rFonts w:ascii="Arial" w:hAnsi="Arial"/>
          <w:rtl/>
        </w:rPr>
        <w:lastRenderedPageBreak/>
        <w:t>אלא שהרובה נעלם מהמקום בו הוטמן ובמקומו רכש מיקי אקדח חצי אוטומטי ומחסנית ובה  ארבעה כדורים. יחד עם הנאשם ומעורב נוסף ששמו ליאור, תכנן מיקי להעביר את האקדח למקום אחר. בהמשך, ביום 14.1.15 קיבל מיקי הודעה על מיקומו של הקורבן, וקבע להיפגש  עם הנאשם ועם ליאור, שיביאו איתם את האקדח והמחסנית, בסמוך לביתו של הנאשם. ואכן הנאשם, ליאור ואדם נוסף נפגשו במקום לצורך הטמנת האקדח והמחסנית, כאשר הנאשם יודע כי מיקי עתיד להשתמש בהם. מסיבה שאינה ידועה, לא הטמינו השלושה את האקדח אלא נשאוהו עימם לחורשה ציבורית ושם הטמין אותו הנאשם. כשעה לאחר מכן תפסה המשטרה את האקדח וסיכלה את התוכנית הפלילית. בשל כך יוחסו לנאשם עבירות של החזקת ונשיאת נשק (להלן: "המעשה השני" או "עבירות הנשיאה וההחזקה").</w:t>
      </w:r>
    </w:p>
    <w:p w14:paraId="4921DF82" w14:textId="77777777" w:rsidR="009077DC" w:rsidRDefault="009077DC">
      <w:pPr>
        <w:spacing w:after="160" w:line="360" w:lineRule="auto"/>
        <w:ind w:left="720"/>
        <w:jc w:val="both"/>
        <w:rPr>
          <w:rFonts w:ascii="Arial" w:hAnsi="Arial"/>
          <w:rtl/>
        </w:rPr>
      </w:pPr>
    </w:p>
    <w:p w14:paraId="3388579E" w14:textId="77777777" w:rsidR="009077DC" w:rsidRDefault="009077DC">
      <w:pPr>
        <w:spacing w:after="160" w:line="360" w:lineRule="auto"/>
        <w:ind w:left="720" w:hanging="720"/>
        <w:jc w:val="both"/>
        <w:rPr>
          <w:rFonts w:ascii="Arial" w:hAnsi="Arial"/>
          <w:rtl/>
        </w:rPr>
      </w:pPr>
    </w:p>
    <w:p w14:paraId="109616A0" w14:textId="77777777" w:rsidR="009077DC" w:rsidRDefault="009513CF">
      <w:pPr>
        <w:spacing w:after="160" w:line="360" w:lineRule="auto"/>
        <w:ind w:left="720" w:hanging="720"/>
        <w:jc w:val="both"/>
        <w:rPr>
          <w:rFonts w:ascii="Arial" w:hAnsi="Arial"/>
          <w:rtl/>
        </w:rPr>
      </w:pPr>
      <w:r>
        <w:rPr>
          <w:rFonts w:ascii="Arial" w:hAnsi="Arial"/>
          <w:rtl/>
        </w:rPr>
        <w:t xml:space="preserve">3. </w:t>
      </w:r>
      <w:r>
        <w:rPr>
          <w:rFonts w:ascii="Arial" w:hAnsi="Arial"/>
          <w:rtl/>
        </w:rPr>
        <w:tab/>
        <w:t>כראייה לעונש הוגש ג</w:t>
      </w:r>
      <w:r>
        <w:rPr>
          <w:rFonts w:ascii="Arial" w:hAnsi="Arial" w:hint="cs"/>
          <w:rtl/>
        </w:rPr>
        <w:t>י</w:t>
      </w:r>
      <w:r>
        <w:rPr>
          <w:rFonts w:ascii="Arial" w:hAnsi="Arial"/>
          <w:rtl/>
        </w:rPr>
        <w:t>ליון הרישום הפלילי של הנאשם. לחובתו של הנאשם 14 הרשעות קודמות בעבירות אלימות, שימוש רשלני בחומר רעיל, החזקה בסמים לצריכה עצמית, החזקת סכין למטרה לא כשרה, שיבוש הל</w:t>
      </w:r>
      <w:r>
        <w:rPr>
          <w:rFonts w:ascii="Arial" w:hAnsi="Arial" w:hint="cs"/>
          <w:rtl/>
        </w:rPr>
        <w:t>י</w:t>
      </w:r>
      <w:r>
        <w:rPr>
          <w:rFonts w:ascii="Arial" w:hAnsi="Arial"/>
          <w:rtl/>
        </w:rPr>
        <w:t>כי משפט, פריצה לרכב ופירוק חלקים מרכב, סחר בסמים, איומים, עבירות רכוש והדחה באיומים וכ</w:t>
      </w:r>
      <w:r>
        <w:rPr>
          <w:rFonts w:ascii="Arial" w:hAnsi="Arial" w:hint="cs"/>
          <w:rtl/>
        </w:rPr>
        <w:t>ו</w:t>
      </w:r>
      <w:r>
        <w:rPr>
          <w:rFonts w:ascii="Arial" w:hAnsi="Arial"/>
          <w:rtl/>
        </w:rPr>
        <w:t xml:space="preserve">ח. בגין הרשעותיו ריצה הנאשם מספר תקופות מאסר, חלקן לתקופה ממושכת. </w:t>
      </w:r>
    </w:p>
    <w:p w14:paraId="68EEC3E0" w14:textId="77777777" w:rsidR="009077DC" w:rsidRDefault="009513CF">
      <w:pPr>
        <w:spacing w:after="160" w:line="360" w:lineRule="auto"/>
        <w:jc w:val="both"/>
        <w:rPr>
          <w:rFonts w:ascii="Arial" w:hAnsi="Arial"/>
          <w:b/>
          <w:bCs/>
          <w:rtl/>
        </w:rPr>
      </w:pPr>
      <w:r>
        <w:rPr>
          <w:rFonts w:ascii="Arial" w:hAnsi="Arial"/>
          <w:b/>
          <w:bCs/>
          <w:rtl/>
        </w:rPr>
        <w:t xml:space="preserve">טיעוני הצדדים </w:t>
      </w:r>
    </w:p>
    <w:p w14:paraId="2ADD5AB8" w14:textId="77777777" w:rsidR="009077DC" w:rsidRDefault="009513CF">
      <w:pPr>
        <w:spacing w:after="160" w:line="360" w:lineRule="auto"/>
        <w:ind w:left="720" w:hanging="720"/>
        <w:jc w:val="both"/>
        <w:rPr>
          <w:rFonts w:ascii="Arial" w:hAnsi="Arial"/>
          <w:rtl/>
        </w:rPr>
      </w:pPr>
      <w:r>
        <w:rPr>
          <w:rFonts w:ascii="Arial" w:hAnsi="Arial"/>
          <w:rtl/>
        </w:rPr>
        <w:t xml:space="preserve">4. </w:t>
      </w:r>
      <w:r>
        <w:rPr>
          <w:rFonts w:ascii="Arial" w:hAnsi="Arial"/>
          <w:rtl/>
        </w:rPr>
        <w:tab/>
        <w:t>בטיעוניהם לעונש נחלקו הצדדים באשר לדרך קביעת מתחם העונש ההולם וגזירת העונש.</w:t>
      </w:r>
    </w:p>
    <w:p w14:paraId="08EDFF5E" w14:textId="77777777" w:rsidR="009077DC" w:rsidRDefault="009513CF">
      <w:pPr>
        <w:spacing w:after="160" w:line="360" w:lineRule="auto"/>
        <w:ind w:left="720"/>
        <w:jc w:val="both"/>
        <w:rPr>
          <w:rFonts w:ascii="Arial" w:hAnsi="Arial"/>
          <w:rtl/>
        </w:rPr>
      </w:pPr>
      <w:r>
        <w:rPr>
          <w:rFonts w:ascii="Arial" w:hAnsi="Arial"/>
          <w:rtl/>
        </w:rPr>
        <w:t>ב"כ המאשימה טען כי משהוסרה עבירת הקשר, על העובדות הקשורות בה, מכתב האישום המתוקן, יש לראות בכל אחד מהמעשים אירוע נפרד ולגזור בגינו עונש עצמאי ומצטבר.  לעומתו, טען ב"כ הנאשם כי שני המעשים משתלבים האחד בשני ואין לערוך אבחנה מלאכותית ביניהם, שכן לשניהם רקע משותף, הנפשות הפועלות זהות והם בוצעו בהפרש קצר זה מזה.  לחילופין, טען כי אם תידחה עמדתו וייקבע כי המדובר בשני אירועים שונים, יש לחפוף את העונשים שיוטלו בגינם.</w:t>
      </w:r>
    </w:p>
    <w:p w14:paraId="2D6A674E" w14:textId="77777777" w:rsidR="009077DC" w:rsidRDefault="009513CF">
      <w:pPr>
        <w:spacing w:after="160" w:line="360" w:lineRule="auto"/>
        <w:ind w:left="720" w:hanging="720"/>
        <w:jc w:val="both"/>
        <w:rPr>
          <w:rFonts w:ascii="Arial" w:hAnsi="Arial"/>
          <w:rtl/>
        </w:rPr>
      </w:pPr>
      <w:r>
        <w:rPr>
          <w:rFonts w:ascii="Arial" w:hAnsi="Arial"/>
          <w:rtl/>
        </w:rPr>
        <w:t xml:space="preserve">5. </w:t>
      </w:r>
      <w:r>
        <w:rPr>
          <w:rFonts w:ascii="Arial" w:hAnsi="Arial"/>
          <w:rtl/>
        </w:rPr>
        <w:tab/>
        <w:t>באשר למתחמי הענישה טען ב"כ המאשימה, בהפנותו לפסיקה, כי יש להעלות את רף הענישה בעבירות נשק וכי מתחם העונש ההולם לאירוע הראשון נע בין 8 ל- 18 חודשי מאסר ולאירוע השני בין 20 ל- 48 חודשי מאסר. לשיטתו, על רקע הנסיבות שאינן קשורות בביצוע העבירה, יש לגזור את עונשו של הנאשם ברף העליון של כל אחד ממתחמי הענישה, כשאר העונשים צריכים להצטבר זה לזה, ובנוסף יש לגזור עליו מאסר מותנה וקנס.</w:t>
      </w:r>
    </w:p>
    <w:p w14:paraId="6609F0FA" w14:textId="77777777" w:rsidR="009077DC" w:rsidRDefault="009513CF">
      <w:pPr>
        <w:spacing w:after="160" w:line="360" w:lineRule="auto"/>
        <w:ind w:left="720" w:hanging="720"/>
        <w:jc w:val="both"/>
        <w:rPr>
          <w:rFonts w:ascii="Arial" w:hAnsi="Arial"/>
          <w:rtl/>
        </w:rPr>
      </w:pPr>
      <w:r>
        <w:rPr>
          <w:rFonts w:ascii="Arial" w:hAnsi="Arial"/>
          <w:rtl/>
        </w:rPr>
        <w:t xml:space="preserve">6. </w:t>
      </w:r>
      <w:r>
        <w:rPr>
          <w:rFonts w:ascii="Arial" w:hAnsi="Arial"/>
          <w:rtl/>
        </w:rPr>
        <w:tab/>
        <w:t xml:space="preserve">אף שלשיטת ב"כ הנאשם מדובר באירוע אחד ומתחם עונש אחד, הוא ביסס את טיעונו על קיומם של שני אירועים ושני מתחמים כאשר באירוע הראשון מתחם העונש ההולם נע בין 3 </w:t>
      </w:r>
      <w:r>
        <w:rPr>
          <w:rFonts w:ascii="Arial" w:hAnsi="Arial"/>
          <w:rtl/>
        </w:rPr>
        <w:lastRenderedPageBreak/>
        <w:t>ל- 9 חודשי מאסר לנוכח העובדה כי הנאשם הורשע בעבירת סיוע שעונשה מחצית העונש של המבצע העיקרי. באירוע השני מתחם העונש המקובל בעבירות החזקת נשק שרף החומרה בהן בינוני נע בין שנה לבין שלוש שנות מאסר, בעוד שרף החומרה כאן נמוך.</w:t>
      </w:r>
    </w:p>
    <w:p w14:paraId="266E9843" w14:textId="77777777" w:rsidR="009077DC" w:rsidRDefault="009513CF">
      <w:pPr>
        <w:spacing w:after="160" w:line="360" w:lineRule="auto"/>
        <w:ind w:left="720"/>
        <w:jc w:val="both"/>
        <w:rPr>
          <w:rFonts w:ascii="Arial" w:hAnsi="Arial"/>
          <w:rtl/>
        </w:rPr>
      </w:pPr>
      <w:r>
        <w:rPr>
          <w:rFonts w:ascii="Arial" w:hAnsi="Arial"/>
          <w:rtl/>
        </w:rPr>
        <w:t xml:space="preserve">עוד טען כי לאחר מחיקת עבירת הקשר מכתב האישום המתוקן יש לנתק את מעשיו של הנאשם מפרטי הסכסוך וכל שניתן לקבוע הוא שהחזקת הנשק היתה לצורך פעילות עתידית, להבדיל מפעילות קונקרטית, כך שההחזקה לא בוצעה ברף החומרה העליון. </w:t>
      </w:r>
    </w:p>
    <w:p w14:paraId="7BD41C53" w14:textId="77777777" w:rsidR="009077DC" w:rsidRDefault="009513CF">
      <w:pPr>
        <w:spacing w:after="160" w:line="360" w:lineRule="auto"/>
        <w:jc w:val="both"/>
        <w:rPr>
          <w:rFonts w:ascii="Arial" w:hAnsi="Arial"/>
          <w:rtl/>
        </w:rPr>
      </w:pPr>
      <w:r>
        <w:rPr>
          <w:rFonts w:ascii="Arial" w:hAnsi="Arial"/>
          <w:rtl/>
        </w:rPr>
        <w:t xml:space="preserve">7. </w:t>
      </w:r>
      <w:r>
        <w:rPr>
          <w:rFonts w:ascii="Arial" w:hAnsi="Arial"/>
          <w:rtl/>
        </w:rPr>
        <w:tab/>
        <w:t>הנאשם עצמו, בדברו האחרון בטרם ייגזר דינו, הביע צער על מעשיו.</w:t>
      </w:r>
    </w:p>
    <w:p w14:paraId="134FA221" w14:textId="77777777" w:rsidR="009077DC" w:rsidRDefault="009077DC">
      <w:pPr>
        <w:spacing w:after="160" w:line="360" w:lineRule="auto"/>
        <w:jc w:val="both"/>
        <w:rPr>
          <w:rFonts w:ascii="Arial" w:hAnsi="Arial"/>
          <w:b/>
          <w:bCs/>
          <w:rtl/>
        </w:rPr>
      </w:pPr>
    </w:p>
    <w:p w14:paraId="710B76C5" w14:textId="77777777" w:rsidR="009077DC" w:rsidRDefault="009077DC">
      <w:pPr>
        <w:spacing w:after="160" w:line="360" w:lineRule="auto"/>
        <w:jc w:val="both"/>
        <w:rPr>
          <w:rFonts w:ascii="Arial" w:hAnsi="Arial"/>
          <w:b/>
          <w:bCs/>
          <w:rtl/>
        </w:rPr>
      </w:pPr>
    </w:p>
    <w:p w14:paraId="5FD858E7" w14:textId="77777777" w:rsidR="009077DC" w:rsidRDefault="009513CF">
      <w:pPr>
        <w:spacing w:after="160" w:line="360" w:lineRule="auto"/>
        <w:jc w:val="both"/>
        <w:rPr>
          <w:rFonts w:ascii="Arial" w:hAnsi="Arial"/>
          <w:b/>
          <w:bCs/>
          <w:rtl/>
        </w:rPr>
      </w:pPr>
      <w:r>
        <w:rPr>
          <w:rFonts w:ascii="Arial" w:hAnsi="Arial"/>
          <w:b/>
          <w:bCs/>
          <w:rtl/>
        </w:rPr>
        <w:t>דיון והכרעה</w:t>
      </w:r>
    </w:p>
    <w:p w14:paraId="09D78125" w14:textId="77777777" w:rsidR="009077DC" w:rsidRDefault="009513CF">
      <w:pPr>
        <w:spacing w:after="160" w:line="360" w:lineRule="auto"/>
        <w:ind w:left="720" w:hanging="720"/>
        <w:jc w:val="both"/>
        <w:rPr>
          <w:rFonts w:ascii="Arial" w:hAnsi="Arial"/>
          <w:rtl/>
        </w:rPr>
      </w:pPr>
      <w:r>
        <w:rPr>
          <w:rFonts w:ascii="Arial" w:hAnsi="Arial"/>
          <w:rtl/>
        </w:rPr>
        <w:t xml:space="preserve">8. </w:t>
      </w:r>
      <w:r>
        <w:rPr>
          <w:rFonts w:ascii="Arial" w:hAnsi="Arial"/>
          <w:rtl/>
        </w:rPr>
        <w:tab/>
        <w:t>הערכים המוגנים בעבירות נשק הם שלום הציבור ובטחונו, זאת לנוכח הסיכון הרב הטמון בכלי נשק המוחזקים שלא כדין. במעשיו, בשני המקרים בהם הורשע, פגע הנאשם פגיעה ממשית בערכים. הגם שלא התממש הפוטנציאל הקטלני והמזיק של כלי הנשק – שאחד מהם נעלם מהמקום בו הוטמן והשני נתפס על ידי המשטרה – קידם הנאשם במעשיו אלה את האפשרות לביצוע עבירות פליליות באמצעות השימוש בכלי הנשק, מה גם שהרובה שהוטמן באירוע הראשון נעלם מן המקום ואין לדעת לידי מי נפל ואיזה שימוש ומתי ייעשה בו.</w:t>
      </w:r>
    </w:p>
    <w:p w14:paraId="2B821925" w14:textId="77777777" w:rsidR="009077DC" w:rsidRDefault="009513CF">
      <w:pPr>
        <w:spacing w:after="160" w:line="360" w:lineRule="auto"/>
        <w:ind w:left="720"/>
        <w:jc w:val="both"/>
        <w:rPr>
          <w:rFonts w:ascii="Arial" w:hAnsi="Arial"/>
          <w:rtl/>
        </w:rPr>
      </w:pPr>
      <w:r>
        <w:rPr>
          <w:rFonts w:ascii="Arial" w:hAnsi="Arial"/>
          <w:rtl/>
        </w:rPr>
        <w:t>העונש המירבי בעבירת החזקת הנשק הוא שבע שנות מאסר ובעבירת הסיוע – מחצית העונש. העונש המירבי בגין עבירת נשיאת נשק חמור יותר ועומד על עשר שנות מאסר.</w:t>
      </w:r>
    </w:p>
    <w:p w14:paraId="390B7CD4" w14:textId="77777777" w:rsidR="009077DC" w:rsidRDefault="009513CF">
      <w:pPr>
        <w:spacing w:after="160" w:line="360" w:lineRule="auto"/>
        <w:ind w:left="720" w:hanging="720"/>
        <w:jc w:val="both"/>
        <w:rPr>
          <w:rFonts w:ascii="Arial" w:hAnsi="Arial"/>
          <w:rtl/>
        </w:rPr>
      </w:pPr>
      <w:r>
        <w:rPr>
          <w:rFonts w:ascii="Arial" w:hAnsi="Arial"/>
          <w:rtl/>
        </w:rPr>
        <w:t xml:space="preserve">8. </w:t>
      </w:r>
      <w:r>
        <w:rPr>
          <w:rFonts w:ascii="Arial" w:hAnsi="Arial"/>
          <w:rtl/>
        </w:rPr>
        <w:tab/>
      </w:r>
      <w:r>
        <w:rPr>
          <w:rFonts w:ascii="Arial" w:hAnsi="Arial" w:hint="cs"/>
          <w:rtl/>
        </w:rPr>
        <w:t>ה</w:t>
      </w:r>
      <w:r>
        <w:rPr>
          <w:rFonts w:ascii="Arial" w:hAnsi="Arial"/>
          <w:rtl/>
        </w:rPr>
        <w:t xml:space="preserve">מחלוקת בין הצדדים האם מכלול מעשיו של הנאשם מהווה אירוע אחד, כמשמעותו בסעיף 40יג לחוק או שמא מדובר בשני אירועים שונים, שלכל אחד מהם יש לקבוע מתחם עונש הולם נפרד, דעתי כדעת ההגנה ולפיה יש לראות במכלול העבירות שביצע הנאשם משום אירוע אחד ולקבוע מתחם עונש הולם אחד. </w:t>
      </w:r>
    </w:p>
    <w:p w14:paraId="08C0A96F" w14:textId="77777777" w:rsidR="009077DC" w:rsidRDefault="009513CF">
      <w:pPr>
        <w:spacing w:after="160" w:line="360" w:lineRule="auto"/>
        <w:ind w:left="720"/>
        <w:jc w:val="both"/>
        <w:rPr>
          <w:rFonts w:ascii="Arial" w:hAnsi="Arial"/>
          <w:rtl/>
        </w:rPr>
      </w:pPr>
      <w:r>
        <w:rPr>
          <w:rFonts w:ascii="Arial" w:hAnsi="Arial"/>
          <w:rtl/>
        </w:rPr>
        <w:t>בחינת המסכת העובדתית המפורטת בכתב האישום המתוקן לאור "מבחן הקשר ההדוק", כפי שהתקבל בדעת רוב ב</w:t>
      </w:r>
      <w:hyperlink r:id="rId15" w:history="1">
        <w:r w:rsidRPr="009513CF">
          <w:rPr>
            <w:rFonts w:ascii="Arial" w:hAnsi="Arial"/>
            <w:color w:val="0000FF"/>
            <w:u w:val="single"/>
            <w:rtl/>
          </w:rPr>
          <w:t>ע"פ 4910/13</w:t>
        </w:r>
      </w:hyperlink>
      <w:r>
        <w:rPr>
          <w:rFonts w:ascii="Arial" w:hAnsi="Arial"/>
          <w:rtl/>
        </w:rPr>
        <w:t xml:space="preserve"> </w:t>
      </w:r>
      <w:r>
        <w:rPr>
          <w:rFonts w:ascii="Arial" w:hAnsi="Arial"/>
          <w:b/>
          <w:bCs/>
          <w:rtl/>
        </w:rPr>
        <w:t xml:space="preserve"> ג'אבר נ' מדינת ישראל</w:t>
      </w:r>
      <w:r>
        <w:rPr>
          <w:rFonts w:ascii="Arial" w:hAnsi="Arial"/>
          <w:rtl/>
        </w:rPr>
        <w:t xml:space="preserve"> (ניתן ביום 29.10.14) מעלה כי למרות שמן הבחינה הטכנית ניתן להפריד בין העבירות ואף כי הן בוצעו בהפרש של שבועיים האחת מהשנייה, הרי שמדובר במכלול אחד של עבירות שהן חלק מאותה "תוכנית עבריינית", שהמעורבים בכולן היו אותם מעורבים ושהרקע לביצוען זהה: סכסוך בין שתי קבוצות יריבות ורצון אחת מהן לפגוע בחבר הקבוצה השנייה. יתרה מכך, העבירה השנייה אף בוצעה רק בשל כישלונה של העבירה הראשונה, כאשר כלי הנשק שהוטמן אז נעלם ממקומו והמעורבים התחמשו בכלי נשק חדש. בהקשר זה, עצם הסרת עבירת קשירת הקשר מכתב האישום במסגרת הסדר הטיעון אינה מנתקת את הקשר הענייני בין שתי העבירות, שבהן הורשע הנאשם. זאת הן משום שהמונח "תוכנית עבריינית", בהקשר זה, אין משמעו רק קשר עברייני, אלא הוא רחב יותר ממנו והן משום שהפירוט העובדתי של כתב האישום לא השתנה שינוי מהותי בהקשר זה: אמנם להבדיל מהאמור בכתב האישום המקורי, הנאשם אינו נמנה על קבוצת הקושרים, אולם לפי כתב האישום המתוקן הוא היה מודע לפרטי הסכסוך ולשימוש שנועד להיעשות בכלי הנשק. </w:t>
      </w:r>
    </w:p>
    <w:p w14:paraId="6230C7B0" w14:textId="77777777" w:rsidR="009077DC" w:rsidRDefault="009513CF">
      <w:pPr>
        <w:spacing w:after="160" w:line="360" w:lineRule="auto"/>
        <w:ind w:left="720"/>
        <w:jc w:val="both"/>
        <w:rPr>
          <w:rFonts w:ascii="Arial" w:hAnsi="Arial"/>
          <w:rtl/>
        </w:rPr>
      </w:pPr>
      <w:r>
        <w:rPr>
          <w:rFonts w:ascii="Arial" w:hAnsi="Arial"/>
          <w:rtl/>
        </w:rPr>
        <w:t>לפיכך י</w:t>
      </w:r>
      <w:r>
        <w:rPr>
          <w:rFonts w:ascii="Arial" w:hAnsi="Arial" w:hint="cs"/>
          <w:rtl/>
        </w:rPr>
        <w:t>י</w:t>
      </w:r>
      <w:r>
        <w:rPr>
          <w:rFonts w:ascii="Arial" w:hAnsi="Arial"/>
          <w:rtl/>
        </w:rPr>
        <w:t>קבע מתחם עונש אחד לכלל העבירות, תוך שמירה על יחס הולם בין חומרת מכלול המעשים לבין מידת אשמו של הנאשם.</w:t>
      </w:r>
    </w:p>
    <w:p w14:paraId="046985E8" w14:textId="77777777" w:rsidR="009077DC" w:rsidRDefault="009513CF">
      <w:pPr>
        <w:spacing w:after="160" w:line="360" w:lineRule="auto"/>
        <w:ind w:left="720" w:hanging="720"/>
        <w:jc w:val="both"/>
        <w:rPr>
          <w:rFonts w:ascii="Arial" w:hAnsi="Arial"/>
          <w:b/>
          <w:bCs/>
          <w:rtl/>
        </w:rPr>
      </w:pPr>
      <w:r>
        <w:rPr>
          <w:rFonts w:ascii="Arial" w:hAnsi="Arial"/>
          <w:rtl/>
        </w:rPr>
        <w:t xml:space="preserve">9. </w:t>
      </w:r>
      <w:r>
        <w:rPr>
          <w:rFonts w:ascii="Arial" w:hAnsi="Arial"/>
          <w:rtl/>
        </w:rPr>
        <w:tab/>
        <w:t xml:space="preserve">ככלל, מדיניות הענישה בעבירות נשק היא מדיניות מחמירה המתבטאת בהטלת עונש מאסר לתקופה משמעותית ובהחמרה מתמשכת והדרגתית של רמת הענישה (ראו </w:t>
      </w:r>
      <w:hyperlink r:id="rId16" w:history="1">
        <w:r w:rsidRPr="009513CF">
          <w:rPr>
            <w:rFonts w:ascii="Arial" w:hAnsi="Arial"/>
            <w:color w:val="0000FF"/>
            <w:u w:val="single"/>
            <w:rtl/>
          </w:rPr>
          <w:t>ע"פ 5323/12</w:t>
        </w:r>
      </w:hyperlink>
      <w:r>
        <w:rPr>
          <w:rFonts w:ascii="Arial" w:hAnsi="Arial"/>
          <w:rtl/>
        </w:rPr>
        <w:t xml:space="preserve"> </w:t>
      </w:r>
      <w:r>
        <w:rPr>
          <w:rFonts w:ascii="Arial" w:hAnsi="Arial"/>
          <w:b/>
          <w:bCs/>
          <w:rtl/>
        </w:rPr>
        <w:t>אבו ליל נ' מדינת ישראל</w:t>
      </w:r>
      <w:r>
        <w:rPr>
          <w:rFonts w:ascii="Arial" w:hAnsi="Arial"/>
          <w:rtl/>
        </w:rPr>
        <w:t xml:space="preserve"> (ניתן ביום 17.6.14, פיסקה 11; להלן: "אבו ליל" ו</w:t>
      </w:r>
      <w:hyperlink r:id="rId17" w:history="1">
        <w:r w:rsidRPr="009513CF">
          <w:rPr>
            <w:rFonts w:ascii="Arial" w:hAnsi="Arial"/>
            <w:color w:val="0000FF"/>
            <w:u w:val="single"/>
            <w:rtl/>
          </w:rPr>
          <w:t>ע"פ 4945/13</w:t>
        </w:r>
      </w:hyperlink>
      <w:r>
        <w:rPr>
          <w:rFonts w:ascii="Arial" w:hAnsi="Arial"/>
          <w:rtl/>
        </w:rPr>
        <w:t xml:space="preserve"> </w:t>
      </w:r>
      <w:r>
        <w:rPr>
          <w:rFonts w:ascii="Arial" w:hAnsi="Arial"/>
          <w:b/>
          <w:bCs/>
          <w:rtl/>
        </w:rPr>
        <w:t xml:space="preserve">מדינת ישראל נ' סלימאן, </w:t>
      </w:r>
      <w:r>
        <w:rPr>
          <w:rFonts w:ascii="Arial" w:hAnsi="Arial"/>
          <w:rtl/>
        </w:rPr>
        <w:t>ניתן ביום 19.1.14, פיסקה 14; להלן: "סלימאן" ). לשם כך מקובל להבחין בין דרגות החומרה השונות שבעבירות הנשק, כאשר עבירות של רכישה והחזקת נשק ותחמושת מצויות ברף התחתון, עבירות של ייצור, ייבוא או סחר בנשק מצויות ברף העליון ועבירות של נשיאה והובלת נשק ותחמושת מצויות בתווך (</w:t>
      </w:r>
      <w:r>
        <w:rPr>
          <w:rFonts w:ascii="Arial" w:hAnsi="Arial"/>
          <w:b/>
          <w:bCs/>
          <w:rtl/>
        </w:rPr>
        <w:t xml:space="preserve"> </w:t>
      </w:r>
      <w:r>
        <w:rPr>
          <w:rFonts w:ascii="Arial" w:hAnsi="Arial"/>
          <w:rtl/>
        </w:rPr>
        <w:t>עניין</w:t>
      </w:r>
      <w:r>
        <w:rPr>
          <w:rFonts w:ascii="Arial" w:hAnsi="Arial"/>
          <w:b/>
          <w:bCs/>
          <w:rtl/>
        </w:rPr>
        <w:t xml:space="preserve"> סלימאן </w:t>
      </w:r>
      <w:r>
        <w:rPr>
          <w:rFonts w:ascii="Arial" w:hAnsi="Arial"/>
          <w:rtl/>
        </w:rPr>
        <w:t>הנ"ל, פיסקה 12).</w:t>
      </w:r>
    </w:p>
    <w:p w14:paraId="5F42B606" w14:textId="77777777" w:rsidR="009077DC" w:rsidRDefault="009513CF">
      <w:pPr>
        <w:spacing w:after="160" w:line="360" w:lineRule="auto"/>
        <w:ind w:left="720"/>
        <w:jc w:val="both"/>
        <w:rPr>
          <w:rFonts w:ascii="Arial" w:hAnsi="Arial"/>
          <w:rtl/>
        </w:rPr>
      </w:pPr>
      <w:r>
        <w:rPr>
          <w:rFonts w:ascii="Arial" w:hAnsi="Arial"/>
          <w:rtl/>
        </w:rPr>
        <w:t>כבסיס לעתירתו להחמרת הענישה, הגיש ב"כ המאשימה פסיקה בעבירות נשק ועמד על כך כי יש מקום להעלאת רמת הענישה.</w:t>
      </w:r>
    </w:p>
    <w:p w14:paraId="1D4DEC7B" w14:textId="77777777" w:rsidR="009077DC" w:rsidRDefault="009513CF">
      <w:pPr>
        <w:spacing w:after="160" w:line="360" w:lineRule="auto"/>
        <w:ind w:left="720"/>
        <w:jc w:val="both"/>
        <w:rPr>
          <w:rFonts w:ascii="Arial" w:hAnsi="Arial"/>
          <w:rtl/>
        </w:rPr>
      </w:pPr>
      <w:r>
        <w:rPr>
          <w:rFonts w:ascii="Arial" w:hAnsi="Arial"/>
          <w:rtl/>
        </w:rPr>
        <w:t>בעניין אבו ליל הנ"ל נגזרו 28 חודשי מאסר בגין עבירות של נשיאת נשק, הובלת נשק והחזקת נשק. תקופת החזקת הנשק עד לתפיסתו היתה קצרה מאוד ונמשכה כיממה, המערער הורשע לאחר ניהול הוכחות ולא הביע חרטה, בעברו הפלילי הרשעה בעבירת מין. ערעור על חומרת העונש נדחה ונקבע כי אין כל חומרה בעונש שהוטל עליו.</w:t>
      </w:r>
    </w:p>
    <w:p w14:paraId="5175FE87" w14:textId="77777777" w:rsidR="009077DC" w:rsidRDefault="009513CF">
      <w:pPr>
        <w:spacing w:after="160" w:line="360" w:lineRule="auto"/>
        <w:ind w:left="720"/>
        <w:jc w:val="both"/>
        <w:rPr>
          <w:rFonts w:ascii="Arial" w:hAnsi="Arial"/>
          <w:rtl/>
        </w:rPr>
      </w:pPr>
      <w:r>
        <w:rPr>
          <w:rFonts w:ascii="Arial" w:hAnsi="Arial"/>
          <w:rtl/>
        </w:rPr>
        <w:t>ב</w:t>
      </w:r>
      <w:hyperlink r:id="rId18" w:history="1">
        <w:r w:rsidRPr="009513CF">
          <w:rPr>
            <w:rFonts w:ascii="Arial" w:hAnsi="Arial"/>
            <w:color w:val="0000FF"/>
            <w:u w:val="single"/>
            <w:rtl/>
          </w:rPr>
          <w:t>ע"פ 2892/13</w:t>
        </w:r>
      </w:hyperlink>
      <w:r>
        <w:rPr>
          <w:rFonts w:ascii="Arial" w:hAnsi="Arial"/>
          <w:rtl/>
        </w:rPr>
        <w:t xml:space="preserve"> </w:t>
      </w:r>
      <w:r>
        <w:rPr>
          <w:rFonts w:ascii="Arial" w:hAnsi="Arial"/>
          <w:b/>
          <w:bCs/>
          <w:rtl/>
        </w:rPr>
        <w:t>עודתאללה נ' מדינת ישראל</w:t>
      </w:r>
      <w:r>
        <w:rPr>
          <w:rFonts w:ascii="Arial" w:hAnsi="Arial"/>
          <w:rtl/>
        </w:rPr>
        <w:t xml:space="preserve"> (ניתן ביום 29.9.13) נדחה ערעור על חומרת העונש. המערער הורשע, לאחר שמיעת הוכחות חלקית בהתאם להסדר דיוני, בעבירות של נשיאה והובלה של נשק והסתייעות ברכב לביצוע פשע, בשל כך שנהג ברכב כשמתחת לכיסא הנהג היו אקדח ומחסנית ריקה. על המערער – בן 25, ללא עבר פלילי - נגזרו 21 חודשי מאסר בתוך מתחם עונש הנע בין 12 ל-36 חודשי מאסר. בית המשפט העליון סירב להתערב במתחם העונש או בעונש שנקבע.</w:t>
      </w:r>
    </w:p>
    <w:p w14:paraId="36B264B3" w14:textId="77777777" w:rsidR="009077DC" w:rsidRDefault="009513CF">
      <w:pPr>
        <w:spacing w:after="160" w:line="360" w:lineRule="auto"/>
        <w:ind w:left="720"/>
        <w:jc w:val="both"/>
        <w:rPr>
          <w:rFonts w:ascii="Arial" w:hAnsi="Arial"/>
          <w:rtl/>
        </w:rPr>
      </w:pPr>
      <w:r>
        <w:rPr>
          <w:rFonts w:ascii="Arial" w:hAnsi="Arial"/>
          <w:rtl/>
        </w:rPr>
        <w:t>כמו כן הגיש פסקי דין שניתנו לפני קבלתו של התיקון לחוק בדבר הבניית שיקול הדעת בענישה (תיקון 113 ל</w:t>
      </w:r>
      <w:hyperlink r:id="rId19" w:history="1">
        <w:r w:rsidRPr="009513CF">
          <w:rPr>
            <w:rFonts w:ascii="Arial" w:hAnsi="Arial"/>
            <w:color w:val="0000FF"/>
            <w:u w:val="single"/>
            <w:rtl/>
          </w:rPr>
          <w:t>חוק העונשין</w:t>
        </w:r>
      </w:hyperlink>
      <w:r>
        <w:rPr>
          <w:rFonts w:ascii="Arial" w:hAnsi="Arial"/>
          <w:rtl/>
        </w:rPr>
        <w:t>):</w:t>
      </w:r>
    </w:p>
    <w:p w14:paraId="74CDF0D4" w14:textId="77777777" w:rsidR="009077DC" w:rsidRDefault="009513CF">
      <w:pPr>
        <w:spacing w:after="160" w:line="360" w:lineRule="auto"/>
        <w:ind w:left="720"/>
        <w:jc w:val="both"/>
        <w:rPr>
          <w:rFonts w:ascii="Arial" w:hAnsi="Arial"/>
          <w:rtl/>
        </w:rPr>
      </w:pPr>
      <w:r>
        <w:rPr>
          <w:rFonts w:ascii="Arial" w:hAnsi="Arial"/>
          <w:rtl/>
        </w:rPr>
        <w:t>ב</w:t>
      </w:r>
      <w:hyperlink r:id="rId20" w:history="1">
        <w:r w:rsidRPr="009513CF">
          <w:rPr>
            <w:rFonts w:ascii="Arial" w:hAnsi="Arial"/>
            <w:color w:val="0000FF"/>
            <w:u w:val="single"/>
            <w:rtl/>
          </w:rPr>
          <w:t>ע"פ 4329/10</w:t>
        </w:r>
      </w:hyperlink>
      <w:r>
        <w:rPr>
          <w:rFonts w:ascii="Arial" w:hAnsi="Arial"/>
          <w:rtl/>
        </w:rPr>
        <w:t xml:space="preserve"> </w:t>
      </w:r>
      <w:r>
        <w:rPr>
          <w:rFonts w:ascii="Arial" w:hAnsi="Arial"/>
          <w:b/>
          <w:bCs/>
          <w:rtl/>
        </w:rPr>
        <w:t>אסמאעיל נ' מדינת ישראל</w:t>
      </w:r>
      <w:r>
        <w:rPr>
          <w:rFonts w:ascii="Arial" w:hAnsi="Arial"/>
          <w:rtl/>
        </w:rPr>
        <w:t xml:space="preserve"> (ניתן ביום 25.10.10) נדחה ערעור על חומרת עונש של 20 חודשי מאסר בגין עבירות של החזקה ונשיאה של נשק. המערער, צעיר ללא עבר פלילי, הודה בכך שהחזיק באקדח טעון ונצור בעת שנהג ברכבו, שירות המבחן המליץ להטיל עונש שניתן לרצותו בעבודות שירות.</w:t>
      </w:r>
    </w:p>
    <w:p w14:paraId="1B9CF200" w14:textId="77777777" w:rsidR="009077DC" w:rsidRDefault="009513CF">
      <w:pPr>
        <w:spacing w:after="160" w:line="360" w:lineRule="auto"/>
        <w:ind w:left="720"/>
        <w:jc w:val="both"/>
        <w:rPr>
          <w:rFonts w:ascii="Arial" w:hAnsi="Arial"/>
          <w:rtl/>
        </w:rPr>
      </w:pPr>
      <w:r>
        <w:rPr>
          <w:rFonts w:ascii="Arial" w:hAnsi="Arial"/>
          <w:rtl/>
        </w:rPr>
        <w:t>ב</w:t>
      </w:r>
      <w:hyperlink r:id="rId21" w:history="1">
        <w:r w:rsidRPr="009513CF">
          <w:rPr>
            <w:rFonts w:ascii="Arial" w:hAnsi="Arial"/>
            <w:color w:val="0000FF"/>
            <w:u w:val="single"/>
            <w:rtl/>
          </w:rPr>
          <w:t>ע"פ 7949/07</w:t>
        </w:r>
      </w:hyperlink>
      <w:r>
        <w:rPr>
          <w:rFonts w:ascii="Arial" w:hAnsi="Arial"/>
          <w:rtl/>
        </w:rPr>
        <w:t xml:space="preserve"> </w:t>
      </w:r>
      <w:r>
        <w:rPr>
          <w:rFonts w:ascii="Arial" w:hAnsi="Arial"/>
          <w:b/>
          <w:bCs/>
          <w:rtl/>
        </w:rPr>
        <w:t xml:space="preserve">אבקסיס נ' מדינת ישראל </w:t>
      </w:r>
      <w:r>
        <w:rPr>
          <w:rFonts w:ascii="Arial" w:hAnsi="Arial"/>
          <w:rtl/>
        </w:rPr>
        <w:t xml:space="preserve">(ניתן ביום 1.2.08) נדחה ערעור על חומרת עונש מאסר של ארבע וחצי שנים בגין עבירות של נשיאת נשק, החזקת תחמושת וקבלת נכסים שהושגו בעוון. המערער נתפס כשהוא נושא על גופו אקדח ואקדח נוסף מצוי מתחת למושב הרכב. למערער, שהורשע על פי הודאתו, עבר פלילי מכביד לרבות הרשעה בעבירה של החזקת נשק ומאסר מותנה בגין עבירה זו שהופעל בשל הרשעתו כאן. </w:t>
      </w:r>
    </w:p>
    <w:p w14:paraId="6EFC9C93" w14:textId="77777777" w:rsidR="009077DC" w:rsidRDefault="009513CF">
      <w:pPr>
        <w:spacing w:after="160" w:line="360" w:lineRule="auto"/>
        <w:ind w:left="720"/>
        <w:jc w:val="both"/>
        <w:rPr>
          <w:rFonts w:ascii="Arial" w:hAnsi="Arial"/>
          <w:rtl/>
        </w:rPr>
      </w:pPr>
      <w:r>
        <w:rPr>
          <w:rFonts w:ascii="Arial" w:hAnsi="Arial"/>
          <w:rtl/>
        </w:rPr>
        <w:t>ב</w:t>
      </w:r>
      <w:hyperlink r:id="rId22" w:history="1">
        <w:r w:rsidRPr="009513CF">
          <w:rPr>
            <w:rFonts w:ascii="Arial" w:hAnsi="Arial"/>
            <w:color w:val="0000FF"/>
            <w:u w:val="single"/>
            <w:rtl/>
          </w:rPr>
          <w:t>ת"פ (חי') 28889-07-14</w:t>
        </w:r>
      </w:hyperlink>
      <w:r>
        <w:rPr>
          <w:rFonts w:ascii="Arial" w:hAnsi="Arial"/>
          <w:rtl/>
        </w:rPr>
        <w:t xml:space="preserve"> </w:t>
      </w:r>
      <w:r>
        <w:rPr>
          <w:rFonts w:ascii="Arial" w:hAnsi="Arial"/>
          <w:b/>
          <w:bCs/>
          <w:rtl/>
        </w:rPr>
        <w:t xml:space="preserve">מדינת ישראל נ' אבו ח'מיס </w:t>
      </w:r>
      <w:r>
        <w:rPr>
          <w:rFonts w:ascii="Arial" w:hAnsi="Arial"/>
          <w:rtl/>
        </w:rPr>
        <w:t xml:space="preserve"> (ניתן ביום 21.9.14) הוטל עונש של 24 חודשי מאסר (בנוסף לעונשים נוספים בגין עבירות אחרות) על נאשם שהורשע על פי הודאתו בעבירה של החזקה ונשיאת נשק (נשק מסוג קרל גוסטב ומחסנית טעונה), לחובתו עבר פלילי לא מכביד, גילו הצעיר (בן 25) ונסיבות אישיות.</w:t>
      </w:r>
    </w:p>
    <w:p w14:paraId="6C0FA48B" w14:textId="77777777" w:rsidR="009077DC" w:rsidRDefault="009513CF">
      <w:pPr>
        <w:spacing w:after="160" w:line="360" w:lineRule="auto"/>
        <w:ind w:firstLine="720"/>
        <w:jc w:val="both"/>
        <w:rPr>
          <w:rFonts w:ascii="Arial" w:hAnsi="Arial"/>
          <w:rtl/>
        </w:rPr>
      </w:pPr>
      <w:r>
        <w:rPr>
          <w:rFonts w:ascii="Arial" w:hAnsi="Arial"/>
          <w:rtl/>
        </w:rPr>
        <w:t xml:space="preserve">גם ב"כ של הנאשם הגיש פסיקה לתמיכה בעמדתו העונשית, לרבות פסקי הדין הבאים: </w:t>
      </w:r>
    </w:p>
    <w:p w14:paraId="2F284D20" w14:textId="77777777" w:rsidR="009077DC" w:rsidRDefault="009513CF">
      <w:pPr>
        <w:spacing w:after="160" w:line="360" w:lineRule="auto"/>
        <w:ind w:left="720"/>
        <w:jc w:val="both"/>
        <w:rPr>
          <w:rFonts w:ascii="Arial" w:hAnsi="Arial"/>
          <w:rtl/>
        </w:rPr>
      </w:pPr>
      <w:hyperlink r:id="rId23" w:history="1">
        <w:r w:rsidRPr="009513CF">
          <w:rPr>
            <w:rFonts w:ascii="Arial" w:hAnsi="Arial"/>
            <w:color w:val="0000FF"/>
            <w:u w:val="single"/>
            <w:rtl/>
          </w:rPr>
          <w:t>ע"פ 5717/14</w:t>
        </w:r>
      </w:hyperlink>
      <w:r>
        <w:rPr>
          <w:rFonts w:ascii="Arial" w:hAnsi="Arial"/>
          <w:rtl/>
        </w:rPr>
        <w:t xml:space="preserve"> </w:t>
      </w:r>
      <w:r>
        <w:rPr>
          <w:rFonts w:ascii="Arial" w:hAnsi="Arial"/>
          <w:b/>
          <w:bCs/>
          <w:rtl/>
        </w:rPr>
        <w:t xml:space="preserve">מדינת ישראל נ' גדבאן </w:t>
      </w:r>
      <w:r>
        <w:rPr>
          <w:rFonts w:ascii="Arial" w:hAnsi="Arial"/>
          <w:rtl/>
        </w:rPr>
        <w:t>(ניתן ביום 2.12.14) הוחמר עונשו של המשיב, שהורשע בעבירות של חבלה חמורה בנסיבות מחמירות ונשיאה והובלה של נשק והועמד על 30 חודשי מאסר (במקום 20 חודשי מאסר) בגין ירי שפגע במתלונן. לשיטת ב"כ הנאשם כאן, עניינו של הנאשם כאן נופל בחומרתו ממקרה זה ולכן גם רמת הענישה בעניינו צריכה להיות נמוכה יותר.</w:t>
      </w:r>
    </w:p>
    <w:p w14:paraId="38239C5E" w14:textId="77777777" w:rsidR="009077DC" w:rsidRDefault="009513CF">
      <w:pPr>
        <w:spacing w:after="160" w:line="360" w:lineRule="auto"/>
        <w:ind w:left="720"/>
        <w:jc w:val="both"/>
        <w:rPr>
          <w:rFonts w:ascii="Arial" w:hAnsi="Arial"/>
          <w:rtl/>
        </w:rPr>
      </w:pPr>
      <w:hyperlink r:id="rId24" w:history="1">
        <w:r w:rsidRPr="009513CF">
          <w:rPr>
            <w:rFonts w:ascii="Arial" w:hAnsi="Arial"/>
            <w:color w:val="0000FF"/>
            <w:u w:val="single"/>
            <w:rtl/>
          </w:rPr>
          <w:t>ע"פ 8473/13</w:t>
        </w:r>
      </w:hyperlink>
      <w:r>
        <w:rPr>
          <w:rFonts w:ascii="Arial" w:hAnsi="Arial"/>
          <w:rtl/>
        </w:rPr>
        <w:t xml:space="preserve"> </w:t>
      </w:r>
      <w:r>
        <w:rPr>
          <w:rFonts w:ascii="Arial" w:hAnsi="Arial"/>
          <w:b/>
          <w:bCs/>
          <w:rtl/>
        </w:rPr>
        <w:t xml:space="preserve">גיזאוי נ' מדינת ישראל </w:t>
      </w:r>
      <w:r>
        <w:rPr>
          <w:rFonts w:ascii="Arial" w:hAnsi="Arial"/>
          <w:rtl/>
        </w:rPr>
        <w:t>(ניתן ביום 22.7.14) בו חזר בית המשפט העליון על קביעתו כי מתחם העונש הראוי בגין החזקת נשק למטרת הגנה עצמית הוא 12 – 36 חודשי מאסר כפי שנקבע ב</w:t>
      </w:r>
      <w:hyperlink r:id="rId25" w:history="1">
        <w:r w:rsidRPr="009513CF">
          <w:rPr>
            <w:rFonts w:ascii="Arial" w:hAnsi="Arial"/>
            <w:color w:val="0000FF"/>
            <w:u w:val="single"/>
            <w:rtl/>
          </w:rPr>
          <w:t>ע"פ 4945/13</w:t>
        </w:r>
      </w:hyperlink>
      <w:r>
        <w:rPr>
          <w:rFonts w:ascii="Arial" w:hAnsi="Arial"/>
          <w:rtl/>
        </w:rPr>
        <w:t xml:space="preserve"> </w:t>
      </w:r>
      <w:r>
        <w:rPr>
          <w:rFonts w:ascii="Arial" w:hAnsi="Arial"/>
          <w:b/>
          <w:bCs/>
          <w:rtl/>
        </w:rPr>
        <w:t xml:space="preserve">מדינת ישראל נ' </w:t>
      </w:r>
      <w:r>
        <w:rPr>
          <w:rFonts w:ascii="Arial" w:hAnsi="Arial"/>
          <w:rtl/>
        </w:rPr>
        <w:t>סלימאן (ניתן ביום 19.1.14).</w:t>
      </w:r>
    </w:p>
    <w:p w14:paraId="49329086" w14:textId="77777777" w:rsidR="009077DC" w:rsidRDefault="009513CF">
      <w:pPr>
        <w:spacing w:after="160" w:line="360" w:lineRule="auto"/>
        <w:jc w:val="both"/>
        <w:rPr>
          <w:rFonts w:ascii="Arial" w:hAnsi="Arial"/>
          <w:rtl/>
        </w:rPr>
      </w:pPr>
      <w:r>
        <w:rPr>
          <w:rFonts w:ascii="Arial" w:hAnsi="Arial"/>
          <w:rtl/>
        </w:rPr>
        <w:t xml:space="preserve">10. </w:t>
      </w:r>
      <w:r>
        <w:rPr>
          <w:rFonts w:ascii="Arial" w:hAnsi="Arial"/>
          <w:rtl/>
        </w:rPr>
        <w:tab/>
        <w:t>בקביעת המתחם יובאו בחשבון נסיבות הקשורות בביצוע העבירות, כדלקמן:</w:t>
      </w:r>
    </w:p>
    <w:p w14:paraId="33DF3E5F" w14:textId="77777777" w:rsidR="009077DC" w:rsidRDefault="009513CF">
      <w:pPr>
        <w:spacing w:after="160" w:line="360" w:lineRule="auto"/>
        <w:ind w:left="720"/>
        <w:jc w:val="both"/>
        <w:rPr>
          <w:rFonts w:ascii="Arial" w:hAnsi="Arial"/>
          <w:rtl/>
        </w:rPr>
      </w:pPr>
      <w:r>
        <w:rPr>
          <w:rFonts w:ascii="Arial" w:hAnsi="Arial"/>
          <w:rtl/>
        </w:rPr>
        <w:t>תכנון מוקדם – הכולל שיחות טלפוניות לשם התיאום הדרוש להגעתו של הנאשם למקום הן ביחס למעשה הסיוע והן ביחס לעבירות ההחזקה והנשיאה.</w:t>
      </w:r>
    </w:p>
    <w:p w14:paraId="16688640" w14:textId="77777777" w:rsidR="009077DC" w:rsidRDefault="009513CF">
      <w:pPr>
        <w:spacing w:after="160" w:line="360" w:lineRule="auto"/>
        <w:ind w:left="720"/>
        <w:jc w:val="both"/>
        <w:rPr>
          <w:rFonts w:ascii="Arial" w:hAnsi="Arial"/>
          <w:rtl/>
        </w:rPr>
      </w:pPr>
      <w:r>
        <w:rPr>
          <w:rFonts w:ascii="Arial" w:hAnsi="Arial"/>
          <w:rtl/>
        </w:rPr>
        <w:t>אופי הנשק – נשק התקפי ת</w:t>
      </w:r>
      <w:r>
        <w:rPr>
          <w:rFonts w:ascii="Arial" w:hAnsi="Arial" w:hint="cs"/>
          <w:rtl/>
        </w:rPr>
        <w:t>י</w:t>
      </w:r>
      <w:r>
        <w:rPr>
          <w:rFonts w:ascii="Arial" w:hAnsi="Arial"/>
          <w:rtl/>
        </w:rPr>
        <w:t xml:space="preserve">קני (רובה במקרה הראשון ואקדח ובצמוד אליו מחסנית טעונה במספר כדורים במקרה השני). </w:t>
      </w:r>
    </w:p>
    <w:p w14:paraId="42F30085" w14:textId="77777777" w:rsidR="009077DC" w:rsidRDefault="009513CF">
      <w:pPr>
        <w:spacing w:after="160" w:line="360" w:lineRule="auto"/>
        <w:ind w:left="720"/>
        <w:jc w:val="both"/>
        <w:rPr>
          <w:rFonts w:ascii="Arial" w:hAnsi="Arial"/>
          <w:rtl/>
        </w:rPr>
      </w:pPr>
      <w:r>
        <w:rPr>
          <w:rFonts w:ascii="Arial" w:hAnsi="Arial"/>
          <w:rtl/>
        </w:rPr>
        <w:t>הנזק בכ</w:t>
      </w:r>
      <w:r>
        <w:rPr>
          <w:rFonts w:ascii="Arial" w:hAnsi="Arial" w:hint="cs"/>
          <w:rtl/>
        </w:rPr>
        <w:t>ו</w:t>
      </w:r>
      <w:r>
        <w:rPr>
          <w:rFonts w:ascii="Arial" w:hAnsi="Arial"/>
          <w:rtl/>
        </w:rPr>
        <w:t>ח ובפועל – מטיבם, כלי נשק אלו הם בעלי פוטנציאל סיכון גבוה, בייחוד במקרה השני, כאשר האקדח הוחזק עם התחמושת המתאימה. אמנם, בפועל לא נגרם כל נזק, שכן האקדח והמחסנית נתפסו על ידי המשטרה בתוך כשעה, אולם הרובה שהוטמן לא נתפס ואין לדעת לאלו ידיים הגיע וניתן רק לשער מה עלול להיעשות באמצעותו.</w:t>
      </w:r>
    </w:p>
    <w:p w14:paraId="7F67BBCA" w14:textId="77777777" w:rsidR="009077DC" w:rsidRDefault="009513CF">
      <w:pPr>
        <w:spacing w:after="160" w:line="360" w:lineRule="auto"/>
        <w:ind w:left="720"/>
        <w:jc w:val="both"/>
        <w:rPr>
          <w:rFonts w:ascii="Arial" w:hAnsi="Arial"/>
          <w:rtl/>
        </w:rPr>
      </w:pPr>
      <w:r>
        <w:rPr>
          <w:rFonts w:ascii="Arial" w:hAnsi="Arial"/>
          <w:rtl/>
        </w:rPr>
        <w:t xml:space="preserve">הסיבה שהביאה את הנאשם לבצע את העבירות לא הובהרה, אולם מהקשר הדברים העולה מעובדות כתב האישום המתוקן ברור כי הגם שהנאשם לא נמנה על חבורת הקושרים, הוא היה מודע לפעילות העבריינית ההתקפית והנקמנית שאמורה היתה לצאת לפועל באמצעות כלי הנשק - בשונה מחלק מפסקי הדין שהציגה ההגנה, לא התקיימו בעניינו של הנאשם טענות כי היה מעורב בעניין מטעמי "הגנה" או בשל קשיים כלכליים. </w:t>
      </w:r>
    </w:p>
    <w:p w14:paraId="499C2D8B" w14:textId="77777777" w:rsidR="009077DC" w:rsidRDefault="009513CF">
      <w:pPr>
        <w:spacing w:after="160" w:line="360" w:lineRule="auto"/>
        <w:ind w:left="720"/>
        <w:jc w:val="both"/>
        <w:rPr>
          <w:rFonts w:ascii="Arial" w:hAnsi="Arial"/>
          <w:rtl/>
        </w:rPr>
      </w:pPr>
      <w:r>
        <w:rPr>
          <w:rFonts w:ascii="Arial" w:hAnsi="Arial"/>
          <w:rtl/>
        </w:rPr>
        <w:t>חלקו של הנאשם – כתב האישום המתוקן מלמד כי הנאשם התגייס לבצע כל חלק שהוטל עליו בביצוע העבירות: תחילה כמסייע בהטמנת הרובה ובהמשך כמבצע העיקרי בהחזקת ובנשיאת האקדח והתחמושת ובייחוד כמי שבעצמו הטמינם בחורשה ונסע יחד עם אחרים לעדכן את מיקי, שבקשתו התבצעה. נכון הוא כי ביחס למעורבים האחרים, מידת שליטתו של הנאשם בנשק היתה קטנה, ועדיין</w:t>
      </w:r>
      <w:r>
        <w:rPr>
          <w:rFonts w:ascii="Arial" w:hAnsi="Arial" w:hint="cs"/>
          <w:rtl/>
        </w:rPr>
        <w:t xml:space="preserve"> </w:t>
      </w:r>
      <w:r>
        <w:rPr>
          <w:rFonts w:ascii="Arial" w:hAnsi="Arial"/>
          <w:rtl/>
        </w:rPr>
        <w:t>- התגייסותו החוזרת ונשנית למעשים כשהוא יודע על כוונת השימוש הפוגעני הקרוב בכלי הנשק – מציבה את מעשיו ברף חומרה משמעותי.</w:t>
      </w:r>
    </w:p>
    <w:p w14:paraId="078BFC66" w14:textId="77777777" w:rsidR="009077DC" w:rsidRDefault="009513CF">
      <w:pPr>
        <w:spacing w:after="160" w:line="360" w:lineRule="auto"/>
        <w:ind w:left="720" w:hanging="720"/>
        <w:jc w:val="both"/>
        <w:rPr>
          <w:rFonts w:ascii="Arial" w:hAnsi="Arial"/>
          <w:rtl/>
        </w:rPr>
      </w:pPr>
      <w:r>
        <w:rPr>
          <w:rFonts w:ascii="Arial" w:hAnsi="Arial"/>
          <w:rtl/>
        </w:rPr>
        <w:t xml:space="preserve">11. </w:t>
      </w:r>
      <w:r>
        <w:rPr>
          <w:rFonts w:ascii="Arial" w:hAnsi="Arial"/>
          <w:rtl/>
        </w:rPr>
        <w:tab/>
        <w:t>לנוכח כל אלו ובהתחשב במכלול מעשיו של הנאשם והעבירות בהן הורשע, מתחם העונש ההולם בעניינו נע בין 20 ל- 48 חודשי מאסר.</w:t>
      </w:r>
    </w:p>
    <w:p w14:paraId="205E92CC" w14:textId="77777777" w:rsidR="009077DC" w:rsidRDefault="009513CF">
      <w:pPr>
        <w:spacing w:after="160" w:line="360" w:lineRule="auto"/>
        <w:ind w:left="720" w:hanging="720"/>
        <w:jc w:val="both"/>
        <w:rPr>
          <w:rFonts w:ascii="Arial" w:hAnsi="Arial"/>
          <w:rtl/>
        </w:rPr>
      </w:pPr>
      <w:r>
        <w:rPr>
          <w:rFonts w:ascii="Arial" w:hAnsi="Arial"/>
          <w:rtl/>
        </w:rPr>
        <w:t xml:space="preserve">12. </w:t>
      </w:r>
      <w:r>
        <w:rPr>
          <w:rFonts w:ascii="Arial" w:hAnsi="Arial"/>
          <w:rtl/>
        </w:rPr>
        <w:tab/>
        <w:t>בגזירת עונשו של הנאשם בתוך מתחם העונש ההולם יובאו בחשבון הנסיבות החיצונית לעבירות, כדלקמן:</w:t>
      </w:r>
    </w:p>
    <w:p w14:paraId="6732695C" w14:textId="77777777" w:rsidR="009077DC" w:rsidRDefault="009513CF">
      <w:pPr>
        <w:spacing w:after="160" w:line="360" w:lineRule="auto"/>
        <w:ind w:left="720"/>
        <w:jc w:val="both"/>
        <w:rPr>
          <w:rFonts w:ascii="Arial" w:hAnsi="Arial"/>
          <w:rtl/>
        </w:rPr>
      </w:pPr>
      <w:r>
        <w:rPr>
          <w:rFonts w:ascii="Arial" w:hAnsi="Arial"/>
          <w:rtl/>
        </w:rPr>
        <w:t>הנאשם בגיר בן 35, לחובתו עבר פלילי משמעותי ומכביד, הכולל 14 הרשעות קודמות, לרבות בעבירות חמורות של אלימות וסחר בסמים. הנאשם ריצה שלוש תקופות מאסר משמעותיות, כשאת האחרונה – תולדת עבירת אלימות חמורה על רקע הערה סתמית שהופנתה אליו - השלים אך כשבעה חודשים לפני העבירות כאן, כך שאין בענישה כדי להרתיעו מביצוע עבירות חמורות. לפיכך, יילקח בחשבון גם שיקול הרתעת הנאשם מפני מעורבות עתידית בעבירות חמורות מסוג זה.</w:t>
      </w:r>
    </w:p>
    <w:p w14:paraId="1400D2AE" w14:textId="77777777" w:rsidR="009077DC" w:rsidRDefault="009513CF">
      <w:pPr>
        <w:spacing w:after="160" w:line="360" w:lineRule="auto"/>
        <w:ind w:left="720"/>
        <w:jc w:val="both"/>
        <w:rPr>
          <w:rFonts w:ascii="Arial" w:hAnsi="Arial"/>
          <w:rtl/>
        </w:rPr>
      </w:pPr>
      <w:r>
        <w:rPr>
          <w:rFonts w:ascii="Arial" w:hAnsi="Arial"/>
          <w:rtl/>
        </w:rPr>
        <w:t>הודיית הנאשם והח</w:t>
      </w:r>
      <w:r>
        <w:rPr>
          <w:rFonts w:ascii="Arial" w:hAnsi="Arial" w:hint="cs"/>
          <w:rtl/>
        </w:rPr>
        <w:t>י</w:t>
      </w:r>
      <w:r>
        <w:rPr>
          <w:rFonts w:ascii="Arial" w:hAnsi="Arial"/>
          <w:rtl/>
        </w:rPr>
        <w:t xml:space="preserve">סכון בזמן שיפוטי. הנאשם אף צפוי להעיד במשפטיהם של יתר המעורבים בפרשה ובשל כך סווג כאסיר טעון הגנה. </w:t>
      </w:r>
    </w:p>
    <w:p w14:paraId="7E9F1208" w14:textId="77777777" w:rsidR="009077DC" w:rsidRDefault="009513CF">
      <w:pPr>
        <w:spacing w:after="160" w:line="360" w:lineRule="auto"/>
        <w:jc w:val="both"/>
        <w:rPr>
          <w:rFonts w:ascii="Arial" w:hAnsi="Arial"/>
          <w:rtl/>
        </w:rPr>
      </w:pPr>
      <w:r>
        <w:rPr>
          <w:rFonts w:ascii="Arial" w:hAnsi="Arial"/>
          <w:rtl/>
        </w:rPr>
        <w:t xml:space="preserve">13. </w:t>
      </w:r>
      <w:r>
        <w:rPr>
          <w:rFonts w:ascii="Arial" w:hAnsi="Arial"/>
          <w:rtl/>
        </w:rPr>
        <w:tab/>
        <w:t>לאור האמור לעיל, אני דן את הנאשם לעונשים הבאים:</w:t>
      </w:r>
    </w:p>
    <w:p w14:paraId="3783BF48" w14:textId="77777777" w:rsidR="009077DC" w:rsidRDefault="009513CF">
      <w:pPr>
        <w:spacing w:after="160"/>
        <w:ind w:firstLine="720"/>
        <w:jc w:val="both"/>
        <w:rPr>
          <w:rFonts w:ascii="Arial" w:hAnsi="Arial"/>
          <w:rtl/>
        </w:rPr>
      </w:pPr>
      <w:r>
        <w:rPr>
          <w:rFonts w:ascii="Arial" w:hAnsi="Arial"/>
          <w:rtl/>
        </w:rPr>
        <w:t xml:space="preserve">א. </w:t>
      </w:r>
      <w:r>
        <w:rPr>
          <w:rFonts w:ascii="Arial" w:hAnsi="Arial"/>
          <w:rtl/>
        </w:rPr>
        <w:tab/>
      </w:r>
      <w:r>
        <w:rPr>
          <w:rFonts w:ascii="Arial" w:hAnsi="Arial" w:hint="cs"/>
          <w:rtl/>
        </w:rPr>
        <w:t>34</w:t>
      </w:r>
      <w:r>
        <w:rPr>
          <w:rFonts w:ascii="Arial" w:hAnsi="Arial"/>
          <w:rtl/>
        </w:rPr>
        <w:t xml:space="preserve"> חודשי מאסר לריצוי בפועל בניכוי ימי מעצרו של הנאשם מיום 15.1.15.</w:t>
      </w:r>
    </w:p>
    <w:p w14:paraId="544E0918" w14:textId="77777777" w:rsidR="009077DC" w:rsidRDefault="009513CF">
      <w:pPr>
        <w:spacing w:after="160"/>
        <w:ind w:left="1440" w:hanging="720"/>
        <w:jc w:val="both"/>
        <w:rPr>
          <w:rFonts w:ascii="Arial" w:hAnsi="Arial"/>
          <w:rtl/>
        </w:rPr>
      </w:pPr>
      <w:r>
        <w:rPr>
          <w:rFonts w:ascii="Arial" w:hAnsi="Arial"/>
          <w:rtl/>
        </w:rPr>
        <w:t>ב.</w:t>
      </w:r>
      <w:r>
        <w:rPr>
          <w:rFonts w:ascii="Arial" w:hAnsi="Arial"/>
          <w:rtl/>
        </w:rPr>
        <w:tab/>
        <w:t>12 חודשי מאסר על תנאי והתנאי הוא כי במשך שלוש שנים מיום שחרורו ממאסר לא יעבור הנאשם עבירת נשק מסוג פשע.</w:t>
      </w:r>
    </w:p>
    <w:p w14:paraId="50BFB2B0" w14:textId="77777777" w:rsidR="009077DC" w:rsidRDefault="009513CF">
      <w:pPr>
        <w:spacing w:after="160"/>
        <w:ind w:left="1440" w:hanging="720"/>
        <w:jc w:val="both"/>
        <w:rPr>
          <w:rFonts w:ascii="Arial" w:hAnsi="Arial"/>
          <w:rtl/>
        </w:rPr>
      </w:pPr>
      <w:r>
        <w:rPr>
          <w:rFonts w:ascii="Arial" w:hAnsi="Arial"/>
          <w:rtl/>
        </w:rPr>
        <w:t>ג.</w:t>
      </w:r>
      <w:r>
        <w:rPr>
          <w:rFonts w:ascii="Arial" w:hAnsi="Arial"/>
          <w:rtl/>
        </w:rPr>
        <w:tab/>
        <w:t>6 חודשי מאסר על תנאי והתנאי הוא כי במשך שלוש שנים מיום שחרורו ממאסר לא יעבור הנאשם עבירת נשק מסוג עוון.</w:t>
      </w:r>
    </w:p>
    <w:p w14:paraId="6536E306" w14:textId="77777777" w:rsidR="009077DC" w:rsidRDefault="009513CF">
      <w:pPr>
        <w:spacing w:after="160"/>
        <w:ind w:firstLine="720"/>
        <w:jc w:val="both"/>
        <w:rPr>
          <w:rFonts w:ascii="Arial" w:hAnsi="Arial"/>
          <w:rtl/>
        </w:rPr>
      </w:pPr>
      <w:r>
        <w:rPr>
          <w:rFonts w:ascii="Arial" w:hAnsi="Arial"/>
          <w:rtl/>
        </w:rPr>
        <w:t>ד.</w:t>
      </w:r>
      <w:r>
        <w:rPr>
          <w:rFonts w:ascii="Arial" w:hAnsi="Arial"/>
          <w:rtl/>
        </w:rPr>
        <w:tab/>
        <w:t xml:space="preserve">קנס בסך 5,000 </w:t>
      </w:r>
      <w:r>
        <w:rPr>
          <w:rFonts w:ascii="Arial" w:hAnsi="Arial" w:hint="cs"/>
          <w:rtl/>
        </w:rPr>
        <w:t>₪ או 30 ימי מאסר תמורתו. הקנס ישולם עד ליום 1.12.15.</w:t>
      </w:r>
    </w:p>
    <w:p w14:paraId="05B05C43" w14:textId="77777777" w:rsidR="009077DC" w:rsidRDefault="009513CF">
      <w:pPr>
        <w:rPr>
          <w:b/>
          <w:bCs/>
          <w:rtl/>
        </w:rPr>
      </w:pPr>
      <w:r>
        <w:rPr>
          <w:rFonts w:hint="cs"/>
          <w:b/>
          <w:bCs/>
          <w:rtl/>
        </w:rPr>
        <w:t>הודעה לצדדים זכות ערעור תוך 45 יום מהיום לבית המשפט העליון</w:t>
      </w:r>
    </w:p>
    <w:p w14:paraId="59D02C36" w14:textId="77777777" w:rsidR="009077DC" w:rsidRDefault="009077DC">
      <w:pPr>
        <w:spacing w:line="360" w:lineRule="auto"/>
        <w:rPr>
          <w:b/>
          <w:bCs/>
          <w:rtl/>
        </w:rPr>
      </w:pPr>
    </w:p>
    <w:p w14:paraId="223D0476" w14:textId="77777777" w:rsidR="009077DC" w:rsidRDefault="009513CF">
      <w:pPr>
        <w:ind w:left="5040"/>
        <w:jc w:val="center"/>
        <w:rPr>
          <w:rtl/>
        </w:rPr>
      </w:pPr>
      <w:r w:rsidRPr="009513CF">
        <w:rPr>
          <w:b/>
          <w:bCs/>
          <w:color w:val="FFFFFF"/>
          <w:sz w:val="2"/>
          <w:szCs w:val="2"/>
          <w:rtl/>
        </w:rPr>
        <w:t>5129371</w:t>
      </w:r>
      <w:r>
        <w:rPr>
          <w:b/>
          <w:bCs/>
          <w:rtl/>
        </w:rPr>
        <w:t xml:space="preserve">ניתן והודע היום כ"ט תמוז תשע"ה, 16/07/2015 במעמד הנוכחים. </w:t>
      </w: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9077DC" w14:paraId="42D47522" w14:textId="77777777">
        <w:trPr>
          <w:trHeight w:val="316"/>
        </w:trPr>
        <w:tc>
          <w:tcPr>
            <w:tcW w:w="3936" w:type="dxa"/>
            <w:tcBorders>
              <w:top w:val="nil"/>
              <w:left w:val="nil"/>
              <w:bottom w:val="single" w:sz="4" w:space="0" w:color="auto"/>
              <w:right w:val="nil"/>
            </w:tcBorders>
          </w:tcPr>
          <w:p w14:paraId="19E0EB7A" w14:textId="77777777" w:rsidR="009077DC" w:rsidRPr="009513CF" w:rsidRDefault="009513CF">
            <w:pPr>
              <w:jc w:val="center"/>
              <w:rPr>
                <w:color w:val="FFFFFF"/>
                <w:sz w:val="2"/>
                <w:szCs w:val="2"/>
                <w:rtl/>
              </w:rPr>
            </w:pPr>
            <w:r w:rsidRPr="009513CF">
              <w:rPr>
                <w:color w:val="FFFFFF"/>
                <w:sz w:val="2"/>
                <w:szCs w:val="2"/>
                <w:rtl/>
              </w:rPr>
              <w:t>54678313</w:t>
            </w:r>
          </w:p>
          <w:p w14:paraId="64B65B2B" w14:textId="77777777" w:rsidR="009077DC" w:rsidRDefault="009077DC">
            <w:pPr>
              <w:jc w:val="center"/>
            </w:pPr>
          </w:p>
        </w:tc>
      </w:tr>
      <w:tr w:rsidR="009077DC" w14:paraId="3B4DF299" w14:textId="77777777">
        <w:trPr>
          <w:trHeight w:val="361"/>
        </w:trPr>
        <w:tc>
          <w:tcPr>
            <w:tcW w:w="3936" w:type="dxa"/>
            <w:tcBorders>
              <w:top w:val="single" w:sz="4" w:space="0" w:color="auto"/>
              <w:left w:val="nil"/>
              <w:bottom w:val="nil"/>
              <w:right w:val="nil"/>
            </w:tcBorders>
          </w:tcPr>
          <w:p w14:paraId="6B9E847F" w14:textId="77777777" w:rsidR="009077DC" w:rsidRDefault="009513CF">
            <w:pPr>
              <w:jc w:val="center"/>
              <w:rPr>
                <w:b/>
                <w:bCs/>
                <w:rtl/>
              </w:rPr>
            </w:pPr>
            <w:r>
              <w:rPr>
                <w:rFonts w:hint="cs"/>
                <w:b/>
                <w:bCs/>
                <w:rtl/>
              </w:rPr>
              <w:t xml:space="preserve">ג'ורג' קרא , שופט, סגן נשיאה </w:t>
            </w:r>
          </w:p>
        </w:tc>
      </w:tr>
    </w:tbl>
    <w:p w14:paraId="3860B82A" w14:textId="77777777" w:rsidR="009077DC" w:rsidRDefault="009077DC">
      <w:pPr>
        <w:rPr>
          <w:sz w:val="28"/>
          <w:szCs w:val="28"/>
          <w:rtl/>
        </w:rPr>
      </w:pPr>
    </w:p>
    <w:p w14:paraId="71860244" w14:textId="77777777" w:rsidR="009513CF" w:rsidRPr="009513CF" w:rsidRDefault="009513CF" w:rsidP="009513CF">
      <w:pPr>
        <w:keepNext/>
        <w:rPr>
          <w:rFonts w:ascii="David" w:hAnsi="David"/>
          <w:color w:val="000000"/>
          <w:sz w:val="22"/>
          <w:szCs w:val="22"/>
          <w:rtl/>
        </w:rPr>
      </w:pPr>
    </w:p>
    <w:p w14:paraId="3D11D0D5" w14:textId="77777777" w:rsidR="009513CF" w:rsidRPr="009513CF" w:rsidRDefault="009513CF" w:rsidP="009513CF">
      <w:pPr>
        <w:keepNext/>
        <w:rPr>
          <w:rFonts w:ascii="David" w:hAnsi="David"/>
          <w:color w:val="000000"/>
          <w:sz w:val="22"/>
          <w:szCs w:val="22"/>
          <w:rtl/>
        </w:rPr>
      </w:pPr>
      <w:r w:rsidRPr="009513CF">
        <w:rPr>
          <w:rFonts w:ascii="David" w:hAnsi="David"/>
          <w:color w:val="000000"/>
          <w:sz w:val="22"/>
          <w:szCs w:val="22"/>
          <w:rtl/>
        </w:rPr>
        <w:t>ה ג'ורג' קרא 54678313</w:t>
      </w:r>
    </w:p>
    <w:p w14:paraId="6F854508" w14:textId="77777777" w:rsidR="009513CF" w:rsidRDefault="009513CF" w:rsidP="009513CF">
      <w:r w:rsidRPr="009513CF">
        <w:rPr>
          <w:color w:val="000000"/>
          <w:rtl/>
        </w:rPr>
        <w:t>נוסח מסמך זה כפוף לשינויי ניסוח ועריכה</w:t>
      </w:r>
    </w:p>
    <w:p w14:paraId="66B632F3" w14:textId="77777777" w:rsidR="009513CF" w:rsidRDefault="009513CF" w:rsidP="009513CF">
      <w:pPr>
        <w:rPr>
          <w:rtl/>
        </w:rPr>
      </w:pPr>
    </w:p>
    <w:p w14:paraId="76CD759B" w14:textId="77777777" w:rsidR="009513CF" w:rsidRDefault="009513CF" w:rsidP="009513CF">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4325B9A3" w14:textId="77777777" w:rsidR="009077DC" w:rsidRPr="009513CF" w:rsidRDefault="00F20706" w:rsidP="009513CF">
      <w:pPr>
        <w:jc w:val="center"/>
        <w:rPr>
          <w:color w:val="0000FF"/>
          <w:u w:val="single"/>
        </w:rPr>
      </w:pPr>
      <w:r>
        <w:rPr>
          <w:rFonts w:hint="cs"/>
          <w:color w:val="0000FF"/>
          <w:u w:val="single"/>
          <w:rtl/>
        </w:rPr>
        <w:t xml:space="preserve">  </w:t>
      </w:r>
    </w:p>
    <w:sectPr w:rsidR="009077DC" w:rsidRPr="009513CF" w:rsidSect="009513CF">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18A11" w14:textId="77777777" w:rsidR="00E10B4E" w:rsidRPr="00CC742F" w:rsidRDefault="00E10B4E">
      <w:pPr>
        <w:rPr>
          <w:rFonts w:cs="Arial"/>
          <w:szCs w:val="20"/>
        </w:rPr>
      </w:pPr>
      <w:r>
        <w:separator/>
      </w:r>
    </w:p>
  </w:endnote>
  <w:endnote w:type="continuationSeparator" w:id="0">
    <w:p w14:paraId="2FDD6C79" w14:textId="77777777" w:rsidR="00E10B4E" w:rsidRPr="00CC742F" w:rsidRDefault="00E10B4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62CCF" w14:textId="77777777" w:rsidR="00722D6A" w:rsidRDefault="00722D6A" w:rsidP="009513C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4B1BE91" w14:textId="77777777" w:rsidR="00722D6A" w:rsidRPr="009513CF" w:rsidRDefault="00722D6A" w:rsidP="009513CF">
    <w:pPr>
      <w:pStyle w:val="a4"/>
      <w:pBdr>
        <w:top w:val="single" w:sz="4" w:space="1" w:color="auto"/>
        <w:between w:val="single" w:sz="4" w:space="0" w:color="auto"/>
      </w:pBdr>
      <w:spacing w:after="60"/>
      <w:jc w:val="center"/>
      <w:rPr>
        <w:rFonts w:ascii="FrankRuehl" w:hAnsi="FrankRuehl" w:cs="FrankRuehl"/>
        <w:color w:val="000000"/>
      </w:rPr>
    </w:pPr>
    <w:r w:rsidRPr="009513C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0BB45" w14:textId="77777777" w:rsidR="00722D6A" w:rsidRDefault="00722D6A" w:rsidP="009513C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366C">
      <w:rPr>
        <w:rFonts w:ascii="FrankRuehl" w:hAnsi="FrankRuehl" w:cs="FrankRuehl"/>
        <w:noProof/>
        <w:rtl/>
      </w:rPr>
      <w:t>1</w:t>
    </w:r>
    <w:r>
      <w:rPr>
        <w:rFonts w:ascii="FrankRuehl" w:hAnsi="FrankRuehl" w:cs="FrankRuehl"/>
        <w:rtl/>
      </w:rPr>
      <w:fldChar w:fldCharType="end"/>
    </w:r>
  </w:p>
  <w:p w14:paraId="6CBD45BE" w14:textId="77777777" w:rsidR="00722D6A" w:rsidRPr="009513CF" w:rsidRDefault="00722D6A" w:rsidP="009513CF">
    <w:pPr>
      <w:pStyle w:val="a4"/>
      <w:pBdr>
        <w:top w:val="single" w:sz="4" w:space="1" w:color="auto"/>
        <w:between w:val="single" w:sz="4" w:space="0" w:color="auto"/>
      </w:pBdr>
      <w:spacing w:after="60"/>
      <w:jc w:val="center"/>
      <w:rPr>
        <w:rFonts w:ascii="FrankRuehl" w:hAnsi="FrankRuehl" w:cs="FrankRuehl"/>
        <w:color w:val="000000"/>
      </w:rPr>
    </w:pPr>
    <w:r w:rsidRPr="009513CF">
      <w:rPr>
        <w:rFonts w:ascii="FrankRuehl" w:hAnsi="FrankRuehl" w:cs="FrankRuehl"/>
        <w:color w:val="000000"/>
      </w:rPr>
      <w:pict w14:anchorId="64913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6E635" w14:textId="77777777" w:rsidR="00E10B4E" w:rsidRPr="00CC742F" w:rsidRDefault="00E10B4E">
      <w:pPr>
        <w:rPr>
          <w:rFonts w:cs="Arial"/>
          <w:szCs w:val="20"/>
        </w:rPr>
      </w:pPr>
      <w:r>
        <w:separator/>
      </w:r>
    </w:p>
  </w:footnote>
  <w:footnote w:type="continuationSeparator" w:id="0">
    <w:p w14:paraId="7B57B1D3" w14:textId="77777777" w:rsidR="00E10B4E" w:rsidRPr="00CC742F" w:rsidRDefault="00E10B4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39BF0" w14:textId="77777777" w:rsidR="00722D6A" w:rsidRPr="009513CF" w:rsidRDefault="00722D6A" w:rsidP="009513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13142-02-15</w:t>
    </w:r>
    <w:r>
      <w:rPr>
        <w:rFonts w:ascii="David" w:hAnsi="David"/>
        <w:color w:val="000000"/>
        <w:sz w:val="22"/>
        <w:szCs w:val="22"/>
        <w:rtl/>
      </w:rPr>
      <w:tab/>
      <w:t xml:space="preserve"> מדינת ישראל נ' אייל מעוז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B970C" w14:textId="77777777" w:rsidR="00722D6A" w:rsidRPr="009513CF" w:rsidRDefault="00722D6A" w:rsidP="009513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13142-02-15</w:t>
    </w:r>
    <w:r>
      <w:rPr>
        <w:rFonts w:ascii="David" w:hAnsi="David"/>
        <w:color w:val="000000"/>
        <w:sz w:val="22"/>
        <w:szCs w:val="22"/>
        <w:rtl/>
      </w:rPr>
      <w:tab/>
      <w:t xml:space="preserve"> מדינת ישראל נ' אייל מעוז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77DC"/>
    <w:rsid w:val="000179E0"/>
    <w:rsid w:val="0012764D"/>
    <w:rsid w:val="001B78A5"/>
    <w:rsid w:val="00204798"/>
    <w:rsid w:val="0032349D"/>
    <w:rsid w:val="006A1421"/>
    <w:rsid w:val="00722D6A"/>
    <w:rsid w:val="009077DC"/>
    <w:rsid w:val="009513CF"/>
    <w:rsid w:val="00A2366C"/>
    <w:rsid w:val="00B66633"/>
    <w:rsid w:val="00D16002"/>
    <w:rsid w:val="00D64806"/>
    <w:rsid w:val="00DE4B20"/>
    <w:rsid w:val="00E10B4E"/>
    <w:rsid w:val="00E11D15"/>
    <w:rsid w:val="00ED629E"/>
    <w:rsid w:val="00F20706"/>
    <w:rsid w:val="00F914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972ABD"/>
  <w15:chartTrackingRefBased/>
  <w15:docId w15:val="{BC71F398-7A3B-4EB7-A23A-9A201A7A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77D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077DC"/>
    <w:pPr>
      <w:tabs>
        <w:tab w:val="center" w:pos="4153"/>
        <w:tab w:val="right" w:pos="8306"/>
      </w:tabs>
    </w:pPr>
  </w:style>
  <w:style w:type="paragraph" w:styleId="a4">
    <w:name w:val="footer"/>
    <w:basedOn w:val="a"/>
    <w:rsid w:val="009077DC"/>
    <w:pPr>
      <w:tabs>
        <w:tab w:val="center" w:pos="4153"/>
        <w:tab w:val="right" w:pos="8306"/>
      </w:tabs>
    </w:pPr>
  </w:style>
  <w:style w:type="character" w:styleId="a5">
    <w:name w:val="page number"/>
    <w:basedOn w:val="a0"/>
    <w:rsid w:val="009077DC"/>
  </w:style>
  <w:style w:type="character" w:styleId="Hyperlink">
    <w:name w:val="Hyperlink"/>
    <w:rsid w:val="00951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case/6949290"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6117082" TargetMode="External"/><Relationship Id="rId7" Type="http://schemas.openxmlformats.org/officeDocument/2006/relationships/hyperlink" Target="http://www.nevo.co.il/law/70301/3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7791493" TargetMode="External"/><Relationship Id="rId25" Type="http://schemas.openxmlformats.org/officeDocument/2006/relationships/hyperlink" Target="http://www.nevo.co.il/case/7791493" TargetMode="External"/><Relationship Id="rId2" Type="http://schemas.openxmlformats.org/officeDocument/2006/relationships/settings" Target="settings.xml"/><Relationship Id="rId16" Type="http://schemas.openxmlformats.org/officeDocument/2006/relationships/hyperlink" Target="http://www.nevo.co.il/case/5590091" TargetMode="External"/><Relationship Id="rId20" Type="http://schemas.openxmlformats.org/officeDocument/2006/relationships/hyperlink" Target="http://www.nevo.co.il/case/5950172"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0527728"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13093721" TargetMode="External"/><Relationship Id="rId23" Type="http://schemas.openxmlformats.org/officeDocument/2006/relationships/hyperlink" Target="http://www.nevo.co.il/case/17948201" TargetMode="External"/><Relationship Id="rId28"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31" TargetMode="External"/><Relationship Id="rId22" Type="http://schemas.openxmlformats.org/officeDocument/2006/relationships/hyperlink" Target="http://www.nevo.co.il/case/17062417"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2089</Words>
  <Characters>10447</Characters>
  <Application>Microsoft Office Word</Application>
  <DocSecurity>0</DocSecurity>
  <Lines>87</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12511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3211377</vt:i4>
      </vt:variant>
      <vt:variant>
        <vt:i4>54</vt:i4>
      </vt:variant>
      <vt:variant>
        <vt:i4>0</vt:i4>
      </vt:variant>
      <vt:variant>
        <vt:i4>5</vt:i4>
      </vt:variant>
      <vt:variant>
        <vt:lpwstr>http://www.nevo.co.il/case/10527728</vt:lpwstr>
      </vt:variant>
      <vt:variant>
        <vt:lpwstr/>
      </vt:variant>
      <vt:variant>
        <vt:i4>3145845</vt:i4>
      </vt:variant>
      <vt:variant>
        <vt:i4>51</vt:i4>
      </vt:variant>
      <vt:variant>
        <vt:i4>0</vt:i4>
      </vt:variant>
      <vt:variant>
        <vt:i4>5</vt:i4>
      </vt:variant>
      <vt:variant>
        <vt:lpwstr>http://www.nevo.co.il/case/17948201</vt:lpwstr>
      </vt:variant>
      <vt:variant>
        <vt:lpwstr/>
      </vt:variant>
      <vt:variant>
        <vt:i4>3276913</vt:i4>
      </vt:variant>
      <vt:variant>
        <vt:i4>48</vt:i4>
      </vt:variant>
      <vt:variant>
        <vt:i4>0</vt:i4>
      </vt:variant>
      <vt:variant>
        <vt:i4>5</vt:i4>
      </vt:variant>
      <vt:variant>
        <vt:lpwstr>http://www.nevo.co.il/case/17062417</vt:lpwstr>
      </vt:variant>
      <vt:variant>
        <vt:lpwstr/>
      </vt:variant>
      <vt:variant>
        <vt:i4>3473530</vt:i4>
      </vt:variant>
      <vt:variant>
        <vt:i4>45</vt:i4>
      </vt:variant>
      <vt:variant>
        <vt:i4>0</vt:i4>
      </vt:variant>
      <vt:variant>
        <vt:i4>5</vt:i4>
      </vt:variant>
      <vt:variant>
        <vt:lpwstr>http://www.nevo.co.il/case/6117082</vt:lpwstr>
      </vt:variant>
      <vt:variant>
        <vt:lpwstr/>
      </vt:variant>
      <vt:variant>
        <vt:i4>3342458</vt:i4>
      </vt:variant>
      <vt:variant>
        <vt:i4>42</vt:i4>
      </vt:variant>
      <vt:variant>
        <vt:i4>0</vt:i4>
      </vt:variant>
      <vt:variant>
        <vt:i4>5</vt:i4>
      </vt:variant>
      <vt:variant>
        <vt:lpwstr>http://www.nevo.co.il/case/5950172</vt:lpwstr>
      </vt:variant>
      <vt:variant>
        <vt:lpwstr/>
      </vt:variant>
      <vt:variant>
        <vt:i4>7995492</vt:i4>
      </vt:variant>
      <vt:variant>
        <vt:i4>39</vt:i4>
      </vt:variant>
      <vt:variant>
        <vt:i4>0</vt:i4>
      </vt:variant>
      <vt:variant>
        <vt:i4>5</vt:i4>
      </vt:variant>
      <vt:variant>
        <vt:lpwstr>http://www.nevo.co.il/law/70301</vt:lpwstr>
      </vt:variant>
      <vt:variant>
        <vt:lpwstr/>
      </vt:variant>
      <vt:variant>
        <vt:i4>3145853</vt:i4>
      </vt:variant>
      <vt:variant>
        <vt:i4>36</vt:i4>
      </vt:variant>
      <vt:variant>
        <vt:i4>0</vt:i4>
      </vt:variant>
      <vt:variant>
        <vt:i4>5</vt:i4>
      </vt:variant>
      <vt:variant>
        <vt:lpwstr>http://www.nevo.co.il/case/6949290</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3997816</vt:i4>
      </vt:variant>
      <vt:variant>
        <vt:i4>30</vt:i4>
      </vt:variant>
      <vt:variant>
        <vt:i4>0</vt:i4>
      </vt:variant>
      <vt:variant>
        <vt:i4>5</vt:i4>
      </vt:variant>
      <vt:variant>
        <vt:lpwstr>http://www.nevo.co.il/case/5590091</vt:lpwstr>
      </vt:variant>
      <vt:variant>
        <vt:lpwstr/>
      </vt:variant>
      <vt:variant>
        <vt:i4>3145849</vt:i4>
      </vt:variant>
      <vt:variant>
        <vt:i4>27</vt:i4>
      </vt:variant>
      <vt:variant>
        <vt:i4>0</vt:i4>
      </vt:variant>
      <vt:variant>
        <vt:i4>5</vt:i4>
      </vt:variant>
      <vt:variant>
        <vt:lpwstr>http://www.nevo.co.il/case/13093721</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2025-01-19T15:59:00Z</dcterms:created>
  <dcterms:modified xsi:type="dcterms:W3CDTF">2025-01-19T15:59:00Z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13142</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אייל מעוז</vt:lpwstr>
  </property>
  <property fmtid="{D5CDD505-2E9C-101B-9397-08002B2CF9AE}" pid="10" name="LAWYER">
    <vt:lpwstr>הבדלי;מעוז;אלפסה</vt:lpwstr>
  </property>
  <property fmtid="{D5CDD505-2E9C-101B-9397-08002B2CF9AE}" pid="11" name="JUDGE">
    <vt:lpwstr>ג'ורג' קרא</vt:lpwstr>
  </property>
  <property fmtid="{D5CDD505-2E9C-101B-9397-08002B2CF9AE}" pid="12" name="CITY">
    <vt:lpwstr>ת"א</vt:lpwstr>
  </property>
  <property fmtid="{D5CDD505-2E9C-101B-9397-08002B2CF9AE}" pid="13" name="DATE">
    <vt:lpwstr>20150716</vt:lpwstr>
  </property>
  <property fmtid="{D5CDD505-2E9C-101B-9397-08002B2CF9AE}" pid="14" name="TYPE_N_DATE">
    <vt:lpwstr>39020150716</vt:lpwstr>
  </property>
  <property fmtid="{D5CDD505-2E9C-101B-9397-08002B2CF9AE}" pid="15" name="WORDNUMPAGES">
    <vt:lpwstr>7</vt:lpwstr>
  </property>
  <property fmtid="{D5CDD505-2E9C-101B-9397-08002B2CF9AE}" pid="16" name="TYPE_ABS_DATE">
    <vt:lpwstr>390020150716</vt:lpwstr>
  </property>
  <property fmtid="{D5CDD505-2E9C-101B-9397-08002B2CF9AE}" pid="17" name="ISABSTRACT">
    <vt:lpwstr>Y</vt:lpwstr>
  </property>
  <property fmtid="{D5CDD505-2E9C-101B-9397-08002B2CF9AE}" pid="18" name="CASESLISTTMP1">
    <vt:lpwstr>13093721;5590091;7791493:2;6949290;5950172;6117082;17062417;17948201;10527728</vt:lpwstr>
  </property>
  <property fmtid="{D5CDD505-2E9C-101B-9397-08002B2CF9AE}" pid="19" name="LAWLISTTMP1">
    <vt:lpwstr>70301/144.a:2;144.b;031</vt:lpwstr>
  </property>
</Properties>
</file>