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A9379F" w:rsidRPr="00C3580C" w14:paraId="065FE04D" w14:textId="77777777">
        <w:trPr>
          <w:trHeight w:hRule="exact" w:val="418"/>
          <w:jc w:val="center"/>
        </w:trPr>
        <w:tc>
          <w:tcPr>
            <w:tcW w:w="8721" w:type="dxa"/>
            <w:gridSpan w:val="2"/>
          </w:tcPr>
          <w:p w14:paraId="4AE3206D" w14:textId="77777777" w:rsidR="00A9379F" w:rsidRPr="00C3580C" w:rsidRDefault="00A9379F" w:rsidP="00C3580C">
            <w:pPr>
              <w:pStyle w:val="a4"/>
              <w:jc w:val="center"/>
              <w:rPr>
                <w:rFonts w:ascii="Tahoma" w:hAnsi="Tahoma" w:cs="Tahoma"/>
                <w:b/>
                <w:bCs/>
                <w:noProof w:val="0"/>
                <w:color w:val="000080"/>
                <w:rtl/>
              </w:rPr>
            </w:pPr>
            <w:bookmarkStart w:id="0" w:name="LastJudge"/>
            <w:r w:rsidRPr="00C3580C">
              <w:rPr>
                <w:rFonts w:ascii="Tahoma" w:hAnsi="Tahoma" w:cs="Tahoma"/>
                <w:b/>
                <w:bCs/>
                <w:noProof w:val="0"/>
                <w:color w:val="000080"/>
                <w:rtl/>
              </w:rPr>
              <w:t>בית המשפט המחוזי בחיפה</w:t>
            </w:r>
          </w:p>
        </w:tc>
      </w:tr>
      <w:tr w:rsidR="00A9379F" w:rsidRPr="00C3580C" w14:paraId="6F7E4668" w14:textId="77777777">
        <w:trPr>
          <w:trHeight w:val="337"/>
          <w:jc w:val="center"/>
        </w:trPr>
        <w:tc>
          <w:tcPr>
            <w:tcW w:w="5047" w:type="dxa"/>
          </w:tcPr>
          <w:p w14:paraId="272C9043" w14:textId="77777777" w:rsidR="00A9379F" w:rsidRPr="00C3580C" w:rsidRDefault="00A9379F" w:rsidP="00C3580C">
            <w:pPr>
              <w:rPr>
                <w:b/>
                <w:bCs/>
                <w:noProof w:val="0"/>
                <w:sz w:val="26"/>
                <w:szCs w:val="26"/>
                <w:rtl/>
              </w:rPr>
            </w:pPr>
          </w:p>
        </w:tc>
        <w:tc>
          <w:tcPr>
            <w:tcW w:w="3674" w:type="dxa"/>
          </w:tcPr>
          <w:p w14:paraId="73A72D35" w14:textId="77777777" w:rsidR="00A9379F" w:rsidRPr="00C3580C" w:rsidRDefault="00A9379F" w:rsidP="00C3580C">
            <w:pPr>
              <w:pStyle w:val="a4"/>
              <w:jc w:val="right"/>
              <w:rPr>
                <w:b/>
                <w:bCs/>
                <w:noProof w:val="0"/>
                <w:sz w:val="26"/>
                <w:szCs w:val="26"/>
                <w:rtl/>
              </w:rPr>
            </w:pPr>
            <w:r w:rsidRPr="00C3580C">
              <w:rPr>
                <w:rFonts w:hint="cs"/>
                <w:b/>
                <w:bCs/>
                <w:noProof w:val="0"/>
                <w:sz w:val="26"/>
                <w:szCs w:val="26"/>
                <w:rtl/>
              </w:rPr>
              <w:t>26 מאי 2015</w:t>
            </w:r>
          </w:p>
        </w:tc>
      </w:tr>
      <w:tr w:rsidR="00A9379F" w:rsidRPr="00C3580C" w14:paraId="446F76B3" w14:textId="77777777">
        <w:trPr>
          <w:trHeight w:val="337"/>
          <w:jc w:val="center"/>
        </w:trPr>
        <w:tc>
          <w:tcPr>
            <w:tcW w:w="8721" w:type="dxa"/>
            <w:gridSpan w:val="2"/>
          </w:tcPr>
          <w:p w14:paraId="5A60033C" w14:textId="77777777" w:rsidR="00A9379F" w:rsidRPr="00C3580C" w:rsidRDefault="00A9379F" w:rsidP="00C3580C">
            <w:pPr>
              <w:rPr>
                <w:b/>
                <w:bCs/>
                <w:noProof w:val="0"/>
                <w:sz w:val="26"/>
                <w:szCs w:val="26"/>
                <w:rtl/>
              </w:rPr>
            </w:pPr>
            <w:r w:rsidRPr="00C3580C">
              <w:rPr>
                <w:b/>
                <w:bCs/>
                <w:noProof w:val="0"/>
                <w:sz w:val="26"/>
                <w:szCs w:val="26"/>
                <w:rtl/>
              </w:rPr>
              <w:t>ת"פ 24181-02-15 מדינת ישראל נ' אבו ראס</w:t>
            </w:r>
          </w:p>
          <w:p w14:paraId="3068ED97" w14:textId="77777777" w:rsidR="00A9379F" w:rsidRPr="00C3580C" w:rsidRDefault="00A9379F" w:rsidP="00C3580C">
            <w:pPr>
              <w:rPr>
                <w:rtl/>
              </w:rPr>
            </w:pPr>
          </w:p>
        </w:tc>
      </w:tr>
    </w:tbl>
    <w:p w14:paraId="03297764" w14:textId="77777777" w:rsidR="00A9379F" w:rsidRPr="00C3580C" w:rsidRDefault="00A9379F" w:rsidP="00A9379F">
      <w:pPr>
        <w:pStyle w:val="a4"/>
        <w:rPr>
          <w:noProof w:val="0"/>
          <w:rtl/>
        </w:rPr>
      </w:pPr>
      <w:r w:rsidRPr="00C3580C">
        <w:rPr>
          <w:noProof w:val="0"/>
          <w:rtl/>
        </w:rPr>
        <w:t xml:space="preserve"> </w:t>
      </w:r>
    </w:p>
    <w:p w14:paraId="68D5D9F1" w14:textId="77777777" w:rsidR="00A9379F" w:rsidRPr="00C3580C" w:rsidRDefault="00A9379F" w:rsidP="00A9379F">
      <w:pPr>
        <w:spacing w:line="360" w:lineRule="auto"/>
        <w:jc w:val="both"/>
        <w:rPr>
          <w:b/>
          <w:bCs/>
          <w:rtl/>
        </w:rPr>
      </w:pPr>
      <w:r w:rsidRPr="00C3580C">
        <w:rPr>
          <w:rFonts w:hint="cs"/>
          <w:b/>
          <w:bCs/>
          <w:rtl/>
        </w:rPr>
        <w:t>בפני כב' השופט רון שפירא, סגן נשיא</w:t>
      </w:r>
    </w:p>
    <w:tbl>
      <w:tblPr>
        <w:bidiVisual/>
        <w:tblW w:w="8848" w:type="dxa"/>
        <w:tblInd w:w="-28" w:type="dxa"/>
        <w:tblLayout w:type="fixed"/>
        <w:tblLook w:val="01E0" w:firstRow="1" w:lastRow="1" w:firstColumn="1" w:lastColumn="1" w:noHBand="0" w:noVBand="0"/>
      </w:tblPr>
      <w:tblGrid>
        <w:gridCol w:w="28"/>
        <w:gridCol w:w="3213"/>
        <w:gridCol w:w="5564"/>
        <w:gridCol w:w="43"/>
      </w:tblGrid>
      <w:tr w:rsidR="00A9379F" w:rsidRPr="00C3580C" w14:paraId="4EF5BC5F" w14:textId="77777777" w:rsidTr="00460AC8">
        <w:trPr>
          <w:gridAfter w:val="1"/>
          <w:wAfter w:w="43" w:type="dxa"/>
        </w:trPr>
        <w:tc>
          <w:tcPr>
            <w:tcW w:w="3241" w:type="dxa"/>
            <w:gridSpan w:val="2"/>
            <w:shd w:val="clear" w:color="auto" w:fill="auto"/>
          </w:tcPr>
          <w:p w14:paraId="6F16EF9B" w14:textId="77777777" w:rsidR="00A9379F" w:rsidRPr="00C3580C" w:rsidRDefault="00A9379F" w:rsidP="00C3580C">
            <w:pPr>
              <w:ind w:left="26"/>
              <w:rPr>
                <w:b/>
                <w:bCs/>
                <w:sz w:val="26"/>
                <w:szCs w:val="26"/>
              </w:rPr>
            </w:pPr>
            <w:bookmarkStart w:id="1" w:name="FirstAppellant"/>
            <w:r w:rsidRPr="00C3580C">
              <w:rPr>
                <w:rFonts w:hint="cs"/>
                <w:b/>
                <w:bCs/>
                <w:sz w:val="26"/>
                <w:szCs w:val="26"/>
                <w:rtl/>
              </w:rPr>
              <w:t>המאשימה</w:t>
            </w:r>
          </w:p>
        </w:tc>
        <w:tc>
          <w:tcPr>
            <w:tcW w:w="5564" w:type="dxa"/>
            <w:shd w:val="clear" w:color="auto" w:fill="auto"/>
          </w:tcPr>
          <w:p w14:paraId="5DF30438" w14:textId="77777777" w:rsidR="00A9379F" w:rsidRPr="00C3580C" w:rsidRDefault="00A9379F" w:rsidP="00C3580C">
            <w:pPr>
              <w:rPr>
                <w:b/>
                <w:bCs/>
                <w:sz w:val="26"/>
                <w:szCs w:val="26"/>
              </w:rPr>
            </w:pPr>
            <w:r w:rsidRPr="00C3580C">
              <w:rPr>
                <w:rFonts w:hint="cs"/>
                <w:b/>
                <w:bCs/>
                <w:sz w:val="26"/>
                <w:szCs w:val="26"/>
                <w:rtl/>
              </w:rPr>
              <w:t>מדינת ישראל - המחלקה לחקירות שוטרים</w:t>
            </w:r>
          </w:p>
        </w:tc>
      </w:tr>
      <w:bookmarkEnd w:id="1"/>
      <w:tr w:rsidR="00A9379F" w:rsidRPr="00C3580C" w14:paraId="3C6E1A41" w14:textId="77777777" w:rsidTr="00460AC8">
        <w:trPr>
          <w:gridAfter w:val="1"/>
          <w:wAfter w:w="43" w:type="dxa"/>
        </w:trPr>
        <w:tc>
          <w:tcPr>
            <w:tcW w:w="8805" w:type="dxa"/>
            <w:gridSpan w:val="3"/>
            <w:shd w:val="clear" w:color="auto" w:fill="auto"/>
          </w:tcPr>
          <w:p w14:paraId="44487528" w14:textId="77777777" w:rsidR="00A9379F" w:rsidRPr="00C3580C" w:rsidRDefault="00A9379F" w:rsidP="00C3580C">
            <w:pPr>
              <w:jc w:val="both"/>
              <w:rPr>
                <w:rFonts w:ascii="Arial" w:hAnsi="Arial"/>
                <w:b/>
                <w:bCs/>
                <w:sz w:val="26"/>
                <w:szCs w:val="26"/>
                <w:rtl/>
              </w:rPr>
            </w:pPr>
          </w:p>
          <w:p w14:paraId="2AC367E8" w14:textId="77777777" w:rsidR="00A9379F" w:rsidRPr="00C3580C" w:rsidRDefault="00A9379F" w:rsidP="00C3580C">
            <w:pPr>
              <w:jc w:val="center"/>
              <w:rPr>
                <w:rFonts w:ascii="Arial" w:hAnsi="Arial"/>
                <w:b/>
                <w:bCs/>
                <w:sz w:val="26"/>
                <w:szCs w:val="26"/>
                <w:rtl/>
              </w:rPr>
            </w:pPr>
            <w:r w:rsidRPr="00C3580C">
              <w:rPr>
                <w:rFonts w:ascii="Arial" w:hAnsi="Arial" w:hint="cs"/>
                <w:b/>
                <w:bCs/>
                <w:sz w:val="26"/>
                <w:szCs w:val="26"/>
                <w:rtl/>
              </w:rPr>
              <w:t>נגד</w:t>
            </w:r>
          </w:p>
          <w:p w14:paraId="25760A19" w14:textId="77777777" w:rsidR="00A9379F" w:rsidRPr="00C3580C" w:rsidRDefault="00A9379F" w:rsidP="00C3580C">
            <w:pPr>
              <w:jc w:val="center"/>
              <w:rPr>
                <w:rFonts w:ascii="Arial" w:hAnsi="Arial"/>
                <w:b/>
                <w:bCs/>
                <w:sz w:val="26"/>
                <w:szCs w:val="26"/>
              </w:rPr>
            </w:pPr>
          </w:p>
        </w:tc>
      </w:tr>
      <w:tr w:rsidR="00A9379F" w:rsidRPr="00C3580C" w14:paraId="7998907C" w14:textId="77777777" w:rsidTr="00460AC8">
        <w:trPr>
          <w:gridAfter w:val="1"/>
          <w:wAfter w:w="43" w:type="dxa"/>
        </w:trPr>
        <w:tc>
          <w:tcPr>
            <w:tcW w:w="3241" w:type="dxa"/>
            <w:gridSpan w:val="2"/>
            <w:shd w:val="clear" w:color="auto" w:fill="auto"/>
          </w:tcPr>
          <w:p w14:paraId="66F1F9CA" w14:textId="77777777" w:rsidR="00A9379F" w:rsidRPr="00C3580C" w:rsidRDefault="00A9379F" w:rsidP="00C3580C">
            <w:pPr>
              <w:ind w:left="26"/>
              <w:rPr>
                <w:b/>
                <w:bCs/>
                <w:sz w:val="26"/>
                <w:szCs w:val="26"/>
              </w:rPr>
            </w:pPr>
            <w:bookmarkStart w:id="2" w:name="FirstLawyer"/>
            <w:r w:rsidRPr="00C3580C">
              <w:rPr>
                <w:rFonts w:hint="cs"/>
                <w:b/>
                <w:bCs/>
                <w:sz w:val="26"/>
                <w:szCs w:val="26"/>
                <w:rtl/>
              </w:rPr>
              <w:t>הנאשם</w:t>
            </w:r>
          </w:p>
        </w:tc>
        <w:tc>
          <w:tcPr>
            <w:tcW w:w="5564" w:type="dxa"/>
            <w:shd w:val="clear" w:color="auto" w:fill="auto"/>
          </w:tcPr>
          <w:p w14:paraId="6C08B3D7" w14:textId="77777777" w:rsidR="00A9379F" w:rsidRPr="00C3580C" w:rsidRDefault="00A9379F" w:rsidP="00C3580C">
            <w:pPr>
              <w:rPr>
                <w:b/>
                <w:bCs/>
                <w:sz w:val="26"/>
                <w:szCs w:val="26"/>
                <w:rtl/>
              </w:rPr>
            </w:pPr>
            <w:r w:rsidRPr="00C3580C">
              <w:rPr>
                <w:rFonts w:hint="cs"/>
                <w:b/>
                <w:bCs/>
                <w:sz w:val="26"/>
                <w:szCs w:val="26"/>
                <w:rtl/>
              </w:rPr>
              <w:t>עמאר אבו ראס, ת"ז 039387063</w:t>
            </w:r>
          </w:p>
          <w:p w14:paraId="24E829CE" w14:textId="77777777" w:rsidR="00A9379F" w:rsidRPr="00C3580C" w:rsidRDefault="00A9379F" w:rsidP="00C3580C">
            <w:r w:rsidRPr="00C3580C">
              <w:rPr>
                <w:rFonts w:hint="cs"/>
                <w:rtl/>
              </w:rPr>
              <w:t>ע"י ב"כ עו"ד יוסף שלבי</w:t>
            </w:r>
          </w:p>
        </w:tc>
      </w:tr>
      <w:tr w:rsidR="00A9379F" w14:paraId="228890A1" w14:textId="77777777" w:rsidTr="00460AC8">
        <w:tblPrEx>
          <w:jc w:val="center"/>
          <w:tblInd w:w="0" w:type="dxa"/>
        </w:tblPrEx>
        <w:trPr>
          <w:gridBefore w:val="1"/>
          <w:wBefore w:w="28" w:type="dxa"/>
          <w:jc w:val="center"/>
        </w:trPr>
        <w:tc>
          <w:tcPr>
            <w:tcW w:w="8820" w:type="dxa"/>
            <w:gridSpan w:val="3"/>
            <w:shd w:val="clear" w:color="auto" w:fill="auto"/>
          </w:tcPr>
          <w:p w14:paraId="6CEBDE47" w14:textId="77777777" w:rsidR="00460AC8" w:rsidRDefault="00460AC8" w:rsidP="00C3580C">
            <w:pPr>
              <w:bidi w:val="0"/>
              <w:jc w:val="center"/>
              <w:rPr>
                <w:rFonts w:ascii="Arial" w:hAnsi="Arial"/>
                <w:noProof w:val="0"/>
                <w:sz w:val="28"/>
                <w:szCs w:val="28"/>
              </w:rPr>
            </w:pPr>
            <w:bookmarkStart w:id="3" w:name="PsakDin" w:colFirst="0" w:colLast="0"/>
            <w:bookmarkStart w:id="4" w:name="LawTable"/>
            <w:bookmarkEnd w:id="2"/>
            <w:bookmarkEnd w:id="0"/>
            <w:bookmarkEnd w:id="4"/>
          </w:p>
          <w:p w14:paraId="2FBB461A" w14:textId="77777777" w:rsidR="00460AC8" w:rsidRPr="00460AC8" w:rsidRDefault="00460AC8" w:rsidP="00460AC8">
            <w:pPr>
              <w:bidi w:val="0"/>
              <w:spacing w:after="120" w:line="240" w:lineRule="exact"/>
              <w:ind w:left="283" w:hanging="283"/>
              <w:jc w:val="both"/>
              <w:rPr>
                <w:rFonts w:ascii="FrankRuehl" w:hAnsi="FrankRuehl" w:cs="FrankRuehl"/>
                <w:noProof w:val="0"/>
              </w:rPr>
            </w:pPr>
          </w:p>
          <w:p w14:paraId="3E7D141C" w14:textId="77777777" w:rsidR="00460AC8" w:rsidRPr="00460AC8" w:rsidRDefault="00460AC8" w:rsidP="00460AC8">
            <w:pPr>
              <w:bidi w:val="0"/>
              <w:spacing w:after="120" w:line="240" w:lineRule="exact"/>
              <w:ind w:left="283" w:hanging="283"/>
              <w:jc w:val="both"/>
              <w:rPr>
                <w:rFonts w:ascii="FrankRuehl" w:hAnsi="FrankRuehl" w:cs="FrankRuehl"/>
                <w:noProof w:val="0"/>
              </w:rPr>
            </w:pPr>
            <w:r w:rsidRPr="00460AC8">
              <w:rPr>
                <w:rFonts w:ascii="FrankRuehl" w:hAnsi="FrankRuehl" w:cs="FrankRuehl"/>
                <w:noProof w:val="0"/>
                <w:rtl/>
              </w:rPr>
              <w:t>חקיקה שאוזכרה</w:t>
            </w:r>
            <w:r w:rsidRPr="00460AC8">
              <w:rPr>
                <w:rFonts w:ascii="FrankRuehl" w:hAnsi="FrankRuehl" w:cs="FrankRuehl"/>
                <w:noProof w:val="0"/>
              </w:rPr>
              <w:t xml:space="preserve">: </w:t>
            </w:r>
          </w:p>
          <w:p w14:paraId="5F7946A5" w14:textId="77777777" w:rsidR="00460AC8" w:rsidRPr="00460AC8" w:rsidRDefault="00460AC8" w:rsidP="00460AC8">
            <w:pPr>
              <w:bidi w:val="0"/>
              <w:spacing w:after="120" w:line="240" w:lineRule="exact"/>
              <w:ind w:left="283" w:hanging="283"/>
              <w:jc w:val="both"/>
              <w:rPr>
                <w:rFonts w:ascii="FrankRuehl" w:hAnsi="FrankRuehl" w:cs="FrankRuehl"/>
                <w:noProof w:val="0"/>
                <w:color w:val="0000FF"/>
                <w:u w:val="single"/>
              </w:rPr>
            </w:pPr>
            <w:hyperlink r:id="rId6" w:history="1">
              <w:r w:rsidRPr="00460AC8">
                <w:rPr>
                  <w:rStyle w:val="Hyperlink"/>
                  <w:rFonts w:ascii="FrankRuehl" w:hAnsi="FrankRuehl" w:cs="FrankRuehl"/>
                  <w:rtl/>
                </w:rPr>
                <w:t>חוק העונשין, תשל"ז-1977</w:t>
              </w:r>
            </w:hyperlink>
            <w:r w:rsidRPr="00460AC8">
              <w:rPr>
                <w:rFonts w:ascii="FrankRuehl" w:hAnsi="FrankRuehl" w:cs="FrankRuehl"/>
                <w:noProof w:val="0"/>
                <w:color w:val="0000FF"/>
                <w:u w:val="single"/>
              </w:rPr>
              <w:t xml:space="preserve">: </w:t>
            </w:r>
            <w:r w:rsidRPr="00460AC8">
              <w:rPr>
                <w:rFonts w:ascii="FrankRuehl" w:hAnsi="FrankRuehl" w:cs="FrankRuehl"/>
                <w:noProof w:val="0"/>
                <w:color w:val="0000FF"/>
                <w:u w:val="single"/>
                <w:rtl/>
              </w:rPr>
              <w:t>סע</w:t>
            </w:r>
            <w:r w:rsidRPr="00460AC8">
              <w:rPr>
                <w:rFonts w:ascii="FrankRuehl" w:hAnsi="FrankRuehl" w:cs="FrankRuehl"/>
                <w:noProof w:val="0"/>
                <w:color w:val="0000FF"/>
                <w:u w:val="single"/>
              </w:rPr>
              <w:t xml:space="preserve">'  </w:t>
            </w:r>
            <w:hyperlink r:id="rId7" w:history="1">
              <w:r w:rsidRPr="00460AC8">
                <w:rPr>
                  <w:rStyle w:val="Hyperlink"/>
                  <w:rFonts w:ascii="FrankRuehl" w:hAnsi="FrankRuehl" w:cs="FrankRuehl"/>
                </w:rPr>
                <w:t>25</w:t>
              </w:r>
            </w:hyperlink>
            <w:r w:rsidRPr="00460AC8">
              <w:rPr>
                <w:rFonts w:ascii="FrankRuehl" w:hAnsi="FrankRuehl" w:cs="FrankRuehl"/>
                <w:noProof w:val="0"/>
                <w:color w:val="0000FF"/>
                <w:u w:val="single"/>
              </w:rPr>
              <w:t xml:space="preserve">, </w:t>
            </w:r>
            <w:hyperlink r:id="rId8" w:history="1">
              <w:r w:rsidRPr="00460AC8">
                <w:rPr>
                  <w:rStyle w:val="Hyperlink"/>
                  <w:rFonts w:ascii="FrankRuehl" w:hAnsi="FrankRuehl" w:cs="FrankRuehl"/>
                </w:rPr>
                <w:t>144(</w:t>
              </w:r>
              <w:r w:rsidRPr="00460AC8">
                <w:rPr>
                  <w:rStyle w:val="Hyperlink"/>
                  <w:rFonts w:ascii="FrankRuehl" w:hAnsi="FrankRuehl" w:cs="FrankRuehl"/>
                  <w:rtl/>
                </w:rPr>
                <w:t>א</w:t>
              </w:r>
              <w:r w:rsidRPr="00460AC8">
                <w:rPr>
                  <w:rStyle w:val="Hyperlink"/>
                  <w:rFonts w:ascii="FrankRuehl" w:hAnsi="FrankRuehl" w:cs="FrankRuehl"/>
                </w:rPr>
                <w:t>)</w:t>
              </w:r>
            </w:hyperlink>
          </w:p>
          <w:p w14:paraId="4A9804ED" w14:textId="77777777" w:rsidR="00460AC8" w:rsidRPr="00460AC8" w:rsidRDefault="00460AC8" w:rsidP="00460AC8">
            <w:pPr>
              <w:bidi w:val="0"/>
              <w:spacing w:after="120" w:line="240" w:lineRule="exact"/>
              <w:ind w:left="283" w:hanging="283"/>
              <w:jc w:val="both"/>
              <w:rPr>
                <w:rFonts w:ascii="FrankRuehl" w:hAnsi="FrankRuehl" w:cs="FrankRuehl"/>
                <w:noProof w:val="0"/>
              </w:rPr>
            </w:pPr>
          </w:p>
          <w:p w14:paraId="4501E1E5" w14:textId="77777777" w:rsidR="00460AC8" w:rsidRPr="00460AC8" w:rsidRDefault="00460AC8" w:rsidP="00C3580C">
            <w:pPr>
              <w:bidi w:val="0"/>
              <w:jc w:val="center"/>
              <w:rPr>
                <w:rFonts w:ascii="Arial" w:hAnsi="Arial"/>
                <w:noProof w:val="0"/>
                <w:sz w:val="28"/>
                <w:szCs w:val="28"/>
                <w:rtl/>
              </w:rPr>
            </w:pPr>
            <w:bookmarkStart w:id="5" w:name="LawTable_End"/>
            <w:bookmarkEnd w:id="5"/>
          </w:p>
          <w:p w14:paraId="7443FA4F" w14:textId="77777777" w:rsidR="00C3580C" w:rsidRPr="00C3580C" w:rsidRDefault="00C3580C" w:rsidP="00C3580C">
            <w:pPr>
              <w:bidi w:val="0"/>
              <w:jc w:val="center"/>
              <w:rPr>
                <w:rFonts w:ascii="Arial" w:hAnsi="Arial"/>
                <w:b/>
                <w:bCs/>
                <w:noProof w:val="0"/>
                <w:sz w:val="28"/>
                <w:szCs w:val="28"/>
                <w:u w:val="single"/>
                <w:rtl/>
              </w:rPr>
            </w:pPr>
            <w:r w:rsidRPr="00C3580C">
              <w:rPr>
                <w:rFonts w:ascii="Arial" w:hAnsi="Arial"/>
                <w:b/>
                <w:bCs/>
                <w:noProof w:val="0"/>
                <w:sz w:val="28"/>
                <w:szCs w:val="28"/>
                <w:u w:val="single"/>
                <w:rtl/>
              </w:rPr>
              <w:t>גזר דין</w:t>
            </w:r>
          </w:p>
          <w:p w14:paraId="6EE6AD05" w14:textId="77777777" w:rsidR="00A9379F" w:rsidRPr="00C3580C" w:rsidRDefault="00A9379F" w:rsidP="00C3580C">
            <w:pPr>
              <w:bidi w:val="0"/>
              <w:jc w:val="center"/>
              <w:rPr>
                <w:rFonts w:ascii="Arial" w:hAnsi="Arial"/>
                <w:b/>
                <w:bCs/>
                <w:noProof w:val="0"/>
                <w:sz w:val="28"/>
                <w:szCs w:val="28"/>
                <w:u w:val="single"/>
              </w:rPr>
            </w:pPr>
          </w:p>
        </w:tc>
      </w:tr>
      <w:bookmarkEnd w:id="3"/>
    </w:tbl>
    <w:p w14:paraId="6C21350C" w14:textId="77777777" w:rsidR="00A9379F" w:rsidRDefault="00A9379F" w:rsidP="00A9379F">
      <w:pPr>
        <w:spacing w:line="360" w:lineRule="auto"/>
        <w:jc w:val="both"/>
        <w:rPr>
          <w:rFonts w:ascii="Arial" w:hAnsi="Arial"/>
          <w:noProof w:val="0"/>
          <w:rtl/>
        </w:rPr>
      </w:pPr>
    </w:p>
    <w:p w14:paraId="50FCEEEA" w14:textId="77777777" w:rsidR="00A9379F" w:rsidRPr="00671EB1" w:rsidRDefault="00A9379F" w:rsidP="00A9379F">
      <w:pPr>
        <w:spacing w:line="360" w:lineRule="auto"/>
        <w:jc w:val="both"/>
        <w:rPr>
          <w:b/>
          <w:bCs/>
          <w:u w:val="single"/>
          <w:rtl/>
        </w:rPr>
      </w:pPr>
      <w:r>
        <w:rPr>
          <w:rFonts w:hint="cs"/>
          <w:b/>
          <w:bCs/>
          <w:u w:val="single"/>
          <w:rtl/>
        </w:rPr>
        <w:t>הסדר הטיעון ו</w:t>
      </w:r>
      <w:r w:rsidRPr="00671EB1">
        <w:rPr>
          <w:b/>
          <w:bCs/>
          <w:u w:val="single"/>
          <w:rtl/>
        </w:rPr>
        <w:t>העבירות בהן הורשע הנאשם</w:t>
      </w:r>
    </w:p>
    <w:p w14:paraId="12667408" w14:textId="77777777" w:rsidR="00A9379F" w:rsidRDefault="00A9379F" w:rsidP="00A9379F">
      <w:pPr>
        <w:spacing w:line="360" w:lineRule="auto"/>
        <w:jc w:val="both"/>
        <w:rPr>
          <w:rtl/>
        </w:rPr>
      </w:pPr>
      <w:bookmarkStart w:id="6" w:name="ABSTRACT_START"/>
      <w:bookmarkEnd w:id="6"/>
      <w:r>
        <w:rPr>
          <w:rFonts w:hint="cs"/>
          <w:rtl/>
        </w:rPr>
        <w:t xml:space="preserve">הנאשם הורשע בניסיון לבצע עבירות בנשק, עבירה לפי </w:t>
      </w:r>
      <w:hyperlink r:id="rId9" w:history="1">
        <w:r w:rsidR="00045037" w:rsidRPr="00045037">
          <w:rPr>
            <w:color w:val="0000FF"/>
            <w:u w:val="single"/>
            <w:rtl/>
          </w:rPr>
          <w:t>סעיף 144(א)</w:t>
        </w:r>
      </w:hyperlink>
      <w:r>
        <w:rPr>
          <w:rFonts w:hint="cs"/>
          <w:rtl/>
        </w:rPr>
        <w:t xml:space="preserve"> סיפא + </w:t>
      </w:r>
      <w:hyperlink r:id="rId10" w:history="1">
        <w:r w:rsidR="00045037" w:rsidRPr="00045037">
          <w:rPr>
            <w:color w:val="0000FF"/>
            <w:u w:val="single"/>
            <w:rtl/>
          </w:rPr>
          <w:t>סעיף 25</w:t>
        </w:r>
      </w:hyperlink>
      <w:r>
        <w:rPr>
          <w:rFonts w:hint="cs"/>
          <w:rtl/>
        </w:rPr>
        <w:t xml:space="preserve"> ל</w:t>
      </w:r>
      <w:hyperlink r:id="rId11" w:history="1">
        <w:r w:rsidR="00C3580C" w:rsidRPr="00C3580C">
          <w:rPr>
            <w:color w:val="0000FF"/>
            <w:u w:val="single"/>
            <w:rtl/>
          </w:rPr>
          <w:t>חוק העונשין</w:t>
        </w:r>
      </w:hyperlink>
      <w:r>
        <w:rPr>
          <w:rFonts w:hint="cs"/>
          <w:rtl/>
        </w:rPr>
        <w:t>. יצוין כי מדובר בהרשעה על פי עובדות כתב אישום מתוקן במסגרת של הסדר טיעון, אשר כלל גם הסכמה לעניין העונש. על פי הנטען בכתב האישום המתוקן בו הודה הנאשם, הוא פנה לידיד, שהוא איש משטרה, וביקש לרכוש ממנו תחמושת לאקדח "ברטה". איש המשטרה הסכים למכור לנאשם את התחמושת, ואולם בסופו של דבר העסקה לא יצאה אל הפועל. הנאשם הודה במיוחס לו והורשע, כאמור לעיל.</w:t>
      </w:r>
    </w:p>
    <w:p w14:paraId="7F7E1565" w14:textId="77777777" w:rsidR="00A9379F" w:rsidRDefault="00A9379F" w:rsidP="00A9379F">
      <w:pPr>
        <w:spacing w:line="360" w:lineRule="auto"/>
        <w:jc w:val="both"/>
        <w:rPr>
          <w:rtl/>
        </w:rPr>
      </w:pPr>
    </w:p>
    <w:p w14:paraId="2307B044" w14:textId="77777777" w:rsidR="00A9379F" w:rsidRDefault="00A9379F" w:rsidP="00A9379F">
      <w:pPr>
        <w:spacing w:line="360" w:lineRule="auto"/>
        <w:jc w:val="both"/>
        <w:rPr>
          <w:rtl/>
        </w:rPr>
      </w:pPr>
      <w:bookmarkStart w:id="7" w:name="ABSTRACT_END"/>
      <w:bookmarkEnd w:id="7"/>
      <w:r>
        <w:rPr>
          <w:rFonts w:hint="cs"/>
          <w:rtl/>
        </w:rPr>
        <w:t>הצדדים הודיעו לבית המשפט ביום 10.2.15 כי הגיעו להסדר טיעון, ולפיו הודה הנאשם בעובדות ובעבירות כמפורט לעיל. הצדדים הסכימו כי יעתרו במשותף לגזור על הנאשם עונש של שני חודשי מאסר לריצוי בפועל, וכן מאסר מותנה.</w:t>
      </w:r>
    </w:p>
    <w:p w14:paraId="7901DBD2" w14:textId="77777777" w:rsidR="00A9379F" w:rsidRPr="00671EB1" w:rsidRDefault="00A9379F" w:rsidP="00A9379F">
      <w:pPr>
        <w:spacing w:line="360" w:lineRule="auto"/>
        <w:jc w:val="both"/>
        <w:rPr>
          <w:rtl/>
        </w:rPr>
      </w:pPr>
    </w:p>
    <w:p w14:paraId="575AED31" w14:textId="77777777" w:rsidR="00A9379F" w:rsidRPr="00671EB1" w:rsidRDefault="00A9379F" w:rsidP="00A9379F">
      <w:pPr>
        <w:spacing w:line="360" w:lineRule="auto"/>
        <w:jc w:val="both"/>
        <w:rPr>
          <w:b/>
          <w:bCs/>
          <w:u w:val="single"/>
          <w:rtl/>
        </w:rPr>
      </w:pPr>
      <w:r w:rsidRPr="00671EB1">
        <w:rPr>
          <w:b/>
          <w:bCs/>
          <w:u w:val="single"/>
          <w:rtl/>
        </w:rPr>
        <w:t>הטיעון לעונש</w:t>
      </w:r>
    </w:p>
    <w:p w14:paraId="564A4BD6" w14:textId="77777777" w:rsidR="00A9379F" w:rsidRDefault="00A9379F" w:rsidP="00A9379F">
      <w:pPr>
        <w:spacing w:line="360" w:lineRule="auto"/>
        <w:jc w:val="both"/>
        <w:rPr>
          <w:rtl/>
        </w:rPr>
      </w:pPr>
      <w:r>
        <w:rPr>
          <w:rFonts w:hint="cs"/>
          <w:rtl/>
        </w:rPr>
        <w:t>ב"כ המאשימה טוענת כי בשים לב לנסיבותיו המיוחדות של המקרה, בהתחשב בחומרת הניסיון לבצע עבירה בנשק מהצד האחד, ומהצד השני בהתחשב בעובדה שהניסיון לא צלח, יש לאשר את ההסדר. המאשימה מציינת כי מדובר בנאשם צעיר לא עבר פלילי.</w:t>
      </w:r>
    </w:p>
    <w:p w14:paraId="7B4C452D" w14:textId="77777777" w:rsidR="00A9379F" w:rsidRDefault="00A9379F" w:rsidP="00A9379F">
      <w:pPr>
        <w:spacing w:line="360" w:lineRule="auto"/>
        <w:jc w:val="both"/>
        <w:rPr>
          <w:rtl/>
        </w:rPr>
      </w:pPr>
    </w:p>
    <w:p w14:paraId="3806D9E4" w14:textId="77777777" w:rsidR="00A9379F" w:rsidRDefault="00A9379F" w:rsidP="00A9379F">
      <w:pPr>
        <w:spacing w:line="360" w:lineRule="auto"/>
        <w:jc w:val="both"/>
        <w:rPr>
          <w:rtl/>
        </w:rPr>
      </w:pPr>
      <w:r>
        <w:rPr>
          <w:rFonts w:hint="cs"/>
          <w:rtl/>
        </w:rPr>
        <w:t>ב"כ הנאשם ביקש להצטרף לדברי התובעת, תוך שהוא מציין כי מדובר באדם צעיר העובד באופן סדיר בעסק משפחתי. עוד פירט נתונים בדבר מצבו המשפחתי, לרבות נתונים רפואיים שלא יפורטו מטעמי צנעת הפרט, ובנסיבות אלו ביקש לאמץ את ההסדר.</w:t>
      </w:r>
    </w:p>
    <w:p w14:paraId="79E1D41F" w14:textId="77777777" w:rsidR="00A9379F" w:rsidRDefault="00A9379F" w:rsidP="00A9379F">
      <w:pPr>
        <w:spacing w:line="360" w:lineRule="auto"/>
        <w:jc w:val="both"/>
        <w:rPr>
          <w:rtl/>
        </w:rPr>
      </w:pPr>
    </w:p>
    <w:p w14:paraId="6793905C" w14:textId="77777777" w:rsidR="00A9379F" w:rsidRDefault="00A9379F" w:rsidP="00A9379F">
      <w:pPr>
        <w:spacing w:line="360" w:lineRule="auto"/>
        <w:jc w:val="both"/>
        <w:rPr>
          <w:rtl/>
        </w:rPr>
      </w:pPr>
      <w:r>
        <w:rPr>
          <w:rFonts w:hint="cs"/>
          <w:rtl/>
        </w:rPr>
        <w:lastRenderedPageBreak/>
        <w:t>הנאשם סיפר כי פנה אל השוטר אשר היה ידיד של אביו, ולמעשה לא סבר כי הוא מבצע עבירה כלשהי. בשים לב לנסיבות אישיות, ביקש לאמץ את הסדר הטיעון.</w:t>
      </w:r>
    </w:p>
    <w:p w14:paraId="2316173B" w14:textId="77777777" w:rsidR="00A9379F" w:rsidRDefault="00A9379F" w:rsidP="00A9379F">
      <w:pPr>
        <w:bidi w:val="0"/>
        <w:rPr>
          <w:rtl/>
        </w:rPr>
      </w:pPr>
      <w:r>
        <w:rPr>
          <w:rtl/>
        </w:rPr>
        <w:br w:type="page"/>
      </w:r>
    </w:p>
    <w:p w14:paraId="2185E4F0" w14:textId="77777777" w:rsidR="00A9379F" w:rsidRPr="00671EB1" w:rsidRDefault="00A9379F" w:rsidP="00A9379F">
      <w:pPr>
        <w:spacing w:line="360" w:lineRule="auto"/>
        <w:jc w:val="both"/>
        <w:rPr>
          <w:b/>
          <w:bCs/>
          <w:u w:val="single"/>
          <w:rtl/>
        </w:rPr>
      </w:pPr>
      <w:r w:rsidRPr="00671EB1">
        <w:rPr>
          <w:b/>
          <w:bCs/>
          <w:u w:val="single"/>
          <w:rtl/>
        </w:rPr>
        <w:t>שיקולי בית המשפט לעניין הענישה</w:t>
      </w:r>
    </w:p>
    <w:p w14:paraId="28AC8F00" w14:textId="77777777" w:rsidR="00A9379F" w:rsidRDefault="00A9379F" w:rsidP="00A9379F">
      <w:pPr>
        <w:spacing w:line="360" w:lineRule="auto"/>
        <w:jc w:val="both"/>
        <w:rPr>
          <w:rtl/>
        </w:rPr>
      </w:pPr>
      <w:r>
        <w:rPr>
          <w:rFonts w:hint="cs"/>
          <w:rtl/>
        </w:rPr>
        <w:t>כאמור, במקרה זה מדובר בהסדר טיעון אשר כלל גם הסכמה לעניין הענישה. בנסיבות אלו, לא מצאתי מקום להרחיב בשיקולי בית המשפט לעניין אישור ההסדר, וזאת בשים לב להלכה כי רק במקרים חריגים לא יאשר בית המשפט הסדרי טיעון. במקרה שבפני לא ניתן לומר כי ההסדר, הגם שמדובר בעונש מקל, חורג בצורה קיצונית מהענישה הראויה בנסיבותיו של המקרה. לכן אבהיר כבר כעת, כי בדעתי לאשר את ההסדר. אמנה להלן מספר נימוקים.</w:t>
      </w:r>
    </w:p>
    <w:p w14:paraId="7EF6B53C" w14:textId="77777777" w:rsidR="00A9379F" w:rsidRDefault="00A9379F" w:rsidP="00A9379F">
      <w:pPr>
        <w:spacing w:line="360" w:lineRule="auto"/>
        <w:jc w:val="both"/>
        <w:rPr>
          <w:rtl/>
        </w:rPr>
      </w:pPr>
    </w:p>
    <w:p w14:paraId="5993AE84" w14:textId="77777777" w:rsidR="00A9379F" w:rsidRPr="00811E73" w:rsidRDefault="00A9379F" w:rsidP="00A9379F">
      <w:pPr>
        <w:spacing w:line="360" w:lineRule="auto"/>
        <w:jc w:val="both"/>
        <w:rPr>
          <w:u w:val="single"/>
          <w:rtl/>
        </w:rPr>
      </w:pPr>
      <w:r w:rsidRPr="00811E73">
        <w:rPr>
          <w:u w:val="single"/>
          <w:rtl/>
        </w:rPr>
        <w:t>קביעת מתחם העונש ההולם</w:t>
      </w:r>
    </w:p>
    <w:p w14:paraId="119AD134" w14:textId="77777777" w:rsidR="00A9379F" w:rsidRDefault="00A9379F" w:rsidP="00A9379F">
      <w:pPr>
        <w:spacing w:line="360" w:lineRule="auto"/>
        <w:jc w:val="both"/>
      </w:pPr>
      <w:r>
        <w:rPr>
          <w:rFonts w:hint="cs"/>
          <w:rtl/>
        </w:rPr>
        <w:t>בבואו של בית המשפט לקבוע את מתחם העונש ההולם, עליו להביא בחשבון את העונש הקבוע בחוק למעשים שבגינם הורשע הנאשם, חומרת נסיבות המקרה ומכלול הנתונים הקשורים למעשה ולמבצע העבירה. מתחם העונש ההולם משקף קביעה ערכית לעונש ראוי, ואינו משקף, בהכרח, את הענישה המקובלת והרווחת בפסיקה קודמת, ובמיוחד בפסיקה שקדמה לכניסתו לתוקף של תיקון 113 ל</w:t>
      </w:r>
      <w:hyperlink r:id="rId12" w:history="1">
        <w:r w:rsidR="00C3580C" w:rsidRPr="00C3580C">
          <w:rPr>
            <w:color w:val="0000FF"/>
            <w:u w:val="single"/>
            <w:rtl/>
          </w:rPr>
          <w:t>חוק העונשין</w:t>
        </w:r>
      </w:hyperlink>
      <w:r>
        <w:rPr>
          <w:rFonts w:hint="cs"/>
          <w:rtl/>
        </w:rPr>
        <w:t xml:space="preserve">. </w:t>
      </w:r>
    </w:p>
    <w:p w14:paraId="7B5863CC" w14:textId="77777777" w:rsidR="00A9379F" w:rsidRDefault="00A9379F" w:rsidP="00A9379F">
      <w:pPr>
        <w:spacing w:line="360" w:lineRule="auto"/>
        <w:jc w:val="both"/>
        <w:rPr>
          <w:rtl/>
        </w:rPr>
      </w:pPr>
    </w:p>
    <w:p w14:paraId="08F973E3" w14:textId="77777777" w:rsidR="00A9379F" w:rsidRDefault="00A9379F" w:rsidP="00A9379F">
      <w:pPr>
        <w:spacing w:line="360" w:lineRule="auto"/>
        <w:jc w:val="both"/>
        <w:rPr>
          <w:rtl/>
        </w:rPr>
      </w:pPr>
      <w:r>
        <w:rPr>
          <w:rFonts w:hint="cs"/>
          <w:rtl/>
        </w:rPr>
        <w:t>במקרה הנוכחי מדובר בעבירות בנשק. ככלל, עבירות בנשק נמנות על העבירות החמורות אשר מתחם העונש ההולם בגינן כולל רכיבי מאסר לריצוי בפועל ואף לתקופות ממושכות. במקרה שבפני, כאשר מדובר בניסיון שלא צלח ועל רקע מכלול הנסיבות, לרבות גילו הצעיר של הנאשם, העדר עבר פלילי והודאה בשלב מוקדם, סבור אני כי אכן מתחם העונש ההולם יכול שיכלול גם ריצוי מאסר בעבודות שירות לתקופה קצרה.</w:t>
      </w:r>
    </w:p>
    <w:p w14:paraId="64DF78CB" w14:textId="77777777" w:rsidR="00A9379F" w:rsidRPr="00E574A3" w:rsidRDefault="00A9379F" w:rsidP="00A9379F">
      <w:pPr>
        <w:spacing w:line="360" w:lineRule="auto"/>
        <w:jc w:val="both"/>
        <w:rPr>
          <w:rtl/>
        </w:rPr>
      </w:pPr>
    </w:p>
    <w:p w14:paraId="6C29FFD3" w14:textId="77777777" w:rsidR="00A9379F" w:rsidRDefault="00A9379F" w:rsidP="00A9379F">
      <w:pPr>
        <w:spacing w:line="360" w:lineRule="auto"/>
        <w:rPr>
          <w:u w:val="single"/>
          <w:rtl/>
        </w:rPr>
      </w:pPr>
      <w:r>
        <w:rPr>
          <w:u w:val="single"/>
          <w:rtl/>
        </w:rPr>
        <w:t>הערך החברתי שנפגע</w:t>
      </w:r>
    </w:p>
    <w:p w14:paraId="22483A10" w14:textId="77777777" w:rsidR="00A9379F" w:rsidRDefault="00A9379F" w:rsidP="00A9379F">
      <w:pPr>
        <w:spacing w:line="360" w:lineRule="auto"/>
        <w:jc w:val="both"/>
        <w:rPr>
          <w:rtl/>
        </w:rPr>
      </w:pPr>
      <w:r>
        <w:rPr>
          <w:rFonts w:hint="cs"/>
          <w:rtl/>
        </w:rPr>
        <w:t>בנסיבות המקרה שבפני, מהווים מעשיו של הנאשם ניסיון (שכאמור, לא צלח) אשר עלול היה לסכן את שלום הציבור. עבירות בנשק מהוות סיכון. נשק ותחמושת המוחזקים ללא רישיון עלולים לשמש למטרות פסולות, בין אם באמצעות המחזיק ובין אם בדרך של העברתם לגורמים פליליים או ביטחוניים. בנסיבות אלו, כל עבירה בנשק היא עבירה המסכנת את ביטחון הציבור, ומכאן גם החומרה שראו בכך בתי המשפט לעניין הענישה המקובלת בעבירות מסוג זה.</w:t>
      </w:r>
    </w:p>
    <w:p w14:paraId="47E84DC1" w14:textId="77777777" w:rsidR="00A9379F" w:rsidRPr="00532295" w:rsidRDefault="00A9379F" w:rsidP="00A9379F">
      <w:pPr>
        <w:spacing w:line="360" w:lineRule="auto"/>
        <w:jc w:val="both"/>
        <w:rPr>
          <w:rtl/>
        </w:rPr>
      </w:pPr>
    </w:p>
    <w:p w14:paraId="35FBCC11" w14:textId="77777777" w:rsidR="00A9379F" w:rsidRDefault="00A9379F" w:rsidP="00A9379F">
      <w:pPr>
        <w:spacing w:line="360" w:lineRule="auto"/>
        <w:rPr>
          <w:u w:val="single"/>
          <w:rtl/>
        </w:rPr>
      </w:pPr>
      <w:r>
        <w:rPr>
          <w:u w:val="single"/>
          <w:rtl/>
        </w:rPr>
        <w:t>נסיבות הקשורות בביצוע העבירה</w:t>
      </w:r>
    </w:p>
    <w:p w14:paraId="17D071AF" w14:textId="77777777" w:rsidR="00A9379F" w:rsidRDefault="00A9379F" w:rsidP="00A9379F">
      <w:pPr>
        <w:spacing w:line="360" w:lineRule="auto"/>
        <w:jc w:val="both"/>
        <w:rPr>
          <w:rtl/>
        </w:rPr>
      </w:pPr>
      <w:r>
        <w:rPr>
          <w:rFonts w:hint="cs"/>
          <w:rtl/>
        </w:rPr>
        <w:t>כאמור, במקרה זה מדובר בניסיון שלא צלח, כאשר הנאשם פנה לחבר של אביו, שהוא שוטר, ומכאן גם שיש בסיס לטענתו בדבר העדר הבנה מלאה לחומרת המעשה. כי הרי ניתן היה לצפות ששוטר יעמידו מיד על האיסור שבמעשה ובכך תסתיים הפרשה.</w:t>
      </w:r>
    </w:p>
    <w:p w14:paraId="32A60152" w14:textId="77777777" w:rsidR="00A9379F" w:rsidRDefault="00A9379F" w:rsidP="00A9379F">
      <w:pPr>
        <w:spacing w:line="360" w:lineRule="auto"/>
        <w:jc w:val="both"/>
        <w:rPr>
          <w:rtl/>
        </w:rPr>
      </w:pPr>
    </w:p>
    <w:p w14:paraId="258D69DA" w14:textId="77777777" w:rsidR="00A9379F" w:rsidRDefault="00A9379F" w:rsidP="00A9379F">
      <w:pPr>
        <w:bidi w:val="0"/>
        <w:rPr>
          <w:rtl/>
        </w:rPr>
      </w:pPr>
      <w:r>
        <w:rPr>
          <w:rtl/>
        </w:rPr>
        <w:br w:type="page"/>
      </w:r>
    </w:p>
    <w:p w14:paraId="3D22997A" w14:textId="77777777" w:rsidR="00A9379F" w:rsidRDefault="00A9379F" w:rsidP="00A9379F">
      <w:pPr>
        <w:spacing w:line="360" w:lineRule="auto"/>
        <w:jc w:val="both"/>
        <w:rPr>
          <w:rtl/>
        </w:rPr>
      </w:pPr>
      <w:r>
        <w:rPr>
          <w:rFonts w:hint="cs"/>
          <w:rtl/>
        </w:rPr>
        <w:t>כאשר מביאים בחשבון את כמות התחמושת, שאינה גדולה, אשר ביקש הנאשם לרכוש ואת העובדה שבסופו של דבר לא יצאה העסקה אל הפועל, מהווים כל אלה עילה לקבוע את מתחם העונש ההולם באופן שבו יהיו טווחי הענישה הראויים כאלה התוחמים עונש מקל ביחס למקובל בעבירות מסוג זה.</w:t>
      </w:r>
    </w:p>
    <w:p w14:paraId="7366A985" w14:textId="77777777" w:rsidR="00A9379F" w:rsidRDefault="00A9379F" w:rsidP="00A9379F">
      <w:pPr>
        <w:spacing w:line="360" w:lineRule="auto"/>
        <w:jc w:val="both"/>
        <w:rPr>
          <w:rtl/>
        </w:rPr>
      </w:pPr>
    </w:p>
    <w:p w14:paraId="4482491B" w14:textId="77777777" w:rsidR="00A9379F" w:rsidRDefault="00A9379F" w:rsidP="00A9379F">
      <w:pPr>
        <w:spacing w:line="360" w:lineRule="auto"/>
        <w:rPr>
          <w:u w:val="single"/>
          <w:rtl/>
        </w:rPr>
      </w:pPr>
      <w:r>
        <w:rPr>
          <w:u w:val="single"/>
          <w:rtl/>
        </w:rPr>
        <w:t>נסיבות שאינן קשורות בביצוע העבירה</w:t>
      </w:r>
    </w:p>
    <w:p w14:paraId="553B58F7" w14:textId="77777777" w:rsidR="00A9379F" w:rsidRDefault="00A9379F" w:rsidP="00A9379F">
      <w:pPr>
        <w:spacing w:line="360" w:lineRule="auto"/>
        <w:jc w:val="both"/>
        <w:rPr>
          <w:rtl/>
        </w:rPr>
      </w:pPr>
      <w:r w:rsidRPr="0050680D">
        <w:rPr>
          <w:rFonts w:hint="cs"/>
          <w:rtl/>
        </w:rPr>
        <w:t xml:space="preserve">יש להביא בחשבון </w:t>
      </w:r>
      <w:r>
        <w:rPr>
          <w:rFonts w:hint="cs"/>
          <w:rtl/>
        </w:rPr>
        <w:t>במקרה זה שמדובר בצעיר ללא עבר פלילי, אשר כשל לראשונה בחייו. הוא עובד עבודה סדירה, בעל משפחה. במשפחתו מספר בעיות בריאות אשר הוא הגורם המטפל בהן, ובנסיבות אלו יש להביא את הנתונים הנ"ל במסגרת מכלול השיקולים.</w:t>
      </w:r>
    </w:p>
    <w:p w14:paraId="60D0D27F" w14:textId="77777777" w:rsidR="00A9379F" w:rsidRDefault="00A9379F" w:rsidP="00A9379F">
      <w:pPr>
        <w:spacing w:line="360" w:lineRule="auto"/>
        <w:jc w:val="both"/>
        <w:rPr>
          <w:rtl/>
        </w:rPr>
      </w:pPr>
    </w:p>
    <w:p w14:paraId="46283903" w14:textId="77777777" w:rsidR="00A9379F" w:rsidRDefault="00A9379F" w:rsidP="00A9379F">
      <w:pPr>
        <w:spacing w:line="360" w:lineRule="auto"/>
        <w:rPr>
          <w:u w:val="single"/>
          <w:rtl/>
        </w:rPr>
      </w:pPr>
      <w:r>
        <w:rPr>
          <w:u w:val="single"/>
          <w:rtl/>
        </w:rPr>
        <w:t>מתחם העונש ההולם</w:t>
      </w:r>
    </w:p>
    <w:p w14:paraId="102010FE" w14:textId="77777777" w:rsidR="00A9379F" w:rsidRPr="0050680D" w:rsidRDefault="00A9379F" w:rsidP="00A9379F">
      <w:pPr>
        <w:spacing w:line="360" w:lineRule="auto"/>
        <w:jc w:val="both"/>
        <w:rPr>
          <w:rtl/>
        </w:rPr>
      </w:pPr>
      <w:r>
        <w:rPr>
          <w:rFonts w:hint="cs"/>
          <w:rtl/>
        </w:rPr>
        <w:t>במקרה שבפני, סבור אני כי מתחם העונש ההולם נע בין עונש של מאסר קצר בעבודות שירות לבין עונש של 10 חודשי מאסר לריצוי בפועל. מאחר ומדובר בעבירות בנשק, סבור אני כי המתחם חייב לכלול גם מאסר של ממש לריצוי בפועל, הגם שלתקופה שאינה ארוכה. עם זאת, נסיבותיו של המקרה, כפי שפורטו לעיל, מובילות לתוצאה סופית שהיא בגבול התחתון של מתחם הענישה.</w:t>
      </w:r>
    </w:p>
    <w:p w14:paraId="39389F24" w14:textId="77777777" w:rsidR="00A9379F" w:rsidRPr="002B44B6" w:rsidRDefault="00A9379F" w:rsidP="00A9379F">
      <w:pPr>
        <w:spacing w:line="360" w:lineRule="auto"/>
        <w:jc w:val="both"/>
        <w:rPr>
          <w:rtl/>
        </w:rPr>
      </w:pPr>
    </w:p>
    <w:p w14:paraId="4C3DEAC4" w14:textId="77777777" w:rsidR="00A9379F" w:rsidRDefault="00A9379F" w:rsidP="00A9379F">
      <w:pPr>
        <w:spacing w:line="360" w:lineRule="auto"/>
        <w:rPr>
          <w:u w:val="single"/>
          <w:rtl/>
        </w:rPr>
      </w:pPr>
      <w:r>
        <w:rPr>
          <w:u w:val="single"/>
          <w:rtl/>
        </w:rPr>
        <w:t>סטייה מהמתחם ומהעונש ההולם</w:t>
      </w:r>
    </w:p>
    <w:p w14:paraId="7E642E00" w14:textId="77777777" w:rsidR="00A9379F" w:rsidRPr="0050680D" w:rsidRDefault="00A9379F" w:rsidP="00A9379F">
      <w:pPr>
        <w:spacing w:line="360" w:lineRule="auto"/>
        <w:rPr>
          <w:rtl/>
        </w:rPr>
      </w:pPr>
      <w:r>
        <w:rPr>
          <w:rFonts w:hint="cs"/>
          <w:rtl/>
        </w:rPr>
        <w:t>לא מצאתי במקרה זה שהעונש עליו הוסכם חורג ממתחם העונש ההולם, ויוער כבר כעת כי אילולא היה מדובר בהסדר טיעון, גם אז לא היה מקום לחרוג לקולא מעבר להסדר כפי שגובש.</w:t>
      </w:r>
    </w:p>
    <w:p w14:paraId="6445BD2B" w14:textId="77777777" w:rsidR="00A9379F" w:rsidRDefault="00A9379F" w:rsidP="00A9379F">
      <w:pPr>
        <w:spacing w:line="360" w:lineRule="auto"/>
        <w:rPr>
          <w:u w:val="single"/>
          <w:rtl/>
        </w:rPr>
      </w:pPr>
    </w:p>
    <w:p w14:paraId="62770E89" w14:textId="77777777" w:rsidR="00A9379F" w:rsidRDefault="00A9379F" w:rsidP="00A9379F">
      <w:pPr>
        <w:spacing w:line="360" w:lineRule="auto"/>
        <w:rPr>
          <w:u w:val="single"/>
          <w:rtl/>
        </w:rPr>
      </w:pPr>
      <w:r>
        <w:rPr>
          <w:u w:val="single"/>
          <w:rtl/>
        </w:rPr>
        <w:t>קביעת העונש ההולם בתוך המתחם</w:t>
      </w:r>
    </w:p>
    <w:p w14:paraId="0C757789" w14:textId="77777777" w:rsidR="00A9379F" w:rsidRDefault="00A9379F" w:rsidP="00A9379F">
      <w:pPr>
        <w:spacing w:line="360" w:lineRule="auto"/>
        <w:jc w:val="both"/>
        <w:rPr>
          <w:rtl/>
        </w:rPr>
      </w:pPr>
      <w:r>
        <w:rPr>
          <w:rFonts w:hint="cs"/>
          <w:rtl/>
        </w:rPr>
        <w:t>כאמור, העונש המוסכם מצוי בתוך המתחם. בהביאי בחשבון כי מדובר בהסדר טיעון, וזאת על רקע ההלכה הפסוקה לעניין אישורם של הסדרי טיעון, סבור אני כי יש לאשר את העונש כפי שהוסכם בין ב"כ הצדדים.</w:t>
      </w:r>
    </w:p>
    <w:p w14:paraId="11778D7A" w14:textId="77777777" w:rsidR="00A9379F" w:rsidRPr="00151F7B" w:rsidRDefault="00A9379F" w:rsidP="00A9379F">
      <w:pPr>
        <w:spacing w:line="360" w:lineRule="auto"/>
        <w:jc w:val="both"/>
        <w:rPr>
          <w:rtl/>
        </w:rPr>
      </w:pPr>
    </w:p>
    <w:p w14:paraId="327B3878" w14:textId="77777777" w:rsidR="00A9379F" w:rsidRPr="00671EB1" w:rsidRDefault="00A9379F" w:rsidP="00A9379F">
      <w:pPr>
        <w:spacing w:line="360" w:lineRule="auto"/>
        <w:jc w:val="both"/>
        <w:rPr>
          <w:b/>
          <w:bCs/>
          <w:u w:val="single"/>
          <w:rtl/>
        </w:rPr>
      </w:pPr>
      <w:r w:rsidRPr="00671EB1">
        <w:rPr>
          <w:b/>
          <w:bCs/>
          <w:u w:val="single"/>
          <w:rtl/>
        </w:rPr>
        <w:t>סיכום הענישה וגזר הדין</w:t>
      </w:r>
    </w:p>
    <w:p w14:paraId="3C322172" w14:textId="77777777" w:rsidR="00A9379F" w:rsidRDefault="00A9379F" w:rsidP="00A9379F">
      <w:pPr>
        <w:spacing w:line="360" w:lineRule="auto"/>
        <w:jc w:val="both"/>
        <w:rPr>
          <w:rFonts w:ascii="Arial" w:hAnsi="Arial"/>
          <w:noProof w:val="0"/>
          <w:rtl/>
        </w:rPr>
      </w:pPr>
      <w:r>
        <w:rPr>
          <w:rFonts w:ascii="Arial" w:hAnsi="Arial" w:hint="cs"/>
          <w:noProof w:val="0"/>
          <w:rtl/>
        </w:rPr>
        <w:t xml:space="preserve">אני מאשר את הסדר הטיעון עליו הוסכם בין הצדדים. </w:t>
      </w:r>
    </w:p>
    <w:p w14:paraId="6A39E1B0" w14:textId="77777777" w:rsidR="00A9379F" w:rsidRDefault="00A9379F" w:rsidP="00A9379F">
      <w:pPr>
        <w:spacing w:line="360" w:lineRule="auto"/>
        <w:jc w:val="both"/>
        <w:rPr>
          <w:rFonts w:ascii="Arial" w:hAnsi="Arial"/>
          <w:noProof w:val="0"/>
          <w:rtl/>
        </w:rPr>
      </w:pPr>
    </w:p>
    <w:p w14:paraId="4993FD85" w14:textId="77777777" w:rsidR="00A9379F" w:rsidRDefault="00A9379F" w:rsidP="00A9379F">
      <w:pPr>
        <w:spacing w:line="360" w:lineRule="auto"/>
        <w:jc w:val="both"/>
        <w:rPr>
          <w:rFonts w:ascii="Arial" w:hAnsi="Arial"/>
          <w:noProof w:val="0"/>
          <w:rtl/>
        </w:rPr>
      </w:pPr>
      <w:r>
        <w:rPr>
          <w:rFonts w:ascii="Arial" w:hAnsi="Arial" w:hint="cs"/>
          <w:noProof w:val="0"/>
          <w:rtl/>
        </w:rPr>
        <w:t>אני גוזר על הנאשם שמונה (8) חודשי מאסר, מהם שני (2) חודשי מאסר לריצוי בפועל ושישה (6)  חודשי מאסר על תנאי. התנאי הוא שהנאשם לא יעבור העבירה שבה הורשע וכן כל עבירה בנשק, ויורשע בגינה, וזאת בתוך 3 שנים.</w:t>
      </w:r>
    </w:p>
    <w:p w14:paraId="4D71B653" w14:textId="77777777" w:rsidR="00A9379F" w:rsidRDefault="00A9379F" w:rsidP="00A9379F">
      <w:pPr>
        <w:spacing w:line="360" w:lineRule="auto"/>
        <w:jc w:val="both"/>
        <w:rPr>
          <w:rFonts w:ascii="Arial" w:hAnsi="Arial"/>
          <w:noProof w:val="0"/>
          <w:rtl/>
        </w:rPr>
      </w:pPr>
    </w:p>
    <w:p w14:paraId="1E6C7448" w14:textId="77777777" w:rsidR="00A9379F" w:rsidRDefault="00A9379F" w:rsidP="00A9379F">
      <w:pPr>
        <w:bidi w:val="0"/>
        <w:rPr>
          <w:rFonts w:ascii="Arial" w:hAnsi="Arial"/>
          <w:noProof w:val="0"/>
          <w:rtl/>
        </w:rPr>
      </w:pPr>
      <w:r>
        <w:rPr>
          <w:rFonts w:ascii="Arial" w:hAnsi="Arial"/>
          <w:noProof w:val="0"/>
          <w:rtl/>
        </w:rPr>
        <w:br w:type="page"/>
      </w:r>
    </w:p>
    <w:p w14:paraId="41B5B7BC" w14:textId="77777777" w:rsidR="00A9379F" w:rsidRDefault="00A9379F" w:rsidP="00A9379F">
      <w:pPr>
        <w:spacing w:line="360" w:lineRule="auto"/>
        <w:jc w:val="both"/>
        <w:rPr>
          <w:rFonts w:ascii="Arial" w:hAnsi="Arial"/>
          <w:noProof w:val="0"/>
          <w:rtl/>
        </w:rPr>
      </w:pPr>
      <w:r>
        <w:rPr>
          <w:rFonts w:ascii="Arial" w:hAnsi="Arial" w:hint="cs"/>
          <w:noProof w:val="0"/>
          <w:rtl/>
        </w:rPr>
        <w:t>אני מורה כי הנאשם ירצה את שני חודשי המאסר שנגזר עליו, בעבודות שירות במרכז שיקום מגדל העמק, שכתובתו האצטדיון 1 מגדל העמק.</w:t>
      </w:r>
    </w:p>
    <w:p w14:paraId="73568F5F" w14:textId="77777777" w:rsidR="00A9379F" w:rsidRDefault="00A9379F" w:rsidP="00A9379F">
      <w:pPr>
        <w:spacing w:line="360" w:lineRule="auto"/>
        <w:jc w:val="both"/>
        <w:rPr>
          <w:rFonts w:ascii="Arial" w:hAnsi="Arial"/>
          <w:noProof w:val="0"/>
          <w:rtl/>
        </w:rPr>
      </w:pPr>
    </w:p>
    <w:p w14:paraId="5AC714D0" w14:textId="77777777" w:rsidR="00A9379F" w:rsidRDefault="00A9379F" w:rsidP="00A9379F">
      <w:pPr>
        <w:spacing w:line="360" w:lineRule="auto"/>
        <w:jc w:val="both"/>
        <w:rPr>
          <w:rFonts w:ascii="Arial" w:hAnsi="Arial"/>
          <w:noProof w:val="0"/>
          <w:rtl/>
        </w:rPr>
      </w:pPr>
      <w:r>
        <w:rPr>
          <w:rFonts w:ascii="Arial" w:hAnsi="Arial" w:hint="cs"/>
          <w:noProof w:val="0"/>
          <w:rtl/>
        </w:rPr>
        <w:t>הובהר לנאשם כי אם יפר את הוראות המעסיק ו/או הוראות הממונה על עבודות השירות וכן אם יבצע עבירה נוספת כלשהי בתקופת ריצוי עבודות השירות, כי אז ניתן יהיה להפקיע את עבודות השירות באופן שבו יהיה על הנאשם לרצות את תקופת המאסר כמאסר בפועל במתקן כליאה.</w:t>
      </w:r>
    </w:p>
    <w:p w14:paraId="22765F95" w14:textId="77777777" w:rsidR="00A9379F" w:rsidRDefault="00A9379F" w:rsidP="00A9379F">
      <w:pPr>
        <w:spacing w:line="360" w:lineRule="auto"/>
        <w:jc w:val="both"/>
        <w:rPr>
          <w:rFonts w:ascii="Arial" w:hAnsi="Arial"/>
          <w:noProof w:val="0"/>
          <w:rtl/>
        </w:rPr>
      </w:pPr>
    </w:p>
    <w:p w14:paraId="323D9FCF" w14:textId="77777777" w:rsidR="00A9379F" w:rsidRDefault="00A9379F" w:rsidP="00A9379F">
      <w:pPr>
        <w:spacing w:line="360" w:lineRule="auto"/>
        <w:jc w:val="both"/>
        <w:rPr>
          <w:rtl/>
        </w:rPr>
      </w:pPr>
      <w:r>
        <w:rPr>
          <w:rFonts w:hint="cs"/>
          <w:rtl/>
        </w:rPr>
        <w:t xml:space="preserve">הנאשם יתייצב לריצוי עבודות השירות ביום 2.8.15 בשעה 8:00 </w:t>
      </w:r>
      <w:r w:rsidRPr="00D812F4">
        <w:rPr>
          <w:rFonts w:hint="cs"/>
          <w:b/>
          <w:bCs/>
          <w:rtl/>
        </w:rPr>
        <w:t>במפקדת עבודות השירות, בימ"ר עמקים המצוי במתחם תחנת משטרת טבריה</w:t>
      </w:r>
      <w:r w:rsidRPr="001C4125">
        <w:rPr>
          <w:rFonts w:hint="cs"/>
          <w:rtl/>
        </w:rPr>
        <w:t xml:space="preserve"> בכתובת</w:t>
      </w:r>
      <w:r>
        <w:rPr>
          <w:rFonts w:hint="cs"/>
          <w:rtl/>
        </w:rPr>
        <w:t xml:space="preserve"> </w:t>
      </w:r>
      <w:r w:rsidRPr="001C4125">
        <w:rPr>
          <w:rFonts w:hint="cs"/>
          <w:rtl/>
        </w:rPr>
        <w:t>דרך הציונות 14 טבריה</w:t>
      </w:r>
      <w:r>
        <w:rPr>
          <w:rFonts w:hint="cs"/>
          <w:rtl/>
        </w:rPr>
        <w:t xml:space="preserve">. טלפונים: </w:t>
      </w:r>
      <w:r>
        <w:rPr>
          <w:rtl/>
        </w:rPr>
        <w:br/>
      </w:r>
      <w:r w:rsidRPr="001C4125">
        <w:rPr>
          <w:rFonts w:hint="cs"/>
          <w:rtl/>
        </w:rPr>
        <w:t>04-6728405, 04-6728421, 08-9775099</w:t>
      </w:r>
      <w:r>
        <w:rPr>
          <w:rFonts w:hint="cs"/>
          <w:rtl/>
        </w:rPr>
        <w:t>.</w:t>
      </w:r>
      <w:r w:rsidRPr="001C4125">
        <w:rPr>
          <w:rFonts w:hint="cs"/>
          <w:rtl/>
        </w:rPr>
        <w:t xml:space="preserve"> </w:t>
      </w:r>
    </w:p>
    <w:p w14:paraId="0128A963" w14:textId="77777777" w:rsidR="00A9379F" w:rsidRDefault="00A9379F" w:rsidP="00A9379F">
      <w:pPr>
        <w:spacing w:line="360" w:lineRule="auto"/>
        <w:jc w:val="both"/>
        <w:rPr>
          <w:rtl/>
        </w:rPr>
      </w:pPr>
    </w:p>
    <w:p w14:paraId="0FF6DEA2" w14:textId="77777777" w:rsidR="00A9379F" w:rsidRPr="00D812F4" w:rsidRDefault="00A9379F" w:rsidP="00A9379F">
      <w:pPr>
        <w:spacing w:line="360" w:lineRule="auto"/>
        <w:jc w:val="both"/>
      </w:pPr>
      <w:r>
        <w:rPr>
          <w:rFonts w:hint="cs"/>
          <w:rtl/>
        </w:rPr>
        <w:t>על הנאשם להיות בקשר עם המפקח האחראי, כלאי זינו מאיר, טלפון 050-6279227.</w:t>
      </w:r>
    </w:p>
    <w:p w14:paraId="0CC7B204" w14:textId="77777777" w:rsidR="00A9379F" w:rsidRDefault="00A9379F" w:rsidP="00A9379F">
      <w:pPr>
        <w:spacing w:line="360" w:lineRule="auto"/>
        <w:jc w:val="both"/>
        <w:rPr>
          <w:rFonts w:ascii="Arial" w:hAnsi="Arial"/>
          <w:noProof w:val="0"/>
          <w:rtl/>
        </w:rPr>
      </w:pPr>
    </w:p>
    <w:p w14:paraId="6404F52B" w14:textId="77777777" w:rsidR="00A9379F" w:rsidRPr="006076E8" w:rsidRDefault="00A9379F" w:rsidP="00A9379F">
      <w:pPr>
        <w:spacing w:line="360" w:lineRule="auto"/>
        <w:jc w:val="both"/>
        <w:rPr>
          <w:rtl/>
        </w:rPr>
      </w:pPr>
      <w:r>
        <w:rPr>
          <w:rFonts w:ascii="Arial" w:hAnsi="Arial" w:hint="cs"/>
          <w:b/>
          <w:bCs/>
          <w:noProof w:val="0"/>
          <w:u w:val="single"/>
          <w:rtl/>
        </w:rPr>
        <w:t>זכות ערעור לבית המשפט העליון תוך 45 ימים</w:t>
      </w:r>
      <w:r>
        <w:rPr>
          <w:rFonts w:hint="cs"/>
          <w:rtl/>
        </w:rPr>
        <w:t>.</w:t>
      </w:r>
    </w:p>
    <w:p w14:paraId="2D3E4D2C" w14:textId="77777777" w:rsidR="00A9379F" w:rsidRPr="00C3580C" w:rsidRDefault="00C3580C" w:rsidP="00A9379F">
      <w:pPr>
        <w:spacing w:line="360" w:lineRule="auto"/>
        <w:jc w:val="both"/>
        <w:rPr>
          <w:rFonts w:ascii="Arial" w:hAnsi="Arial"/>
          <w:noProof w:val="0"/>
          <w:color w:val="FFFFFF"/>
          <w:sz w:val="2"/>
          <w:szCs w:val="2"/>
          <w:rtl/>
        </w:rPr>
      </w:pPr>
      <w:r w:rsidRPr="00C3580C">
        <w:rPr>
          <w:rFonts w:ascii="Arial" w:hAnsi="Arial"/>
          <w:noProof w:val="0"/>
          <w:color w:val="FFFFFF"/>
          <w:sz w:val="2"/>
          <w:szCs w:val="2"/>
          <w:rtl/>
        </w:rPr>
        <w:t>5129371</w:t>
      </w:r>
    </w:p>
    <w:tbl>
      <w:tblPr>
        <w:bidiVisual/>
        <w:tblW w:w="0" w:type="auto"/>
        <w:jc w:val="right"/>
        <w:tblLook w:val="01E0" w:firstRow="1" w:lastRow="1" w:firstColumn="1" w:lastColumn="1" w:noHBand="0" w:noVBand="0"/>
      </w:tblPr>
      <w:tblGrid>
        <w:gridCol w:w="2834"/>
      </w:tblGrid>
      <w:tr w:rsidR="00A9379F" w14:paraId="4BDA116B" w14:textId="77777777">
        <w:trPr>
          <w:jc w:val="right"/>
        </w:trPr>
        <w:tc>
          <w:tcPr>
            <w:tcW w:w="2834" w:type="dxa"/>
            <w:tcBorders>
              <w:top w:val="nil"/>
              <w:left w:val="nil"/>
              <w:bottom w:val="single" w:sz="4" w:space="0" w:color="auto"/>
              <w:right w:val="nil"/>
            </w:tcBorders>
            <w:shd w:val="clear" w:color="auto" w:fill="auto"/>
            <w:vAlign w:val="center"/>
          </w:tcPr>
          <w:p w14:paraId="4A236B59" w14:textId="77777777" w:rsidR="00A9379F" w:rsidRPr="003C3874" w:rsidRDefault="00C3580C" w:rsidP="00C3580C">
            <w:pPr>
              <w:jc w:val="center"/>
              <w:rPr>
                <w:rFonts w:ascii="Courier New" w:hAnsi="Courier New"/>
                <w:b/>
                <w:bCs/>
              </w:rPr>
            </w:pPr>
            <w:r w:rsidRPr="00C3580C">
              <w:rPr>
                <w:rFonts w:ascii="Arial" w:hAnsi="Arial"/>
                <w:noProof w:val="0"/>
                <w:color w:val="FFFFFF"/>
                <w:sz w:val="2"/>
                <w:szCs w:val="2"/>
                <w:rtl/>
              </w:rPr>
              <w:t>54678313</w:t>
            </w:r>
            <w:r>
              <w:rPr>
                <w:rFonts w:ascii="Arial" w:hAnsi="Arial"/>
                <w:noProof w:val="0"/>
                <w:rtl/>
              </w:rPr>
              <w:t xml:space="preserve">ניתן היום,  ח' סיוון תשע"ה, 26 מאי 2015, במעמד הצדדים ובאי כוחם. </w:t>
            </w:r>
          </w:p>
        </w:tc>
      </w:tr>
      <w:tr w:rsidR="00A9379F" w14:paraId="7B525B23" w14:textId="77777777">
        <w:trPr>
          <w:jc w:val="right"/>
        </w:trPr>
        <w:tc>
          <w:tcPr>
            <w:tcW w:w="2834" w:type="dxa"/>
            <w:tcBorders>
              <w:top w:val="single" w:sz="4" w:space="0" w:color="auto"/>
              <w:left w:val="nil"/>
              <w:bottom w:val="nil"/>
              <w:right w:val="nil"/>
            </w:tcBorders>
            <w:shd w:val="clear" w:color="auto" w:fill="auto"/>
          </w:tcPr>
          <w:p w14:paraId="07DB18C8" w14:textId="77777777" w:rsidR="00A9379F" w:rsidRPr="003C3874" w:rsidRDefault="00A9379F" w:rsidP="00C3580C">
            <w:pPr>
              <w:jc w:val="center"/>
              <w:rPr>
                <w:b/>
                <w:bCs/>
                <w:sz w:val="28"/>
              </w:rPr>
            </w:pPr>
            <w:r w:rsidRPr="003C3874">
              <w:rPr>
                <w:rFonts w:hint="cs"/>
                <w:b/>
                <w:bCs/>
                <w:sz w:val="28"/>
                <w:rtl/>
              </w:rPr>
              <w:t>ר' שפירא, ס. נשיא</w:t>
            </w:r>
          </w:p>
        </w:tc>
      </w:tr>
    </w:tbl>
    <w:p w14:paraId="217F4D8B" w14:textId="77777777" w:rsidR="00A9379F" w:rsidRPr="00045037" w:rsidRDefault="00045037" w:rsidP="00A9379F">
      <w:pPr>
        <w:spacing w:line="360" w:lineRule="auto"/>
        <w:jc w:val="both"/>
        <w:rPr>
          <w:rFonts w:ascii="Arial" w:hAnsi="Arial"/>
          <w:noProof w:val="0"/>
          <w:color w:val="FFFFFF"/>
          <w:sz w:val="2"/>
          <w:szCs w:val="2"/>
          <w:rtl/>
        </w:rPr>
      </w:pPr>
      <w:r w:rsidRPr="00045037">
        <w:rPr>
          <w:rFonts w:ascii="Arial" w:hAnsi="Arial"/>
          <w:noProof w:val="0"/>
          <w:color w:val="FFFFFF"/>
          <w:sz w:val="2"/>
          <w:szCs w:val="2"/>
          <w:rtl/>
        </w:rPr>
        <w:t>5129371</w:t>
      </w:r>
    </w:p>
    <w:p w14:paraId="2BCEA2D7" w14:textId="77777777" w:rsidR="00C3580C" w:rsidRPr="00045037" w:rsidRDefault="00045037" w:rsidP="00C3580C">
      <w:pPr>
        <w:keepNext/>
        <w:rPr>
          <w:rFonts w:ascii="David" w:hAnsi="David"/>
          <w:color w:val="FFFFFF"/>
          <w:sz w:val="2"/>
          <w:szCs w:val="2"/>
          <w:rtl/>
        </w:rPr>
      </w:pPr>
      <w:r w:rsidRPr="00045037">
        <w:rPr>
          <w:rFonts w:ascii="David" w:hAnsi="David"/>
          <w:color w:val="FFFFFF"/>
          <w:sz w:val="2"/>
          <w:szCs w:val="2"/>
          <w:rtl/>
        </w:rPr>
        <w:t>54678313</w:t>
      </w:r>
    </w:p>
    <w:p w14:paraId="3149E7AD" w14:textId="77777777" w:rsidR="00C3580C" w:rsidRDefault="00C3580C" w:rsidP="00C3580C">
      <w:r w:rsidRPr="00C3580C">
        <w:rPr>
          <w:color w:val="000000"/>
          <w:rtl/>
        </w:rPr>
        <w:t>נוסח מסמך זה כפוף לשינויי ניסוח ועריכה</w:t>
      </w:r>
    </w:p>
    <w:p w14:paraId="7B499BF4" w14:textId="77777777" w:rsidR="00C3580C" w:rsidRDefault="00C3580C" w:rsidP="00C3580C">
      <w:pPr>
        <w:rPr>
          <w:rtl/>
        </w:rPr>
      </w:pPr>
    </w:p>
    <w:p w14:paraId="51F0E41D" w14:textId="77777777" w:rsidR="00C3580C" w:rsidRDefault="00C3580C" w:rsidP="00C3580C">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216C0BC5" w14:textId="77777777" w:rsidR="00045037" w:rsidRPr="00045037" w:rsidRDefault="00045037" w:rsidP="00045037">
      <w:pPr>
        <w:keepNext/>
        <w:rPr>
          <w:rFonts w:ascii="David" w:hAnsi="David"/>
          <w:color w:val="000000"/>
          <w:sz w:val="22"/>
          <w:szCs w:val="22"/>
          <w:rtl/>
        </w:rPr>
      </w:pPr>
    </w:p>
    <w:p w14:paraId="490C593C" w14:textId="77777777" w:rsidR="00045037" w:rsidRPr="00045037" w:rsidRDefault="00045037" w:rsidP="00045037">
      <w:pPr>
        <w:keepNext/>
        <w:rPr>
          <w:rFonts w:ascii="David" w:hAnsi="David" w:hint="cs"/>
          <w:color w:val="000000"/>
          <w:sz w:val="22"/>
          <w:szCs w:val="22"/>
          <w:rtl/>
        </w:rPr>
      </w:pPr>
      <w:r w:rsidRPr="00045037">
        <w:rPr>
          <w:rFonts w:ascii="David" w:hAnsi="David"/>
          <w:color w:val="000000"/>
          <w:sz w:val="22"/>
          <w:szCs w:val="22"/>
          <w:rtl/>
        </w:rPr>
        <w:t>רון שפירא 54678313-/</w:t>
      </w:r>
      <w:r w:rsidR="00080E9D">
        <w:rPr>
          <w:rFonts w:ascii="David" w:hAnsi="David" w:hint="cs"/>
          <w:color w:val="000000"/>
          <w:sz w:val="22"/>
          <w:szCs w:val="22"/>
          <w:rtl/>
        </w:rPr>
        <w:t xml:space="preserve">  </w:t>
      </w:r>
    </w:p>
    <w:sectPr w:rsidR="00045037" w:rsidRPr="00045037" w:rsidSect="00045037">
      <w:headerReference w:type="even" r:id="rId14"/>
      <w:headerReference w:type="default" r:id="rId15"/>
      <w:footerReference w:type="even" r:id="rId16"/>
      <w:footerReference w:type="default" r:id="rId17"/>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CF5BF" w14:textId="77777777" w:rsidR="004C2AE0" w:rsidRPr="000C331B" w:rsidRDefault="004C2AE0">
      <w:pPr>
        <w:rPr>
          <w:rFonts w:cs="Arial"/>
          <w:szCs w:val="20"/>
        </w:rPr>
      </w:pPr>
      <w:r>
        <w:separator/>
      </w:r>
    </w:p>
  </w:endnote>
  <w:endnote w:type="continuationSeparator" w:id="0">
    <w:p w14:paraId="2797F3C8" w14:textId="77777777" w:rsidR="004C2AE0" w:rsidRPr="000C331B" w:rsidRDefault="004C2AE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BFC9E" w14:textId="77777777" w:rsidR="004C2AE0" w:rsidRDefault="004C2AE0" w:rsidP="0004503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5E7236D" w14:textId="77777777" w:rsidR="004C2AE0" w:rsidRPr="00045037" w:rsidRDefault="004C2AE0" w:rsidP="00045037">
    <w:pPr>
      <w:pStyle w:val="a5"/>
      <w:pBdr>
        <w:top w:val="single" w:sz="4" w:space="1" w:color="auto"/>
        <w:between w:val="single" w:sz="4" w:space="0" w:color="auto"/>
      </w:pBdr>
      <w:spacing w:after="60"/>
      <w:jc w:val="center"/>
      <w:rPr>
        <w:rFonts w:ascii="FrankRuehl" w:hAnsi="FrankRuehl" w:cs="FrankRuehl"/>
        <w:color w:val="000000"/>
      </w:rPr>
    </w:pPr>
    <w:r w:rsidRPr="000450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5E906" w14:textId="77777777" w:rsidR="004C2AE0" w:rsidRDefault="004C2AE0" w:rsidP="00045037">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D65D1F">
      <w:rPr>
        <w:rStyle w:val="a6"/>
        <w:rFonts w:ascii="FrankRuehl" w:hAnsi="FrankRuehl" w:cs="FrankRuehl"/>
        <w:rtl/>
      </w:rPr>
      <w:t>1</w:t>
    </w:r>
    <w:r>
      <w:rPr>
        <w:rStyle w:val="a6"/>
        <w:rFonts w:ascii="FrankRuehl" w:hAnsi="FrankRuehl" w:cs="FrankRuehl"/>
        <w:rtl/>
      </w:rPr>
      <w:fldChar w:fldCharType="end"/>
    </w:r>
  </w:p>
  <w:p w14:paraId="38A9597B" w14:textId="77777777" w:rsidR="004C2AE0" w:rsidRPr="00045037" w:rsidRDefault="004C2AE0" w:rsidP="00045037">
    <w:pPr>
      <w:pStyle w:val="a5"/>
      <w:pBdr>
        <w:top w:val="single" w:sz="4" w:space="1" w:color="auto"/>
        <w:between w:val="single" w:sz="4" w:space="0" w:color="auto"/>
      </w:pBdr>
      <w:spacing w:after="60"/>
      <w:jc w:val="center"/>
      <w:rPr>
        <w:rStyle w:val="a6"/>
        <w:rFonts w:ascii="FrankRuehl" w:hAnsi="FrankRuehl" w:cs="FrankRuehl" w:hint="cs"/>
        <w:color w:val="000000"/>
      </w:rPr>
    </w:pPr>
    <w:r w:rsidRPr="00045037">
      <w:rPr>
        <w:rStyle w:val="a6"/>
        <w:rFonts w:ascii="FrankRuehl" w:hAnsi="FrankRuehl" w:cs="FrankRuehl" w:hint="cs"/>
        <w:color w:val="000000"/>
      </w:rPr>
      <w:pict w14:anchorId="4B9ED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AEA14" w14:textId="77777777" w:rsidR="004C2AE0" w:rsidRPr="000C331B" w:rsidRDefault="004C2AE0">
      <w:pPr>
        <w:rPr>
          <w:rFonts w:cs="Arial"/>
          <w:szCs w:val="20"/>
        </w:rPr>
      </w:pPr>
      <w:r>
        <w:separator/>
      </w:r>
    </w:p>
  </w:footnote>
  <w:footnote w:type="continuationSeparator" w:id="0">
    <w:p w14:paraId="350F2D25" w14:textId="77777777" w:rsidR="004C2AE0" w:rsidRPr="000C331B" w:rsidRDefault="004C2AE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BBE11" w14:textId="77777777" w:rsidR="004C2AE0" w:rsidRPr="00045037" w:rsidRDefault="004C2AE0" w:rsidP="0004503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24181-02-15</w:t>
    </w:r>
    <w:r>
      <w:rPr>
        <w:rFonts w:ascii="David" w:hAnsi="David"/>
        <w:color w:val="000000"/>
        <w:sz w:val="22"/>
        <w:szCs w:val="22"/>
        <w:rtl/>
      </w:rPr>
      <w:tab/>
      <w:t xml:space="preserve"> מדינת ישראל - המחלקה לחקירות שוטרים נ' עמאר אבו ראס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8FB28" w14:textId="77777777" w:rsidR="004C2AE0" w:rsidRPr="00045037" w:rsidRDefault="004C2AE0" w:rsidP="0004503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24181-02-15</w:t>
    </w:r>
    <w:r>
      <w:rPr>
        <w:rFonts w:ascii="David" w:hAnsi="David"/>
        <w:color w:val="000000"/>
        <w:sz w:val="22"/>
        <w:szCs w:val="22"/>
        <w:rtl/>
      </w:rPr>
      <w:tab/>
      <w:t xml:space="preserve"> מדינת ישראל - המחלקה לחקירות שוטרים נ' עמאר אבו ראס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379F"/>
    <w:rsid w:val="00045037"/>
    <w:rsid w:val="00057C48"/>
    <w:rsid w:val="00080E9D"/>
    <w:rsid w:val="000D6CD5"/>
    <w:rsid w:val="002274D9"/>
    <w:rsid w:val="00257EB9"/>
    <w:rsid w:val="00394FDB"/>
    <w:rsid w:val="003A634F"/>
    <w:rsid w:val="00460AC8"/>
    <w:rsid w:val="004C2AE0"/>
    <w:rsid w:val="00611770"/>
    <w:rsid w:val="007D56A1"/>
    <w:rsid w:val="00970F01"/>
    <w:rsid w:val="00A2511E"/>
    <w:rsid w:val="00A9379F"/>
    <w:rsid w:val="00A9398A"/>
    <w:rsid w:val="00B43ECC"/>
    <w:rsid w:val="00BD570E"/>
    <w:rsid w:val="00BE5FE4"/>
    <w:rsid w:val="00C3580C"/>
    <w:rsid w:val="00D65D1F"/>
    <w:rsid w:val="00E82B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3FE70B"/>
  <w15:chartTrackingRefBased/>
  <w15:docId w15:val="{497EB948-14C2-4C83-AE65-3AC9C646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379F"/>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9379F"/>
  </w:style>
  <w:style w:type="paragraph" w:styleId="a4">
    <w:name w:val="header"/>
    <w:basedOn w:val="a"/>
    <w:rsid w:val="00A9379F"/>
    <w:pPr>
      <w:tabs>
        <w:tab w:val="center" w:pos="4153"/>
        <w:tab w:val="right" w:pos="8306"/>
      </w:tabs>
    </w:pPr>
  </w:style>
  <w:style w:type="paragraph" w:styleId="a5">
    <w:name w:val="footer"/>
    <w:basedOn w:val="a"/>
    <w:rsid w:val="00A9379F"/>
    <w:pPr>
      <w:tabs>
        <w:tab w:val="center" w:pos="4153"/>
        <w:tab w:val="right" w:pos="8306"/>
      </w:tabs>
    </w:pPr>
  </w:style>
  <w:style w:type="character" w:styleId="a6">
    <w:name w:val="page number"/>
    <w:basedOn w:val="a0"/>
    <w:rsid w:val="00A9379F"/>
  </w:style>
  <w:style w:type="character" w:styleId="Hyperlink">
    <w:name w:val="Hyperlink"/>
    <w:rsid w:val="00C358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25" TargetMode="External"/><Relationship Id="rId12" Type="http://schemas.openxmlformats.org/officeDocument/2006/relationships/hyperlink" Target="http://www.nevo.co.il/law/70301"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25"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1042</Words>
  <Characters>5215</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6245</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2025-01-19T15:59:00Z</dcterms:created>
  <dcterms:modified xsi:type="dcterms:W3CDTF">2025-01-19T15:59:00Z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24181</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 - המחלקה לחקירות שוטרים</vt:lpwstr>
  </property>
  <property fmtid="{D5CDD505-2E9C-101B-9397-08002B2CF9AE}" pid="9" name="APPELLEE">
    <vt:lpwstr>עמאר אבו ראס</vt:lpwstr>
  </property>
  <property fmtid="{D5CDD505-2E9C-101B-9397-08002B2CF9AE}" pid="10" name="LAWYER">
    <vt:lpwstr>יוסף שלבי</vt:lpwstr>
  </property>
  <property fmtid="{D5CDD505-2E9C-101B-9397-08002B2CF9AE}" pid="11" name="JUDGE">
    <vt:lpwstr>רון שפירא</vt:lpwstr>
  </property>
  <property fmtid="{D5CDD505-2E9C-101B-9397-08002B2CF9AE}" pid="12" name="CITY">
    <vt:lpwstr>חי'</vt:lpwstr>
  </property>
  <property fmtid="{D5CDD505-2E9C-101B-9397-08002B2CF9AE}" pid="13" name="DATE">
    <vt:lpwstr>20150526</vt:lpwstr>
  </property>
  <property fmtid="{D5CDD505-2E9C-101B-9397-08002B2CF9AE}" pid="14" name="TYPE_N_DATE">
    <vt:lpwstr>39020150526</vt:lpwstr>
  </property>
  <property fmtid="{D5CDD505-2E9C-101B-9397-08002B2CF9AE}" pid="15" name="WORDNUMPAGES">
    <vt:lpwstr>5</vt:lpwstr>
  </property>
  <property fmtid="{D5CDD505-2E9C-101B-9397-08002B2CF9AE}" pid="16" name="TYPE_ABS_DATE">
    <vt:lpwstr>390020150526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70301/144.a;025</vt:lpwstr>
  </property>
</Properties>
</file>