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60"/>
        <w:gridCol w:w="3661"/>
      </w:tblGrid>
      <w:tr w:rsidR="007F18B9" w:rsidRPr="008C50B6" w14:paraId="5F2BE849" w14:textId="77777777">
        <w:trPr>
          <w:trHeight w:hRule="exact" w:val="418"/>
          <w:jc w:val="center"/>
        </w:trPr>
        <w:tc>
          <w:tcPr>
            <w:tcW w:w="8721" w:type="dxa"/>
            <w:gridSpan w:val="2"/>
          </w:tcPr>
          <w:p w14:paraId="3F70A30C" w14:textId="77777777" w:rsidR="007F18B9" w:rsidRPr="008C50B6" w:rsidRDefault="008C50B6">
            <w:pPr>
              <w:pStyle w:val="a3"/>
              <w:jc w:val="center"/>
              <w:rPr>
                <w:rFonts w:ascii="Tahoma" w:hAnsi="Tahoma" w:cs="Tahoma"/>
                <w:color w:val="000080"/>
                <w:rtl/>
              </w:rPr>
            </w:pPr>
            <w:bookmarkStart w:id="0" w:name="LastJudge"/>
            <w:r w:rsidRPr="008C50B6">
              <w:rPr>
                <w:rFonts w:ascii="Tahoma" w:hAnsi="Tahoma" w:cs="Tahoma"/>
                <w:b/>
                <w:bCs/>
                <w:color w:val="000080"/>
                <w:rtl/>
              </w:rPr>
              <w:t>בית המשפט המחוזי בחיפה</w:t>
            </w:r>
          </w:p>
        </w:tc>
      </w:tr>
      <w:tr w:rsidR="007F18B9" w:rsidRPr="008C50B6" w14:paraId="55FFECF2" w14:textId="77777777">
        <w:trPr>
          <w:trHeight w:val="337"/>
          <w:jc w:val="center"/>
        </w:trPr>
        <w:tc>
          <w:tcPr>
            <w:tcW w:w="5060" w:type="dxa"/>
          </w:tcPr>
          <w:p w14:paraId="327B2C0F" w14:textId="77777777" w:rsidR="007F18B9" w:rsidRPr="008C50B6" w:rsidRDefault="008C50B6">
            <w:pPr>
              <w:rPr>
                <w:rFonts w:cs="FrankRuehl"/>
                <w:sz w:val="28"/>
                <w:szCs w:val="28"/>
                <w:rtl/>
              </w:rPr>
            </w:pPr>
            <w:r w:rsidRPr="008C50B6">
              <w:rPr>
                <w:rFonts w:cs="FrankRuehl"/>
                <w:sz w:val="28"/>
                <w:szCs w:val="28"/>
                <w:rtl/>
              </w:rPr>
              <w:t>ת"פ</w:t>
            </w:r>
            <w:r w:rsidRPr="008C50B6">
              <w:rPr>
                <w:rFonts w:cs="FrankRuehl" w:hint="cs"/>
                <w:sz w:val="28"/>
                <w:szCs w:val="28"/>
                <w:rtl/>
              </w:rPr>
              <w:t xml:space="preserve"> </w:t>
            </w:r>
            <w:r w:rsidRPr="008C50B6">
              <w:rPr>
                <w:rFonts w:cs="FrankRuehl"/>
                <w:sz w:val="28"/>
                <w:szCs w:val="28"/>
                <w:rtl/>
              </w:rPr>
              <w:t>9111-02-15</w:t>
            </w:r>
            <w:r w:rsidRPr="008C50B6">
              <w:rPr>
                <w:rFonts w:cs="FrankRuehl" w:hint="cs"/>
                <w:sz w:val="28"/>
                <w:szCs w:val="28"/>
                <w:rtl/>
              </w:rPr>
              <w:t xml:space="preserve"> </w:t>
            </w:r>
            <w:r w:rsidRPr="008C50B6">
              <w:rPr>
                <w:rFonts w:cs="FrankRuehl"/>
                <w:sz w:val="28"/>
                <w:szCs w:val="28"/>
                <w:rtl/>
              </w:rPr>
              <w:t>מדינת ישראל נ' חסארמה(עציר)</w:t>
            </w:r>
          </w:p>
          <w:p w14:paraId="3A5618BC" w14:textId="77777777" w:rsidR="007F18B9" w:rsidRPr="008C50B6" w:rsidRDefault="007F18B9">
            <w:pPr>
              <w:pStyle w:val="a3"/>
              <w:rPr>
                <w:rFonts w:cs="FrankRuehl"/>
                <w:sz w:val="28"/>
                <w:szCs w:val="28"/>
                <w:rtl/>
              </w:rPr>
            </w:pPr>
          </w:p>
        </w:tc>
        <w:tc>
          <w:tcPr>
            <w:tcW w:w="3661" w:type="dxa"/>
          </w:tcPr>
          <w:p w14:paraId="13FFC39C" w14:textId="77777777" w:rsidR="007F18B9" w:rsidRPr="008C50B6" w:rsidRDefault="007F18B9">
            <w:pPr>
              <w:pStyle w:val="a3"/>
              <w:jc w:val="right"/>
              <w:rPr>
                <w:rFonts w:cs="FrankRuehl"/>
                <w:sz w:val="28"/>
                <w:szCs w:val="28"/>
                <w:rtl/>
              </w:rPr>
            </w:pPr>
          </w:p>
        </w:tc>
      </w:tr>
    </w:tbl>
    <w:p w14:paraId="5631DF5F" w14:textId="77777777" w:rsidR="007F18B9" w:rsidRPr="008C50B6" w:rsidRDefault="008C50B6">
      <w:pPr>
        <w:pStyle w:val="a3"/>
        <w:rPr>
          <w:rtl/>
        </w:rPr>
      </w:pPr>
      <w:r w:rsidRPr="008C50B6">
        <w:rPr>
          <w:rFonts w:hint="cs"/>
          <w:rtl/>
        </w:rPr>
        <w:t xml:space="preserve"> </w:t>
      </w:r>
    </w:p>
    <w:p w14:paraId="52532916" w14:textId="77777777" w:rsidR="007F18B9" w:rsidRPr="008C50B6" w:rsidRDefault="007F18B9">
      <w:pPr>
        <w:jc w:val="both"/>
        <w:rPr>
          <w:rFonts w:ascii="David" w:hAnsi="David"/>
          <w:rtl/>
        </w:rPr>
      </w:pPr>
    </w:p>
    <w:tbl>
      <w:tblPr>
        <w:bidiVisual/>
        <w:tblW w:w="8802" w:type="dxa"/>
        <w:tblInd w:w="-28" w:type="dxa"/>
        <w:tblLook w:val="01E0" w:firstRow="1" w:lastRow="1" w:firstColumn="1" w:lastColumn="1" w:noHBand="0" w:noVBand="0"/>
      </w:tblPr>
      <w:tblGrid>
        <w:gridCol w:w="2880"/>
        <w:gridCol w:w="5922"/>
      </w:tblGrid>
      <w:tr w:rsidR="007F18B9" w:rsidRPr="008C50B6" w14:paraId="74B3C393" w14:textId="77777777">
        <w:tc>
          <w:tcPr>
            <w:tcW w:w="8719" w:type="dxa"/>
            <w:gridSpan w:val="2"/>
            <w:shd w:val="clear" w:color="auto" w:fill="auto"/>
          </w:tcPr>
          <w:p w14:paraId="5B5C0835" w14:textId="77777777" w:rsidR="007F18B9" w:rsidRPr="008C50B6" w:rsidRDefault="008C50B6">
            <w:pPr>
              <w:spacing w:line="360" w:lineRule="auto"/>
              <w:rPr>
                <w:b/>
                <w:bCs/>
                <w:sz w:val="26"/>
                <w:szCs w:val="26"/>
              </w:rPr>
            </w:pPr>
            <w:r w:rsidRPr="008C50B6">
              <w:rPr>
                <w:rFonts w:hint="cs"/>
                <w:b/>
                <w:bCs/>
                <w:sz w:val="26"/>
                <w:szCs w:val="26"/>
                <w:rtl/>
              </w:rPr>
              <w:t>בפני כב' ה</w:t>
            </w:r>
            <w:r w:rsidRPr="008C50B6">
              <w:rPr>
                <w:rFonts w:hint="cs"/>
                <w:rtl/>
              </w:rPr>
              <w:t>שופט אמיר טובי</w:t>
            </w:r>
            <w:r w:rsidRPr="008C50B6">
              <w:rPr>
                <w:rStyle w:val="TimesNewRomanTimesNewRoman"/>
                <w:rFonts w:hint="cs"/>
                <w:rtl/>
              </w:rPr>
              <w:t xml:space="preserve"> </w:t>
            </w:r>
          </w:p>
        </w:tc>
      </w:tr>
      <w:tr w:rsidR="007F18B9" w:rsidRPr="008C50B6" w14:paraId="71DE1666" w14:textId="77777777">
        <w:tc>
          <w:tcPr>
            <w:tcW w:w="2880" w:type="dxa"/>
            <w:shd w:val="clear" w:color="auto" w:fill="auto"/>
          </w:tcPr>
          <w:p w14:paraId="2F62D4F1" w14:textId="77777777" w:rsidR="007F18B9" w:rsidRPr="008C50B6" w:rsidRDefault="008C50B6">
            <w:pPr>
              <w:ind w:left="26"/>
              <w:rPr>
                <w:b/>
                <w:bCs/>
                <w:sz w:val="26"/>
                <w:szCs w:val="26"/>
              </w:rPr>
            </w:pPr>
            <w:bookmarkStart w:id="1" w:name="FirstAppellant"/>
            <w:r w:rsidRPr="008C50B6">
              <w:rPr>
                <w:rFonts w:hint="cs"/>
                <w:b/>
                <w:bCs/>
                <w:sz w:val="26"/>
                <w:szCs w:val="26"/>
                <w:rtl/>
              </w:rPr>
              <w:t>ה</w:t>
            </w:r>
            <w:r w:rsidRPr="008C50B6">
              <w:rPr>
                <w:rFonts w:hint="cs"/>
                <w:rtl/>
              </w:rPr>
              <w:t>מאשימה</w:t>
            </w:r>
          </w:p>
        </w:tc>
        <w:tc>
          <w:tcPr>
            <w:tcW w:w="5922" w:type="dxa"/>
            <w:shd w:val="clear" w:color="auto" w:fill="auto"/>
          </w:tcPr>
          <w:p w14:paraId="7D8FE2CF" w14:textId="77777777" w:rsidR="007F18B9" w:rsidRPr="008C50B6" w:rsidRDefault="008C50B6">
            <w:pPr>
              <w:rPr>
                <w:b/>
                <w:bCs/>
                <w:sz w:val="26"/>
                <w:szCs w:val="26"/>
                <w:rtl/>
              </w:rPr>
            </w:pPr>
            <w:r w:rsidRPr="008C50B6">
              <w:rPr>
                <w:rFonts w:hint="cs"/>
                <w:rtl/>
              </w:rPr>
              <w:t>מדינת ישראל</w:t>
            </w:r>
          </w:p>
          <w:p w14:paraId="13FD276C" w14:textId="77777777" w:rsidR="007F18B9" w:rsidRPr="008C50B6" w:rsidRDefault="007F18B9">
            <w:pPr>
              <w:rPr>
                <w:b/>
                <w:bCs/>
                <w:sz w:val="26"/>
                <w:szCs w:val="26"/>
              </w:rPr>
            </w:pPr>
          </w:p>
        </w:tc>
      </w:tr>
      <w:bookmarkEnd w:id="1"/>
      <w:tr w:rsidR="007F18B9" w:rsidRPr="008C50B6" w14:paraId="5DD5C77E" w14:textId="77777777">
        <w:tc>
          <w:tcPr>
            <w:tcW w:w="8802" w:type="dxa"/>
            <w:gridSpan w:val="2"/>
            <w:shd w:val="clear" w:color="auto" w:fill="auto"/>
          </w:tcPr>
          <w:p w14:paraId="700E41C9" w14:textId="77777777" w:rsidR="007F18B9" w:rsidRPr="008C50B6" w:rsidRDefault="008C50B6">
            <w:pPr>
              <w:jc w:val="center"/>
              <w:rPr>
                <w:rFonts w:ascii="Arial" w:hAnsi="Arial"/>
                <w:b/>
                <w:bCs/>
                <w:sz w:val="26"/>
                <w:szCs w:val="26"/>
                <w:rtl/>
              </w:rPr>
            </w:pPr>
            <w:r w:rsidRPr="008C50B6">
              <w:rPr>
                <w:rFonts w:ascii="Arial" w:hAnsi="Arial" w:hint="cs"/>
                <w:b/>
                <w:bCs/>
                <w:sz w:val="26"/>
                <w:szCs w:val="26"/>
                <w:rtl/>
              </w:rPr>
              <w:t>נגד</w:t>
            </w:r>
          </w:p>
          <w:p w14:paraId="6DFEAA3D" w14:textId="77777777" w:rsidR="007F18B9" w:rsidRPr="008C50B6" w:rsidRDefault="007F18B9">
            <w:pPr>
              <w:jc w:val="center"/>
              <w:rPr>
                <w:rFonts w:ascii="Arial" w:hAnsi="Arial"/>
                <w:b/>
                <w:bCs/>
                <w:sz w:val="26"/>
                <w:szCs w:val="26"/>
              </w:rPr>
            </w:pPr>
          </w:p>
        </w:tc>
      </w:tr>
      <w:tr w:rsidR="007F18B9" w:rsidRPr="008C50B6" w14:paraId="563C3F8A" w14:textId="77777777">
        <w:tc>
          <w:tcPr>
            <w:tcW w:w="2880" w:type="dxa"/>
            <w:shd w:val="clear" w:color="auto" w:fill="auto"/>
          </w:tcPr>
          <w:p w14:paraId="6D5304D0" w14:textId="77777777" w:rsidR="007F18B9" w:rsidRPr="008C50B6" w:rsidRDefault="008C50B6">
            <w:pPr>
              <w:ind w:left="26"/>
              <w:rPr>
                <w:b/>
                <w:bCs/>
                <w:sz w:val="26"/>
                <w:szCs w:val="26"/>
              </w:rPr>
            </w:pPr>
            <w:r w:rsidRPr="008C50B6">
              <w:rPr>
                <w:rFonts w:hint="cs"/>
                <w:b/>
                <w:bCs/>
                <w:sz w:val="26"/>
                <w:szCs w:val="26"/>
                <w:rtl/>
              </w:rPr>
              <w:t>ה</w:t>
            </w:r>
            <w:r w:rsidRPr="008C50B6">
              <w:rPr>
                <w:rFonts w:hint="cs"/>
                <w:rtl/>
              </w:rPr>
              <w:t>נאשם</w:t>
            </w:r>
          </w:p>
        </w:tc>
        <w:tc>
          <w:tcPr>
            <w:tcW w:w="5922" w:type="dxa"/>
            <w:shd w:val="clear" w:color="auto" w:fill="auto"/>
          </w:tcPr>
          <w:p w14:paraId="24EC89D0" w14:textId="77777777" w:rsidR="007F18B9" w:rsidRPr="008C50B6" w:rsidRDefault="008C50B6">
            <w:pPr>
              <w:rPr>
                <w:b/>
                <w:bCs/>
                <w:sz w:val="26"/>
                <w:szCs w:val="26"/>
                <w:rtl/>
              </w:rPr>
            </w:pPr>
            <w:r w:rsidRPr="008C50B6">
              <w:rPr>
                <w:rFonts w:hint="cs"/>
                <w:rtl/>
              </w:rPr>
              <w:t>אחמד חסארמה ת"ז 034615740 (עציר)</w:t>
            </w:r>
          </w:p>
          <w:p w14:paraId="216FB9EB" w14:textId="77777777" w:rsidR="007F18B9" w:rsidRPr="008C50B6" w:rsidRDefault="007F18B9">
            <w:pPr>
              <w:rPr>
                <w:b/>
                <w:bCs/>
                <w:sz w:val="26"/>
                <w:szCs w:val="26"/>
              </w:rPr>
            </w:pPr>
          </w:p>
        </w:tc>
      </w:tr>
    </w:tbl>
    <w:p w14:paraId="605E82CC" w14:textId="77777777" w:rsidR="007F18B9" w:rsidRPr="008C50B6" w:rsidRDefault="007F18B9">
      <w:pPr>
        <w:jc w:val="both"/>
        <w:rPr>
          <w:rFonts w:ascii="David" w:hAnsi="David"/>
        </w:rPr>
      </w:pPr>
    </w:p>
    <w:p w14:paraId="24CCBB01" w14:textId="77777777" w:rsidR="007F18B9" w:rsidRPr="008C50B6" w:rsidRDefault="008C50B6">
      <w:pPr>
        <w:jc w:val="both"/>
        <w:rPr>
          <w:b/>
          <w:bCs/>
          <w:rtl/>
        </w:rPr>
      </w:pPr>
      <w:r w:rsidRPr="008C50B6">
        <w:rPr>
          <w:rFonts w:hint="cs"/>
          <w:b/>
          <w:bCs/>
          <w:rtl/>
        </w:rPr>
        <w:t>נוכחים:</w:t>
      </w:r>
    </w:p>
    <w:p w14:paraId="5D2EE89B" w14:textId="77777777" w:rsidR="007F18B9" w:rsidRPr="008C50B6" w:rsidRDefault="008C50B6">
      <w:pPr>
        <w:jc w:val="both"/>
        <w:rPr>
          <w:rtl/>
        </w:rPr>
      </w:pPr>
      <w:bookmarkStart w:id="2" w:name="FirstLawyer"/>
      <w:r w:rsidRPr="008C50B6">
        <w:rPr>
          <w:rFonts w:hint="cs"/>
          <w:rtl/>
        </w:rPr>
        <w:t>ב"כ</w:t>
      </w:r>
      <w:bookmarkEnd w:id="2"/>
      <w:r w:rsidRPr="008C50B6">
        <w:rPr>
          <w:rFonts w:hint="cs"/>
          <w:rtl/>
        </w:rPr>
        <w:t xml:space="preserve"> המאשימה: עו"ד אבי אור-זך </w:t>
      </w:r>
    </w:p>
    <w:p w14:paraId="6B9E7AF1" w14:textId="77777777" w:rsidR="007F18B9" w:rsidRPr="008C50B6" w:rsidRDefault="008C50B6">
      <w:pPr>
        <w:jc w:val="both"/>
        <w:rPr>
          <w:rtl/>
        </w:rPr>
      </w:pPr>
      <w:r w:rsidRPr="008C50B6">
        <w:rPr>
          <w:rFonts w:hint="cs"/>
          <w:rtl/>
        </w:rPr>
        <w:t>ב"כ הנאשם: עו"ד שאדי דבאח</w:t>
      </w:r>
    </w:p>
    <w:p w14:paraId="39DF5A53" w14:textId="77777777" w:rsidR="008C72C5" w:rsidRDefault="008C50B6">
      <w:pPr>
        <w:jc w:val="both"/>
        <w:rPr>
          <w:rtl/>
        </w:rPr>
      </w:pPr>
      <w:r w:rsidRPr="008C50B6">
        <w:rPr>
          <w:rFonts w:hint="cs"/>
          <w:rtl/>
        </w:rPr>
        <w:t xml:space="preserve">הנאשם באמצעות הליווי </w:t>
      </w:r>
      <w:bookmarkStart w:id="3" w:name="LawTable"/>
      <w:bookmarkEnd w:id="3"/>
    </w:p>
    <w:p w14:paraId="4898F5D9" w14:textId="77777777" w:rsidR="008C72C5" w:rsidRPr="008C72C5" w:rsidRDefault="008C72C5" w:rsidP="008C72C5">
      <w:pPr>
        <w:spacing w:after="120" w:line="240" w:lineRule="exact"/>
        <w:ind w:left="283" w:hanging="283"/>
        <w:jc w:val="both"/>
        <w:rPr>
          <w:rFonts w:ascii="FrankRuehl" w:hAnsi="FrankRuehl" w:cs="FrankRuehl"/>
          <w:rtl/>
        </w:rPr>
      </w:pPr>
    </w:p>
    <w:p w14:paraId="2F1C5B8D" w14:textId="77777777" w:rsidR="008C72C5" w:rsidRPr="008C72C5" w:rsidRDefault="008C72C5" w:rsidP="008C72C5">
      <w:pPr>
        <w:spacing w:after="120" w:line="240" w:lineRule="exact"/>
        <w:ind w:left="283" w:hanging="283"/>
        <w:jc w:val="both"/>
        <w:rPr>
          <w:rFonts w:ascii="FrankRuehl" w:hAnsi="FrankRuehl" w:cs="FrankRuehl"/>
          <w:rtl/>
        </w:rPr>
      </w:pPr>
      <w:r w:rsidRPr="008C72C5">
        <w:rPr>
          <w:rFonts w:ascii="FrankRuehl" w:hAnsi="FrankRuehl" w:cs="FrankRuehl"/>
          <w:rtl/>
        </w:rPr>
        <w:t xml:space="preserve">חקיקה שאוזכרה: </w:t>
      </w:r>
    </w:p>
    <w:p w14:paraId="6DF10244" w14:textId="77777777" w:rsidR="008C72C5" w:rsidRPr="008C72C5" w:rsidRDefault="008C72C5" w:rsidP="008C72C5">
      <w:pPr>
        <w:spacing w:after="120" w:line="240" w:lineRule="exact"/>
        <w:ind w:left="283" w:hanging="283"/>
        <w:jc w:val="both"/>
        <w:rPr>
          <w:rFonts w:ascii="FrankRuehl" w:hAnsi="FrankRuehl" w:cs="FrankRuehl"/>
          <w:color w:val="0000FF"/>
          <w:u w:val="single"/>
          <w:rtl/>
        </w:rPr>
      </w:pPr>
      <w:hyperlink r:id="rId6" w:history="1">
        <w:r w:rsidRPr="008C72C5">
          <w:rPr>
            <w:rStyle w:val="Hyperlink"/>
            <w:rFonts w:ascii="FrankRuehl" w:hAnsi="FrankRuehl" w:cs="FrankRuehl"/>
            <w:rtl/>
          </w:rPr>
          <w:t>חוק העונשין, תשל"ז-1977</w:t>
        </w:r>
      </w:hyperlink>
      <w:r w:rsidRPr="008C72C5">
        <w:rPr>
          <w:rFonts w:ascii="FrankRuehl" w:hAnsi="FrankRuehl" w:cs="FrankRuehl"/>
          <w:color w:val="0000FF"/>
          <w:u w:val="single"/>
          <w:rtl/>
        </w:rPr>
        <w:t xml:space="preserve">: סע'  </w:t>
      </w:r>
      <w:hyperlink r:id="rId7" w:history="1">
        <w:r w:rsidRPr="008C72C5">
          <w:rPr>
            <w:rStyle w:val="Hyperlink"/>
            <w:rFonts w:ascii="FrankRuehl" w:hAnsi="FrankRuehl" w:cs="FrankRuehl"/>
          </w:rPr>
          <w:t>144(</w:t>
        </w:r>
        <w:r w:rsidRPr="008C72C5">
          <w:rPr>
            <w:rStyle w:val="Hyperlink"/>
            <w:rFonts w:ascii="FrankRuehl" w:hAnsi="FrankRuehl" w:cs="FrankRuehl"/>
            <w:rtl/>
          </w:rPr>
          <w:t>א</w:t>
        </w:r>
        <w:r w:rsidRPr="008C72C5">
          <w:rPr>
            <w:rStyle w:val="Hyperlink"/>
            <w:rFonts w:ascii="FrankRuehl" w:hAnsi="FrankRuehl" w:cs="FrankRuehl"/>
          </w:rPr>
          <w:t>)</w:t>
        </w:r>
      </w:hyperlink>
      <w:r w:rsidRPr="008C72C5">
        <w:rPr>
          <w:rFonts w:ascii="FrankRuehl" w:hAnsi="FrankRuehl" w:cs="FrankRuehl"/>
          <w:color w:val="0000FF"/>
          <w:u w:val="single"/>
          <w:rtl/>
        </w:rPr>
        <w:t xml:space="preserve">, </w:t>
      </w:r>
      <w:hyperlink r:id="rId8" w:history="1">
        <w:r w:rsidRPr="008C72C5">
          <w:rPr>
            <w:rStyle w:val="Hyperlink"/>
            <w:rFonts w:ascii="FrankRuehl" w:hAnsi="FrankRuehl" w:cs="FrankRuehl"/>
          </w:rPr>
          <w:t>(</w:t>
        </w:r>
        <w:r w:rsidRPr="008C72C5">
          <w:rPr>
            <w:rStyle w:val="Hyperlink"/>
            <w:rFonts w:ascii="FrankRuehl" w:hAnsi="FrankRuehl" w:cs="FrankRuehl"/>
            <w:rtl/>
          </w:rPr>
          <w:t>ב</w:t>
        </w:r>
        <w:r w:rsidRPr="008C72C5">
          <w:rPr>
            <w:rStyle w:val="Hyperlink"/>
            <w:rFonts w:ascii="FrankRuehl" w:hAnsi="FrankRuehl" w:cs="FrankRuehl"/>
          </w:rPr>
          <w:t>)</w:t>
        </w:r>
      </w:hyperlink>
    </w:p>
    <w:p w14:paraId="51F0E6EF" w14:textId="77777777" w:rsidR="008C72C5" w:rsidRPr="008C72C5" w:rsidRDefault="008C72C5" w:rsidP="008C72C5">
      <w:pPr>
        <w:spacing w:after="120" w:line="240" w:lineRule="exact"/>
        <w:ind w:left="283" w:hanging="283"/>
        <w:jc w:val="both"/>
        <w:rPr>
          <w:rFonts w:ascii="FrankRuehl" w:hAnsi="FrankRuehl" w:cs="FrankRuehl"/>
          <w:rtl/>
        </w:rPr>
      </w:pPr>
    </w:p>
    <w:p w14:paraId="21D83EF6" w14:textId="77777777" w:rsidR="008C72C5" w:rsidRPr="008C72C5" w:rsidRDefault="008C72C5">
      <w:pPr>
        <w:jc w:val="both"/>
        <w:rPr>
          <w:rtl/>
        </w:rPr>
      </w:pPr>
      <w:bookmarkStart w:id="4" w:name="LawTable_End"/>
      <w:bookmarkEnd w:id="4"/>
    </w:p>
    <w:p w14:paraId="7FF41890" w14:textId="77777777" w:rsidR="008C72C5" w:rsidRPr="008C72C5" w:rsidRDefault="008C72C5">
      <w:pPr>
        <w:jc w:val="both"/>
        <w:rPr>
          <w:rtl/>
        </w:rPr>
      </w:pPr>
    </w:p>
    <w:p w14:paraId="525F4B2A" w14:textId="77777777" w:rsidR="007F18B9" w:rsidRPr="008C72C5" w:rsidRDefault="007F18B9">
      <w:pPr>
        <w:jc w:val="both"/>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7F18B9" w14:paraId="5985A06B" w14:textId="77777777">
        <w:trPr>
          <w:trHeight w:val="355"/>
          <w:jc w:val="center"/>
        </w:trPr>
        <w:tc>
          <w:tcPr>
            <w:tcW w:w="8820" w:type="dxa"/>
            <w:tcBorders>
              <w:top w:val="nil"/>
              <w:left w:val="nil"/>
              <w:bottom w:val="nil"/>
              <w:right w:val="nil"/>
            </w:tcBorders>
            <w:shd w:val="clear" w:color="auto" w:fill="auto"/>
          </w:tcPr>
          <w:p w14:paraId="2CD37807" w14:textId="77777777" w:rsidR="008C50B6" w:rsidRPr="008C50B6" w:rsidRDefault="008C50B6" w:rsidP="008C50B6">
            <w:pPr>
              <w:jc w:val="center"/>
              <w:rPr>
                <w:rFonts w:ascii="Arial" w:hAnsi="Arial" w:cs="FrankRuehl"/>
                <w:b/>
                <w:bCs/>
                <w:sz w:val="32"/>
                <w:szCs w:val="32"/>
                <w:u w:val="single"/>
                <w:rtl/>
              </w:rPr>
            </w:pPr>
            <w:bookmarkStart w:id="5" w:name="PsakDin" w:colFirst="0" w:colLast="0"/>
            <w:bookmarkEnd w:id="0"/>
            <w:r w:rsidRPr="008C50B6">
              <w:rPr>
                <w:rFonts w:ascii="Arial" w:hAnsi="Arial" w:cs="FrankRuehl"/>
                <w:b/>
                <w:bCs/>
                <w:sz w:val="32"/>
                <w:szCs w:val="32"/>
                <w:u w:val="single"/>
                <w:rtl/>
              </w:rPr>
              <w:t>גזר דין</w:t>
            </w:r>
          </w:p>
          <w:p w14:paraId="47B0825A" w14:textId="77777777" w:rsidR="007F18B9" w:rsidRPr="008C50B6" w:rsidRDefault="007F18B9" w:rsidP="008C50B6">
            <w:pPr>
              <w:jc w:val="center"/>
              <w:rPr>
                <w:rFonts w:ascii="Arial" w:hAnsi="Arial" w:cs="FrankRuehl"/>
                <w:bCs/>
                <w:sz w:val="32"/>
                <w:szCs w:val="32"/>
                <w:u w:val="single"/>
                <w:rtl/>
              </w:rPr>
            </w:pPr>
          </w:p>
        </w:tc>
      </w:tr>
      <w:bookmarkEnd w:id="5"/>
    </w:tbl>
    <w:p w14:paraId="76680E05" w14:textId="77777777" w:rsidR="007F18B9" w:rsidRDefault="007F18B9">
      <w:pPr>
        <w:rPr>
          <w:rFonts w:ascii="Arial" w:hAnsi="Arial"/>
          <w:rtl/>
        </w:rPr>
      </w:pPr>
    </w:p>
    <w:p w14:paraId="10EEDE44" w14:textId="77777777" w:rsidR="007F18B9" w:rsidRDefault="008C50B6">
      <w:pPr>
        <w:tabs>
          <w:tab w:val="left" w:pos="567"/>
          <w:tab w:val="left" w:pos="1134"/>
          <w:tab w:val="left" w:pos="1701"/>
        </w:tabs>
        <w:spacing w:line="360" w:lineRule="auto"/>
        <w:ind w:left="567" w:hanging="567"/>
        <w:jc w:val="both"/>
        <w:rPr>
          <w:rtl/>
        </w:rPr>
      </w:pPr>
      <w:r>
        <w:rPr>
          <w:rtl/>
        </w:rPr>
        <w:t>1.</w:t>
      </w:r>
      <w:r>
        <w:rPr>
          <w:rtl/>
        </w:rPr>
        <w:tab/>
        <w:t>ביום  18.3.15 הורשע הנאשם על סמך הודייתו, בעבירות שיוחסו לו בכתב אישום שתוקן במסגרת הסדר טיעון. ההסדר לא כלל הסכמה לענין העונש.</w:t>
      </w:r>
    </w:p>
    <w:p w14:paraId="36D18157" w14:textId="77777777" w:rsidR="007F18B9" w:rsidRDefault="007F18B9">
      <w:pPr>
        <w:tabs>
          <w:tab w:val="left" w:pos="567"/>
          <w:tab w:val="left" w:pos="1134"/>
          <w:tab w:val="left" w:pos="1701"/>
        </w:tabs>
        <w:spacing w:line="360" w:lineRule="auto"/>
        <w:ind w:left="567" w:hanging="567"/>
        <w:jc w:val="both"/>
        <w:rPr>
          <w:rtl/>
        </w:rPr>
      </w:pPr>
    </w:p>
    <w:p w14:paraId="1E5BA7A5" w14:textId="77777777" w:rsidR="007F18B9" w:rsidRDefault="008C50B6">
      <w:pPr>
        <w:tabs>
          <w:tab w:val="left" w:pos="567"/>
          <w:tab w:val="left" w:pos="1134"/>
          <w:tab w:val="left" w:pos="1701"/>
        </w:tabs>
        <w:spacing w:line="360" w:lineRule="auto"/>
        <w:ind w:left="567" w:hanging="567"/>
        <w:jc w:val="both"/>
        <w:rPr>
          <w:rtl/>
        </w:rPr>
      </w:pPr>
      <w:r>
        <w:rPr>
          <w:rtl/>
        </w:rPr>
        <w:t>2.</w:t>
      </w:r>
      <w:r>
        <w:rPr>
          <w:rtl/>
        </w:rPr>
        <w:tab/>
      </w:r>
      <w:bookmarkStart w:id="6" w:name="ABSTRACT_START"/>
      <w:bookmarkEnd w:id="6"/>
      <w:r>
        <w:rPr>
          <w:rtl/>
        </w:rPr>
        <w:t xml:space="preserve">בכתב האישום המתוקן יוחסו לנאשם עבירות בנשק – לפי </w:t>
      </w:r>
      <w:hyperlink r:id="rId9" w:history="1">
        <w:r w:rsidR="006C5B4E" w:rsidRPr="006C5B4E">
          <w:rPr>
            <w:color w:val="0000FF"/>
            <w:u w:val="single"/>
            <w:rtl/>
          </w:rPr>
          <w:t>סעיף 144(א)</w:t>
        </w:r>
      </w:hyperlink>
      <w:r>
        <w:rPr>
          <w:rtl/>
        </w:rPr>
        <w:t xml:space="preserve"> + </w:t>
      </w:r>
      <w:hyperlink r:id="rId10" w:history="1">
        <w:r w:rsidR="006C5B4E" w:rsidRPr="006C5B4E">
          <w:rPr>
            <w:color w:val="0000FF"/>
            <w:u w:val="single"/>
            <w:rtl/>
          </w:rPr>
          <w:t>(ב)</w:t>
        </w:r>
      </w:hyperlink>
      <w:r>
        <w:rPr>
          <w:rtl/>
        </w:rPr>
        <w:t xml:space="preserve"> ל</w:t>
      </w:r>
      <w:hyperlink r:id="rId11" w:history="1">
        <w:r w:rsidRPr="008C50B6">
          <w:rPr>
            <w:color w:val="0000FF"/>
            <w:u w:val="single"/>
            <w:rtl/>
          </w:rPr>
          <w:t>חוק העונשין</w:t>
        </w:r>
      </w:hyperlink>
      <w:r>
        <w:rPr>
          <w:rtl/>
        </w:rPr>
        <w:t xml:space="preserve">, התשל"ז-1977. </w:t>
      </w:r>
    </w:p>
    <w:p w14:paraId="3D3B31E5" w14:textId="77777777" w:rsidR="007F18B9" w:rsidRDefault="007F18B9">
      <w:pPr>
        <w:tabs>
          <w:tab w:val="left" w:pos="567"/>
          <w:tab w:val="left" w:pos="1134"/>
          <w:tab w:val="left" w:pos="1701"/>
        </w:tabs>
        <w:spacing w:line="360" w:lineRule="auto"/>
        <w:ind w:left="567" w:hanging="567"/>
        <w:jc w:val="both"/>
        <w:rPr>
          <w:rtl/>
        </w:rPr>
      </w:pPr>
      <w:bookmarkStart w:id="7" w:name="ABSTRACT_END"/>
      <w:bookmarkEnd w:id="7"/>
    </w:p>
    <w:p w14:paraId="22F5E693" w14:textId="77777777" w:rsidR="007F18B9" w:rsidRDefault="008C50B6">
      <w:pPr>
        <w:tabs>
          <w:tab w:val="left" w:pos="567"/>
          <w:tab w:val="left" w:pos="1134"/>
          <w:tab w:val="left" w:pos="1701"/>
        </w:tabs>
        <w:spacing w:line="360" w:lineRule="auto"/>
        <w:ind w:left="567" w:hanging="567"/>
        <w:jc w:val="both"/>
        <w:rPr>
          <w:rtl/>
        </w:rPr>
      </w:pPr>
      <w:r>
        <w:rPr>
          <w:rtl/>
        </w:rPr>
        <w:tab/>
        <w:t xml:space="preserve">נאמר כי ביום 25.1.15, סמוך לשעה 15:00, הגיעו שוטרים לסוכת אבלים של משפחת חסארמה בכפר בענה במטרה לעכב את יוסף חסארמה לחקירה. הנאשם שהיה במתחם הבחין בשוטרים והחל במנוסה מהם, וזאת כשהוא נושא ומחזיק אקדח מסוג </w:t>
      </w:r>
      <w:r>
        <w:rPr>
          <w:noProof/>
        </w:rPr>
        <w:t>FN</w:t>
      </w:r>
      <w:r>
        <w:rPr>
          <w:rtl/>
        </w:rPr>
        <w:t xml:space="preserve"> מספר 74423 ומחסנית עם 13 כדורים 9 מ"מ. זאת עשה הנאשם בלא רשות על פי דין לנשיאתם והחזקתם של האקדח והמחסנית. במהלך המנוסה מהשוטרים, זרק הנאשם את האקדח והמחסנית ובמעשיו המתוארים לעיל הוא החזיק ונשא  נשק שמסוגל לירות כדור שבכוחו להמית אדם, אביזר לנשק ותחמושת וזאת בלא רשות על פי דין להחזקתם ונשיאתם. </w:t>
      </w:r>
    </w:p>
    <w:p w14:paraId="4E9B5AB6" w14:textId="77777777" w:rsidR="007F18B9" w:rsidRDefault="007F18B9">
      <w:pPr>
        <w:tabs>
          <w:tab w:val="left" w:pos="567"/>
          <w:tab w:val="left" w:pos="1134"/>
          <w:tab w:val="left" w:pos="1701"/>
        </w:tabs>
        <w:spacing w:line="360" w:lineRule="auto"/>
        <w:ind w:left="567" w:hanging="567"/>
        <w:jc w:val="both"/>
        <w:rPr>
          <w:rtl/>
        </w:rPr>
      </w:pPr>
    </w:p>
    <w:p w14:paraId="38F3D2A2" w14:textId="77777777" w:rsidR="007F18B9" w:rsidRDefault="008C50B6">
      <w:pPr>
        <w:tabs>
          <w:tab w:val="left" w:pos="567"/>
          <w:tab w:val="left" w:pos="1134"/>
          <w:tab w:val="left" w:pos="1701"/>
        </w:tabs>
        <w:spacing w:line="360" w:lineRule="auto"/>
        <w:ind w:left="567" w:hanging="567"/>
        <w:jc w:val="both"/>
        <w:rPr>
          <w:rtl/>
        </w:rPr>
      </w:pPr>
      <w:r>
        <w:rPr>
          <w:rtl/>
        </w:rPr>
        <w:lastRenderedPageBreak/>
        <w:tab/>
        <w:t xml:space="preserve">לאחר הכרעת הדין, ובטרם נשמעו הטיעונים לעונש, נעתרתי לבקשת הסנגור והוריתי על הפניית הנאשם לשירות המבחן לצורך עריכת תסקיר בעניינו. </w:t>
      </w:r>
    </w:p>
    <w:p w14:paraId="7CE45482" w14:textId="77777777" w:rsidR="007F18B9" w:rsidRDefault="007F18B9">
      <w:pPr>
        <w:tabs>
          <w:tab w:val="left" w:pos="567"/>
          <w:tab w:val="left" w:pos="1134"/>
          <w:tab w:val="left" w:pos="1701"/>
        </w:tabs>
        <w:spacing w:line="360" w:lineRule="auto"/>
        <w:ind w:left="567" w:hanging="567"/>
        <w:jc w:val="both"/>
        <w:rPr>
          <w:rtl/>
        </w:rPr>
      </w:pPr>
    </w:p>
    <w:p w14:paraId="5E8B0040" w14:textId="77777777" w:rsidR="007F18B9" w:rsidRDefault="008C50B6">
      <w:pPr>
        <w:tabs>
          <w:tab w:val="left" w:pos="567"/>
          <w:tab w:val="left" w:pos="1134"/>
          <w:tab w:val="left" w:pos="1701"/>
        </w:tabs>
        <w:spacing w:line="360" w:lineRule="auto"/>
        <w:ind w:left="567" w:hanging="567"/>
        <w:jc w:val="both"/>
        <w:rPr>
          <w:rtl/>
        </w:rPr>
      </w:pPr>
      <w:r>
        <w:rPr>
          <w:rtl/>
        </w:rPr>
        <w:t>3.</w:t>
      </w:r>
      <w:r>
        <w:rPr>
          <w:rtl/>
        </w:rPr>
        <w:tab/>
        <w:t xml:space="preserve">בתסקיר מיום 9.6.15 נאמר כי מדובר בצעיר כבן 29, נשוי מזה כ-7 חודשים שהתגורר עובר למעצרו בבניין בו מתגוררת משפחת מוצאו בכפר בענה. אחיו הבכור נהרג ביוני אשתקד מירי על רקע סכסוך עם חלק מבני משפחתו המורחבת. </w:t>
      </w:r>
      <w:r>
        <w:rPr>
          <w:noProof/>
        </w:rPr>
        <w:t xml:space="preserve"> </w:t>
      </w:r>
      <w:r>
        <w:rPr>
          <w:rtl/>
        </w:rPr>
        <w:t>האח, בן 31 במותו, הותיר אחריו אישה ותינוקת החיות עם המשפחה במתחם המשפחה בכפר בענה.</w:t>
      </w:r>
    </w:p>
    <w:p w14:paraId="15958F5D" w14:textId="77777777" w:rsidR="007F18B9" w:rsidRDefault="007F18B9">
      <w:pPr>
        <w:tabs>
          <w:tab w:val="left" w:pos="567"/>
          <w:tab w:val="left" w:pos="1134"/>
          <w:tab w:val="left" w:pos="1701"/>
        </w:tabs>
        <w:spacing w:line="360" w:lineRule="auto"/>
        <w:ind w:left="567" w:hanging="567"/>
        <w:jc w:val="both"/>
        <w:rPr>
          <w:rtl/>
        </w:rPr>
      </w:pPr>
    </w:p>
    <w:p w14:paraId="25A99CC8" w14:textId="77777777" w:rsidR="007F18B9" w:rsidRDefault="008C50B6">
      <w:pPr>
        <w:tabs>
          <w:tab w:val="left" w:pos="567"/>
          <w:tab w:val="left" w:pos="1134"/>
          <w:tab w:val="left" w:pos="1701"/>
        </w:tabs>
        <w:spacing w:line="360" w:lineRule="auto"/>
        <w:ind w:left="567" w:hanging="567"/>
        <w:jc w:val="both"/>
        <w:rPr>
          <w:rtl/>
        </w:rPr>
      </w:pPr>
      <w:r>
        <w:rPr>
          <w:rtl/>
        </w:rPr>
        <w:tab/>
        <w:t>שירות המבחן ציין כי הנאשם נעדר הרשעות קודמות אולם משיחה עמו עלה כי בשנים האחרונות נעצר מספר פעמים בחשד לביצוע עבירות נשק ואלימות על רקע סכסוך שהתגלע עם חלק מבני המשפחה המורחבת. אותו סכסוך גרם למותם של שלושה אנשים, בכללם אחיו הבכור של הנאשם שנהרג, כאמור, ביוני אשתקד, דודו שנהרג ימים ספורים קודם למעצרו בתיק זה ובן מהמשפחה היריבה.  הנאשם חשוד בגרימת מוות בתיק אחר ועצור עד תום ההליכים.</w:t>
      </w:r>
      <w:r>
        <w:rPr>
          <w:noProof/>
        </w:rPr>
        <w:t xml:space="preserve"> </w:t>
      </w:r>
      <w:r>
        <w:rPr>
          <w:rtl/>
        </w:rPr>
        <w:t xml:space="preserve"> בגין העבירה נשוא תיק זה מצוי הנאשם במעצר מיום 25.1.15 כאשר תחילה היה בכלא צלמון ובחודש אפריל הועבר לאגף המיועד לטעוני הגנה בבית מעצר הקישון. בהתייחס לכתב האישום, נטל הנאשם אחריות מלאה והביע חרטה על מעשיו שנבעו, לדבריו, מרצונו למנוע מקרובי משפחה להשתמש לרעה בנשק על רקע  הריגת דודו. </w:t>
      </w:r>
    </w:p>
    <w:p w14:paraId="76F06EC2" w14:textId="77777777" w:rsidR="007F18B9" w:rsidRDefault="007F18B9">
      <w:pPr>
        <w:tabs>
          <w:tab w:val="left" w:pos="567"/>
          <w:tab w:val="left" w:pos="1134"/>
          <w:tab w:val="left" w:pos="1701"/>
        </w:tabs>
        <w:spacing w:line="360" w:lineRule="auto"/>
        <w:ind w:left="567" w:hanging="567"/>
        <w:jc w:val="both"/>
        <w:rPr>
          <w:rtl/>
        </w:rPr>
      </w:pPr>
    </w:p>
    <w:p w14:paraId="00D5FAF9" w14:textId="77777777" w:rsidR="007F18B9" w:rsidRDefault="008C50B6">
      <w:pPr>
        <w:tabs>
          <w:tab w:val="left" w:pos="567"/>
          <w:tab w:val="left" w:pos="1134"/>
          <w:tab w:val="left" w:pos="1701"/>
        </w:tabs>
        <w:spacing w:line="360" w:lineRule="auto"/>
        <w:ind w:left="567" w:hanging="567"/>
        <w:jc w:val="both"/>
        <w:rPr>
          <w:rtl/>
        </w:rPr>
      </w:pPr>
      <w:r>
        <w:rPr>
          <w:rtl/>
        </w:rPr>
        <w:tab/>
        <w:t>בבואו לגבש הערכת סיכון לפריצת גבולות מצידו של הנאשם, הביא שירות המבחן בחשבון את תפקודו התעסוקתי היציב ויחסיו המשפחתיים התקינים. כן נלקחה בחשבון ההתרשמות מן הנאשם לפיה מדובר במי שהשכיל להימנע מהסתבכות קודמת עם החוק</w:t>
      </w:r>
      <w:r>
        <w:rPr>
          <w:noProof/>
        </w:rPr>
        <w:t xml:space="preserve"> </w:t>
      </w:r>
      <w:r>
        <w:rPr>
          <w:rtl/>
        </w:rPr>
        <w:t xml:space="preserve"> וניחן בתפיסת עולם הנוגדת שימוש באלימות כלפי האחר. מנגד, מעמדו בשלב זה כעצור החשוד בגרימת מוות ונסיבות והשלכות הסכסוך הקיים שהוביל בין היתר לאבדנים קשים, מצביעים על קיומו של פוטנציאל להישנות עבירות בנשק. לאור זאת לא בא שירות המבחן בהמלצה על חלופות עונשיות או שיקומיות במסגרת הקהילה העשויות להפחית סיכון להישנות מעשים דומים בעתיד.</w:t>
      </w:r>
    </w:p>
    <w:p w14:paraId="2C09C48D" w14:textId="77777777" w:rsidR="007F18B9" w:rsidRDefault="007F18B9">
      <w:pPr>
        <w:tabs>
          <w:tab w:val="left" w:pos="567"/>
          <w:tab w:val="left" w:pos="1134"/>
          <w:tab w:val="left" w:pos="1701"/>
        </w:tabs>
        <w:spacing w:line="360" w:lineRule="auto"/>
        <w:ind w:left="567" w:hanging="567"/>
        <w:jc w:val="both"/>
        <w:rPr>
          <w:rtl/>
        </w:rPr>
      </w:pPr>
    </w:p>
    <w:p w14:paraId="0DC62181" w14:textId="77777777" w:rsidR="007F18B9" w:rsidRDefault="008C50B6">
      <w:pPr>
        <w:tabs>
          <w:tab w:val="left" w:pos="567"/>
          <w:tab w:val="left" w:pos="1134"/>
          <w:tab w:val="left" w:pos="1701"/>
        </w:tabs>
        <w:spacing w:line="360" w:lineRule="auto"/>
        <w:ind w:left="567" w:hanging="567"/>
        <w:jc w:val="both"/>
        <w:rPr>
          <w:rtl/>
        </w:rPr>
      </w:pPr>
      <w:r>
        <w:rPr>
          <w:rtl/>
        </w:rPr>
        <w:t>4.</w:t>
      </w:r>
      <w:r>
        <w:rPr>
          <w:rtl/>
        </w:rPr>
        <w:tab/>
        <w:t xml:space="preserve">בטיעוניה לעונש עתרה המאשימה למתחם ענישה שנע בין שנתיים וחצי לארבע וחצי שנות מאסר בפועל וכן למאסר מותנה. לדבריה, נסיבות ביצוע העבירה הן חמורות באשר הנאשם החזיק ונשא נשק בתוך סוכת אבלים, מקום שבו אמורים אנשים להתייחד עם זיכרון יקיריהם ללא מורא וללא סיכון. בנוסף, הנשק עצמו הוא בקוטר לא קטן ונשיאתו עם כמות לא מבוטלת של כדורים מהווה נדבך נוסף לחומרת האירוע. </w:t>
      </w:r>
    </w:p>
    <w:p w14:paraId="05000D66" w14:textId="77777777" w:rsidR="007F18B9" w:rsidRDefault="007F18B9">
      <w:pPr>
        <w:tabs>
          <w:tab w:val="left" w:pos="567"/>
          <w:tab w:val="left" w:pos="1134"/>
          <w:tab w:val="left" w:pos="1701"/>
        </w:tabs>
        <w:spacing w:line="360" w:lineRule="auto"/>
        <w:ind w:left="567" w:hanging="567"/>
        <w:jc w:val="both"/>
        <w:rPr>
          <w:rtl/>
        </w:rPr>
      </w:pPr>
    </w:p>
    <w:p w14:paraId="6E0EAE5F" w14:textId="77777777" w:rsidR="007F18B9" w:rsidRDefault="008C50B6">
      <w:pPr>
        <w:tabs>
          <w:tab w:val="left" w:pos="567"/>
          <w:tab w:val="left" w:pos="1134"/>
          <w:tab w:val="left" w:pos="1701"/>
        </w:tabs>
        <w:spacing w:line="360" w:lineRule="auto"/>
        <w:ind w:left="567" w:hanging="567"/>
        <w:jc w:val="both"/>
        <w:rPr>
          <w:rtl/>
        </w:rPr>
      </w:pPr>
      <w:r>
        <w:rPr>
          <w:rtl/>
        </w:rPr>
        <w:tab/>
        <w:t xml:space="preserve">לגבי התסקיר נאמר שעל אף ששירות המבחן התרשם שמדובר במי שנעדר הרשעות קודמות, הרי שנסיבות העבירה הנטועות בסכסוך דמים קשה בין משפחות והסיכון מצידו של הנאשם </w:t>
      </w:r>
      <w:r>
        <w:rPr>
          <w:rtl/>
        </w:rPr>
        <w:lastRenderedPageBreak/>
        <w:t>להישנות התנהגות דומה בעתיד, לא איפשרו לשירות המבחן לבוא בהמלצה על חלופה עונשית או שיקומית. נוכח כך, סבורה המאשימה כי יש לגזור על הנאשם עונש ברף הגבוה של המתחם.</w:t>
      </w:r>
    </w:p>
    <w:p w14:paraId="4444706E" w14:textId="77777777" w:rsidR="007F18B9" w:rsidRDefault="007F18B9">
      <w:pPr>
        <w:tabs>
          <w:tab w:val="left" w:pos="567"/>
          <w:tab w:val="left" w:pos="1134"/>
          <w:tab w:val="left" w:pos="1701"/>
        </w:tabs>
        <w:spacing w:line="360" w:lineRule="auto"/>
        <w:ind w:left="567" w:hanging="567"/>
        <w:jc w:val="both"/>
        <w:rPr>
          <w:rtl/>
        </w:rPr>
      </w:pPr>
    </w:p>
    <w:p w14:paraId="1099FC36" w14:textId="77777777" w:rsidR="007F18B9" w:rsidRDefault="008C50B6">
      <w:pPr>
        <w:tabs>
          <w:tab w:val="left" w:pos="567"/>
          <w:tab w:val="left" w:pos="1134"/>
          <w:tab w:val="left" w:pos="1701"/>
        </w:tabs>
        <w:spacing w:line="360" w:lineRule="auto"/>
        <w:ind w:left="567" w:hanging="567"/>
        <w:jc w:val="both"/>
        <w:rPr>
          <w:rtl/>
        </w:rPr>
      </w:pPr>
      <w:r>
        <w:rPr>
          <w:rtl/>
        </w:rPr>
        <w:t>5.</w:t>
      </w:r>
      <w:r>
        <w:rPr>
          <w:rtl/>
        </w:rPr>
        <w:tab/>
        <w:t>בפתח טיעוניו לעונש ציין הסנגור כי אין חולק שמדובר בעבירות חמורות. יחד עם זאת יש להביא בחשבון את נסיבות החזקת הנשק ואת נסיבותיו של הנאשם. מדובר במי שזו הסתבכותו הראשונה בפלילים שעד אליה ניהל  אורח חיים נורמטיבי ויציב. ב"כ הנאשם ציין כי אף התרשמות שירות המבחן משולחו היתה חיובית. עיון בתסקיר מלמד כי מדובר בתסקיר חיובי.</w:t>
      </w:r>
    </w:p>
    <w:p w14:paraId="7E6D6BB2" w14:textId="77777777" w:rsidR="007F18B9" w:rsidRDefault="007F18B9">
      <w:pPr>
        <w:tabs>
          <w:tab w:val="left" w:pos="567"/>
          <w:tab w:val="left" w:pos="1134"/>
          <w:tab w:val="left" w:pos="1701"/>
        </w:tabs>
        <w:spacing w:line="360" w:lineRule="auto"/>
        <w:ind w:left="567" w:hanging="567"/>
        <w:jc w:val="both"/>
        <w:rPr>
          <w:rtl/>
        </w:rPr>
      </w:pPr>
    </w:p>
    <w:p w14:paraId="46C981D3" w14:textId="77777777" w:rsidR="007F18B9" w:rsidRDefault="007F18B9">
      <w:pPr>
        <w:tabs>
          <w:tab w:val="left" w:pos="567"/>
          <w:tab w:val="left" w:pos="1134"/>
          <w:tab w:val="left" w:pos="1701"/>
        </w:tabs>
        <w:spacing w:line="360" w:lineRule="auto"/>
        <w:ind w:left="567" w:hanging="567"/>
        <w:jc w:val="both"/>
        <w:rPr>
          <w:rtl/>
        </w:rPr>
      </w:pPr>
    </w:p>
    <w:p w14:paraId="3B8666BA" w14:textId="77777777" w:rsidR="007F18B9" w:rsidRDefault="008C50B6">
      <w:pPr>
        <w:tabs>
          <w:tab w:val="left" w:pos="567"/>
          <w:tab w:val="left" w:pos="1134"/>
          <w:tab w:val="left" w:pos="1701"/>
        </w:tabs>
        <w:spacing w:line="360" w:lineRule="auto"/>
        <w:ind w:left="567" w:hanging="567"/>
        <w:jc w:val="both"/>
        <w:rPr>
          <w:rtl/>
        </w:rPr>
      </w:pPr>
      <w:r>
        <w:rPr>
          <w:rtl/>
        </w:rPr>
        <w:tab/>
        <w:t>הסנגור הוסיף כי יש להביא בחשבון את הודייתו המיידית של הנאשם עוד במשטרה וכן את נטילת האחריות על ידו על מעשיו, הן בפני בית המשפט והן בפני שירות המבחן. בנסיבותיו האישיות מנה הסנגור, בין היתר, את העובדה  שלנאשם נולדה בת  שעד היום לא זכה לראותה.</w:t>
      </w:r>
    </w:p>
    <w:p w14:paraId="2E1FB6B4" w14:textId="77777777" w:rsidR="007F18B9" w:rsidRDefault="007F18B9">
      <w:pPr>
        <w:tabs>
          <w:tab w:val="left" w:pos="567"/>
          <w:tab w:val="left" w:pos="1134"/>
          <w:tab w:val="left" w:pos="1701"/>
        </w:tabs>
        <w:spacing w:line="360" w:lineRule="auto"/>
        <w:ind w:left="567" w:hanging="567"/>
        <w:jc w:val="both"/>
        <w:rPr>
          <w:rtl/>
        </w:rPr>
      </w:pPr>
    </w:p>
    <w:p w14:paraId="11B0D5A9" w14:textId="77777777" w:rsidR="007F18B9" w:rsidRDefault="008C50B6">
      <w:pPr>
        <w:tabs>
          <w:tab w:val="left" w:pos="567"/>
          <w:tab w:val="left" w:pos="1134"/>
          <w:tab w:val="left" w:pos="1701"/>
        </w:tabs>
        <w:spacing w:line="360" w:lineRule="auto"/>
        <w:ind w:left="567" w:hanging="567"/>
        <w:jc w:val="both"/>
        <w:rPr>
          <w:rtl/>
        </w:rPr>
      </w:pPr>
      <w:r>
        <w:rPr>
          <w:rtl/>
        </w:rPr>
        <w:tab/>
        <w:t xml:space="preserve">לאור התסקיר ולאור הודייתו המהירה של הנאשם במשטרה סבור בא כוחו כי ניתן להסתפק בימי המעצר, שהחל ביום 25.1.15. </w:t>
      </w:r>
    </w:p>
    <w:p w14:paraId="480165B2" w14:textId="77777777" w:rsidR="007F18B9" w:rsidRDefault="007F18B9">
      <w:pPr>
        <w:tabs>
          <w:tab w:val="left" w:pos="567"/>
          <w:tab w:val="left" w:pos="1134"/>
          <w:tab w:val="left" w:pos="1701"/>
        </w:tabs>
        <w:spacing w:line="360" w:lineRule="auto"/>
        <w:ind w:left="567" w:hanging="567"/>
        <w:jc w:val="both"/>
        <w:rPr>
          <w:rtl/>
        </w:rPr>
      </w:pPr>
    </w:p>
    <w:p w14:paraId="78A74B6E" w14:textId="77777777" w:rsidR="007F18B9" w:rsidRDefault="008C50B6">
      <w:pPr>
        <w:tabs>
          <w:tab w:val="left" w:pos="567"/>
          <w:tab w:val="left" w:pos="1134"/>
          <w:tab w:val="left" w:pos="1701"/>
        </w:tabs>
        <w:spacing w:line="360" w:lineRule="auto"/>
        <w:ind w:left="567" w:hanging="567"/>
        <w:jc w:val="both"/>
        <w:rPr>
          <w:rtl/>
        </w:rPr>
      </w:pPr>
      <w:r>
        <w:rPr>
          <w:rtl/>
        </w:rPr>
        <w:t>6.</w:t>
      </w:r>
      <w:r>
        <w:rPr>
          <w:rtl/>
        </w:rPr>
        <w:tab/>
        <w:t>בדברו האחרון אמר הנאשם כי הוא יודע שעשה טעות והבטיח לבית המשפט כי לא יחזור על מעשיו. הוא ביקש להשתחרר לביתו על מנת שיוכל להיות לצד אשתו ובתו.</w:t>
      </w:r>
    </w:p>
    <w:p w14:paraId="4505BF22" w14:textId="77777777" w:rsidR="007F18B9" w:rsidRDefault="007F18B9">
      <w:pPr>
        <w:tabs>
          <w:tab w:val="left" w:pos="567"/>
          <w:tab w:val="left" w:pos="1134"/>
          <w:tab w:val="left" w:pos="1701"/>
        </w:tabs>
        <w:spacing w:line="360" w:lineRule="auto"/>
        <w:ind w:left="567" w:hanging="567"/>
        <w:jc w:val="both"/>
        <w:rPr>
          <w:rtl/>
        </w:rPr>
      </w:pPr>
    </w:p>
    <w:p w14:paraId="08826514" w14:textId="77777777" w:rsidR="007F18B9" w:rsidRDefault="008C50B6">
      <w:pPr>
        <w:tabs>
          <w:tab w:val="left" w:pos="567"/>
          <w:tab w:val="left" w:pos="1134"/>
          <w:tab w:val="left" w:pos="1701"/>
        </w:tabs>
        <w:spacing w:line="360" w:lineRule="auto"/>
        <w:ind w:left="567" w:hanging="567"/>
        <w:jc w:val="both"/>
        <w:rPr>
          <w:rtl/>
        </w:rPr>
      </w:pPr>
      <w:r>
        <w:rPr>
          <w:rtl/>
        </w:rPr>
        <w:t>7.</w:t>
      </w:r>
      <w:r>
        <w:rPr>
          <w:rtl/>
        </w:rPr>
        <w:tab/>
        <w:t>מתחם העונש ההולם נקבע בהתאם לעיקרון ההלימה ולשם כך נדרש בית המשפט להתחשב בערכים החברתיים שנפגעו מביצוע העבירה, במידת הפגיעה בהם, במדיניות הענישה הנהוגה ובנסיבות הקשורות בביצוע העבירה.</w:t>
      </w:r>
    </w:p>
    <w:p w14:paraId="0D6C6F0F" w14:textId="77777777" w:rsidR="007F18B9" w:rsidRDefault="007F18B9">
      <w:pPr>
        <w:tabs>
          <w:tab w:val="left" w:pos="567"/>
          <w:tab w:val="left" w:pos="1134"/>
          <w:tab w:val="left" w:pos="1701"/>
        </w:tabs>
        <w:spacing w:line="360" w:lineRule="auto"/>
        <w:ind w:left="567" w:hanging="567"/>
        <w:jc w:val="both"/>
        <w:rPr>
          <w:rtl/>
        </w:rPr>
      </w:pPr>
    </w:p>
    <w:p w14:paraId="13ED4E2C" w14:textId="77777777" w:rsidR="007F18B9" w:rsidRDefault="008C50B6">
      <w:pPr>
        <w:tabs>
          <w:tab w:val="left" w:pos="567"/>
          <w:tab w:val="left" w:pos="1134"/>
          <w:tab w:val="left" w:pos="1701"/>
        </w:tabs>
        <w:spacing w:line="360" w:lineRule="auto"/>
        <w:ind w:left="567" w:hanging="567"/>
        <w:jc w:val="both"/>
        <w:rPr>
          <w:rtl/>
        </w:rPr>
      </w:pPr>
      <w:r>
        <w:rPr>
          <w:rtl/>
        </w:rPr>
        <w:tab/>
        <w:t>אין חולק כי העבירות בהן הורשע הנאשם חמורות. נשיאתו והובלתו של נשק במתחם בו מצוי קהל טומן בחובו פוטנציאל למעשה אלימות העלול לסכן חיי אדם. בית המשפט העליון עמד לא אחת על כך שעבירות הנשק הפכו למכת מדינה שיש צורך להתייחס אליה בחומרה. ב</w:t>
      </w:r>
      <w:hyperlink r:id="rId12" w:history="1">
        <w:r w:rsidRPr="008C50B6">
          <w:rPr>
            <w:color w:val="0000FF"/>
            <w:u w:val="single"/>
            <w:rtl/>
          </w:rPr>
          <w:t>ע"פ 8416/09</w:t>
        </w:r>
      </w:hyperlink>
      <w:r>
        <w:rPr>
          <w:rtl/>
        </w:rPr>
        <w:t xml:space="preserve"> </w:t>
      </w:r>
      <w:r>
        <w:rPr>
          <w:b/>
          <w:bCs/>
          <w:rtl/>
        </w:rPr>
        <w:t>מדינת ישראל נ' חרבוש ואח'</w:t>
      </w:r>
      <w:r>
        <w:rPr>
          <w:rtl/>
        </w:rPr>
        <w:t xml:space="preserve"> (9.6.2010) נאמר כי:</w:t>
      </w:r>
    </w:p>
    <w:p w14:paraId="11DC988C" w14:textId="77777777" w:rsidR="007F18B9" w:rsidRDefault="007F18B9">
      <w:pPr>
        <w:tabs>
          <w:tab w:val="left" w:pos="567"/>
          <w:tab w:val="left" w:pos="1134"/>
          <w:tab w:val="left" w:pos="1701"/>
        </w:tabs>
        <w:spacing w:line="360" w:lineRule="auto"/>
        <w:ind w:left="567" w:hanging="567"/>
        <w:jc w:val="both"/>
        <w:rPr>
          <w:rtl/>
        </w:rPr>
      </w:pPr>
    </w:p>
    <w:p w14:paraId="56D4ECEE" w14:textId="77777777" w:rsidR="007F18B9" w:rsidRDefault="008C50B6">
      <w:pPr>
        <w:tabs>
          <w:tab w:val="left" w:pos="567"/>
          <w:tab w:val="left" w:pos="1134"/>
          <w:tab w:val="left" w:pos="1701"/>
        </w:tabs>
        <w:spacing w:line="360" w:lineRule="auto"/>
        <w:ind w:left="1134" w:right="1134"/>
        <w:jc w:val="both"/>
        <w:rPr>
          <w:rtl/>
        </w:rPr>
      </w:pPr>
      <w:r>
        <w:rPr>
          <w:rtl/>
        </w:rPr>
        <w:t xml:space="preserve">"חומרתה של עבירת החזקת הנשק, מקורה בכך שעבירה זו אינה נעשית לרוב אלא כדי לאפשר ביצוען של עבירות אחרות שמעצם טבעו של הנשק כרוכות באלימות ובהפחדה... המציאות השוררת בארץ המתבטאת בזמינותו של נשק חם ורב עוצמה שיש עמו פוטנציאל להסלמת האלימות העבריינית, מחייבת מתן ביטוי עונשי הולם והחמרה ברמת הענישה (ראו </w:t>
      </w:r>
      <w:hyperlink r:id="rId13" w:history="1">
        <w:r w:rsidRPr="008C50B6">
          <w:rPr>
            <w:color w:val="0000FF"/>
            <w:u w:val="single"/>
            <w:rtl/>
          </w:rPr>
          <w:t>ע"פ 1322/04</w:t>
        </w:r>
      </w:hyperlink>
      <w:r>
        <w:rPr>
          <w:rtl/>
        </w:rPr>
        <w:t xml:space="preserve"> </w:t>
      </w:r>
      <w:r>
        <w:rPr>
          <w:b/>
          <w:bCs/>
          <w:rtl/>
        </w:rPr>
        <w:t>מדינת ישראל נ' פס</w:t>
      </w:r>
      <w:r>
        <w:rPr>
          <w:rtl/>
        </w:rPr>
        <w:t xml:space="preserve">, סעיף 4, 19.4.04). יש לעשות כן עוד בטרם ייעשה באקדח שימוש קטלני, באמצעות הרחקת המחזיק בו מן החברה לפרק זמן, והעברת מסר מרתיע באמצעות עונש מאסר ממשי לריצוי בפועל (ראו למשל </w:t>
      </w:r>
      <w:hyperlink r:id="rId14" w:history="1">
        <w:r w:rsidRPr="008C50B6">
          <w:rPr>
            <w:color w:val="0000FF"/>
            <w:u w:val="single"/>
            <w:rtl/>
          </w:rPr>
          <w:t>ע"פ 3361/08</w:t>
        </w:r>
      </w:hyperlink>
      <w:r>
        <w:rPr>
          <w:rtl/>
        </w:rPr>
        <w:t xml:space="preserve"> </w:t>
      </w:r>
      <w:r>
        <w:rPr>
          <w:b/>
          <w:bCs/>
          <w:rtl/>
        </w:rPr>
        <w:t>ליבוביץ נ' מדינת ישראל</w:t>
      </w:r>
      <w:r>
        <w:rPr>
          <w:rtl/>
        </w:rPr>
        <w:t xml:space="preserve">, 27.7.08; </w:t>
      </w:r>
      <w:hyperlink r:id="rId15" w:history="1">
        <w:r w:rsidRPr="008C50B6">
          <w:rPr>
            <w:color w:val="0000FF"/>
            <w:u w:val="single"/>
            <w:rtl/>
          </w:rPr>
          <w:t>ע"פ 5220/09</w:t>
        </w:r>
      </w:hyperlink>
      <w:r>
        <w:rPr>
          <w:rtl/>
        </w:rPr>
        <w:t xml:space="preserve"> </w:t>
      </w:r>
      <w:r>
        <w:rPr>
          <w:b/>
          <w:bCs/>
          <w:rtl/>
        </w:rPr>
        <w:t>עוואודה</w:t>
      </w:r>
      <w:r>
        <w:rPr>
          <w:rtl/>
        </w:rPr>
        <w:t xml:space="preserve">  </w:t>
      </w:r>
      <w:r>
        <w:rPr>
          <w:b/>
          <w:bCs/>
          <w:rtl/>
        </w:rPr>
        <w:t>נ' מדינת ישראל</w:t>
      </w:r>
      <w:r>
        <w:rPr>
          <w:rtl/>
        </w:rPr>
        <w:t xml:space="preserve">, 30.12.09)". </w:t>
      </w:r>
    </w:p>
    <w:p w14:paraId="41923789" w14:textId="77777777" w:rsidR="007F18B9" w:rsidRDefault="007F18B9">
      <w:pPr>
        <w:tabs>
          <w:tab w:val="left" w:pos="567"/>
          <w:tab w:val="left" w:pos="1134"/>
          <w:tab w:val="left" w:pos="1701"/>
        </w:tabs>
        <w:spacing w:line="360" w:lineRule="auto"/>
        <w:ind w:left="360"/>
        <w:jc w:val="both"/>
        <w:rPr>
          <w:rtl/>
        </w:rPr>
      </w:pPr>
    </w:p>
    <w:p w14:paraId="21694AC7" w14:textId="77777777" w:rsidR="007F18B9" w:rsidRDefault="007F18B9">
      <w:pPr>
        <w:tabs>
          <w:tab w:val="left" w:pos="567"/>
          <w:tab w:val="left" w:pos="1134"/>
          <w:tab w:val="left" w:pos="1701"/>
        </w:tabs>
        <w:spacing w:line="360" w:lineRule="auto"/>
        <w:ind w:left="360"/>
        <w:jc w:val="both"/>
        <w:rPr>
          <w:rtl/>
        </w:rPr>
      </w:pPr>
    </w:p>
    <w:p w14:paraId="5F667D1F" w14:textId="77777777" w:rsidR="007F18B9" w:rsidRDefault="007F18B9">
      <w:pPr>
        <w:tabs>
          <w:tab w:val="left" w:pos="567"/>
          <w:tab w:val="left" w:pos="1134"/>
          <w:tab w:val="left" w:pos="1701"/>
        </w:tabs>
        <w:spacing w:line="360" w:lineRule="auto"/>
        <w:ind w:left="360"/>
        <w:jc w:val="both"/>
        <w:rPr>
          <w:rtl/>
        </w:rPr>
      </w:pPr>
    </w:p>
    <w:p w14:paraId="79DAFD61" w14:textId="77777777" w:rsidR="007F18B9" w:rsidRDefault="007F18B9">
      <w:pPr>
        <w:tabs>
          <w:tab w:val="left" w:pos="567"/>
          <w:tab w:val="left" w:pos="1134"/>
          <w:tab w:val="left" w:pos="1701"/>
        </w:tabs>
        <w:spacing w:line="360" w:lineRule="auto"/>
        <w:ind w:left="360"/>
        <w:jc w:val="both"/>
        <w:rPr>
          <w:rtl/>
        </w:rPr>
      </w:pPr>
    </w:p>
    <w:p w14:paraId="61375A63" w14:textId="77777777" w:rsidR="007F18B9" w:rsidRDefault="008C50B6">
      <w:pPr>
        <w:tabs>
          <w:tab w:val="left" w:pos="567"/>
          <w:tab w:val="left" w:pos="1134"/>
          <w:tab w:val="left" w:pos="1701"/>
        </w:tabs>
        <w:spacing w:line="360" w:lineRule="auto"/>
        <w:ind w:left="567" w:hanging="207"/>
        <w:jc w:val="both"/>
        <w:rPr>
          <w:rtl/>
        </w:rPr>
      </w:pPr>
      <w:r>
        <w:rPr>
          <w:rtl/>
        </w:rPr>
        <w:tab/>
        <w:t>ב</w:t>
      </w:r>
      <w:hyperlink r:id="rId16" w:history="1">
        <w:r w:rsidRPr="008C50B6">
          <w:rPr>
            <w:color w:val="0000FF"/>
            <w:u w:val="single"/>
            <w:rtl/>
          </w:rPr>
          <w:t>ע"פ 1323/13</w:t>
        </w:r>
      </w:hyperlink>
      <w:r>
        <w:rPr>
          <w:rtl/>
        </w:rPr>
        <w:t xml:space="preserve"> </w:t>
      </w:r>
      <w:r>
        <w:rPr>
          <w:b/>
          <w:bCs/>
          <w:rtl/>
        </w:rPr>
        <w:t xml:space="preserve">רך נ' מדינת ישראל </w:t>
      </w:r>
      <w:r>
        <w:rPr>
          <w:rtl/>
        </w:rPr>
        <w:t>(5.6.2013) הדגיש בית המשפט את המגמה המתחייבת של החמרה בענישה בעבירות נשק המיושמת בפסיקה בשנים האחרונות, לצד הצורך להקפיד על ענישה אינדיבידואלית התואמת כל מקרה לנסיבותיו. נאמר כי:</w:t>
      </w:r>
    </w:p>
    <w:p w14:paraId="23937463" w14:textId="77777777" w:rsidR="007F18B9" w:rsidRDefault="007F18B9">
      <w:pPr>
        <w:tabs>
          <w:tab w:val="left" w:pos="567"/>
          <w:tab w:val="left" w:pos="1134"/>
          <w:tab w:val="left" w:pos="1701"/>
        </w:tabs>
        <w:spacing w:line="360" w:lineRule="auto"/>
        <w:ind w:left="360"/>
        <w:jc w:val="both"/>
        <w:rPr>
          <w:rtl/>
        </w:rPr>
      </w:pPr>
    </w:p>
    <w:p w14:paraId="6AE4CD6F" w14:textId="77777777" w:rsidR="007F18B9" w:rsidRDefault="008C50B6">
      <w:pPr>
        <w:tabs>
          <w:tab w:val="left" w:pos="567"/>
          <w:tab w:val="left" w:pos="1134"/>
          <w:tab w:val="left" w:pos="1701"/>
        </w:tabs>
        <w:spacing w:line="360" w:lineRule="auto"/>
        <w:ind w:left="1134" w:right="1134"/>
        <w:jc w:val="both"/>
        <w:rPr>
          <w:rtl/>
        </w:rPr>
      </w:pPr>
      <w:r>
        <w:rPr>
          <w:rtl/>
        </w:rPr>
        <w:t xml:space="preserve">"נוכח היקפן המתרחב של עבירות המבוצעות בנשק בכלל וסחר בנשק בפרט, וזמינותו המדאיגה של נשק בלתי חוקי במחוזותינו, התעורר הצורך להחמיר בעונשי המאסר המוטלים בעבירות אלה. אכן 'התגלגלותם' של כלי נשק מיד ליד ללא פיקוח עלול להוביל להגעתם בדרך לא דרך לגורמים פליליים ועויינים. אין לדעת מה יעלה בגורלם של כלי נשק אלה ולאילו תוצאות הרסניות יובילו – בסכסוך ברחוב, בקטטה בין הניצין ואף בתוך המשפחה פנימה. הסכנה הנשקפת לציבור כתוצאה מעבירות אלה, לצד המימדים שאליהם הגיעו, מחייבים לתת ביטוי הולם וכבד משקל להגנה על הערך החברתי שנפגע כתוצאה מפעילות עבריינית זו...למותר לציין כי אין בכך כדי לחתור תחת האופי האינדיבידואלי שבמלאכת הענישה, הנעשית בכל מקרה לגופו, לפי נסיבותיו ומידת אשמו של הנאשם". </w:t>
      </w:r>
    </w:p>
    <w:p w14:paraId="66AA0280" w14:textId="77777777" w:rsidR="007F18B9" w:rsidRDefault="007F18B9">
      <w:pPr>
        <w:tabs>
          <w:tab w:val="left" w:pos="567"/>
          <w:tab w:val="left" w:pos="1134"/>
          <w:tab w:val="left" w:pos="1701"/>
        </w:tabs>
        <w:spacing w:line="360" w:lineRule="auto"/>
        <w:ind w:left="1134" w:right="1134"/>
        <w:jc w:val="both"/>
        <w:rPr>
          <w:rtl/>
        </w:rPr>
      </w:pPr>
    </w:p>
    <w:p w14:paraId="232EC6FD" w14:textId="77777777" w:rsidR="007F18B9" w:rsidRDefault="008C50B6">
      <w:pPr>
        <w:tabs>
          <w:tab w:val="left" w:pos="567"/>
          <w:tab w:val="left" w:pos="1134"/>
          <w:tab w:val="left" w:pos="1701"/>
        </w:tabs>
        <w:spacing w:line="360" w:lineRule="auto"/>
        <w:ind w:left="567" w:hanging="567"/>
        <w:jc w:val="both"/>
        <w:rPr>
          <w:rtl/>
        </w:rPr>
      </w:pPr>
      <w:r>
        <w:rPr>
          <w:rtl/>
        </w:rPr>
        <w:t>8.</w:t>
      </w:r>
      <w:r>
        <w:rPr>
          <w:rtl/>
        </w:rPr>
        <w:tab/>
        <w:t xml:space="preserve">בענייננו, מדובר אמנם בעבירות חמורות מעצם טיבן, בהיותן עבירות נשק. יחד עם זאת, מדובר בעבירות של החזקה ונשיאה אשר נקבע לגביהן כי הן מצויות במדרג הנמוך של עבירות הנשק. בנוסף, יש להביא בחשבון, בנסיבות הקשורות לביצוע העבירה, את סוג הנשק שבו מדובר וכמות התחמושת שנתפסה. </w:t>
      </w:r>
    </w:p>
    <w:p w14:paraId="54948D42" w14:textId="77777777" w:rsidR="007F18B9" w:rsidRDefault="007F18B9">
      <w:pPr>
        <w:tabs>
          <w:tab w:val="left" w:pos="567"/>
          <w:tab w:val="left" w:pos="1134"/>
          <w:tab w:val="left" w:pos="1701"/>
        </w:tabs>
        <w:spacing w:line="360" w:lineRule="auto"/>
        <w:ind w:left="567" w:hanging="567"/>
        <w:jc w:val="both"/>
        <w:rPr>
          <w:rtl/>
        </w:rPr>
      </w:pPr>
    </w:p>
    <w:p w14:paraId="61FC0367" w14:textId="77777777" w:rsidR="007F18B9" w:rsidRDefault="008C50B6">
      <w:pPr>
        <w:tabs>
          <w:tab w:val="left" w:pos="567"/>
          <w:tab w:val="left" w:pos="1134"/>
          <w:tab w:val="left" w:pos="1701"/>
        </w:tabs>
        <w:spacing w:line="360" w:lineRule="auto"/>
        <w:ind w:left="567" w:hanging="567"/>
        <w:jc w:val="both"/>
        <w:rPr>
          <w:rtl/>
        </w:rPr>
      </w:pPr>
      <w:r>
        <w:rPr>
          <w:rtl/>
        </w:rPr>
        <w:tab/>
        <w:t xml:space="preserve">בע"פ </w:t>
      </w:r>
      <w:hyperlink r:id="rId17" w:history="1">
        <w:r w:rsidR="00BC253E" w:rsidRPr="00BC253E">
          <w:rPr>
            <w:color w:val="0000FF"/>
            <w:u w:val="single"/>
            <w:rtl/>
          </w:rPr>
          <w:t xml:space="preserve">1332/04 </w:t>
        </w:r>
      </w:hyperlink>
      <w:r>
        <w:rPr>
          <w:rtl/>
        </w:rPr>
        <w:t xml:space="preserve"> </w:t>
      </w:r>
      <w:r>
        <w:rPr>
          <w:b/>
          <w:bCs/>
          <w:rtl/>
        </w:rPr>
        <w:t>מדינת ישראל נ' פס</w:t>
      </w:r>
      <w:r>
        <w:rPr>
          <w:rtl/>
        </w:rPr>
        <w:t xml:space="preserve"> (פ"ד נח(5), 541) נאמר כי:</w:t>
      </w:r>
    </w:p>
    <w:p w14:paraId="1C1B6BE0" w14:textId="77777777" w:rsidR="007F18B9" w:rsidRDefault="007F18B9">
      <w:pPr>
        <w:tabs>
          <w:tab w:val="left" w:pos="567"/>
          <w:tab w:val="left" w:pos="1134"/>
          <w:tab w:val="left" w:pos="1701"/>
        </w:tabs>
        <w:spacing w:line="360" w:lineRule="auto"/>
        <w:ind w:left="360"/>
        <w:jc w:val="both"/>
        <w:rPr>
          <w:rtl/>
        </w:rPr>
      </w:pPr>
    </w:p>
    <w:p w14:paraId="6306219A" w14:textId="77777777" w:rsidR="007F18B9" w:rsidRDefault="008C50B6">
      <w:pPr>
        <w:tabs>
          <w:tab w:val="left" w:pos="567"/>
          <w:tab w:val="left" w:pos="1134"/>
          <w:tab w:val="left" w:pos="1701"/>
        </w:tabs>
        <w:spacing w:line="360" w:lineRule="auto"/>
        <w:ind w:left="1134" w:right="1134"/>
        <w:jc w:val="both"/>
        <w:rPr>
          <w:rtl/>
        </w:rPr>
      </w:pPr>
      <w:r>
        <w:rPr>
          <w:rtl/>
        </w:rPr>
        <w:t xml:space="preserve">"בבוא בית המשפט לגזור את הדין בעבירה של החזקה ונשיאה של נשק, עליו להתחשב בנסיבות שבהן באה לידי ביטוי החומרה המיוחדת שבעבירה, בין היתר, יתן בית המשפט את דעתו על סוג הנשק המוחזק שלא כדין, על כמותו, על התכלית שלשמה הוא מוחזק ועל הסכנה המוחשית שיעשה בו שימוש". </w:t>
      </w:r>
    </w:p>
    <w:p w14:paraId="7D43F7BE" w14:textId="77777777" w:rsidR="007F18B9" w:rsidRDefault="007F18B9">
      <w:pPr>
        <w:tabs>
          <w:tab w:val="left" w:pos="567"/>
          <w:tab w:val="left" w:pos="1134"/>
          <w:tab w:val="left" w:pos="1701"/>
        </w:tabs>
        <w:spacing w:line="360" w:lineRule="auto"/>
        <w:ind w:left="360"/>
        <w:jc w:val="both"/>
        <w:rPr>
          <w:rtl/>
        </w:rPr>
      </w:pPr>
    </w:p>
    <w:p w14:paraId="33843C52" w14:textId="77777777" w:rsidR="007F18B9" w:rsidRDefault="008C50B6">
      <w:pPr>
        <w:tabs>
          <w:tab w:val="left" w:pos="567"/>
          <w:tab w:val="left" w:pos="1134"/>
          <w:tab w:val="left" w:pos="1701"/>
        </w:tabs>
        <w:spacing w:line="360" w:lineRule="auto"/>
        <w:ind w:left="567" w:hanging="567"/>
        <w:jc w:val="both"/>
        <w:rPr>
          <w:rtl/>
        </w:rPr>
      </w:pPr>
      <w:r>
        <w:rPr>
          <w:rtl/>
        </w:rPr>
        <w:t>9.</w:t>
      </w:r>
      <w:r>
        <w:rPr>
          <w:rtl/>
        </w:rPr>
        <w:tab/>
        <w:t>בהתחשב במכלול הנסיבות של ביצוע העבירה, הפגיעה בערכים המוגנים ומדיניות הענישה הנוהגת, אני קובע כי מתחם העונש הראוי במקרה זה נע בין מאסר בפועל לתקופה של 10 עד 36 חודשים.</w:t>
      </w:r>
    </w:p>
    <w:p w14:paraId="730AD8D9" w14:textId="77777777" w:rsidR="007F18B9" w:rsidRDefault="007F18B9">
      <w:pPr>
        <w:tabs>
          <w:tab w:val="left" w:pos="567"/>
          <w:tab w:val="left" w:pos="1134"/>
          <w:tab w:val="left" w:pos="1701"/>
        </w:tabs>
        <w:spacing w:line="360" w:lineRule="auto"/>
        <w:ind w:left="567" w:hanging="567"/>
        <w:jc w:val="both"/>
        <w:rPr>
          <w:rtl/>
        </w:rPr>
      </w:pPr>
    </w:p>
    <w:p w14:paraId="022DEC7B" w14:textId="77777777" w:rsidR="007F18B9" w:rsidRDefault="008C50B6">
      <w:pPr>
        <w:tabs>
          <w:tab w:val="left" w:pos="567"/>
          <w:tab w:val="left" w:pos="1134"/>
          <w:tab w:val="left" w:pos="1701"/>
        </w:tabs>
        <w:spacing w:line="360" w:lineRule="auto"/>
        <w:ind w:left="567" w:hanging="567"/>
        <w:jc w:val="both"/>
        <w:rPr>
          <w:rtl/>
        </w:rPr>
      </w:pPr>
      <w:r>
        <w:rPr>
          <w:rtl/>
        </w:rPr>
        <w:t>10.</w:t>
      </w:r>
      <w:r>
        <w:rPr>
          <w:rtl/>
        </w:rPr>
        <w:tab/>
        <w:t>בבואי לגזור את העונש בתוך המתחם, ראיתי להביא בחשבון את עברו הנקי של הנאשם. מדובר במי שניהל, עד הסתבכותו בתיק זה, אורח חיים נורמטיבי ויציב. מתסקיר שירות המבחן עולה כי לא מדובר בבעל דפוסי התנהגות עבריינים או אלימים. נהפוך הוא, קצינת המבחן התרשמה כי הנאשם ניחן בתפיסת עולם ובעמדות המצביעות על הסתייגות והתנגדות לשימוש באלימות כלפי האחר.</w:t>
      </w:r>
    </w:p>
    <w:p w14:paraId="36D5D0AC" w14:textId="77777777" w:rsidR="007F18B9" w:rsidRDefault="007F18B9">
      <w:pPr>
        <w:tabs>
          <w:tab w:val="left" w:pos="567"/>
          <w:tab w:val="left" w:pos="1134"/>
          <w:tab w:val="left" w:pos="1701"/>
        </w:tabs>
        <w:ind w:left="567" w:hanging="567"/>
        <w:jc w:val="both"/>
        <w:rPr>
          <w:rtl/>
        </w:rPr>
      </w:pPr>
    </w:p>
    <w:p w14:paraId="43B333D9" w14:textId="77777777" w:rsidR="007F18B9" w:rsidRDefault="008C50B6">
      <w:pPr>
        <w:tabs>
          <w:tab w:val="left" w:pos="567"/>
          <w:tab w:val="left" w:pos="1134"/>
          <w:tab w:val="left" w:pos="1701"/>
        </w:tabs>
        <w:spacing w:line="360" w:lineRule="auto"/>
        <w:ind w:left="567" w:hanging="567"/>
        <w:jc w:val="both"/>
        <w:rPr>
          <w:rtl/>
        </w:rPr>
      </w:pPr>
      <w:r>
        <w:rPr>
          <w:rtl/>
        </w:rPr>
        <w:tab/>
        <w:t>בנוסף, הבאתי בחשבון את הודייתו המיידית של הנאשם אשר לא זו בלבד שהביאה לחיסכון בזמן שיפוטי יקר וחסכה את הצורך בהעדת עדי התביעה אלא היא מבטאת גם הודייה ונטילת אחריות מצדו ביחס למעשיו.</w:t>
      </w:r>
    </w:p>
    <w:p w14:paraId="4CD8E2C0" w14:textId="77777777" w:rsidR="007F18B9" w:rsidRDefault="007F18B9">
      <w:pPr>
        <w:tabs>
          <w:tab w:val="left" w:pos="567"/>
          <w:tab w:val="left" w:pos="1134"/>
          <w:tab w:val="left" w:pos="1701"/>
        </w:tabs>
        <w:ind w:left="567" w:hanging="567"/>
        <w:jc w:val="both"/>
        <w:rPr>
          <w:rtl/>
        </w:rPr>
      </w:pPr>
    </w:p>
    <w:p w14:paraId="377FAE33" w14:textId="77777777" w:rsidR="007F18B9" w:rsidRDefault="008C50B6">
      <w:pPr>
        <w:tabs>
          <w:tab w:val="left" w:pos="567"/>
          <w:tab w:val="left" w:pos="1134"/>
          <w:tab w:val="left" w:pos="1701"/>
        </w:tabs>
        <w:spacing w:line="360" w:lineRule="auto"/>
        <w:ind w:left="567" w:hanging="567"/>
        <w:jc w:val="both"/>
        <w:rPr>
          <w:rtl/>
        </w:rPr>
      </w:pPr>
      <w:r>
        <w:rPr>
          <w:rtl/>
        </w:rPr>
        <w:tab/>
        <w:t>לאור השיקולים לקולא אני מוצא לגזור את עונשו של הנאשם ברף התחתון של המתחם.</w:t>
      </w:r>
    </w:p>
    <w:p w14:paraId="384ABB30" w14:textId="77777777" w:rsidR="007F18B9" w:rsidRDefault="007F18B9">
      <w:pPr>
        <w:tabs>
          <w:tab w:val="left" w:pos="567"/>
          <w:tab w:val="left" w:pos="1134"/>
          <w:tab w:val="left" w:pos="1701"/>
        </w:tabs>
        <w:spacing w:line="360" w:lineRule="auto"/>
        <w:ind w:left="567" w:hanging="567"/>
        <w:jc w:val="both"/>
        <w:rPr>
          <w:rtl/>
        </w:rPr>
      </w:pPr>
    </w:p>
    <w:p w14:paraId="25FBE00E" w14:textId="77777777" w:rsidR="007F18B9" w:rsidRDefault="008C50B6">
      <w:pPr>
        <w:tabs>
          <w:tab w:val="left" w:pos="567"/>
          <w:tab w:val="left" w:pos="1134"/>
          <w:tab w:val="left" w:pos="1701"/>
        </w:tabs>
        <w:spacing w:line="360" w:lineRule="auto"/>
        <w:ind w:left="567" w:hanging="567"/>
        <w:jc w:val="both"/>
        <w:rPr>
          <w:rtl/>
        </w:rPr>
      </w:pPr>
      <w:r>
        <w:rPr>
          <w:rtl/>
        </w:rPr>
        <w:t>11.</w:t>
      </w:r>
      <w:r>
        <w:rPr>
          <w:rtl/>
        </w:rPr>
        <w:tab/>
        <w:t>אשר על כן, אני גוזר על הנאשם את העונשים הבאים:</w:t>
      </w:r>
    </w:p>
    <w:p w14:paraId="4ACF34BB" w14:textId="77777777" w:rsidR="007F18B9" w:rsidRDefault="007F18B9">
      <w:pPr>
        <w:tabs>
          <w:tab w:val="left" w:pos="567"/>
          <w:tab w:val="left" w:pos="1134"/>
          <w:tab w:val="left" w:pos="1701"/>
        </w:tabs>
        <w:spacing w:line="360" w:lineRule="auto"/>
        <w:ind w:left="360"/>
        <w:jc w:val="both"/>
        <w:rPr>
          <w:rtl/>
        </w:rPr>
      </w:pPr>
    </w:p>
    <w:p w14:paraId="0A26B3E4" w14:textId="77777777" w:rsidR="007F18B9" w:rsidRDefault="008C50B6">
      <w:pPr>
        <w:tabs>
          <w:tab w:val="left" w:pos="567"/>
          <w:tab w:val="left" w:pos="1134"/>
          <w:tab w:val="left" w:pos="1701"/>
        </w:tabs>
        <w:spacing w:line="360" w:lineRule="auto"/>
        <w:ind w:left="360"/>
        <w:jc w:val="both"/>
        <w:rPr>
          <w:rtl/>
        </w:rPr>
      </w:pPr>
      <w:r>
        <w:rPr>
          <w:rtl/>
        </w:rPr>
        <w:t>11.1</w:t>
      </w:r>
      <w:r>
        <w:rPr>
          <w:rtl/>
        </w:rPr>
        <w:tab/>
        <w:t>10 חודשי מאסר בפועל שמניינם יחל מיום מעצרו בתיק זה – 25.1.15.</w:t>
      </w:r>
    </w:p>
    <w:p w14:paraId="09CFF006" w14:textId="77777777" w:rsidR="007F18B9" w:rsidRDefault="007F18B9">
      <w:pPr>
        <w:tabs>
          <w:tab w:val="left" w:pos="567"/>
          <w:tab w:val="left" w:pos="1134"/>
          <w:tab w:val="left" w:pos="1701"/>
        </w:tabs>
        <w:spacing w:line="360" w:lineRule="auto"/>
        <w:ind w:left="360"/>
        <w:jc w:val="both"/>
        <w:rPr>
          <w:rtl/>
        </w:rPr>
      </w:pPr>
    </w:p>
    <w:p w14:paraId="0937C085" w14:textId="77777777" w:rsidR="007F18B9" w:rsidRDefault="008C50B6">
      <w:pPr>
        <w:tabs>
          <w:tab w:val="left" w:pos="567"/>
          <w:tab w:val="left" w:pos="1134"/>
          <w:tab w:val="left" w:pos="1701"/>
        </w:tabs>
        <w:spacing w:line="360" w:lineRule="auto"/>
        <w:ind w:left="360"/>
        <w:jc w:val="both"/>
        <w:rPr>
          <w:rtl/>
        </w:rPr>
      </w:pPr>
      <w:r>
        <w:rPr>
          <w:rtl/>
        </w:rPr>
        <w:t>11.2</w:t>
      </w:r>
      <w:r>
        <w:rPr>
          <w:rtl/>
        </w:rPr>
        <w:tab/>
        <w:t>5 חודשי מאסר על תנאי לבל יעבור משך 3 שנים את העבירה בה הורשע בתיק זה.</w:t>
      </w:r>
    </w:p>
    <w:p w14:paraId="3AE1537B" w14:textId="77777777" w:rsidR="007F18B9" w:rsidRDefault="007F18B9">
      <w:pPr>
        <w:tabs>
          <w:tab w:val="left" w:pos="567"/>
          <w:tab w:val="left" w:pos="1134"/>
          <w:tab w:val="left" w:pos="1701"/>
        </w:tabs>
        <w:spacing w:line="360" w:lineRule="auto"/>
        <w:ind w:left="360"/>
        <w:jc w:val="both"/>
        <w:rPr>
          <w:rtl/>
        </w:rPr>
      </w:pPr>
    </w:p>
    <w:p w14:paraId="714C731E" w14:textId="77777777" w:rsidR="007F18B9" w:rsidRDefault="007F18B9">
      <w:pPr>
        <w:rPr>
          <w:rFonts w:ascii="Arial" w:hAnsi="Arial"/>
          <w:rtl/>
        </w:rPr>
      </w:pPr>
    </w:p>
    <w:p w14:paraId="1CE93325" w14:textId="77777777" w:rsidR="007F18B9" w:rsidRDefault="008C50B6">
      <w:pPr>
        <w:rPr>
          <w:b/>
          <w:bCs/>
          <w:u w:val="single"/>
          <w:rtl/>
        </w:rPr>
      </w:pPr>
      <w:r>
        <w:rPr>
          <w:rFonts w:hint="cs"/>
          <w:b/>
          <w:bCs/>
          <w:u w:val="single"/>
          <w:rtl/>
        </w:rPr>
        <w:t xml:space="preserve">זכות ערעור לבית המשפט העליון תוך 45 יום. </w:t>
      </w:r>
    </w:p>
    <w:p w14:paraId="395BE5FD" w14:textId="77777777" w:rsidR="007F18B9" w:rsidRDefault="007F18B9">
      <w:pPr>
        <w:rPr>
          <w:rtl/>
        </w:rPr>
      </w:pPr>
    </w:p>
    <w:p w14:paraId="1592E2B2" w14:textId="77777777" w:rsidR="007F18B9" w:rsidRDefault="007F18B9">
      <w:pPr>
        <w:rPr>
          <w:rtl/>
        </w:rPr>
      </w:pPr>
    </w:p>
    <w:p w14:paraId="3F0F7A97" w14:textId="77777777" w:rsidR="007F18B9" w:rsidRPr="008C50B6" w:rsidRDefault="008C50B6">
      <w:pPr>
        <w:rPr>
          <w:color w:val="FFFFFF"/>
          <w:sz w:val="2"/>
          <w:szCs w:val="2"/>
          <w:rtl/>
        </w:rPr>
      </w:pPr>
      <w:r w:rsidRPr="008C50B6">
        <w:rPr>
          <w:color w:val="FFFFFF"/>
          <w:sz w:val="2"/>
          <w:szCs w:val="2"/>
          <w:rtl/>
        </w:rPr>
        <w:t>5129371</w:t>
      </w:r>
    </w:p>
    <w:p w14:paraId="4FDEC7F9" w14:textId="77777777" w:rsidR="007F18B9" w:rsidRDefault="008C50B6">
      <w:pPr>
        <w:spacing w:line="360" w:lineRule="auto"/>
        <w:jc w:val="both"/>
        <w:rPr>
          <w:rFonts w:ascii="Arial" w:hAnsi="Arial"/>
          <w:rtl/>
        </w:rPr>
      </w:pPr>
      <w:r w:rsidRPr="008C50B6">
        <w:rPr>
          <w:rFonts w:ascii="Arial" w:hAnsi="Arial"/>
          <w:color w:val="FFFFFF"/>
          <w:sz w:val="2"/>
          <w:szCs w:val="2"/>
          <w:rtl/>
        </w:rPr>
        <w:t>54678313</w:t>
      </w:r>
      <w:r>
        <w:rPr>
          <w:rFonts w:ascii="Arial" w:hAnsi="Arial"/>
          <w:rtl/>
        </w:rPr>
        <w:t xml:space="preserve">ניתן היום,  ז' תשרי תשע"ו, 20 ספטמבר 2015,  בנוכחות הצדדים. </w:t>
      </w:r>
    </w:p>
    <w:p w14:paraId="30AA827C" w14:textId="77777777" w:rsidR="007F18B9" w:rsidRDefault="008C50B6">
      <w:pPr>
        <w:jc w:val="center"/>
      </w:pP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185C9F86" w14:textId="77777777" w:rsidR="007F18B9" w:rsidRDefault="007F18B9">
      <w:pPr>
        <w:jc w:val="center"/>
        <w:rPr>
          <w:rFonts w:ascii="Arial" w:hAnsi="Arial" w:cs="FrankRuehl"/>
          <w:sz w:val="28"/>
          <w:szCs w:val="28"/>
          <w:rtl/>
        </w:rPr>
      </w:pPr>
    </w:p>
    <w:p w14:paraId="34608E4E" w14:textId="77777777" w:rsidR="007F18B9" w:rsidRDefault="007F18B9">
      <w:pPr>
        <w:rPr>
          <w:rFonts w:cs="FrankRuehl"/>
          <w:sz w:val="28"/>
          <w:szCs w:val="28"/>
          <w:rtl/>
        </w:rPr>
      </w:pPr>
    </w:p>
    <w:p w14:paraId="774009C5" w14:textId="77777777" w:rsidR="007F18B9" w:rsidRDefault="007F18B9">
      <w:pPr>
        <w:pStyle w:val="a3"/>
        <w:jc w:val="center"/>
        <w:rPr>
          <w:rtl/>
        </w:rPr>
      </w:pPr>
    </w:p>
    <w:p w14:paraId="6EC3B6AF" w14:textId="77777777" w:rsidR="008C50B6" w:rsidRPr="008C50B6" w:rsidRDefault="008C50B6" w:rsidP="008C50B6">
      <w:pPr>
        <w:keepNext/>
        <w:rPr>
          <w:rFonts w:ascii="David" w:hAnsi="David"/>
          <w:color w:val="000000"/>
          <w:sz w:val="22"/>
          <w:szCs w:val="22"/>
          <w:rtl/>
        </w:rPr>
      </w:pPr>
    </w:p>
    <w:p w14:paraId="65445BF8" w14:textId="77777777" w:rsidR="008C50B6" w:rsidRPr="008C50B6" w:rsidRDefault="008C50B6" w:rsidP="008C50B6">
      <w:pPr>
        <w:keepNext/>
        <w:rPr>
          <w:rFonts w:ascii="David" w:hAnsi="David"/>
          <w:color w:val="000000"/>
          <w:sz w:val="22"/>
          <w:szCs w:val="22"/>
          <w:rtl/>
        </w:rPr>
      </w:pPr>
      <w:r w:rsidRPr="008C50B6">
        <w:rPr>
          <w:rFonts w:ascii="David" w:hAnsi="David"/>
          <w:color w:val="000000"/>
          <w:sz w:val="22"/>
          <w:szCs w:val="22"/>
          <w:rtl/>
        </w:rPr>
        <w:t>אמיר טובי 54678313</w:t>
      </w:r>
    </w:p>
    <w:p w14:paraId="0A8937CD" w14:textId="77777777" w:rsidR="008C50B6" w:rsidRDefault="008C50B6" w:rsidP="008C50B6">
      <w:r w:rsidRPr="008C50B6">
        <w:rPr>
          <w:color w:val="000000"/>
          <w:rtl/>
        </w:rPr>
        <w:t>נוסח מסמך זה כפוף לשינויי ניסוח ועריכה</w:t>
      </w:r>
    </w:p>
    <w:p w14:paraId="4D2E6CDE" w14:textId="77777777" w:rsidR="008C50B6" w:rsidRDefault="008C50B6" w:rsidP="008C50B6">
      <w:pPr>
        <w:rPr>
          <w:rtl/>
        </w:rPr>
      </w:pPr>
    </w:p>
    <w:p w14:paraId="09135FBC" w14:textId="77777777" w:rsidR="008C50B6" w:rsidRDefault="008C50B6" w:rsidP="008C50B6">
      <w:pPr>
        <w:jc w:val="center"/>
        <w:rPr>
          <w:color w:val="0000FF"/>
          <w:u w:val="single"/>
        </w:rPr>
      </w:pPr>
      <w:hyperlink r:id="rId18" w:history="1">
        <w:r>
          <w:rPr>
            <w:color w:val="0000FF"/>
            <w:u w:val="single"/>
            <w:rtl/>
          </w:rPr>
          <w:t>בעניין עריכה ושינויים במסמכי פסיקה, חקיקה ועוד באתר נבו – הקש כאן</w:t>
        </w:r>
      </w:hyperlink>
    </w:p>
    <w:p w14:paraId="474C7607" w14:textId="77777777" w:rsidR="007F18B9" w:rsidRPr="008C50B6" w:rsidRDefault="00BC253E" w:rsidP="008C50B6">
      <w:pPr>
        <w:jc w:val="center"/>
        <w:rPr>
          <w:color w:val="0000FF"/>
          <w:u w:val="single"/>
        </w:rPr>
      </w:pPr>
      <w:r>
        <w:rPr>
          <w:rFonts w:hint="cs"/>
          <w:color w:val="0000FF"/>
          <w:u w:val="single"/>
          <w:rtl/>
        </w:rPr>
        <w:t xml:space="preserve"> </w:t>
      </w:r>
    </w:p>
    <w:sectPr w:rsidR="007F18B9" w:rsidRPr="008C50B6" w:rsidSect="008C50B6">
      <w:headerReference w:type="even" r:id="rId19"/>
      <w:headerReference w:type="default" r:id="rId20"/>
      <w:footerReference w:type="even" r:id="rId21"/>
      <w:footerReference w:type="default" r:id="rId22"/>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82DF2B" w14:textId="77777777" w:rsidR="00F136B0" w:rsidRDefault="00F136B0">
      <w:r>
        <w:separator/>
      </w:r>
    </w:p>
  </w:endnote>
  <w:endnote w:type="continuationSeparator" w:id="0">
    <w:p w14:paraId="05257C5D" w14:textId="77777777" w:rsidR="00F136B0" w:rsidRDefault="00F136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83A18C" w14:textId="77777777" w:rsidR="00F136B0" w:rsidRDefault="00F136B0" w:rsidP="008C50B6">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68D947BC" w14:textId="77777777" w:rsidR="00F136B0" w:rsidRPr="008C50B6" w:rsidRDefault="00F136B0" w:rsidP="008C50B6">
    <w:pPr>
      <w:pStyle w:val="a4"/>
      <w:pBdr>
        <w:top w:val="single" w:sz="4" w:space="1" w:color="auto"/>
        <w:between w:val="single" w:sz="4" w:space="0" w:color="auto"/>
      </w:pBdr>
      <w:spacing w:after="60"/>
      <w:jc w:val="center"/>
      <w:rPr>
        <w:rFonts w:ascii="FrankRuehl" w:hAnsi="FrankRuehl" w:cs="FrankRuehl"/>
        <w:color w:val="000000"/>
      </w:rPr>
    </w:pPr>
    <w:r w:rsidRPr="008C50B6">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7.85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314E41" w14:textId="77777777" w:rsidR="00F136B0" w:rsidRDefault="00F136B0" w:rsidP="008C50B6">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776270">
      <w:rPr>
        <w:rFonts w:ascii="FrankRuehl" w:hAnsi="FrankRuehl" w:cs="FrankRuehl"/>
        <w:noProof/>
        <w:rtl/>
      </w:rPr>
      <w:t>1</w:t>
    </w:r>
    <w:r>
      <w:rPr>
        <w:rFonts w:ascii="FrankRuehl" w:hAnsi="FrankRuehl" w:cs="FrankRuehl"/>
        <w:rtl/>
      </w:rPr>
      <w:fldChar w:fldCharType="end"/>
    </w:r>
  </w:p>
  <w:p w14:paraId="6C93FDA2" w14:textId="77777777" w:rsidR="00F136B0" w:rsidRPr="008C50B6" w:rsidRDefault="00F136B0" w:rsidP="008C50B6">
    <w:pPr>
      <w:pStyle w:val="a4"/>
      <w:pBdr>
        <w:top w:val="single" w:sz="4" w:space="1" w:color="auto"/>
        <w:between w:val="single" w:sz="4" w:space="0" w:color="auto"/>
      </w:pBdr>
      <w:spacing w:after="60"/>
      <w:jc w:val="center"/>
      <w:rPr>
        <w:rFonts w:ascii="FrankRuehl" w:hAnsi="FrankRuehl" w:cs="FrankRuehl"/>
        <w:color w:val="000000"/>
      </w:rPr>
    </w:pPr>
    <w:r w:rsidRPr="008C50B6">
      <w:rPr>
        <w:rFonts w:ascii="FrankRuehl" w:hAnsi="FrankRuehl" w:cs="FrankRuehl"/>
        <w:color w:val="000000"/>
      </w:rPr>
      <w:pict w14:anchorId="7598EA6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7.85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A24963B" w14:textId="77777777" w:rsidR="00F136B0" w:rsidRDefault="00F136B0">
      <w:r>
        <w:separator/>
      </w:r>
    </w:p>
  </w:footnote>
  <w:footnote w:type="continuationSeparator" w:id="0">
    <w:p w14:paraId="04A6D242" w14:textId="77777777" w:rsidR="00F136B0" w:rsidRDefault="00F136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EADAC8" w14:textId="77777777" w:rsidR="00F136B0" w:rsidRPr="008C50B6" w:rsidRDefault="00F136B0" w:rsidP="008C50B6">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9111-02-15</w:t>
    </w:r>
    <w:r>
      <w:rPr>
        <w:rFonts w:ascii="David" w:hAnsi="David"/>
        <w:color w:val="000000"/>
        <w:sz w:val="22"/>
        <w:szCs w:val="22"/>
        <w:rtl/>
      </w:rPr>
      <w:tab/>
      <w:t xml:space="preserve"> מדינת ישראל נ' אחמד חסארמה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D57D74" w14:textId="77777777" w:rsidR="00F136B0" w:rsidRPr="008C50B6" w:rsidRDefault="00F136B0" w:rsidP="008C50B6">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9111-02-15</w:t>
    </w:r>
    <w:r>
      <w:rPr>
        <w:rFonts w:ascii="David" w:hAnsi="David"/>
        <w:color w:val="000000"/>
        <w:sz w:val="22"/>
        <w:szCs w:val="22"/>
        <w:rtl/>
      </w:rPr>
      <w:tab/>
      <w:t xml:space="preserve"> מדינת ישראל נ' אחמד חסארמה</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7F18B9"/>
    <w:rsid w:val="00464C45"/>
    <w:rsid w:val="00537268"/>
    <w:rsid w:val="006C5B4E"/>
    <w:rsid w:val="00776270"/>
    <w:rsid w:val="007F18B9"/>
    <w:rsid w:val="008500FC"/>
    <w:rsid w:val="008C50B6"/>
    <w:rsid w:val="008C72C5"/>
    <w:rsid w:val="00A76CC1"/>
    <w:rsid w:val="00A92183"/>
    <w:rsid w:val="00BC253E"/>
    <w:rsid w:val="00DF75F1"/>
    <w:rsid w:val="00E435BF"/>
    <w:rsid w:val="00F136B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7A690DAA"/>
  <w15:chartTrackingRefBased/>
  <w15:docId w15:val="{624FE9E0-E922-42E8-9569-8F7BACD68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F18B9"/>
    <w:pPr>
      <w:bidi/>
    </w:pPr>
    <w:rPr>
      <w:rFonts w:cs="David"/>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7F18B9"/>
    <w:pPr>
      <w:tabs>
        <w:tab w:val="center" w:pos="4153"/>
        <w:tab w:val="right" w:pos="8306"/>
      </w:tabs>
    </w:pPr>
  </w:style>
  <w:style w:type="paragraph" w:styleId="a4">
    <w:name w:val="footer"/>
    <w:basedOn w:val="a"/>
    <w:rsid w:val="007F18B9"/>
    <w:pPr>
      <w:tabs>
        <w:tab w:val="center" w:pos="4153"/>
        <w:tab w:val="right" w:pos="8306"/>
      </w:tabs>
    </w:pPr>
  </w:style>
  <w:style w:type="character" w:styleId="a5">
    <w:name w:val="page number"/>
    <w:basedOn w:val="a0"/>
    <w:rsid w:val="007F18B9"/>
  </w:style>
  <w:style w:type="character" w:customStyle="1" w:styleId="TimesNewRomanTimesNewRoman">
    <w:name w:val="סגנון (לטיני) Times New Roman (עברית ושפות אחרות) Times New Roman..."/>
    <w:rsid w:val="007F18B9"/>
    <w:rPr>
      <w:rFonts w:ascii="Times New Roman" w:hAnsi="Times New Roman" w:cs="David" w:hint="default"/>
      <w:b/>
      <w:bCs/>
      <w:sz w:val="26"/>
      <w:szCs w:val="26"/>
    </w:rPr>
  </w:style>
  <w:style w:type="character" w:styleId="Hyperlink">
    <w:name w:val="Hyperlink"/>
    <w:rsid w:val="008C50B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144.b" TargetMode="External"/><Relationship Id="rId13" Type="http://schemas.openxmlformats.org/officeDocument/2006/relationships/hyperlink" Target="http://www.nevo.co.il/case/5872980" TargetMode="External"/><Relationship Id="rId18" Type="http://schemas.openxmlformats.org/officeDocument/2006/relationships/hyperlink" Target="http://www.nevo.co.il/advertisements/nevo-100.doc" TargetMode="External"/><Relationship Id="rId3" Type="http://schemas.openxmlformats.org/officeDocument/2006/relationships/webSettings" Target="webSettings.xml"/><Relationship Id="rId21" Type="http://schemas.openxmlformats.org/officeDocument/2006/relationships/footer" Target="footer1.xml"/><Relationship Id="rId7" Type="http://schemas.openxmlformats.org/officeDocument/2006/relationships/hyperlink" Target="http://www.nevo.co.il/law/70301/144.a" TargetMode="External"/><Relationship Id="rId12" Type="http://schemas.openxmlformats.org/officeDocument/2006/relationships/hyperlink" Target="http://www.nevo.co.il/case/5969313" TargetMode="External"/><Relationship Id="rId17" Type="http://schemas.openxmlformats.org/officeDocument/2006/relationships/hyperlink" Target="http://www.nevo.co.il/case/5762686" TargetMode="External"/><Relationship Id="rId2" Type="http://schemas.openxmlformats.org/officeDocument/2006/relationships/settings" Target="settings.xml"/><Relationship Id="rId16" Type="http://schemas.openxmlformats.org/officeDocument/2006/relationships/hyperlink" Target="http://www.nevo.co.il/case/6473037" TargetMode="External"/><Relationship Id="rId20" Type="http://schemas.openxmlformats.org/officeDocument/2006/relationships/header" Target="header2.xml"/><Relationship Id="rId1" Type="http://schemas.openxmlformats.org/officeDocument/2006/relationships/styles" Target="styles.xml"/><Relationship Id="rId6" Type="http://schemas.openxmlformats.org/officeDocument/2006/relationships/hyperlink" Target="http://www.nevo.co.il/law/70301" TargetMode="External"/><Relationship Id="rId11" Type="http://schemas.openxmlformats.org/officeDocument/2006/relationships/hyperlink" Target="http://www.nevo.co.il/law/70301" TargetMode="External"/><Relationship Id="rId24" Type="http://schemas.openxmlformats.org/officeDocument/2006/relationships/theme" Target="theme/theme1.xml"/><Relationship Id="rId5" Type="http://schemas.openxmlformats.org/officeDocument/2006/relationships/endnotes" Target="endnotes.xml"/><Relationship Id="rId15" Type="http://schemas.openxmlformats.org/officeDocument/2006/relationships/hyperlink" Target="http://www.nevo.co.il/case/6000182" TargetMode="External"/><Relationship Id="rId23" Type="http://schemas.openxmlformats.org/officeDocument/2006/relationships/fontTable" Target="fontTable.xml"/><Relationship Id="rId10" Type="http://schemas.openxmlformats.org/officeDocument/2006/relationships/hyperlink" Target="http://www.nevo.co.il/law/70301/144.b" TargetMode="External"/><Relationship Id="rId19"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www.nevo.co.il/law/70301/144.a" TargetMode="External"/><Relationship Id="rId14" Type="http://schemas.openxmlformats.org/officeDocument/2006/relationships/hyperlink" Target="http://www.nevo.co.il/case/5891605" TargetMode="External"/><Relationship Id="rId22"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1447</Words>
  <Characters>7239</Characters>
  <Application>Microsoft Office Word</Application>
  <DocSecurity>0</DocSecurity>
  <Lines>60</Lines>
  <Paragraphs>17</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8669</CharactersWithSpaces>
  <SharedDoc>false</SharedDoc>
  <HLinks>
    <vt:vector size="78" baseType="variant">
      <vt:variant>
        <vt:i4>393283</vt:i4>
      </vt:variant>
      <vt:variant>
        <vt:i4>36</vt:i4>
      </vt:variant>
      <vt:variant>
        <vt:i4>0</vt:i4>
      </vt:variant>
      <vt:variant>
        <vt:i4>5</vt:i4>
      </vt:variant>
      <vt:variant>
        <vt:lpwstr>http://www.nevo.co.il/advertisements/nevo-100.doc</vt:lpwstr>
      </vt:variant>
      <vt:variant>
        <vt:lpwstr/>
      </vt:variant>
      <vt:variant>
        <vt:i4>3342457</vt:i4>
      </vt:variant>
      <vt:variant>
        <vt:i4>33</vt:i4>
      </vt:variant>
      <vt:variant>
        <vt:i4>0</vt:i4>
      </vt:variant>
      <vt:variant>
        <vt:i4>5</vt:i4>
      </vt:variant>
      <vt:variant>
        <vt:lpwstr>http://www.nevo.co.il/case/5762686</vt:lpwstr>
      </vt:variant>
      <vt:variant>
        <vt:lpwstr/>
      </vt:variant>
      <vt:variant>
        <vt:i4>3539056</vt:i4>
      </vt:variant>
      <vt:variant>
        <vt:i4>30</vt:i4>
      </vt:variant>
      <vt:variant>
        <vt:i4>0</vt:i4>
      </vt:variant>
      <vt:variant>
        <vt:i4>5</vt:i4>
      </vt:variant>
      <vt:variant>
        <vt:lpwstr>http://www.nevo.co.il/case/6473037</vt:lpwstr>
      </vt:variant>
      <vt:variant>
        <vt:lpwstr/>
      </vt:variant>
      <vt:variant>
        <vt:i4>3473532</vt:i4>
      </vt:variant>
      <vt:variant>
        <vt:i4>27</vt:i4>
      </vt:variant>
      <vt:variant>
        <vt:i4>0</vt:i4>
      </vt:variant>
      <vt:variant>
        <vt:i4>5</vt:i4>
      </vt:variant>
      <vt:variant>
        <vt:lpwstr>http://www.nevo.co.il/case/6000182</vt:lpwstr>
      </vt:variant>
      <vt:variant>
        <vt:lpwstr/>
      </vt:variant>
      <vt:variant>
        <vt:i4>4128893</vt:i4>
      </vt:variant>
      <vt:variant>
        <vt:i4>24</vt:i4>
      </vt:variant>
      <vt:variant>
        <vt:i4>0</vt:i4>
      </vt:variant>
      <vt:variant>
        <vt:i4>5</vt:i4>
      </vt:variant>
      <vt:variant>
        <vt:lpwstr>http://www.nevo.co.il/case/5891605</vt:lpwstr>
      </vt:variant>
      <vt:variant>
        <vt:lpwstr/>
      </vt:variant>
      <vt:variant>
        <vt:i4>3866742</vt:i4>
      </vt:variant>
      <vt:variant>
        <vt:i4>21</vt:i4>
      </vt:variant>
      <vt:variant>
        <vt:i4>0</vt:i4>
      </vt:variant>
      <vt:variant>
        <vt:i4>5</vt:i4>
      </vt:variant>
      <vt:variant>
        <vt:lpwstr>http://www.nevo.co.il/case/5872980</vt:lpwstr>
      </vt:variant>
      <vt:variant>
        <vt:lpwstr/>
      </vt:variant>
      <vt:variant>
        <vt:i4>3342453</vt:i4>
      </vt:variant>
      <vt:variant>
        <vt:i4>18</vt:i4>
      </vt:variant>
      <vt:variant>
        <vt:i4>0</vt:i4>
      </vt:variant>
      <vt:variant>
        <vt:i4>5</vt:i4>
      </vt:variant>
      <vt:variant>
        <vt:lpwstr>http://www.nevo.co.il/case/5969313</vt:lpwstr>
      </vt:variant>
      <vt:variant>
        <vt:lpwstr/>
      </vt:variant>
      <vt:variant>
        <vt:i4>7995492</vt:i4>
      </vt:variant>
      <vt:variant>
        <vt:i4>15</vt:i4>
      </vt:variant>
      <vt:variant>
        <vt:i4>0</vt:i4>
      </vt:variant>
      <vt:variant>
        <vt:i4>5</vt:i4>
      </vt:variant>
      <vt:variant>
        <vt:lpwstr>http://www.nevo.co.il/law/70301</vt:lpwstr>
      </vt:variant>
      <vt:variant>
        <vt:lpwstr/>
      </vt:variant>
      <vt:variant>
        <vt:i4>5177424</vt:i4>
      </vt:variant>
      <vt:variant>
        <vt:i4>12</vt:i4>
      </vt:variant>
      <vt:variant>
        <vt:i4>0</vt:i4>
      </vt:variant>
      <vt:variant>
        <vt:i4>5</vt:i4>
      </vt:variant>
      <vt:variant>
        <vt:lpwstr>http://www.nevo.co.il/law/70301/144.b</vt:lpwstr>
      </vt:variant>
      <vt:variant>
        <vt:lpwstr/>
      </vt:variant>
      <vt:variant>
        <vt:i4>5177424</vt:i4>
      </vt:variant>
      <vt:variant>
        <vt:i4>9</vt:i4>
      </vt:variant>
      <vt:variant>
        <vt:i4>0</vt:i4>
      </vt:variant>
      <vt:variant>
        <vt:i4>5</vt:i4>
      </vt:variant>
      <vt:variant>
        <vt:lpwstr>http://www.nevo.co.il/law/70301/144.a</vt:lpwstr>
      </vt:variant>
      <vt:variant>
        <vt:lpwstr/>
      </vt:variant>
      <vt:variant>
        <vt:i4>5177424</vt:i4>
      </vt:variant>
      <vt:variant>
        <vt:i4>6</vt:i4>
      </vt:variant>
      <vt:variant>
        <vt:i4>0</vt:i4>
      </vt:variant>
      <vt:variant>
        <vt:i4>5</vt:i4>
      </vt:variant>
      <vt:variant>
        <vt:lpwstr>http://www.nevo.co.il/law/70301/144.b</vt:lpwstr>
      </vt:variant>
      <vt:variant>
        <vt:lpwstr/>
      </vt:variant>
      <vt:variant>
        <vt:i4>5177424</vt:i4>
      </vt:variant>
      <vt:variant>
        <vt:i4>3</vt:i4>
      </vt:variant>
      <vt:variant>
        <vt:i4>0</vt:i4>
      </vt:variant>
      <vt:variant>
        <vt:i4>5</vt:i4>
      </vt:variant>
      <vt:variant>
        <vt:lpwstr>http://www.nevo.co.il/law/70301/144.a</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2025-01-19T16:00:00Z</dcterms:created>
  <dcterms:modified xsi:type="dcterms:W3CDTF">2025-01-19T16:00:00Z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9111</vt:lpwstr>
  </property>
  <property fmtid="{D5CDD505-2E9C-101B-9397-08002B2CF9AE}" pid="6" name="NEWPARTB">
    <vt:lpwstr>02</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APPELLEE">
    <vt:lpwstr>אחמד חסארמה</vt:lpwstr>
  </property>
  <property fmtid="{D5CDD505-2E9C-101B-9397-08002B2CF9AE}" pid="10" name="LAWYER">
    <vt:lpwstr>אבי אור זך;שאדי דבאח</vt:lpwstr>
  </property>
  <property fmtid="{D5CDD505-2E9C-101B-9397-08002B2CF9AE}" pid="11" name="JUDGE">
    <vt:lpwstr>אמיר טובי</vt:lpwstr>
  </property>
  <property fmtid="{D5CDD505-2E9C-101B-9397-08002B2CF9AE}" pid="12" name="CITY">
    <vt:lpwstr>חי'</vt:lpwstr>
  </property>
  <property fmtid="{D5CDD505-2E9C-101B-9397-08002B2CF9AE}" pid="13" name="DATE">
    <vt:lpwstr>20150920</vt:lpwstr>
  </property>
  <property fmtid="{D5CDD505-2E9C-101B-9397-08002B2CF9AE}" pid="14" name="TYPE_N_DATE">
    <vt:lpwstr>39020150920</vt:lpwstr>
  </property>
  <property fmtid="{D5CDD505-2E9C-101B-9397-08002B2CF9AE}" pid="15" name="WORDNUMPAGES">
    <vt:lpwstr>6</vt:lpwstr>
  </property>
  <property fmtid="{D5CDD505-2E9C-101B-9397-08002B2CF9AE}" pid="16" name="TYPE_ABS_DATE">
    <vt:lpwstr>390020150920</vt:lpwstr>
  </property>
  <property fmtid="{D5CDD505-2E9C-101B-9397-08002B2CF9AE}" pid="17" name="ISABSTRACT">
    <vt:lpwstr>Y</vt:lpwstr>
  </property>
  <property fmtid="{D5CDD505-2E9C-101B-9397-08002B2CF9AE}" pid="18" name="CASESLISTTMP1">
    <vt:lpwstr>5969313;5872980;5891605;6000182;6473037;5762686</vt:lpwstr>
  </property>
  <property fmtid="{D5CDD505-2E9C-101B-9397-08002B2CF9AE}" pid="19" name="LAWLISTTMP1">
    <vt:lpwstr>70301/144.a;144.b</vt:lpwstr>
  </property>
</Properties>
</file>