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900D3" w:rsidRPr="00113037" w14:paraId="3A7165A3" w14:textId="77777777">
        <w:trPr>
          <w:trHeight w:hRule="exact" w:val="418"/>
          <w:jc w:val="center"/>
        </w:trPr>
        <w:tc>
          <w:tcPr>
            <w:tcW w:w="8721" w:type="dxa"/>
            <w:gridSpan w:val="2"/>
          </w:tcPr>
          <w:p w14:paraId="70B7136E" w14:textId="77777777" w:rsidR="000900D3" w:rsidRPr="00113037" w:rsidRDefault="00113037">
            <w:pPr>
              <w:pStyle w:val="a3"/>
              <w:jc w:val="center"/>
              <w:rPr>
                <w:rFonts w:ascii="Tahoma" w:hAnsi="Tahoma" w:cs="Tahoma"/>
                <w:color w:val="000080"/>
                <w:rtl/>
              </w:rPr>
            </w:pPr>
            <w:bookmarkStart w:id="0" w:name="FirstLawyer"/>
            <w:bookmarkStart w:id="1" w:name="LastJudge"/>
            <w:r w:rsidRPr="00113037">
              <w:rPr>
                <w:rFonts w:ascii="Tahoma" w:hAnsi="Tahoma" w:cs="Tahoma"/>
                <w:b/>
                <w:bCs/>
                <w:color w:val="000080"/>
                <w:rtl/>
              </w:rPr>
              <w:t>בית המשפט המחוזי בחיפה</w:t>
            </w:r>
          </w:p>
        </w:tc>
      </w:tr>
      <w:tr w:rsidR="000900D3" w:rsidRPr="00113037" w14:paraId="3AC7ED3D" w14:textId="77777777">
        <w:trPr>
          <w:trHeight w:val="337"/>
          <w:jc w:val="center"/>
        </w:trPr>
        <w:tc>
          <w:tcPr>
            <w:tcW w:w="5054" w:type="dxa"/>
          </w:tcPr>
          <w:p w14:paraId="2B54EFAA" w14:textId="77777777" w:rsidR="000900D3" w:rsidRPr="00113037" w:rsidRDefault="00113037">
            <w:pPr>
              <w:rPr>
                <w:rFonts w:cs="FrankRuehl"/>
                <w:sz w:val="28"/>
                <w:szCs w:val="28"/>
                <w:rtl/>
              </w:rPr>
            </w:pPr>
            <w:r w:rsidRPr="00113037">
              <w:rPr>
                <w:rFonts w:cs="FrankRuehl"/>
                <w:sz w:val="28"/>
                <w:szCs w:val="28"/>
                <w:rtl/>
              </w:rPr>
              <w:t>ת"פ</w:t>
            </w:r>
            <w:r w:rsidRPr="00113037">
              <w:rPr>
                <w:rFonts w:cs="FrankRuehl" w:hint="cs"/>
                <w:sz w:val="28"/>
                <w:szCs w:val="28"/>
                <w:rtl/>
              </w:rPr>
              <w:t xml:space="preserve"> </w:t>
            </w:r>
            <w:r w:rsidRPr="00113037">
              <w:rPr>
                <w:rFonts w:cs="FrankRuehl"/>
                <w:sz w:val="28"/>
                <w:szCs w:val="28"/>
                <w:rtl/>
              </w:rPr>
              <w:t>21009-03-15</w:t>
            </w:r>
            <w:r w:rsidRPr="00113037">
              <w:rPr>
                <w:rFonts w:cs="FrankRuehl" w:hint="cs"/>
                <w:sz w:val="28"/>
                <w:szCs w:val="28"/>
                <w:rtl/>
              </w:rPr>
              <w:t xml:space="preserve"> </w:t>
            </w:r>
            <w:r w:rsidRPr="00113037">
              <w:rPr>
                <w:rFonts w:cs="FrankRuehl"/>
                <w:sz w:val="28"/>
                <w:szCs w:val="28"/>
                <w:rtl/>
              </w:rPr>
              <w:t>מדינת ישראל נ' סואעד</w:t>
            </w:r>
          </w:p>
          <w:p w14:paraId="747B113D" w14:textId="77777777" w:rsidR="000900D3" w:rsidRPr="00113037" w:rsidRDefault="000900D3">
            <w:pPr>
              <w:pStyle w:val="a3"/>
              <w:rPr>
                <w:rFonts w:cs="FrankRuehl"/>
                <w:sz w:val="28"/>
                <w:szCs w:val="28"/>
                <w:rtl/>
              </w:rPr>
            </w:pPr>
          </w:p>
        </w:tc>
        <w:tc>
          <w:tcPr>
            <w:tcW w:w="3667" w:type="dxa"/>
          </w:tcPr>
          <w:p w14:paraId="3051521D" w14:textId="77777777" w:rsidR="000900D3" w:rsidRPr="00113037" w:rsidRDefault="000900D3">
            <w:pPr>
              <w:pStyle w:val="a3"/>
              <w:jc w:val="right"/>
              <w:rPr>
                <w:rFonts w:cs="FrankRuehl"/>
                <w:sz w:val="28"/>
                <w:szCs w:val="28"/>
                <w:rtl/>
              </w:rPr>
            </w:pPr>
          </w:p>
        </w:tc>
      </w:tr>
    </w:tbl>
    <w:p w14:paraId="22E51AAC" w14:textId="77777777" w:rsidR="000900D3" w:rsidRPr="00113037" w:rsidRDefault="00113037">
      <w:pPr>
        <w:pStyle w:val="a3"/>
        <w:rPr>
          <w:rtl/>
        </w:rPr>
      </w:pPr>
      <w:r w:rsidRPr="00113037">
        <w:rPr>
          <w:rFonts w:hint="cs"/>
          <w:rtl/>
        </w:rPr>
        <w:t xml:space="preserve"> </w:t>
      </w:r>
    </w:p>
    <w:p w14:paraId="4A3D0656" w14:textId="77777777" w:rsidR="000900D3" w:rsidRPr="00113037" w:rsidRDefault="000900D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0900D3" w:rsidRPr="00113037" w14:paraId="153A088A" w14:textId="77777777">
        <w:trPr>
          <w:gridAfter w:val="1"/>
          <w:wAfter w:w="55" w:type="dxa"/>
        </w:trPr>
        <w:tc>
          <w:tcPr>
            <w:tcW w:w="8719" w:type="dxa"/>
            <w:gridSpan w:val="2"/>
            <w:shd w:val="clear" w:color="auto" w:fill="auto"/>
          </w:tcPr>
          <w:p w14:paraId="2228E085" w14:textId="77777777" w:rsidR="000900D3" w:rsidRPr="00113037" w:rsidRDefault="00113037">
            <w:pPr>
              <w:spacing w:line="360" w:lineRule="auto"/>
              <w:rPr>
                <w:b/>
                <w:bCs/>
                <w:sz w:val="26"/>
                <w:szCs w:val="26"/>
              </w:rPr>
            </w:pPr>
            <w:r w:rsidRPr="00113037">
              <w:rPr>
                <w:rFonts w:hint="cs"/>
                <w:b/>
                <w:bCs/>
                <w:sz w:val="26"/>
                <w:szCs w:val="26"/>
                <w:rtl/>
              </w:rPr>
              <w:t>בפני כב' ה</w:t>
            </w:r>
            <w:r w:rsidRPr="00113037">
              <w:rPr>
                <w:rFonts w:hint="cs"/>
                <w:rtl/>
              </w:rPr>
              <w:t>שופט כמאל סעב</w:t>
            </w:r>
            <w:r w:rsidRPr="00113037">
              <w:rPr>
                <w:rStyle w:val="TimesNewRomanTimesNewRoman"/>
                <w:rFonts w:hint="cs"/>
                <w:rtl/>
              </w:rPr>
              <w:t xml:space="preserve"> </w:t>
            </w:r>
            <w:r w:rsidRPr="00113037">
              <w:rPr>
                <w:rFonts w:hint="cs"/>
                <w:b/>
                <w:bCs/>
                <w:sz w:val="26"/>
                <w:szCs w:val="26"/>
                <w:rtl/>
              </w:rPr>
              <w:t xml:space="preserve">                                                                                      15.12.15</w:t>
            </w:r>
          </w:p>
        </w:tc>
      </w:tr>
      <w:tr w:rsidR="000900D3" w:rsidRPr="00113037" w14:paraId="5B01032C" w14:textId="77777777">
        <w:tc>
          <w:tcPr>
            <w:tcW w:w="2880" w:type="dxa"/>
            <w:shd w:val="clear" w:color="auto" w:fill="auto"/>
          </w:tcPr>
          <w:p w14:paraId="6E664EC7" w14:textId="77777777" w:rsidR="000900D3" w:rsidRPr="00113037" w:rsidRDefault="000900D3">
            <w:pPr>
              <w:ind w:left="26"/>
              <w:rPr>
                <w:b/>
                <w:bCs/>
                <w:sz w:val="26"/>
                <w:szCs w:val="26"/>
                <w:rtl/>
              </w:rPr>
            </w:pPr>
            <w:bookmarkStart w:id="2" w:name="FirstAppellant"/>
          </w:p>
          <w:p w14:paraId="65E90E6B" w14:textId="77777777" w:rsidR="000900D3" w:rsidRPr="00113037" w:rsidRDefault="000900D3">
            <w:pPr>
              <w:ind w:left="26"/>
              <w:rPr>
                <w:b/>
                <w:bCs/>
                <w:sz w:val="26"/>
                <w:szCs w:val="26"/>
                <w:rtl/>
              </w:rPr>
            </w:pPr>
          </w:p>
          <w:p w14:paraId="38DB0EE4" w14:textId="77777777" w:rsidR="000900D3" w:rsidRPr="00113037" w:rsidRDefault="00113037">
            <w:pPr>
              <w:ind w:left="26"/>
              <w:rPr>
                <w:b/>
                <w:bCs/>
                <w:sz w:val="26"/>
                <w:szCs w:val="26"/>
              </w:rPr>
            </w:pPr>
            <w:r w:rsidRPr="00113037">
              <w:rPr>
                <w:rFonts w:hint="cs"/>
                <w:b/>
                <w:bCs/>
                <w:sz w:val="26"/>
                <w:szCs w:val="26"/>
                <w:rtl/>
              </w:rPr>
              <w:t>ה</w:t>
            </w:r>
            <w:r w:rsidRPr="00113037">
              <w:rPr>
                <w:rFonts w:hint="cs"/>
                <w:rtl/>
              </w:rPr>
              <w:t>מאשימה</w:t>
            </w:r>
          </w:p>
        </w:tc>
        <w:tc>
          <w:tcPr>
            <w:tcW w:w="5922" w:type="dxa"/>
            <w:gridSpan w:val="2"/>
            <w:shd w:val="clear" w:color="auto" w:fill="auto"/>
          </w:tcPr>
          <w:p w14:paraId="46D70982" w14:textId="77777777" w:rsidR="000900D3" w:rsidRPr="00113037" w:rsidRDefault="00113037">
            <w:pPr>
              <w:rPr>
                <w:b/>
                <w:bCs/>
                <w:sz w:val="26"/>
                <w:szCs w:val="26"/>
                <w:rtl/>
              </w:rPr>
            </w:pPr>
            <w:r w:rsidRPr="00113037">
              <w:rPr>
                <w:rFonts w:hint="cs"/>
                <w:b/>
                <w:bCs/>
                <w:rtl/>
              </w:rPr>
              <w:br/>
            </w:r>
            <w:r w:rsidRPr="00113037">
              <w:rPr>
                <w:rFonts w:hint="cs"/>
                <w:b/>
                <w:bCs/>
                <w:rtl/>
              </w:rPr>
              <w:br/>
              <w:t>מדינת ישראל – ע"י פרקליטות מחוז חיפה - פלילי</w:t>
            </w:r>
          </w:p>
          <w:p w14:paraId="4294A169" w14:textId="77777777" w:rsidR="000900D3" w:rsidRPr="00113037" w:rsidRDefault="000900D3">
            <w:pPr>
              <w:rPr>
                <w:b/>
                <w:bCs/>
                <w:sz w:val="26"/>
                <w:szCs w:val="26"/>
              </w:rPr>
            </w:pPr>
          </w:p>
        </w:tc>
      </w:tr>
      <w:bookmarkEnd w:id="2"/>
      <w:tr w:rsidR="000900D3" w:rsidRPr="00113037" w14:paraId="1E4A730B" w14:textId="77777777">
        <w:tc>
          <w:tcPr>
            <w:tcW w:w="8802" w:type="dxa"/>
            <w:gridSpan w:val="3"/>
            <w:shd w:val="clear" w:color="auto" w:fill="auto"/>
          </w:tcPr>
          <w:p w14:paraId="50E39A81" w14:textId="77777777" w:rsidR="000900D3" w:rsidRPr="00113037" w:rsidRDefault="000900D3">
            <w:pPr>
              <w:jc w:val="center"/>
              <w:rPr>
                <w:rFonts w:ascii="Arial" w:hAnsi="Arial"/>
                <w:b/>
                <w:bCs/>
                <w:sz w:val="26"/>
                <w:szCs w:val="26"/>
                <w:rtl/>
              </w:rPr>
            </w:pPr>
          </w:p>
          <w:p w14:paraId="46AB39CE" w14:textId="77777777" w:rsidR="000900D3" w:rsidRPr="00113037" w:rsidRDefault="00113037">
            <w:pPr>
              <w:jc w:val="center"/>
              <w:rPr>
                <w:rFonts w:ascii="Arial" w:hAnsi="Arial"/>
                <w:b/>
                <w:bCs/>
                <w:sz w:val="26"/>
                <w:szCs w:val="26"/>
                <w:rtl/>
              </w:rPr>
            </w:pPr>
            <w:r w:rsidRPr="00113037">
              <w:rPr>
                <w:rFonts w:ascii="Arial" w:hAnsi="Arial" w:hint="cs"/>
                <w:b/>
                <w:bCs/>
                <w:sz w:val="26"/>
                <w:szCs w:val="26"/>
                <w:rtl/>
              </w:rPr>
              <w:t>נגד</w:t>
            </w:r>
          </w:p>
          <w:p w14:paraId="31D55FBD" w14:textId="77777777" w:rsidR="000900D3" w:rsidRPr="00113037" w:rsidRDefault="000900D3">
            <w:pPr>
              <w:jc w:val="center"/>
              <w:rPr>
                <w:rFonts w:ascii="Arial" w:hAnsi="Arial"/>
                <w:b/>
                <w:bCs/>
                <w:sz w:val="26"/>
                <w:szCs w:val="26"/>
                <w:rtl/>
              </w:rPr>
            </w:pPr>
          </w:p>
          <w:p w14:paraId="61C6AF93" w14:textId="77777777" w:rsidR="000900D3" w:rsidRPr="00113037" w:rsidRDefault="000900D3">
            <w:pPr>
              <w:jc w:val="center"/>
              <w:rPr>
                <w:rFonts w:ascii="Arial" w:hAnsi="Arial"/>
                <w:b/>
                <w:bCs/>
                <w:sz w:val="26"/>
                <w:szCs w:val="26"/>
              </w:rPr>
            </w:pPr>
          </w:p>
        </w:tc>
      </w:tr>
      <w:tr w:rsidR="000900D3" w:rsidRPr="00113037" w14:paraId="5C94B169" w14:textId="77777777">
        <w:tc>
          <w:tcPr>
            <w:tcW w:w="2880" w:type="dxa"/>
            <w:shd w:val="clear" w:color="auto" w:fill="auto"/>
          </w:tcPr>
          <w:p w14:paraId="292C4244" w14:textId="77777777" w:rsidR="000900D3" w:rsidRPr="00113037" w:rsidRDefault="00113037">
            <w:pPr>
              <w:ind w:left="26"/>
              <w:rPr>
                <w:b/>
                <w:bCs/>
                <w:sz w:val="26"/>
                <w:szCs w:val="26"/>
              </w:rPr>
            </w:pPr>
            <w:r w:rsidRPr="00113037">
              <w:rPr>
                <w:rFonts w:hint="cs"/>
                <w:b/>
                <w:bCs/>
                <w:sz w:val="26"/>
                <w:szCs w:val="26"/>
                <w:rtl/>
              </w:rPr>
              <w:t>ה</w:t>
            </w:r>
            <w:r w:rsidRPr="00113037">
              <w:rPr>
                <w:rFonts w:hint="cs"/>
                <w:rtl/>
              </w:rPr>
              <w:t>נאשם</w:t>
            </w:r>
          </w:p>
        </w:tc>
        <w:tc>
          <w:tcPr>
            <w:tcW w:w="5922" w:type="dxa"/>
            <w:gridSpan w:val="2"/>
            <w:shd w:val="clear" w:color="auto" w:fill="auto"/>
          </w:tcPr>
          <w:p w14:paraId="21F6F94E" w14:textId="77777777" w:rsidR="000900D3" w:rsidRPr="00113037" w:rsidRDefault="00113037">
            <w:pPr>
              <w:rPr>
                <w:b/>
                <w:bCs/>
                <w:sz w:val="26"/>
                <w:szCs w:val="26"/>
                <w:rtl/>
              </w:rPr>
            </w:pPr>
            <w:r w:rsidRPr="00113037">
              <w:rPr>
                <w:rFonts w:hint="cs"/>
                <w:rtl/>
              </w:rPr>
              <w:t xml:space="preserve">עאוני סואעד, ת"ז </w:t>
            </w:r>
            <w:r>
              <w:t>xxxxxxxxx</w:t>
            </w:r>
          </w:p>
          <w:p w14:paraId="1AC6ED92" w14:textId="77777777" w:rsidR="000900D3" w:rsidRPr="00113037" w:rsidRDefault="000900D3">
            <w:pPr>
              <w:rPr>
                <w:b/>
                <w:bCs/>
                <w:sz w:val="26"/>
                <w:szCs w:val="26"/>
              </w:rPr>
            </w:pPr>
          </w:p>
        </w:tc>
      </w:tr>
    </w:tbl>
    <w:p w14:paraId="4F66EBE6" w14:textId="77777777" w:rsidR="000900D3" w:rsidRPr="00113037" w:rsidRDefault="00113037">
      <w:pPr>
        <w:spacing w:line="360" w:lineRule="auto"/>
        <w:jc w:val="both"/>
        <w:rPr>
          <w:rFonts w:ascii="David" w:hAnsi="David"/>
          <w:sz w:val="6"/>
          <w:szCs w:val="6"/>
        </w:rPr>
      </w:pPr>
      <w:r w:rsidRPr="00113037">
        <w:rPr>
          <w:rFonts w:hint="cs"/>
          <w:sz w:val="6"/>
          <w:szCs w:val="6"/>
          <w:rtl/>
        </w:rPr>
        <w:t>&lt;#1#&gt;</w:t>
      </w:r>
    </w:p>
    <w:p w14:paraId="3A74BFD4" w14:textId="77777777" w:rsidR="000900D3" w:rsidRPr="00113037" w:rsidRDefault="00113037">
      <w:pPr>
        <w:pStyle w:val="12"/>
        <w:rPr>
          <w:b w:val="0"/>
          <w:bCs w:val="0"/>
          <w:u w:val="none"/>
        </w:rPr>
      </w:pPr>
      <w:r w:rsidRPr="00113037">
        <w:rPr>
          <w:rFonts w:hint="cs"/>
          <w:u w:val="none"/>
          <w:rtl/>
        </w:rPr>
        <w:t xml:space="preserve"> </w:t>
      </w:r>
    </w:p>
    <w:p w14:paraId="2BF009B9" w14:textId="77777777" w:rsidR="000900D3" w:rsidRPr="00113037" w:rsidRDefault="00113037">
      <w:pPr>
        <w:pStyle w:val="12"/>
        <w:spacing w:line="360" w:lineRule="auto"/>
        <w:rPr>
          <w:b w:val="0"/>
          <w:bCs w:val="0"/>
          <w:u w:val="none"/>
          <w:rtl/>
        </w:rPr>
      </w:pPr>
      <w:r w:rsidRPr="00113037">
        <w:rPr>
          <w:rFonts w:hint="cs"/>
          <w:b w:val="0"/>
          <w:bCs w:val="0"/>
          <w:u w:val="none"/>
          <w:rtl/>
        </w:rPr>
        <w:t>בשם המאשימה: עו"ד שגב אדלר – פמ"ח (פלילי)</w:t>
      </w:r>
    </w:p>
    <w:p w14:paraId="32B1D2A7" w14:textId="77777777" w:rsidR="00F13677" w:rsidRDefault="00113037">
      <w:pPr>
        <w:pStyle w:val="12"/>
        <w:spacing w:line="360" w:lineRule="auto"/>
        <w:rPr>
          <w:b w:val="0"/>
          <w:bCs w:val="0"/>
          <w:u w:val="none"/>
          <w:rtl/>
        </w:rPr>
      </w:pPr>
      <w:r w:rsidRPr="00113037">
        <w:rPr>
          <w:rFonts w:hint="cs"/>
          <w:b w:val="0"/>
          <w:bCs w:val="0"/>
          <w:u w:val="none"/>
          <w:rtl/>
        </w:rPr>
        <w:t>בשם הנאשם: עו"ד  תומר נוה</w:t>
      </w:r>
      <w:bookmarkStart w:id="3" w:name="LawTable"/>
      <w:bookmarkEnd w:id="3"/>
    </w:p>
    <w:p w14:paraId="6AEB1F57" w14:textId="77777777" w:rsidR="00F13677" w:rsidRPr="00F13677" w:rsidRDefault="00F13677" w:rsidP="00F13677">
      <w:pPr>
        <w:pStyle w:val="12"/>
        <w:spacing w:after="120" w:line="240" w:lineRule="exact"/>
        <w:ind w:left="283" w:hanging="283"/>
        <w:jc w:val="both"/>
        <w:rPr>
          <w:rFonts w:ascii="FrankRuehl" w:hAnsi="FrankRuehl" w:cs="FrankRuehl"/>
          <w:b w:val="0"/>
          <w:bCs w:val="0"/>
          <w:u w:val="none"/>
          <w:rtl/>
        </w:rPr>
      </w:pPr>
    </w:p>
    <w:p w14:paraId="591E422B" w14:textId="77777777" w:rsidR="00F13677" w:rsidRPr="00F13677" w:rsidRDefault="00F13677" w:rsidP="00F13677">
      <w:pPr>
        <w:pStyle w:val="12"/>
        <w:spacing w:after="120" w:line="240" w:lineRule="exact"/>
        <w:ind w:left="283" w:hanging="283"/>
        <w:jc w:val="both"/>
        <w:rPr>
          <w:rFonts w:ascii="FrankRuehl" w:hAnsi="FrankRuehl" w:cs="FrankRuehl"/>
          <w:b w:val="0"/>
          <w:bCs w:val="0"/>
          <w:u w:val="none"/>
          <w:rtl/>
        </w:rPr>
      </w:pPr>
      <w:r w:rsidRPr="00F13677">
        <w:rPr>
          <w:rFonts w:ascii="FrankRuehl" w:hAnsi="FrankRuehl" w:cs="FrankRuehl"/>
          <w:b w:val="0"/>
          <w:bCs w:val="0"/>
          <w:u w:val="none"/>
          <w:rtl/>
        </w:rPr>
        <w:t xml:space="preserve">חקיקה שאוזכרה: </w:t>
      </w:r>
    </w:p>
    <w:p w14:paraId="78DD454F" w14:textId="77777777" w:rsidR="00F13677" w:rsidRPr="00F13677" w:rsidRDefault="00F13677" w:rsidP="00F13677">
      <w:pPr>
        <w:pStyle w:val="12"/>
        <w:spacing w:after="120" w:line="240" w:lineRule="exact"/>
        <w:ind w:left="283" w:hanging="283"/>
        <w:jc w:val="both"/>
        <w:rPr>
          <w:rFonts w:ascii="FrankRuehl" w:hAnsi="FrankRuehl" w:cs="FrankRuehl"/>
          <w:b w:val="0"/>
          <w:bCs w:val="0"/>
          <w:u w:val="none"/>
          <w:rtl/>
        </w:rPr>
      </w:pPr>
      <w:hyperlink r:id="rId7" w:history="1">
        <w:r w:rsidRPr="00F13677">
          <w:rPr>
            <w:rFonts w:ascii="FrankRuehl" w:hAnsi="FrankRuehl" w:cs="FrankRuehl"/>
            <w:b w:val="0"/>
            <w:bCs w:val="0"/>
            <w:color w:val="0000FF"/>
            <w:rtl/>
          </w:rPr>
          <w:t>חוק העונשין, תשל"ז-1977</w:t>
        </w:r>
      </w:hyperlink>
      <w:r w:rsidRPr="00F13677">
        <w:rPr>
          <w:rFonts w:ascii="FrankRuehl" w:hAnsi="FrankRuehl" w:cs="FrankRuehl"/>
          <w:b w:val="0"/>
          <w:bCs w:val="0"/>
          <w:u w:val="none"/>
          <w:rtl/>
        </w:rPr>
        <w:t xml:space="preserve">: סע'  </w:t>
      </w:r>
      <w:hyperlink r:id="rId8" w:history="1">
        <w:r w:rsidRPr="00F13677">
          <w:rPr>
            <w:rFonts w:ascii="FrankRuehl" w:hAnsi="FrankRuehl" w:cs="FrankRuehl"/>
            <w:b w:val="0"/>
            <w:bCs w:val="0"/>
            <w:color w:val="0000FF"/>
            <w:rtl/>
          </w:rPr>
          <w:t>144(א)</w:t>
        </w:r>
      </w:hyperlink>
      <w:r w:rsidRPr="00F13677">
        <w:rPr>
          <w:rFonts w:ascii="FrankRuehl" w:hAnsi="FrankRuehl" w:cs="FrankRuehl"/>
          <w:b w:val="0"/>
          <w:bCs w:val="0"/>
          <w:u w:val="none"/>
          <w:rtl/>
        </w:rPr>
        <w:t xml:space="preserve">, </w:t>
      </w:r>
      <w:hyperlink r:id="rId9" w:history="1">
        <w:r w:rsidRPr="00F13677">
          <w:rPr>
            <w:rFonts w:ascii="FrankRuehl" w:hAnsi="FrankRuehl" w:cs="FrankRuehl"/>
            <w:b w:val="0"/>
            <w:bCs w:val="0"/>
            <w:color w:val="0000FF"/>
            <w:rtl/>
          </w:rPr>
          <w:t>144(ב)</w:t>
        </w:r>
      </w:hyperlink>
      <w:r w:rsidRPr="00F13677">
        <w:rPr>
          <w:rFonts w:ascii="FrankRuehl" w:hAnsi="FrankRuehl" w:cs="FrankRuehl"/>
          <w:b w:val="0"/>
          <w:bCs w:val="0"/>
          <w:u w:val="none"/>
          <w:rtl/>
        </w:rPr>
        <w:t xml:space="preserve">, </w:t>
      </w:r>
      <w:hyperlink r:id="rId10" w:history="1">
        <w:r w:rsidRPr="00F13677">
          <w:rPr>
            <w:rFonts w:ascii="FrankRuehl" w:hAnsi="FrankRuehl" w:cs="FrankRuehl"/>
            <w:b w:val="0"/>
            <w:bCs w:val="0"/>
            <w:color w:val="0000FF"/>
            <w:rtl/>
          </w:rPr>
          <w:t>192</w:t>
        </w:r>
      </w:hyperlink>
    </w:p>
    <w:p w14:paraId="5BB8D1CC" w14:textId="77777777" w:rsidR="00F13677" w:rsidRPr="00F13677" w:rsidRDefault="00F13677" w:rsidP="00F13677">
      <w:pPr>
        <w:pStyle w:val="12"/>
        <w:spacing w:after="120" w:line="240" w:lineRule="exact"/>
        <w:ind w:left="283" w:hanging="283"/>
        <w:jc w:val="both"/>
        <w:rPr>
          <w:rFonts w:ascii="FrankRuehl" w:hAnsi="FrankRuehl" w:cs="FrankRuehl"/>
          <w:b w:val="0"/>
          <w:bCs w:val="0"/>
          <w:u w:val="none"/>
          <w:rtl/>
        </w:rPr>
      </w:pPr>
      <w:hyperlink r:id="rId11" w:history="1">
        <w:r w:rsidRPr="00F13677">
          <w:rPr>
            <w:rFonts w:ascii="FrankRuehl" w:hAnsi="FrankRuehl" w:cs="FrankRuehl"/>
            <w:b w:val="0"/>
            <w:bCs w:val="0"/>
            <w:color w:val="0000FF"/>
            <w:rtl/>
          </w:rPr>
          <w:t>חוק רישום קבלנים לעבודות הנדסה בנאיות, תשכ"ט-1969</w:t>
        </w:r>
      </w:hyperlink>
      <w:r w:rsidRPr="00F13677">
        <w:rPr>
          <w:rFonts w:ascii="FrankRuehl" w:hAnsi="FrankRuehl" w:cs="FrankRuehl"/>
          <w:b w:val="0"/>
          <w:bCs w:val="0"/>
          <w:u w:val="none"/>
          <w:rtl/>
        </w:rPr>
        <w:t xml:space="preserve">: סע'  </w:t>
      </w:r>
      <w:hyperlink r:id="rId12" w:history="1">
        <w:r w:rsidRPr="00F13677">
          <w:rPr>
            <w:rFonts w:ascii="FrankRuehl" w:hAnsi="FrankRuehl" w:cs="FrankRuehl"/>
            <w:b w:val="0"/>
            <w:bCs w:val="0"/>
            <w:color w:val="0000FF"/>
            <w:rtl/>
          </w:rPr>
          <w:t>4א</w:t>
        </w:r>
      </w:hyperlink>
    </w:p>
    <w:p w14:paraId="5C5560BD" w14:textId="77777777" w:rsidR="00F13677" w:rsidRPr="00F13677" w:rsidRDefault="00F13677" w:rsidP="00F13677">
      <w:pPr>
        <w:pStyle w:val="12"/>
        <w:spacing w:after="120" w:line="240" w:lineRule="exact"/>
        <w:ind w:left="283" w:hanging="283"/>
        <w:jc w:val="both"/>
        <w:rPr>
          <w:rFonts w:ascii="FrankRuehl" w:hAnsi="FrankRuehl" w:cs="FrankRuehl"/>
          <w:b w:val="0"/>
          <w:bCs w:val="0"/>
          <w:u w:val="none"/>
          <w:rtl/>
        </w:rPr>
      </w:pPr>
    </w:p>
    <w:p w14:paraId="526D2680" w14:textId="77777777" w:rsidR="00F13677" w:rsidRPr="00F13677" w:rsidRDefault="00F13677">
      <w:pPr>
        <w:pStyle w:val="12"/>
        <w:spacing w:line="360" w:lineRule="auto"/>
        <w:rPr>
          <w:b w:val="0"/>
          <w:bCs w:val="0"/>
          <w:u w:val="none"/>
          <w:rtl/>
        </w:rPr>
      </w:pPr>
      <w:bookmarkStart w:id="4" w:name="LawTable_End"/>
      <w:bookmarkEnd w:id="4"/>
    </w:p>
    <w:p w14:paraId="406ACF4C" w14:textId="77777777" w:rsidR="00F13677" w:rsidRPr="00F13677" w:rsidRDefault="00F13677">
      <w:pPr>
        <w:pStyle w:val="12"/>
        <w:spacing w:line="360" w:lineRule="auto"/>
        <w:rPr>
          <w:b w:val="0"/>
          <w:bCs w:val="0"/>
          <w:u w:val="none"/>
          <w:rtl/>
        </w:rPr>
      </w:pPr>
    </w:p>
    <w:p w14:paraId="5C9F656F" w14:textId="77777777" w:rsidR="000900D3" w:rsidRPr="00F13677" w:rsidRDefault="000900D3">
      <w:pPr>
        <w:pStyle w:val="12"/>
        <w:spacing w:line="360" w:lineRule="auto"/>
        <w:rPr>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00D3" w14:paraId="631B380A" w14:textId="77777777">
        <w:trPr>
          <w:trHeight w:val="355"/>
          <w:jc w:val="center"/>
        </w:trPr>
        <w:tc>
          <w:tcPr>
            <w:tcW w:w="8820" w:type="dxa"/>
            <w:tcBorders>
              <w:top w:val="nil"/>
              <w:left w:val="nil"/>
              <w:bottom w:val="nil"/>
              <w:right w:val="nil"/>
            </w:tcBorders>
            <w:shd w:val="clear" w:color="auto" w:fill="auto"/>
          </w:tcPr>
          <w:p w14:paraId="6A033075" w14:textId="77777777" w:rsidR="00113037" w:rsidRPr="00113037" w:rsidRDefault="00113037" w:rsidP="00113037">
            <w:pPr>
              <w:jc w:val="center"/>
              <w:rPr>
                <w:rFonts w:ascii="Arial" w:hAnsi="Arial" w:cs="FrankRuehl"/>
                <w:b/>
                <w:bCs/>
                <w:sz w:val="32"/>
                <w:szCs w:val="32"/>
                <w:u w:val="single"/>
                <w:rtl/>
              </w:rPr>
            </w:pPr>
            <w:bookmarkStart w:id="5" w:name="PsakDin" w:colFirst="0" w:colLast="0"/>
            <w:bookmarkEnd w:id="0"/>
            <w:bookmarkEnd w:id="1"/>
            <w:r w:rsidRPr="00113037">
              <w:rPr>
                <w:rFonts w:ascii="Arial" w:hAnsi="Arial" w:cs="FrankRuehl"/>
                <w:b/>
                <w:bCs/>
                <w:sz w:val="32"/>
                <w:szCs w:val="32"/>
                <w:u w:val="single"/>
                <w:rtl/>
              </w:rPr>
              <w:t>גזר דין</w:t>
            </w:r>
          </w:p>
          <w:p w14:paraId="1766F03E" w14:textId="77777777" w:rsidR="000900D3" w:rsidRPr="00113037" w:rsidRDefault="000900D3" w:rsidP="00113037">
            <w:pPr>
              <w:jc w:val="center"/>
              <w:rPr>
                <w:rFonts w:ascii="Arial" w:hAnsi="Arial" w:cs="FrankRuehl"/>
                <w:bCs/>
                <w:sz w:val="32"/>
                <w:szCs w:val="32"/>
                <w:u w:val="single"/>
                <w:rtl/>
              </w:rPr>
            </w:pPr>
          </w:p>
        </w:tc>
      </w:tr>
      <w:bookmarkEnd w:id="5"/>
    </w:tbl>
    <w:p w14:paraId="2641B658" w14:textId="77777777" w:rsidR="000900D3" w:rsidRDefault="000900D3">
      <w:pPr>
        <w:rPr>
          <w:rFonts w:ascii="Arial" w:hAnsi="Arial"/>
          <w:rtl/>
        </w:rPr>
      </w:pPr>
    </w:p>
    <w:p w14:paraId="41FD1839" w14:textId="77777777" w:rsidR="000900D3" w:rsidRDefault="000900D3">
      <w:pPr>
        <w:spacing w:line="360" w:lineRule="auto"/>
        <w:jc w:val="both"/>
        <w:rPr>
          <w:rFonts w:ascii="Arial" w:hAnsi="Arial"/>
          <w:b/>
          <w:bCs/>
          <w:u w:val="single"/>
          <w:rtl/>
        </w:rPr>
      </w:pPr>
    </w:p>
    <w:p w14:paraId="25971CC6" w14:textId="77777777" w:rsidR="000900D3" w:rsidRDefault="00113037">
      <w:pPr>
        <w:spacing w:line="360" w:lineRule="auto"/>
        <w:jc w:val="both"/>
        <w:rPr>
          <w:rFonts w:ascii="Arial" w:hAnsi="Arial"/>
          <w:rtl/>
        </w:rPr>
      </w:pPr>
      <w:r>
        <w:rPr>
          <w:rFonts w:ascii="Arial" w:hAnsi="Arial"/>
          <w:b/>
          <w:bCs/>
          <w:u w:val="single"/>
          <w:rtl/>
        </w:rPr>
        <w:t>פתח דבר</w:t>
      </w:r>
      <w:r>
        <w:rPr>
          <w:rFonts w:ascii="Arial" w:hAnsi="Arial" w:hint="cs"/>
          <w:rtl/>
        </w:rPr>
        <w:t>:</w:t>
      </w:r>
    </w:p>
    <w:p w14:paraId="31379825" w14:textId="77777777" w:rsidR="000900D3" w:rsidRDefault="000900D3">
      <w:pPr>
        <w:spacing w:line="360" w:lineRule="auto"/>
        <w:jc w:val="both"/>
        <w:rPr>
          <w:rFonts w:ascii="Arial" w:hAnsi="Arial"/>
          <w:sz w:val="22"/>
          <w:szCs w:val="22"/>
          <w:rtl/>
        </w:rPr>
      </w:pPr>
    </w:p>
    <w:p w14:paraId="3CD49078" w14:textId="77777777" w:rsidR="000900D3" w:rsidRDefault="00113037">
      <w:pPr>
        <w:spacing w:line="360" w:lineRule="auto"/>
        <w:ind w:left="720" w:hanging="720"/>
        <w:jc w:val="both"/>
        <w:rPr>
          <w:rFonts w:ascii="Calibri" w:hAnsi="Calibri"/>
          <w:b/>
          <w:bCs/>
          <w:rtl/>
        </w:rPr>
      </w:pPr>
      <w:r>
        <w:rPr>
          <w:rFonts w:ascii="Arial" w:hAnsi="Arial" w:hint="cs"/>
          <w:rtl/>
        </w:rPr>
        <w:t>1</w:t>
      </w:r>
      <w:r>
        <w:rPr>
          <w:rFonts w:ascii="Arial" w:hAnsi="Arial" w:hint="cs"/>
          <w:sz w:val="22"/>
          <w:szCs w:val="22"/>
          <w:rtl/>
        </w:rPr>
        <w:t>.</w:t>
      </w:r>
      <w:r>
        <w:rPr>
          <w:rFonts w:ascii="Arial" w:hAnsi="Arial" w:hint="cs"/>
          <w:sz w:val="22"/>
          <w:szCs w:val="22"/>
          <w:rtl/>
        </w:rPr>
        <w:tab/>
      </w:r>
      <w:bookmarkStart w:id="6" w:name="ABSTRACT_START"/>
      <w:bookmarkEnd w:id="6"/>
      <w:r>
        <w:rPr>
          <w:rFonts w:ascii="Arial" w:hAnsi="Arial"/>
          <w:rtl/>
        </w:rPr>
        <w:t xml:space="preserve">הנאשם חזר </w:t>
      </w:r>
      <w:r>
        <w:rPr>
          <w:rFonts w:ascii="Arial" w:hAnsi="Arial" w:hint="cs"/>
          <w:rtl/>
        </w:rPr>
        <w:t xml:space="preserve">בו </w:t>
      </w:r>
      <w:r>
        <w:rPr>
          <w:rFonts w:ascii="Arial" w:hAnsi="Arial"/>
          <w:rtl/>
        </w:rPr>
        <w:t xml:space="preserve">מכפירתו והודה בעובדות כתב האישום, בעקבות הסדר טיעון שבו הושאר עניין העונש לטיעון פתוח, והורשע על פי הודאתו </w:t>
      </w:r>
      <w:r>
        <w:rPr>
          <w:rFonts w:ascii="Arial" w:hAnsi="Arial"/>
          <w:b/>
          <w:bCs/>
          <w:rtl/>
        </w:rPr>
        <w:t>בעבירות בנשק (החזקה, נשיאה והובלת נשק, אבזר ותחמושת</w:t>
      </w:r>
      <w:r>
        <w:rPr>
          <w:rFonts w:ascii="Arial" w:hAnsi="Arial"/>
          <w:rtl/>
        </w:rPr>
        <w:t xml:space="preserve">) לפי </w:t>
      </w:r>
      <w:hyperlink r:id="rId13" w:history="1">
        <w:r w:rsidR="007E4AD7" w:rsidRPr="007E4AD7">
          <w:rPr>
            <w:rFonts w:ascii="Arial" w:hAnsi="Arial"/>
            <w:color w:val="0000FF"/>
            <w:u w:val="single"/>
            <w:rtl/>
          </w:rPr>
          <w:t>סעיפים 144(א)</w:t>
        </w:r>
      </w:hyperlink>
      <w:r>
        <w:rPr>
          <w:rFonts w:ascii="Arial" w:hAnsi="Arial"/>
          <w:rtl/>
        </w:rPr>
        <w:t xml:space="preserve"> ו – </w:t>
      </w:r>
      <w:hyperlink r:id="rId14" w:history="1">
        <w:r w:rsidR="007E4AD7" w:rsidRPr="007E4AD7">
          <w:rPr>
            <w:rFonts w:ascii="Arial" w:hAnsi="Arial"/>
            <w:color w:val="0000FF"/>
            <w:u w:val="single"/>
            <w:rtl/>
          </w:rPr>
          <w:t>144(ב)</w:t>
        </w:r>
      </w:hyperlink>
      <w:r>
        <w:rPr>
          <w:rFonts w:ascii="Arial" w:hAnsi="Arial"/>
          <w:rtl/>
        </w:rPr>
        <w:t xml:space="preserve"> ל</w:t>
      </w:r>
      <w:hyperlink r:id="rId15" w:history="1">
        <w:r w:rsidRPr="00113037">
          <w:rPr>
            <w:rFonts w:ascii="Arial" w:hAnsi="Arial"/>
            <w:color w:val="0000FF"/>
            <w:u w:val="single"/>
            <w:rtl/>
          </w:rPr>
          <w:t>חוק העונשין</w:t>
        </w:r>
      </w:hyperlink>
      <w:r>
        <w:rPr>
          <w:rFonts w:ascii="Arial" w:hAnsi="Arial"/>
          <w:rtl/>
        </w:rPr>
        <w:t>, התשל"ז -1977 (להלן: "</w:t>
      </w:r>
      <w:r>
        <w:rPr>
          <w:rFonts w:ascii="Arial" w:hAnsi="Arial"/>
          <w:b/>
          <w:bCs/>
          <w:rtl/>
        </w:rPr>
        <w:t>חוק העונשין</w:t>
      </w:r>
      <w:r>
        <w:rPr>
          <w:rFonts w:ascii="Arial" w:hAnsi="Arial"/>
          <w:rtl/>
        </w:rPr>
        <w:t>")</w:t>
      </w:r>
      <w:r>
        <w:rPr>
          <w:rFonts w:ascii="Arial" w:hAnsi="Arial" w:hint="cs"/>
          <w:rtl/>
        </w:rPr>
        <w:t xml:space="preserve"> </w:t>
      </w:r>
      <w:r>
        <w:rPr>
          <w:rFonts w:ascii="Arial" w:hAnsi="Arial"/>
          <w:rtl/>
        </w:rPr>
        <w:t xml:space="preserve">ועבירה של </w:t>
      </w:r>
      <w:r>
        <w:rPr>
          <w:rFonts w:ascii="Arial" w:hAnsi="Arial"/>
          <w:b/>
          <w:bCs/>
          <w:rtl/>
        </w:rPr>
        <w:t>איומים</w:t>
      </w:r>
      <w:r>
        <w:rPr>
          <w:rFonts w:ascii="Arial" w:hAnsi="Arial"/>
          <w:rtl/>
        </w:rPr>
        <w:t xml:space="preserve"> לפי </w:t>
      </w:r>
      <w:hyperlink r:id="rId16" w:history="1">
        <w:r w:rsidR="007E4AD7" w:rsidRPr="007E4AD7">
          <w:rPr>
            <w:rFonts w:ascii="Arial" w:hAnsi="Arial"/>
            <w:color w:val="0000FF"/>
            <w:u w:val="single"/>
            <w:rtl/>
          </w:rPr>
          <w:t>סעיף 192</w:t>
        </w:r>
      </w:hyperlink>
      <w:r>
        <w:rPr>
          <w:rFonts w:ascii="Arial" w:hAnsi="Arial"/>
          <w:rtl/>
        </w:rPr>
        <w:t xml:space="preserve"> לחוק העונשין.</w:t>
      </w:r>
    </w:p>
    <w:p w14:paraId="41B71AF1" w14:textId="77777777" w:rsidR="000900D3" w:rsidRDefault="000900D3">
      <w:pPr>
        <w:spacing w:line="360" w:lineRule="auto"/>
        <w:jc w:val="both"/>
        <w:rPr>
          <w:b/>
          <w:bCs/>
          <w:u w:val="single"/>
          <w:rtl/>
        </w:rPr>
      </w:pPr>
      <w:bookmarkStart w:id="7" w:name="ABSTRACT_END"/>
      <w:bookmarkEnd w:id="7"/>
    </w:p>
    <w:p w14:paraId="2891771A" w14:textId="77777777" w:rsidR="000900D3" w:rsidRDefault="00113037">
      <w:pPr>
        <w:spacing w:line="360" w:lineRule="auto"/>
        <w:jc w:val="both"/>
        <w:rPr>
          <w:rFonts w:ascii="Calibri" w:hAnsi="Calibri"/>
          <w:rtl/>
        </w:rPr>
      </w:pPr>
      <w:r>
        <w:rPr>
          <w:b/>
          <w:bCs/>
          <w:u w:val="single"/>
          <w:rtl/>
        </w:rPr>
        <w:t>עובדות כתב האיש</w:t>
      </w:r>
      <w:r>
        <w:rPr>
          <w:rFonts w:hint="cs"/>
          <w:b/>
          <w:bCs/>
          <w:u w:val="single"/>
          <w:rtl/>
        </w:rPr>
        <w:t>ום</w:t>
      </w:r>
      <w:r>
        <w:rPr>
          <w:rFonts w:hint="cs"/>
          <w:rtl/>
        </w:rPr>
        <w:t>:</w:t>
      </w:r>
    </w:p>
    <w:p w14:paraId="6F92FB55" w14:textId="77777777" w:rsidR="000900D3" w:rsidRDefault="000900D3">
      <w:pPr>
        <w:spacing w:line="360" w:lineRule="auto"/>
        <w:jc w:val="both"/>
        <w:rPr>
          <w:rFonts w:ascii="Calibri" w:hAnsi="Calibri"/>
          <w:b/>
          <w:bCs/>
          <w:rtl/>
        </w:rPr>
      </w:pPr>
    </w:p>
    <w:p w14:paraId="74C0D261" w14:textId="77777777" w:rsidR="000900D3" w:rsidRDefault="00113037">
      <w:pPr>
        <w:spacing w:line="360" w:lineRule="auto"/>
        <w:ind w:left="720" w:hanging="720"/>
        <w:jc w:val="both"/>
        <w:rPr>
          <w:rFonts w:ascii="Calibri" w:hAnsi="Calibri"/>
          <w:rtl/>
        </w:rPr>
      </w:pPr>
      <w:r>
        <w:rPr>
          <w:rFonts w:ascii="Calibri" w:hAnsi="Calibri" w:hint="cs"/>
          <w:rtl/>
        </w:rPr>
        <w:lastRenderedPageBreak/>
        <w:t>2.</w:t>
      </w:r>
      <w:r>
        <w:rPr>
          <w:rFonts w:ascii="Calibri" w:hAnsi="Calibri" w:hint="cs"/>
          <w:b/>
          <w:bCs/>
          <w:rtl/>
        </w:rPr>
        <w:tab/>
      </w:r>
      <w:r>
        <w:rPr>
          <w:rFonts w:ascii="Calibri" w:hAnsi="Calibri" w:hint="eastAsia"/>
          <w:rtl/>
        </w:rPr>
        <w:t>ביום</w:t>
      </w:r>
      <w:r>
        <w:rPr>
          <w:rFonts w:ascii="Calibri" w:hAnsi="Calibri"/>
          <w:rtl/>
        </w:rPr>
        <w:t xml:space="preserve"> 26.02.15, </w:t>
      </w:r>
      <w:r>
        <w:rPr>
          <w:rFonts w:ascii="Calibri" w:hAnsi="Calibri" w:hint="eastAsia"/>
          <w:rtl/>
        </w:rPr>
        <w:t>בשעה</w:t>
      </w:r>
      <w:r>
        <w:rPr>
          <w:rFonts w:ascii="Calibri" w:hAnsi="Calibri"/>
          <w:rtl/>
        </w:rPr>
        <w:t xml:space="preserve"> 07:10,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בשפרעם</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הקטין</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סקודה</w:t>
      </w:r>
      <w:r>
        <w:rPr>
          <w:rFonts w:ascii="Calibri" w:hAnsi="Calibri"/>
          <w:rtl/>
        </w:rPr>
        <w:t xml:space="preserve"> </w:t>
      </w:r>
      <w:r>
        <w:rPr>
          <w:rFonts w:ascii="Calibri" w:hAnsi="Calibri" w:hint="eastAsia"/>
          <w:rtl/>
        </w:rPr>
        <w:t>מס</w:t>
      </w:r>
      <w:r>
        <w:rPr>
          <w:rFonts w:ascii="Calibri" w:hAnsi="Calibri"/>
          <w:rtl/>
        </w:rPr>
        <w:t xml:space="preserve">' 2299412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הרכב</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ונושא</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רובה</w:t>
      </w:r>
      <w:r>
        <w:rPr>
          <w:rFonts w:ascii="Calibri" w:hAnsi="Calibri" w:hint="cs"/>
          <w:rtl/>
        </w:rPr>
        <w:t xml:space="preserve">, </w:t>
      </w:r>
      <w:r>
        <w:rPr>
          <w:rFonts w:ascii="Calibri" w:hAnsi="Calibri"/>
        </w:rPr>
        <w:t xml:space="preserve"> </w:t>
      </w:r>
      <w:r>
        <w:rPr>
          <w:rFonts w:ascii="Calibri" w:hAnsi="Calibri" w:hint="cs"/>
        </w:rPr>
        <w:t>M</w:t>
      </w:r>
      <w:r>
        <w:rPr>
          <w:rFonts w:ascii="Calibri" w:hAnsi="Calibri" w:hint="cs"/>
          <w:rtl/>
        </w:rPr>
        <w:t xml:space="preserve">-  16-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הרובה</w:t>
      </w:r>
      <w:r>
        <w:rPr>
          <w:rFonts w:ascii="Calibri" w:hAnsi="Calibri"/>
          <w:rtl/>
        </w:rPr>
        <w:t xml:space="preserve">"), </w:t>
      </w:r>
      <w:r>
        <w:rPr>
          <w:rFonts w:ascii="Calibri" w:hAnsi="Calibri" w:hint="eastAsia"/>
          <w:rtl/>
        </w:rPr>
        <w:t>ובתוכו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להחזקתם</w:t>
      </w:r>
      <w:r>
        <w:rPr>
          <w:rFonts w:ascii="Calibri" w:hAnsi="Calibri"/>
          <w:rtl/>
        </w:rPr>
        <w:t>.</w:t>
      </w:r>
      <w:r>
        <w:rPr>
          <w:rtl/>
        </w:rPr>
        <w:t xml:space="preserve"> המדובר בכלי  נשק שמסוגל </w:t>
      </w:r>
      <w:r>
        <w:rPr>
          <w:rFonts w:hint="cs"/>
          <w:rtl/>
        </w:rPr>
        <w:t xml:space="preserve">לירות כדור שיש בכוחו </w:t>
      </w:r>
      <w:r>
        <w:rPr>
          <w:rtl/>
        </w:rPr>
        <w:t>להמית אדם</w:t>
      </w:r>
      <w:r>
        <w:rPr>
          <w:rFonts w:ascii="Calibri" w:hAnsi="Calibri"/>
          <w:rtl/>
        </w:rPr>
        <w:t>.</w:t>
      </w:r>
    </w:p>
    <w:p w14:paraId="2453BFA9" w14:textId="77777777" w:rsidR="000900D3" w:rsidRDefault="000900D3">
      <w:pPr>
        <w:spacing w:line="360" w:lineRule="auto"/>
        <w:ind w:left="720"/>
        <w:jc w:val="both"/>
        <w:rPr>
          <w:rFonts w:ascii="Calibri" w:hAnsi="Calibri"/>
          <w:rtl/>
        </w:rPr>
      </w:pPr>
    </w:p>
    <w:p w14:paraId="3BEC89F1" w14:textId="77777777" w:rsidR="000900D3" w:rsidRDefault="00113037">
      <w:pPr>
        <w:spacing w:line="360" w:lineRule="auto"/>
        <w:ind w:left="720" w:hanging="720"/>
        <w:jc w:val="both"/>
        <w:rPr>
          <w:rFonts w:ascii="Calibri" w:hAnsi="Calibri"/>
          <w:rtl/>
        </w:rPr>
      </w:pPr>
      <w:r>
        <w:rPr>
          <w:rFonts w:ascii="Calibri" w:hAnsi="Calibri" w:hint="cs"/>
          <w:rtl/>
        </w:rPr>
        <w:t>3.</w:t>
      </w:r>
      <w:r>
        <w:rPr>
          <w:rFonts w:ascii="Calibri" w:hAnsi="Calibri" w:hint="cs"/>
          <w:rtl/>
        </w:rPr>
        <w:tab/>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רכבו</w:t>
      </w:r>
      <w:r>
        <w:rPr>
          <w:rFonts w:ascii="Calibri" w:hAnsi="Calibri"/>
          <w:rtl/>
        </w:rPr>
        <w:t xml:space="preserve"> </w:t>
      </w:r>
      <w:r>
        <w:rPr>
          <w:rFonts w:ascii="Calibri" w:hAnsi="Calibri" w:hint="eastAsia"/>
          <w:rtl/>
        </w:rPr>
        <w:t>לחורשה</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לכניסה</w:t>
      </w:r>
      <w:r>
        <w:rPr>
          <w:rFonts w:ascii="Calibri" w:hAnsi="Calibri"/>
          <w:rtl/>
        </w:rPr>
        <w:t xml:space="preserve"> </w:t>
      </w:r>
      <w:r>
        <w:rPr>
          <w:rFonts w:ascii="Calibri" w:hAnsi="Calibri" w:hint="eastAsia"/>
          <w:rtl/>
        </w:rPr>
        <w:t>לכפר</w:t>
      </w:r>
      <w:r>
        <w:rPr>
          <w:rFonts w:ascii="Calibri" w:hAnsi="Calibri"/>
          <w:rtl/>
        </w:rPr>
        <w:t xml:space="preserve"> </w:t>
      </w:r>
      <w:r>
        <w:rPr>
          <w:rFonts w:ascii="Calibri" w:hAnsi="Calibri" w:hint="eastAsia"/>
          <w:rtl/>
        </w:rPr>
        <w:t>סואעד</w:t>
      </w:r>
      <w:r>
        <w:rPr>
          <w:rFonts w:ascii="Calibri" w:hAnsi="Calibri"/>
          <w:rtl/>
        </w:rPr>
        <w:t xml:space="preserve"> </w:t>
      </w:r>
      <w:r>
        <w:rPr>
          <w:rFonts w:ascii="Calibri" w:hAnsi="Calibri" w:hint="eastAsia"/>
          <w:rtl/>
        </w:rPr>
        <w:t>חמירה</w:t>
      </w:r>
      <w:r>
        <w:rPr>
          <w:rFonts w:ascii="Calibri" w:hAnsi="Calibri"/>
          <w:rtl/>
        </w:rPr>
        <w:t xml:space="preserve"> </w:t>
      </w:r>
      <w:r>
        <w:rPr>
          <w:rFonts w:ascii="Calibri" w:hAnsi="Calibri" w:hint="eastAsia"/>
          <w:rtl/>
        </w:rPr>
        <w:t>ושם</w:t>
      </w:r>
      <w:r>
        <w:rPr>
          <w:rFonts w:ascii="Calibri" w:hAnsi="Calibri"/>
          <w:rtl/>
        </w:rPr>
        <w:t xml:space="preserve"> </w:t>
      </w:r>
      <w:r>
        <w:rPr>
          <w:rFonts w:ascii="Calibri" w:hAnsi="Calibri" w:hint="eastAsia"/>
          <w:rtl/>
        </w:rPr>
        <w:t>ירה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הרובה</w:t>
      </w:r>
      <w:r>
        <w:rPr>
          <w:rFonts w:ascii="Calibri" w:hAnsi="Calibri"/>
          <w:rtl/>
        </w:rPr>
        <w:t xml:space="preserve"> </w:t>
      </w:r>
      <w:r>
        <w:rPr>
          <w:rFonts w:ascii="Calibri" w:hAnsi="Calibri" w:hint="eastAsia"/>
          <w:rtl/>
        </w:rPr>
        <w:t>עשרות</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באוויר</w:t>
      </w:r>
      <w:r>
        <w:rPr>
          <w:rFonts w:ascii="Calibri" w:hAnsi="Calibri"/>
          <w:rtl/>
        </w:rPr>
        <w:t>.</w:t>
      </w:r>
    </w:p>
    <w:p w14:paraId="7C74AA54" w14:textId="77777777" w:rsidR="000900D3" w:rsidRDefault="000900D3">
      <w:pPr>
        <w:spacing w:line="360" w:lineRule="auto"/>
        <w:jc w:val="both"/>
        <w:rPr>
          <w:rFonts w:ascii="Calibri" w:hAnsi="Calibri"/>
          <w:rtl/>
        </w:rPr>
      </w:pPr>
    </w:p>
    <w:p w14:paraId="22B7592B" w14:textId="77777777" w:rsidR="000900D3" w:rsidRDefault="00113037">
      <w:pPr>
        <w:spacing w:line="360" w:lineRule="auto"/>
        <w:ind w:left="720" w:hanging="720"/>
        <w:jc w:val="both"/>
        <w:rPr>
          <w:rFonts w:ascii="Calibri" w:hAnsi="Calibri"/>
          <w:rtl/>
        </w:rPr>
      </w:pPr>
      <w:r>
        <w:rPr>
          <w:rFonts w:ascii="Calibri" w:hAnsi="Calibri" w:hint="cs"/>
          <w:rtl/>
        </w:rPr>
        <w:t>4.</w:t>
      </w:r>
      <w:r>
        <w:rPr>
          <w:rFonts w:ascii="Calibri" w:hAnsi="Calibri" w:hint="cs"/>
          <w:rtl/>
        </w:rPr>
        <w:tab/>
      </w:r>
      <w:r>
        <w:rPr>
          <w:rFonts w:ascii="Calibri" w:hAnsi="Calibri" w:hint="eastAsia"/>
          <w:rtl/>
        </w:rPr>
        <w:t>בהמשך</w:t>
      </w:r>
      <w:r>
        <w:rPr>
          <w:rFonts w:ascii="Calibri" w:hAnsi="Calibri"/>
          <w:rtl/>
        </w:rPr>
        <w:t xml:space="preserve"> </w:t>
      </w:r>
      <w:r>
        <w:rPr>
          <w:rFonts w:ascii="Calibri" w:hAnsi="Calibri" w:hint="eastAsia"/>
          <w:rtl/>
        </w:rPr>
        <w:t>למתואר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הוזעקו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כוחות</w:t>
      </w:r>
      <w:r>
        <w:rPr>
          <w:rFonts w:ascii="Calibri" w:hAnsi="Calibri"/>
          <w:rtl/>
        </w:rPr>
        <w:t xml:space="preserve"> </w:t>
      </w:r>
      <w:r>
        <w:rPr>
          <w:rFonts w:ascii="Calibri" w:hAnsi="Calibri" w:hint="eastAsia"/>
          <w:rtl/>
        </w:rPr>
        <w:t>משטרה</w:t>
      </w:r>
      <w:r>
        <w:rPr>
          <w:rFonts w:ascii="Calibri" w:hAnsi="Calibri"/>
          <w:rtl/>
        </w:rPr>
        <w:t xml:space="preserve"> </w:t>
      </w:r>
      <w:r>
        <w:rPr>
          <w:rFonts w:ascii="Calibri" w:hAnsi="Calibri" w:hint="eastAsia"/>
          <w:rtl/>
        </w:rPr>
        <w:t>ומשהבחין</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להימלט</w:t>
      </w:r>
      <w:r>
        <w:rPr>
          <w:rFonts w:ascii="Calibri" w:hAnsi="Calibri"/>
          <w:rtl/>
        </w:rPr>
        <w:t xml:space="preserve"> </w:t>
      </w:r>
      <w:r>
        <w:rPr>
          <w:rFonts w:ascii="Calibri" w:hAnsi="Calibri" w:hint="eastAsia"/>
          <w:rtl/>
        </w:rPr>
        <w:t>רגלית</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הרובה</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מנוסתו</w:t>
      </w:r>
      <w:r>
        <w:rPr>
          <w:rFonts w:ascii="Calibri" w:hAnsi="Calibri"/>
          <w:rtl/>
        </w:rPr>
        <w:t xml:space="preserve"> </w:t>
      </w:r>
      <w:r>
        <w:rPr>
          <w:rFonts w:ascii="Calibri" w:hAnsi="Calibri" w:hint="eastAsia"/>
          <w:rtl/>
        </w:rPr>
        <w:t>הסתובב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לעבר</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מכוון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הרובה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להפחידו</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שלף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אקדחו</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במנוסתו</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ונעצר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השוטר</w:t>
      </w:r>
      <w:r>
        <w:rPr>
          <w:rFonts w:ascii="Calibri" w:hAnsi="Calibri"/>
          <w:rtl/>
        </w:rPr>
        <w:t>.</w:t>
      </w:r>
    </w:p>
    <w:p w14:paraId="6EE49BD0" w14:textId="77777777" w:rsidR="000900D3" w:rsidRDefault="00113037">
      <w:pPr>
        <w:spacing w:line="360" w:lineRule="auto"/>
        <w:jc w:val="both"/>
        <w:rPr>
          <w:rFonts w:ascii="Calibri" w:hAnsi="Calibri"/>
          <w:rtl/>
        </w:rPr>
      </w:pPr>
      <w:r>
        <w:rPr>
          <w:rFonts w:ascii="Calibri" w:hAnsi="Calibri"/>
          <w:rtl/>
        </w:rPr>
        <w:tab/>
      </w:r>
    </w:p>
    <w:p w14:paraId="533A688E" w14:textId="77777777" w:rsidR="000900D3" w:rsidRDefault="00113037">
      <w:pPr>
        <w:spacing w:line="360" w:lineRule="auto"/>
        <w:jc w:val="both"/>
        <w:rPr>
          <w:rFonts w:ascii="Calibri" w:hAnsi="Calibri"/>
          <w:rtl/>
        </w:rPr>
      </w:pPr>
      <w:r>
        <w:rPr>
          <w:rFonts w:ascii="Calibri" w:hAnsi="Calibri" w:hint="cs"/>
          <w:rtl/>
        </w:rPr>
        <w:t>5.</w:t>
      </w:r>
      <w:r>
        <w:rPr>
          <w:rFonts w:ascii="Calibri" w:hAnsi="Calibri" w:hint="cs"/>
          <w:rtl/>
        </w:rPr>
        <w:tab/>
      </w:r>
      <w:r>
        <w:rPr>
          <w:rFonts w:ascii="Calibri" w:hAnsi="Calibri" w:hint="eastAsia"/>
          <w:rtl/>
        </w:rPr>
        <w:t>בחיפוש</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שבעים</w:t>
      </w:r>
      <w:r>
        <w:rPr>
          <w:rFonts w:ascii="Calibri" w:hAnsi="Calibri"/>
          <w:rtl/>
        </w:rPr>
        <w:t xml:space="preserve"> </w:t>
      </w:r>
      <w:r>
        <w:rPr>
          <w:rFonts w:ascii="Calibri" w:hAnsi="Calibri" w:hint="eastAsia"/>
          <w:rtl/>
        </w:rPr>
        <w:t>תרמילים</w:t>
      </w:r>
      <w:r>
        <w:rPr>
          <w:rFonts w:ascii="Calibri" w:hAnsi="Calibri"/>
          <w:rtl/>
        </w:rPr>
        <w:t xml:space="preserve"> </w:t>
      </w:r>
      <w:r>
        <w:rPr>
          <w:rFonts w:ascii="Calibri" w:hAnsi="Calibri" w:hint="eastAsia"/>
          <w:rtl/>
        </w:rPr>
        <w:t>נ</w:t>
      </w:r>
      <w:r>
        <w:rPr>
          <w:rFonts w:ascii="Calibri" w:hAnsi="Calibri" w:hint="cs"/>
          <w:rtl/>
        </w:rPr>
        <w:t>י</w:t>
      </w:r>
      <w:r>
        <w:rPr>
          <w:rFonts w:ascii="Calibri" w:hAnsi="Calibri" w:hint="eastAsia"/>
          <w:rtl/>
        </w:rPr>
        <w:t>קורים</w:t>
      </w:r>
      <w:r>
        <w:rPr>
          <w:rFonts w:ascii="Calibri" w:hAnsi="Calibri"/>
          <w:rtl/>
        </w:rPr>
        <w:t xml:space="preserve"> </w:t>
      </w:r>
      <w:r>
        <w:rPr>
          <w:rFonts w:ascii="Calibri" w:hAnsi="Calibri" w:hint="eastAsia"/>
          <w:rtl/>
        </w:rPr>
        <w:t>ושני</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מסוג</w:t>
      </w:r>
      <w:r>
        <w:rPr>
          <w:rFonts w:ascii="Calibri" w:hAnsi="Calibri"/>
          <w:rtl/>
        </w:rPr>
        <w:t xml:space="preserve"> 5.56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w:t>
      </w:r>
    </w:p>
    <w:p w14:paraId="02CA024E" w14:textId="77777777" w:rsidR="000900D3" w:rsidRDefault="000900D3">
      <w:pPr>
        <w:spacing w:line="360" w:lineRule="auto"/>
        <w:jc w:val="both"/>
        <w:rPr>
          <w:rFonts w:ascii="Calibri" w:hAnsi="Calibri"/>
          <w:rtl/>
        </w:rPr>
      </w:pPr>
    </w:p>
    <w:p w14:paraId="1AC72156" w14:textId="77777777" w:rsidR="000900D3" w:rsidRDefault="00113037">
      <w:pPr>
        <w:spacing w:line="360" w:lineRule="auto"/>
        <w:ind w:left="720" w:hanging="720"/>
        <w:jc w:val="both"/>
        <w:rPr>
          <w:rFonts w:ascii="Calibri" w:hAnsi="Calibri"/>
          <w:rtl/>
        </w:rPr>
      </w:pPr>
      <w:r>
        <w:rPr>
          <w:rFonts w:ascii="Calibri" w:hAnsi="Calibri" w:hint="cs"/>
          <w:rtl/>
        </w:rPr>
        <w:t>6.</w:t>
      </w:r>
      <w:r>
        <w:rPr>
          <w:rFonts w:ascii="Calibri" w:hAnsi="Calibri" w:hint="cs"/>
          <w:rtl/>
        </w:rPr>
        <w:tab/>
      </w:r>
      <w:r>
        <w:rPr>
          <w:rFonts w:ascii="Calibri" w:hAnsi="Calibri" w:hint="eastAsia"/>
          <w:rtl/>
        </w:rPr>
        <w:t>במעשיו</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אבזר</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להחזקתם</w:t>
      </w:r>
      <w:r>
        <w:rPr>
          <w:rFonts w:ascii="Calibri" w:hAnsi="Calibri"/>
          <w:rtl/>
        </w:rPr>
        <w:t xml:space="preserve">, </w:t>
      </w:r>
      <w:r>
        <w:rPr>
          <w:rFonts w:ascii="Calibri" w:hAnsi="Calibri" w:hint="eastAsia"/>
          <w:rtl/>
        </w:rPr>
        <w:t>נשיאתם</w:t>
      </w:r>
      <w:r>
        <w:rPr>
          <w:rFonts w:ascii="Calibri" w:hAnsi="Calibri"/>
          <w:rtl/>
        </w:rPr>
        <w:t xml:space="preserve"> </w:t>
      </w:r>
      <w:r>
        <w:rPr>
          <w:rFonts w:ascii="Calibri" w:hAnsi="Calibri" w:hint="eastAsia"/>
          <w:rtl/>
        </w:rPr>
        <w:t>והובלתם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בפגיעה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בגופו</w:t>
      </w:r>
      <w:r>
        <w:rPr>
          <w:rFonts w:ascii="Calibri" w:hAnsi="Calibri"/>
          <w:rtl/>
        </w:rPr>
        <w:t xml:space="preserve">, </w:t>
      </w:r>
      <w:r>
        <w:rPr>
          <w:rFonts w:ascii="Calibri" w:hAnsi="Calibri" w:hint="eastAsia"/>
          <w:rtl/>
        </w:rPr>
        <w:t>בכוונה</w:t>
      </w:r>
      <w:r>
        <w:rPr>
          <w:rFonts w:ascii="Calibri" w:hAnsi="Calibri"/>
          <w:rtl/>
        </w:rPr>
        <w:t xml:space="preserve"> </w:t>
      </w:r>
      <w:r>
        <w:rPr>
          <w:rFonts w:ascii="Calibri" w:hAnsi="Calibri" w:hint="eastAsia"/>
          <w:rtl/>
        </w:rPr>
        <w:t>להפחידו</w:t>
      </w:r>
      <w:r>
        <w:rPr>
          <w:rFonts w:ascii="Calibri" w:hAnsi="Calibri"/>
          <w:rtl/>
        </w:rPr>
        <w:t>.</w:t>
      </w:r>
    </w:p>
    <w:p w14:paraId="6456A028" w14:textId="77777777" w:rsidR="000900D3" w:rsidRDefault="000900D3">
      <w:pPr>
        <w:spacing w:line="360" w:lineRule="auto"/>
        <w:ind w:left="720"/>
        <w:jc w:val="both"/>
        <w:rPr>
          <w:rFonts w:ascii="Calibri" w:hAnsi="Calibri"/>
          <w:rtl/>
        </w:rPr>
      </w:pPr>
    </w:p>
    <w:p w14:paraId="6A4B0D0C" w14:textId="77777777" w:rsidR="000900D3" w:rsidRDefault="00113037">
      <w:pPr>
        <w:spacing w:line="360" w:lineRule="auto"/>
        <w:jc w:val="both"/>
        <w:rPr>
          <w:rtl/>
        </w:rPr>
      </w:pPr>
      <w:r>
        <w:rPr>
          <w:b/>
          <w:bCs/>
          <w:u w:val="single"/>
          <w:rtl/>
        </w:rPr>
        <w:t>תסקיר שירות המבחן</w:t>
      </w:r>
      <w:r>
        <w:rPr>
          <w:b/>
          <w:bCs/>
          <w:rtl/>
        </w:rPr>
        <w:t>:</w:t>
      </w:r>
    </w:p>
    <w:p w14:paraId="5C40827D" w14:textId="77777777" w:rsidR="000900D3" w:rsidRDefault="00113037">
      <w:pPr>
        <w:spacing w:line="360" w:lineRule="auto"/>
        <w:jc w:val="both"/>
        <w:rPr>
          <w:rtl/>
        </w:rPr>
      </w:pPr>
      <w:r>
        <w:rPr>
          <w:rtl/>
        </w:rPr>
        <w:tab/>
      </w:r>
    </w:p>
    <w:p w14:paraId="31DADC4A" w14:textId="77777777" w:rsidR="000900D3" w:rsidRDefault="00113037">
      <w:pPr>
        <w:spacing w:line="360" w:lineRule="auto"/>
        <w:ind w:left="720" w:hanging="720"/>
        <w:jc w:val="both"/>
        <w:rPr>
          <w:rtl/>
        </w:rPr>
      </w:pPr>
      <w:r>
        <w:rPr>
          <w:rFonts w:hint="cs"/>
          <w:rtl/>
        </w:rPr>
        <w:t>7.</w:t>
      </w:r>
      <w:r>
        <w:rPr>
          <w:rFonts w:hint="cs"/>
          <w:rtl/>
        </w:rPr>
        <w:tab/>
      </w:r>
      <w:r>
        <w:rPr>
          <w:rtl/>
        </w:rPr>
        <w:t>מהתסקיר עולה כי ה</w:t>
      </w:r>
      <w:r>
        <w:rPr>
          <w:rFonts w:hint="cs"/>
          <w:rtl/>
        </w:rPr>
        <w:t>נ</w:t>
      </w:r>
      <w:r>
        <w:rPr>
          <w:rtl/>
        </w:rPr>
        <w:t>א</w:t>
      </w:r>
      <w:r>
        <w:rPr>
          <w:rFonts w:hint="cs"/>
          <w:rtl/>
        </w:rPr>
        <w:t>שם</w:t>
      </w:r>
      <w:r>
        <w:rPr>
          <w:rtl/>
        </w:rPr>
        <w:t xml:space="preserve"> בן 40, רווק, השני ברצף הילדים מבין שמונת ילדי משפחת מוצאו. נמצא במעצר בית מלא, מתחילת חודש מאי ואינו עובד. לפני מעצרו ניהל עסק עצמאי בתחום הבניה והתשתיות, אותו פתח בנובמבר 2014. לפני כן עבד עם חברות בניה גדולות במקומות שונים בארץ ושימש דמות מרכזית בפרנסת משפחתו.</w:t>
      </w:r>
    </w:p>
    <w:p w14:paraId="3441C56C" w14:textId="77777777" w:rsidR="000900D3" w:rsidRDefault="000900D3">
      <w:pPr>
        <w:spacing w:line="360" w:lineRule="auto"/>
        <w:ind w:left="720"/>
        <w:jc w:val="both"/>
        <w:rPr>
          <w:rtl/>
        </w:rPr>
      </w:pPr>
    </w:p>
    <w:p w14:paraId="5A3F7F19" w14:textId="77777777" w:rsidR="000900D3" w:rsidRDefault="00113037">
      <w:pPr>
        <w:spacing w:line="360" w:lineRule="auto"/>
        <w:ind w:left="720" w:hanging="720"/>
        <w:jc w:val="both"/>
        <w:rPr>
          <w:rtl/>
        </w:rPr>
      </w:pPr>
      <w:r>
        <w:rPr>
          <w:rFonts w:hint="cs"/>
          <w:rtl/>
        </w:rPr>
        <w:t>8.</w:t>
      </w:r>
      <w:r>
        <w:rPr>
          <w:rFonts w:hint="cs"/>
          <w:rtl/>
        </w:rPr>
        <w:tab/>
      </w:r>
      <w:r>
        <w:rPr>
          <w:rtl/>
        </w:rPr>
        <w:t>מתולדות חייו עולה כי הנאשם נולד למשפחה קשת יום אשר מתגוררת בישוב</w:t>
      </w:r>
      <w:r>
        <w:rPr>
          <w:rFonts w:hint="cs"/>
          <w:rtl/>
        </w:rPr>
        <w:t xml:space="preserve"> </w:t>
      </w:r>
      <w:r>
        <w:rPr>
          <w:rtl/>
        </w:rPr>
        <w:t>-</w:t>
      </w:r>
      <w:r>
        <w:rPr>
          <w:rFonts w:hint="cs"/>
          <w:rtl/>
        </w:rPr>
        <w:t xml:space="preserve"> </w:t>
      </w:r>
      <w:r>
        <w:rPr>
          <w:rtl/>
        </w:rPr>
        <w:t xml:space="preserve">חמרייה סואעד. מגיל צעיר חווה מחסור ובהעדר מסגרות לימוד בישובו, למד </w:t>
      </w:r>
      <w:r>
        <w:rPr>
          <w:rFonts w:hint="cs"/>
          <w:rtl/>
        </w:rPr>
        <w:t>ב</w:t>
      </w:r>
      <w:r>
        <w:rPr>
          <w:rtl/>
        </w:rPr>
        <w:t>חטיבת הביניים בשפרעם. סיים 12 שנות לימוד, נבחן בחלק ממבחני הבגרות ומאוחר יותר השלים הבגרות דרך מתנ"ס שפרעם.</w:t>
      </w:r>
    </w:p>
    <w:p w14:paraId="50FBCB21" w14:textId="77777777" w:rsidR="000900D3" w:rsidRDefault="000900D3">
      <w:pPr>
        <w:spacing w:line="360" w:lineRule="auto"/>
        <w:ind w:left="720"/>
        <w:jc w:val="both"/>
        <w:rPr>
          <w:rtl/>
        </w:rPr>
      </w:pPr>
    </w:p>
    <w:p w14:paraId="66ACA427" w14:textId="77777777" w:rsidR="000900D3" w:rsidRDefault="00113037">
      <w:pPr>
        <w:spacing w:line="360" w:lineRule="auto"/>
        <w:ind w:left="720" w:hanging="720"/>
        <w:jc w:val="both"/>
        <w:rPr>
          <w:rtl/>
        </w:rPr>
      </w:pPr>
      <w:r>
        <w:rPr>
          <w:rFonts w:hint="cs"/>
          <w:rtl/>
        </w:rPr>
        <w:t>9.</w:t>
      </w:r>
      <w:r>
        <w:rPr>
          <w:rFonts w:hint="cs"/>
          <w:rtl/>
        </w:rPr>
        <w:tab/>
      </w:r>
      <w:r>
        <w:rPr>
          <w:rtl/>
        </w:rPr>
        <w:t xml:space="preserve">לנאשם אח גדול ממנו נשוי, ו- 6 אחים ואחיות צעירים ממנו, שאחות אחת נשואה גם היא, השאר רווקים וחיים בבית ההורים. שניים מאחיו נפטרו, אחד ממחלת לב לפני 9 שנים ואח נוסף, נהרג במהלך טיול בחו"ל לפני קרוב לשנתיים. פטירת האח הנוסף, יצרה אוירה </w:t>
      </w:r>
      <w:r>
        <w:rPr>
          <w:rtl/>
        </w:rPr>
        <w:lastRenderedPageBreak/>
        <w:t>דיכאונית בבית וגרמה לתחושת כאב עז אצלו, במיוחד לנוכח העובדה כי הוא מימן לאחיו את הנסיעה ולכן חש רגשות אשם קשים לאחר מותו.</w:t>
      </w:r>
    </w:p>
    <w:p w14:paraId="08224CFB" w14:textId="77777777" w:rsidR="000900D3" w:rsidRDefault="000900D3">
      <w:pPr>
        <w:spacing w:line="360" w:lineRule="auto"/>
        <w:ind w:left="720"/>
        <w:jc w:val="both"/>
        <w:rPr>
          <w:rtl/>
        </w:rPr>
      </w:pPr>
    </w:p>
    <w:p w14:paraId="26EFE05F" w14:textId="77777777" w:rsidR="000900D3" w:rsidRDefault="00113037">
      <w:pPr>
        <w:spacing w:line="360" w:lineRule="auto"/>
        <w:ind w:left="720" w:hanging="720"/>
        <w:jc w:val="both"/>
        <w:rPr>
          <w:rtl/>
        </w:rPr>
      </w:pPr>
      <w:r>
        <w:rPr>
          <w:rFonts w:hint="cs"/>
          <w:rtl/>
        </w:rPr>
        <w:t>10.</w:t>
      </w:r>
      <w:r>
        <w:rPr>
          <w:rFonts w:hint="cs"/>
          <w:rtl/>
        </w:rPr>
        <w:tab/>
      </w:r>
      <w:r>
        <w:rPr>
          <w:rtl/>
        </w:rPr>
        <w:t>אביו בשנות השישים לחייו, עבד בעבר כנהג אוטובוס, כיום עובד בחלקיות משרה כנהג אוטובוס על רקע מחלת לב ממנה סובל ומתקיים מקצבת נכות.</w:t>
      </w:r>
      <w:r>
        <w:rPr>
          <w:rFonts w:hint="cs"/>
          <w:rtl/>
        </w:rPr>
        <w:t xml:space="preserve"> </w:t>
      </w:r>
      <w:r>
        <w:rPr>
          <w:rtl/>
        </w:rPr>
        <w:t xml:space="preserve"> אמו בשנות החמישים לחייה עקרת בית, גם היא נכה על רקע תאונה שעברה בעת עבודתה בחקלאות לפני 35</w:t>
      </w:r>
      <w:r>
        <w:rPr>
          <w:rFonts w:hint="cs"/>
          <w:rtl/>
        </w:rPr>
        <w:t xml:space="preserve"> שנים,</w:t>
      </w:r>
      <w:r>
        <w:rPr>
          <w:rtl/>
        </w:rPr>
        <w:t xml:space="preserve"> ומקבלת אף היא קצבת נכות. ניכר כי אווירת הנכות בבית, השפיעה על כך כי מגיל צעיר הנאשם השתלב בעבודה והיווה דמות משמעותית בכלכלת המשפחה. </w:t>
      </w:r>
    </w:p>
    <w:p w14:paraId="5B7F7646" w14:textId="77777777" w:rsidR="000900D3" w:rsidRDefault="00113037">
      <w:pPr>
        <w:spacing w:line="360" w:lineRule="auto"/>
        <w:ind w:left="720" w:hanging="720"/>
        <w:jc w:val="both"/>
        <w:rPr>
          <w:rtl/>
        </w:rPr>
      </w:pPr>
      <w:r>
        <w:rPr>
          <w:rFonts w:hint="cs"/>
          <w:rtl/>
        </w:rPr>
        <w:t>11.</w:t>
      </w:r>
      <w:r>
        <w:rPr>
          <w:rFonts w:hint="cs"/>
          <w:rtl/>
        </w:rPr>
        <w:tab/>
      </w:r>
      <w:r>
        <w:rPr>
          <w:rtl/>
        </w:rPr>
        <w:t>שירות המבחן התרשם שמדבריו של הנאשם וממסמכים שהציג, עולה תמונה של אדם שגילה יכולות הסתגלות תפקוד והצלחה במסגרות שונות כמו ביה"ס ותעסוקה.</w:t>
      </w:r>
    </w:p>
    <w:p w14:paraId="43E94C7F" w14:textId="77777777" w:rsidR="000900D3" w:rsidRDefault="000900D3">
      <w:pPr>
        <w:spacing w:line="360" w:lineRule="auto"/>
        <w:ind w:left="720"/>
        <w:jc w:val="both"/>
        <w:rPr>
          <w:rtl/>
        </w:rPr>
      </w:pPr>
    </w:p>
    <w:p w14:paraId="682881A5" w14:textId="77777777" w:rsidR="000900D3" w:rsidRDefault="00113037">
      <w:pPr>
        <w:spacing w:line="360" w:lineRule="auto"/>
        <w:ind w:left="720" w:hanging="720"/>
        <w:jc w:val="both"/>
        <w:rPr>
          <w:rtl/>
        </w:rPr>
      </w:pPr>
      <w:r>
        <w:rPr>
          <w:rFonts w:hint="cs"/>
          <w:rtl/>
        </w:rPr>
        <w:t>12.</w:t>
      </w:r>
      <w:r>
        <w:rPr>
          <w:rFonts w:hint="cs"/>
          <w:rtl/>
        </w:rPr>
        <w:tab/>
      </w:r>
      <w:r>
        <w:rPr>
          <w:rtl/>
        </w:rPr>
        <w:t>לאורך השנים הנאשם ניהל אורח חיים אינטנסיבי ששיקף אחריות רבה ודאגה למשפחה מבחינה כלכלית והתארגנותית. הוא השקיע רבות בעבודה ובמשימות הקשורות בניהול הבית תוך תמיכה בבני משפחתו. הנאשם שלל שימוש בחומרים ממכרים, לאורך חייו ולא העלה קשיי תפקוד נוספים.</w:t>
      </w:r>
    </w:p>
    <w:p w14:paraId="75028B27" w14:textId="77777777" w:rsidR="000900D3" w:rsidRDefault="000900D3">
      <w:pPr>
        <w:spacing w:line="360" w:lineRule="auto"/>
        <w:ind w:left="720"/>
        <w:jc w:val="both"/>
        <w:rPr>
          <w:rtl/>
        </w:rPr>
      </w:pPr>
    </w:p>
    <w:p w14:paraId="7DA14CCD" w14:textId="77777777" w:rsidR="000900D3" w:rsidRDefault="00113037">
      <w:pPr>
        <w:spacing w:line="360" w:lineRule="auto"/>
        <w:ind w:left="720" w:hanging="720"/>
        <w:jc w:val="both"/>
        <w:rPr>
          <w:rtl/>
        </w:rPr>
      </w:pPr>
      <w:r>
        <w:rPr>
          <w:rFonts w:hint="cs"/>
          <w:rtl/>
        </w:rPr>
        <w:t>13.</w:t>
      </w:r>
      <w:r>
        <w:rPr>
          <w:rFonts w:hint="cs"/>
          <w:rtl/>
        </w:rPr>
        <w:tab/>
      </w:r>
      <w:r>
        <w:rPr>
          <w:rtl/>
        </w:rPr>
        <w:t>לנאשם אין הרשעות קודמות, אם כי בעבר, בשנות העשרים לחייו, נעצר מספר פעמים לתקופות קצרות, לנוכח אורח חיים לא מבוקר שניהל באותה עת</w:t>
      </w:r>
      <w:r>
        <w:rPr>
          <w:rFonts w:hint="cs"/>
          <w:rtl/>
        </w:rPr>
        <w:t>, כך עולה מהתסקיר.</w:t>
      </w:r>
    </w:p>
    <w:p w14:paraId="300C5B92" w14:textId="77777777" w:rsidR="000900D3" w:rsidRDefault="000900D3">
      <w:pPr>
        <w:spacing w:line="360" w:lineRule="auto"/>
        <w:ind w:left="720"/>
        <w:jc w:val="both"/>
        <w:rPr>
          <w:rtl/>
        </w:rPr>
      </w:pPr>
    </w:p>
    <w:p w14:paraId="6521B6B2" w14:textId="77777777" w:rsidR="000900D3" w:rsidRDefault="00113037">
      <w:pPr>
        <w:spacing w:line="360" w:lineRule="auto"/>
        <w:ind w:left="720" w:hanging="720"/>
        <w:jc w:val="both"/>
        <w:rPr>
          <w:rtl/>
        </w:rPr>
      </w:pPr>
      <w:r>
        <w:rPr>
          <w:rFonts w:hint="cs"/>
          <w:rtl/>
        </w:rPr>
        <w:t>14.</w:t>
      </w:r>
      <w:r>
        <w:rPr>
          <w:rFonts w:hint="cs"/>
          <w:rtl/>
        </w:rPr>
        <w:tab/>
      </w:r>
      <w:r>
        <w:rPr>
          <w:rtl/>
        </w:rPr>
        <w:t>הנאשם נטל אחריות מלאה על ביצוע העבירות בהן הורשע, חש חרטה ובושה שביצע אותן. לדבריו, באותו יום דאגתו הייתה ממוקדת באח צעיר ממנו, הסובל ממחלת עור מורכבת שהטיפול בה קשה. מצוקת אחיו, האובדנים המשפחתיים הקודמים והעדר יכולת לשתף קרובים לו בלחציו הרגשיים, השפיעו על מצב רוחו הדיכאוני.</w:t>
      </w:r>
    </w:p>
    <w:p w14:paraId="596AAF84" w14:textId="77777777" w:rsidR="000900D3" w:rsidRDefault="000900D3">
      <w:pPr>
        <w:spacing w:line="360" w:lineRule="auto"/>
        <w:ind w:left="720"/>
        <w:jc w:val="both"/>
        <w:rPr>
          <w:rtl/>
        </w:rPr>
      </w:pPr>
    </w:p>
    <w:p w14:paraId="6CDC4786" w14:textId="77777777" w:rsidR="000900D3" w:rsidRDefault="00113037">
      <w:pPr>
        <w:spacing w:line="360" w:lineRule="auto"/>
        <w:ind w:left="720" w:hanging="720"/>
        <w:jc w:val="both"/>
        <w:rPr>
          <w:rtl/>
        </w:rPr>
      </w:pPr>
      <w:r>
        <w:rPr>
          <w:rFonts w:hint="cs"/>
          <w:rtl/>
        </w:rPr>
        <w:t>15.</w:t>
      </w:r>
      <w:r>
        <w:rPr>
          <w:rFonts w:hint="cs"/>
          <w:rtl/>
        </w:rPr>
        <w:tab/>
      </w:r>
      <w:r>
        <w:rPr>
          <w:rtl/>
        </w:rPr>
        <w:t>לדבריו, שמע יריות מקרבת המקום בו שהה עם אחיו וכאשר התקרב, ראה נשק מוחבא, לקח אותו וירה מספר רב של יריות, כחלק מצורך בפורקן וללא הפעלת חשיבה בוגרת ושקולה באשר, למשמעות מעשהו וחומרתו. תגובתו עם הגעת המשטרה הושפעה מבהלה והתנהגות לא מבוקרת, אך לדבריו לא הייתה לו כוונה לפגוע בשוטר. מעבר לתיאוריו אלו והתייחסות למשבר הרגשי בו היה נתון, הנאשם מתקשה עד היום, להבין את הבסיס לבחירתו בביצוע עבירה השונה מהתנהלותו בד"כ.</w:t>
      </w:r>
    </w:p>
    <w:p w14:paraId="59B0C116" w14:textId="77777777" w:rsidR="000900D3" w:rsidRDefault="000900D3">
      <w:pPr>
        <w:spacing w:line="360" w:lineRule="auto"/>
        <w:jc w:val="both"/>
        <w:rPr>
          <w:rtl/>
        </w:rPr>
      </w:pPr>
    </w:p>
    <w:p w14:paraId="6CEC47ED" w14:textId="77777777" w:rsidR="000900D3" w:rsidRDefault="00113037">
      <w:pPr>
        <w:spacing w:line="360" w:lineRule="auto"/>
        <w:ind w:left="720" w:hanging="720"/>
        <w:jc w:val="both"/>
        <w:rPr>
          <w:rtl/>
        </w:rPr>
      </w:pPr>
      <w:r>
        <w:rPr>
          <w:rFonts w:hint="cs"/>
          <w:rtl/>
        </w:rPr>
        <w:t>16.</w:t>
      </w:r>
      <w:r>
        <w:rPr>
          <w:rFonts w:hint="cs"/>
          <w:rtl/>
        </w:rPr>
        <w:tab/>
      </w:r>
      <w:r>
        <w:rPr>
          <w:rtl/>
        </w:rPr>
        <w:t>שירות המבחן התרשם כי מדובר באדם נבון, עם יכולות וורבליות טובות, יכולת ביצירת קשרים עם אחרים. במקביל קיים אצלו צורך לרצות אחרים ובעיקר את בני משפחתו, תוך קושי בבניית נפרדות מהוריו ואחיו דבר הגורם ומשפיע על בחירותיו ומעשיו שלעיתים אינם שקולים.</w:t>
      </w:r>
    </w:p>
    <w:p w14:paraId="3F902E42" w14:textId="77777777" w:rsidR="000900D3" w:rsidRDefault="000900D3">
      <w:pPr>
        <w:spacing w:line="360" w:lineRule="auto"/>
        <w:ind w:left="720"/>
        <w:jc w:val="both"/>
        <w:rPr>
          <w:rtl/>
        </w:rPr>
      </w:pPr>
    </w:p>
    <w:p w14:paraId="194B67D4" w14:textId="77777777" w:rsidR="000900D3" w:rsidRDefault="00113037">
      <w:pPr>
        <w:spacing w:line="360" w:lineRule="auto"/>
        <w:ind w:left="720" w:hanging="720"/>
        <w:jc w:val="both"/>
        <w:rPr>
          <w:rtl/>
        </w:rPr>
      </w:pPr>
      <w:r>
        <w:rPr>
          <w:rFonts w:hint="cs"/>
          <w:rtl/>
        </w:rPr>
        <w:t>17.</w:t>
      </w:r>
      <w:r>
        <w:rPr>
          <w:rFonts w:hint="cs"/>
          <w:rtl/>
        </w:rPr>
        <w:tab/>
      </w:r>
      <w:r>
        <w:rPr>
          <w:rtl/>
        </w:rPr>
        <w:t xml:space="preserve">להערכת שירות המבחן, נראה כי מצבי מתח ולחץ יחד עם העדר דמויות עמן יכול לחלוק במצוקה אותה חש, מעלים את הסיכון למעשים של </w:t>
      </w:r>
      <w:r>
        <w:t xml:space="preserve">acting-out </w:t>
      </w:r>
      <w:r>
        <w:rPr>
          <w:rtl/>
        </w:rPr>
        <w:t xml:space="preserve"> שבא לביטוי במעשי העבירה. </w:t>
      </w:r>
    </w:p>
    <w:p w14:paraId="7CDAFF49" w14:textId="77777777" w:rsidR="000900D3" w:rsidRDefault="000900D3">
      <w:pPr>
        <w:spacing w:line="360" w:lineRule="auto"/>
        <w:ind w:left="720" w:hanging="720"/>
        <w:jc w:val="both"/>
        <w:rPr>
          <w:rtl/>
        </w:rPr>
      </w:pPr>
    </w:p>
    <w:p w14:paraId="78809A76" w14:textId="77777777" w:rsidR="000900D3" w:rsidRDefault="00113037">
      <w:pPr>
        <w:spacing w:line="360" w:lineRule="auto"/>
        <w:ind w:left="720"/>
        <w:jc w:val="both"/>
        <w:rPr>
          <w:rtl/>
        </w:rPr>
      </w:pPr>
      <w:r>
        <w:rPr>
          <w:rtl/>
        </w:rPr>
        <w:t>יחד עם זאת תפיסת עולמו נורמטיבית בד"כ וניכר כי המעצר, החקירה במשטרה, מעצר הבית המלא בנוסף להליך המשפטי המתנהל נגדו, כל אלו יחד עם המחירים הכבדים שמשלם כבר עכשיו כגון: התרחקות אביו ממנו, הכעס והאכזבה הקשה שהאב מבטא, אובדן מעמדו המשמעותי במשפחה ו</w:t>
      </w:r>
      <w:r>
        <w:rPr>
          <w:rFonts w:hint="cs"/>
          <w:rtl/>
        </w:rPr>
        <w:t>ה</w:t>
      </w:r>
      <w:r>
        <w:rPr>
          <w:rtl/>
        </w:rPr>
        <w:t>הפסדים הכלכליים הכבדים בחודשים האחרונים, מהווים גורמי הרתעה משמעותיים עבורו ומפחיתים</w:t>
      </w:r>
      <w:r>
        <w:rPr>
          <w:rFonts w:hint="cs"/>
          <w:rtl/>
        </w:rPr>
        <w:t xml:space="preserve"> את </w:t>
      </w:r>
      <w:r>
        <w:rPr>
          <w:rtl/>
        </w:rPr>
        <w:t>הסיכון.</w:t>
      </w:r>
    </w:p>
    <w:p w14:paraId="78B2A650" w14:textId="77777777" w:rsidR="000900D3" w:rsidRDefault="000900D3">
      <w:pPr>
        <w:spacing w:line="360" w:lineRule="auto"/>
        <w:jc w:val="both"/>
        <w:rPr>
          <w:rtl/>
        </w:rPr>
      </w:pPr>
    </w:p>
    <w:p w14:paraId="78A3383B" w14:textId="77777777" w:rsidR="000900D3" w:rsidRDefault="00113037">
      <w:pPr>
        <w:spacing w:line="360" w:lineRule="auto"/>
        <w:ind w:left="720" w:hanging="720"/>
        <w:jc w:val="both"/>
        <w:rPr>
          <w:rtl/>
        </w:rPr>
      </w:pPr>
      <w:r>
        <w:rPr>
          <w:rFonts w:hint="cs"/>
          <w:rtl/>
        </w:rPr>
        <w:t>18.</w:t>
      </w:r>
      <w:r>
        <w:rPr>
          <w:rFonts w:hint="cs"/>
          <w:rtl/>
        </w:rPr>
        <w:tab/>
      </w:r>
      <w:r>
        <w:rPr>
          <w:rtl/>
        </w:rPr>
        <w:t>שירות המבחן הוסיף, כי מדובר באדם ללא מאפיינים תוקפניים באישיותו שבד"כ מצא דרכים מותאמות ויכולת להגיע לניהול מו"מ עם אחרים (מעסיקים, עובדים ובני משפחה) ללא צורך בשימוש באלמנטים כוחניים.</w:t>
      </w:r>
    </w:p>
    <w:p w14:paraId="28B1224D" w14:textId="77777777" w:rsidR="000900D3" w:rsidRDefault="00113037">
      <w:pPr>
        <w:spacing w:line="360" w:lineRule="auto"/>
        <w:jc w:val="both"/>
        <w:rPr>
          <w:rtl/>
        </w:rPr>
      </w:pPr>
      <w:r>
        <w:rPr>
          <w:rtl/>
        </w:rPr>
        <w:tab/>
      </w:r>
    </w:p>
    <w:p w14:paraId="2E7DA8FC" w14:textId="77777777" w:rsidR="000900D3" w:rsidRDefault="00113037">
      <w:pPr>
        <w:spacing w:line="360" w:lineRule="auto"/>
        <w:ind w:left="720" w:hanging="720"/>
        <w:jc w:val="both"/>
        <w:rPr>
          <w:rFonts w:ascii="Calibri" w:hAnsi="Calibri"/>
          <w:rtl/>
        </w:rPr>
      </w:pPr>
      <w:r>
        <w:rPr>
          <w:rFonts w:ascii="Calibri" w:hAnsi="Calibri" w:hint="cs"/>
          <w:rtl/>
        </w:rPr>
        <w:t>19.</w:t>
      </w:r>
      <w:r>
        <w:rPr>
          <w:rFonts w:ascii="Calibri" w:hAnsi="Calibri" w:hint="cs"/>
          <w:rtl/>
        </w:rPr>
        <w:tab/>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שיכולותיו</w:t>
      </w:r>
      <w:r>
        <w:rPr>
          <w:rFonts w:ascii="Calibri" w:hAnsi="Calibri"/>
          <w:rtl/>
        </w:rPr>
        <w:t xml:space="preserve"> </w:t>
      </w:r>
      <w:r>
        <w:rPr>
          <w:rFonts w:ascii="Calibri" w:hAnsi="Calibri" w:hint="eastAsia"/>
          <w:rtl/>
        </w:rPr>
        <w:t>הוורבליות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ותפיסת</w:t>
      </w:r>
      <w:r>
        <w:rPr>
          <w:rFonts w:ascii="Calibri" w:hAnsi="Calibri"/>
          <w:rtl/>
        </w:rPr>
        <w:t xml:space="preserve"> </w:t>
      </w:r>
      <w:r>
        <w:rPr>
          <w:rFonts w:ascii="Calibri" w:hAnsi="Calibri" w:hint="eastAsia"/>
          <w:rtl/>
        </w:rPr>
        <w:t>עולם</w:t>
      </w:r>
      <w:r>
        <w:rPr>
          <w:rFonts w:ascii="Calibri" w:hAnsi="Calibri"/>
          <w:rtl/>
        </w:rPr>
        <w:t xml:space="preserve"> </w:t>
      </w:r>
      <w:r>
        <w:rPr>
          <w:rFonts w:ascii="Calibri" w:hAnsi="Calibri" w:hint="eastAsia"/>
          <w:rtl/>
        </w:rPr>
        <w:t>פרו</w:t>
      </w:r>
      <w:r>
        <w:rPr>
          <w:rFonts w:ascii="Calibri" w:hAnsi="Calibri"/>
          <w:rtl/>
        </w:rPr>
        <w:t xml:space="preserve"> </w:t>
      </w:r>
      <w:r>
        <w:rPr>
          <w:rFonts w:ascii="Calibri" w:hAnsi="Calibri" w:hint="eastAsia"/>
          <w:rtl/>
        </w:rPr>
        <w:t>חברתית</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cs"/>
          <w:rtl/>
        </w:rPr>
        <w:t>"</w:t>
      </w:r>
      <w:r>
        <w:rPr>
          <w:rFonts w:ascii="Calibri" w:hAnsi="Calibri" w:hint="eastAsia"/>
          <w:rtl/>
        </w:rPr>
        <w:t>מעלי</w:t>
      </w:r>
      <w:r>
        <w:rPr>
          <w:rFonts w:ascii="Calibri" w:hAnsi="Calibri"/>
          <w:rtl/>
        </w:rPr>
        <w:t xml:space="preserve"> </w:t>
      </w:r>
      <w:r>
        <w:rPr>
          <w:rFonts w:ascii="Calibri" w:hAnsi="Calibri" w:hint="eastAsia"/>
          <w:rtl/>
        </w:rPr>
        <w:t>סיכו</w:t>
      </w:r>
      <w:r>
        <w:rPr>
          <w:rFonts w:ascii="Calibri" w:hAnsi="Calibri" w:hint="cs"/>
          <w:rtl/>
        </w:rPr>
        <w:t>י"</w:t>
      </w:r>
      <w:r>
        <w:rPr>
          <w:rFonts w:ascii="Calibri" w:hAnsi="Calibri"/>
          <w:rtl/>
        </w:rPr>
        <w:t>.</w:t>
      </w:r>
    </w:p>
    <w:p w14:paraId="25C88A30" w14:textId="77777777" w:rsidR="000900D3" w:rsidRDefault="000900D3">
      <w:pPr>
        <w:spacing w:line="360" w:lineRule="auto"/>
        <w:ind w:left="720" w:hanging="720"/>
        <w:jc w:val="both"/>
        <w:rPr>
          <w:rFonts w:ascii="Calibri" w:hAnsi="Calibri"/>
          <w:rtl/>
        </w:rPr>
      </w:pPr>
    </w:p>
    <w:p w14:paraId="196A2796" w14:textId="77777777" w:rsidR="000900D3" w:rsidRDefault="00113037">
      <w:pPr>
        <w:spacing w:line="360" w:lineRule="auto"/>
        <w:ind w:left="720" w:hanging="720"/>
        <w:jc w:val="both"/>
        <w:rPr>
          <w:rFonts w:ascii="Calibri" w:hAnsi="Calibri"/>
          <w:rtl/>
        </w:rPr>
      </w:pPr>
      <w:r>
        <w:rPr>
          <w:rFonts w:ascii="Calibri" w:hAnsi="Calibri" w:hint="cs"/>
          <w:rtl/>
        </w:rPr>
        <w:t>20.</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eastAsia"/>
          <w:rtl/>
        </w:rPr>
        <w:t>משתתף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מפוקחי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לומד</w:t>
      </w:r>
      <w:r>
        <w:rPr>
          <w:rFonts w:ascii="Calibri" w:hAnsi="Calibri"/>
          <w:rtl/>
        </w:rPr>
        <w:t xml:space="preserve"> </w:t>
      </w:r>
      <w:r>
        <w:rPr>
          <w:rFonts w:ascii="Calibri" w:hAnsi="Calibri" w:hint="eastAsia"/>
          <w:rtl/>
        </w:rPr>
        <w:t>לראשונה</w:t>
      </w:r>
      <w:r>
        <w:rPr>
          <w:rFonts w:ascii="Calibri" w:hAnsi="Calibri"/>
          <w:rtl/>
        </w:rPr>
        <w:t xml:space="preserve"> </w:t>
      </w:r>
      <w:r>
        <w:rPr>
          <w:rFonts w:ascii="Calibri" w:hAnsi="Calibri" w:hint="eastAsia"/>
          <w:rtl/>
        </w:rPr>
        <w:t>לשתף</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במצוקותיו</w:t>
      </w:r>
      <w:r>
        <w:rPr>
          <w:rFonts w:ascii="Calibri" w:hAnsi="Calibri"/>
          <w:rtl/>
        </w:rPr>
        <w:t xml:space="preserve"> </w:t>
      </w:r>
      <w:r>
        <w:rPr>
          <w:rFonts w:ascii="Calibri" w:hAnsi="Calibri" w:hint="eastAsia"/>
          <w:rtl/>
        </w:rPr>
        <w:t>הרגשיות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לחוש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בודד</w:t>
      </w:r>
      <w:r>
        <w:rPr>
          <w:rFonts w:ascii="Calibri" w:hAnsi="Calibri"/>
          <w:rtl/>
        </w:rPr>
        <w:t xml:space="preserve"> </w:t>
      </w:r>
      <w:r>
        <w:rPr>
          <w:rFonts w:ascii="Calibri" w:hAnsi="Calibri" w:hint="eastAsia"/>
          <w:rtl/>
        </w:rPr>
        <w:t>ועלול</w:t>
      </w:r>
      <w:r>
        <w:rPr>
          <w:rFonts w:ascii="Calibri" w:hAnsi="Calibri"/>
          <w:rtl/>
        </w:rPr>
        <w:t xml:space="preserve"> </w:t>
      </w:r>
      <w:r>
        <w:rPr>
          <w:rFonts w:ascii="Calibri" w:hAnsi="Calibri" w:hint="eastAsia"/>
          <w:rtl/>
        </w:rPr>
        <w:t>לאבד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מעמדו</w:t>
      </w:r>
      <w:r>
        <w:rPr>
          <w:rFonts w:ascii="Calibri" w:hAnsi="Calibri"/>
          <w:rtl/>
        </w:rPr>
        <w:t xml:space="preserve"> </w:t>
      </w:r>
      <w:r>
        <w:rPr>
          <w:rFonts w:ascii="Calibri" w:hAnsi="Calibri" w:hint="eastAsia"/>
          <w:rtl/>
        </w:rPr>
        <w:t>וזהותו</w:t>
      </w:r>
      <w:r>
        <w:rPr>
          <w:rFonts w:ascii="Calibri" w:hAnsi="Calibri"/>
          <w:rtl/>
        </w:rPr>
        <w:t>.</w:t>
      </w:r>
    </w:p>
    <w:p w14:paraId="187D584C" w14:textId="77777777" w:rsidR="000900D3" w:rsidRDefault="000900D3">
      <w:pPr>
        <w:spacing w:line="360" w:lineRule="auto"/>
        <w:ind w:left="720" w:hanging="720"/>
        <w:jc w:val="both"/>
        <w:rPr>
          <w:rFonts w:ascii="Calibri" w:hAnsi="Calibri"/>
          <w:rtl/>
        </w:rPr>
      </w:pPr>
    </w:p>
    <w:p w14:paraId="1BB114EF" w14:textId="77777777" w:rsidR="000900D3" w:rsidRDefault="00113037">
      <w:pPr>
        <w:spacing w:line="360" w:lineRule="auto"/>
        <w:ind w:left="720" w:hanging="720"/>
        <w:jc w:val="both"/>
        <w:rPr>
          <w:rFonts w:ascii="Calibri" w:hAnsi="Calibri"/>
          <w:rtl/>
        </w:rPr>
      </w:pPr>
      <w:r>
        <w:rPr>
          <w:rFonts w:ascii="Calibri" w:hAnsi="Calibri" w:hint="cs"/>
          <w:rtl/>
        </w:rPr>
        <w:t>21.</w:t>
      </w:r>
      <w:r>
        <w:rPr>
          <w:rFonts w:ascii="Calibri" w:hAnsi="Calibri" w:hint="cs"/>
          <w:rtl/>
        </w:rPr>
        <w:tab/>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שבאמצעות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בכלים</w:t>
      </w:r>
      <w:r>
        <w:rPr>
          <w:rFonts w:ascii="Calibri" w:hAnsi="Calibri"/>
          <w:rtl/>
        </w:rPr>
        <w:t xml:space="preserve"> </w:t>
      </w:r>
      <w:r>
        <w:rPr>
          <w:rFonts w:ascii="Calibri" w:hAnsi="Calibri" w:hint="eastAsia"/>
          <w:rtl/>
        </w:rPr>
        <w:t>מילוליים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לומד</w:t>
      </w:r>
      <w:r>
        <w:rPr>
          <w:rFonts w:ascii="Calibri" w:hAnsi="Calibri"/>
          <w:rtl/>
        </w:rPr>
        <w:t xml:space="preserve"> </w:t>
      </w:r>
      <w:r>
        <w:rPr>
          <w:rFonts w:ascii="Calibri" w:hAnsi="Calibri" w:hint="eastAsia"/>
          <w:rtl/>
        </w:rPr>
        <w:t>לבנות</w:t>
      </w:r>
      <w:r>
        <w:rPr>
          <w:rFonts w:ascii="Calibri" w:hAnsi="Calibri"/>
          <w:rtl/>
        </w:rPr>
        <w:t xml:space="preserve"> </w:t>
      </w:r>
      <w:r>
        <w:rPr>
          <w:rFonts w:ascii="Calibri" w:hAnsi="Calibri" w:hint="eastAsia"/>
          <w:rtl/>
        </w:rPr>
        <w:t>דרכים</w:t>
      </w:r>
      <w:r>
        <w:rPr>
          <w:rFonts w:ascii="Calibri" w:hAnsi="Calibri"/>
          <w:rtl/>
        </w:rPr>
        <w:t xml:space="preserve"> </w:t>
      </w:r>
      <w:r>
        <w:rPr>
          <w:rFonts w:ascii="Calibri" w:hAnsi="Calibri" w:hint="eastAsia"/>
          <w:rtl/>
        </w:rPr>
        <w:t>לבטא</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ולהיעזר</w:t>
      </w:r>
      <w:r>
        <w:rPr>
          <w:rFonts w:ascii="Calibri" w:hAnsi="Calibri"/>
          <w:rtl/>
        </w:rPr>
        <w:t xml:space="preserve"> </w:t>
      </w:r>
      <w:r>
        <w:rPr>
          <w:rFonts w:ascii="Calibri" w:hAnsi="Calibri" w:hint="eastAsia"/>
          <w:rtl/>
        </w:rPr>
        <w:t>באחרים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בדימ</w:t>
      </w:r>
      <w:r>
        <w:rPr>
          <w:rFonts w:ascii="Calibri" w:hAnsi="Calibri" w:hint="cs"/>
          <w:rtl/>
        </w:rPr>
        <w:t>ויו</w:t>
      </w:r>
      <w:r>
        <w:rPr>
          <w:rFonts w:ascii="Calibri" w:hAnsi="Calibri"/>
          <w:rtl/>
        </w:rPr>
        <w:t xml:space="preserve"> </w:t>
      </w:r>
      <w:r>
        <w:rPr>
          <w:rFonts w:ascii="Calibri" w:hAnsi="Calibri" w:hint="eastAsia"/>
          <w:rtl/>
        </w:rPr>
        <w:t>העצמי</w:t>
      </w:r>
      <w:r>
        <w:rPr>
          <w:rFonts w:ascii="Calibri" w:hAnsi="Calibri"/>
          <w:rtl/>
        </w:rPr>
        <w:t xml:space="preserve"> </w:t>
      </w:r>
      <w:r>
        <w:rPr>
          <w:rFonts w:ascii="Calibri" w:hAnsi="Calibri" w:hint="eastAsia"/>
          <w:rtl/>
        </w:rPr>
        <w:t>ולרכוש</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לבנות</w:t>
      </w:r>
      <w:r>
        <w:rPr>
          <w:rFonts w:ascii="Calibri" w:hAnsi="Calibri"/>
          <w:rtl/>
        </w:rPr>
        <w:t xml:space="preserve"> </w:t>
      </w:r>
      <w:r>
        <w:rPr>
          <w:rFonts w:ascii="Calibri" w:hAnsi="Calibri" w:hint="eastAsia"/>
          <w:rtl/>
        </w:rPr>
        <w:t>אמון</w:t>
      </w:r>
      <w:r>
        <w:rPr>
          <w:rFonts w:ascii="Calibri" w:hAnsi="Calibri"/>
          <w:rtl/>
        </w:rPr>
        <w:t xml:space="preserve"> </w:t>
      </w:r>
      <w:r>
        <w:rPr>
          <w:rFonts w:ascii="Calibri" w:hAnsi="Calibri" w:hint="eastAsia"/>
          <w:rtl/>
        </w:rPr>
        <w:t>באחרים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הבנה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מסוגל</w:t>
      </w:r>
      <w:r>
        <w:rPr>
          <w:rFonts w:ascii="Calibri" w:hAnsi="Calibri"/>
          <w:rtl/>
        </w:rPr>
        <w:t xml:space="preserve"> </w:t>
      </w:r>
      <w:r>
        <w:rPr>
          <w:rFonts w:ascii="Calibri" w:hAnsi="Calibri" w:hint="eastAsia"/>
          <w:rtl/>
        </w:rPr>
        <w:t>להיתמך</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והפחתת</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w:t>
      </w:r>
    </w:p>
    <w:p w14:paraId="737CC693" w14:textId="77777777" w:rsidR="000900D3" w:rsidRDefault="000900D3">
      <w:pPr>
        <w:spacing w:line="360" w:lineRule="auto"/>
        <w:ind w:left="720"/>
        <w:jc w:val="both"/>
        <w:rPr>
          <w:rFonts w:ascii="Calibri" w:hAnsi="Calibri"/>
          <w:rtl/>
        </w:rPr>
      </w:pPr>
    </w:p>
    <w:p w14:paraId="14DAE69F" w14:textId="77777777" w:rsidR="000900D3" w:rsidRDefault="00113037">
      <w:pPr>
        <w:spacing w:line="360" w:lineRule="auto"/>
        <w:ind w:left="720" w:hanging="720"/>
        <w:jc w:val="both"/>
        <w:rPr>
          <w:rFonts w:ascii="Calibri" w:hAnsi="Calibri"/>
          <w:rtl/>
        </w:rPr>
      </w:pPr>
      <w:r>
        <w:rPr>
          <w:rFonts w:ascii="Calibri" w:hAnsi="Calibri" w:hint="cs"/>
          <w:rtl/>
        </w:rPr>
        <w:t>22.</w:t>
      </w:r>
      <w:r>
        <w:rPr>
          <w:rFonts w:ascii="Calibri" w:hAnsi="Calibri" w:hint="cs"/>
          <w:rtl/>
        </w:rPr>
        <w:tab/>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בפיקוחו</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250 </w:t>
      </w:r>
      <w:r>
        <w:rPr>
          <w:rFonts w:ascii="Calibri" w:hAnsi="Calibri" w:hint="eastAsia"/>
          <w:rtl/>
        </w:rPr>
        <w:t>שעות</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בעונשים</w:t>
      </w:r>
      <w:r>
        <w:rPr>
          <w:rFonts w:ascii="Calibri" w:hAnsi="Calibri"/>
          <w:rtl/>
        </w:rPr>
        <w:t xml:space="preserve"> </w:t>
      </w:r>
      <w:r>
        <w:rPr>
          <w:rFonts w:ascii="Calibri" w:hAnsi="Calibri" w:hint="eastAsia"/>
          <w:rtl/>
        </w:rPr>
        <w:t>המומלצים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באלמנטים</w:t>
      </w:r>
      <w:r>
        <w:rPr>
          <w:rFonts w:ascii="Calibri" w:hAnsi="Calibri"/>
          <w:rtl/>
        </w:rPr>
        <w:t xml:space="preserve"> </w:t>
      </w:r>
      <w:r>
        <w:rPr>
          <w:rFonts w:ascii="Calibri" w:hAnsi="Calibri" w:hint="eastAsia"/>
          <w:rtl/>
        </w:rPr>
        <w:t>טיפוליים</w:t>
      </w:r>
      <w:r>
        <w:rPr>
          <w:rFonts w:ascii="Calibri" w:hAnsi="Calibri"/>
          <w:rtl/>
        </w:rPr>
        <w:t xml:space="preserve"> </w:t>
      </w:r>
      <w:r>
        <w:rPr>
          <w:rFonts w:ascii="Calibri" w:hAnsi="Calibri" w:hint="eastAsia"/>
          <w:rtl/>
        </w:rPr>
        <w:t>חינוכיים</w:t>
      </w:r>
      <w:r>
        <w:rPr>
          <w:rFonts w:ascii="Calibri" w:hAnsi="Calibri"/>
          <w:rtl/>
        </w:rPr>
        <w:t xml:space="preserve"> </w:t>
      </w:r>
      <w:r>
        <w:rPr>
          <w:rFonts w:ascii="Calibri" w:hAnsi="Calibri" w:hint="eastAsia"/>
          <w:rtl/>
        </w:rPr>
        <w:t>ופיצויים</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שיהוו</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שיקומיים</w:t>
      </w:r>
      <w:r>
        <w:rPr>
          <w:rFonts w:ascii="Calibri" w:hAnsi="Calibri"/>
          <w:rtl/>
        </w:rPr>
        <w:t xml:space="preserve"> </w:t>
      </w:r>
      <w:r>
        <w:rPr>
          <w:rFonts w:ascii="Calibri" w:hAnsi="Calibri" w:hint="eastAsia"/>
          <w:rtl/>
        </w:rPr>
        <w:t>עבורו</w:t>
      </w:r>
      <w:r>
        <w:rPr>
          <w:rFonts w:ascii="Calibri" w:hAnsi="Calibri"/>
          <w:rtl/>
        </w:rPr>
        <w:t xml:space="preserve"> </w:t>
      </w:r>
      <w:r>
        <w:rPr>
          <w:rFonts w:ascii="Calibri" w:hAnsi="Calibri" w:hint="eastAsia"/>
          <w:rtl/>
        </w:rPr>
        <w:t>ויפחיתו</w:t>
      </w:r>
      <w:r>
        <w:rPr>
          <w:rFonts w:ascii="Calibri" w:hAnsi="Calibri"/>
          <w:rtl/>
        </w:rPr>
        <w:t xml:space="preserve"> </w:t>
      </w:r>
      <w:r>
        <w:rPr>
          <w:rFonts w:ascii="Calibri" w:hAnsi="Calibri" w:hint="eastAsia"/>
          <w:rtl/>
        </w:rPr>
        <w:t>האפשרות</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בעתיד</w:t>
      </w:r>
      <w:r>
        <w:rPr>
          <w:rFonts w:ascii="Calibri" w:hAnsi="Calibri"/>
          <w:rtl/>
        </w:rPr>
        <w:t>.</w:t>
      </w:r>
    </w:p>
    <w:p w14:paraId="2CCE26EC" w14:textId="77777777" w:rsidR="000900D3" w:rsidRDefault="000900D3">
      <w:pPr>
        <w:spacing w:line="360" w:lineRule="auto"/>
        <w:ind w:left="720"/>
        <w:jc w:val="both"/>
        <w:rPr>
          <w:rFonts w:ascii="Calibri" w:hAnsi="Calibri"/>
          <w:rtl/>
        </w:rPr>
      </w:pPr>
    </w:p>
    <w:p w14:paraId="7BB7F84F" w14:textId="77777777" w:rsidR="000900D3" w:rsidRDefault="00113037">
      <w:pPr>
        <w:spacing w:line="360" w:lineRule="auto"/>
        <w:ind w:left="720" w:hanging="720"/>
        <w:jc w:val="both"/>
        <w:rPr>
          <w:rtl/>
        </w:rPr>
      </w:pPr>
      <w:r>
        <w:rPr>
          <w:rFonts w:hint="cs"/>
          <w:rtl/>
        </w:rPr>
        <w:t>23.</w:t>
      </w:r>
      <w:r>
        <w:rPr>
          <w:rFonts w:hint="cs"/>
          <w:rtl/>
        </w:rPr>
        <w:tab/>
      </w:r>
      <w:r>
        <w:rPr>
          <w:rtl/>
        </w:rPr>
        <w:t xml:space="preserve">בטרם הטיעונים לעונש ביקש ב"כ הנאשם להגיש אסופת מסמכים הכוללים, אישור פעילות החברה של הנאשם, תעודות שונות, תלושי משכורת ותצהירים לפי </w:t>
      </w:r>
      <w:hyperlink r:id="rId17" w:history="1">
        <w:r w:rsidR="007E4AD7" w:rsidRPr="007E4AD7">
          <w:rPr>
            <w:color w:val="0000FF"/>
            <w:u w:val="single"/>
            <w:rtl/>
          </w:rPr>
          <w:t>סעיף 4א</w:t>
        </w:r>
      </w:hyperlink>
      <w:r>
        <w:rPr>
          <w:rtl/>
        </w:rPr>
        <w:t xml:space="preserve"> </w:t>
      </w:r>
      <w:hyperlink r:id="rId18" w:history="1">
        <w:r w:rsidR="007E4AD7" w:rsidRPr="007E4AD7">
          <w:rPr>
            <w:color w:val="0000FF"/>
            <w:u w:val="single"/>
            <w:rtl/>
          </w:rPr>
          <w:t>לחוק רישום הקבלנים</w:t>
        </w:r>
      </w:hyperlink>
      <w:r>
        <w:rPr>
          <w:rtl/>
        </w:rPr>
        <w:t xml:space="preserve"> אשר מעידים על התנהלותו הנורמטיבית של הנאשם ב- 20 שנה האחרונות. כמו כן, ביקש ב"כ הנאשם להעיד את אחסאן סואעד, אחיו הבכור של הנאשם. </w:t>
      </w:r>
    </w:p>
    <w:p w14:paraId="5BBDE0F7" w14:textId="77777777" w:rsidR="000900D3" w:rsidRDefault="000900D3">
      <w:pPr>
        <w:spacing w:line="360" w:lineRule="auto"/>
        <w:ind w:left="720"/>
        <w:jc w:val="both"/>
        <w:rPr>
          <w:rtl/>
        </w:rPr>
      </w:pPr>
    </w:p>
    <w:p w14:paraId="1E6C3DB9" w14:textId="77777777" w:rsidR="000900D3" w:rsidRDefault="00113037">
      <w:pPr>
        <w:spacing w:line="360" w:lineRule="auto"/>
        <w:ind w:left="720" w:hanging="720"/>
        <w:jc w:val="both"/>
        <w:rPr>
          <w:rtl/>
        </w:rPr>
      </w:pPr>
      <w:r>
        <w:rPr>
          <w:rFonts w:hint="cs"/>
          <w:rtl/>
        </w:rPr>
        <w:t>24.</w:t>
      </w:r>
      <w:r>
        <w:rPr>
          <w:rFonts w:hint="cs"/>
          <w:rtl/>
        </w:rPr>
        <w:tab/>
      </w:r>
      <w:r>
        <w:rPr>
          <w:rtl/>
        </w:rPr>
        <w:t>בעדותו סיפר אחסאן, ש</w:t>
      </w:r>
      <w:r>
        <w:rPr>
          <w:rFonts w:hint="cs"/>
          <w:rtl/>
        </w:rPr>
        <w:t xml:space="preserve">בבית בו גדל </w:t>
      </w:r>
      <w:r>
        <w:rPr>
          <w:rtl/>
        </w:rPr>
        <w:t>יחד עם הנאשם , לימדו אותם לשמור על ערכים, ו</w:t>
      </w:r>
      <w:r>
        <w:rPr>
          <w:rFonts w:hint="cs"/>
          <w:rtl/>
        </w:rPr>
        <w:t>לנהוג בדרך ארץ וב</w:t>
      </w:r>
      <w:r>
        <w:rPr>
          <w:rtl/>
        </w:rPr>
        <w:t xml:space="preserve">כבוד </w:t>
      </w:r>
      <w:r>
        <w:rPr>
          <w:rFonts w:hint="cs"/>
          <w:rtl/>
        </w:rPr>
        <w:t xml:space="preserve">כלפי </w:t>
      </w:r>
      <w:r>
        <w:rPr>
          <w:rtl/>
        </w:rPr>
        <w:t xml:space="preserve">האחרים. לדבריו, הוא ומשפחתו הופתעו מאוד ממעשיו של הנאשם היות וזה לא </w:t>
      </w:r>
      <w:r>
        <w:rPr>
          <w:rFonts w:hint="cs"/>
          <w:rtl/>
        </w:rPr>
        <w:t>תאם "</w:t>
      </w:r>
      <w:r>
        <w:rPr>
          <w:rtl/>
        </w:rPr>
        <w:t>סגנון</w:t>
      </w:r>
      <w:r>
        <w:rPr>
          <w:rFonts w:hint="cs"/>
          <w:rtl/>
        </w:rPr>
        <w:t xml:space="preserve"> </w:t>
      </w:r>
      <w:r>
        <w:rPr>
          <w:rtl/>
        </w:rPr>
        <w:t>החיים שהם</w:t>
      </w:r>
      <w:r>
        <w:rPr>
          <w:rFonts w:hint="cs"/>
          <w:rtl/>
        </w:rPr>
        <w:t xml:space="preserve"> </w:t>
      </w:r>
      <w:r>
        <w:rPr>
          <w:rtl/>
        </w:rPr>
        <w:t>הורגלו אליו</w:t>
      </w:r>
      <w:r>
        <w:rPr>
          <w:rFonts w:hint="cs"/>
          <w:rtl/>
        </w:rPr>
        <w:t>".</w:t>
      </w:r>
      <w:r>
        <w:rPr>
          <w:rtl/>
        </w:rPr>
        <w:t xml:space="preserve"> לטענתו, אין מעורבות בפלילים במשפחתו. העד </w:t>
      </w:r>
      <w:r>
        <w:rPr>
          <w:rFonts w:hint="cs"/>
          <w:rtl/>
        </w:rPr>
        <w:t>התייחס</w:t>
      </w:r>
      <w:r>
        <w:rPr>
          <w:rtl/>
        </w:rPr>
        <w:t xml:space="preserve"> </w:t>
      </w:r>
      <w:r>
        <w:rPr>
          <w:rFonts w:hint="cs"/>
          <w:rtl/>
        </w:rPr>
        <w:t>ל</w:t>
      </w:r>
      <w:r>
        <w:rPr>
          <w:rtl/>
        </w:rPr>
        <w:t>מצבם הכלכלי הקשה ו</w:t>
      </w:r>
      <w:r>
        <w:rPr>
          <w:rFonts w:hint="cs"/>
          <w:rtl/>
        </w:rPr>
        <w:t>ל</w:t>
      </w:r>
      <w:r>
        <w:rPr>
          <w:rtl/>
        </w:rPr>
        <w:t>אסונות שפקדו את המשפחה במות אחיו, במחלת העור ממנה סובל אחיו הקטין ועל ההתמודדות הקשה עם ההשלכות ממעשיו של הנאשם.</w:t>
      </w:r>
    </w:p>
    <w:p w14:paraId="39889B74" w14:textId="77777777" w:rsidR="000900D3" w:rsidRDefault="000900D3">
      <w:pPr>
        <w:spacing w:line="360" w:lineRule="auto"/>
        <w:jc w:val="both"/>
        <w:rPr>
          <w:b/>
          <w:bCs/>
          <w:rtl/>
        </w:rPr>
      </w:pPr>
    </w:p>
    <w:p w14:paraId="48C0824A" w14:textId="77777777" w:rsidR="000900D3" w:rsidRDefault="00113037">
      <w:pPr>
        <w:spacing w:line="360" w:lineRule="auto"/>
        <w:ind w:left="720" w:hanging="720"/>
        <w:jc w:val="both"/>
        <w:rPr>
          <w:rtl/>
        </w:rPr>
      </w:pPr>
      <w:r>
        <w:rPr>
          <w:rFonts w:hint="cs"/>
          <w:rtl/>
        </w:rPr>
        <w:t>25.</w:t>
      </w:r>
      <w:r>
        <w:rPr>
          <w:rFonts w:hint="cs"/>
          <w:rtl/>
        </w:rPr>
        <w:tab/>
      </w:r>
      <w:r>
        <w:rPr>
          <w:rtl/>
        </w:rPr>
        <w:t>ב"כ הנאשם ביקש להגיש את התיעוד הרפואי של אחיו הקטין של הנאשם, בעניין מחלת העור ה</w:t>
      </w:r>
      <w:r>
        <w:rPr>
          <w:rFonts w:hint="cs"/>
          <w:rtl/>
        </w:rPr>
        <w:t>קשה</w:t>
      </w:r>
      <w:r>
        <w:rPr>
          <w:rtl/>
        </w:rPr>
        <w:t xml:space="preserve"> ממנה סובל. זאת מאחר ולטענתו, חלק מרכיבי ההסדר בתיק זה נבעו בעיקר מכוח הנסיבות הקשורות באח הקטין.</w:t>
      </w:r>
    </w:p>
    <w:p w14:paraId="1C531FDC" w14:textId="77777777" w:rsidR="000900D3" w:rsidRDefault="000900D3">
      <w:pPr>
        <w:spacing w:line="360" w:lineRule="auto"/>
        <w:jc w:val="both"/>
        <w:rPr>
          <w:b/>
          <w:bCs/>
          <w:rtl/>
        </w:rPr>
      </w:pPr>
    </w:p>
    <w:p w14:paraId="3BF9FFA2" w14:textId="77777777" w:rsidR="000900D3" w:rsidRDefault="00113037">
      <w:pPr>
        <w:spacing w:line="360" w:lineRule="auto"/>
        <w:jc w:val="both"/>
        <w:rPr>
          <w:rtl/>
        </w:rPr>
      </w:pPr>
      <w:r>
        <w:rPr>
          <w:b/>
          <w:bCs/>
          <w:rtl/>
        </w:rPr>
        <w:t>טענות הצדדים</w:t>
      </w:r>
    </w:p>
    <w:p w14:paraId="00D0B2FC" w14:textId="77777777" w:rsidR="000900D3" w:rsidRDefault="000900D3">
      <w:pPr>
        <w:spacing w:line="360" w:lineRule="auto"/>
        <w:jc w:val="both"/>
        <w:rPr>
          <w:rtl/>
        </w:rPr>
      </w:pPr>
    </w:p>
    <w:p w14:paraId="616F2BD0" w14:textId="77777777" w:rsidR="000900D3" w:rsidRDefault="00113037">
      <w:pPr>
        <w:spacing w:line="360" w:lineRule="auto"/>
        <w:jc w:val="both"/>
        <w:rPr>
          <w:b/>
          <w:bCs/>
          <w:rtl/>
        </w:rPr>
      </w:pPr>
      <w:r>
        <w:rPr>
          <w:b/>
          <w:bCs/>
          <w:u w:val="single"/>
          <w:rtl/>
        </w:rPr>
        <w:t>טענות המאשימה</w:t>
      </w:r>
      <w:r>
        <w:rPr>
          <w:rFonts w:hint="cs"/>
          <w:b/>
          <w:bCs/>
          <w:rtl/>
        </w:rPr>
        <w:t>:</w:t>
      </w:r>
    </w:p>
    <w:p w14:paraId="00F0A23C" w14:textId="77777777" w:rsidR="000900D3" w:rsidRDefault="000900D3">
      <w:pPr>
        <w:spacing w:line="360" w:lineRule="auto"/>
        <w:ind w:left="720"/>
        <w:jc w:val="both"/>
        <w:rPr>
          <w:rtl/>
        </w:rPr>
      </w:pPr>
    </w:p>
    <w:p w14:paraId="2A8C844E" w14:textId="77777777" w:rsidR="000900D3" w:rsidRDefault="00113037">
      <w:pPr>
        <w:spacing w:line="360" w:lineRule="auto"/>
        <w:ind w:left="720" w:hanging="720"/>
        <w:jc w:val="both"/>
        <w:rPr>
          <w:rtl/>
        </w:rPr>
      </w:pPr>
      <w:r>
        <w:rPr>
          <w:rFonts w:hint="cs"/>
          <w:rtl/>
        </w:rPr>
        <w:t>26.</w:t>
      </w:r>
      <w:r>
        <w:rPr>
          <w:rFonts w:hint="cs"/>
          <w:rtl/>
        </w:rPr>
        <w:tab/>
      </w:r>
      <w:r>
        <w:rPr>
          <w:rtl/>
        </w:rPr>
        <w:t>לדברי המאשימה, העונש המרבי בגין עבירות הובלה ונשיאה של נשק הינו 10 שנות מאסר, העונש המרבי בגין החזקה הינו 7 שנות מאסר, וכן 3 שנות מאסר בגין עבירת האיומים.</w:t>
      </w:r>
    </w:p>
    <w:p w14:paraId="6BBC7A21" w14:textId="77777777" w:rsidR="000900D3" w:rsidRDefault="000900D3">
      <w:pPr>
        <w:spacing w:line="360" w:lineRule="auto"/>
        <w:ind w:left="720"/>
        <w:jc w:val="both"/>
        <w:rPr>
          <w:rtl/>
        </w:rPr>
      </w:pPr>
    </w:p>
    <w:p w14:paraId="38A62881" w14:textId="77777777" w:rsidR="000900D3" w:rsidRDefault="00113037">
      <w:pPr>
        <w:spacing w:line="360" w:lineRule="auto"/>
        <w:ind w:left="720" w:hanging="720"/>
        <w:jc w:val="both"/>
        <w:rPr>
          <w:rtl/>
        </w:rPr>
      </w:pPr>
      <w:r>
        <w:rPr>
          <w:rFonts w:hint="cs"/>
          <w:rtl/>
        </w:rPr>
        <w:t>27.</w:t>
      </w:r>
      <w:r>
        <w:rPr>
          <w:rFonts w:hint="cs"/>
          <w:rtl/>
        </w:rPr>
        <w:tab/>
      </w:r>
      <w:r>
        <w:rPr>
          <w:rtl/>
        </w:rPr>
        <w:t xml:space="preserve">לטענת המאשימה, הענישה הקבועה בצד עבירות הנשק מבטאת את גישתו המחמירה של המחוקק כלפי עברייני נשק, וזאת נוכח היותו של הנשק כלי משחית וממית מעצם טבעו. </w:t>
      </w:r>
    </w:p>
    <w:p w14:paraId="596CBD4B" w14:textId="77777777" w:rsidR="000900D3" w:rsidRDefault="000900D3">
      <w:pPr>
        <w:spacing w:line="360" w:lineRule="auto"/>
        <w:ind w:left="720"/>
        <w:jc w:val="both"/>
        <w:rPr>
          <w:rtl/>
        </w:rPr>
      </w:pPr>
    </w:p>
    <w:p w14:paraId="3BA6DDAF" w14:textId="77777777" w:rsidR="000900D3" w:rsidRDefault="00113037">
      <w:pPr>
        <w:spacing w:line="360" w:lineRule="auto"/>
        <w:ind w:left="720" w:hanging="720"/>
        <w:jc w:val="both"/>
        <w:rPr>
          <w:rtl/>
        </w:rPr>
      </w:pPr>
      <w:r>
        <w:rPr>
          <w:rFonts w:hint="cs"/>
          <w:rtl/>
        </w:rPr>
        <w:t>28.</w:t>
      </w:r>
      <w:r>
        <w:rPr>
          <w:rFonts w:hint="cs"/>
          <w:rtl/>
        </w:rPr>
        <w:tab/>
      </w:r>
      <w:r>
        <w:rPr>
          <w:rtl/>
        </w:rPr>
        <w:t>המאשימה טענה שבתי המשפט הלכו במתווה שהתווה המחוקק והתייחסו בחומרה רבה לעברייני הנשק, והפנתה ל</w:t>
      </w:r>
      <w:hyperlink r:id="rId19" w:history="1">
        <w:r w:rsidRPr="00113037">
          <w:rPr>
            <w:color w:val="0000FF"/>
            <w:u w:val="single"/>
            <w:rtl/>
          </w:rPr>
          <w:t>ע"פ 3072/07</w:t>
        </w:r>
      </w:hyperlink>
      <w:r>
        <w:rPr>
          <w:rtl/>
        </w:rPr>
        <w:t xml:space="preserve"> </w:t>
      </w:r>
      <w:r>
        <w:rPr>
          <w:b/>
          <w:bCs/>
          <w:rtl/>
        </w:rPr>
        <w:t>מדינת ישראל נ' עבד אלחפיז ואכד</w:t>
      </w:r>
      <w:r>
        <w:rPr>
          <w:rtl/>
        </w:rPr>
        <w:t xml:space="preserve"> (ניתן ביום 02.08.07). </w:t>
      </w:r>
    </w:p>
    <w:p w14:paraId="0B934A95" w14:textId="77777777" w:rsidR="000900D3" w:rsidRDefault="000900D3">
      <w:pPr>
        <w:spacing w:line="360" w:lineRule="auto"/>
        <w:ind w:left="720"/>
        <w:jc w:val="both"/>
        <w:rPr>
          <w:rtl/>
        </w:rPr>
      </w:pPr>
    </w:p>
    <w:p w14:paraId="2CA0FEF6" w14:textId="77777777" w:rsidR="000900D3" w:rsidRDefault="00113037">
      <w:pPr>
        <w:spacing w:line="360" w:lineRule="auto"/>
        <w:ind w:left="720" w:hanging="720"/>
        <w:jc w:val="both"/>
        <w:rPr>
          <w:rtl/>
        </w:rPr>
      </w:pPr>
      <w:r>
        <w:rPr>
          <w:rFonts w:hint="cs"/>
          <w:rtl/>
        </w:rPr>
        <w:t>29.</w:t>
      </w:r>
      <w:r>
        <w:rPr>
          <w:rFonts w:hint="cs"/>
          <w:rtl/>
        </w:rPr>
        <w:tab/>
      </w:r>
      <w:r>
        <w:rPr>
          <w:rtl/>
        </w:rPr>
        <w:t>הערכים החברתיים שנפגעו מהמעשים הינם בראש ובראשונה חיי אדם ושמירה על גופו, אמנם במקרה זה לא הייתה פגיעה בגוף ולא בנפש, אך יחד עם זאת, ערך זה נחשף בצורה ממשית לסיכון כתוצאה מהשימוש בנשק קטלני על ידי מי שאינו מיומן לכך, והדברים נכונים ביתר שאת לאור נוכחותו של הקטין במהלך ביצוע הירי.</w:t>
      </w:r>
    </w:p>
    <w:p w14:paraId="3761EC20" w14:textId="77777777" w:rsidR="000900D3" w:rsidRDefault="000900D3">
      <w:pPr>
        <w:spacing w:line="360" w:lineRule="auto"/>
        <w:ind w:left="720"/>
        <w:jc w:val="both"/>
        <w:rPr>
          <w:rtl/>
        </w:rPr>
      </w:pPr>
    </w:p>
    <w:p w14:paraId="42AC496A" w14:textId="77777777" w:rsidR="000900D3" w:rsidRDefault="00113037">
      <w:pPr>
        <w:spacing w:line="360" w:lineRule="auto"/>
        <w:ind w:left="720" w:hanging="720"/>
        <w:jc w:val="both"/>
        <w:rPr>
          <w:rtl/>
        </w:rPr>
      </w:pPr>
      <w:r>
        <w:rPr>
          <w:rFonts w:hint="cs"/>
          <w:rtl/>
        </w:rPr>
        <w:t>30.</w:t>
      </w:r>
      <w:r>
        <w:rPr>
          <w:rFonts w:hint="cs"/>
          <w:rtl/>
        </w:rPr>
        <w:tab/>
      </w:r>
      <w:r>
        <w:rPr>
          <w:rtl/>
        </w:rPr>
        <w:t xml:space="preserve">בנוסף, לטענת המאשימה, ניכרת פגיעה בשלטון החוק, כאשר בהקשר זה טענה המאשימה שכהגדרה בסיסית של שלטון החוק הוא המונופול של המדינה, של השלטון, על כלי נשק. </w:t>
      </w:r>
    </w:p>
    <w:p w14:paraId="66892D6A" w14:textId="77777777" w:rsidR="000900D3" w:rsidRDefault="000900D3">
      <w:pPr>
        <w:spacing w:line="360" w:lineRule="auto"/>
        <w:ind w:left="720"/>
        <w:jc w:val="both"/>
        <w:rPr>
          <w:rtl/>
        </w:rPr>
      </w:pPr>
    </w:p>
    <w:p w14:paraId="37A02768" w14:textId="77777777" w:rsidR="000900D3" w:rsidRDefault="00113037">
      <w:pPr>
        <w:spacing w:line="360" w:lineRule="auto"/>
        <w:ind w:left="720"/>
        <w:jc w:val="both"/>
        <w:rPr>
          <w:rtl/>
        </w:rPr>
      </w:pPr>
      <w:r>
        <w:rPr>
          <w:rtl/>
        </w:rPr>
        <w:t>כמו כן, ניכרת פגיעה בשלומם של השוטרים במילוי תפקידם שעה שהנאשם איים באמצעות הנשק על השוטר.</w:t>
      </w:r>
    </w:p>
    <w:p w14:paraId="161489D7" w14:textId="77777777" w:rsidR="000900D3" w:rsidRDefault="000900D3">
      <w:pPr>
        <w:spacing w:line="360" w:lineRule="auto"/>
        <w:ind w:left="720"/>
        <w:jc w:val="both"/>
        <w:rPr>
          <w:rtl/>
        </w:rPr>
      </w:pPr>
    </w:p>
    <w:p w14:paraId="2CF8B467" w14:textId="77777777" w:rsidR="000900D3" w:rsidRDefault="00113037">
      <w:pPr>
        <w:spacing w:line="360" w:lineRule="auto"/>
        <w:ind w:left="720" w:hanging="720"/>
        <w:jc w:val="both"/>
        <w:rPr>
          <w:rtl/>
        </w:rPr>
      </w:pPr>
      <w:r>
        <w:rPr>
          <w:rFonts w:hint="cs"/>
          <w:rtl/>
        </w:rPr>
        <w:t>31.</w:t>
      </w:r>
      <w:r>
        <w:rPr>
          <w:rFonts w:hint="cs"/>
          <w:rtl/>
        </w:rPr>
        <w:tab/>
      </w:r>
      <w:r>
        <w:rPr>
          <w:rtl/>
        </w:rPr>
        <w:t xml:space="preserve">המאשימה טענה שנסיבות ביצוע העבירות מצביעות על אירוע בעל חומרה רבה. מדובר בנשק מסוג </w:t>
      </w:r>
      <w:r>
        <w:t>M -16</w:t>
      </w:r>
      <w:r>
        <w:rPr>
          <w:rtl/>
        </w:rPr>
        <w:t>, נשק רב עוצמה, כלי התקפי מטיבו וטבעו ובעל פוטנציאל גבוה לגרימת נזק, הן לרכוש והן לגוף.</w:t>
      </w:r>
    </w:p>
    <w:p w14:paraId="5C2DAF34" w14:textId="77777777" w:rsidR="000900D3" w:rsidRDefault="000900D3">
      <w:pPr>
        <w:spacing w:line="360" w:lineRule="auto"/>
        <w:ind w:left="720"/>
        <w:jc w:val="both"/>
        <w:rPr>
          <w:rtl/>
        </w:rPr>
      </w:pPr>
    </w:p>
    <w:p w14:paraId="5FA74B49" w14:textId="77777777" w:rsidR="000900D3" w:rsidRDefault="00113037">
      <w:pPr>
        <w:spacing w:line="360" w:lineRule="auto"/>
        <w:ind w:left="720" w:hanging="720"/>
        <w:jc w:val="both"/>
        <w:rPr>
          <w:rtl/>
        </w:rPr>
      </w:pPr>
      <w:r>
        <w:rPr>
          <w:rFonts w:hint="cs"/>
          <w:rtl/>
        </w:rPr>
        <w:t>32.</w:t>
      </w:r>
      <w:r>
        <w:rPr>
          <w:rFonts w:hint="cs"/>
          <w:rtl/>
        </w:rPr>
        <w:tab/>
      </w:r>
      <w:r>
        <w:rPr>
          <w:rtl/>
        </w:rPr>
        <w:t>הנאשם השתמש ברכב כדי להוביל את הנשק. מדובר במעשים שבוצעו לאור יום, בתוך עיר הומת אדם. פוטנציאל השימוש בנשק למעשה גם יצא לפועל שעה שהנאשם ירה עשרות כדורים לאוויר. ובהמשך, איים הנאשם באמצעות הנשק על שוטר שהגיע למקום.</w:t>
      </w:r>
    </w:p>
    <w:p w14:paraId="300010DA" w14:textId="77777777" w:rsidR="000900D3" w:rsidRDefault="000900D3">
      <w:pPr>
        <w:spacing w:line="360" w:lineRule="auto"/>
        <w:ind w:left="720"/>
        <w:jc w:val="both"/>
        <w:rPr>
          <w:rtl/>
        </w:rPr>
      </w:pPr>
    </w:p>
    <w:p w14:paraId="0D93532A" w14:textId="77777777" w:rsidR="000900D3" w:rsidRDefault="00113037">
      <w:pPr>
        <w:spacing w:line="360" w:lineRule="auto"/>
        <w:ind w:left="720" w:hanging="720"/>
        <w:jc w:val="both"/>
        <w:rPr>
          <w:rtl/>
        </w:rPr>
      </w:pPr>
      <w:r>
        <w:rPr>
          <w:rFonts w:hint="cs"/>
          <w:rtl/>
        </w:rPr>
        <w:t>33.</w:t>
      </w:r>
      <w:r>
        <w:rPr>
          <w:rFonts w:hint="cs"/>
          <w:rtl/>
        </w:rPr>
        <w:tab/>
      </w:r>
      <w:r>
        <w:rPr>
          <w:rtl/>
        </w:rPr>
        <w:t>לטענת המאשימה, האיום על השוטר בנסיבותיו של המקרה מהווה נדבך נוסף של חומרה, שכן השוטר נאלץ לשלוף את אקדחו המשטרתי ולכוונו לעבר הנאשם. האירוע הזה למרבה המזל נגרם ללא אבדות בנפש, וזאת בזכות שיקול דעת מושכל ותושייה רבה שהפעיל השוטר במהלך הטיפול באירוע. לטעמה של המאשימה, האירוע יכל בקלות, להתפתח לאירוע ירי ולגרום לאבדות בנפש ולכל הפחות פגיעה בגוף.</w:t>
      </w:r>
    </w:p>
    <w:p w14:paraId="67EA2F2C" w14:textId="77777777" w:rsidR="000900D3" w:rsidRDefault="000900D3">
      <w:pPr>
        <w:spacing w:line="360" w:lineRule="auto"/>
        <w:ind w:left="720"/>
        <w:jc w:val="both"/>
        <w:rPr>
          <w:rtl/>
        </w:rPr>
      </w:pPr>
    </w:p>
    <w:p w14:paraId="1E209EAD" w14:textId="77777777" w:rsidR="000900D3" w:rsidRDefault="00113037">
      <w:pPr>
        <w:spacing w:line="360" w:lineRule="auto"/>
        <w:ind w:left="720" w:hanging="720"/>
        <w:jc w:val="both"/>
        <w:rPr>
          <w:rtl/>
        </w:rPr>
      </w:pPr>
      <w:r>
        <w:rPr>
          <w:rFonts w:hint="cs"/>
          <w:rtl/>
        </w:rPr>
        <w:t>34.</w:t>
      </w:r>
      <w:r>
        <w:rPr>
          <w:rFonts w:hint="cs"/>
          <w:rtl/>
        </w:rPr>
        <w:tab/>
      </w:r>
      <w:r>
        <w:rPr>
          <w:rtl/>
        </w:rPr>
        <w:t>לטע</w:t>
      </w:r>
      <w:r>
        <w:rPr>
          <w:rFonts w:hint="cs"/>
          <w:rtl/>
        </w:rPr>
        <w:t>מה של</w:t>
      </w:r>
      <w:r>
        <w:rPr>
          <w:rtl/>
        </w:rPr>
        <w:t xml:space="preserve"> המאשימה, השילוב של העבירות בנשק עם ההימלטות מהשוטרים חותר תחת היכולת של המאשימה לאכוף עבירות מסוג זה.</w:t>
      </w:r>
    </w:p>
    <w:p w14:paraId="647417B4" w14:textId="77777777" w:rsidR="000900D3" w:rsidRDefault="000900D3">
      <w:pPr>
        <w:spacing w:line="360" w:lineRule="auto"/>
        <w:ind w:left="720"/>
        <w:jc w:val="both"/>
        <w:rPr>
          <w:rtl/>
        </w:rPr>
      </w:pPr>
    </w:p>
    <w:p w14:paraId="54BE51D2" w14:textId="77777777" w:rsidR="000900D3" w:rsidRDefault="00113037">
      <w:pPr>
        <w:spacing w:line="360" w:lineRule="auto"/>
        <w:jc w:val="both"/>
        <w:rPr>
          <w:rtl/>
        </w:rPr>
      </w:pPr>
      <w:r>
        <w:rPr>
          <w:rFonts w:hint="cs"/>
          <w:rtl/>
        </w:rPr>
        <w:t>35.</w:t>
      </w:r>
      <w:r>
        <w:rPr>
          <w:rFonts w:hint="cs"/>
          <w:rtl/>
        </w:rPr>
        <w:tab/>
      </w:r>
      <w:r>
        <w:rPr>
          <w:rtl/>
        </w:rPr>
        <w:t xml:space="preserve">המאשימה עתרה למתחם ענישה שנע בין שנתיים ל – 4 שנות מאסר בפועל. </w:t>
      </w:r>
    </w:p>
    <w:p w14:paraId="2455C1AD" w14:textId="77777777" w:rsidR="000900D3" w:rsidRDefault="000900D3">
      <w:pPr>
        <w:spacing w:line="360" w:lineRule="auto"/>
        <w:ind w:left="720"/>
        <w:jc w:val="both"/>
        <w:rPr>
          <w:rFonts w:ascii="Calibri" w:hAnsi="Calibri"/>
          <w:rtl/>
        </w:rPr>
      </w:pPr>
    </w:p>
    <w:p w14:paraId="08F3E244" w14:textId="77777777" w:rsidR="000900D3" w:rsidRDefault="00113037">
      <w:pPr>
        <w:spacing w:line="360" w:lineRule="auto"/>
        <w:ind w:left="720" w:hanging="720"/>
        <w:jc w:val="both"/>
        <w:rPr>
          <w:rtl/>
        </w:rPr>
      </w:pPr>
      <w:r>
        <w:rPr>
          <w:rFonts w:hint="cs"/>
          <w:rtl/>
        </w:rPr>
        <w:t>36.</w:t>
      </w:r>
      <w:r>
        <w:rPr>
          <w:rFonts w:hint="cs"/>
          <w:rtl/>
        </w:rPr>
        <w:tab/>
      </w:r>
      <w:r>
        <w:rPr>
          <w:rtl/>
        </w:rPr>
        <w:t xml:space="preserve">בתוך מתחם הענישה עתרה המאשימה לאמצע הטווח, לאור עברו הנקי של הנאשם ונסיבותיו האישיות. לטעמה, אמנם מדובר בתסקיר חיובי אך ההמלצה הסופית של שירות המבחן איננה מאזנת בצורה נכונה בין נסיבותיו האישיות של הנאשם לבין חומרת המעשה בו הודה והורשע. </w:t>
      </w:r>
    </w:p>
    <w:p w14:paraId="0F3C0B12" w14:textId="77777777" w:rsidR="000900D3" w:rsidRDefault="000900D3">
      <w:pPr>
        <w:spacing w:line="360" w:lineRule="auto"/>
        <w:ind w:left="720"/>
        <w:jc w:val="both"/>
        <w:rPr>
          <w:rtl/>
        </w:rPr>
      </w:pPr>
    </w:p>
    <w:p w14:paraId="0D816624" w14:textId="77777777" w:rsidR="000900D3" w:rsidRDefault="00113037">
      <w:pPr>
        <w:spacing w:line="360" w:lineRule="auto"/>
        <w:ind w:left="720" w:hanging="720"/>
        <w:jc w:val="both"/>
        <w:rPr>
          <w:rtl/>
        </w:rPr>
      </w:pPr>
      <w:r>
        <w:rPr>
          <w:rFonts w:hint="cs"/>
          <w:rtl/>
        </w:rPr>
        <w:t>37.</w:t>
      </w:r>
      <w:r>
        <w:rPr>
          <w:rFonts w:hint="cs"/>
          <w:rtl/>
        </w:rPr>
        <w:tab/>
      </w:r>
      <w:r>
        <w:rPr>
          <w:rtl/>
        </w:rPr>
        <w:t>המאשימה סבורה שנסיבותיו האישיות של הנאשם אינן חריגות במיוחד ולא מצדיקות הקלה משמעותית בעונשו או סטייה מהמתחם. כמו כן לא מתקיימים סיכוי שיקום המצדיקים סטייה מהמתחם.</w:t>
      </w:r>
    </w:p>
    <w:p w14:paraId="38383A30" w14:textId="77777777" w:rsidR="000900D3" w:rsidRDefault="000900D3">
      <w:pPr>
        <w:spacing w:line="360" w:lineRule="auto"/>
        <w:ind w:left="720"/>
        <w:jc w:val="both"/>
        <w:rPr>
          <w:rtl/>
        </w:rPr>
      </w:pPr>
    </w:p>
    <w:p w14:paraId="601D055F" w14:textId="77777777" w:rsidR="000900D3" w:rsidRDefault="00113037">
      <w:pPr>
        <w:spacing w:line="360" w:lineRule="auto"/>
        <w:ind w:left="720" w:hanging="720"/>
        <w:jc w:val="both"/>
        <w:rPr>
          <w:rtl/>
        </w:rPr>
      </w:pPr>
      <w:r>
        <w:rPr>
          <w:rFonts w:hint="cs"/>
          <w:rtl/>
        </w:rPr>
        <w:t>38.</w:t>
      </w:r>
      <w:r>
        <w:rPr>
          <w:rFonts w:hint="cs"/>
          <w:rtl/>
        </w:rPr>
        <w:tab/>
      </w:r>
      <w:r>
        <w:rPr>
          <w:rtl/>
        </w:rPr>
        <w:t>המאשימה ציינה את הסתייגותה מהאמור בעמוד השני בתסקיר, שם הנאשם טען ששמע יריות בקרבת מקום בו היה נמצא, הוא הגיע לשם יחד עם אחיו ושם הוא מצא את הנשק המוחבא, לקח אותו וירה. לטענת המאשימה, לעובדות אלה אין זכר בכתב האישום ואין להן שום אחיזה בחומר החקירה ולכן ביקשה לדחותן על הסף.</w:t>
      </w:r>
    </w:p>
    <w:p w14:paraId="546407B8" w14:textId="77777777" w:rsidR="000900D3" w:rsidRDefault="000900D3">
      <w:pPr>
        <w:spacing w:line="360" w:lineRule="auto"/>
        <w:ind w:left="720"/>
        <w:jc w:val="both"/>
        <w:rPr>
          <w:rtl/>
        </w:rPr>
      </w:pPr>
    </w:p>
    <w:p w14:paraId="1C890180" w14:textId="77777777" w:rsidR="000900D3" w:rsidRDefault="00113037">
      <w:pPr>
        <w:spacing w:line="360" w:lineRule="auto"/>
        <w:jc w:val="both"/>
        <w:rPr>
          <w:rtl/>
        </w:rPr>
      </w:pPr>
      <w:r>
        <w:rPr>
          <w:rFonts w:hint="cs"/>
          <w:rtl/>
        </w:rPr>
        <w:t>39.</w:t>
      </w:r>
      <w:r>
        <w:rPr>
          <w:rFonts w:hint="cs"/>
          <w:rtl/>
        </w:rPr>
        <w:tab/>
      </w:r>
      <w:r>
        <w:rPr>
          <w:rtl/>
        </w:rPr>
        <w:t xml:space="preserve">המאשימה הפנתה לפסיקה לעניין העונש התומכת בעמדתה למתחם הענישה. </w:t>
      </w:r>
    </w:p>
    <w:p w14:paraId="4F0B554E" w14:textId="77777777" w:rsidR="000900D3" w:rsidRDefault="000900D3">
      <w:pPr>
        <w:spacing w:line="360" w:lineRule="auto"/>
        <w:ind w:left="720"/>
        <w:jc w:val="both"/>
        <w:rPr>
          <w:rtl/>
        </w:rPr>
      </w:pPr>
    </w:p>
    <w:p w14:paraId="00D467F5" w14:textId="77777777" w:rsidR="000900D3" w:rsidRDefault="00113037">
      <w:pPr>
        <w:spacing w:line="360" w:lineRule="auto"/>
        <w:jc w:val="both"/>
        <w:rPr>
          <w:rtl/>
        </w:rPr>
      </w:pPr>
      <w:r>
        <w:rPr>
          <w:b/>
          <w:bCs/>
          <w:u w:val="single"/>
          <w:rtl/>
        </w:rPr>
        <w:t>טענות ב"כ הנאשם</w:t>
      </w:r>
      <w:r>
        <w:rPr>
          <w:rFonts w:hint="cs"/>
          <w:rtl/>
        </w:rPr>
        <w:t>:</w:t>
      </w:r>
    </w:p>
    <w:p w14:paraId="6FA4D494" w14:textId="77777777" w:rsidR="000900D3" w:rsidRDefault="000900D3">
      <w:pPr>
        <w:spacing w:line="360" w:lineRule="auto"/>
        <w:ind w:left="720"/>
        <w:jc w:val="both"/>
        <w:rPr>
          <w:rtl/>
        </w:rPr>
      </w:pPr>
    </w:p>
    <w:p w14:paraId="217C22E9" w14:textId="77777777" w:rsidR="000900D3" w:rsidRDefault="00113037">
      <w:pPr>
        <w:spacing w:line="360" w:lineRule="auto"/>
        <w:ind w:left="720" w:hanging="720"/>
        <w:jc w:val="both"/>
        <w:rPr>
          <w:rtl/>
        </w:rPr>
      </w:pPr>
      <w:r>
        <w:rPr>
          <w:rFonts w:hint="cs"/>
          <w:rtl/>
        </w:rPr>
        <w:t>40.</w:t>
      </w:r>
      <w:r>
        <w:rPr>
          <w:rFonts w:hint="cs"/>
          <w:rtl/>
        </w:rPr>
        <w:tab/>
      </w:r>
      <w:r>
        <w:rPr>
          <w:rtl/>
        </w:rPr>
        <w:t>ב"כ הנאשם</w:t>
      </w:r>
      <w:r>
        <w:rPr>
          <w:rFonts w:hint="cs"/>
          <w:rtl/>
        </w:rPr>
        <w:t xml:space="preserve"> טען,</w:t>
      </w:r>
      <w:r>
        <w:rPr>
          <w:rtl/>
        </w:rPr>
        <w:t xml:space="preserve"> </w:t>
      </w:r>
      <w:r>
        <w:rPr>
          <w:rFonts w:hint="cs"/>
          <w:rtl/>
        </w:rPr>
        <w:t>ש</w:t>
      </w:r>
      <w:r>
        <w:rPr>
          <w:rtl/>
        </w:rPr>
        <w:t xml:space="preserve">למרות שנכתב רבות ע"י ביהמ"ש על החומרה </w:t>
      </w:r>
      <w:r>
        <w:rPr>
          <w:rFonts w:hint="cs"/>
          <w:rtl/>
        </w:rPr>
        <w:t xml:space="preserve">שיש </w:t>
      </w:r>
      <w:r>
        <w:rPr>
          <w:rtl/>
        </w:rPr>
        <w:t>ב</w:t>
      </w:r>
      <w:r>
        <w:rPr>
          <w:rFonts w:hint="cs"/>
          <w:rtl/>
        </w:rPr>
        <w:t>עבירות הנשק, פסיקה שהדגישה את הצורך בענישה מחמירה כלפי מי</w:t>
      </w:r>
      <w:r>
        <w:rPr>
          <w:rtl/>
        </w:rPr>
        <w:t xml:space="preserve"> שעובר עבירות נשק ואיומים, באותה נשימה ביהמ"ש </w:t>
      </w:r>
      <w:r>
        <w:rPr>
          <w:rFonts w:hint="cs"/>
          <w:rtl/>
        </w:rPr>
        <w:t>מדגישים</w:t>
      </w:r>
      <w:r>
        <w:rPr>
          <w:rtl/>
        </w:rPr>
        <w:t xml:space="preserve"> את חשיבות התאמת הענישה לנסיבותיו של כל מקרה ועל חשיבותה של הענישה האינדיבידואלית.</w:t>
      </w:r>
    </w:p>
    <w:p w14:paraId="32540E4D" w14:textId="77777777" w:rsidR="000900D3" w:rsidRDefault="000900D3">
      <w:pPr>
        <w:spacing w:line="360" w:lineRule="auto"/>
        <w:ind w:left="720"/>
        <w:jc w:val="both"/>
        <w:rPr>
          <w:rtl/>
        </w:rPr>
      </w:pPr>
    </w:p>
    <w:p w14:paraId="5DB568A7" w14:textId="77777777" w:rsidR="000900D3" w:rsidRDefault="00113037">
      <w:pPr>
        <w:spacing w:line="360" w:lineRule="auto"/>
        <w:ind w:left="720" w:hanging="720"/>
        <w:jc w:val="both"/>
        <w:rPr>
          <w:rtl/>
        </w:rPr>
      </w:pPr>
      <w:r>
        <w:rPr>
          <w:rFonts w:hint="cs"/>
          <w:rtl/>
        </w:rPr>
        <w:t>41.</w:t>
      </w:r>
      <w:r>
        <w:rPr>
          <w:rFonts w:hint="cs"/>
          <w:rtl/>
        </w:rPr>
        <w:tab/>
      </w:r>
      <w:r>
        <w:rPr>
          <w:rtl/>
        </w:rPr>
        <w:t xml:space="preserve">לטענת </w:t>
      </w:r>
      <w:r>
        <w:rPr>
          <w:rFonts w:hint="cs"/>
          <w:rtl/>
        </w:rPr>
        <w:t>הסנגור המלומד</w:t>
      </w:r>
      <w:r>
        <w:rPr>
          <w:rtl/>
        </w:rPr>
        <w:t>, הנאשם בן 40, עומד ל</w:t>
      </w:r>
      <w:r>
        <w:rPr>
          <w:rFonts w:hint="cs"/>
          <w:rtl/>
        </w:rPr>
        <w:t>שאת</w:t>
      </w:r>
      <w:r>
        <w:rPr>
          <w:rtl/>
        </w:rPr>
        <w:t xml:space="preserve"> בת זוג בעוד מס' חודשים. מדובר באדם נורמטיבי, שניהל אורח חיים תקין, סיים 12 שנות לימוד, ב- 15 השנים האחרונות עבד בחברות הבנייה הגדולות במדינה, ובשנה האחרונה אף יצא לדרך עצמאית. כל זאת חרף מצבו המשפחתי הקשה והעול הרובץ על כתפיו בפרנסת המשפחה.</w:t>
      </w:r>
    </w:p>
    <w:p w14:paraId="137CAFDA" w14:textId="77777777" w:rsidR="000900D3" w:rsidRDefault="000900D3">
      <w:pPr>
        <w:spacing w:line="360" w:lineRule="auto"/>
        <w:ind w:left="720"/>
        <w:jc w:val="both"/>
        <w:rPr>
          <w:rtl/>
        </w:rPr>
      </w:pPr>
    </w:p>
    <w:p w14:paraId="3173083A" w14:textId="77777777" w:rsidR="000900D3" w:rsidRDefault="00113037">
      <w:pPr>
        <w:spacing w:line="360" w:lineRule="auto"/>
        <w:ind w:left="720" w:hanging="720"/>
        <w:jc w:val="both"/>
        <w:rPr>
          <w:rtl/>
        </w:rPr>
      </w:pPr>
      <w:r>
        <w:rPr>
          <w:rFonts w:hint="cs"/>
          <w:rtl/>
        </w:rPr>
        <w:t>42.</w:t>
      </w:r>
      <w:r>
        <w:rPr>
          <w:rFonts w:hint="cs"/>
          <w:rtl/>
        </w:rPr>
        <w:tab/>
      </w:r>
      <w:r>
        <w:rPr>
          <w:rtl/>
        </w:rPr>
        <w:t>נעדר עבר פלילי, אשר הפנים את חומרת מעשיו, הביע בושה וחרטה כנה. הנאשם ביצע את המעשים כאשר לא חשב לעומקם של דברים, אלא פעל בלהיטות מבלי לחשוב על תוצאות מעשיו. כיום חלה הסלמה במצבו של הנאשם מאחר ונאלץ להתמודד עם השלכות מעשיו והוא מנסה יחד עם קרוביו לשקם את חייו ואת תדמיתו.</w:t>
      </w:r>
    </w:p>
    <w:p w14:paraId="250F5E3B" w14:textId="77777777" w:rsidR="000900D3" w:rsidRDefault="000900D3">
      <w:pPr>
        <w:spacing w:line="360" w:lineRule="auto"/>
        <w:jc w:val="both"/>
        <w:rPr>
          <w:rtl/>
        </w:rPr>
      </w:pPr>
    </w:p>
    <w:p w14:paraId="599ECA02" w14:textId="77777777" w:rsidR="000900D3" w:rsidRDefault="00113037">
      <w:pPr>
        <w:spacing w:line="360" w:lineRule="auto"/>
        <w:ind w:left="720" w:hanging="720"/>
        <w:jc w:val="both"/>
        <w:rPr>
          <w:rtl/>
        </w:rPr>
      </w:pPr>
      <w:r>
        <w:rPr>
          <w:rFonts w:hint="cs"/>
          <w:rtl/>
        </w:rPr>
        <w:t>43.</w:t>
      </w:r>
      <w:r>
        <w:rPr>
          <w:rFonts w:hint="cs"/>
          <w:rtl/>
        </w:rPr>
        <w:tab/>
      </w:r>
      <w:r>
        <w:rPr>
          <w:rtl/>
        </w:rPr>
        <w:t>ב"כ הנאשם סבור כי גם ההיבט הציבורי יטה לכיוון שיקומו של הנאשם שכן, לטענתו, אין מדובר באדם שגדל לתוך עולם הפשע ומהווה נטל על החברה שיש להשימו מאחורי סורג ובריח, אלא אדם המצטער ומתבייש</w:t>
      </w:r>
      <w:r>
        <w:rPr>
          <w:rFonts w:hint="cs"/>
          <w:rtl/>
        </w:rPr>
        <w:t xml:space="preserve"> ממעשיו</w:t>
      </w:r>
      <w:r>
        <w:rPr>
          <w:rtl/>
        </w:rPr>
        <w:t xml:space="preserve"> ויודע שזוהי מעידה חד פעמית</w:t>
      </w:r>
      <w:r>
        <w:rPr>
          <w:rFonts w:hint="cs"/>
          <w:rtl/>
        </w:rPr>
        <w:t>, לשיטתו.</w:t>
      </w:r>
    </w:p>
    <w:p w14:paraId="3BB8A0FE" w14:textId="77777777" w:rsidR="000900D3" w:rsidRDefault="000900D3">
      <w:pPr>
        <w:spacing w:line="360" w:lineRule="auto"/>
        <w:ind w:left="720"/>
        <w:jc w:val="both"/>
        <w:rPr>
          <w:rtl/>
        </w:rPr>
      </w:pPr>
    </w:p>
    <w:p w14:paraId="35050A30" w14:textId="77777777" w:rsidR="000900D3" w:rsidRDefault="00113037">
      <w:pPr>
        <w:spacing w:line="360" w:lineRule="auto"/>
        <w:ind w:left="720" w:hanging="720"/>
        <w:jc w:val="both"/>
        <w:rPr>
          <w:rtl/>
        </w:rPr>
      </w:pPr>
      <w:r>
        <w:rPr>
          <w:rFonts w:hint="cs"/>
          <w:rtl/>
        </w:rPr>
        <w:t>44.</w:t>
      </w:r>
      <w:r>
        <w:rPr>
          <w:rFonts w:hint="cs"/>
          <w:rtl/>
        </w:rPr>
        <w:tab/>
      </w:r>
      <w:r>
        <w:rPr>
          <w:rtl/>
        </w:rPr>
        <w:t>הסנגור ביקש להתחשב בגזירת הדין בעובדה שממעשיו של הנאשם, נפגעו מלבדו גם בני משפחתו - הוריו ואחיו.</w:t>
      </w:r>
    </w:p>
    <w:p w14:paraId="1D64AC15" w14:textId="77777777" w:rsidR="000900D3" w:rsidRDefault="000900D3">
      <w:pPr>
        <w:spacing w:line="360" w:lineRule="auto"/>
        <w:ind w:left="720"/>
        <w:jc w:val="both"/>
        <w:rPr>
          <w:rtl/>
        </w:rPr>
      </w:pPr>
    </w:p>
    <w:p w14:paraId="3A2A5089" w14:textId="77777777" w:rsidR="000900D3" w:rsidRDefault="00113037">
      <w:pPr>
        <w:spacing w:line="360" w:lineRule="auto"/>
        <w:ind w:left="720" w:hanging="720"/>
        <w:jc w:val="both"/>
        <w:rPr>
          <w:rtl/>
        </w:rPr>
      </w:pPr>
      <w:r>
        <w:rPr>
          <w:rFonts w:hint="cs"/>
          <w:rtl/>
        </w:rPr>
        <w:t>45.</w:t>
      </w:r>
      <w:r>
        <w:rPr>
          <w:rFonts w:hint="cs"/>
          <w:rtl/>
        </w:rPr>
        <w:tab/>
      </w:r>
      <w:r>
        <w:rPr>
          <w:rtl/>
        </w:rPr>
        <w:t>לטענת הסנגור, בעקבות האירועים נשוא כתב האישום נפגע קשות עסקו של הנאשם ונגרמו לו הפסדים רבים שהובילו לפגיעה כלכלית קשה אף בבני משפחתו, זאת מאחר ופרנסת המשפחה כולה מוטלת על כתפיי הנאשם.</w:t>
      </w:r>
    </w:p>
    <w:p w14:paraId="04606660" w14:textId="77777777" w:rsidR="000900D3" w:rsidRDefault="000900D3">
      <w:pPr>
        <w:spacing w:line="360" w:lineRule="auto"/>
        <w:ind w:left="720"/>
        <w:jc w:val="both"/>
        <w:rPr>
          <w:rtl/>
        </w:rPr>
      </w:pPr>
    </w:p>
    <w:p w14:paraId="014412BF" w14:textId="77777777" w:rsidR="000900D3" w:rsidRDefault="00113037">
      <w:pPr>
        <w:spacing w:line="360" w:lineRule="auto"/>
        <w:jc w:val="both"/>
        <w:rPr>
          <w:rtl/>
        </w:rPr>
      </w:pPr>
      <w:r>
        <w:rPr>
          <w:rFonts w:hint="cs"/>
          <w:rtl/>
        </w:rPr>
        <w:t>46.</w:t>
      </w:r>
      <w:r>
        <w:rPr>
          <w:rFonts w:hint="cs"/>
          <w:rtl/>
        </w:rPr>
        <w:tab/>
      </w:r>
      <w:r>
        <w:rPr>
          <w:rtl/>
        </w:rPr>
        <w:t>לטענתו, הנאשם הודה בשלב מוקדם של ההליך, ובכך חסך זמן שיפוטי יקר.</w:t>
      </w:r>
    </w:p>
    <w:p w14:paraId="2B8FE0C3" w14:textId="77777777" w:rsidR="000900D3" w:rsidRDefault="000900D3">
      <w:pPr>
        <w:spacing w:line="360" w:lineRule="auto"/>
        <w:jc w:val="both"/>
        <w:rPr>
          <w:rtl/>
        </w:rPr>
      </w:pPr>
    </w:p>
    <w:p w14:paraId="49AE553C" w14:textId="77777777" w:rsidR="000900D3" w:rsidRDefault="00113037">
      <w:pPr>
        <w:spacing w:line="360" w:lineRule="auto"/>
        <w:ind w:left="720" w:hanging="720"/>
        <w:jc w:val="both"/>
        <w:rPr>
          <w:rtl/>
        </w:rPr>
      </w:pPr>
      <w:r>
        <w:rPr>
          <w:rFonts w:hint="cs"/>
          <w:rtl/>
        </w:rPr>
        <w:t>47.</w:t>
      </w:r>
      <w:r>
        <w:rPr>
          <w:rFonts w:hint="cs"/>
          <w:rtl/>
        </w:rPr>
        <w:tab/>
      </w:r>
      <w:r>
        <w:rPr>
          <w:rtl/>
        </w:rPr>
        <w:t xml:space="preserve">עוד טען הסניגור, כי הנאשם היה במעצר מ – 26.02.15 עד ליום 04.05.15 </w:t>
      </w:r>
      <w:r>
        <w:rPr>
          <w:rFonts w:hint="cs"/>
          <w:rtl/>
        </w:rPr>
        <w:t xml:space="preserve">- </w:t>
      </w:r>
      <w:r>
        <w:rPr>
          <w:rtl/>
        </w:rPr>
        <w:t>(</w:t>
      </w:r>
      <w:r>
        <w:rPr>
          <w:rFonts w:hint="cs"/>
          <w:rtl/>
        </w:rPr>
        <w:t xml:space="preserve">אולם </w:t>
      </w:r>
      <w:r>
        <w:rPr>
          <w:rtl/>
        </w:rPr>
        <w:t xml:space="preserve">לפי פקודת </w:t>
      </w:r>
      <w:r>
        <w:rPr>
          <w:rFonts w:hint="cs"/>
          <w:rtl/>
        </w:rPr>
        <w:t>ה</w:t>
      </w:r>
      <w:r>
        <w:rPr>
          <w:rtl/>
        </w:rPr>
        <w:t>שחרור</w:t>
      </w:r>
      <w:r>
        <w:rPr>
          <w:rFonts w:hint="cs"/>
          <w:rtl/>
        </w:rPr>
        <w:t xml:space="preserve"> הוא שוחרר ביום</w:t>
      </w:r>
      <w:r>
        <w:rPr>
          <w:rtl/>
        </w:rPr>
        <w:t xml:space="preserve"> 06.05.15), ומאז שוהה הנאשם במעצר בית עד היום, תקופה בת 5 חודשים. לטעמו, מעצרו של הנאשם הפגישו עם כישלונותיו ודרבן אותו לערוך חשבון נפש </w:t>
      </w:r>
      <w:r>
        <w:rPr>
          <w:rFonts w:hint="cs"/>
          <w:rtl/>
        </w:rPr>
        <w:t>אישי</w:t>
      </w:r>
      <w:r>
        <w:rPr>
          <w:rtl/>
        </w:rPr>
        <w:t xml:space="preserve"> ולהבין את הטעות בדרך החיים אליה נקלע.</w:t>
      </w:r>
    </w:p>
    <w:p w14:paraId="4008AD36" w14:textId="77777777" w:rsidR="000900D3" w:rsidRDefault="000900D3">
      <w:pPr>
        <w:spacing w:line="360" w:lineRule="auto"/>
        <w:ind w:left="720"/>
        <w:jc w:val="both"/>
        <w:rPr>
          <w:rtl/>
        </w:rPr>
      </w:pPr>
    </w:p>
    <w:p w14:paraId="27E9BAA6" w14:textId="77777777" w:rsidR="000900D3" w:rsidRDefault="00113037">
      <w:pPr>
        <w:spacing w:line="360" w:lineRule="auto"/>
        <w:ind w:left="720" w:hanging="720"/>
        <w:jc w:val="both"/>
        <w:rPr>
          <w:rtl/>
        </w:rPr>
      </w:pPr>
      <w:r>
        <w:rPr>
          <w:rFonts w:hint="cs"/>
          <w:rtl/>
        </w:rPr>
        <w:t>48.</w:t>
      </w:r>
      <w:r>
        <w:rPr>
          <w:rFonts w:hint="cs"/>
          <w:rtl/>
        </w:rPr>
        <w:tab/>
      </w:r>
      <w:r>
        <w:rPr>
          <w:rtl/>
        </w:rPr>
        <w:t>לטעמו, הטלת עונש מאסר בפועל על הנאשם עלולה לפגוע בסיכויי שיקומו, שלאור עברו הינם סיכויים טובים.</w:t>
      </w:r>
    </w:p>
    <w:p w14:paraId="4CAA3777" w14:textId="77777777" w:rsidR="000900D3" w:rsidRDefault="000900D3">
      <w:pPr>
        <w:spacing w:line="360" w:lineRule="auto"/>
        <w:ind w:left="720"/>
        <w:jc w:val="both"/>
        <w:rPr>
          <w:rtl/>
        </w:rPr>
      </w:pPr>
    </w:p>
    <w:p w14:paraId="391E9CCF" w14:textId="77777777" w:rsidR="000900D3" w:rsidRDefault="00113037">
      <w:pPr>
        <w:spacing w:line="360" w:lineRule="auto"/>
        <w:ind w:left="720" w:hanging="720"/>
        <w:jc w:val="both"/>
        <w:rPr>
          <w:rtl/>
        </w:rPr>
      </w:pPr>
      <w:r>
        <w:rPr>
          <w:rFonts w:hint="cs"/>
          <w:rtl/>
        </w:rPr>
        <w:t>49.</w:t>
      </w:r>
      <w:r>
        <w:rPr>
          <w:rFonts w:hint="cs"/>
          <w:rtl/>
        </w:rPr>
        <w:tab/>
      </w:r>
      <w:r>
        <w:rPr>
          <w:rtl/>
        </w:rPr>
        <w:t>לטענת הסנגור, המקרים בפסיקה אליה הפנתה המאשימה, אינם קשורים, ומנותקים עובדתית מהמקרה שבפנינו.</w:t>
      </w:r>
    </w:p>
    <w:p w14:paraId="66727D19" w14:textId="77777777" w:rsidR="000900D3" w:rsidRDefault="000900D3">
      <w:pPr>
        <w:spacing w:line="360" w:lineRule="auto"/>
        <w:ind w:left="720"/>
        <w:jc w:val="both"/>
        <w:rPr>
          <w:rtl/>
        </w:rPr>
      </w:pPr>
    </w:p>
    <w:p w14:paraId="5136285C" w14:textId="77777777" w:rsidR="000900D3" w:rsidRDefault="00113037">
      <w:pPr>
        <w:spacing w:line="360" w:lineRule="auto"/>
        <w:ind w:left="720"/>
        <w:jc w:val="both"/>
        <w:rPr>
          <w:rtl/>
        </w:rPr>
      </w:pPr>
      <w:r>
        <w:rPr>
          <w:rtl/>
        </w:rPr>
        <w:t>על כן, ביקש הסנגור להעדיף את האינטרס השיקומי ועתר לרף ענישה נמוך.</w:t>
      </w:r>
    </w:p>
    <w:p w14:paraId="25B72A10" w14:textId="77777777" w:rsidR="000900D3" w:rsidRDefault="000900D3">
      <w:pPr>
        <w:spacing w:line="360" w:lineRule="auto"/>
        <w:ind w:left="720"/>
        <w:jc w:val="both"/>
        <w:rPr>
          <w:b/>
          <w:bCs/>
          <w:u w:val="single"/>
          <w:rtl/>
        </w:rPr>
      </w:pPr>
    </w:p>
    <w:p w14:paraId="7ED57D14" w14:textId="77777777" w:rsidR="000900D3" w:rsidRDefault="00113037">
      <w:pPr>
        <w:spacing w:line="360" w:lineRule="auto"/>
        <w:jc w:val="both"/>
        <w:rPr>
          <w:b/>
          <w:bCs/>
          <w:u w:val="single"/>
          <w:rtl/>
        </w:rPr>
      </w:pPr>
      <w:r>
        <w:rPr>
          <w:b/>
          <w:bCs/>
          <w:u w:val="single"/>
          <w:rtl/>
        </w:rPr>
        <w:t>דברי הנאשם</w:t>
      </w:r>
    </w:p>
    <w:p w14:paraId="5F2C5D3A" w14:textId="77777777" w:rsidR="000900D3" w:rsidRDefault="000900D3">
      <w:pPr>
        <w:spacing w:line="360" w:lineRule="auto"/>
        <w:jc w:val="both"/>
        <w:rPr>
          <w:b/>
          <w:bCs/>
          <w:u w:val="single"/>
          <w:rtl/>
        </w:rPr>
      </w:pPr>
    </w:p>
    <w:p w14:paraId="440168BD" w14:textId="77777777" w:rsidR="000900D3" w:rsidRDefault="00113037">
      <w:pPr>
        <w:spacing w:line="360" w:lineRule="auto"/>
        <w:ind w:left="720" w:hanging="720"/>
        <w:jc w:val="both"/>
        <w:rPr>
          <w:b/>
          <w:bCs/>
          <w:u w:val="single"/>
          <w:rtl/>
        </w:rPr>
      </w:pPr>
      <w:r>
        <w:rPr>
          <w:rFonts w:hint="cs"/>
          <w:rtl/>
        </w:rPr>
        <w:t>50.</w:t>
      </w:r>
      <w:r>
        <w:rPr>
          <w:rtl/>
        </w:rPr>
        <w:tab/>
      </w:r>
      <w:r>
        <w:rPr>
          <w:rFonts w:hint="cs"/>
          <w:rtl/>
        </w:rPr>
        <w:t xml:space="preserve"> </w:t>
      </w:r>
      <w:r>
        <w:rPr>
          <w:rtl/>
        </w:rPr>
        <w:t>הנאשם הביע צער</w:t>
      </w:r>
      <w:r>
        <w:rPr>
          <w:rFonts w:hint="cs"/>
          <w:rtl/>
        </w:rPr>
        <w:t xml:space="preserve"> </w:t>
      </w:r>
      <w:r>
        <w:rPr>
          <w:rtl/>
        </w:rPr>
        <w:t>על מעשיו</w:t>
      </w:r>
      <w:r>
        <w:rPr>
          <w:rFonts w:hint="cs"/>
          <w:rtl/>
        </w:rPr>
        <w:t>, וחש בושה וכלימה מ</w:t>
      </w:r>
      <w:r>
        <w:rPr>
          <w:rtl/>
        </w:rPr>
        <w:t>משפחתו</w:t>
      </w:r>
      <w:r>
        <w:rPr>
          <w:rFonts w:hint="cs"/>
          <w:rtl/>
        </w:rPr>
        <w:t>,</w:t>
      </w:r>
      <w:r>
        <w:rPr>
          <w:rtl/>
        </w:rPr>
        <w:t xml:space="preserve"> ולוקח אחריות מלאה על המעשים שעשה.</w:t>
      </w:r>
      <w:r>
        <w:rPr>
          <w:rFonts w:hint="cs"/>
          <w:rtl/>
        </w:rPr>
        <w:t xml:space="preserve"> </w:t>
      </w:r>
      <w:r>
        <w:rPr>
          <w:rtl/>
        </w:rPr>
        <w:t>לדבריו, הוא כאוב ומלא צער על כך שהביא את עצמו למצב הזה</w:t>
      </w:r>
      <w:r>
        <w:rPr>
          <w:rFonts w:hint="cs"/>
          <w:rtl/>
        </w:rPr>
        <w:t>.</w:t>
      </w:r>
    </w:p>
    <w:p w14:paraId="051BFF5E" w14:textId="77777777" w:rsidR="000900D3" w:rsidRDefault="000900D3">
      <w:pPr>
        <w:spacing w:line="360" w:lineRule="auto"/>
        <w:ind w:left="720"/>
        <w:jc w:val="both"/>
        <w:rPr>
          <w:rtl/>
        </w:rPr>
      </w:pPr>
    </w:p>
    <w:p w14:paraId="1E20716C" w14:textId="77777777" w:rsidR="000900D3" w:rsidRDefault="00113037">
      <w:pPr>
        <w:spacing w:line="360" w:lineRule="auto"/>
        <w:jc w:val="both"/>
        <w:rPr>
          <w:rtl/>
        </w:rPr>
      </w:pPr>
      <w:r>
        <w:rPr>
          <w:b/>
          <w:bCs/>
          <w:u w:val="single"/>
          <w:rtl/>
        </w:rPr>
        <w:t>דיון והכרעה</w:t>
      </w:r>
      <w:r>
        <w:rPr>
          <w:rFonts w:hint="cs"/>
          <w:rtl/>
        </w:rPr>
        <w:t>:</w:t>
      </w:r>
    </w:p>
    <w:p w14:paraId="5DABFF85" w14:textId="77777777" w:rsidR="000900D3" w:rsidRDefault="000900D3">
      <w:pPr>
        <w:spacing w:line="360" w:lineRule="auto"/>
        <w:jc w:val="both"/>
        <w:rPr>
          <w:rtl/>
        </w:rPr>
      </w:pPr>
    </w:p>
    <w:p w14:paraId="2A766F81" w14:textId="77777777" w:rsidR="000900D3" w:rsidRDefault="00113037">
      <w:pPr>
        <w:spacing w:line="360" w:lineRule="auto"/>
        <w:ind w:left="720" w:hanging="720"/>
        <w:jc w:val="both"/>
        <w:rPr>
          <w:rtl/>
        </w:rPr>
      </w:pPr>
      <w:r>
        <w:rPr>
          <w:rFonts w:hint="cs"/>
          <w:rtl/>
        </w:rPr>
        <w:t>51.</w:t>
      </w:r>
      <w:r>
        <w:rPr>
          <w:rFonts w:hint="cs"/>
          <w:rtl/>
        </w:rPr>
        <w:tab/>
      </w:r>
      <w:r>
        <w:rPr>
          <w:rtl/>
        </w:rPr>
        <w:t>לפניי נאשם יליד שנת 1975, שהורשע בעבירות של נשיאת, החזקת והובלת נשק, אביזר ותחמושת וכן עבירת איומים.</w:t>
      </w:r>
    </w:p>
    <w:p w14:paraId="1CA067B4" w14:textId="77777777" w:rsidR="000900D3" w:rsidRDefault="000900D3">
      <w:pPr>
        <w:spacing w:line="360" w:lineRule="auto"/>
        <w:ind w:left="720"/>
        <w:jc w:val="both"/>
        <w:rPr>
          <w:rtl/>
        </w:rPr>
      </w:pPr>
    </w:p>
    <w:p w14:paraId="50B734F0" w14:textId="77777777" w:rsidR="000900D3" w:rsidRDefault="00113037">
      <w:pPr>
        <w:spacing w:line="360" w:lineRule="auto"/>
        <w:ind w:left="720" w:hanging="720"/>
        <w:jc w:val="both"/>
        <w:rPr>
          <w:rtl/>
        </w:rPr>
      </w:pPr>
      <w:r>
        <w:rPr>
          <w:rFonts w:hint="cs"/>
          <w:rtl/>
        </w:rPr>
        <w:t>52.</w:t>
      </w:r>
      <w:r>
        <w:rPr>
          <w:rFonts w:hint="cs"/>
          <w:rtl/>
        </w:rPr>
        <w:tab/>
        <w:t xml:space="preserve">לכל הדעות </w:t>
      </w:r>
      <w:r>
        <w:rPr>
          <w:rtl/>
        </w:rPr>
        <w:t>עבירת הנשק הנה עבירה חמורה במהותה, העונש המרבי בגין עבירות הובלה ונשיאה של נשק הינו  10 שנות מאסר, העונש המרבי בגין החזקה הינו 7 שנות מאסר</w:t>
      </w:r>
      <w:r>
        <w:rPr>
          <w:rFonts w:hint="cs"/>
          <w:rtl/>
        </w:rPr>
        <w:t>, ו</w:t>
      </w:r>
      <w:r>
        <w:rPr>
          <w:rtl/>
        </w:rPr>
        <w:t>בגין עבירת האיומים</w:t>
      </w:r>
      <w:r>
        <w:rPr>
          <w:rFonts w:hint="cs"/>
          <w:rtl/>
        </w:rPr>
        <w:t xml:space="preserve"> העונש המרבי הינו 3 שנים.</w:t>
      </w:r>
    </w:p>
    <w:p w14:paraId="1F76BF25" w14:textId="77777777" w:rsidR="000900D3" w:rsidRDefault="000900D3">
      <w:pPr>
        <w:spacing w:line="360" w:lineRule="auto"/>
        <w:ind w:left="720" w:hanging="720"/>
        <w:jc w:val="both"/>
        <w:rPr>
          <w:rtl/>
        </w:rPr>
      </w:pPr>
    </w:p>
    <w:p w14:paraId="298FADC2" w14:textId="77777777" w:rsidR="000900D3" w:rsidRDefault="00113037">
      <w:pPr>
        <w:spacing w:line="360" w:lineRule="auto"/>
        <w:ind w:left="720" w:hanging="720"/>
        <w:jc w:val="both"/>
        <w:rPr>
          <w:rtl/>
        </w:rPr>
      </w:pPr>
      <w:r>
        <w:rPr>
          <w:rFonts w:hint="cs"/>
          <w:rtl/>
        </w:rPr>
        <w:t>53.</w:t>
      </w:r>
      <w:r>
        <w:rPr>
          <w:rFonts w:hint="cs"/>
          <w:rtl/>
        </w:rPr>
        <w:tab/>
      </w:r>
      <w:r>
        <w:rPr>
          <w:rtl/>
        </w:rPr>
        <w:t>המחוקק קבע תנאים מגבילים ומיוחדים שרק בהתקיימם, אזרח יכול להחזיק כדין בנשק וזאת לאור המסוכנות הרבה שטבועה בכלי הנשק מעצם טיבם וטבעם. הנאשם בחר להתעלם מכללים אלו,</w:t>
      </w:r>
      <w:r>
        <w:rPr>
          <w:rFonts w:ascii="Arial" w:hAnsi="Arial"/>
          <w:rtl/>
        </w:rPr>
        <w:t xml:space="preserve"> </w:t>
      </w:r>
      <w:r>
        <w:rPr>
          <w:rtl/>
        </w:rPr>
        <w:t xml:space="preserve">ולכן, לעניין הערכים המוגנים אין לי אלא להסכים עם עמדת המאשימה כי אלה </w:t>
      </w:r>
      <w:r>
        <w:rPr>
          <w:rFonts w:hint="cs"/>
          <w:rtl/>
        </w:rPr>
        <w:t>מתבטאים בפגיעה ב</w:t>
      </w:r>
      <w:r>
        <w:rPr>
          <w:rtl/>
        </w:rPr>
        <w:t>ערך החיים ושמירת הגוף וכן השמירה על שלום הציבור ובטחונו.</w:t>
      </w:r>
    </w:p>
    <w:p w14:paraId="0809B19D" w14:textId="77777777" w:rsidR="000900D3" w:rsidRDefault="000900D3">
      <w:pPr>
        <w:spacing w:line="360" w:lineRule="auto"/>
        <w:ind w:left="720" w:hanging="720"/>
        <w:jc w:val="both"/>
        <w:rPr>
          <w:rtl/>
        </w:rPr>
      </w:pPr>
    </w:p>
    <w:p w14:paraId="76EF881B" w14:textId="77777777" w:rsidR="000900D3" w:rsidRDefault="00113037">
      <w:pPr>
        <w:spacing w:line="360" w:lineRule="auto"/>
        <w:ind w:left="720" w:hanging="720"/>
        <w:jc w:val="both"/>
        <w:rPr>
          <w:rtl/>
        </w:rPr>
      </w:pPr>
      <w:r>
        <w:rPr>
          <w:rFonts w:hint="cs"/>
          <w:rtl/>
        </w:rPr>
        <w:t>54.</w:t>
      </w:r>
      <w:r>
        <w:rPr>
          <w:rFonts w:hint="cs"/>
          <w:rtl/>
        </w:rPr>
        <w:tab/>
      </w:r>
      <w:r>
        <w:rPr>
          <w:rtl/>
        </w:rPr>
        <w:t>בית המשפט העליון עמד לא אחת על חומרתן של עבירות הנשק ועל החובה להשית</w:t>
      </w:r>
      <w:r>
        <w:rPr>
          <w:rFonts w:hint="cs"/>
          <w:rtl/>
        </w:rPr>
        <w:t xml:space="preserve"> </w:t>
      </w:r>
      <w:r>
        <w:rPr>
          <w:rtl/>
        </w:rPr>
        <w:t xml:space="preserve">בעבירות אלו עונש חמור שיש בו כדי להרתיע עבריינים בכוח מלבצע עבירות דומות </w:t>
      </w:r>
      <w:r>
        <w:rPr>
          <w:rFonts w:hint="cs"/>
          <w:rtl/>
        </w:rPr>
        <w:t xml:space="preserve">- </w:t>
      </w:r>
      <w:r>
        <w:rPr>
          <w:rtl/>
        </w:rPr>
        <w:t xml:space="preserve">(ראו </w:t>
      </w:r>
      <w:hyperlink r:id="rId20" w:history="1">
        <w:r w:rsidRPr="00113037">
          <w:rPr>
            <w:color w:val="0000FF"/>
            <w:u w:val="single"/>
            <w:rtl/>
          </w:rPr>
          <w:t>רע"פ 2718/04</w:t>
        </w:r>
      </w:hyperlink>
      <w:r>
        <w:rPr>
          <w:rtl/>
        </w:rPr>
        <w:t xml:space="preserve"> </w:t>
      </w:r>
      <w:r>
        <w:rPr>
          <w:b/>
          <w:bCs/>
          <w:rtl/>
        </w:rPr>
        <w:t>אבו דאחל נגד מ"י</w:t>
      </w:r>
      <w:r>
        <w:rPr>
          <w:rtl/>
        </w:rPr>
        <w:t xml:space="preserve"> (ניתן ביום 29.3.04), </w:t>
      </w:r>
      <w:hyperlink r:id="rId21" w:history="1">
        <w:r w:rsidRPr="00113037">
          <w:rPr>
            <w:color w:val="0000FF"/>
            <w:u w:val="single"/>
            <w:rtl/>
          </w:rPr>
          <w:t>ע"פ 6583/06</w:t>
        </w:r>
      </w:hyperlink>
      <w:r>
        <w:rPr>
          <w:rtl/>
        </w:rPr>
        <w:t xml:space="preserve"> </w:t>
      </w:r>
      <w:r>
        <w:rPr>
          <w:b/>
          <w:bCs/>
          <w:rtl/>
        </w:rPr>
        <w:t>אדהאם נגד מ"י</w:t>
      </w:r>
      <w:r>
        <w:rPr>
          <w:rtl/>
        </w:rPr>
        <w:t xml:space="preserve"> (ניתן ביום 10.12.06), ו</w:t>
      </w:r>
      <w:hyperlink r:id="rId22" w:history="1">
        <w:r w:rsidRPr="00113037">
          <w:rPr>
            <w:color w:val="0000FF"/>
            <w:u w:val="single"/>
            <w:rtl/>
          </w:rPr>
          <w:t>רע"פ 5921/08</w:t>
        </w:r>
      </w:hyperlink>
      <w:r>
        <w:rPr>
          <w:rtl/>
        </w:rPr>
        <w:t xml:space="preserve"> </w:t>
      </w:r>
      <w:r>
        <w:rPr>
          <w:b/>
          <w:bCs/>
          <w:rtl/>
        </w:rPr>
        <w:t>רביע רג'בי נגד מ"י</w:t>
      </w:r>
      <w:r>
        <w:rPr>
          <w:rtl/>
        </w:rPr>
        <w:t xml:space="preserve"> (ניתן ביום 6.5.09).</w:t>
      </w:r>
    </w:p>
    <w:p w14:paraId="5E457D3A" w14:textId="77777777" w:rsidR="000900D3" w:rsidRDefault="00113037">
      <w:pPr>
        <w:overflowPunct w:val="0"/>
        <w:autoSpaceDE w:val="0"/>
        <w:autoSpaceDN w:val="0"/>
        <w:spacing w:line="360" w:lineRule="auto"/>
        <w:ind w:left="720" w:hanging="720"/>
        <w:jc w:val="both"/>
        <w:rPr>
          <w:rFonts w:ascii="Arial TUR" w:hAnsi="Arial TUR"/>
          <w:color w:val="000000"/>
          <w:rtl/>
          <w:lang w:eastAsia="he-IL"/>
        </w:rPr>
      </w:pPr>
      <w:r>
        <w:rPr>
          <w:rFonts w:ascii="Arial TUR" w:hAnsi="Arial TUR" w:hint="cs"/>
          <w:color w:val="000000"/>
          <w:rtl/>
          <w:lang w:eastAsia="he-IL"/>
        </w:rPr>
        <w:t>55.</w:t>
      </w:r>
      <w:r>
        <w:rPr>
          <w:rFonts w:ascii="Arial TUR" w:hAnsi="Arial TUR" w:hint="cs"/>
          <w:color w:val="000000"/>
          <w:rtl/>
          <w:lang w:eastAsia="he-IL"/>
        </w:rPr>
        <w:tab/>
      </w:r>
      <w:r>
        <w:rPr>
          <w:rFonts w:ascii="Arial TUR" w:hAnsi="Arial TUR"/>
          <w:color w:val="000000"/>
          <w:rtl/>
          <w:lang w:eastAsia="he-IL"/>
        </w:rPr>
        <w:t xml:space="preserve">יחד עם זאת, וכידוע הענישה במקומותינו הינה ענישה אינדיווידואלית ומותאמת לנסיבות ולנאשם הספציפי העומד לתת את הדין בפני ביהמ"ש – (ראו </w:t>
      </w:r>
      <w:hyperlink r:id="rId23" w:history="1">
        <w:r w:rsidRPr="00113037">
          <w:rPr>
            <w:rFonts w:ascii="Arial TUR" w:hAnsi="Arial TUR" w:hint="eastAsia"/>
            <w:color w:val="0000FF"/>
            <w:u w:val="single"/>
            <w:rtl/>
            <w:lang w:eastAsia="he-IL"/>
          </w:rPr>
          <w:t>ע</w:t>
        </w:r>
        <w:r w:rsidRPr="00113037">
          <w:rPr>
            <w:rFonts w:ascii="Arial TUR" w:hAnsi="Arial TUR"/>
            <w:color w:val="0000FF"/>
            <w:u w:val="single"/>
            <w:rtl/>
            <w:lang w:eastAsia="he-IL"/>
          </w:rPr>
          <w:t>"</w:t>
        </w:r>
        <w:r w:rsidRPr="00113037">
          <w:rPr>
            <w:rFonts w:ascii="Arial TUR" w:hAnsi="Arial TUR" w:hint="eastAsia"/>
            <w:color w:val="0000FF"/>
            <w:u w:val="single"/>
            <w:rtl/>
            <w:lang w:eastAsia="he-IL"/>
          </w:rPr>
          <w:t>פ</w:t>
        </w:r>
        <w:r w:rsidRPr="00113037">
          <w:rPr>
            <w:rFonts w:ascii="Arial TUR" w:hAnsi="Arial TUR"/>
            <w:color w:val="0000FF"/>
            <w:u w:val="single"/>
            <w:rtl/>
            <w:lang w:eastAsia="he-IL"/>
          </w:rPr>
          <w:t xml:space="preserve"> 433/89 </w:t>
        </w:r>
        <w:r w:rsidRPr="00113037">
          <w:rPr>
            <w:rFonts w:ascii="Arial TUR" w:hAnsi="Arial TUR" w:hint="eastAsia"/>
            <w:color w:val="0000FF"/>
            <w:u w:val="single"/>
            <w:rtl/>
            <w:lang w:eastAsia="he-IL"/>
          </w:rPr>
          <w:t>אטיאס</w:t>
        </w:r>
        <w:r w:rsidRPr="00113037">
          <w:rPr>
            <w:rFonts w:ascii="Arial TUR" w:hAnsi="Arial TUR"/>
            <w:color w:val="0000FF"/>
            <w:u w:val="single"/>
            <w:rtl/>
            <w:lang w:eastAsia="he-IL"/>
          </w:rPr>
          <w:t xml:space="preserve"> </w:t>
        </w:r>
        <w:r w:rsidRPr="00113037">
          <w:rPr>
            <w:rFonts w:ascii="Arial TUR" w:hAnsi="Arial TUR" w:hint="eastAsia"/>
            <w:color w:val="0000FF"/>
            <w:u w:val="single"/>
            <w:rtl/>
            <w:lang w:eastAsia="he-IL"/>
          </w:rPr>
          <w:t>נ</w:t>
        </w:r>
        <w:r w:rsidRPr="00113037">
          <w:rPr>
            <w:rFonts w:ascii="Arial TUR" w:hAnsi="Arial TUR"/>
            <w:color w:val="0000FF"/>
            <w:u w:val="single"/>
            <w:rtl/>
            <w:lang w:eastAsia="he-IL"/>
          </w:rPr>
          <w:t xml:space="preserve">' </w:t>
        </w:r>
        <w:r w:rsidRPr="00113037">
          <w:rPr>
            <w:rFonts w:ascii="Arial TUR" w:hAnsi="Arial TUR" w:hint="eastAsia"/>
            <w:color w:val="0000FF"/>
            <w:u w:val="single"/>
            <w:rtl/>
            <w:lang w:eastAsia="he-IL"/>
          </w:rPr>
          <w:t>מדינת</w:t>
        </w:r>
        <w:r w:rsidRPr="00113037">
          <w:rPr>
            <w:rFonts w:ascii="Arial TUR" w:hAnsi="Arial TUR"/>
            <w:color w:val="0000FF"/>
            <w:u w:val="single"/>
            <w:rtl/>
            <w:lang w:eastAsia="he-IL"/>
          </w:rPr>
          <w:t xml:space="preserve"> </w:t>
        </w:r>
        <w:r w:rsidRPr="00113037">
          <w:rPr>
            <w:rFonts w:ascii="Arial TUR" w:hAnsi="Arial TUR" w:hint="eastAsia"/>
            <w:color w:val="0000FF"/>
            <w:u w:val="single"/>
            <w:rtl/>
            <w:lang w:eastAsia="he-IL"/>
          </w:rPr>
          <w:t>ישראל</w:t>
        </w:r>
        <w:r w:rsidRPr="00113037">
          <w:rPr>
            <w:rFonts w:ascii="Arial TUR" w:hAnsi="Arial TUR"/>
            <w:color w:val="0000FF"/>
            <w:u w:val="single"/>
            <w:rtl/>
            <w:lang w:eastAsia="he-IL"/>
          </w:rPr>
          <w:t xml:space="preserve">, </w:t>
        </w:r>
        <w:r w:rsidRPr="00113037">
          <w:rPr>
            <w:rFonts w:ascii="Arial TUR" w:hAnsi="Arial TUR" w:hint="eastAsia"/>
            <w:color w:val="0000FF"/>
            <w:u w:val="single"/>
            <w:rtl/>
            <w:lang w:eastAsia="he-IL"/>
          </w:rPr>
          <w:t>פ</w:t>
        </w:r>
        <w:r w:rsidRPr="00113037">
          <w:rPr>
            <w:rFonts w:ascii="Arial TUR" w:hAnsi="Arial TUR"/>
            <w:color w:val="0000FF"/>
            <w:u w:val="single"/>
            <w:rtl/>
            <w:lang w:eastAsia="he-IL"/>
          </w:rPr>
          <w:t>"</w:t>
        </w:r>
        <w:r w:rsidRPr="00113037">
          <w:rPr>
            <w:rFonts w:ascii="Arial TUR" w:hAnsi="Arial TUR" w:hint="eastAsia"/>
            <w:color w:val="0000FF"/>
            <w:u w:val="single"/>
            <w:rtl/>
            <w:lang w:eastAsia="he-IL"/>
          </w:rPr>
          <w:t>ד</w:t>
        </w:r>
        <w:r w:rsidRPr="00113037">
          <w:rPr>
            <w:rFonts w:ascii="Arial TUR" w:hAnsi="Arial TUR"/>
            <w:color w:val="0000FF"/>
            <w:u w:val="single"/>
            <w:rtl/>
            <w:lang w:eastAsia="he-IL"/>
          </w:rPr>
          <w:t xml:space="preserve"> </w:t>
        </w:r>
        <w:r w:rsidRPr="00113037">
          <w:rPr>
            <w:rFonts w:ascii="Arial TUR" w:hAnsi="Arial TUR" w:hint="eastAsia"/>
            <w:color w:val="0000FF"/>
            <w:u w:val="single"/>
            <w:rtl/>
            <w:lang w:eastAsia="he-IL"/>
          </w:rPr>
          <w:t>מ</w:t>
        </w:r>
        <w:r w:rsidRPr="00113037">
          <w:rPr>
            <w:rFonts w:ascii="Arial TUR" w:hAnsi="Arial TUR"/>
            <w:color w:val="0000FF"/>
            <w:u w:val="single"/>
            <w:rtl/>
            <w:lang w:eastAsia="he-IL"/>
          </w:rPr>
          <w:t>"</w:t>
        </w:r>
        <w:r w:rsidRPr="00113037">
          <w:rPr>
            <w:rFonts w:ascii="Arial TUR" w:hAnsi="Arial TUR" w:hint="eastAsia"/>
            <w:color w:val="0000FF"/>
            <w:u w:val="single"/>
            <w:rtl/>
            <w:lang w:eastAsia="he-IL"/>
          </w:rPr>
          <w:t>ג</w:t>
        </w:r>
      </w:hyperlink>
      <w:r>
        <w:rPr>
          <w:rFonts w:ascii="Arial TUR" w:hAnsi="Arial TUR"/>
          <w:color w:val="000000"/>
          <w:rtl/>
          <w:lang w:eastAsia="he-IL"/>
        </w:rPr>
        <w:t xml:space="preserve"> (4) 170, 174).</w:t>
      </w:r>
    </w:p>
    <w:p w14:paraId="2AE1F902" w14:textId="77777777" w:rsidR="000900D3" w:rsidRDefault="000900D3">
      <w:pPr>
        <w:overflowPunct w:val="0"/>
        <w:autoSpaceDE w:val="0"/>
        <w:autoSpaceDN w:val="0"/>
        <w:spacing w:line="360" w:lineRule="auto"/>
        <w:ind w:left="720"/>
        <w:jc w:val="both"/>
        <w:rPr>
          <w:rFonts w:ascii="Arial TUR" w:hAnsi="Arial TUR"/>
          <w:color w:val="000000"/>
          <w:rtl/>
          <w:lang w:eastAsia="he-IL"/>
        </w:rPr>
      </w:pPr>
    </w:p>
    <w:p w14:paraId="3A1A7A86" w14:textId="77777777" w:rsidR="000900D3" w:rsidRDefault="00113037">
      <w:pPr>
        <w:spacing w:line="360" w:lineRule="auto"/>
        <w:ind w:left="720" w:hanging="720"/>
        <w:jc w:val="both"/>
        <w:rPr>
          <w:rtl/>
        </w:rPr>
      </w:pPr>
      <w:r>
        <w:rPr>
          <w:rFonts w:hint="cs"/>
          <w:rtl/>
        </w:rPr>
        <w:t>56.</w:t>
      </w:r>
      <w:r>
        <w:rPr>
          <w:rFonts w:hint="cs"/>
          <w:rtl/>
        </w:rPr>
        <w:tab/>
      </w:r>
      <w:r>
        <w:rPr>
          <w:rtl/>
        </w:rPr>
        <w:t xml:space="preserve">בגזירת דינו של הנאשם יש להתחשב בשלל מרכיבים ושיקולים: ראשית, יש להתייחס לחומרת העבירה בכלל וחומרתה בנסיבות המקרה דנן בפרט, לנסיבות הנאשם לרבות עברו הפלילי וכן לשיקולי הענישה השונים שכוללים בין היתר, גמול, הרתעה ושיקום כאשר מעל כל אלו מצוי עקרון הענישה האינדיווידואלית. </w:t>
      </w:r>
    </w:p>
    <w:p w14:paraId="24DB3462" w14:textId="77777777" w:rsidR="000900D3" w:rsidRDefault="000900D3">
      <w:pPr>
        <w:spacing w:line="360" w:lineRule="auto"/>
        <w:ind w:left="720"/>
        <w:jc w:val="both"/>
        <w:rPr>
          <w:rtl/>
        </w:rPr>
      </w:pPr>
    </w:p>
    <w:p w14:paraId="087554F1" w14:textId="77777777" w:rsidR="000900D3" w:rsidRDefault="00113037">
      <w:pPr>
        <w:spacing w:line="360" w:lineRule="auto"/>
        <w:ind w:left="720" w:hanging="720"/>
        <w:jc w:val="both"/>
        <w:rPr>
          <w:b/>
          <w:bCs/>
          <w:rtl/>
        </w:rPr>
      </w:pPr>
      <w:r>
        <w:rPr>
          <w:rFonts w:hint="cs"/>
          <w:rtl/>
        </w:rPr>
        <w:t>57.</w:t>
      </w:r>
      <w:r>
        <w:rPr>
          <w:rFonts w:hint="cs"/>
          <w:rtl/>
        </w:rPr>
        <w:tab/>
      </w:r>
      <w:r>
        <w:rPr>
          <w:rtl/>
        </w:rPr>
        <w:t>פסיקתו של בית המשפט העליון</w:t>
      </w:r>
      <w:r>
        <w:rPr>
          <w:rFonts w:hint="cs"/>
          <w:rtl/>
        </w:rPr>
        <w:t>,</w:t>
      </w:r>
      <w:r>
        <w:rPr>
          <w:rtl/>
        </w:rPr>
        <w:t xml:space="preserve"> </w:t>
      </w:r>
      <w:r>
        <w:rPr>
          <w:rFonts w:hint="cs"/>
          <w:rtl/>
        </w:rPr>
        <w:t xml:space="preserve">קבעה בעבר </w:t>
      </w:r>
      <w:r>
        <w:rPr>
          <w:rtl/>
        </w:rPr>
        <w:t>מדרג ענישה בעבירות המבוצעות בנשק,</w:t>
      </w:r>
      <w:r>
        <w:rPr>
          <w:rFonts w:hint="cs"/>
          <w:rtl/>
        </w:rPr>
        <w:t xml:space="preserve"> מדרג הקובע כי מידת העונש מושפעת מ</w:t>
      </w:r>
      <w:r>
        <w:rPr>
          <w:rtl/>
        </w:rPr>
        <w:t>סוג</w:t>
      </w:r>
      <w:r>
        <w:rPr>
          <w:rFonts w:hint="cs"/>
          <w:rtl/>
        </w:rPr>
        <w:t xml:space="preserve"> הנשק, כמותו</w:t>
      </w:r>
      <w:r>
        <w:rPr>
          <w:rtl/>
        </w:rPr>
        <w:t xml:space="preserve"> </w:t>
      </w:r>
      <w:r>
        <w:rPr>
          <w:rFonts w:hint="cs"/>
          <w:rtl/>
        </w:rPr>
        <w:t>ו</w:t>
      </w:r>
      <w:r>
        <w:rPr>
          <w:rtl/>
        </w:rPr>
        <w:t>איכות</w:t>
      </w:r>
      <w:r>
        <w:rPr>
          <w:rFonts w:hint="cs"/>
          <w:rtl/>
        </w:rPr>
        <w:t>ו, וכן אורך</w:t>
      </w:r>
      <w:r>
        <w:rPr>
          <w:rtl/>
        </w:rPr>
        <w:t xml:space="preserve"> </w:t>
      </w:r>
      <w:r>
        <w:rPr>
          <w:rFonts w:hint="cs"/>
          <w:rtl/>
        </w:rPr>
        <w:t xml:space="preserve">תקופת ההחזקה הבלתי חוקית של הנשק </w:t>
      </w:r>
      <w:r>
        <w:rPr>
          <w:rtl/>
        </w:rPr>
        <w:t>–</w:t>
      </w:r>
      <w:r>
        <w:rPr>
          <w:rFonts w:hint="cs"/>
          <w:rtl/>
        </w:rPr>
        <w:t xml:space="preserve"> ראו לעניין זה</w:t>
      </w:r>
      <w:r>
        <w:rPr>
          <w:rtl/>
        </w:rPr>
        <w:t xml:space="preserve"> ע"פ </w:t>
      </w:r>
      <w:hyperlink r:id="rId24" w:history="1">
        <w:r w:rsidR="00F13677" w:rsidRPr="00F13677">
          <w:rPr>
            <w:color w:val="0000FF"/>
            <w:u w:val="single"/>
            <w:rtl/>
          </w:rPr>
          <w:t>1332/04</w:t>
        </w:r>
      </w:hyperlink>
      <w:r>
        <w:rPr>
          <w:rtl/>
        </w:rPr>
        <w:t xml:space="preserve"> </w:t>
      </w:r>
      <w:r>
        <w:rPr>
          <w:rFonts w:hint="cs"/>
          <w:b/>
          <w:bCs/>
          <w:rtl/>
        </w:rPr>
        <w:t>מדינת ישראל</w:t>
      </w:r>
      <w:r>
        <w:rPr>
          <w:b/>
          <w:bCs/>
          <w:rtl/>
        </w:rPr>
        <w:t xml:space="preserve"> נ' </w:t>
      </w:r>
      <w:r>
        <w:rPr>
          <w:rFonts w:hint="cs"/>
          <w:b/>
          <w:bCs/>
          <w:rtl/>
        </w:rPr>
        <w:t>פס</w:t>
      </w:r>
      <w:r>
        <w:rPr>
          <w:b/>
          <w:bCs/>
          <w:rtl/>
        </w:rPr>
        <w:t>,</w:t>
      </w:r>
      <w:r>
        <w:rPr>
          <w:rtl/>
        </w:rPr>
        <w:t xml:space="preserve"> פ"ד נח (5) 541, 544 (2004).</w:t>
      </w:r>
    </w:p>
    <w:p w14:paraId="18486404" w14:textId="77777777" w:rsidR="000900D3" w:rsidRDefault="000900D3">
      <w:pPr>
        <w:spacing w:line="360" w:lineRule="auto"/>
        <w:ind w:left="720"/>
        <w:jc w:val="both"/>
        <w:rPr>
          <w:rtl/>
        </w:rPr>
      </w:pPr>
    </w:p>
    <w:p w14:paraId="2C31A55A" w14:textId="77777777" w:rsidR="000900D3" w:rsidRDefault="00113037">
      <w:pPr>
        <w:spacing w:line="360" w:lineRule="auto"/>
        <w:ind w:left="720" w:hanging="720"/>
        <w:jc w:val="both"/>
        <w:rPr>
          <w:rtl/>
        </w:rPr>
      </w:pPr>
      <w:r>
        <w:rPr>
          <w:rFonts w:hint="cs"/>
          <w:rtl/>
        </w:rPr>
        <w:t>58.</w:t>
      </w:r>
      <w:r>
        <w:rPr>
          <w:rFonts w:hint="cs"/>
          <w:rtl/>
        </w:rPr>
        <w:tab/>
      </w:r>
      <w:r>
        <w:rPr>
          <w:rtl/>
        </w:rPr>
        <w:t xml:space="preserve">בענייננו, הנאשם הוביל ונשא רובה 16- </w:t>
      </w:r>
      <w:r>
        <w:t>M</w:t>
      </w:r>
      <w:r>
        <w:rPr>
          <w:rtl/>
        </w:rPr>
        <w:t xml:space="preserve"> ברכבו בעודו נוהג בלב עיר </w:t>
      </w:r>
      <w:r>
        <w:rPr>
          <w:rFonts w:hint="cs"/>
          <w:rtl/>
        </w:rPr>
        <w:t>ו</w:t>
      </w:r>
      <w:r>
        <w:rPr>
          <w:rtl/>
        </w:rPr>
        <w:t>כשאחיו הקטין עימו, מכאן שתכנן את מעשיו ו</w:t>
      </w:r>
      <w:r>
        <w:rPr>
          <w:rFonts w:hint="cs"/>
          <w:rtl/>
        </w:rPr>
        <w:t>אין</w:t>
      </w:r>
      <w:r>
        <w:rPr>
          <w:rtl/>
        </w:rPr>
        <w:t xml:space="preserve"> מדובר במעשה ספונטני. מדובר בנשק התקפי, המסוגל לירות ירי אוטומטי, שבכוחו לגרום להרג ללא הבחנה. פוטנציאל הסיכון הגלום בו אפוא גבוה, לא כל שכן משהוחזק לצד תחמושת מתאימה. </w:t>
      </w:r>
      <w:r>
        <w:rPr>
          <w:rFonts w:hint="cs"/>
          <w:rtl/>
        </w:rPr>
        <w:t xml:space="preserve"> </w:t>
      </w:r>
    </w:p>
    <w:p w14:paraId="07A13482" w14:textId="77777777" w:rsidR="000900D3" w:rsidRDefault="000900D3">
      <w:pPr>
        <w:spacing w:line="360" w:lineRule="auto"/>
        <w:ind w:left="720" w:hanging="720"/>
        <w:jc w:val="both"/>
        <w:rPr>
          <w:rtl/>
        </w:rPr>
      </w:pPr>
    </w:p>
    <w:p w14:paraId="4E68054A" w14:textId="77777777" w:rsidR="000900D3" w:rsidRDefault="00113037">
      <w:pPr>
        <w:spacing w:line="360" w:lineRule="auto"/>
        <w:ind w:left="720" w:hanging="720"/>
        <w:jc w:val="both"/>
        <w:rPr>
          <w:rtl/>
        </w:rPr>
      </w:pPr>
      <w:r>
        <w:rPr>
          <w:rFonts w:hint="cs"/>
          <w:rtl/>
        </w:rPr>
        <w:t>59.</w:t>
      </w:r>
      <w:r>
        <w:rPr>
          <w:rFonts w:hint="cs"/>
          <w:rtl/>
        </w:rPr>
        <w:tab/>
      </w:r>
      <w:r>
        <w:rPr>
          <w:rtl/>
        </w:rPr>
        <w:t>הנאשם עשה שימוש בנשק וירה בהגיעו לחורשה עשרות כדורים. משהבחין בשוטרים החל להימלט, ואף כיוון את הרובה לעבר אחד השוטרים בכוונה להפחידו. לצד זאת, יש לזכור כי בסופו של יום מעשי הנאשם לא גרמו נזק בפועל.</w:t>
      </w:r>
    </w:p>
    <w:p w14:paraId="079FCC37" w14:textId="77777777" w:rsidR="000900D3" w:rsidRDefault="000900D3">
      <w:pPr>
        <w:spacing w:line="360" w:lineRule="auto"/>
        <w:ind w:left="720" w:hanging="720"/>
        <w:jc w:val="both"/>
        <w:rPr>
          <w:rtl/>
        </w:rPr>
      </w:pPr>
    </w:p>
    <w:p w14:paraId="186A15C7" w14:textId="77777777" w:rsidR="000900D3" w:rsidRDefault="00113037">
      <w:pPr>
        <w:spacing w:line="360" w:lineRule="auto"/>
        <w:ind w:left="720" w:hanging="720"/>
        <w:jc w:val="both"/>
        <w:rPr>
          <w:rtl/>
        </w:rPr>
      </w:pPr>
      <w:r>
        <w:rPr>
          <w:rFonts w:hint="cs"/>
          <w:rtl/>
        </w:rPr>
        <w:t>60.</w:t>
      </w:r>
      <w:r>
        <w:rPr>
          <w:rFonts w:hint="cs"/>
          <w:rtl/>
        </w:rPr>
        <w:tab/>
      </w:r>
      <w:r>
        <w:rPr>
          <w:rtl/>
        </w:rPr>
        <w:t>בחינת מדיניות הענישה הנהוגה מעלה, כי במקרים דומים למקרה שבפנינו הוטלו על נאשמים שהחזיקו נשק ותחמושת עונשי מאסר בפועל מאחורי סורג ובריח לתקופות משתנות</w:t>
      </w:r>
      <w:r>
        <w:rPr>
          <w:rFonts w:hint="cs"/>
          <w:rtl/>
        </w:rPr>
        <w:t xml:space="preserve"> והפסיקה שלהלן תמחיש זאת.</w:t>
      </w:r>
    </w:p>
    <w:p w14:paraId="38D224D2" w14:textId="77777777" w:rsidR="000900D3" w:rsidRDefault="000900D3">
      <w:pPr>
        <w:spacing w:line="360" w:lineRule="auto"/>
        <w:ind w:left="720" w:hanging="720"/>
        <w:jc w:val="both"/>
        <w:rPr>
          <w:rtl/>
        </w:rPr>
      </w:pPr>
    </w:p>
    <w:p w14:paraId="70DB6899" w14:textId="77777777" w:rsidR="000900D3" w:rsidRDefault="00113037">
      <w:pPr>
        <w:overflowPunct w:val="0"/>
        <w:autoSpaceDE w:val="0"/>
        <w:autoSpaceDN w:val="0"/>
        <w:spacing w:line="360" w:lineRule="auto"/>
        <w:ind w:left="720" w:hanging="720"/>
        <w:jc w:val="both"/>
        <w:rPr>
          <w:rFonts w:ascii="Arial TUR" w:hAnsi="Arial TUR"/>
          <w:color w:val="000000"/>
          <w:rtl/>
          <w:lang w:eastAsia="he-IL"/>
        </w:rPr>
      </w:pPr>
      <w:r>
        <w:rPr>
          <w:rFonts w:ascii="Arial TUR" w:hAnsi="Arial TUR" w:hint="cs"/>
          <w:color w:val="000000"/>
          <w:rtl/>
          <w:lang w:eastAsia="he-IL"/>
        </w:rPr>
        <w:t>61.</w:t>
      </w:r>
      <w:r>
        <w:rPr>
          <w:rFonts w:ascii="Arial TUR" w:hAnsi="Arial TUR" w:hint="cs"/>
          <w:color w:val="000000"/>
          <w:rtl/>
          <w:lang w:eastAsia="he-IL"/>
        </w:rPr>
        <w:tab/>
        <w:t>בבואנו לקבוע את מתחם העונש ההולם ניתן להיעזר בפסיקה הנוהגת של בתי המשפט על ערכאותיהם השונות, שעיון בה מצביע על ענישה עם פערים שונים ולפעמים משמעותיים והדוגמאות הבאות ימחישו זאת.</w:t>
      </w:r>
    </w:p>
    <w:p w14:paraId="2C48AD65" w14:textId="77777777" w:rsidR="000900D3" w:rsidRDefault="000900D3">
      <w:pPr>
        <w:overflowPunct w:val="0"/>
        <w:autoSpaceDE w:val="0"/>
        <w:autoSpaceDN w:val="0"/>
        <w:spacing w:line="360" w:lineRule="auto"/>
        <w:ind w:left="720" w:hanging="720"/>
        <w:jc w:val="both"/>
        <w:rPr>
          <w:rFonts w:ascii="Arial TUR" w:hAnsi="Arial TUR"/>
          <w:color w:val="000000"/>
          <w:rtl/>
          <w:lang w:eastAsia="he-IL"/>
        </w:rPr>
      </w:pPr>
    </w:p>
    <w:p w14:paraId="7B30C03F" w14:textId="77777777" w:rsidR="000900D3" w:rsidRDefault="00113037">
      <w:pPr>
        <w:overflowPunct w:val="0"/>
        <w:autoSpaceDE w:val="0"/>
        <w:autoSpaceDN w:val="0"/>
        <w:spacing w:line="360" w:lineRule="auto"/>
        <w:ind w:left="720"/>
        <w:jc w:val="both"/>
        <w:rPr>
          <w:rFonts w:ascii="Arial TUR" w:hAnsi="Arial TUR"/>
          <w:color w:val="000000"/>
          <w:rtl/>
          <w:lang w:eastAsia="he-IL"/>
        </w:rPr>
      </w:pPr>
      <w:r>
        <w:rPr>
          <w:rFonts w:ascii="Arial TUR" w:hAnsi="Arial TUR"/>
          <w:color w:val="000000"/>
          <w:rtl/>
          <w:lang w:eastAsia="he-IL"/>
        </w:rPr>
        <w:t>ב</w:t>
      </w:r>
      <w:hyperlink r:id="rId25" w:history="1">
        <w:r w:rsidRPr="00113037">
          <w:rPr>
            <w:rFonts w:ascii="Arial TUR" w:hAnsi="Arial TUR" w:hint="eastAsia"/>
            <w:color w:val="0000FF"/>
            <w:u w:val="single"/>
            <w:rtl/>
            <w:lang w:eastAsia="he-IL"/>
          </w:rPr>
          <w:t>ע</w:t>
        </w:r>
        <w:r w:rsidRPr="00113037">
          <w:rPr>
            <w:rFonts w:ascii="Arial TUR" w:hAnsi="Arial TUR"/>
            <w:color w:val="0000FF"/>
            <w:u w:val="single"/>
            <w:rtl/>
            <w:lang w:eastAsia="he-IL"/>
          </w:rPr>
          <w:t>"</w:t>
        </w:r>
        <w:r w:rsidRPr="00113037">
          <w:rPr>
            <w:rFonts w:ascii="Arial TUR" w:hAnsi="Arial TUR" w:hint="eastAsia"/>
            <w:color w:val="0000FF"/>
            <w:u w:val="single"/>
            <w:rtl/>
            <w:lang w:eastAsia="he-IL"/>
          </w:rPr>
          <w:t>פ</w:t>
        </w:r>
        <w:r w:rsidRPr="00113037">
          <w:rPr>
            <w:rFonts w:ascii="Arial TUR" w:hAnsi="Arial TUR"/>
            <w:color w:val="0000FF"/>
            <w:u w:val="single"/>
            <w:rtl/>
            <w:lang w:eastAsia="he-IL"/>
          </w:rPr>
          <w:t xml:space="preserve"> 5220/09</w:t>
        </w:r>
      </w:hyperlink>
      <w:r>
        <w:rPr>
          <w:rFonts w:ascii="Arial TUR" w:hAnsi="Arial TUR"/>
          <w:color w:val="000000"/>
          <w:rtl/>
          <w:lang w:eastAsia="he-IL"/>
        </w:rPr>
        <w:t xml:space="preserve"> </w:t>
      </w:r>
      <w:r>
        <w:rPr>
          <w:rFonts w:ascii="Arial TUR" w:hAnsi="Arial TUR"/>
          <w:b/>
          <w:bCs/>
          <w:color w:val="000000"/>
          <w:rtl/>
          <w:lang w:eastAsia="he-IL"/>
        </w:rPr>
        <w:t>עוואודה נגד מדינת ישראל</w:t>
      </w:r>
      <w:r>
        <w:rPr>
          <w:rFonts w:ascii="Arial TUR" w:hAnsi="Arial TUR"/>
          <w:color w:val="000000"/>
          <w:rtl/>
          <w:lang w:eastAsia="he-IL"/>
        </w:rPr>
        <w:t xml:space="preserve"> (ניתן ביום 30.12.09), שם הורשע הנאשם בהחזקת נשק ותחמושת ללא רישיון. </w:t>
      </w:r>
    </w:p>
    <w:p w14:paraId="184C38CF" w14:textId="77777777" w:rsidR="000900D3" w:rsidRDefault="00113037">
      <w:pPr>
        <w:overflowPunct w:val="0"/>
        <w:autoSpaceDE w:val="0"/>
        <w:autoSpaceDN w:val="0"/>
        <w:spacing w:line="360" w:lineRule="auto"/>
        <w:ind w:left="720"/>
        <w:jc w:val="both"/>
        <w:rPr>
          <w:rFonts w:ascii="Arial TUR" w:hAnsi="Arial TUR"/>
          <w:color w:val="000000"/>
          <w:rtl/>
          <w:lang w:eastAsia="he-IL"/>
        </w:rPr>
      </w:pPr>
      <w:r>
        <w:rPr>
          <w:rFonts w:ascii="Arial TUR" w:hAnsi="Arial TUR"/>
          <w:color w:val="000000"/>
          <w:rtl/>
          <w:lang w:eastAsia="he-IL"/>
        </w:rPr>
        <w:t xml:space="preserve">בית המשפט המחוזי התחשב </w:t>
      </w:r>
      <w:r>
        <w:rPr>
          <w:rFonts w:ascii="Arial TUR" w:hAnsi="Arial TUR"/>
          <w:color w:val="000000"/>
          <w:spacing w:val="10"/>
          <w:rtl/>
          <w:lang w:eastAsia="he-IL"/>
        </w:rPr>
        <w:t>לקולה בעברו הנקי של הנאשם ואורח החיים הנורמטיבי, היעדר עבירות נוספות לצד החזקת הנשק, וכן הודאתו, חרטתו ונטילת אחריות והט</w:t>
      </w:r>
      <w:r>
        <w:rPr>
          <w:rFonts w:ascii="Arial TUR" w:hAnsi="Arial TUR"/>
          <w:color w:val="000000"/>
          <w:rtl/>
          <w:lang w:eastAsia="he-IL"/>
        </w:rPr>
        <w:t xml:space="preserve">יל עליו 6 חודשי מאסר בפועל, 9 חודשי מאסר על תנאי וקנס. </w:t>
      </w:r>
    </w:p>
    <w:p w14:paraId="3F2C23DB" w14:textId="77777777" w:rsidR="000900D3" w:rsidRDefault="000900D3">
      <w:pPr>
        <w:overflowPunct w:val="0"/>
        <w:autoSpaceDE w:val="0"/>
        <w:autoSpaceDN w:val="0"/>
        <w:spacing w:line="360" w:lineRule="auto"/>
        <w:ind w:left="720"/>
        <w:jc w:val="both"/>
        <w:rPr>
          <w:rFonts w:ascii="Arial TUR" w:hAnsi="Arial TUR"/>
          <w:color w:val="000000"/>
          <w:rtl/>
          <w:lang w:eastAsia="he-IL"/>
        </w:rPr>
      </w:pPr>
    </w:p>
    <w:p w14:paraId="1B686D6A" w14:textId="77777777" w:rsidR="000900D3" w:rsidRDefault="00113037">
      <w:pPr>
        <w:overflowPunct w:val="0"/>
        <w:autoSpaceDE w:val="0"/>
        <w:autoSpaceDN w:val="0"/>
        <w:spacing w:line="360" w:lineRule="auto"/>
        <w:ind w:left="720"/>
        <w:jc w:val="both"/>
        <w:rPr>
          <w:rFonts w:ascii="Arial TUR" w:hAnsi="Arial TUR"/>
          <w:color w:val="000000"/>
          <w:rtl/>
          <w:lang w:eastAsia="he-IL"/>
        </w:rPr>
      </w:pPr>
      <w:r>
        <w:rPr>
          <w:rFonts w:ascii="Arial TUR" w:hAnsi="Arial TUR"/>
          <w:color w:val="000000"/>
          <w:rtl/>
          <w:lang w:eastAsia="he-IL"/>
        </w:rPr>
        <w:t xml:space="preserve">בית המשפט העליון לא התערב בגזר הדין והשאיר את העונש על כנו. </w:t>
      </w:r>
    </w:p>
    <w:p w14:paraId="103A41B8" w14:textId="77777777" w:rsidR="000900D3" w:rsidRDefault="000900D3">
      <w:pPr>
        <w:spacing w:line="360" w:lineRule="auto"/>
        <w:ind w:left="720" w:hanging="720"/>
        <w:jc w:val="both"/>
        <w:rPr>
          <w:rtl/>
        </w:rPr>
      </w:pPr>
    </w:p>
    <w:p w14:paraId="25F7EAE4" w14:textId="77777777" w:rsidR="000900D3" w:rsidRDefault="00113037">
      <w:pPr>
        <w:spacing w:line="360" w:lineRule="auto"/>
        <w:ind w:left="720" w:hanging="720"/>
        <w:contextualSpacing/>
        <w:jc w:val="both"/>
        <w:rPr>
          <w:sz w:val="22"/>
          <w:rtl/>
          <w:lang w:eastAsia="he-IL"/>
        </w:rPr>
      </w:pPr>
      <w:r>
        <w:rPr>
          <w:rFonts w:hint="cs"/>
          <w:sz w:val="22"/>
          <w:rtl/>
          <w:lang w:eastAsia="he-IL"/>
        </w:rPr>
        <w:t>62.</w:t>
      </w:r>
      <w:r>
        <w:rPr>
          <w:rFonts w:hint="cs"/>
          <w:sz w:val="22"/>
          <w:rtl/>
          <w:lang w:eastAsia="he-IL"/>
        </w:rPr>
        <w:tab/>
      </w:r>
      <w:r>
        <w:rPr>
          <w:sz w:val="22"/>
          <w:rtl/>
          <w:lang w:eastAsia="he-IL"/>
        </w:rPr>
        <w:t>ב</w:t>
      </w:r>
      <w:hyperlink r:id="rId26" w:history="1">
        <w:r w:rsidRPr="00113037">
          <w:rPr>
            <w:color w:val="0000FF"/>
            <w:sz w:val="22"/>
            <w:u w:val="single"/>
            <w:rtl/>
            <w:lang w:eastAsia="he-IL"/>
          </w:rPr>
          <w:t>ע"פ 5681/14</w:t>
        </w:r>
      </w:hyperlink>
      <w:r>
        <w:rPr>
          <w:sz w:val="22"/>
          <w:rtl/>
          <w:lang w:eastAsia="he-IL"/>
        </w:rPr>
        <w:t xml:space="preserve"> </w:t>
      </w:r>
      <w:r>
        <w:rPr>
          <w:b/>
          <w:bCs/>
          <w:sz w:val="22"/>
          <w:rtl/>
          <w:lang w:eastAsia="he-IL"/>
        </w:rPr>
        <w:t>מדינת ישראל נ' מוחמד טאטור</w:t>
      </w:r>
      <w:r>
        <w:rPr>
          <w:sz w:val="22"/>
          <w:rtl/>
          <w:lang w:eastAsia="he-IL"/>
        </w:rPr>
        <w:t xml:space="preserve"> (ניתן ביום 01.02.15)</w:t>
      </w:r>
      <w:r>
        <w:rPr>
          <w:rFonts w:hint="cs"/>
          <w:sz w:val="22"/>
          <w:rtl/>
          <w:lang w:eastAsia="he-IL"/>
        </w:rPr>
        <w:t xml:space="preserve"> </w:t>
      </w:r>
      <w:r>
        <w:rPr>
          <w:sz w:val="22"/>
          <w:rtl/>
          <w:lang w:eastAsia="he-IL"/>
        </w:rPr>
        <w:t xml:space="preserve"> - החמיר בית המשפט העליון בעונשו של נאשם שהורשע בעבירות נשק (רכישה והחזקה) (נשיאה והובלה) ועבירה של הפרעה לשוטר בשעת מילוי תפקידו, והעמידו על 8 חודשי מאסר בפועל. </w:t>
      </w:r>
    </w:p>
    <w:p w14:paraId="32FAE566" w14:textId="77777777" w:rsidR="000900D3" w:rsidRDefault="000900D3">
      <w:pPr>
        <w:spacing w:line="360" w:lineRule="auto"/>
        <w:ind w:left="720"/>
        <w:contextualSpacing/>
        <w:jc w:val="both"/>
        <w:rPr>
          <w:sz w:val="22"/>
          <w:lang w:eastAsia="he-IL"/>
        </w:rPr>
      </w:pPr>
    </w:p>
    <w:p w14:paraId="5E3F5936" w14:textId="77777777" w:rsidR="000900D3" w:rsidRDefault="00113037">
      <w:pPr>
        <w:spacing w:line="360" w:lineRule="auto"/>
        <w:ind w:left="720" w:hanging="720"/>
        <w:contextualSpacing/>
        <w:jc w:val="both"/>
        <w:rPr>
          <w:sz w:val="22"/>
          <w:rtl/>
          <w:lang w:eastAsia="he-IL"/>
        </w:rPr>
      </w:pPr>
      <w:r>
        <w:rPr>
          <w:rFonts w:hint="cs"/>
          <w:sz w:val="22"/>
          <w:rtl/>
          <w:lang w:eastAsia="he-IL"/>
        </w:rPr>
        <w:t>63.</w:t>
      </w:r>
      <w:r>
        <w:rPr>
          <w:rFonts w:hint="cs"/>
          <w:sz w:val="22"/>
          <w:rtl/>
          <w:lang w:eastAsia="he-IL"/>
        </w:rPr>
        <w:tab/>
      </w:r>
      <w:r>
        <w:rPr>
          <w:sz w:val="22"/>
          <w:rtl/>
          <w:lang w:eastAsia="he-IL"/>
        </w:rPr>
        <w:t>ב</w:t>
      </w:r>
      <w:hyperlink r:id="rId27" w:history="1">
        <w:r w:rsidRPr="00113037">
          <w:rPr>
            <w:color w:val="0000FF"/>
            <w:sz w:val="22"/>
            <w:u w:val="single"/>
            <w:rtl/>
            <w:lang w:eastAsia="he-IL"/>
          </w:rPr>
          <w:t>ת"פ (מחוזי נצ') 35007-04-13</w:t>
        </w:r>
      </w:hyperlink>
      <w:r>
        <w:rPr>
          <w:color w:val="0000FF"/>
          <w:sz w:val="22"/>
          <w:rtl/>
          <w:lang w:eastAsia="he-IL"/>
        </w:rPr>
        <w:t xml:space="preserve"> </w:t>
      </w:r>
      <w:r>
        <w:rPr>
          <w:b/>
          <w:bCs/>
          <w:sz w:val="22"/>
          <w:rtl/>
          <w:lang w:eastAsia="he-IL"/>
        </w:rPr>
        <w:t>מדינת ישראל נ' איסלאם עזאיזה</w:t>
      </w:r>
      <w:r>
        <w:rPr>
          <w:sz w:val="22"/>
          <w:rtl/>
          <w:lang w:eastAsia="he-IL"/>
        </w:rPr>
        <w:t xml:space="preserve"> (ניתן ביום 08.01.15) – נגזרו על נאשם שהורשע בעבירה של נשיאת והחזקת נשק, עונש של מאסר בפועל למשך 9 חודשים. עוד קבע בית המשפט, כי מתחם העונש ההולם נע בין 7 חודשי מאסר בפועל לבין 30 חודשי מאסר בפועל בצירוף עונשים נלווים.  </w:t>
      </w:r>
    </w:p>
    <w:p w14:paraId="3F4E60AE" w14:textId="77777777" w:rsidR="000900D3" w:rsidRDefault="000900D3">
      <w:pPr>
        <w:spacing w:line="360" w:lineRule="auto"/>
        <w:ind w:left="720"/>
        <w:contextualSpacing/>
        <w:jc w:val="both"/>
        <w:rPr>
          <w:sz w:val="22"/>
          <w:rtl/>
          <w:lang w:eastAsia="he-IL"/>
        </w:rPr>
      </w:pPr>
    </w:p>
    <w:p w14:paraId="3CDFDAEA" w14:textId="77777777" w:rsidR="000900D3" w:rsidRDefault="00113037">
      <w:pPr>
        <w:spacing w:line="360" w:lineRule="auto"/>
        <w:ind w:left="720" w:hanging="720"/>
        <w:contextualSpacing/>
        <w:jc w:val="both"/>
        <w:rPr>
          <w:sz w:val="22"/>
          <w:rtl/>
          <w:lang w:eastAsia="he-IL"/>
        </w:rPr>
      </w:pPr>
      <w:r>
        <w:rPr>
          <w:rFonts w:hint="cs"/>
          <w:sz w:val="22"/>
          <w:rtl/>
          <w:lang w:eastAsia="he-IL"/>
        </w:rPr>
        <w:t>64.</w:t>
      </w:r>
      <w:r>
        <w:rPr>
          <w:rFonts w:hint="cs"/>
          <w:sz w:val="22"/>
          <w:rtl/>
          <w:lang w:eastAsia="he-IL"/>
        </w:rPr>
        <w:tab/>
      </w:r>
      <w:r>
        <w:rPr>
          <w:sz w:val="22"/>
          <w:rtl/>
          <w:lang w:eastAsia="he-IL"/>
        </w:rPr>
        <w:t>ב</w:t>
      </w:r>
      <w:hyperlink r:id="rId28" w:history="1">
        <w:r w:rsidRPr="00113037">
          <w:rPr>
            <w:color w:val="0000FF"/>
            <w:sz w:val="22"/>
            <w:u w:val="single"/>
            <w:rtl/>
            <w:lang w:eastAsia="he-IL"/>
          </w:rPr>
          <w:t>ע"פ (מרכז) 39796-06-12</w:t>
        </w:r>
      </w:hyperlink>
      <w:r>
        <w:rPr>
          <w:sz w:val="22"/>
          <w:rtl/>
          <w:lang w:eastAsia="he-IL"/>
        </w:rPr>
        <w:t xml:space="preserve"> </w:t>
      </w:r>
      <w:r>
        <w:rPr>
          <w:b/>
          <w:bCs/>
          <w:sz w:val="22"/>
          <w:rtl/>
          <w:lang w:eastAsia="he-IL"/>
        </w:rPr>
        <w:t>עלא חטיב נ' מדינת ישראל</w:t>
      </w:r>
      <w:r>
        <w:rPr>
          <w:sz w:val="22"/>
          <w:rtl/>
          <w:lang w:eastAsia="he-IL"/>
        </w:rPr>
        <w:t xml:space="preserve"> (ניתן ביום 20.03.13) -  דחה בית המשפט המחוזי את ערעורו של המערער על חומרת העונש שנגזר עליו. המערער הורשע בבית משפט השלום לאחר ניהול הוכחות בעבירה של החזקת נשק וחלק מנשק שלא כדין לפי </w:t>
      </w:r>
      <w:hyperlink r:id="rId29" w:history="1">
        <w:r w:rsidR="007E4AD7" w:rsidRPr="007E4AD7">
          <w:rPr>
            <w:color w:val="0000FF"/>
            <w:sz w:val="22"/>
            <w:u w:val="single"/>
            <w:rtl/>
            <w:lang w:eastAsia="he-IL"/>
          </w:rPr>
          <w:t>סעיף 144(א)</w:t>
        </w:r>
      </w:hyperlink>
      <w:r>
        <w:rPr>
          <w:sz w:val="22"/>
          <w:rtl/>
          <w:lang w:eastAsia="he-IL"/>
        </w:rPr>
        <w:t xml:space="preserve"> ל</w:t>
      </w:r>
      <w:hyperlink r:id="rId30" w:history="1">
        <w:r w:rsidRPr="00113037">
          <w:rPr>
            <w:color w:val="0000FF"/>
            <w:sz w:val="22"/>
            <w:u w:val="single"/>
            <w:rtl/>
            <w:lang w:eastAsia="he-IL"/>
          </w:rPr>
          <w:t>חוק העונשין</w:t>
        </w:r>
      </w:hyperlink>
      <w:r>
        <w:rPr>
          <w:sz w:val="22"/>
          <w:rtl/>
          <w:lang w:eastAsia="he-IL"/>
        </w:rPr>
        <w:t>. בהכרעת הדין נקבע, כי המערער הסתיר מחוץ לחצר ביתו שקית ובתוכה שני כיסויי משען ראש לרכב, שבתוכה היו מונחים אקדח ובו מחסנית עם כדורים. בנוסף החזיק כדורים ברכבו. המערער נדון ל-</w:t>
      </w:r>
      <w:r>
        <w:rPr>
          <w:rFonts w:hint="cs"/>
          <w:sz w:val="22"/>
          <w:rtl/>
          <w:lang w:eastAsia="he-IL"/>
        </w:rPr>
        <w:t xml:space="preserve"> </w:t>
      </w:r>
      <w:r>
        <w:rPr>
          <w:sz w:val="22"/>
          <w:rtl/>
          <w:lang w:eastAsia="he-IL"/>
        </w:rPr>
        <w:t xml:space="preserve">12 חודשי מאסר בפועל, לשישה חודשי מאסר על תנאי ולקנס בסך 7,500 ₪. בעברו של הנאשם הרשעה בעבירה של תקיפת בת זוג ועבירה של תקיפה הגורמת חבלה של ממש, שעליהן נדון לעונש מאסר על תנאי. </w:t>
      </w:r>
    </w:p>
    <w:p w14:paraId="72DE0577" w14:textId="77777777" w:rsidR="000900D3" w:rsidRDefault="000900D3">
      <w:pPr>
        <w:spacing w:line="360" w:lineRule="auto"/>
        <w:ind w:left="720" w:hanging="720"/>
        <w:contextualSpacing/>
        <w:jc w:val="both"/>
        <w:rPr>
          <w:sz w:val="22"/>
          <w:rtl/>
          <w:lang w:eastAsia="he-IL"/>
        </w:rPr>
      </w:pPr>
    </w:p>
    <w:p w14:paraId="4A84AADA" w14:textId="77777777" w:rsidR="000900D3" w:rsidRDefault="00113037">
      <w:pPr>
        <w:spacing w:line="360" w:lineRule="auto"/>
        <w:ind w:left="720" w:hanging="720"/>
        <w:contextualSpacing/>
        <w:jc w:val="both"/>
        <w:rPr>
          <w:sz w:val="22"/>
          <w:lang w:eastAsia="he-IL"/>
        </w:rPr>
      </w:pPr>
      <w:r>
        <w:rPr>
          <w:rFonts w:hint="cs"/>
          <w:sz w:val="22"/>
          <w:rtl/>
          <w:lang w:eastAsia="he-IL"/>
        </w:rPr>
        <w:t>65.</w:t>
      </w:r>
      <w:r>
        <w:rPr>
          <w:rFonts w:hint="cs"/>
          <w:sz w:val="22"/>
          <w:rtl/>
          <w:lang w:eastAsia="he-IL"/>
        </w:rPr>
        <w:tab/>
      </w:r>
      <w:r>
        <w:rPr>
          <w:sz w:val="22"/>
          <w:rtl/>
          <w:lang w:eastAsia="he-IL"/>
        </w:rPr>
        <w:t>ב</w:t>
      </w:r>
      <w:hyperlink r:id="rId31" w:history="1">
        <w:r w:rsidRPr="00113037">
          <w:rPr>
            <w:color w:val="0000FF"/>
            <w:sz w:val="22"/>
            <w:u w:val="single"/>
            <w:rtl/>
            <w:lang w:eastAsia="he-IL"/>
          </w:rPr>
          <w:t>ע"פ 7241/12</w:t>
        </w:r>
      </w:hyperlink>
      <w:r>
        <w:rPr>
          <w:sz w:val="22"/>
          <w:rtl/>
          <w:lang w:eastAsia="he-IL"/>
        </w:rPr>
        <w:t xml:space="preserve"> </w:t>
      </w:r>
      <w:r>
        <w:rPr>
          <w:b/>
          <w:bCs/>
          <w:sz w:val="22"/>
          <w:rtl/>
          <w:lang w:eastAsia="he-IL"/>
        </w:rPr>
        <w:t>עמאר טאטור נ' מדינת ישראל</w:t>
      </w:r>
      <w:r>
        <w:rPr>
          <w:sz w:val="22"/>
          <w:rtl/>
          <w:lang w:eastAsia="he-IL"/>
        </w:rPr>
        <w:t xml:space="preserve"> (ניתן ביום 12.02.13)</w:t>
      </w:r>
      <w:r>
        <w:rPr>
          <w:rFonts w:hint="cs"/>
          <w:sz w:val="22"/>
          <w:rtl/>
          <w:lang w:eastAsia="he-IL"/>
        </w:rPr>
        <w:t xml:space="preserve"> </w:t>
      </w:r>
      <w:r>
        <w:rPr>
          <w:sz w:val="22"/>
          <w:rtl/>
          <w:lang w:eastAsia="he-IL"/>
        </w:rPr>
        <w:t>– נדחה ערעורו של נאשם שנדון (לאחר הסדר טיעון – עם טווח ענישה מוסכם) ל</w:t>
      </w:r>
      <w:r>
        <w:rPr>
          <w:rFonts w:hint="cs"/>
          <w:sz w:val="22"/>
          <w:rtl/>
          <w:lang w:eastAsia="he-IL"/>
        </w:rPr>
        <w:t xml:space="preserve"> </w:t>
      </w:r>
      <w:r>
        <w:rPr>
          <w:sz w:val="22"/>
          <w:rtl/>
          <w:lang w:eastAsia="he-IL"/>
        </w:rPr>
        <w:t>-</w:t>
      </w:r>
      <w:r>
        <w:rPr>
          <w:rFonts w:hint="cs"/>
          <w:sz w:val="22"/>
          <w:rtl/>
          <w:lang w:eastAsia="he-IL"/>
        </w:rPr>
        <w:t xml:space="preserve"> </w:t>
      </w:r>
      <w:r>
        <w:rPr>
          <w:sz w:val="22"/>
          <w:rtl/>
          <w:lang w:eastAsia="he-IL"/>
        </w:rPr>
        <w:t xml:space="preserve">9 חודשי מאסר בפועל בגין החזקת נשק שנמשכה מספר חודשים, מבלי </w:t>
      </w:r>
      <w:r>
        <w:rPr>
          <w:rFonts w:hint="cs"/>
          <w:sz w:val="22"/>
          <w:rtl/>
          <w:lang w:eastAsia="he-IL"/>
        </w:rPr>
        <w:t>שי</w:t>
      </w:r>
      <w:r>
        <w:rPr>
          <w:sz w:val="22"/>
          <w:rtl/>
          <w:lang w:eastAsia="he-IL"/>
        </w:rPr>
        <w:t xml:space="preserve">עשה שימוש בנשק. </w:t>
      </w:r>
    </w:p>
    <w:p w14:paraId="5E9B5A84" w14:textId="77777777" w:rsidR="000900D3" w:rsidRDefault="000900D3">
      <w:pPr>
        <w:spacing w:line="360" w:lineRule="auto"/>
        <w:ind w:left="720"/>
        <w:contextualSpacing/>
        <w:jc w:val="both"/>
        <w:rPr>
          <w:sz w:val="22"/>
          <w:rtl/>
          <w:lang w:eastAsia="he-IL"/>
        </w:rPr>
      </w:pPr>
    </w:p>
    <w:p w14:paraId="08EC5452" w14:textId="77777777" w:rsidR="000900D3" w:rsidRDefault="00113037">
      <w:pPr>
        <w:spacing w:line="360" w:lineRule="auto"/>
        <w:ind w:left="720" w:hanging="720"/>
        <w:contextualSpacing/>
        <w:jc w:val="both"/>
        <w:rPr>
          <w:sz w:val="22"/>
          <w:lang w:eastAsia="he-IL"/>
        </w:rPr>
      </w:pPr>
      <w:r>
        <w:rPr>
          <w:rFonts w:hint="cs"/>
          <w:sz w:val="22"/>
          <w:rtl/>
          <w:lang w:eastAsia="he-IL"/>
        </w:rPr>
        <w:t>66.</w:t>
      </w:r>
      <w:r>
        <w:rPr>
          <w:rFonts w:hint="cs"/>
          <w:sz w:val="22"/>
          <w:rtl/>
          <w:lang w:eastAsia="he-IL"/>
        </w:rPr>
        <w:tab/>
      </w:r>
      <w:hyperlink r:id="rId32" w:history="1">
        <w:r w:rsidRPr="00113037">
          <w:rPr>
            <w:color w:val="0000FF"/>
            <w:sz w:val="22"/>
            <w:u w:val="single"/>
            <w:rtl/>
            <w:lang w:eastAsia="he-IL"/>
          </w:rPr>
          <w:t>ע"פ (חי') 6059-02-12</w:t>
        </w:r>
      </w:hyperlink>
      <w:r>
        <w:rPr>
          <w:sz w:val="22"/>
          <w:rtl/>
          <w:lang w:eastAsia="he-IL"/>
        </w:rPr>
        <w:t xml:space="preserve"> </w:t>
      </w:r>
      <w:r>
        <w:rPr>
          <w:b/>
          <w:bCs/>
          <w:sz w:val="22"/>
          <w:rtl/>
          <w:lang w:eastAsia="he-IL"/>
        </w:rPr>
        <w:t>מדינת ישראל נ' גהגאה</w:t>
      </w:r>
      <w:r>
        <w:rPr>
          <w:sz w:val="22"/>
          <w:rtl/>
          <w:lang w:eastAsia="he-IL"/>
        </w:rPr>
        <w:t xml:space="preserve"> (ניתן ביום 19.04.12)</w:t>
      </w:r>
      <w:r>
        <w:rPr>
          <w:rFonts w:hint="cs"/>
          <w:sz w:val="22"/>
          <w:rtl/>
          <w:lang w:eastAsia="he-IL"/>
        </w:rPr>
        <w:t xml:space="preserve"> </w:t>
      </w:r>
      <w:r>
        <w:rPr>
          <w:sz w:val="22"/>
          <w:rtl/>
          <w:lang w:eastAsia="he-IL"/>
        </w:rPr>
        <w:t xml:space="preserve">– התקבל ערעורה של המדינה באופן חלקי על קולת עונשו של נאשם שהודה בביצוע עבירה של החזקת נשק שלא כדין והועמד על 9 חודשי מאסר בפועל בצירוף ענישה נלווית. </w:t>
      </w:r>
    </w:p>
    <w:p w14:paraId="6D6B8383" w14:textId="77777777" w:rsidR="000900D3" w:rsidRDefault="000900D3">
      <w:pPr>
        <w:spacing w:line="360" w:lineRule="auto"/>
        <w:ind w:left="720"/>
        <w:contextualSpacing/>
        <w:jc w:val="both"/>
        <w:rPr>
          <w:sz w:val="22"/>
          <w:rtl/>
          <w:lang w:eastAsia="he-IL"/>
        </w:rPr>
      </w:pPr>
    </w:p>
    <w:p w14:paraId="50A11B7F" w14:textId="77777777" w:rsidR="000900D3" w:rsidRDefault="00113037">
      <w:pPr>
        <w:spacing w:line="360" w:lineRule="auto"/>
        <w:ind w:left="720" w:hanging="720"/>
        <w:contextualSpacing/>
        <w:jc w:val="both"/>
        <w:rPr>
          <w:sz w:val="22"/>
          <w:rtl/>
          <w:lang w:eastAsia="he-IL"/>
        </w:rPr>
      </w:pPr>
      <w:r>
        <w:rPr>
          <w:rFonts w:hint="cs"/>
          <w:sz w:val="22"/>
          <w:rtl/>
          <w:lang w:eastAsia="he-IL"/>
        </w:rPr>
        <w:t>67.</w:t>
      </w:r>
      <w:r>
        <w:rPr>
          <w:rFonts w:hint="cs"/>
          <w:sz w:val="22"/>
          <w:rtl/>
          <w:lang w:eastAsia="he-IL"/>
        </w:rPr>
        <w:tab/>
      </w:r>
      <w:r>
        <w:rPr>
          <w:sz w:val="22"/>
          <w:rtl/>
          <w:lang w:eastAsia="he-IL"/>
        </w:rPr>
        <w:t>ב</w:t>
      </w:r>
      <w:hyperlink r:id="rId33" w:history="1">
        <w:r w:rsidRPr="00113037">
          <w:rPr>
            <w:color w:val="0000FF"/>
            <w:sz w:val="22"/>
            <w:u w:val="single"/>
            <w:rtl/>
            <w:lang w:eastAsia="he-IL"/>
          </w:rPr>
          <w:t>ע"פ 5604/11</w:t>
        </w:r>
      </w:hyperlink>
      <w:r>
        <w:rPr>
          <w:sz w:val="22"/>
          <w:rtl/>
          <w:lang w:eastAsia="he-IL"/>
        </w:rPr>
        <w:t xml:space="preserve"> </w:t>
      </w:r>
      <w:r>
        <w:rPr>
          <w:b/>
          <w:bCs/>
          <w:sz w:val="22"/>
          <w:rtl/>
          <w:lang w:eastAsia="he-IL"/>
        </w:rPr>
        <w:t>נאסר נ' מדינת ישראל</w:t>
      </w:r>
      <w:r>
        <w:rPr>
          <w:sz w:val="22"/>
          <w:rtl/>
          <w:lang w:eastAsia="he-IL"/>
        </w:rPr>
        <w:t xml:space="preserve"> (ניתן ביום 19.09.11)</w:t>
      </w:r>
      <w:r>
        <w:rPr>
          <w:rFonts w:hint="cs"/>
          <w:sz w:val="22"/>
          <w:rtl/>
          <w:lang w:eastAsia="he-IL"/>
        </w:rPr>
        <w:t xml:space="preserve"> </w:t>
      </w:r>
      <w:r>
        <w:rPr>
          <w:sz w:val="22"/>
          <w:rtl/>
          <w:lang w:eastAsia="he-IL"/>
        </w:rPr>
        <w:t xml:space="preserve">- אישר בית המשפט העליון עונש מאסר בן 12 חודשים ועונשים נלווים לנאשם בעל עבר פלילי שאינו מכביד ואשר חלקו אף התיישן, אשר הורשע בעבירות בנשק </w:t>
      </w:r>
      <w:r>
        <w:rPr>
          <w:rFonts w:hint="cs"/>
          <w:sz w:val="22"/>
          <w:rtl/>
          <w:lang w:eastAsia="he-IL"/>
        </w:rPr>
        <w:t xml:space="preserve">- </w:t>
      </w:r>
      <w:r>
        <w:rPr>
          <w:sz w:val="22"/>
          <w:rtl/>
          <w:lang w:eastAsia="he-IL"/>
        </w:rPr>
        <w:t>(החזקת נשק ותחמושת)</w:t>
      </w:r>
      <w:r>
        <w:rPr>
          <w:rFonts w:hint="cs"/>
          <w:sz w:val="22"/>
          <w:rtl/>
          <w:lang w:eastAsia="he-IL"/>
        </w:rPr>
        <w:t>,</w:t>
      </w:r>
      <w:r>
        <w:rPr>
          <w:sz w:val="22"/>
          <w:rtl/>
          <w:lang w:eastAsia="he-IL"/>
        </w:rPr>
        <w:t xml:space="preserve"> לאחר שבביתו נתפסו אקדח ומחסנית לאקדח ובה שמונה כדורים, תוך שהוא דוחה את ההבחנה בה ביקש סנגורו של המערער להתמקד, </w:t>
      </w:r>
      <w:r>
        <w:rPr>
          <w:rFonts w:hint="cs"/>
          <w:sz w:val="22"/>
          <w:rtl/>
          <w:lang w:eastAsia="he-IL"/>
        </w:rPr>
        <w:t>ו</w:t>
      </w:r>
      <w:r>
        <w:rPr>
          <w:sz w:val="22"/>
          <w:rtl/>
          <w:lang w:eastAsia="he-IL"/>
        </w:rPr>
        <w:t xml:space="preserve">שבמרכזה הטענה לאי שמישות האקדח. </w:t>
      </w:r>
    </w:p>
    <w:p w14:paraId="4FA8A7FC" w14:textId="77777777" w:rsidR="000900D3" w:rsidRDefault="000900D3">
      <w:pPr>
        <w:spacing w:line="360" w:lineRule="auto"/>
        <w:ind w:left="720"/>
        <w:contextualSpacing/>
        <w:jc w:val="both"/>
        <w:rPr>
          <w:sz w:val="22"/>
          <w:rtl/>
          <w:lang w:eastAsia="he-IL"/>
        </w:rPr>
      </w:pPr>
    </w:p>
    <w:p w14:paraId="14414804" w14:textId="77777777" w:rsidR="000900D3" w:rsidRDefault="00113037">
      <w:pPr>
        <w:spacing w:line="360" w:lineRule="auto"/>
        <w:ind w:left="720" w:hanging="720"/>
        <w:contextualSpacing/>
        <w:jc w:val="both"/>
        <w:rPr>
          <w:sz w:val="22"/>
          <w:rtl/>
          <w:lang w:eastAsia="he-IL"/>
        </w:rPr>
      </w:pPr>
      <w:r>
        <w:rPr>
          <w:rFonts w:hint="cs"/>
          <w:sz w:val="22"/>
          <w:rtl/>
          <w:lang w:eastAsia="he-IL"/>
        </w:rPr>
        <w:t>68.</w:t>
      </w:r>
      <w:r>
        <w:rPr>
          <w:rFonts w:hint="cs"/>
          <w:sz w:val="22"/>
          <w:rtl/>
          <w:lang w:eastAsia="he-IL"/>
        </w:rPr>
        <w:tab/>
      </w:r>
      <w:r>
        <w:rPr>
          <w:sz w:val="22"/>
          <w:rtl/>
          <w:lang w:eastAsia="he-IL"/>
        </w:rPr>
        <w:t>ב</w:t>
      </w:r>
      <w:hyperlink r:id="rId34" w:history="1">
        <w:r w:rsidRPr="00113037">
          <w:rPr>
            <w:color w:val="0000FF"/>
            <w:sz w:val="22"/>
            <w:u w:val="single"/>
            <w:rtl/>
            <w:lang w:eastAsia="he-IL"/>
          </w:rPr>
          <w:t>ע"פ 5220/09</w:t>
        </w:r>
      </w:hyperlink>
      <w:r>
        <w:rPr>
          <w:sz w:val="22"/>
          <w:rtl/>
          <w:lang w:eastAsia="he-IL"/>
        </w:rPr>
        <w:t xml:space="preserve"> </w:t>
      </w:r>
      <w:r>
        <w:rPr>
          <w:b/>
          <w:bCs/>
          <w:sz w:val="22"/>
          <w:rtl/>
          <w:lang w:eastAsia="he-IL"/>
        </w:rPr>
        <w:t>הייתם עוואודה נ' מדינת ישראל</w:t>
      </w:r>
      <w:r>
        <w:rPr>
          <w:sz w:val="22"/>
          <w:rtl/>
          <w:lang w:eastAsia="he-IL"/>
        </w:rPr>
        <w:t xml:space="preserve"> (ניתן ביום 28.12.09) - נדון ערעורו של נאשם נעדר כל הרשעות קודמות, אשר הודה והורשע </w:t>
      </w:r>
      <w:r>
        <w:rPr>
          <w:rFonts w:hint="cs"/>
          <w:sz w:val="22"/>
          <w:rtl/>
          <w:lang w:eastAsia="he-IL"/>
        </w:rPr>
        <w:t xml:space="preserve">- </w:t>
      </w:r>
      <w:r>
        <w:rPr>
          <w:sz w:val="22"/>
          <w:rtl/>
          <w:lang w:eastAsia="he-IL"/>
        </w:rPr>
        <w:t>(במסגרת הסדר טיעון)</w:t>
      </w:r>
      <w:r>
        <w:rPr>
          <w:rFonts w:hint="cs"/>
          <w:sz w:val="22"/>
          <w:rtl/>
          <w:lang w:eastAsia="he-IL"/>
        </w:rPr>
        <w:t>,</w:t>
      </w:r>
      <w:r>
        <w:rPr>
          <w:sz w:val="22"/>
          <w:rtl/>
          <w:lang w:eastAsia="he-IL"/>
        </w:rPr>
        <w:t xml:space="preserve"> בעבירה שעניינה החזקת נשק ותחמושת. על נאשם זה הושתו 15 חודשי מאסר מתוכם 6 חודשי מאסר בפועל מאחורי סורג ובריח והיתר על תנאי תוך חיובו בתשלום קנס. הערעור על חומרת העונש נדחה.</w:t>
      </w:r>
    </w:p>
    <w:p w14:paraId="27747049" w14:textId="77777777" w:rsidR="000900D3" w:rsidRDefault="000900D3">
      <w:pPr>
        <w:spacing w:line="360" w:lineRule="auto"/>
        <w:contextualSpacing/>
        <w:jc w:val="both"/>
        <w:rPr>
          <w:sz w:val="22"/>
          <w:rtl/>
          <w:lang w:eastAsia="he-IL"/>
        </w:rPr>
      </w:pPr>
    </w:p>
    <w:p w14:paraId="39046827" w14:textId="77777777" w:rsidR="000900D3" w:rsidRDefault="00113037">
      <w:pPr>
        <w:spacing w:line="360" w:lineRule="auto"/>
        <w:ind w:left="720" w:hanging="720"/>
        <w:contextualSpacing/>
        <w:jc w:val="both"/>
        <w:rPr>
          <w:sz w:val="22"/>
          <w:lang w:eastAsia="he-IL"/>
        </w:rPr>
      </w:pPr>
      <w:r>
        <w:rPr>
          <w:rFonts w:hint="cs"/>
          <w:sz w:val="22"/>
          <w:rtl/>
          <w:lang w:eastAsia="he-IL"/>
        </w:rPr>
        <w:t>69.</w:t>
      </w:r>
      <w:r>
        <w:rPr>
          <w:rFonts w:hint="cs"/>
          <w:sz w:val="22"/>
          <w:rtl/>
          <w:lang w:eastAsia="he-IL"/>
        </w:rPr>
        <w:tab/>
      </w:r>
      <w:r>
        <w:rPr>
          <w:sz w:val="22"/>
          <w:rtl/>
          <w:lang w:eastAsia="he-IL"/>
        </w:rPr>
        <w:t>ב</w:t>
      </w:r>
      <w:hyperlink r:id="rId35" w:history="1">
        <w:r w:rsidRPr="00113037">
          <w:rPr>
            <w:color w:val="0000FF"/>
            <w:sz w:val="22"/>
            <w:u w:val="single"/>
            <w:rtl/>
            <w:lang w:eastAsia="he-IL"/>
          </w:rPr>
          <w:t>עפ"א (נצ') 152/08</w:t>
        </w:r>
      </w:hyperlink>
      <w:r>
        <w:rPr>
          <w:sz w:val="22"/>
          <w:rtl/>
          <w:lang w:eastAsia="he-IL"/>
        </w:rPr>
        <w:t xml:space="preserve"> </w:t>
      </w:r>
      <w:r>
        <w:rPr>
          <w:b/>
          <w:bCs/>
          <w:sz w:val="22"/>
          <w:rtl/>
          <w:lang w:eastAsia="he-IL"/>
        </w:rPr>
        <w:t>אחמד עואודה נ' מדינת ישראל</w:t>
      </w:r>
      <w:r>
        <w:rPr>
          <w:sz w:val="22"/>
          <w:rtl/>
          <w:lang w:eastAsia="he-IL"/>
        </w:rPr>
        <w:t xml:space="preserve"> (ניתן ביום 24.06.08) – המערער הורשע על פי הודאתו בבית משפט השלום בנצרת בעבירות נשק – עבירה לפי </w:t>
      </w:r>
      <w:hyperlink r:id="rId36" w:history="1">
        <w:r w:rsidR="007E4AD7" w:rsidRPr="007E4AD7">
          <w:rPr>
            <w:color w:val="0000FF"/>
            <w:sz w:val="22"/>
            <w:u w:val="single"/>
            <w:rtl/>
            <w:lang w:eastAsia="he-IL"/>
          </w:rPr>
          <w:t>סעיף 144(א)</w:t>
        </w:r>
      </w:hyperlink>
      <w:r>
        <w:rPr>
          <w:sz w:val="22"/>
          <w:rtl/>
          <w:lang w:eastAsia="he-IL"/>
        </w:rPr>
        <w:t xml:space="preserve"> רישא וסיפא ל</w:t>
      </w:r>
      <w:hyperlink r:id="rId37" w:history="1">
        <w:r w:rsidRPr="00113037">
          <w:rPr>
            <w:color w:val="0000FF"/>
            <w:sz w:val="22"/>
            <w:u w:val="single"/>
            <w:rtl/>
            <w:lang w:eastAsia="he-IL"/>
          </w:rPr>
          <w:t>חוק העונשין</w:t>
        </w:r>
      </w:hyperlink>
      <w:r>
        <w:rPr>
          <w:sz w:val="22"/>
          <w:rtl/>
          <w:lang w:eastAsia="he-IL"/>
        </w:rPr>
        <w:t>. בית משפט קמא גזר על המערער מאסר בפועל לתקופה של שנה בצירוף עונשים נלווים. המערער נעדר עבר פלילי, הודה במיוחס לו וחסך זמן שיפוטי יקר. בית המשפט המחוזי בנצרת קיבל את הערעור במובן זה, ש</w:t>
      </w:r>
      <w:r>
        <w:rPr>
          <w:rFonts w:hint="cs"/>
          <w:sz w:val="22"/>
          <w:rtl/>
          <w:lang w:eastAsia="he-IL"/>
        </w:rPr>
        <w:t xml:space="preserve">הפחית את תקופת </w:t>
      </w:r>
      <w:r>
        <w:rPr>
          <w:sz w:val="22"/>
          <w:rtl/>
          <w:lang w:eastAsia="he-IL"/>
        </w:rPr>
        <w:t>המאסר</w:t>
      </w:r>
      <w:r>
        <w:rPr>
          <w:rFonts w:hint="cs"/>
          <w:sz w:val="22"/>
          <w:rtl/>
          <w:lang w:eastAsia="he-IL"/>
        </w:rPr>
        <w:t xml:space="preserve"> </w:t>
      </w:r>
      <w:r>
        <w:rPr>
          <w:sz w:val="22"/>
          <w:rtl/>
          <w:lang w:eastAsia="he-IL"/>
        </w:rPr>
        <w:t xml:space="preserve">בפועל לתקופה של שישה חודשים </w:t>
      </w:r>
      <w:r>
        <w:rPr>
          <w:rFonts w:hint="cs"/>
          <w:sz w:val="22"/>
          <w:rtl/>
          <w:lang w:eastAsia="he-IL"/>
        </w:rPr>
        <w:t xml:space="preserve">אותם ריצה </w:t>
      </w:r>
      <w:r>
        <w:rPr>
          <w:sz w:val="22"/>
          <w:rtl/>
          <w:lang w:eastAsia="he-IL"/>
        </w:rPr>
        <w:t>בעבודות שירות בצירוף ענישה נלווית.</w:t>
      </w:r>
    </w:p>
    <w:p w14:paraId="791C6C84" w14:textId="77777777" w:rsidR="000900D3" w:rsidRDefault="000900D3">
      <w:pPr>
        <w:spacing w:line="360" w:lineRule="auto"/>
        <w:jc w:val="both"/>
        <w:rPr>
          <w:b/>
          <w:bCs/>
          <w:rtl/>
        </w:rPr>
      </w:pPr>
    </w:p>
    <w:p w14:paraId="527C07AD" w14:textId="77777777" w:rsidR="000900D3" w:rsidRDefault="00113037">
      <w:pPr>
        <w:spacing w:line="360" w:lineRule="auto"/>
        <w:ind w:left="720" w:hanging="720"/>
        <w:jc w:val="both"/>
        <w:rPr>
          <w:rFonts w:ascii="Calibri" w:hAnsi="Calibri"/>
          <w:u w:val="single"/>
          <w:rtl/>
        </w:rPr>
      </w:pPr>
      <w:r>
        <w:rPr>
          <w:rFonts w:ascii="Calibri" w:hAnsi="Calibri" w:hint="cs"/>
          <w:rtl/>
        </w:rPr>
        <w:t>71.</w:t>
      </w:r>
      <w:r>
        <w:rPr>
          <w:rFonts w:ascii="Calibri" w:hAnsi="Calibri" w:hint="cs"/>
          <w:rtl/>
        </w:rPr>
        <w:tab/>
        <w:t>ב</w:t>
      </w:r>
      <w:hyperlink r:id="rId38" w:history="1">
        <w:r w:rsidRPr="00113037">
          <w:rPr>
            <w:rFonts w:ascii="Calibri" w:hAnsi="Calibri" w:hint="eastAsia"/>
            <w:color w:val="0000FF"/>
            <w:u w:val="single"/>
            <w:rtl/>
          </w:rPr>
          <w:t>ע</w:t>
        </w:r>
        <w:r w:rsidRPr="00113037">
          <w:rPr>
            <w:rFonts w:ascii="Calibri" w:hAnsi="Calibri"/>
            <w:color w:val="0000FF"/>
            <w:u w:val="single"/>
            <w:rtl/>
          </w:rPr>
          <w:t>"</w:t>
        </w:r>
        <w:r w:rsidRPr="00113037">
          <w:rPr>
            <w:rFonts w:ascii="Calibri" w:hAnsi="Calibri" w:hint="eastAsia"/>
            <w:color w:val="0000FF"/>
            <w:u w:val="single"/>
            <w:rtl/>
          </w:rPr>
          <w:t>פ</w:t>
        </w:r>
        <w:r w:rsidRPr="00113037">
          <w:rPr>
            <w:rFonts w:ascii="Calibri" w:hAnsi="Calibri"/>
            <w:color w:val="0000FF"/>
            <w:u w:val="single"/>
            <w:rtl/>
          </w:rPr>
          <w:t xml:space="preserve"> 9373/10</w:t>
        </w:r>
      </w:hyperlink>
      <w:r>
        <w:rPr>
          <w:rFonts w:ascii="Calibri" w:hAnsi="Calibri" w:hint="cs"/>
          <w:rtl/>
        </w:rPr>
        <w:t xml:space="preserve"> </w:t>
      </w:r>
      <w:r>
        <w:rPr>
          <w:rFonts w:ascii="Calibri" w:hAnsi="Calibri" w:hint="cs"/>
          <w:b/>
          <w:bCs/>
          <w:rtl/>
        </w:rPr>
        <w:t>חמד ותד נ' מ"י</w:t>
      </w:r>
      <w:r>
        <w:rPr>
          <w:rFonts w:ascii="Calibri" w:hAnsi="Calibri" w:hint="cs"/>
          <w:rtl/>
        </w:rPr>
        <w:t xml:space="preserve"> (ניתן ביום 14.09.11), שם הנאשם הורשע על פי הודאתו בעבירות של החזקת ונשיאת נשק. הנאשם החזיק אקדח </w:t>
      </w:r>
      <w:r>
        <w:rPr>
          <w:rFonts w:ascii="Calibri" w:hAnsi="Calibri"/>
        </w:rPr>
        <w:t>FN</w:t>
      </w:r>
      <w:r>
        <w:rPr>
          <w:rFonts w:ascii="Calibri" w:hAnsi="Calibri" w:hint="cs"/>
          <w:rtl/>
        </w:rPr>
        <w:t xml:space="preserve"> בביתו מתחת למזרון מיטתו ועוד 63 כדורי 9 מ"מ שהוטמנו בחצר ביתו. כמו כן, הנאשם נשא את הנשק. לנאשם היו 3 הרשעות קודמות בגין הצתה, חבלה במזיד ברכב והפרעה לשוטר במילוי תפקידו. </w:t>
      </w:r>
      <w:r>
        <w:rPr>
          <w:rFonts w:ascii="Calibri" w:hAnsi="Calibri" w:hint="cs"/>
          <w:u w:val="single"/>
          <w:rtl/>
        </w:rPr>
        <w:t>הוא נדון בביהמ"ש המחוזי לתקופה של 50 חודשי מאסר בפועל ובביהמ"ש העליון הופחת עונשו ל – 30 חודשי מאסר בפועל. ביהמ"ש העליון הסכים עם מגמת ההחמרה בענישתם של מבצעי עבירות בנשק, אך ציין שראוי שהדבר יעשה בהדרגה.</w:t>
      </w:r>
    </w:p>
    <w:p w14:paraId="7B3F5E45" w14:textId="77777777" w:rsidR="000900D3" w:rsidRDefault="000900D3">
      <w:pPr>
        <w:spacing w:line="360" w:lineRule="auto"/>
        <w:ind w:left="720" w:hanging="720"/>
        <w:jc w:val="both"/>
        <w:rPr>
          <w:rFonts w:ascii="Calibri" w:hAnsi="Calibri"/>
        </w:rPr>
      </w:pPr>
    </w:p>
    <w:p w14:paraId="491088E2" w14:textId="77777777" w:rsidR="000900D3" w:rsidRDefault="00113037">
      <w:pPr>
        <w:spacing w:line="360" w:lineRule="auto"/>
        <w:ind w:left="720" w:hanging="720"/>
        <w:jc w:val="both"/>
        <w:rPr>
          <w:rFonts w:ascii="Calibri" w:hAnsi="Calibri"/>
          <w:u w:val="single"/>
          <w:rtl/>
        </w:rPr>
      </w:pPr>
      <w:r>
        <w:rPr>
          <w:rFonts w:ascii="Calibri" w:hAnsi="Calibri" w:hint="cs"/>
          <w:rtl/>
        </w:rPr>
        <w:t>72.</w:t>
      </w:r>
      <w:r>
        <w:rPr>
          <w:rFonts w:ascii="Calibri" w:hAnsi="Calibri" w:hint="cs"/>
          <w:rtl/>
        </w:rPr>
        <w:tab/>
        <w:t>ב</w:t>
      </w:r>
      <w:hyperlink r:id="rId39" w:history="1">
        <w:r w:rsidRPr="00113037">
          <w:rPr>
            <w:rFonts w:ascii="Calibri" w:hAnsi="Calibri" w:hint="eastAsia"/>
            <w:color w:val="0000FF"/>
            <w:u w:val="single"/>
            <w:rtl/>
          </w:rPr>
          <w:t>ע</w:t>
        </w:r>
        <w:r w:rsidRPr="00113037">
          <w:rPr>
            <w:rFonts w:ascii="Calibri" w:hAnsi="Calibri"/>
            <w:color w:val="0000FF"/>
            <w:u w:val="single"/>
            <w:rtl/>
          </w:rPr>
          <w:t>"</w:t>
        </w:r>
        <w:r w:rsidRPr="00113037">
          <w:rPr>
            <w:rFonts w:ascii="Calibri" w:hAnsi="Calibri" w:hint="eastAsia"/>
            <w:color w:val="0000FF"/>
            <w:u w:val="single"/>
            <w:rtl/>
          </w:rPr>
          <w:t>פ</w:t>
        </w:r>
        <w:r w:rsidRPr="00113037">
          <w:rPr>
            <w:rFonts w:ascii="Calibri" w:hAnsi="Calibri"/>
            <w:color w:val="0000FF"/>
            <w:u w:val="single"/>
            <w:rtl/>
          </w:rPr>
          <w:t xml:space="preserve"> 3156/11</w:t>
        </w:r>
      </w:hyperlink>
      <w:r>
        <w:rPr>
          <w:rFonts w:ascii="Calibri" w:hAnsi="Calibri" w:hint="cs"/>
          <w:rtl/>
        </w:rPr>
        <w:t xml:space="preserve"> </w:t>
      </w:r>
      <w:r>
        <w:rPr>
          <w:rFonts w:ascii="Calibri" w:hAnsi="Calibri" w:hint="cs"/>
          <w:b/>
          <w:bCs/>
          <w:rtl/>
        </w:rPr>
        <w:t>זראיעה נ' מ"י</w:t>
      </w:r>
      <w:r>
        <w:rPr>
          <w:rFonts w:ascii="Calibri" w:hAnsi="Calibri" w:hint="cs"/>
          <w:rtl/>
        </w:rPr>
        <w:t xml:space="preserve"> (ניתן ביום 21.02.12), הנאשם נשא ברכבו אקדח ותחמושת, ללא עבר פלילי, </w:t>
      </w:r>
      <w:r>
        <w:rPr>
          <w:rFonts w:ascii="Calibri" w:hAnsi="Calibri" w:hint="cs"/>
          <w:u w:val="single"/>
          <w:rtl/>
        </w:rPr>
        <w:t>נדון בביהמ"ש המחוזי לשנתיים מאסר בפועל, ביהמ"ש העליון דחה את ערעורו.</w:t>
      </w:r>
    </w:p>
    <w:p w14:paraId="1A601DD8" w14:textId="77777777" w:rsidR="000900D3" w:rsidRDefault="000900D3">
      <w:pPr>
        <w:spacing w:line="360" w:lineRule="auto"/>
        <w:ind w:left="720"/>
        <w:jc w:val="both"/>
        <w:rPr>
          <w:rFonts w:ascii="Calibri" w:hAnsi="Calibri"/>
          <w:rtl/>
        </w:rPr>
      </w:pPr>
    </w:p>
    <w:p w14:paraId="7465B5D7" w14:textId="77777777" w:rsidR="000900D3" w:rsidRDefault="00113037">
      <w:pPr>
        <w:spacing w:line="360" w:lineRule="auto"/>
        <w:ind w:left="720" w:hanging="720"/>
        <w:jc w:val="both"/>
        <w:rPr>
          <w:rFonts w:ascii="Calibri" w:hAnsi="Calibri"/>
        </w:rPr>
      </w:pPr>
      <w:r>
        <w:rPr>
          <w:rFonts w:ascii="Calibri" w:hAnsi="Calibri" w:hint="cs"/>
          <w:rtl/>
        </w:rPr>
        <w:t>73.</w:t>
      </w:r>
      <w:r>
        <w:rPr>
          <w:rFonts w:ascii="Calibri" w:hAnsi="Calibri" w:hint="cs"/>
          <w:rtl/>
        </w:rPr>
        <w:tab/>
      </w:r>
      <w:hyperlink r:id="rId40" w:history="1">
        <w:r w:rsidRPr="00113037">
          <w:rPr>
            <w:rFonts w:ascii="Calibri" w:hAnsi="Calibri" w:hint="eastAsia"/>
            <w:color w:val="0000FF"/>
            <w:u w:val="single"/>
            <w:rtl/>
          </w:rPr>
          <w:t>ת</w:t>
        </w:r>
        <w:r w:rsidRPr="00113037">
          <w:rPr>
            <w:rFonts w:ascii="Calibri" w:hAnsi="Calibri"/>
            <w:color w:val="0000FF"/>
            <w:u w:val="single"/>
            <w:rtl/>
          </w:rPr>
          <w:t>"</w:t>
        </w:r>
        <w:r w:rsidRPr="00113037">
          <w:rPr>
            <w:rFonts w:ascii="Calibri" w:hAnsi="Calibri" w:hint="eastAsia"/>
            <w:color w:val="0000FF"/>
            <w:u w:val="single"/>
            <w:rtl/>
          </w:rPr>
          <w:t>פ</w:t>
        </w:r>
        <w:r w:rsidRPr="00113037">
          <w:rPr>
            <w:rFonts w:ascii="Calibri" w:hAnsi="Calibri"/>
            <w:color w:val="0000FF"/>
            <w:u w:val="single"/>
            <w:rtl/>
          </w:rPr>
          <w:t xml:space="preserve"> (</w:t>
        </w:r>
        <w:r w:rsidRPr="00113037">
          <w:rPr>
            <w:rFonts w:ascii="Calibri" w:hAnsi="Calibri" w:hint="eastAsia"/>
            <w:color w:val="0000FF"/>
            <w:u w:val="single"/>
            <w:rtl/>
          </w:rPr>
          <w:t>מחוזי</w:t>
        </w:r>
        <w:r w:rsidRPr="00113037">
          <w:rPr>
            <w:rFonts w:ascii="Calibri" w:hAnsi="Calibri"/>
            <w:color w:val="0000FF"/>
            <w:u w:val="single"/>
            <w:rtl/>
          </w:rPr>
          <w:t xml:space="preserve"> </w:t>
        </w:r>
        <w:r w:rsidRPr="00113037">
          <w:rPr>
            <w:rFonts w:ascii="Calibri" w:hAnsi="Calibri" w:hint="eastAsia"/>
            <w:color w:val="0000FF"/>
            <w:u w:val="single"/>
            <w:rtl/>
          </w:rPr>
          <w:t>חיפה</w:t>
        </w:r>
        <w:r w:rsidRPr="00113037">
          <w:rPr>
            <w:rFonts w:ascii="Calibri" w:hAnsi="Calibri"/>
            <w:color w:val="0000FF"/>
            <w:u w:val="single"/>
            <w:rtl/>
          </w:rPr>
          <w:t>) 15148-03-12</w:t>
        </w:r>
      </w:hyperlink>
      <w:r>
        <w:rPr>
          <w:rFonts w:ascii="Calibri" w:hAnsi="Calibri" w:hint="cs"/>
          <w:rtl/>
        </w:rPr>
        <w:t xml:space="preserve"> </w:t>
      </w:r>
      <w:r>
        <w:rPr>
          <w:rFonts w:ascii="Calibri" w:hAnsi="Calibri" w:hint="cs"/>
          <w:b/>
          <w:bCs/>
          <w:rtl/>
        </w:rPr>
        <w:t>מ"י נ' כבהה</w:t>
      </w:r>
      <w:r>
        <w:rPr>
          <w:rFonts w:ascii="Calibri" w:hAnsi="Calibri" w:hint="cs"/>
          <w:rtl/>
        </w:rPr>
        <w:t xml:space="preserve"> (ניתן ביום 19.02.13), מדובר בעבירות של החזקת נשק ושינוי ל.ז של רכב, ללא עבר פלילי. מתחם הענישה שנקבע הינו 2-4 שנות מאסר בפועל, </w:t>
      </w:r>
      <w:r>
        <w:rPr>
          <w:rFonts w:ascii="Calibri" w:hAnsi="Calibri" w:hint="cs"/>
          <w:u w:val="single"/>
          <w:rtl/>
        </w:rPr>
        <w:t>העונש שהושת על הנאשם הינו שנתיים מאסר בפועל</w:t>
      </w:r>
      <w:r>
        <w:rPr>
          <w:rFonts w:ascii="Calibri" w:hAnsi="Calibri" w:hint="cs"/>
          <w:rtl/>
        </w:rPr>
        <w:t>.</w:t>
      </w:r>
    </w:p>
    <w:p w14:paraId="7CFDF928" w14:textId="77777777" w:rsidR="000900D3" w:rsidRDefault="00113037">
      <w:pPr>
        <w:spacing w:line="360" w:lineRule="auto"/>
        <w:ind w:left="720" w:hanging="720"/>
        <w:jc w:val="both"/>
        <w:rPr>
          <w:rtl/>
        </w:rPr>
      </w:pPr>
      <w:r>
        <w:rPr>
          <w:rFonts w:hint="cs"/>
          <w:rtl/>
        </w:rPr>
        <w:t>74.</w:t>
      </w:r>
      <w:r>
        <w:rPr>
          <w:rFonts w:hint="cs"/>
          <w:rtl/>
        </w:rPr>
        <w:tab/>
      </w:r>
      <w:r>
        <w:rPr>
          <w:rtl/>
        </w:rPr>
        <w:t>בנסיבות אלו, בזיקה לערכים החברתיים המוגנים שנפגעו מביצוע העבירות ומידת הפגיעה בהם, מדיניות הענישה הנהוגה והנסיבות הקשורות בביצוע העבירות, אני סבור, כי מתחם העונש ההולם נע במקרה דנן בין 8 חודשי מאסר בפועל, לבין 3</w:t>
      </w:r>
      <w:r>
        <w:rPr>
          <w:rFonts w:hint="cs"/>
          <w:rtl/>
        </w:rPr>
        <w:t xml:space="preserve">0 </w:t>
      </w:r>
      <w:r>
        <w:rPr>
          <w:rtl/>
        </w:rPr>
        <w:t>חודשי מאסר בפועל,</w:t>
      </w:r>
      <w:r>
        <w:rPr>
          <w:rFonts w:hint="cs"/>
          <w:rtl/>
        </w:rPr>
        <w:t xml:space="preserve"> </w:t>
      </w:r>
      <w:r>
        <w:rPr>
          <w:rtl/>
        </w:rPr>
        <w:t>בצירוף עונשים נלווים.</w:t>
      </w:r>
    </w:p>
    <w:p w14:paraId="364C5DB5" w14:textId="77777777" w:rsidR="000900D3" w:rsidRDefault="000900D3">
      <w:pPr>
        <w:spacing w:line="360" w:lineRule="auto"/>
        <w:jc w:val="both"/>
        <w:rPr>
          <w:rtl/>
        </w:rPr>
      </w:pPr>
    </w:p>
    <w:p w14:paraId="2AB3AB11" w14:textId="77777777" w:rsidR="000900D3" w:rsidRDefault="00113037">
      <w:pPr>
        <w:spacing w:line="360" w:lineRule="auto"/>
        <w:jc w:val="both"/>
        <w:rPr>
          <w:rtl/>
        </w:rPr>
      </w:pPr>
      <w:r>
        <w:rPr>
          <w:rFonts w:hint="cs"/>
          <w:rtl/>
        </w:rPr>
        <w:t>75.</w:t>
      </w:r>
      <w:r>
        <w:rPr>
          <w:rFonts w:hint="cs"/>
          <w:rtl/>
        </w:rPr>
        <w:tab/>
      </w:r>
      <w:r>
        <w:rPr>
          <w:rtl/>
        </w:rPr>
        <w:t xml:space="preserve">שמעתי את טענות הסניגור שהנאשם ניהל אורח חיים תקין ונורמטיבי, ללא כל עבר פלילי, </w:t>
      </w:r>
    </w:p>
    <w:p w14:paraId="49B67B80" w14:textId="77777777" w:rsidR="000900D3" w:rsidRDefault="00113037">
      <w:pPr>
        <w:spacing w:line="360" w:lineRule="auto"/>
        <w:ind w:left="720"/>
        <w:jc w:val="both"/>
        <w:rPr>
          <w:b/>
          <w:bCs/>
          <w:rtl/>
        </w:rPr>
      </w:pPr>
      <w:r>
        <w:rPr>
          <w:rtl/>
        </w:rPr>
        <w:t xml:space="preserve">בהקשר זה ראוי </w:t>
      </w:r>
      <w:r>
        <w:rPr>
          <w:rFonts w:hint="cs"/>
          <w:rtl/>
        </w:rPr>
        <w:t xml:space="preserve">להפנות לדברי </w:t>
      </w:r>
      <w:r>
        <w:rPr>
          <w:rtl/>
        </w:rPr>
        <w:t>בית המשפט העליון</w:t>
      </w:r>
      <w:r>
        <w:rPr>
          <w:rFonts w:hint="cs"/>
          <w:rtl/>
        </w:rPr>
        <w:t xml:space="preserve"> בפסיקתו שניתנה ב</w:t>
      </w:r>
      <w:r>
        <w:rPr>
          <w:rtl/>
        </w:rPr>
        <w:t>(</w:t>
      </w:r>
      <w:hyperlink r:id="rId41" w:history="1">
        <w:r w:rsidRPr="00113037">
          <w:rPr>
            <w:color w:val="0000FF"/>
            <w:u w:val="single"/>
            <w:rtl/>
          </w:rPr>
          <w:t>ע"פ 6583/06</w:t>
        </w:r>
      </w:hyperlink>
      <w:r>
        <w:rPr>
          <w:b/>
          <w:bCs/>
          <w:rtl/>
        </w:rPr>
        <w:t xml:space="preserve"> אגא אדהם נגד מדינת ישראל </w:t>
      </w:r>
      <w:r>
        <w:rPr>
          <w:rtl/>
        </w:rPr>
        <w:t>(ניתן ביום 5.12.06), וראו גם את</w:t>
      </w:r>
      <w:r>
        <w:rPr>
          <w:b/>
          <w:bCs/>
          <w:rtl/>
        </w:rPr>
        <w:t xml:space="preserve"> </w:t>
      </w:r>
      <w:hyperlink r:id="rId42" w:history="1">
        <w:r w:rsidRPr="00113037">
          <w:rPr>
            <w:color w:val="0000FF"/>
            <w:u w:val="single"/>
            <w:rtl/>
          </w:rPr>
          <w:t>ע"פ 6294/10</w:t>
        </w:r>
      </w:hyperlink>
      <w:r>
        <w:rPr>
          <w:rtl/>
        </w:rPr>
        <w:t xml:space="preserve"> </w:t>
      </w:r>
      <w:r>
        <w:rPr>
          <w:b/>
          <w:bCs/>
          <w:rtl/>
        </w:rPr>
        <w:t xml:space="preserve">אמיר אלקיעאן נ' מדינת ישראל </w:t>
      </w:r>
      <w:r>
        <w:rPr>
          <w:rtl/>
        </w:rPr>
        <w:t>(ניתן ביום 13.2.11)</w:t>
      </w:r>
      <w:r>
        <w:rPr>
          <w:b/>
          <w:bCs/>
          <w:rtl/>
        </w:rPr>
        <w:t xml:space="preserve">. </w:t>
      </w:r>
    </w:p>
    <w:p w14:paraId="78ACAC8C" w14:textId="77777777" w:rsidR="000900D3" w:rsidRDefault="000900D3">
      <w:pPr>
        <w:spacing w:line="360" w:lineRule="auto"/>
        <w:ind w:left="720"/>
        <w:jc w:val="both"/>
        <w:rPr>
          <w:rtl/>
        </w:rPr>
      </w:pPr>
    </w:p>
    <w:p w14:paraId="136468E7" w14:textId="77777777" w:rsidR="000900D3" w:rsidRDefault="00113037">
      <w:pPr>
        <w:spacing w:line="360" w:lineRule="auto"/>
        <w:ind w:left="720" w:hanging="720"/>
        <w:jc w:val="both"/>
        <w:rPr>
          <w:rFonts w:ascii="Calibri" w:hAnsi="Calibri"/>
          <w:rtl/>
        </w:rPr>
      </w:pPr>
      <w:r>
        <w:rPr>
          <w:rFonts w:ascii="Calibri" w:hAnsi="Calibri" w:hint="cs"/>
          <w:rtl/>
        </w:rPr>
        <w:t>76.</w:t>
      </w:r>
      <w:r>
        <w:rPr>
          <w:rFonts w:ascii="Calibri" w:hAnsi="Calibri" w:hint="cs"/>
          <w:rtl/>
        </w:rPr>
        <w:tab/>
      </w:r>
      <w:r>
        <w:rPr>
          <w:rFonts w:ascii="Calibri" w:hAnsi="Calibri" w:hint="eastAsia"/>
          <w:rtl/>
        </w:rPr>
        <w:t>ואולם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הזכות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שהסתבך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המידית</w:t>
      </w:r>
      <w:r>
        <w:rPr>
          <w:rFonts w:ascii="Calibri" w:hAnsi="Calibri"/>
          <w:rtl/>
        </w:rPr>
        <w:t xml:space="preserve"> </w:t>
      </w:r>
      <w:r>
        <w:rPr>
          <w:rFonts w:ascii="Calibri" w:hAnsi="Calibri" w:hint="eastAsia"/>
          <w:rtl/>
        </w:rPr>
        <w:t>שהביאה</w:t>
      </w:r>
      <w:r>
        <w:rPr>
          <w:rFonts w:ascii="Calibri" w:hAnsi="Calibri"/>
          <w:rtl/>
        </w:rPr>
        <w:t xml:space="preserve"> </w:t>
      </w:r>
      <w:r>
        <w:rPr>
          <w:rFonts w:ascii="Calibri" w:hAnsi="Calibri" w:hint="eastAsia"/>
          <w:rtl/>
        </w:rPr>
        <w:t>לחיסכון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הצער</w:t>
      </w:r>
      <w:r>
        <w:rPr>
          <w:rFonts w:ascii="Calibri" w:hAnsi="Calibri"/>
          <w:rtl/>
        </w:rPr>
        <w:t xml:space="preserve"> </w:t>
      </w:r>
      <w:r>
        <w:rPr>
          <w:rFonts w:ascii="Calibri" w:hAnsi="Calibri" w:hint="eastAsia"/>
          <w:rtl/>
        </w:rPr>
        <w:t>שהביע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שפעל</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שפעל</w:t>
      </w:r>
      <w:r>
        <w:rPr>
          <w:rFonts w:ascii="Calibri" w:hAnsi="Calibri"/>
          <w:rtl/>
        </w:rPr>
        <w:t xml:space="preserve">.  </w:t>
      </w:r>
    </w:p>
    <w:p w14:paraId="0E192B15" w14:textId="77777777" w:rsidR="000900D3" w:rsidRDefault="00113037">
      <w:pPr>
        <w:spacing w:line="360" w:lineRule="auto"/>
        <w:ind w:left="720"/>
        <w:jc w:val="both"/>
        <w:rPr>
          <w:rFonts w:ascii="Calibri" w:hAnsi="Calibri"/>
          <w:rtl/>
        </w:rPr>
      </w:pPr>
      <w:r>
        <w:rPr>
          <w:rFonts w:ascii="Calibri" w:hAnsi="Calibri"/>
          <w:rtl/>
        </w:rPr>
        <w:t xml:space="preserve"> </w:t>
      </w:r>
    </w:p>
    <w:p w14:paraId="76966AD7" w14:textId="77777777" w:rsidR="000900D3" w:rsidRDefault="00113037">
      <w:pPr>
        <w:spacing w:line="360" w:lineRule="auto"/>
        <w:ind w:left="720" w:hanging="720"/>
        <w:jc w:val="both"/>
        <w:rPr>
          <w:rFonts w:ascii="Calibri" w:hAnsi="Calibri"/>
          <w:rtl/>
        </w:rPr>
      </w:pPr>
      <w:r>
        <w:rPr>
          <w:rFonts w:ascii="Calibri" w:hAnsi="Calibri" w:hint="cs"/>
          <w:rtl/>
        </w:rPr>
        <w:t>77.</w:t>
      </w:r>
      <w:r>
        <w:rPr>
          <w:rFonts w:ascii="Calibri" w:hAnsi="Calibri" w:hint="cs"/>
          <w:rtl/>
        </w:rPr>
        <w:tab/>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נעלם</w:t>
      </w:r>
      <w:r>
        <w:rPr>
          <w:rFonts w:ascii="Calibri" w:hAnsi="Calibri"/>
          <w:rtl/>
        </w:rPr>
        <w:t xml:space="preserve"> </w:t>
      </w:r>
      <w:r>
        <w:rPr>
          <w:rFonts w:ascii="Calibri" w:hAnsi="Calibri" w:hint="eastAsia"/>
          <w:rtl/>
        </w:rPr>
        <w:t>מעיני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בהתייחסו</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בעמ</w:t>
      </w:r>
      <w:r>
        <w:rPr>
          <w:rFonts w:ascii="Calibri" w:hAnsi="Calibri"/>
          <w:rtl/>
        </w:rPr>
        <w:t xml:space="preserve">' 2 </w:t>
      </w:r>
      <w:r>
        <w:rPr>
          <w:rFonts w:ascii="Calibri" w:hAnsi="Calibri" w:hint="eastAsia"/>
          <w:rtl/>
        </w:rPr>
        <w:t>לתסקיר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מסכת</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מהאמור</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משקל</w:t>
      </w:r>
      <w:r>
        <w:rPr>
          <w:rFonts w:ascii="Calibri" w:hAnsi="Calibri"/>
          <w:rtl/>
        </w:rPr>
        <w:t>.</w:t>
      </w:r>
      <w:r>
        <w:rPr>
          <w:rFonts w:ascii="Calibri" w:hAnsi="Calibri" w:hint="cs"/>
          <w:rtl/>
        </w:rPr>
        <w:t xml:space="preserve"> </w:t>
      </w:r>
      <w:r>
        <w:rPr>
          <w:rFonts w:ascii="Calibri" w:hAnsi="Calibri" w:hint="eastAsia"/>
          <w:rtl/>
        </w:rPr>
        <w:t>מה</w:t>
      </w:r>
      <w:r>
        <w:rPr>
          <w:rFonts w:ascii="Calibri" w:hAnsi="Calibri"/>
          <w:rtl/>
        </w:rPr>
        <w:t xml:space="preserve"> </w:t>
      </w:r>
      <w:r>
        <w:rPr>
          <w:rFonts w:ascii="Calibri" w:hAnsi="Calibri" w:hint="eastAsia"/>
          <w:rtl/>
        </w:rPr>
        <w:t>גם</w:t>
      </w:r>
      <w:r>
        <w:rPr>
          <w:rFonts w:ascii="Calibri" w:hAnsi="Calibri" w:hint="cs"/>
          <w:rtl/>
        </w:rPr>
        <w:t>,</w:t>
      </w:r>
      <w:r>
        <w:rPr>
          <w:rFonts w:ascii="Calibri" w:hAnsi="Calibri"/>
          <w:rtl/>
        </w:rPr>
        <w:t xml:space="preserve"> </w:t>
      </w:r>
      <w:r>
        <w:rPr>
          <w:rFonts w:ascii="Calibri" w:hAnsi="Calibri" w:hint="eastAsia"/>
          <w:rtl/>
        </w:rPr>
        <w:t>שגרסתו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מציאת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cs"/>
          <w:rtl/>
        </w:rPr>
        <w:t xml:space="preserve">כעולה מהתסקיר </w:t>
      </w:r>
      <w:r>
        <w:rPr>
          <w:rFonts w:ascii="Calibri" w:hAnsi="Calibri"/>
          <w:rtl/>
        </w:rPr>
        <w:t>–</w:t>
      </w:r>
      <w:r>
        <w:rPr>
          <w:rFonts w:ascii="Calibri" w:hAnsi="Calibri" w:hint="cs"/>
          <w:rtl/>
        </w:rPr>
        <w:t xml:space="preserve"> (ראו סעיף 15 לעיל), </w:t>
      </w:r>
      <w:r>
        <w:rPr>
          <w:rFonts w:ascii="Calibri" w:hAnsi="Calibri" w:hint="eastAsia"/>
          <w:rtl/>
        </w:rPr>
        <w:t>תמוהה</w:t>
      </w:r>
      <w:r>
        <w:rPr>
          <w:rFonts w:ascii="Calibri" w:hAnsi="Calibri"/>
          <w:rtl/>
        </w:rPr>
        <w:t xml:space="preserve"> </w:t>
      </w:r>
      <w:r>
        <w:rPr>
          <w:rFonts w:ascii="Calibri" w:hAnsi="Calibri" w:hint="eastAsia"/>
          <w:rtl/>
        </w:rPr>
        <w:t>וא</w:t>
      </w:r>
      <w:r>
        <w:rPr>
          <w:rFonts w:ascii="Calibri" w:hAnsi="Calibri" w:hint="cs"/>
          <w:rtl/>
        </w:rPr>
        <w:t>ף</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סבירה</w:t>
      </w:r>
      <w:r>
        <w:rPr>
          <w:rFonts w:ascii="Calibri" w:hAnsi="Calibri"/>
          <w:rtl/>
        </w:rPr>
        <w:t xml:space="preserve"> </w:t>
      </w:r>
      <w:r>
        <w:rPr>
          <w:rFonts w:ascii="Calibri" w:hAnsi="Calibri" w:hint="eastAsia"/>
          <w:rtl/>
        </w:rPr>
        <w:t>בעליל</w:t>
      </w:r>
      <w:r>
        <w:rPr>
          <w:rFonts w:ascii="Calibri" w:hAnsi="Calibri"/>
          <w:rtl/>
        </w:rPr>
        <w:t>.</w:t>
      </w:r>
    </w:p>
    <w:p w14:paraId="038DAC60" w14:textId="77777777" w:rsidR="000900D3" w:rsidRDefault="000900D3">
      <w:pPr>
        <w:spacing w:line="360" w:lineRule="auto"/>
        <w:jc w:val="both"/>
        <w:rPr>
          <w:rFonts w:ascii="Calibri" w:hAnsi="Calibri"/>
          <w:rtl/>
        </w:rPr>
      </w:pPr>
    </w:p>
    <w:p w14:paraId="6D1A9280" w14:textId="77777777" w:rsidR="000900D3" w:rsidRDefault="00113037">
      <w:pPr>
        <w:spacing w:line="360" w:lineRule="auto"/>
        <w:ind w:left="720"/>
        <w:jc w:val="both"/>
        <w:rPr>
          <w:rFonts w:ascii="Calibri" w:hAnsi="Calibri"/>
          <w:rtl/>
        </w:rPr>
      </w:pPr>
      <w:r>
        <w:rPr>
          <w:rFonts w:ascii="Calibri" w:hAnsi="Calibri" w:hint="eastAsia"/>
          <w:rtl/>
        </w:rPr>
        <w:t>כאן</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להפנות</w:t>
      </w:r>
      <w:r>
        <w:rPr>
          <w:rFonts w:ascii="Calibri" w:hAnsi="Calibri"/>
          <w:rtl/>
        </w:rPr>
        <w:t xml:space="preserve"> </w:t>
      </w:r>
      <w:r>
        <w:rPr>
          <w:rFonts w:ascii="Calibri" w:hAnsi="Calibri" w:hint="eastAsia"/>
          <w:rtl/>
        </w:rPr>
        <w:t>שהדרך</w:t>
      </w:r>
      <w:r>
        <w:rPr>
          <w:rFonts w:ascii="Calibri" w:hAnsi="Calibri"/>
          <w:rtl/>
        </w:rPr>
        <w:t xml:space="preserve"> </w:t>
      </w:r>
      <w:r>
        <w:rPr>
          <w:rFonts w:ascii="Calibri" w:hAnsi="Calibri" w:hint="eastAsia"/>
          <w:rtl/>
        </w:rPr>
        <w:t>להוכיח</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נטענו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נקבעה</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hint="cs"/>
          <w:rtl/>
        </w:rPr>
        <w:t xml:space="preserve"> - </w:t>
      </w:r>
      <w:r>
        <w:rPr>
          <w:rFonts w:ascii="Calibri" w:hAnsi="Calibri" w:hint="eastAsia"/>
          <w:rtl/>
        </w:rPr>
        <w:t>ראו</w:t>
      </w:r>
      <w:r>
        <w:rPr>
          <w:rFonts w:ascii="Calibri" w:hAnsi="Calibri"/>
          <w:rtl/>
        </w:rPr>
        <w:t xml:space="preserve"> </w:t>
      </w:r>
      <w:hyperlink r:id="rId43" w:history="1">
        <w:r w:rsidRPr="00113037">
          <w:rPr>
            <w:rFonts w:ascii="Calibri" w:hAnsi="Calibri" w:hint="eastAsia"/>
            <w:color w:val="0000FF"/>
            <w:u w:val="single"/>
            <w:rtl/>
          </w:rPr>
          <w:t>ע</w:t>
        </w:r>
        <w:r w:rsidRPr="00113037">
          <w:rPr>
            <w:rFonts w:ascii="Calibri" w:hAnsi="Calibri"/>
            <w:color w:val="0000FF"/>
            <w:u w:val="single"/>
            <w:rtl/>
          </w:rPr>
          <w:t>"</w:t>
        </w:r>
        <w:r w:rsidRPr="00113037">
          <w:rPr>
            <w:rFonts w:ascii="Calibri" w:hAnsi="Calibri" w:hint="eastAsia"/>
            <w:color w:val="0000FF"/>
            <w:u w:val="single"/>
            <w:rtl/>
          </w:rPr>
          <w:t>פ</w:t>
        </w:r>
        <w:r w:rsidRPr="00113037">
          <w:rPr>
            <w:rFonts w:ascii="Calibri" w:hAnsi="Calibri"/>
            <w:color w:val="0000FF"/>
            <w:u w:val="single"/>
            <w:rtl/>
          </w:rPr>
          <w:t xml:space="preserve"> 7349/14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פלונית</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14.05.15).</w:t>
      </w:r>
      <w:r>
        <w:rPr>
          <w:rFonts w:ascii="Calibri" w:hAnsi="Calibri" w:hint="cs"/>
          <w:rtl/>
        </w:rPr>
        <w:t xml:space="preserve"> </w:t>
      </w:r>
    </w:p>
    <w:p w14:paraId="2F73181C" w14:textId="77777777" w:rsidR="000900D3" w:rsidRDefault="000900D3">
      <w:pPr>
        <w:spacing w:line="360" w:lineRule="auto"/>
        <w:ind w:left="720"/>
        <w:jc w:val="both"/>
        <w:rPr>
          <w:rFonts w:ascii="Calibri" w:hAnsi="Calibri"/>
          <w:rtl/>
        </w:rPr>
      </w:pPr>
    </w:p>
    <w:p w14:paraId="6D70BB51" w14:textId="77777777" w:rsidR="000900D3" w:rsidRDefault="00113037">
      <w:pPr>
        <w:spacing w:line="360" w:lineRule="auto"/>
        <w:ind w:left="720"/>
        <w:jc w:val="both"/>
        <w:rPr>
          <w:rFonts w:ascii="Calibri" w:hAnsi="Calibri"/>
          <w:rtl/>
        </w:rPr>
      </w:pPr>
      <w:r>
        <w:rPr>
          <w:rFonts w:ascii="Calibri" w:hAnsi="Calibri" w:hint="cs"/>
          <w:rtl/>
        </w:rPr>
        <w:t>לדעתי, בנסיבות העניין ומכל המקובץ לעיל, אין לקבל את המלצת שירות המבחן בשל חוסר הסבירות שבין ההמלצה שהביא בתסקירו לבין חומרת העבירה ושיקולי הענישה האחרים.</w:t>
      </w:r>
    </w:p>
    <w:p w14:paraId="18CF07C4" w14:textId="77777777" w:rsidR="000900D3" w:rsidRDefault="000900D3">
      <w:pPr>
        <w:spacing w:line="360" w:lineRule="auto"/>
        <w:jc w:val="both"/>
        <w:rPr>
          <w:rFonts w:ascii="Calibri" w:hAnsi="Calibri"/>
          <w:b/>
          <w:bCs/>
          <w:u w:val="single"/>
          <w:rtl/>
        </w:rPr>
      </w:pPr>
    </w:p>
    <w:p w14:paraId="5969AF10" w14:textId="77777777" w:rsidR="000900D3" w:rsidRDefault="00113037">
      <w:pPr>
        <w:spacing w:line="360" w:lineRule="auto"/>
        <w:jc w:val="both"/>
        <w:rPr>
          <w:rFonts w:ascii="Calibri" w:hAnsi="Calibri"/>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hint="cs"/>
          <w:rtl/>
        </w:rPr>
        <w:t>:</w:t>
      </w:r>
    </w:p>
    <w:p w14:paraId="466DCFE1" w14:textId="77777777" w:rsidR="000900D3" w:rsidRDefault="000900D3">
      <w:pPr>
        <w:spacing w:line="360" w:lineRule="auto"/>
        <w:jc w:val="both"/>
        <w:rPr>
          <w:rFonts w:ascii="Calibri" w:hAnsi="Calibri"/>
          <w:rtl/>
        </w:rPr>
      </w:pPr>
    </w:p>
    <w:p w14:paraId="7DCCC71F" w14:textId="77777777" w:rsidR="000900D3" w:rsidRDefault="00113037">
      <w:pPr>
        <w:spacing w:line="360" w:lineRule="auto"/>
        <w:ind w:left="720" w:hanging="720"/>
        <w:jc w:val="both"/>
        <w:rPr>
          <w:rFonts w:ascii="Calibri" w:hAnsi="Calibri"/>
          <w:rtl/>
        </w:rPr>
      </w:pPr>
      <w:r>
        <w:rPr>
          <w:rFonts w:ascii="Calibri" w:hAnsi="Calibri" w:hint="cs"/>
          <w:rtl/>
        </w:rPr>
        <w:t>78.</w:t>
      </w:r>
      <w:r>
        <w:rPr>
          <w:rFonts w:ascii="Calibri" w:hAnsi="Calibri" w:hint="cs"/>
          <w:rtl/>
        </w:rPr>
        <w:tab/>
      </w: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טענותיהם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שנפסקה</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לאל</w:t>
      </w:r>
      <w:r>
        <w:rPr>
          <w:rFonts w:ascii="Calibri" w:hAnsi="Calibri" w:hint="cs"/>
          <w:rtl/>
        </w:rPr>
        <w:t>ו</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w:t>
      </w:r>
      <w:r>
        <w:rPr>
          <w:rFonts w:ascii="Calibri" w:hAnsi="Calibri" w:hint="cs"/>
          <w:rtl/>
        </w:rPr>
        <w:t xml:space="preserve"> </w:t>
      </w:r>
      <w:r>
        <w:rPr>
          <w:rFonts w:ascii="Calibri" w:hAnsi="Calibri" w:hint="eastAsia"/>
          <w:rtl/>
        </w:rPr>
        <w:t>באתי</w:t>
      </w:r>
      <w:r>
        <w:rPr>
          <w:rFonts w:ascii="Calibri" w:hAnsi="Calibri"/>
          <w:rtl/>
        </w:rPr>
        <w:t xml:space="preserve"> </w:t>
      </w:r>
      <w:r>
        <w:rPr>
          <w:rFonts w:ascii="Calibri" w:hAnsi="Calibri" w:hint="eastAsia"/>
          <w:rtl/>
        </w:rPr>
        <w:t>ל</w:t>
      </w:r>
      <w:r>
        <w:rPr>
          <w:rFonts w:ascii="Calibri" w:hAnsi="Calibri" w:hint="cs"/>
          <w:rtl/>
        </w:rPr>
        <w:t xml:space="preserve">כלל </w:t>
      </w:r>
      <w:r>
        <w:rPr>
          <w:rFonts w:ascii="Calibri" w:hAnsi="Calibri" w:hint="eastAsia"/>
          <w:rtl/>
        </w:rPr>
        <w:t>דעה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כדלקמן</w:t>
      </w:r>
      <w:r>
        <w:rPr>
          <w:rFonts w:ascii="Calibri" w:hAnsi="Calibri" w:hint="cs"/>
          <w:rtl/>
        </w:rPr>
        <w:t xml:space="preserve"> וכך אני עושה</w:t>
      </w:r>
      <w:r>
        <w:rPr>
          <w:rFonts w:ascii="Calibri" w:hAnsi="Calibri"/>
          <w:rtl/>
        </w:rPr>
        <w:t xml:space="preserve">: </w:t>
      </w:r>
    </w:p>
    <w:p w14:paraId="33FFEF0B" w14:textId="77777777" w:rsidR="000900D3" w:rsidRDefault="000900D3">
      <w:pPr>
        <w:spacing w:line="360" w:lineRule="auto"/>
        <w:ind w:left="720"/>
        <w:jc w:val="both"/>
        <w:rPr>
          <w:rFonts w:ascii="Calibri" w:hAnsi="Calibri"/>
          <w:rtl/>
        </w:rPr>
      </w:pPr>
    </w:p>
    <w:p w14:paraId="7C82395B" w14:textId="77777777" w:rsidR="000900D3" w:rsidRDefault="00113037">
      <w:pPr>
        <w:numPr>
          <w:ilvl w:val="0"/>
          <w:numId w:val="3"/>
        </w:numPr>
        <w:spacing w:line="360" w:lineRule="auto"/>
        <w:contextualSpacing/>
        <w:jc w:val="both"/>
        <w:rPr>
          <w:rFonts w:ascii="Calibri" w:hAnsi="Calibri"/>
        </w:rPr>
      </w:pPr>
      <w:r>
        <w:rPr>
          <w:rFonts w:ascii="Calibri" w:hAnsi="Calibri" w:hint="cs"/>
          <w:rtl/>
        </w:rPr>
        <w:t>15</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26.02.15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06.05.15. </w:t>
      </w:r>
    </w:p>
    <w:p w14:paraId="2ADF5963" w14:textId="77777777" w:rsidR="000900D3" w:rsidRDefault="00113037">
      <w:pPr>
        <w:numPr>
          <w:ilvl w:val="0"/>
          <w:numId w:val="3"/>
        </w:numPr>
        <w:spacing w:line="360" w:lineRule="auto"/>
        <w:contextualSpacing/>
        <w:jc w:val="both"/>
        <w:rPr>
          <w:rFonts w:ascii="Calibri" w:hAnsi="Calibri"/>
        </w:rPr>
      </w:pPr>
      <w:r>
        <w:rPr>
          <w:rFonts w:ascii="Calibri" w:hAnsi="Calibri" w:hint="cs"/>
          <w:rtl/>
        </w:rPr>
        <w:t>12</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cs"/>
          <w:rtl/>
        </w:rPr>
        <w:t xml:space="preserve">או עבירת אלימות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ויורשע</w:t>
      </w:r>
      <w:r>
        <w:rPr>
          <w:rFonts w:ascii="Calibri" w:hAnsi="Calibri"/>
          <w:rtl/>
        </w:rPr>
        <w:t xml:space="preserve"> </w:t>
      </w:r>
      <w:r>
        <w:rPr>
          <w:rFonts w:ascii="Calibri" w:hAnsi="Calibri" w:hint="eastAsia"/>
          <w:rtl/>
        </w:rPr>
        <w:t>בגינה</w:t>
      </w:r>
      <w:r>
        <w:rPr>
          <w:rFonts w:ascii="Calibri" w:hAnsi="Calibri"/>
          <w:rtl/>
        </w:rPr>
        <w:t xml:space="preserve">. </w:t>
      </w:r>
    </w:p>
    <w:p w14:paraId="5574F238" w14:textId="77777777" w:rsidR="000900D3" w:rsidRDefault="000900D3">
      <w:pPr>
        <w:spacing w:line="360" w:lineRule="auto"/>
        <w:ind w:left="1140"/>
        <w:contextualSpacing/>
        <w:jc w:val="both"/>
        <w:rPr>
          <w:rFonts w:ascii="Calibri" w:hAnsi="Calibri"/>
        </w:rPr>
      </w:pPr>
    </w:p>
    <w:p w14:paraId="027D4496" w14:textId="77777777" w:rsidR="000900D3" w:rsidRDefault="00113037">
      <w:pPr>
        <w:numPr>
          <w:ilvl w:val="0"/>
          <w:numId w:val="3"/>
        </w:numPr>
        <w:spacing w:line="360" w:lineRule="auto"/>
        <w:contextualSpacing/>
        <w:jc w:val="both"/>
        <w:rPr>
          <w:rFonts w:ascii="Calibri" w:hAnsi="Calibri"/>
        </w:rPr>
      </w:pPr>
      <w:r>
        <w:rPr>
          <w:rFonts w:ascii="Calibri" w:hAnsi="Calibri" w:hint="cs"/>
          <w:rtl/>
        </w:rPr>
        <w:t xml:space="preserve">קנס בסך של 5,000 </w:t>
      </w:r>
      <w:r>
        <w:rPr>
          <w:rFonts w:ascii="Calibri" w:hAnsi="Calibri" w:hint="eastAsia"/>
          <w:rtl/>
        </w:rPr>
        <w:t>₪</w:t>
      </w:r>
      <w:r>
        <w:rPr>
          <w:rFonts w:ascii="Calibri" w:hAnsi="Calibri" w:hint="cs"/>
          <w:rtl/>
        </w:rPr>
        <w:t xml:space="preserve"> או 50 ימי מאסר תמורתו. </w:t>
      </w:r>
    </w:p>
    <w:p w14:paraId="1ABCD3BC" w14:textId="77777777" w:rsidR="000900D3" w:rsidRDefault="000900D3">
      <w:pPr>
        <w:spacing w:line="360" w:lineRule="auto"/>
        <w:ind w:left="1140"/>
        <w:contextualSpacing/>
        <w:jc w:val="both"/>
        <w:rPr>
          <w:rFonts w:ascii="Calibri" w:hAnsi="Calibri"/>
        </w:rPr>
      </w:pPr>
    </w:p>
    <w:p w14:paraId="59139157" w14:textId="77777777" w:rsidR="000900D3" w:rsidRDefault="00113037">
      <w:pPr>
        <w:numPr>
          <w:ilvl w:val="0"/>
          <w:numId w:val="3"/>
        </w:numPr>
        <w:spacing w:line="360" w:lineRule="auto"/>
        <w:contextualSpacing/>
        <w:jc w:val="both"/>
        <w:rPr>
          <w:rFonts w:ascii="Calibri" w:hAnsi="Calibri"/>
        </w:rPr>
      </w:pPr>
      <w:r>
        <w:rPr>
          <w:rFonts w:ascii="Calibri" w:hAnsi="Calibri" w:hint="cs"/>
          <w:rtl/>
        </w:rPr>
        <w:t>הקנס ישולם בחמישה תשלומים שווים ורצופים החל מיום 01.02.16 וכלה בכל ראשון לכל חודש שלאחריו.</w:t>
      </w:r>
    </w:p>
    <w:p w14:paraId="5EBB905E" w14:textId="77777777" w:rsidR="000900D3" w:rsidRDefault="000900D3">
      <w:pPr>
        <w:spacing w:line="360" w:lineRule="auto"/>
        <w:ind w:left="720"/>
        <w:contextualSpacing/>
        <w:jc w:val="both"/>
        <w:rPr>
          <w:rFonts w:ascii="Calibri" w:hAnsi="Calibri"/>
          <w:rtl/>
        </w:rPr>
      </w:pPr>
    </w:p>
    <w:p w14:paraId="5C9E5737" w14:textId="77777777" w:rsidR="000900D3" w:rsidRDefault="00113037">
      <w:pPr>
        <w:spacing w:line="360" w:lineRule="auto"/>
        <w:ind w:left="720"/>
        <w:jc w:val="both"/>
        <w:rPr>
          <w:rFonts w:ascii="Calibri" w:hAnsi="Calibri"/>
          <w:rtl/>
        </w:rPr>
      </w:pP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 xml:space="preserve"> </w:t>
      </w:r>
      <w:r>
        <w:rPr>
          <w:rFonts w:ascii="Calibri" w:hAnsi="Calibri" w:hint="eastAsia"/>
          <w:b/>
          <w:bCs/>
          <w:u w:val="single"/>
          <w:rtl/>
        </w:rPr>
        <w:t>מהיום</w:t>
      </w:r>
      <w:r>
        <w:rPr>
          <w:rFonts w:ascii="Calibri" w:hAnsi="Calibri"/>
          <w:b/>
          <w:bCs/>
          <w:u w:val="single"/>
          <w:rtl/>
        </w:rPr>
        <w:t xml:space="preserve"> </w:t>
      </w:r>
      <w:r>
        <w:rPr>
          <w:rFonts w:ascii="Calibri" w:hAnsi="Calibri" w:hint="eastAsia"/>
          <w:b/>
          <w:bCs/>
          <w:u w:val="single"/>
          <w:rtl/>
        </w:rPr>
        <w:t>לבית</w:t>
      </w:r>
      <w:r>
        <w:rPr>
          <w:rFonts w:ascii="Calibri" w:hAnsi="Calibri"/>
          <w:b/>
          <w:bCs/>
          <w:u w:val="single"/>
          <w:rtl/>
        </w:rPr>
        <w:t xml:space="preserve"> </w:t>
      </w:r>
      <w:r>
        <w:rPr>
          <w:rFonts w:ascii="Calibri" w:hAnsi="Calibri" w:hint="eastAsia"/>
          <w:b/>
          <w:bCs/>
          <w:u w:val="single"/>
          <w:rtl/>
        </w:rPr>
        <w:t>המשפט</w:t>
      </w:r>
      <w:r>
        <w:rPr>
          <w:rFonts w:ascii="Calibri" w:hAnsi="Calibri"/>
          <w:b/>
          <w:bCs/>
          <w:u w:val="single"/>
          <w:rtl/>
        </w:rPr>
        <w:t xml:space="preserve"> </w:t>
      </w:r>
      <w:r>
        <w:rPr>
          <w:rFonts w:ascii="Calibri" w:hAnsi="Calibri" w:hint="eastAsia"/>
          <w:b/>
          <w:bCs/>
          <w:u w:val="single"/>
          <w:rtl/>
        </w:rPr>
        <w:t>העליון</w:t>
      </w:r>
      <w:r>
        <w:rPr>
          <w:rFonts w:ascii="Calibri" w:hAnsi="Calibri"/>
          <w:b/>
          <w:bCs/>
          <w:u w:val="single"/>
          <w:rtl/>
        </w:rPr>
        <w:t xml:space="preserve">, </w:t>
      </w:r>
      <w:r>
        <w:rPr>
          <w:rFonts w:ascii="Calibri" w:hAnsi="Calibri" w:hint="eastAsia"/>
          <w:b/>
          <w:bCs/>
          <w:u w:val="single"/>
          <w:rtl/>
        </w:rPr>
        <w:t>הודעה</w:t>
      </w:r>
      <w:r>
        <w:rPr>
          <w:rFonts w:ascii="Calibri" w:hAnsi="Calibri"/>
          <w:b/>
          <w:bCs/>
          <w:u w:val="single"/>
          <w:rtl/>
        </w:rPr>
        <w:t xml:space="preserve"> </w:t>
      </w:r>
      <w:r>
        <w:rPr>
          <w:rFonts w:ascii="Calibri" w:hAnsi="Calibri" w:hint="eastAsia"/>
          <w:b/>
          <w:bCs/>
          <w:u w:val="single"/>
          <w:rtl/>
        </w:rPr>
        <w:t>לנאשם</w:t>
      </w:r>
      <w:r>
        <w:rPr>
          <w:rFonts w:ascii="Calibri" w:hAnsi="Calibri" w:hint="cs"/>
          <w:rtl/>
        </w:rPr>
        <w:t>.</w:t>
      </w:r>
    </w:p>
    <w:p w14:paraId="4184B67E" w14:textId="77777777" w:rsidR="000900D3" w:rsidRDefault="00113037">
      <w:pPr>
        <w:spacing w:line="360" w:lineRule="auto"/>
        <w:jc w:val="both"/>
        <w:rPr>
          <w:rFonts w:ascii="Calibri" w:hAnsi="Calibri"/>
          <w:rtl/>
        </w:rPr>
      </w:pPr>
      <w:r>
        <w:rPr>
          <w:rFonts w:ascii="Calibri" w:hAnsi="Calibri"/>
          <w:rtl/>
        </w:rPr>
        <w:tab/>
      </w:r>
    </w:p>
    <w:p w14:paraId="1B59CDA0" w14:textId="77777777" w:rsidR="000900D3" w:rsidRDefault="00113037">
      <w:pPr>
        <w:spacing w:line="360" w:lineRule="auto"/>
        <w:ind w:left="720"/>
        <w:jc w:val="both"/>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ג</w:t>
      </w:r>
      <w:r>
        <w:rPr>
          <w:rFonts w:ascii="Calibri" w:hAnsi="Calibri"/>
          <w:rtl/>
        </w:rPr>
        <w:t xml:space="preserve">' </w:t>
      </w:r>
      <w:r>
        <w:rPr>
          <w:rFonts w:ascii="Calibri" w:hAnsi="Calibri" w:hint="eastAsia"/>
          <w:rtl/>
        </w:rPr>
        <w:t>טבת</w:t>
      </w:r>
      <w:r>
        <w:rPr>
          <w:rFonts w:ascii="Calibri" w:hAnsi="Calibri"/>
          <w:rtl/>
        </w:rPr>
        <w:t xml:space="preserve">, 15 </w:t>
      </w:r>
      <w:r>
        <w:rPr>
          <w:rFonts w:ascii="Calibri" w:hAnsi="Calibri" w:hint="eastAsia"/>
          <w:rtl/>
        </w:rPr>
        <w:t>דצמבר</w:t>
      </w:r>
      <w:r>
        <w:rPr>
          <w:rFonts w:ascii="Calibri" w:hAnsi="Calibri"/>
          <w:rtl/>
        </w:rPr>
        <w:t xml:space="preserve"> 2015, </w:t>
      </w:r>
      <w:r>
        <w:rPr>
          <w:rFonts w:ascii="Calibri" w:hAnsi="Calibri" w:hint="eastAsia"/>
          <w:rtl/>
        </w:rPr>
        <w:t>במעמד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שרון</w:t>
      </w:r>
      <w:r>
        <w:rPr>
          <w:rFonts w:ascii="Calibri" w:hAnsi="Calibri"/>
          <w:rtl/>
        </w:rPr>
        <w:t xml:space="preserve"> </w:t>
      </w:r>
      <w:r>
        <w:rPr>
          <w:rFonts w:ascii="Calibri" w:hAnsi="Calibri" w:hint="eastAsia"/>
          <w:rtl/>
        </w:rPr>
        <w:t>איל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ובא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תומר</w:t>
      </w:r>
      <w:r>
        <w:rPr>
          <w:rFonts w:ascii="Calibri" w:hAnsi="Calibri"/>
          <w:rtl/>
        </w:rPr>
        <w:t xml:space="preserve"> </w:t>
      </w:r>
      <w:r>
        <w:rPr>
          <w:rFonts w:ascii="Calibri" w:hAnsi="Calibri" w:hint="eastAsia"/>
          <w:rtl/>
        </w:rPr>
        <w:t>נווה</w:t>
      </w:r>
      <w:r>
        <w:rPr>
          <w:rFonts w:ascii="Calibri" w:hAnsi="Calibri"/>
          <w:rtl/>
        </w:rPr>
        <w:t>.</w:t>
      </w:r>
    </w:p>
    <w:p w14:paraId="5F324266" w14:textId="77777777" w:rsidR="000900D3" w:rsidRDefault="000900D3">
      <w:pPr>
        <w:spacing w:line="360" w:lineRule="auto"/>
        <w:ind w:left="720"/>
        <w:contextualSpacing/>
        <w:jc w:val="both"/>
        <w:rPr>
          <w:rFonts w:ascii="Calibri" w:hAnsi="Calibri"/>
          <w:rtl/>
        </w:rPr>
      </w:pPr>
    </w:p>
    <w:p w14:paraId="262A23A4" w14:textId="77777777" w:rsidR="00113037" w:rsidRPr="00113037" w:rsidRDefault="00113037" w:rsidP="00113037">
      <w:pPr>
        <w:keepNext/>
        <w:rPr>
          <w:rFonts w:ascii="David" w:hAnsi="David"/>
          <w:color w:val="000000"/>
          <w:sz w:val="22"/>
          <w:szCs w:val="22"/>
          <w:rtl/>
        </w:rPr>
      </w:pPr>
      <w:r w:rsidRPr="00113037">
        <w:rPr>
          <w:rFonts w:ascii="David" w:hAnsi="David"/>
          <w:color w:val="000000"/>
          <w:sz w:val="22"/>
          <w:szCs w:val="22"/>
          <w:rtl/>
        </w:rPr>
        <w:t>כמאל סעב 15.12.15 54678313</w:t>
      </w:r>
    </w:p>
    <w:p w14:paraId="39A6033A" w14:textId="77777777" w:rsidR="00113037" w:rsidRDefault="00113037" w:rsidP="00113037">
      <w:r w:rsidRPr="00113037">
        <w:rPr>
          <w:color w:val="000000"/>
          <w:rtl/>
        </w:rPr>
        <w:t>נוסח מסמך זה כפוף לשינויי ניסוח ועריכה</w:t>
      </w:r>
    </w:p>
    <w:p w14:paraId="30D687D6" w14:textId="77777777" w:rsidR="00113037" w:rsidRDefault="00113037" w:rsidP="00113037">
      <w:pPr>
        <w:rPr>
          <w:rtl/>
        </w:rPr>
      </w:pPr>
    </w:p>
    <w:p w14:paraId="3125E653" w14:textId="77777777" w:rsidR="00113037" w:rsidRDefault="00113037" w:rsidP="0011303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1601BFDE" w14:textId="77777777" w:rsidR="000900D3" w:rsidRPr="00113037" w:rsidRDefault="000900D3" w:rsidP="00113037">
      <w:pPr>
        <w:jc w:val="center"/>
        <w:rPr>
          <w:color w:val="0000FF"/>
          <w:u w:val="single"/>
        </w:rPr>
      </w:pPr>
    </w:p>
    <w:sectPr w:rsidR="000900D3" w:rsidRPr="00113037" w:rsidSect="00113037">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EAE30" w14:textId="77777777" w:rsidR="00677D23" w:rsidRDefault="00677D23">
      <w:r>
        <w:separator/>
      </w:r>
    </w:p>
  </w:endnote>
  <w:endnote w:type="continuationSeparator" w:id="0">
    <w:p w14:paraId="0B333079" w14:textId="77777777" w:rsidR="00677D23" w:rsidRDefault="006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9AAC5" w14:textId="77777777" w:rsidR="00686CEE" w:rsidRDefault="00686CEE" w:rsidP="001130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A94991" w14:textId="77777777" w:rsidR="00686CEE" w:rsidRPr="00113037" w:rsidRDefault="00686CEE" w:rsidP="00113037">
    <w:pPr>
      <w:pStyle w:val="a4"/>
      <w:pBdr>
        <w:top w:val="single" w:sz="4" w:space="1" w:color="auto"/>
        <w:between w:val="single" w:sz="4" w:space="0" w:color="auto"/>
      </w:pBdr>
      <w:spacing w:after="60"/>
      <w:jc w:val="center"/>
      <w:rPr>
        <w:rFonts w:ascii="FrankRuehl" w:hAnsi="FrankRuehl" w:cs="FrankRuehl"/>
        <w:color w:val="000000"/>
      </w:rPr>
    </w:pPr>
    <w:r w:rsidRPr="001130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224CD" w14:textId="77777777" w:rsidR="00686CEE" w:rsidRDefault="00686CEE" w:rsidP="0011303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1D8">
      <w:rPr>
        <w:rFonts w:ascii="FrankRuehl" w:hAnsi="FrankRuehl" w:cs="FrankRuehl"/>
        <w:noProof/>
        <w:rtl/>
      </w:rPr>
      <w:t>1</w:t>
    </w:r>
    <w:r>
      <w:rPr>
        <w:rFonts w:ascii="FrankRuehl" w:hAnsi="FrankRuehl" w:cs="FrankRuehl"/>
        <w:rtl/>
      </w:rPr>
      <w:fldChar w:fldCharType="end"/>
    </w:r>
  </w:p>
  <w:p w14:paraId="225A7935" w14:textId="77777777" w:rsidR="00686CEE" w:rsidRPr="00113037" w:rsidRDefault="00686CEE" w:rsidP="00113037">
    <w:pPr>
      <w:pStyle w:val="a4"/>
      <w:pBdr>
        <w:top w:val="single" w:sz="4" w:space="1" w:color="auto"/>
        <w:between w:val="single" w:sz="4" w:space="0" w:color="auto"/>
      </w:pBdr>
      <w:spacing w:after="60"/>
      <w:jc w:val="center"/>
      <w:rPr>
        <w:rFonts w:ascii="FrankRuehl" w:hAnsi="FrankRuehl" w:cs="FrankRuehl"/>
        <w:color w:val="000000"/>
      </w:rPr>
    </w:pPr>
    <w:r w:rsidRPr="00113037">
      <w:rPr>
        <w:rFonts w:ascii="FrankRuehl" w:hAnsi="FrankRuehl" w:cs="FrankRuehl"/>
        <w:color w:val="000000"/>
      </w:rPr>
      <w:pict w14:anchorId="665C6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E7882" w14:textId="77777777" w:rsidR="00677D23" w:rsidRDefault="00677D23">
      <w:r>
        <w:separator/>
      </w:r>
    </w:p>
  </w:footnote>
  <w:footnote w:type="continuationSeparator" w:id="0">
    <w:p w14:paraId="4E2DF23F" w14:textId="77777777" w:rsidR="00677D23" w:rsidRDefault="006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10AAF" w14:textId="77777777" w:rsidR="00686CEE" w:rsidRPr="00113037" w:rsidRDefault="00686CEE" w:rsidP="001130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21009-03-15</w:t>
    </w:r>
    <w:r>
      <w:rPr>
        <w:rFonts w:ascii="David" w:hAnsi="David"/>
        <w:color w:val="000000"/>
        <w:sz w:val="22"/>
        <w:szCs w:val="22"/>
        <w:rtl/>
      </w:rPr>
      <w:tab/>
      <w:t xml:space="preserve"> מדינת ישראל נ' עאוני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85EC" w14:textId="77777777" w:rsidR="00686CEE" w:rsidRPr="00113037" w:rsidRDefault="00686CEE" w:rsidP="001130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21009-03-15</w:t>
    </w:r>
    <w:r>
      <w:rPr>
        <w:rFonts w:ascii="David" w:hAnsi="David"/>
        <w:color w:val="000000"/>
        <w:sz w:val="22"/>
        <w:szCs w:val="22"/>
        <w:rtl/>
      </w:rPr>
      <w:tab/>
      <w:t xml:space="preserve"> מדינת ישראל נ' עאוני סואעד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250392"/>
    <w:multiLevelType w:val="hybridMultilevel"/>
    <w:tmpl w:val="915E6F42"/>
    <w:lvl w:ilvl="0" w:tplc="D2C42594">
      <w:start w:val="1"/>
      <w:numFmt w:val="hebrew1"/>
      <w:lvlText w:val="%1."/>
      <w:lvlJc w:val="left"/>
      <w:pPr>
        <w:ind w:left="1140" w:hanging="360"/>
      </w:pPr>
      <w:rPr>
        <w:rFonts w:cs="David"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num w:numId="1" w16cid:durableId="1250042856">
    <w:abstractNumId w:val="1"/>
  </w:num>
  <w:num w:numId="2" w16cid:durableId="608122564">
    <w:abstractNumId w:val="0"/>
  </w:num>
  <w:num w:numId="3" w16cid:durableId="706417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0D3"/>
    <w:rsid w:val="000900D3"/>
    <w:rsid w:val="00113037"/>
    <w:rsid w:val="003F290C"/>
    <w:rsid w:val="004745BE"/>
    <w:rsid w:val="00677D23"/>
    <w:rsid w:val="00686CEE"/>
    <w:rsid w:val="00784F79"/>
    <w:rsid w:val="007E4AD7"/>
    <w:rsid w:val="00912C0E"/>
    <w:rsid w:val="00CB2195"/>
    <w:rsid w:val="00E741D8"/>
    <w:rsid w:val="00F13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515764"/>
  <w15:chartTrackingRefBased/>
  <w15:docId w15:val="{A29632DF-A054-4D67-8213-44ED6BA7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0D3"/>
    <w:pPr>
      <w:bidi/>
    </w:pPr>
    <w:rPr>
      <w:rFonts w:cs="David"/>
      <w:sz w:val="24"/>
      <w:szCs w:val="24"/>
    </w:rPr>
  </w:style>
  <w:style w:type="paragraph" w:styleId="1">
    <w:name w:val="heading 1"/>
    <w:basedOn w:val="a"/>
    <w:next w:val="a"/>
    <w:qFormat/>
    <w:rsid w:val="000900D3"/>
    <w:pPr>
      <w:keepNext/>
      <w:spacing w:before="240" w:after="60"/>
      <w:outlineLvl w:val="0"/>
    </w:pPr>
    <w:rPr>
      <w:rFonts w:ascii="Arial" w:hAnsi="Arial" w:cs="Arial"/>
      <w:b/>
      <w:bCs/>
      <w:kern w:val="32"/>
      <w:sz w:val="32"/>
      <w:szCs w:val="32"/>
    </w:rPr>
  </w:style>
  <w:style w:type="paragraph" w:styleId="4">
    <w:name w:val="heading 4"/>
    <w:basedOn w:val="a"/>
    <w:next w:val="a"/>
    <w:qFormat/>
    <w:rsid w:val="000900D3"/>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900D3"/>
    <w:pPr>
      <w:tabs>
        <w:tab w:val="center" w:pos="4153"/>
        <w:tab w:val="right" w:pos="8306"/>
      </w:tabs>
    </w:pPr>
  </w:style>
  <w:style w:type="paragraph" w:styleId="a4">
    <w:name w:val="footer"/>
    <w:basedOn w:val="a"/>
    <w:rsid w:val="000900D3"/>
    <w:pPr>
      <w:tabs>
        <w:tab w:val="center" w:pos="4153"/>
        <w:tab w:val="right" w:pos="8306"/>
      </w:tabs>
    </w:pPr>
  </w:style>
  <w:style w:type="character" w:styleId="a5">
    <w:name w:val="annotation reference"/>
    <w:rsid w:val="000900D3"/>
    <w:rPr>
      <w:sz w:val="16"/>
      <w:szCs w:val="16"/>
    </w:rPr>
  </w:style>
  <w:style w:type="paragraph" w:styleId="a6">
    <w:name w:val="annotation text"/>
    <w:basedOn w:val="a"/>
    <w:rsid w:val="000900D3"/>
    <w:rPr>
      <w:rFonts w:cs="Times New Roman"/>
      <w:lang w:eastAsia="he-IL"/>
    </w:rPr>
  </w:style>
  <w:style w:type="paragraph" w:styleId="a7">
    <w:name w:val="Balloon Text"/>
    <w:basedOn w:val="a"/>
    <w:rsid w:val="000900D3"/>
    <w:rPr>
      <w:rFonts w:ascii="Tahoma" w:hAnsi="Tahoma" w:cs="Tahoma"/>
      <w:sz w:val="16"/>
      <w:szCs w:val="16"/>
    </w:rPr>
  </w:style>
  <w:style w:type="table" w:styleId="a8">
    <w:name w:val="Table Grid"/>
    <w:basedOn w:val="a1"/>
    <w:rsid w:val="000900D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900D3"/>
  </w:style>
  <w:style w:type="paragraph" w:customStyle="1" w:styleId="12">
    <w:name w:val="רגיל + ‏12 נק'"/>
    <w:aliases w:val="מיושר לשני הצדדים,מרווח בין שורות:  שורה וחצי"/>
    <w:basedOn w:val="a"/>
    <w:rsid w:val="000900D3"/>
    <w:rPr>
      <w:b/>
      <w:bCs/>
      <w:u w:val="single"/>
    </w:rPr>
  </w:style>
  <w:style w:type="character" w:customStyle="1" w:styleId="TimesNewRomanTimesNewRoman">
    <w:name w:val="סגנון (לטיני) Times New Roman (עברית ושפות אחרות) Times New Roman..."/>
    <w:rsid w:val="000900D3"/>
    <w:rPr>
      <w:rFonts w:ascii="Times New Roman" w:hAnsi="Times New Roman" w:cs="David" w:hint="default"/>
      <w:b/>
      <w:bCs/>
      <w:sz w:val="26"/>
      <w:szCs w:val="26"/>
    </w:rPr>
  </w:style>
  <w:style w:type="character" w:styleId="Hyperlink">
    <w:name w:val="Hyperlink"/>
    <w:rsid w:val="00090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764" TargetMode="External"/><Relationship Id="rId26" Type="http://schemas.openxmlformats.org/officeDocument/2006/relationships/hyperlink" Target="http://www.nevo.co.il/case/17954222" TargetMode="External"/><Relationship Id="rId39" Type="http://schemas.openxmlformats.org/officeDocument/2006/relationships/hyperlink" Target="http://www.nevo.co.il/case/5878682" TargetMode="External"/><Relationship Id="rId21" Type="http://schemas.openxmlformats.org/officeDocument/2006/relationships/hyperlink" Target="http://www.nevo.co.il/case/6072945"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605875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4764" TargetMode="External"/><Relationship Id="rId24" Type="http://schemas.openxmlformats.org/officeDocument/2006/relationships/hyperlink" Target="http://www.nevo.co.il/case/5762686" TargetMode="External"/><Relationship Id="rId32" Type="http://schemas.openxmlformats.org/officeDocument/2006/relationships/hyperlink" Target="http://www.nevo.co.il/case/425849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4552738"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41073" TargetMode="External"/><Relationship Id="rId28" Type="http://schemas.openxmlformats.org/officeDocument/2006/relationships/hyperlink" Target="http://www.nevo.co.il/case/3507722" TargetMode="External"/><Relationship Id="rId36" Type="http://schemas.openxmlformats.org/officeDocument/2006/relationships/hyperlink" Target="http://www.nevo.co.il/law/70301/144.a" TargetMode="External"/><Relationship Id="rId49" Type="http://schemas.openxmlformats.org/officeDocument/2006/relationships/fontTable" Target="fontTable.xml"/><Relationship Id="rId10" Type="http://schemas.openxmlformats.org/officeDocument/2006/relationships/hyperlink" Target="http://www.nevo.co.il/law/70301/192" TargetMode="External"/><Relationship Id="rId19" Type="http://schemas.openxmlformats.org/officeDocument/2006/relationships/hyperlink" Target="http://www.nevo.co.il/case/5873817" TargetMode="External"/><Relationship Id="rId31" Type="http://schemas.openxmlformats.org/officeDocument/2006/relationships/hyperlink" Target="http://www.nevo.co.il/case/5597217"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040482" TargetMode="External"/><Relationship Id="rId27" Type="http://schemas.openxmlformats.org/officeDocument/2006/relationships/hyperlink" Target="http://www.nevo.co.il/case/787851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42647" TargetMode="External"/><Relationship Id="rId43" Type="http://schemas.openxmlformats.org/officeDocument/2006/relationships/hyperlink" Target="http://www.nevo.co.il/case/18131336" TargetMode="External"/><Relationship Id="rId48"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4764/4a" TargetMode="External"/><Relationship Id="rId17" Type="http://schemas.openxmlformats.org/officeDocument/2006/relationships/hyperlink" Target="http://www.nevo.co.il/law/4764/4a" TargetMode="External"/><Relationship Id="rId25" Type="http://schemas.openxmlformats.org/officeDocument/2006/relationships/hyperlink" Target="http://www.nevo.co.il/case/6000182" TargetMode="External"/><Relationship Id="rId33" Type="http://schemas.openxmlformats.org/officeDocument/2006/relationships/hyperlink" Target="http://www.nevo.co.il/case/6024035" TargetMode="External"/><Relationship Id="rId38" Type="http://schemas.openxmlformats.org/officeDocument/2006/relationships/hyperlink" Target="http://www.nevo.co.il/case/6151556" TargetMode="External"/><Relationship Id="rId46" Type="http://schemas.openxmlformats.org/officeDocument/2006/relationships/header" Target="header2.xml"/><Relationship Id="rId20" Type="http://schemas.openxmlformats.org/officeDocument/2006/relationships/hyperlink" Target="http://www.nevo.co.il/case/5852404" TargetMode="External"/><Relationship Id="rId41"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3741</Words>
  <Characters>18709</Characters>
  <Application>Microsoft Office Word</Application>
  <DocSecurity>0</DocSecurity>
  <Lines>155</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22406</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3276924</vt:i4>
      </vt:variant>
      <vt:variant>
        <vt:i4>108</vt:i4>
      </vt:variant>
      <vt:variant>
        <vt:i4>0</vt:i4>
      </vt:variant>
      <vt:variant>
        <vt:i4>5</vt:i4>
      </vt:variant>
      <vt:variant>
        <vt:lpwstr>http://www.nevo.co.il/case/18131336</vt:lpwstr>
      </vt:variant>
      <vt:variant>
        <vt:lpwstr/>
      </vt:variant>
      <vt:variant>
        <vt:i4>3342457</vt:i4>
      </vt:variant>
      <vt:variant>
        <vt:i4>105</vt:i4>
      </vt:variant>
      <vt:variant>
        <vt:i4>0</vt:i4>
      </vt:variant>
      <vt:variant>
        <vt:i4>5</vt:i4>
      </vt:variant>
      <vt:variant>
        <vt:lpwstr>http://www.nevo.co.il/case/6058757</vt:lpwstr>
      </vt:variant>
      <vt:variant>
        <vt:lpwstr/>
      </vt:variant>
      <vt:variant>
        <vt:i4>3997810</vt:i4>
      </vt:variant>
      <vt:variant>
        <vt:i4>102</vt:i4>
      </vt:variant>
      <vt:variant>
        <vt:i4>0</vt:i4>
      </vt:variant>
      <vt:variant>
        <vt:i4>5</vt:i4>
      </vt:variant>
      <vt:variant>
        <vt:lpwstr>http://www.nevo.co.il/case/6072945</vt:lpwstr>
      </vt:variant>
      <vt:variant>
        <vt:lpwstr/>
      </vt:variant>
      <vt:variant>
        <vt:i4>4063344</vt:i4>
      </vt:variant>
      <vt:variant>
        <vt:i4>99</vt:i4>
      </vt:variant>
      <vt:variant>
        <vt:i4>0</vt:i4>
      </vt:variant>
      <vt:variant>
        <vt:i4>5</vt:i4>
      </vt:variant>
      <vt:variant>
        <vt:lpwstr>http://www.nevo.co.il/case/4552738</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3145841</vt:i4>
      </vt:variant>
      <vt:variant>
        <vt:i4>93</vt:i4>
      </vt:variant>
      <vt:variant>
        <vt:i4>0</vt:i4>
      </vt:variant>
      <vt:variant>
        <vt:i4>5</vt:i4>
      </vt:variant>
      <vt:variant>
        <vt:lpwstr>http://www.nevo.co.il/case/6151556</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70</vt:i4>
      </vt:variant>
      <vt:variant>
        <vt:i4>84</vt:i4>
      </vt:variant>
      <vt:variant>
        <vt:i4>0</vt:i4>
      </vt:variant>
      <vt:variant>
        <vt:i4>5</vt:i4>
      </vt:variant>
      <vt:variant>
        <vt:lpwstr>http://www.nevo.co.il/case/642647</vt:lpwstr>
      </vt:variant>
      <vt:variant>
        <vt:lpwstr/>
      </vt:variant>
      <vt:variant>
        <vt:i4>3473532</vt:i4>
      </vt:variant>
      <vt:variant>
        <vt:i4>81</vt:i4>
      </vt:variant>
      <vt:variant>
        <vt:i4>0</vt:i4>
      </vt:variant>
      <vt:variant>
        <vt:i4>5</vt:i4>
      </vt:variant>
      <vt:variant>
        <vt:lpwstr>http://www.nevo.co.il/case/6000182</vt:lpwstr>
      </vt:variant>
      <vt:variant>
        <vt:lpwstr/>
      </vt:variant>
      <vt:variant>
        <vt:i4>3211379</vt:i4>
      </vt:variant>
      <vt:variant>
        <vt:i4>78</vt:i4>
      </vt:variant>
      <vt:variant>
        <vt:i4>0</vt:i4>
      </vt:variant>
      <vt:variant>
        <vt:i4>5</vt:i4>
      </vt:variant>
      <vt:variant>
        <vt:lpwstr>http://www.nevo.co.il/case/6024035</vt:lpwstr>
      </vt:variant>
      <vt:variant>
        <vt:lpwstr/>
      </vt:variant>
      <vt:variant>
        <vt:i4>3932279</vt:i4>
      </vt:variant>
      <vt:variant>
        <vt:i4>75</vt:i4>
      </vt:variant>
      <vt:variant>
        <vt:i4>0</vt:i4>
      </vt:variant>
      <vt:variant>
        <vt:i4>5</vt:i4>
      </vt:variant>
      <vt:variant>
        <vt:lpwstr>http://www.nevo.co.il/case/4258499</vt:lpwstr>
      </vt:variant>
      <vt:variant>
        <vt:lpwstr/>
      </vt:variant>
      <vt:variant>
        <vt:i4>3735671</vt:i4>
      </vt:variant>
      <vt:variant>
        <vt:i4>72</vt:i4>
      </vt:variant>
      <vt:variant>
        <vt:i4>0</vt:i4>
      </vt:variant>
      <vt:variant>
        <vt:i4>5</vt:i4>
      </vt:variant>
      <vt:variant>
        <vt:lpwstr>http://www.nevo.co.il/case/5597217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3539060</vt:i4>
      </vt:variant>
      <vt:variant>
        <vt:i4>63</vt:i4>
      </vt:variant>
      <vt:variant>
        <vt:i4>0</vt:i4>
      </vt:variant>
      <vt:variant>
        <vt:i4>5</vt:i4>
      </vt:variant>
      <vt:variant>
        <vt:lpwstr>http://www.nevo.co.il/case/3507722</vt:lpwstr>
      </vt:variant>
      <vt:variant>
        <vt:lpwstr/>
      </vt:variant>
      <vt:variant>
        <vt:i4>3473525</vt:i4>
      </vt:variant>
      <vt:variant>
        <vt:i4>60</vt:i4>
      </vt:variant>
      <vt:variant>
        <vt:i4>0</vt:i4>
      </vt:variant>
      <vt:variant>
        <vt:i4>5</vt:i4>
      </vt:variant>
      <vt:variant>
        <vt:lpwstr>http://www.nevo.co.il/case/7878510</vt:lpwstr>
      </vt:variant>
      <vt:variant>
        <vt:lpwstr/>
      </vt:variant>
      <vt:variant>
        <vt:i4>4063348</vt:i4>
      </vt:variant>
      <vt:variant>
        <vt:i4>57</vt:i4>
      </vt:variant>
      <vt:variant>
        <vt:i4>0</vt:i4>
      </vt:variant>
      <vt:variant>
        <vt:i4>5</vt:i4>
      </vt:variant>
      <vt:variant>
        <vt:lpwstr>http://www.nevo.co.il/case/17954222</vt:lpwstr>
      </vt:variant>
      <vt:variant>
        <vt:lpwstr/>
      </vt:variant>
      <vt:variant>
        <vt:i4>3473532</vt:i4>
      </vt:variant>
      <vt:variant>
        <vt:i4>54</vt:i4>
      </vt:variant>
      <vt:variant>
        <vt:i4>0</vt:i4>
      </vt:variant>
      <vt:variant>
        <vt:i4>5</vt:i4>
      </vt:variant>
      <vt:variant>
        <vt:lpwstr>http://www.nevo.co.il/case/6000182</vt:lpwstr>
      </vt:variant>
      <vt:variant>
        <vt:lpwstr/>
      </vt:variant>
      <vt:variant>
        <vt:i4>3342457</vt:i4>
      </vt:variant>
      <vt:variant>
        <vt:i4>51</vt:i4>
      </vt:variant>
      <vt:variant>
        <vt:i4>0</vt:i4>
      </vt:variant>
      <vt:variant>
        <vt:i4>5</vt:i4>
      </vt:variant>
      <vt:variant>
        <vt:lpwstr>http://www.nevo.co.il/case/5762686</vt:lpwstr>
      </vt:variant>
      <vt:variant>
        <vt:lpwstr/>
      </vt:variant>
      <vt:variant>
        <vt:i4>4063351</vt:i4>
      </vt:variant>
      <vt:variant>
        <vt:i4>48</vt:i4>
      </vt:variant>
      <vt:variant>
        <vt:i4>0</vt:i4>
      </vt:variant>
      <vt:variant>
        <vt:i4>5</vt:i4>
      </vt:variant>
      <vt:variant>
        <vt:lpwstr>http://www.nevo.co.il/case/17941073</vt:lpwstr>
      </vt:variant>
      <vt:variant>
        <vt:lpwstr/>
      </vt:variant>
      <vt:variant>
        <vt:i4>3407996</vt:i4>
      </vt:variant>
      <vt:variant>
        <vt:i4>45</vt:i4>
      </vt:variant>
      <vt:variant>
        <vt:i4>0</vt:i4>
      </vt:variant>
      <vt:variant>
        <vt:i4>5</vt:i4>
      </vt:variant>
      <vt:variant>
        <vt:lpwstr>http://www.nevo.co.il/case/6040482</vt:lpwstr>
      </vt:variant>
      <vt:variant>
        <vt:lpwstr/>
      </vt:variant>
      <vt:variant>
        <vt:i4>3997810</vt:i4>
      </vt:variant>
      <vt:variant>
        <vt:i4>42</vt:i4>
      </vt:variant>
      <vt:variant>
        <vt:i4>0</vt:i4>
      </vt:variant>
      <vt:variant>
        <vt:i4>5</vt:i4>
      </vt:variant>
      <vt:variant>
        <vt:lpwstr>http://www.nevo.co.il/case/6072945</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3997822</vt:i4>
      </vt:variant>
      <vt:variant>
        <vt:i4>36</vt:i4>
      </vt:variant>
      <vt:variant>
        <vt:i4>0</vt:i4>
      </vt:variant>
      <vt:variant>
        <vt:i4>5</vt:i4>
      </vt:variant>
      <vt:variant>
        <vt:lpwstr>http://www.nevo.co.il/case/5873817</vt:lpwstr>
      </vt:variant>
      <vt:variant>
        <vt:lpwstr/>
      </vt:variant>
      <vt:variant>
        <vt:i4>7929954</vt:i4>
      </vt:variant>
      <vt:variant>
        <vt:i4>33</vt:i4>
      </vt:variant>
      <vt:variant>
        <vt:i4>0</vt:i4>
      </vt:variant>
      <vt:variant>
        <vt:i4>5</vt:i4>
      </vt:variant>
      <vt:variant>
        <vt:lpwstr>http://www.nevo.co.il/law/4764</vt:lpwstr>
      </vt:variant>
      <vt:variant>
        <vt:lpwstr/>
      </vt:variant>
      <vt:variant>
        <vt:i4>5046349</vt:i4>
      </vt:variant>
      <vt:variant>
        <vt:i4>30</vt:i4>
      </vt:variant>
      <vt:variant>
        <vt:i4>0</vt:i4>
      </vt:variant>
      <vt:variant>
        <vt:i4>5</vt:i4>
      </vt:variant>
      <vt:variant>
        <vt:lpwstr>http://www.nevo.co.il/law/4764/4a</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5046349</vt:i4>
      </vt:variant>
      <vt:variant>
        <vt:i4>15</vt:i4>
      </vt:variant>
      <vt:variant>
        <vt:i4>0</vt:i4>
      </vt:variant>
      <vt:variant>
        <vt:i4>5</vt:i4>
      </vt:variant>
      <vt:variant>
        <vt:lpwstr>http://www.nevo.co.il/law/4764/4a</vt:lpwstr>
      </vt:variant>
      <vt:variant>
        <vt:lpwstr/>
      </vt:variant>
      <vt:variant>
        <vt:i4>7929954</vt:i4>
      </vt:variant>
      <vt:variant>
        <vt:i4>12</vt:i4>
      </vt:variant>
      <vt:variant>
        <vt:i4>0</vt:i4>
      </vt:variant>
      <vt:variant>
        <vt:i4>5</vt:i4>
      </vt:variant>
      <vt:variant>
        <vt:lpwstr>http://www.nevo.co.il/law/4764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21009</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עאוני סואעד</vt:lpwstr>
  </property>
  <property fmtid="{D5CDD505-2E9C-101B-9397-08002B2CF9AE}" pid="10" name="LAWYER">
    <vt:lpwstr>ישראל;פרקליטות מחוז חיפה פלילי;שגב אדלר פמ"ח (פלילי);תומר נוה</vt:lpwstr>
  </property>
  <property fmtid="{D5CDD505-2E9C-101B-9397-08002B2CF9AE}" pid="11" name="JUDGE">
    <vt:lpwstr>כמאל סעב 15.12.15</vt:lpwstr>
  </property>
  <property fmtid="{D5CDD505-2E9C-101B-9397-08002B2CF9AE}" pid="12" name="CITY">
    <vt:lpwstr>חי'</vt:lpwstr>
  </property>
  <property fmtid="{D5CDD505-2E9C-101B-9397-08002B2CF9AE}" pid="13" name="DATE">
    <vt:lpwstr>20151215</vt:lpwstr>
  </property>
  <property fmtid="{D5CDD505-2E9C-101B-9397-08002B2CF9AE}" pid="14" name="TYPE_N_DATE">
    <vt:lpwstr>39020151215</vt:lpwstr>
  </property>
  <property fmtid="{D5CDD505-2E9C-101B-9397-08002B2CF9AE}" pid="15" name="WORDNUMPAGES">
    <vt:lpwstr>13</vt:lpwstr>
  </property>
  <property fmtid="{D5CDD505-2E9C-101B-9397-08002B2CF9AE}" pid="16" name="TYPE_ABS_DATE">
    <vt:lpwstr>390020151215</vt:lpwstr>
  </property>
  <property fmtid="{D5CDD505-2E9C-101B-9397-08002B2CF9AE}" pid="17" name="ISABSTRACT">
    <vt:lpwstr>Y</vt:lpwstr>
  </property>
  <property fmtid="{D5CDD505-2E9C-101B-9397-08002B2CF9AE}" pid="18" name="CASESLISTTMP1">
    <vt:lpwstr>5873817;5852404;6072945:2;6040482;17941073;5762686;6000182:2;17954222;7878510;3507722;5597217;4258499;6024035;642647;6151556;5878682;4552738;6058757;18131336</vt:lpwstr>
  </property>
  <property fmtid="{D5CDD505-2E9C-101B-9397-08002B2CF9AE}" pid="19" name="LAWLISTTMP1">
    <vt:lpwstr>70301/144.a:3;144.b;192</vt:lpwstr>
  </property>
  <property fmtid="{D5CDD505-2E9C-101B-9397-08002B2CF9AE}" pid="20" name="LAWLISTTMP2">
    <vt:lpwstr>4764/004a</vt:lpwstr>
  </property>
</Properties>
</file>