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34A2B" w:rsidRPr="000F0F16" w14:paraId="1F6BC5EB" w14:textId="77777777">
        <w:trPr>
          <w:trHeight w:hRule="exact" w:val="418"/>
          <w:jc w:val="center"/>
        </w:trPr>
        <w:tc>
          <w:tcPr>
            <w:tcW w:w="8721" w:type="dxa"/>
            <w:gridSpan w:val="2"/>
          </w:tcPr>
          <w:p w14:paraId="22B89D00" w14:textId="77777777" w:rsidR="00D34A2B" w:rsidRPr="000F0F16" w:rsidRDefault="00D34A2B" w:rsidP="000F0F16">
            <w:pPr>
              <w:pStyle w:val="a3"/>
              <w:jc w:val="center"/>
              <w:rPr>
                <w:rFonts w:ascii="Tahoma" w:hAnsi="Tahoma" w:cs="Tahoma"/>
                <w:color w:val="000080"/>
                <w:rtl/>
              </w:rPr>
            </w:pPr>
            <w:bookmarkStart w:id="0" w:name="FirstLawyer"/>
            <w:bookmarkStart w:id="1" w:name="LastJudge"/>
            <w:r w:rsidRPr="000F0F16">
              <w:rPr>
                <w:rFonts w:ascii="Tahoma" w:hAnsi="Tahoma" w:cs="Tahoma"/>
                <w:b/>
                <w:bCs/>
                <w:color w:val="000080"/>
                <w:rtl/>
              </w:rPr>
              <w:t>בית המשפט המחוזי בחיפה</w:t>
            </w:r>
          </w:p>
        </w:tc>
      </w:tr>
      <w:tr w:rsidR="00D34A2B" w:rsidRPr="000F0F16" w14:paraId="1F8844CC" w14:textId="77777777">
        <w:trPr>
          <w:trHeight w:val="337"/>
          <w:jc w:val="center"/>
        </w:trPr>
        <w:tc>
          <w:tcPr>
            <w:tcW w:w="5060" w:type="dxa"/>
          </w:tcPr>
          <w:p w14:paraId="049495B3" w14:textId="77777777" w:rsidR="00D34A2B" w:rsidRPr="000F0F16" w:rsidRDefault="00D34A2B" w:rsidP="000F0F16">
            <w:pPr>
              <w:rPr>
                <w:rFonts w:cs="FrankRuehl"/>
                <w:sz w:val="28"/>
                <w:szCs w:val="28"/>
                <w:rtl/>
              </w:rPr>
            </w:pPr>
            <w:r w:rsidRPr="000F0F16">
              <w:rPr>
                <w:rFonts w:cs="FrankRuehl"/>
                <w:sz w:val="28"/>
                <w:szCs w:val="28"/>
                <w:rtl/>
              </w:rPr>
              <w:t>ת"פ</w:t>
            </w:r>
            <w:r w:rsidRPr="000F0F16">
              <w:rPr>
                <w:rFonts w:cs="FrankRuehl" w:hint="cs"/>
                <w:sz w:val="28"/>
                <w:szCs w:val="28"/>
                <w:rtl/>
              </w:rPr>
              <w:t xml:space="preserve"> </w:t>
            </w:r>
            <w:r w:rsidRPr="000F0F16">
              <w:rPr>
                <w:rFonts w:cs="FrankRuehl"/>
                <w:sz w:val="28"/>
                <w:szCs w:val="28"/>
                <w:rtl/>
              </w:rPr>
              <w:t>13785-04-15</w:t>
            </w:r>
            <w:r w:rsidRPr="000F0F16">
              <w:rPr>
                <w:rFonts w:cs="FrankRuehl" w:hint="cs"/>
                <w:sz w:val="28"/>
                <w:szCs w:val="28"/>
                <w:rtl/>
              </w:rPr>
              <w:t xml:space="preserve"> </w:t>
            </w:r>
            <w:r w:rsidRPr="000F0F16">
              <w:rPr>
                <w:rFonts w:cs="FrankRuehl"/>
                <w:sz w:val="28"/>
                <w:szCs w:val="28"/>
                <w:rtl/>
              </w:rPr>
              <w:t>מדינת ישראל נ' חסארמה(עציר)</w:t>
            </w:r>
          </w:p>
          <w:p w14:paraId="533FB8E3" w14:textId="77777777" w:rsidR="00D34A2B" w:rsidRPr="000F0F16" w:rsidRDefault="00D34A2B" w:rsidP="000F0F16">
            <w:pPr>
              <w:pStyle w:val="a3"/>
              <w:rPr>
                <w:rFonts w:cs="FrankRuehl"/>
                <w:sz w:val="28"/>
                <w:szCs w:val="28"/>
                <w:rtl/>
              </w:rPr>
            </w:pPr>
          </w:p>
        </w:tc>
        <w:tc>
          <w:tcPr>
            <w:tcW w:w="3661" w:type="dxa"/>
          </w:tcPr>
          <w:p w14:paraId="4EA4B388" w14:textId="77777777" w:rsidR="00D34A2B" w:rsidRPr="000F0F16" w:rsidRDefault="00D34A2B" w:rsidP="000F0F16">
            <w:pPr>
              <w:pStyle w:val="a3"/>
              <w:jc w:val="right"/>
              <w:rPr>
                <w:rFonts w:cs="FrankRuehl"/>
                <w:sz w:val="28"/>
                <w:szCs w:val="28"/>
                <w:rtl/>
              </w:rPr>
            </w:pPr>
          </w:p>
        </w:tc>
      </w:tr>
    </w:tbl>
    <w:p w14:paraId="49C3F829" w14:textId="77777777" w:rsidR="00D34A2B" w:rsidRPr="000F0F16" w:rsidRDefault="00D34A2B" w:rsidP="00D34A2B">
      <w:pPr>
        <w:pStyle w:val="a3"/>
        <w:rPr>
          <w:rtl/>
        </w:rPr>
      </w:pPr>
      <w:r w:rsidRPr="000F0F16">
        <w:rPr>
          <w:rFonts w:hint="cs"/>
          <w:rtl/>
        </w:rPr>
        <w:t xml:space="preserve"> </w:t>
      </w:r>
    </w:p>
    <w:p w14:paraId="7E14239E" w14:textId="77777777" w:rsidR="00D34A2B" w:rsidRPr="000F0F16" w:rsidRDefault="00D34A2B" w:rsidP="00D34A2B">
      <w:pPr>
        <w:rPr>
          <w:rtl/>
        </w:rPr>
      </w:pPr>
    </w:p>
    <w:tbl>
      <w:tblPr>
        <w:bidiVisual/>
        <w:tblW w:w="8802" w:type="dxa"/>
        <w:tblInd w:w="-28" w:type="dxa"/>
        <w:tblLook w:val="01E0" w:firstRow="1" w:lastRow="1" w:firstColumn="1" w:lastColumn="1" w:noHBand="0" w:noVBand="0"/>
      </w:tblPr>
      <w:tblGrid>
        <w:gridCol w:w="2880"/>
        <w:gridCol w:w="5839"/>
        <w:gridCol w:w="83"/>
      </w:tblGrid>
      <w:tr w:rsidR="00D34A2B" w:rsidRPr="000F0F16" w14:paraId="61F657D3" w14:textId="77777777">
        <w:trPr>
          <w:gridAfter w:val="1"/>
          <w:wAfter w:w="55" w:type="dxa"/>
        </w:trPr>
        <w:tc>
          <w:tcPr>
            <w:tcW w:w="8719" w:type="dxa"/>
            <w:gridSpan w:val="2"/>
            <w:shd w:val="clear" w:color="auto" w:fill="auto"/>
          </w:tcPr>
          <w:p w14:paraId="65A765B9" w14:textId="77777777" w:rsidR="00D34A2B" w:rsidRPr="000F0F16" w:rsidRDefault="00D34A2B" w:rsidP="000F0F16">
            <w:pPr>
              <w:spacing w:line="360" w:lineRule="auto"/>
              <w:rPr>
                <w:b/>
                <w:bCs/>
                <w:rtl/>
              </w:rPr>
            </w:pPr>
            <w:r w:rsidRPr="000F0F16">
              <w:rPr>
                <w:rFonts w:hint="cs"/>
                <w:b/>
                <w:bCs/>
                <w:rtl/>
              </w:rPr>
              <w:t>בפני כב' השופט אמיר טובי</w:t>
            </w:r>
            <w:r w:rsidRPr="000F0F16">
              <w:rPr>
                <w:rStyle w:val="TimesNewRomanTimesNewRoman"/>
                <w:rFonts w:hint="cs"/>
                <w:rtl/>
              </w:rPr>
              <w:t xml:space="preserve"> </w:t>
            </w:r>
          </w:p>
        </w:tc>
      </w:tr>
      <w:tr w:rsidR="00D34A2B" w:rsidRPr="000F0F16" w14:paraId="2D20C9E9" w14:textId="77777777">
        <w:tc>
          <w:tcPr>
            <w:tcW w:w="2880" w:type="dxa"/>
            <w:shd w:val="clear" w:color="auto" w:fill="auto"/>
          </w:tcPr>
          <w:p w14:paraId="42942FE4" w14:textId="77777777" w:rsidR="00D34A2B" w:rsidRPr="000F0F16" w:rsidRDefault="00D34A2B" w:rsidP="000F0F16">
            <w:pPr>
              <w:ind w:left="26"/>
              <w:rPr>
                <w:b/>
                <w:bCs/>
                <w:rtl/>
              </w:rPr>
            </w:pPr>
            <w:bookmarkStart w:id="2" w:name="FirstAppellant"/>
            <w:r w:rsidRPr="000F0F16">
              <w:rPr>
                <w:rFonts w:hint="cs"/>
                <w:b/>
                <w:bCs/>
                <w:rtl/>
              </w:rPr>
              <w:t>המאשימה</w:t>
            </w:r>
          </w:p>
        </w:tc>
        <w:tc>
          <w:tcPr>
            <w:tcW w:w="5922" w:type="dxa"/>
            <w:gridSpan w:val="2"/>
            <w:shd w:val="clear" w:color="auto" w:fill="auto"/>
          </w:tcPr>
          <w:p w14:paraId="49FE096E" w14:textId="77777777" w:rsidR="00D34A2B" w:rsidRPr="000F0F16" w:rsidRDefault="00D34A2B" w:rsidP="000F0F16">
            <w:pPr>
              <w:rPr>
                <w:b/>
                <w:bCs/>
                <w:rtl/>
              </w:rPr>
            </w:pPr>
            <w:r w:rsidRPr="000F0F16">
              <w:rPr>
                <w:rFonts w:hint="cs"/>
                <w:b/>
                <w:bCs/>
                <w:rtl/>
              </w:rPr>
              <w:t>מדינת ישראל</w:t>
            </w:r>
          </w:p>
          <w:p w14:paraId="31BCA55E" w14:textId="77777777" w:rsidR="00D34A2B" w:rsidRPr="000F0F16" w:rsidRDefault="00D34A2B" w:rsidP="000F0F16">
            <w:pPr>
              <w:rPr>
                <w:b/>
                <w:bCs/>
                <w:rtl/>
              </w:rPr>
            </w:pPr>
            <w:r w:rsidRPr="000F0F16">
              <w:rPr>
                <w:rFonts w:hint="cs"/>
                <w:b/>
                <w:bCs/>
                <w:rtl/>
              </w:rPr>
              <w:t xml:space="preserve">באמצעות פרקליטות מחוז חיפה – פלילי </w:t>
            </w:r>
          </w:p>
        </w:tc>
      </w:tr>
      <w:bookmarkEnd w:id="2"/>
      <w:tr w:rsidR="00D34A2B" w:rsidRPr="000F0F16" w14:paraId="0F4EAA9A" w14:textId="77777777">
        <w:tc>
          <w:tcPr>
            <w:tcW w:w="8802" w:type="dxa"/>
            <w:gridSpan w:val="3"/>
            <w:shd w:val="clear" w:color="auto" w:fill="auto"/>
          </w:tcPr>
          <w:p w14:paraId="5DEEC36A" w14:textId="77777777" w:rsidR="00D34A2B" w:rsidRPr="000F0F16" w:rsidRDefault="00D34A2B" w:rsidP="000F0F16">
            <w:pPr>
              <w:jc w:val="center"/>
              <w:rPr>
                <w:rFonts w:ascii="Arial" w:hAnsi="Arial"/>
                <w:b/>
                <w:bCs/>
                <w:rtl/>
              </w:rPr>
            </w:pPr>
          </w:p>
          <w:p w14:paraId="2BCB9632" w14:textId="77777777" w:rsidR="00D34A2B" w:rsidRPr="000F0F16" w:rsidRDefault="00D34A2B" w:rsidP="000F0F16">
            <w:pPr>
              <w:jc w:val="center"/>
              <w:rPr>
                <w:rFonts w:ascii="Arial" w:hAnsi="Arial"/>
                <w:b/>
                <w:bCs/>
                <w:rtl/>
              </w:rPr>
            </w:pPr>
            <w:r w:rsidRPr="000F0F16">
              <w:rPr>
                <w:rFonts w:ascii="Arial" w:hAnsi="Arial" w:hint="cs"/>
                <w:b/>
                <w:bCs/>
                <w:rtl/>
              </w:rPr>
              <w:t>נגד</w:t>
            </w:r>
          </w:p>
          <w:p w14:paraId="3C4DCA17" w14:textId="77777777" w:rsidR="00D34A2B" w:rsidRPr="000F0F16" w:rsidRDefault="00D34A2B" w:rsidP="000F0F16">
            <w:pPr>
              <w:rPr>
                <w:rFonts w:ascii="Arial" w:hAnsi="Arial"/>
                <w:b/>
                <w:bCs/>
                <w:rtl/>
              </w:rPr>
            </w:pPr>
          </w:p>
        </w:tc>
      </w:tr>
      <w:tr w:rsidR="00D34A2B" w:rsidRPr="000F0F16" w14:paraId="18BE41CF" w14:textId="77777777">
        <w:tc>
          <w:tcPr>
            <w:tcW w:w="2880" w:type="dxa"/>
            <w:shd w:val="clear" w:color="auto" w:fill="auto"/>
          </w:tcPr>
          <w:p w14:paraId="57F38C0B" w14:textId="77777777" w:rsidR="00D34A2B" w:rsidRPr="000F0F16" w:rsidRDefault="00D34A2B" w:rsidP="000F0F16">
            <w:pPr>
              <w:ind w:left="26"/>
              <w:rPr>
                <w:b/>
                <w:bCs/>
              </w:rPr>
            </w:pPr>
            <w:r w:rsidRPr="000F0F16">
              <w:rPr>
                <w:rFonts w:hint="cs"/>
                <w:b/>
                <w:bCs/>
                <w:rtl/>
              </w:rPr>
              <w:t>הנאשם</w:t>
            </w:r>
          </w:p>
        </w:tc>
        <w:tc>
          <w:tcPr>
            <w:tcW w:w="5922" w:type="dxa"/>
            <w:gridSpan w:val="2"/>
            <w:shd w:val="clear" w:color="auto" w:fill="auto"/>
          </w:tcPr>
          <w:p w14:paraId="35506161" w14:textId="77777777" w:rsidR="00D34A2B" w:rsidRPr="000F0F16" w:rsidRDefault="00D34A2B" w:rsidP="000F0F16">
            <w:pPr>
              <w:rPr>
                <w:b/>
                <w:bCs/>
                <w:rtl/>
              </w:rPr>
            </w:pPr>
            <w:r w:rsidRPr="000F0F16">
              <w:rPr>
                <w:rFonts w:hint="cs"/>
                <w:b/>
                <w:bCs/>
                <w:rtl/>
              </w:rPr>
              <w:t xml:space="preserve">אחמד חסארמה ת.ז. </w:t>
            </w:r>
            <w:r w:rsidR="000F0F16">
              <w:rPr>
                <w:b/>
                <w:bCs/>
              </w:rPr>
              <w:t>xxxxxxxxxx</w:t>
            </w:r>
            <w:r w:rsidRPr="000F0F16">
              <w:rPr>
                <w:rFonts w:hint="cs"/>
                <w:b/>
                <w:bCs/>
                <w:rtl/>
              </w:rPr>
              <w:br/>
              <w:t xml:space="preserve">ע"י ב"כ עו"ד שאדי דבאח </w:t>
            </w:r>
          </w:p>
          <w:p w14:paraId="67B4A8D8" w14:textId="77777777" w:rsidR="00D34A2B" w:rsidRPr="000F0F16" w:rsidRDefault="00D34A2B" w:rsidP="000F0F16">
            <w:pPr>
              <w:rPr>
                <w:b/>
                <w:bCs/>
                <w:rtl/>
              </w:rPr>
            </w:pPr>
          </w:p>
        </w:tc>
      </w:tr>
    </w:tbl>
    <w:p w14:paraId="55EF65C9" w14:textId="77777777" w:rsidR="00D34A2B" w:rsidRPr="000F0F16" w:rsidRDefault="00D34A2B" w:rsidP="00D34A2B">
      <w:pPr>
        <w:rPr>
          <w:rtl/>
        </w:rPr>
      </w:pPr>
    </w:p>
    <w:p w14:paraId="5C20A3B7" w14:textId="77777777" w:rsidR="00D34A2B" w:rsidRPr="000F0F16" w:rsidRDefault="00D34A2B" w:rsidP="00D34A2B">
      <w:pPr>
        <w:rPr>
          <w:b/>
          <w:bCs/>
          <w:rtl/>
        </w:rPr>
      </w:pPr>
      <w:r w:rsidRPr="000F0F16">
        <w:rPr>
          <w:rFonts w:hint="cs"/>
          <w:b/>
          <w:bCs/>
          <w:rtl/>
        </w:rPr>
        <w:t>נוכחים:</w:t>
      </w:r>
    </w:p>
    <w:p w14:paraId="6B357932" w14:textId="77777777" w:rsidR="00D34A2B" w:rsidRPr="000F0F16" w:rsidRDefault="00D34A2B" w:rsidP="00D34A2B">
      <w:pPr>
        <w:rPr>
          <w:rtl/>
        </w:rPr>
      </w:pPr>
      <w:r w:rsidRPr="000F0F16">
        <w:rPr>
          <w:rFonts w:hint="cs"/>
          <w:rtl/>
        </w:rPr>
        <w:t>ב"כ המאשימה: אין הופעה (מחמת שביתת הפרקליטים)</w:t>
      </w:r>
    </w:p>
    <w:p w14:paraId="7D776B92" w14:textId="77777777" w:rsidR="00D34A2B" w:rsidRPr="000F0F16" w:rsidRDefault="00D34A2B" w:rsidP="00D34A2B">
      <w:pPr>
        <w:rPr>
          <w:rtl/>
        </w:rPr>
      </w:pPr>
      <w:r w:rsidRPr="000F0F16">
        <w:rPr>
          <w:rFonts w:hint="cs"/>
          <w:rtl/>
        </w:rPr>
        <w:t>ב"כ הנאשם: עו"ד שאדי דבאח</w:t>
      </w:r>
    </w:p>
    <w:p w14:paraId="6966BC58" w14:textId="77777777" w:rsidR="008C261A" w:rsidRDefault="00D34A2B" w:rsidP="00D34A2B">
      <w:pPr>
        <w:rPr>
          <w:rtl/>
        </w:rPr>
      </w:pPr>
      <w:r w:rsidRPr="000F0F16">
        <w:rPr>
          <w:rFonts w:hint="cs"/>
          <w:rtl/>
        </w:rPr>
        <w:t xml:space="preserve">הנאשם באמצעות הליווי </w:t>
      </w:r>
      <w:bookmarkStart w:id="3" w:name="LawTable"/>
      <w:bookmarkEnd w:id="3"/>
    </w:p>
    <w:p w14:paraId="255462FF" w14:textId="77777777" w:rsidR="008C261A" w:rsidRPr="008C261A" w:rsidRDefault="008C261A" w:rsidP="008C261A">
      <w:pPr>
        <w:spacing w:after="120" w:line="240" w:lineRule="exact"/>
        <w:ind w:left="283" w:hanging="283"/>
        <w:jc w:val="both"/>
        <w:rPr>
          <w:rFonts w:ascii="FrankRuehl" w:hAnsi="FrankRuehl" w:cs="FrankRuehl"/>
          <w:rtl/>
        </w:rPr>
      </w:pPr>
    </w:p>
    <w:p w14:paraId="3166A11C" w14:textId="77777777" w:rsidR="008C261A" w:rsidRPr="008C261A" w:rsidRDefault="008C261A" w:rsidP="008C261A">
      <w:pPr>
        <w:spacing w:after="120" w:line="240" w:lineRule="exact"/>
        <w:ind w:left="283" w:hanging="283"/>
        <w:jc w:val="both"/>
        <w:rPr>
          <w:rFonts w:ascii="FrankRuehl" w:hAnsi="FrankRuehl" w:cs="FrankRuehl"/>
          <w:rtl/>
        </w:rPr>
      </w:pPr>
      <w:r w:rsidRPr="008C261A">
        <w:rPr>
          <w:rFonts w:ascii="FrankRuehl" w:hAnsi="FrankRuehl" w:cs="FrankRuehl"/>
          <w:rtl/>
        </w:rPr>
        <w:t xml:space="preserve">חקיקה שאוזכרה: </w:t>
      </w:r>
    </w:p>
    <w:p w14:paraId="493F8C28" w14:textId="77777777" w:rsidR="008C261A" w:rsidRPr="008C261A" w:rsidRDefault="008C261A" w:rsidP="008C261A">
      <w:pPr>
        <w:spacing w:after="120" w:line="240" w:lineRule="exact"/>
        <w:ind w:left="283" w:hanging="283"/>
        <w:jc w:val="both"/>
        <w:rPr>
          <w:rFonts w:ascii="FrankRuehl" w:hAnsi="FrankRuehl" w:cs="FrankRuehl"/>
          <w:rtl/>
        </w:rPr>
      </w:pPr>
      <w:hyperlink r:id="rId7" w:history="1">
        <w:r w:rsidRPr="008C261A">
          <w:rPr>
            <w:rFonts w:ascii="FrankRuehl" w:hAnsi="FrankRuehl" w:cs="FrankRuehl"/>
            <w:color w:val="0000FF"/>
            <w:u w:val="single"/>
            <w:rtl/>
          </w:rPr>
          <w:t>חוק העונשין, תשל"ז-1977</w:t>
        </w:r>
      </w:hyperlink>
      <w:r w:rsidRPr="008C261A">
        <w:rPr>
          <w:rFonts w:ascii="FrankRuehl" w:hAnsi="FrankRuehl" w:cs="FrankRuehl"/>
          <w:rtl/>
        </w:rPr>
        <w:t xml:space="preserve">: סע'  </w:t>
      </w:r>
      <w:hyperlink r:id="rId8" w:history="1">
        <w:r w:rsidRPr="008C261A">
          <w:rPr>
            <w:rFonts w:ascii="FrankRuehl" w:hAnsi="FrankRuehl" w:cs="FrankRuehl"/>
            <w:color w:val="0000FF"/>
            <w:u w:val="single"/>
            <w:rtl/>
          </w:rPr>
          <w:t>40ט(א)</w:t>
        </w:r>
      </w:hyperlink>
      <w:r w:rsidRPr="008C261A">
        <w:rPr>
          <w:rFonts w:ascii="FrankRuehl" w:hAnsi="FrankRuehl" w:cs="FrankRuehl"/>
          <w:rtl/>
        </w:rPr>
        <w:t xml:space="preserve">, </w:t>
      </w:r>
      <w:hyperlink r:id="rId9" w:history="1">
        <w:r w:rsidRPr="008C261A">
          <w:rPr>
            <w:rFonts w:ascii="FrankRuehl" w:hAnsi="FrankRuehl" w:cs="FrankRuehl"/>
            <w:color w:val="0000FF"/>
            <w:u w:val="single"/>
            <w:rtl/>
          </w:rPr>
          <w:t>144(ב)</w:t>
        </w:r>
      </w:hyperlink>
      <w:r w:rsidRPr="008C261A">
        <w:rPr>
          <w:rFonts w:ascii="FrankRuehl" w:hAnsi="FrankRuehl" w:cs="FrankRuehl"/>
          <w:rtl/>
        </w:rPr>
        <w:t xml:space="preserve">, </w:t>
      </w:r>
      <w:hyperlink r:id="rId10" w:history="1">
        <w:r w:rsidRPr="008C261A">
          <w:rPr>
            <w:rFonts w:ascii="FrankRuehl" w:hAnsi="FrankRuehl" w:cs="FrankRuehl"/>
            <w:color w:val="0000FF"/>
            <w:u w:val="single"/>
            <w:rtl/>
          </w:rPr>
          <w:t>340א</w:t>
        </w:r>
      </w:hyperlink>
      <w:r w:rsidRPr="008C261A">
        <w:rPr>
          <w:rFonts w:ascii="FrankRuehl" w:hAnsi="FrankRuehl" w:cs="FrankRuehl"/>
          <w:rtl/>
        </w:rPr>
        <w:t xml:space="preserve">, </w:t>
      </w:r>
      <w:hyperlink r:id="rId11" w:history="1">
        <w:r w:rsidRPr="008C261A">
          <w:rPr>
            <w:rFonts w:ascii="FrankRuehl" w:hAnsi="FrankRuehl" w:cs="FrankRuehl"/>
            <w:color w:val="0000FF"/>
            <w:u w:val="single"/>
            <w:rtl/>
          </w:rPr>
          <w:t>40יא</w:t>
        </w:r>
      </w:hyperlink>
    </w:p>
    <w:p w14:paraId="25F0C455" w14:textId="77777777" w:rsidR="008C261A" w:rsidRPr="008C261A" w:rsidRDefault="008C261A" w:rsidP="008C261A">
      <w:pPr>
        <w:spacing w:after="120" w:line="240" w:lineRule="exact"/>
        <w:ind w:left="283" w:hanging="283"/>
        <w:jc w:val="both"/>
        <w:rPr>
          <w:rFonts w:ascii="FrankRuehl" w:hAnsi="FrankRuehl" w:cs="FrankRuehl"/>
          <w:rtl/>
        </w:rPr>
      </w:pPr>
    </w:p>
    <w:p w14:paraId="20A8B6A4" w14:textId="77777777" w:rsidR="008C261A" w:rsidRPr="008C261A" w:rsidRDefault="008C261A" w:rsidP="00D34A2B">
      <w:pPr>
        <w:rPr>
          <w:rtl/>
        </w:rPr>
      </w:pPr>
      <w:bookmarkStart w:id="4" w:name="LawTable_End"/>
      <w:bookmarkEnd w:id="4"/>
    </w:p>
    <w:p w14:paraId="0373692E" w14:textId="77777777" w:rsidR="008C261A" w:rsidRPr="008C261A" w:rsidRDefault="008C261A" w:rsidP="00D34A2B">
      <w:pPr>
        <w:rPr>
          <w:rtl/>
        </w:rPr>
      </w:pPr>
    </w:p>
    <w:p w14:paraId="7D96B4A4" w14:textId="77777777" w:rsidR="00D34A2B" w:rsidRPr="008C261A" w:rsidRDefault="00D34A2B" w:rsidP="00D34A2B">
      <w:pPr>
        <w:rPr>
          <w:rtl/>
        </w:rPr>
      </w:pPr>
    </w:p>
    <w:p w14:paraId="199CFADB" w14:textId="77777777" w:rsidR="00D34A2B" w:rsidRPr="000F0F16" w:rsidRDefault="00D34A2B" w:rsidP="00D34A2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4A2B" w14:paraId="18E32AD3" w14:textId="77777777">
        <w:trPr>
          <w:trHeight w:val="355"/>
          <w:jc w:val="center"/>
        </w:trPr>
        <w:tc>
          <w:tcPr>
            <w:tcW w:w="8820" w:type="dxa"/>
            <w:tcBorders>
              <w:top w:val="nil"/>
              <w:left w:val="nil"/>
              <w:bottom w:val="nil"/>
              <w:right w:val="nil"/>
            </w:tcBorders>
            <w:shd w:val="clear" w:color="auto" w:fill="auto"/>
          </w:tcPr>
          <w:p w14:paraId="36506007" w14:textId="77777777" w:rsidR="000F0F16" w:rsidRPr="000F0F16" w:rsidRDefault="000F0F16" w:rsidP="000F0F16">
            <w:pPr>
              <w:jc w:val="center"/>
              <w:rPr>
                <w:rFonts w:ascii="Arial" w:hAnsi="Arial" w:cs="FrankRuehl"/>
                <w:b/>
                <w:bCs/>
                <w:sz w:val="32"/>
                <w:szCs w:val="32"/>
                <w:u w:val="single"/>
                <w:rtl/>
              </w:rPr>
            </w:pPr>
            <w:bookmarkStart w:id="5" w:name="PsakDin" w:colFirst="0" w:colLast="0"/>
            <w:bookmarkEnd w:id="0"/>
            <w:bookmarkEnd w:id="1"/>
            <w:r w:rsidRPr="000F0F16">
              <w:rPr>
                <w:rFonts w:ascii="Arial" w:hAnsi="Arial" w:cs="FrankRuehl"/>
                <w:b/>
                <w:bCs/>
                <w:sz w:val="32"/>
                <w:szCs w:val="32"/>
                <w:u w:val="single"/>
                <w:rtl/>
              </w:rPr>
              <w:t>גזר דין</w:t>
            </w:r>
          </w:p>
          <w:p w14:paraId="4480B66C" w14:textId="77777777" w:rsidR="00D34A2B" w:rsidRPr="000F0F16" w:rsidRDefault="00D34A2B" w:rsidP="000F0F16">
            <w:pPr>
              <w:jc w:val="center"/>
              <w:rPr>
                <w:rFonts w:ascii="Arial" w:hAnsi="Arial" w:cs="FrankRuehl"/>
                <w:bCs/>
                <w:sz w:val="32"/>
                <w:szCs w:val="32"/>
                <w:u w:val="single"/>
                <w:rtl/>
              </w:rPr>
            </w:pPr>
          </w:p>
        </w:tc>
      </w:tr>
      <w:bookmarkEnd w:id="5"/>
    </w:tbl>
    <w:p w14:paraId="5DEE8F1B" w14:textId="77777777" w:rsidR="00D34A2B" w:rsidRPr="00B05847" w:rsidRDefault="00D34A2B" w:rsidP="00D34A2B">
      <w:pPr>
        <w:rPr>
          <w:rFonts w:ascii="Arial" w:hAnsi="Arial"/>
          <w:rtl/>
        </w:rPr>
      </w:pPr>
    </w:p>
    <w:p w14:paraId="23F4F054" w14:textId="77777777" w:rsidR="00D34A2B" w:rsidRPr="003F74C0" w:rsidRDefault="00D34A2B" w:rsidP="00D34A2B">
      <w:pPr>
        <w:spacing w:line="360" w:lineRule="auto"/>
        <w:rPr>
          <w:u w:val="single"/>
          <w:rtl/>
        </w:rPr>
      </w:pPr>
      <w:r w:rsidRPr="003F74C0">
        <w:rPr>
          <w:u w:val="single"/>
          <w:rtl/>
        </w:rPr>
        <w:t>תמצית כתב האישום</w:t>
      </w:r>
    </w:p>
    <w:p w14:paraId="06B4811D" w14:textId="77777777" w:rsidR="00D34A2B" w:rsidRPr="00B05847" w:rsidRDefault="00D34A2B" w:rsidP="00D34A2B">
      <w:pPr>
        <w:spacing w:line="360" w:lineRule="auto"/>
        <w:rPr>
          <w:rtl/>
        </w:rPr>
      </w:pPr>
    </w:p>
    <w:p w14:paraId="55C9EAA9" w14:textId="77777777" w:rsidR="00D34A2B" w:rsidRDefault="00D34A2B" w:rsidP="00D34A2B">
      <w:pPr>
        <w:spacing w:line="360" w:lineRule="auto"/>
        <w:ind w:left="720" w:hanging="720"/>
        <w:jc w:val="both"/>
        <w:rPr>
          <w:rtl/>
        </w:rPr>
      </w:pPr>
      <w:r>
        <w:rPr>
          <w:rtl/>
        </w:rPr>
        <w:t>1.</w:t>
      </w:r>
      <w:r>
        <w:rPr>
          <w:rtl/>
        </w:rPr>
        <w:tab/>
      </w:r>
      <w:bookmarkStart w:id="6" w:name="ABSTRACT_START"/>
      <w:bookmarkEnd w:id="6"/>
      <w:r>
        <w:rPr>
          <w:rtl/>
        </w:rPr>
        <w:t>הנאשם הורשע</w:t>
      </w:r>
      <w:r>
        <w:rPr>
          <w:rFonts w:hint="cs"/>
          <w:rtl/>
        </w:rPr>
        <w:t xml:space="preserve"> על פי הודייתו בעובדות כתב אישום מתוקן</w:t>
      </w:r>
      <w:r>
        <w:rPr>
          <w:rtl/>
        </w:rPr>
        <w:t xml:space="preserve">, </w:t>
      </w:r>
      <w:r>
        <w:rPr>
          <w:rFonts w:hint="cs"/>
          <w:rtl/>
        </w:rPr>
        <w:t xml:space="preserve">במסגרת הסדר טיעון אשר לא כלל הסכמה לעניין העונש, </w:t>
      </w:r>
      <w:r>
        <w:rPr>
          <w:rtl/>
        </w:rPr>
        <w:t>בעביר</w:t>
      </w:r>
      <w:r>
        <w:rPr>
          <w:rFonts w:hint="cs"/>
          <w:rtl/>
        </w:rPr>
        <w:t xml:space="preserve">ות בנשק </w:t>
      </w:r>
      <w:r>
        <w:rPr>
          <w:rtl/>
        </w:rPr>
        <w:t xml:space="preserve">לפי </w:t>
      </w:r>
      <w:hyperlink r:id="rId12" w:history="1">
        <w:r w:rsidR="00A02182" w:rsidRPr="00A02182">
          <w:rPr>
            <w:rStyle w:val="Hyperlink"/>
            <w:rtl/>
          </w:rPr>
          <w:t>סעיף 144(ב)</w:t>
        </w:r>
      </w:hyperlink>
      <w:r>
        <w:rPr>
          <w:rFonts w:hint="cs"/>
          <w:rtl/>
        </w:rPr>
        <w:t xml:space="preserve"> (רישא + סיפא) </w:t>
      </w:r>
      <w:r>
        <w:rPr>
          <w:rtl/>
        </w:rPr>
        <w:t>ל</w:t>
      </w:r>
      <w:hyperlink r:id="rId13" w:history="1">
        <w:r w:rsidR="000F0F16" w:rsidRPr="000F0F16">
          <w:rPr>
            <w:color w:val="0000FF"/>
            <w:u w:val="single"/>
            <w:rtl/>
          </w:rPr>
          <w:t>חוק העונשין</w:t>
        </w:r>
      </w:hyperlink>
      <w:r>
        <w:rPr>
          <w:rtl/>
        </w:rPr>
        <w:t>, התשל"ז – 1977</w:t>
      </w:r>
      <w:r>
        <w:rPr>
          <w:rFonts w:hint="cs"/>
          <w:rtl/>
        </w:rPr>
        <w:t xml:space="preserve"> (להלן: "חוק העונשין"), ובעבירה של יריות באזור מגורים לפי </w:t>
      </w:r>
      <w:hyperlink r:id="rId14" w:history="1">
        <w:r w:rsidR="00A02182" w:rsidRPr="00A02182">
          <w:rPr>
            <w:rStyle w:val="Hyperlink"/>
            <w:rFonts w:hint="eastAsia"/>
            <w:rtl/>
          </w:rPr>
          <w:t>סעיף</w:t>
        </w:r>
        <w:r w:rsidR="00A02182" w:rsidRPr="00A02182">
          <w:rPr>
            <w:rStyle w:val="Hyperlink"/>
            <w:rtl/>
          </w:rPr>
          <w:t xml:space="preserve"> 340א</w:t>
        </w:r>
      </w:hyperlink>
      <w:r>
        <w:rPr>
          <w:rFonts w:hint="cs"/>
          <w:rtl/>
        </w:rPr>
        <w:t xml:space="preserve"> לחוק העונשין.</w:t>
      </w:r>
    </w:p>
    <w:p w14:paraId="3E3C26EB" w14:textId="77777777" w:rsidR="00D34A2B" w:rsidRDefault="00D34A2B" w:rsidP="00D34A2B">
      <w:pPr>
        <w:spacing w:line="360" w:lineRule="auto"/>
        <w:rPr>
          <w:rtl/>
        </w:rPr>
      </w:pPr>
    </w:p>
    <w:p w14:paraId="24ADD0D3" w14:textId="77777777" w:rsidR="00D34A2B" w:rsidRDefault="00D34A2B" w:rsidP="00D34A2B">
      <w:pPr>
        <w:spacing w:line="360" w:lineRule="auto"/>
        <w:ind w:left="720" w:hanging="720"/>
        <w:jc w:val="both"/>
        <w:rPr>
          <w:rtl/>
        </w:rPr>
      </w:pPr>
      <w:r>
        <w:rPr>
          <w:rtl/>
        </w:rPr>
        <w:t>2.</w:t>
      </w:r>
      <w:r>
        <w:rPr>
          <w:rtl/>
        </w:rPr>
        <w:tab/>
        <w:t xml:space="preserve">בעובדות כתב האישום נאמר כי </w:t>
      </w:r>
      <w:r>
        <w:rPr>
          <w:rFonts w:hint="cs"/>
          <w:rtl/>
        </w:rPr>
        <w:t xml:space="preserve">בתאריך 20.1.15 בשעות הערב, סמוך לביתו בכפר בענה, נורה  דודו של הנאשם למוות (להלן: "המנוח"). בעקבות זאת, באותו היום, בסמוך לשעה 21:10 הגיע הנאשם לבית המנוח, כשהוא נושא אקדח חצי אוטומטי </w:t>
      </w:r>
      <w:r>
        <w:rPr>
          <w:rFonts w:hint="cs"/>
        </w:rPr>
        <w:t>FN</w:t>
      </w:r>
      <w:r>
        <w:rPr>
          <w:rFonts w:hint="cs"/>
          <w:rtl/>
        </w:rPr>
        <w:t xml:space="preserve"> 9 מ"מ טעון בכדורים, בלא רשות על פי דין לנשיאת ולהובלת הנשק והתחמושת, ובחצר ביתו של המנוח ירה באקדח באוויר לפחות 11 כדורים.  </w:t>
      </w:r>
    </w:p>
    <w:p w14:paraId="3B31051F" w14:textId="77777777" w:rsidR="00D34A2B" w:rsidRDefault="00D34A2B" w:rsidP="00D34A2B">
      <w:pPr>
        <w:spacing w:line="360" w:lineRule="auto"/>
        <w:rPr>
          <w:rtl/>
        </w:rPr>
      </w:pPr>
      <w:bookmarkStart w:id="7" w:name="ABSTRACT_END"/>
      <w:bookmarkEnd w:id="7"/>
    </w:p>
    <w:p w14:paraId="629E4143" w14:textId="77777777" w:rsidR="00D34A2B" w:rsidRDefault="00D34A2B" w:rsidP="00D34A2B">
      <w:pPr>
        <w:spacing w:line="360" w:lineRule="auto"/>
        <w:ind w:left="720" w:hanging="720"/>
        <w:jc w:val="both"/>
        <w:rPr>
          <w:rtl/>
        </w:rPr>
      </w:pPr>
      <w:r>
        <w:rPr>
          <w:rFonts w:hint="cs"/>
          <w:rtl/>
        </w:rPr>
        <w:t>3.</w:t>
      </w:r>
      <w:r>
        <w:rPr>
          <w:rFonts w:hint="cs"/>
          <w:rtl/>
        </w:rPr>
        <w:tab/>
        <w:t>לאחר הרשעתו ונוכח גילו, הופנה הנאשם לקבלת תסקיר שירות המבחן בטרם נשמעו טיעוני הצדדים לעונש.</w:t>
      </w:r>
    </w:p>
    <w:p w14:paraId="6C3AA0B9" w14:textId="77777777" w:rsidR="00D34A2B" w:rsidRDefault="00D34A2B" w:rsidP="00D34A2B">
      <w:pPr>
        <w:spacing w:line="360" w:lineRule="auto"/>
        <w:rPr>
          <w:rtl/>
        </w:rPr>
      </w:pPr>
    </w:p>
    <w:p w14:paraId="2034BCF0" w14:textId="77777777" w:rsidR="00D34A2B" w:rsidRPr="003F74C0" w:rsidRDefault="00D34A2B" w:rsidP="00D34A2B">
      <w:pPr>
        <w:spacing w:line="360" w:lineRule="auto"/>
        <w:rPr>
          <w:u w:val="single"/>
          <w:rtl/>
        </w:rPr>
      </w:pPr>
      <w:r w:rsidRPr="003F74C0">
        <w:rPr>
          <w:rFonts w:hint="cs"/>
          <w:u w:val="single"/>
          <w:rtl/>
        </w:rPr>
        <w:t>תסקיר שירות המבחן</w:t>
      </w:r>
    </w:p>
    <w:p w14:paraId="2241140A" w14:textId="77777777" w:rsidR="00D34A2B" w:rsidRDefault="00D34A2B" w:rsidP="00D34A2B">
      <w:pPr>
        <w:spacing w:line="360" w:lineRule="auto"/>
        <w:rPr>
          <w:rtl/>
        </w:rPr>
      </w:pPr>
    </w:p>
    <w:p w14:paraId="35AA76BC" w14:textId="77777777" w:rsidR="00D34A2B" w:rsidRDefault="00D34A2B" w:rsidP="00D34A2B">
      <w:pPr>
        <w:spacing w:line="360" w:lineRule="auto"/>
        <w:ind w:left="720" w:hanging="720"/>
        <w:jc w:val="both"/>
        <w:rPr>
          <w:rtl/>
        </w:rPr>
      </w:pPr>
      <w:r>
        <w:rPr>
          <w:rFonts w:hint="cs"/>
          <w:rtl/>
        </w:rPr>
        <w:t>4.</w:t>
      </w:r>
      <w:r>
        <w:rPr>
          <w:rFonts w:hint="cs"/>
          <w:rtl/>
        </w:rPr>
        <w:tab/>
        <w:t xml:space="preserve">בתסקיר שהוגש בעניינו של הנאשם ביום 31.12.15 צוין כי מדובר בצעיר בן 21, רווק שהתגורר טרם מעצרו בכפר בענה וכעת שוהה במעצר בית מלא בפיקוח איזוק אלקטרוני בבית דודתו בכפר ג'דיידה-מכר. עובר למעצרו עבד הנאשם בעבודות שיפוצים ובניה בעסק המשפחתי. </w:t>
      </w:r>
      <w:r w:rsidRPr="002475F8">
        <w:rPr>
          <w:rtl/>
        </w:rPr>
        <w:t xml:space="preserve">מספר חודשים לאחר מעצרו </w:t>
      </w:r>
      <w:r>
        <w:rPr>
          <w:rFonts w:hint="cs"/>
          <w:rtl/>
        </w:rPr>
        <w:t xml:space="preserve">בגין תיק זה, </w:t>
      </w:r>
      <w:r w:rsidRPr="002475F8">
        <w:rPr>
          <w:rtl/>
        </w:rPr>
        <w:t xml:space="preserve">נרצחו אביו ואחיו על רקע סכסוך </w:t>
      </w:r>
      <w:r>
        <w:rPr>
          <w:rFonts w:hint="cs"/>
          <w:rtl/>
        </w:rPr>
        <w:t>במשפחה המורחבת שהוביל לרציחתם של קרובי משפחה נוספים</w:t>
      </w:r>
      <w:r w:rsidRPr="002475F8">
        <w:rPr>
          <w:rtl/>
        </w:rPr>
        <w:t xml:space="preserve">. </w:t>
      </w:r>
      <w:r>
        <w:rPr>
          <w:rFonts w:hint="cs"/>
          <w:rtl/>
        </w:rPr>
        <w:t xml:space="preserve">הנאשם תיאר בפני שירות המבחן משפחה מפורקת, כאשר נוסף על האבדות בנפש, סובלת אם המשפחה מבעיות בריאות ואשפוזים חוזרים ונשנים. </w:t>
      </w:r>
    </w:p>
    <w:p w14:paraId="6799DF7D" w14:textId="77777777" w:rsidR="00D34A2B" w:rsidRDefault="00D34A2B" w:rsidP="00D34A2B">
      <w:pPr>
        <w:spacing w:line="360" w:lineRule="auto"/>
        <w:rPr>
          <w:rtl/>
        </w:rPr>
      </w:pPr>
    </w:p>
    <w:p w14:paraId="151FAC68" w14:textId="77777777" w:rsidR="00D34A2B" w:rsidRDefault="00D34A2B" w:rsidP="00D34A2B">
      <w:pPr>
        <w:spacing w:line="360" w:lineRule="auto"/>
        <w:ind w:left="720" w:hanging="720"/>
        <w:jc w:val="both"/>
        <w:rPr>
          <w:rtl/>
        </w:rPr>
      </w:pPr>
      <w:r>
        <w:rPr>
          <w:rFonts w:hint="cs"/>
          <w:rtl/>
        </w:rPr>
        <w:tab/>
        <w:t>שירות המבחן התרשם כי הנאשם נוטל אחריות על המיוחס לו בכתב האישום המתוקן. לדבריו, הוא היה בביתו כששמע יריות ואז רץ לבית דודו, שם ראה אותו שוכב פגוע בראשו ברכבו. הוא הוציא את דודו בעצמו מהרכב ומשהבין כי הלה מת, איבד שליטה על רגשותיו, לקח את האקדח שהיה שייך לדודו וירה באוויר, תוך שהוא צועק ומקלל. צוין כי הנאשם טען שאינו מנהל אורח חיים עברייני ואין ברשותו רישיון להחזקת נשק.</w:t>
      </w:r>
    </w:p>
    <w:p w14:paraId="7B25DE21" w14:textId="77777777" w:rsidR="00D34A2B" w:rsidRDefault="00D34A2B" w:rsidP="00D34A2B">
      <w:pPr>
        <w:spacing w:line="360" w:lineRule="auto"/>
        <w:rPr>
          <w:rtl/>
        </w:rPr>
      </w:pPr>
    </w:p>
    <w:p w14:paraId="76C79BB6" w14:textId="77777777" w:rsidR="00D34A2B" w:rsidRDefault="00D34A2B" w:rsidP="00D34A2B">
      <w:pPr>
        <w:spacing w:line="360" w:lineRule="auto"/>
        <w:ind w:left="720" w:hanging="720"/>
        <w:jc w:val="both"/>
        <w:rPr>
          <w:rtl/>
        </w:rPr>
      </w:pPr>
      <w:r>
        <w:rPr>
          <w:rtl/>
        </w:rPr>
        <w:tab/>
      </w:r>
      <w:r>
        <w:rPr>
          <w:rFonts w:hint="cs"/>
          <w:rtl/>
        </w:rPr>
        <w:t xml:space="preserve">עוד צוין בתסקיר כי בתקופה בה היה מצוי בפיקוח מעצרים של שירות המבחן, הוחלט לקיים עם הנאשם קשר פיקוח פרטני תחת הזמנתו להשתתף בקבוצה לעצורי בית. זאת, על רקע דיווחיו כי הוא מאוים. לאחר שביקש לשוב לביתו בכפר בענה בעקבות תחושת האיום, ובשל חששם של גורמי המבחן להסלמת האירועים האלימים ופגיעה בנאשם אם ישוב לכפרו, ביקש שירות המבחן להפקיע את צו הפיקוח. </w:t>
      </w:r>
    </w:p>
    <w:p w14:paraId="62AD7B8B" w14:textId="77777777" w:rsidR="00D34A2B" w:rsidRDefault="00D34A2B" w:rsidP="00D34A2B">
      <w:pPr>
        <w:spacing w:line="360" w:lineRule="auto"/>
        <w:rPr>
          <w:rtl/>
        </w:rPr>
      </w:pPr>
    </w:p>
    <w:p w14:paraId="34696906" w14:textId="77777777" w:rsidR="00D34A2B" w:rsidRDefault="00D34A2B" w:rsidP="00D34A2B">
      <w:pPr>
        <w:spacing w:line="360" w:lineRule="auto"/>
        <w:ind w:left="720" w:hanging="720"/>
        <w:jc w:val="both"/>
        <w:rPr>
          <w:rtl/>
        </w:rPr>
      </w:pPr>
      <w:r>
        <w:rPr>
          <w:rtl/>
        </w:rPr>
        <w:tab/>
      </w:r>
      <w:r>
        <w:rPr>
          <w:rFonts w:hint="cs"/>
          <w:rtl/>
        </w:rPr>
        <w:t xml:space="preserve">בבואו לבחון את הסיכון להישנות עבירות דומות בעתיד, התרשם שירות המבחן כי קיים פער משמעותי בין תפקודו הנורמטיבי של הנאשם במהלך חייו, עמידתו במסגרות השונות, היעדר אינדיקציה לשימוש בחומרים ממכרים או הזדהות מובהקת עם קבוצת שווים שולית ועברו הפלילי הנקי, לבין אופי העבירות נשוא הדיון. יחד עם זאת, נאמר כי אין להתעלם מהסכסוך המשפחתי שהוביל לפגיעות רבות בנפש ומרציחתם של בני משפחתו לפני תקופה קצרה, והסיכון להתרחשות אירועים אלימים נוספים במשפחה המורחבת. כך, שלא ניתן לשלול בשלב זה הסלמה נוספת של הקונפליקט, תוך מעורבות מצד הנאשם.  </w:t>
      </w:r>
    </w:p>
    <w:p w14:paraId="4AEEE9BD" w14:textId="77777777" w:rsidR="00D34A2B" w:rsidRDefault="00D34A2B" w:rsidP="00D34A2B">
      <w:pPr>
        <w:spacing w:line="360" w:lineRule="auto"/>
        <w:rPr>
          <w:rtl/>
        </w:rPr>
      </w:pPr>
    </w:p>
    <w:p w14:paraId="4A89DA57" w14:textId="77777777" w:rsidR="00D34A2B" w:rsidRDefault="00D34A2B" w:rsidP="00D34A2B">
      <w:pPr>
        <w:spacing w:line="360" w:lineRule="auto"/>
        <w:ind w:left="720" w:hanging="720"/>
        <w:jc w:val="both"/>
        <w:rPr>
          <w:rtl/>
        </w:rPr>
      </w:pPr>
      <w:r>
        <w:rPr>
          <w:rFonts w:hint="cs"/>
          <w:rtl/>
        </w:rPr>
        <w:lastRenderedPageBreak/>
        <w:tab/>
        <w:t xml:space="preserve">שירות המבחן התרשם כי מדובר בבחור צעיר, מבולבל, הנמצא בעיצומו של תהליך ההתבגרות וגיבוש זהותו האישית. להערכתו, ייתכן ומקור כשליו ההתנהגותיים טמון בקשייו הרגשיים והצטברות חרדות שיתכן וקשורות לסכסוך המשפחתי האלים. הנאשם ביטא בפני גורמי המבחן נזקקות טיפולית סביב מעורבותו באירוע נשוא הדיון ובאירועים שהובילו אליו, ונכונות להשתלב בהליך טיפולי. בסיכומם של דברים ביקש שירות המבחן דחיה של הדיון בחודשיים על מנת לאפשר מיצוי האפיק הטיפולי.   </w:t>
      </w:r>
    </w:p>
    <w:p w14:paraId="258A1DEA" w14:textId="77777777" w:rsidR="00D34A2B" w:rsidRDefault="00D34A2B" w:rsidP="00D34A2B">
      <w:pPr>
        <w:spacing w:line="360" w:lineRule="auto"/>
        <w:rPr>
          <w:rtl/>
        </w:rPr>
      </w:pPr>
    </w:p>
    <w:p w14:paraId="3EAA5979" w14:textId="77777777" w:rsidR="00D34A2B" w:rsidRDefault="00D34A2B" w:rsidP="00D34A2B">
      <w:pPr>
        <w:spacing w:line="360" w:lineRule="auto"/>
        <w:rPr>
          <w:rtl/>
        </w:rPr>
      </w:pPr>
    </w:p>
    <w:p w14:paraId="28374B07" w14:textId="77777777" w:rsidR="00D34A2B" w:rsidRDefault="00D34A2B" w:rsidP="00D34A2B">
      <w:pPr>
        <w:spacing w:line="360" w:lineRule="auto"/>
        <w:rPr>
          <w:rtl/>
        </w:rPr>
      </w:pPr>
    </w:p>
    <w:p w14:paraId="6C461DBD" w14:textId="77777777" w:rsidR="00D34A2B" w:rsidRPr="007445FA" w:rsidRDefault="00D34A2B" w:rsidP="00D34A2B">
      <w:pPr>
        <w:spacing w:line="360" w:lineRule="auto"/>
        <w:ind w:left="720" w:hanging="720"/>
        <w:jc w:val="both"/>
        <w:rPr>
          <w:rtl/>
        </w:rPr>
      </w:pPr>
      <w:r>
        <w:rPr>
          <w:rFonts w:hint="cs"/>
          <w:rtl/>
        </w:rPr>
        <w:t>5.</w:t>
      </w:r>
      <w:r>
        <w:rPr>
          <w:rFonts w:hint="cs"/>
          <w:rtl/>
        </w:rPr>
        <w:tab/>
        <w:t xml:space="preserve">בתסקיר המשלים שהוגש ביום 13.3.16 צוין כי הנאשם הוזמן לשתי פגישות אליהן לא התייצב, מסיבות שונות. לבסוף התקיים מפגש, במהלכו שב הנאשם ולקח אחריות על המתואר בכתב האישום המתוקן. צוין כי לדברי הנאשם, עדיין לא נערכה סולחה אך הוא אינו מעוניין לנקום ומבין שעליו לשלם על מעשיו, ובסיום ההליך הפלילי, בכוונתו לעזוב את כפרו ולעבור יחד עם משפחתו להתגורר במקום אחר. נכתב כי הנאשם הביע מילולית רצון להשתלב בטיפול, אך מנגד טען כי אינו זקוק לטיפול ולמד את הלקח ממעשיו וממעצרו הארוך. לאור האמור, ולאור קיומו של סכסוך אלים ולא פתור בו מעורב הנאשם, נמנע שירות המבחן מלבוא בהמלצה טיפולית לגביו. </w:t>
      </w:r>
      <w:r>
        <w:rPr>
          <w:rFonts w:hint="cs"/>
          <w:rtl/>
        </w:rPr>
        <w:tab/>
        <w:t xml:space="preserve"> </w:t>
      </w:r>
    </w:p>
    <w:p w14:paraId="58EFBF77" w14:textId="77777777" w:rsidR="00D34A2B" w:rsidRDefault="00D34A2B" w:rsidP="00D34A2B">
      <w:pPr>
        <w:spacing w:line="360" w:lineRule="auto"/>
        <w:rPr>
          <w:rtl/>
        </w:rPr>
      </w:pPr>
    </w:p>
    <w:p w14:paraId="00910FFA" w14:textId="77777777" w:rsidR="00D34A2B" w:rsidRPr="003F74C0" w:rsidRDefault="00D34A2B" w:rsidP="00D34A2B">
      <w:pPr>
        <w:spacing w:line="360" w:lineRule="auto"/>
        <w:rPr>
          <w:u w:val="single"/>
          <w:rtl/>
        </w:rPr>
      </w:pPr>
      <w:r w:rsidRPr="003F74C0">
        <w:rPr>
          <w:u w:val="single"/>
          <w:rtl/>
        </w:rPr>
        <w:t>טיעוני המאשימה לעונש</w:t>
      </w:r>
    </w:p>
    <w:p w14:paraId="581E91D5" w14:textId="77777777" w:rsidR="00D34A2B" w:rsidRDefault="00D34A2B" w:rsidP="00D34A2B">
      <w:pPr>
        <w:spacing w:line="360" w:lineRule="auto"/>
        <w:rPr>
          <w:rtl/>
        </w:rPr>
      </w:pPr>
    </w:p>
    <w:p w14:paraId="27CD7212" w14:textId="77777777" w:rsidR="00D34A2B" w:rsidRDefault="00D34A2B" w:rsidP="00D34A2B">
      <w:pPr>
        <w:spacing w:line="360" w:lineRule="auto"/>
        <w:ind w:left="720" w:hanging="720"/>
        <w:jc w:val="both"/>
        <w:rPr>
          <w:rtl/>
        </w:rPr>
      </w:pPr>
      <w:r>
        <w:rPr>
          <w:rFonts w:hint="cs"/>
          <w:rtl/>
        </w:rPr>
        <w:t>6</w:t>
      </w:r>
      <w:r>
        <w:rPr>
          <w:rtl/>
        </w:rPr>
        <w:t>.</w:t>
      </w:r>
      <w:r>
        <w:rPr>
          <w:rtl/>
        </w:rPr>
        <w:tab/>
      </w:r>
      <w:r>
        <w:rPr>
          <w:rFonts w:hint="cs"/>
          <w:rtl/>
        </w:rPr>
        <w:t xml:space="preserve">בפתח טיעוניה, טענה המאשימה כי חומרתן של עבירות בנשק והפוטנציאל של סיכון חיי אדם הגלום בהן, תדירותן ההולכת וגוברת, ההסתברות לעבירות נלוות והצורך בהרתעה מחייבים נסיגת משקל הנסיבות האישיות מפני חומרת העבירות, ומתן דגש על שיקולי הרתעה, גמול ומניעה. הודגשה המדיניות של החמרת הענישה בגין עבירות נשק המשתקפת בפסיקת בית המשפט העליון. </w:t>
      </w:r>
    </w:p>
    <w:p w14:paraId="0F9DEBBE" w14:textId="77777777" w:rsidR="00D34A2B" w:rsidRDefault="00D34A2B" w:rsidP="00D34A2B">
      <w:pPr>
        <w:spacing w:line="360" w:lineRule="auto"/>
        <w:rPr>
          <w:rtl/>
        </w:rPr>
      </w:pPr>
    </w:p>
    <w:p w14:paraId="38698B46" w14:textId="77777777" w:rsidR="00D34A2B" w:rsidRDefault="00D34A2B" w:rsidP="00D34A2B">
      <w:pPr>
        <w:spacing w:line="360" w:lineRule="auto"/>
        <w:rPr>
          <w:rtl/>
        </w:rPr>
      </w:pPr>
      <w:r>
        <w:rPr>
          <w:rtl/>
        </w:rPr>
        <w:tab/>
      </w:r>
      <w:r>
        <w:rPr>
          <w:rFonts w:hint="cs"/>
          <w:rtl/>
        </w:rPr>
        <w:t xml:space="preserve">המאשימה עתרה לקביעת מתחם ענישה הנע בין 24 ל-48 חודשי מאסר בפועל. </w:t>
      </w:r>
    </w:p>
    <w:p w14:paraId="4410DF8F" w14:textId="77777777" w:rsidR="00D34A2B" w:rsidRDefault="00D34A2B" w:rsidP="00D34A2B">
      <w:pPr>
        <w:spacing w:line="360" w:lineRule="auto"/>
        <w:rPr>
          <w:rtl/>
        </w:rPr>
      </w:pPr>
    </w:p>
    <w:p w14:paraId="565D56B3" w14:textId="77777777" w:rsidR="00D34A2B" w:rsidRDefault="00D34A2B" w:rsidP="00D34A2B">
      <w:pPr>
        <w:spacing w:line="360" w:lineRule="auto"/>
        <w:ind w:left="720" w:hanging="720"/>
        <w:jc w:val="both"/>
        <w:rPr>
          <w:rtl/>
        </w:rPr>
      </w:pPr>
      <w:r>
        <w:rPr>
          <w:rtl/>
        </w:rPr>
        <w:tab/>
      </w:r>
      <w:r>
        <w:rPr>
          <w:rFonts w:hint="cs"/>
          <w:rtl/>
        </w:rPr>
        <w:t xml:space="preserve">נטען כי העבירות של נשיאת נשק וירי באזור מגורים מהוות פגיעה בערך החברתי של הגנה על בטחון הציבור, כאשר הסכנות האפשריות משימוש בנשק חם ברורות וידועות לכל. במקרה דנן ירה הנאשם מהנשק באזור מגורים והיה עלול לפגוע בחפים מפשע. יתרה מכך, העובדה שהנאשם נשא נשק וירה ממנו כאשר קיים סכסוך דמים בין שני פלגי משפחתו מעצימה את הפגיעה החמורה בבטחון הציבור. </w:t>
      </w:r>
    </w:p>
    <w:p w14:paraId="55D4047E" w14:textId="77777777" w:rsidR="00D34A2B" w:rsidRDefault="00D34A2B" w:rsidP="00D34A2B">
      <w:pPr>
        <w:spacing w:line="360" w:lineRule="auto"/>
        <w:rPr>
          <w:rtl/>
        </w:rPr>
      </w:pPr>
    </w:p>
    <w:p w14:paraId="41BD2C17" w14:textId="77777777" w:rsidR="00D34A2B" w:rsidRDefault="00D34A2B" w:rsidP="00D34A2B">
      <w:pPr>
        <w:spacing w:line="360" w:lineRule="auto"/>
        <w:ind w:left="720" w:hanging="720"/>
        <w:jc w:val="both"/>
        <w:rPr>
          <w:rtl/>
        </w:rPr>
      </w:pPr>
      <w:r>
        <w:rPr>
          <w:rtl/>
        </w:rPr>
        <w:tab/>
      </w:r>
      <w:r>
        <w:rPr>
          <w:rFonts w:hint="cs"/>
          <w:rtl/>
        </w:rPr>
        <w:t>ביחס לנסיבות ביצוע העבירה, טענה המאשימה כי מדובר במעשים חמורים אשר היו יכולים להסתיים בפגיעה קשה באזרחים חפים מפשע. הדעת נותנת כי מי שנושא נשק עשה פעולות מקדימות לצורך נשיאתו, בין אם קבלתו או קנייתו מאחרים ובין אם תיאום מסוג אחר. עוד נטען כי הנזק הצפוי מביצוע העבירה יכול היה להיות חמור כשאדם שאינו מיומן בירי יורה לפחות 11 כדורים באזור מגורים, כאשר בסביבתו אנשים אחרים, ורק יד המזל גרמה לכך שלא היו פגיעות בנפש. יתרה מכך, עבירות הנשק מלוות בחשש שמא יעשה שימוש בנשק לצרכים פליליים, וזאת ביתר שאת על רקע הסכסוך הקשה בין בני משפחת הנאשם.</w:t>
      </w:r>
    </w:p>
    <w:p w14:paraId="115151CA" w14:textId="77777777" w:rsidR="00D34A2B" w:rsidRDefault="00D34A2B" w:rsidP="00D34A2B">
      <w:pPr>
        <w:spacing w:line="360" w:lineRule="auto"/>
        <w:rPr>
          <w:rtl/>
        </w:rPr>
      </w:pPr>
    </w:p>
    <w:p w14:paraId="77BB6747" w14:textId="77777777" w:rsidR="00D34A2B" w:rsidRDefault="00D34A2B" w:rsidP="00D34A2B">
      <w:pPr>
        <w:spacing w:line="360" w:lineRule="auto"/>
        <w:ind w:left="720" w:hanging="720"/>
        <w:jc w:val="both"/>
        <w:rPr>
          <w:rtl/>
        </w:rPr>
      </w:pPr>
      <w:r>
        <w:rPr>
          <w:rtl/>
        </w:rPr>
        <w:tab/>
      </w:r>
      <w:r>
        <w:rPr>
          <w:rFonts w:hint="cs"/>
          <w:rtl/>
        </w:rPr>
        <w:t>המאשימה הדגישה עוד כי עבירות האלימות המבוצעות באמצעות נשק, אשר התרבו בעת האחרונה, נגזרות באופן ישיר מהחזקת ונשיאת נשק בלתי חוקית. החמרה בענישה בגין עבירות הנשק על נגזרותיהן, תשליך באופן ישיר על צמצום עבירות האלימות בנשק המוחזק באופן בלתי חוקי.</w:t>
      </w:r>
    </w:p>
    <w:p w14:paraId="6B761822" w14:textId="77777777" w:rsidR="00D34A2B" w:rsidRDefault="00D34A2B" w:rsidP="00D34A2B">
      <w:pPr>
        <w:spacing w:line="360" w:lineRule="auto"/>
        <w:rPr>
          <w:rtl/>
        </w:rPr>
      </w:pPr>
    </w:p>
    <w:p w14:paraId="2C88CE9B" w14:textId="77777777" w:rsidR="00D34A2B" w:rsidRDefault="00D34A2B" w:rsidP="00D34A2B">
      <w:pPr>
        <w:spacing w:line="360" w:lineRule="auto"/>
        <w:ind w:left="720" w:hanging="720"/>
        <w:jc w:val="both"/>
        <w:rPr>
          <w:rtl/>
        </w:rPr>
      </w:pPr>
      <w:r>
        <w:rPr>
          <w:rtl/>
        </w:rPr>
        <w:tab/>
      </w:r>
      <w:r>
        <w:rPr>
          <w:rFonts w:hint="cs"/>
          <w:rtl/>
        </w:rPr>
        <w:t xml:space="preserve">ביחס למדיניות הענישה הנוהגת, הפנתה המאשימה לפסיקה במקרים בהם הוטלו עונשי מאסר הנעים בין שנתיים ל-30 חודשי מאסר בגין עבירות של נשיאה, הובלה וירי בנשק. </w:t>
      </w:r>
    </w:p>
    <w:p w14:paraId="176AECB3" w14:textId="77777777" w:rsidR="00D34A2B" w:rsidRDefault="00D34A2B" w:rsidP="00D34A2B">
      <w:pPr>
        <w:spacing w:line="360" w:lineRule="auto"/>
        <w:rPr>
          <w:rtl/>
        </w:rPr>
      </w:pPr>
    </w:p>
    <w:p w14:paraId="7C074113" w14:textId="77777777" w:rsidR="00D34A2B" w:rsidRDefault="00D34A2B" w:rsidP="00D34A2B">
      <w:pPr>
        <w:spacing w:line="360" w:lineRule="auto"/>
        <w:ind w:left="720" w:hanging="720"/>
        <w:jc w:val="both"/>
        <w:rPr>
          <w:rtl/>
        </w:rPr>
      </w:pPr>
      <w:r>
        <w:rPr>
          <w:rtl/>
        </w:rPr>
        <w:tab/>
      </w:r>
      <w:r>
        <w:rPr>
          <w:rFonts w:hint="cs"/>
          <w:rtl/>
        </w:rPr>
        <w:t xml:space="preserve">לעמדת המאשימה, בעבירות נשק יש ליתן משקל בכורה לשיקולי הגמול וההרתעה על פני שיקוליו האישיים של הנאשם. בנוסף, עמדה המאשימה על כך ששירות המבחן נמנע מהמלצה טיפולית בעניינו של הנאשם. הוטעם כי היות ובתסקיר נאמר שהנאשם טען כי אינו זקוק לטיפול, רמת הסיכון להתנהגות פורצת גבולות מצידו לא פחתה. </w:t>
      </w:r>
    </w:p>
    <w:p w14:paraId="3D5882FE" w14:textId="77777777" w:rsidR="00D34A2B" w:rsidRDefault="00D34A2B" w:rsidP="00D34A2B">
      <w:pPr>
        <w:spacing w:line="360" w:lineRule="auto"/>
        <w:rPr>
          <w:rtl/>
        </w:rPr>
      </w:pPr>
    </w:p>
    <w:p w14:paraId="07A62551" w14:textId="77777777" w:rsidR="00D34A2B" w:rsidRDefault="00D34A2B" w:rsidP="00D34A2B">
      <w:pPr>
        <w:spacing w:line="360" w:lineRule="auto"/>
        <w:ind w:left="720" w:hanging="720"/>
        <w:jc w:val="both"/>
        <w:rPr>
          <w:rtl/>
        </w:rPr>
      </w:pPr>
      <w:r>
        <w:rPr>
          <w:rtl/>
        </w:rPr>
        <w:tab/>
      </w:r>
      <w:r>
        <w:rPr>
          <w:rFonts w:hint="cs"/>
          <w:rtl/>
        </w:rPr>
        <w:t>לאור האמור, עתרה המאשימה להשית על הנאשם עונש מאסר בפועל בתוך מתחם הענישה שהוצג, בנוסף למאסר מותנה מרתיע וקנס כספי.</w:t>
      </w:r>
    </w:p>
    <w:p w14:paraId="0BF23C24" w14:textId="77777777" w:rsidR="00D34A2B" w:rsidRDefault="00D34A2B" w:rsidP="00D34A2B">
      <w:pPr>
        <w:spacing w:line="360" w:lineRule="auto"/>
        <w:rPr>
          <w:rtl/>
        </w:rPr>
      </w:pPr>
    </w:p>
    <w:p w14:paraId="66F9EEE4" w14:textId="77777777" w:rsidR="00D34A2B" w:rsidRPr="003F74C0" w:rsidRDefault="00D34A2B" w:rsidP="00D34A2B">
      <w:pPr>
        <w:spacing w:line="360" w:lineRule="auto"/>
        <w:rPr>
          <w:u w:val="single"/>
          <w:rtl/>
        </w:rPr>
      </w:pPr>
      <w:r w:rsidRPr="003F74C0">
        <w:rPr>
          <w:u w:val="single"/>
          <w:rtl/>
        </w:rPr>
        <w:t>טיעוני הנאשם לעונש</w:t>
      </w:r>
    </w:p>
    <w:p w14:paraId="1D4E9B6A" w14:textId="77777777" w:rsidR="00D34A2B" w:rsidRDefault="00D34A2B" w:rsidP="00D34A2B">
      <w:pPr>
        <w:spacing w:line="360" w:lineRule="auto"/>
        <w:rPr>
          <w:rtl/>
        </w:rPr>
      </w:pPr>
    </w:p>
    <w:p w14:paraId="6BACEB46" w14:textId="77777777" w:rsidR="00D34A2B" w:rsidRDefault="00D34A2B" w:rsidP="00D34A2B">
      <w:pPr>
        <w:spacing w:line="360" w:lineRule="auto"/>
        <w:ind w:left="720" w:hanging="720"/>
        <w:jc w:val="both"/>
        <w:rPr>
          <w:rtl/>
        </w:rPr>
      </w:pPr>
      <w:r>
        <w:rPr>
          <w:rFonts w:hint="cs"/>
          <w:rtl/>
        </w:rPr>
        <w:t>7</w:t>
      </w:r>
      <w:r>
        <w:rPr>
          <w:rtl/>
        </w:rPr>
        <w:t>.</w:t>
      </w:r>
      <w:r>
        <w:rPr>
          <w:rtl/>
        </w:rPr>
        <w:tab/>
        <w:t xml:space="preserve">בטיעוניו לעונש </w:t>
      </w:r>
      <w:r>
        <w:rPr>
          <w:rFonts w:hint="cs"/>
          <w:rtl/>
        </w:rPr>
        <w:t xml:space="preserve">הדגיש הסנגור את נסיבותיו המיוחדות של המקרה דנן. הסניגור הפנה לכך שהנאשם נעצר חודשיים לאחר ביצוע העבירות, והוא הודה במיוחס לו בראשית החקירה. סכסוך הדמים במשפחתו נמשך מאז שנת 2014 מבלי שהוא עצמו הסתבך במסגרתו עד לאירוע הנוכחי. גם במקרה זה, נעשה המעשה מתוך סערת רגשות לאחר רצח דודו. הדבר מעיד על התנהלות של אדם נורמטיבי שהינו קורבן של הנסיבות, כפי שהדברים באים לידי ביטוי  בתסקיר שירות המבחן. עוד ציין הסניגור כי בתיעוד המצלמות נראה אביו המנוח של הנאשם סוטר לו וזורק את הנשק, ומכאן שגם דרכו לא היתה דרך הפשע. </w:t>
      </w:r>
    </w:p>
    <w:p w14:paraId="63CADE5A" w14:textId="77777777" w:rsidR="00D34A2B" w:rsidRDefault="00D34A2B" w:rsidP="00D34A2B">
      <w:pPr>
        <w:spacing w:line="360" w:lineRule="auto"/>
        <w:rPr>
          <w:rtl/>
        </w:rPr>
      </w:pPr>
    </w:p>
    <w:p w14:paraId="78C121B2" w14:textId="77777777" w:rsidR="00D34A2B" w:rsidRDefault="00D34A2B" w:rsidP="00D34A2B">
      <w:pPr>
        <w:spacing w:line="360" w:lineRule="auto"/>
        <w:ind w:left="720" w:hanging="720"/>
        <w:jc w:val="both"/>
        <w:rPr>
          <w:rtl/>
        </w:rPr>
      </w:pPr>
      <w:r>
        <w:rPr>
          <w:rtl/>
        </w:rPr>
        <w:tab/>
      </w:r>
      <w:r>
        <w:rPr>
          <w:rFonts w:hint="cs"/>
          <w:rtl/>
        </w:rPr>
        <w:t>הסניגור הפנה לגרסתו של הנאשם בחקירתו במשטרה, לפיה כאשר שמע יריות במתחם המשפחתי וראה את דודו ירוי בראשו, לקח את הנשק מהרכב ומתוך סערת רגשות ירה באוויר. כלומר, הנשיאה היתה לזמן קצר ביותר. הודגש כי הירי לא היה מכוון כלפי בני אדם אלא בתוך המתחם המשפחתי, כך שלא היתה לנאשם כל כוונה לפגוע במאן דהו.</w:t>
      </w:r>
    </w:p>
    <w:p w14:paraId="2436A54C" w14:textId="77777777" w:rsidR="00D34A2B" w:rsidRDefault="00D34A2B" w:rsidP="00D34A2B">
      <w:pPr>
        <w:spacing w:line="360" w:lineRule="auto"/>
        <w:rPr>
          <w:rtl/>
        </w:rPr>
      </w:pPr>
    </w:p>
    <w:p w14:paraId="5F70235B" w14:textId="77777777" w:rsidR="00D34A2B" w:rsidRDefault="00D34A2B" w:rsidP="00D34A2B">
      <w:pPr>
        <w:spacing w:line="360" w:lineRule="auto"/>
        <w:rPr>
          <w:rtl/>
        </w:rPr>
      </w:pPr>
    </w:p>
    <w:p w14:paraId="6C095696" w14:textId="77777777" w:rsidR="00D34A2B" w:rsidRDefault="00D34A2B" w:rsidP="00D34A2B">
      <w:pPr>
        <w:spacing w:line="360" w:lineRule="auto"/>
        <w:rPr>
          <w:rtl/>
        </w:rPr>
      </w:pPr>
    </w:p>
    <w:p w14:paraId="3D4BB459" w14:textId="77777777" w:rsidR="00D34A2B" w:rsidRDefault="00D34A2B" w:rsidP="00D34A2B">
      <w:pPr>
        <w:spacing w:line="360" w:lineRule="auto"/>
        <w:ind w:left="720" w:hanging="720"/>
        <w:jc w:val="both"/>
        <w:rPr>
          <w:rtl/>
        </w:rPr>
      </w:pPr>
      <w:r>
        <w:rPr>
          <w:rtl/>
        </w:rPr>
        <w:tab/>
      </w:r>
      <w:r>
        <w:rPr>
          <w:rFonts w:hint="cs"/>
          <w:rtl/>
        </w:rPr>
        <w:t xml:space="preserve">עוד הוסיפה ההגנה וטענה כי אף שאביו ואחיו נרצחו במהלך ניהול ההליך, גילה הנאשם איפוק ולא הפר את מעצר הבית בו היה נתון ולא פעל לנקום את מותם. מצבה הסוציו-אקונומי של משפחתו קשה מאוד, כיוון שמקורות פרנסתה היו הנאשם, והאב והאח שנרצחו והאינטרס של הנאשם הוא חלק אינטגרלי מהאינטרס הציבורי. הוצג תיעוד רפואי בקשר למצבה הרפואי של אם הנאשם תוך שהוטעם כי הכנסתו של הנאשם לבית הסוהר משמעה זריקתו יחד עם משפחתו לתהום. </w:t>
      </w:r>
    </w:p>
    <w:p w14:paraId="1C529DEA" w14:textId="77777777" w:rsidR="00D34A2B" w:rsidRDefault="00D34A2B" w:rsidP="00D34A2B">
      <w:pPr>
        <w:spacing w:line="360" w:lineRule="auto"/>
        <w:rPr>
          <w:rtl/>
        </w:rPr>
      </w:pPr>
    </w:p>
    <w:p w14:paraId="2880DCD8" w14:textId="77777777" w:rsidR="00D34A2B" w:rsidRDefault="00D34A2B" w:rsidP="00D34A2B">
      <w:pPr>
        <w:spacing w:line="360" w:lineRule="auto"/>
        <w:ind w:left="720" w:hanging="720"/>
        <w:jc w:val="both"/>
        <w:rPr>
          <w:rtl/>
        </w:rPr>
      </w:pPr>
      <w:r>
        <w:rPr>
          <w:rtl/>
        </w:rPr>
        <w:tab/>
      </w:r>
      <w:r>
        <w:rPr>
          <w:rFonts w:hint="cs"/>
          <w:rtl/>
        </w:rPr>
        <w:t xml:space="preserve">הסניגור הוסיף כי הנאשם שיתף פעולה באופן מלא במסגרות אליהן הופנה על ידי שירות המבחן וזה ראה כי יש סיכוי לשקמו והחליט לבצע עימו שיחות פרטניות. התסקיר שהוגש בסופו של יום היה חיובי, אולם היתה אי הבנה ביחס לנזקקות הטיפולית, שכן הנאשם אמר כי למד את הלקח, אך לא שלל נזקקותו לטיפול והוא מוכן לקחת חלק בהליך טיפולי.    </w:t>
      </w:r>
    </w:p>
    <w:p w14:paraId="72A52534" w14:textId="77777777" w:rsidR="00D34A2B" w:rsidRDefault="00D34A2B" w:rsidP="00D34A2B">
      <w:pPr>
        <w:spacing w:line="360" w:lineRule="auto"/>
        <w:rPr>
          <w:rtl/>
        </w:rPr>
      </w:pPr>
    </w:p>
    <w:p w14:paraId="44913AD2" w14:textId="77777777" w:rsidR="00D34A2B" w:rsidRDefault="00D34A2B" w:rsidP="00D34A2B">
      <w:pPr>
        <w:spacing w:line="360" w:lineRule="auto"/>
        <w:ind w:left="720" w:hanging="720"/>
        <w:jc w:val="both"/>
        <w:rPr>
          <w:rtl/>
        </w:rPr>
      </w:pPr>
      <w:r>
        <w:rPr>
          <w:rFonts w:hint="cs"/>
          <w:rtl/>
        </w:rPr>
        <w:tab/>
        <w:t xml:space="preserve">לעמדת הסניגור, על הפרקליטות היה לבוא לקראת הנאשם בנסיבות תיק זה, ואין זה מידתי לבקש להטיל עליו מאסר ממושך. לאור האמור, ביקש הסניגור להסתפק באופן חריג בתקופת המעצר ולהטיל על הנאשם ענישה מותנית בלבד.  </w:t>
      </w:r>
    </w:p>
    <w:p w14:paraId="128A58BE" w14:textId="77777777" w:rsidR="00D34A2B" w:rsidRDefault="00D34A2B" w:rsidP="00D34A2B">
      <w:pPr>
        <w:spacing w:line="360" w:lineRule="auto"/>
        <w:rPr>
          <w:rtl/>
        </w:rPr>
      </w:pPr>
    </w:p>
    <w:p w14:paraId="607B2B51" w14:textId="77777777" w:rsidR="00D34A2B" w:rsidRPr="003F74C0" w:rsidRDefault="00D34A2B" w:rsidP="00D34A2B">
      <w:pPr>
        <w:spacing w:line="360" w:lineRule="auto"/>
        <w:rPr>
          <w:u w:val="single"/>
          <w:rtl/>
        </w:rPr>
      </w:pPr>
      <w:r w:rsidRPr="003F74C0">
        <w:rPr>
          <w:u w:val="single"/>
          <w:rtl/>
        </w:rPr>
        <w:t>דבר הנאשם</w:t>
      </w:r>
    </w:p>
    <w:p w14:paraId="7039A867" w14:textId="77777777" w:rsidR="00D34A2B" w:rsidRDefault="00D34A2B" w:rsidP="00D34A2B">
      <w:pPr>
        <w:spacing w:line="360" w:lineRule="auto"/>
        <w:rPr>
          <w:rtl/>
        </w:rPr>
      </w:pPr>
    </w:p>
    <w:p w14:paraId="6EFE596C" w14:textId="77777777" w:rsidR="00D34A2B" w:rsidRDefault="00D34A2B" w:rsidP="00D34A2B">
      <w:pPr>
        <w:spacing w:line="360" w:lineRule="auto"/>
        <w:ind w:left="720" w:hanging="720"/>
        <w:jc w:val="both"/>
        <w:rPr>
          <w:rtl/>
        </w:rPr>
      </w:pPr>
      <w:r>
        <w:rPr>
          <w:rFonts w:hint="cs"/>
          <w:rtl/>
        </w:rPr>
        <w:t>8</w:t>
      </w:r>
      <w:r>
        <w:rPr>
          <w:rtl/>
        </w:rPr>
        <w:t>.</w:t>
      </w:r>
      <w:r>
        <w:rPr>
          <w:rtl/>
        </w:rPr>
        <w:tab/>
        <w:t xml:space="preserve">בדברו האחרון </w:t>
      </w:r>
      <w:r>
        <w:rPr>
          <w:rFonts w:hint="cs"/>
          <w:rtl/>
        </w:rPr>
        <w:t xml:space="preserve">הביע הנאשם צער על מעשיו והכיר בכך שעשה טעות. עוד הוסיף כי איבד את דודו, אביו ואחיו וציין כי בבית שתי אחיות ואח נוסף, ואין מי שיטפל באמו החולה. </w:t>
      </w:r>
    </w:p>
    <w:p w14:paraId="2EB9748E" w14:textId="77777777" w:rsidR="00D34A2B" w:rsidRDefault="00D34A2B" w:rsidP="00D34A2B">
      <w:pPr>
        <w:spacing w:line="360" w:lineRule="auto"/>
        <w:rPr>
          <w:rtl/>
        </w:rPr>
      </w:pPr>
    </w:p>
    <w:p w14:paraId="1BB929DB" w14:textId="77777777" w:rsidR="00D34A2B" w:rsidRDefault="00D34A2B" w:rsidP="00D34A2B">
      <w:pPr>
        <w:rPr>
          <w:rtl/>
        </w:rPr>
      </w:pPr>
    </w:p>
    <w:p w14:paraId="298767DD" w14:textId="77777777" w:rsidR="00D34A2B" w:rsidRPr="003F74C0" w:rsidRDefault="00D34A2B" w:rsidP="00D34A2B">
      <w:pPr>
        <w:spacing w:line="360" w:lineRule="auto"/>
        <w:rPr>
          <w:u w:val="single"/>
          <w:rtl/>
        </w:rPr>
      </w:pPr>
      <w:r w:rsidRPr="003F74C0">
        <w:rPr>
          <w:u w:val="single"/>
          <w:rtl/>
        </w:rPr>
        <w:t>קביעת מתחם הענישה ההולם</w:t>
      </w:r>
    </w:p>
    <w:p w14:paraId="4AA850B1" w14:textId="77777777" w:rsidR="00D34A2B" w:rsidRDefault="00D34A2B" w:rsidP="00D34A2B">
      <w:pPr>
        <w:spacing w:line="360" w:lineRule="auto"/>
        <w:rPr>
          <w:rtl/>
        </w:rPr>
      </w:pPr>
    </w:p>
    <w:p w14:paraId="362C741D" w14:textId="77777777" w:rsidR="00D34A2B" w:rsidRPr="00EB7607" w:rsidRDefault="00D34A2B" w:rsidP="00D34A2B">
      <w:pPr>
        <w:rPr>
          <w:rtl/>
        </w:rPr>
      </w:pPr>
    </w:p>
    <w:p w14:paraId="626F3FE5" w14:textId="77777777" w:rsidR="00D34A2B" w:rsidRDefault="00D34A2B" w:rsidP="00D34A2B">
      <w:pPr>
        <w:spacing w:line="360" w:lineRule="auto"/>
        <w:ind w:left="720" w:hanging="720"/>
        <w:jc w:val="both"/>
        <w:rPr>
          <w:rtl/>
        </w:rPr>
      </w:pPr>
      <w:r>
        <w:rPr>
          <w:rFonts w:hint="cs"/>
          <w:rtl/>
        </w:rPr>
        <w:t>9</w:t>
      </w:r>
      <w:r>
        <w:rPr>
          <w:rtl/>
        </w:rPr>
        <w:t>.</w:t>
      </w:r>
      <w:r>
        <w:rPr>
          <w:rtl/>
        </w:rPr>
        <w:tab/>
        <w:t xml:space="preserve">ככלל, </w:t>
      </w:r>
      <w:r w:rsidRPr="00CC545C">
        <w:rPr>
          <w:rtl/>
        </w:rPr>
        <w:t xml:space="preserve">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w:t>
      </w:r>
      <w:r>
        <w:rPr>
          <w:rtl/>
        </w:rPr>
        <w:t>תוך מתן הדעת</w:t>
      </w:r>
      <w:r w:rsidRPr="00CC545C">
        <w:rPr>
          <w:rtl/>
        </w:rPr>
        <w:t xml:space="preserve"> לרשימה המפורטת </w:t>
      </w:r>
      <w:hyperlink r:id="rId15" w:history="1">
        <w:r w:rsidR="00A02182" w:rsidRPr="00A02182">
          <w:rPr>
            <w:rStyle w:val="Hyperlink"/>
            <w:rtl/>
          </w:rPr>
          <w:t>בסעיף 40ט(א)</w:t>
        </w:r>
      </w:hyperlink>
      <w:r w:rsidRPr="00CC545C">
        <w:rPr>
          <w:rtl/>
        </w:rPr>
        <w:t xml:space="preserve"> ל</w:t>
      </w:r>
      <w:hyperlink r:id="rId16" w:history="1">
        <w:r w:rsidR="000F0F16" w:rsidRPr="000F0F16">
          <w:rPr>
            <w:color w:val="0000FF"/>
            <w:u w:val="single"/>
            <w:rtl/>
          </w:rPr>
          <w:t>חוק העונשין</w:t>
        </w:r>
      </w:hyperlink>
      <w:r w:rsidRPr="00CC545C">
        <w:rPr>
          <w:rtl/>
        </w:rPr>
        <w:t>.</w:t>
      </w:r>
    </w:p>
    <w:p w14:paraId="60F31958" w14:textId="77777777" w:rsidR="00D34A2B" w:rsidRDefault="00D34A2B" w:rsidP="00D34A2B">
      <w:pPr>
        <w:rPr>
          <w:rtl/>
        </w:rPr>
      </w:pPr>
    </w:p>
    <w:p w14:paraId="6920270C" w14:textId="77777777" w:rsidR="00D34A2B" w:rsidRDefault="00D34A2B" w:rsidP="00D34A2B">
      <w:pPr>
        <w:spacing w:line="360" w:lineRule="auto"/>
        <w:rPr>
          <w:rtl/>
        </w:rPr>
      </w:pPr>
    </w:p>
    <w:p w14:paraId="1186EEA6" w14:textId="77777777" w:rsidR="00D34A2B" w:rsidRDefault="00D34A2B" w:rsidP="00D34A2B">
      <w:pPr>
        <w:spacing w:line="360" w:lineRule="auto"/>
        <w:ind w:left="720" w:hanging="720"/>
        <w:jc w:val="both"/>
        <w:rPr>
          <w:rtl/>
        </w:rPr>
      </w:pPr>
      <w:r>
        <w:rPr>
          <w:rFonts w:hint="cs"/>
          <w:rtl/>
        </w:rPr>
        <w:t>10</w:t>
      </w:r>
      <w:r>
        <w:rPr>
          <w:rtl/>
        </w:rPr>
        <w:t>.</w:t>
      </w:r>
      <w:r>
        <w:rPr>
          <w:rtl/>
        </w:rPr>
        <w:tab/>
        <w:t>אין חולק כי העבירות בהן הורשע הנאשם</w:t>
      </w:r>
      <w:r>
        <w:rPr>
          <w:rFonts w:hint="cs"/>
          <w:rtl/>
        </w:rPr>
        <w:t xml:space="preserve"> </w:t>
      </w:r>
      <w:r>
        <w:rPr>
          <w:rtl/>
        </w:rPr>
        <w:t>חמורות. בית המשפט העליון עמד לא אחת על כך שעבירות בנשק הפכו זה מכבר למכת מדינה של ממש שיש צורך להתייחס אליה בחומרה (</w:t>
      </w:r>
      <w:hyperlink r:id="rId17" w:history="1">
        <w:r w:rsidR="000F0F16" w:rsidRPr="000F0F16">
          <w:rPr>
            <w:color w:val="0000FF"/>
            <w:u w:val="single"/>
            <w:rtl/>
          </w:rPr>
          <w:t>ע"פ 2251/11</w:t>
        </w:r>
      </w:hyperlink>
      <w:r>
        <w:rPr>
          <w:rtl/>
        </w:rPr>
        <w:t xml:space="preserve"> ו</w:t>
      </w:r>
      <w:hyperlink r:id="rId18" w:history="1">
        <w:r w:rsidR="000F0F16" w:rsidRPr="000F0F16">
          <w:rPr>
            <w:color w:val="0000FF"/>
            <w:u w:val="single"/>
            <w:rtl/>
          </w:rPr>
          <w:t>ע"פ 2368/11</w:t>
        </w:r>
      </w:hyperlink>
      <w:r>
        <w:rPr>
          <w:rtl/>
        </w:rPr>
        <w:t xml:space="preserve"> מ"י נ' </w:t>
      </w:r>
      <w:r w:rsidRPr="00607E87">
        <w:rPr>
          <w:b/>
          <w:bCs/>
          <w:rtl/>
        </w:rPr>
        <w:t>ג'מאל נפאע</w:t>
      </w:r>
      <w:r>
        <w:rPr>
          <w:rtl/>
        </w:rPr>
        <w:t xml:space="preserve"> (4.12.11); </w:t>
      </w:r>
      <w:hyperlink r:id="rId19" w:history="1">
        <w:r w:rsidR="000F0F16" w:rsidRPr="000F0F16">
          <w:rPr>
            <w:color w:val="0000FF"/>
            <w:u w:val="single"/>
            <w:rtl/>
          </w:rPr>
          <w:t>ע"פ 5913/11</w:t>
        </w:r>
      </w:hyperlink>
      <w:r>
        <w:rPr>
          <w:rtl/>
        </w:rPr>
        <w:t xml:space="preserve"> </w:t>
      </w:r>
      <w:r w:rsidRPr="00607E87">
        <w:rPr>
          <w:b/>
          <w:bCs/>
          <w:rtl/>
        </w:rPr>
        <w:t>תאר הייב נ' מדינת ישראל</w:t>
      </w:r>
      <w:r>
        <w:rPr>
          <w:rtl/>
        </w:rPr>
        <w:t xml:space="preserve"> (12.9.</w:t>
      </w:r>
      <w:r>
        <w:rPr>
          <w:rFonts w:hint="cs"/>
          <w:rtl/>
        </w:rPr>
        <w:t>12</w:t>
      </w:r>
      <w:r>
        <w:rPr>
          <w:rtl/>
        </w:rPr>
        <w:t>)</w:t>
      </w:r>
      <w:r>
        <w:rPr>
          <w:rFonts w:hint="cs"/>
          <w:rtl/>
        </w:rPr>
        <w:t xml:space="preserve">). </w:t>
      </w:r>
      <w:r>
        <w:rPr>
          <w:rtl/>
        </w:rPr>
        <w:t>ב</w:t>
      </w:r>
      <w:hyperlink r:id="rId20" w:history="1">
        <w:r w:rsidR="000F0F16" w:rsidRPr="000F0F16">
          <w:rPr>
            <w:color w:val="0000FF"/>
            <w:u w:val="single"/>
            <w:rtl/>
          </w:rPr>
          <w:t>ע"פ 1323/13</w:t>
        </w:r>
      </w:hyperlink>
      <w:r>
        <w:rPr>
          <w:rtl/>
        </w:rPr>
        <w:t xml:space="preserve"> </w:t>
      </w:r>
      <w:r w:rsidRPr="006E32F7">
        <w:rPr>
          <w:b/>
          <w:bCs/>
          <w:rtl/>
        </w:rPr>
        <w:t>רך חסן נ' מדינת ישראל</w:t>
      </w:r>
      <w:r>
        <w:rPr>
          <w:rtl/>
        </w:rPr>
        <w:t xml:space="preserve"> (5.6.13)</w:t>
      </w:r>
      <w:r>
        <w:rPr>
          <w:rFonts w:hint="cs"/>
          <w:rtl/>
        </w:rPr>
        <w:t xml:space="preserve">, </w:t>
      </w:r>
      <w:r>
        <w:rPr>
          <w:rtl/>
        </w:rPr>
        <w:t>הדגישה כב' הש</w:t>
      </w:r>
      <w:r>
        <w:rPr>
          <w:rFonts w:hint="cs"/>
          <w:rtl/>
        </w:rPr>
        <w:t>ופטת</w:t>
      </w:r>
      <w:r>
        <w:rPr>
          <w:rtl/>
        </w:rPr>
        <w:t xml:space="preserve"> ארבל את המגמה המתחייבת של החמרה בענישה בעבירות נשק</w:t>
      </w:r>
      <w:r>
        <w:rPr>
          <w:rFonts w:hint="cs"/>
          <w:rtl/>
        </w:rPr>
        <w:t>,</w:t>
      </w:r>
      <w:r>
        <w:rPr>
          <w:rtl/>
        </w:rPr>
        <w:t xml:space="preserve"> המיושמת בפסיקה בשנים האחרונות, בצד הצורך להקפיד על ענישה אינדיבידואלית התואמת כל מקרה לנסיבותיו:</w:t>
      </w:r>
    </w:p>
    <w:p w14:paraId="007E1061" w14:textId="77777777" w:rsidR="00D34A2B" w:rsidRDefault="00D34A2B" w:rsidP="00D34A2B">
      <w:pPr>
        <w:spacing w:line="360" w:lineRule="auto"/>
        <w:rPr>
          <w:rtl/>
        </w:rPr>
      </w:pPr>
    </w:p>
    <w:p w14:paraId="7F4703F2" w14:textId="77777777" w:rsidR="00D34A2B" w:rsidRPr="003F74C0" w:rsidRDefault="00D34A2B" w:rsidP="00D34A2B">
      <w:pPr>
        <w:pStyle w:val="Quote"/>
        <w:spacing w:before="0" w:after="0"/>
        <w:jc w:val="both"/>
        <w:rPr>
          <w:i w:val="0"/>
          <w:iCs w:val="0"/>
          <w:color w:val="auto"/>
          <w:rtl/>
        </w:rPr>
      </w:pPr>
      <w:r>
        <w:rPr>
          <w:rtl/>
        </w:rPr>
        <w:tab/>
      </w:r>
      <w:r>
        <w:rPr>
          <w:rtl/>
        </w:rPr>
        <w:tab/>
      </w:r>
      <w:r w:rsidRPr="003F74C0">
        <w:rPr>
          <w:i w:val="0"/>
          <w:iCs w:val="0"/>
          <w:color w:val="auto"/>
          <w:rtl/>
        </w:rPr>
        <w:t xml:space="preserve">"נוכח היקפן המתרחב של עבירות המבוצעות בנשק בכלל וסחר בנשק </w:t>
      </w:r>
      <w:r w:rsidRPr="003F74C0">
        <w:rPr>
          <w:i w:val="0"/>
          <w:iCs w:val="0"/>
          <w:color w:val="auto"/>
          <w:rtl/>
        </w:rPr>
        <w:tab/>
        <w:t xml:space="preserve">בפרט, וזמינותו המדאיגה של נשק בלתי חוקי במחוזותינו, התעורר הצורך </w:t>
      </w:r>
      <w:r w:rsidRPr="003F74C0">
        <w:rPr>
          <w:i w:val="0"/>
          <w:iCs w:val="0"/>
          <w:color w:val="auto"/>
          <w:rtl/>
        </w:rPr>
        <w:tab/>
        <w:t xml:space="preserve">להחמיר בעונשי המאסר המוטלים בעבירות אלה. אכן "התגלגלותם" של </w:t>
      </w:r>
      <w:r w:rsidRPr="003F74C0">
        <w:rPr>
          <w:i w:val="0"/>
          <w:iCs w:val="0"/>
          <w:color w:val="auto"/>
          <w:rtl/>
        </w:rPr>
        <w:tab/>
        <w:t xml:space="preserve">כלי נשק מיד ליד ללא פיקוח עלול להוביל להגעתם בדרך לא דרך לגורמים </w:t>
      </w:r>
      <w:r w:rsidRPr="003F74C0">
        <w:rPr>
          <w:i w:val="0"/>
          <w:iCs w:val="0"/>
          <w:color w:val="auto"/>
          <w:rtl/>
        </w:rPr>
        <w:tab/>
        <w:t xml:space="preserve">פליליים ועוינים. אין לדעת מה יעלה בגורלם של כלי נשק אלה ולאילו </w:t>
      </w:r>
      <w:r w:rsidRPr="003F74C0">
        <w:rPr>
          <w:i w:val="0"/>
          <w:iCs w:val="0"/>
          <w:color w:val="auto"/>
          <w:rtl/>
        </w:rPr>
        <w:tab/>
        <w:t xml:space="preserve">תוצאות הרסניות יובילו - בסכסוך ברחוב, בקטטה בין ניצים ואף בתוך </w:t>
      </w:r>
      <w:r w:rsidRPr="003F74C0">
        <w:rPr>
          <w:i w:val="0"/>
          <w:iCs w:val="0"/>
          <w:color w:val="auto"/>
          <w:rtl/>
        </w:rPr>
        <w:tab/>
        <w:t xml:space="preserve">המשפחה פנימה. הסכנה הנשקפת לציבור כתוצאה מעבירות אלה, לצד </w:t>
      </w:r>
      <w:r w:rsidRPr="003F74C0">
        <w:rPr>
          <w:i w:val="0"/>
          <w:iCs w:val="0"/>
          <w:color w:val="auto"/>
          <w:rtl/>
        </w:rPr>
        <w:tab/>
        <w:t xml:space="preserve">המימדים שאליהם הגיעו, מחייבים לתת ביטוי הולם וכבד משקל להגנה </w:t>
      </w:r>
      <w:r w:rsidRPr="003F74C0">
        <w:rPr>
          <w:i w:val="0"/>
          <w:iCs w:val="0"/>
          <w:color w:val="auto"/>
          <w:rtl/>
        </w:rPr>
        <w:tab/>
        <w:t xml:space="preserve">על הערך החברתי שנפגע כתוצאה מפעילות עבריינית זאת, הגנה על שלום </w:t>
      </w:r>
      <w:r w:rsidRPr="003F74C0">
        <w:rPr>
          <w:i w:val="0"/>
          <w:iCs w:val="0"/>
          <w:color w:val="auto"/>
          <w:rtl/>
        </w:rPr>
        <w:tab/>
        <w:t xml:space="preserve">הציבור מפני פגיעות בגוף או בנפש, ולהחמיר את עונשי המאסר המוטלים </w:t>
      </w:r>
      <w:r w:rsidRPr="003F74C0">
        <w:rPr>
          <w:i w:val="0"/>
          <w:iCs w:val="0"/>
          <w:color w:val="auto"/>
          <w:rtl/>
        </w:rPr>
        <w:tab/>
        <w:t xml:space="preserve">בגין פעילות עבריינית זאת, בהדרגה. למותר לציין כי אין בכך כדי לחתור </w:t>
      </w:r>
      <w:r w:rsidRPr="003F74C0">
        <w:rPr>
          <w:i w:val="0"/>
          <w:iCs w:val="0"/>
          <w:color w:val="auto"/>
          <w:rtl/>
        </w:rPr>
        <w:tab/>
        <w:t xml:space="preserve">תחת האופי האינדיבידואלי שבמלאכת הענישה, הנעשית בכל מקרה לגופו, </w:t>
      </w:r>
      <w:r w:rsidRPr="003F74C0">
        <w:rPr>
          <w:i w:val="0"/>
          <w:iCs w:val="0"/>
          <w:color w:val="auto"/>
          <w:rtl/>
        </w:rPr>
        <w:tab/>
        <w:t>לפי נסיבותיו ומידת אשמו של הנאשם".</w:t>
      </w:r>
    </w:p>
    <w:p w14:paraId="626F4948" w14:textId="77777777" w:rsidR="00D34A2B" w:rsidRDefault="00D34A2B" w:rsidP="00D34A2B">
      <w:pPr>
        <w:spacing w:line="360" w:lineRule="auto"/>
        <w:rPr>
          <w:rtl/>
        </w:rPr>
      </w:pPr>
    </w:p>
    <w:p w14:paraId="625B49F6" w14:textId="77777777" w:rsidR="00D34A2B" w:rsidRDefault="00D34A2B" w:rsidP="00D34A2B">
      <w:pPr>
        <w:spacing w:line="360" w:lineRule="auto"/>
        <w:ind w:left="720" w:hanging="720"/>
        <w:jc w:val="both"/>
        <w:rPr>
          <w:rtl/>
        </w:rPr>
      </w:pPr>
      <w:r>
        <w:rPr>
          <w:rtl/>
        </w:rPr>
        <w:tab/>
        <w:t>ב</w:t>
      </w:r>
      <w:hyperlink r:id="rId21" w:history="1">
        <w:r w:rsidR="008C261A" w:rsidRPr="008C261A">
          <w:rPr>
            <w:color w:val="0000FF"/>
            <w:u w:val="single"/>
            <w:rtl/>
          </w:rPr>
          <w:t xml:space="preserve">ע"פ 1332/04 </w:t>
        </w:r>
      </w:hyperlink>
      <w:r>
        <w:rPr>
          <w:rtl/>
        </w:rPr>
        <w:t xml:space="preserve"> </w:t>
      </w:r>
      <w:r w:rsidRPr="00140A43">
        <w:rPr>
          <w:b/>
          <w:bCs/>
          <w:rtl/>
        </w:rPr>
        <w:t>פס נ' מדינת ישראל</w:t>
      </w:r>
      <w:r>
        <w:rPr>
          <w:rtl/>
        </w:rPr>
        <w:t xml:space="preserve">, פ"ד נח(5) 541 נאמר כי יש ליתן את הדעת גם </w:t>
      </w:r>
      <w:r>
        <w:rPr>
          <w:rFonts w:hint="cs"/>
          <w:rtl/>
        </w:rPr>
        <w:t>ל</w:t>
      </w:r>
      <w:r>
        <w:rPr>
          <w:rtl/>
        </w:rPr>
        <w:t>סוג הנשק המוחזק</w:t>
      </w:r>
      <w:r>
        <w:rPr>
          <w:rFonts w:hint="cs"/>
          <w:rtl/>
        </w:rPr>
        <w:t xml:space="preserve"> שלא כדין</w:t>
      </w:r>
      <w:r>
        <w:rPr>
          <w:rtl/>
        </w:rPr>
        <w:t>, התכלית שלשמה הוא מוחזק, והסכנה המוחשית שי</w:t>
      </w:r>
      <w:r>
        <w:rPr>
          <w:rFonts w:hint="cs"/>
          <w:rtl/>
        </w:rPr>
        <w:t>י</w:t>
      </w:r>
      <w:r>
        <w:rPr>
          <w:rtl/>
        </w:rPr>
        <w:t>עשה בו שימוש</w:t>
      </w:r>
      <w:r>
        <w:rPr>
          <w:rFonts w:hint="cs"/>
          <w:rtl/>
        </w:rPr>
        <w:t>.</w:t>
      </w:r>
    </w:p>
    <w:p w14:paraId="63315767" w14:textId="77777777" w:rsidR="00D34A2B" w:rsidRDefault="00D34A2B" w:rsidP="00D34A2B">
      <w:pPr>
        <w:spacing w:line="360" w:lineRule="auto"/>
        <w:rPr>
          <w:rtl/>
        </w:rPr>
      </w:pPr>
    </w:p>
    <w:p w14:paraId="76F2FFFA" w14:textId="77777777" w:rsidR="00D34A2B" w:rsidRDefault="00D34A2B" w:rsidP="00D34A2B">
      <w:pPr>
        <w:spacing w:line="360" w:lineRule="auto"/>
        <w:ind w:left="720" w:hanging="720"/>
        <w:jc w:val="both"/>
        <w:rPr>
          <w:rtl/>
        </w:rPr>
      </w:pPr>
      <w:r>
        <w:rPr>
          <w:rFonts w:hint="cs"/>
          <w:rtl/>
        </w:rPr>
        <w:t>11.</w:t>
      </w:r>
      <w:r>
        <w:rPr>
          <w:rFonts w:hint="cs"/>
          <w:rtl/>
        </w:rPr>
        <w:tab/>
        <w:t>ה</w:t>
      </w:r>
      <w:r>
        <w:rPr>
          <w:rtl/>
        </w:rPr>
        <w:t>עביר</w:t>
      </w:r>
      <w:r>
        <w:rPr>
          <w:rFonts w:hint="cs"/>
          <w:rtl/>
        </w:rPr>
        <w:t>ה</w:t>
      </w:r>
      <w:r w:rsidRPr="00140A43">
        <w:rPr>
          <w:rtl/>
        </w:rPr>
        <w:t xml:space="preserve"> </w:t>
      </w:r>
      <w:r>
        <w:rPr>
          <w:rFonts w:hint="cs"/>
          <w:rtl/>
        </w:rPr>
        <w:t xml:space="preserve">של </w:t>
      </w:r>
      <w:r w:rsidRPr="00140A43">
        <w:rPr>
          <w:rtl/>
        </w:rPr>
        <w:t xml:space="preserve">נשיאת נשק ותחמושת שלא כדין </w:t>
      </w:r>
      <w:r>
        <w:rPr>
          <w:rFonts w:hint="cs"/>
          <w:rtl/>
        </w:rPr>
        <w:t xml:space="preserve">הינה חמורה ולא בכדי נקבע בצידה </w:t>
      </w:r>
      <w:r w:rsidRPr="00140A43">
        <w:rPr>
          <w:rtl/>
        </w:rPr>
        <w:t xml:space="preserve">עונש של עשר שנות מאסר. חומרתה של עבירה זו, בדומה לעבירת החזקת נשק, בכך שהיא עלולה לרוב לגרור עבירות נלוות שמעצם טבעו של הנשק כרוכות באלימות או בהפחדה (ראו: </w:t>
      </w:r>
      <w:hyperlink r:id="rId22" w:history="1">
        <w:r w:rsidR="000F0F16" w:rsidRPr="000F0F16">
          <w:rPr>
            <w:color w:val="0000FF"/>
            <w:u w:val="single"/>
            <w:rtl/>
          </w:rPr>
          <w:t>ע"פ 8416/09</w:t>
        </w:r>
      </w:hyperlink>
      <w:r w:rsidRPr="00140A43">
        <w:rPr>
          <w:rtl/>
        </w:rPr>
        <w:t xml:space="preserve"> </w:t>
      </w:r>
      <w:r w:rsidRPr="0009797D">
        <w:rPr>
          <w:b/>
          <w:bCs/>
          <w:rtl/>
        </w:rPr>
        <w:t>מדינת ישראל נ' חרבוש</w:t>
      </w:r>
      <w:r w:rsidRPr="00140A43">
        <w:rPr>
          <w:rtl/>
        </w:rPr>
        <w:t xml:space="preserve"> (9.6.10)).</w:t>
      </w:r>
      <w:r>
        <w:rPr>
          <w:rFonts w:hint="cs"/>
          <w:rtl/>
        </w:rPr>
        <w:t xml:space="preserve"> </w:t>
      </w:r>
    </w:p>
    <w:p w14:paraId="635319CC" w14:textId="77777777" w:rsidR="00D34A2B" w:rsidRDefault="00D34A2B" w:rsidP="00D34A2B">
      <w:pPr>
        <w:spacing w:line="360" w:lineRule="auto"/>
        <w:rPr>
          <w:rtl/>
        </w:rPr>
      </w:pPr>
    </w:p>
    <w:p w14:paraId="06118A3E" w14:textId="77777777" w:rsidR="00D34A2B" w:rsidRDefault="00D34A2B" w:rsidP="00D34A2B">
      <w:pPr>
        <w:spacing w:line="360" w:lineRule="auto"/>
        <w:ind w:left="720" w:hanging="720"/>
        <w:jc w:val="both"/>
        <w:rPr>
          <w:rtl/>
        </w:rPr>
      </w:pPr>
      <w:r>
        <w:rPr>
          <w:rtl/>
        </w:rPr>
        <w:tab/>
      </w:r>
      <w:r>
        <w:rPr>
          <w:rFonts w:hint="cs"/>
          <w:rtl/>
        </w:rPr>
        <w:t>גם העבירה של ירי באזור מגורים יש בה פוטנציאל לסיכון ולפגיעה בחפים מפשע, אף שהעונש הקבוע בצידה מקל יחסית ועומד על שנת מאסר אחת. בהקשר זה, הפנתה המאשימה לכך שבית המשפט העליון ציין כי מן הראוי שהמחוקק ייתן דעתו לעונש הנמוך הקבוע בצד עבירה זו (</w:t>
      </w:r>
      <w:hyperlink r:id="rId23" w:history="1">
        <w:r w:rsidR="000F0F16" w:rsidRPr="000F0F16">
          <w:rPr>
            <w:color w:val="0000FF"/>
            <w:u w:val="single"/>
            <w:rtl/>
          </w:rPr>
          <w:t>ע"פ 5955/13</w:t>
        </w:r>
      </w:hyperlink>
      <w:r>
        <w:rPr>
          <w:rFonts w:hint="cs"/>
          <w:rtl/>
        </w:rPr>
        <w:t xml:space="preserve"> ו</w:t>
      </w:r>
      <w:hyperlink r:id="rId24" w:history="1">
        <w:r w:rsidR="000F0F16" w:rsidRPr="000F0F16">
          <w:rPr>
            <w:color w:val="0000FF"/>
            <w:u w:val="single"/>
            <w:rtl/>
          </w:rPr>
          <w:t>ע"פ 4595/13</w:t>
        </w:r>
      </w:hyperlink>
      <w:r>
        <w:rPr>
          <w:rFonts w:hint="cs"/>
          <w:rtl/>
        </w:rPr>
        <w:t xml:space="preserve"> </w:t>
      </w:r>
      <w:r w:rsidRPr="0009797D">
        <w:rPr>
          <w:rFonts w:hint="cs"/>
          <w:b/>
          <w:bCs/>
          <w:rtl/>
        </w:rPr>
        <w:t>זובידאת נ' מדינת ישראל</w:t>
      </w:r>
      <w:r>
        <w:rPr>
          <w:rFonts w:hint="cs"/>
          <w:rtl/>
        </w:rPr>
        <w:t xml:space="preserve"> (6.7.14)). </w:t>
      </w:r>
    </w:p>
    <w:p w14:paraId="69F12BE9" w14:textId="77777777" w:rsidR="00D34A2B" w:rsidRDefault="00D34A2B" w:rsidP="00D34A2B">
      <w:pPr>
        <w:spacing w:line="360" w:lineRule="auto"/>
        <w:rPr>
          <w:rtl/>
        </w:rPr>
      </w:pPr>
    </w:p>
    <w:p w14:paraId="642E7D1B" w14:textId="77777777" w:rsidR="00D34A2B" w:rsidRDefault="00D34A2B" w:rsidP="00D34A2B">
      <w:pPr>
        <w:spacing w:line="360" w:lineRule="auto"/>
        <w:ind w:left="720" w:hanging="720"/>
        <w:jc w:val="both"/>
        <w:rPr>
          <w:rtl/>
        </w:rPr>
      </w:pPr>
      <w:r>
        <w:rPr>
          <w:rFonts w:hint="cs"/>
          <w:rtl/>
        </w:rPr>
        <w:t>12.</w:t>
      </w:r>
      <w:r>
        <w:rPr>
          <w:rFonts w:hint="cs"/>
          <w:rtl/>
        </w:rPr>
        <w:tab/>
      </w:r>
      <w:r>
        <w:rPr>
          <w:rtl/>
        </w:rPr>
        <w:t xml:space="preserve">במקרה </w:t>
      </w:r>
      <w:r>
        <w:rPr>
          <w:rFonts w:hint="cs"/>
          <w:rtl/>
        </w:rPr>
        <w:t>דנן</w:t>
      </w:r>
      <w:r>
        <w:rPr>
          <w:rtl/>
        </w:rPr>
        <w:t xml:space="preserve">, </w:t>
      </w:r>
      <w:r>
        <w:rPr>
          <w:rFonts w:hint="cs"/>
          <w:rtl/>
        </w:rPr>
        <w:t>אכן</w:t>
      </w:r>
      <w:r>
        <w:rPr>
          <w:rtl/>
        </w:rPr>
        <w:t xml:space="preserve"> </w:t>
      </w:r>
      <w:r>
        <w:rPr>
          <w:rFonts w:hint="cs"/>
          <w:rtl/>
        </w:rPr>
        <w:t xml:space="preserve">בחר </w:t>
      </w:r>
      <w:r>
        <w:rPr>
          <w:rtl/>
        </w:rPr>
        <w:t>הנאשם, שאינו מורשה ל</w:t>
      </w:r>
      <w:r>
        <w:rPr>
          <w:rFonts w:hint="cs"/>
          <w:rtl/>
        </w:rPr>
        <w:t>שאת</w:t>
      </w:r>
      <w:r>
        <w:rPr>
          <w:rtl/>
        </w:rPr>
        <w:t xml:space="preserve"> כלי נשק</w:t>
      </w:r>
      <w:r>
        <w:rPr>
          <w:rFonts w:hint="cs"/>
          <w:rtl/>
        </w:rPr>
        <w:t xml:space="preserve">, </w:t>
      </w:r>
      <w:r>
        <w:rPr>
          <w:rtl/>
        </w:rPr>
        <w:t>ליטול לידיו אקדח טעון ולירות</w:t>
      </w:r>
      <w:r>
        <w:rPr>
          <w:rFonts w:hint="cs"/>
          <w:rtl/>
        </w:rPr>
        <w:t xml:space="preserve"> בו מספר לא מבוטל של כדורים בשטח מגורים. </w:t>
      </w:r>
      <w:r w:rsidRPr="0003325B">
        <w:rPr>
          <w:rtl/>
        </w:rPr>
        <w:t>הנסיבות בהן הגיע ה</w:t>
      </w:r>
      <w:r>
        <w:rPr>
          <w:rFonts w:hint="cs"/>
          <w:rtl/>
        </w:rPr>
        <w:t>אקדח</w:t>
      </w:r>
      <w:r w:rsidRPr="0003325B">
        <w:rPr>
          <w:rtl/>
        </w:rPr>
        <w:t xml:space="preserve"> לידיו </w:t>
      </w:r>
      <w:r>
        <w:rPr>
          <w:rFonts w:hint="cs"/>
          <w:rtl/>
        </w:rPr>
        <w:t xml:space="preserve">ופרק הזמן בו נשא את האקדח לא פורטו בכתב האישום המתוקן. </w:t>
      </w:r>
    </w:p>
    <w:p w14:paraId="6682717D" w14:textId="77777777" w:rsidR="00D34A2B" w:rsidRDefault="00D34A2B" w:rsidP="00D34A2B">
      <w:pPr>
        <w:spacing w:line="360" w:lineRule="auto"/>
        <w:ind w:left="720"/>
        <w:jc w:val="both"/>
        <w:rPr>
          <w:rtl/>
        </w:rPr>
      </w:pPr>
      <w:r>
        <w:rPr>
          <w:rFonts w:hint="cs"/>
          <w:rtl/>
        </w:rPr>
        <w:t xml:space="preserve">הנאשם טען, אמנם, כי לקח את האקדח מתוך רכבו של דודו לאחר שהבין כי הלה נרצח, ומיד לאחר הירי הוצא האקדח מידיו, כפי שצוין במסגרת התסקיר ובטיעוני הסניגור, אולם גרסה זו </w:t>
      </w:r>
      <w:r>
        <w:rPr>
          <w:rtl/>
        </w:rPr>
        <w:t>אינ</w:t>
      </w:r>
      <w:r>
        <w:rPr>
          <w:rFonts w:hint="cs"/>
          <w:rtl/>
        </w:rPr>
        <w:t>ה</w:t>
      </w:r>
      <w:r>
        <w:rPr>
          <w:rtl/>
        </w:rPr>
        <w:t xml:space="preserve"> מהו</w:t>
      </w:r>
      <w:r>
        <w:rPr>
          <w:rFonts w:hint="cs"/>
          <w:rtl/>
        </w:rPr>
        <w:t>וה</w:t>
      </w:r>
      <w:r w:rsidRPr="0003325B">
        <w:rPr>
          <w:rtl/>
        </w:rPr>
        <w:t xml:space="preserve"> חלק מ</w:t>
      </w:r>
      <w:r>
        <w:rPr>
          <w:rFonts w:hint="cs"/>
          <w:rtl/>
        </w:rPr>
        <w:t xml:space="preserve">עובדות כתב האישום ומשכך אין בידי לקבוע כי כך אכן היה. </w:t>
      </w:r>
    </w:p>
    <w:p w14:paraId="3548ABD7" w14:textId="77777777" w:rsidR="00D34A2B" w:rsidRDefault="00D34A2B" w:rsidP="00D34A2B">
      <w:pPr>
        <w:spacing w:line="360" w:lineRule="auto"/>
        <w:rPr>
          <w:rtl/>
        </w:rPr>
      </w:pPr>
    </w:p>
    <w:p w14:paraId="3FF5325E" w14:textId="77777777" w:rsidR="00D34A2B" w:rsidRDefault="00D34A2B" w:rsidP="00D34A2B">
      <w:pPr>
        <w:spacing w:line="360" w:lineRule="auto"/>
        <w:ind w:left="720" w:hanging="720"/>
        <w:jc w:val="both"/>
        <w:rPr>
          <w:rtl/>
        </w:rPr>
      </w:pPr>
      <w:r>
        <w:rPr>
          <w:rtl/>
        </w:rPr>
        <w:tab/>
      </w:r>
      <w:r>
        <w:rPr>
          <w:rFonts w:hint="cs"/>
          <w:rtl/>
        </w:rPr>
        <w:t xml:space="preserve">עם זאת, </w:t>
      </w:r>
      <w:r w:rsidRPr="00622EE5">
        <w:rPr>
          <w:rtl/>
        </w:rPr>
        <w:t>המסכת העובדתית בכתב האישום המתוקן נפתחת בציון העובדה כי דודו של הנאשם נרצח, ובעקבות זאת הגיע הנאשם לביתו</w:t>
      </w:r>
      <w:r>
        <w:rPr>
          <w:rFonts w:hint="cs"/>
          <w:rtl/>
        </w:rPr>
        <w:t xml:space="preserve"> שם ירה באקדח בחצר הבית</w:t>
      </w:r>
      <w:r w:rsidRPr="00622EE5">
        <w:rPr>
          <w:rtl/>
        </w:rPr>
        <w:t>.</w:t>
      </w:r>
      <w:r>
        <w:rPr>
          <w:rFonts w:hint="cs"/>
          <w:rtl/>
        </w:rPr>
        <w:t xml:space="preserve"> </w:t>
      </w:r>
      <w:r w:rsidRPr="00622EE5">
        <w:rPr>
          <w:rtl/>
        </w:rPr>
        <w:t xml:space="preserve">על רקע זה יש לבחון את מעשיו, אשר </w:t>
      </w:r>
      <w:r>
        <w:rPr>
          <w:rFonts w:hint="cs"/>
          <w:rtl/>
        </w:rPr>
        <w:t xml:space="preserve">ניכר, להשקפתי, כי </w:t>
      </w:r>
      <w:r w:rsidRPr="00622EE5">
        <w:rPr>
          <w:rtl/>
        </w:rPr>
        <w:t>בוצעו ב</w:t>
      </w:r>
      <w:r>
        <w:rPr>
          <w:rFonts w:hint="cs"/>
          <w:rtl/>
        </w:rPr>
        <w:t>היותו ב</w:t>
      </w:r>
      <w:r w:rsidRPr="00622EE5">
        <w:rPr>
          <w:rtl/>
        </w:rPr>
        <w:t xml:space="preserve">סערת רגשות, </w:t>
      </w:r>
      <w:r>
        <w:rPr>
          <w:rFonts w:hint="cs"/>
          <w:rtl/>
        </w:rPr>
        <w:t>ו</w:t>
      </w:r>
      <w:r>
        <w:rPr>
          <w:rtl/>
        </w:rPr>
        <w:t xml:space="preserve">מתוך הלם וצער על מות </w:t>
      </w:r>
      <w:r>
        <w:rPr>
          <w:rFonts w:hint="cs"/>
          <w:rtl/>
        </w:rPr>
        <w:t>ה</w:t>
      </w:r>
      <w:r>
        <w:rPr>
          <w:rtl/>
        </w:rPr>
        <w:t>דוד</w:t>
      </w:r>
      <w:r>
        <w:rPr>
          <w:rFonts w:hint="cs"/>
          <w:rtl/>
        </w:rPr>
        <w:t xml:space="preserve">. קשה לשער את שהתחולל בנפשו של הנאשם, צעיר כבן 20 באותה עת, </w:t>
      </w:r>
      <w:r>
        <w:rPr>
          <w:rtl/>
        </w:rPr>
        <w:t>לאחר ש</w:t>
      </w:r>
      <w:r>
        <w:rPr>
          <w:rFonts w:hint="cs"/>
          <w:rtl/>
        </w:rPr>
        <w:t xml:space="preserve">חזה בדודו </w:t>
      </w:r>
      <w:r w:rsidRPr="00622EE5">
        <w:rPr>
          <w:rtl/>
        </w:rPr>
        <w:t xml:space="preserve">ירוי בראשו. בתסקיר </w:t>
      </w:r>
      <w:r>
        <w:rPr>
          <w:rFonts w:hint="cs"/>
          <w:rtl/>
        </w:rPr>
        <w:t>צוין</w:t>
      </w:r>
      <w:r w:rsidRPr="00622EE5">
        <w:rPr>
          <w:rtl/>
        </w:rPr>
        <w:t xml:space="preserve"> כי הרצח בוצע במסגרת סכסוך דמים קשה וממושך במשפחתו המורחבת של הנאשם, אשר גבה מספר קורבנות בנפש</w:t>
      </w:r>
      <w:r>
        <w:rPr>
          <w:rFonts w:hint="cs"/>
          <w:rtl/>
        </w:rPr>
        <w:t xml:space="preserve">. </w:t>
      </w:r>
    </w:p>
    <w:p w14:paraId="3C9A2321" w14:textId="77777777" w:rsidR="00D34A2B" w:rsidRDefault="00D34A2B" w:rsidP="00D34A2B">
      <w:pPr>
        <w:spacing w:line="360" w:lineRule="auto"/>
        <w:rPr>
          <w:rtl/>
        </w:rPr>
      </w:pPr>
    </w:p>
    <w:p w14:paraId="004280CF" w14:textId="77777777" w:rsidR="00D34A2B" w:rsidRDefault="00D34A2B" w:rsidP="00D34A2B">
      <w:pPr>
        <w:spacing w:line="360" w:lineRule="auto"/>
        <w:ind w:left="720" w:hanging="720"/>
        <w:jc w:val="both"/>
        <w:rPr>
          <w:rtl/>
        </w:rPr>
      </w:pPr>
      <w:r>
        <w:rPr>
          <w:rtl/>
        </w:rPr>
        <w:tab/>
      </w:r>
      <w:r w:rsidRPr="00622EE5">
        <w:rPr>
          <w:rtl/>
        </w:rPr>
        <w:t xml:space="preserve">אין באמור כדי להפחית מחומרת המעשים או להצדיקם, אך </w:t>
      </w:r>
      <w:r>
        <w:rPr>
          <w:rFonts w:hint="cs"/>
          <w:rtl/>
        </w:rPr>
        <w:t>לא ניתן</w:t>
      </w:r>
      <w:r w:rsidRPr="00622EE5">
        <w:rPr>
          <w:rtl/>
        </w:rPr>
        <w:t xml:space="preserve"> לנתק נסיבות אלה מביצוע העבירות והן מהוות חלק בלתי נפרד מביצוען</w:t>
      </w:r>
      <w:r>
        <w:rPr>
          <w:rFonts w:hint="cs"/>
          <w:rtl/>
        </w:rPr>
        <w:t xml:space="preserve"> ומאפשרות להבין את הרקע למעשים</w:t>
      </w:r>
      <w:r w:rsidRPr="00622EE5">
        <w:rPr>
          <w:rtl/>
        </w:rPr>
        <w:t xml:space="preserve">. </w:t>
      </w:r>
      <w:r>
        <w:rPr>
          <w:rFonts w:hint="cs"/>
          <w:rtl/>
        </w:rPr>
        <w:t>לא מדובר במי שהגיע למקום כשהוא נושא אקדח לאחר תכנון מוקדם, מתוך כוונה לעשות בו שימוש לצרכי איום או הפחדה, ופעל בקור רוח תוך אדישות למעשיו ותוצאותיהם. מעשיו של הנאשם, על אף הסיכון שיצרו, לא נבעו ממניע עברייני טהור אלא מסערת רגשות סביב אובדן הדוד שנפל קורבן לסכסוך הדמים.</w:t>
      </w:r>
    </w:p>
    <w:p w14:paraId="1254342F" w14:textId="77777777" w:rsidR="00D34A2B" w:rsidRDefault="00D34A2B" w:rsidP="00D34A2B">
      <w:pPr>
        <w:spacing w:line="360" w:lineRule="auto"/>
        <w:rPr>
          <w:rtl/>
        </w:rPr>
      </w:pPr>
    </w:p>
    <w:p w14:paraId="43629E48" w14:textId="77777777" w:rsidR="00D34A2B" w:rsidRDefault="00D34A2B" w:rsidP="00D34A2B">
      <w:pPr>
        <w:spacing w:line="360" w:lineRule="auto"/>
        <w:ind w:left="720" w:hanging="720"/>
        <w:jc w:val="both"/>
        <w:rPr>
          <w:rtl/>
        </w:rPr>
      </w:pPr>
      <w:r>
        <w:rPr>
          <w:rtl/>
        </w:rPr>
        <w:tab/>
      </w:r>
      <w:r>
        <w:rPr>
          <w:rFonts w:hint="cs"/>
          <w:rtl/>
        </w:rPr>
        <w:t>עוד</w:t>
      </w:r>
      <w:r>
        <w:rPr>
          <w:rtl/>
        </w:rPr>
        <w:t xml:space="preserve"> </w:t>
      </w:r>
      <w:r>
        <w:rPr>
          <w:rFonts w:hint="cs"/>
          <w:rtl/>
        </w:rPr>
        <w:t xml:space="preserve">יש לציין לקולא, במסגרת הנסיבות הקשורות לביצוע העבירה, </w:t>
      </w:r>
      <w:r>
        <w:rPr>
          <w:rtl/>
        </w:rPr>
        <w:t>את העובדה כי הירי בוצע באוויר</w:t>
      </w:r>
      <w:r>
        <w:rPr>
          <w:rFonts w:hint="cs"/>
          <w:rtl/>
        </w:rPr>
        <w:t xml:space="preserve">, </w:t>
      </w:r>
      <w:r w:rsidRPr="00622EE5">
        <w:rPr>
          <w:rtl/>
        </w:rPr>
        <w:t xml:space="preserve">מבלי שהנאשם </w:t>
      </w:r>
      <w:r>
        <w:rPr>
          <w:rFonts w:hint="cs"/>
          <w:rtl/>
        </w:rPr>
        <w:t xml:space="preserve">נתכוון </w:t>
      </w:r>
      <w:r w:rsidRPr="00622EE5">
        <w:rPr>
          <w:rtl/>
        </w:rPr>
        <w:t>לפגוע באיש ומבלי שנגרם כל נזק</w:t>
      </w:r>
      <w:r>
        <w:rPr>
          <w:rFonts w:hint="cs"/>
          <w:rtl/>
        </w:rPr>
        <w:t xml:space="preserve"> לגוף או לרכוש</w:t>
      </w:r>
      <w:r w:rsidRPr="00622EE5">
        <w:rPr>
          <w:rtl/>
        </w:rPr>
        <w:t xml:space="preserve">. </w:t>
      </w:r>
      <w:r>
        <w:rPr>
          <w:rFonts w:hint="cs"/>
          <w:rtl/>
        </w:rPr>
        <w:t>יש לזכור גם כי העבירות בוצעו בתוך מתחם המגורים המשפחתי של הנאשם וכי הירי לא כוון לגורמים הנוגעים לסכסוך.</w:t>
      </w:r>
    </w:p>
    <w:p w14:paraId="395F02A2" w14:textId="77777777" w:rsidR="00D34A2B" w:rsidRDefault="00D34A2B" w:rsidP="00D34A2B">
      <w:pPr>
        <w:spacing w:line="360" w:lineRule="auto"/>
        <w:rPr>
          <w:rtl/>
        </w:rPr>
      </w:pPr>
    </w:p>
    <w:p w14:paraId="0CF4E209" w14:textId="77777777" w:rsidR="00D34A2B" w:rsidRDefault="00D34A2B" w:rsidP="00D34A2B">
      <w:pPr>
        <w:spacing w:line="360" w:lineRule="auto"/>
        <w:ind w:left="720" w:hanging="720"/>
        <w:jc w:val="both"/>
        <w:rPr>
          <w:rtl/>
        </w:rPr>
      </w:pPr>
      <w:r>
        <w:rPr>
          <w:rFonts w:hint="cs"/>
          <w:rtl/>
        </w:rPr>
        <w:t>13.</w:t>
      </w:r>
      <w:r>
        <w:rPr>
          <w:rtl/>
        </w:rPr>
        <w:tab/>
        <w:t>בהתחשב בנסיבות ביצוע העבירה, הפגיעה בערכים המוגנים ומדיניות הענישה הנהוגה, אני קובע כי מתחם הע</w:t>
      </w:r>
      <w:r>
        <w:rPr>
          <w:rFonts w:hint="cs"/>
          <w:rtl/>
        </w:rPr>
        <w:t>ונש</w:t>
      </w:r>
      <w:r>
        <w:rPr>
          <w:rtl/>
        </w:rPr>
        <w:t xml:space="preserve"> הראוי במקרה זה, בהתבסס על עקרון ההלימה, נע בין </w:t>
      </w:r>
      <w:r>
        <w:rPr>
          <w:rFonts w:hint="cs"/>
          <w:rtl/>
        </w:rPr>
        <w:t xml:space="preserve">10 ל-36 חודשי </w:t>
      </w:r>
      <w:r>
        <w:rPr>
          <w:rtl/>
        </w:rPr>
        <w:t xml:space="preserve">מאסר בפועל. </w:t>
      </w:r>
    </w:p>
    <w:p w14:paraId="29903D4D" w14:textId="77777777" w:rsidR="00D34A2B" w:rsidRDefault="00D34A2B" w:rsidP="00D34A2B">
      <w:pPr>
        <w:spacing w:line="360" w:lineRule="auto"/>
        <w:rPr>
          <w:rtl/>
        </w:rPr>
      </w:pPr>
    </w:p>
    <w:p w14:paraId="1D8C7822" w14:textId="77777777" w:rsidR="00D34A2B" w:rsidRPr="003F74C0" w:rsidRDefault="00D34A2B" w:rsidP="00D34A2B">
      <w:pPr>
        <w:spacing w:line="360" w:lineRule="auto"/>
        <w:rPr>
          <w:u w:val="single"/>
          <w:rtl/>
        </w:rPr>
      </w:pPr>
      <w:r w:rsidRPr="003F74C0">
        <w:rPr>
          <w:u w:val="single"/>
          <w:rtl/>
        </w:rPr>
        <w:t>גזירת העונש בתוך מתחם הענישה</w:t>
      </w:r>
    </w:p>
    <w:p w14:paraId="30E97CEE" w14:textId="77777777" w:rsidR="00D34A2B" w:rsidRDefault="00D34A2B" w:rsidP="00D34A2B">
      <w:pPr>
        <w:spacing w:line="360" w:lineRule="auto"/>
        <w:rPr>
          <w:rtl/>
        </w:rPr>
      </w:pPr>
    </w:p>
    <w:p w14:paraId="086A825E" w14:textId="77777777" w:rsidR="00D34A2B" w:rsidRDefault="00D34A2B" w:rsidP="00D34A2B">
      <w:pPr>
        <w:spacing w:line="360" w:lineRule="auto"/>
        <w:ind w:left="720" w:hanging="720"/>
        <w:jc w:val="both"/>
        <w:rPr>
          <w:rtl/>
        </w:rPr>
      </w:pPr>
      <w:r>
        <w:rPr>
          <w:rtl/>
        </w:rPr>
        <w:t>1</w:t>
      </w:r>
      <w:r>
        <w:rPr>
          <w:rFonts w:hint="cs"/>
          <w:rtl/>
        </w:rPr>
        <w:t>4</w:t>
      </w:r>
      <w:r>
        <w:rPr>
          <w:rtl/>
        </w:rPr>
        <w:t>.</w:t>
      </w:r>
      <w:r>
        <w:rPr>
          <w:rFonts w:hint="cs"/>
          <w:rtl/>
        </w:rPr>
        <w:tab/>
      </w:r>
      <w:r>
        <w:rPr>
          <w:rtl/>
        </w:rPr>
        <w:t xml:space="preserve">בעת גזירת העונש בתוך המתחם שנקבע, על בית המשפט להתחשב בנסיבות שאינן קשורות בביצוע העבירה, בהתאם לנסיבות המנויות </w:t>
      </w:r>
      <w:hyperlink r:id="rId25" w:history="1">
        <w:r w:rsidR="00A02182" w:rsidRPr="00A02182">
          <w:rPr>
            <w:rStyle w:val="Hyperlink"/>
            <w:rtl/>
          </w:rPr>
          <w:t>בסעיף 40יא</w:t>
        </w:r>
      </w:hyperlink>
      <w:r>
        <w:rPr>
          <w:rtl/>
        </w:rPr>
        <w:t xml:space="preserve"> ל</w:t>
      </w:r>
      <w:hyperlink r:id="rId26" w:history="1">
        <w:r w:rsidR="000F0F16" w:rsidRPr="000F0F16">
          <w:rPr>
            <w:color w:val="0000FF"/>
            <w:u w:val="single"/>
            <w:rtl/>
          </w:rPr>
          <w:t>חוק העונשין</w:t>
        </w:r>
      </w:hyperlink>
      <w:r>
        <w:rPr>
          <w:rtl/>
        </w:rPr>
        <w:t xml:space="preserve">. </w:t>
      </w:r>
    </w:p>
    <w:p w14:paraId="791803B2" w14:textId="77777777" w:rsidR="00D34A2B" w:rsidRDefault="00D34A2B" w:rsidP="00D34A2B">
      <w:pPr>
        <w:spacing w:line="360" w:lineRule="auto"/>
        <w:rPr>
          <w:rtl/>
        </w:rPr>
      </w:pPr>
    </w:p>
    <w:p w14:paraId="2952C2AB" w14:textId="77777777" w:rsidR="00D34A2B" w:rsidRDefault="00D34A2B" w:rsidP="00D34A2B">
      <w:pPr>
        <w:spacing w:line="360" w:lineRule="auto"/>
        <w:ind w:left="720" w:hanging="720"/>
        <w:jc w:val="both"/>
        <w:rPr>
          <w:rtl/>
        </w:rPr>
      </w:pPr>
      <w:r>
        <w:rPr>
          <w:rFonts w:hint="cs"/>
          <w:rtl/>
        </w:rPr>
        <w:t>15.</w:t>
      </w:r>
      <w:r>
        <w:rPr>
          <w:rFonts w:hint="cs"/>
          <w:rtl/>
        </w:rPr>
        <w:tab/>
        <w:t xml:space="preserve">במסגרת השיקולים לקולא ראיתי להתחשב בהודייתו של הנאשם במיוחס לו בשלב מוקדם של ההליך. </w:t>
      </w:r>
      <w:r w:rsidRPr="00956838">
        <w:rPr>
          <w:rtl/>
        </w:rPr>
        <w:t xml:space="preserve">הודייה זו לא זו בלבד שהביאה לחסכון בזמן שיפוטי יקר אלא שהיא טומנת בחובה נטילת אחריות מצד הנאשם על מעשיו. </w:t>
      </w:r>
    </w:p>
    <w:p w14:paraId="6702EF76" w14:textId="77777777" w:rsidR="00D34A2B" w:rsidRDefault="00D34A2B" w:rsidP="00D34A2B">
      <w:pPr>
        <w:spacing w:line="360" w:lineRule="auto"/>
        <w:rPr>
          <w:rtl/>
        </w:rPr>
      </w:pPr>
    </w:p>
    <w:p w14:paraId="76A97DCC" w14:textId="77777777" w:rsidR="00D34A2B" w:rsidRDefault="00D34A2B" w:rsidP="00D34A2B">
      <w:pPr>
        <w:spacing w:line="360" w:lineRule="auto"/>
        <w:ind w:left="720" w:hanging="720"/>
        <w:jc w:val="both"/>
        <w:rPr>
          <w:rtl/>
        </w:rPr>
      </w:pPr>
      <w:r>
        <w:rPr>
          <w:rtl/>
        </w:rPr>
        <w:tab/>
      </w:r>
      <w:r w:rsidRPr="00956838">
        <w:rPr>
          <w:rtl/>
        </w:rPr>
        <w:t>בנוסף</w:t>
      </w:r>
      <w:r>
        <w:rPr>
          <w:rFonts w:hint="cs"/>
          <w:rtl/>
        </w:rPr>
        <w:t>,</w:t>
      </w:r>
      <w:r>
        <w:rPr>
          <w:rtl/>
        </w:rPr>
        <w:t xml:space="preserve"> </w:t>
      </w:r>
      <w:r>
        <w:rPr>
          <w:rFonts w:hint="cs"/>
          <w:rtl/>
        </w:rPr>
        <w:t>יש</w:t>
      </w:r>
      <w:r w:rsidRPr="00956838">
        <w:rPr>
          <w:rtl/>
        </w:rPr>
        <w:t xml:space="preserve"> ל</w:t>
      </w:r>
      <w:r>
        <w:rPr>
          <w:rFonts w:hint="cs"/>
          <w:rtl/>
        </w:rPr>
        <w:t xml:space="preserve">זקוף לזכות הנאשם את </w:t>
      </w:r>
      <w:r>
        <w:rPr>
          <w:rtl/>
        </w:rPr>
        <w:t xml:space="preserve">חרטתו </w:t>
      </w:r>
      <w:r>
        <w:rPr>
          <w:rFonts w:hint="cs"/>
          <w:rtl/>
        </w:rPr>
        <w:t>וה</w:t>
      </w:r>
      <w:r>
        <w:rPr>
          <w:rtl/>
        </w:rPr>
        <w:t>צער שהביע בפניי על מעשיו</w:t>
      </w:r>
      <w:r>
        <w:rPr>
          <w:rFonts w:hint="cs"/>
          <w:rtl/>
        </w:rPr>
        <w:t>.</w:t>
      </w:r>
      <w:r w:rsidRPr="00956838">
        <w:rPr>
          <w:rtl/>
        </w:rPr>
        <w:t xml:space="preserve"> </w:t>
      </w:r>
      <w:r>
        <w:rPr>
          <w:rFonts w:hint="cs"/>
          <w:rtl/>
        </w:rPr>
        <w:t>התרשמותי כי הנאשם הפיק את הלקחים מעצם ניהול ההליך הפלילי נגדו</w:t>
      </w:r>
      <w:r w:rsidRPr="00956838">
        <w:rPr>
          <w:rtl/>
        </w:rPr>
        <w:t>.</w:t>
      </w:r>
      <w:r>
        <w:rPr>
          <w:rFonts w:hint="cs"/>
          <w:rtl/>
        </w:rPr>
        <w:t xml:space="preserve"> </w:t>
      </w:r>
    </w:p>
    <w:p w14:paraId="5F4BE595" w14:textId="77777777" w:rsidR="00D34A2B" w:rsidRDefault="00D34A2B" w:rsidP="00D34A2B">
      <w:pPr>
        <w:spacing w:line="360" w:lineRule="auto"/>
        <w:rPr>
          <w:rtl/>
        </w:rPr>
      </w:pPr>
    </w:p>
    <w:p w14:paraId="7DB3634F" w14:textId="77777777" w:rsidR="00D34A2B" w:rsidRDefault="00D34A2B" w:rsidP="00D34A2B">
      <w:pPr>
        <w:spacing w:line="360" w:lineRule="auto"/>
        <w:ind w:left="720" w:hanging="720"/>
        <w:jc w:val="both"/>
        <w:rPr>
          <w:rtl/>
        </w:rPr>
      </w:pPr>
      <w:r>
        <w:rPr>
          <w:rtl/>
        </w:rPr>
        <w:tab/>
      </w:r>
      <w:r>
        <w:rPr>
          <w:rFonts w:hint="cs"/>
          <w:rtl/>
        </w:rPr>
        <w:t xml:space="preserve">עוד ראיתי לנכון להתחשב בתקופה הארוכה בה שהה הנאשם במעצר ולאחר מכן בתנאים מגבילים, בהרחקה מביתו ומכפרו, תנאים אשר לא הופרו על ידו משך כל התקופה. </w:t>
      </w:r>
    </w:p>
    <w:p w14:paraId="65F5DA43" w14:textId="77777777" w:rsidR="00D34A2B" w:rsidRDefault="00D34A2B" w:rsidP="00D34A2B">
      <w:pPr>
        <w:spacing w:line="360" w:lineRule="auto"/>
        <w:rPr>
          <w:rtl/>
        </w:rPr>
      </w:pPr>
    </w:p>
    <w:p w14:paraId="23C33341" w14:textId="77777777" w:rsidR="00D34A2B" w:rsidRDefault="00D34A2B" w:rsidP="00D34A2B">
      <w:pPr>
        <w:spacing w:line="360" w:lineRule="auto"/>
        <w:ind w:left="720" w:hanging="720"/>
        <w:jc w:val="both"/>
        <w:rPr>
          <w:rtl/>
        </w:rPr>
      </w:pPr>
      <w:r>
        <w:rPr>
          <w:rFonts w:hint="cs"/>
          <w:rtl/>
        </w:rPr>
        <w:t>16.</w:t>
      </w:r>
      <w:r>
        <w:rPr>
          <w:rtl/>
        </w:rPr>
        <w:tab/>
      </w:r>
      <w:r>
        <w:rPr>
          <w:rFonts w:hint="cs"/>
          <w:rtl/>
        </w:rPr>
        <w:t xml:space="preserve">מעבר לכך, מדובר בנאשם יליד 1994, שהיה במועד ביצוע העבירות כבן 20 ונמנה על קבוצת "הבגירים הצעירים". כידוע, על פי המגמה בפסיקה, </w:t>
      </w:r>
      <w:r w:rsidRPr="008C26D4">
        <w:rPr>
          <w:rtl/>
        </w:rPr>
        <w:t xml:space="preserve">יש מקום לבחון את הפוטנציאל השיקומי </w:t>
      </w:r>
      <w:r>
        <w:rPr>
          <w:rFonts w:hint="cs"/>
          <w:rtl/>
        </w:rPr>
        <w:t xml:space="preserve">לגבי קבוצת גיל זו </w:t>
      </w:r>
      <w:r w:rsidRPr="008C26D4">
        <w:rPr>
          <w:rtl/>
        </w:rPr>
        <w:t>וככל שהוא קיים ליתן לו משקל נכבד. בית המשפט העליון</w:t>
      </w:r>
      <w:r>
        <w:rPr>
          <w:rFonts w:hint="cs"/>
          <w:rtl/>
        </w:rPr>
        <w:t xml:space="preserve"> התייחס לכך</w:t>
      </w:r>
      <w:r>
        <w:rPr>
          <w:rtl/>
        </w:rPr>
        <w:t xml:space="preserve"> בהרחבה </w:t>
      </w:r>
      <w:r w:rsidRPr="008C26D4">
        <w:rPr>
          <w:rtl/>
        </w:rPr>
        <w:t>ב</w:t>
      </w:r>
      <w:hyperlink r:id="rId27" w:history="1">
        <w:r w:rsidR="000F0F16" w:rsidRPr="000F0F16">
          <w:rPr>
            <w:color w:val="0000FF"/>
            <w:u w:val="single"/>
            <w:rtl/>
          </w:rPr>
          <w:t>ע"פ 7781/12</w:t>
        </w:r>
      </w:hyperlink>
      <w:r w:rsidRPr="008C26D4">
        <w:rPr>
          <w:rtl/>
        </w:rPr>
        <w:t xml:space="preserve"> </w:t>
      </w:r>
      <w:r w:rsidRPr="008C26D4">
        <w:rPr>
          <w:b/>
          <w:bCs/>
          <w:rtl/>
        </w:rPr>
        <w:t xml:space="preserve">פלוני נ' מדינת ישראל </w:t>
      </w:r>
      <w:r w:rsidRPr="008C26D4">
        <w:rPr>
          <w:rtl/>
        </w:rPr>
        <w:t>(25.6.2013)</w:t>
      </w:r>
      <w:r>
        <w:rPr>
          <w:rFonts w:hint="cs"/>
          <w:rtl/>
        </w:rPr>
        <w:t xml:space="preserve"> (להלן: "עניין פלוני")</w:t>
      </w:r>
      <w:r w:rsidRPr="008C26D4">
        <w:rPr>
          <w:rtl/>
        </w:rPr>
        <w:t>. באות</w:t>
      </w:r>
      <w:r>
        <w:rPr>
          <w:rtl/>
        </w:rPr>
        <w:t>ו עניין קבע כב' השופט ג'ובראן כ</w:t>
      </w:r>
      <w:r>
        <w:rPr>
          <w:rFonts w:hint="cs"/>
          <w:rtl/>
        </w:rPr>
        <w:t>ך:</w:t>
      </w:r>
    </w:p>
    <w:p w14:paraId="12920235" w14:textId="77777777" w:rsidR="00D34A2B" w:rsidRDefault="00D34A2B" w:rsidP="00D34A2B">
      <w:pPr>
        <w:spacing w:line="360" w:lineRule="auto"/>
        <w:rPr>
          <w:rtl/>
        </w:rPr>
      </w:pPr>
    </w:p>
    <w:p w14:paraId="066B6A92" w14:textId="77777777" w:rsidR="00D34A2B" w:rsidRPr="003F74C0" w:rsidRDefault="00D34A2B" w:rsidP="00D34A2B">
      <w:pPr>
        <w:pStyle w:val="Quote"/>
        <w:spacing w:before="0" w:after="0"/>
        <w:jc w:val="both"/>
        <w:rPr>
          <w:i w:val="0"/>
          <w:iCs w:val="0"/>
          <w:color w:val="auto"/>
          <w:rtl/>
        </w:rPr>
      </w:pPr>
      <w:r>
        <w:rPr>
          <w:rtl/>
        </w:rPr>
        <w:tab/>
      </w:r>
      <w:r>
        <w:rPr>
          <w:i w:val="0"/>
          <w:iCs w:val="0"/>
          <w:color w:val="auto"/>
          <w:rtl/>
        </w:rPr>
        <w:tab/>
      </w:r>
      <w:r w:rsidRPr="003F74C0">
        <w:rPr>
          <w:i w:val="0"/>
          <w:iCs w:val="0"/>
          <w:color w:val="auto"/>
          <w:rtl/>
        </w:rPr>
        <w:t xml:space="preserve">"בכל הנוגע למדיניות הענישה, יצר המחוקק מבנה מדורג, שבו ככל שגילו </w:t>
      </w:r>
      <w:r>
        <w:rPr>
          <w:i w:val="0"/>
          <w:iCs w:val="0"/>
          <w:color w:val="auto"/>
          <w:rtl/>
        </w:rPr>
        <w:tab/>
      </w:r>
      <w:r w:rsidRPr="003F74C0">
        <w:rPr>
          <w:i w:val="0"/>
          <w:iCs w:val="0"/>
          <w:color w:val="auto"/>
          <w:rtl/>
        </w:rPr>
        <w:t xml:space="preserve">של נאשם צעיר יותר, כך יהווה הדבר שיקול משמעותי יותר להעדפת </w:t>
      </w:r>
      <w:r>
        <w:rPr>
          <w:i w:val="0"/>
          <w:iCs w:val="0"/>
          <w:color w:val="auto"/>
          <w:rtl/>
        </w:rPr>
        <w:tab/>
      </w:r>
      <w:r w:rsidRPr="003F74C0">
        <w:rPr>
          <w:i w:val="0"/>
          <w:iCs w:val="0"/>
          <w:color w:val="auto"/>
          <w:rtl/>
        </w:rPr>
        <w:t xml:space="preserve">שיקולי השיקום על פני שיקולי ההרתעה והגמול. </w:t>
      </w:r>
      <w:r>
        <w:rPr>
          <w:i w:val="0"/>
          <w:iCs w:val="0"/>
          <w:color w:val="auto"/>
          <w:rtl/>
        </w:rPr>
        <w:t>כפי</w:t>
      </w:r>
      <w:r>
        <w:rPr>
          <w:rFonts w:hint="cs"/>
          <w:i w:val="0"/>
          <w:iCs w:val="0"/>
          <w:color w:val="auto"/>
          <w:rtl/>
        </w:rPr>
        <w:t xml:space="preserve"> </w:t>
      </w:r>
      <w:r>
        <w:rPr>
          <w:i w:val="0"/>
          <w:iCs w:val="0"/>
          <w:color w:val="auto"/>
          <w:rtl/>
        </w:rPr>
        <w:t>שיפורט</w:t>
      </w:r>
      <w:r>
        <w:rPr>
          <w:rFonts w:hint="cs"/>
          <w:i w:val="0"/>
          <w:iCs w:val="0"/>
          <w:color w:val="auto"/>
          <w:rtl/>
        </w:rPr>
        <w:t xml:space="preserve"> </w:t>
      </w:r>
      <w:r>
        <w:rPr>
          <w:i w:val="0"/>
          <w:iCs w:val="0"/>
          <w:color w:val="auto"/>
          <w:rtl/>
        </w:rPr>
        <w:t>להלן,</w:t>
      </w:r>
      <w:r>
        <w:rPr>
          <w:rFonts w:hint="cs"/>
          <w:i w:val="0"/>
          <w:iCs w:val="0"/>
          <w:color w:val="auto"/>
          <w:rtl/>
        </w:rPr>
        <w:t xml:space="preserve"> </w:t>
      </w:r>
      <w:r>
        <w:rPr>
          <w:rFonts w:hint="cs"/>
          <w:i w:val="0"/>
          <w:iCs w:val="0"/>
          <w:color w:val="auto"/>
          <w:rtl/>
        </w:rPr>
        <w:tab/>
      </w:r>
      <w:r w:rsidRPr="003F74C0">
        <w:rPr>
          <w:i w:val="0"/>
          <w:iCs w:val="0"/>
          <w:color w:val="auto"/>
          <w:rtl/>
        </w:rPr>
        <w:t xml:space="preserve">מבנה מדורג זה הקבוע בחקיקה משקף את מציאות החיים, שבה לא ניתן </w:t>
      </w:r>
      <w:r>
        <w:rPr>
          <w:i w:val="0"/>
          <w:iCs w:val="0"/>
          <w:color w:val="auto"/>
          <w:rtl/>
        </w:rPr>
        <w:tab/>
      </w:r>
      <w:r w:rsidRPr="003F74C0">
        <w:rPr>
          <w:i w:val="0"/>
          <w:iCs w:val="0"/>
          <w:color w:val="auto"/>
          <w:rtl/>
        </w:rPr>
        <w:t xml:space="preserve">לקבוע גבול דיכוטומי ומוחלט שלפניו אדם הוא קטין ולאחריו הוא בגיר". </w:t>
      </w:r>
    </w:p>
    <w:p w14:paraId="61E4292C" w14:textId="77777777" w:rsidR="00D34A2B" w:rsidRDefault="00D34A2B" w:rsidP="00D34A2B">
      <w:pPr>
        <w:spacing w:line="360" w:lineRule="auto"/>
        <w:rPr>
          <w:rtl/>
        </w:rPr>
      </w:pPr>
    </w:p>
    <w:p w14:paraId="090C576D" w14:textId="77777777" w:rsidR="00D34A2B" w:rsidRDefault="00D34A2B" w:rsidP="00D34A2B">
      <w:pPr>
        <w:spacing w:line="360" w:lineRule="auto"/>
        <w:ind w:left="720" w:hanging="720"/>
        <w:jc w:val="both"/>
        <w:rPr>
          <w:rtl/>
        </w:rPr>
      </w:pPr>
      <w:r>
        <w:rPr>
          <w:rFonts w:hint="cs"/>
          <w:rtl/>
        </w:rPr>
        <w:tab/>
      </w:r>
      <w:r w:rsidRPr="008C26D4">
        <w:rPr>
          <w:rtl/>
        </w:rPr>
        <w:t xml:space="preserve">בשורה ארוכה של החלטות אחרות, עוד קודם להחלטה הנ"ל, קבע בית המשפט כי יש להעניק משקל נכבד לפוטנציאל השיקומי ככל שהוא עולה מתסקיר </w:t>
      </w:r>
      <w:r>
        <w:rPr>
          <w:rFonts w:hint="cs"/>
          <w:rtl/>
        </w:rPr>
        <w:t xml:space="preserve">שירות </w:t>
      </w:r>
      <w:r>
        <w:rPr>
          <w:rtl/>
        </w:rPr>
        <w:t xml:space="preserve">המבחן. </w:t>
      </w:r>
      <w:r w:rsidRPr="008C26D4">
        <w:rPr>
          <w:rtl/>
        </w:rPr>
        <w:t>נקבע כי "שיקולי השיקום מקבלים משנה תוקף, כאשר גילו של המערער קרוב לגיל הקטינות ולפניו פרושים כל חייו" (</w:t>
      </w:r>
      <w:hyperlink r:id="rId28" w:history="1">
        <w:r w:rsidR="000F0F16" w:rsidRPr="000F0F16">
          <w:rPr>
            <w:color w:val="0000FF"/>
            <w:u w:val="single"/>
            <w:rtl/>
          </w:rPr>
          <w:t>ע"פ 8480/12</w:t>
        </w:r>
      </w:hyperlink>
      <w:r w:rsidRPr="008C26D4">
        <w:rPr>
          <w:rtl/>
        </w:rPr>
        <w:t xml:space="preserve"> </w:t>
      </w:r>
      <w:r>
        <w:rPr>
          <w:b/>
          <w:bCs/>
          <w:rtl/>
        </w:rPr>
        <w:t>בלצאו נ' מדינת ישרא</w:t>
      </w:r>
      <w:r>
        <w:rPr>
          <w:rFonts w:hint="cs"/>
          <w:b/>
          <w:bCs/>
          <w:rtl/>
        </w:rPr>
        <w:t>ל</w:t>
      </w:r>
      <w:r w:rsidRPr="008C26D4">
        <w:rPr>
          <w:b/>
          <w:bCs/>
          <w:rtl/>
        </w:rPr>
        <w:t xml:space="preserve"> </w:t>
      </w:r>
      <w:r w:rsidRPr="008C26D4">
        <w:rPr>
          <w:rtl/>
        </w:rPr>
        <w:t xml:space="preserve">(23.1.2013) וראו עוד: </w:t>
      </w:r>
      <w:hyperlink r:id="rId29" w:history="1">
        <w:r w:rsidR="008C261A" w:rsidRPr="008C261A">
          <w:rPr>
            <w:color w:val="0000FF"/>
            <w:u w:val="single"/>
            <w:rtl/>
          </w:rPr>
          <w:t xml:space="preserve">2403/13 </w:t>
        </w:r>
      </w:hyperlink>
      <w:r w:rsidRPr="008C26D4">
        <w:rPr>
          <w:rtl/>
        </w:rPr>
        <w:t xml:space="preserve"> </w:t>
      </w:r>
      <w:r w:rsidRPr="008C26D4">
        <w:rPr>
          <w:b/>
          <w:bCs/>
          <w:rtl/>
        </w:rPr>
        <w:t xml:space="preserve">פרי נ' מדינת ישראל </w:t>
      </w:r>
      <w:r w:rsidRPr="008C26D4">
        <w:rPr>
          <w:rtl/>
        </w:rPr>
        <w:t>(8.4.2013)).  בע</w:t>
      </w:r>
      <w:r>
        <w:rPr>
          <w:rFonts w:hint="cs"/>
          <w:rtl/>
        </w:rPr>
        <w:t>ניין פלוני</w:t>
      </w:r>
      <w:r w:rsidRPr="008C26D4">
        <w:rPr>
          <w:rtl/>
        </w:rPr>
        <w:t xml:space="preserve"> הנ"ל סיכם בית המשפט את השיקולים המייחדים את קב</w:t>
      </w:r>
      <w:r>
        <w:rPr>
          <w:rtl/>
        </w:rPr>
        <w:t>וצת ה</w:t>
      </w:r>
      <w:r>
        <w:rPr>
          <w:rFonts w:hint="cs"/>
          <w:rtl/>
        </w:rPr>
        <w:t>"בגירים הצעירים"</w:t>
      </w:r>
      <w:r w:rsidRPr="008C26D4">
        <w:rPr>
          <w:rtl/>
        </w:rPr>
        <w:t xml:space="preserve"> בקבעו:</w:t>
      </w:r>
    </w:p>
    <w:p w14:paraId="3982AD4A" w14:textId="77777777" w:rsidR="00D34A2B" w:rsidRPr="008C26D4" w:rsidRDefault="00D34A2B" w:rsidP="00D34A2B">
      <w:pPr>
        <w:spacing w:line="360" w:lineRule="auto"/>
        <w:rPr>
          <w:rtl/>
        </w:rPr>
      </w:pPr>
    </w:p>
    <w:p w14:paraId="653ECEAA" w14:textId="77777777" w:rsidR="00D34A2B" w:rsidRPr="0020380A" w:rsidRDefault="00D34A2B" w:rsidP="00D34A2B">
      <w:pPr>
        <w:pStyle w:val="Quote"/>
        <w:spacing w:before="0" w:after="0"/>
        <w:jc w:val="both"/>
        <w:rPr>
          <w:i w:val="0"/>
          <w:iCs w:val="0"/>
          <w:color w:val="auto"/>
          <w:rtl/>
        </w:rPr>
      </w:pPr>
      <w:r>
        <w:rPr>
          <w:rtl/>
        </w:rPr>
        <w:tab/>
      </w:r>
      <w:r>
        <w:rPr>
          <w:rtl/>
        </w:rPr>
        <w:tab/>
      </w:r>
      <w:r w:rsidRPr="003F74C0">
        <w:rPr>
          <w:i w:val="0"/>
          <w:iCs w:val="0"/>
          <w:color w:val="auto"/>
          <w:rtl/>
        </w:rPr>
        <w:t xml:space="preserve">"לאור כל האמור לעיל, לגישתי, יש מקום להתחשב במסגרת </w:t>
      </w:r>
      <w:r>
        <w:rPr>
          <w:i w:val="0"/>
          <w:iCs w:val="0"/>
          <w:color w:val="auto"/>
          <w:rtl/>
        </w:rPr>
        <w:tab/>
      </w:r>
      <w:r w:rsidRPr="003F74C0">
        <w:rPr>
          <w:i w:val="0"/>
          <w:iCs w:val="0"/>
          <w:color w:val="auto"/>
          <w:rtl/>
        </w:rPr>
        <w:t>שיקולי הענישה בייחוד</w:t>
      </w:r>
      <w:r>
        <w:rPr>
          <w:i w:val="0"/>
          <w:iCs w:val="0"/>
          <w:color w:val="auto"/>
          <w:rtl/>
        </w:rPr>
        <w:t>יותה של קבוצת 'הבגירים צעירים'.</w:t>
      </w:r>
      <w:r>
        <w:rPr>
          <w:rFonts w:hint="cs"/>
          <w:i w:val="0"/>
          <w:iCs w:val="0"/>
          <w:color w:val="auto"/>
          <w:rtl/>
        </w:rPr>
        <w:t xml:space="preserve"> </w:t>
      </w:r>
      <w:r w:rsidRPr="003F74C0">
        <w:rPr>
          <w:i w:val="0"/>
          <w:iCs w:val="0"/>
          <w:color w:val="auto"/>
          <w:rtl/>
        </w:rPr>
        <w:t xml:space="preserve">חשוב </w:t>
      </w:r>
      <w:r>
        <w:rPr>
          <w:i w:val="0"/>
          <w:iCs w:val="0"/>
          <w:color w:val="auto"/>
          <w:rtl/>
        </w:rPr>
        <w:tab/>
      </w:r>
      <w:r w:rsidRPr="003F74C0">
        <w:rPr>
          <w:i w:val="0"/>
          <w:iCs w:val="0"/>
          <w:color w:val="auto"/>
          <w:rtl/>
        </w:rPr>
        <w:t xml:space="preserve">להבהיר כי אין בקביעתנו זו כדי לקבוע כי בגזירת עונשם של קבוצה זו, יש </w:t>
      </w:r>
      <w:r>
        <w:rPr>
          <w:i w:val="0"/>
          <w:iCs w:val="0"/>
          <w:color w:val="auto"/>
          <w:rtl/>
        </w:rPr>
        <w:tab/>
      </w:r>
      <w:r w:rsidRPr="003F74C0">
        <w:rPr>
          <w:i w:val="0"/>
          <w:iCs w:val="0"/>
          <w:color w:val="auto"/>
          <w:rtl/>
        </w:rPr>
        <w:t xml:space="preserve">לשקול שיקולים זהים לאלו של קטינים. יחד עם זאת, על בית המשפט </w:t>
      </w:r>
      <w:r>
        <w:rPr>
          <w:i w:val="0"/>
          <w:iCs w:val="0"/>
          <w:color w:val="auto"/>
          <w:rtl/>
        </w:rPr>
        <w:tab/>
      </w:r>
      <w:r w:rsidRPr="003F74C0">
        <w:rPr>
          <w:i w:val="0"/>
          <w:iCs w:val="0"/>
          <w:color w:val="auto"/>
          <w:rtl/>
        </w:rPr>
        <w:t xml:space="preserve">בקובעו את עונשו של 'בגיר צעיר' לייחס לגילו משקל משמעותי. במסגרת </w:t>
      </w:r>
      <w:r>
        <w:rPr>
          <w:i w:val="0"/>
          <w:iCs w:val="0"/>
          <w:color w:val="auto"/>
          <w:rtl/>
        </w:rPr>
        <w:tab/>
      </w:r>
      <w:r w:rsidRPr="003F74C0">
        <w:rPr>
          <w:i w:val="0"/>
          <w:iCs w:val="0"/>
          <w:color w:val="auto"/>
          <w:rtl/>
        </w:rPr>
        <w:t xml:space="preserve">זאת, עליו לשקול בין היתר את קרבתו לגיל 18, ההשפעה האפשרית של </w:t>
      </w:r>
      <w:r>
        <w:rPr>
          <w:i w:val="0"/>
          <w:iCs w:val="0"/>
          <w:color w:val="auto"/>
          <w:rtl/>
        </w:rPr>
        <w:tab/>
      </w:r>
      <w:r w:rsidRPr="003F74C0">
        <w:rPr>
          <w:i w:val="0"/>
          <w:iCs w:val="0"/>
          <w:color w:val="auto"/>
          <w:rtl/>
        </w:rPr>
        <w:t xml:space="preserve">מאסר בפועל על שיקומו </w:t>
      </w:r>
      <w:r>
        <w:rPr>
          <w:i w:val="0"/>
          <w:iCs w:val="0"/>
          <w:color w:val="auto"/>
          <w:rtl/>
        </w:rPr>
        <w:tab/>
        <w:t>ומצבו הנפשי, ובגרותו.</w:t>
      </w:r>
      <w:r>
        <w:rPr>
          <w:rFonts w:hint="cs"/>
          <w:i w:val="0"/>
          <w:iCs w:val="0"/>
          <w:color w:val="auto"/>
          <w:rtl/>
        </w:rPr>
        <w:t xml:space="preserve"> </w:t>
      </w:r>
      <w:r w:rsidRPr="003F74C0">
        <w:rPr>
          <w:i w:val="0"/>
          <w:iCs w:val="0"/>
          <w:color w:val="auto"/>
          <w:rtl/>
        </w:rPr>
        <w:t xml:space="preserve">הכל כעולה מתסקיר </w:t>
      </w:r>
      <w:r>
        <w:rPr>
          <w:i w:val="0"/>
          <w:iCs w:val="0"/>
          <w:color w:val="auto"/>
          <w:rtl/>
        </w:rPr>
        <w:tab/>
      </w:r>
      <w:r w:rsidRPr="003F74C0">
        <w:rPr>
          <w:i w:val="0"/>
          <w:iCs w:val="0"/>
          <w:color w:val="auto"/>
          <w:rtl/>
        </w:rPr>
        <w:t xml:space="preserve">המבחן שיוגש בפניו בטרם גזירת העונש". </w:t>
      </w:r>
      <w:r>
        <w:rPr>
          <w:rFonts w:hint="cs"/>
          <w:rtl/>
        </w:rPr>
        <w:t xml:space="preserve"> </w:t>
      </w:r>
    </w:p>
    <w:p w14:paraId="358B4758" w14:textId="77777777" w:rsidR="00D34A2B" w:rsidRDefault="00D34A2B" w:rsidP="00D34A2B">
      <w:pPr>
        <w:spacing w:line="360" w:lineRule="auto"/>
        <w:rPr>
          <w:rtl/>
        </w:rPr>
      </w:pPr>
      <w:r>
        <w:rPr>
          <w:rtl/>
        </w:rPr>
        <w:tab/>
      </w:r>
      <w:r>
        <w:rPr>
          <w:rFonts w:hint="cs"/>
          <w:rtl/>
        </w:rPr>
        <w:t xml:space="preserve"> </w:t>
      </w:r>
      <w:r w:rsidRPr="008C26D4">
        <w:rPr>
          <w:rtl/>
        </w:rPr>
        <w:tab/>
      </w:r>
    </w:p>
    <w:p w14:paraId="3B3CD0EA" w14:textId="77777777" w:rsidR="00D34A2B" w:rsidRDefault="00D34A2B" w:rsidP="00D34A2B">
      <w:pPr>
        <w:spacing w:line="360" w:lineRule="auto"/>
        <w:ind w:left="720" w:hanging="720"/>
        <w:jc w:val="both"/>
        <w:rPr>
          <w:rtl/>
        </w:rPr>
      </w:pPr>
      <w:r>
        <w:rPr>
          <w:rFonts w:hint="cs"/>
          <w:rtl/>
        </w:rPr>
        <w:t>17.</w:t>
      </w:r>
      <w:r>
        <w:rPr>
          <w:rFonts w:hint="cs"/>
          <w:rtl/>
        </w:rPr>
        <w:tab/>
        <w:t>אין חולק כי לתסקירי שירות המבחן ומסקנותיו חשיבות רבה, עליהם</w:t>
      </w:r>
      <w:r w:rsidRPr="008C26D4">
        <w:rPr>
          <w:rtl/>
        </w:rPr>
        <w:t xml:space="preserve"> עמד בית המשפט לא אחת. </w:t>
      </w:r>
      <w:r>
        <w:rPr>
          <w:rFonts w:hint="cs"/>
          <w:rtl/>
        </w:rPr>
        <w:t xml:space="preserve">אכן, </w:t>
      </w:r>
      <w:r w:rsidRPr="00103CA6">
        <w:rPr>
          <w:rFonts w:hint="cs"/>
          <w:rtl/>
        </w:rPr>
        <w:t xml:space="preserve">תסקיר שירות המבחן </w:t>
      </w:r>
      <w:r>
        <w:rPr>
          <w:rFonts w:hint="cs"/>
          <w:rtl/>
        </w:rPr>
        <w:t xml:space="preserve">משמש כלי בידי בית המשפט לרדת לעומקן של נסיבותיו האישיות של הנאשם ולחקר הגורמים האפשריים לביצוע העבירות על ידו, כמו גם לבחינה מעמיקה של סיכויי שיקומו (ראו: </w:t>
      </w:r>
      <w:hyperlink r:id="rId30" w:history="1">
        <w:r w:rsidR="000F0F16" w:rsidRPr="000F0F16">
          <w:rPr>
            <w:color w:val="0000FF"/>
            <w:u w:val="single"/>
            <w:rtl/>
          </w:rPr>
          <w:t>ע"פ 3472/11</w:t>
        </w:r>
      </w:hyperlink>
      <w:r>
        <w:rPr>
          <w:rFonts w:hint="cs"/>
          <w:rtl/>
        </w:rPr>
        <w:t xml:space="preserve"> </w:t>
      </w:r>
      <w:r>
        <w:rPr>
          <w:rFonts w:hint="cs"/>
          <w:b/>
          <w:bCs/>
          <w:rtl/>
        </w:rPr>
        <w:t>פלוני נ' מ"י</w:t>
      </w:r>
      <w:r>
        <w:rPr>
          <w:rFonts w:hint="cs"/>
          <w:rtl/>
        </w:rPr>
        <w:t xml:space="preserve"> (3.9.12); </w:t>
      </w:r>
      <w:hyperlink r:id="rId31" w:history="1">
        <w:r w:rsidR="000F0F16" w:rsidRPr="000F0F16">
          <w:rPr>
            <w:color w:val="0000FF"/>
            <w:u w:val="single"/>
            <w:rtl/>
          </w:rPr>
          <w:t>בש"פ 267/11</w:t>
        </w:r>
      </w:hyperlink>
      <w:r>
        <w:rPr>
          <w:rtl/>
        </w:rPr>
        <w:t xml:space="preserve"> </w:t>
      </w:r>
      <w:r w:rsidRPr="003F74C0">
        <w:rPr>
          <w:b/>
          <w:bCs/>
          <w:rtl/>
        </w:rPr>
        <w:t>מ"י נ' ברמוחה</w:t>
      </w:r>
      <w:r>
        <w:rPr>
          <w:rtl/>
        </w:rPr>
        <w:t xml:space="preserve"> (13.1.11)</w:t>
      </w:r>
      <w:r>
        <w:rPr>
          <w:rFonts w:hint="cs"/>
          <w:rtl/>
        </w:rPr>
        <w:t xml:space="preserve">; </w:t>
      </w:r>
      <w:hyperlink r:id="rId32" w:history="1">
        <w:r w:rsidR="000F0F16" w:rsidRPr="000F0F16">
          <w:rPr>
            <w:color w:val="0000FF"/>
            <w:u w:val="single"/>
            <w:rtl/>
          </w:rPr>
          <w:t>בש"פ 5859/04</w:t>
        </w:r>
      </w:hyperlink>
      <w:r w:rsidRPr="008C26D4">
        <w:rPr>
          <w:rtl/>
        </w:rPr>
        <w:t xml:space="preserve"> </w:t>
      </w:r>
      <w:r w:rsidRPr="008C26D4">
        <w:rPr>
          <w:b/>
          <w:bCs/>
          <w:rtl/>
        </w:rPr>
        <w:t>מדינת ישראל נ' נאיף</w:t>
      </w:r>
      <w:r>
        <w:rPr>
          <w:rtl/>
        </w:rPr>
        <w:t xml:space="preserve"> (22.6</w:t>
      </w:r>
      <w:r>
        <w:rPr>
          <w:rFonts w:hint="cs"/>
          <w:rtl/>
        </w:rPr>
        <w:t>.04</w:t>
      </w:r>
      <w:r>
        <w:rPr>
          <w:rtl/>
        </w:rPr>
        <w:t>)</w:t>
      </w:r>
      <w:r>
        <w:rPr>
          <w:rFonts w:hint="cs"/>
          <w:rtl/>
        </w:rPr>
        <w:t>).</w:t>
      </w:r>
    </w:p>
    <w:p w14:paraId="27276199" w14:textId="77777777" w:rsidR="00D34A2B" w:rsidRPr="00351ACE" w:rsidRDefault="00D34A2B" w:rsidP="00D34A2B">
      <w:pPr>
        <w:pStyle w:val="Quote"/>
        <w:spacing w:before="0" w:after="0"/>
        <w:jc w:val="both"/>
        <w:rPr>
          <w:i w:val="0"/>
          <w:iCs w:val="0"/>
          <w:color w:val="auto"/>
          <w:rtl/>
        </w:rPr>
      </w:pPr>
    </w:p>
    <w:p w14:paraId="2CD7F417" w14:textId="77777777" w:rsidR="00D34A2B" w:rsidRDefault="00D34A2B" w:rsidP="00D34A2B">
      <w:pPr>
        <w:spacing w:line="360" w:lineRule="auto"/>
        <w:ind w:left="720" w:hanging="720"/>
        <w:jc w:val="both"/>
        <w:rPr>
          <w:rtl/>
        </w:rPr>
      </w:pPr>
      <w:r w:rsidRPr="008C26D4">
        <w:rPr>
          <w:rtl/>
        </w:rPr>
        <w:tab/>
      </w:r>
      <w:r w:rsidRPr="0020380A">
        <w:rPr>
          <w:rtl/>
        </w:rPr>
        <w:t>בענייננו, התרשמותו של שירות המבחן מהנאשם היתה חיובית בעיקרה. בתסקיר נאמר כי הנאשם לוקח אחריות על העבירות נשוא כתב האישום. צוין כי תפקודו במהלך חייו הינו נורמטיבי, כולל עמידה במסגרות השונות, ואין אינדיקציה לשימוש בחומרים ממכרים. כן צוין היעדר הזדהות מובהקת עם קבוצת שווים שולית, והעדר כל עבר פלילי. שירות המבחן התרשם כי מדובר בבחור צעיר הנמצא בעיצומו של תהליך ההתבגרות וגיבוש זהותו האישית, והעריך כי ייתכן ומקור כשליו ההתנהגותיים בקשייו הרגשיים והצטברות חרדות שיתכן וקשורות לסכסוך האלים הקיים במשפחתו. למעשה, גורם הסיכון היחיד שצוין בתסקיר הינו קיומו של הסכסוך המשפחתי, המציב סיכון להתרחשות אירועים אלימים בעתיד במשפחה המורחבת של הנאשם. נאמר כי על רקע חומרת הסכסוך ומותם של אביו ואחיו במהלך תקופת מעצרו, לא ניתן בשלב זה לשלול הסלמה נוספת של הקונפליקט תוך מעורבות מצד הנאשם</w:t>
      </w:r>
      <w:r>
        <w:rPr>
          <w:rFonts w:hint="cs"/>
          <w:rtl/>
        </w:rPr>
        <w:t xml:space="preserve">. </w:t>
      </w:r>
    </w:p>
    <w:p w14:paraId="73BBD119" w14:textId="77777777" w:rsidR="00D34A2B" w:rsidRDefault="00D34A2B" w:rsidP="00D34A2B">
      <w:pPr>
        <w:spacing w:line="360" w:lineRule="auto"/>
        <w:rPr>
          <w:rtl/>
        </w:rPr>
      </w:pPr>
    </w:p>
    <w:p w14:paraId="07519583" w14:textId="77777777" w:rsidR="00D34A2B" w:rsidRDefault="00D34A2B" w:rsidP="00D34A2B">
      <w:pPr>
        <w:spacing w:line="360" w:lineRule="auto"/>
        <w:ind w:left="720" w:hanging="720"/>
        <w:jc w:val="both"/>
        <w:rPr>
          <w:rtl/>
        </w:rPr>
      </w:pPr>
      <w:r>
        <w:rPr>
          <w:rtl/>
        </w:rPr>
        <w:tab/>
      </w:r>
      <w:r>
        <w:rPr>
          <w:rFonts w:hint="cs"/>
          <w:rtl/>
        </w:rPr>
        <w:t>בסופו של יום, למרות התרשמותו החיובית מהנאשם, נמנע שירות המבחן ממתן המלצה טיפולית. זאת,  עקב התרשמותו כי רצונו של הנאשם להשתלב בטיפול הינו מילולי בלבד, וכן על רקע הסכסוך האלים והלא פתור שעודנו מתנהל בו מעורבת משפחת הנאשם.</w:t>
      </w:r>
    </w:p>
    <w:p w14:paraId="5FE16594" w14:textId="77777777" w:rsidR="00D34A2B" w:rsidRDefault="00D34A2B" w:rsidP="00D34A2B">
      <w:pPr>
        <w:spacing w:line="360" w:lineRule="auto"/>
        <w:rPr>
          <w:rtl/>
        </w:rPr>
      </w:pPr>
      <w:r>
        <w:rPr>
          <w:rtl/>
        </w:rPr>
        <w:tab/>
      </w:r>
    </w:p>
    <w:p w14:paraId="6502D84C" w14:textId="77777777" w:rsidR="00D34A2B" w:rsidRDefault="00D34A2B" w:rsidP="00D34A2B">
      <w:pPr>
        <w:spacing w:line="360" w:lineRule="auto"/>
        <w:ind w:left="720" w:hanging="720"/>
        <w:jc w:val="both"/>
        <w:rPr>
          <w:rtl/>
        </w:rPr>
      </w:pPr>
      <w:r>
        <w:rPr>
          <w:rFonts w:hint="cs"/>
          <w:rtl/>
        </w:rPr>
        <w:t>18.</w:t>
      </w:r>
      <w:r>
        <w:rPr>
          <w:rFonts w:hint="cs"/>
          <w:rtl/>
        </w:rPr>
        <w:tab/>
        <w:t xml:space="preserve">חרף היעדר המלצה טיפולית כאמור, ונוכח גילו הצעיר, יש לתת משקל ממשי לנסיבותיו האישיות של הנאשם כפי שבאו לידי ביטוי בתסקיר. לא בכדי צוין הפער בין מאפייניו הנורמטיביים לבין חומרת העבירות בהן הורשע. כאמור, </w:t>
      </w:r>
      <w:r w:rsidRPr="001C2554">
        <w:rPr>
          <w:rtl/>
        </w:rPr>
        <w:t>מדובר בצעיר הנעדר כל הרשעות קודמות וזו לו הסתבכותו הראשונה בפלילים, שאף היא מקורה בנסיבות טרגיות.</w:t>
      </w:r>
      <w:r>
        <w:rPr>
          <w:rFonts w:hint="cs"/>
          <w:rtl/>
        </w:rPr>
        <w:t xml:space="preserve"> עד למעצרו בגין העבירות נשוא הדיון ניהל הנאשם אורח חיים נורמטיבי לחלוטין, תוך התנהלות תקינה במסגרות חייו השונות, בתחום האישי והתעסוקתי. </w:t>
      </w:r>
    </w:p>
    <w:p w14:paraId="3930CD47" w14:textId="77777777" w:rsidR="00D34A2B" w:rsidRPr="0001624A" w:rsidRDefault="00D34A2B" w:rsidP="00D34A2B">
      <w:pPr>
        <w:spacing w:line="360" w:lineRule="auto"/>
        <w:rPr>
          <w:rtl/>
        </w:rPr>
      </w:pPr>
    </w:p>
    <w:p w14:paraId="203FE553" w14:textId="77777777" w:rsidR="00D34A2B" w:rsidRDefault="00D34A2B" w:rsidP="00D34A2B">
      <w:pPr>
        <w:spacing w:line="360" w:lineRule="auto"/>
        <w:ind w:left="720" w:hanging="720"/>
        <w:jc w:val="both"/>
        <w:rPr>
          <w:rtl/>
        </w:rPr>
      </w:pPr>
      <w:r>
        <w:rPr>
          <w:rFonts w:hint="cs"/>
          <w:rtl/>
        </w:rPr>
        <w:t>19.</w:t>
      </w:r>
      <w:r>
        <w:rPr>
          <w:rFonts w:hint="cs"/>
          <w:rtl/>
        </w:rPr>
        <w:tab/>
        <w:t xml:space="preserve">במסגרת השיקולים לעונש, אין ביכולתי להתעלם גם מנסיבותיה הטרגיות של משפחת הנאשם. </w:t>
      </w:r>
      <w:r w:rsidRPr="000E6131">
        <w:rPr>
          <w:rtl/>
        </w:rPr>
        <w:t>סכסוך הדמים גבה אבדות כבד</w:t>
      </w:r>
      <w:r>
        <w:rPr>
          <w:rFonts w:hint="cs"/>
          <w:rtl/>
        </w:rPr>
        <w:t>ות בנפש</w:t>
      </w:r>
      <w:r w:rsidRPr="000E6131">
        <w:rPr>
          <w:rtl/>
        </w:rPr>
        <w:t xml:space="preserve"> מ</w:t>
      </w:r>
      <w:r>
        <w:rPr>
          <w:rFonts w:hint="cs"/>
          <w:rtl/>
        </w:rPr>
        <w:t>קרב משפחתו הגרעינית של הנאשם לרבות אביו, אחיו ודודו.</w:t>
      </w:r>
      <w:r w:rsidRPr="000E6131">
        <w:rPr>
          <w:rtl/>
        </w:rPr>
        <w:t xml:space="preserve"> מהתסקיר עולה תמונה </w:t>
      </w:r>
      <w:r>
        <w:rPr>
          <w:rFonts w:hint="cs"/>
          <w:rtl/>
        </w:rPr>
        <w:t xml:space="preserve">קשה </w:t>
      </w:r>
      <w:r w:rsidRPr="000E6131">
        <w:rPr>
          <w:rtl/>
        </w:rPr>
        <w:t>של משפחה מפורקת, שאיבדה את ראשה ואת מקורות פרנסתה</w:t>
      </w:r>
      <w:r>
        <w:rPr>
          <w:rFonts w:hint="cs"/>
          <w:rtl/>
        </w:rPr>
        <w:t xml:space="preserve"> וחיה בצל האבדן.</w:t>
      </w:r>
    </w:p>
    <w:p w14:paraId="4E4D7466" w14:textId="77777777" w:rsidR="00D34A2B" w:rsidRDefault="00D34A2B" w:rsidP="00D34A2B">
      <w:pPr>
        <w:spacing w:line="360" w:lineRule="auto"/>
        <w:rPr>
          <w:rtl/>
        </w:rPr>
      </w:pPr>
    </w:p>
    <w:p w14:paraId="0C773F54" w14:textId="77777777" w:rsidR="00D34A2B" w:rsidRDefault="00D34A2B" w:rsidP="00D34A2B">
      <w:pPr>
        <w:spacing w:line="360" w:lineRule="auto"/>
        <w:ind w:left="720" w:hanging="720"/>
        <w:jc w:val="both"/>
        <w:rPr>
          <w:rtl/>
        </w:rPr>
      </w:pPr>
      <w:r>
        <w:rPr>
          <w:rtl/>
        </w:rPr>
        <w:tab/>
      </w:r>
      <w:r>
        <w:rPr>
          <w:rFonts w:hint="cs"/>
          <w:rtl/>
        </w:rPr>
        <w:t xml:space="preserve">מעצרו של הנאשם ושהייתו תקופה ארוכה בתנאים מגבילים בהרחקה מכפרו ומשפחתו מנעו ממנו לתרום לפרנסת המשפחה ולתמוך בבני משפחתו באובדנם הקשה. </w:t>
      </w:r>
    </w:p>
    <w:p w14:paraId="55C53DED" w14:textId="77777777" w:rsidR="00D34A2B" w:rsidRDefault="00D34A2B" w:rsidP="00D34A2B">
      <w:pPr>
        <w:spacing w:line="360" w:lineRule="auto"/>
        <w:rPr>
          <w:rtl/>
        </w:rPr>
      </w:pPr>
      <w:r>
        <w:rPr>
          <w:rtl/>
        </w:rPr>
        <w:tab/>
      </w:r>
    </w:p>
    <w:p w14:paraId="0AE580B9" w14:textId="77777777" w:rsidR="00D34A2B" w:rsidRDefault="00D34A2B" w:rsidP="00D34A2B">
      <w:pPr>
        <w:spacing w:line="360" w:lineRule="auto"/>
        <w:ind w:left="720" w:hanging="720"/>
        <w:jc w:val="both"/>
        <w:rPr>
          <w:rtl/>
        </w:rPr>
      </w:pPr>
      <w:r>
        <w:rPr>
          <w:rtl/>
        </w:rPr>
        <w:tab/>
      </w:r>
      <w:r>
        <w:rPr>
          <w:rFonts w:hint="cs"/>
          <w:rtl/>
        </w:rPr>
        <w:t>על כן, ועל אף חומרת העבירות, אני מוצא להסתפק במקרה דנן בהטלת עונש מאסר בפועל המצוי ברף התחתון של מתחם הענישה.</w:t>
      </w:r>
    </w:p>
    <w:p w14:paraId="2187E198" w14:textId="77777777" w:rsidR="00D34A2B" w:rsidRDefault="00D34A2B" w:rsidP="00D34A2B">
      <w:pPr>
        <w:spacing w:line="360" w:lineRule="auto"/>
        <w:rPr>
          <w:rtl/>
        </w:rPr>
      </w:pPr>
      <w:r>
        <w:rPr>
          <w:rtl/>
        </w:rPr>
        <w:tab/>
      </w:r>
    </w:p>
    <w:p w14:paraId="74E65A62" w14:textId="77777777" w:rsidR="00D34A2B" w:rsidRDefault="00D34A2B" w:rsidP="00D34A2B">
      <w:pPr>
        <w:spacing w:line="360" w:lineRule="auto"/>
        <w:rPr>
          <w:rtl/>
        </w:rPr>
      </w:pPr>
      <w:r>
        <w:rPr>
          <w:rFonts w:hint="cs"/>
          <w:rtl/>
        </w:rPr>
        <w:t>20.</w:t>
      </w:r>
      <w:r>
        <w:rPr>
          <w:rFonts w:hint="cs"/>
          <w:rtl/>
        </w:rPr>
        <w:tab/>
      </w:r>
      <w:r>
        <w:rPr>
          <w:rtl/>
        </w:rPr>
        <w:t>על יסוד מקבץ השיקולים שמניתי לעיל, אני גוזר על הנאש</w:t>
      </w:r>
      <w:r>
        <w:rPr>
          <w:rFonts w:hint="cs"/>
          <w:rtl/>
        </w:rPr>
        <w:t>ם</w:t>
      </w:r>
      <w:r>
        <w:rPr>
          <w:rtl/>
        </w:rPr>
        <w:t xml:space="preserve"> את העונשים הבאים:</w:t>
      </w:r>
    </w:p>
    <w:p w14:paraId="44265D75" w14:textId="77777777" w:rsidR="00D34A2B" w:rsidRDefault="00D34A2B" w:rsidP="00D34A2B">
      <w:pPr>
        <w:spacing w:line="360" w:lineRule="auto"/>
        <w:rPr>
          <w:rtl/>
        </w:rPr>
      </w:pPr>
    </w:p>
    <w:p w14:paraId="0EDC3516" w14:textId="77777777" w:rsidR="00D34A2B" w:rsidRDefault="00D34A2B" w:rsidP="00D34A2B">
      <w:pPr>
        <w:numPr>
          <w:ilvl w:val="0"/>
          <w:numId w:val="1"/>
        </w:numPr>
        <w:spacing w:line="360" w:lineRule="auto"/>
        <w:ind w:left="1531" w:hanging="811"/>
        <w:jc w:val="both"/>
      </w:pPr>
      <w:r>
        <w:rPr>
          <w:rFonts w:hint="cs"/>
          <w:rtl/>
        </w:rPr>
        <w:t>10</w:t>
      </w:r>
      <w:r>
        <w:rPr>
          <w:rtl/>
        </w:rPr>
        <w:t xml:space="preserve"> חודשי מאסר בפועל, בניכוי ימי מעצרו </w:t>
      </w:r>
      <w:r>
        <w:rPr>
          <w:rFonts w:hint="cs"/>
          <w:rtl/>
        </w:rPr>
        <w:t>מיום 29.3.15 ועד ליום 14.6.15.</w:t>
      </w:r>
    </w:p>
    <w:p w14:paraId="30ED4FD4" w14:textId="77777777" w:rsidR="00D34A2B" w:rsidRDefault="00D34A2B" w:rsidP="00D34A2B">
      <w:pPr>
        <w:numPr>
          <w:ilvl w:val="0"/>
          <w:numId w:val="1"/>
        </w:numPr>
        <w:spacing w:line="360" w:lineRule="auto"/>
        <w:jc w:val="both"/>
        <w:rPr>
          <w:rtl/>
        </w:rPr>
      </w:pPr>
      <w:r>
        <w:rPr>
          <w:rFonts w:hint="cs"/>
          <w:rtl/>
        </w:rPr>
        <w:t>6</w:t>
      </w:r>
      <w:r>
        <w:rPr>
          <w:rtl/>
        </w:rPr>
        <w:t xml:space="preserve"> חודשי מאסר על תנאי למשך 3 שנים לבל יעבור </w:t>
      </w:r>
      <w:r>
        <w:rPr>
          <w:rFonts w:hint="cs"/>
          <w:rtl/>
        </w:rPr>
        <w:t>עבירות בנשק ויורשע בגינן.</w:t>
      </w:r>
    </w:p>
    <w:p w14:paraId="1B1C52C2" w14:textId="77777777" w:rsidR="00D34A2B" w:rsidRDefault="00D34A2B" w:rsidP="00D34A2B">
      <w:pPr>
        <w:spacing w:line="360" w:lineRule="auto"/>
        <w:rPr>
          <w:rtl/>
        </w:rPr>
      </w:pPr>
    </w:p>
    <w:p w14:paraId="289F8EAE" w14:textId="77777777" w:rsidR="00D34A2B" w:rsidRPr="000C2CDA" w:rsidRDefault="00D34A2B" w:rsidP="00D34A2B">
      <w:pPr>
        <w:spacing w:line="360" w:lineRule="auto"/>
        <w:rPr>
          <w:b/>
          <w:bCs/>
          <w:u w:val="single"/>
          <w:rtl/>
        </w:rPr>
      </w:pPr>
      <w:r w:rsidRPr="000C2CDA">
        <w:rPr>
          <w:b/>
          <w:bCs/>
          <w:u w:val="single"/>
          <w:rtl/>
        </w:rPr>
        <w:t>זכות ערעור לבית המשפט העליון תוך 45 יום.</w:t>
      </w:r>
    </w:p>
    <w:p w14:paraId="0C317784" w14:textId="77777777" w:rsidR="00D34A2B" w:rsidRDefault="00D34A2B" w:rsidP="00D34A2B">
      <w:pPr>
        <w:spacing w:line="360" w:lineRule="auto"/>
        <w:rPr>
          <w:rtl/>
        </w:rPr>
      </w:pPr>
    </w:p>
    <w:p w14:paraId="60C2AF4F" w14:textId="77777777" w:rsidR="00D34A2B" w:rsidRPr="00250A39" w:rsidRDefault="000F0F16" w:rsidP="00D34A2B">
      <w:pPr>
        <w:rPr>
          <w:rFonts w:cs="FrankRuehl"/>
          <w:sz w:val="28"/>
          <w:szCs w:val="28"/>
          <w:rtl/>
        </w:rPr>
      </w:pPr>
      <w:r>
        <w:rPr>
          <w:rFonts w:ascii="Arial" w:hAnsi="Arial"/>
          <w:rtl/>
        </w:rPr>
        <w:t xml:space="preserve">ניתן היום,  כ"ז אדר ב' תשע"ו, 06 אפריל 2016, בנוכחות הצדדים. </w:t>
      </w:r>
    </w:p>
    <w:p w14:paraId="27CC57EC" w14:textId="77777777" w:rsidR="00D34A2B" w:rsidRDefault="00D34A2B" w:rsidP="00D34A2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55B3A0" w14:textId="77777777" w:rsidR="00D34A2B" w:rsidRPr="000F0F16" w:rsidRDefault="000F0F16" w:rsidP="00D34A2B">
      <w:pPr>
        <w:jc w:val="center"/>
        <w:rPr>
          <w:rFonts w:ascii="Arial" w:hAnsi="Arial" w:cs="FrankRuehl"/>
          <w:color w:val="FFFFFF"/>
          <w:sz w:val="2"/>
          <w:szCs w:val="2"/>
          <w:rtl/>
        </w:rPr>
      </w:pPr>
      <w:r w:rsidRPr="000F0F16">
        <w:rPr>
          <w:rFonts w:ascii="Arial" w:hAnsi="Arial" w:cs="FrankRuehl"/>
          <w:color w:val="FFFFFF"/>
          <w:sz w:val="2"/>
          <w:szCs w:val="2"/>
          <w:rtl/>
        </w:rPr>
        <w:t>5129371</w:t>
      </w:r>
    </w:p>
    <w:p w14:paraId="23D8F87D" w14:textId="77777777" w:rsidR="00D34A2B" w:rsidRPr="000F0F16" w:rsidRDefault="000F0F16" w:rsidP="00D34A2B">
      <w:pPr>
        <w:rPr>
          <w:rFonts w:cs="FrankRuehl"/>
          <w:color w:val="FFFFFF"/>
          <w:sz w:val="2"/>
          <w:szCs w:val="2"/>
          <w:rtl/>
        </w:rPr>
      </w:pPr>
      <w:r w:rsidRPr="000F0F16">
        <w:rPr>
          <w:rFonts w:cs="FrankRuehl"/>
          <w:color w:val="FFFFFF"/>
          <w:sz w:val="2"/>
          <w:szCs w:val="2"/>
          <w:rtl/>
        </w:rPr>
        <w:t>54678313</w:t>
      </w:r>
    </w:p>
    <w:p w14:paraId="55C19472" w14:textId="77777777" w:rsidR="00D34A2B" w:rsidRDefault="00D34A2B" w:rsidP="00D34A2B">
      <w:pPr>
        <w:pStyle w:val="a3"/>
        <w:jc w:val="center"/>
        <w:rPr>
          <w:rtl/>
        </w:rPr>
      </w:pPr>
    </w:p>
    <w:p w14:paraId="7E68CCBA" w14:textId="77777777" w:rsidR="00D34A2B" w:rsidRDefault="00D34A2B" w:rsidP="00D34A2B">
      <w:pPr>
        <w:pStyle w:val="a3"/>
        <w:jc w:val="center"/>
        <w:rPr>
          <w:rtl/>
        </w:rPr>
      </w:pPr>
    </w:p>
    <w:p w14:paraId="1582EA51" w14:textId="77777777" w:rsidR="00D34A2B" w:rsidRPr="00A02182" w:rsidRDefault="00A02182" w:rsidP="00D34A2B">
      <w:pPr>
        <w:pStyle w:val="a3"/>
        <w:jc w:val="center"/>
        <w:rPr>
          <w:color w:val="FFFFFF"/>
          <w:sz w:val="2"/>
          <w:szCs w:val="2"/>
          <w:rtl/>
        </w:rPr>
      </w:pPr>
      <w:r w:rsidRPr="00A02182">
        <w:rPr>
          <w:color w:val="FFFFFF"/>
          <w:sz w:val="2"/>
          <w:szCs w:val="2"/>
          <w:rtl/>
        </w:rPr>
        <w:t>5129371</w:t>
      </w:r>
    </w:p>
    <w:p w14:paraId="5A63EAE2" w14:textId="77777777" w:rsidR="000F0F16" w:rsidRPr="00A02182" w:rsidRDefault="00A02182" w:rsidP="000F0F16">
      <w:pPr>
        <w:keepNext/>
        <w:rPr>
          <w:rFonts w:ascii="David" w:hAnsi="David"/>
          <w:color w:val="FFFFFF"/>
          <w:sz w:val="2"/>
          <w:szCs w:val="2"/>
          <w:rtl/>
        </w:rPr>
      </w:pPr>
      <w:r w:rsidRPr="00A02182">
        <w:rPr>
          <w:rFonts w:ascii="David" w:hAnsi="David"/>
          <w:color w:val="FFFFFF"/>
          <w:sz w:val="2"/>
          <w:szCs w:val="2"/>
          <w:rtl/>
        </w:rPr>
        <w:t>54678313</w:t>
      </w:r>
    </w:p>
    <w:p w14:paraId="4636C88D" w14:textId="77777777" w:rsidR="000F0F16" w:rsidRPr="000F0F16" w:rsidRDefault="000F0F16" w:rsidP="000F0F16">
      <w:pPr>
        <w:keepNext/>
        <w:rPr>
          <w:rFonts w:ascii="David" w:hAnsi="David"/>
          <w:color w:val="000000"/>
          <w:sz w:val="22"/>
          <w:szCs w:val="22"/>
          <w:rtl/>
        </w:rPr>
      </w:pPr>
      <w:r w:rsidRPr="000F0F16">
        <w:rPr>
          <w:rFonts w:ascii="David" w:hAnsi="David"/>
          <w:color w:val="000000"/>
          <w:sz w:val="22"/>
          <w:szCs w:val="22"/>
          <w:rtl/>
        </w:rPr>
        <w:t>אמיר טובי 54678313</w:t>
      </w:r>
    </w:p>
    <w:p w14:paraId="3EB8AB01" w14:textId="77777777" w:rsidR="000F0F16" w:rsidRDefault="000F0F16" w:rsidP="000F0F16">
      <w:r w:rsidRPr="000F0F16">
        <w:rPr>
          <w:color w:val="000000"/>
          <w:rtl/>
        </w:rPr>
        <w:t>נוסח מסמך זה כפוף לשינויי ניסוח ועריכה</w:t>
      </w:r>
    </w:p>
    <w:p w14:paraId="4D8520C6" w14:textId="77777777" w:rsidR="000F0F16" w:rsidRDefault="000F0F16" w:rsidP="000F0F16">
      <w:pPr>
        <w:rPr>
          <w:rtl/>
        </w:rPr>
      </w:pPr>
    </w:p>
    <w:p w14:paraId="07473CDA" w14:textId="77777777" w:rsidR="000F0F16" w:rsidRDefault="000F0F16" w:rsidP="000F0F1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8C261A">
        <w:rPr>
          <w:rFonts w:hint="cs"/>
          <w:color w:val="0000FF"/>
          <w:u w:val="single"/>
          <w:rtl/>
        </w:rPr>
        <w:t xml:space="preserve"> </w:t>
      </w:r>
    </w:p>
    <w:p w14:paraId="52F62068" w14:textId="77777777" w:rsidR="00A02182" w:rsidRPr="00A02182" w:rsidRDefault="00A02182" w:rsidP="00A02182">
      <w:pPr>
        <w:keepNext/>
        <w:rPr>
          <w:rFonts w:ascii="David" w:hAnsi="David"/>
          <w:color w:val="000000"/>
          <w:sz w:val="22"/>
          <w:szCs w:val="22"/>
          <w:rtl/>
        </w:rPr>
      </w:pPr>
    </w:p>
    <w:sectPr w:rsidR="00A02182" w:rsidRPr="00A02182" w:rsidSect="00A02182">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A1DE2" w14:textId="77777777" w:rsidR="008B50AA" w:rsidRDefault="008B50AA">
      <w:r>
        <w:separator/>
      </w:r>
    </w:p>
  </w:endnote>
  <w:endnote w:type="continuationSeparator" w:id="0">
    <w:p w14:paraId="6EF1C04B" w14:textId="77777777" w:rsidR="008B50AA" w:rsidRDefault="008B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88DB2" w14:textId="77777777" w:rsidR="00937238" w:rsidRDefault="00937238" w:rsidP="00A0218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FD0B996" w14:textId="77777777" w:rsidR="00937238" w:rsidRPr="00A02182" w:rsidRDefault="00937238" w:rsidP="00A02182">
    <w:pPr>
      <w:pStyle w:val="a4"/>
      <w:pBdr>
        <w:top w:val="single" w:sz="4" w:space="1" w:color="auto"/>
        <w:between w:val="single" w:sz="4" w:space="0" w:color="auto"/>
      </w:pBdr>
      <w:spacing w:after="60"/>
      <w:jc w:val="center"/>
      <w:rPr>
        <w:rFonts w:ascii="FrankRuehl" w:hAnsi="FrankRuehl" w:cs="FrankRuehl"/>
        <w:color w:val="000000"/>
      </w:rPr>
    </w:pPr>
    <w:r w:rsidRPr="00A021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178CB" w14:textId="77777777" w:rsidR="00937238" w:rsidRDefault="00937238" w:rsidP="00A0218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40CD">
      <w:rPr>
        <w:rFonts w:ascii="FrankRuehl" w:hAnsi="FrankRuehl" w:cs="FrankRuehl"/>
        <w:noProof/>
        <w:rtl/>
      </w:rPr>
      <w:t>1</w:t>
    </w:r>
    <w:r>
      <w:rPr>
        <w:rFonts w:ascii="FrankRuehl" w:hAnsi="FrankRuehl" w:cs="FrankRuehl"/>
        <w:rtl/>
      </w:rPr>
      <w:fldChar w:fldCharType="end"/>
    </w:r>
  </w:p>
  <w:p w14:paraId="09A4011B" w14:textId="77777777" w:rsidR="00937238" w:rsidRPr="00A02182" w:rsidRDefault="00937238" w:rsidP="00A02182">
    <w:pPr>
      <w:pStyle w:val="a4"/>
      <w:pBdr>
        <w:top w:val="single" w:sz="4" w:space="1" w:color="auto"/>
        <w:between w:val="single" w:sz="4" w:space="0" w:color="auto"/>
      </w:pBdr>
      <w:spacing w:after="60"/>
      <w:jc w:val="center"/>
      <w:rPr>
        <w:rFonts w:ascii="FrankRuehl" w:hAnsi="FrankRuehl" w:cs="FrankRuehl"/>
        <w:color w:val="000000"/>
      </w:rPr>
    </w:pPr>
    <w:r w:rsidRPr="00A02182">
      <w:rPr>
        <w:rFonts w:ascii="FrankRuehl" w:hAnsi="FrankRuehl" w:cs="FrankRuehl"/>
        <w:color w:val="000000"/>
      </w:rPr>
      <w:pict w14:anchorId="3FB2A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25EE6" w14:textId="77777777" w:rsidR="008B50AA" w:rsidRDefault="008B50AA">
      <w:r>
        <w:separator/>
      </w:r>
    </w:p>
  </w:footnote>
  <w:footnote w:type="continuationSeparator" w:id="0">
    <w:p w14:paraId="25E51792" w14:textId="77777777" w:rsidR="008B50AA" w:rsidRDefault="008B5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6D9E" w14:textId="77777777" w:rsidR="00937238" w:rsidRPr="00A02182" w:rsidRDefault="00937238" w:rsidP="00A021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13785-04-15</w:t>
    </w:r>
    <w:r>
      <w:rPr>
        <w:rFonts w:ascii="David" w:hAnsi="David"/>
        <w:color w:val="000000"/>
        <w:sz w:val="22"/>
        <w:szCs w:val="22"/>
        <w:rtl/>
      </w:rPr>
      <w:tab/>
      <w:t xml:space="preserve"> מדינת ישראל נ' אחמד חסארמה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7FA5C" w14:textId="77777777" w:rsidR="00937238" w:rsidRPr="00A02182" w:rsidRDefault="00937238" w:rsidP="00A021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13785-04-15</w:t>
    </w:r>
    <w:r>
      <w:rPr>
        <w:rFonts w:ascii="David" w:hAnsi="David"/>
        <w:color w:val="000000"/>
        <w:sz w:val="22"/>
        <w:szCs w:val="22"/>
        <w:rtl/>
      </w:rPr>
      <w:tab/>
      <w:t xml:space="preserve"> מדינת ישראל נ' אחמד חסארמה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1161CD"/>
    <w:multiLevelType w:val="hybridMultilevel"/>
    <w:tmpl w:val="85D8352A"/>
    <w:lvl w:ilvl="0" w:tplc="8CD8CA0A">
      <w:start w:val="1"/>
      <w:numFmt w:val="hebrew1"/>
      <w:lvlText w:val="%1."/>
      <w:lvlJc w:val="left"/>
      <w:pPr>
        <w:ind w:left="1530" w:hanging="8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483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4A2B"/>
    <w:rsid w:val="000F0F16"/>
    <w:rsid w:val="00174FB2"/>
    <w:rsid w:val="00741B72"/>
    <w:rsid w:val="008B50AA"/>
    <w:rsid w:val="008C261A"/>
    <w:rsid w:val="008C3667"/>
    <w:rsid w:val="00937238"/>
    <w:rsid w:val="00A02182"/>
    <w:rsid w:val="00A20BD9"/>
    <w:rsid w:val="00B1215F"/>
    <w:rsid w:val="00B94166"/>
    <w:rsid w:val="00C340CD"/>
    <w:rsid w:val="00D34A2B"/>
    <w:rsid w:val="00E61814"/>
    <w:rsid w:val="00F0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B6F9E4"/>
  <w15:chartTrackingRefBased/>
  <w15:docId w15:val="{FD500B1C-9EDC-4F35-9F7E-EE77F555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4A2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34A2B"/>
    <w:pPr>
      <w:tabs>
        <w:tab w:val="center" w:pos="4153"/>
        <w:tab w:val="right" w:pos="8306"/>
      </w:tabs>
    </w:pPr>
  </w:style>
  <w:style w:type="paragraph" w:styleId="a4">
    <w:name w:val="footer"/>
    <w:basedOn w:val="a"/>
    <w:rsid w:val="00D34A2B"/>
    <w:pPr>
      <w:tabs>
        <w:tab w:val="center" w:pos="4153"/>
        <w:tab w:val="right" w:pos="8306"/>
      </w:tabs>
    </w:pPr>
  </w:style>
  <w:style w:type="character" w:styleId="a5">
    <w:name w:val="page number"/>
    <w:basedOn w:val="a0"/>
    <w:rsid w:val="00D34A2B"/>
  </w:style>
  <w:style w:type="character" w:customStyle="1" w:styleId="TimesNewRomanTimesNewRoman">
    <w:name w:val="סגנון (לטיני) Times New Roman (עברית ושפות אחרות) Times New Roman..."/>
    <w:rsid w:val="00D34A2B"/>
    <w:rPr>
      <w:rFonts w:ascii="Times New Roman" w:hAnsi="Times New Roman" w:cs="David" w:hint="default"/>
      <w:b/>
      <w:bCs/>
      <w:sz w:val="26"/>
      <w:szCs w:val="26"/>
    </w:rPr>
  </w:style>
  <w:style w:type="paragraph" w:customStyle="1" w:styleId="Quote">
    <w:name w:val="Quote"/>
    <w:basedOn w:val="a"/>
    <w:next w:val="a"/>
    <w:link w:val="QuoteChar"/>
    <w:rsid w:val="00D34A2B"/>
    <w:pPr>
      <w:spacing w:before="200" w:after="160" w:line="360" w:lineRule="auto"/>
      <w:ind w:left="864" w:right="864" w:hanging="720"/>
      <w:jc w:val="center"/>
    </w:pPr>
    <w:rPr>
      <w:i/>
      <w:iCs/>
      <w:color w:val="404040"/>
    </w:rPr>
  </w:style>
  <w:style w:type="character" w:customStyle="1" w:styleId="QuoteChar">
    <w:name w:val="Quote Char"/>
    <w:link w:val="Quote"/>
    <w:rsid w:val="00D34A2B"/>
    <w:rPr>
      <w:rFonts w:cs="David"/>
      <w:i/>
      <w:iCs/>
      <w:color w:val="404040"/>
      <w:sz w:val="24"/>
      <w:szCs w:val="24"/>
      <w:lang w:val="en-US" w:eastAsia="en-US" w:bidi="he-IL"/>
    </w:rPr>
  </w:style>
  <w:style w:type="character" w:styleId="Hyperlink">
    <w:name w:val="Hyperlink"/>
    <w:rsid w:val="000F0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21328"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5762686"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5821327"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473037" TargetMode="External"/><Relationship Id="rId29" Type="http://schemas.openxmlformats.org/officeDocument/2006/relationships/hyperlink" Target="http://www.nevo.co.il/case/68659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7697292" TargetMode="External"/><Relationship Id="rId32" Type="http://schemas.openxmlformats.org/officeDocument/2006/relationships/hyperlink" Target="http://www.nevo.co.il/case/6036718"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i.a" TargetMode="External"/><Relationship Id="rId23" Type="http://schemas.openxmlformats.org/officeDocument/2006/relationships/hyperlink" Target="http://www.nevo.co.il/case/13055034" TargetMode="External"/><Relationship Id="rId28" Type="http://schemas.openxmlformats.org/officeDocument/2006/relationships/hyperlink" Target="http://www.nevo.co.il/case/5578662" TargetMode="External"/><Relationship Id="rId36" Type="http://schemas.openxmlformats.org/officeDocument/2006/relationships/footer" Target="footer1.xml"/><Relationship Id="rId10" Type="http://schemas.openxmlformats.org/officeDocument/2006/relationships/hyperlink" Target="http://www.nevo.co.il/law/70301/340a" TargetMode="External"/><Relationship Id="rId19" Type="http://schemas.openxmlformats.org/officeDocument/2006/relationships/hyperlink" Target="http://www.nevo.co.il/case/5716796" TargetMode="External"/><Relationship Id="rId31" Type="http://schemas.openxmlformats.org/officeDocument/2006/relationships/hyperlink" Target="http://www.nevo.co.il/case/568905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case/5969313" TargetMode="External"/><Relationship Id="rId27" Type="http://schemas.openxmlformats.org/officeDocument/2006/relationships/hyperlink" Target="http://www.nevo.co.il/case/6248029" TargetMode="External"/><Relationship Id="rId30" Type="http://schemas.openxmlformats.org/officeDocument/2006/relationships/hyperlink" Target="http://www.nevo.co.il/case/6244964" TargetMode="External"/><Relationship Id="rId35" Type="http://schemas.openxmlformats.org/officeDocument/2006/relationships/header" Target="header2.xml"/><Relationship Id="rId8" Type="http://schemas.openxmlformats.org/officeDocument/2006/relationships/hyperlink" Target="http://www.nevo.co.il/law/70301/40i.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3074</Words>
  <Characters>15373</Characters>
  <Application>Microsoft Office Word</Application>
  <DocSecurity>0</DocSecurity>
  <Lines>128</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18411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3801203</vt:i4>
      </vt:variant>
      <vt:variant>
        <vt:i4>75</vt:i4>
      </vt:variant>
      <vt:variant>
        <vt:i4>0</vt:i4>
      </vt:variant>
      <vt:variant>
        <vt:i4>5</vt:i4>
      </vt:variant>
      <vt:variant>
        <vt:lpwstr>http://www.nevo.co.il/case/6036718</vt:lpwstr>
      </vt:variant>
      <vt:variant>
        <vt:lpwstr/>
      </vt:variant>
      <vt:variant>
        <vt:i4>3866750</vt:i4>
      </vt:variant>
      <vt:variant>
        <vt:i4>72</vt:i4>
      </vt:variant>
      <vt:variant>
        <vt:i4>0</vt:i4>
      </vt:variant>
      <vt:variant>
        <vt:i4>5</vt:i4>
      </vt:variant>
      <vt:variant>
        <vt:lpwstr>http://www.nevo.co.il/case/5689056</vt:lpwstr>
      </vt:variant>
      <vt:variant>
        <vt:lpwstr/>
      </vt:variant>
      <vt:variant>
        <vt:i4>4128884</vt:i4>
      </vt:variant>
      <vt:variant>
        <vt:i4>69</vt:i4>
      </vt:variant>
      <vt:variant>
        <vt:i4>0</vt:i4>
      </vt:variant>
      <vt:variant>
        <vt:i4>5</vt:i4>
      </vt:variant>
      <vt:variant>
        <vt:lpwstr>http://www.nevo.co.il/case/6244964</vt:lpwstr>
      </vt:variant>
      <vt:variant>
        <vt:lpwstr/>
      </vt:variant>
      <vt:variant>
        <vt:i4>4063352</vt:i4>
      </vt:variant>
      <vt:variant>
        <vt:i4>66</vt:i4>
      </vt:variant>
      <vt:variant>
        <vt:i4>0</vt:i4>
      </vt:variant>
      <vt:variant>
        <vt:i4>5</vt:i4>
      </vt:variant>
      <vt:variant>
        <vt:lpwstr>http://www.nevo.co.il/case/6865917</vt:lpwstr>
      </vt:variant>
      <vt:variant>
        <vt:lpwstr/>
      </vt:variant>
      <vt:variant>
        <vt:i4>3539071</vt:i4>
      </vt:variant>
      <vt:variant>
        <vt:i4>63</vt:i4>
      </vt:variant>
      <vt:variant>
        <vt:i4>0</vt:i4>
      </vt:variant>
      <vt:variant>
        <vt:i4>5</vt:i4>
      </vt:variant>
      <vt:variant>
        <vt:lpwstr>http://www.nevo.co.il/case/5578662</vt:lpwstr>
      </vt:variant>
      <vt:variant>
        <vt:lpwstr/>
      </vt:variant>
      <vt:variant>
        <vt:i4>3866748</vt:i4>
      </vt:variant>
      <vt:variant>
        <vt:i4>60</vt:i4>
      </vt:variant>
      <vt:variant>
        <vt:i4>0</vt:i4>
      </vt:variant>
      <vt:variant>
        <vt:i4>5</vt:i4>
      </vt:variant>
      <vt:variant>
        <vt:lpwstr>http://www.nevo.co.il/case/6248029</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4063356</vt:i4>
      </vt:variant>
      <vt:variant>
        <vt:i4>51</vt:i4>
      </vt:variant>
      <vt:variant>
        <vt:i4>0</vt:i4>
      </vt:variant>
      <vt:variant>
        <vt:i4>5</vt:i4>
      </vt:variant>
      <vt:variant>
        <vt:lpwstr>http://www.nevo.co.il/case/7697292</vt:lpwstr>
      </vt:variant>
      <vt:variant>
        <vt:lpwstr/>
      </vt:variant>
      <vt:variant>
        <vt:i4>3604594</vt:i4>
      </vt:variant>
      <vt:variant>
        <vt:i4>48</vt:i4>
      </vt:variant>
      <vt:variant>
        <vt:i4>0</vt:i4>
      </vt:variant>
      <vt:variant>
        <vt:i4>5</vt:i4>
      </vt:variant>
      <vt:variant>
        <vt:lpwstr>http://www.nevo.co.il/case/13055034</vt:lpwstr>
      </vt:variant>
      <vt:variant>
        <vt:lpwstr/>
      </vt:variant>
      <vt:variant>
        <vt:i4>3342453</vt:i4>
      </vt:variant>
      <vt:variant>
        <vt:i4>45</vt:i4>
      </vt:variant>
      <vt:variant>
        <vt:i4>0</vt:i4>
      </vt:variant>
      <vt:variant>
        <vt:i4>5</vt:i4>
      </vt:variant>
      <vt:variant>
        <vt:lpwstr>http://www.nevo.co.il/case/5969313</vt:lpwstr>
      </vt:variant>
      <vt:variant>
        <vt:lpwstr/>
      </vt:variant>
      <vt:variant>
        <vt:i4>3342457</vt:i4>
      </vt:variant>
      <vt:variant>
        <vt:i4>42</vt:i4>
      </vt:variant>
      <vt:variant>
        <vt:i4>0</vt:i4>
      </vt:variant>
      <vt:variant>
        <vt:i4>5</vt:i4>
      </vt:variant>
      <vt:variant>
        <vt:lpwstr>http://www.nevo.co.il/case/5762686</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3473532</vt:i4>
      </vt:variant>
      <vt:variant>
        <vt:i4>36</vt:i4>
      </vt:variant>
      <vt:variant>
        <vt:i4>0</vt:i4>
      </vt:variant>
      <vt:variant>
        <vt:i4>5</vt:i4>
      </vt:variant>
      <vt:variant>
        <vt:lpwstr>http://www.nevo.co.il/case/5716796</vt:lpwstr>
      </vt:variant>
      <vt:variant>
        <vt:lpwstr/>
      </vt:variant>
      <vt:variant>
        <vt:i4>3932287</vt:i4>
      </vt:variant>
      <vt:variant>
        <vt:i4>33</vt:i4>
      </vt:variant>
      <vt:variant>
        <vt:i4>0</vt:i4>
      </vt:variant>
      <vt:variant>
        <vt:i4>5</vt:i4>
      </vt:variant>
      <vt:variant>
        <vt:lpwstr>http://www.nevo.co.il/case/5821328</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86</vt:i4>
      </vt:variant>
      <vt:variant>
        <vt:i4>21</vt:i4>
      </vt:variant>
      <vt:variant>
        <vt:i4>0</vt:i4>
      </vt:variant>
      <vt:variant>
        <vt:i4>5</vt:i4>
      </vt:variant>
      <vt:variant>
        <vt:lpwstr>http://www.nevo.co.il/law/70301/340a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2025-01-19T16:00:00Z</dcterms:created>
  <dcterms:modified xsi:type="dcterms:W3CDTF">2025-01-19T16:00:00Z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13785</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חסארמה</vt:lpwstr>
  </property>
  <property fmtid="{D5CDD505-2E9C-101B-9397-08002B2CF9AE}" pid="10" name="LAWYER">
    <vt:lpwstr>שאדי דבאח</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20160406</vt:lpwstr>
  </property>
  <property fmtid="{D5CDD505-2E9C-101B-9397-08002B2CF9AE}" pid="14" name="TYPE_N_DATE">
    <vt:lpwstr>39020160406</vt:lpwstr>
  </property>
  <property fmtid="{D5CDD505-2E9C-101B-9397-08002B2CF9AE}" pid="15" name="WORDNUMPAGES">
    <vt:lpwstr>10</vt:lpwstr>
  </property>
  <property fmtid="{D5CDD505-2E9C-101B-9397-08002B2CF9AE}" pid="16" name="TYPE_ABS_DATE">
    <vt:lpwstr>390020160406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5821327;5821328;5716796;6473037;5762686;5969313;13055034;7697292;6248029;5578662;6865917;6244964;5689056;6036718</vt:lpwstr>
  </property>
  <property fmtid="{D5CDD505-2E9C-101B-9397-08002B2CF9AE}" pid="36" name="LAWLISTTMP1">
    <vt:lpwstr>70301/144.b;340a;040i.a;40ja</vt:lpwstr>
  </property>
</Properties>
</file>