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E748A8" w:rsidRPr="00DE0B2F" w14:paraId="01B52C08" w14:textId="77777777">
        <w:trPr>
          <w:trHeight w:hRule="exact" w:val="418"/>
          <w:jc w:val="center"/>
        </w:trPr>
        <w:tc>
          <w:tcPr>
            <w:tcW w:w="8721" w:type="dxa"/>
            <w:gridSpan w:val="2"/>
          </w:tcPr>
          <w:p w14:paraId="3B09CAC8" w14:textId="77777777" w:rsidR="00E748A8" w:rsidRPr="00DE0B2F" w:rsidRDefault="00E748A8" w:rsidP="00DE0B2F">
            <w:pPr>
              <w:pStyle w:val="a3"/>
              <w:jc w:val="center"/>
              <w:rPr>
                <w:rFonts w:ascii="Tahoma" w:hAnsi="Tahoma" w:cs="Tahoma"/>
                <w:color w:val="000080"/>
                <w:rtl/>
              </w:rPr>
            </w:pPr>
            <w:bookmarkStart w:id="0" w:name="LastJudge"/>
            <w:r w:rsidRPr="00DE0B2F">
              <w:rPr>
                <w:rFonts w:ascii="Tahoma" w:hAnsi="Tahoma" w:cs="Tahoma"/>
                <w:b/>
                <w:bCs/>
                <w:color w:val="000080"/>
                <w:rtl/>
              </w:rPr>
              <w:t>בית המשפט המחוזי בירושלים</w:t>
            </w:r>
          </w:p>
        </w:tc>
      </w:tr>
      <w:tr w:rsidR="00E748A8" w:rsidRPr="00DE0B2F" w14:paraId="6D88C9F2" w14:textId="77777777">
        <w:trPr>
          <w:trHeight w:hRule="exact" w:val="418"/>
          <w:jc w:val="center"/>
        </w:trPr>
        <w:tc>
          <w:tcPr>
            <w:tcW w:w="8721" w:type="dxa"/>
            <w:gridSpan w:val="2"/>
          </w:tcPr>
          <w:p w14:paraId="1E66EC6D" w14:textId="77777777" w:rsidR="00E748A8" w:rsidRPr="00DE0B2F" w:rsidRDefault="00E748A8" w:rsidP="00DE0B2F">
            <w:pPr>
              <w:pStyle w:val="a3"/>
              <w:jc w:val="center"/>
              <w:rPr>
                <w:rFonts w:ascii="Tahoma" w:hAnsi="Tahoma" w:cs="Tahoma"/>
                <w:b/>
                <w:bCs/>
                <w:color w:val="000080"/>
                <w:rtl/>
              </w:rPr>
            </w:pPr>
            <w:r w:rsidRPr="00DE0B2F">
              <w:rPr>
                <w:rFonts w:ascii="Tahoma" w:hAnsi="Tahoma" w:cs="Tahoma" w:hint="cs"/>
                <w:b/>
                <w:bCs/>
                <w:color w:val="000080"/>
                <w:rtl/>
              </w:rPr>
              <w:t>בפני כב' השופט הבכיר אמנון כהן</w:t>
            </w:r>
          </w:p>
        </w:tc>
      </w:tr>
      <w:tr w:rsidR="00E748A8" w:rsidRPr="00DE0B2F" w14:paraId="3B500654" w14:textId="77777777">
        <w:trPr>
          <w:trHeight w:val="337"/>
          <w:jc w:val="center"/>
        </w:trPr>
        <w:tc>
          <w:tcPr>
            <w:tcW w:w="5049" w:type="dxa"/>
          </w:tcPr>
          <w:p w14:paraId="33B82A2C" w14:textId="77777777" w:rsidR="00E748A8" w:rsidRPr="00DE0B2F" w:rsidRDefault="00E748A8" w:rsidP="00DE0B2F">
            <w:pPr>
              <w:rPr>
                <w:rFonts w:cs="FrankRuehl"/>
                <w:sz w:val="28"/>
                <w:szCs w:val="28"/>
                <w:rtl/>
              </w:rPr>
            </w:pPr>
            <w:r w:rsidRPr="00DE0B2F">
              <w:rPr>
                <w:rFonts w:cs="FrankRuehl"/>
                <w:sz w:val="28"/>
                <w:szCs w:val="28"/>
                <w:rtl/>
              </w:rPr>
              <w:t>ת"פ</w:t>
            </w:r>
            <w:r w:rsidRPr="00DE0B2F">
              <w:rPr>
                <w:rFonts w:cs="FrankRuehl" w:hint="cs"/>
                <w:sz w:val="28"/>
                <w:szCs w:val="28"/>
                <w:rtl/>
              </w:rPr>
              <w:t xml:space="preserve"> </w:t>
            </w:r>
            <w:r w:rsidRPr="00DE0B2F">
              <w:rPr>
                <w:rFonts w:cs="FrankRuehl"/>
                <w:sz w:val="28"/>
                <w:szCs w:val="28"/>
                <w:rtl/>
              </w:rPr>
              <w:t>27135-05-15</w:t>
            </w:r>
            <w:r w:rsidRPr="00DE0B2F">
              <w:rPr>
                <w:rFonts w:cs="FrankRuehl" w:hint="cs"/>
                <w:sz w:val="28"/>
                <w:szCs w:val="28"/>
                <w:rtl/>
              </w:rPr>
              <w:t xml:space="preserve"> </w:t>
            </w:r>
            <w:r w:rsidRPr="00DE0B2F">
              <w:rPr>
                <w:rFonts w:cs="FrankRuehl"/>
                <w:sz w:val="28"/>
                <w:szCs w:val="28"/>
                <w:rtl/>
              </w:rPr>
              <w:t>מדינת ישראל נ' עבאסי</w:t>
            </w:r>
            <w:r w:rsidRPr="00DE0B2F">
              <w:rPr>
                <w:rFonts w:cs="FrankRuehl" w:hint="cs"/>
                <w:sz w:val="28"/>
                <w:szCs w:val="28"/>
                <w:rtl/>
              </w:rPr>
              <w:t xml:space="preserve"> </w:t>
            </w:r>
            <w:r w:rsidRPr="00DE0B2F">
              <w:rPr>
                <w:rFonts w:cs="FrankRuehl"/>
                <w:sz w:val="28"/>
                <w:szCs w:val="28"/>
                <w:rtl/>
              </w:rPr>
              <w:t>(עציר)</w:t>
            </w:r>
          </w:p>
        </w:tc>
        <w:tc>
          <w:tcPr>
            <w:tcW w:w="3672" w:type="dxa"/>
          </w:tcPr>
          <w:p w14:paraId="3B36AB22" w14:textId="77777777" w:rsidR="00E748A8" w:rsidRPr="00DE0B2F" w:rsidRDefault="00E748A8" w:rsidP="00DE0B2F">
            <w:pPr>
              <w:pStyle w:val="a3"/>
              <w:jc w:val="right"/>
              <w:rPr>
                <w:rFonts w:cs="FrankRuehl"/>
                <w:sz w:val="28"/>
                <w:szCs w:val="28"/>
                <w:rtl/>
              </w:rPr>
            </w:pPr>
            <w:r w:rsidRPr="00DE0B2F">
              <w:rPr>
                <w:rFonts w:cs="FrankRuehl"/>
                <w:sz w:val="28"/>
                <w:szCs w:val="28"/>
                <w:rtl/>
              </w:rPr>
              <w:t>07 אפריל 2016</w:t>
            </w:r>
          </w:p>
        </w:tc>
      </w:tr>
    </w:tbl>
    <w:p w14:paraId="080F893B" w14:textId="77777777" w:rsidR="00E748A8" w:rsidRPr="00DE0B2F" w:rsidRDefault="00E748A8" w:rsidP="00E748A8">
      <w:pPr>
        <w:pStyle w:val="a3"/>
      </w:pPr>
    </w:p>
    <w:p w14:paraId="57103F33" w14:textId="77777777" w:rsidR="00E748A8" w:rsidRPr="00DE0B2F" w:rsidRDefault="00E748A8" w:rsidP="00E748A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748A8" w:rsidRPr="00DE0B2F" w14:paraId="5A6EC393" w14:textId="77777777">
        <w:trPr>
          <w:trHeight w:val="355"/>
          <w:jc w:val="center"/>
        </w:trPr>
        <w:tc>
          <w:tcPr>
            <w:tcW w:w="923" w:type="dxa"/>
            <w:tcBorders>
              <w:top w:val="nil"/>
              <w:left w:val="nil"/>
              <w:bottom w:val="nil"/>
              <w:right w:val="nil"/>
            </w:tcBorders>
            <w:shd w:val="clear" w:color="auto" w:fill="auto"/>
          </w:tcPr>
          <w:p w14:paraId="25556C28" w14:textId="77777777" w:rsidR="00E748A8" w:rsidRPr="00DE0B2F" w:rsidRDefault="00E748A8" w:rsidP="00DE0B2F">
            <w:pPr>
              <w:jc w:val="both"/>
              <w:rPr>
                <w:rFonts w:ascii="Arial" w:hAnsi="Arial" w:cs="FrankRuehl"/>
                <w:sz w:val="28"/>
                <w:szCs w:val="28"/>
              </w:rPr>
            </w:pPr>
            <w:bookmarkStart w:id="1" w:name="FirstAppellant"/>
            <w:bookmarkStart w:id="2" w:name="FirstLawyer"/>
            <w:r w:rsidRPr="00DE0B2F">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9231232" w14:textId="77777777" w:rsidR="00E748A8" w:rsidRPr="00DE0B2F" w:rsidRDefault="00E748A8" w:rsidP="00DE0B2F">
            <w:pPr>
              <w:rPr>
                <w:b/>
                <w:bCs/>
                <w:rtl/>
              </w:rPr>
            </w:pPr>
            <w:r w:rsidRPr="00DE0B2F">
              <w:rPr>
                <w:rFonts w:ascii="Arial" w:hAnsi="Arial" w:cs="FrankRuehl"/>
                <w:b/>
                <w:bCs/>
                <w:sz w:val="28"/>
                <w:szCs w:val="28"/>
                <w:rtl/>
              </w:rPr>
              <w:t>מדינת ישראל</w:t>
            </w:r>
          </w:p>
          <w:p w14:paraId="317DF5EF" w14:textId="77777777" w:rsidR="00E748A8" w:rsidRPr="00DE0B2F" w:rsidRDefault="00E748A8" w:rsidP="00DE0B2F">
            <w:pPr>
              <w:rPr>
                <w:rFonts w:cs="FrankRuehl"/>
              </w:rPr>
            </w:pPr>
            <w:r w:rsidRPr="00DE0B2F">
              <w:rPr>
                <w:rFonts w:cs="FrankRuehl" w:hint="cs"/>
                <w:sz w:val="26"/>
                <w:szCs w:val="26"/>
                <w:rtl/>
              </w:rPr>
              <w:t>ע"י ב"כ עו"ד מוריה הירש</w:t>
            </w:r>
          </w:p>
        </w:tc>
        <w:tc>
          <w:tcPr>
            <w:tcW w:w="3771" w:type="dxa"/>
            <w:tcBorders>
              <w:top w:val="nil"/>
              <w:left w:val="nil"/>
              <w:bottom w:val="nil"/>
              <w:right w:val="nil"/>
            </w:tcBorders>
            <w:shd w:val="clear" w:color="auto" w:fill="auto"/>
          </w:tcPr>
          <w:p w14:paraId="4850AFA2" w14:textId="77777777" w:rsidR="00E748A8" w:rsidRPr="00DE0B2F" w:rsidRDefault="00E748A8" w:rsidP="00DE0B2F">
            <w:pPr>
              <w:jc w:val="both"/>
              <w:rPr>
                <w:rFonts w:ascii="Arial" w:hAnsi="Arial" w:cs="FrankRuehl"/>
                <w:sz w:val="28"/>
                <w:szCs w:val="28"/>
              </w:rPr>
            </w:pPr>
          </w:p>
        </w:tc>
      </w:tr>
      <w:bookmarkEnd w:id="1"/>
      <w:bookmarkEnd w:id="2"/>
      <w:tr w:rsidR="00E748A8" w:rsidRPr="00DE0B2F" w14:paraId="62D3936D" w14:textId="77777777">
        <w:trPr>
          <w:trHeight w:val="355"/>
          <w:jc w:val="center"/>
        </w:trPr>
        <w:tc>
          <w:tcPr>
            <w:tcW w:w="923" w:type="dxa"/>
            <w:tcBorders>
              <w:top w:val="nil"/>
              <w:left w:val="nil"/>
              <w:bottom w:val="nil"/>
              <w:right w:val="nil"/>
            </w:tcBorders>
            <w:shd w:val="clear" w:color="auto" w:fill="auto"/>
          </w:tcPr>
          <w:p w14:paraId="6651C38E" w14:textId="77777777" w:rsidR="00E748A8" w:rsidRPr="00DE0B2F" w:rsidRDefault="00E748A8" w:rsidP="00DE0B2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9C800AA" w14:textId="77777777" w:rsidR="00E748A8" w:rsidRPr="00DE0B2F" w:rsidRDefault="00E748A8" w:rsidP="00DE0B2F">
            <w:pPr>
              <w:jc w:val="both"/>
              <w:rPr>
                <w:rtl/>
              </w:rPr>
            </w:pPr>
          </w:p>
        </w:tc>
        <w:tc>
          <w:tcPr>
            <w:tcW w:w="3771" w:type="dxa"/>
            <w:tcBorders>
              <w:top w:val="nil"/>
              <w:left w:val="nil"/>
              <w:bottom w:val="nil"/>
              <w:right w:val="nil"/>
            </w:tcBorders>
            <w:shd w:val="clear" w:color="auto" w:fill="auto"/>
          </w:tcPr>
          <w:p w14:paraId="38CE710B" w14:textId="77777777" w:rsidR="00E748A8" w:rsidRPr="00DE0B2F" w:rsidRDefault="00E748A8" w:rsidP="00DE0B2F">
            <w:pPr>
              <w:jc w:val="right"/>
              <w:rPr>
                <w:rFonts w:ascii="Arial" w:hAnsi="Arial" w:cs="FrankRuehl"/>
                <w:b/>
                <w:bCs/>
                <w:sz w:val="28"/>
                <w:szCs w:val="28"/>
                <w:rtl/>
              </w:rPr>
            </w:pPr>
            <w:r w:rsidRPr="00DE0B2F">
              <w:rPr>
                <w:rFonts w:ascii="Arial" w:hAnsi="Arial" w:cs="FrankRuehl" w:hint="cs"/>
                <w:b/>
                <w:bCs/>
                <w:sz w:val="28"/>
                <w:szCs w:val="28"/>
                <w:rtl/>
              </w:rPr>
              <w:t>ה</w:t>
            </w:r>
            <w:r w:rsidRPr="00DE0B2F">
              <w:rPr>
                <w:rFonts w:ascii="Arial" w:hAnsi="Arial" w:cs="FrankRuehl"/>
                <w:b/>
                <w:bCs/>
                <w:sz w:val="28"/>
                <w:szCs w:val="28"/>
                <w:rtl/>
              </w:rPr>
              <w:t>מאשימה</w:t>
            </w:r>
          </w:p>
        </w:tc>
      </w:tr>
      <w:tr w:rsidR="00E748A8" w:rsidRPr="00DE0B2F" w14:paraId="293D7EE4" w14:textId="77777777">
        <w:trPr>
          <w:trHeight w:val="355"/>
          <w:jc w:val="center"/>
        </w:trPr>
        <w:tc>
          <w:tcPr>
            <w:tcW w:w="923" w:type="dxa"/>
            <w:tcBorders>
              <w:top w:val="nil"/>
              <w:left w:val="nil"/>
              <w:bottom w:val="nil"/>
              <w:right w:val="nil"/>
            </w:tcBorders>
            <w:shd w:val="clear" w:color="auto" w:fill="auto"/>
          </w:tcPr>
          <w:p w14:paraId="69CBB408" w14:textId="77777777" w:rsidR="00E748A8" w:rsidRPr="00DE0B2F" w:rsidRDefault="00E748A8" w:rsidP="00DE0B2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6C68547" w14:textId="77777777" w:rsidR="00E748A8" w:rsidRPr="00DE0B2F" w:rsidRDefault="00E748A8" w:rsidP="00DE0B2F">
            <w:pPr>
              <w:jc w:val="center"/>
              <w:rPr>
                <w:rFonts w:ascii="Arial" w:hAnsi="Arial" w:cs="FrankRuehl"/>
                <w:b/>
                <w:bCs/>
                <w:sz w:val="28"/>
                <w:szCs w:val="28"/>
                <w:rtl/>
              </w:rPr>
            </w:pPr>
          </w:p>
          <w:p w14:paraId="48F3BDA0" w14:textId="77777777" w:rsidR="00E748A8" w:rsidRPr="00DE0B2F" w:rsidRDefault="00E748A8" w:rsidP="00DE0B2F">
            <w:pPr>
              <w:jc w:val="center"/>
              <w:rPr>
                <w:rFonts w:ascii="Arial" w:hAnsi="Arial" w:cs="FrankRuehl"/>
                <w:b/>
                <w:bCs/>
                <w:sz w:val="28"/>
                <w:szCs w:val="28"/>
                <w:rtl/>
              </w:rPr>
            </w:pPr>
            <w:r w:rsidRPr="00DE0B2F">
              <w:rPr>
                <w:rFonts w:ascii="Arial" w:hAnsi="Arial" w:cs="FrankRuehl"/>
                <w:b/>
                <w:bCs/>
                <w:sz w:val="28"/>
                <w:szCs w:val="28"/>
                <w:rtl/>
              </w:rPr>
              <w:t>נגד</w:t>
            </w:r>
          </w:p>
          <w:p w14:paraId="49BE6BE1" w14:textId="77777777" w:rsidR="00E748A8" w:rsidRPr="00DE0B2F" w:rsidRDefault="00E748A8" w:rsidP="00DE0B2F">
            <w:pPr>
              <w:jc w:val="both"/>
              <w:rPr>
                <w:rFonts w:ascii="Arial" w:hAnsi="Arial" w:cs="FrankRuehl"/>
                <w:sz w:val="28"/>
                <w:szCs w:val="28"/>
              </w:rPr>
            </w:pPr>
          </w:p>
        </w:tc>
      </w:tr>
      <w:tr w:rsidR="00E748A8" w:rsidRPr="00DE0B2F" w14:paraId="46CDC926" w14:textId="77777777">
        <w:trPr>
          <w:trHeight w:val="355"/>
          <w:jc w:val="center"/>
        </w:trPr>
        <w:tc>
          <w:tcPr>
            <w:tcW w:w="923" w:type="dxa"/>
            <w:tcBorders>
              <w:top w:val="nil"/>
              <w:left w:val="nil"/>
              <w:bottom w:val="nil"/>
              <w:right w:val="nil"/>
            </w:tcBorders>
            <w:shd w:val="clear" w:color="auto" w:fill="auto"/>
          </w:tcPr>
          <w:p w14:paraId="3739B6BD" w14:textId="77777777" w:rsidR="00E748A8" w:rsidRPr="00DE0B2F" w:rsidRDefault="00E748A8" w:rsidP="00DE0B2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C243632" w14:textId="77777777" w:rsidR="00E748A8" w:rsidRPr="00DE0B2F" w:rsidRDefault="00E748A8" w:rsidP="00DE0B2F">
            <w:pPr>
              <w:jc w:val="both"/>
              <w:rPr>
                <w:b/>
                <w:bCs/>
                <w:rtl/>
              </w:rPr>
            </w:pPr>
            <w:r w:rsidRPr="00DE0B2F">
              <w:rPr>
                <w:rFonts w:ascii="Arial" w:hAnsi="Arial" w:cs="FrankRuehl"/>
                <w:b/>
                <w:bCs/>
                <w:sz w:val="28"/>
                <w:szCs w:val="28"/>
                <w:rtl/>
              </w:rPr>
              <w:t>מוחמד עבאסי (עציר)</w:t>
            </w:r>
          </w:p>
          <w:p w14:paraId="543FE538" w14:textId="77777777" w:rsidR="00E748A8" w:rsidRPr="00DE0B2F" w:rsidRDefault="00E748A8" w:rsidP="00DE0B2F">
            <w:pPr>
              <w:jc w:val="both"/>
              <w:rPr>
                <w:rFonts w:cs="FrankRuehl"/>
                <w:rtl/>
              </w:rPr>
            </w:pPr>
            <w:r w:rsidRPr="00DE0B2F">
              <w:rPr>
                <w:rFonts w:cs="FrankRuehl" w:hint="cs"/>
                <w:sz w:val="26"/>
                <w:szCs w:val="26"/>
                <w:rtl/>
              </w:rPr>
              <w:t>ע"י ב"כ עו"ד מוחמד מחמוד</w:t>
            </w:r>
          </w:p>
        </w:tc>
        <w:tc>
          <w:tcPr>
            <w:tcW w:w="3771" w:type="dxa"/>
            <w:tcBorders>
              <w:top w:val="nil"/>
              <w:left w:val="nil"/>
              <w:bottom w:val="nil"/>
              <w:right w:val="nil"/>
            </w:tcBorders>
            <w:shd w:val="clear" w:color="auto" w:fill="auto"/>
          </w:tcPr>
          <w:p w14:paraId="32497301" w14:textId="77777777" w:rsidR="00E748A8" w:rsidRPr="00DE0B2F" w:rsidRDefault="00E748A8" w:rsidP="00DE0B2F">
            <w:pPr>
              <w:jc w:val="right"/>
              <w:rPr>
                <w:rFonts w:ascii="Arial" w:hAnsi="Arial" w:cs="FrankRuehl"/>
                <w:sz w:val="28"/>
                <w:szCs w:val="28"/>
              </w:rPr>
            </w:pPr>
          </w:p>
        </w:tc>
      </w:tr>
      <w:tr w:rsidR="00E748A8" w:rsidRPr="00DE0B2F" w14:paraId="464FBBBF" w14:textId="77777777">
        <w:trPr>
          <w:trHeight w:val="355"/>
          <w:jc w:val="center"/>
        </w:trPr>
        <w:tc>
          <w:tcPr>
            <w:tcW w:w="923" w:type="dxa"/>
            <w:tcBorders>
              <w:top w:val="nil"/>
              <w:left w:val="nil"/>
              <w:bottom w:val="nil"/>
              <w:right w:val="nil"/>
            </w:tcBorders>
            <w:shd w:val="clear" w:color="auto" w:fill="auto"/>
          </w:tcPr>
          <w:p w14:paraId="5FAAA433" w14:textId="77777777" w:rsidR="00E748A8" w:rsidRPr="00DE0B2F" w:rsidRDefault="00E748A8" w:rsidP="00DE0B2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06A19DC" w14:textId="77777777" w:rsidR="00E748A8" w:rsidRPr="00DE0B2F" w:rsidRDefault="00E748A8" w:rsidP="00DE0B2F">
            <w:pPr>
              <w:jc w:val="both"/>
              <w:rPr>
                <w:rtl/>
              </w:rPr>
            </w:pPr>
          </w:p>
        </w:tc>
        <w:tc>
          <w:tcPr>
            <w:tcW w:w="3771" w:type="dxa"/>
            <w:tcBorders>
              <w:top w:val="nil"/>
              <w:left w:val="nil"/>
              <w:bottom w:val="nil"/>
              <w:right w:val="nil"/>
            </w:tcBorders>
            <w:shd w:val="clear" w:color="auto" w:fill="auto"/>
          </w:tcPr>
          <w:p w14:paraId="716EE4E3" w14:textId="77777777" w:rsidR="00E748A8" w:rsidRPr="00DE0B2F" w:rsidRDefault="00E748A8" w:rsidP="00DE0B2F">
            <w:pPr>
              <w:jc w:val="right"/>
              <w:rPr>
                <w:rFonts w:ascii="Arial" w:hAnsi="Arial" w:cs="FrankRuehl"/>
                <w:b/>
                <w:bCs/>
                <w:sz w:val="28"/>
                <w:szCs w:val="28"/>
              </w:rPr>
            </w:pPr>
            <w:r w:rsidRPr="00DE0B2F">
              <w:rPr>
                <w:rFonts w:ascii="Arial" w:hAnsi="Arial" w:cs="FrankRuehl" w:hint="cs"/>
                <w:b/>
                <w:bCs/>
                <w:sz w:val="28"/>
                <w:szCs w:val="28"/>
                <w:rtl/>
              </w:rPr>
              <w:t>ה</w:t>
            </w:r>
            <w:r w:rsidRPr="00DE0B2F">
              <w:rPr>
                <w:rFonts w:ascii="Arial" w:hAnsi="Arial" w:cs="FrankRuehl"/>
                <w:b/>
                <w:bCs/>
                <w:sz w:val="28"/>
                <w:szCs w:val="28"/>
                <w:rtl/>
              </w:rPr>
              <w:t>נ</w:t>
            </w:r>
            <w:r w:rsidRPr="00DE0B2F">
              <w:rPr>
                <w:rFonts w:ascii="Arial" w:hAnsi="Arial" w:cs="FrankRuehl" w:hint="cs"/>
                <w:b/>
                <w:bCs/>
                <w:sz w:val="28"/>
                <w:szCs w:val="28"/>
                <w:rtl/>
              </w:rPr>
              <w:t>אש</w:t>
            </w:r>
            <w:r w:rsidRPr="00DE0B2F">
              <w:rPr>
                <w:rFonts w:ascii="Arial" w:hAnsi="Arial" w:cs="FrankRuehl"/>
                <w:b/>
                <w:bCs/>
                <w:sz w:val="28"/>
                <w:szCs w:val="28"/>
                <w:rtl/>
              </w:rPr>
              <w:t>ם</w:t>
            </w:r>
          </w:p>
        </w:tc>
      </w:tr>
    </w:tbl>
    <w:p w14:paraId="7BE25BC9" w14:textId="77777777" w:rsidR="00512117" w:rsidRPr="00512117" w:rsidRDefault="00512117" w:rsidP="00512117">
      <w:pPr>
        <w:spacing w:after="120" w:line="240" w:lineRule="exact"/>
        <w:ind w:left="283" w:hanging="283"/>
        <w:jc w:val="both"/>
        <w:rPr>
          <w:rFonts w:ascii="FrankRuehl" w:hAnsi="FrankRuehl" w:cs="FrankRuehl"/>
          <w:rtl/>
        </w:rPr>
      </w:pPr>
      <w:bookmarkStart w:id="3" w:name="LawTable"/>
      <w:bookmarkEnd w:id="3"/>
    </w:p>
    <w:p w14:paraId="35E82036" w14:textId="77777777" w:rsidR="00512117" w:rsidRPr="00512117" w:rsidRDefault="00512117" w:rsidP="00512117">
      <w:pPr>
        <w:spacing w:after="120" w:line="240" w:lineRule="exact"/>
        <w:ind w:left="283" w:hanging="283"/>
        <w:jc w:val="both"/>
        <w:rPr>
          <w:rFonts w:ascii="FrankRuehl" w:hAnsi="FrankRuehl" w:cs="FrankRuehl"/>
          <w:rtl/>
        </w:rPr>
      </w:pPr>
      <w:r w:rsidRPr="00512117">
        <w:rPr>
          <w:rFonts w:ascii="FrankRuehl" w:hAnsi="FrankRuehl" w:cs="FrankRuehl"/>
          <w:rtl/>
        </w:rPr>
        <w:t xml:space="preserve">חקיקה שאוזכרה: </w:t>
      </w:r>
    </w:p>
    <w:p w14:paraId="25288A91" w14:textId="77777777" w:rsidR="00512117" w:rsidRPr="00512117" w:rsidRDefault="00512117" w:rsidP="00512117">
      <w:pPr>
        <w:spacing w:after="120" w:line="240" w:lineRule="exact"/>
        <w:ind w:left="283" w:hanging="283"/>
        <w:jc w:val="both"/>
        <w:rPr>
          <w:rFonts w:ascii="FrankRuehl" w:hAnsi="FrankRuehl" w:cs="FrankRuehl"/>
          <w:rtl/>
        </w:rPr>
      </w:pPr>
      <w:hyperlink r:id="rId6" w:history="1">
        <w:r w:rsidRPr="00512117">
          <w:rPr>
            <w:rFonts w:ascii="FrankRuehl" w:hAnsi="FrankRuehl" w:cs="FrankRuehl"/>
            <w:color w:val="0000FF"/>
            <w:u w:val="single"/>
            <w:rtl/>
          </w:rPr>
          <w:t>חוק העונשין, תשל"ז-1977</w:t>
        </w:r>
      </w:hyperlink>
      <w:r w:rsidRPr="00512117">
        <w:rPr>
          <w:rFonts w:ascii="FrankRuehl" w:hAnsi="FrankRuehl" w:cs="FrankRuehl"/>
          <w:rtl/>
        </w:rPr>
        <w:t xml:space="preserve">: סע'  </w:t>
      </w:r>
      <w:hyperlink r:id="rId7" w:history="1">
        <w:r w:rsidRPr="00512117">
          <w:rPr>
            <w:rFonts w:ascii="FrankRuehl" w:hAnsi="FrankRuehl" w:cs="FrankRuehl"/>
            <w:color w:val="0000FF"/>
            <w:u w:val="single"/>
            <w:rtl/>
          </w:rPr>
          <w:t>144(ב2)</w:t>
        </w:r>
      </w:hyperlink>
      <w:r w:rsidRPr="00512117">
        <w:rPr>
          <w:rFonts w:ascii="FrankRuehl" w:hAnsi="FrankRuehl" w:cs="FrankRuehl"/>
          <w:rtl/>
        </w:rPr>
        <w:t xml:space="preserve">, </w:t>
      </w:r>
      <w:hyperlink r:id="rId8" w:history="1">
        <w:r w:rsidRPr="00512117">
          <w:rPr>
            <w:rFonts w:ascii="FrankRuehl" w:hAnsi="FrankRuehl" w:cs="FrankRuehl"/>
            <w:color w:val="0000FF"/>
            <w:u w:val="single"/>
            <w:rtl/>
          </w:rPr>
          <w:t>329(2)</w:t>
        </w:r>
      </w:hyperlink>
      <w:r w:rsidRPr="00512117">
        <w:rPr>
          <w:rFonts w:ascii="FrankRuehl" w:hAnsi="FrankRuehl" w:cs="FrankRuehl"/>
          <w:rtl/>
        </w:rPr>
        <w:t xml:space="preserve">, </w:t>
      </w:r>
      <w:hyperlink r:id="rId9" w:history="1">
        <w:r w:rsidRPr="00512117">
          <w:rPr>
            <w:rFonts w:ascii="FrankRuehl" w:hAnsi="FrankRuehl" w:cs="FrankRuehl"/>
            <w:color w:val="0000FF"/>
            <w:u w:val="single"/>
            <w:rtl/>
          </w:rPr>
          <w:t>338(5)</w:t>
        </w:r>
      </w:hyperlink>
      <w:r w:rsidRPr="00512117">
        <w:rPr>
          <w:rFonts w:ascii="FrankRuehl" w:hAnsi="FrankRuehl" w:cs="FrankRuehl"/>
          <w:rtl/>
        </w:rPr>
        <w:t xml:space="preserve">, </w:t>
      </w:r>
      <w:hyperlink r:id="rId10" w:history="1">
        <w:r w:rsidRPr="00512117">
          <w:rPr>
            <w:rFonts w:ascii="FrankRuehl" w:hAnsi="FrankRuehl" w:cs="FrankRuehl"/>
            <w:color w:val="0000FF"/>
            <w:u w:val="single"/>
            <w:rtl/>
          </w:rPr>
          <w:t>448(א)</w:t>
        </w:r>
      </w:hyperlink>
    </w:p>
    <w:p w14:paraId="1F589313" w14:textId="77777777" w:rsidR="00512117" w:rsidRPr="00512117" w:rsidRDefault="00512117" w:rsidP="0051211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748A8" w14:paraId="484BBC45" w14:textId="77777777">
        <w:trPr>
          <w:trHeight w:val="355"/>
          <w:jc w:val="center"/>
        </w:trPr>
        <w:tc>
          <w:tcPr>
            <w:tcW w:w="8820" w:type="dxa"/>
            <w:tcBorders>
              <w:top w:val="nil"/>
              <w:left w:val="nil"/>
              <w:bottom w:val="nil"/>
              <w:right w:val="nil"/>
            </w:tcBorders>
            <w:shd w:val="clear" w:color="auto" w:fill="auto"/>
          </w:tcPr>
          <w:p w14:paraId="240F14CC" w14:textId="77777777" w:rsidR="00DE0B2F" w:rsidRPr="00DE0B2F" w:rsidRDefault="00DE0B2F" w:rsidP="00DE0B2F">
            <w:pPr>
              <w:jc w:val="center"/>
              <w:rPr>
                <w:rFonts w:ascii="Arial" w:hAnsi="Arial" w:cs="FrankRuehl"/>
                <w:b/>
                <w:bCs/>
                <w:sz w:val="32"/>
                <w:szCs w:val="32"/>
                <w:u w:val="single"/>
                <w:rtl/>
              </w:rPr>
            </w:pPr>
            <w:bookmarkStart w:id="4" w:name="LawTable_End"/>
            <w:bookmarkStart w:id="5" w:name="PsakDin" w:colFirst="0" w:colLast="0"/>
            <w:bookmarkEnd w:id="0"/>
            <w:bookmarkEnd w:id="4"/>
            <w:r w:rsidRPr="00DE0B2F">
              <w:rPr>
                <w:rFonts w:ascii="Arial" w:hAnsi="Arial" w:cs="FrankRuehl"/>
                <w:b/>
                <w:bCs/>
                <w:sz w:val="32"/>
                <w:szCs w:val="32"/>
                <w:u w:val="single"/>
                <w:rtl/>
              </w:rPr>
              <w:t>גזר דין</w:t>
            </w:r>
          </w:p>
          <w:p w14:paraId="719DA83A" w14:textId="77777777" w:rsidR="00E748A8" w:rsidRPr="00DE0B2F" w:rsidRDefault="00E748A8" w:rsidP="00DE0B2F">
            <w:pPr>
              <w:jc w:val="center"/>
              <w:rPr>
                <w:rFonts w:ascii="Arial" w:hAnsi="Arial" w:cs="FrankRuehl"/>
                <w:bCs/>
                <w:sz w:val="32"/>
                <w:szCs w:val="32"/>
                <w:u w:val="single"/>
                <w:rtl/>
              </w:rPr>
            </w:pPr>
          </w:p>
        </w:tc>
      </w:tr>
      <w:bookmarkEnd w:id="5"/>
    </w:tbl>
    <w:p w14:paraId="1C827F02" w14:textId="77777777" w:rsidR="00E748A8" w:rsidRDefault="00E748A8" w:rsidP="00E748A8">
      <w:pPr>
        <w:spacing w:line="360" w:lineRule="auto"/>
        <w:rPr>
          <w:rFonts w:ascii="Arial" w:hAnsi="Arial" w:cs="FrankRuehl"/>
          <w:sz w:val="28"/>
          <w:szCs w:val="28"/>
          <w:rtl/>
        </w:rPr>
      </w:pPr>
    </w:p>
    <w:p w14:paraId="554F1E55" w14:textId="77777777" w:rsidR="00E748A8" w:rsidRDefault="00E748A8" w:rsidP="00E748A8">
      <w:pPr>
        <w:spacing w:line="360" w:lineRule="auto"/>
        <w:jc w:val="both"/>
        <w:rPr>
          <w:rFonts w:ascii="Arial" w:hAnsi="Arial" w:cs="FrankRuehl"/>
          <w:sz w:val="28"/>
          <w:szCs w:val="28"/>
          <w:rtl/>
        </w:rPr>
      </w:pPr>
      <w:bookmarkStart w:id="6" w:name="ABSTRACT_START"/>
      <w:bookmarkEnd w:id="6"/>
      <w:r>
        <w:rPr>
          <w:rFonts w:ascii="Arial" w:hAnsi="Arial" w:cs="FrankRuehl" w:hint="cs"/>
          <w:sz w:val="28"/>
          <w:szCs w:val="28"/>
          <w:rtl/>
        </w:rPr>
        <w:t>הנאשם, כבן 20, הורשע על פי הודאתו במסגרת הסדר טיעון בכתב אישום מתוקן, בשלושה אישומים כדלקמן:</w:t>
      </w:r>
    </w:p>
    <w:p w14:paraId="574B7BF8" w14:textId="77777777" w:rsidR="00E748A8" w:rsidRDefault="00E748A8" w:rsidP="00E748A8">
      <w:pPr>
        <w:spacing w:line="360" w:lineRule="auto"/>
        <w:jc w:val="both"/>
        <w:rPr>
          <w:rFonts w:ascii="Arial" w:hAnsi="Arial" w:cs="FrankRuehl"/>
          <w:sz w:val="28"/>
          <w:szCs w:val="28"/>
          <w:rtl/>
        </w:rPr>
      </w:pPr>
    </w:p>
    <w:p w14:paraId="05DFB1D0" w14:textId="77777777" w:rsidR="00E748A8" w:rsidRDefault="00E748A8" w:rsidP="00E748A8">
      <w:pPr>
        <w:spacing w:line="360" w:lineRule="auto"/>
        <w:jc w:val="both"/>
        <w:rPr>
          <w:rFonts w:ascii="Arial" w:hAnsi="Arial" w:cs="FrankRuehl"/>
          <w:sz w:val="28"/>
          <w:szCs w:val="28"/>
          <w:rtl/>
        </w:rPr>
      </w:pPr>
      <w:r>
        <w:rPr>
          <w:rFonts w:ascii="Arial" w:hAnsi="Arial" w:cs="FrankRuehl" w:hint="cs"/>
          <w:sz w:val="28"/>
          <w:szCs w:val="28"/>
          <w:rtl/>
        </w:rPr>
        <w:t xml:space="preserve">באישום הראשון נטען, כי במהלך חודש ינואר 2015, תכנן הנאשם יחד עם אחרים ליידות בקבוקי תבערה על כוחות ביטחון בראס אל עמוד. הנאשם ייצר מספר בקבוקי תבערה, ויצא יחד עם מעורבים נוספים לכיכר, כאשר הם מצוידים במספר בקבוקי תבערה ובארבעה זיקוקים. הנאשם הודה, כי סיפק למעורבים בקבוקי תבערה, וכי הם כיסו את פניהם בעזרת חולצות והחלו להשליך בקבוקי תבערה וליידות זיקוקים ממרחק של כ-30 מטרים לעבר ג'יפ משמר הגבול שעמד בכיכר. הנאשם עצמו השליך בקבוק תבערה לעבר הג'יפ. בגין מעשיו אלה, הורשע הנאשם בעבירות של חבלה בכוונה מחמירה, בניגוד </w:t>
      </w:r>
      <w:hyperlink r:id="rId11" w:history="1">
        <w:r w:rsidR="00512117" w:rsidRPr="00512117">
          <w:rPr>
            <w:rFonts w:ascii="Arial" w:hAnsi="Arial" w:cs="FrankRuehl"/>
            <w:color w:val="0000FF"/>
            <w:sz w:val="28"/>
            <w:szCs w:val="28"/>
            <w:u w:val="single"/>
            <w:rtl/>
          </w:rPr>
          <w:t>לסעיף 329(2)</w:t>
        </w:r>
      </w:hyperlink>
      <w:r>
        <w:rPr>
          <w:rFonts w:ascii="Arial" w:hAnsi="Arial" w:cs="FrankRuehl" w:hint="cs"/>
          <w:sz w:val="28"/>
          <w:szCs w:val="28"/>
          <w:rtl/>
        </w:rPr>
        <w:t xml:space="preserve"> ל</w:t>
      </w:r>
      <w:hyperlink r:id="rId12" w:history="1">
        <w:r w:rsidR="00DE0B2F" w:rsidRPr="00DE0B2F">
          <w:rPr>
            <w:rFonts w:ascii="Arial" w:hAnsi="Arial" w:cs="FrankRuehl"/>
            <w:color w:val="0000FF"/>
            <w:sz w:val="28"/>
            <w:szCs w:val="28"/>
            <w:u w:val="single"/>
            <w:rtl/>
          </w:rPr>
          <w:t>חוק העונשין</w:t>
        </w:r>
      </w:hyperlink>
      <w:r>
        <w:rPr>
          <w:rFonts w:ascii="Arial" w:hAnsi="Arial" w:cs="FrankRuehl" w:hint="cs"/>
          <w:sz w:val="28"/>
          <w:szCs w:val="28"/>
          <w:rtl/>
        </w:rPr>
        <w:t xml:space="preserve"> וייצור נשק, בניגוד </w:t>
      </w:r>
      <w:hyperlink r:id="rId13" w:history="1">
        <w:r w:rsidR="00512117" w:rsidRPr="00512117">
          <w:rPr>
            <w:rFonts w:ascii="Arial" w:hAnsi="Arial" w:cs="FrankRuehl"/>
            <w:color w:val="0000FF"/>
            <w:sz w:val="28"/>
            <w:szCs w:val="28"/>
            <w:u w:val="single"/>
            <w:rtl/>
          </w:rPr>
          <w:t>לסעיף 144(ב2)</w:t>
        </w:r>
      </w:hyperlink>
      <w:r>
        <w:rPr>
          <w:rFonts w:ascii="Arial" w:hAnsi="Arial" w:cs="FrankRuehl" w:hint="cs"/>
          <w:sz w:val="28"/>
          <w:szCs w:val="28"/>
          <w:rtl/>
        </w:rPr>
        <w:t xml:space="preserve"> לחוק.</w:t>
      </w:r>
    </w:p>
    <w:p w14:paraId="71B52E6F" w14:textId="77777777" w:rsidR="00E748A8" w:rsidRDefault="00E748A8" w:rsidP="00E748A8">
      <w:pPr>
        <w:spacing w:line="360" w:lineRule="auto"/>
        <w:jc w:val="both"/>
        <w:rPr>
          <w:rFonts w:ascii="Arial" w:hAnsi="Arial" w:cs="FrankRuehl"/>
          <w:sz w:val="28"/>
          <w:szCs w:val="28"/>
          <w:rtl/>
        </w:rPr>
      </w:pPr>
      <w:bookmarkStart w:id="7" w:name="ABSTRACT_END"/>
      <w:bookmarkEnd w:id="7"/>
    </w:p>
    <w:p w14:paraId="4EC3492A" w14:textId="77777777" w:rsidR="00E748A8" w:rsidRDefault="00E748A8" w:rsidP="00E748A8">
      <w:pPr>
        <w:spacing w:line="360" w:lineRule="auto"/>
        <w:jc w:val="both"/>
        <w:rPr>
          <w:rFonts w:cs="FrankRuehl"/>
          <w:sz w:val="28"/>
          <w:szCs w:val="28"/>
          <w:rtl/>
        </w:rPr>
      </w:pPr>
      <w:r>
        <w:rPr>
          <w:rFonts w:cs="FrankRuehl" w:hint="cs"/>
          <w:sz w:val="28"/>
          <w:szCs w:val="28"/>
          <w:rtl/>
        </w:rPr>
        <w:lastRenderedPageBreak/>
        <w:t xml:space="preserve">באישום השני נטען, כי בחודש פברואר 2015 תכנן הנאשם עם מעורבים נוספים, להצית רכב השייך לתושב יהודי, החונה בשכונת סילוואן סמוך לבית עובדיה. הנאשם ייצר מספר בקבוקי תבערה והעבירם למעורבים נוספים, תוך שהוא מורה להם להשליך את בקבוקי התבערה על הרכב. נטען, כי בשעה 21:00, המעורבים הלכו למקום חניית הרכב והשליכו עליו את בקבוקי התבערה, וכי כתוצאה מכך נשרף הרכב. הנאשם הודה, כי במעשיו המתוארים לעיל, שילח בצוותא חדא אש במזיד בנכס לו לא וייצר נשק, ובהתאם לכך הורשע בעבירות של הצתה, בניגוד </w:t>
      </w:r>
      <w:hyperlink r:id="rId14" w:history="1">
        <w:r w:rsidR="00512117" w:rsidRPr="00512117">
          <w:rPr>
            <w:rFonts w:cs="FrankRuehl"/>
            <w:color w:val="0000FF"/>
            <w:sz w:val="28"/>
            <w:szCs w:val="28"/>
            <w:u w:val="single"/>
            <w:rtl/>
          </w:rPr>
          <w:t>לסעיף 448(א)</w:t>
        </w:r>
      </w:hyperlink>
      <w:r>
        <w:rPr>
          <w:rFonts w:cs="FrankRuehl" w:hint="cs"/>
          <w:sz w:val="28"/>
          <w:szCs w:val="28"/>
          <w:rtl/>
        </w:rPr>
        <w:t xml:space="preserve"> ל</w:t>
      </w:r>
      <w:hyperlink r:id="rId15" w:history="1">
        <w:r w:rsidR="00DE0B2F" w:rsidRPr="00DE0B2F">
          <w:rPr>
            <w:rFonts w:cs="FrankRuehl"/>
            <w:color w:val="0000FF"/>
            <w:sz w:val="28"/>
            <w:szCs w:val="28"/>
            <w:u w:val="single"/>
            <w:rtl/>
          </w:rPr>
          <w:t>חוק העונשין</w:t>
        </w:r>
      </w:hyperlink>
      <w:r>
        <w:rPr>
          <w:rFonts w:cs="FrankRuehl" w:hint="cs"/>
          <w:sz w:val="28"/>
          <w:szCs w:val="28"/>
          <w:rtl/>
        </w:rPr>
        <w:t xml:space="preserve">, וייצור נשק, בניגוד </w:t>
      </w:r>
      <w:hyperlink r:id="rId16" w:history="1">
        <w:r w:rsidR="00512117" w:rsidRPr="00512117">
          <w:rPr>
            <w:rFonts w:cs="FrankRuehl"/>
            <w:color w:val="0000FF"/>
            <w:sz w:val="28"/>
            <w:szCs w:val="28"/>
            <w:u w:val="single"/>
            <w:rtl/>
          </w:rPr>
          <w:t>לסעיף 144(ב2)</w:t>
        </w:r>
      </w:hyperlink>
      <w:r>
        <w:rPr>
          <w:rFonts w:cs="FrankRuehl" w:hint="cs"/>
          <w:sz w:val="28"/>
          <w:szCs w:val="28"/>
          <w:rtl/>
        </w:rPr>
        <w:t xml:space="preserve"> לחוק.</w:t>
      </w:r>
    </w:p>
    <w:p w14:paraId="34DABF61" w14:textId="77777777" w:rsidR="00E748A8" w:rsidRDefault="00E748A8" w:rsidP="00E748A8">
      <w:pPr>
        <w:spacing w:line="360" w:lineRule="auto"/>
        <w:jc w:val="both"/>
        <w:rPr>
          <w:rFonts w:cs="FrankRuehl"/>
          <w:sz w:val="28"/>
          <w:szCs w:val="28"/>
          <w:rtl/>
        </w:rPr>
      </w:pPr>
      <w:r>
        <w:rPr>
          <w:rFonts w:cs="FrankRuehl" w:hint="cs"/>
          <w:sz w:val="28"/>
          <w:szCs w:val="28"/>
          <w:rtl/>
        </w:rPr>
        <w:t>באישום השלישי נטען, כי במהלך חודש אפריל 2015, ייצר הנאשם שני מטעני צינור ולאחר מכן הלך לשטח פתוח, הצית את המטען והשליכו, כדי לבחון האם המטען מתפוצץ. לאחר שהנאשם שמע קול נפץ והבחין שהמטען התפוצץ, הוא חזר לביתו וייצר מטען צינור נוסף.</w:t>
      </w:r>
    </w:p>
    <w:p w14:paraId="46ECAE06" w14:textId="77777777" w:rsidR="00E748A8" w:rsidRDefault="00E748A8" w:rsidP="00E748A8">
      <w:pPr>
        <w:spacing w:line="360" w:lineRule="auto"/>
        <w:jc w:val="both"/>
        <w:rPr>
          <w:rFonts w:cs="FrankRuehl"/>
          <w:sz w:val="28"/>
          <w:szCs w:val="28"/>
          <w:rtl/>
        </w:rPr>
      </w:pPr>
    </w:p>
    <w:p w14:paraId="00DD0875" w14:textId="77777777" w:rsidR="00E748A8" w:rsidRDefault="00E748A8" w:rsidP="00E748A8">
      <w:pPr>
        <w:spacing w:line="360" w:lineRule="auto"/>
        <w:jc w:val="both"/>
        <w:rPr>
          <w:rFonts w:cs="FrankRuehl"/>
          <w:sz w:val="28"/>
          <w:szCs w:val="28"/>
          <w:rtl/>
        </w:rPr>
      </w:pPr>
      <w:r>
        <w:rPr>
          <w:rFonts w:cs="FrankRuehl" w:hint="cs"/>
          <w:sz w:val="28"/>
          <w:szCs w:val="28"/>
          <w:rtl/>
        </w:rPr>
        <w:t>בהמשך האישום השלישי נטען, כי לאחר שלושה ימים, פגש הנאשם בחמזה עסילי ובראתב הימוני, מסר לחמזה את מטעני הצינור, הסביר לו איך להפעילם והורה לו להשליך את המטען על בית דוידיה, בו מתגוררים תושבים יהודים. הנאשם מסר להימוני שני בקבוקי תבערה, והורה לו להשליכם על בית דוידיה. בהמשך כתב האישום נטען, כי בהמשך היום, השליכו עסילי והימוני את המטענים ובקבוקי התבערה על בית דוידיה. מטען אחד פגע בעמדת השמירה והתפוצץ, ובקבוק תבערה אחד התלקח.</w:t>
      </w:r>
    </w:p>
    <w:p w14:paraId="3A9A0FAD" w14:textId="77777777" w:rsidR="00E748A8" w:rsidRDefault="00E748A8" w:rsidP="00E748A8">
      <w:pPr>
        <w:spacing w:line="360" w:lineRule="auto"/>
        <w:jc w:val="both"/>
        <w:rPr>
          <w:rFonts w:cs="FrankRuehl"/>
          <w:sz w:val="28"/>
          <w:szCs w:val="28"/>
          <w:rtl/>
        </w:rPr>
      </w:pPr>
    </w:p>
    <w:p w14:paraId="435828E7" w14:textId="77777777" w:rsidR="00E748A8" w:rsidRDefault="00E748A8" w:rsidP="00E748A8">
      <w:pPr>
        <w:spacing w:line="360" w:lineRule="auto"/>
        <w:jc w:val="both"/>
        <w:rPr>
          <w:rFonts w:cs="FrankRuehl"/>
          <w:sz w:val="28"/>
          <w:szCs w:val="28"/>
          <w:rtl/>
        </w:rPr>
      </w:pPr>
      <w:r>
        <w:rPr>
          <w:rFonts w:cs="FrankRuehl" w:hint="cs"/>
          <w:sz w:val="28"/>
          <w:szCs w:val="28"/>
          <w:rtl/>
        </w:rPr>
        <w:t xml:space="preserve">בגין מעשיו המתוארים לעיל, הודה הנאשם, כי ניסה בצוותא חדא שלא כדין לפגוע באדם בנשק פוגעני בכוונה לגרום לו לחבלה חמורה, לפי </w:t>
      </w:r>
      <w:hyperlink r:id="rId17" w:history="1">
        <w:r w:rsidR="00512117" w:rsidRPr="00512117">
          <w:rPr>
            <w:rFonts w:cs="FrankRuehl"/>
            <w:color w:val="0000FF"/>
            <w:sz w:val="28"/>
            <w:szCs w:val="28"/>
            <w:u w:val="single"/>
            <w:rtl/>
          </w:rPr>
          <w:t>סעיף 329(2)</w:t>
        </w:r>
      </w:hyperlink>
      <w:r>
        <w:rPr>
          <w:rFonts w:cs="FrankRuehl" w:hint="cs"/>
          <w:sz w:val="28"/>
          <w:szCs w:val="28"/>
          <w:rtl/>
        </w:rPr>
        <w:t xml:space="preserve"> ל</w:t>
      </w:r>
      <w:hyperlink r:id="rId18" w:history="1">
        <w:r w:rsidR="00DE0B2F" w:rsidRPr="00DE0B2F">
          <w:rPr>
            <w:rFonts w:cs="FrankRuehl"/>
            <w:color w:val="0000FF"/>
            <w:sz w:val="28"/>
            <w:szCs w:val="28"/>
            <w:u w:val="single"/>
            <w:rtl/>
          </w:rPr>
          <w:t>חוק העונשין</w:t>
        </w:r>
      </w:hyperlink>
      <w:r>
        <w:rPr>
          <w:rFonts w:cs="FrankRuehl" w:hint="cs"/>
          <w:sz w:val="28"/>
          <w:szCs w:val="28"/>
          <w:rtl/>
        </w:rPr>
        <w:t xml:space="preserve">, ובייצור נשק לפי </w:t>
      </w:r>
      <w:hyperlink r:id="rId19" w:history="1">
        <w:r w:rsidR="00512117" w:rsidRPr="00512117">
          <w:rPr>
            <w:rFonts w:cs="FrankRuehl"/>
            <w:color w:val="0000FF"/>
            <w:sz w:val="28"/>
            <w:szCs w:val="28"/>
            <w:u w:val="single"/>
            <w:rtl/>
          </w:rPr>
          <w:t>סעיף 144(ב2)</w:t>
        </w:r>
      </w:hyperlink>
      <w:r>
        <w:rPr>
          <w:rFonts w:cs="FrankRuehl" w:hint="cs"/>
          <w:sz w:val="28"/>
          <w:szCs w:val="28"/>
          <w:rtl/>
        </w:rPr>
        <w:t xml:space="preserve"> לחוק.</w:t>
      </w:r>
    </w:p>
    <w:p w14:paraId="28260F0B" w14:textId="77777777" w:rsidR="00E748A8" w:rsidRDefault="00E748A8" w:rsidP="00E748A8">
      <w:pPr>
        <w:spacing w:line="360" w:lineRule="auto"/>
        <w:jc w:val="both"/>
        <w:rPr>
          <w:rFonts w:cs="FrankRuehl"/>
          <w:sz w:val="28"/>
          <w:szCs w:val="28"/>
          <w:rtl/>
        </w:rPr>
      </w:pPr>
    </w:p>
    <w:p w14:paraId="571BECC4" w14:textId="77777777" w:rsidR="00E748A8" w:rsidRDefault="00E748A8" w:rsidP="00E748A8">
      <w:pPr>
        <w:spacing w:line="360" w:lineRule="auto"/>
        <w:jc w:val="both"/>
        <w:rPr>
          <w:rFonts w:cs="FrankRuehl"/>
          <w:sz w:val="28"/>
          <w:szCs w:val="28"/>
          <w:rtl/>
        </w:rPr>
      </w:pPr>
      <w:r>
        <w:rPr>
          <w:rFonts w:cs="FrankRuehl" w:hint="cs"/>
          <w:sz w:val="28"/>
          <w:szCs w:val="28"/>
          <w:rtl/>
        </w:rPr>
        <w:t>הואיל והנאשם היה מתחת לגיל 21 בעת ביצוע העבירה, הוגש תסקיר קצין מבחן.</w:t>
      </w:r>
    </w:p>
    <w:p w14:paraId="6556F7E3" w14:textId="77777777" w:rsidR="00E748A8" w:rsidRDefault="00E748A8" w:rsidP="00E748A8">
      <w:pPr>
        <w:spacing w:line="360" w:lineRule="auto"/>
        <w:jc w:val="both"/>
        <w:rPr>
          <w:rFonts w:cs="FrankRuehl"/>
          <w:sz w:val="28"/>
          <w:szCs w:val="28"/>
          <w:rtl/>
        </w:rPr>
      </w:pPr>
    </w:p>
    <w:p w14:paraId="5470B3C1" w14:textId="77777777" w:rsidR="00E748A8" w:rsidRDefault="00E748A8" w:rsidP="00E748A8">
      <w:pPr>
        <w:spacing w:line="360" w:lineRule="auto"/>
        <w:jc w:val="both"/>
        <w:rPr>
          <w:rFonts w:cs="FrankRuehl"/>
          <w:sz w:val="28"/>
          <w:szCs w:val="28"/>
          <w:rtl/>
        </w:rPr>
      </w:pPr>
      <w:r>
        <w:rPr>
          <w:rFonts w:cs="FrankRuehl" w:hint="cs"/>
          <w:sz w:val="28"/>
          <w:szCs w:val="28"/>
          <w:rtl/>
        </w:rPr>
        <w:t>שירות המבחן ציין, בין היתר, את הרשעתו הקודמת של הנאשם, וכן כי אמנם הנאשם הודה במיוחס לו, אך נטל אחריות חלקית והביע עמדות מפחיתות ביחס לחלקו בביצוע חלק מהעבירות.</w:t>
      </w:r>
    </w:p>
    <w:p w14:paraId="02ACC95C" w14:textId="77777777" w:rsidR="00E748A8" w:rsidRDefault="00E748A8" w:rsidP="00E748A8">
      <w:pPr>
        <w:spacing w:line="360" w:lineRule="auto"/>
        <w:rPr>
          <w:rFonts w:cs="FrankRuehl"/>
          <w:sz w:val="28"/>
          <w:szCs w:val="28"/>
          <w:rtl/>
        </w:rPr>
      </w:pPr>
    </w:p>
    <w:p w14:paraId="39B58485" w14:textId="77777777" w:rsidR="00E748A8" w:rsidRDefault="00E748A8" w:rsidP="00E748A8">
      <w:pPr>
        <w:spacing w:line="360" w:lineRule="auto"/>
        <w:jc w:val="both"/>
        <w:rPr>
          <w:rFonts w:cs="FrankRuehl"/>
          <w:sz w:val="28"/>
          <w:szCs w:val="28"/>
          <w:rtl/>
        </w:rPr>
      </w:pPr>
      <w:r>
        <w:rPr>
          <w:rFonts w:cs="FrankRuehl" w:hint="cs"/>
          <w:sz w:val="28"/>
          <w:szCs w:val="28"/>
          <w:rtl/>
        </w:rPr>
        <w:t xml:space="preserve">שירות המבחן התרשם, כי ההליכים המשפטיים הנוכחיים, מהווים עבור הנאשם גורם מרתיע, ומאידך, התרשם שירות המבחן מגורמי סיכון, המתבטאים בביצוע עבירות על רקע עמדות אידיאולוגיות, בעמדות מפחיתות ומקלות ביחס למעשיו ולחלקו בביצוען, וקושי לבחון את </w:t>
      </w:r>
      <w:r>
        <w:rPr>
          <w:rFonts w:cs="FrankRuehl" w:hint="cs"/>
          <w:sz w:val="28"/>
          <w:szCs w:val="28"/>
          <w:rtl/>
        </w:rPr>
        <w:lastRenderedPageBreak/>
        <w:t xml:space="preserve">השלכותיהן האפשריות עליו ועל הנפגעים. בנוסף, התרשם שירות המבחן, כי סנקציות עונשיות לא היוו עבור הנאשם גורם מרתיע, כפי שהתבטא בחזרתו לביצוע עבירות בסיום תקופת המאסר המותנה. </w:t>
      </w:r>
    </w:p>
    <w:p w14:paraId="03A9C1B5" w14:textId="77777777" w:rsidR="00E748A8" w:rsidRDefault="00E748A8" w:rsidP="00E748A8">
      <w:pPr>
        <w:spacing w:line="360" w:lineRule="auto"/>
        <w:jc w:val="both"/>
        <w:rPr>
          <w:rFonts w:cs="FrankRuehl"/>
          <w:sz w:val="28"/>
          <w:szCs w:val="28"/>
          <w:rtl/>
        </w:rPr>
      </w:pPr>
    </w:p>
    <w:p w14:paraId="2278E9A3" w14:textId="77777777" w:rsidR="00E748A8" w:rsidRDefault="00E748A8" w:rsidP="00E748A8">
      <w:pPr>
        <w:spacing w:line="360" w:lineRule="auto"/>
        <w:jc w:val="both"/>
        <w:rPr>
          <w:rFonts w:cs="FrankRuehl"/>
          <w:sz w:val="28"/>
          <w:szCs w:val="28"/>
          <w:rtl/>
        </w:rPr>
      </w:pPr>
      <w:r>
        <w:rPr>
          <w:rFonts w:cs="FrankRuehl" w:hint="cs"/>
          <w:sz w:val="28"/>
          <w:szCs w:val="28"/>
          <w:rtl/>
        </w:rPr>
        <w:t xml:space="preserve">בסופו של תסקיר, המליץ שירות המבחן על ענישה מוחשית ומרתיעה, אשר תמחיש לנאשם את חומרת מעשיו ואת הפגיעה בזולת, הכוללת ענישה מוחשית, קנס כספי ופיצוי לנפגעים. </w:t>
      </w:r>
    </w:p>
    <w:p w14:paraId="13A7E47D" w14:textId="77777777" w:rsidR="00E748A8" w:rsidRDefault="00E748A8" w:rsidP="00E748A8">
      <w:pPr>
        <w:spacing w:line="360" w:lineRule="auto"/>
        <w:jc w:val="both"/>
        <w:rPr>
          <w:rFonts w:cs="FrankRuehl"/>
          <w:sz w:val="28"/>
          <w:szCs w:val="28"/>
          <w:rtl/>
        </w:rPr>
      </w:pPr>
    </w:p>
    <w:p w14:paraId="2AF553D2" w14:textId="77777777" w:rsidR="00E748A8" w:rsidRDefault="00E748A8" w:rsidP="00E748A8">
      <w:pPr>
        <w:spacing w:line="360" w:lineRule="auto"/>
        <w:jc w:val="both"/>
        <w:rPr>
          <w:rFonts w:cs="FrankRuehl"/>
          <w:sz w:val="28"/>
          <w:szCs w:val="28"/>
          <w:rtl/>
        </w:rPr>
      </w:pPr>
      <w:r>
        <w:rPr>
          <w:rFonts w:cs="FrankRuehl" w:hint="cs"/>
          <w:sz w:val="28"/>
          <w:szCs w:val="28"/>
          <w:rtl/>
        </w:rPr>
        <w:t>כמו כן, המליץ שירות המבחן, לקחת בחשבון את גילו הצעיר וגורמי הסיכוי שהוזכרו בקביעת גובה העונשים.</w:t>
      </w:r>
    </w:p>
    <w:p w14:paraId="209D72E9" w14:textId="77777777" w:rsidR="00E748A8" w:rsidRDefault="00E748A8" w:rsidP="00E748A8">
      <w:pPr>
        <w:spacing w:line="360" w:lineRule="auto"/>
        <w:rPr>
          <w:rFonts w:cs="FrankRuehl"/>
          <w:sz w:val="28"/>
          <w:szCs w:val="28"/>
          <w:rtl/>
        </w:rPr>
      </w:pPr>
    </w:p>
    <w:p w14:paraId="534E2365" w14:textId="77777777" w:rsidR="00E748A8" w:rsidRDefault="00E748A8" w:rsidP="00E748A8">
      <w:pPr>
        <w:spacing w:line="360" w:lineRule="auto"/>
        <w:jc w:val="both"/>
        <w:rPr>
          <w:rFonts w:cs="FrankRuehl"/>
          <w:sz w:val="28"/>
          <w:szCs w:val="28"/>
          <w:rtl/>
        </w:rPr>
      </w:pPr>
      <w:r>
        <w:rPr>
          <w:rFonts w:cs="FrankRuehl" w:hint="cs"/>
          <w:sz w:val="28"/>
          <w:szCs w:val="28"/>
          <w:rtl/>
        </w:rPr>
        <w:t>התביעה טענה, כי הנאשם שימש כראש חולייה של מספר נערים שהיו מעורבים באישומים השונים, את העובדה, כי ייצר מטעני צינור והורה לאחרים היכן להשליכם. לטענת התביעה, מדובר בנאשם שבמספר רב של אירועים, שימש כמנהיג, כראש החוליה, החוטא ומחטיא אחרים, כדי שיפגעו ביהודים מתוך מניע אידיאולוגי. התביעה ציינה את הנזק הפוטנציאלי העלול להיגרם מיידוי בקבוקי תבערה, ואת המגמה להחמיר בענישה.</w:t>
      </w:r>
    </w:p>
    <w:p w14:paraId="77B0AFDB" w14:textId="77777777" w:rsidR="00E748A8" w:rsidRDefault="00E748A8" w:rsidP="00E748A8">
      <w:pPr>
        <w:spacing w:line="360" w:lineRule="auto"/>
        <w:jc w:val="both"/>
        <w:rPr>
          <w:rFonts w:cs="FrankRuehl"/>
          <w:sz w:val="28"/>
          <w:szCs w:val="28"/>
          <w:rtl/>
        </w:rPr>
      </w:pPr>
    </w:p>
    <w:p w14:paraId="5057606A" w14:textId="77777777" w:rsidR="00E748A8" w:rsidRDefault="00E748A8" w:rsidP="00E748A8">
      <w:pPr>
        <w:spacing w:line="360" w:lineRule="auto"/>
        <w:jc w:val="both"/>
        <w:rPr>
          <w:rFonts w:cs="FrankRuehl"/>
          <w:sz w:val="28"/>
          <w:szCs w:val="28"/>
          <w:rtl/>
        </w:rPr>
      </w:pPr>
      <w:r>
        <w:rPr>
          <w:rFonts w:cs="FrankRuehl" w:hint="cs"/>
          <w:sz w:val="28"/>
          <w:szCs w:val="28"/>
          <w:rtl/>
        </w:rPr>
        <w:t>התביעה ביקשה לקבוע מתחם עונש נפרד לכל אירוע. באישום הראשון, ביקשה התביעה לקבוע מתחם שנע בין 5 ל-9 שנות מאסר, באישום השני מתחם שנע בין שנתיים ל-5 שנות מאסר, ובאישום השלישי מתחם שנע בין 6 ל-10 שנות מאסר.</w:t>
      </w:r>
    </w:p>
    <w:p w14:paraId="431AA616" w14:textId="77777777" w:rsidR="00E748A8" w:rsidRDefault="00E748A8" w:rsidP="00E748A8">
      <w:pPr>
        <w:spacing w:line="360" w:lineRule="auto"/>
        <w:jc w:val="both"/>
        <w:rPr>
          <w:rFonts w:cs="FrankRuehl"/>
          <w:sz w:val="28"/>
          <w:szCs w:val="28"/>
          <w:rtl/>
        </w:rPr>
      </w:pPr>
    </w:p>
    <w:p w14:paraId="70628330" w14:textId="77777777" w:rsidR="00E748A8" w:rsidRDefault="00E748A8" w:rsidP="00E748A8">
      <w:pPr>
        <w:spacing w:line="360" w:lineRule="auto"/>
        <w:jc w:val="both"/>
        <w:rPr>
          <w:rFonts w:cs="FrankRuehl"/>
          <w:sz w:val="28"/>
          <w:szCs w:val="28"/>
          <w:rtl/>
        </w:rPr>
      </w:pPr>
      <w:r>
        <w:rPr>
          <w:rFonts w:cs="FrankRuehl" w:hint="cs"/>
          <w:sz w:val="28"/>
          <w:szCs w:val="28"/>
          <w:rtl/>
        </w:rPr>
        <w:t xml:space="preserve">בסוף טיעוניה, דרשה התביעה להטיל על הנאשם מאסר לתקופה של 10 שנים, פיצוי ומאסר על תנאי. </w:t>
      </w:r>
    </w:p>
    <w:p w14:paraId="0E4FC98B" w14:textId="77777777" w:rsidR="00E748A8" w:rsidRDefault="00E748A8" w:rsidP="00E748A8">
      <w:pPr>
        <w:spacing w:line="360" w:lineRule="auto"/>
        <w:jc w:val="both"/>
        <w:rPr>
          <w:rFonts w:cs="FrankRuehl"/>
          <w:sz w:val="28"/>
          <w:szCs w:val="28"/>
          <w:rtl/>
        </w:rPr>
      </w:pPr>
    </w:p>
    <w:p w14:paraId="25F38BC6" w14:textId="77777777" w:rsidR="00E748A8" w:rsidRDefault="00E748A8" w:rsidP="00E748A8">
      <w:pPr>
        <w:spacing w:line="360" w:lineRule="auto"/>
        <w:jc w:val="both"/>
        <w:rPr>
          <w:rFonts w:cs="FrankRuehl"/>
          <w:sz w:val="28"/>
          <w:szCs w:val="28"/>
          <w:rtl/>
        </w:rPr>
      </w:pPr>
      <w:r>
        <w:rPr>
          <w:rFonts w:cs="FrankRuehl" w:hint="cs"/>
          <w:sz w:val="28"/>
          <w:szCs w:val="28"/>
          <w:rtl/>
        </w:rPr>
        <w:t xml:space="preserve">ב"כ הנאשם טען, בין היתר, כי אין מקום לקבוע מתחמי ענישה בגין כל אירוע ואירוע, ובמיוחד טען, כי אין להחמיר עם הנאשם גם בשים לב לעונש שהוטל על מעורב אחר באירועים (חמזה עסילי, אשר נידון במסגרת הסדר טיעון, לתקופה מאסר של 28 חודשים). ב"כ הנאשם הגיש לעיוני את כתב האישום המתוקן, בגינו הורשע עסילי ואת גזר הדין בעניינו. לעניין זה, טענה התביעה, כי חמזה עסילי היה קטין בעת ביצוע העבירה, וכי אין מקום להשוואה בינו לבין הנאשם דנן, שכן, כך נטען, הנאשם דנן שימש כראש החוליה, הוא זה שייצר את כלי הנשק בכל אחד מהאירועים, הוא זה שהוביל את הקטינים ונאשמים נוספים והורה להם היכן להשליך את בקבוקי התבערה. </w:t>
      </w:r>
    </w:p>
    <w:p w14:paraId="0B460034" w14:textId="77777777" w:rsidR="00E748A8" w:rsidRDefault="00E748A8" w:rsidP="00E748A8">
      <w:pPr>
        <w:spacing w:line="360" w:lineRule="auto"/>
        <w:jc w:val="both"/>
        <w:rPr>
          <w:rFonts w:cs="FrankRuehl"/>
          <w:sz w:val="28"/>
          <w:szCs w:val="28"/>
          <w:rtl/>
        </w:rPr>
      </w:pPr>
    </w:p>
    <w:p w14:paraId="17827321" w14:textId="77777777" w:rsidR="00E748A8" w:rsidRDefault="00E748A8" w:rsidP="00E748A8">
      <w:pPr>
        <w:spacing w:line="360" w:lineRule="auto"/>
        <w:jc w:val="both"/>
        <w:rPr>
          <w:rFonts w:cs="FrankRuehl"/>
          <w:sz w:val="28"/>
          <w:szCs w:val="28"/>
          <w:rtl/>
        </w:rPr>
      </w:pPr>
      <w:r>
        <w:rPr>
          <w:rFonts w:cs="FrankRuehl" w:hint="cs"/>
          <w:sz w:val="28"/>
          <w:szCs w:val="28"/>
          <w:rtl/>
        </w:rPr>
        <w:t>לבקשת ב"כ הנאשם, עיינתי בכתב האישום בו הודה חמזה עסילי (</w:t>
      </w:r>
      <w:hyperlink r:id="rId20" w:history="1">
        <w:r w:rsidR="00DE0B2F" w:rsidRPr="00DE0B2F">
          <w:rPr>
            <w:rFonts w:cs="FrankRuehl"/>
            <w:color w:val="0000FF"/>
            <w:sz w:val="28"/>
            <w:szCs w:val="28"/>
            <w:u w:val="single"/>
            <w:rtl/>
          </w:rPr>
          <w:t>ת"פ 27000-05-15</w:t>
        </w:r>
      </w:hyperlink>
      <w:r>
        <w:rPr>
          <w:rFonts w:cs="FrankRuehl" w:hint="cs"/>
          <w:sz w:val="28"/>
          <w:szCs w:val="28"/>
          <w:rtl/>
        </w:rPr>
        <w:t xml:space="preserve">), ומתברר, כי סעיפי האישום אינם זהים לסעיפים במקרה דנן, ובמיוחד, יש לציין, כי הנאשם דנן הורשע בעבירות של ייצור נשק, שהעונש בצידה של עבירה כזו הינו עד 15 שנות מאסר, ואילו הקטין, הורשע בעבירות של שימוש פזיז ורשלני בחומר נפץ, בניגוד </w:t>
      </w:r>
      <w:hyperlink r:id="rId21" w:history="1">
        <w:r w:rsidR="00512117" w:rsidRPr="00512117">
          <w:rPr>
            <w:rFonts w:cs="FrankRuehl"/>
            <w:color w:val="0000FF"/>
            <w:sz w:val="28"/>
            <w:szCs w:val="28"/>
            <w:u w:val="single"/>
            <w:rtl/>
          </w:rPr>
          <w:t>לסעיף 338(5)</w:t>
        </w:r>
      </w:hyperlink>
      <w:r>
        <w:rPr>
          <w:rFonts w:cs="FrankRuehl" w:hint="cs"/>
          <w:sz w:val="28"/>
          <w:szCs w:val="28"/>
          <w:rtl/>
        </w:rPr>
        <w:t xml:space="preserve"> ל</w:t>
      </w:r>
      <w:hyperlink r:id="rId22" w:history="1">
        <w:r w:rsidR="00DE0B2F" w:rsidRPr="00DE0B2F">
          <w:rPr>
            <w:rFonts w:cs="FrankRuehl"/>
            <w:color w:val="0000FF"/>
            <w:sz w:val="28"/>
            <w:szCs w:val="28"/>
            <w:u w:val="single"/>
            <w:rtl/>
          </w:rPr>
          <w:t>חוק העונשין</w:t>
        </w:r>
      </w:hyperlink>
      <w:r>
        <w:rPr>
          <w:rFonts w:cs="FrankRuehl" w:hint="cs"/>
          <w:sz w:val="28"/>
          <w:szCs w:val="28"/>
          <w:rtl/>
        </w:rPr>
        <w:t>, עבירה שהעונש בצידה עומד על 3 שנות מאסר בלבד.</w:t>
      </w:r>
    </w:p>
    <w:p w14:paraId="02878139" w14:textId="77777777" w:rsidR="00E748A8" w:rsidRDefault="00E748A8" w:rsidP="00E748A8">
      <w:pPr>
        <w:spacing w:line="360" w:lineRule="auto"/>
        <w:jc w:val="both"/>
        <w:rPr>
          <w:rFonts w:cs="FrankRuehl"/>
          <w:sz w:val="28"/>
          <w:szCs w:val="28"/>
          <w:rtl/>
        </w:rPr>
      </w:pPr>
    </w:p>
    <w:p w14:paraId="23751F15" w14:textId="77777777" w:rsidR="00E748A8" w:rsidRDefault="00E748A8" w:rsidP="00E748A8">
      <w:pPr>
        <w:spacing w:line="360" w:lineRule="auto"/>
        <w:jc w:val="both"/>
        <w:rPr>
          <w:rFonts w:cs="FrankRuehl"/>
          <w:sz w:val="28"/>
          <w:szCs w:val="28"/>
          <w:rtl/>
        </w:rPr>
      </w:pPr>
      <w:r>
        <w:rPr>
          <w:rFonts w:cs="FrankRuehl" w:hint="cs"/>
          <w:sz w:val="28"/>
          <w:szCs w:val="28"/>
          <w:rtl/>
        </w:rPr>
        <w:t>לכך יש להוסיף, כי במקרה דנן, לא הייתה הסכמה לעניין העונש, כי הנאשם כבן 20, וכי לנאשם הרשעה קודמת.</w:t>
      </w:r>
    </w:p>
    <w:p w14:paraId="5F362506" w14:textId="77777777" w:rsidR="00E748A8" w:rsidRDefault="00E748A8" w:rsidP="00E748A8">
      <w:pPr>
        <w:spacing w:line="360" w:lineRule="auto"/>
        <w:jc w:val="both"/>
        <w:rPr>
          <w:rFonts w:cs="FrankRuehl"/>
          <w:sz w:val="28"/>
          <w:szCs w:val="28"/>
          <w:rtl/>
        </w:rPr>
      </w:pPr>
    </w:p>
    <w:p w14:paraId="3B373118" w14:textId="77777777" w:rsidR="00E748A8" w:rsidRDefault="00E748A8" w:rsidP="00E748A8">
      <w:pPr>
        <w:spacing w:line="360" w:lineRule="auto"/>
        <w:jc w:val="both"/>
        <w:rPr>
          <w:rFonts w:cs="FrankRuehl"/>
          <w:sz w:val="28"/>
          <w:szCs w:val="28"/>
          <w:rtl/>
        </w:rPr>
      </w:pPr>
      <w:r>
        <w:rPr>
          <w:rFonts w:cs="FrankRuehl" w:hint="cs"/>
          <w:sz w:val="28"/>
          <w:szCs w:val="28"/>
          <w:rtl/>
        </w:rPr>
        <w:t>במתן גזר דין זה, נצעד במתווה הקבוע בתיקון113 ל</w:t>
      </w:r>
      <w:hyperlink r:id="rId23" w:history="1">
        <w:r w:rsidR="00DE0B2F" w:rsidRPr="00DE0B2F">
          <w:rPr>
            <w:rFonts w:cs="FrankRuehl"/>
            <w:color w:val="0000FF"/>
            <w:sz w:val="28"/>
            <w:szCs w:val="28"/>
            <w:u w:val="single"/>
            <w:rtl/>
          </w:rPr>
          <w:t>חוק העונשין</w:t>
        </w:r>
      </w:hyperlink>
      <w:r>
        <w:rPr>
          <w:rFonts w:cs="FrankRuehl" w:hint="cs"/>
          <w:sz w:val="28"/>
          <w:szCs w:val="28"/>
          <w:rtl/>
        </w:rPr>
        <w:t xml:space="preserve">. </w:t>
      </w:r>
    </w:p>
    <w:p w14:paraId="4F633E5C" w14:textId="77777777" w:rsidR="00E748A8" w:rsidRDefault="00E748A8" w:rsidP="00E748A8">
      <w:pPr>
        <w:spacing w:line="360" w:lineRule="auto"/>
        <w:jc w:val="both"/>
        <w:rPr>
          <w:rFonts w:cs="FrankRuehl"/>
          <w:sz w:val="28"/>
          <w:szCs w:val="28"/>
          <w:rtl/>
        </w:rPr>
      </w:pPr>
    </w:p>
    <w:p w14:paraId="2D5C24B1" w14:textId="77777777" w:rsidR="00E748A8" w:rsidRDefault="00E748A8" w:rsidP="00E748A8">
      <w:pPr>
        <w:spacing w:line="360" w:lineRule="auto"/>
        <w:jc w:val="both"/>
        <w:rPr>
          <w:rFonts w:cs="FrankRuehl"/>
          <w:sz w:val="28"/>
          <w:szCs w:val="28"/>
          <w:rtl/>
        </w:rPr>
      </w:pPr>
      <w:r>
        <w:rPr>
          <w:rFonts w:cs="FrankRuehl" w:hint="cs"/>
          <w:sz w:val="28"/>
          <w:szCs w:val="28"/>
          <w:rtl/>
        </w:rPr>
        <w:t>הערך החברתי שנפגע מביצוע העבירות, הינו שלומם וביטחונם של אנשי כוחות הביטחון ואזרחים יהודים. באישום השני, נשרף רכב השייך ליהודי, ובאישום השלישי, נפגעה עמדת השמירה בבית דוידיה כתוצאה מהשלכת בקבוקי התבערה.</w:t>
      </w:r>
    </w:p>
    <w:p w14:paraId="42F868E7" w14:textId="77777777" w:rsidR="00E748A8" w:rsidRDefault="00E748A8" w:rsidP="00E748A8">
      <w:pPr>
        <w:spacing w:line="360" w:lineRule="auto"/>
        <w:jc w:val="both"/>
        <w:rPr>
          <w:rFonts w:cs="FrankRuehl"/>
          <w:sz w:val="28"/>
          <w:szCs w:val="28"/>
          <w:rtl/>
        </w:rPr>
      </w:pPr>
    </w:p>
    <w:p w14:paraId="4EDD2E26" w14:textId="77777777" w:rsidR="00E748A8" w:rsidRDefault="00E748A8" w:rsidP="00E748A8">
      <w:pPr>
        <w:spacing w:line="360" w:lineRule="auto"/>
        <w:jc w:val="both"/>
        <w:rPr>
          <w:rFonts w:cs="FrankRuehl"/>
          <w:sz w:val="28"/>
          <w:szCs w:val="28"/>
          <w:rtl/>
        </w:rPr>
      </w:pPr>
      <w:r>
        <w:rPr>
          <w:rFonts w:cs="FrankRuehl" w:hint="cs"/>
          <w:sz w:val="28"/>
          <w:szCs w:val="28"/>
          <w:rtl/>
        </w:rPr>
        <w:t>אשר למדיניות הענישה הנהוגה. כרגיל, מאז תיקון 113, הגיש כל צד פסיקה התומכת, לשיטתו, בעמדתו העונשית.</w:t>
      </w:r>
    </w:p>
    <w:p w14:paraId="1640458B" w14:textId="77777777" w:rsidR="00E748A8" w:rsidRDefault="00E748A8" w:rsidP="00E748A8">
      <w:pPr>
        <w:spacing w:line="360" w:lineRule="auto"/>
        <w:jc w:val="both"/>
        <w:rPr>
          <w:rFonts w:cs="FrankRuehl"/>
          <w:sz w:val="28"/>
          <w:szCs w:val="28"/>
          <w:rtl/>
        </w:rPr>
      </w:pPr>
    </w:p>
    <w:p w14:paraId="3AB8A1E4" w14:textId="77777777" w:rsidR="00E748A8" w:rsidRDefault="00E748A8" w:rsidP="00E748A8">
      <w:pPr>
        <w:spacing w:line="360" w:lineRule="auto"/>
        <w:jc w:val="both"/>
        <w:rPr>
          <w:rFonts w:cs="FrankRuehl"/>
          <w:sz w:val="28"/>
          <w:szCs w:val="28"/>
          <w:rtl/>
        </w:rPr>
      </w:pPr>
      <w:r>
        <w:rPr>
          <w:rFonts w:cs="FrankRuehl" w:hint="cs"/>
          <w:sz w:val="28"/>
          <w:szCs w:val="28"/>
          <w:rtl/>
        </w:rPr>
        <w:t>כך, לדוגמא, הגישה התביעה את פסק דינו של בית המשפט העליון ב</w:t>
      </w:r>
      <w:hyperlink r:id="rId24" w:history="1">
        <w:r w:rsidR="00DE0B2F" w:rsidRPr="00DE0B2F">
          <w:rPr>
            <w:rFonts w:cs="FrankRuehl"/>
            <w:color w:val="0000FF"/>
            <w:sz w:val="28"/>
            <w:szCs w:val="28"/>
            <w:u w:val="single"/>
            <w:rtl/>
          </w:rPr>
          <w:t>ע"פ 2579/14</w:t>
        </w:r>
      </w:hyperlink>
      <w:r>
        <w:rPr>
          <w:rFonts w:cs="FrankRuehl" w:hint="cs"/>
          <w:sz w:val="28"/>
          <w:szCs w:val="28"/>
          <w:rtl/>
        </w:rPr>
        <w:t xml:space="preserve">, </w:t>
      </w:r>
      <w:r w:rsidRPr="007B5F3D">
        <w:rPr>
          <w:rFonts w:cs="FrankRuehl" w:hint="cs"/>
          <w:b/>
          <w:bCs/>
          <w:sz w:val="28"/>
          <w:szCs w:val="28"/>
          <w:rtl/>
        </w:rPr>
        <w:t>מוחמד פרחאן נ' מדינת ישראל</w:t>
      </w:r>
      <w:r>
        <w:rPr>
          <w:rFonts w:cs="FrankRuehl" w:hint="cs"/>
          <w:sz w:val="28"/>
          <w:szCs w:val="28"/>
          <w:rtl/>
        </w:rPr>
        <w:t xml:space="preserve"> (פורסם במאגרים ביום 25.5.15), שם נדחה ערעור על עונש מאסר בפועל לתקופה של 6 וחצי שנים בגין עבירות של קשירת קשר לפשע, ייצור נשק וחבלה בכוונה מחמירה. </w:t>
      </w:r>
    </w:p>
    <w:p w14:paraId="58276ABD" w14:textId="77777777" w:rsidR="00E748A8" w:rsidRDefault="00E748A8" w:rsidP="00E748A8">
      <w:pPr>
        <w:spacing w:line="360" w:lineRule="auto"/>
        <w:jc w:val="both"/>
        <w:rPr>
          <w:rFonts w:cs="FrankRuehl"/>
          <w:sz w:val="28"/>
          <w:szCs w:val="28"/>
          <w:rtl/>
        </w:rPr>
      </w:pPr>
    </w:p>
    <w:p w14:paraId="7B36B65D" w14:textId="77777777" w:rsidR="00E748A8" w:rsidRDefault="00E748A8" w:rsidP="00E748A8">
      <w:pPr>
        <w:spacing w:line="360" w:lineRule="auto"/>
        <w:jc w:val="both"/>
        <w:rPr>
          <w:rFonts w:cs="FrankRuehl"/>
          <w:sz w:val="28"/>
          <w:szCs w:val="28"/>
          <w:rtl/>
        </w:rPr>
      </w:pPr>
      <w:r>
        <w:rPr>
          <w:rFonts w:cs="FrankRuehl" w:hint="cs"/>
          <w:sz w:val="28"/>
          <w:szCs w:val="28"/>
          <w:rtl/>
        </w:rPr>
        <w:t>ב</w:t>
      </w:r>
      <w:hyperlink r:id="rId25" w:history="1">
        <w:r w:rsidR="00DE0B2F" w:rsidRPr="00DE0B2F">
          <w:rPr>
            <w:rFonts w:cs="FrankRuehl"/>
            <w:color w:val="0000FF"/>
            <w:sz w:val="28"/>
            <w:szCs w:val="28"/>
            <w:u w:val="single"/>
            <w:rtl/>
          </w:rPr>
          <w:t>ע"פ 7643/11</w:t>
        </w:r>
      </w:hyperlink>
      <w:r>
        <w:rPr>
          <w:rFonts w:cs="FrankRuehl" w:hint="cs"/>
          <w:sz w:val="28"/>
          <w:szCs w:val="28"/>
          <w:rtl/>
        </w:rPr>
        <w:t xml:space="preserve">, </w:t>
      </w:r>
      <w:r w:rsidRPr="00856088">
        <w:rPr>
          <w:rFonts w:cs="FrankRuehl" w:hint="cs"/>
          <w:b/>
          <w:bCs/>
          <w:sz w:val="28"/>
          <w:szCs w:val="28"/>
          <w:rtl/>
        </w:rPr>
        <w:t>לואי מסוודה נ' מדינת ישראל</w:t>
      </w:r>
      <w:r>
        <w:rPr>
          <w:rFonts w:cs="FrankRuehl" w:hint="cs"/>
          <w:sz w:val="28"/>
          <w:szCs w:val="28"/>
          <w:rtl/>
        </w:rPr>
        <w:t>, אישר בית המשפט העליון, מאסר בפועל לתקופה של 6 שנים, לאחר שהמערער הורשע בעבירות של ייצור נשק, חבלה בכוונה מחמירה וניסיון לתקיפת שוטר בנסיבות מחמירות.</w:t>
      </w:r>
    </w:p>
    <w:p w14:paraId="7CFF0897" w14:textId="77777777" w:rsidR="00E748A8" w:rsidRDefault="00E748A8" w:rsidP="00E748A8">
      <w:pPr>
        <w:spacing w:line="360" w:lineRule="auto"/>
        <w:jc w:val="both"/>
        <w:rPr>
          <w:rFonts w:cs="FrankRuehl"/>
          <w:sz w:val="28"/>
          <w:szCs w:val="28"/>
          <w:rtl/>
        </w:rPr>
      </w:pPr>
    </w:p>
    <w:p w14:paraId="5EF97DF8" w14:textId="77777777" w:rsidR="00E748A8" w:rsidRDefault="00E748A8" w:rsidP="00E748A8">
      <w:pPr>
        <w:spacing w:line="360" w:lineRule="auto"/>
        <w:jc w:val="both"/>
        <w:rPr>
          <w:rFonts w:cs="FrankRuehl"/>
          <w:sz w:val="28"/>
          <w:szCs w:val="28"/>
          <w:rtl/>
        </w:rPr>
      </w:pPr>
      <w:r>
        <w:rPr>
          <w:rFonts w:cs="FrankRuehl" w:hint="cs"/>
          <w:sz w:val="28"/>
          <w:szCs w:val="28"/>
          <w:rtl/>
        </w:rPr>
        <w:t>ב"כ הנאשם, הגיש את פסק דינו האחרון של בית המשפט העליון, בו הוטלו עונשי מאסר על המערערים, אשר קשרו קשר ליידות אבנים ובקבוקי תבערה לעבר מטרות ישראליות ויהודיות (</w:t>
      </w:r>
      <w:hyperlink r:id="rId26" w:history="1">
        <w:r w:rsidR="00DE0B2F" w:rsidRPr="00DE0B2F">
          <w:rPr>
            <w:rFonts w:cs="FrankRuehl"/>
            <w:color w:val="0000FF"/>
            <w:sz w:val="28"/>
            <w:szCs w:val="28"/>
            <w:u w:val="single"/>
            <w:rtl/>
          </w:rPr>
          <w:t>ע"פ 7517/15</w:t>
        </w:r>
      </w:hyperlink>
      <w:r>
        <w:rPr>
          <w:rFonts w:cs="FrankRuehl" w:hint="cs"/>
          <w:sz w:val="28"/>
          <w:szCs w:val="28"/>
          <w:rtl/>
        </w:rPr>
        <w:t>), בו החמיר בית המשפט העליון בעונשים שהוטלו על ידי בית המשפט המחוזי, אך טען, כי מדובר בעבירות רבות וחמורות יותר, כאשר על המשיב הראשון שהורשע ב-8 אישומים, בגין ייצור נשק (5 עבירות), חבלה בכוונה מחמירה (4 עבירות), הצתה (3 עבירות), ניסיון הצתה, חבלה ברכב במזיד ובניסיון לתקיפת שוטר בנסיבות מחמירות, החמיר  בית המשפט העליון בעונשו, כך שבמקום 66 חודשי מאסר בפועל, יעמוד עונש המאסר על 82 חודשי מאסר.</w:t>
      </w:r>
    </w:p>
    <w:p w14:paraId="24626957" w14:textId="77777777" w:rsidR="00E748A8" w:rsidRDefault="00E748A8" w:rsidP="00E748A8">
      <w:pPr>
        <w:spacing w:line="360" w:lineRule="auto"/>
        <w:jc w:val="both"/>
        <w:rPr>
          <w:rFonts w:cs="FrankRuehl"/>
          <w:sz w:val="28"/>
          <w:szCs w:val="28"/>
          <w:rtl/>
        </w:rPr>
      </w:pPr>
    </w:p>
    <w:p w14:paraId="6E6FE4B4" w14:textId="77777777" w:rsidR="00E748A8" w:rsidRDefault="00E748A8" w:rsidP="00E748A8">
      <w:pPr>
        <w:spacing w:line="360" w:lineRule="auto"/>
        <w:jc w:val="both"/>
        <w:rPr>
          <w:rFonts w:cs="FrankRuehl"/>
          <w:sz w:val="28"/>
          <w:szCs w:val="28"/>
          <w:rtl/>
        </w:rPr>
      </w:pPr>
      <w:r>
        <w:rPr>
          <w:rFonts w:cs="FrankRuehl" w:hint="cs"/>
          <w:sz w:val="28"/>
          <w:szCs w:val="28"/>
          <w:rtl/>
        </w:rPr>
        <w:t>אשר לנסיבות הקשורות בביצוע העבירה, הרי שמדובר בתכנון שקדם לביצוע העבירות, חלקו היחסי של הנאשם בביצוע העבירות היה הגדול ביותר. הנזק שהיה צפוי להיגרם מביצוע העבירות היה עלול להיות גדול ולפגוע גם בחיי אדם. באישום השני נשרף רכב של תושב יהודי, ובאישום השלישי נפגעה עמדת השמירה בבית דוידיה. הסיבות שהביאו את הנאשם לבצע את העבירות היו מניעים אידיאולוגיים (ראה גם האמור בתסקיר שירות המבחן), ולכך יש משמעות מחמירה נוספת.</w:t>
      </w:r>
    </w:p>
    <w:p w14:paraId="55A5ACC6" w14:textId="77777777" w:rsidR="00E748A8" w:rsidRDefault="00E748A8" w:rsidP="00E748A8">
      <w:pPr>
        <w:spacing w:line="360" w:lineRule="auto"/>
        <w:jc w:val="both"/>
        <w:rPr>
          <w:rFonts w:cs="FrankRuehl"/>
          <w:sz w:val="28"/>
          <w:szCs w:val="28"/>
          <w:rtl/>
        </w:rPr>
      </w:pPr>
    </w:p>
    <w:p w14:paraId="4FE20A9C" w14:textId="77777777" w:rsidR="00E748A8" w:rsidRDefault="00E748A8" w:rsidP="00E748A8">
      <w:pPr>
        <w:spacing w:line="360" w:lineRule="auto"/>
        <w:jc w:val="both"/>
        <w:rPr>
          <w:rFonts w:cs="FrankRuehl"/>
          <w:sz w:val="28"/>
          <w:szCs w:val="28"/>
          <w:rtl/>
        </w:rPr>
      </w:pPr>
      <w:r>
        <w:rPr>
          <w:rFonts w:cs="FrankRuehl" w:hint="cs"/>
          <w:sz w:val="28"/>
          <w:szCs w:val="28"/>
          <w:rtl/>
        </w:rPr>
        <w:t>כאמור, ביקשה התביעה לקבוע מספר מתחמי ענישה בגין כל אישום בנפרד, אך, בעניין זה, מקובלת עליי עמדת ב"כ הנאשם, כי יש לקבוע מתחם עונש אחד, וזאת גם בשים לב לפסק דינו של בית המשפט העליון ב</w:t>
      </w:r>
      <w:hyperlink r:id="rId27" w:history="1">
        <w:r w:rsidR="00DE0B2F" w:rsidRPr="00DE0B2F">
          <w:rPr>
            <w:rFonts w:cs="FrankRuehl"/>
            <w:color w:val="0000FF"/>
            <w:sz w:val="28"/>
            <w:szCs w:val="28"/>
            <w:u w:val="single"/>
            <w:rtl/>
          </w:rPr>
          <w:t>ע"פ 5643/14;</w:t>
        </w:r>
      </w:hyperlink>
      <w:r>
        <w:rPr>
          <w:rFonts w:cs="FrankRuehl" w:hint="cs"/>
          <w:sz w:val="28"/>
          <w:szCs w:val="28"/>
          <w:rtl/>
        </w:rPr>
        <w:t xml:space="preserve"> </w:t>
      </w:r>
      <w:hyperlink r:id="rId28" w:history="1">
        <w:r w:rsidR="00DE0B2F" w:rsidRPr="00DE0B2F">
          <w:rPr>
            <w:rFonts w:cs="FrankRuehl"/>
            <w:color w:val="0000FF"/>
            <w:sz w:val="28"/>
            <w:szCs w:val="28"/>
            <w:u w:val="single"/>
            <w:rtl/>
          </w:rPr>
          <w:t>ע"פ 7738/14</w:t>
        </w:r>
      </w:hyperlink>
      <w:r>
        <w:rPr>
          <w:rFonts w:cs="FrankRuehl" w:hint="cs"/>
          <w:sz w:val="28"/>
          <w:szCs w:val="28"/>
          <w:rtl/>
        </w:rPr>
        <w:t xml:space="preserve">, </w:t>
      </w:r>
      <w:r w:rsidRPr="009144BE">
        <w:rPr>
          <w:rFonts w:cs="FrankRuehl" w:hint="cs"/>
          <w:b/>
          <w:bCs/>
          <w:sz w:val="28"/>
          <w:szCs w:val="28"/>
          <w:rtl/>
        </w:rPr>
        <w:t>אחמד עיסא ואח' נ' מדינת ישראל</w:t>
      </w:r>
      <w:r>
        <w:rPr>
          <w:rFonts w:cs="FrankRuehl" w:hint="cs"/>
          <w:sz w:val="28"/>
          <w:szCs w:val="28"/>
          <w:rtl/>
        </w:rPr>
        <w:t xml:space="preserve"> (פורסם במאגרים ביום 23.6.15), כב' השופט צ' זילברטל קבע, כי לגישתו "</w:t>
      </w:r>
      <w:r w:rsidRPr="009144BE">
        <w:rPr>
          <w:rFonts w:cs="FrankRuehl" w:hint="cs"/>
          <w:b/>
          <w:bCs/>
          <w:sz w:val="28"/>
          <w:szCs w:val="28"/>
          <w:rtl/>
        </w:rPr>
        <w:t>דומה, כי ראוי לאפשר פרשנות רחבה דיה להגדרת המונח 'אירוע אחד', אשר תשאיר מתחם להפעלת שיקול דעתו של בית המשפט, וזאת הן בשל שיקולי יעילות עבודתו של בית המשפט, והן בשל הגשמת תכליתו של תיקון 113 לחוק</w:t>
      </w:r>
      <w:r>
        <w:rPr>
          <w:rFonts w:cs="FrankRuehl" w:hint="cs"/>
          <w:sz w:val="28"/>
          <w:szCs w:val="28"/>
          <w:rtl/>
        </w:rPr>
        <w:t>".</w:t>
      </w:r>
    </w:p>
    <w:p w14:paraId="2DBDE4FB" w14:textId="77777777" w:rsidR="00E748A8" w:rsidRDefault="00E748A8" w:rsidP="00E748A8">
      <w:pPr>
        <w:spacing w:line="360" w:lineRule="auto"/>
        <w:jc w:val="both"/>
        <w:rPr>
          <w:rFonts w:cs="FrankRuehl"/>
          <w:sz w:val="28"/>
          <w:szCs w:val="28"/>
          <w:rtl/>
        </w:rPr>
      </w:pPr>
    </w:p>
    <w:p w14:paraId="690630A5" w14:textId="77777777" w:rsidR="00E748A8" w:rsidRDefault="00E748A8" w:rsidP="00E748A8">
      <w:pPr>
        <w:spacing w:line="360" w:lineRule="auto"/>
        <w:jc w:val="both"/>
        <w:rPr>
          <w:rFonts w:cs="FrankRuehl"/>
          <w:sz w:val="28"/>
          <w:szCs w:val="28"/>
          <w:rtl/>
        </w:rPr>
      </w:pPr>
      <w:r>
        <w:rPr>
          <w:rFonts w:cs="FrankRuehl" w:hint="cs"/>
          <w:sz w:val="28"/>
          <w:szCs w:val="28"/>
          <w:rtl/>
        </w:rPr>
        <w:t xml:space="preserve">בנסיבות העניין, אני קובע, כי מתחם העונש ההולם בגין שלושת האישומים יעמוד על מאסר לתקופה שבין 4 ל-8 שנים. </w:t>
      </w:r>
    </w:p>
    <w:p w14:paraId="2D852460" w14:textId="77777777" w:rsidR="00E748A8" w:rsidRDefault="00E748A8" w:rsidP="00E748A8">
      <w:pPr>
        <w:spacing w:line="360" w:lineRule="auto"/>
        <w:jc w:val="both"/>
        <w:rPr>
          <w:rFonts w:cs="FrankRuehl"/>
          <w:sz w:val="28"/>
          <w:szCs w:val="28"/>
          <w:rtl/>
        </w:rPr>
      </w:pPr>
    </w:p>
    <w:p w14:paraId="67D14912" w14:textId="77777777" w:rsidR="00E748A8" w:rsidRDefault="00E748A8" w:rsidP="00E748A8">
      <w:pPr>
        <w:spacing w:line="360" w:lineRule="auto"/>
        <w:jc w:val="both"/>
        <w:rPr>
          <w:rFonts w:cs="FrankRuehl"/>
          <w:sz w:val="28"/>
          <w:szCs w:val="28"/>
          <w:rtl/>
        </w:rPr>
      </w:pPr>
      <w:r>
        <w:rPr>
          <w:rFonts w:cs="FrankRuehl" w:hint="cs"/>
          <w:sz w:val="28"/>
          <w:szCs w:val="28"/>
          <w:rtl/>
        </w:rPr>
        <w:t>בתוך מתחם העונש ההולם, ובהתאם לסעיף 40יא לתיקון 113, יש להתחשב בנסיבות שאינן קשורות בביצוע העבירה כדלקמן: גילו הצעיר של הנאשם, נטילת האחריות של הנאשם על מעשיו והודאתו באשמה. מאידך, חרף גילו הצעיר, לנאשם הרשעה קודמת בגין ניסיון לתקיפת שוטר כשהתוקף מצויד בנשק חם/קר, בניסיון לתקיפת שוטר על ידי שלושה או יותר והשתתפות בהתפרעות.</w:t>
      </w:r>
    </w:p>
    <w:p w14:paraId="62ED1B57" w14:textId="77777777" w:rsidR="00E748A8" w:rsidRDefault="00E748A8" w:rsidP="00E748A8">
      <w:pPr>
        <w:spacing w:line="360" w:lineRule="auto"/>
        <w:jc w:val="both"/>
        <w:rPr>
          <w:rFonts w:cs="FrankRuehl"/>
          <w:sz w:val="28"/>
          <w:szCs w:val="28"/>
          <w:rtl/>
        </w:rPr>
      </w:pPr>
    </w:p>
    <w:p w14:paraId="3D3ED6B6" w14:textId="77777777" w:rsidR="00E748A8" w:rsidRDefault="00E748A8" w:rsidP="00E748A8">
      <w:pPr>
        <w:spacing w:line="360" w:lineRule="auto"/>
        <w:jc w:val="both"/>
        <w:rPr>
          <w:rFonts w:cs="FrankRuehl"/>
          <w:sz w:val="28"/>
          <w:szCs w:val="28"/>
          <w:rtl/>
        </w:rPr>
      </w:pPr>
      <w:r>
        <w:rPr>
          <w:rFonts w:cs="FrankRuehl" w:hint="cs"/>
          <w:sz w:val="28"/>
          <w:szCs w:val="28"/>
          <w:rtl/>
        </w:rPr>
        <w:t xml:space="preserve">בתי המשפט הדגישו לא אחת את הצורך בהרתעה אישית ובהרתעת הרבים (בתוך מתחם העונש ההולם), בגין עבירות מסוג זה. </w:t>
      </w:r>
    </w:p>
    <w:p w14:paraId="2EBFD27E" w14:textId="77777777" w:rsidR="00E748A8" w:rsidRDefault="00E748A8" w:rsidP="00E748A8">
      <w:pPr>
        <w:spacing w:line="360" w:lineRule="auto"/>
        <w:jc w:val="both"/>
        <w:rPr>
          <w:rFonts w:cs="FrankRuehl"/>
          <w:sz w:val="28"/>
          <w:szCs w:val="28"/>
          <w:rtl/>
        </w:rPr>
      </w:pPr>
    </w:p>
    <w:p w14:paraId="0FFB0577" w14:textId="77777777" w:rsidR="00E748A8" w:rsidRDefault="00E748A8" w:rsidP="00E748A8">
      <w:pPr>
        <w:spacing w:line="360" w:lineRule="auto"/>
        <w:jc w:val="both"/>
        <w:rPr>
          <w:rFonts w:cs="FrankRuehl"/>
          <w:sz w:val="28"/>
          <w:szCs w:val="28"/>
          <w:rtl/>
        </w:rPr>
      </w:pPr>
      <w:r>
        <w:rPr>
          <w:rFonts w:cs="FrankRuehl" w:hint="cs"/>
          <w:sz w:val="28"/>
          <w:szCs w:val="28"/>
          <w:rtl/>
        </w:rPr>
        <w:t>כך, ב</w:t>
      </w:r>
      <w:hyperlink r:id="rId29" w:history="1">
        <w:r w:rsidR="00DE0B2F" w:rsidRPr="00DE0B2F">
          <w:rPr>
            <w:rFonts w:cs="FrankRuehl"/>
            <w:color w:val="0000FF"/>
            <w:sz w:val="28"/>
            <w:szCs w:val="28"/>
            <w:u w:val="single"/>
            <w:rtl/>
          </w:rPr>
          <w:t>ע"פ 7517/15</w:t>
        </w:r>
      </w:hyperlink>
      <w:r>
        <w:rPr>
          <w:rFonts w:cs="FrankRuehl" w:hint="cs"/>
          <w:sz w:val="28"/>
          <w:szCs w:val="28"/>
          <w:rtl/>
        </w:rPr>
        <w:t xml:space="preserve">, </w:t>
      </w:r>
      <w:r w:rsidRPr="001D7B8C">
        <w:rPr>
          <w:rFonts w:cs="FrankRuehl" w:hint="cs"/>
          <w:b/>
          <w:bCs/>
          <w:sz w:val="28"/>
          <w:szCs w:val="28"/>
          <w:rtl/>
        </w:rPr>
        <w:t>מדינת ישראל נ' מוחמד עביד ואח'</w:t>
      </w:r>
      <w:r>
        <w:rPr>
          <w:rFonts w:cs="FrankRuehl" w:hint="cs"/>
          <w:sz w:val="28"/>
          <w:szCs w:val="28"/>
          <w:rtl/>
        </w:rPr>
        <w:t xml:space="preserve">, חזר כב' השופט נ' סולברג וקבע כי: </w:t>
      </w:r>
    </w:p>
    <w:p w14:paraId="2C0D69F8" w14:textId="77777777" w:rsidR="00E748A8" w:rsidRDefault="00E748A8" w:rsidP="00E748A8">
      <w:pPr>
        <w:spacing w:line="360" w:lineRule="auto"/>
        <w:jc w:val="both"/>
        <w:rPr>
          <w:rFonts w:cs="FrankRuehl"/>
          <w:sz w:val="28"/>
          <w:szCs w:val="28"/>
          <w:rtl/>
        </w:rPr>
      </w:pPr>
    </w:p>
    <w:p w14:paraId="19A70A5D" w14:textId="77777777" w:rsidR="00E748A8" w:rsidRDefault="00E748A8" w:rsidP="00E748A8">
      <w:pPr>
        <w:spacing w:line="360" w:lineRule="auto"/>
        <w:ind w:left="720"/>
        <w:jc w:val="both"/>
        <w:rPr>
          <w:rFonts w:cs="FrankRuehl"/>
          <w:sz w:val="28"/>
          <w:szCs w:val="28"/>
          <w:rtl/>
        </w:rPr>
      </w:pPr>
      <w:r>
        <w:rPr>
          <w:rFonts w:cs="FrankRuehl" w:hint="cs"/>
          <w:sz w:val="28"/>
          <w:szCs w:val="28"/>
          <w:rtl/>
        </w:rPr>
        <w:t>"</w:t>
      </w:r>
      <w:r w:rsidRPr="001D7B8C">
        <w:rPr>
          <w:rFonts w:cs="FrankRuehl" w:hint="cs"/>
          <w:b/>
          <w:bCs/>
          <w:sz w:val="28"/>
          <w:szCs w:val="28"/>
          <w:rtl/>
        </w:rPr>
        <w:t xml:space="preserve">למותר לציין את החומרה הרבה, את המסוכנות </w:t>
      </w:r>
      <w:r w:rsidRPr="001D7B8C">
        <w:rPr>
          <w:rFonts w:cs="FrankRuehl"/>
          <w:b/>
          <w:bCs/>
          <w:sz w:val="28"/>
          <w:szCs w:val="28"/>
          <w:rtl/>
        </w:rPr>
        <w:t>–</w:t>
      </w:r>
      <w:r w:rsidRPr="001D7B8C">
        <w:rPr>
          <w:rFonts w:cs="FrankRuehl" w:hint="cs"/>
          <w:b/>
          <w:bCs/>
          <w:sz w:val="28"/>
          <w:szCs w:val="28"/>
          <w:rtl/>
        </w:rPr>
        <w:t xml:space="preserve"> סכנת נפשות פשוטו כמשמעו </w:t>
      </w:r>
      <w:r w:rsidRPr="001D7B8C">
        <w:rPr>
          <w:rFonts w:cs="FrankRuehl"/>
          <w:b/>
          <w:bCs/>
          <w:sz w:val="28"/>
          <w:szCs w:val="28"/>
          <w:rtl/>
        </w:rPr>
        <w:t>–</w:t>
      </w:r>
      <w:r w:rsidRPr="001D7B8C">
        <w:rPr>
          <w:rFonts w:cs="FrankRuehl" w:hint="cs"/>
          <w:b/>
          <w:bCs/>
          <w:sz w:val="28"/>
          <w:szCs w:val="28"/>
          <w:rtl/>
        </w:rPr>
        <w:t xml:space="preserve"> ואת הצורך להרתיע את המשיבים ואחרים שכמותם. ההסלמה מדאיגה ויש להעניש ביד קשה כדי לעשות לשירוש התופעה. ברי, כי מדור ברקע אידיאולוגי-לאומי-גזעני, והרי זה שיקול חשוב בשיקולי הענישה</w:t>
      </w:r>
      <w:r>
        <w:rPr>
          <w:rFonts w:cs="FrankRuehl" w:hint="cs"/>
          <w:sz w:val="28"/>
          <w:szCs w:val="28"/>
          <w:rtl/>
        </w:rPr>
        <w:t xml:space="preserve">". </w:t>
      </w:r>
    </w:p>
    <w:p w14:paraId="38455F43" w14:textId="77777777" w:rsidR="00E748A8" w:rsidRDefault="00E748A8" w:rsidP="00E748A8">
      <w:pPr>
        <w:spacing w:line="360" w:lineRule="auto"/>
        <w:jc w:val="both"/>
        <w:rPr>
          <w:rFonts w:cs="FrankRuehl"/>
          <w:sz w:val="28"/>
          <w:szCs w:val="28"/>
          <w:rtl/>
        </w:rPr>
      </w:pPr>
    </w:p>
    <w:p w14:paraId="58646022" w14:textId="77777777" w:rsidR="00E748A8" w:rsidRDefault="00E748A8" w:rsidP="00E748A8">
      <w:pPr>
        <w:spacing w:line="360" w:lineRule="auto"/>
        <w:jc w:val="both"/>
        <w:rPr>
          <w:rFonts w:cs="FrankRuehl"/>
          <w:sz w:val="28"/>
          <w:szCs w:val="28"/>
          <w:rtl/>
        </w:rPr>
      </w:pPr>
      <w:r>
        <w:rPr>
          <w:rFonts w:cs="FrankRuehl" w:hint="cs"/>
          <w:sz w:val="28"/>
          <w:szCs w:val="28"/>
          <w:rtl/>
        </w:rPr>
        <w:t xml:space="preserve">מן הראוי גם לצטט מדבריו של המשנה לנשיאה, כב' השופט א' רובינשטיין, באותו פסק דין: </w:t>
      </w:r>
    </w:p>
    <w:p w14:paraId="1DC8ED8B" w14:textId="77777777" w:rsidR="00E748A8" w:rsidRDefault="00E748A8" w:rsidP="00E748A8">
      <w:pPr>
        <w:spacing w:line="360" w:lineRule="auto"/>
        <w:jc w:val="both"/>
        <w:rPr>
          <w:rFonts w:cs="FrankRuehl"/>
          <w:sz w:val="28"/>
          <w:szCs w:val="28"/>
          <w:rtl/>
        </w:rPr>
      </w:pPr>
    </w:p>
    <w:p w14:paraId="404DA445" w14:textId="77777777" w:rsidR="00E748A8" w:rsidRDefault="00E748A8" w:rsidP="00E748A8">
      <w:pPr>
        <w:spacing w:line="360" w:lineRule="auto"/>
        <w:ind w:left="720"/>
        <w:jc w:val="both"/>
        <w:rPr>
          <w:rFonts w:cs="FrankRuehl"/>
          <w:sz w:val="28"/>
          <w:szCs w:val="28"/>
          <w:rtl/>
        </w:rPr>
      </w:pPr>
      <w:r>
        <w:rPr>
          <w:rFonts w:cs="FrankRuehl" w:hint="cs"/>
          <w:sz w:val="28"/>
          <w:szCs w:val="28"/>
          <w:rtl/>
        </w:rPr>
        <w:t>"</w:t>
      </w:r>
      <w:r w:rsidRPr="00446D62">
        <w:rPr>
          <w:rFonts w:cs="FrankRuehl" w:hint="cs"/>
          <w:b/>
          <w:bCs/>
          <w:sz w:val="28"/>
          <w:szCs w:val="28"/>
          <w:rtl/>
        </w:rPr>
        <w:t>עסקינן בחבורה מאורגנת, ששמה לה מטרה לפגוע בישראלים ויהודים, ושלאורך מספר חודשים ביצעה את זממה... חסד עשה שוכן שחקים שעבירות בהן מדובר לא נסתיימו חלילה באבדן חיים... מערכת המשפט צריכה לתרום את חלקה להלימה ולהרתעת הרבים, במיוחד במסכת עבירות חמורות כגון דא, למען יראו וייראו כל בעלי אידיאולוגיית זדון של פגיעה אלימה בזולת למטרות פוליטיות, יהיו אשר יהיו. אין מנוס מכך ששיקולים לקולא נסוגים בכגון דא. פסק דין זה מטרתו הרתעה, ומכאן ההחמרה ההכר</w:t>
      </w:r>
      <w:r>
        <w:rPr>
          <w:rFonts w:cs="FrankRuehl" w:hint="cs"/>
          <w:b/>
          <w:bCs/>
          <w:sz w:val="28"/>
          <w:szCs w:val="28"/>
          <w:rtl/>
        </w:rPr>
        <w:t>ח</w:t>
      </w:r>
      <w:r w:rsidRPr="00446D62">
        <w:rPr>
          <w:rFonts w:cs="FrankRuehl" w:hint="cs"/>
          <w:b/>
          <w:bCs/>
          <w:sz w:val="28"/>
          <w:szCs w:val="28"/>
          <w:rtl/>
        </w:rPr>
        <w:t>ית</w:t>
      </w:r>
      <w:r>
        <w:rPr>
          <w:rFonts w:cs="FrankRuehl" w:hint="cs"/>
          <w:sz w:val="28"/>
          <w:szCs w:val="28"/>
          <w:rtl/>
        </w:rPr>
        <w:t xml:space="preserve">". </w:t>
      </w:r>
    </w:p>
    <w:p w14:paraId="7DA3BC6F" w14:textId="77777777" w:rsidR="00E748A8" w:rsidRDefault="00E748A8" w:rsidP="00E748A8">
      <w:pPr>
        <w:spacing w:line="360" w:lineRule="auto"/>
        <w:jc w:val="both"/>
        <w:rPr>
          <w:rFonts w:cs="FrankRuehl"/>
          <w:sz w:val="28"/>
          <w:szCs w:val="28"/>
          <w:rtl/>
        </w:rPr>
      </w:pPr>
    </w:p>
    <w:p w14:paraId="0D80F892" w14:textId="77777777" w:rsidR="00E748A8" w:rsidRDefault="00E748A8" w:rsidP="00E748A8">
      <w:pPr>
        <w:spacing w:line="360" w:lineRule="auto"/>
        <w:jc w:val="both"/>
        <w:rPr>
          <w:rFonts w:cs="FrankRuehl"/>
          <w:sz w:val="28"/>
          <w:szCs w:val="28"/>
          <w:rtl/>
        </w:rPr>
      </w:pPr>
      <w:r>
        <w:rPr>
          <w:rFonts w:cs="FrankRuehl" w:hint="cs"/>
          <w:sz w:val="28"/>
          <w:szCs w:val="28"/>
          <w:rtl/>
        </w:rPr>
        <w:t>לא למותר לחזור ולהזכיר את דבריו של כב' השופט א' רובינשטיין בעניין התופעה של השלכת בקבוקי תבערה ב</w:t>
      </w:r>
      <w:hyperlink r:id="rId30" w:history="1">
        <w:r w:rsidR="00DE0B2F" w:rsidRPr="00DE0B2F">
          <w:rPr>
            <w:rFonts w:cs="FrankRuehl"/>
            <w:color w:val="0000FF"/>
            <w:sz w:val="28"/>
            <w:szCs w:val="28"/>
            <w:u w:val="single"/>
            <w:rtl/>
          </w:rPr>
          <w:t>ע"פ 262/06</w:t>
        </w:r>
      </w:hyperlink>
      <w:r>
        <w:rPr>
          <w:rFonts w:cs="FrankRuehl" w:hint="cs"/>
          <w:sz w:val="28"/>
          <w:szCs w:val="28"/>
          <w:rtl/>
        </w:rPr>
        <w:t xml:space="preserve">, פלוני נ' מדינת ישראל (פורסם במאגרים ביום 6.7.06), כדלקמן: </w:t>
      </w:r>
    </w:p>
    <w:p w14:paraId="27CCB176" w14:textId="77777777" w:rsidR="00E748A8" w:rsidRDefault="00E748A8" w:rsidP="00E748A8">
      <w:pPr>
        <w:spacing w:line="360" w:lineRule="auto"/>
        <w:jc w:val="both"/>
        <w:rPr>
          <w:rFonts w:cs="FrankRuehl"/>
          <w:sz w:val="28"/>
          <w:szCs w:val="28"/>
          <w:rtl/>
        </w:rPr>
      </w:pPr>
    </w:p>
    <w:p w14:paraId="72C0CD16" w14:textId="77777777" w:rsidR="00E748A8" w:rsidRDefault="00E748A8" w:rsidP="00E748A8">
      <w:pPr>
        <w:spacing w:line="360" w:lineRule="auto"/>
        <w:ind w:left="720"/>
        <w:jc w:val="both"/>
        <w:rPr>
          <w:rFonts w:cs="FrankRuehl"/>
          <w:sz w:val="28"/>
          <w:szCs w:val="28"/>
          <w:rtl/>
        </w:rPr>
      </w:pPr>
      <w:r>
        <w:rPr>
          <w:rFonts w:cs="FrankRuehl" w:hint="cs"/>
          <w:sz w:val="28"/>
          <w:szCs w:val="28"/>
          <w:rtl/>
        </w:rPr>
        <w:t>"</w:t>
      </w:r>
      <w:r w:rsidRPr="00363E22">
        <w:rPr>
          <w:rFonts w:cs="FrankRuehl" w:hint="cs"/>
          <w:b/>
          <w:bCs/>
          <w:sz w:val="28"/>
          <w:szCs w:val="28"/>
          <w:rtl/>
        </w:rPr>
        <w:t>סוג עבירות זה, שעניינן בקבוקי תבערה, מחייבות ענישה מחמירה. תוצאותיו של בקבוק תבערה, וכבר היו דברים מעולם, עלולות להיות קשות ביותר, וראוי אפוא שיצא הכל שענישה בכגון דא לא תהא קלה. ביטחון הציבור אינו יכול להיות הפקר ונתון לאימה, בכביש, בבית חולים, באוניברסיטה, בתחנת הדלק, ואלה המקומות עליהם כיוונו המערער וחבריו את מעשיהם</w:t>
      </w:r>
      <w:r>
        <w:rPr>
          <w:rFonts w:cs="FrankRuehl" w:hint="cs"/>
          <w:sz w:val="28"/>
          <w:szCs w:val="28"/>
          <w:rtl/>
        </w:rPr>
        <w:t xml:space="preserve">". </w:t>
      </w:r>
    </w:p>
    <w:p w14:paraId="6988C14C" w14:textId="77777777" w:rsidR="00E748A8" w:rsidRDefault="00E748A8" w:rsidP="00E748A8">
      <w:pPr>
        <w:spacing w:line="360" w:lineRule="auto"/>
        <w:jc w:val="both"/>
        <w:rPr>
          <w:rFonts w:cs="FrankRuehl"/>
          <w:sz w:val="28"/>
          <w:szCs w:val="28"/>
          <w:rtl/>
        </w:rPr>
      </w:pPr>
    </w:p>
    <w:p w14:paraId="3E6C67A3" w14:textId="77777777" w:rsidR="00E748A8" w:rsidRDefault="00E748A8" w:rsidP="00E748A8">
      <w:pPr>
        <w:spacing w:line="360" w:lineRule="auto"/>
        <w:jc w:val="both"/>
        <w:rPr>
          <w:rFonts w:cs="FrankRuehl"/>
          <w:sz w:val="28"/>
          <w:szCs w:val="28"/>
          <w:rtl/>
        </w:rPr>
      </w:pPr>
      <w:r>
        <w:rPr>
          <w:rFonts w:cs="FrankRuehl" w:hint="cs"/>
          <w:sz w:val="28"/>
          <w:szCs w:val="28"/>
          <w:rtl/>
        </w:rPr>
        <w:t>בית משפט זה דן מדי יום ביומו בעבירות של יידויי אבנים והשלכת בקבוקי תבערה כלפי יהודים, ו/או כלפי כוחות הביטחון, ועושה רושם שהעונשים, גם עונשי מאסר לתקופות לא מבוטלות, אינם מרתיעים דיים, ואולם, עדיין אין מקום לקפיצת מדרגה כה גדולה כדרישת התביעה להטיל 10 שנות מאסר על הנאשם דנן.</w:t>
      </w:r>
    </w:p>
    <w:p w14:paraId="5FD0A8B0" w14:textId="77777777" w:rsidR="00E748A8" w:rsidRDefault="00E748A8" w:rsidP="00E748A8">
      <w:pPr>
        <w:spacing w:line="360" w:lineRule="auto"/>
        <w:jc w:val="both"/>
        <w:rPr>
          <w:rFonts w:cs="FrankRuehl"/>
          <w:sz w:val="28"/>
          <w:szCs w:val="28"/>
          <w:rtl/>
        </w:rPr>
      </w:pPr>
    </w:p>
    <w:p w14:paraId="62E444EC" w14:textId="77777777" w:rsidR="00E748A8" w:rsidRDefault="00E748A8" w:rsidP="00E748A8">
      <w:pPr>
        <w:spacing w:line="360" w:lineRule="auto"/>
        <w:jc w:val="both"/>
        <w:rPr>
          <w:rFonts w:cs="FrankRuehl"/>
          <w:sz w:val="28"/>
          <w:szCs w:val="28"/>
          <w:rtl/>
        </w:rPr>
      </w:pPr>
      <w:r>
        <w:rPr>
          <w:rFonts w:cs="FrankRuehl" w:hint="cs"/>
          <w:sz w:val="28"/>
          <w:szCs w:val="28"/>
          <w:rtl/>
        </w:rPr>
        <w:t>בשים לב לכך, ולאחר ששמעתי דבריהם של ב"כ הנאשם וב"כ התביעה, ועיינתי בתסקיר שירות המבחן, אני מטיל על הנאשם עונש כדלקמן:</w:t>
      </w:r>
    </w:p>
    <w:p w14:paraId="6A34FB88" w14:textId="77777777" w:rsidR="00E748A8" w:rsidRDefault="00E748A8" w:rsidP="00E748A8">
      <w:pPr>
        <w:spacing w:line="360" w:lineRule="auto"/>
        <w:jc w:val="both"/>
        <w:rPr>
          <w:rFonts w:cs="FrankRuehl"/>
          <w:sz w:val="28"/>
          <w:szCs w:val="28"/>
          <w:rtl/>
        </w:rPr>
      </w:pPr>
    </w:p>
    <w:p w14:paraId="0DA27C88" w14:textId="77777777" w:rsidR="00E748A8" w:rsidRDefault="00E748A8" w:rsidP="00E748A8">
      <w:pPr>
        <w:spacing w:line="360" w:lineRule="auto"/>
        <w:jc w:val="both"/>
        <w:rPr>
          <w:rFonts w:cs="FrankRuehl"/>
          <w:sz w:val="28"/>
          <w:szCs w:val="28"/>
          <w:rtl/>
        </w:rPr>
      </w:pPr>
      <w:r>
        <w:rPr>
          <w:rFonts w:cs="FrankRuehl" w:hint="cs"/>
          <w:sz w:val="28"/>
          <w:szCs w:val="28"/>
          <w:rtl/>
        </w:rPr>
        <w:t xml:space="preserve">מאסר לתקופה של 6 שנים החל מיום מעצרו, דהיינו </w:t>
      </w:r>
      <w:r>
        <w:rPr>
          <w:rFonts w:cs="FrankRuehl"/>
          <w:sz w:val="28"/>
          <w:szCs w:val="28"/>
          <w:rtl/>
        </w:rPr>
        <w:t>–</w:t>
      </w:r>
      <w:r>
        <w:rPr>
          <w:rFonts w:cs="FrankRuehl" w:hint="cs"/>
          <w:sz w:val="28"/>
          <w:szCs w:val="28"/>
          <w:rtl/>
        </w:rPr>
        <w:t xml:space="preserve"> 20.4.15. </w:t>
      </w:r>
    </w:p>
    <w:p w14:paraId="2D902501" w14:textId="77777777" w:rsidR="00E748A8" w:rsidRDefault="00E748A8" w:rsidP="00E748A8">
      <w:pPr>
        <w:spacing w:line="360" w:lineRule="auto"/>
        <w:jc w:val="both"/>
        <w:rPr>
          <w:rFonts w:cs="FrankRuehl"/>
          <w:sz w:val="28"/>
          <w:szCs w:val="28"/>
          <w:rtl/>
        </w:rPr>
      </w:pPr>
    </w:p>
    <w:p w14:paraId="0DE868AA" w14:textId="77777777" w:rsidR="00E748A8" w:rsidRDefault="00E748A8" w:rsidP="00E748A8">
      <w:pPr>
        <w:spacing w:line="360" w:lineRule="auto"/>
        <w:jc w:val="both"/>
        <w:rPr>
          <w:rFonts w:cs="FrankRuehl"/>
          <w:sz w:val="28"/>
          <w:szCs w:val="28"/>
          <w:rtl/>
        </w:rPr>
      </w:pPr>
      <w:r>
        <w:rPr>
          <w:rFonts w:cs="FrankRuehl" w:hint="cs"/>
          <w:sz w:val="28"/>
          <w:szCs w:val="28"/>
          <w:rtl/>
        </w:rPr>
        <w:t>מאסר על תנאי למשך 24 חודש, ואולם הנאשם לא יישא בעונש זה, אלא אם כן יעבור תוך תקופה של 3 שנים מיום שחרורו על עבירה של חבלה בכוונה מחמירה, או ייצור נשק, או הצתה, ויורשע עלייה.</w:t>
      </w:r>
    </w:p>
    <w:p w14:paraId="2803F84F" w14:textId="77777777" w:rsidR="00E748A8" w:rsidRDefault="00E748A8" w:rsidP="00E748A8">
      <w:pPr>
        <w:spacing w:line="360" w:lineRule="auto"/>
        <w:jc w:val="both"/>
        <w:rPr>
          <w:rFonts w:cs="FrankRuehl"/>
          <w:sz w:val="28"/>
          <w:szCs w:val="28"/>
          <w:rtl/>
        </w:rPr>
      </w:pPr>
    </w:p>
    <w:p w14:paraId="3B59AB2B" w14:textId="77777777" w:rsidR="00E748A8" w:rsidRDefault="00E748A8" w:rsidP="00E748A8">
      <w:pPr>
        <w:spacing w:line="360" w:lineRule="auto"/>
        <w:jc w:val="both"/>
        <w:rPr>
          <w:rFonts w:cs="FrankRuehl"/>
          <w:sz w:val="28"/>
          <w:szCs w:val="28"/>
          <w:rtl/>
        </w:rPr>
      </w:pPr>
      <w:r>
        <w:rPr>
          <w:rFonts w:cs="FrankRuehl" w:hint="cs"/>
          <w:sz w:val="28"/>
          <w:szCs w:val="28"/>
          <w:rtl/>
        </w:rPr>
        <w:t>כמו כן, אני מחייב את הנאשם לפצות את המתלונן שרכבו נשרף (באישום השני) בסך של 10,000 ₪. סכום זה יופקד בקופת בית המשפט ויועבר למתלונן לפי פרטים שתמסור התביעה.</w:t>
      </w:r>
    </w:p>
    <w:p w14:paraId="7A085A7F" w14:textId="77777777" w:rsidR="00E748A8" w:rsidRDefault="00E748A8" w:rsidP="00E748A8">
      <w:pPr>
        <w:spacing w:line="360" w:lineRule="auto"/>
        <w:jc w:val="both"/>
        <w:rPr>
          <w:rFonts w:cs="FrankRuehl"/>
          <w:sz w:val="28"/>
          <w:szCs w:val="28"/>
          <w:rtl/>
        </w:rPr>
      </w:pPr>
    </w:p>
    <w:p w14:paraId="2D84BE16" w14:textId="77777777" w:rsidR="00E748A8" w:rsidRDefault="00E748A8" w:rsidP="00E748A8">
      <w:pPr>
        <w:spacing w:line="360" w:lineRule="auto"/>
        <w:jc w:val="both"/>
        <w:rPr>
          <w:rFonts w:cs="FrankRuehl"/>
          <w:sz w:val="28"/>
          <w:szCs w:val="28"/>
          <w:rtl/>
        </w:rPr>
      </w:pPr>
      <w:r>
        <w:rPr>
          <w:rFonts w:cs="FrankRuehl" w:hint="cs"/>
          <w:sz w:val="28"/>
          <w:szCs w:val="28"/>
          <w:rtl/>
        </w:rPr>
        <w:t xml:space="preserve">יש לשלוח העתק לשירות המבחן. </w:t>
      </w:r>
    </w:p>
    <w:p w14:paraId="587D26E3" w14:textId="77777777" w:rsidR="00E748A8" w:rsidRDefault="00E748A8" w:rsidP="00E748A8">
      <w:pPr>
        <w:spacing w:line="360" w:lineRule="auto"/>
        <w:rPr>
          <w:rFonts w:cs="FrankRuehl"/>
          <w:sz w:val="28"/>
          <w:szCs w:val="28"/>
          <w:rtl/>
        </w:rPr>
      </w:pPr>
    </w:p>
    <w:p w14:paraId="5449A496" w14:textId="77777777" w:rsidR="00E748A8" w:rsidRDefault="00E748A8" w:rsidP="00E748A8">
      <w:pPr>
        <w:spacing w:line="360" w:lineRule="auto"/>
        <w:rPr>
          <w:rFonts w:cs="FrankRuehl"/>
          <w:sz w:val="28"/>
          <w:szCs w:val="28"/>
          <w:rtl/>
        </w:rPr>
      </w:pPr>
      <w:r w:rsidRPr="00A551EB">
        <w:rPr>
          <w:rFonts w:cs="FrankRuehl" w:hint="cs"/>
          <w:b/>
          <w:bCs/>
          <w:sz w:val="28"/>
          <w:szCs w:val="28"/>
          <w:rtl/>
        </w:rPr>
        <w:t>זכות ערעור לבית המשפט העליון תוך 45 יום מהיום</w:t>
      </w:r>
      <w:r>
        <w:rPr>
          <w:rFonts w:cs="FrankRuehl" w:hint="cs"/>
          <w:sz w:val="28"/>
          <w:szCs w:val="28"/>
          <w:rtl/>
        </w:rPr>
        <w:t>.</w:t>
      </w:r>
    </w:p>
    <w:p w14:paraId="283BEB55" w14:textId="77777777" w:rsidR="00E748A8" w:rsidRDefault="00E748A8" w:rsidP="00E748A8">
      <w:pPr>
        <w:rPr>
          <w:rFonts w:cs="FrankRuehl"/>
          <w:sz w:val="28"/>
          <w:szCs w:val="28"/>
          <w:rtl/>
        </w:rPr>
      </w:pPr>
    </w:p>
    <w:p w14:paraId="1DBFD161" w14:textId="77777777" w:rsidR="00E748A8" w:rsidRDefault="00E748A8" w:rsidP="00E748A8">
      <w:pPr>
        <w:rPr>
          <w:rFonts w:cs="FrankRuehl"/>
          <w:sz w:val="28"/>
          <w:szCs w:val="28"/>
          <w:rtl/>
        </w:rPr>
      </w:pPr>
    </w:p>
    <w:p w14:paraId="62D0443D" w14:textId="77777777" w:rsidR="00E748A8" w:rsidRPr="001C77C9" w:rsidRDefault="00DE0B2F" w:rsidP="00E748A8">
      <w:pPr>
        <w:spacing w:line="360" w:lineRule="auto"/>
        <w:jc w:val="both"/>
        <w:rPr>
          <w:rFonts w:ascii="Arial" w:hAnsi="Arial" w:cs="FrankRuehl"/>
          <w:b/>
          <w:bCs/>
        </w:rPr>
      </w:pPr>
      <w:r w:rsidRPr="00DE0B2F">
        <w:rPr>
          <w:rFonts w:ascii="Arial" w:hAnsi="Arial" w:cs="FrankRuehl"/>
          <w:b/>
          <w:bCs/>
          <w:color w:val="FFFFFF"/>
          <w:sz w:val="2"/>
          <w:szCs w:val="2"/>
          <w:rtl/>
        </w:rPr>
        <w:t>5129371</w:t>
      </w:r>
      <w:r>
        <w:rPr>
          <w:rFonts w:ascii="Arial" w:hAnsi="Arial" w:cs="FrankRuehl"/>
          <w:b/>
          <w:bCs/>
          <w:sz w:val="28"/>
          <w:szCs w:val="28"/>
          <w:rtl/>
        </w:rPr>
        <w:t xml:space="preserve">ניתן היום, כ"ח אדר ב' תשע"ו, 07 אפריל 2016, במעמד הצדדים (בהיעדר התייצבות מטעם </w:t>
      </w:r>
      <w:r w:rsidR="00E748A8">
        <w:rPr>
          <w:rFonts w:ascii="Arial" w:hAnsi="Arial" w:cs="FrankRuehl" w:hint="cs"/>
          <w:b/>
          <w:bCs/>
          <w:sz w:val="28"/>
          <w:szCs w:val="28"/>
          <w:rtl/>
        </w:rPr>
        <w:t>הפרקליטות)</w:t>
      </w:r>
      <w:r w:rsidR="00E748A8" w:rsidRPr="001C77C9">
        <w:rPr>
          <w:rFonts w:ascii="Arial" w:hAnsi="Arial" w:cs="FrankRuehl"/>
          <w:b/>
          <w:bCs/>
          <w:sz w:val="28"/>
          <w:szCs w:val="28"/>
          <w:rtl/>
        </w:rPr>
        <w:t>.</w:t>
      </w:r>
    </w:p>
    <w:p w14:paraId="6AD6B55E" w14:textId="77777777" w:rsidR="00E748A8" w:rsidRPr="00DE0B2F" w:rsidRDefault="00DE0B2F" w:rsidP="00E748A8">
      <w:pPr>
        <w:rPr>
          <w:rFonts w:cs="FrankRuehl"/>
          <w:color w:val="FFFFFF"/>
          <w:sz w:val="2"/>
          <w:szCs w:val="2"/>
          <w:rtl/>
        </w:rPr>
      </w:pPr>
      <w:r w:rsidRPr="00DE0B2F">
        <w:rPr>
          <w:rFonts w:cs="FrankRuehl"/>
          <w:color w:val="FFFFFF"/>
          <w:sz w:val="2"/>
          <w:szCs w:val="2"/>
          <w:rtl/>
        </w:rPr>
        <w:t>54678313</w:t>
      </w:r>
    </w:p>
    <w:p w14:paraId="49F8D5DA" w14:textId="77777777" w:rsidR="00E748A8" w:rsidRDefault="00E748A8" w:rsidP="00E748A8">
      <w:pPr>
        <w:jc w:val="right"/>
      </w:pPr>
    </w:p>
    <w:p w14:paraId="6A30EC07" w14:textId="77777777" w:rsidR="00E748A8" w:rsidRDefault="00E748A8" w:rsidP="00E748A8">
      <w:pPr>
        <w:jc w:val="right"/>
        <w:rPr>
          <w:rFonts w:ascii="Arial" w:hAnsi="Arial" w:cs="FrankRuehl"/>
          <w:sz w:val="28"/>
          <w:szCs w:val="28"/>
          <w:rtl/>
        </w:rPr>
      </w:pPr>
    </w:p>
    <w:p w14:paraId="71DBAE98" w14:textId="77777777" w:rsidR="00E748A8" w:rsidRDefault="00E748A8" w:rsidP="00E748A8">
      <w:pPr>
        <w:rPr>
          <w:rFonts w:cs="FrankRuehl"/>
          <w:sz w:val="28"/>
          <w:szCs w:val="28"/>
          <w:rtl/>
        </w:rPr>
      </w:pPr>
    </w:p>
    <w:p w14:paraId="13C5E632" w14:textId="77777777" w:rsidR="00E748A8" w:rsidRDefault="00E748A8" w:rsidP="00E748A8">
      <w:pPr>
        <w:pStyle w:val="a3"/>
        <w:jc w:val="center"/>
        <w:rPr>
          <w:rtl/>
        </w:rPr>
      </w:pPr>
    </w:p>
    <w:p w14:paraId="2A1CD213" w14:textId="77777777" w:rsidR="00DE0B2F" w:rsidRPr="00DE0B2F" w:rsidRDefault="00DE0B2F" w:rsidP="00DE0B2F">
      <w:pPr>
        <w:keepNext/>
        <w:rPr>
          <w:rFonts w:ascii="David" w:hAnsi="David"/>
          <w:color w:val="000000"/>
          <w:sz w:val="22"/>
          <w:szCs w:val="22"/>
          <w:rtl/>
        </w:rPr>
      </w:pPr>
    </w:p>
    <w:p w14:paraId="2EB3E870" w14:textId="77777777" w:rsidR="00DE0B2F" w:rsidRPr="00DE0B2F" w:rsidRDefault="00DE0B2F" w:rsidP="00DE0B2F">
      <w:pPr>
        <w:keepNext/>
        <w:rPr>
          <w:rFonts w:ascii="David" w:hAnsi="David"/>
          <w:color w:val="000000"/>
          <w:sz w:val="22"/>
          <w:szCs w:val="22"/>
          <w:rtl/>
        </w:rPr>
      </w:pPr>
      <w:r w:rsidRPr="00DE0B2F">
        <w:rPr>
          <w:rFonts w:ascii="David" w:hAnsi="David"/>
          <w:color w:val="000000"/>
          <w:sz w:val="22"/>
          <w:szCs w:val="22"/>
          <w:rtl/>
        </w:rPr>
        <w:t>אמנון כהן 54678313</w:t>
      </w:r>
    </w:p>
    <w:p w14:paraId="46E8D9BE" w14:textId="77777777" w:rsidR="00DE0B2F" w:rsidRDefault="00DE0B2F" w:rsidP="00DE0B2F">
      <w:r w:rsidRPr="00DE0B2F">
        <w:rPr>
          <w:color w:val="000000"/>
          <w:rtl/>
        </w:rPr>
        <w:t>נוסח מסמך זה כפוף לשינויי ניסוח ועריכה</w:t>
      </w:r>
    </w:p>
    <w:p w14:paraId="6DF62BAE" w14:textId="77777777" w:rsidR="00DE0B2F" w:rsidRDefault="00DE0B2F" w:rsidP="00DE0B2F">
      <w:pPr>
        <w:rPr>
          <w:rtl/>
        </w:rPr>
      </w:pPr>
    </w:p>
    <w:p w14:paraId="17F6B45D" w14:textId="77777777" w:rsidR="00DE0B2F" w:rsidRDefault="00DE0B2F" w:rsidP="00DE0B2F">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r w:rsidR="000B586F">
        <w:rPr>
          <w:rFonts w:hint="cs"/>
          <w:color w:val="0000FF"/>
          <w:u w:val="single"/>
          <w:rtl/>
        </w:rPr>
        <w:t xml:space="preserve"> </w:t>
      </w:r>
    </w:p>
    <w:p w14:paraId="6E721AE4" w14:textId="77777777" w:rsidR="00B1215F" w:rsidRPr="00DE0B2F" w:rsidRDefault="00B1215F" w:rsidP="00DE0B2F">
      <w:pPr>
        <w:jc w:val="center"/>
        <w:rPr>
          <w:color w:val="0000FF"/>
          <w:u w:val="single"/>
        </w:rPr>
      </w:pPr>
    </w:p>
    <w:sectPr w:rsidR="00B1215F" w:rsidRPr="00DE0B2F" w:rsidSect="00DE0B2F">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7D642" w14:textId="77777777" w:rsidR="00AB4F3F" w:rsidRDefault="00AB4F3F">
      <w:r>
        <w:separator/>
      </w:r>
    </w:p>
  </w:endnote>
  <w:endnote w:type="continuationSeparator" w:id="0">
    <w:p w14:paraId="2C400C98" w14:textId="77777777" w:rsidR="00AB4F3F" w:rsidRDefault="00AB4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00F02" w14:textId="77777777" w:rsidR="00886F3A" w:rsidRDefault="00886F3A" w:rsidP="00DE0B2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C7C8D80" w14:textId="77777777" w:rsidR="00886F3A" w:rsidRPr="00DE0B2F" w:rsidRDefault="00886F3A" w:rsidP="00DE0B2F">
    <w:pPr>
      <w:pStyle w:val="a4"/>
      <w:pBdr>
        <w:top w:val="single" w:sz="4" w:space="1" w:color="auto"/>
        <w:between w:val="single" w:sz="4" w:space="0" w:color="auto"/>
      </w:pBdr>
      <w:spacing w:after="60"/>
      <w:jc w:val="center"/>
      <w:rPr>
        <w:rFonts w:ascii="FrankRuehl" w:hAnsi="FrankRuehl" w:cs="FrankRuehl"/>
        <w:color w:val="000000"/>
      </w:rPr>
    </w:pPr>
    <w:r w:rsidRPr="00DE0B2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F9467" w14:textId="77777777" w:rsidR="00886F3A" w:rsidRDefault="00886F3A" w:rsidP="00DE0B2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33F1">
      <w:rPr>
        <w:rFonts w:ascii="FrankRuehl" w:hAnsi="FrankRuehl" w:cs="FrankRuehl"/>
        <w:noProof/>
        <w:rtl/>
      </w:rPr>
      <w:t>1</w:t>
    </w:r>
    <w:r>
      <w:rPr>
        <w:rFonts w:ascii="FrankRuehl" w:hAnsi="FrankRuehl" w:cs="FrankRuehl"/>
        <w:rtl/>
      </w:rPr>
      <w:fldChar w:fldCharType="end"/>
    </w:r>
  </w:p>
  <w:p w14:paraId="181CF2A9" w14:textId="77777777" w:rsidR="00886F3A" w:rsidRPr="00DE0B2F" w:rsidRDefault="00886F3A" w:rsidP="00DE0B2F">
    <w:pPr>
      <w:pStyle w:val="a4"/>
      <w:pBdr>
        <w:top w:val="single" w:sz="4" w:space="1" w:color="auto"/>
        <w:between w:val="single" w:sz="4" w:space="0" w:color="auto"/>
      </w:pBdr>
      <w:spacing w:after="60"/>
      <w:jc w:val="center"/>
      <w:rPr>
        <w:rFonts w:ascii="FrankRuehl" w:hAnsi="FrankRuehl" w:cs="FrankRuehl"/>
        <w:color w:val="000000"/>
      </w:rPr>
    </w:pPr>
    <w:r w:rsidRPr="00DE0B2F">
      <w:rPr>
        <w:rFonts w:ascii="FrankRuehl" w:hAnsi="FrankRuehl" w:cs="FrankRuehl"/>
        <w:color w:val="000000"/>
      </w:rPr>
      <w:pict w14:anchorId="12E55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616D5" w14:textId="77777777" w:rsidR="00AB4F3F" w:rsidRDefault="00AB4F3F">
      <w:r>
        <w:separator/>
      </w:r>
    </w:p>
  </w:footnote>
  <w:footnote w:type="continuationSeparator" w:id="0">
    <w:p w14:paraId="46D49C13" w14:textId="77777777" w:rsidR="00AB4F3F" w:rsidRDefault="00AB4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1F5ED" w14:textId="77777777" w:rsidR="00886F3A" w:rsidRPr="00DE0B2F" w:rsidRDefault="00886F3A" w:rsidP="00DE0B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27135-05-15</w:t>
    </w:r>
    <w:r>
      <w:rPr>
        <w:rFonts w:ascii="David" w:hAnsi="David"/>
        <w:color w:val="000000"/>
        <w:sz w:val="22"/>
        <w:szCs w:val="22"/>
        <w:rtl/>
      </w:rPr>
      <w:tab/>
      <w:t xml:space="preserve"> מדינת ישראל נ' מוחמד עבאסי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6894C" w14:textId="77777777" w:rsidR="00886F3A" w:rsidRPr="00DE0B2F" w:rsidRDefault="00886F3A" w:rsidP="00DE0B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27135-05-15</w:t>
    </w:r>
    <w:r>
      <w:rPr>
        <w:rFonts w:ascii="David" w:hAnsi="David"/>
        <w:color w:val="000000"/>
        <w:sz w:val="22"/>
        <w:szCs w:val="22"/>
        <w:rtl/>
      </w:rPr>
      <w:tab/>
      <w:t xml:space="preserve"> מדינת ישראל נ' מוחמד עבאסי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48A8"/>
    <w:rsid w:val="000B586F"/>
    <w:rsid w:val="00167F16"/>
    <w:rsid w:val="00174FB2"/>
    <w:rsid w:val="003D2D8A"/>
    <w:rsid w:val="00512117"/>
    <w:rsid w:val="005545A6"/>
    <w:rsid w:val="00886F3A"/>
    <w:rsid w:val="00AA33F7"/>
    <w:rsid w:val="00AB4F3F"/>
    <w:rsid w:val="00AE0D21"/>
    <w:rsid w:val="00B1215F"/>
    <w:rsid w:val="00CF33F1"/>
    <w:rsid w:val="00DE0B2F"/>
    <w:rsid w:val="00E11EF1"/>
    <w:rsid w:val="00E748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805E44"/>
  <w15:chartTrackingRefBased/>
  <w15:docId w15:val="{4CD0748B-8A17-4CEC-ABD4-E37DD518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48A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748A8"/>
    <w:pPr>
      <w:tabs>
        <w:tab w:val="center" w:pos="4153"/>
        <w:tab w:val="right" w:pos="8306"/>
      </w:tabs>
    </w:pPr>
  </w:style>
  <w:style w:type="paragraph" w:styleId="a4">
    <w:name w:val="footer"/>
    <w:basedOn w:val="a"/>
    <w:rsid w:val="00E748A8"/>
    <w:pPr>
      <w:tabs>
        <w:tab w:val="center" w:pos="4153"/>
        <w:tab w:val="right" w:pos="8306"/>
      </w:tabs>
    </w:pPr>
  </w:style>
  <w:style w:type="character" w:styleId="a5">
    <w:name w:val="page number"/>
    <w:basedOn w:val="a0"/>
    <w:rsid w:val="00E748A8"/>
  </w:style>
  <w:style w:type="character" w:styleId="Hyperlink">
    <w:name w:val="Hyperlink"/>
    <w:rsid w:val="00DE0B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0888243" TargetMode="External"/><Relationship Id="rId21" Type="http://schemas.openxmlformats.org/officeDocument/2006/relationships/hyperlink" Target="http://www.nevo.co.il/law/70301/338.5" TargetMode="External"/><Relationship Id="rId34" Type="http://schemas.openxmlformats.org/officeDocument/2006/relationships/footer" Target="footer1.xml"/><Relationship Id="rId7" Type="http://schemas.openxmlformats.org/officeDocument/2006/relationships/hyperlink" Target="http://www.nevo.co.il/law/70301/144.b2"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329.2" TargetMode="External"/><Relationship Id="rId25" Type="http://schemas.openxmlformats.org/officeDocument/2006/relationships/hyperlink" Target="http://www.nevo.co.il/case/5603159"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144.b2" TargetMode="External"/><Relationship Id="rId20" Type="http://schemas.openxmlformats.org/officeDocument/2006/relationships/hyperlink" Target="http://www.nevo.co.il/case/20273261" TargetMode="External"/><Relationship Id="rId29" Type="http://schemas.openxmlformats.org/officeDocument/2006/relationships/hyperlink" Target="http://www.nevo.co.il/case/2088824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29.2" TargetMode="External"/><Relationship Id="rId24" Type="http://schemas.openxmlformats.org/officeDocument/2006/relationships/hyperlink" Target="http://www.nevo.co.il/case/1310425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8654011" TargetMode="External"/><Relationship Id="rId36" Type="http://schemas.openxmlformats.org/officeDocument/2006/relationships/fontTable" Target="fontTable.xml"/><Relationship Id="rId10" Type="http://schemas.openxmlformats.org/officeDocument/2006/relationships/hyperlink" Target="http://www.nevo.co.il/law/70301/448.a" TargetMode="External"/><Relationship Id="rId19" Type="http://schemas.openxmlformats.org/officeDocument/2006/relationships/hyperlink" Target="http://www.nevo.co.il/law/70301/144.b2"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338.5" TargetMode="External"/><Relationship Id="rId14" Type="http://schemas.openxmlformats.org/officeDocument/2006/relationships/hyperlink" Target="http://www.nevo.co.il/law/70301/448.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7954235" TargetMode="External"/><Relationship Id="rId30" Type="http://schemas.openxmlformats.org/officeDocument/2006/relationships/hyperlink" Target="http://www.nevo.co.il/case/6188919" TargetMode="External"/><Relationship Id="rId35" Type="http://schemas.openxmlformats.org/officeDocument/2006/relationships/footer" Target="footer2.xml"/><Relationship Id="rId8" Type="http://schemas.openxmlformats.org/officeDocument/2006/relationships/hyperlink" Target="http://www.nevo.co.il/law/70301/329.2"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1946</Words>
  <Characters>9735</Characters>
  <Application>Microsoft Office Word</Application>
  <DocSecurity>0</DocSecurity>
  <Lines>81</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11658</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4063356</vt:i4>
      </vt:variant>
      <vt:variant>
        <vt:i4>72</vt:i4>
      </vt:variant>
      <vt:variant>
        <vt:i4>0</vt:i4>
      </vt:variant>
      <vt:variant>
        <vt:i4>5</vt:i4>
      </vt:variant>
      <vt:variant>
        <vt:lpwstr>http://www.nevo.co.il/case/6188919</vt:lpwstr>
      </vt:variant>
      <vt:variant>
        <vt:lpwstr/>
      </vt:variant>
      <vt:variant>
        <vt:i4>3539070</vt:i4>
      </vt:variant>
      <vt:variant>
        <vt:i4>69</vt:i4>
      </vt:variant>
      <vt:variant>
        <vt:i4>0</vt:i4>
      </vt:variant>
      <vt:variant>
        <vt:i4>5</vt:i4>
      </vt:variant>
      <vt:variant>
        <vt:lpwstr>http://www.nevo.co.il/case/20888243</vt:lpwstr>
      </vt:variant>
      <vt:variant>
        <vt:lpwstr/>
      </vt:variant>
      <vt:variant>
        <vt:i4>3276921</vt:i4>
      </vt:variant>
      <vt:variant>
        <vt:i4>66</vt:i4>
      </vt:variant>
      <vt:variant>
        <vt:i4>0</vt:i4>
      </vt:variant>
      <vt:variant>
        <vt:i4>5</vt:i4>
      </vt:variant>
      <vt:variant>
        <vt:lpwstr>http://www.nevo.co.il/case/18654011</vt:lpwstr>
      </vt:variant>
      <vt:variant>
        <vt:lpwstr/>
      </vt:variant>
      <vt:variant>
        <vt:i4>4128884</vt:i4>
      </vt:variant>
      <vt:variant>
        <vt:i4>63</vt:i4>
      </vt:variant>
      <vt:variant>
        <vt:i4>0</vt:i4>
      </vt:variant>
      <vt:variant>
        <vt:i4>5</vt:i4>
      </vt:variant>
      <vt:variant>
        <vt:lpwstr>http://www.nevo.co.il/case/17954235</vt:lpwstr>
      </vt:variant>
      <vt:variant>
        <vt:lpwstr/>
      </vt:variant>
      <vt:variant>
        <vt:i4>3539070</vt:i4>
      </vt:variant>
      <vt:variant>
        <vt:i4>60</vt:i4>
      </vt:variant>
      <vt:variant>
        <vt:i4>0</vt:i4>
      </vt:variant>
      <vt:variant>
        <vt:i4>5</vt:i4>
      </vt:variant>
      <vt:variant>
        <vt:lpwstr>http://www.nevo.co.il/case/20888243</vt:lpwstr>
      </vt:variant>
      <vt:variant>
        <vt:lpwstr/>
      </vt:variant>
      <vt:variant>
        <vt:i4>3997812</vt:i4>
      </vt:variant>
      <vt:variant>
        <vt:i4>57</vt:i4>
      </vt:variant>
      <vt:variant>
        <vt:i4>0</vt:i4>
      </vt:variant>
      <vt:variant>
        <vt:i4>5</vt:i4>
      </vt:variant>
      <vt:variant>
        <vt:lpwstr>http://www.nevo.co.il/case/5603159</vt:lpwstr>
      </vt:variant>
      <vt:variant>
        <vt:lpwstr/>
      </vt:variant>
      <vt:variant>
        <vt:i4>3211381</vt:i4>
      </vt:variant>
      <vt:variant>
        <vt:i4>54</vt:i4>
      </vt:variant>
      <vt:variant>
        <vt:i4>0</vt:i4>
      </vt:variant>
      <vt:variant>
        <vt:i4>5</vt:i4>
      </vt:variant>
      <vt:variant>
        <vt:lpwstr>http://www.nevo.co.il/case/13104258</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4718686</vt:i4>
      </vt:variant>
      <vt:variant>
        <vt:i4>45</vt:i4>
      </vt:variant>
      <vt:variant>
        <vt:i4>0</vt:i4>
      </vt:variant>
      <vt:variant>
        <vt:i4>5</vt:i4>
      </vt:variant>
      <vt:variant>
        <vt:lpwstr>http://www.nevo.co.il/law/70301/338.5</vt:lpwstr>
      </vt:variant>
      <vt:variant>
        <vt:lpwstr/>
      </vt:variant>
      <vt:variant>
        <vt:i4>3473521</vt:i4>
      </vt:variant>
      <vt:variant>
        <vt:i4>42</vt:i4>
      </vt:variant>
      <vt:variant>
        <vt:i4>0</vt:i4>
      </vt:variant>
      <vt:variant>
        <vt:i4>5</vt:i4>
      </vt:variant>
      <vt:variant>
        <vt:lpwstr>http://www.nevo.co.il/case/20273261</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7995492</vt:i4>
      </vt:variant>
      <vt:variant>
        <vt:i4>36</vt:i4>
      </vt:variant>
      <vt:variant>
        <vt:i4>0</vt:i4>
      </vt:variant>
      <vt:variant>
        <vt:i4>5</vt:i4>
      </vt:variant>
      <vt:variant>
        <vt:lpwstr>http://www.nevo.co.il/law/70301</vt:lpwstr>
      </vt:variant>
      <vt:variant>
        <vt:lpwstr/>
      </vt:variant>
      <vt:variant>
        <vt:i4>4784223</vt:i4>
      </vt:variant>
      <vt:variant>
        <vt:i4>33</vt:i4>
      </vt:variant>
      <vt:variant>
        <vt:i4>0</vt:i4>
      </vt:variant>
      <vt:variant>
        <vt:i4>5</vt:i4>
      </vt:variant>
      <vt:variant>
        <vt:lpwstr>http://www.nevo.co.il/law/70301/329.2</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5177433</vt:i4>
      </vt:variant>
      <vt:variant>
        <vt:i4>24</vt:i4>
      </vt:variant>
      <vt:variant>
        <vt:i4>0</vt:i4>
      </vt:variant>
      <vt:variant>
        <vt:i4>5</vt:i4>
      </vt:variant>
      <vt:variant>
        <vt:lpwstr>http://www.nevo.co.il/law/70301/448.a</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7995492</vt:i4>
      </vt:variant>
      <vt:variant>
        <vt:i4>18</vt:i4>
      </vt:variant>
      <vt:variant>
        <vt:i4>0</vt:i4>
      </vt:variant>
      <vt:variant>
        <vt:i4>5</vt:i4>
      </vt:variant>
      <vt:variant>
        <vt:lpwstr>http://www.nevo.co.il/law/70301</vt:lpwstr>
      </vt:variant>
      <vt:variant>
        <vt:lpwstr/>
      </vt:variant>
      <vt:variant>
        <vt:i4>4784223</vt:i4>
      </vt:variant>
      <vt:variant>
        <vt:i4>15</vt:i4>
      </vt:variant>
      <vt:variant>
        <vt:i4>0</vt:i4>
      </vt:variant>
      <vt:variant>
        <vt:i4>5</vt:i4>
      </vt:variant>
      <vt:variant>
        <vt:lpwstr>http://www.nevo.co.il/law/70301/329.2</vt:lpwstr>
      </vt:variant>
      <vt:variant>
        <vt:lpwstr/>
      </vt:variant>
      <vt:variant>
        <vt:i4>5177433</vt:i4>
      </vt:variant>
      <vt:variant>
        <vt:i4>12</vt:i4>
      </vt:variant>
      <vt:variant>
        <vt:i4>0</vt:i4>
      </vt:variant>
      <vt:variant>
        <vt:i4>5</vt:i4>
      </vt:variant>
      <vt:variant>
        <vt:lpwstr>http://www.nevo.co.il/law/70301/448.a</vt:lpwstr>
      </vt:variant>
      <vt:variant>
        <vt:lpwstr/>
      </vt:variant>
      <vt:variant>
        <vt:i4>4718686</vt:i4>
      </vt:variant>
      <vt:variant>
        <vt:i4>9</vt:i4>
      </vt:variant>
      <vt:variant>
        <vt:i4>0</vt:i4>
      </vt:variant>
      <vt:variant>
        <vt:i4>5</vt:i4>
      </vt:variant>
      <vt:variant>
        <vt:lpwstr>http://www.nevo.co.il/law/70301/338.5</vt:lpwstr>
      </vt:variant>
      <vt:variant>
        <vt:lpwstr/>
      </vt:variant>
      <vt:variant>
        <vt:i4>4784223</vt:i4>
      </vt:variant>
      <vt:variant>
        <vt:i4>6</vt:i4>
      </vt:variant>
      <vt:variant>
        <vt:i4>0</vt:i4>
      </vt:variant>
      <vt:variant>
        <vt:i4>5</vt:i4>
      </vt:variant>
      <vt:variant>
        <vt:lpwstr>http://www.nevo.co.il/law/70301/329.2</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2025-01-19T16:01:00Z</dcterms:created>
  <dcterms:modified xsi:type="dcterms:W3CDTF">2025-01-19T16:01:00Z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27135</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עבאסי</vt:lpwstr>
  </property>
  <property fmtid="{D5CDD505-2E9C-101B-9397-08002B2CF9AE}" pid="10" name="LAWYER">
    <vt:lpwstr>מוריה הירש;מוחמד מחמוד</vt:lpwstr>
  </property>
  <property fmtid="{D5CDD505-2E9C-101B-9397-08002B2CF9AE}" pid="11" name="JUDGE">
    <vt:lpwstr>אמנון כהן</vt:lpwstr>
  </property>
  <property fmtid="{D5CDD505-2E9C-101B-9397-08002B2CF9AE}" pid="12" name="CITY">
    <vt:lpwstr>י-ם</vt:lpwstr>
  </property>
  <property fmtid="{D5CDD505-2E9C-101B-9397-08002B2CF9AE}" pid="13" name="DATE">
    <vt:lpwstr>20160407</vt:lpwstr>
  </property>
  <property fmtid="{D5CDD505-2E9C-101B-9397-08002B2CF9AE}" pid="14" name="TYPE_N_DATE">
    <vt:lpwstr>39020160407</vt:lpwstr>
  </property>
  <property fmtid="{D5CDD505-2E9C-101B-9397-08002B2CF9AE}" pid="15" name="CASESLISTTMP1">
    <vt:lpwstr>20273261;13104258;5603159;20888243:2;17954235;18654011;6188919</vt:lpwstr>
  </property>
  <property fmtid="{D5CDD505-2E9C-101B-9397-08002B2CF9AE}" pid="16" name="WORDNUMPAGES">
    <vt:lpwstr>7</vt:lpwstr>
  </property>
  <property fmtid="{D5CDD505-2E9C-101B-9397-08002B2CF9AE}" pid="17" name="TYPE_ABS_DATE">
    <vt:lpwstr>390020160407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70301/329.2:2;144.b2:3;448.a;338.5</vt:lpwstr>
  </property>
</Properties>
</file>