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8C0051" w:rsidRPr="000B34F8" w14:paraId="5EABDDC1" w14:textId="77777777" w:rsidTr="00A24B02">
        <w:trPr>
          <w:trHeight w:hRule="exact" w:val="418"/>
          <w:jc w:val="center"/>
        </w:trPr>
        <w:tc>
          <w:tcPr>
            <w:tcW w:w="8721" w:type="dxa"/>
            <w:gridSpan w:val="2"/>
          </w:tcPr>
          <w:p w14:paraId="67F9367A" w14:textId="77777777" w:rsidR="008C0051" w:rsidRPr="000B34F8" w:rsidRDefault="008C0051" w:rsidP="000B34F8">
            <w:pPr>
              <w:pStyle w:val="a3"/>
              <w:jc w:val="center"/>
              <w:rPr>
                <w:rFonts w:ascii="Tahoma" w:hAnsi="Tahoma" w:cs="Tahoma"/>
                <w:color w:val="000080"/>
                <w:rtl/>
              </w:rPr>
            </w:pPr>
            <w:r w:rsidRPr="000B34F8">
              <w:rPr>
                <w:rFonts w:ascii="Tahoma" w:hAnsi="Tahoma" w:cs="Tahoma"/>
                <w:b/>
                <w:bCs/>
                <w:color w:val="000080"/>
                <w:rtl/>
              </w:rPr>
              <w:t>בית המשפט המחוזי בחיפה</w:t>
            </w:r>
          </w:p>
        </w:tc>
      </w:tr>
      <w:tr w:rsidR="008C0051" w:rsidRPr="000B34F8" w14:paraId="30A914EE" w14:textId="77777777" w:rsidTr="00A24B02">
        <w:trPr>
          <w:trHeight w:val="337"/>
          <w:jc w:val="center"/>
        </w:trPr>
        <w:tc>
          <w:tcPr>
            <w:tcW w:w="5062" w:type="dxa"/>
          </w:tcPr>
          <w:p w14:paraId="0267237D" w14:textId="77777777" w:rsidR="008C0051" w:rsidRPr="000B34F8" w:rsidRDefault="008C0051" w:rsidP="000B34F8">
            <w:pPr>
              <w:rPr>
                <w:rFonts w:cs="FrankRuehl"/>
                <w:sz w:val="28"/>
                <w:szCs w:val="28"/>
                <w:rtl/>
              </w:rPr>
            </w:pPr>
            <w:r w:rsidRPr="000B34F8">
              <w:rPr>
                <w:b/>
                <w:bCs/>
                <w:sz w:val="26"/>
                <w:szCs w:val="26"/>
                <w:rtl/>
              </w:rPr>
              <w:t>תפ"ח</w:t>
            </w:r>
            <w:r w:rsidRPr="000B34F8">
              <w:rPr>
                <w:rFonts w:cs="FrankRuehl" w:hint="cs"/>
                <w:sz w:val="28"/>
                <w:szCs w:val="28"/>
                <w:rtl/>
              </w:rPr>
              <w:t xml:space="preserve"> </w:t>
            </w:r>
            <w:r w:rsidRPr="000B34F8">
              <w:rPr>
                <w:b/>
                <w:bCs/>
                <w:sz w:val="26"/>
                <w:szCs w:val="26"/>
                <w:rtl/>
              </w:rPr>
              <w:t>29649-05-15</w:t>
            </w:r>
            <w:r w:rsidRPr="000B34F8">
              <w:rPr>
                <w:rFonts w:cs="FrankRuehl" w:hint="cs"/>
                <w:sz w:val="28"/>
                <w:szCs w:val="28"/>
                <w:rtl/>
              </w:rPr>
              <w:t xml:space="preserve"> </w:t>
            </w:r>
            <w:r w:rsidRPr="000B34F8">
              <w:rPr>
                <w:b/>
                <w:bCs/>
                <w:sz w:val="26"/>
                <w:szCs w:val="26"/>
                <w:rtl/>
              </w:rPr>
              <w:t>מדינת ישראל נ' חסארמה(עציר)</w:t>
            </w:r>
          </w:p>
          <w:p w14:paraId="49C914E0" w14:textId="77777777" w:rsidR="008C0051" w:rsidRPr="000B34F8" w:rsidRDefault="008C0051" w:rsidP="000B34F8">
            <w:pPr>
              <w:pStyle w:val="a3"/>
              <w:rPr>
                <w:rFonts w:cs="FrankRuehl"/>
                <w:sz w:val="28"/>
                <w:szCs w:val="28"/>
                <w:rtl/>
              </w:rPr>
            </w:pPr>
          </w:p>
        </w:tc>
        <w:tc>
          <w:tcPr>
            <w:tcW w:w="3659" w:type="dxa"/>
          </w:tcPr>
          <w:p w14:paraId="4232C47F" w14:textId="77777777" w:rsidR="008C0051" w:rsidRPr="000B34F8" w:rsidRDefault="008C0051" w:rsidP="000B34F8">
            <w:pPr>
              <w:pStyle w:val="a3"/>
              <w:jc w:val="right"/>
              <w:rPr>
                <w:rFonts w:cs="FrankRuehl"/>
                <w:sz w:val="28"/>
                <w:szCs w:val="28"/>
                <w:rtl/>
              </w:rPr>
            </w:pPr>
          </w:p>
        </w:tc>
      </w:tr>
    </w:tbl>
    <w:p w14:paraId="6194AB4D" w14:textId="77777777" w:rsidR="008C0051" w:rsidRPr="000B34F8" w:rsidRDefault="008C0051" w:rsidP="008C0051">
      <w:pPr>
        <w:pStyle w:val="a3"/>
        <w:rPr>
          <w:rtl/>
        </w:rPr>
      </w:pPr>
      <w:r w:rsidRPr="000B34F8">
        <w:rPr>
          <w:rFonts w:hint="cs"/>
          <w:rtl/>
        </w:rPr>
        <w:t xml:space="preserve"> </w:t>
      </w:r>
    </w:p>
    <w:p w14:paraId="1F7C95B2" w14:textId="77777777" w:rsidR="008C0051" w:rsidRPr="000B34F8" w:rsidRDefault="008C0051" w:rsidP="008C0051">
      <w:pPr>
        <w:rPr>
          <w:rFonts w:ascii="David" w:hAnsi="David"/>
          <w:rtl/>
        </w:rPr>
      </w:pPr>
    </w:p>
    <w:tbl>
      <w:tblPr>
        <w:bidiVisual/>
        <w:tblW w:w="8802" w:type="dxa"/>
        <w:tblInd w:w="-28" w:type="dxa"/>
        <w:tblLook w:val="01E0" w:firstRow="1" w:lastRow="1" w:firstColumn="1" w:lastColumn="1" w:noHBand="0" w:noVBand="0"/>
      </w:tblPr>
      <w:tblGrid>
        <w:gridCol w:w="2880"/>
        <w:gridCol w:w="5839"/>
        <w:gridCol w:w="83"/>
      </w:tblGrid>
      <w:tr w:rsidR="008C0051" w:rsidRPr="000B34F8" w14:paraId="47C1F57B" w14:textId="77777777" w:rsidTr="000B34F8">
        <w:trPr>
          <w:gridAfter w:val="1"/>
          <w:wAfter w:w="55" w:type="dxa"/>
        </w:trPr>
        <w:tc>
          <w:tcPr>
            <w:tcW w:w="8719" w:type="dxa"/>
            <w:gridSpan w:val="2"/>
            <w:shd w:val="clear" w:color="auto" w:fill="auto"/>
          </w:tcPr>
          <w:p w14:paraId="098796A6" w14:textId="77777777" w:rsidR="008C0051" w:rsidRPr="000B34F8" w:rsidRDefault="008C0051" w:rsidP="000B34F8">
            <w:pPr>
              <w:spacing w:line="360" w:lineRule="auto"/>
              <w:rPr>
                <w:b/>
                <w:bCs/>
                <w:sz w:val="26"/>
                <w:szCs w:val="26"/>
                <w:rtl/>
              </w:rPr>
            </w:pPr>
            <w:r w:rsidRPr="000B34F8">
              <w:rPr>
                <w:rFonts w:hint="cs"/>
                <w:b/>
                <w:bCs/>
                <w:sz w:val="26"/>
                <w:szCs w:val="26"/>
                <w:rtl/>
              </w:rPr>
              <w:t>בפני הרכב כב' השופטים:</w:t>
            </w:r>
          </w:p>
          <w:p w14:paraId="31AB0EA2" w14:textId="77777777" w:rsidR="008C0051" w:rsidRPr="000B34F8" w:rsidRDefault="008C0051" w:rsidP="000B34F8">
            <w:pPr>
              <w:spacing w:line="360" w:lineRule="auto"/>
              <w:rPr>
                <w:b/>
                <w:bCs/>
                <w:sz w:val="26"/>
                <w:szCs w:val="26"/>
                <w:rtl/>
              </w:rPr>
            </w:pPr>
            <w:r w:rsidRPr="000B34F8">
              <w:rPr>
                <w:rFonts w:hint="cs"/>
                <w:b/>
                <w:bCs/>
                <w:sz w:val="26"/>
                <w:szCs w:val="26"/>
                <w:rtl/>
              </w:rPr>
              <w:t>ד"ר רון שפירא, סגן נשיא [אב"ד]</w:t>
            </w:r>
          </w:p>
          <w:p w14:paraId="0A5D3CC3" w14:textId="77777777" w:rsidR="008C0051" w:rsidRPr="000B34F8" w:rsidRDefault="008C0051" w:rsidP="000B34F8">
            <w:pPr>
              <w:spacing w:line="360" w:lineRule="auto"/>
              <w:rPr>
                <w:b/>
                <w:bCs/>
                <w:sz w:val="26"/>
                <w:szCs w:val="26"/>
                <w:rtl/>
              </w:rPr>
            </w:pPr>
            <w:r w:rsidRPr="000B34F8">
              <w:rPr>
                <w:rFonts w:hint="cs"/>
                <w:b/>
                <w:bCs/>
                <w:sz w:val="26"/>
                <w:szCs w:val="26"/>
                <w:rtl/>
              </w:rPr>
              <w:t>אברהם אליקים, סגן נשיא</w:t>
            </w:r>
          </w:p>
          <w:p w14:paraId="35F0CB80" w14:textId="77777777" w:rsidR="008C0051" w:rsidRPr="000B34F8" w:rsidRDefault="008C0051" w:rsidP="000B34F8">
            <w:pPr>
              <w:spacing w:line="360" w:lineRule="auto"/>
              <w:rPr>
                <w:b/>
                <w:bCs/>
                <w:sz w:val="26"/>
                <w:szCs w:val="26"/>
                <w:rtl/>
              </w:rPr>
            </w:pPr>
            <w:r w:rsidRPr="000B34F8">
              <w:rPr>
                <w:rFonts w:hint="cs"/>
                <w:b/>
                <w:bCs/>
                <w:sz w:val="26"/>
                <w:szCs w:val="26"/>
                <w:rtl/>
              </w:rPr>
              <w:t>תמר נאות פרי</w:t>
            </w:r>
          </w:p>
          <w:p w14:paraId="71BBABFD" w14:textId="77777777" w:rsidR="008C0051" w:rsidRPr="000B34F8" w:rsidRDefault="008C0051" w:rsidP="000B34F8">
            <w:pPr>
              <w:rPr>
                <w:b/>
                <w:bCs/>
                <w:sz w:val="26"/>
                <w:szCs w:val="26"/>
                <w:rtl/>
              </w:rPr>
            </w:pPr>
          </w:p>
        </w:tc>
      </w:tr>
      <w:tr w:rsidR="008C0051" w:rsidRPr="000B34F8" w14:paraId="6C384FF9" w14:textId="77777777" w:rsidTr="000B34F8">
        <w:tc>
          <w:tcPr>
            <w:tcW w:w="2880" w:type="dxa"/>
            <w:shd w:val="clear" w:color="auto" w:fill="auto"/>
          </w:tcPr>
          <w:p w14:paraId="76F3512A" w14:textId="77777777" w:rsidR="008C0051" w:rsidRPr="000B34F8" w:rsidRDefault="008C0051" w:rsidP="000B34F8">
            <w:pPr>
              <w:ind w:left="26"/>
              <w:rPr>
                <w:b/>
                <w:bCs/>
                <w:sz w:val="26"/>
                <w:szCs w:val="26"/>
                <w:rtl/>
              </w:rPr>
            </w:pPr>
            <w:bookmarkStart w:id="0" w:name="FirstAppellant"/>
            <w:bookmarkStart w:id="1" w:name="FirstLawyer"/>
            <w:bookmarkStart w:id="2" w:name="LastJudge"/>
            <w:bookmarkEnd w:id="2"/>
            <w:r w:rsidRPr="000B34F8">
              <w:rPr>
                <w:rFonts w:hint="cs"/>
                <w:b/>
                <w:bCs/>
                <w:sz w:val="26"/>
                <w:szCs w:val="26"/>
                <w:rtl/>
              </w:rPr>
              <w:t>המאשימה</w:t>
            </w:r>
          </w:p>
        </w:tc>
        <w:tc>
          <w:tcPr>
            <w:tcW w:w="5922" w:type="dxa"/>
            <w:gridSpan w:val="2"/>
            <w:shd w:val="clear" w:color="auto" w:fill="auto"/>
          </w:tcPr>
          <w:p w14:paraId="6F7D9E28" w14:textId="77777777" w:rsidR="008C0051" w:rsidRPr="000B34F8" w:rsidRDefault="008C0051" w:rsidP="000B34F8">
            <w:pPr>
              <w:rPr>
                <w:b/>
                <w:bCs/>
                <w:sz w:val="26"/>
                <w:szCs w:val="26"/>
                <w:rtl/>
              </w:rPr>
            </w:pPr>
            <w:r w:rsidRPr="000B34F8">
              <w:rPr>
                <w:rFonts w:hint="cs"/>
                <w:b/>
                <w:bCs/>
                <w:sz w:val="26"/>
                <w:szCs w:val="26"/>
                <w:rtl/>
              </w:rPr>
              <w:t>מדינת ישראל</w:t>
            </w:r>
          </w:p>
          <w:p w14:paraId="412965EF" w14:textId="77777777" w:rsidR="008C0051" w:rsidRPr="000B34F8" w:rsidRDefault="008C0051" w:rsidP="000B34F8">
            <w:pPr>
              <w:rPr>
                <w:b/>
                <w:bCs/>
                <w:sz w:val="26"/>
                <w:szCs w:val="26"/>
                <w:rtl/>
              </w:rPr>
            </w:pPr>
            <w:r w:rsidRPr="000B34F8">
              <w:rPr>
                <w:rFonts w:ascii="Arial" w:hAnsi="Arial" w:hint="cs"/>
                <w:rtl/>
              </w:rPr>
              <w:t>ע"י עו"ד צחי נמירובסקי, פרקליטות פלילית חיפה</w:t>
            </w:r>
          </w:p>
        </w:tc>
      </w:tr>
      <w:bookmarkEnd w:id="0"/>
      <w:bookmarkEnd w:id="1"/>
      <w:tr w:rsidR="008C0051" w:rsidRPr="000B34F8" w14:paraId="50B34434" w14:textId="77777777" w:rsidTr="000B34F8">
        <w:tc>
          <w:tcPr>
            <w:tcW w:w="8802" w:type="dxa"/>
            <w:gridSpan w:val="3"/>
            <w:shd w:val="clear" w:color="auto" w:fill="auto"/>
          </w:tcPr>
          <w:p w14:paraId="4760EE9B" w14:textId="77777777" w:rsidR="008C0051" w:rsidRPr="000B34F8" w:rsidRDefault="008C0051" w:rsidP="000B34F8">
            <w:pPr>
              <w:rPr>
                <w:rFonts w:ascii="Arial" w:hAnsi="Arial"/>
                <w:rtl/>
              </w:rPr>
            </w:pPr>
            <w:r w:rsidRPr="000B34F8">
              <w:rPr>
                <w:rFonts w:ascii="Arial" w:hAnsi="Arial" w:hint="cs"/>
                <w:b/>
                <w:bCs/>
                <w:sz w:val="26"/>
                <w:szCs w:val="26"/>
                <w:rtl/>
              </w:rPr>
              <w:t xml:space="preserve">                                                 </w:t>
            </w:r>
          </w:p>
          <w:p w14:paraId="6CAE808E" w14:textId="77777777" w:rsidR="008C0051" w:rsidRPr="000B34F8" w:rsidRDefault="008C0051" w:rsidP="000B34F8">
            <w:pPr>
              <w:rPr>
                <w:rFonts w:ascii="Arial" w:hAnsi="Arial"/>
                <w:rtl/>
              </w:rPr>
            </w:pPr>
          </w:p>
          <w:p w14:paraId="7D86B607" w14:textId="77777777" w:rsidR="008C0051" w:rsidRPr="000B34F8" w:rsidRDefault="008C0051" w:rsidP="000B34F8">
            <w:pPr>
              <w:jc w:val="center"/>
              <w:rPr>
                <w:rFonts w:ascii="Arial" w:hAnsi="Arial"/>
                <w:b/>
                <w:bCs/>
                <w:sz w:val="26"/>
                <w:szCs w:val="26"/>
                <w:rtl/>
              </w:rPr>
            </w:pPr>
            <w:r w:rsidRPr="000B34F8">
              <w:rPr>
                <w:rFonts w:ascii="Arial" w:hAnsi="Arial" w:hint="cs"/>
                <w:b/>
                <w:bCs/>
                <w:sz w:val="26"/>
                <w:szCs w:val="26"/>
                <w:rtl/>
              </w:rPr>
              <w:t>נגד</w:t>
            </w:r>
          </w:p>
          <w:p w14:paraId="340220DB" w14:textId="77777777" w:rsidR="008C0051" w:rsidRPr="000B34F8" w:rsidRDefault="008C0051" w:rsidP="000B34F8">
            <w:pPr>
              <w:jc w:val="center"/>
              <w:rPr>
                <w:rFonts w:ascii="Arial" w:hAnsi="Arial"/>
                <w:b/>
                <w:bCs/>
                <w:sz w:val="26"/>
                <w:szCs w:val="26"/>
                <w:rtl/>
              </w:rPr>
            </w:pPr>
          </w:p>
        </w:tc>
      </w:tr>
      <w:tr w:rsidR="008C0051" w:rsidRPr="000B34F8" w14:paraId="597A238C" w14:textId="77777777" w:rsidTr="000B34F8">
        <w:tc>
          <w:tcPr>
            <w:tcW w:w="2880" w:type="dxa"/>
            <w:shd w:val="clear" w:color="auto" w:fill="auto"/>
          </w:tcPr>
          <w:p w14:paraId="084C6625" w14:textId="77777777" w:rsidR="008C0051" w:rsidRPr="000B34F8" w:rsidRDefault="008C0051" w:rsidP="000B34F8">
            <w:pPr>
              <w:ind w:left="26"/>
              <w:rPr>
                <w:b/>
                <w:bCs/>
                <w:sz w:val="26"/>
                <w:szCs w:val="26"/>
                <w:rtl/>
              </w:rPr>
            </w:pPr>
            <w:r w:rsidRPr="000B34F8">
              <w:rPr>
                <w:rFonts w:hint="cs"/>
                <w:b/>
                <w:bCs/>
                <w:sz w:val="26"/>
                <w:szCs w:val="26"/>
                <w:rtl/>
              </w:rPr>
              <w:t>הנאשם</w:t>
            </w:r>
          </w:p>
        </w:tc>
        <w:tc>
          <w:tcPr>
            <w:tcW w:w="5922" w:type="dxa"/>
            <w:gridSpan w:val="2"/>
            <w:shd w:val="clear" w:color="auto" w:fill="auto"/>
          </w:tcPr>
          <w:p w14:paraId="75F75874" w14:textId="77777777" w:rsidR="008C0051" w:rsidRPr="000B34F8" w:rsidRDefault="008C0051" w:rsidP="000B34F8">
            <w:pPr>
              <w:rPr>
                <w:b/>
                <w:bCs/>
                <w:sz w:val="26"/>
                <w:szCs w:val="26"/>
                <w:rtl/>
              </w:rPr>
            </w:pPr>
            <w:r w:rsidRPr="000B34F8">
              <w:rPr>
                <w:rFonts w:hint="cs"/>
                <w:b/>
                <w:bCs/>
                <w:sz w:val="26"/>
                <w:szCs w:val="26"/>
                <w:rtl/>
              </w:rPr>
              <w:t xml:space="preserve">אחמד חסארמה (עציר), ת"ז </w:t>
            </w:r>
            <w:r w:rsidR="000B34F8">
              <w:rPr>
                <w:b/>
                <w:bCs/>
                <w:sz w:val="26"/>
                <w:szCs w:val="26"/>
              </w:rPr>
              <w:t>xxxxxxxxx</w:t>
            </w:r>
          </w:p>
          <w:p w14:paraId="2D095121" w14:textId="77777777" w:rsidR="008C0051" w:rsidRPr="000B34F8" w:rsidRDefault="008C0051" w:rsidP="000B34F8">
            <w:pPr>
              <w:rPr>
                <w:b/>
                <w:bCs/>
                <w:sz w:val="26"/>
                <w:szCs w:val="26"/>
                <w:rtl/>
              </w:rPr>
            </w:pPr>
            <w:r w:rsidRPr="000B34F8">
              <w:rPr>
                <w:rFonts w:ascii="David" w:hAnsi="David" w:hint="cs"/>
                <w:rtl/>
              </w:rPr>
              <w:t>ע"י  עו"ד מיכאל כרמל</w:t>
            </w:r>
          </w:p>
        </w:tc>
      </w:tr>
    </w:tbl>
    <w:p w14:paraId="3DB2936B" w14:textId="77777777" w:rsidR="00AA0BC7" w:rsidRDefault="008C0051" w:rsidP="00A24B02">
      <w:pPr>
        <w:spacing w:after="120" w:line="240" w:lineRule="exact"/>
        <w:ind w:left="283" w:hanging="283"/>
        <w:jc w:val="both"/>
        <w:rPr>
          <w:rFonts w:ascii="David" w:hAnsi="David"/>
          <w:rtl/>
        </w:rPr>
      </w:pPr>
      <w:r w:rsidRPr="000B34F8">
        <w:rPr>
          <w:rFonts w:ascii="David" w:hAnsi="David" w:hint="cs"/>
          <w:rtl/>
        </w:rPr>
        <w:t xml:space="preserve">                                                   </w:t>
      </w:r>
      <w:bookmarkStart w:id="3" w:name="LawTable"/>
      <w:bookmarkEnd w:id="3"/>
    </w:p>
    <w:p w14:paraId="06CE3662" w14:textId="77777777" w:rsidR="00AA0BC7" w:rsidRPr="00AA0BC7" w:rsidRDefault="00AA0BC7" w:rsidP="00AA0BC7">
      <w:pPr>
        <w:spacing w:after="120" w:line="240" w:lineRule="exact"/>
        <w:ind w:left="283" w:hanging="283"/>
        <w:jc w:val="both"/>
        <w:rPr>
          <w:rFonts w:ascii="FrankRuehl" w:hAnsi="FrankRuehl" w:cs="FrankRuehl"/>
          <w:rtl/>
        </w:rPr>
      </w:pPr>
    </w:p>
    <w:p w14:paraId="3008FE28" w14:textId="77777777" w:rsidR="00AA0BC7" w:rsidRPr="00AA0BC7" w:rsidRDefault="00AA0BC7" w:rsidP="00AA0BC7">
      <w:pPr>
        <w:spacing w:after="120" w:line="240" w:lineRule="exact"/>
        <w:ind w:left="283" w:hanging="283"/>
        <w:jc w:val="both"/>
        <w:rPr>
          <w:rFonts w:ascii="FrankRuehl" w:hAnsi="FrankRuehl" w:cs="FrankRuehl"/>
          <w:rtl/>
        </w:rPr>
      </w:pPr>
      <w:r w:rsidRPr="00AA0BC7">
        <w:rPr>
          <w:rFonts w:ascii="FrankRuehl" w:hAnsi="FrankRuehl" w:cs="FrankRuehl"/>
          <w:rtl/>
        </w:rPr>
        <w:t xml:space="preserve">חקיקה שאוזכרה: </w:t>
      </w:r>
    </w:p>
    <w:p w14:paraId="640B12FB" w14:textId="77777777" w:rsidR="00AA0BC7" w:rsidRPr="00AA0BC7" w:rsidRDefault="00AA0BC7" w:rsidP="00AA0BC7">
      <w:pPr>
        <w:spacing w:after="120" w:line="240" w:lineRule="exact"/>
        <w:ind w:left="283" w:hanging="283"/>
        <w:jc w:val="both"/>
        <w:rPr>
          <w:rFonts w:ascii="FrankRuehl" w:hAnsi="FrankRuehl" w:cs="FrankRuehl"/>
          <w:rtl/>
        </w:rPr>
      </w:pPr>
      <w:hyperlink r:id="rId7" w:history="1">
        <w:r w:rsidRPr="00AA0BC7">
          <w:rPr>
            <w:rFonts w:ascii="FrankRuehl" w:hAnsi="FrankRuehl" w:cs="FrankRuehl"/>
            <w:color w:val="0000FF"/>
            <w:u w:val="single"/>
            <w:rtl/>
          </w:rPr>
          <w:t>חוק העונשין, תשל"ז-1977</w:t>
        </w:r>
      </w:hyperlink>
      <w:r w:rsidRPr="00AA0BC7">
        <w:rPr>
          <w:rFonts w:ascii="FrankRuehl" w:hAnsi="FrankRuehl" w:cs="FrankRuehl"/>
          <w:rtl/>
        </w:rPr>
        <w:t xml:space="preserve">: סע'  </w:t>
      </w:r>
      <w:hyperlink r:id="rId8" w:history="1">
        <w:r w:rsidRPr="00AA0BC7">
          <w:rPr>
            <w:rFonts w:ascii="FrankRuehl" w:hAnsi="FrankRuehl" w:cs="FrankRuehl"/>
            <w:color w:val="0000FF"/>
            <w:u w:val="single"/>
            <w:rtl/>
          </w:rPr>
          <w:t>29</w:t>
        </w:r>
      </w:hyperlink>
      <w:r w:rsidRPr="00AA0BC7">
        <w:rPr>
          <w:rFonts w:ascii="FrankRuehl" w:hAnsi="FrankRuehl" w:cs="FrankRuehl"/>
          <w:rtl/>
        </w:rPr>
        <w:t xml:space="preserve">, </w:t>
      </w:r>
      <w:hyperlink r:id="rId9" w:history="1">
        <w:r w:rsidRPr="00AA0BC7">
          <w:rPr>
            <w:rFonts w:ascii="FrankRuehl" w:hAnsi="FrankRuehl" w:cs="FrankRuehl"/>
            <w:color w:val="0000FF"/>
            <w:u w:val="single"/>
            <w:rtl/>
          </w:rPr>
          <w:t>40ז</w:t>
        </w:r>
      </w:hyperlink>
      <w:r w:rsidRPr="00AA0BC7">
        <w:rPr>
          <w:rFonts w:ascii="FrankRuehl" w:hAnsi="FrankRuehl" w:cs="FrankRuehl"/>
          <w:rtl/>
        </w:rPr>
        <w:t xml:space="preserve">, </w:t>
      </w:r>
      <w:hyperlink r:id="rId10" w:history="1">
        <w:r w:rsidRPr="00AA0BC7">
          <w:rPr>
            <w:rFonts w:ascii="FrankRuehl" w:hAnsi="FrankRuehl" w:cs="FrankRuehl"/>
            <w:color w:val="0000FF"/>
            <w:u w:val="single"/>
            <w:rtl/>
          </w:rPr>
          <w:t>40ח</w:t>
        </w:r>
      </w:hyperlink>
      <w:r w:rsidRPr="00AA0BC7">
        <w:rPr>
          <w:rFonts w:ascii="FrankRuehl" w:hAnsi="FrankRuehl" w:cs="FrankRuehl"/>
          <w:rtl/>
        </w:rPr>
        <w:t xml:space="preserve">, </w:t>
      </w:r>
      <w:hyperlink r:id="rId11" w:history="1">
        <w:r w:rsidRPr="00AA0BC7">
          <w:rPr>
            <w:rFonts w:ascii="FrankRuehl" w:hAnsi="FrankRuehl" w:cs="FrankRuehl"/>
            <w:color w:val="0000FF"/>
            <w:u w:val="single"/>
            <w:rtl/>
          </w:rPr>
          <w:t>144.א.</w:t>
        </w:r>
      </w:hyperlink>
      <w:r w:rsidRPr="00AA0BC7">
        <w:rPr>
          <w:rFonts w:ascii="FrankRuehl" w:hAnsi="FrankRuehl" w:cs="FrankRuehl"/>
          <w:rtl/>
        </w:rPr>
        <w:t xml:space="preserve">, </w:t>
      </w:r>
      <w:hyperlink r:id="rId12" w:history="1">
        <w:r w:rsidRPr="00AA0BC7">
          <w:rPr>
            <w:rFonts w:ascii="FrankRuehl" w:hAnsi="FrankRuehl" w:cs="FrankRuehl"/>
            <w:color w:val="0000FF"/>
            <w:u w:val="single"/>
            <w:rtl/>
          </w:rPr>
          <w:t>144.ב</w:t>
        </w:r>
      </w:hyperlink>
      <w:r w:rsidRPr="00AA0BC7">
        <w:rPr>
          <w:rFonts w:ascii="FrankRuehl" w:hAnsi="FrankRuehl" w:cs="FrankRuehl"/>
          <w:rtl/>
        </w:rPr>
        <w:t xml:space="preserve">, </w:t>
      </w:r>
      <w:hyperlink r:id="rId13" w:history="1">
        <w:r w:rsidRPr="00AA0BC7">
          <w:rPr>
            <w:rFonts w:ascii="FrankRuehl" w:hAnsi="FrankRuehl" w:cs="FrankRuehl"/>
            <w:color w:val="0000FF"/>
            <w:u w:val="single"/>
            <w:rtl/>
          </w:rPr>
          <w:t>298</w:t>
        </w:r>
      </w:hyperlink>
      <w:r w:rsidRPr="00AA0BC7">
        <w:rPr>
          <w:rFonts w:ascii="FrankRuehl" w:hAnsi="FrankRuehl" w:cs="FrankRuehl"/>
          <w:rtl/>
        </w:rPr>
        <w:t xml:space="preserve">, </w:t>
      </w:r>
      <w:hyperlink r:id="rId14" w:history="1">
        <w:r w:rsidRPr="00AA0BC7">
          <w:rPr>
            <w:rFonts w:ascii="FrankRuehl" w:hAnsi="FrankRuehl" w:cs="FrankRuehl"/>
            <w:color w:val="0000FF"/>
            <w:u w:val="single"/>
            <w:rtl/>
          </w:rPr>
          <w:t>499(א)(1)</w:t>
        </w:r>
      </w:hyperlink>
    </w:p>
    <w:p w14:paraId="17E407D8" w14:textId="77777777" w:rsidR="00AA0BC7" w:rsidRPr="00AA0BC7" w:rsidRDefault="00AA0BC7" w:rsidP="00AA0BC7">
      <w:pPr>
        <w:spacing w:after="120" w:line="240" w:lineRule="exact"/>
        <w:ind w:left="283" w:hanging="283"/>
        <w:jc w:val="both"/>
        <w:rPr>
          <w:rFonts w:ascii="FrankRuehl" w:hAnsi="FrankRuehl" w:cs="FrankRuehl"/>
          <w:rtl/>
        </w:rPr>
      </w:pPr>
      <w:hyperlink r:id="rId15" w:history="1">
        <w:r w:rsidRPr="00AA0BC7">
          <w:rPr>
            <w:rFonts w:ascii="FrankRuehl" w:hAnsi="FrankRuehl" w:cs="FrankRuehl"/>
            <w:color w:val="0000FF"/>
            <w:u w:val="single"/>
            <w:rtl/>
          </w:rPr>
          <w:t>חוק המרכז לגביית קנסות, אגרות והוצאות, תשנ"ה-1995</w:t>
        </w:r>
      </w:hyperlink>
      <w:r w:rsidRPr="00AA0BC7">
        <w:rPr>
          <w:rFonts w:ascii="FrankRuehl" w:hAnsi="FrankRuehl" w:cs="FrankRuehl"/>
          <w:rtl/>
        </w:rPr>
        <w:t xml:space="preserve">: סע'  </w:t>
      </w:r>
      <w:hyperlink r:id="rId16" w:history="1">
        <w:r w:rsidRPr="00AA0BC7">
          <w:rPr>
            <w:rFonts w:ascii="FrankRuehl" w:hAnsi="FrankRuehl" w:cs="FrankRuehl"/>
            <w:color w:val="0000FF"/>
            <w:u w:val="single"/>
            <w:rtl/>
          </w:rPr>
          <w:t>5ב(א)</w:t>
        </w:r>
      </w:hyperlink>
    </w:p>
    <w:p w14:paraId="220DA916" w14:textId="77777777" w:rsidR="00AA0BC7" w:rsidRPr="00AA0BC7" w:rsidRDefault="00AA0BC7" w:rsidP="00AA0BC7">
      <w:pPr>
        <w:spacing w:after="120" w:line="240" w:lineRule="exact"/>
        <w:ind w:left="283" w:hanging="283"/>
        <w:jc w:val="both"/>
        <w:rPr>
          <w:rFonts w:ascii="FrankRuehl" w:hAnsi="FrankRuehl" w:cs="FrankRuehl"/>
          <w:rtl/>
        </w:rPr>
      </w:pPr>
    </w:p>
    <w:p w14:paraId="011C6CA4" w14:textId="77777777" w:rsidR="00AA0BC7" w:rsidRPr="00AA0BC7" w:rsidRDefault="00AA0BC7" w:rsidP="00A24B02">
      <w:pPr>
        <w:spacing w:after="120" w:line="240" w:lineRule="exact"/>
        <w:ind w:left="283" w:hanging="283"/>
        <w:jc w:val="both"/>
        <w:rPr>
          <w:rFonts w:ascii="David" w:hAnsi="David"/>
          <w:rtl/>
        </w:rPr>
      </w:pPr>
      <w:bookmarkStart w:id="4" w:name="LawTable_End"/>
      <w:bookmarkEnd w:id="4"/>
    </w:p>
    <w:p w14:paraId="3A80732B" w14:textId="77777777" w:rsidR="00AA0BC7" w:rsidRPr="00AA0BC7" w:rsidRDefault="00AA0BC7" w:rsidP="00A24B02">
      <w:pPr>
        <w:spacing w:after="120" w:line="240" w:lineRule="exact"/>
        <w:ind w:left="283" w:hanging="283"/>
        <w:jc w:val="both"/>
        <w:rPr>
          <w:rFonts w:ascii="David" w:hAnsi="David"/>
          <w:rtl/>
        </w:rPr>
      </w:pPr>
    </w:p>
    <w:p w14:paraId="6CCF1D2C" w14:textId="77777777" w:rsidR="00A24B02" w:rsidRPr="00A24B02" w:rsidRDefault="008C0051" w:rsidP="00A24B02">
      <w:pPr>
        <w:spacing w:after="120" w:line="240" w:lineRule="exact"/>
        <w:ind w:left="283" w:hanging="283"/>
        <w:jc w:val="both"/>
        <w:rPr>
          <w:rFonts w:ascii="FrankRuehl" w:hAnsi="FrankRuehl" w:cs="FrankRuehl"/>
          <w:rtl/>
        </w:rPr>
      </w:pPr>
      <w:r w:rsidRPr="00AA0BC7">
        <w:rPr>
          <w:rFonts w:ascii="David" w:hAnsi="David" w:hint="cs"/>
          <w:rtl/>
        </w:rPr>
        <w:tab/>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0051" w14:paraId="3BA29DEA" w14:textId="77777777" w:rsidTr="000B34F8">
        <w:trPr>
          <w:trHeight w:val="355"/>
          <w:jc w:val="center"/>
        </w:trPr>
        <w:tc>
          <w:tcPr>
            <w:tcW w:w="8820" w:type="dxa"/>
            <w:tcBorders>
              <w:top w:val="nil"/>
              <w:left w:val="nil"/>
              <w:bottom w:val="nil"/>
              <w:right w:val="nil"/>
            </w:tcBorders>
            <w:shd w:val="clear" w:color="auto" w:fill="auto"/>
          </w:tcPr>
          <w:p w14:paraId="609F2382" w14:textId="77777777" w:rsidR="000B34F8" w:rsidRPr="000B34F8" w:rsidRDefault="000B34F8" w:rsidP="000B34F8">
            <w:pPr>
              <w:jc w:val="center"/>
              <w:rPr>
                <w:rFonts w:ascii="Arial" w:hAnsi="Arial"/>
                <w:b/>
                <w:bCs/>
                <w:sz w:val="28"/>
                <w:szCs w:val="28"/>
                <w:u w:val="single"/>
                <w:rtl/>
              </w:rPr>
            </w:pPr>
            <w:bookmarkStart w:id="5" w:name="PsakDin" w:colFirst="0" w:colLast="0"/>
            <w:r w:rsidRPr="000B34F8">
              <w:rPr>
                <w:rFonts w:ascii="Arial" w:hAnsi="Arial"/>
                <w:b/>
                <w:bCs/>
                <w:sz w:val="28"/>
                <w:szCs w:val="28"/>
                <w:u w:val="single"/>
                <w:rtl/>
              </w:rPr>
              <w:t>גזר דין</w:t>
            </w:r>
          </w:p>
          <w:p w14:paraId="54221C40" w14:textId="77777777" w:rsidR="008C0051" w:rsidRPr="000B34F8" w:rsidRDefault="008C0051" w:rsidP="000B34F8">
            <w:pPr>
              <w:jc w:val="center"/>
              <w:rPr>
                <w:rFonts w:ascii="Arial" w:hAnsi="Arial"/>
                <w:bCs/>
                <w:sz w:val="28"/>
                <w:szCs w:val="28"/>
                <w:u w:val="single"/>
                <w:rtl/>
              </w:rPr>
            </w:pPr>
          </w:p>
        </w:tc>
      </w:tr>
      <w:bookmarkEnd w:id="5"/>
    </w:tbl>
    <w:p w14:paraId="6890EB9A" w14:textId="77777777" w:rsidR="008C0051" w:rsidRDefault="008C0051" w:rsidP="008C0051">
      <w:pPr>
        <w:spacing w:line="360" w:lineRule="auto"/>
        <w:jc w:val="both"/>
        <w:rPr>
          <w:rFonts w:ascii="Arial" w:hAnsi="Arial"/>
          <w:rtl/>
        </w:rPr>
      </w:pPr>
    </w:p>
    <w:p w14:paraId="1AAB6BBB" w14:textId="77777777" w:rsidR="008C0051" w:rsidRDefault="008C0051" w:rsidP="008C0051">
      <w:pPr>
        <w:spacing w:line="360" w:lineRule="auto"/>
        <w:ind w:left="360" w:firstLine="360"/>
        <w:jc w:val="both"/>
        <w:rPr>
          <w:rFonts w:ascii="Arial" w:hAnsi="Arial"/>
          <w:b/>
          <w:bCs/>
          <w:u w:val="single"/>
          <w:rtl/>
        </w:rPr>
      </w:pPr>
      <w:r>
        <w:rPr>
          <w:rFonts w:ascii="Arial" w:hAnsi="Arial" w:hint="cs"/>
          <w:b/>
          <w:bCs/>
          <w:u w:val="single"/>
          <w:rtl/>
        </w:rPr>
        <w:t>מבוא</w:t>
      </w:r>
    </w:p>
    <w:p w14:paraId="3D50B748" w14:textId="77777777" w:rsidR="008C0051" w:rsidRDefault="008C0051" w:rsidP="008C0051">
      <w:pPr>
        <w:numPr>
          <w:ilvl w:val="0"/>
          <w:numId w:val="1"/>
        </w:numPr>
        <w:spacing w:after="160" w:line="360" w:lineRule="auto"/>
        <w:contextualSpacing/>
        <w:jc w:val="both"/>
        <w:rPr>
          <w:rFonts w:ascii="Arial" w:hAnsi="Arial"/>
          <w:rtl/>
        </w:rPr>
      </w:pPr>
      <w:bookmarkStart w:id="6" w:name="ABSTRACT_START"/>
      <w:bookmarkEnd w:id="6"/>
      <w:r>
        <w:rPr>
          <w:rFonts w:ascii="Arial" w:hAnsi="Arial" w:hint="cs"/>
          <w:rtl/>
        </w:rPr>
        <w:t>ביום 18.7.2014 בסמוך לשעה 8:15 הגיע עלי חסארמה ז"ל (להלן-המנוח) במסגרת עבודתו כנהג משאית אל יער אחיהוד לשם איסוף אבנים. במהלך נסיעתו לכיוון היציאה מהיער ירה בו אייל הייב (להלן-אייל) שני כדורים שאחד מהן פגע בצווארו וגרם למותו.</w:t>
      </w:r>
    </w:p>
    <w:p w14:paraId="5C941088" w14:textId="77777777" w:rsidR="008C0051" w:rsidRDefault="008C0051" w:rsidP="008C0051">
      <w:pPr>
        <w:ind w:left="720"/>
        <w:contextualSpacing/>
        <w:jc w:val="both"/>
        <w:rPr>
          <w:rFonts w:ascii="Arial" w:hAnsi="Arial"/>
          <w:rtl/>
        </w:rPr>
      </w:pPr>
    </w:p>
    <w:p w14:paraId="374B2745" w14:textId="77777777" w:rsidR="008C0051" w:rsidRDefault="008C0051" w:rsidP="008C0051">
      <w:pPr>
        <w:spacing w:line="360" w:lineRule="auto"/>
        <w:ind w:left="720"/>
        <w:contextualSpacing/>
        <w:jc w:val="both"/>
        <w:rPr>
          <w:rFonts w:ascii="Arial" w:hAnsi="Arial"/>
        </w:rPr>
      </w:pPr>
      <w:r>
        <w:rPr>
          <w:rFonts w:ascii="Arial" w:hAnsi="Arial" w:hint="cs"/>
          <w:rtl/>
        </w:rPr>
        <w:t xml:space="preserve">המאשימה ייחסה לנאשם מעורבות בהמתת המנוח, לטענתה הנאשם ביחד עם דודו אברהים חסארמה ז"ל  (שנרצח לאחר מכן) קשרו קשר לרצוח את המנוח, סיפקו לאייל אקדח ותמורת תשלום ששילמו לו הביאו למותו של המנוח כאמור. </w:t>
      </w:r>
      <w:bookmarkStart w:id="7" w:name="ABSTRACT_END"/>
      <w:bookmarkEnd w:id="7"/>
    </w:p>
    <w:p w14:paraId="592E5131" w14:textId="77777777" w:rsidR="008C0051" w:rsidRDefault="008C0051" w:rsidP="008C0051">
      <w:pPr>
        <w:ind w:left="720"/>
        <w:contextualSpacing/>
        <w:jc w:val="both"/>
        <w:rPr>
          <w:rFonts w:ascii="Arial" w:hAnsi="Arial"/>
        </w:rPr>
      </w:pPr>
    </w:p>
    <w:p w14:paraId="60ED9772" w14:textId="77777777" w:rsidR="008C0051" w:rsidRDefault="008C0051" w:rsidP="008C0051">
      <w:pPr>
        <w:spacing w:line="360" w:lineRule="auto"/>
        <w:ind w:left="720"/>
        <w:contextualSpacing/>
        <w:jc w:val="both"/>
        <w:rPr>
          <w:rFonts w:ascii="Arial" w:hAnsi="Arial"/>
          <w:rtl/>
        </w:rPr>
      </w:pPr>
      <w:r>
        <w:rPr>
          <w:rFonts w:ascii="Arial" w:hAnsi="Arial" w:hint="cs"/>
          <w:rtl/>
        </w:rPr>
        <w:t>הנאשם ואייל הואשמו בעבירות של קשירת קשר לבצע רצח, רצח ועבירות בנשק, משפטם התנהל בשני הליכים נפרדים (כתב האישום נגד אייל כלל גם נאשם נוסף שבו יוחסו לו עבירות בנשק).</w:t>
      </w:r>
    </w:p>
    <w:p w14:paraId="15D7D7AB" w14:textId="77777777" w:rsidR="008C0051" w:rsidRDefault="008C0051" w:rsidP="008C0051">
      <w:pPr>
        <w:ind w:left="720"/>
        <w:contextualSpacing/>
        <w:jc w:val="both"/>
        <w:rPr>
          <w:rFonts w:ascii="Arial" w:hAnsi="Arial"/>
        </w:rPr>
      </w:pPr>
    </w:p>
    <w:p w14:paraId="14797A24" w14:textId="77777777" w:rsidR="008C0051" w:rsidRDefault="008C0051" w:rsidP="008C0051">
      <w:pPr>
        <w:spacing w:line="360" w:lineRule="auto"/>
        <w:ind w:left="720"/>
        <w:contextualSpacing/>
        <w:jc w:val="both"/>
        <w:rPr>
          <w:rFonts w:ascii="Arial" w:hAnsi="Arial"/>
          <w:rtl/>
        </w:rPr>
      </w:pPr>
      <w:r>
        <w:rPr>
          <w:rFonts w:ascii="Arial" w:hAnsi="Arial" w:hint="cs"/>
          <w:rtl/>
        </w:rPr>
        <w:t xml:space="preserve">לאחר שמיעת רוב עדי התביעה הודיעו הצדדים כי הגיעו להסדר טיעון לפיו תוקן כתב האישום שונו עובדותיו והנאשם הואשם בביצוע עבירה של קשירת קשר לפשע, הריגה ועבירות בנשק. הנאשם הודה והורשע בעבירות לפי </w:t>
      </w:r>
      <w:hyperlink r:id="rId17" w:history="1">
        <w:r w:rsidR="00A24B02" w:rsidRPr="00A24B02">
          <w:rPr>
            <w:rFonts w:ascii="Arial" w:hAnsi="Arial"/>
            <w:color w:val="0000FF"/>
            <w:u w:val="single"/>
            <w:rtl/>
          </w:rPr>
          <w:t>סעיפים 499(א)(1)</w:t>
        </w:r>
      </w:hyperlink>
      <w:r>
        <w:rPr>
          <w:rFonts w:ascii="Arial" w:hAnsi="Arial" w:hint="cs"/>
          <w:rtl/>
        </w:rPr>
        <w:t xml:space="preserve">, </w:t>
      </w:r>
      <w:hyperlink r:id="rId18" w:history="1">
        <w:r w:rsidR="00A24B02" w:rsidRPr="00A24B02">
          <w:rPr>
            <w:rFonts w:ascii="Arial" w:hAnsi="Arial"/>
            <w:color w:val="0000FF"/>
            <w:u w:val="single"/>
            <w:rtl/>
          </w:rPr>
          <w:t>298</w:t>
        </w:r>
      </w:hyperlink>
      <w:r>
        <w:rPr>
          <w:rFonts w:ascii="Arial" w:hAnsi="Arial" w:hint="cs"/>
          <w:rtl/>
        </w:rPr>
        <w:t xml:space="preserve">, </w:t>
      </w:r>
      <w:hyperlink r:id="rId19" w:history="1">
        <w:r w:rsidR="00A24B02" w:rsidRPr="00A24B02">
          <w:rPr>
            <w:rFonts w:ascii="Arial" w:hAnsi="Arial"/>
            <w:color w:val="0000FF"/>
            <w:u w:val="single"/>
            <w:rtl/>
          </w:rPr>
          <w:t>144(א)(ב)</w:t>
        </w:r>
      </w:hyperlink>
      <w:r>
        <w:rPr>
          <w:rFonts w:ascii="Arial" w:hAnsi="Arial" w:hint="cs"/>
          <w:rtl/>
        </w:rPr>
        <w:t xml:space="preserve"> ו-</w:t>
      </w:r>
      <w:hyperlink r:id="rId20" w:history="1">
        <w:r w:rsidR="00A24B02" w:rsidRPr="00A24B02">
          <w:rPr>
            <w:rFonts w:ascii="Arial" w:hAnsi="Arial"/>
            <w:color w:val="0000FF"/>
            <w:u w:val="single"/>
            <w:rtl/>
          </w:rPr>
          <w:t>29</w:t>
        </w:r>
      </w:hyperlink>
      <w:r>
        <w:rPr>
          <w:rFonts w:ascii="Arial" w:hAnsi="Arial" w:hint="cs"/>
          <w:rtl/>
        </w:rPr>
        <w:t xml:space="preserve"> ל</w:t>
      </w:r>
      <w:hyperlink r:id="rId21" w:history="1">
        <w:r w:rsidR="000B34F8" w:rsidRPr="000B34F8">
          <w:rPr>
            <w:rStyle w:val="Hyperlink"/>
            <w:rFonts w:ascii="Arial" w:hAnsi="Arial" w:hint="eastAsia"/>
            <w:rtl/>
          </w:rPr>
          <w:t>חוק</w:t>
        </w:r>
        <w:r w:rsidR="000B34F8" w:rsidRPr="000B34F8">
          <w:rPr>
            <w:rStyle w:val="Hyperlink"/>
            <w:rFonts w:ascii="Arial" w:hAnsi="Arial"/>
            <w:rtl/>
          </w:rPr>
          <w:t xml:space="preserve"> העונשין</w:t>
        </w:r>
      </w:hyperlink>
      <w:r>
        <w:rPr>
          <w:rFonts w:ascii="Arial" w:hAnsi="Arial" w:hint="cs"/>
          <w:rtl/>
        </w:rPr>
        <w:t xml:space="preserve"> התשל"ז-1977 (להלן-חוק העונשין).</w:t>
      </w:r>
    </w:p>
    <w:p w14:paraId="134F6157" w14:textId="77777777" w:rsidR="008C0051" w:rsidRDefault="008C0051" w:rsidP="008C0051">
      <w:pPr>
        <w:ind w:left="720"/>
        <w:contextualSpacing/>
        <w:jc w:val="both"/>
        <w:rPr>
          <w:rFonts w:ascii="Arial" w:hAnsi="Arial"/>
        </w:rPr>
      </w:pPr>
    </w:p>
    <w:p w14:paraId="67560B2A" w14:textId="77777777" w:rsidR="008C0051" w:rsidRDefault="008C0051" w:rsidP="008C0051">
      <w:pPr>
        <w:spacing w:line="360" w:lineRule="auto"/>
        <w:ind w:left="720"/>
        <w:contextualSpacing/>
        <w:jc w:val="both"/>
        <w:rPr>
          <w:rFonts w:ascii="Arial" w:hAnsi="Arial"/>
          <w:rtl/>
        </w:rPr>
      </w:pPr>
      <w:r>
        <w:rPr>
          <w:rFonts w:ascii="Arial" w:hAnsi="Arial" w:hint="cs"/>
          <w:rtl/>
        </w:rPr>
        <w:t>הצדדים הגיעו להסכמות גם לעניין העונש באופן שהמאשימה עתרה לעונש של 20 שנות מאסר בפועל וההגנה ל-16 שנות מאסר בפועל מיום מעצרו של הנאשם, לגבי יתר מרכיבי הענישה הוסכם כי "הטיעון יהיה חופשי".</w:t>
      </w:r>
    </w:p>
    <w:p w14:paraId="6AF72BD0" w14:textId="77777777" w:rsidR="008C0051" w:rsidRDefault="008C0051" w:rsidP="008C0051">
      <w:pPr>
        <w:ind w:left="720"/>
        <w:contextualSpacing/>
        <w:jc w:val="both"/>
        <w:rPr>
          <w:rFonts w:ascii="Arial" w:hAnsi="Arial"/>
        </w:rPr>
      </w:pPr>
    </w:p>
    <w:p w14:paraId="2758B76F" w14:textId="77777777" w:rsidR="008C0051" w:rsidRDefault="008C0051" w:rsidP="008C0051">
      <w:pPr>
        <w:numPr>
          <w:ilvl w:val="0"/>
          <w:numId w:val="1"/>
        </w:numPr>
        <w:spacing w:after="160" w:line="360" w:lineRule="auto"/>
        <w:contextualSpacing/>
        <w:jc w:val="both"/>
        <w:rPr>
          <w:rFonts w:ascii="Arial" w:hAnsi="Arial"/>
          <w:rtl/>
        </w:rPr>
      </w:pPr>
      <w:r>
        <w:rPr>
          <w:rFonts w:ascii="Arial" w:hAnsi="Arial" w:hint="cs"/>
          <w:rtl/>
        </w:rPr>
        <w:t>עוד חשוב לציין כי גם בתיק המקביל של אייל (</w:t>
      </w:r>
      <w:hyperlink r:id="rId22" w:history="1">
        <w:r w:rsidR="000B34F8" w:rsidRPr="000B34F8">
          <w:rPr>
            <w:rStyle w:val="Hyperlink"/>
            <w:rFonts w:ascii="Arial" w:hAnsi="Arial" w:hint="eastAsia"/>
            <w:rtl/>
          </w:rPr>
          <w:t>תפ</w:t>
        </w:r>
        <w:r w:rsidR="000B34F8" w:rsidRPr="000B34F8">
          <w:rPr>
            <w:rStyle w:val="Hyperlink"/>
            <w:rFonts w:ascii="Arial" w:hAnsi="Arial"/>
            <w:rtl/>
          </w:rPr>
          <w:t>"ח 29738-05-15</w:t>
        </w:r>
      </w:hyperlink>
      <w:r>
        <w:rPr>
          <w:rFonts w:ascii="Arial" w:hAnsi="Arial" w:hint="cs"/>
          <w:rtl/>
        </w:rPr>
        <w:t>) הגיעו הצדדים להסדר טיעון, גם בו הומרה עבירת הרצח בעבירת הריגה, הצדדים הסכימו לעונש של 18 שנות מאסר בפועל ובית המשפט אימץ את ההסדר הטיעון וגזר על אייל עונש של 18 שנות מאסר בפועל, 18 חודשי מאסר על תנאי, 50,000 ₪ קנס ותשלום פיצוי למשפחת המנוח בסך של 250,000 ₪.</w:t>
      </w:r>
    </w:p>
    <w:p w14:paraId="1181F452" w14:textId="77777777" w:rsidR="008C0051" w:rsidRDefault="008C0051" w:rsidP="008C0051">
      <w:pPr>
        <w:ind w:left="720"/>
        <w:contextualSpacing/>
        <w:jc w:val="both"/>
        <w:rPr>
          <w:rFonts w:ascii="Arial" w:hAnsi="Arial"/>
          <w:rtl/>
        </w:rPr>
      </w:pPr>
    </w:p>
    <w:p w14:paraId="41869CD8" w14:textId="77777777" w:rsidR="008C0051" w:rsidRDefault="008C0051" w:rsidP="008C0051">
      <w:pPr>
        <w:spacing w:line="360" w:lineRule="auto"/>
        <w:ind w:left="720"/>
        <w:contextualSpacing/>
        <w:jc w:val="both"/>
        <w:rPr>
          <w:rFonts w:ascii="Arial" w:hAnsi="Arial"/>
          <w:b/>
          <w:bCs/>
          <w:u w:val="single"/>
        </w:rPr>
      </w:pPr>
      <w:r>
        <w:rPr>
          <w:rFonts w:ascii="Arial" w:hAnsi="Arial" w:hint="cs"/>
          <w:b/>
          <w:bCs/>
          <w:u w:val="single"/>
          <w:rtl/>
        </w:rPr>
        <w:t>כתב האישום המתוקן</w:t>
      </w:r>
    </w:p>
    <w:p w14:paraId="643BE701" w14:textId="77777777" w:rsidR="008C0051" w:rsidRDefault="008C0051" w:rsidP="008C0051">
      <w:pPr>
        <w:numPr>
          <w:ilvl w:val="0"/>
          <w:numId w:val="1"/>
        </w:numPr>
        <w:spacing w:after="160" w:line="360" w:lineRule="auto"/>
        <w:contextualSpacing/>
        <w:jc w:val="both"/>
        <w:rPr>
          <w:rFonts w:ascii="Arial" w:hAnsi="Arial"/>
          <w:rtl/>
        </w:rPr>
      </w:pPr>
      <w:r>
        <w:rPr>
          <w:rFonts w:ascii="Arial" w:hAnsi="Arial" w:hint="cs"/>
          <w:rtl/>
        </w:rPr>
        <w:t>על פי עובדות כתב האישום המתוקן בין המנוח ובני משפחתו לבין הנאשם ובני משפחתו קיים סכסוך ממושך ואלים. עובר לתאריך 17.7.2014 על רקע החשד כי המנוח היה מעורב ברצח של בן משפחתו של הנאשם, קשרו הנאשם ודודו איברהים חסארמה ז"ל (להלן-אברהים) לפגוע במנוח, הם פנו לאייל חברו של הנאשם וביקשו ממנו לפגוע במנוח באמצעות ירי באקדח בכוונה לגרום לו נכות מום או חבלה חמורה וזאת בתמורה ל-150,000 ₪. אייל הסכים לכך.</w:t>
      </w:r>
    </w:p>
    <w:p w14:paraId="6919F7B7" w14:textId="77777777" w:rsidR="008C0051" w:rsidRDefault="008C0051" w:rsidP="008C0051">
      <w:pPr>
        <w:spacing w:line="360" w:lineRule="auto"/>
        <w:ind w:left="720"/>
        <w:jc w:val="both"/>
        <w:rPr>
          <w:rFonts w:ascii="Arial" w:hAnsi="Arial"/>
          <w:rtl/>
        </w:rPr>
      </w:pPr>
      <w:r>
        <w:rPr>
          <w:rFonts w:ascii="Arial" w:hAnsi="Arial" w:hint="cs"/>
          <w:rtl/>
        </w:rPr>
        <w:t>בתאריך 18.7.2014 הסיעו הנאשם ואיברהים את אייל ליער שם עבד המנוח, הנאשם מסר לאייל אקדח, כפפות ומסיכה. אייל ארב למנוח ירה בו שני כדורים שאחד מהם גרם למותו. לאחר מכן נפגשו הנאשם ואיברהים עם אייל ושילמו לו 30,000 ₪ בתמורה להמתת המנוח, תוך שהם מבטיחים כי היתרה בסך 120,000 ₪ תשלום לו מאוחר יותר.</w:t>
      </w:r>
    </w:p>
    <w:p w14:paraId="244105F8" w14:textId="77777777" w:rsidR="008C0051" w:rsidRDefault="008C0051" w:rsidP="008C0051">
      <w:pPr>
        <w:spacing w:line="360" w:lineRule="auto"/>
        <w:ind w:left="720"/>
        <w:jc w:val="both"/>
        <w:rPr>
          <w:rFonts w:ascii="Arial" w:hAnsi="Arial"/>
          <w:rtl/>
        </w:rPr>
      </w:pPr>
    </w:p>
    <w:p w14:paraId="6D8EB071" w14:textId="77777777" w:rsidR="008C0051" w:rsidRDefault="008C0051" w:rsidP="008C0051">
      <w:pPr>
        <w:spacing w:line="360" w:lineRule="auto"/>
        <w:ind w:left="720"/>
        <w:jc w:val="both"/>
        <w:rPr>
          <w:rFonts w:ascii="Arial" w:hAnsi="Arial"/>
          <w:b/>
          <w:bCs/>
          <w:u w:val="single"/>
          <w:rtl/>
        </w:rPr>
      </w:pPr>
      <w:r>
        <w:rPr>
          <w:rFonts w:ascii="Arial" w:hAnsi="Arial" w:hint="cs"/>
          <w:b/>
          <w:bCs/>
          <w:u w:val="single"/>
          <w:rtl/>
        </w:rPr>
        <w:t>ראיות לעונש</w:t>
      </w:r>
    </w:p>
    <w:p w14:paraId="1613C57B" w14:textId="77777777" w:rsidR="008C0051" w:rsidRDefault="008C0051" w:rsidP="008C0051">
      <w:pPr>
        <w:numPr>
          <w:ilvl w:val="0"/>
          <w:numId w:val="1"/>
        </w:numPr>
        <w:spacing w:after="160" w:line="360" w:lineRule="auto"/>
        <w:contextualSpacing/>
        <w:jc w:val="both"/>
        <w:rPr>
          <w:rFonts w:ascii="Arial" w:hAnsi="Arial"/>
          <w:rtl/>
        </w:rPr>
      </w:pPr>
      <w:r>
        <w:rPr>
          <w:rFonts w:ascii="Arial" w:hAnsi="Arial" w:hint="cs"/>
          <w:rtl/>
        </w:rPr>
        <w:t>המאשימה הגישה את גיליון המרשם הפלילי של הנאשם (ת/52) לפיו לנאשם שתי עבירות קודמות. הראשונה מיום 30.11.2005 בגין עבירה של תקיפה הגורמת חבלה של ממש ועונשו היה מאסר על תנאי, והשנייה מיום 5.6.2009 בגין עבירות של איומים והפרעה לשוטר במילוי תפקידו, בגינה נדון לחודשיים מאסר (מתוכם שבועיים בעבודות שירות). עוד הציגה את גזר דינו של אייל בתיק האחר (ת/53).</w:t>
      </w:r>
    </w:p>
    <w:p w14:paraId="0F8BBEDA" w14:textId="77777777" w:rsidR="008C0051" w:rsidRDefault="008C0051" w:rsidP="008C0051">
      <w:pPr>
        <w:ind w:left="720"/>
        <w:contextualSpacing/>
        <w:jc w:val="both"/>
        <w:rPr>
          <w:rFonts w:ascii="Arial" w:hAnsi="Arial"/>
        </w:rPr>
      </w:pPr>
    </w:p>
    <w:p w14:paraId="7F256963" w14:textId="77777777" w:rsidR="008C0051" w:rsidRDefault="008C0051" w:rsidP="008C0051">
      <w:pPr>
        <w:numPr>
          <w:ilvl w:val="0"/>
          <w:numId w:val="1"/>
        </w:numPr>
        <w:spacing w:after="160" w:line="360" w:lineRule="auto"/>
        <w:contextualSpacing/>
        <w:jc w:val="both"/>
        <w:rPr>
          <w:rFonts w:ascii="Arial" w:hAnsi="Arial"/>
        </w:rPr>
      </w:pPr>
      <w:r>
        <w:rPr>
          <w:rFonts w:ascii="Arial" w:hAnsi="Arial" w:hint="cs"/>
          <w:rtl/>
        </w:rPr>
        <w:t>מטעם הנאשם הוגש מכתבה של אשתו (ע/1) שתיארה את מצבם המשפחתי הקשה, לבני הזוג ילד בן 3 שלא מכיר את אביו הנאשם בשל היותו עצור מזה תקופה ארוכה, האישה מתקיימת מהבטחת הכנסה וביקשה רחמים עליו ועל בנם הקטן.</w:t>
      </w:r>
    </w:p>
    <w:p w14:paraId="59490402" w14:textId="77777777" w:rsidR="008C0051" w:rsidRDefault="008C0051" w:rsidP="008C0051">
      <w:pPr>
        <w:ind w:left="720"/>
        <w:contextualSpacing/>
        <w:rPr>
          <w:rFonts w:ascii="Arial" w:hAnsi="Arial"/>
          <w:rtl/>
        </w:rPr>
      </w:pPr>
    </w:p>
    <w:p w14:paraId="612BA31B" w14:textId="77777777" w:rsidR="008C0051" w:rsidRDefault="008C0051" w:rsidP="008C0051">
      <w:pPr>
        <w:spacing w:line="360" w:lineRule="auto"/>
        <w:ind w:left="720"/>
        <w:jc w:val="both"/>
        <w:rPr>
          <w:rFonts w:ascii="Arial" w:hAnsi="Arial"/>
        </w:rPr>
      </w:pPr>
      <w:r>
        <w:rPr>
          <w:rFonts w:ascii="Arial" w:hAnsi="Arial" w:hint="cs"/>
          <w:rtl/>
        </w:rPr>
        <w:lastRenderedPageBreak/>
        <w:t xml:space="preserve">הוצגה רשימת חובותיו של הנאשם בהוצאה לפועל (ע/2) הכוללת חובות בסכום של   182,875 ₪. </w:t>
      </w:r>
    </w:p>
    <w:p w14:paraId="621D2F9A" w14:textId="77777777" w:rsidR="008C0051" w:rsidRDefault="008C0051" w:rsidP="008C0051">
      <w:pPr>
        <w:ind w:left="720"/>
        <w:jc w:val="both"/>
        <w:rPr>
          <w:rFonts w:ascii="Arial" w:hAnsi="Arial"/>
          <w:rtl/>
        </w:rPr>
      </w:pPr>
    </w:p>
    <w:p w14:paraId="14B81D43" w14:textId="77777777" w:rsidR="008C0051" w:rsidRDefault="008C0051" w:rsidP="008C0051">
      <w:pPr>
        <w:spacing w:line="360" w:lineRule="auto"/>
        <w:ind w:left="720"/>
        <w:jc w:val="both"/>
        <w:rPr>
          <w:rFonts w:ascii="Arial" w:hAnsi="Arial"/>
          <w:rtl/>
        </w:rPr>
      </w:pPr>
      <w:r>
        <w:rPr>
          <w:rFonts w:ascii="Arial" w:hAnsi="Arial" w:hint="cs"/>
          <w:rtl/>
        </w:rPr>
        <w:t>בנוסף העיד לזכותו אחיו חוסין, שתיאר את אורח חייו הנורמטיבי של הנאשם עד למעצרו, את המצוקה הכלכלית והבריאותית של המשפחה לרבות הורי הנאשם, את כוונתם להגיע לסולחה עם משפחת המנוח שמסרבת למחול. גם הוא ביקש רחמים על הנאשם, על אשתו וילדם הקטן.</w:t>
      </w:r>
    </w:p>
    <w:p w14:paraId="76473F8B" w14:textId="77777777" w:rsidR="008C0051" w:rsidRDefault="008C0051" w:rsidP="008C0051">
      <w:pPr>
        <w:spacing w:line="360" w:lineRule="auto"/>
        <w:ind w:left="720"/>
        <w:jc w:val="both"/>
        <w:rPr>
          <w:rFonts w:ascii="Arial" w:hAnsi="Arial"/>
          <w:rtl/>
        </w:rPr>
      </w:pPr>
    </w:p>
    <w:p w14:paraId="265DBE25" w14:textId="77777777" w:rsidR="008C0051" w:rsidRDefault="008C0051" w:rsidP="008C0051">
      <w:pPr>
        <w:spacing w:line="360" w:lineRule="auto"/>
        <w:ind w:left="720"/>
        <w:jc w:val="both"/>
        <w:rPr>
          <w:rFonts w:ascii="Arial" w:hAnsi="Arial"/>
          <w:b/>
          <w:bCs/>
          <w:u w:val="single"/>
          <w:rtl/>
        </w:rPr>
      </w:pPr>
      <w:r>
        <w:rPr>
          <w:rFonts w:ascii="Arial" w:hAnsi="Arial" w:hint="cs"/>
          <w:b/>
          <w:bCs/>
          <w:u w:val="single"/>
          <w:rtl/>
        </w:rPr>
        <w:t>תמצית טענות הצדדים</w:t>
      </w:r>
    </w:p>
    <w:p w14:paraId="755454A6" w14:textId="77777777" w:rsidR="008C0051" w:rsidRDefault="008C0051" w:rsidP="008C0051">
      <w:pPr>
        <w:numPr>
          <w:ilvl w:val="0"/>
          <w:numId w:val="1"/>
        </w:numPr>
        <w:spacing w:after="160" w:line="360" w:lineRule="auto"/>
        <w:contextualSpacing/>
        <w:jc w:val="both"/>
        <w:rPr>
          <w:rFonts w:ascii="Arial" w:hAnsi="Arial"/>
          <w:u w:val="single"/>
          <w:rtl/>
        </w:rPr>
      </w:pPr>
      <w:r>
        <w:rPr>
          <w:rFonts w:ascii="David" w:hAnsi="David" w:hint="cs"/>
          <w:rtl/>
        </w:rPr>
        <w:t>ב"כ המאשימה ביקש לכבד את הסדר הטיעון שנובע בעיקרו מקשיים ראיתיים.  פרטי ההסדר הובאו לידיעת משפחת המנוח שמתנגדת להסדר ומבהירה כי לא הושגה סולחה בין הצדדים.</w:t>
      </w:r>
    </w:p>
    <w:p w14:paraId="3F4061E3" w14:textId="77777777" w:rsidR="008C0051" w:rsidRDefault="008C0051" w:rsidP="008C0051">
      <w:pPr>
        <w:spacing w:line="360" w:lineRule="auto"/>
        <w:ind w:left="720"/>
        <w:contextualSpacing/>
        <w:jc w:val="both"/>
        <w:rPr>
          <w:rFonts w:ascii="Arial" w:hAnsi="Arial"/>
          <w:u w:val="single"/>
          <w:rtl/>
        </w:rPr>
      </w:pPr>
    </w:p>
    <w:p w14:paraId="23F8056D" w14:textId="77777777" w:rsidR="008C0051" w:rsidRDefault="008C0051" w:rsidP="008C0051">
      <w:pPr>
        <w:spacing w:line="360" w:lineRule="auto"/>
        <w:ind w:left="720"/>
        <w:contextualSpacing/>
        <w:jc w:val="both"/>
        <w:rPr>
          <w:rFonts w:ascii="Calibri" w:hAnsi="Calibri"/>
        </w:rPr>
      </w:pPr>
      <w:r>
        <w:rPr>
          <w:rFonts w:ascii="Arial" w:hAnsi="Arial" w:hint="cs"/>
          <w:rtl/>
        </w:rPr>
        <w:t xml:space="preserve">עוד הוסיף כי ההסדר אליו הגיעו הצדדים הוא לאחר הליך של גישור ורמת הענישה אליה הגיעו הצדדים היא בקצה העליון של רמת הענישה בעבירות אלו וכי הסדר הטיעון בתיק האחר שכלל עונש של 18 שנות מאסר אומץ על ידי בית משפט ולכן </w:t>
      </w:r>
      <w:r>
        <w:rPr>
          <w:rFonts w:ascii="Calibri" w:hAnsi="Calibri" w:hint="cs"/>
          <w:rtl/>
        </w:rPr>
        <w:t xml:space="preserve">נוכח אחידות הענישה ומאחר ומדובר בפרשה אחת לטענתו העונשים שיש להטיל על הנאשם צריכים להיגזר מהעונש שהוטל על אייל.  </w:t>
      </w:r>
    </w:p>
    <w:p w14:paraId="7CF4F6C4" w14:textId="77777777" w:rsidR="008C0051" w:rsidRDefault="008C0051" w:rsidP="008C0051">
      <w:pPr>
        <w:ind w:left="720"/>
        <w:contextualSpacing/>
        <w:jc w:val="both"/>
        <w:rPr>
          <w:rFonts w:ascii="Calibri" w:hAnsi="Calibri"/>
        </w:rPr>
      </w:pPr>
    </w:p>
    <w:p w14:paraId="5CABCB0A" w14:textId="77777777" w:rsidR="008C0051" w:rsidRDefault="008C0051" w:rsidP="008C0051">
      <w:pPr>
        <w:spacing w:line="360" w:lineRule="auto"/>
        <w:ind w:left="720"/>
        <w:contextualSpacing/>
        <w:jc w:val="both"/>
        <w:rPr>
          <w:rtl/>
        </w:rPr>
      </w:pPr>
      <w:r>
        <w:rPr>
          <w:rFonts w:ascii="Calibri" w:hAnsi="Calibri" w:hint="cs"/>
          <w:rtl/>
        </w:rPr>
        <w:t>ב"כ המאשימה ביקש להחמיר עם הנאשם ביחס לאייל מאחר והנאשם היה הדמות המרכזית בתכנית לפגוע במנוח והוא זה ששכר את שרותיו של אייל לפגוע במנוח וענישה מקסימאלית תעביר מסר ברור לשתי המשפחות ביניהן סכסוך אלים עקוב מדם.</w:t>
      </w:r>
    </w:p>
    <w:p w14:paraId="459938FE" w14:textId="77777777" w:rsidR="008C0051" w:rsidRDefault="008C0051" w:rsidP="008C0051">
      <w:pPr>
        <w:spacing w:line="360" w:lineRule="auto"/>
        <w:ind w:left="720"/>
        <w:contextualSpacing/>
        <w:jc w:val="both"/>
        <w:rPr>
          <w:rtl/>
        </w:rPr>
      </w:pPr>
      <w:r>
        <w:rPr>
          <w:rFonts w:hint="cs"/>
          <w:rtl/>
        </w:rPr>
        <w:t>מאחר והאירוע בוצע תמורת כסף ביקשה המאשימה להטיל על הנאשם לשלם קנס דומה לקנס שהוטל על אייל ביחד עם מאסר מותנה ופיצוי למשפחת המנוח.</w:t>
      </w:r>
    </w:p>
    <w:p w14:paraId="222C3381" w14:textId="77777777" w:rsidR="008C0051" w:rsidRDefault="008C0051" w:rsidP="008C0051">
      <w:pPr>
        <w:spacing w:line="360" w:lineRule="auto"/>
        <w:ind w:left="720"/>
        <w:contextualSpacing/>
        <w:jc w:val="both"/>
        <w:rPr>
          <w:rtl/>
        </w:rPr>
      </w:pPr>
    </w:p>
    <w:p w14:paraId="14C09D6E" w14:textId="77777777" w:rsidR="008C0051" w:rsidRDefault="008C0051" w:rsidP="008C0051">
      <w:pPr>
        <w:spacing w:line="360" w:lineRule="auto"/>
        <w:ind w:left="720"/>
        <w:contextualSpacing/>
        <w:jc w:val="both"/>
        <w:rPr>
          <w:rtl/>
        </w:rPr>
      </w:pPr>
      <w:r>
        <w:rPr>
          <w:rFonts w:hint="cs"/>
          <w:rtl/>
        </w:rPr>
        <w:t>המנוח נורה למוות בהיותו בן 42, הותיר אחריו אלמנה ושלושה ילדים (בני 12,17,20), הוא היה המפרנס היחידי שלהם ולכן התבקש פיצוי בגובה המקסימאלי.</w:t>
      </w:r>
    </w:p>
    <w:p w14:paraId="3C6435F7" w14:textId="77777777" w:rsidR="008C0051" w:rsidRDefault="008C0051" w:rsidP="008C0051">
      <w:pPr>
        <w:spacing w:line="360" w:lineRule="auto"/>
        <w:ind w:left="720"/>
        <w:contextualSpacing/>
        <w:jc w:val="both"/>
        <w:rPr>
          <w:rtl/>
        </w:rPr>
      </w:pPr>
    </w:p>
    <w:p w14:paraId="6B7716A0" w14:textId="77777777" w:rsidR="008C0051" w:rsidRDefault="008C0051" w:rsidP="008C0051">
      <w:pPr>
        <w:numPr>
          <w:ilvl w:val="0"/>
          <w:numId w:val="1"/>
        </w:numPr>
        <w:spacing w:after="160" w:line="360" w:lineRule="auto"/>
        <w:contextualSpacing/>
        <w:jc w:val="both"/>
        <w:rPr>
          <w:rFonts w:ascii="Arial" w:hAnsi="Arial"/>
          <w:rtl/>
        </w:rPr>
      </w:pPr>
      <w:r>
        <w:rPr>
          <w:rFonts w:ascii="Arial" w:hAnsi="Arial" w:hint="cs"/>
          <w:rtl/>
        </w:rPr>
        <w:t xml:space="preserve">הסנגור ביקש לאמץ את הסדר הטיעון ולהסתפק ב-16 שנות מאסר בפועל מאחר וחלקו של הנאשם קטן משל המעורבים האחרים. הוא הצביע על גילו הצעיר של הנאשם ביחס לאיברהים ולעובדה כי הנאשם הנוסף בתיק האחר שהביא את האקדח בו בוצעו העבירות נדון ל-4 שנות מאסר בלבד. עוד הזכיר כי הנאשם לקח אחריות וחסך זמן שיפוטי יקר.  משפחת הנאשם מנסה להגיע לפתרון הסכסוך בדרכי שלום והיא נענית בסירוב  מוחלט. הנאשם נשוי טרי, אב לילד בן 3 שנים והתגורר בבית הוריו. </w:t>
      </w:r>
    </w:p>
    <w:p w14:paraId="52ABE66B" w14:textId="77777777" w:rsidR="008C0051" w:rsidRDefault="008C0051" w:rsidP="008C0051">
      <w:pPr>
        <w:spacing w:line="360" w:lineRule="auto"/>
        <w:ind w:left="720"/>
        <w:contextualSpacing/>
        <w:jc w:val="both"/>
        <w:rPr>
          <w:rFonts w:ascii="Arial" w:hAnsi="Arial"/>
          <w:rtl/>
        </w:rPr>
      </w:pPr>
    </w:p>
    <w:p w14:paraId="27B37F19" w14:textId="77777777" w:rsidR="008C0051" w:rsidRDefault="008C0051" w:rsidP="008C0051">
      <w:pPr>
        <w:spacing w:line="360" w:lineRule="auto"/>
        <w:ind w:left="720"/>
        <w:contextualSpacing/>
        <w:jc w:val="both"/>
        <w:rPr>
          <w:rFonts w:ascii="Arial" w:hAnsi="Arial"/>
        </w:rPr>
      </w:pPr>
      <w:r>
        <w:rPr>
          <w:rFonts w:ascii="Arial" w:hAnsi="Arial" w:hint="cs"/>
          <w:rtl/>
        </w:rPr>
        <w:t>הסנגור ביקש שלא להטיל על הנאשם לשלם קנס או פיצוי, המצב הכלכלי של הנאשם ומשפחתו גרוע מאוד וענישה כלכלית תפגע בשיקומו, הוא לא ייצא לחופשות ולא יקבל שחרור מוקדם. אשת הנאשם מתקיימת מהבטחת הכנסה בסך 2,940 ₪ בחודש והיא והנאשם לא יוכלו לעמוד בפיצוי בסכום גבוה.</w:t>
      </w:r>
    </w:p>
    <w:p w14:paraId="2C1FAEF6" w14:textId="77777777" w:rsidR="008C0051" w:rsidRDefault="008C0051" w:rsidP="008C0051">
      <w:pPr>
        <w:spacing w:line="360" w:lineRule="auto"/>
        <w:ind w:left="720"/>
        <w:contextualSpacing/>
        <w:jc w:val="both"/>
        <w:rPr>
          <w:rFonts w:ascii="Arial" w:hAnsi="Arial"/>
        </w:rPr>
      </w:pPr>
    </w:p>
    <w:p w14:paraId="5687D4C7" w14:textId="77777777" w:rsidR="008C0051" w:rsidRDefault="008C0051" w:rsidP="008C0051">
      <w:pPr>
        <w:spacing w:line="360" w:lineRule="auto"/>
        <w:ind w:left="720"/>
        <w:contextualSpacing/>
        <w:jc w:val="both"/>
        <w:rPr>
          <w:rFonts w:ascii="Arial" w:hAnsi="Arial"/>
          <w:rtl/>
        </w:rPr>
      </w:pPr>
      <w:r>
        <w:rPr>
          <w:rFonts w:ascii="Arial" w:hAnsi="Arial" w:hint="cs"/>
          <w:rtl/>
        </w:rPr>
        <w:t>בתום הטיעונים הביע הנאשם צער על מעשיו וביקש להתחשב בבנו בן ה-3.</w:t>
      </w:r>
    </w:p>
    <w:p w14:paraId="33FAC616" w14:textId="77777777" w:rsidR="008C0051" w:rsidRDefault="008C0051" w:rsidP="008C0051">
      <w:pPr>
        <w:spacing w:line="360" w:lineRule="auto"/>
        <w:ind w:left="720"/>
        <w:contextualSpacing/>
        <w:jc w:val="both"/>
        <w:rPr>
          <w:rFonts w:ascii="Arial" w:hAnsi="Arial"/>
          <w:rtl/>
        </w:rPr>
      </w:pPr>
    </w:p>
    <w:p w14:paraId="368E1422" w14:textId="77777777" w:rsidR="008C0051" w:rsidRDefault="008C0051" w:rsidP="008C0051">
      <w:pPr>
        <w:spacing w:line="360" w:lineRule="auto"/>
        <w:ind w:left="720"/>
        <w:contextualSpacing/>
        <w:jc w:val="both"/>
        <w:rPr>
          <w:rFonts w:ascii="Arial" w:hAnsi="Arial"/>
          <w:rtl/>
        </w:rPr>
      </w:pPr>
    </w:p>
    <w:p w14:paraId="03A7238A" w14:textId="77777777" w:rsidR="008C0051" w:rsidRDefault="008C0051" w:rsidP="008C0051">
      <w:pPr>
        <w:spacing w:line="360" w:lineRule="auto"/>
        <w:ind w:left="720"/>
        <w:contextualSpacing/>
        <w:jc w:val="both"/>
        <w:rPr>
          <w:rFonts w:ascii="Arial" w:hAnsi="Arial"/>
          <w:rtl/>
        </w:rPr>
      </w:pPr>
    </w:p>
    <w:p w14:paraId="3E0B07AD" w14:textId="77777777" w:rsidR="008C0051" w:rsidRDefault="008C0051" w:rsidP="008C0051">
      <w:pPr>
        <w:spacing w:line="360" w:lineRule="auto"/>
        <w:ind w:left="720"/>
        <w:contextualSpacing/>
        <w:jc w:val="both"/>
        <w:rPr>
          <w:rFonts w:ascii="Arial" w:hAnsi="Arial"/>
          <w:b/>
          <w:bCs/>
          <w:u w:val="single"/>
          <w:rtl/>
        </w:rPr>
      </w:pPr>
      <w:r>
        <w:rPr>
          <w:rFonts w:ascii="Arial" w:hAnsi="Arial" w:hint="cs"/>
          <w:b/>
          <w:bCs/>
          <w:u w:val="single"/>
          <w:rtl/>
        </w:rPr>
        <w:t>דיון</w:t>
      </w:r>
    </w:p>
    <w:p w14:paraId="48324792" w14:textId="77777777" w:rsidR="008C0051" w:rsidRDefault="008C0051" w:rsidP="008C0051">
      <w:pPr>
        <w:numPr>
          <w:ilvl w:val="0"/>
          <w:numId w:val="1"/>
        </w:numPr>
        <w:spacing w:after="160" w:line="360" w:lineRule="auto"/>
        <w:contextualSpacing/>
        <w:jc w:val="both"/>
        <w:rPr>
          <w:rFonts w:ascii="Arial" w:hAnsi="Arial"/>
          <w:rtl/>
        </w:rPr>
      </w:pPr>
      <w:r>
        <w:rPr>
          <w:rFonts w:ascii="Arial" w:hAnsi="Arial" w:hint="cs"/>
          <w:rtl/>
        </w:rPr>
        <w:t>נקדים ונבהיר כי החלטנו לאמץ את הסדר הטיעון, במהלך שמיעת הראיות נחשפנו לחלק מהקשיים הראיתיים שהביאו להסדר הטיעון. טווחי הענישה המוסכמים משקפים את רמת הענישה הנהוגה והראויה בעבירות אלו במקרים בהם אין הסכמה לעניין העונש וחשוב לזכור כי מדובר בהסכמת הצדדים בעקבות הליך גישור פלילי.</w:t>
      </w:r>
    </w:p>
    <w:p w14:paraId="4BF09011" w14:textId="77777777" w:rsidR="008C0051" w:rsidRDefault="008C0051" w:rsidP="008C0051">
      <w:pPr>
        <w:spacing w:line="360" w:lineRule="auto"/>
        <w:ind w:left="720"/>
        <w:contextualSpacing/>
        <w:jc w:val="both"/>
        <w:rPr>
          <w:rFonts w:ascii="Arial" w:hAnsi="Arial"/>
          <w:rtl/>
        </w:rPr>
      </w:pPr>
      <w:r>
        <w:rPr>
          <w:rFonts w:ascii="Arial" w:hAnsi="Arial" w:hint="cs"/>
          <w:rtl/>
        </w:rPr>
        <w:t xml:space="preserve">ראו לעניין נושא הסדר טיעון בעקבות גישור </w:t>
      </w:r>
      <w:hyperlink r:id="rId23" w:history="1">
        <w:r w:rsidR="000B34F8" w:rsidRPr="000B34F8">
          <w:rPr>
            <w:rStyle w:val="Hyperlink"/>
            <w:rFonts w:ascii="Arial" w:hAnsi="Arial" w:hint="eastAsia"/>
            <w:rtl/>
          </w:rPr>
          <w:t>ע</w:t>
        </w:r>
        <w:r w:rsidR="000B34F8" w:rsidRPr="000B34F8">
          <w:rPr>
            <w:rStyle w:val="Hyperlink"/>
            <w:rFonts w:ascii="Arial" w:hAnsi="Arial"/>
            <w:rtl/>
          </w:rPr>
          <w:t>"פ 1454/15</w:t>
        </w:r>
      </w:hyperlink>
      <w:r>
        <w:rPr>
          <w:rFonts w:ascii="Arial" w:hAnsi="Arial" w:hint="cs"/>
          <w:rtl/>
        </w:rPr>
        <w:t xml:space="preserve"> שנדון במאוחד עם 1067/15 </w:t>
      </w:r>
      <w:r>
        <w:rPr>
          <w:rFonts w:ascii="Arial" w:hAnsi="Arial" w:hint="cs"/>
          <w:b/>
          <w:bCs/>
          <w:rtl/>
        </w:rPr>
        <w:t>פלוני נגד מדינת ישראל</w:t>
      </w:r>
      <w:r>
        <w:rPr>
          <w:rFonts w:ascii="Arial" w:hAnsi="Arial" w:hint="cs"/>
          <w:rtl/>
        </w:rPr>
        <w:t xml:space="preserve"> (10.8.2015):</w:t>
      </w:r>
    </w:p>
    <w:p w14:paraId="66D3C8D2" w14:textId="77777777" w:rsidR="008C0051" w:rsidRDefault="008C0051" w:rsidP="008C0051">
      <w:pPr>
        <w:tabs>
          <w:tab w:val="left" w:pos="800"/>
        </w:tabs>
        <w:overflowPunct w:val="0"/>
        <w:adjustRightInd w:val="0"/>
        <w:ind w:left="1440" w:right="851"/>
        <w:jc w:val="both"/>
        <w:rPr>
          <w:rFonts w:ascii="Arial TUR" w:hAnsi="Arial TUR"/>
          <w:spacing w:val="10"/>
          <w:rtl/>
        </w:rPr>
      </w:pPr>
      <w:r>
        <w:rPr>
          <w:rFonts w:ascii="Arial TUR" w:hAnsi="Arial TUR" w:hint="cs"/>
          <w:spacing w:val="10"/>
          <w:rtl/>
        </w:rPr>
        <w:t xml:space="preserve">"יש לתת משקל נוסף לעובדה כי ההסדר הושג בתיווכו (ולעיתים אף בעידודו) של שופט המטפל בגישורים פליליים, ועל כן אינטרס ההסתמכות והציפייה של הנאשם כי ההסדר יכובד, עומד על רף גבוה ביותר. לטעמי, יש צורך בנסיבות חריגות </w:t>
      </w:r>
      <w:r>
        <w:rPr>
          <w:rFonts w:hint="cs"/>
          <w:rtl/>
        </w:rPr>
        <w:t>במיוחד</w:t>
      </w:r>
      <w:r>
        <w:rPr>
          <w:rFonts w:ascii="Arial TUR" w:hAnsi="Arial TUR" w:hint="cs"/>
          <w:spacing w:val="10"/>
          <w:rtl/>
        </w:rPr>
        <w:t xml:space="preserve"> על מנת לסטות מהסדר טיעון שהושג באופן זה, ולא יהיה די, ככלל, בנסיבות "</w:t>
      </w:r>
      <w:r>
        <w:rPr>
          <w:rFonts w:hint="cs"/>
          <w:rtl/>
        </w:rPr>
        <w:t>הרגילות</w:t>
      </w:r>
      <w:r>
        <w:rPr>
          <w:rFonts w:ascii="Arial TUR" w:hAnsi="Arial TUR" w:hint="cs"/>
          <w:spacing w:val="10"/>
          <w:rtl/>
        </w:rPr>
        <w:t>" המצדיקות סטייה מהסדר הטיעון".</w:t>
      </w:r>
    </w:p>
    <w:p w14:paraId="65CC08AA" w14:textId="77777777" w:rsidR="008C0051" w:rsidRDefault="008C0051" w:rsidP="008C0051">
      <w:pPr>
        <w:jc w:val="both"/>
        <w:rPr>
          <w:rFonts w:ascii="Arial" w:hAnsi="Arial"/>
          <w:rtl/>
        </w:rPr>
      </w:pPr>
    </w:p>
    <w:p w14:paraId="5F753C92" w14:textId="77777777" w:rsidR="008C0051" w:rsidRDefault="008C0051" w:rsidP="008C0051">
      <w:pPr>
        <w:spacing w:line="360" w:lineRule="auto"/>
        <w:ind w:left="720"/>
        <w:contextualSpacing/>
        <w:jc w:val="both"/>
        <w:rPr>
          <w:rFonts w:ascii="Arial" w:hAnsi="Arial"/>
          <w:rtl/>
        </w:rPr>
      </w:pPr>
    </w:p>
    <w:p w14:paraId="2FA18C93" w14:textId="77777777" w:rsidR="008C0051" w:rsidRDefault="008C0051" w:rsidP="008C0051">
      <w:pPr>
        <w:spacing w:line="360" w:lineRule="auto"/>
        <w:ind w:left="720"/>
        <w:contextualSpacing/>
        <w:jc w:val="both"/>
        <w:rPr>
          <w:rFonts w:ascii="Arial" w:hAnsi="Arial"/>
          <w:rtl/>
        </w:rPr>
      </w:pPr>
      <w:r>
        <w:rPr>
          <w:rFonts w:ascii="Arial" w:hAnsi="Arial" w:hint="cs"/>
          <w:rtl/>
        </w:rPr>
        <w:t>במקרה זה נפגעו בצורה קשה ערכים חברתיים של שמירה על קדושת החיים, זכותו של אדם לביטחון ושלמות גופו.</w:t>
      </w:r>
    </w:p>
    <w:p w14:paraId="639AAD94" w14:textId="77777777" w:rsidR="008C0051" w:rsidRDefault="008C0051" w:rsidP="008C0051">
      <w:pPr>
        <w:spacing w:line="360" w:lineRule="auto"/>
        <w:ind w:left="720"/>
        <w:contextualSpacing/>
        <w:jc w:val="both"/>
        <w:rPr>
          <w:rFonts w:ascii="Arial" w:hAnsi="Arial"/>
          <w:rtl/>
        </w:rPr>
      </w:pPr>
    </w:p>
    <w:p w14:paraId="4002003A" w14:textId="77777777" w:rsidR="008C0051" w:rsidRDefault="008C0051" w:rsidP="008C0051">
      <w:pPr>
        <w:spacing w:line="360" w:lineRule="auto"/>
        <w:ind w:left="720"/>
        <w:contextualSpacing/>
        <w:jc w:val="both"/>
        <w:rPr>
          <w:spacing w:val="10"/>
          <w:rtl/>
        </w:rPr>
      </w:pPr>
      <w:r>
        <w:rPr>
          <w:rFonts w:ascii="Arial" w:hAnsi="Arial" w:hint="cs"/>
          <w:rtl/>
        </w:rPr>
        <w:t xml:space="preserve">העבירה העיקרית בה הורשע הנאשם היא עבירת הריגה, עבירה שהעונש המרבי הקבוע בחוק לצידה הוא מאסר לתקופה של 20 שנה. </w:t>
      </w:r>
    </w:p>
    <w:p w14:paraId="27CF7568" w14:textId="77777777" w:rsidR="008C0051" w:rsidRDefault="008C0051" w:rsidP="008C0051">
      <w:pPr>
        <w:ind w:left="720"/>
        <w:contextualSpacing/>
        <w:jc w:val="both"/>
        <w:rPr>
          <w:spacing w:val="10"/>
          <w:rtl/>
        </w:rPr>
      </w:pPr>
    </w:p>
    <w:p w14:paraId="5CD7E36E" w14:textId="77777777" w:rsidR="008C0051" w:rsidRDefault="008C0051" w:rsidP="008C0051">
      <w:pPr>
        <w:numPr>
          <w:ilvl w:val="0"/>
          <w:numId w:val="1"/>
        </w:numPr>
        <w:spacing w:after="160" w:line="360" w:lineRule="auto"/>
        <w:contextualSpacing/>
        <w:jc w:val="both"/>
        <w:rPr>
          <w:rFonts w:ascii="Arial" w:hAnsi="Arial"/>
        </w:rPr>
      </w:pPr>
      <w:r>
        <w:rPr>
          <w:rFonts w:ascii="Arial" w:hAnsi="Arial" w:hint="cs"/>
          <w:rtl/>
        </w:rPr>
        <w:t xml:space="preserve">בחינת ענישה בנסיבות דומות, שאינן חלק מהסדר טיעון, לעניין העונש מראה כי טווח הענישה המוסכם אינו חורג מרמת הענישה הראויה והוא מתקרב לרף העליון של ענישה בעבירת הריגה שבוצעה באמצעות נשק חם (ראו למשל </w:t>
      </w:r>
      <w:hyperlink r:id="rId24" w:history="1">
        <w:r w:rsidR="000B34F8" w:rsidRPr="000B34F8">
          <w:rPr>
            <w:rStyle w:val="Hyperlink"/>
            <w:rFonts w:ascii="Arial" w:hAnsi="Arial" w:hint="eastAsia"/>
            <w:rtl/>
          </w:rPr>
          <w:t>ע</w:t>
        </w:r>
        <w:r w:rsidR="000B34F8" w:rsidRPr="000B34F8">
          <w:rPr>
            <w:rStyle w:val="Hyperlink"/>
            <w:rFonts w:ascii="Arial" w:hAnsi="Arial"/>
            <w:rtl/>
          </w:rPr>
          <w:t>"פ 5998/15</w:t>
        </w:r>
      </w:hyperlink>
      <w:r>
        <w:rPr>
          <w:rFonts w:ascii="Arial" w:hAnsi="Arial" w:hint="cs"/>
          <w:rtl/>
        </w:rPr>
        <w:t xml:space="preserve"> </w:t>
      </w:r>
      <w:r>
        <w:rPr>
          <w:rFonts w:ascii="Arial" w:hAnsi="Arial" w:hint="cs"/>
          <w:b/>
          <w:bCs/>
          <w:rtl/>
        </w:rPr>
        <w:t xml:space="preserve">עקול נגד מדינת ישראל </w:t>
      </w:r>
      <w:r>
        <w:rPr>
          <w:rFonts w:ascii="Arial" w:hAnsi="Arial" w:hint="cs"/>
          <w:rtl/>
        </w:rPr>
        <w:t>(27.6.2016) ו</w:t>
      </w:r>
      <w:hyperlink r:id="rId25" w:history="1">
        <w:r w:rsidR="000B34F8" w:rsidRPr="000B34F8">
          <w:rPr>
            <w:rStyle w:val="Hyperlink"/>
            <w:rFonts w:ascii="Arial" w:hAnsi="Arial" w:hint="eastAsia"/>
            <w:rtl/>
          </w:rPr>
          <w:t>ע</w:t>
        </w:r>
        <w:r w:rsidR="000B34F8" w:rsidRPr="000B34F8">
          <w:rPr>
            <w:rStyle w:val="Hyperlink"/>
            <w:rFonts w:ascii="Arial" w:hAnsi="Arial"/>
            <w:rtl/>
          </w:rPr>
          <w:t>"פ 1569/13</w:t>
        </w:r>
      </w:hyperlink>
      <w:r>
        <w:rPr>
          <w:rFonts w:ascii="Arial" w:hAnsi="Arial" w:hint="cs"/>
          <w:rtl/>
        </w:rPr>
        <w:t xml:space="preserve"> </w:t>
      </w:r>
      <w:r>
        <w:rPr>
          <w:rFonts w:ascii="Arial" w:hAnsi="Arial" w:hint="cs"/>
          <w:b/>
          <w:bCs/>
          <w:rtl/>
        </w:rPr>
        <w:t>אל שייך-כריים נגד מדינת ישראל</w:t>
      </w:r>
      <w:r>
        <w:rPr>
          <w:rFonts w:ascii="Arial" w:hAnsi="Arial" w:hint="cs"/>
          <w:rtl/>
        </w:rPr>
        <w:t xml:space="preserve"> (13.1.2015)).</w:t>
      </w:r>
    </w:p>
    <w:p w14:paraId="613CEC31" w14:textId="77777777" w:rsidR="008C0051" w:rsidRDefault="008C0051" w:rsidP="008C0051">
      <w:pPr>
        <w:spacing w:line="360" w:lineRule="auto"/>
        <w:ind w:left="720"/>
        <w:contextualSpacing/>
        <w:jc w:val="both"/>
        <w:rPr>
          <w:rFonts w:ascii="Arial" w:hAnsi="Arial"/>
        </w:rPr>
      </w:pPr>
    </w:p>
    <w:p w14:paraId="793E0FF4" w14:textId="77777777" w:rsidR="008C0051" w:rsidRDefault="008C0051" w:rsidP="00AA0BC7">
      <w:pPr>
        <w:spacing w:line="360" w:lineRule="auto"/>
        <w:ind w:left="720"/>
        <w:contextualSpacing/>
        <w:jc w:val="both"/>
        <w:rPr>
          <w:rFonts w:ascii="Arial" w:hAnsi="Arial"/>
        </w:rPr>
      </w:pPr>
      <w:r>
        <w:rPr>
          <w:rFonts w:hint="cs"/>
          <w:rtl/>
        </w:rPr>
        <w:t>עוד נפנה ל</w:t>
      </w:r>
      <w:hyperlink r:id="rId26" w:history="1">
        <w:r w:rsidR="00AA0BC7" w:rsidRPr="00AA0BC7">
          <w:rPr>
            <w:color w:val="0000FF"/>
            <w:u w:val="single"/>
            <w:rtl/>
          </w:rPr>
          <w:t xml:space="preserve">ע"פ 7179/14 </w:t>
        </w:r>
      </w:hyperlink>
      <w:r w:rsidR="00AA0BC7" w:rsidRPr="00AA0BC7">
        <w:rPr>
          <w:rFonts w:hint="cs"/>
          <w:rtl/>
        </w:rPr>
        <w:t xml:space="preserve"> </w:t>
      </w:r>
      <w:r>
        <w:rPr>
          <w:rFonts w:hint="cs"/>
          <w:b/>
          <w:bCs/>
          <w:rtl/>
        </w:rPr>
        <w:t>טוויל נגד מדינת ישראל</w:t>
      </w:r>
      <w:r>
        <w:rPr>
          <w:rFonts w:hint="cs"/>
          <w:rtl/>
        </w:rPr>
        <w:t xml:space="preserve"> (22.11.2015), </w:t>
      </w:r>
      <w:r>
        <w:rPr>
          <w:rFonts w:ascii="Arial" w:hAnsi="Arial" w:hint="cs"/>
          <w:rtl/>
        </w:rPr>
        <w:t xml:space="preserve">מקרה של הריגה באמצעות נשק קר, בו הוסכם כי המדינה תעתור לענישה של 20 שנות מאסר והנאשם לא יהיה מוגבל בטיעוניו, בית המשפט העליון העמיד את העונש על 17 שנות מאסר בפועל וראו אף את </w:t>
      </w:r>
      <w:hyperlink r:id="rId27" w:history="1">
        <w:r w:rsidR="000B34F8" w:rsidRPr="000B34F8">
          <w:rPr>
            <w:rStyle w:val="Hyperlink"/>
            <w:rFonts w:ascii="Arial" w:hAnsi="Arial" w:hint="eastAsia"/>
            <w:rtl/>
          </w:rPr>
          <w:t>ע</w:t>
        </w:r>
        <w:r w:rsidR="000B34F8" w:rsidRPr="000B34F8">
          <w:rPr>
            <w:rStyle w:val="Hyperlink"/>
            <w:rFonts w:ascii="Arial" w:hAnsi="Arial"/>
            <w:rtl/>
          </w:rPr>
          <w:t>"פ 5373/12</w:t>
        </w:r>
      </w:hyperlink>
      <w:r>
        <w:rPr>
          <w:rFonts w:ascii="Arial" w:hAnsi="Arial" w:hint="cs"/>
          <w:rtl/>
        </w:rPr>
        <w:t xml:space="preserve"> </w:t>
      </w:r>
      <w:r>
        <w:rPr>
          <w:rFonts w:ascii="Arial" w:hAnsi="Arial" w:hint="cs"/>
          <w:b/>
          <w:bCs/>
          <w:rtl/>
        </w:rPr>
        <w:t>אבורמד נגד מדינת ישראל</w:t>
      </w:r>
      <w:r>
        <w:rPr>
          <w:rFonts w:ascii="Arial" w:hAnsi="Arial" w:hint="cs"/>
          <w:rtl/>
        </w:rPr>
        <w:t xml:space="preserve"> (15.4.2015) בו נדון נאשם שהורשע בהריגה לאחר שמיעת ראיות ל-17 שנות מאסר.</w:t>
      </w:r>
    </w:p>
    <w:p w14:paraId="5CF70304" w14:textId="77777777" w:rsidR="008C0051" w:rsidRDefault="008C0051" w:rsidP="008C0051">
      <w:pPr>
        <w:spacing w:line="360" w:lineRule="auto"/>
        <w:ind w:left="720"/>
        <w:contextualSpacing/>
        <w:jc w:val="both"/>
        <w:rPr>
          <w:rFonts w:ascii="Arial" w:hAnsi="Arial"/>
        </w:rPr>
      </w:pPr>
    </w:p>
    <w:p w14:paraId="0B3BA891" w14:textId="77777777" w:rsidR="008C0051" w:rsidRDefault="008C0051" w:rsidP="008C0051">
      <w:pPr>
        <w:spacing w:line="360" w:lineRule="auto"/>
        <w:ind w:left="720"/>
        <w:jc w:val="both"/>
        <w:rPr>
          <w:rFonts w:ascii="Arial" w:hAnsi="Arial"/>
          <w:rtl/>
        </w:rPr>
      </w:pPr>
      <w:r>
        <w:rPr>
          <w:rFonts w:ascii="Arial" w:hAnsi="Arial" w:hint="cs"/>
          <w:rtl/>
        </w:rPr>
        <w:t>אמנם כפי שהבהרנו לנאשם הסדר הטעון אינו מחייב את בית המשפט אך ראוי לזכור את שנקבע רק לאחרונה ב</w:t>
      </w:r>
      <w:hyperlink r:id="rId28" w:history="1">
        <w:r w:rsidR="000B34F8" w:rsidRPr="000B34F8">
          <w:rPr>
            <w:rStyle w:val="Hyperlink"/>
            <w:rFonts w:ascii="Arial" w:hAnsi="Arial" w:hint="eastAsia"/>
            <w:rtl/>
          </w:rPr>
          <w:t>ע</w:t>
        </w:r>
        <w:r w:rsidR="000B34F8" w:rsidRPr="000B34F8">
          <w:rPr>
            <w:rStyle w:val="Hyperlink"/>
            <w:rFonts w:ascii="Arial" w:hAnsi="Arial"/>
            <w:rtl/>
          </w:rPr>
          <w:t>"פ 2021/17</w:t>
        </w:r>
      </w:hyperlink>
      <w:r>
        <w:rPr>
          <w:rFonts w:ascii="Arial" w:hAnsi="Arial" w:hint="cs"/>
          <w:rtl/>
        </w:rPr>
        <w:t xml:space="preserve"> </w:t>
      </w:r>
      <w:r>
        <w:rPr>
          <w:rFonts w:ascii="Arial" w:hAnsi="Arial" w:hint="cs"/>
          <w:b/>
          <w:bCs/>
          <w:rtl/>
        </w:rPr>
        <w:t>מצגר נגד מדינת ישראל</w:t>
      </w:r>
      <w:r>
        <w:rPr>
          <w:rFonts w:ascii="Arial" w:hAnsi="Arial" w:hint="cs"/>
          <w:rtl/>
        </w:rPr>
        <w:t xml:space="preserve"> (30.4.2017):</w:t>
      </w:r>
    </w:p>
    <w:p w14:paraId="0ABE7CAD" w14:textId="77777777" w:rsidR="008C0051" w:rsidRDefault="008C0051" w:rsidP="008C0051">
      <w:pPr>
        <w:ind w:left="1440" w:right="709"/>
        <w:jc w:val="both"/>
        <w:rPr>
          <w:rFonts w:ascii="Arial" w:hAnsi="Arial"/>
          <w:spacing w:val="10"/>
        </w:rPr>
      </w:pPr>
      <w:r>
        <w:rPr>
          <w:rFonts w:ascii="Arial" w:hAnsi="Arial" w:hint="cs"/>
          <w:rtl/>
        </w:rPr>
        <w:t>"לא בנקל ידחה בית המשפט הסדר טיעון שמובא לאישורו, וזאת נוכח קיומם של שיקולים כבדי משקל שתומכים בכך, ובראשם החשש שמא יחול כרסום במעמדם של הסדרי טיעון ובוודאות שהם נוסכים בנאשם החותם על ההסדר, וכפועל יוצא – בתכליות הרצויות שהם מגשימים</w:t>
      </w:r>
      <w:r>
        <w:rPr>
          <w:rFonts w:ascii="Arial" w:hAnsi="Arial" w:hint="cs"/>
          <w:spacing w:val="10"/>
          <w:rtl/>
        </w:rPr>
        <w:t xml:space="preserve"> ....</w:t>
      </w:r>
    </w:p>
    <w:p w14:paraId="48C19C97" w14:textId="77777777" w:rsidR="008C0051" w:rsidRDefault="008C0051" w:rsidP="008C0051">
      <w:pPr>
        <w:ind w:left="1440" w:right="709"/>
        <w:jc w:val="both"/>
        <w:rPr>
          <w:rFonts w:ascii="Arial" w:hAnsi="Arial"/>
          <w:spacing w:val="10"/>
          <w:rtl/>
        </w:rPr>
      </w:pPr>
      <w:r>
        <w:rPr>
          <w:rFonts w:ascii="Arial" w:hAnsi="Arial" w:hint="cs"/>
          <w:rtl/>
        </w:rPr>
        <w:t>השיקולים שלפיהם יבחן בית המשפט עונש שמוסכם במסגרת הסדר טיעון שמובא לפניו הותוו ב</w:t>
      </w:r>
      <w:hyperlink r:id="rId29" w:history="1">
        <w:r w:rsidR="000B34F8" w:rsidRPr="000B34F8">
          <w:rPr>
            <w:rStyle w:val="Hyperlink"/>
            <w:rFonts w:ascii="Arial" w:hAnsi="Arial" w:hint="eastAsia"/>
            <w:rtl/>
          </w:rPr>
          <w:t>ע</w:t>
        </w:r>
        <w:r w:rsidR="000B34F8" w:rsidRPr="000B34F8">
          <w:rPr>
            <w:rStyle w:val="Hyperlink"/>
            <w:rFonts w:ascii="Arial" w:hAnsi="Arial"/>
            <w:rtl/>
          </w:rPr>
          <w:t>"פ 1958/98 פלוני נ' מדינת ישראל, פ"ד נז</w:t>
        </w:r>
      </w:hyperlink>
      <w:r>
        <w:rPr>
          <w:rFonts w:ascii="Arial" w:hAnsi="Arial" w:hint="cs"/>
          <w:rtl/>
        </w:rPr>
        <w:t>(1) 577 (1998) (להלן: עניין פלוני המוקדם), במקרה זה אומץ – בהרכב מורחב –"מבחן האיזון" שלפיו על בית המשפט לבחון אם התקיים האיזון "בין טובת ההנאה הצומחת לנאשם מהסדר טיעון לעניין העונש, לבין אינטרס הציבור כפי שהוא בא לידי ביטוי בעונש שבית-המשפט גוזר"</w:t>
      </w:r>
      <w:r>
        <w:rPr>
          <w:rFonts w:ascii="Arial" w:hAnsi="Arial" w:hint="cs"/>
          <w:spacing w:val="10"/>
          <w:rtl/>
        </w:rPr>
        <w:t>.</w:t>
      </w:r>
    </w:p>
    <w:p w14:paraId="46A118FC" w14:textId="77777777" w:rsidR="008C0051" w:rsidRDefault="008C0051" w:rsidP="008C0051">
      <w:pPr>
        <w:ind w:left="1440" w:right="709"/>
        <w:jc w:val="both"/>
        <w:rPr>
          <w:rFonts w:ascii="Arial" w:hAnsi="Arial"/>
          <w:spacing w:val="10"/>
          <w:rtl/>
        </w:rPr>
      </w:pPr>
    </w:p>
    <w:p w14:paraId="2D484401" w14:textId="77777777" w:rsidR="008C0051" w:rsidRDefault="008C0051" w:rsidP="008C0051">
      <w:pPr>
        <w:spacing w:line="360" w:lineRule="auto"/>
        <w:ind w:left="720" w:right="142"/>
        <w:jc w:val="both"/>
        <w:rPr>
          <w:rFonts w:ascii="Arial" w:hAnsi="Arial"/>
          <w:rtl/>
        </w:rPr>
      </w:pPr>
    </w:p>
    <w:p w14:paraId="4865A6A4" w14:textId="77777777" w:rsidR="008C0051" w:rsidRDefault="008C0051" w:rsidP="008C0051">
      <w:pPr>
        <w:spacing w:line="360" w:lineRule="auto"/>
        <w:ind w:left="720" w:right="142"/>
        <w:jc w:val="both"/>
        <w:rPr>
          <w:rFonts w:ascii="Arial" w:hAnsi="Arial"/>
          <w:rtl/>
        </w:rPr>
      </w:pPr>
      <w:r>
        <w:rPr>
          <w:rFonts w:ascii="Arial" w:hAnsi="Arial" w:hint="cs"/>
          <w:rtl/>
        </w:rPr>
        <w:t>בחינת טווח העונש המוסכם בהסדר הטיעון למול העונש שהיה צפוי להיגזר על  הנאשם אלמלא ההסדר לאור עקרונות הענישה שנקבעו בתיקון 113 ל</w:t>
      </w:r>
      <w:hyperlink r:id="rId30" w:history="1">
        <w:r w:rsidR="000B34F8" w:rsidRPr="000B34F8">
          <w:rPr>
            <w:rStyle w:val="Hyperlink"/>
            <w:rFonts w:ascii="Arial" w:hAnsi="Arial" w:hint="eastAsia"/>
            <w:rtl/>
          </w:rPr>
          <w:t>חוק</w:t>
        </w:r>
        <w:r w:rsidR="000B34F8" w:rsidRPr="000B34F8">
          <w:rPr>
            <w:rStyle w:val="Hyperlink"/>
            <w:rFonts w:ascii="Arial" w:hAnsi="Arial"/>
            <w:rtl/>
          </w:rPr>
          <w:t xml:space="preserve"> העונשין</w:t>
        </w:r>
      </w:hyperlink>
      <w:r>
        <w:rPr>
          <w:rFonts w:ascii="Arial" w:hAnsi="Arial" w:hint="cs"/>
          <w:rtl/>
        </w:rPr>
        <w:t>, מחזקת את עמדתנו כי יש לאמץ את הסדר הטיעון במלואו וטווח הענישה יעמוד בן 16 ל-20 שנות מאסר בפועל כמוסכם על ידי הצדדים.</w:t>
      </w:r>
    </w:p>
    <w:p w14:paraId="7EB6B7F8" w14:textId="77777777" w:rsidR="008C0051" w:rsidRDefault="008C0051" w:rsidP="008C0051">
      <w:pPr>
        <w:spacing w:line="360" w:lineRule="auto"/>
        <w:ind w:left="720" w:right="142"/>
        <w:jc w:val="both"/>
        <w:rPr>
          <w:rFonts w:ascii="Arial" w:hAnsi="Arial"/>
          <w:rtl/>
        </w:rPr>
      </w:pPr>
    </w:p>
    <w:p w14:paraId="42BC8F7E" w14:textId="77777777" w:rsidR="008C0051" w:rsidRDefault="008C0051" w:rsidP="008C0051">
      <w:pPr>
        <w:spacing w:line="360" w:lineRule="auto"/>
        <w:ind w:left="720" w:right="142"/>
        <w:jc w:val="both"/>
        <w:rPr>
          <w:rFonts w:ascii="Arial" w:hAnsi="Arial"/>
          <w:rtl/>
        </w:rPr>
      </w:pPr>
      <w:r>
        <w:rPr>
          <w:rFonts w:ascii="Arial" w:hAnsi="Arial" w:hint="cs"/>
          <w:rtl/>
        </w:rPr>
        <w:t xml:space="preserve">נזכיר כי מעשיו של הנאשם היו מתוכננים היטב כמתואר בעובדות כתב האישום המתוקן, הנאשם ושותפו בחרו את מקום ביצוע העבירה, דאגו לצייד את אייל היורה בנשק, מסכה וכפפות והם בנו נתיב בריחה ותמריץ כספי למבצע. </w:t>
      </w:r>
    </w:p>
    <w:p w14:paraId="56D9ABEA" w14:textId="77777777" w:rsidR="008C0051" w:rsidRDefault="008C0051" w:rsidP="008C0051">
      <w:pPr>
        <w:spacing w:line="360" w:lineRule="auto"/>
        <w:ind w:left="1440"/>
        <w:jc w:val="both"/>
        <w:rPr>
          <w:rFonts w:ascii="Arial" w:hAnsi="Arial"/>
          <w:rtl/>
        </w:rPr>
      </w:pPr>
    </w:p>
    <w:p w14:paraId="77A5135C" w14:textId="77777777" w:rsidR="008C0051" w:rsidRDefault="008C0051" w:rsidP="008C0051">
      <w:pPr>
        <w:spacing w:line="360" w:lineRule="auto"/>
        <w:ind w:left="720"/>
        <w:contextualSpacing/>
        <w:jc w:val="both"/>
        <w:rPr>
          <w:rFonts w:ascii="Arial" w:hAnsi="Arial"/>
          <w:b/>
          <w:bCs/>
          <w:u w:val="single"/>
          <w:rtl/>
        </w:rPr>
      </w:pPr>
      <w:r>
        <w:rPr>
          <w:rFonts w:ascii="Arial" w:hAnsi="Arial" w:hint="cs"/>
          <w:b/>
          <w:bCs/>
          <w:u w:val="single"/>
          <w:rtl/>
        </w:rPr>
        <w:t>העונש המתאים</w:t>
      </w:r>
    </w:p>
    <w:p w14:paraId="12E4AB15" w14:textId="77777777" w:rsidR="008C0051" w:rsidRDefault="008C0051" w:rsidP="008C0051">
      <w:pPr>
        <w:spacing w:line="360" w:lineRule="auto"/>
        <w:ind w:left="720"/>
        <w:jc w:val="both"/>
        <w:rPr>
          <w:rFonts w:ascii="Arial" w:hAnsi="Arial"/>
        </w:rPr>
      </w:pPr>
      <w:r>
        <w:rPr>
          <w:rFonts w:ascii="Arial" w:hAnsi="Arial" w:hint="cs"/>
          <w:rtl/>
        </w:rPr>
        <w:t xml:space="preserve">בעת קביעת העונש המתאים אנו סבורים כי משיקולי אחידות הענישה אין לאבחן בין הנאשם לבין אייל, הם פעלו בצוותא חדא באותה פרשה כל אחד ממניעיו, אייל בשל התמריץ הכספי שקיבל והנאשם פעל כחלק ממסע נקמה בעקבות רצח קודם שבוצע כחלק מהסכסוך שבין המשפחות. שניהם-הנאשם ואייל הודו ונטלו אחריות על מעשיהם. </w:t>
      </w:r>
    </w:p>
    <w:p w14:paraId="69840571" w14:textId="77777777" w:rsidR="008C0051" w:rsidRDefault="008C0051" w:rsidP="008C0051">
      <w:pPr>
        <w:spacing w:line="360" w:lineRule="auto"/>
        <w:ind w:left="720"/>
        <w:jc w:val="both"/>
        <w:rPr>
          <w:rFonts w:ascii="Arial" w:hAnsi="Arial"/>
          <w:rtl/>
        </w:rPr>
      </w:pPr>
      <w:r>
        <w:rPr>
          <w:rFonts w:ascii="Arial" w:hAnsi="Arial" w:hint="cs"/>
          <w:rtl/>
        </w:rPr>
        <w:t>כמובן שלא נעלמה מענינו העובדה כי בשני המקרים נערך הסדר טיעון גם בשל קשיים ראייתים ותוכנם לגבי ענינו של אייל לא ידוע לנו.</w:t>
      </w:r>
    </w:p>
    <w:p w14:paraId="08D19E77" w14:textId="77777777" w:rsidR="008C0051" w:rsidRDefault="008C0051" w:rsidP="008C0051">
      <w:pPr>
        <w:spacing w:line="360" w:lineRule="auto"/>
        <w:ind w:left="720"/>
        <w:jc w:val="both"/>
        <w:rPr>
          <w:rFonts w:ascii="Arial" w:hAnsi="Arial"/>
          <w:rtl/>
        </w:rPr>
      </w:pPr>
    </w:p>
    <w:p w14:paraId="6CB8E99C" w14:textId="77777777" w:rsidR="008C0051" w:rsidRDefault="008C0051" w:rsidP="008C0051">
      <w:pPr>
        <w:spacing w:line="360" w:lineRule="auto"/>
        <w:ind w:left="720"/>
        <w:jc w:val="both"/>
        <w:rPr>
          <w:rFonts w:ascii="Arial" w:hAnsi="Arial"/>
          <w:rtl/>
        </w:rPr>
      </w:pPr>
      <w:r>
        <w:rPr>
          <w:rFonts w:ascii="Arial" w:hAnsi="Arial" w:hint="cs"/>
          <w:rtl/>
        </w:rPr>
        <w:t>עברו של הנאשם אינו מכביד (שתי הרשעות בגין עבירות לא חמורות מהשנים 2005 ו-2009) ובעת קביעת העונש בתוך המתחם נזקוף לזכותו את הפגיעה באשתו ובעיקר בבנו בן ה-3 של הנאשם שלא זכה להכירו בשל שהות הנאשם במעצר במהלך השנתיים האחרונות.</w:t>
      </w:r>
    </w:p>
    <w:p w14:paraId="0CE6F039" w14:textId="77777777" w:rsidR="008C0051" w:rsidRDefault="008C0051" w:rsidP="008C0051">
      <w:pPr>
        <w:spacing w:line="360" w:lineRule="auto"/>
        <w:ind w:left="720"/>
        <w:jc w:val="both"/>
        <w:rPr>
          <w:rFonts w:ascii="Arial" w:hAnsi="Arial"/>
          <w:rtl/>
        </w:rPr>
      </w:pPr>
    </w:p>
    <w:p w14:paraId="129A7993" w14:textId="77777777" w:rsidR="008C0051" w:rsidRDefault="008C0051" w:rsidP="008C0051">
      <w:pPr>
        <w:spacing w:line="360" w:lineRule="auto"/>
        <w:ind w:left="720"/>
        <w:jc w:val="both"/>
        <w:rPr>
          <w:rFonts w:ascii="Arial" w:hAnsi="Arial"/>
          <w:rtl/>
        </w:rPr>
      </w:pPr>
      <w:r>
        <w:rPr>
          <w:rFonts w:ascii="Arial" w:hAnsi="Arial" w:hint="cs"/>
          <w:rtl/>
        </w:rPr>
        <w:t xml:space="preserve">הפגיעה במנוח שהביאה למותו, הינה חלק מסכסוך ממושך בין שתי משפחות שהביא עד עתה ל-6 קרבנות ולפגיעה קשה בבני משפחותיהם. בנושא זה מקובלת עלינו עמדת המאשימה ואנו סבורים כי יש צורך במקרה זה בהרתעת הרבים מפני המשך ביצוע עבירות אלימות ויש סיכוי של ממש שהחמרה בעונשו של הנאשם תביא להרתעת הרבים (ראו </w:t>
      </w:r>
      <w:hyperlink r:id="rId31" w:history="1">
        <w:r w:rsidR="00A24B02" w:rsidRPr="00A24B02">
          <w:rPr>
            <w:rFonts w:ascii="Arial" w:hAnsi="Arial"/>
            <w:color w:val="0000FF"/>
            <w:u w:val="single"/>
            <w:rtl/>
          </w:rPr>
          <w:t>סעיף 40ז</w:t>
        </w:r>
      </w:hyperlink>
      <w:r>
        <w:rPr>
          <w:rFonts w:ascii="Arial" w:hAnsi="Arial" w:hint="cs"/>
          <w:rtl/>
        </w:rPr>
        <w:t xml:space="preserve"> ל</w:t>
      </w:r>
      <w:hyperlink r:id="rId32" w:history="1">
        <w:r w:rsidR="000B34F8" w:rsidRPr="000B34F8">
          <w:rPr>
            <w:rStyle w:val="Hyperlink"/>
            <w:rFonts w:ascii="Arial" w:hAnsi="Arial" w:hint="eastAsia"/>
            <w:rtl/>
          </w:rPr>
          <w:t>חוק</w:t>
        </w:r>
        <w:r w:rsidR="000B34F8" w:rsidRPr="000B34F8">
          <w:rPr>
            <w:rStyle w:val="Hyperlink"/>
            <w:rFonts w:ascii="Arial" w:hAnsi="Arial"/>
            <w:rtl/>
          </w:rPr>
          <w:t xml:space="preserve"> העונשין</w:t>
        </w:r>
      </w:hyperlink>
      <w:r>
        <w:rPr>
          <w:rFonts w:ascii="Arial" w:hAnsi="Arial" w:hint="cs"/>
          <w:rtl/>
        </w:rPr>
        <w:t>) ואנו מקווים כי במהרה ייפסק מעגל הדמים ותושג סולחה בין המשפחות.</w:t>
      </w:r>
    </w:p>
    <w:p w14:paraId="4B36BF17" w14:textId="77777777" w:rsidR="008C0051" w:rsidRDefault="008C0051" w:rsidP="008C0051">
      <w:pPr>
        <w:spacing w:line="360" w:lineRule="auto"/>
        <w:ind w:left="720"/>
        <w:jc w:val="both"/>
        <w:rPr>
          <w:rFonts w:ascii="Arial" w:hAnsi="Arial"/>
          <w:rtl/>
        </w:rPr>
      </w:pPr>
    </w:p>
    <w:p w14:paraId="0E4DA229" w14:textId="77777777" w:rsidR="008C0051" w:rsidRDefault="008C0051" w:rsidP="008C0051">
      <w:pPr>
        <w:spacing w:line="360" w:lineRule="auto"/>
        <w:ind w:left="720"/>
        <w:jc w:val="both"/>
        <w:rPr>
          <w:rFonts w:ascii="Arial" w:hAnsi="Arial"/>
          <w:rtl/>
        </w:rPr>
      </w:pPr>
      <w:r>
        <w:rPr>
          <w:rFonts w:ascii="Arial" w:hAnsi="Arial" w:hint="cs"/>
          <w:rtl/>
        </w:rPr>
        <w:t xml:space="preserve">הנאשם במעשיו הביא לפגיעה קשה גם בבני משפחתו של המנוח, אלמנתו ושלושת ילדים, שום פיצוי כספי לא ישיב להם את האבדה היקרה ואנו מבינים את סירובם להסכים לכל הסדר טיעון. </w:t>
      </w:r>
    </w:p>
    <w:p w14:paraId="5352B956" w14:textId="77777777" w:rsidR="008C0051" w:rsidRDefault="008C0051" w:rsidP="008C0051">
      <w:pPr>
        <w:spacing w:line="360" w:lineRule="auto"/>
        <w:ind w:left="720"/>
        <w:jc w:val="both"/>
        <w:rPr>
          <w:rFonts w:ascii="Arial" w:hAnsi="Arial"/>
          <w:rtl/>
          <w:lang w:eastAsia="he-IL"/>
        </w:rPr>
      </w:pPr>
      <w:r>
        <w:rPr>
          <w:rFonts w:ascii="Arial" w:hAnsi="Arial" w:hint="cs"/>
          <w:rtl/>
        </w:rPr>
        <w:t>אנו נחייב את הנאשם לשלם להם פיצוי בסכום זהה לסכום שחויב אייל ונזכיר כי "יכולותיו הכלכליות של העבריין אינן מהוות שיקול בקביעת שיעור הפיצוי לטובת משפחת המנוח" (</w:t>
      </w:r>
      <w:hyperlink r:id="rId33" w:history="1">
        <w:r w:rsidR="000B34F8" w:rsidRPr="000B34F8">
          <w:rPr>
            <w:rStyle w:val="Hyperlink"/>
            <w:rFonts w:ascii="Arial" w:hAnsi="Arial" w:hint="eastAsia"/>
            <w:rtl/>
            <w:lang w:eastAsia="he-IL"/>
          </w:rPr>
          <w:t>ע</w:t>
        </w:r>
        <w:r w:rsidR="000B34F8" w:rsidRPr="000B34F8">
          <w:rPr>
            <w:rStyle w:val="Hyperlink"/>
            <w:rFonts w:ascii="Arial" w:hAnsi="Arial"/>
            <w:rtl/>
            <w:lang w:eastAsia="he-IL"/>
          </w:rPr>
          <w:t>"פ 1310/12</w:t>
        </w:r>
      </w:hyperlink>
      <w:r>
        <w:rPr>
          <w:rFonts w:ascii="Arial" w:hAnsi="Arial" w:hint="cs"/>
          <w:rtl/>
          <w:lang w:eastAsia="he-IL"/>
        </w:rPr>
        <w:t xml:space="preserve"> </w:t>
      </w:r>
      <w:r>
        <w:rPr>
          <w:rFonts w:ascii="Arial" w:hAnsi="Arial" w:hint="cs"/>
          <w:b/>
          <w:bCs/>
          <w:rtl/>
          <w:lang w:eastAsia="he-IL"/>
        </w:rPr>
        <w:t>שוורצמן נגד מדינת ישראל</w:t>
      </w:r>
      <w:r>
        <w:rPr>
          <w:rFonts w:ascii="Arial" w:hAnsi="Arial" w:hint="cs"/>
          <w:rtl/>
          <w:lang w:eastAsia="he-IL"/>
        </w:rPr>
        <w:t xml:space="preserve"> (3.11.2014). בני משפחת המנוח זכאים לתבוע פיצוי על מלוא נזקיהם בהליך מתאים אחר, הנאשם זכאי </w:t>
      </w:r>
      <w:r>
        <w:rPr>
          <w:rFonts w:ascii="Arial" w:hAnsi="Arial" w:hint="cs"/>
          <w:rtl/>
        </w:rPr>
        <w:t xml:space="preserve">לפנות בבקשה מנומקת ומגובה באסמכתאות למרכז לגביית קנסות מכוח הוראת </w:t>
      </w:r>
      <w:hyperlink r:id="rId34" w:history="1">
        <w:r w:rsidR="00A24B02" w:rsidRPr="00A24B02">
          <w:rPr>
            <w:rFonts w:ascii="Arial" w:hAnsi="Arial"/>
            <w:color w:val="0000FF"/>
            <w:u w:val="single"/>
            <w:rtl/>
          </w:rPr>
          <w:t>סעיף 5ב(א)</w:t>
        </w:r>
      </w:hyperlink>
      <w:r>
        <w:rPr>
          <w:rFonts w:ascii="Arial" w:hAnsi="Arial" w:hint="cs"/>
          <w:rtl/>
        </w:rPr>
        <w:t xml:space="preserve"> ל</w:t>
      </w:r>
      <w:hyperlink r:id="rId35" w:history="1">
        <w:r w:rsidR="000B34F8" w:rsidRPr="000B34F8">
          <w:rPr>
            <w:rStyle w:val="Hyperlink"/>
            <w:rFonts w:ascii="Arial" w:hAnsi="Arial" w:hint="eastAsia"/>
            <w:rtl/>
          </w:rPr>
          <w:t>חוק</w:t>
        </w:r>
        <w:r w:rsidR="000B34F8" w:rsidRPr="000B34F8">
          <w:rPr>
            <w:rStyle w:val="Hyperlink"/>
            <w:rFonts w:ascii="Arial" w:hAnsi="Arial"/>
            <w:rtl/>
          </w:rPr>
          <w:t xml:space="preserve"> המרכז לגביית קנסות, אגרות והוצאות</w:t>
        </w:r>
      </w:hyperlink>
      <w:r>
        <w:rPr>
          <w:rFonts w:ascii="Arial" w:hAnsi="Arial" w:hint="cs"/>
          <w:rtl/>
        </w:rPr>
        <w:t>, התשנ"ה-1995</w:t>
      </w:r>
      <w:r>
        <w:rPr>
          <w:rFonts w:ascii="Arial" w:hAnsi="Arial" w:hint="cs"/>
          <w:rtl/>
          <w:lang w:eastAsia="he-IL"/>
        </w:rPr>
        <w:t>, במידה וברצונו לפרוס  התשלומים מעבר למועדי התשלום שנקבע.</w:t>
      </w:r>
    </w:p>
    <w:p w14:paraId="279D0C28" w14:textId="77777777" w:rsidR="008C0051" w:rsidRDefault="008C0051" w:rsidP="008C0051">
      <w:pPr>
        <w:ind w:left="720"/>
        <w:jc w:val="both"/>
        <w:rPr>
          <w:rFonts w:ascii="Arial" w:hAnsi="Arial"/>
          <w:rtl/>
          <w:lang w:eastAsia="he-IL"/>
        </w:rPr>
      </w:pPr>
    </w:p>
    <w:p w14:paraId="4EE8344B" w14:textId="77777777" w:rsidR="008C0051" w:rsidRDefault="008C0051" w:rsidP="008C0051">
      <w:pPr>
        <w:spacing w:line="360" w:lineRule="auto"/>
        <w:ind w:left="720"/>
        <w:jc w:val="both"/>
        <w:rPr>
          <w:rFonts w:ascii="Arial" w:hAnsi="Arial"/>
          <w:rtl/>
          <w:lang w:eastAsia="he-IL"/>
        </w:rPr>
      </w:pPr>
      <w:r>
        <w:rPr>
          <w:rFonts w:ascii="Arial" w:hAnsi="Arial" w:hint="cs"/>
          <w:rtl/>
          <w:lang w:eastAsia="he-IL"/>
        </w:rPr>
        <w:t xml:space="preserve">בטרם סיום נזכיר כי באשר לבקשת המאשימה לחייב הנאשם בתשלום קנס, בהתחשב  ביכולתו הכלכלית הדלה של הנאשם (ראו </w:t>
      </w:r>
      <w:hyperlink r:id="rId36" w:history="1">
        <w:r w:rsidR="00A24B02" w:rsidRPr="00A24B02">
          <w:rPr>
            <w:rFonts w:ascii="Arial" w:hAnsi="Arial"/>
            <w:color w:val="0000FF"/>
            <w:u w:val="single"/>
            <w:rtl/>
            <w:lang w:eastAsia="he-IL"/>
          </w:rPr>
          <w:t>סעיף 40ח</w:t>
        </w:r>
      </w:hyperlink>
      <w:r>
        <w:rPr>
          <w:rFonts w:ascii="Arial" w:hAnsi="Arial" w:hint="cs"/>
          <w:rtl/>
          <w:lang w:eastAsia="he-IL"/>
        </w:rPr>
        <w:t xml:space="preserve"> ל</w:t>
      </w:r>
      <w:hyperlink r:id="rId37" w:history="1">
        <w:r w:rsidR="000B34F8" w:rsidRPr="000B34F8">
          <w:rPr>
            <w:rStyle w:val="Hyperlink"/>
            <w:rFonts w:ascii="Arial" w:hAnsi="Arial" w:hint="eastAsia"/>
            <w:rtl/>
            <w:lang w:eastAsia="he-IL"/>
          </w:rPr>
          <w:t>חוק</w:t>
        </w:r>
        <w:r w:rsidR="000B34F8" w:rsidRPr="000B34F8">
          <w:rPr>
            <w:rStyle w:val="Hyperlink"/>
            <w:rFonts w:ascii="Arial" w:hAnsi="Arial"/>
            <w:rtl/>
            <w:lang w:eastAsia="he-IL"/>
          </w:rPr>
          <w:t xml:space="preserve"> העונשין</w:t>
        </w:r>
      </w:hyperlink>
      <w:r>
        <w:rPr>
          <w:rFonts w:ascii="Arial" w:hAnsi="Arial" w:hint="cs"/>
          <w:rtl/>
          <w:lang w:eastAsia="he-IL"/>
        </w:rPr>
        <w:t xml:space="preserve"> שקובע נתון זה כשיקול רלבנטי) ובהתחשב בגובה הפיצוי שפסקנו, אנו מקבלים את עמדת הסנגור ולא נחייב הנאשם בתשלום קנס. </w:t>
      </w:r>
    </w:p>
    <w:p w14:paraId="3D2B1250" w14:textId="77777777" w:rsidR="008C0051" w:rsidRDefault="008C0051" w:rsidP="008C0051">
      <w:pPr>
        <w:spacing w:line="360" w:lineRule="auto"/>
        <w:ind w:left="720"/>
        <w:jc w:val="both"/>
        <w:rPr>
          <w:rFonts w:ascii="Arial" w:hAnsi="Arial"/>
          <w:rtl/>
        </w:rPr>
      </w:pPr>
    </w:p>
    <w:p w14:paraId="386A6493" w14:textId="77777777" w:rsidR="008C0051" w:rsidRDefault="008C0051" w:rsidP="008C0051">
      <w:pPr>
        <w:spacing w:line="360" w:lineRule="auto"/>
        <w:ind w:left="360" w:firstLine="360"/>
        <w:jc w:val="both"/>
        <w:rPr>
          <w:rFonts w:ascii="Arial" w:hAnsi="Arial"/>
          <w:b/>
          <w:bCs/>
          <w:u w:val="single"/>
        </w:rPr>
      </w:pPr>
      <w:r>
        <w:rPr>
          <w:rFonts w:ascii="Arial" w:hAnsi="Arial" w:hint="cs"/>
          <w:b/>
          <w:bCs/>
          <w:u w:val="single"/>
          <w:rtl/>
        </w:rPr>
        <w:t>סיכום</w:t>
      </w:r>
    </w:p>
    <w:p w14:paraId="64A12940" w14:textId="77777777" w:rsidR="008C0051" w:rsidRDefault="008C0051" w:rsidP="008C0051">
      <w:pPr>
        <w:spacing w:line="360" w:lineRule="auto"/>
        <w:ind w:left="360" w:firstLine="360"/>
        <w:jc w:val="both"/>
        <w:rPr>
          <w:rFonts w:ascii="Arial" w:hAnsi="Arial"/>
          <w:rtl/>
        </w:rPr>
      </w:pPr>
      <w:r>
        <w:rPr>
          <w:rFonts w:ascii="Arial" w:hAnsi="Arial" w:hint="cs"/>
          <w:rtl/>
        </w:rPr>
        <w:t>לאור האמור לעיל אנו דנים את הנאשם לעונשים הבאים:</w:t>
      </w:r>
    </w:p>
    <w:p w14:paraId="15B871E4" w14:textId="77777777" w:rsidR="008C0051" w:rsidRDefault="008C0051" w:rsidP="008C0051">
      <w:pPr>
        <w:spacing w:line="360" w:lineRule="auto"/>
        <w:ind w:left="720"/>
        <w:jc w:val="both"/>
        <w:rPr>
          <w:rFonts w:ascii="Arial" w:hAnsi="Arial"/>
        </w:rPr>
      </w:pPr>
      <w:r>
        <w:rPr>
          <w:rFonts w:ascii="Arial" w:hAnsi="Arial" w:hint="cs"/>
          <w:rtl/>
        </w:rPr>
        <w:t xml:space="preserve">-18 שנים בפועל, מניינם מיום מעצרו 5.4.2015. </w:t>
      </w:r>
    </w:p>
    <w:p w14:paraId="5FF5F20C" w14:textId="77777777" w:rsidR="008C0051" w:rsidRDefault="008C0051" w:rsidP="008C0051">
      <w:pPr>
        <w:spacing w:line="360" w:lineRule="auto"/>
        <w:ind w:left="720"/>
        <w:jc w:val="both"/>
        <w:rPr>
          <w:rFonts w:ascii="Arial" w:hAnsi="Arial"/>
        </w:rPr>
      </w:pPr>
      <w:r>
        <w:rPr>
          <w:rFonts w:ascii="Arial" w:hAnsi="Arial" w:hint="cs"/>
          <w:rtl/>
        </w:rPr>
        <w:t xml:space="preserve">- 18 חודשי מאסר על תנאי, הנאשם לא ישא את עונש המאסר על  תנאי </w:t>
      </w:r>
      <w:r>
        <w:rPr>
          <w:rFonts w:hint="cs"/>
          <w:rtl/>
        </w:rPr>
        <w:t xml:space="preserve">אלא אם יעבור תוך שלוש שנים עבירה בנשק או עבירת אלימות פשע ויורשע בשל עבירה כזאת תוך תקופת התנאי או לאחריה. </w:t>
      </w:r>
    </w:p>
    <w:p w14:paraId="7953955E" w14:textId="77777777" w:rsidR="008C0051" w:rsidRDefault="008C0051" w:rsidP="008C0051">
      <w:pPr>
        <w:spacing w:line="360" w:lineRule="auto"/>
        <w:ind w:left="720"/>
        <w:jc w:val="both"/>
        <w:rPr>
          <w:rFonts w:ascii="Arial" w:hAnsi="Arial"/>
          <w:rtl/>
        </w:rPr>
      </w:pPr>
      <w:r>
        <w:rPr>
          <w:rFonts w:ascii="Arial" w:hAnsi="Arial" w:hint="cs"/>
          <w:rtl/>
        </w:rPr>
        <w:t>-הנאשם ישלם למשפחת המנוח פיצויים בסכום של 250,000 ₪. הפיצויים ישולמו ב-12 תשלומים חודשיים שווים החל מיום 1.1.2018 בדרך של הפקדת הסכומים בקופת בית משפט. המאשימה תמסור למזכירות בית משפט את פרטי חשבון הבנק של משפחת המנוח.</w:t>
      </w:r>
    </w:p>
    <w:p w14:paraId="16961D47" w14:textId="77777777" w:rsidR="008C0051" w:rsidRDefault="008C0051" w:rsidP="008C0051">
      <w:pPr>
        <w:jc w:val="both"/>
        <w:rPr>
          <w:rtl/>
        </w:rPr>
      </w:pPr>
    </w:p>
    <w:p w14:paraId="17EDF673" w14:textId="77777777" w:rsidR="008C0051" w:rsidRDefault="008C0051" w:rsidP="008C0051">
      <w:pPr>
        <w:spacing w:line="360" w:lineRule="auto"/>
        <w:jc w:val="both"/>
        <w:rPr>
          <w:rtl/>
        </w:rPr>
      </w:pPr>
    </w:p>
    <w:p w14:paraId="1F146276" w14:textId="77777777" w:rsidR="008C0051" w:rsidRDefault="000B34F8" w:rsidP="008C0051">
      <w:pPr>
        <w:jc w:val="center"/>
        <w:rPr>
          <w:rFonts w:ascii="Arial" w:hAnsi="Arial" w:cs="FrankRuehl"/>
          <w:sz w:val="28"/>
          <w:szCs w:val="28"/>
        </w:rPr>
      </w:pPr>
      <w:r w:rsidRPr="000B34F8">
        <w:rPr>
          <w:rFonts w:ascii="Arial" w:hAnsi="Arial"/>
          <w:color w:val="FFFFFF"/>
          <w:sz w:val="2"/>
          <w:szCs w:val="2"/>
          <w:rtl/>
        </w:rPr>
        <w:t>5129371</w:t>
      </w:r>
      <w:r>
        <w:rPr>
          <w:rFonts w:ascii="Arial" w:hAnsi="Arial"/>
          <w:rtl/>
        </w:rPr>
        <w:t xml:space="preserve">ניתן היום,  כ"ט אייר תשע"ז, 25 מאי 2017, במעמד הנאשם וב"כ הצדדים. </w:t>
      </w:r>
      <w:r w:rsidR="008C0051">
        <w:rPr>
          <w:rFonts w:hint="cs"/>
          <w:rtl/>
        </w:rPr>
        <w:t xml:space="preserve">   </w:t>
      </w:r>
      <w:r w:rsidR="008C0051">
        <w:rPr>
          <w:rFonts w:hint="cs"/>
          <w:rtl/>
        </w:rPr>
        <w:tab/>
      </w:r>
      <w:r w:rsidR="008C0051">
        <w:rPr>
          <w:rFonts w:hint="cs"/>
          <w:rtl/>
        </w:rPr>
        <w:tab/>
      </w:r>
      <w:r w:rsidR="008C0051">
        <w:rPr>
          <w:rFonts w:hint="cs"/>
          <w:rtl/>
        </w:rPr>
        <w:tab/>
      </w:r>
      <w:r w:rsidR="008C0051">
        <w:rPr>
          <w:rFonts w:hint="cs"/>
          <w:rtl/>
        </w:rPr>
        <w:tab/>
      </w:r>
    </w:p>
    <w:tbl>
      <w:tblPr>
        <w:bidiVisual/>
        <w:tblW w:w="0" w:type="auto"/>
        <w:tblLook w:val="01E0" w:firstRow="1" w:lastRow="1" w:firstColumn="1" w:lastColumn="1" w:noHBand="0" w:noVBand="0"/>
      </w:tblPr>
      <w:tblGrid>
        <w:gridCol w:w="2834"/>
        <w:gridCol w:w="360"/>
        <w:gridCol w:w="2406"/>
        <w:gridCol w:w="346"/>
        <w:gridCol w:w="2576"/>
      </w:tblGrid>
      <w:tr w:rsidR="008C0051" w14:paraId="3248CF4E" w14:textId="77777777" w:rsidTr="000B34F8">
        <w:tc>
          <w:tcPr>
            <w:tcW w:w="2834" w:type="dxa"/>
            <w:tcBorders>
              <w:top w:val="nil"/>
              <w:left w:val="nil"/>
              <w:bottom w:val="single" w:sz="4" w:space="0" w:color="auto"/>
              <w:right w:val="nil"/>
            </w:tcBorders>
            <w:shd w:val="clear" w:color="auto" w:fill="auto"/>
            <w:vAlign w:val="center"/>
          </w:tcPr>
          <w:p w14:paraId="6C1203AF" w14:textId="77777777" w:rsidR="008C0051" w:rsidRPr="000B34F8" w:rsidRDefault="000B34F8" w:rsidP="000B34F8">
            <w:pPr>
              <w:jc w:val="center"/>
              <w:rPr>
                <w:rFonts w:ascii="Courier New" w:hAnsi="Courier New"/>
                <w:b/>
                <w:bCs/>
                <w:color w:val="FFFFFF"/>
                <w:sz w:val="2"/>
                <w:szCs w:val="2"/>
                <w:rtl/>
              </w:rPr>
            </w:pPr>
            <w:r w:rsidRPr="000B34F8">
              <w:rPr>
                <w:rFonts w:ascii="Courier New" w:hAnsi="Courier New"/>
                <w:b/>
                <w:bCs/>
                <w:color w:val="FFFFFF"/>
                <w:sz w:val="2"/>
                <w:szCs w:val="2"/>
                <w:rtl/>
              </w:rPr>
              <w:t>54678313</w:t>
            </w:r>
          </w:p>
        </w:tc>
        <w:tc>
          <w:tcPr>
            <w:tcW w:w="360" w:type="dxa"/>
            <w:shd w:val="clear" w:color="auto" w:fill="auto"/>
            <w:vAlign w:val="center"/>
          </w:tcPr>
          <w:p w14:paraId="0A2440F8" w14:textId="77777777" w:rsidR="008C0051" w:rsidRPr="007E282B" w:rsidRDefault="008C0051" w:rsidP="000B34F8">
            <w:pPr>
              <w:jc w:val="center"/>
              <w:rPr>
                <w:rFonts w:ascii="Courier New" w:hAnsi="Courier New"/>
                <w:b/>
                <w:bCs/>
              </w:rPr>
            </w:pPr>
          </w:p>
        </w:tc>
        <w:tc>
          <w:tcPr>
            <w:tcW w:w="2406" w:type="dxa"/>
            <w:tcBorders>
              <w:top w:val="nil"/>
              <w:left w:val="nil"/>
              <w:bottom w:val="single" w:sz="4" w:space="0" w:color="auto"/>
              <w:right w:val="nil"/>
            </w:tcBorders>
            <w:shd w:val="clear" w:color="auto" w:fill="auto"/>
            <w:vAlign w:val="center"/>
          </w:tcPr>
          <w:p w14:paraId="2BDD2F41" w14:textId="77777777" w:rsidR="008C0051" w:rsidRPr="007E282B" w:rsidRDefault="008C0051" w:rsidP="000B34F8">
            <w:pPr>
              <w:jc w:val="center"/>
              <w:rPr>
                <w:rFonts w:ascii="Courier New" w:hAnsi="Courier New"/>
                <w:b/>
                <w:bCs/>
              </w:rPr>
            </w:pPr>
          </w:p>
        </w:tc>
        <w:tc>
          <w:tcPr>
            <w:tcW w:w="346" w:type="dxa"/>
            <w:shd w:val="clear" w:color="auto" w:fill="auto"/>
            <w:vAlign w:val="center"/>
          </w:tcPr>
          <w:p w14:paraId="5F6A9D30" w14:textId="77777777" w:rsidR="008C0051" w:rsidRPr="007E282B" w:rsidRDefault="008C0051" w:rsidP="000B34F8">
            <w:pPr>
              <w:jc w:val="center"/>
              <w:rPr>
                <w:rFonts w:ascii="Courier New" w:hAnsi="Courier New"/>
                <w:b/>
                <w:bCs/>
              </w:rPr>
            </w:pPr>
          </w:p>
        </w:tc>
        <w:tc>
          <w:tcPr>
            <w:tcW w:w="2576" w:type="dxa"/>
            <w:tcBorders>
              <w:top w:val="nil"/>
              <w:left w:val="nil"/>
              <w:bottom w:val="single" w:sz="4" w:space="0" w:color="auto"/>
              <w:right w:val="nil"/>
            </w:tcBorders>
            <w:shd w:val="clear" w:color="auto" w:fill="auto"/>
            <w:vAlign w:val="center"/>
          </w:tcPr>
          <w:p w14:paraId="181D2CB5" w14:textId="77777777" w:rsidR="008C0051" w:rsidRPr="007E282B" w:rsidRDefault="008C0051" w:rsidP="000B34F8">
            <w:pPr>
              <w:jc w:val="center"/>
              <w:rPr>
                <w:rFonts w:ascii="Courier New" w:hAnsi="Courier New"/>
                <w:b/>
                <w:bCs/>
              </w:rPr>
            </w:pPr>
          </w:p>
        </w:tc>
      </w:tr>
      <w:tr w:rsidR="008C0051" w14:paraId="4D6C0F2B" w14:textId="77777777" w:rsidTr="000B34F8">
        <w:tc>
          <w:tcPr>
            <w:tcW w:w="2834" w:type="dxa"/>
            <w:tcBorders>
              <w:top w:val="single" w:sz="4" w:space="0" w:color="auto"/>
              <w:left w:val="nil"/>
              <w:bottom w:val="nil"/>
              <w:right w:val="nil"/>
            </w:tcBorders>
            <w:shd w:val="clear" w:color="auto" w:fill="auto"/>
          </w:tcPr>
          <w:p w14:paraId="2E45BBFA" w14:textId="77777777" w:rsidR="008C0051" w:rsidRPr="007E282B" w:rsidRDefault="008C0051" w:rsidP="000B34F8">
            <w:pPr>
              <w:jc w:val="center"/>
              <w:rPr>
                <w:b/>
                <w:bCs/>
              </w:rPr>
            </w:pPr>
            <w:r w:rsidRPr="007E282B">
              <w:rPr>
                <w:rFonts w:hint="cs"/>
                <w:b/>
                <w:bCs/>
                <w:rtl/>
              </w:rPr>
              <w:t>ד"ר רון שפירא, סגן נשיא</w:t>
            </w:r>
          </w:p>
          <w:p w14:paraId="44493B17" w14:textId="77777777" w:rsidR="008C0051" w:rsidRPr="007E282B" w:rsidRDefault="008C0051" w:rsidP="000B34F8">
            <w:pPr>
              <w:jc w:val="center"/>
              <w:rPr>
                <w:b/>
                <w:bCs/>
              </w:rPr>
            </w:pPr>
            <w:r w:rsidRPr="007E282B">
              <w:rPr>
                <w:rFonts w:hint="cs"/>
                <w:b/>
                <w:bCs/>
                <w:rtl/>
              </w:rPr>
              <w:t>[אב"ד]</w:t>
            </w:r>
          </w:p>
        </w:tc>
        <w:tc>
          <w:tcPr>
            <w:tcW w:w="360" w:type="dxa"/>
            <w:shd w:val="clear" w:color="auto" w:fill="auto"/>
          </w:tcPr>
          <w:p w14:paraId="486CAFF4" w14:textId="77777777" w:rsidR="008C0051" w:rsidRPr="007E282B" w:rsidRDefault="008C0051" w:rsidP="000B34F8">
            <w:pPr>
              <w:jc w:val="center"/>
              <w:rPr>
                <w:b/>
                <w:bCs/>
                <w:rtl/>
              </w:rPr>
            </w:pPr>
          </w:p>
        </w:tc>
        <w:tc>
          <w:tcPr>
            <w:tcW w:w="2406" w:type="dxa"/>
            <w:tcBorders>
              <w:top w:val="single" w:sz="4" w:space="0" w:color="auto"/>
              <w:left w:val="nil"/>
              <w:bottom w:val="nil"/>
              <w:right w:val="nil"/>
            </w:tcBorders>
            <w:shd w:val="clear" w:color="auto" w:fill="auto"/>
          </w:tcPr>
          <w:p w14:paraId="0CA7123D" w14:textId="77777777" w:rsidR="008C0051" w:rsidRPr="007E282B" w:rsidRDefault="008C0051" w:rsidP="000B34F8">
            <w:pPr>
              <w:jc w:val="center"/>
              <w:rPr>
                <w:b/>
                <w:bCs/>
              </w:rPr>
            </w:pPr>
            <w:r w:rsidRPr="007E282B">
              <w:rPr>
                <w:rFonts w:hint="cs"/>
                <w:b/>
                <w:bCs/>
                <w:rtl/>
              </w:rPr>
              <w:t xml:space="preserve">אברהם אליקים, </w:t>
            </w:r>
            <w:r w:rsidRPr="007E282B">
              <w:rPr>
                <w:rFonts w:hint="cs"/>
                <w:b/>
                <w:bCs/>
                <w:rtl/>
              </w:rPr>
              <w:br/>
              <w:t>סגן נשיא</w:t>
            </w:r>
          </w:p>
        </w:tc>
        <w:tc>
          <w:tcPr>
            <w:tcW w:w="346" w:type="dxa"/>
            <w:shd w:val="clear" w:color="auto" w:fill="auto"/>
          </w:tcPr>
          <w:p w14:paraId="00736589" w14:textId="77777777" w:rsidR="008C0051" w:rsidRPr="007E282B" w:rsidRDefault="008C0051" w:rsidP="000B34F8">
            <w:pPr>
              <w:jc w:val="center"/>
              <w:rPr>
                <w:b/>
                <w:bCs/>
              </w:rPr>
            </w:pPr>
          </w:p>
        </w:tc>
        <w:tc>
          <w:tcPr>
            <w:tcW w:w="2576" w:type="dxa"/>
            <w:tcBorders>
              <w:top w:val="single" w:sz="4" w:space="0" w:color="auto"/>
              <w:left w:val="nil"/>
              <w:bottom w:val="nil"/>
              <w:right w:val="nil"/>
            </w:tcBorders>
            <w:shd w:val="clear" w:color="auto" w:fill="auto"/>
          </w:tcPr>
          <w:p w14:paraId="660AF529" w14:textId="77777777" w:rsidR="008C0051" w:rsidRPr="007E282B" w:rsidRDefault="008C0051" w:rsidP="000B34F8">
            <w:pPr>
              <w:jc w:val="center"/>
              <w:rPr>
                <w:b/>
                <w:bCs/>
              </w:rPr>
            </w:pPr>
            <w:r w:rsidRPr="007E282B">
              <w:rPr>
                <w:rFonts w:hint="cs"/>
                <w:b/>
                <w:bCs/>
                <w:rtl/>
              </w:rPr>
              <w:t>תמר נאות פרי, שופטת</w:t>
            </w:r>
          </w:p>
        </w:tc>
      </w:tr>
    </w:tbl>
    <w:p w14:paraId="458ED1CB" w14:textId="77777777" w:rsidR="008C0051" w:rsidRPr="00A24B02" w:rsidRDefault="00A24B02" w:rsidP="008C0051">
      <w:pPr>
        <w:rPr>
          <w:color w:val="FFFFFF"/>
          <w:sz w:val="2"/>
          <w:szCs w:val="2"/>
        </w:rPr>
      </w:pPr>
      <w:r w:rsidRPr="00A24B02">
        <w:rPr>
          <w:color w:val="FFFFFF"/>
          <w:sz w:val="2"/>
          <w:szCs w:val="2"/>
          <w:rtl/>
        </w:rPr>
        <w:t>5129371</w:t>
      </w:r>
    </w:p>
    <w:p w14:paraId="1313252D" w14:textId="77777777" w:rsidR="000B34F8" w:rsidRPr="00A24B02" w:rsidRDefault="00A24B02" w:rsidP="000B34F8">
      <w:pPr>
        <w:keepNext/>
        <w:rPr>
          <w:rFonts w:ascii="David" w:hAnsi="David"/>
          <w:color w:val="FFFFFF"/>
          <w:sz w:val="2"/>
          <w:szCs w:val="2"/>
          <w:rtl/>
        </w:rPr>
      </w:pPr>
      <w:r w:rsidRPr="00A24B02">
        <w:rPr>
          <w:rFonts w:ascii="David" w:hAnsi="David"/>
          <w:color w:val="FFFFFF"/>
          <w:sz w:val="2"/>
          <w:szCs w:val="2"/>
          <w:rtl/>
        </w:rPr>
        <w:t>54678313</w:t>
      </w:r>
    </w:p>
    <w:p w14:paraId="6085ED50" w14:textId="77777777" w:rsidR="000B34F8" w:rsidRDefault="000B34F8" w:rsidP="000B34F8">
      <w:pPr>
        <w:rPr>
          <w:color w:val="000000"/>
          <w:rtl/>
        </w:rPr>
      </w:pPr>
      <w:r w:rsidRPr="000B34F8">
        <w:rPr>
          <w:color w:val="000000"/>
          <w:rtl/>
        </w:rPr>
        <w:t>נוסח מסמך זה כפוף לשינויי ניסוח ועריכה</w:t>
      </w:r>
    </w:p>
    <w:p w14:paraId="0CEDF839" w14:textId="77777777" w:rsidR="000B34F8" w:rsidRDefault="000B34F8" w:rsidP="000B34F8">
      <w:pPr>
        <w:rPr>
          <w:rtl/>
        </w:rPr>
      </w:pPr>
    </w:p>
    <w:p w14:paraId="2058543D" w14:textId="77777777" w:rsidR="000B34F8" w:rsidRDefault="000B34F8" w:rsidP="000B34F8">
      <w:pPr>
        <w:jc w:val="center"/>
        <w:rPr>
          <w:color w:val="0000FF"/>
          <w:u w:val="single"/>
          <w:rtl/>
        </w:rPr>
      </w:pPr>
      <w:hyperlink r:id="rId38" w:history="1">
        <w:r>
          <w:rPr>
            <w:rStyle w:val="Hyperlink"/>
            <w:rtl/>
          </w:rPr>
          <w:t>בעניין עריכה ושינויים במסמכי פסיקה, חקיקה ועוד באתר נבו – הקש כאן</w:t>
        </w:r>
      </w:hyperlink>
      <w:r w:rsidR="00AA0BC7">
        <w:rPr>
          <w:rFonts w:hint="cs"/>
          <w:color w:val="0000FF"/>
          <w:u w:val="single"/>
          <w:rtl/>
        </w:rPr>
        <w:t xml:space="preserve"> </w:t>
      </w:r>
    </w:p>
    <w:p w14:paraId="77A45E1B" w14:textId="77777777" w:rsidR="00A24B02" w:rsidRPr="00A24B02" w:rsidRDefault="00A24B02" w:rsidP="00A24B02">
      <w:pPr>
        <w:keepNext/>
        <w:rPr>
          <w:rFonts w:ascii="David" w:hAnsi="David"/>
          <w:color w:val="000000"/>
          <w:sz w:val="22"/>
          <w:szCs w:val="22"/>
          <w:rtl/>
        </w:rPr>
      </w:pPr>
    </w:p>
    <w:p w14:paraId="77BB299E" w14:textId="77777777" w:rsidR="00A24B02" w:rsidRPr="00A24B02" w:rsidRDefault="00A24B02" w:rsidP="00A24B02">
      <w:pPr>
        <w:keepNext/>
        <w:rPr>
          <w:rFonts w:ascii="David" w:hAnsi="David"/>
          <w:color w:val="000000"/>
          <w:sz w:val="22"/>
          <w:szCs w:val="22"/>
          <w:rtl/>
        </w:rPr>
      </w:pPr>
      <w:r w:rsidRPr="00A24B02">
        <w:rPr>
          <w:rFonts w:ascii="David" w:hAnsi="David"/>
          <w:color w:val="000000"/>
          <w:sz w:val="22"/>
          <w:szCs w:val="22"/>
          <w:rtl/>
        </w:rPr>
        <w:t>ד</w:t>
      </w:r>
      <w:r>
        <w:rPr>
          <w:rFonts w:ascii="David" w:hAnsi="David" w:hint="cs"/>
          <w:color w:val="000000"/>
          <w:sz w:val="22"/>
          <w:szCs w:val="22"/>
          <w:rtl/>
        </w:rPr>
        <w:t>"</w:t>
      </w:r>
      <w:r w:rsidRPr="00A24B02">
        <w:rPr>
          <w:rFonts w:ascii="David" w:hAnsi="David"/>
          <w:color w:val="000000"/>
          <w:sz w:val="22"/>
          <w:szCs w:val="22"/>
          <w:rtl/>
        </w:rPr>
        <w:t>ר רון שפירא 54678313-/</w:t>
      </w:r>
    </w:p>
    <w:sectPr w:rsidR="00A24B02" w:rsidRPr="00A24B02" w:rsidSect="00A24B02">
      <w:headerReference w:type="even" r:id="rId39"/>
      <w:headerReference w:type="default" r:id="rId40"/>
      <w:footerReference w:type="even" r:id="rId41"/>
      <w:footerReference w:type="default" r:id="rId4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6384" w14:textId="77777777" w:rsidR="001626E9" w:rsidRDefault="001626E9">
      <w:r>
        <w:separator/>
      </w:r>
    </w:p>
  </w:endnote>
  <w:endnote w:type="continuationSeparator" w:id="0">
    <w:p w14:paraId="0A82A409" w14:textId="77777777" w:rsidR="001626E9" w:rsidRDefault="0016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506C0" w14:textId="77777777" w:rsidR="002B51D0" w:rsidRDefault="002B51D0" w:rsidP="00A24B0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60B4EF" w14:textId="77777777" w:rsidR="002B51D0" w:rsidRPr="00A24B02" w:rsidRDefault="002B51D0" w:rsidP="00A24B02">
    <w:pPr>
      <w:pStyle w:val="a4"/>
      <w:pBdr>
        <w:top w:val="single" w:sz="4" w:space="1" w:color="auto"/>
        <w:between w:val="single" w:sz="4" w:space="0" w:color="auto"/>
      </w:pBdr>
      <w:spacing w:after="60"/>
      <w:jc w:val="center"/>
      <w:rPr>
        <w:rFonts w:ascii="FrankRuehl" w:hAnsi="FrankRuehl" w:cs="FrankRuehl"/>
        <w:color w:val="000000"/>
      </w:rPr>
    </w:pPr>
    <w:r w:rsidRPr="00A24B0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95D7B" w14:textId="77777777" w:rsidR="002B51D0" w:rsidRDefault="002B51D0" w:rsidP="00A24B0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0224">
      <w:rPr>
        <w:rFonts w:ascii="FrankRuehl" w:hAnsi="FrankRuehl" w:cs="FrankRuehl"/>
        <w:noProof/>
        <w:rtl/>
      </w:rPr>
      <w:t>1</w:t>
    </w:r>
    <w:r>
      <w:rPr>
        <w:rFonts w:ascii="FrankRuehl" w:hAnsi="FrankRuehl" w:cs="FrankRuehl"/>
        <w:rtl/>
      </w:rPr>
      <w:fldChar w:fldCharType="end"/>
    </w:r>
  </w:p>
  <w:p w14:paraId="2A1404B6" w14:textId="77777777" w:rsidR="002B51D0" w:rsidRPr="00A24B02" w:rsidRDefault="002B51D0" w:rsidP="00A24B02">
    <w:pPr>
      <w:pStyle w:val="a4"/>
      <w:pBdr>
        <w:top w:val="single" w:sz="4" w:space="1" w:color="auto"/>
        <w:between w:val="single" w:sz="4" w:space="0" w:color="auto"/>
      </w:pBdr>
      <w:spacing w:after="60"/>
      <w:jc w:val="center"/>
      <w:rPr>
        <w:rFonts w:ascii="FrankRuehl" w:hAnsi="FrankRuehl" w:cs="FrankRuehl"/>
        <w:color w:val="000000"/>
      </w:rPr>
    </w:pPr>
    <w:r w:rsidRPr="00A24B02">
      <w:rPr>
        <w:rFonts w:ascii="FrankRuehl" w:hAnsi="FrankRuehl" w:cs="FrankRuehl"/>
        <w:color w:val="000000"/>
      </w:rPr>
      <w:pict w14:anchorId="5BBAB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C946C" w14:textId="77777777" w:rsidR="001626E9" w:rsidRDefault="001626E9">
      <w:r>
        <w:separator/>
      </w:r>
    </w:p>
  </w:footnote>
  <w:footnote w:type="continuationSeparator" w:id="0">
    <w:p w14:paraId="465BD8EA" w14:textId="77777777" w:rsidR="001626E9" w:rsidRDefault="0016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68A8" w14:textId="77777777" w:rsidR="002B51D0" w:rsidRPr="00A24B02" w:rsidRDefault="002B51D0" w:rsidP="00A24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29649-05-15</w:t>
    </w:r>
    <w:r>
      <w:rPr>
        <w:rFonts w:ascii="David" w:hAnsi="David"/>
        <w:color w:val="000000"/>
        <w:sz w:val="22"/>
        <w:szCs w:val="22"/>
        <w:rtl/>
      </w:rPr>
      <w:tab/>
      <w:t xml:space="preserve"> מדינת ישראל נ' אחמד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9F483" w14:textId="77777777" w:rsidR="002B51D0" w:rsidRPr="00A24B02" w:rsidRDefault="002B51D0" w:rsidP="00A24B0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29649-05-15</w:t>
    </w:r>
    <w:r>
      <w:rPr>
        <w:rFonts w:ascii="David" w:hAnsi="David"/>
        <w:color w:val="000000"/>
        <w:sz w:val="22"/>
        <w:szCs w:val="22"/>
        <w:rtl/>
      </w:rPr>
      <w:tab/>
      <w:t xml:space="preserve"> מדינת ישראל נ' אחמד חסארמה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4622"/>
    <w:multiLevelType w:val="hybridMultilevel"/>
    <w:tmpl w:val="18E2F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27665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0051"/>
    <w:rsid w:val="000B34F8"/>
    <w:rsid w:val="001626E9"/>
    <w:rsid w:val="002713BA"/>
    <w:rsid w:val="00290224"/>
    <w:rsid w:val="002B51D0"/>
    <w:rsid w:val="00782CAD"/>
    <w:rsid w:val="008C0051"/>
    <w:rsid w:val="0091237F"/>
    <w:rsid w:val="00936D71"/>
    <w:rsid w:val="00973533"/>
    <w:rsid w:val="009F786E"/>
    <w:rsid w:val="00A24B02"/>
    <w:rsid w:val="00AA0BC7"/>
    <w:rsid w:val="00D437CD"/>
    <w:rsid w:val="00F91C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93E50F"/>
  <w15:chartTrackingRefBased/>
  <w15:docId w15:val="{BB797BD6-B274-4BFF-AE30-85259DB6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05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C0051"/>
    <w:pPr>
      <w:tabs>
        <w:tab w:val="center" w:pos="4153"/>
        <w:tab w:val="right" w:pos="8306"/>
      </w:tabs>
    </w:pPr>
  </w:style>
  <w:style w:type="paragraph" w:styleId="a4">
    <w:name w:val="footer"/>
    <w:basedOn w:val="a"/>
    <w:rsid w:val="008C0051"/>
    <w:pPr>
      <w:tabs>
        <w:tab w:val="center" w:pos="4153"/>
        <w:tab w:val="right" w:pos="8306"/>
      </w:tabs>
    </w:pPr>
  </w:style>
  <w:style w:type="character" w:styleId="a5">
    <w:name w:val="page number"/>
    <w:basedOn w:val="a0"/>
    <w:rsid w:val="008C0051"/>
  </w:style>
  <w:style w:type="character" w:styleId="Hyperlink">
    <w:name w:val="Hyperlink"/>
    <w:rsid w:val="000B3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8" TargetMode="External"/><Relationship Id="rId18" Type="http://schemas.openxmlformats.org/officeDocument/2006/relationships/hyperlink" Target="http://www.nevo.co.il/law/70301/298" TargetMode="External"/><Relationship Id="rId26" Type="http://schemas.openxmlformats.org/officeDocument/2006/relationships/hyperlink" Target="http://www.nevo.co.il/case/20450195"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5003/5b.a"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5003/5b.a" TargetMode="External"/><Relationship Id="rId20" Type="http://schemas.openxmlformats.org/officeDocument/2006/relationships/hyperlink" Target="http://www.nevo.co.il/law/70301/29" TargetMode="External"/><Relationship Id="rId29" Type="http://schemas.openxmlformats.org/officeDocument/2006/relationships/hyperlink" Target="http://www.nevo.co.il/case/16189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147294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5003" TargetMode="External"/><Relationship Id="rId23" Type="http://schemas.openxmlformats.org/officeDocument/2006/relationships/hyperlink" Target="http://www.nevo.co.il/case/20503077" TargetMode="External"/><Relationship Id="rId28" Type="http://schemas.openxmlformats.org/officeDocument/2006/relationships/hyperlink" Target="http://www.nevo.co.il/case/22294063" TargetMode="External"/><Relationship Id="rId36" Type="http://schemas.openxmlformats.org/officeDocument/2006/relationships/hyperlink" Target="http://www.nevo.co.il/law/70301/40h" TargetMode="External"/><Relationship Id="rId10" Type="http://schemas.openxmlformats.org/officeDocument/2006/relationships/hyperlink" Target="http://www.nevo.co.il/law/70301/40h" TargetMode="External"/><Relationship Id="rId19" Type="http://schemas.openxmlformats.org/officeDocument/2006/relationships/hyperlink" Target="http://www.nevo.co.il/law/70301/144.a.;144.b" TargetMode="External"/><Relationship Id="rId31" Type="http://schemas.openxmlformats.org/officeDocument/2006/relationships/hyperlink" Target="http://www.nevo.co.il/law/70301/40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g"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case/20288391" TargetMode="External"/><Relationship Id="rId27" Type="http://schemas.openxmlformats.org/officeDocument/2006/relationships/hyperlink" Target="http://www.nevo.co.il/case/5571029"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5003" TargetMode="External"/><Relationship Id="rId43" Type="http://schemas.openxmlformats.org/officeDocument/2006/relationships/fontTable" Target="fontTable.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case/6669251" TargetMode="External"/><Relationship Id="rId33" Type="http://schemas.openxmlformats.org/officeDocument/2006/relationships/hyperlink" Target="http://www.nevo.co.il/case/5574172"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2074</Words>
  <Characters>10371</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12421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http://www.nevo.co.il/law/70301/40h</vt:lpwstr>
      </vt:variant>
      <vt:variant>
        <vt:lpwstr/>
      </vt:variant>
      <vt:variant>
        <vt:i4>8323175</vt:i4>
      </vt:variant>
      <vt:variant>
        <vt:i4>84</vt:i4>
      </vt:variant>
      <vt:variant>
        <vt:i4>0</vt:i4>
      </vt:variant>
      <vt:variant>
        <vt:i4>5</vt:i4>
      </vt:variant>
      <vt:variant>
        <vt:lpwstr>http://www.nevo.co.il/law/75003</vt:lpwstr>
      </vt:variant>
      <vt:variant>
        <vt:lpwstr/>
      </vt:variant>
      <vt:variant>
        <vt:i4>5439567</vt:i4>
      </vt:variant>
      <vt:variant>
        <vt:i4>81</vt:i4>
      </vt:variant>
      <vt:variant>
        <vt:i4>0</vt:i4>
      </vt:variant>
      <vt:variant>
        <vt:i4>5</vt:i4>
      </vt:variant>
      <vt:variant>
        <vt:lpwstr>http://www.nevo.co.il/law/75003/5b.a</vt:lpwstr>
      </vt:variant>
      <vt:variant>
        <vt:lpwstr/>
      </vt:variant>
      <vt:variant>
        <vt:i4>3211378</vt:i4>
      </vt:variant>
      <vt:variant>
        <vt:i4>78</vt:i4>
      </vt:variant>
      <vt:variant>
        <vt:i4>0</vt:i4>
      </vt:variant>
      <vt:variant>
        <vt:i4>5</vt:i4>
      </vt:variant>
      <vt:variant>
        <vt:lpwstr>http://www.nevo.co.il/case/5574172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http://www.nevo.co.il/law/70301/40g</vt:lpwstr>
      </vt:variant>
      <vt:variant>
        <vt:lpwstr/>
      </vt:variant>
      <vt:variant>
        <vt:i4>7995492</vt:i4>
      </vt:variant>
      <vt:variant>
        <vt:i4>69</vt:i4>
      </vt:variant>
      <vt:variant>
        <vt:i4>0</vt:i4>
      </vt:variant>
      <vt:variant>
        <vt:i4>5</vt:i4>
      </vt:variant>
      <vt:variant>
        <vt:lpwstr>http://www.nevo.co.il/law/70301</vt:lpwstr>
      </vt:variant>
      <vt:variant>
        <vt:lpwstr/>
      </vt:variant>
      <vt:variant>
        <vt:i4>589898</vt:i4>
      </vt:variant>
      <vt:variant>
        <vt:i4>66</vt:i4>
      </vt:variant>
      <vt:variant>
        <vt:i4>0</vt:i4>
      </vt:variant>
      <vt:variant>
        <vt:i4>5</vt:i4>
      </vt:variant>
      <vt:variant>
        <vt:lpwstr>http://www.nevo.co.il/case/161892</vt:lpwstr>
      </vt:variant>
      <vt:variant>
        <vt:lpwstr/>
      </vt:variant>
      <vt:variant>
        <vt:i4>3276927</vt:i4>
      </vt:variant>
      <vt:variant>
        <vt:i4>63</vt:i4>
      </vt:variant>
      <vt:variant>
        <vt:i4>0</vt:i4>
      </vt:variant>
      <vt:variant>
        <vt:i4>5</vt:i4>
      </vt:variant>
      <vt:variant>
        <vt:lpwstr>http://www.nevo.co.il/case/22294063</vt:lpwstr>
      </vt:variant>
      <vt:variant>
        <vt:lpwstr/>
      </vt:variant>
      <vt:variant>
        <vt:i4>3866738</vt:i4>
      </vt:variant>
      <vt:variant>
        <vt:i4>60</vt:i4>
      </vt:variant>
      <vt:variant>
        <vt:i4>0</vt:i4>
      </vt:variant>
      <vt:variant>
        <vt:i4>5</vt:i4>
      </vt:variant>
      <vt:variant>
        <vt:lpwstr>http://www.nevo.co.il/case/5571029</vt:lpwstr>
      </vt:variant>
      <vt:variant>
        <vt:lpwstr/>
      </vt:variant>
      <vt:variant>
        <vt:i4>4128880</vt:i4>
      </vt:variant>
      <vt:variant>
        <vt:i4>57</vt:i4>
      </vt:variant>
      <vt:variant>
        <vt:i4>0</vt:i4>
      </vt:variant>
      <vt:variant>
        <vt:i4>5</vt:i4>
      </vt:variant>
      <vt:variant>
        <vt:lpwstr>http://www.nevo.co.il/case/20450195</vt:lpwstr>
      </vt:variant>
      <vt:variant>
        <vt:lpwstr/>
      </vt:variant>
      <vt:variant>
        <vt:i4>3342462</vt:i4>
      </vt:variant>
      <vt:variant>
        <vt:i4>54</vt:i4>
      </vt:variant>
      <vt:variant>
        <vt:i4>0</vt:i4>
      </vt:variant>
      <vt:variant>
        <vt:i4>5</vt:i4>
      </vt:variant>
      <vt:variant>
        <vt:lpwstr>http://www.nevo.co.il/case/6669251</vt:lpwstr>
      </vt:variant>
      <vt:variant>
        <vt:lpwstr/>
      </vt:variant>
      <vt:variant>
        <vt:i4>3145851</vt:i4>
      </vt:variant>
      <vt:variant>
        <vt:i4>51</vt:i4>
      </vt:variant>
      <vt:variant>
        <vt:i4>0</vt:i4>
      </vt:variant>
      <vt:variant>
        <vt:i4>5</vt:i4>
      </vt:variant>
      <vt:variant>
        <vt:lpwstr>http://www.nevo.co.il/case/21472945</vt:lpwstr>
      </vt:variant>
      <vt:variant>
        <vt:lpwstr/>
      </vt:variant>
      <vt:variant>
        <vt:i4>3342452</vt:i4>
      </vt:variant>
      <vt:variant>
        <vt:i4>48</vt:i4>
      </vt:variant>
      <vt:variant>
        <vt:i4>0</vt:i4>
      </vt:variant>
      <vt:variant>
        <vt:i4>5</vt:i4>
      </vt:variant>
      <vt:variant>
        <vt:lpwstr>http://www.nevo.co.il/case/20503077</vt:lpwstr>
      </vt:variant>
      <vt:variant>
        <vt:lpwstr/>
      </vt:variant>
      <vt:variant>
        <vt:i4>3211391</vt:i4>
      </vt:variant>
      <vt:variant>
        <vt:i4>45</vt:i4>
      </vt:variant>
      <vt:variant>
        <vt:i4>0</vt:i4>
      </vt:variant>
      <vt:variant>
        <vt:i4>5</vt:i4>
      </vt:variant>
      <vt:variant>
        <vt:lpwstr>http://www.nevo.co.il/case/20288391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393232</vt:i4>
      </vt:variant>
      <vt:variant>
        <vt:i4>36</vt:i4>
      </vt:variant>
      <vt:variant>
        <vt:i4>0</vt:i4>
      </vt:variant>
      <vt:variant>
        <vt:i4>5</vt:i4>
      </vt:variant>
      <vt:variant>
        <vt:lpwstr>http://www.nevo.co.il/law/70301/144.a.;144.b</vt:lpwstr>
      </vt:variant>
      <vt:variant>
        <vt:lpwstr/>
      </vt:variant>
      <vt:variant>
        <vt:i4>7077991</vt:i4>
      </vt:variant>
      <vt:variant>
        <vt:i4>33</vt:i4>
      </vt:variant>
      <vt:variant>
        <vt:i4>0</vt:i4>
      </vt:variant>
      <vt:variant>
        <vt:i4>5</vt:i4>
      </vt:variant>
      <vt:variant>
        <vt:lpwstr>http://www.nevo.co.il/law/70301/298</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5439567</vt:i4>
      </vt:variant>
      <vt:variant>
        <vt:i4>27</vt:i4>
      </vt:variant>
      <vt:variant>
        <vt:i4>0</vt:i4>
      </vt:variant>
      <vt:variant>
        <vt:i4>5</vt:i4>
      </vt:variant>
      <vt:variant>
        <vt:lpwstr>http://www.nevo.co.il/law/75003/5b.a</vt:lpwstr>
      </vt:variant>
      <vt:variant>
        <vt:lpwstr/>
      </vt:variant>
      <vt:variant>
        <vt:i4>8323175</vt:i4>
      </vt:variant>
      <vt:variant>
        <vt:i4>24</vt:i4>
      </vt:variant>
      <vt:variant>
        <vt:i4>0</vt:i4>
      </vt:variant>
      <vt:variant>
        <vt:i4>5</vt:i4>
      </vt:variant>
      <vt:variant>
        <vt:lpwstr>http://www.nevo.co.il/law/75003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7077991</vt:i4>
      </vt:variant>
      <vt:variant>
        <vt:i4>18</vt:i4>
      </vt:variant>
      <vt:variant>
        <vt:i4>0</vt:i4>
      </vt:variant>
      <vt:variant>
        <vt:i4>5</vt:i4>
      </vt:variant>
      <vt:variant>
        <vt:lpwstr>http://www.nevo.co.il/law/70301/298</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6357041</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2025-01-19T16:01:00Z</dcterms:created>
  <dcterms:modified xsi:type="dcterms:W3CDTF">2025-01-19T16:01:00Z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29649</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חסארמה</vt:lpwstr>
  </property>
  <property fmtid="{D5CDD505-2E9C-101B-9397-08002B2CF9AE}" pid="10" name="LAWYER">
    <vt:lpwstr>צחי נמירובסקי;מיכאל כרמל</vt:lpwstr>
  </property>
  <property fmtid="{D5CDD505-2E9C-101B-9397-08002B2CF9AE}" pid="11" name="JUDGE">
    <vt:lpwstr>ד#ר רון שפירא;אברהם אליקים;תמר נאות פרי</vt:lpwstr>
  </property>
  <property fmtid="{D5CDD505-2E9C-101B-9397-08002B2CF9AE}" pid="12" name="CITY">
    <vt:lpwstr>חי'</vt:lpwstr>
  </property>
  <property fmtid="{D5CDD505-2E9C-101B-9397-08002B2CF9AE}" pid="13" name="DATE">
    <vt:lpwstr>20170525</vt:lpwstr>
  </property>
  <property fmtid="{D5CDD505-2E9C-101B-9397-08002B2CF9AE}" pid="14" name="TYPE_N_DATE">
    <vt:lpwstr>39020170525</vt:lpwstr>
  </property>
  <property fmtid="{D5CDD505-2E9C-101B-9397-08002B2CF9AE}" pid="15" name="WORDNUMPAGES">
    <vt:lpwstr>6</vt:lpwstr>
  </property>
  <property fmtid="{D5CDD505-2E9C-101B-9397-08002B2CF9AE}" pid="16" name="TYPE_ABS_DATE">
    <vt:lpwstr>390020170525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20288391;20503077;21472945;6669251;20450195;5571029;22294063;161892;5574172</vt:lpwstr>
  </property>
  <property fmtid="{D5CDD505-2E9C-101B-9397-08002B2CF9AE}" pid="36" name="LAWLISTTMP1">
    <vt:lpwstr>70301/499.a.1;298;144.a;144.b;029;040g;040h</vt:lpwstr>
  </property>
  <property fmtid="{D5CDD505-2E9C-101B-9397-08002B2CF9AE}" pid="37" name="LAWLISTTMP2">
    <vt:lpwstr>75003/005b.a</vt:lpwstr>
  </property>
</Properties>
</file>