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F21E0" w:rsidRPr="009A4ACB" w14:paraId="78068DBB" w14:textId="77777777" w:rsidTr="000B152A">
        <w:trPr>
          <w:trHeight w:hRule="exact" w:val="418"/>
          <w:jc w:val="center"/>
        </w:trPr>
        <w:tc>
          <w:tcPr>
            <w:tcW w:w="8721" w:type="dxa"/>
            <w:gridSpan w:val="2"/>
          </w:tcPr>
          <w:p w14:paraId="6279DC55" w14:textId="77777777" w:rsidR="000F21E0" w:rsidRPr="009A4ACB" w:rsidRDefault="000F21E0" w:rsidP="009A4ACB">
            <w:pPr>
              <w:pStyle w:val="a3"/>
              <w:jc w:val="center"/>
              <w:rPr>
                <w:rFonts w:ascii="Tahoma" w:hAnsi="Tahoma" w:cs="Tahoma"/>
                <w:color w:val="000080"/>
                <w:rtl/>
              </w:rPr>
            </w:pPr>
            <w:r w:rsidRPr="009A4ACB">
              <w:rPr>
                <w:rFonts w:ascii="Tahoma" w:hAnsi="Tahoma" w:cs="Tahoma"/>
                <w:b/>
                <w:bCs/>
                <w:color w:val="000080"/>
                <w:rtl/>
              </w:rPr>
              <w:t>בית המשפט המחוזי בחיפה</w:t>
            </w:r>
          </w:p>
        </w:tc>
      </w:tr>
      <w:tr w:rsidR="000F21E0" w:rsidRPr="009A4ACB" w14:paraId="6BDF240C" w14:textId="77777777" w:rsidTr="000B152A">
        <w:trPr>
          <w:trHeight w:val="337"/>
          <w:jc w:val="center"/>
        </w:trPr>
        <w:tc>
          <w:tcPr>
            <w:tcW w:w="5057" w:type="dxa"/>
          </w:tcPr>
          <w:p w14:paraId="2E782B82" w14:textId="77777777" w:rsidR="000F21E0" w:rsidRPr="009A4ACB" w:rsidRDefault="000F21E0" w:rsidP="009A4ACB">
            <w:pPr>
              <w:rPr>
                <w:b/>
                <w:bCs/>
                <w:sz w:val="28"/>
                <w:szCs w:val="28"/>
                <w:rtl/>
              </w:rPr>
            </w:pPr>
            <w:r w:rsidRPr="009A4ACB">
              <w:rPr>
                <w:b/>
                <w:bCs/>
                <w:rtl/>
              </w:rPr>
              <w:t>תפ"ח</w:t>
            </w:r>
            <w:r w:rsidRPr="009A4ACB">
              <w:rPr>
                <w:rFonts w:hint="cs"/>
                <w:b/>
                <w:bCs/>
                <w:sz w:val="28"/>
                <w:szCs w:val="28"/>
                <w:rtl/>
              </w:rPr>
              <w:t xml:space="preserve"> </w:t>
            </w:r>
            <w:r w:rsidRPr="009A4ACB">
              <w:rPr>
                <w:b/>
                <w:bCs/>
                <w:rtl/>
              </w:rPr>
              <w:t>29738-05-15</w:t>
            </w:r>
            <w:r w:rsidRPr="009A4ACB">
              <w:rPr>
                <w:rFonts w:hint="cs"/>
                <w:b/>
                <w:bCs/>
                <w:sz w:val="28"/>
                <w:szCs w:val="28"/>
                <w:rtl/>
              </w:rPr>
              <w:t xml:space="preserve"> </w:t>
            </w:r>
            <w:r w:rsidRPr="009A4ACB">
              <w:rPr>
                <w:b/>
                <w:bCs/>
                <w:rtl/>
              </w:rPr>
              <w:t>מדינת ישראל נ' הייב(עציר) ואח'</w:t>
            </w:r>
          </w:p>
          <w:p w14:paraId="5329D558" w14:textId="77777777" w:rsidR="000F21E0" w:rsidRPr="009A4ACB" w:rsidRDefault="000F21E0" w:rsidP="009A4ACB">
            <w:pPr>
              <w:pStyle w:val="a3"/>
              <w:rPr>
                <w:rFonts w:cs="FrankRuehl"/>
                <w:sz w:val="28"/>
                <w:szCs w:val="28"/>
                <w:rtl/>
              </w:rPr>
            </w:pPr>
          </w:p>
        </w:tc>
        <w:tc>
          <w:tcPr>
            <w:tcW w:w="3664" w:type="dxa"/>
          </w:tcPr>
          <w:p w14:paraId="06EA76E0" w14:textId="77777777" w:rsidR="000F21E0" w:rsidRPr="009A4ACB" w:rsidRDefault="000F21E0" w:rsidP="009A4ACB">
            <w:pPr>
              <w:pStyle w:val="a3"/>
              <w:jc w:val="right"/>
              <w:rPr>
                <w:rFonts w:cs="FrankRuehl"/>
                <w:sz w:val="28"/>
                <w:szCs w:val="28"/>
                <w:rtl/>
              </w:rPr>
            </w:pPr>
          </w:p>
        </w:tc>
      </w:tr>
    </w:tbl>
    <w:p w14:paraId="6A76D4CC" w14:textId="77777777" w:rsidR="000F21E0" w:rsidRPr="009A4ACB" w:rsidRDefault="000F21E0" w:rsidP="000F21E0">
      <w:pPr>
        <w:pStyle w:val="a3"/>
        <w:rPr>
          <w:rtl/>
        </w:rPr>
      </w:pPr>
      <w:r w:rsidRPr="009A4ACB">
        <w:rPr>
          <w:rFonts w:hint="cs"/>
          <w:rtl/>
        </w:rPr>
        <w:t xml:space="preserve"> </w:t>
      </w:r>
    </w:p>
    <w:p w14:paraId="6BCE7A70" w14:textId="77777777" w:rsidR="000F21E0" w:rsidRPr="009A4ACB" w:rsidRDefault="000F21E0" w:rsidP="000F21E0">
      <w:pPr>
        <w:rPr>
          <w:rtl/>
        </w:rPr>
      </w:pPr>
    </w:p>
    <w:tbl>
      <w:tblPr>
        <w:bidiVisual/>
        <w:tblW w:w="8802" w:type="dxa"/>
        <w:tblLook w:val="01E0" w:firstRow="1" w:lastRow="1" w:firstColumn="1" w:lastColumn="1" w:noHBand="0" w:noVBand="0"/>
      </w:tblPr>
      <w:tblGrid>
        <w:gridCol w:w="2139"/>
        <w:gridCol w:w="6580"/>
        <w:gridCol w:w="83"/>
      </w:tblGrid>
      <w:tr w:rsidR="000F21E0" w:rsidRPr="009A4ACB" w14:paraId="6F4DF478" w14:textId="77777777" w:rsidTr="009A4ACB">
        <w:trPr>
          <w:gridAfter w:val="1"/>
          <w:wAfter w:w="55" w:type="dxa"/>
        </w:trPr>
        <w:tc>
          <w:tcPr>
            <w:tcW w:w="8719" w:type="dxa"/>
            <w:gridSpan w:val="2"/>
            <w:shd w:val="clear" w:color="auto" w:fill="auto"/>
          </w:tcPr>
          <w:p w14:paraId="6B3BFCD7" w14:textId="77777777" w:rsidR="000F21E0" w:rsidRPr="009A4ACB" w:rsidRDefault="000F21E0" w:rsidP="009A4ACB">
            <w:pPr>
              <w:spacing w:line="360" w:lineRule="auto"/>
              <w:rPr>
                <w:b/>
                <w:bCs/>
                <w:sz w:val="26"/>
                <w:szCs w:val="26"/>
                <w:rtl/>
              </w:rPr>
            </w:pPr>
            <w:r w:rsidRPr="009A4ACB">
              <w:rPr>
                <w:rFonts w:hint="cs"/>
                <w:b/>
                <w:bCs/>
                <w:sz w:val="26"/>
                <w:szCs w:val="26"/>
                <w:rtl/>
              </w:rPr>
              <w:t>לפני הרכב כבוד השופטים:</w:t>
            </w:r>
          </w:p>
          <w:p w14:paraId="775FC282" w14:textId="77777777" w:rsidR="000F21E0" w:rsidRPr="009A4ACB" w:rsidRDefault="000F21E0" w:rsidP="009A4ACB">
            <w:pPr>
              <w:rPr>
                <w:rStyle w:val="TimesNewRomanTimesNewRoman"/>
                <w:rFonts w:eastAsia="David"/>
                <w:sz w:val="34"/>
                <w:szCs w:val="34"/>
                <w:rtl/>
              </w:rPr>
            </w:pPr>
            <w:r w:rsidRPr="009A4ACB">
              <w:rPr>
                <w:rFonts w:hint="cs"/>
                <w:b/>
                <w:bCs/>
                <w:sz w:val="26"/>
                <w:szCs w:val="26"/>
                <w:rtl/>
              </w:rPr>
              <w:t xml:space="preserve">רון סוקול [אב"ד] </w:t>
            </w:r>
            <w:r w:rsidRPr="009A4ACB">
              <w:rPr>
                <w:rFonts w:hint="cs"/>
                <w:b/>
                <w:bCs/>
                <w:sz w:val="26"/>
                <w:szCs w:val="26"/>
                <w:rtl/>
              </w:rPr>
              <w:br/>
              <w:t xml:space="preserve">תמר שרון נתנאל </w:t>
            </w:r>
            <w:r w:rsidRPr="009A4ACB">
              <w:rPr>
                <w:rFonts w:hint="cs"/>
                <w:b/>
                <w:bCs/>
                <w:sz w:val="26"/>
                <w:szCs w:val="26"/>
                <w:rtl/>
              </w:rPr>
              <w:br/>
              <w:t>רונית בש</w:t>
            </w:r>
            <w:r w:rsidRPr="009A4ACB">
              <w:rPr>
                <w:rStyle w:val="TimesNewRomanTimesNewRoman"/>
                <w:rFonts w:hint="cs"/>
                <w:sz w:val="34"/>
                <w:szCs w:val="34"/>
                <w:rtl/>
              </w:rPr>
              <w:t xml:space="preserve"> </w:t>
            </w:r>
          </w:p>
          <w:p w14:paraId="2FB5DF8D" w14:textId="77777777" w:rsidR="000F21E0" w:rsidRPr="009A4ACB" w:rsidRDefault="000F21E0" w:rsidP="009A4ACB">
            <w:pPr>
              <w:rPr>
                <w:rFonts w:eastAsia="David"/>
                <w:rtl/>
              </w:rPr>
            </w:pPr>
          </w:p>
        </w:tc>
      </w:tr>
      <w:tr w:rsidR="000F21E0" w:rsidRPr="009A4ACB" w14:paraId="365A4E50" w14:textId="77777777" w:rsidTr="009A4ACB">
        <w:tc>
          <w:tcPr>
            <w:tcW w:w="2139" w:type="dxa"/>
            <w:shd w:val="clear" w:color="auto" w:fill="auto"/>
          </w:tcPr>
          <w:p w14:paraId="1CA88E0A" w14:textId="77777777" w:rsidR="000F21E0" w:rsidRPr="009A4ACB" w:rsidRDefault="000F21E0" w:rsidP="009A4ACB">
            <w:pPr>
              <w:ind w:firstLine="26"/>
              <w:rPr>
                <w:b/>
                <w:bCs/>
                <w:sz w:val="26"/>
                <w:szCs w:val="26"/>
                <w:rtl/>
              </w:rPr>
            </w:pPr>
            <w:bookmarkStart w:id="0" w:name="FirstAppellant"/>
            <w:bookmarkStart w:id="1" w:name="FirstLawyer"/>
            <w:bookmarkStart w:id="2" w:name="LastJudge"/>
            <w:bookmarkEnd w:id="2"/>
            <w:r w:rsidRPr="009A4ACB">
              <w:rPr>
                <w:rFonts w:hint="cs"/>
                <w:b/>
                <w:bCs/>
                <w:sz w:val="26"/>
                <w:szCs w:val="26"/>
                <w:rtl/>
              </w:rPr>
              <w:t>ה</w:t>
            </w:r>
            <w:r w:rsidRPr="009A4ACB">
              <w:rPr>
                <w:rFonts w:hint="cs"/>
                <w:rtl/>
              </w:rPr>
              <w:t>מאשימה</w:t>
            </w:r>
          </w:p>
        </w:tc>
        <w:tc>
          <w:tcPr>
            <w:tcW w:w="6663" w:type="dxa"/>
            <w:gridSpan w:val="2"/>
            <w:shd w:val="clear" w:color="auto" w:fill="auto"/>
          </w:tcPr>
          <w:p w14:paraId="095DE596" w14:textId="77777777" w:rsidR="000F21E0" w:rsidRPr="009A4ACB" w:rsidRDefault="000F21E0" w:rsidP="009A4ACB">
            <w:pPr>
              <w:ind w:firstLine="26"/>
              <w:rPr>
                <w:b/>
                <w:bCs/>
                <w:sz w:val="26"/>
                <w:szCs w:val="26"/>
                <w:rtl/>
              </w:rPr>
            </w:pPr>
            <w:r w:rsidRPr="009A4ACB">
              <w:rPr>
                <w:rFonts w:hint="cs"/>
                <w:rtl/>
              </w:rPr>
              <w:t>מדינת ישראל</w:t>
            </w:r>
          </w:p>
          <w:p w14:paraId="723D57B2" w14:textId="77777777" w:rsidR="000F21E0" w:rsidRPr="009A4ACB" w:rsidRDefault="000F21E0" w:rsidP="009A4ACB">
            <w:pPr>
              <w:ind w:firstLine="26"/>
              <w:rPr>
                <w:sz w:val="26"/>
                <w:szCs w:val="26"/>
                <w:rtl/>
              </w:rPr>
            </w:pPr>
            <w:r w:rsidRPr="009A4ACB">
              <w:rPr>
                <w:rFonts w:hint="cs"/>
                <w:sz w:val="22"/>
                <w:szCs w:val="22"/>
                <w:rtl/>
              </w:rPr>
              <w:t>ע"י ב"כ עוה"ד צחי נמירובסקי מפרקליטות מחוז חיפה (פלילי)</w:t>
            </w:r>
          </w:p>
        </w:tc>
      </w:tr>
      <w:bookmarkEnd w:id="0"/>
      <w:bookmarkEnd w:id="1"/>
      <w:tr w:rsidR="000F21E0" w:rsidRPr="009A4ACB" w14:paraId="4B07F6E0" w14:textId="77777777" w:rsidTr="009A4ACB">
        <w:tc>
          <w:tcPr>
            <w:tcW w:w="8802" w:type="dxa"/>
            <w:gridSpan w:val="3"/>
            <w:shd w:val="clear" w:color="auto" w:fill="auto"/>
          </w:tcPr>
          <w:p w14:paraId="417B1646" w14:textId="77777777" w:rsidR="000F21E0" w:rsidRPr="009A4ACB" w:rsidRDefault="000F21E0" w:rsidP="009A4ACB">
            <w:pPr>
              <w:jc w:val="right"/>
              <w:rPr>
                <w:rFonts w:ascii="Arial" w:hAnsi="Arial"/>
                <w:b/>
                <w:bCs/>
                <w:sz w:val="26"/>
                <w:szCs w:val="26"/>
                <w:rtl/>
              </w:rPr>
            </w:pPr>
          </w:p>
          <w:p w14:paraId="2A1252A6" w14:textId="77777777" w:rsidR="000F21E0" w:rsidRPr="009A4ACB" w:rsidRDefault="000F21E0" w:rsidP="009A4ACB">
            <w:pPr>
              <w:jc w:val="center"/>
              <w:rPr>
                <w:rFonts w:ascii="Arial" w:hAnsi="Arial"/>
                <w:b/>
                <w:bCs/>
                <w:sz w:val="26"/>
                <w:szCs w:val="26"/>
                <w:rtl/>
              </w:rPr>
            </w:pPr>
            <w:r w:rsidRPr="009A4ACB">
              <w:rPr>
                <w:rFonts w:ascii="Arial" w:hAnsi="Arial" w:hint="cs"/>
                <w:b/>
                <w:bCs/>
                <w:sz w:val="26"/>
                <w:szCs w:val="26"/>
                <w:rtl/>
              </w:rPr>
              <w:t>נגד</w:t>
            </w:r>
          </w:p>
          <w:p w14:paraId="1BF96E44" w14:textId="77777777" w:rsidR="000F21E0" w:rsidRPr="009A4ACB" w:rsidRDefault="000F21E0" w:rsidP="009A4ACB">
            <w:pPr>
              <w:jc w:val="right"/>
              <w:rPr>
                <w:rFonts w:ascii="Arial" w:hAnsi="Arial"/>
                <w:b/>
                <w:bCs/>
                <w:sz w:val="26"/>
                <w:szCs w:val="26"/>
                <w:rtl/>
              </w:rPr>
            </w:pPr>
          </w:p>
        </w:tc>
      </w:tr>
      <w:tr w:rsidR="000F21E0" w:rsidRPr="009A4ACB" w14:paraId="2F5CFABB" w14:textId="77777777" w:rsidTr="009A4ACB">
        <w:tc>
          <w:tcPr>
            <w:tcW w:w="2139" w:type="dxa"/>
            <w:shd w:val="clear" w:color="auto" w:fill="auto"/>
          </w:tcPr>
          <w:p w14:paraId="0B96D6DB" w14:textId="77777777" w:rsidR="000F21E0" w:rsidRPr="009A4ACB" w:rsidRDefault="000F21E0" w:rsidP="009A4ACB">
            <w:pPr>
              <w:ind w:firstLine="26"/>
              <w:rPr>
                <w:b/>
                <w:bCs/>
                <w:sz w:val="26"/>
                <w:szCs w:val="26"/>
                <w:rtl/>
              </w:rPr>
            </w:pPr>
            <w:r w:rsidRPr="009A4ACB">
              <w:rPr>
                <w:rFonts w:hint="cs"/>
                <w:b/>
                <w:bCs/>
                <w:sz w:val="26"/>
                <w:szCs w:val="26"/>
                <w:rtl/>
              </w:rPr>
              <w:t>ה</w:t>
            </w:r>
            <w:r w:rsidRPr="009A4ACB">
              <w:rPr>
                <w:rFonts w:hint="cs"/>
                <w:rtl/>
              </w:rPr>
              <w:t>נאשמים</w:t>
            </w:r>
          </w:p>
        </w:tc>
        <w:tc>
          <w:tcPr>
            <w:tcW w:w="6663" w:type="dxa"/>
            <w:gridSpan w:val="2"/>
            <w:shd w:val="clear" w:color="auto" w:fill="auto"/>
          </w:tcPr>
          <w:p w14:paraId="34BD3D1E" w14:textId="77777777" w:rsidR="000F21E0" w:rsidRPr="009A4ACB" w:rsidRDefault="000F21E0" w:rsidP="009A4ACB">
            <w:pPr>
              <w:ind w:firstLine="26"/>
              <w:rPr>
                <w:b/>
                <w:bCs/>
                <w:sz w:val="26"/>
                <w:szCs w:val="26"/>
                <w:rtl/>
              </w:rPr>
            </w:pPr>
            <w:r w:rsidRPr="009A4ACB">
              <w:rPr>
                <w:rFonts w:hint="cs"/>
                <w:rtl/>
              </w:rPr>
              <w:t>1.</w:t>
            </w:r>
            <w:r w:rsidRPr="009A4ACB">
              <w:rPr>
                <w:rFonts w:hint="cs"/>
                <w:b/>
                <w:bCs/>
                <w:sz w:val="26"/>
                <w:szCs w:val="26"/>
                <w:rtl/>
              </w:rPr>
              <w:t xml:space="preserve"> </w:t>
            </w:r>
            <w:r w:rsidRPr="009A4ACB">
              <w:rPr>
                <w:rFonts w:hint="cs"/>
                <w:rtl/>
              </w:rPr>
              <w:t xml:space="preserve">אייל הייב, ת"ז </w:t>
            </w:r>
            <w:r w:rsidR="009A4ACB">
              <w:t>xxxxxxxxx</w:t>
            </w:r>
          </w:p>
          <w:p w14:paraId="5ADE6C28" w14:textId="77777777" w:rsidR="000F21E0" w:rsidRPr="009A4ACB" w:rsidRDefault="000F21E0" w:rsidP="009A4ACB">
            <w:pPr>
              <w:ind w:firstLine="26"/>
              <w:rPr>
                <w:sz w:val="22"/>
                <w:szCs w:val="22"/>
                <w:rtl/>
              </w:rPr>
            </w:pPr>
            <w:r w:rsidRPr="009A4ACB">
              <w:rPr>
                <w:rFonts w:hint="cs"/>
                <w:sz w:val="22"/>
                <w:szCs w:val="22"/>
                <w:rtl/>
              </w:rPr>
              <w:t>ע"י ב"כ עוה"ד ראניה סרוג'י (סנגוריה ציבורית)</w:t>
            </w:r>
          </w:p>
          <w:p w14:paraId="21E82694" w14:textId="77777777" w:rsidR="000F21E0" w:rsidRPr="009A4ACB" w:rsidRDefault="000F21E0" w:rsidP="009A4ACB">
            <w:pPr>
              <w:ind w:firstLine="26"/>
              <w:rPr>
                <w:sz w:val="8"/>
                <w:szCs w:val="8"/>
                <w:rtl/>
              </w:rPr>
            </w:pPr>
          </w:p>
          <w:p w14:paraId="621CD2C1" w14:textId="77777777" w:rsidR="000F21E0" w:rsidRPr="009A4ACB" w:rsidRDefault="000F21E0" w:rsidP="009A4ACB">
            <w:pPr>
              <w:ind w:firstLine="26"/>
              <w:rPr>
                <w:b/>
                <w:bCs/>
                <w:sz w:val="26"/>
                <w:szCs w:val="26"/>
                <w:rtl/>
              </w:rPr>
            </w:pPr>
            <w:r w:rsidRPr="009A4ACB">
              <w:rPr>
                <w:rFonts w:hint="cs"/>
                <w:rtl/>
              </w:rPr>
              <w:t>2.</w:t>
            </w:r>
            <w:r w:rsidRPr="009A4ACB">
              <w:rPr>
                <w:rFonts w:hint="cs"/>
                <w:b/>
                <w:bCs/>
                <w:sz w:val="26"/>
                <w:szCs w:val="26"/>
                <w:rtl/>
              </w:rPr>
              <w:t xml:space="preserve"> </w:t>
            </w:r>
            <w:r w:rsidRPr="009A4ACB">
              <w:rPr>
                <w:rFonts w:hint="cs"/>
                <w:rtl/>
              </w:rPr>
              <w:t xml:space="preserve">אחמד חסארמה, ת"ז </w:t>
            </w:r>
            <w:r w:rsidR="009A4ACB">
              <w:t>xxxxxxxxx</w:t>
            </w:r>
          </w:p>
          <w:p w14:paraId="06CE31E6" w14:textId="77777777" w:rsidR="000F21E0" w:rsidRPr="009A4ACB" w:rsidRDefault="000F21E0" w:rsidP="009A4ACB">
            <w:pPr>
              <w:ind w:firstLine="26"/>
              <w:rPr>
                <w:rtl/>
              </w:rPr>
            </w:pPr>
            <w:r w:rsidRPr="009A4ACB">
              <w:rPr>
                <w:rFonts w:hint="cs"/>
                <w:sz w:val="22"/>
                <w:szCs w:val="22"/>
                <w:rtl/>
              </w:rPr>
              <w:t>ע"י ב"כ עוה"ד ששון בר עוז ואלעד אלימלך</w:t>
            </w:r>
          </w:p>
        </w:tc>
      </w:tr>
    </w:tbl>
    <w:p w14:paraId="1D0B97ED" w14:textId="77777777" w:rsidR="000B152A" w:rsidRDefault="000B152A" w:rsidP="000F21E0">
      <w:pPr>
        <w:rPr>
          <w:rtl/>
        </w:rPr>
      </w:pPr>
      <w:bookmarkStart w:id="3" w:name="LawTable"/>
      <w:bookmarkEnd w:id="3"/>
    </w:p>
    <w:p w14:paraId="60D01738" w14:textId="77777777" w:rsidR="000B152A" w:rsidRPr="000B152A" w:rsidRDefault="000B152A" w:rsidP="000B152A">
      <w:pPr>
        <w:spacing w:after="120" w:line="240" w:lineRule="exact"/>
        <w:ind w:left="283" w:hanging="283"/>
        <w:jc w:val="both"/>
        <w:rPr>
          <w:rFonts w:ascii="FrankRuehl" w:hAnsi="FrankRuehl" w:cs="FrankRuehl"/>
          <w:rtl/>
        </w:rPr>
      </w:pPr>
    </w:p>
    <w:p w14:paraId="2A179B0F" w14:textId="77777777" w:rsidR="000B152A" w:rsidRPr="000B152A" w:rsidRDefault="000B152A" w:rsidP="000B152A">
      <w:pPr>
        <w:spacing w:after="120" w:line="240" w:lineRule="exact"/>
        <w:ind w:left="283" w:hanging="283"/>
        <w:jc w:val="both"/>
        <w:rPr>
          <w:rFonts w:ascii="FrankRuehl" w:hAnsi="FrankRuehl" w:cs="FrankRuehl"/>
          <w:rtl/>
        </w:rPr>
      </w:pPr>
      <w:r w:rsidRPr="000B152A">
        <w:rPr>
          <w:rFonts w:ascii="FrankRuehl" w:hAnsi="FrankRuehl" w:cs="FrankRuehl"/>
          <w:rtl/>
        </w:rPr>
        <w:t xml:space="preserve">חקיקה שאוזכרה: </w:t>
      </w:r>
    </w:p>
    <w:p w14:paraId="66A44E83" w14:textId="77777777" w:rsidR="000B152A" w:rsidRPr="000B152A" w:rsidRDefault="000B152A" w:rsidP="000B152A">
      <w:pPr>
        <w:spacing w:after="120" w:line="240" w:lineRule="exact"/>
        <w:ind w:left="283" w:hanging="283"/>
        <w:jc w:val="both"/>
        <w:rPr>
          <w:rFonts w:ascii="FrankRuehl" w:hAnsi="FrankRuehl" w:cs="FrankRuehl"/>
          <w:rtl/>
        </w:rPr>
      </w:pPr>
      <w:hyperlink r:id="rId6" w:history="1">
        <w:r w:rsidRPr="000B152A">
          <w:rPr>
            <w:rFonts w:ascii="FrankRuehl" w:hAnsi="FrankRuehl" w:cs="FrankRuehl"/>
            <w:color w:val="0000FF"/>
            <w:u w:val="single"/>
            <w:rtl/>
          </w:rPr>
          <w:t>חוק העונשין, תשל"ז-1977</w:t>
        </w:r>
      </w:hyperlink>
      <w:r w:rsidRPr="000B152A">
        <w:rPr>
          <w:rFonts w:ascii="FrankRuehl" w:hAnsi="FrankRuehl" w:cs="FrankRuehl"/>
          <w:rtl/>
        </w:rPr>
        <w:t xml:space="preserve">: סע'  </w:t>
      </w:r>
      <w:hyperlink r:id="rId7" w:history="1">
        <w:r w:rsidRPr="000B152A">
          <w:rPr>
            <w:rFonts w:ascii="FrankRuehl" w:hAnsi="FrankRuehl" w:cs="FrankRuehl"/>
            <w:color w:val="0000FF"/>
            <w:u w:val="single"/>
            <w:rtl/>
          </w:rPr>
          <w:t>29</w:t>
        </w:r>
      </w:hyperlink>
      <w:r w:rsidRPr="000B152A">
        <w:rPr>
          <w:rFonts w:ascii="FrankRuehl" w:hAnsi="FrankRuehl" w:cs="FrankRuehl"/>
          <w:rtl/>
        </w:rPr>
        <w:t xml:space="preserve">, </w:t>
      </w:r>
      <w:hyperlink r:id="rId8" w:history="1">
        <w:r w:rsidRPr="000B152A">
          <w:rPr>
            <w:rFonts w:ascii="FrankRuehl" w:hAnsi="FrankRuehl" w:cs="FrankRuehl"/>
            <w:color w:val="0000FF"/>
            <w:u w:val="single"/>
            <w:rtl/>
          </w:rPr>
          <w:t>40ב'</w:t>
        </w:r>
      </w:hyperlink>
      <w:r w:rsidRPr="000B152A">
        <w:rPr>
          <w:rFonts w:ascii="FrankRuehl" w:hAnsi="FrankRuehl" w:cs="FrankRuehl"/>
          <w:rtl/>
        </w:rPr>
        <w:t xml:space="preserve">, </w:t>
      </w:r>
      <w:hyperlink r:id="rId9" w:history="1">
        <w:r w:rsidRPr="000B152A">
          <w:rPr>
            <w:rFonts w:ascii="FrankRuehl" w:hAnsi="FrankRuehl" w:cs="FrankRuehl"/>
            <w:color w:val="0000FF"/>
            <w:u w:val="single"/>
            <w:rtl/>
          </w:rPr>
          <w:t>40ד'</w:t>
        </w:r>
      </w:hyperlink>
      <w:r w:rsidRPr="000B152A">
        <w:rPr>
          <w:rFonts w:ascii="FrankRuehl" w:hAnsi="FrankRuehl" w:cs="FrankRuehl"/>
          <w:rtl/>
        </w:rPr>
        <w:t xml:space="preserve">, </w:t>
      </w:r>
      <w:hyperlink r:id="rId10" w:history="1">
        <w:r w:rsidRPr="000B152A">
          <w:rPr>
            <w:rFonts w:ascii="FrankRuehl" w:hAnsi="FrankRuehl" w:cs="FrankRuehl"/>
            <w:color w:val="0000FF"/>
            <w:u w:val="single"/>
            <w:rtl/>
          </w:rPr>
          <w:t>40ה'</w:t>
        </w:r>
      </w:hyperlink>
      <w:r w:rsidRPr="000B152A">
        <w:rPr>
          <w:rFonts w:ascii="FrankRuehl" w:hAnsi="FrankRuehl" w:cs="FrankRuehl"/>
          <w:rtl/>
        </w:rPr>
        <w:t xml:space="preserve">, </w:t>
      </w:r>
      <w:hyperlink r:id="rId11" w:history="1">
        <w:r w:rsidRPr="000B152A">
          <w:rPr>
            <w:rFonts w:ascii="FrankRuehl" w:hAnsi="FrankRuehl" w:cs="FrankRuehl"/>
            <w:color w:val="0000FF"/>
            <w:u w:val="single"/>
            <w:rtl/>
          </w:rPr>
          <w:t>40ו'</w:t>
        </w:r>
      </w:hyperlink>
      <w:r w:rsidRPr="000B152A">
        <w:rPr>
          <w:rFonts w:ascii="FrankRuehl" w:hAnsi="FrankRuehl" w:cs="FrankRuehl"/>
          <w:rtl/>
        </w:rPr>
        <w:t xml:space="preserve">, </w:t>
      </w:r>
      <w:hyperlink r:id="rId12" w:history="1">
        <w:r w:rsidRPr="000B152A">
          <w:rPr>
            <w:rFonts w:ascii="FrankRuehl" w:hAnsi="FrankRuehl" w:cs="FrankRuehl"/>
            <w:color w:val="0000FF"/>
            <w:u w:val="single"/>
            <w:rtl/>
          </w:rPr>
          <w:t>40ז'</w:t>
        </w:r>
      </w:hyperlink>
      <w:r w:rsidRPr="000B152A">
        <w:rPr>
          <w:rFonts w:ascii="FrankRuehl" w:hAnsi="FrankRuehl" w:cs="FrankRuehl"/>
          <w:rtl/>
        </w:rPr>
        <w:t xml:space="preserve">, </w:t>
      </w:r>
      <w:hyperlink r:id="rId13" w:history="1">
        <w:r w:rsidRPr="000B152A">
          <w:rPr>
            <w:rFonts w:ascii="FrankRuehl" w:hAnsi="FrankRuehl" w:cs="FrankRuehl"/>
            <w:color w:val="0000FF"/>
            <w:u w:val="single"/>
            <w:rtl/>
          </w:rPr>
          <w:t>40ט'</w:t>
        </w:r>
      </w:hyperlink>
      <w:r w:rsidRPr="000B152A">
        <w:rPr>
          <w:rFonts w:ascii="FrankRuehl" w:hAnsi="FrankRuehl" w:cs="FrankRuehl"/>
          <w:rtl/>
        </w:rPr>
        <w:t xml:space="preserve">, </w:t>
      </w:r>
      <w:hyperlink r:id="rId14" w:history="1">
        <w:r w:rsidRPr="000B152A">
          <w:rPr>
            <w:rFonts w:ascii="FrankRuehl" w:hAnsi="FrankRuehl" w:cs="FrankRuehl"/>
            <w:color w:val="0000FF"/>
            <w:u w:val="single"/>
            <w:rtl/>
          </w:rPr>
          <w:t>45(ב)</w:t>
        </w:r>
      </w:hyperlink>
      <w:r w:rsidRPr="000B152A">
        <w:rPr>
          <w:rFonts w:ascii="FrankRuehl" w:hAnsi="FrankRuehl" w:cs="FrankRuehl"/>
          <w:rtl/>
        </w:rPr>
        <w:t xml:space="preserve">, </w:t>
      </w:r>
      <w:hyperlink r:id="rId15" w:history="1">
        <w:r w:rsidRPr="000B152A">
          <w:rPr>
            <w:rFonts w:ascii="FrankRuehl" w:hAnsi="FrankRuehl" w:cs="FrankRuehl"/>
            <w:color w:val="0000FF"/>
            <w:u w:val="single"/>
            <w:rtl/>
          </w:rPr>
          <w:t>63</w:t>
        </w:r>
      </w:hyperlink>
      <w:r w:rsidRPr="000B152A">
        <w:rPr>
          <w:rFonts w:ascii="FrankRuehl" w:hAnsi="FrankRuehl" w:cs="FrankRuehl"/>
          <w:rtl/>
        </w:rPr>
        <w:t xml:space="preserve">, </w:t>
      </w:r>
      <w:hyperlink r:id="rId16" w:history="1">
        <w:r w:rsidRPr="000B152A">
          <w:rPr>
            <w:rFonts w:ascii="FrankRuehl" w:hAnsi="FrankRuehl" w:cs="FrankRuehl"/>
            <w:color w:val="0000FF"/>
            <w:u w:val="single"/>
            <w:rtl/>
          </w:rPr>
          <w:t>77</w:t>
        </w:r>
      </w:hyperlink>
      <w:r w:rsidRPr="000B152A">
        <w:rPr>
          <w:rFonts w:ascii="FrankRuehl" w:hAnsi="FrankRuehl" w:cs="FrankRuehl"/>
          <w:rtl/>
        </w:rPr>
        <w:t xml:space="preserve">, </w:t>
      </w:r>
      <w:hyperlink r:id="rId17" w:history="1">
        <w:r w:rsidRPr="000B152A">
          <w:rPr>
            <w:rFonts w:ascii="FrankRuehl" w:hAnsi="FrankRuehl" w:cs="FrankRuehl"/>
            <w:color w:val="0000FF"/>
            <w:u w:val="single"/>
            <w:rtl/>
          </w:rPr>
          <w:t>77(ב)</w:t>
        </w:r>
      </w:hyperlink>
      <w:r w:rsidRPr="000B152A">
        <w:rPr>
          <w:rFonts w:ascii="FrankRuehl" w:hAnsi="FrankRuehl" w:cs="FrankRuehl"/>
          <w:rtl/>
        </w:rPr>
        <w:t xml:space="preserve">, </w:t>
      </w:r>
      <w:hyperlink r:id="rId18" w:history="1">
        <w:r w:rsidRPr="000B152A">
          <w:rPr>
            <w:rFonts w:ascii="FrankRuehl" w:hAnsi="FrankRuehl" w:cs="FrankRuehl"/>
            <w:color w:val="0000FF"/>
            <w:u w:val="single"/>
            <w:rtl/>
          </w:rPr>
          <w:t>144</w:t>
        </w:r>
      </w:hyperlink>
      <w:r w:rsidRPr="000B152A">
        <w:rPr>
          <w:rFonts w:ascii="FrankRuehl" w:hAnsi="FrankRuehl" w:cs="FrankRuehl"/>
          <w:rtl/>
        </w:rPr>
        <w:t xml:space="preserve">, </w:t>
      </w:r>
      <w:hyperlink r:id="rId19" w:history="1">
        <w:r w:rsidRPr="000B152A">
          <w:rPr>
            <w:rFonts w:ascii="FrankRuehl" w:hAnsi="FrankRuehl" w:cs="FrankRuehl"/>
            <w:color w:val="0000FF"/>
            <w:u w:val="single"/>
            <w:rtl/>
          </w:rPr>
          <w:t>144.א.</w:t>
        </w:r>
      </w:hyperlink>
      <w:r w:rsidRPr="000B152A">
        <w:rPr>
          <w:rFonts w:ascii="FrankRuehl" w:hAnsi="FrankRuehl" w:cs="FrankRuehl"/>
          <w:rtl/>
        </w:rPr>
        <w:t xml:space="preserve">, </w:t>
      </w:r>
      <w:hyperlink r:id="rId20" w:history="1">
        <w:r w:rsidRPr="000B152A">
          <w:rPr>
            <w:rFonts w:ascii="FrankRuehl" w:hAnsi="FrankRuehl" w:cs="FrankRuehl"/>
            <w:color w:val="0000FF"/>
            <w:u w:val="single"/>
            <w:rtl/>
          </w:rPr>
          <w:t>144.ב</w:t>
        </w:r>
      </w:hyperlink>
      <w:r w:rsidRPr="000B152A">
        <w:rPr>
          <w:rFonts w:ascii="FrankRuehl" w:hAnsi="FrankRuehl" w:cs="FrankRuehl"/>
          <w:rtl/>
        </w:rPr>
        <w:t xml:space="preserve">, </w:t>
      </w:r>
      <w:hyperlink r:id="rId21" w:history="1">
        <w:r w:rsidRPr="000B152A">
          <w:rPr>
            <w:rFonts w:ascii="FrankRuehl" w:hAnsi="FrankRuehl" w:cs="FrankRuehl"/>
            <w:color w:val="0000FF"/>
            <w:u w:val="single"/>
            <w:rtl/>
          </w:rPr>
          <w:t>(ב2)</w:t>
        </w:r>
      </w:hyperlink>
      <w:r w:rsidRPr="000B152A">
        <w:rPr>
          <w:rFonts w:ascii="FrankRuehl" w:hAnsi="FrankRuehl" w:cs="FrankRuehl"/>
          <w:rtl/>
        </w:rPr>
        <w:t xml:space="preserve">, </w:t>
      </w:r>
      <w:hyperlink r:id="rId22" w:history="1">
        <w:r w:rsidRPr="000B152A">
          <w:rPr>
            <w:rFonts w:ascii="FrankRuehl" w:hAnsi="FrankRuehl" w:cs="FrankRuehl"/>
            <w:color w:val="0000FF"/>
            <w:u w:val="single"/>
            <w:rtl/>
          </w:rPr>
          <w:t>298</w:t>
        </w:r>
      </w:hyperlink>
      <w:r w:rsidRPr="000B152A">
        <w:rPr>
          <w:rFonts w:ascii="FrankRuehl" w:hAnsi="FrankRuehl" w:cs="FrankRuehl"/>
          <w:rtl/>
        </w:rPr>
        <w:t xml:space="preserve">, </w:t>
      </w:r>
      <w:hyperlink r:id="rId23" w:history="1">
        <w:r w:rsidRPr="000B152A">
          <w:rPr>
            <w:rFonts w:ascii="FrankRuehl" w:hAnsi="FrankRuehl" w:cs="FrankRuehl"/>
            <w:color w:val="0000FF"/>
            <w:u w:val="single"/>
            <w:rtl/>
          </w:rPr>
          <w:t>40יא'</w:t>
        </w:r>
      </w:hyperlink>
      <w:r w:rsidRPr="000B152A">
        <w:rPr>
          <w:rFonts w:ascii="FrankRuehl" w:hAnsi="FrankRuehl" w:cs="FrankRuehl"/>
          <w:rtl/>
        </w:rPr>
        <w:t xml:space="preserve">, </w:t>
      </w:r>
      <w:hyperlink r:id="rId24" w:history="1">
        <w:r w:rsidRPr="000B152A">
          <w:rPr>
            <w:rFonts w:ascii="FrankRuehl" w:hAnsi="FrankRuehl" w:cs="FrankRuehl"/>
            <w:color w:val="0000FF"/>
            <w:u w:val="single"/>
            <w:rtl/>
          </w:rPr>
          <w:t>40יג'</w:t>
        </w:r>
      </w:hyperlink>
      <w:r w:rsidRPr="000B152A">
        <w:rPr>
          <w:rFonts w:ascii="FrankRuehl" w:hAnsi="FrankRuehl" w:cs="FrankRuehl"/>
          <w:rtl/>
        </w:rPr>
        <w:t xml:space="preserve">, </w:t>
      </w:r>
      <w:hyperlink r:id="rId25" w:history="1">
        <w:r w:rsidRPr="000B152A">
          <w:rPr>
            <w:rFonts w:ascii="FrankRuehl" w:hAnsi="FrankRuehl" w:cs="FrankRuehl"/>
            <w:color w:val="0000FF"/>
            <w:u w:val="single"/>
            <w:rtl/>
          </w:rPr>
          <w:t>499(א)(1)</w:t>
        </w:r>
      </w:hyperlink>
    </w:p>
    <w:p w14:paraId="4864DD0B" w14:textId="77777777" w:rsidR="000B152A" w:rsidRPr="000B152A" w:rsidRDefault="000B152A" w:rsidP="000B152A">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21E0" w14:paraId="48A1D22D" w14:textId="77777777" w:rsidTr="009A4ACB">
        <w:trPr>
          <w:trHeight w:val="355"/>
          <w:jc w:val="center"/>
        </w:trPr>
        <w:tc>
          <w:tcPr>
            <w:tcW w:w="8820" w:type="dxa"/>
            <w:tcBorders>
              <w:top w:val="nil"/>
              <w:left w:val="nil"/>
              <w:bottom w:val="nil"/>
              <w:right w:val="nil"/>
            </w:tcBorders>
            <w:shd w:val="clear" w:color="auto" w:fill="auto"/>
          </w:tcPr>
          <w:p w14:paraId="6080C696" w14:textId="77777777" w:rsidR="009A4ACB" w:rsidRPr="009A4ACB" w:rsidRDefault="009A4ACB" w:rsidP="009A4ACB">
            <w:pPr>
              <w:jc w:val="center"/>
              <w:rPr>
                <w:rFonts w:ascii="Arial" w:hAnsi="Arial"/>
                <w:b/>
                <w:bCs/>
                <w:sz w:val="32"/>
                <w:szCs w:val="32"/>
                <w:u w:val="single"/>
                <w:rtl/>
              </w:rPr>
            </w:pPr>
            <w:bookmarkStart w:id="4" w:name="LawTable_End"/>
            <w:bookmarkStart w:id="5" w:name="PsakDin" w:colFirst="0" w:colLast="0"/>
            <w:bookmarkEnd w:id="4"/>
            <w:r w:rsidRPr="009A4ACB">
              <w:rPr>
                <w:rFonts w:ascii="Arial" w:hAnsi="Arial"/>
                <w:b/>
                <w:bCs/>
                <w:sz w:val="32"/>
                <w:szCs w:val="32"/>
                <w:u w:val="single"/>
                <w:rtl/>
              </w:rPr>
              <w:t>גזר דין</w:t>
            </w:r>
          </w:p>
          <w:p w14:paraId="474F4F4B" w14:textId="77777777" w:rsidR="000F21E0" w:rsidRPr="009A4ACB" w:rsidRDefault="000F21E0" w:rsidP="009A4ACB">
            <w:pPr>
              <w:jc w:val="center"/>
              <w:rPr>
                <w:rFonts w:ascii="Arial" w:hAnsi="Arial"/>
                <w:bCs/>
                <w:sz w:val="32"/>
                <w:szCs w:val="32"/>
                <w:u w:val="single"/>
                <w:rtl/>
              </w:rPr>
            </w:pPr>
          </w:p>
        </w:tc>
      </w:tr>
      <w:bookmarkEnd w:id="5"/>
    </w:tbl>
    <w:p w14:paraId="0308F1B3" w14:textId="77777777" w:rsidR="000F21E0" w:rsidRPr="00B05847" w:rsidRDefault="000F21E0" w:rsidP="000F21E0">
      <w:pPr>
        <w:rPr>
          <w:rFonts w:ascii="Arial" w:hAnsi="Arial"/>
          <w:rtl/>
        </w:rPr>
      </w:pPr>
    </w:p>
    <w:p w14:paraId="092D2258" w14:textId="77777777" w:rsidR="000F21E0" w:rsidRDefault="000F21E0" w:rsidP="000F21E0">
      <w:pPr>
        <w:spacing w:line="360" w:lineRule="auto"/>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ביום 18.7.2014 יצא המנוח עלי חסארמה ז"ל, לעבודתו כנהג משאית. בסביבות השעה 8:15 הגיע המנוח ביחד עם עלי סוואעד לאזור יער טל-אל על מנת להעמיס אבנים על משאיתו. עם תום ההעמסה החל המנוח בנסיעה איטית במשאית, אל עבר הכביש הראשי. </w:t>
      </w:r>
    </w:p>
    <w:p w14:paraId="238B33EF" w14:textId="77777777" w:rsidR="000F21E0" w:rsidRDefault="000F21E0" w:rsidP="000F21E0">
      <w:pPr>
        <w:spacing w:line="360" w:lineRule="auto"/>
        <w:jc w:val="both"/>
        <w:rPr>
          <w:rFonts w:ascii="Arial" w:hAnsi="Arial"/>
          <w:rtl/>
        </w:rPr>
      </w:pPr>
      <w:bookmarkStart w:id="7" w:name="ABSTRACT_END"/>
      <w:bookmarkEnd w:id="7"/>
    </w:p>
    <w:p w14:paraId="2E541781" w14:textId="77777777" w:rsidR="000F21E0" w:rsidRDefault="000F21E0" w:rsidP="000F21E0">
      <w:pPr>
        <w:spacing w:line="360" w:lineRule="auto"/>
        <w:jc w:val="both"/>
        <w:rPr>
          <w:rFonts w:ascii="Arial" w:hAnsi="Arial"/>
          <w:rtl/>
        </w:rPr>
      </w:pPr>
      <w:r>
        <w:rPr>
          <w:rFonts w:ascii="Arial" w:hAnsi="Arial"/>
          <w:rtl/>
        </w:rPr>
        <w:tab/>
      </w:r>
      <w:r>
        <w:rPr>
          <w:rFonts w:ascii="Arial" w:hAnsi="Arial" w:hint="cs"/>
          <w:rtl/>
        </w:rPr>
        <w:t xml:space="preserve">אותה עת הסתתר הנאשם מס' 1, אייל הייב, מאחורי שיחים בצד הדרך כשבידו אקדח מוכן לירי, והמתין למשאיתו של המנוח. כאשר הגיעה המשאית לקרבתו, יצא אייל הייב ממקום המסתור, ירה שתי יריות לכיוון המנוח ונמלט מהמקום. אחד מהקליעים אותם ירה פגע בצווארו של המנוח. המנוח יצא מהמשאית כשהוא שותת דם רב. כעבור זמן קצר, בשל איבוד הדם הרב והנזק לעורקים הראשיים, נפח המנוח עלי חסארמה, את נשמתו ונותר מוטל על הקרקע עד שנמצא כעבור מספר שעות. </w:t>
      </w:r>
    </w:p>
    <w:p w14:paraId="6B168996" w14:textId="77777777" w:rsidR="000F21E0" w:rsidRDefault="000F21E0" w:rsidP="000F21E0">
      <w:pPr>
        <w:spacing w:line="360" w:lineRule="auto"/>
        <w:jc w:val="both"/>
        <w:rPr>
          <w:rFonts w:ascii="Arial" w:hAnsi="Arial"/>
          <w:rtl/>
        </w:rPr>
      </w:pPr>
    </w:p>
    <w:p w14:paraId="5AA94041" w14:textId="77777777" w:rsidR="000F21E0" w:rsidRDefault="000F21E0" w:rsidP="000F21E0">
      <w:pPr>
        <w:spacing w:line="360" w:lineRule="auto"/>
        <w:jc w:val="both"/>
        <w:rPr>
          <w:rFonts w:ascii="Arial" w:hAnsi="Arial"/>
          <w:rtl/>
        </w:rPr>
      </w:pPr>
      <w:r>
        <w:rPr>
          <w:rFonts w:ascii="Arial" w:hAnsi="Arial" w:hint="cs"/>
          <w:rtl/>
        </w:rPr>
        <w:t>2.</w:t>
      </w:r>
      <w:r>
        <w:rPr>
          <w:rFonts w:ascii="Arial" w:hAnsi="Arial" w:hint="cs"/>
          <w:rtl/>
        </w:rPr>
        <w:tab/>
        <w:t xml:space="preserve">בהליך הנוכחי נטען כי הנאשם 1 (להלן: </w:t>
      </w:r>
      <w:r w:rsidRPr="008C3640">
        <w:rPr>
          <w:rFonts w:ascii="Arial" w:hAnsi="Arial" w:cs="Miriam" w:hint="cs"/>
          <w:rtl/>
        </w:rPr>
        <w:t>אייל</w:t>
      </w:r>
      <w:r>
        <w:rPr>
          <w:rFonts w:ascii="Arial" w:hAnsi="Arial" w:hint="cs"/>
          <w:rtl/>
        </w:rPr>
        <w:t xml:space="preserve">) ביצע את הירי לבקשתם של אחמד פתחי חסארמה (להלן: </w:t>
      </w:r>
      <w:r w:rsidRPr="00F6397C">
        <w:rPr>
          <w:rFonts w:ascii="Arial" w:hAnsi="Arial" w:cs="Miriam" w:hint="cs"/>
          <w:rtl/>
        </w:rPr>
        <w:t>אחמד פתחי</w:t>
      </w:r>
      <w:r>
        <w:rPr>
          <w:rFonts w:ascii="Arial" w:hAnsi="Arial" w:hint="cs"/>
          <w:rtl/>
        </w:rPr>
        <w:t xml:space="preserve">) ואיברהים חסארמה ז"ל (להלן: </w:t>
      </w:r>
      <w:r w:rsidRPr="00F6397C">
        <w:rPr>
          <w:rFonts w:ascii="Arial" w:hAnsi="Arial" w:cs="Miriam" w:hint="cs"/>
          <w:rtl/>
        </w:rPr>
        <w:t>איברהים</w:t>
      </w:r>
      <w:r>
        <w:rPr>
          <w:rFonts w:ascii="Arial" w:hAnsi="Arial" w:hint="cs"/>
          <w:rtl/>
        </w:rPr>
        <w:t xml:space="preserve">), אשר ביקשו לפגוע במנוח </w:t>
      </w:r>
      <w:r>
        <w:rPr>
          <w:rFonts w:ascii="Arial" w:hAnsi="Arial" w:hint="cs"/>
          <w:rtl/>
        </w:rPr>
        <w:lastRenderedPageBreak/>
        <w:t xml:space="preserve">על רקע סכסוך ממושך ואלים בין משפחתם לבין משפחת המנוח. עוד נטען כי הנאשם מס' 2, אחמד חסארמה (להלן: </w:t>
      </w:r>
      <w:r w:rsidRPr="008C3640">
        <w:rPr>
          <w:rFonts w:ascii="Arial" w:hAnsi="Arial" w:cs="Miriam" w:hint="cs"/>
          <w:rtl/>
        </w:rPr>
        <w:t>אחמד</w:t>
      </w:r>
      <w:r>
        <w:rPr>
          <w:rFonts w:ascii="Arial" w:hAnsi="Arial" w:hint="cs"/>
          <w:rtl/>
        </w:rPr>
        <w:t xml:space="preserve">), שהוא קרוב משפחתם של אחמד פתחי ואיברהים, הוא שסיפק לאחמד פתחי את האקדח שניתן לאחר מכן לאייל, על מנת שישתמש בו בירי אל עבר המנוח. </w:t>
      </w:r>
    </w:p>
    <w:p w14:paraId="2A12F07B" w14:textId="77777777" w:rsidR="000F21E0" w:rsidRDefault="000F21E0" w:rsidP="000F21E0">
      <w:pPr>
        <w:spacing w:line="360" w:lineRule="auto"/>
        <w:jc w:val="both"/>
        <w:rPr>
          <w:rFonts w:ascii="Arial" w:hAnsi="Arial"/>
          <w:rtl/>
        </w:rPr>
      </w:pPr>
    </w:p>
    <w:p w14:paraId="33A0639E" w14:textId="77777777" w:rsidR="000F21E0" w:rsidRDefault="000F21E0" w:rsidP="000F21E0">
      <w:pPr>
        <w:spacing w:line="360" w:lineRule="auto"/>
        <w:jc w:val="both"/>
        <w:rPr>
          <w:rFonts w:ascii="Arial" w:hAnsi="Arial"/>
          <w:rtl/>
        </w:rPr>
      </w:pPr>
      <w:r>
        <w:rPr>
          <w:rFonts w:ascii="Arial" w:hAnsi="Arial" w:hint="cs"/>
          <w:rtl/>
        </w:rPr>
        <w:t>3.</w:t>
      </w:r>
      <w:r>
        <w:rPr>
          <w:rFonts w:ascii="Arial" w:hAnsi="Arial" w:hint="cs"/>
          <w:rtl/>
        </w:rPr>
        <w:tab/>
        <w:t xml:space="preserve">לאחר שמיעת כל פרשת התביעה בתיק, הגיעו הצדדים להסדר טיעון שכלל תיקון כתב האישום והסכמה חלקית בעניין העונש. ביום 23.2.2017 הוצג הסדר הטיעון בבית המשפט. הנאשמים, אייל ואחמד, הודו במעשים המיוחסים להם והורשעו. אייל הורשע, על פי הודאתו, בעבירות של הריגה, עבירה לפי </w:t>
      </w:r>
      <w:hyperlink r:id="rId26" w:history="1">
        <w:r w:rsidR="000B152A" w:rsidRPr="000B152A">
          <w:rPr>
            <w:rFonts w:ascii="Arial" w:hAnsi="Arial"/>
            <w:color w:val="0000FF"/>
            <w:u w:val="single"/>
            <w:rtl/>
          </w:rPr>
          <w:t>סעיף 298</w:t>
        </w:r>
      </w:hyperlink>
      <w:r>
        <w:rPr>
          <w:rFonts w:ascii="Arial" w:hAnsi="Arial" w:hint="cs"/>
          <w:rtl/>
        </w:rPr>
        <w:t xml:space="preserve"> ביחד עם </w:t>
      </w:r>
      <w:hyperlink r:id="rId27" w:history="1">
        <w:r w:rsidR="000B152A" w:rsidRPr="000B152A">
          <w:rPr>
            <w:rFonts w:ascii="Arial" w:hAnsi="Arial"/>
            <w:color w:val="0000FF"/>
            <w:u w:val="single"/>
            <w:rtl/>
          </w:rPr>
          <w:t>סעיף 29</w:t>
        </w:r>
      </w:hyperlink>
      <w:r>
        <w:rPr>
          <w:rFonts w:ascii="Arial" w:hAnsi="Arial" w:hint="cs"/>
          <w:rtl/>
        </w:rPr>
        <w:t xml:space="preserve"> ל</w:t>
      </w:r>
      <w:hyperlink r:id="rId28" w:history="1">
        <w:r w:rsidR="009A4ACB" w:rsidRPr="009A4ACB">
          <w:rPr>
            <w:rStyle w:val="Hyperlink"/>
            <w:rFonts w:ascii="Arial" w:hAnsi="Arial" w:hint="eastAsia"/>
            <w:rtl/>
          </w:rPr>
          <w:t>חוק</w:t>
        </w:r>
        <w:r w:rsidR="009A4ACB" w:rsidRPr="009A4ACB">
          <w:rPr>
            <w:rStyle w:val="Hyperlink"/>
            <w:rFonts w:ascii="Arial" w:hAnsi="Arial"/>
            <w:rtl/>
          </w:rPr>
          <w:t xml:space="preserve"> העונשין</w:t>
        </w:r>
      </w:hyperlink>
      <w:r>
        <w:rPr>
          <w:rFonts w:ascii="Arial" w:hAnsi="Arial" w:hint="cs"/>
          <w:rtl/>
        </w:rPr>
        <w:t xml:space="preserve">, התשל"ז </w:t>
      </w:r>
      <w:r>
        <w:rPr>
          <w:rFonts w:ascii="Arial" w:hAnsi="Arial"/>
          <w:rtl/>
        </w:rPr>
        <w:t>–</w:t>
      </w:r>
      <w:r>
        <w:rPr>
          <w:rFonts w:ascii="Arial" w:hAnsi="Arial" w:hint="cs"/>
          <w:rtl/>
        </w:rPr>
        <w:t xml:space="preserve"> 1977; קשירת קשר לביצוע פשע, עבירה לפי </w:t>
      </w:r>
      <w:hyperlink r:id="rId29" w:history="1">
        <w:r w:rsidR="000B152A" w:rsidRPr="000B152A">
          <w:rPr>
            <w:rFonts w:ascii="Arial" w:hAnsi="Arial"/>
            <w:color w:val="0000FF"/>
            <w:u w:val="single"/>
            <w:rtl/>
          </w:rPr>
          <w:t>סעיף 499(א)(1)</w:t>
        </w:r>
      </w:hyperlink>
      <w:r>
        <w:rPr>
          <w:rFonts w:ascii="Arial" w:hAnsi="Arial" w:hint="cs"/>
          <w:rtl/>
        </w:rPr>
        <w:t xml:space="preserve"> לחוק העונשין ובעבירות בנשק, עבירה לפי סעיף </w:t>
      </w:r>
      <w:hyperlink r:id="rId30" w:history="1">
        <w:r w:rsidR="000B152A" w:rsidRPr="000B152A">
          <w:rPr>
            <w:rFonts w:ascii="Arial" w:hAnsi="Arial"/>
            <w:color w:val="0000FF"/>
            <w:u w:val="single"/>
            <w:rtl/>
          </w:rPr>
          <w:t>144(א) ו-(ב)</w:t>
        </w:r>
      </w:hyperlink>
      <w:r>
        <w:rPr>
          <w:rFonts w:ascii="Arial" w:hAnsi="Arial" w:hint="cs"/>
          <w:rtl/>
        </w:rPr>
        <w:t xml:space="preserve"> ביחד עם </w:t>
      </w:r>
      <w:hyperlink r:id="rId31" w:history="1">
        <w:r w:rsidR="000B152A" w:rsidRPr="000B152A">
          <w:rPr>
            <w:rFonts w:ascii="Arial" w:hAnsi="Arial"/>
            <w:color w:val="0000FF"/>
            <w:u w:val="single"/>
            <w:rtl/>
          </w:rPr>
          <w:t>סעיף 29</w:t>
        </w:r>
      </w:hyperlink>
      <w:r>
        <w:rPr>
          <w:rFonts w:ascii="Arial" w:hAnsi="Arial" w:hint="cs"/>
          <w:rtl/>
        </w:rPr>
        <w:t xml:space="preserve"> לחוק העונשין. </w:t>
      </w:r>
    </w:p>
    <w:p w14:paraId="2B1A826F" w14:textId="77777777" w:rsidR="000F21E0" w:rsidRDefault="000F21E0" w:rsidP="000F21E0">
      <w:pPr>
        <w:spacing w:line="360" w:lineRule="auto"/>
        <w:jc w:val="both"/>
        <w:rPr>
          <w:rFonts w:ascii="Arial" w:hAnsi="Arial"/>
          <w:rtl/>
        </w:rPr>
      </w:pPr>
    </w:p>
    <w:p w14:paraId="330AB497" w14:textId="77777777" w:rsidR="000F21E0" w:rsidRDefault="000F21E0" w:rsidP="000F21E0">
      <w:pPr>
        <w:spacing w:line="360" w:lineRule="auto"/>
        <w:jc w:val="both"/>
        <w:rPr>
          <w:rFonts w:ascii="Arial" w:hAnsi="Arial"/>
          <w:rtl/>
        </w:rPr>
      </w:pPr>
      <w:r>
        <w:rPr>
          <w:rFonts w:ascii="Arial" w:hAnsi="Arial"/>
          <w:rtl/>
        </w:rPr>
        <w:tab/>
      </w:r>
      <w:r>
        <w:rPr>
          <w:rFonts w:ascii="Arial" w:hAnsi="Arial" w:hint="cs"/>
          <w:rtl/>
        </w:rPr>
        <w:t xml:space="preserve">אחמד הורשע, על פי הודאתו, בעבירות בנשק, עבירה לפי </w:t>
      </w:r>
      <w:hyperlink r:id="rId32" w:history="1">
        <w:r w:rsidR="000B152A" w:rsidRPr="000B152A">
          <w:rPr>
            <w:rFonts w:ascii="Arial" w:hAnsi="Arial"/>
            <w:color w:val="0000FF"/>
            <w:u w:val="single"/>
            <w:rtl/>
          </w:rPr>
          <w:t>סעיף 144(א)</w:t>
        </w:r>
      </w:hyperlink>
      <w:r>
        <w:rPr>
          <w:rFonts w:ascii="Arial" w:hAnsi="Arial" w:hint="cs"/>
          <w:rtl/>
        </w:rPr>
        <w:t xml:space="preserve"> ו- </w:t>
      </w:r>
      <w:hyperlink r:id="rId33" w:history="1">
        <w:r w:rsidR="000B152A" w:rsidRPr="000B152A">
          <w:rPr>
            <w:rStyle w:val="Hyperlink"/>
            <w:rFonts w:ascii="Arial" w:hAnsi="Arial"/>
            <w:rtl/>
          </w:rPr>
          <w:t>(ב2)</w:t>
        </w:r>
      </w:hyperlink>
      <w:r>
        <w:rPr>
          <w:rFonts w:ascii="Arial" w:hAnsi="Arial" w:hint="cs"/>
          <w:rtl/>
        </w:rPr>
        <w:t xml:space="preserve"> ל</w:t>
      </w:r>
      <w:hyperlink r:id="rId34" w:history="1">
        <w:r w:rsidR="009A4ACB" w:rsidRPr="009A4ACB">
          <w:rPr>
            <w:rStyle w:val="Hyperlink"/>
            <w:rFonts w:ascii="Arial" w:hAnsi="Arial" w:hint="eastAsia"/>
            <w:rtl/>
          </w:rPr>
          <w:t>חוק</w:t>
        </w:r>
        <w:r w:rsidR="009A4ACB" w:rsidRPr="009A4ACB">
          <w:rPr>
            <w:rStyle w:val="Hyperlink"/>
            <w:rFonts w:ascii="Arial" w:hAnsi="Arial"/>
            <w:rtl/>
          </w:rPr>
          <w:t xml:space="preserve"> העונשין</w:t>
        </w:r>
      </w:hyperlink>
      <w:r>
        <w:rPr>
          <w:rFonts w:ascii="Arial" w:hAnsi="Arial" w:hint="cs"/>
          <w:rtl/>
        </w:rPr>
        <w:t xml:space="preserve">. </w:t>
      </w:r>
    </w:p>
    <w:p w14:paraId="3CBEDDA5" w14:textId="77777777" w:rsidR="000F21E0" w:rsidRDefault="000F21E0" w:rsidP="000F21E0">
      <w:pPr>
        <w:spacing w:line="360" w:lineRule="auto"/>
        <w:jc w:val="both"/>
        <w:rPr>
          <w:rFonts w:ascii="Arial" w:hAnsi="Arial"/>
          <w:rtl/>
        </w:rPr>
      </w:pPr>
    </w:p>
    <w:p w14:paraId="0149E627" w14:textId="77777777" w:rsidR="000F21E0" w:rsidRDefault="000F21E0" w:rsidP="000F21E0">
      <w:pPr>
        <w:spacing w:line="360" w:lineRule="auto"/>
        <w:jc w:val="both"/>
        <w:rPr>
          <w:rFonts w:ascii="Arial" w:hAnsi="Arial"/>
          <w:rtl/>
        </w:rPr>
      </w:pPr>
      <w:r>
        <w:rPr>
          <w:rFonts w:ascii="Arial" w:hAnsi="Arial" w:hint="cs"/>
          <w:rtl/>
        </w:rPr>
        <w:t>4.</w:t>
      </w:r>
      <w:r>
        <w:rPr>
          <w:rFonts w:ascii="Arial" w:hAnsi="Arial" w:hint="cs"/>
          <w:rtl/>
        </w:rPr>
        <w:tab/>
        <w:t xml:space="preserve">הסדר הטיעון שהושג בין הצדדים כלל הסכמה על רכיב עונש המאסר בפועל וטיעון חופשי  בשאר רכיבי גזר הדין. הוסכם כי על אייל יושת עונש של 18 שנות מאסר בפועל, שיימנו מיום מעצרו וכי על אחמד יושת עונש מאסר בפועל של 4 שנים. </w:t>
      </w:r>
    </w:p>
    <w:p w14:paraId="0B0F062A" w14:textId="77777777" w:rsidR="000F21E0" w:rsidRDefault="000F21E0" w:rsidP="000F21E0">
      <w:pPr>
        <w:spacing w:line="360" w:lineRule="auto"/>
        <w:jc w:val="both"/>
        <w:rPr>
          <w:rFonts w:ascii="Arial" w:hAnsi="Arial"/>
          <w:rtl/>
        </w:rPr>
      </w:pPr>
    </w:p>
    <w:p w14:paraId="5A6C423D" w14:textId="77777777" w:rsidR="000F21E0" w:rsidRDefault="000F21E0" w:rsidP="000F21E0">
      <w:pPr>
        <w:spacing w:line="360" w:lineRule="auto"/>
        <w:jc w:val="both"/>
        <w:rPr>
          <w:rFonts w:ascii="Arial" w:hAnsi="Arial"/>
          <w:rtl/>
        </w:rPr>
      </w:pPr>
      <w:r>
        <w:rPr>
          <w:rFonts w:ascii="Arial" w:hAnsi="Arial"/>
          <w:rtl/>
        </w:rPr>
        <w:tab/>
      </w:r>
      <w:r>
        <w:rPr>
          <w:rFonts w:ascii="Arial" w:hAnsi="Arial" w:hint="cs"/>
          <w:rtl/>
        </w:rPr>
        <w:t xml:space="preserve">בטרם נדון בטענות לגבי שאר רכיבי העונש, נפרט בקצרה את העובדות שפורטו בכתב האישום המתוקן (להלן גם: </w:t>
      </w:r>
      <w:r w:rsidRPr="000328B9">
        <w:rPr>
          <w:rFonts w:ascii="Arial" w:hAnsi="Arial" w:cs="Miriam" w:hint="cs"/>
          <w:rtl/>
        </w:rPr>
        <w:t>כתב האישום</w:t>
      </w:r>
      <w:r>
        <w:rPr>
          <w:rFonts w:ascii="Arial" w:hAnsi="Arial" w:hint="cs"/>
          <w:rtl/>
        </w:rPr>
        <w:t xml:space="preserve">) בו הודו הנאשמים ואת הטיעונים לעונש. </w:t>
      </w:r>
    </w:p>
    <w:p w14:paraId="0636005C" w14:textId="77777777" w:rsidR="000F21E0" w:rsidRDefault="000F21E0" w:rsidP="000F21E0">
      <w:pPr>
        <w:spacing w:line="360" w:lineRule="auto"/>
        <w:jc w:val="both"/>
        <w:rPr>
          <w:rFonts w:ascii="Arial" w:hAnsi="Arial"/>
          <w:rtl/>
        </w:rPr>
      </w:pPr>
    </w:p>
    <w:p w14:paraId="60B86B4A" w14:textId="77777777" w:rsidR="000F21E0" w:rsidRPr="00DF3FF0" w:rsidRDefault="000F21E0" w:rsidP="000F21E0">
      <w:pPr>
        <w:spacing w:line="360" w:lineRule="auto"/>
        <w:jc w:val="both"/>
        <w:rPr>
          <w:rFonts w:ascii="Arial" w:hAnsi="Arial"/>
          <w:b/>
          <w:bCs/>
          <w:u w:val="single"/>
          <w:rtl/>
        </w:rPr>
      </w:pPr>
      <w:r>
        <w:rPr>
          <w:rFonts w:ascii="Arial" w:hAnsi="Arial" w:hint="cs"/>
          <w:b/>
          <w:bCs/>
          <w:u w:val="single"/>
          <w:rtl/>
        </w:rPr>
        <w:t>העובדות בהן הודו הנאשמים</w:t>
      </w:r>
    </w:p>
    <w:p w14:paraId="1DF8D39F" w14:textId="77777777" w:rsidR="000F21E0" w:rsidRDefault="000F21E0" w:rsidP="000F21E0">
      <w:pPr>
        <w:spacing w:line="360" w:lineRule="auto"/>
        <w:jc w:val="both"/>
        <w:rPr>
          <w:rFonts w:ascii="Arial" w:hAnsi="Arial"/>
          <w:rtl/>
        </w:rPr>
      </w:pPr>
      <w:r>
        <w:rPr>
          <w:rFonts w:ascii="Arial" w:hAnsi="Arial" w:hint="cs"/>
          <w:rtl/>
        </w:rPr>
        <w:t>5.</w:t>
      </w:r>
      <w:r>
        <w:rPr>
          <w:rFonts w:ascii="Arial" w:hAnsi="Arial" w:hint="cs"/>
          <w:rtl/>
        </w:rPr>
        <w:tab/>
        <w:t xml:space="preserve">בכתב האישום נטען כי המנוח עלי חסארמה ז"ל (להלן: </w:t>
      </w:r>
      <w:r w:rsidRPr="00DF3FF0">
        <w:rPr>
          <w:rFonts w:ascii="Arial" w:hAnsi="Arial" w:cs="Miriam" w:hint="cs"/>
          <w:rtl/>
        </w:rPr>
        <w:t>המנוח</w:t>
      </w:r>
      <w:r>
        <w:rPr>
          <w:rFonts w:ascii="Arial" w:hAnsi="Arial" w:hint="cs"/>
          <w:rtl/>
        </w:rPr>
        <w:t xml:space="preserve">) היה תושב בענה ועבד כנהג משאית. בין המנוח ובני משפחתו לבין אחמד פתחי, איברהים ובני משפחתם, קיים סכסוך ממושך ואלים. בין היתר עלה בלבם של אחמד פתחי ואיברהים חשד כי המנוח היה מעורב ברצח של רעאד חסארמה ז"ל, אחיו של אחמד ובן דודו של אחמד פתחי. על רקע הסכסוך והחשדות בדבר מעורבות המנוח, קשרו אחמד פתחי ואיברהים, קשר לפגוע במנוח. </w:t>
      </w:r>
    </w:p>
    <w:p w14:paraId="6DDB3727" w14:textId="77777777" w:rsidR="000F21E0" w:rsidRDefault="000F21E0" w:rsidP="000F21E0">
      <w:pPr>
        <w:spacing w:line="360" w:lineRule="auto"/>
        <w:jc w:val="both"/>
        <w:rPr>
          <w:rFonts w:ascii="Arial" w:hAnsi="Arial"/>
          <w:rtl/>
        </w:rPr>
      </w:pPr>
    </w:p>
    <w:p w14:paraId="0DDFBC72" w14:textId="77777777" w:rsidR="000F21E0" w:rsidRDefault="000F21E0" w:rsidP="000F21E0">
      <w:pPr>
        <w:spacing w:line="360" w:lineRule="auto"/>
        <w:jc w:val="both"/>
        <w:rPr>
          <w:rFonts w:ascii="Arial" w:hAnsi="Arial"/>
          <w:rtl/>
        </w:rPr>
      </w:pPr>
      <w:r>
        <w:rPr>
          <w:rFonts w:ascii="Arial" w:hAnsi="Arial" w:hint="cs"/>
          <w:rtl/>
        </w:rPr>
        <w:t>6.</w:t>
      </w:r>
      <w:r>
        <w:rPr>
          <w:rFonts w:ascii="Arial" w:hAnsi="Arial" w:hint="cs"/>
          <w:rtl/>
        </w:rPr>
        <w:tab/>
        <w:t xml:space="preserve">אחמד פתחי פנה לחברו אייל, והציע לו לפגוע במנוח באמצעות אקדח ולגרום לו לחבלה חמורה, בתמורה לתשלום בסך של 150,000 ₪. אייל הסכים להצעה והשלושה התכוננו לביצוע המעשה. במסגרת זו פנו לאחמד, אשר מסר לאחמד פתחי אקדח. </w:t>
      </w:r>
    </w:p>
    <w:p w14:paraId="5B4D1CD5" w14:textId="77777777" w:rsidR="000F21E0" w:rsidRDefault="000F21E0" w:rsidP="000F21E0">
      <w:pPr>
        <w:spacing w:line="360" w:lineRule="auto"/>
        <w:jc w:val="both"/>
        <w:rPr>
          <w:rFonts w:ascii="Arial" w:hAnsi="Arial"/>
          <w:rtl/>
        </w:rPr>
      </w:pPr>
    </w:p>
    <w:p w14:paraId="3857F2CB" w14:textId="77777777" w:rsidR="000F21E0" w:rsidRDefault="000F21E0" w:rsidP="000F21E0">
      <w:pPr>
        <w:spacing w:line="360" w:lineRule="auto"/>
        <w:jc w:val="both"/>
        <w:rPr>
          <w:rFonts w:ascii="Arial" w:hAnsi="Arial"/>
          <w:rtl/>
        </w:rPr>
      </w:pPr>
      <w:r>
        <w:rPr>
          <w:rFonts w:ascii="Arial" w:hAnsi="Arial" w:hint="cs"/>
          <w:rtl/>
        </w:rPr>
        <w:t>7.</w:t>
      </w:r>
      <w:r>
        <w:rPr>
          <w:rFonts w:ascii="Arial" w:hAnsi="Arial" w:hint="cs"/>
          <w:rtl/>
        </w:rPr>
        <w:tab/>
        <w:t xml:space="preserve">עוד נטען בכתב האישום כי ביום 17.7.2014 נפגשו אחמד פתחי, איברהים ואייל וערכו סיור מקדים באזור יער טל-אל, שם הראו השניים לאייל היכן עובד המנוח. הם הצביעו בפניו על מקום שבו עליו להמתין להגעת המנוח עם משאיתו. למחרת היום, ביום 18.7.2014, הגיע אייל למג'דל </w:t>
      </w:r>
      <w:r>
        <w:rPr>
          <w:rFonts w:ascii="Arial" w:hAnsi="Arial" w:hint="cs"/>
          <w:rtl/>
        </w:rPr>
        <w:lastRenderedPageBreak/>
        <w:t xml:space="preserve">כרום, שם פגש באחמד פתחי ובאיברהים. אייל הצטרף לרכבם של השניים אשר הסיעו אותו למקום שנבחר על ידם בסיור המקדים כמקום המתאים לירי. אחמד פתחי מסר לאייל את האקדח שאותו קיבל מאחמד, וכן כפפות ומסיכה לפנים. אחמד פתחי ואיברהים עזבו את המקום ואייל נותר לבדו. </w:t>
      </w:r>
    </w:p>
    <w:p w14:paraId="210A204D" w14:textId="77777777" w:rsidR="000F21E0" w:rsidRDefault="000F21E0" w:rsidP="000F21E0">
      <w:pPr>
        <w:spacing w:line="360" w:lineRule="auto"/>
        <w:jc w:val="both"/>
        <w:rPr>
          <w:rFonts w:ascii="Arial" w:hAnsi="Arial"/>
          <w:rtl/>
        </w:rPr>
      </w:pPr>
    </w:p>
    <w:p w14:paraId="1C85F98D" w14:textId="77777777" w:rsidR="000F21E0" w:rsidRDefault="000F21E0" w:rsidP="000F21E0">
      <w:pPr>
        <w:spacing w:line="360" w:lineRule="auto"/>
        <w:jc w:val="both"/>
        <w:rPr>
          <w:rFonts w:ascii="Arial" w:hAnsi="Arial"/>
          <w:rtl/>
        </w:rPr>
      </w:pPr>
      <w:r>
        <w:rPr>
          <w:rFonts w:ascii="Arial" w:hAnsi="Arial" w:hint="cs"/>
          <w:rtl/>
        </w:rPr>
        <w:t>8.</w:t>
      </w:r>
      <w:r>
        <w:rPr>
          <w:rFonts w:ascii="Arial" w:hAnsi="Arial" w:hint="cs"/>
          <w:rtl/>
        </w:rPr>
        <w:tab/>
        <w:t xml:space="preserve">בסביבות השעה 09:35, לאחר שסיים להעמיס את האבנים על משאיתו, החל המנוח בנסיעה לכיוון הכביש הראשי. כאשר הגיע בסמוך למקום בו הסתתר אייל, יצא אייל וירה לעברו של המנוח שני כדורים מאקדחו. אחד הקליעים פגע כאמור בצווארו של המנוח. </w:t>
      </w:r>
    </w:p>
    <w:p w14:paraId="5AC345F3" w14:textId="77777777" w:rsidR="000F21E0" w:rsidRDefault="000F21E0" w:rsidP="000F21E0">
      <w:pPr>
        <w:spacing w:line="360" w:lineRule="auto"/>
        <w:jc w:val="both"/>
        <w:rPr>
          <w:rFonts w:ascii="Arial" w:hAnsi="Arial"/>
          <w:rtl/>
        </w:rPr>
      </w:pPr>
    </w:p>
    <w:p w14:paraId="105F702B" w14:textId="77777777" w:rsidR="000F21E0" w:rsidRDefault="000F21E0" w:rsidP="000F21E0">
      <w:pPr>
        <w:spacing w:line="360" w:lineRule="auto"/>
        <w:jc w:val="both"/>
        <w:rPr>
          <w:rFonts w:ascii="Arial" w:hAnsi="Arial"/>
          <w:rtl/>
        </w:rPr>
      </w:pPr>
      <w:r>
        <w:rPr>
          <w:rFonts w:ascii="Arial" w:hAnsi="Arial" w:hint="cs"/>
          <w:rtl/>
        </w:rPr>
        <w:t>9.</w:t>
      </w:r>
      <w:r>
        <w:rPr>
          <w:rFonts w:ascii="Arial" w:hAnsi="Arial" w:hint="cs"/>
          <w:rtl/>
        </w:rPr>
        <w:tab/>
        <w:t xml:space="preserve">מיד לאחר הירי התקשר אייל לאחמד פתחי, עדכן אותו כי ביצע את המשימה. לאחר מכן נמלט מהיער, נאסף על ידי חברו ושב לביתו. במועד מאוחר יותר פגשו אחמד פתחי ואיברהים באייל ומסרו לו סך של 30,000 ₪ על חשבון התמורה המוסכמת. </w:t>
      </w:r>
    </w:p>
    <w:p w14:paraId="385EE2E2" w14:textId="77777777" w:rsidR="000F21E0" w:rsidRDefault="000F21E0" w:rsidP="000F21E0">
      <w:pPr>
        <w:spacing w:line="360" w:lineRule="auto"/>
        <w:jc w:val="both"/>
        <w:rPr>
          <w:rFonts w:ascii="Arial" w:hAnsi="Arial"/>
          <w:rtl/>
        </w:rPr>
      </w:pPr>
    </w:p>
    <w:p w14:paraId="2B32D9F6" w14:textId="77777777" w:rsidR="000F21E0" w:rsidRPr="00191492" w:rsidRDefault="000F21E0" w:rsidP="000F21E0">
      <w:pPr>
        <w:spacing w:line="360" w:lineRule="auto"/>
        <w:jc w:val="both"/>
        <w:rPr>
          <w:rFonts w:ascii="Arial" w:hAnsi="Arial"/>
          <w:b/>
          <w:bCs/>
          <w:u w:val="single"/>
          <w:rtl/>
        </w:rPr>
      </w:pPr>
      <w:r>
        <w:rPr>
          <w:rFonts w:ascii="Arial" w:hAnsi="Arial" w:hint="cs"/>
          <w:b/>
          <w:bCs/>
          <w:u w:val="single"/>
          <w:rtl/>
        </w:rPr>
        <w:t>טיעוני הצדדים</w:t>
      </w:r>
    </w:p>
    <w:p w14:paraId="58E06E62" w14:textId="77777777" w:rsidR="000F21E0" w:rsidRDefault="000F21E0" w:rsidP="000F21E0">
      <w:pPr>
        <w:spacing w:line="360" w:lineRule="auto"/>
        <w:jc w:val="both"/>
        <w:rPr>
          <w:rFonts w:ascii="Arial" w:hAnsi="Arial"/>
          <w:rtl/>
        </w:rPr>
      </w:pPr>
      <w:r>
        <w:rPr>
          <w:rFonts w:ascii="Arial" w:hAnsi="Arial" w:hint="cs"/>
          <w:rtl/>
        </w:rPr>
        <w:t>10.</w:t>
      </w:r>
      <w:r>
        <w:rPr>
          <w:rFonts w:ascii="Arial" w:hAnsi="Arial" w:hint="cs"/>
          <w:rtl/>
        </w:rPr>
        <w:tab/>
        <w:t xml:space="preserve">כאמור בהסדר הטיעון, סוכם על הטלת עונשי מאסר בפועל, 18 שנים לאייל ו- 4 שנים לאחמד, טיעון חופשי לגבי רכיבי ענישה נוספים ופיצוי למשפחת הקרבן. </w:t>
      </w:r>
    </w:p>
    <w:p w14:paraId="34F79266" w14:textId="77777777" w:rsidR="000F21E0" w:rsidRDefault="000F21E0" w:rsidP="000F21E0">
      <w:pPr>
        <w:spacing w:line="360" w:lineRule="auto"/>
        <w:jc w:val="both"/>
        <w:rPr>
          <w:rFonts w:ascii="Arial" w:hAnsi="Arial"/>
          <w:rtl/>
        </w:rPr>
      </w:pPr>
    </w:p>
    <w:p w14:paraId="18B82302" w14:textId="77777777" w:rsidR="000F21E0" w:rsidRDefault="000F21E0" w:rsidP="000F21E0">
      <w:pPr>
        <w:spacing w:line="360" w:lineRule="auto"/>
        <w:jc w:val="both"/>
        <w:rPr>
          <w:rFonts w:ascii="Arial" w:hAnsi="Arial"/>
          <w:rtl/>
        </w:rPr>
      </w:pPr>
      <w:r>
        <w:rPr>
          <w:rFonts w:ascii="Arial" w:hAnsi="Arial"/>
          <w:rtl/>
        </w:rPr>
        <w:tab/>
      </w:r>
      <w:r>
        <w:rPr>
          <w:rFonts w:ascii="Arial" w:hAnsi="Arial" w:hint="cs"/>
          <w:rtl/>
        </w:rPr>
        <w:t xml:space="preserve">באי כוח הצדדים התייחסו בטיעוניהם לטעמים המצדיקים אישורו של הסדר הטיעון. בא כוח המאשימה הפנה את תשומת הלב לקשיים הראייתיים בתיק. במיוחד הדגיש כי הראייה המרכזית בתיק הייתה הודאתו של הנאשם בירי, הודאה ממנה חזר. עוד ציינו הצדדים כי חלק מהקשיים נובעים מסתירות בין הודאת הנאשם לראיות אחרות, לרבות לראיות מדעיות שהוצגו. </w:t>
      </w:r>
    </w:p>
    <w:p w14:paraId="6B23AFEF" w14:textId="77777777" w:rsidR="000F21E0" w:rsidRDefault="000F21E0" w:rsidP="000F21E0">
      <w:pPr>
        <w:spacing w:line="360" w:lineRule="auto"/>
        <w:jc w:val="both"/>
        <w:rPr>
          <w:rFonts w:ascii="Arial" w:hAnsi="Arial"/>
          <w:rtl/>
        </w:rPr>
      </w:pPr>
    </w:p>
    <w:p w14:paraId="5321441B" w14:textId="77777777" w:rsidR="000F21E0" w:rsidRDefault="000F21E0" w:rsidP="000F21E0">
      <w:pPr>
        <w:spacing w:line="360" w:lineRule="auto"/>
        <w:jc w:val="both"/>
        <w:rPr>
          <w:rFonts w:ascii="Arial" w:hAnsi="Arial"/>
          <w:rtl/>
        </w:rPr>
      </w:pPr>
      <w:r>
        <w:rPr>
          <w:rFonts w:ascii="Arial" w:hAnsi="Arial"/>
          <w:rtl/>
        </w:rPr>
        <w:tab/>
      </w:r>
      <w:r>
        <w:rPr>
          <w:rFonts w:ascii="Arial" w:hAnsi="Arial" w:hint="cs"/>
          <w:rtl/>
        </w:rPr>
        <w:t xml:space="preserve">הצדדים הוסיפו וציינו כי הסדר הטיעון הושג לאחר שכל ראיות התביעה נפרשו, ולאחר דיון בפני שופט מגשר שנחשף לראיות ולקשיים. </w:t>
      </w:r>
    </w:p>
    <w:p w14:paraId="3E3EA962" w14:textId="77777777" w:rsidR="000F21E0" w:rsidRDefault="000F21E0" w:rsidP="000F21E0">
      <w:pPr>
        <w:spacing w:line="360" w:lineRule="auto"/>
        <w:jc w:val="both"/>
        <w:rPr>
          <w:rFonts w:ascii="Arial" w:hAnsi="Arial"/>
          <w:rtl/>
        </w:rPr>
      </w:pPr>
    </w:p>
    <w:p w14:paraId="04F4EBD2" w14:textId="77777777" w:rsidR="000F21E0" w:rsidRDefault="000F21E0" w:rsidP="000F21E0">
      <w:pPr>
        <w:spacing w:line="360" w:lineRule="auto"/>
        <w:jc w:val="both"/>
        <w:rPr>
          <w:rFonts w:ascii="Arial" w:hAnsi="Arial"/>
          <w:rtl/>
        </w:rPr>
      </w:pPr>
      <w:r>
        <w:rPr>
          <w:rFonts w:ascii="Arial" w:hAnsi="Arial" w:hint="cs"/>
          <w:rtl/>
        </w:rPr>
        <w:t>11.</w:t>
      </w:r>
      <w:r>
        <w:rPr>
          <w:rFonts w:ascii="Arial" w:hAnsi="Arial" w:hint="cs"/>
          <w:rtl/>
        </w:rPr>
        <w:tab/>
        <w:t>נציין כי הסדר הטיעון הוצג למשפחת הקרבן שהביעה התנגדות. בא כוח המאשימה הבהיר כי המאשימה שקלה את טענות משפחת הקרבן, בחנה את הראיות ואת הקשיים הניצבים בפניה והחליטה כי יש מקום לתיקון כתב האישום כך שלאייל תיוחס עבירת הריגה בלבד, שבצידה ענישה משמעותית.</w:t>
      </w:r>
    </w:p>
    <w:p w14:paraId="43079B40" w14:textId="77777777" w:rsidR="000F21E0" w:rsidRDefault="000F21E0" w:rsidP="000F21E0">
      <w:pPr>
        <w:spacing w:line="360" w:lineRule="auto"/>
        <w:jc w:val="both"/>
        <w:rPr>
          <w:rFonts w:ascii="Arial" w:hAnsi="Arial"/>
          <w:rtl/>
        </w:rPr>
      </w:pPr>
      <w:r>
        <w:rPr>
          <w:rFonts w:ascii="Arial" w:hAnsi="Arial"/>
          <w:rtl/>
        </w:rPr>
        <w:tab/>
      </w:r>
    </w:p>
    <w:p w14:paraId="15DBB66D" w14:textId="77777777" w:rsidR="000F21E0" w:rsidRDefault="000F21E0" w:rsidP="000F21E0">
      <w:pPr>
        <w:spacing w:line="360" w:lineRule="auto"/>
        <w:jc w:val="both"/>
        <w:rPr>
          <w:rFonts w:ascii="Arial" w:hAnsi="Arial"/>
          <w:rtl/>
        </w:rPr>
      </w:pPr>
      <w:r>
        <w:rPr>
          <w:rFonts w:ascii="Arial" w:hAnsi="Arial" w:hint="cs"/>
          <w:rtl/>
        </w:rPr>
        <w:t>12.</w:t>
      </w:r>
      <w:r>
        <w:rPr>
          <w:rFonts w:ascii="Arial" w:hAnsi="Arial" w:hint="cs"/>
          <w:rtl/>
        </w:rPr>
        <w:tab/>
        <w:t xml:space="preserve">בא כוח המאשימה ציין כי עונש המאסר בפועל שהוסכם, 18 שנים לאייל, הוא עונש המצוי ברף הגבוה של מתחם הענישה בעבירות דומות. גם עונש המאסר בפועל, 4 שנים, שהוסכם להטילו על אחמד, מצוי ברף הענישה הגבוה במתחם הענישה בעבירות בנשק. </w:t>
      </w:r>
    </w:p>
    <w:p w14:paraId="28F234B6" w14:textId="77777777" w:rsidR="000F21E0" w:rsidRDefault="000F21E0" w:rsidP="000F21E0">
      <w:pPr>
        <w:spacing w:line="360" w:lineRule="auto"/>
        <w:jc w:val="both"/>
        <w:rPr>
          <w:rFonts w:ascii="Arial" w:hAnsi="Arial"/>
          <w:rtl/>
        </w:rPr>
      </w:pPr>
    </w:p>
    <w:p w14:paraId="6EDCFE09" w14:textId="77777777" w:rsidR="000F21E0" w:rsidRDefault="000F21E0" w:rsidP="000F21E0">
      <w:pPr>
        <w:spacing w:line="360" w:lineRule="auto"/>
        <w:jc w:val="both"/>
        <w:rPr>
          <w:rFonts w:ascii="Arial" w:hAnsi="Arial"/>
          <w:rtl/>
        </w:rPr>
      </w:pPr>
      <w:r>
        <w:rPr>
          <w:rFonts w:ascii="Arial" w:hAnsi="Arial" w:hint="cs"/>
          <w:rtl/>
        </w:rPr>
        <w:t>13.</w:t>
      </w:r>
      <w:r>
        <w:rPr>
          <w:rFonts w:ascii="Arial" w:hAnsi="Arial" w:hint="cs"/>
          <w:rtl/>
        </w:rPr>
        <w:tab/>
        <w:t xml:space="preserve">בא כוח המאשימה מבקש להטיל על כל אחד מהנאשמים עונשים נוספים. הואיל ואייל פעל מתוך בצע כסף, מבוקש להטיל עליו בצד עונש המאסר גם קנס כספי בסכום גבוה. עוד מבקש הוא להטיל על אייל מאסר מותנה ופיצוי למשפחת המנוח. </w:t>
      </w:r>
    </w:p>
    <w:p w14:paraId="2F0A89E5" w14:textId="77777777" w:rsidR="000F21E0" w:rsidRDefault="000F21E0" w:rsidP="000F21E0">
      <w:pPr>
        <w:spacing w:line="360" w:lineRule="auto"/>
        <w:jc w:val="both"/>
        <w:rPr>
          <w:rFonts w:ascii="Arial" w:hAnsi="Arial"/>
          <w:rtl/>
        </w:rPr>
      </w:pPr>
    </w:p>
    <w:p w14:paraId="4258DBF3" w14:textId="77777777" w:rsidR="000F21E0" w:rsidRDefault="000F21E0" w:rsidP="000F21E0">
      <w:pPr>
        <w:spacing w:line="360" w:lineRule="auto"/>
        <w:jc w:val="both"/>
        <w:rPr>
          <w:rFonts w:ascii="Arial" w:hAnsi="Arial"/>
          <w:rtl/>
        </w:rPr>
      </w:pPr>
      <w:r>
        <w:rPr>
          <w:rFonts w:ascii="Arial" w:hAnsi="Arial" w:hint="cs"/>
          <w:rtl/>
        </w:rPr>
        <w:tab/>
        <w:t>לעניין הפיצוי הכספי, נטען כי המנוח היה יליד 1972 והיה המפרנס היחיד של  משפחתו. המנוח הותיר אחריו את אשתו, אחלם ושלושה ילדים, חוסין בן 20, עזאדין בן 17 וחמוד בן 12.</w:t>
      </w:r>
    </w:p>
    <w:p w14:paraId="65FAD73C" w14:textId="77777777" w:rsidR="000F21E0" w:rsidRDefault="000F21E0" w:rsidP="000F21E0">
      <w:pPr>
        <w:spacing w:line="360" w:lineRule="auto"/>
        <w:jc w:val="both"/>
        <w:rPr>
          <w:rFonts w:ascii="Arial" w:hAnsi="Arial"/>
          <w:rtl/>
        </w:rPr>
      </w:pPr>
    </w:p>
    <w:p w14:paraId="63201075" w14:textId="77777777" w:rsidR="000F21E0" w:rsidRDefault="000F21E0" w:rsidP="000F21E0">
      <w:pPr>
        <w:spacing w:line="360" w:lineRule="auto"/>
        <w:jc w:val="both"/>
        <w:rPr>
          <w:rFonts w:ascii="Arial" w:hAnsi="Arial"/>
          <w:rtl/>
        </w:rPr>
      </w:pPr>
      <w:r>
        <w:rPr>
          <w:rFonts w:ascii="Arial" w:hAnsi="Arial" w:hint="cs"/>
          <w:rtl/>
        </w:rPr>
        <w:t>14.</w:t>
      </w:r>
      <w:r>
        <w:rPr>
          <w:rFonts w:ascii="Arial" w:hAnsi="Arial" w:hint="cs"/>
          <w:rtl/>
        </w:rPr>
        <w:tab/>
        <w:t xml:space="preserve">באת כוחו של אייל הצטרפה לבקשת המאשימה לכיבוד הסדר הטיעון וחזרה והזכירה עד כמה היה קשה להגיע להסדר בין הצדדים. עוד ביקשה לתת משקל לחרטת הנאשם, אשר הביע צער וחרטה גם בפני משפחת הקרבן. לטענתה, נטילת האחריות מצדו של אייל מלמדת כי הבין את חומרת המעשה ואת הפגם שבמעשיו, דבר שישמש גורם מרתיע בעתיד. לגבי הקנס והפיצוי המבוקשים, ציינה כי הנאשם אייל שרוי במצוקה כספית קשה. את המעשים לא ביצע על מנת להתעשר אלא הסכים לבצעם רק כדי לפרנס את משפחתו וילדיו. לאייל, כך נטען, ילדה שהייתה בת שנתיים בעת שנעצר. הילדה חולה וסובלת ממחלות שונות, כמפורט במסמכים שצורפו. כיום נושאת אשתו לבדה בעול הפרנסה והטיפול בילדה. לטענתה, כל הטלת חיוב כספי תפגע במשפחתו של אייל, תותיר אותם חסרי כל. לא יהיה בכך כל תרומה לשיקומו של הנאשם, אלא להיפך, הטלת חיובים כספיים רק תקשה על הנאשם ומשפחתו להשתקם. </w:t>
      </w:r>
    </w:p>
    <w:p w14:paraId="6024356A" w14:textId="77777777" w:rsidR="000F21E0" w:rsidRDefault="000F21E0" w:rsidP="000F21E0">
      <w:pPr>
        <w:spacing w:line="360" w:lineRule="auto"/>
        <w:jc w:val="both"/>
        <w:rPr>
          <w:rFonts w:ascii="Arial" w:hAnsi="Arial"/>
          <w:rtl/>
        </w:rPr>
      </w:pPr>
    </w:p>
    <w:p w14:paraId="68220656" w14:textId="77777777" w:rsidR="000F21E0" w:rsidRDefault="000F21E0" w:rsidP="000F21E0">
      <w:pPr>
        <w:spacing w:line="360" w:lineRule="auto"/>
        <w:jc w:val="both"/>
        <w:rPr>
          <w:rFonts w:ascii="Arial" w:hAnsi="Arial"/>
          <w:rtl/>
        </w:rPr>
      </w:pPr>
      <w:r>
        <w:rPr>
          <w:rFonts w:ascii="Arial" w:hAnsi="Arial" w:hint="cs"/>
          <w:rtl/>
        </w:rPr>
        <w:t>15.</w:t>
      </w:r>
      <w:r>
        <w:rPr>
          <w:rFonts w:ascii="Arial" w:hAnsi="Arial" w:hint="cs"/>
          <w:rtl/>
        </w:rPr>
        <w:tab/>
        <w:t xml:space="preserve">במהלך הטיעונים לעונש התברר כי נגד אחמד הוגש כתב אישום בתיק 9111-02-15 בבית משפט זה, בו יוחסו לו עבירות בנשק (להלן: </w:t>
      </w:r>
      <w:r w:rsidRPr="00792188">
        <w:rPr>
          <w:rFonts w:ascii="Arial" w:hAnsi="Arial" w:cs="Miriam" w:hint="cs"/>
          <w:rtl/>
        </w:rPr>
        <w:t>התיק הנוסף</w:t>
      </w:r>
      <w:r>
        <w:rPr>
          <w:rFonts w:ascii="Arial" w:hAnsi="Arial" w:hint="cs"/>
          <w:rtl/>
        </w:rPr>
        <w:t>). אחמד נעצר במסגרת ההליכים בתיק הנוסף כבר ביום 25.1.2015, כלומר עוד בטרם נעצר בגין העבירות מושא תיק זה ובטרם הוגש כתב האישום בתיק זה. בגדרו של התיק הנוסף הורשע הנאשם והוטל עליו עונש מאסר של 10 חודשים, שיימנו מיום מעצרו בתיק הנוסף, כלומר מיום 25.1.2015 (ט/3).</w:t>
      </w:r>
    </w:p>
    <w:p w14:paraId="7C5A017B" w14:textId="77777777" w:rsidR="000F21E0" w:rsidRDefault="000F21E0" w:rsidP="000F21E0">
      <w:pPr>
        <w:spacing w:line="360" w:lineRule="auto"/>
        <w:jc w:val="both"/>
        <w:rPr>
          <w:rFonts w:ascii="Arial" w:hAnsi="Arial"/>
          <w:rtl/>
        </w:rPr>
      </w:pPr>
    </w:p>
    <w:p w14:paraId="23F7CFA2" w14:textId="77777777" w:rsidR="000F21E0" w:rsidRDefault="000F21E0" w:rsidP="000F21E0">
      <w:pPr>
        <w:spacing w:line="360" w:lineRule="auto"/>
        <w:jc w:val="both"/>
        <w:rPr>
          <w:rFonts w:ascii="Arial" w:hAnsi="Arial"/>
          <w:rtl/>
        </w:rPr>
      </w:pPr>
      <w:r>
        <w:rPr>
          <w:rFonts w:ascii="Arial" w:hAnsi="Arial"/>
          <w:rtl/>
        </w:rPr>
        <w:tab/>
      </w:r>
      <w:r>
        <w:rPr>
          <w:rFonts w:ascii="Arial" w:hAnsi="Arial" w:hint="cs"/>
          <w:rtl/>
        </w:rPr>
        <w:t xml:space="preserve">המאשימה מבקשת כי עונש המאסר בפועל עליו הוסכם בהסדר הטיעון בתיק זה, ירוצה במצטבר לעונש המאסר בתיק הנוסף ומבקשת היא כי יימנה החל מיום 25.11.2015 ולא מיום המעצר בתיק זה (28.3.2015). כן מבקשת המאשימה כי על אחמד יוטל גם קנס ויוטל עליו לפצות את משפחת הקרבן. המאשימה טוענת כי אחמד היה מצוי בלב הסכסוך בין המשפחות וכי מסירת הנשק הייתה בעלת חשיבות רבה בשרשרת הפעולות לביצוע המעשים שהביאו למות המנוח. </w:t>
      </w:r>
    </w:p>
    <w:p w14:paraId="74E54EBE" w14:textId="77777777" w:rsidR="000F21E0" w:rsidRDefault="000F21E0" w:rsidP="000F21E0">
      <w:pPr>
        <w:spacing w:line="360" w:lineRule="auto"/>
        <w:jc w:val="both"/>
        <w:rPr>
          <w:rFonts w:ascii="Arial" w:hAnsi="Arial"/>
          <w:rtl/>
        </w:rPr>
      </w:pPr>
    </w:p>
    <w:p w14:paraId="1C0AC783" w14:textId="77777777" w:rsidR="000F21E0" w:rsidRDefault="000F21E0" w:rsidP="000F21E0">
      <w:pPr>
        <w:spacing w:line="360" w:lineRule="auto"/>
        <w:jc w:val="both"/>
        <w:rPr>
          <w:rFonts w:ascii="Arial" w:hAnsi="Arial"/>
          <w:rtl/>
        </w:rPr>
      </w:pPr>
      <w:r>
        <w:rPr>
          <w:rFonts w:ascii="Arial" w:hAnsi="Arial" w:hint="cs"/>
          <w:rtl/>
        </w:rPr>
        <w:t>16.</w:t>
      </w:r>
      <w:r>
        <w:rPr>
          <w:rFonts w:ascii="Arial" w:hAnsi="Arial" w:hint="cs"/>
          <w:rtl/>
        </w:rPr>
        <w:tab/>
        <w:t xml:space="preserve">בא כוחו של אחמד מבקש גם הוא כי בית המשפט יאמץ את הסדר הטיעון לעניין עונש המאסר בפועל. לטענתו, אין להחמיר עם אחמד. כתב האישום המתוקן, כך לטענתו, מייחס לאחמד עבירה שלא הצדיקה את ההליך בפני הרכב  שופטים, הליך שגרם לאחמד עינוי דין ארוך. לפיכך, עותר הוא להורות כי עונש המאסר בפועל ירוצה בחופף לעונש המאסר שהוטל על אחמד בתיק הנוסף. כן ביקש כי בית המשפט יימנע מהטלת קנס ומחיוב בפיצוי ולחלופין, כי אלו יהיו בסכומים נמוכים. </w:t>
      </w:r>
    </w:p>
    <w:p w14:paraId="6494A310" w14:textId="77777777" w:rsidR="000F21E0" w:rsidRDefault="000F21E0" w:rsidP="000F21E0">
      <w:pPr>
        <w:spacing w:line="360" w:lineRule="auto"/>
        <w:jc w:val="both"/>
        <w:rPr>
          <w:rFonts w:ascii="Arial" w:hAnsi="Arial"/>
          <w:rtl/>
        </w:rPr>
      </w:pPr>
    </w:p>
    <w:p w14:paraId="354078AD" w14:textId="77777777" w:rsidR="000F21E0" w:rsidRDefault="000F21E0" w:rsidP="000F21E0">
      <w:pPr>
        <w:spacing w:line="360" w:lineRule="auto"/>
        <w:jc w:val="both"/>
        <w:rPr>
          <w:rFonts w:ascii="Arial" w:hAnsi="Arial"/>
          <w:rtl/>
        </w:rPr>
      </w:pPr>
      <w:r>
        <w:rPr>
          <w:rFonts w:ascii="Arial" w:hAnsi="Arial" w:hint="cs"/>
          <w:rtl/>
        </w:rPr>
        <w:t>17.</w:t>
      </w:r>
      <w:r>
        <w:rPr>
          <w:rFonts w:ascii="Arial" w:hAnsi="Arial" w:hint="cs"/>
          <w:rtl/>
        </w:rPr>
        <w:tab/>
        <w:t xml:space="preserve">הנאשמים מצדם הביעו חרטה על מעשיהם. אייל גם ביקש מחילה ממשפחת המנוח. הנאשמים מבקשים להתחשב בהם ובמשפחותיהם ופנו לרחמי בית המשפט. </w:t>
      </w:r>
    </w:p>
    <w:p w14:paraId="056252DA" w14:textId="77777777" w:rsidR="000F21E0" w:rsidRDefault="000F21E0" w:rsidP="000F21E0">
      <w:pPr>
        <w:spacing w:line="360" w:lineRule="auto"/>
        <w:jc w:val="both"/>
        <w:rPr>
          <w:rFonts w:ascii="Arial" w:hAnsi="Arial"/>
          <w:rtl/>
        </w:rPr>
      </w:pPr>
    </w:p>
    <w:p w14:paraId="28112C0B" w14:textId="77777777" w:rsidR="000F21E0" w:rsidRPr="00035D66" w:rsidRDefault="000F21E0" w:rsidP="000F21E0">
      <w:pPr>
        <w:spacing w:line="360" w:lineRule="auto"/>
        <w:jc w:val="both"/>
        <w:rPr>
          <w:rFonts w:ascii="Arial" w:hAnsi="Arial"/>
          <w:b/>
          <w:bCs/>
          <w:u w:val="single"/>
          <w:rtl/>
        </w:rPr>
      </w:pPr>
      <w:r>
        <w:rPr>
          <w:rFonts w:ascii="Arial" w:hAnsi="Arial" w:hint="cs"/>
          <w:b/>
          <w:bCs/>
          <w:u w:val="single"/>
          <w:rtl/>
        </w:rPr>
        <w:t>הכרעה</w:t>
      </w:r>
    </w:p>
    <w:p w14:paraId="35D37A56" w14:textId="77777777" w:rsidR="000F21E0" w:rsidRDefault="000F21E0" w:rsidP="000F21E0">
      <w:pPr>
        <w:spacing w:line="360" w:lineRule="auto"/>
        <w:jc w:val="both"/>
        <w:rPr>
          <w:rFonts w:ascii="Arial" w:hAnsi="Arial"/>
          <w:rtl/>
        </w:rPr>
      </w:pPr>
      <w:r>
        <w:rPr>
          <w:rFonts w:ascii="Arial" w:hAnsi="Arial" w:hint="cs"/>
          <w:rtl/>
        </w:rPr>
        <w:t>18.</w:t>
      </w:r>
      <w:r>
        <w:rPr>
          <w:rFonts w:ascii="Arial" w:hAnsi="Arial" w:hint="cs"/>
          <w:rtl/>
        </w:rPr>
        <w:tab/>
        <w:t xml:space="preserve">הנאשמים הורשעו לאחר שהודו במעשים שפורטו בכתב האישום המתוקן שהוגש, במסגרת הסדר טיעון שכלל ענישה מוסכמת רק ברכיב עונש המאסר בפועל. שני הצדדים מבקשים כי נאמץ את ההסכמות שהושגו ביניהם. </w:t>
      </w:r>
    </w:p>
    <w:p w14:paraId="0D091501" w14:textId="77777777" w:rsidR="000F21E0" w:rsidRDefault="000F21E0" w:rsidP="000F21E0">
      <w:pPr>
        <w:spacing w:line="360" w:lineRule="auto"/>
        <w:jc w:val="both"/>
        <w:rPr>
          <w:rFonts w:ascii="Arial" w:hAnsi="Arial"/>
          <w:rtl/>
        </w:rPr>
      </w:pPr>
    </w:p>
    <w:p w14:paraId="30778016" w14:textId="77777777" w:rsidR="000F21E0" w:rsidRDefault="000F21E0" w:rsidP="000F21E0">
      <w:pPr>
        <w:spacing w:line="360" w:lineRule="auto"/>
        <w:jc w:val="both"/>
        <w:rPr>
          <w:rFonts w:ascii="Arial" w:hAnsi="Arial"/>
          <w:rtl/>
        </w:rPr>
      </w:pPr>
      <w:r>
        <w:rPr>
          <w:rFonts w:ascii="Arial" w:hAnsi="Arial" w:hint="cs"/>
          <w:rtl/>
        </w:rPr>
        <w:t>19.</w:t>
      </w:r>
      <w:r>
        <w:rPr>
          <w:rFonts w:ascii="Arial" w:hAnsi="Arial" w:hint="cs"/>
          <w:rtl/>
        </w:rPr>
        <w:tab/>
        <w:t>כידוע, בית המשפט אינו כבול לעונש עליו הסכימו צדדים במסגרת הסדר טיעון (</w:t>
      </w:r>
      <w:hyperlink r:id="rId35" w:history="1">
        <w:r w:rsidR="009A4ACB" w:rsidRPr="009A4ACB">
          <w:rPr>
            <w:rStyle w:val="Hyperlink"/>
            <w:rFonts w:ascii="Arial" w:hAnsi="Arial" w:hint="eastAsia"/>
            <w:rtl/>
          </w:rPr>
          <w:t>ע</w:t>
        </w:r>
        <w:r w:rsidR="009A4ACB" w:rsidRPr="009A4ACB">
          <w:rPr>
            <w:rStyle w:val="Hyperlink"/>
            <w:rFonts w:ascii="Arial" w:hAnsi="Arial"/>
            <w:rtl/>
          </w:rPr>
          <w:t>"פ 1958/98 פלוני נ' מדינת ישראל, פ"ד נז</w:t>
        </w:r>
      </w:hyperlink>
      <w:r>
        <w:rPr>
          <w:rFonts w:ascii="Arial" w:hAnsi="Arial" w:hint="cs"/>
          <w:rtl/>
        </w:rPr>
        <w:t xml:space="preserve">(1) 57 (2002)). בית המשפט מצווה לבחון את נסיבות המקרה, את הטעמים שהביאו את הצדדים להשגת ההסדר, את הענישה הנוהגת בעבירות מסוג זה ולהכריע על פי </w:t>
      </w:r>
      <w:r w:rsidRPr="002D2380">
        <w:rPr>
          <w:rFonts w:ascii="Arial" w:hAnsi="Arial" w:hint="cs"/>
          <w:rtl/>
        </w:rPr>
        <w:t xml:space="preserve">שיקול דעתו, האם לאמץ את הענישה המוסכמת אם לאו (ראו גם </w:t>
      </w:r>
      <w:hyperlink r:id="rId36" w:history="1">
        <w:r w:rsidR="009A4ACB" w:rsidRPr="009A4ACB">
          <w:rPr>
            <w:rStyle w:val="Hyperlink"/>
            <w:rFonts w:ascii="Arial" w:hAnsi="Arial" w:hint="eastAsia"/>
            <w:rtl/>
          </w:rPr>
          <w:t>ע</w:t>
        </w:r>
        <w:r w:rsidR="009A4ACB" w:rsidRPr="009A4ACB">
          <w:rPr>
            <w:rStyle w:val="Hyperlink"/>
            <w:rFonts w:ascii="Arial" w:hAnsi="Arial"/>
            <w:rtl/>
          </w:rPr>
          <w:t>"פ 512/13</w:t>
        </w:r>
      </w:hyperlink>
      <w:r w:rsidRPr="002D2380">
        <w:rPr>
          <w:rFonts w:ascii="Arial" w:hAnsi="Arial" w:hint="cs"/>
          <w:rtl/>
        </w:rPr>
        <w:t xml:space="preserve"> </w:t>
      </w:r>
      <w:r w:rsidRPr="002D2380">
        <w:rPr>
          <w:rFonts w:ascii="Arial" w:hAnsi="Arial" w:cs="Miriam" w:hint="cs"/>
          <w:rtl/>
        </w:rPr>
        <w:t>פלוני נ' מדינת ישראל</w:t>
      </w:r>
      <w:r w:rsidRPr="002D2380">
        <w:rPr>
          <w:rFonts w:ascii="Arial" w:hAnsi="Arial" w:hint="cs"/>
          <w:rtl/>
        </w:rPr>
        <w:t xml:space="preserve"> (4.12.2013); </w:t>
      </w:r>
      <w:hyperlink r:id="rId37" w:history="1">
        <w:r w:rsidR="009A4ACB" w:rsidRPr="009A4ACB">
          <w:rPr>
            <w:rStyle w:val="Hyperlink"/>
            <w:rFonts w:ascii="Arial" w:hAnsi="Arial" w:hint="eastAsia"/>
            <w:rtl/>
          </w:rPr>
          <w:t>ע</w:t>
        </w:r>
        <w:r w:rsidR="009A4ACB" w:rsidRPr="009A4ACB">
          <w:rPr>
            <w:rStyle w:val="Hyperlink"/>
            <w:rFonts w:ascii="Arial" w:hAnsi="Arial"/>
            <w:rtl/>
          </w:rPr>
          <w:t>"פ 3856/13</w:t>
        </w:r>
      </w:hyperlink>
      <w:r w:rsidRPr="002D2380">
        <w:rPr>
          <w:rFonts w:ascii="Arial" w:hAnsi="Arial" w:hint="cs"/>
          <w:rtl/>
        </w:rPr>
        <w:t xml:space="preserve"> </w:t>
      </w:r>
      <w:r w:rsidRPr="002D2380">
        <w:rPr>
          <w:rFonts w:ascii="Arial" w:hAnsi="Arial" w:cs="Miriam" w:hint="cs"/>
          <w:rtl/>
        </w:rPr>
        <w:t>גוני נ' מדינת ישראל</w:t>
      </w:r>
      <w:r w:rsidRPr="002D2380">
        <w:rPr>
          <w:rFonts w:ascii="Arial" w:hAnsi="Arial" w:hint="cs"/>
          <w:rtl/>
        </w:rPr>
        <w:t xml:space="preserve"> (3.2.2014)).</w:t>
      </w:r>
    </w:p>
    <w:p w14:paraId="737992B9" w14:textId="77777777" w:rsidR="000F21E0" w:rsidRDefault="000F21E0" w:rsidP="000F21E0">
      <w:pPr>
        <w:spacing w:line="360" w:lineRule="auto"/>
        <w:jc w:val="both"/>
        <w:rPr>
          <w:rFonts w:ascii="Arial" w:hAnsi="Arial"/>
          <w:rtl/>
        </w:rPr>
      </w:pPr>
    </w:p>
    <w:p w14:paraId="19FEAF08" w14:textId="77777777" w:rsidR="000F21E0" w:rsidRDefault="000F21E0" w:rsidP="000F21E0">
      <w:pPr>
        <w:spacing w:line="360" w:lineRule="auto"/>
        <w:jc w:val="both"/>
        <w:rPr>
          <w:rFonts w:ascii="Arial" w:hAnsi="Arial"/>
          <w:rtl/>
        </w:rPr>
      </w:pPr>
      <w:r>
        <w:rPr>
          <w:rFonts w:ascii="Arial" w:hAnsi="Arial"/>
          <w:rtl/>
        </w:rPr>
        <w:tab/>
      </w:r>
      <w:r>
        <w:rPr>
          <w:rFonts w:ascii="Arial" w:hAnsi="Arial" w:hint="cs"/>
          <w:rtl/>
        </w:rPr>
        <w:t>בבואו לאשר או לדחות את הסדר הטיעון, על בית המשפט לאזן בין השיקולים השונים. שיקולי הענישה מחד גיסה, והחשיבות בהשגת הסדרי הטיעון והטעמים שהצדיקו את ההסדר במקרה העומד להכרעה, מאידך גיסה. ב</w:t>
      </w:r>
      <w:hyperlink r:id="rId38" w:history="1">
        <w:r w:rsidR="009A4ACB" w:rsidRPr="009A4ACB">
          <w:rPr>
            <w:rStyle w:val="Hyperlink"/>
            <w:rFonts w:ascii="Arial" w:hAnsi="Arial" w:hint="eastAsia"/>
            <w:rtl/>
          </w:rPr>
          <w:t>ע</w:t>
        </w:r>
        <w:r w:rsidR="009A4ACB" w:rsidRPr="009A4ACB">
          <w:rPr>
            <w:rStyle w:val="Hyperlink"/>
            <w:rFonts w:ascii="Arial" w:hAnsi="Arial"/>
            <w:rtl/>
          </w:rPr>
          <w:t>"פ 1958/98</w:t>
        </w:r>
      </w:hyperlink>
      <w:r>
        <w:rPr>
          <w:rFonts w:ascii="Arial" w:hAnsi="Arial" w:hint="cs"/>
          <w:rtl/>
        </w:rPr>
        <w:t xml:space="preserve"> הנ"ל (פסקה 18), אומרת כב' השופטת ביניש:</w:t>
      </w:r>
    </w:p>
    <w:p w14:paraId="5A8D8811" w14:textId="77777777" w:rsidR="000F21E0" w:rsidRDefault="000F21E0" w:rsidP="000F21E0">
      <w:pPr>
        <w:pStyle w:val="a6"/>
        <w:ind w:left="1134" w:right="1134" w:firstLine="0"/>
        <w:rPr>
          <w:rFonts w:cs="Miriam"/>
          <w:rtl/>
        </w:rPr>
      </w:pPr>
    </w:p>
    <w:p w14:paraId="02A9DCEE" w14:textId="77777777" w:rsidR="000F21E0" w:rsidRPr="00732BC2" w:rsidRDefault="000F21E0" w:rsidP="000F21E0">
      <w:pPr>
        <w:pStyle w:val="a6"/>
        <w:ind w:left="1134" w:right="1134" w:firstLine="0"/>
        <w:rPr>
          <w:rFonts w:cs="Miriam"/>
          <w:rtl/>
        </w:rPr>
      </w:pPr>
      <w:r w:rsidRPr="00732BC2">
        <w:rPr>
          <w:rFonts w:cs="Miriam"/>
          <w:rtl/>
        </w:rPr>
        <w:t>הנה</w:t>
      </w:r>
      <w:r w:rsidRPr="00732BC2">
        <w:rPr>
          <w:rFonts w:cs="Miriam"/>
          <w:position w:val="4"/>
          <w:rtl/>
        </w:rPr>
        <w:t>-</w:t>
      </w:r>
      <w:r w:rsidRPr="00732BC2">
        <w:rPr>
          <w:rFonts w:cs="Miriam"/>
          <w:rtl/>
        </w:rPr>
        <w:t>כי</w:t>
      </w:r>
      <w:r w:rsidRPr="00732BC2">
        <w:rPr>
          <w:rFonts w:cs="Miriam"/>
          <w:position w:val="4"/>
          <w:rtl/>
        </w:rPr>
        <w:t>-</w:t>
      </w:r>
      <w:r w:rsidRPr="00732BC2">
        <w:rPr>
          <w:rFonts w:cs="Miriam"/>
          <w:rtl/>
        </w:rPr>
        <w:t>כן, לפי השקפתי, קיומו של הסדר טיעון הוא שיקול מרכזי בשיקוליו של בית</w:t>
      </w:r>
      <w:r w:rsidRPr="00732BC2">
        <w:rPr>
          <w:rFonts w:cs="Miriam"/>
          <w:position w:val="4"/>
          <w:rtl/>
        </w:rPr>
        <w:t>-</w:t>
      </w:r>
      <w:r w:rsidRPr="00732BC2">
        <w:rPr>
          <w:rFonts w:cs="Miriam"/>
          <w:rtl/>
        </w:rPr>
        <w:t>המשפט הגוזר את העונש. ככלל, בית</w:t>
      </w:r>
      <w:r w:rsidRPr="00732BC2">
        <w:rPr>
          <w:rFonts w:cs="Miriam"/>
          <w:position w:val="4"/>
          <w:rtl/>
        </w:rPr>
        <w:t>-</w:t>
      </w:r>
      <w:r w:rsidRPr="00732BC2">
        <w:rPr>
          <w:rFonts w:cs="Miriam"/>
          <w:rtl/>
        </w:rPr>
        <w:t>המשפט יראה לקיים את הסדר הטיעון בשל הטעמים הקשורים בחשיבותם ובמעמדם של הסדרי הטיעון. עם זאת תמיד חייב בית</w:t>
      </w:r>
      <w:r w:rsidRPr="00732BC2">
        <w:rPr>
          <w:rFonts w:cs="Miriam"/>
          <w:position w:val="4"/>
          <w:rtl/>
        </w:rPr>
        <w:t>-</w:t>
      </w:r>
      <w:r w:rsidRPr="00732BC2">
        <w:rPr>
          <w:rFonts w:cs="Miriam"/>
          <w:rtl/>
        </w:rPr>
        <w:t>המשפט עצמו לשקול את השיקולים הראויים לעונש, שכן תפקידו ואחריותו אינם מאפשרים לו להסתתר מאחורי גבה של התביעה. במסגרת בחינתו של העונש המוצע ייתן בית</w:t>
      </w:r>
      <w:r w:rsidRPr="00732BC2">
        <w:rPr>
          <w:rFonts w:cs="Miriam"/>
          <w:position w:val="4"/>
          <w:rtl/>
        </w:rPr>
        <w:t>-</w:t>
      </w:r>
      <w:r w:rsidRPr="00732BC2">
        <w:rPr>
          <w:rFonts w:cs="Miriam"/>
          <w:rtl/>
        </w:rPr>
        <w:t>המשפט דעתו על כל שיקולי הענישה הרלוונטיים ויבחן אם העונש המוצע מקיים את האיזון הדרוש ביניהם. לשם כך יבחן בית</w:t>
      </w:r>
      <w:r w:rsidRPr="00732BC2">
        <w:rPr>
          <w:rFonts w:cs="Miriam"/>
          <w:position w:val="4"/>
          <w:rtl/>
        </w:rPr>
        <w:t>-</w:t>
      </w:r>
      <w:r w:rsidRPr="00732BC2">
        <w:rPr>
          <w:rFonts w:cs="Miriam"/>
          <w:rtl/>
        </w:rPr>
        <w:t>המשפט את העונש ההולם בנסיבות העניין וישקיף עליו גם באספקלריה שהעמידה לרשותו התביעה בהסדר הטיעון שערכה. בבחינת הסדר הטיעון נקודת המוצא היא מידת העונש המוצע בשים לב לסוג העבירה, לחומרתה ולנסיבות ביצועה. כמו בכל הליך של גזירת הדין, ייתן בית</w:t>
      </w:r>
      <w:r w:rsidRPr="00732BC2">
        <w:rPr>
          <w:rFonts w:cs="Miriam"/>
          <w:position w:val="4"/>
          <w:rtl/>
        </w:rPr>
        <w:t>-</w:t>
      </w:r>
      <w:r w:rsidRPr="00732BC2">
        <w:rPr>
          <w:rFonts w:cs="Miriam"/>
          <w:rtl/>
        </w:rPr>
        <w:t>המשפט דעתו גם על הנסיבות האישיות של הנאשם ועל שיקולי מדיניות של ענישה ראויה, ויתחשב בכל אלה. בית</w:t>
      </w:r>
      <w:r w:rsidRPr="00732BC2">
        <w:rPr>
          <w:rFonts w:cs="Miriam"/>
          <w:position w:val="4"/>
          <w:rtl/>
        </w:rPr>
        <w:t>-</w:t>
      </w:r>
      <w:r w:rsidRPr="00732BC2">
        <w:rPr>
          <w:rFonts w:cs="Miriam"/>
          <w:rtl/>
        </w:rPr>
        <w:t>המשפט אינו יכול לקבוע אם התקיים האיזון הראוי בין אינטרס הציבור לטובת ההנאה שניתנה לנאשם בלא שיבחן מה היה העונש הראוי לנאשם אלמלא הסדר הטיעון, ומהי מידת ההקלה שניתנה לו עקב הסדר הטיעון. לשם הערכת מידת ההקלה יהיה על בית</w:t>
      </w:r>
      <w:r w:rsidRPr="00732BC2">
        <w:rPr>
          <w:rFonts w:cs="Miriam"/>
          <w:position w:val="4"/>
          <w:rtl/>
        </w:rPr>
        <w:t>-</w:t>
      </w:r>
      <w:r w:rsidRPr="00732BC2">
        <w:rPr>
          <w:rFonts w:cs="Miriam"/>
          <w:rtl/>
        </w:rPr>
        <w:t>המשפט לשקול, כמידת יכולתו ובשים לב למגבלות הנובעות מהנתונים שלפניו, את מידת הוויתור שוויתר הנאשם נוכח סיכויי ההרשעה או הזיכוי אלמלא ההסדר, אף שהנחת היסוד היא כי הרשעת הנאשם מבוססת על הודיית אמת, וכי ההרשעה עומדת איתן על רגליה בלא קשר לראיות שבידי התביעה. בית</w:t>
      </w:r>
      <w:r w:rsidRPr="00732BC2">
        <w:rPr>
          <w:rFonts w:cs="Miriam"/>
          <w:position w:val="4"/>
          <w:rtl/>
        </w:rPr>
        <w:t>-</w:t>
      </w:r>
      <w:r w:rsidRPr="00732BC2">
        <w:rPr>
          <w:rFonts w:cs="Miriam"/>
          <w:rtl/>
        </w:rPr>
        <w:t>המשפט יבחן, כמובן, את שיקוליה הפרטניים של התביעה בנסיבות העניין הנדון. כך למשל ייתן דעתו על הקשיים הצפויים בניהול המשפט, לרבות ריבוי עדים, הצורך בגביית עדויות מעדים שאינם בארץ, התחשבות בנפגע העבירה והצורך לחסוך ממנו עדות וחקירות. כן ייתן בית</w:t>
      </w:r>
      <w:r w:rsidRPr="00732BC2">
        <w:rPr>
          <w:rFonts w:cs="Miriam"/>
          <w:position w:val="4"/>
          <w:rtl/>
        </w:rPr>
        <w:t>-</w:t>
      </w:r>
      <w:r w:rsidRPr="00732BC2">
        <w:rPr>
          <w:rFonts w:cs="Miriam"/>
          <w:rtl/>
        </w:rPr>
        <w:t>המשפט דעתו על האינטרס הציבורי שבהשגת הודיית הנאשם ובקבלת אחריותו למעשיו. עוד יביא בחשבון את האינטרס הציבורי במובנו הרחב – החיסכון בזמן השיפוטי ובמשאבי התביעה והאינטרס הקיים בניצול יעיל של המשאבים שבידי כלל גורמי האכיפה. בין היתר, יהיה בית</w:t>
      </w:r>
      <w:r w:rsidRPr="00732BC2">
        <w:rPr>
          <w:rFonts w:cs="Miriam"/>
          <w:position w:val="4"/>
          <w:rtl/>
        </w:rPr>
        <w:t>-</w:t>
      </w:r>
      <w:r w:rsidRPr="00732BC2">
        <w:rPr>
          <w:rFonts w:cs="Miriam"/>
          <w:rtl/>
        </w:rPr>
        <w:t xml:space="preserve">המשפט מודע לצורך בהשגת ראיות נוספות להעמדת עבריינים נוספים לדין בין באותה פרשה ובין בפרשיות אחרות שאינן קשורות לעניין הנדון. </w:t>
      </w:r>
    </w:p>
    <w:p w14:paraId="498D4764" w14:textId="77777777" w:rsidR="000F21E0" w:rsidRDefault="000F21E0" w:rsidP="000F21E0">
      <w:pPr>
        <w:spacing w:line="360" w:lineRule="auto"/>
        <w:jc w:val="both"/>
        <w:rPr>
          <w:rFonts w:ascii="Arial" w:hAnsi="Arial"/>
          <w:rtl/>
        </w:rPr>
      </w:pPr>
    </w:p>
    <w:p w14:paraId="4BF89242" w14:textId="77777777" w:rsidR="000F21E0" w:rsidRDefault="000F21E0" w:rsidP="000F21E0">
      <w:pPr>
        <w:spacing w:line="360" w:lineRule="auto"/>
        <w:jc w:val="both"/>
        <w:rPr>
          <w:rtl/>
        </w:rPr>
      </w:pPr>
      <w:r>
        <w:rPr>
          <w:rFonts w:ascii="Arial" w:hAnsi="Arial" w:hint="cs"/>
          <w:rtl/>
        </w:rPr>
        <w:t>20.</w:t>
      </w:r>
      <w:r>
        <w:rPr>
          <w:rFonts w:ascii="Arial" w:hAnsi="Arial" w:hint="cs"/>
          <w:rtl/>
        </w:rPr>
        <w:tab/>
        <w:t>דברים אלו נאמרו טרם חקיקתו של תיקון 113 ל</w:t>
      </w:r>
      <w:hyperlink r:id="rId39" w:history="1">
        <w:r w:rsidR="009A4ACB" w:rsidRPr="009A4ACB">
          <w:rPr>
            <w:rStyle w:val="Hyperlink"/>
            <w:rFonts w:ascii="Arial" w:hAnsi="Arial" w:hint="eastAsia"/>
            <w:rtl/>
          </w:rPr>
          <w:t>חוק</w:t>
        </w:r>
        <w:r w:rsidR="009A4ACB" w:rsidRPr="009A4ACB">
          <w:rPr>
            <w:rStyle w:val="Hyperlink"/>
            <w:rFonts w:ascii="Arial" w:hAnsi="Arial"/>
            <w:rtl/>
          </w:rPr>
          <w:t xml:space="preserve"> העונשין</w:t>
        </w:r>
      </w:hyperlink>
      <w:r>
        <w:rPr>
          <w:rFonts w:ascii="Arial" w:hAnsi="Arial" w:hint="cs"/>
          <w:rtl/>
        </w:rPr>
        <w:t xml:space="preserve">, תיקון שתכליתו הייתה הבניית שיקול הדעת בגזירת הדין. </w:t>
      </w:r>
      <w:r>
        <w:rPr>
          <w:rFonts w:hint="cs"/>
          <w:rtl/>
        </w:rPr>
        <w:t xml:space="preserve"> מאז חקיקת תיקון 113 מורכב הליך גזירת הדין ממספר שלבים, אותם על בית המשפט לעבור עד ההכרעה בעונשו של הנאשם; תחילה בוחן בית המשפט האם בפניו אירוע אחד או מספר אירועים במובן </w:t>
      </w:r>
      <w:hyperlink r:id="rId40" w:history="1">
        <w:r w:rsidR="000B152A" w:rsidRPr="000B152A">
          <w:rPr>
            <w:rStyle w:val="Hyperlink"/>
            <w:rFonts w:hint="eastAsia"/>
            <w:rtl/>
          </w:rPr>
          <w:t>סעיף</w:t>
        </w:r>
        <w:r w:rsidR="000B152A" w:rsidRPr="000B152A">
          <w:rPr>
            <w:rStyle w:val="Hyperlink"/>
            <w:rtl/>
          </w:rPr>
          <w:t xml:space="preserve"> 40יג'</w:t>
        </w:r>
      </w:hyperlink>
      <w:r>
        <w:rPr>
          <w:rFonts w:hint="cs"/>
          <w:rtl/>
        </w:rPr>
        <w:t xml:space="preserve"> ל</w:t>
      </w:r>
      <w:hyperlink r:id="rId41" w:history="1">
        <w:r w:rsidR="009A4ACB" w:rsidRPr="009A4ACB">
          <w:rPr>
            <w:rStyle w:val="Hyperlink"/>
            <w:rFonts w:hint="eastAsia"/>
            <w:rtl/>
          </w:rPr>
          <w:t>חוק</w:t>
        </w:r>
        <w:r w:rsidR="009A4ACB" w:rsidRPr="009A4ACB">
          <w:rPr>
            <w:rStyle w:val="Hyperlink"/>
            <w:rtl/>
          </w:rPr>
          <w:t xml:space="preserve"> העונשין</w:t>
        </w:r>
      </w:hyperlink>
      <w:r>
        <w:rPr>
          <w:rFonts w:hint="cs"/>
          <w:rtl/>
        </w:rPr>
        <w:t>; לאחר מכן על בית המשפט לקבוע את מתחם העונש ההולם לכל אירוע בו הורשע הנאשם. מתחם זה ייקבע על פי "עיקרון ההלימה", דהיינו "</w:t>
      </w:r>
      <w:r>
        <w:rPr>
          <w:rFonts w:cs="Miriam" w:hint="cs"/>
          <w:rtl/>
        </w:rPr>
        <w:t>קיומו של יחס הולם בין חומרת מעשה העבירה בנסיבותיו ומידת אשמו של הנאשם ובין סוג ומידת העונש המוטל עליו</w:t>
      </w:r>
      <w:r>
        <w:rPr>
          <w:rFonts w:hint="cs"/>
          <w:rtl/>
        </w:rPr>
        <w:t>" (</w:t>
      </w:r>
      <w:hyperlink r:id="rId42" w:history="1">
        <w:r w:rsidR="000B152A" w:rsidRPr="000B152A">
          <w:rPr>
            <w:rStyle w:val="Hyperlink"/>
            <w:rFonts w:hint="eastAsia"/>
            <w:rtl/>
          </w:rPr>
          <w:t>סעיף</w:t>
        </w:r>
        <w:r w:rsidR="000B152A" w:rsidRPr="000B152A">
          <w:rPr>
            <w:rStyle w:val="Hyperlink"/>
            <w:rtl/>
          </w:rPr>
          <w:t xml:space="preserve"> 40ב'</w:t>
        </w:r>
      </w:hyperlink>
      <w:r>
        <w:rPr>
          <w:rFonts w:hint="cs"/>
          <w:rtl/>
        </w:rPr>
        <w:t xml:space="preserve"> ל</w:t>
      </w:r>
      <w:hyperlink r:id="rId43" w:history="1">
        <w:r w:rsidR="009A4ACB" w:rsidRPr="009A4ACB">
          <w:rPr>
            <w:rStyle w:val="Hyperlink"/>
            <w:rFonts w:hint="eastAsia"/>
            <w:rtl/>
          </w:rPr>
          <w:t>חוק</w:t>
        </w:r>
        <w:r w:rsidR="009A4ACB" w:rsidRPr="009A4ACB">
          <w:rPr>
            <w:rStyle w:val="Hyperlink"/>
            <w:rtl/>
          </w:rPr>
          <w:t xml:space="preserve"> העונשין</w:t>
        </w:r>
      </w:hyperlink>
      <w:r>
        <w:rPr>
          <w:rFonts w:hint="cs"/>
          <w:rtl/>
        </w:rPr>
        <w:t xml:space="preserve">). במסגרת זו יתחשב בית המשפט בנסיבות הקשורות בביצוע העבירה – כדוגמת הנזק שנגרם ושהיה יכול להיגרם כתוצאה מהעבירה, במידת התכנון שקדמה למעשה, במידת הפסול שבמעשה ושאר השיקולים כמפורט </w:t>
      </w:r>
      <w:hyperlink r:id="rId44" w:history="1">
        <w:r w:rsidR="000B152A" w:rsidRPr="000B152A">
          <w:rPr>
            <w:rStyle w:val="Hyperlink"/>
            <w:rFonts w:hint="eastAsia"/>
            <w:rtl/>
          </w:rPr>
          <w:t>בסעיף</w:t>
        </w:r>
        <w:r w:rsidR="000B152A" w:rsidRPr="000B152A">
          <w:rPr>
            <w:rStyle w:val="Hyperlink"/>
            <w:rtl/>
          </w:rPr>
          <w:t xml:space="preserve">  40ט'</w:t>
        </w:r>
      </w:hyperlink>
      <w:r>
        <w:rPr>
          <w:rFonts w:hint="cs"/>
          <w:rtl/>
        </w:rPr>
        <w:t xml:space="preserve"> לחוק; משקבע בית המשפט את מתחם העונש ההולם, עליו לבחון האם ישנן נסיבות שאינן קשורות בביצוע העבירה המצדיקות סטייה מהמתחם,  בין סטייה לקולא מטעמי שיקום (</w:t>
      </w:r>
      <w:hyperlink r:id="rId45" w:history="1">
        <w:r w:rsidR="000B152A" w:rsidRPr="000B152A">
          <w:rPr>
            <w:rStyle w:val="Hyperlink"/>
            <w:rFonts w:hint="eastAsia"/>
            <w:rtl/>
          </w:rPr>
          <w:t>סעיף</w:t>
        </w:r>
        <w:r w:rsidR="000B152A" w:rsidRPr="000B152A">
          <w:rPr>
            <w:rStyle w:val="Hyperlink"/>
            <w:rtl/>
          </w:rPr>
          <w:t xml:space="preserve"> 40ד'</w:t>
        </w:r>
      </w:hyperlink>
      <w:r>
        <w:rPr>
          <w:rFonts w:hint="cs"/>
          <w:rtl/>
        </w:rPr>
        <w:t xml:space="preserve"> לחוק) ובין סטייה לחומרה מטעמי הגנה על שלום הציבור (</w:t>
      </w:r>
      <w:hyperlink r:id="rId46" w:history="1">
        <w:r w:rsidR="000B152A" w:rsidRPr="000B152A">
          <w:rPr>
            <w:rStyle w:val="Hyperlink"/>
            <w:rFonts w:hint="eastAsia"/>
            <w:rtl/>
          </w:rPr>
          <w:t>סעיף</w:t>
        </w:r>
        <w:r w:rsidR="000B152A" w:rsidRPr="000B152A">
          <w:rPr>
            <w:rStyle w:val="Hyperlink"/>
            <w:rtl/>
          </w:rPr>
          <w:t xml:space="preserve"> 40ה'</w:t>
        </w:r>
      </w:hyperlink>
      <w:r>
        <w:rPr>
          <w:rFonts w:hint="cs"/>
          <w:rtl/>
        </w:rPr>
        <w:t xml:space="preserve"> לחוק); אם מצא בית המשפט כי אין מקום לסטות מהמתחם, יקבע את העונש בתוך המתחם. לשם כך יתחשב בשיקולי הרתעה (</w:t>
      </w:r>
      <w:hyperlink r:id="rId47" w:history="1">
        <w:r w:rsidR="000B152A" w:rsidRPr="000B152A">
          <w:rPr>
            <w:rStyle w:val="Hyperlink"/>
            <w:rFonts w:hint="eastAsia"/>
            <w:rtl/>
          </w:rPr>
          <w:t>סעיפים</w:t>
        </w:r>
        <w:r w:rsidR="000B152A" w:rsidRPr="000B152A">
          <w:rPr>
            <w:rStyle w:val="Hyperlink"/>
            <w:rtl/>
          </w:rPr>
          <w:t xml:space="preserve"> 40ו'</w:t>
        </w:r>
      </w:hyperlink>
      <w:r>
        <w:rPr>
          <w:rFonts w:hint="cs"/>
          <w:rtl/>
        </w:rPr>
        <w:t xml:space="preserve"> ו-</w:t>
      </w:r>
      <w:hyperlink r:id="rId48" w:history="1">
        <w:r w:rsidR="000B152A" w:rsidRPr="000B152A">
          <w:rPr>
            <w:color w:val="0000FF"/>
            <w:u w:val="single"/>
            <w:rtl/>
          </w:rPr>
          <w:t>40ז'</w:t>
        </w:r>
      </w:hyperlink>
      <w:r>
        <w:rPr>
          <w:rFonts w:hint="cs"/>
          <w:rtl/>
        </w:rPr>
        <w:t xml:space="preserve"> לחוק) ובנסיבות שאינן קשורות בביצוע העבירה, כגון הנזק שנגרם לנאשם ולמשפחתו כתוצאה מן ההרשעה, עברו הפלילי או העדרו, נסיבות חייו של הנאשם, נטילת אחריות על ידו וכדומה (</w:t>
      </w:r>
      <w:hyperlink r:id="rId49" w:history="1">
        <w:r w:rsidR="000B152A" w:rsidRPr="000B152A">
          <w:rPr>
            <w:color w:val="0000FF"/>
            <w:u w:val="single"/>
            <w:rtl/>
          </w:rPr>
          <w:t>סעיף 40יא'</w:t>
        </w:r>
      </w:hyperlink>
      <w:r>
        <w:rPr>
          <w:rFonts w:hint="cs"/>
          <w:rtl/>
        </w:rPr>
        <w:t xml:space="preserve"> לחוק).</w:t>
      </w:r>
    </w:p>
    <w:p w14:paraId="1A0FD109" w14:textId="77777777" w:rsidR="000F21E0" w:rsidRDefault="000F21E0" w:rsidP="000F21E0">
      <w:pPr>
        <w:spacing w:line="360" w:lineRule="auto"/>
        <w:jc w:val="both"/>
        <w:rPr>
          <w:rFonts w:ascii="Arial" w:hAnsi="Arial"/>
          <w:rtl/>
        </w:rPr>
      </w:pPr>
    </w:p>
    <w:p w14:paraId="6BD2FEB0" w14:textId="77777777" w:rsidR="000F21E0" w:rsidRDefault="000F21E0" w:rsidP="000F21E0">
      <w:pPr>
        <w:spacing w:line="360" w:lineRule="auto"/>
        <w:jc w:val="both"/>
        <w:rPr>
          <w:rFonts w:ascii="Arial" w:hAnsi="Arial"/>
          <w:rtl/>
        </w:rPr>
      </w:pPr>
      <w:r>
        <w:rPr>
          <w:rFonts w:ascii="Arial" w:hAnsi="Arial" w:hint="cs"/>
          <w:rtl/>
        </w:rPr>
        <w:t>21.</w:t>
      </w:r>
      <w:r>
        <w:rPr>
          <w:rFonts w:ascii="Arial" w:hAnsi="Arial" w:hint="cs"/>
          <w:rtl/>
        </w:rPr>
        <w:tab/>
      </w:r>
      <w:r>
        <w:rPr>
          <w:rFonts w:hint="cs"/>
          <w:rtl/>
        </w:rPr>
        <w:t>תיקון 113 ל</w:t>
      </w:r>
      <w:hyperlink r:id="rId50" w:history="1">
        <w:r w:rsidR="009A4ACB" w:rsidRPr="009A4ACB">
          <w:rPr>
            <w:rStyle w:val="Hyperlink"/>
            <w:rFonts w:hint="eastAsia"/>
            <w:rtl/>
          </w:rPr>
          <w:t>חוק</w:t>
        </w:r>
        <w:r w:rsidR="009A4ACB" w:rsidRPr="009A4ACB">
          <w:rPr>
            <w:rStyle w:val="Hyperlink"/>
            <w:rtl/>
          </w:rPr>
          <w:t xml:space="preserve"> העונשין</w:t>
        </w:r>
      </w:hyperlink>
      <w:r>
        <w:rPr>
          <w:rFonts w:hint="cs"/>
          <w:rtl/>
        </w:rPr>
        <w:t xml:space="preserve"> אינו קובע כל הוראה מפורשת בנוגע לגזירת הדין בהסדרי טיעון.</w:t>
      </w:r>
      <w:r>
        <w:rPr>
          <w:rFonts w:ascii="Arial" w:hAnsi="Arial" w:hint="cs"/>
          <w:rtl/>
        </w:rPr>
        <w:t xml:space="preserve">  בהעדר התייחסות מפורשת, התעוררה בפסיקה מחלוקת בשאלה האם כאשר בית המשפט מתבקש לאמץ הסדר טיעון עליו ללכת במסלול שהתווה התיקון, ובמיוחד האם עליו לקבוע מתחמי ענישה הולמים, או שמא על בית המשפט להמשיך ולבחון את אימוצו או דחייתו של ההסדר, על פי אמות המידה והכללים שנקבעו בטרם התיקון (ראו </w:t>
      </w:r>
      <w:hyperlink r:id="rId51" w:history="1">
        <w:r w:rsidR="009A4ACB" w:rsidRPr="009A4ACB">
          <w:rPr>
            <w:rStyle w:val="Hyperlink"/>
            <w:rFonts w:ascii="Arial" w:hAnsi="Arial" w:hint="eastAsia"/>
            <w:rtl/>
          </w:rPr>
          <w:t>ע</w:t>
        </w:r>
        <w:r w:rsidR="009A4ACB" w:rsidRPr="009A4ACB">
          <w:rPr>
            <w:rStyle w:val="Hyperlink"/>
            <w:rFonts w:ascii="Arial" w:hAnsi="Arial"/>
            <w:rtl/>
          </w:rPr>
          <w:t>"פ 512/13</w:t>
        </w:r>
      </w:hyperlink>
      <w:r>
        <w:rPr>
          <w:rFonts w:ascii="Arial" w:hAnsi="Arial" w:hint="cs"/>
          <w:rtl/>
        </w:rPr>
        <w:t xml:space="preserve"> </w:t>
      </w:r>
      <w:r w:rsidRPr="00686FEC">
        <w:rPr>
          <w:rFonts w:ascii="Arial" w:hAnsi="Arial" w:hint="cs"/>
          <w:rtl/>
        </w:rPr>
        <w:t>הנ"ל</w:t>
      </w:r>
      <w:r>
        <w:rPr>
          <w:rFonts w:ascii="Arial" w:hAnsi="Arial" w:hint="cs"/>
          <w:rtl/>
        </w:rPr>
        <w:t xml:space="preserve">; </w:t>
      </w:r>
      <w:hyperlink r:id="rId52" w:history="1">
        <w:r w:rsidR="009A4ACB" w:rsidRPr="009A4ACB">
          <w:rPr>
            <w:rStyle w:val="Hyperlink"/>
            <w:rFonts w:ascii="Arial" w:hAnsi="Arial" w:hint="eastAsia"/>
            <w:rtl/>
          </w:rPr>
          <w:t>ע</w:t>
        </w:r>
        <w:r w:rsidR="009A4ACB" w:rsidRPr="009A4ACB">
          <w:rPr>
            <w:rStyle w:val="Hyperlink"/>
            <w:rFonts w:ascii="Arial" w:hAnsi="Arial"/>
            <w:rtl/>
          </w:rPr>
          <w:t>"פ 6799/14</w:t>
        </w:r>
      </w:hyperlink>
      <w:r>
        <w:rPr>
          <w:rFonts w:ascii="Arial" w:hAnsi="Arial" w:hint="cs"/>
          <w:rtl/>
        </w:rPr>
        <w:t xml:space="preserve"> </w:t>
      </w:r>
      <w:r w:rsidRPr="00404796">
        <w:rPr>
          <w:rFonts w:ascii="Arial" w:hAnsi="Arial" w:cs="Miriam" w:hint="cs"/>
          <w:rtl/>
        </w:rPr>
        <w:t>אופיר נ' מדינת ישראל</w:t>
      </w:r>
      <w:r>
        <w:rPr>
          <w:rFonts w:ascii="Arial" w:hAnsi="Arial" w:hint="cs"/>
          <w:rtl/>
        </w:rPr>
        <w:t xml:space="preserve"> (16.3.2015); </w:t>
      </w:r>
      <w:hyperlink r:id="rId53" w:history="1">
        <w:r w:rsidR="009A4ACB" w:rsidRPr="009A4ACB">
          <w:rPr>
            <w:rStyle w:val="Hyperlink"/>
            <w:rFonts w:ascii="Arial" w:hAnsi="Arial" w:hint="eastAsia"/>
            <w:rtl/>
          </w:rPr>
          <w:t>ע</w:t>
        </w:r>
        <w:r w:rsidR="009A4ACB" w:rsidRPr="009A4ACB">
          <w:rPr>
            <w:rStyle w:val="Hyperlink"/>
            <w:rFonts w:ascii="Arial" w:hAnsi="Arial"/>
            <w:rtl/>
          </w:rPr>
          <w:t>"פ 4301/15</w:t>
        </w:r>
      </w:hyperlink>
      <w:r>
        <w:rPr>
          <w:rFonts w:ascii="Arial" w:hAnsi="Arial" w:hint="cs"/>
          <w:rtl/>
        </w:rPr>
        <w:t xml:space="preserve"> </w:t>
      </w:r>
      <w:r w:rsidRPr="00404796">
        <w:rPr>
          <w:rFonts w:ascii="Arial" w:hAnsi="Arial" w:cs="Miriam" w:hint="cs"/>
          <w:rtl/>
        </w:rPr>
        <w:t>פינטו נ' מדינת ישראל</w:t>
      </w:r>
      <w:r>
        <w:rPr>
          <w:rFonts w:ascii="Arial" w:hAnsi="Arial" w:hint="cs"/>
          <w:rtl/>
        </w:rPr>
        <w:t xml:space="preserve"> (5.1.2016)). במחלוקת זו אין עדיין הכרעה ממצה. המקרה הנוכחי אינו מצדיק דיון בשאלה זו שכן, כפי שנראה להלן, דומה שהענישה המוסכמת לעניין המאסר בפועל מצויה במתחם העונש ההולם ואינה חורגת ממנו. </w:t>
      </w:r>
    </w:p>
    <w:p w14:paraId="18819D87" w14:textId="77777777" w:rsidR="000F21E0" w:rsidRDefault="000F21E0" w:rsidP="000F21E0">
      <w:pPr>
        <w:spacing w:line="360" w:lineRule="auto"/>
        <w:jc w:val="both"/>
        <w:rPr>
          <w:rFonts w:ascii="Arial" w:hAnsi="Arial"/>
          <w:rtl/>
        </w:rPr>
      </w:pPr>
    </w:p>
    <w:p w14:paraId="3F84F39F" w14:textId="77777777" w:rsidR="000F21E0" w:rsidRPr="009F043D" w:rsidRDefault="000F21E0" w:rsidP="000F21E0">
      <w:pPr>
        <w:spacing w:line="360" w:lineRule="auto"/>
        <w:jc w:val="both"/>
        <w:rPr>
          <w:rFonts w:ascii="Arial" w:hAnsi="Arial"/>
          <w:b/>
          <w:bCs/>
          <w:u w:val="single"/>
          <w:rtl/>
        </w:rPr>
      </w:pPr>
      <w:r w:rsidRPr="009F043D">
        <w:rPr>
          <w:rFonts w:ascii="Arial" w:hAnsi="Arial" w:hint="cs"/>
          <w:b/>
          <w:bCs/>
          <w:u w:val="single"/>
          <w:rtl/>
        </w:rPr>
        <w:t>גזירת דינו של אייל</w:t>
      </w:r>
    </w:p>
    <w:p w14:paraId="6A8301B6" w14:textId="77777777" w:rsidR="000F21E0" w:rsidRDefault="000F21E0" w:rsidP="000F21E0">
      <w:pPr>
        <w:spacing w:line="360" w:lineRule="auto"/>
        <w:jc w:val="both"/>
        <w:rPr>
          <w:rFonts w:ascii="Arial" w:hAnsi="Arial"/>
          <w:rtl/>
        </w:rPr>
      </w:pPr>
      <w:r>
        <w:rPr>
          <w:rFonts w:ascii="Arial" w:hAnsi="Arial" w:hint="cs"/>
          <w:rtl/>
        </w:rPr>
        <w:t>22.</w:t>
      </w:r>
      <w:r>
        <w:rPr>
          <w:rFonts w:ascii="Arial" w:hAnsi="Arial" w:hint="cs"/>
          <w:rtl/>
        </w:rPr>
        <w:tab/>
        <w:t xml:space="preserve">אייל הורשע בהריגתו של המנוח. על פי כתב האישום המתוקן בו הודה,  הסכים אייל לבקשות אחמד פתחי ואיברהים, לירות במנוח תמורת תשלום בסך של 150,000 ₪. במסגרת כתב האישום צוין כי הללו לא ביקשו להמית את המנוח אלא רק לפגוע בו ולגרום לו חבלה חמורה או נכות. ראינו גם כי אייל היה שותף לתכנון, נטל חלק בסיור המקדים וביום האירוע הגיע למקום והמתין למנוח. אייל ירה שתי יריות לכיוון המנוח, שאחת מהן פגעה בו והביאה למותו. </w:t>
      </w:r>
    </w:p>
    <w:p w14:paraId="3EE592FC" w14:textId="77777777" w:rsidR="000F21E0" w:rsidRDefault="000F21E0" w:rsidP="000F21E0">
      <w:pPr>
        <w:spacing w:line="360" w:lineRule="auto"/>
        <w:jc w:val="both"/>
        <w:rPr>
          <w:rFonts w:ascii="Arial" w:hAnsi="Arial"/>
          <w:rtl/>
        </w:rPr>
      </w:pPr>
    </w:p>
    <w:p w14:paraId="0844AEA8" w14:textId="77777777" w:rsidR="000F21E0" w:rsidRDefault="000F21E0" w:rsidP="000F21E0">
      <w:pPr>
        <w:spacing w:line="360" w:lineRule="auto"/>
        <w:jc w:val="both"/>
        <w:rPr>
          <w:rFonts w:ascii="Arial" w:hAnsi="Arial"/>
          <w:rtl/>
        </w:rPr>
      </w:pPr>
      <w:r>
        <w:rPr>
          <w:rFonts w:ascii="Arial" w:hAnsi="Arial"/>
          <w:rtl/>
        </w:rPr>
        <w:tab/>
      </w:r>
      <w:r>
        <w:rPr>
          <w:rFonts w:ascii="Arial" w:hAnsi="Arial" w:hint="cs"/>
          <w:rtl/>
        </w:rPr>
        <w:t>אייל הודה והורשע גם בעבירות נוספות, קשירת קשר לפשע ועבירות בנשק. עבירות אלו מתמזגות בעבירה העיקרית, עבירת ההריגה, ומהוות חלק משרשרת המעשים שהביאו בסופו של דבר להמתת המנוח. על כן, ברי שעסקינן במעשה אחד המחייב ענישה כוללת .</w:t>
      </w:r>
    </w:p>
    <w:p w14:paraId="4DED2617" w14:textId="77777777" w:rsidR="000F21E0" w:rsidRDefault="000F21E0" w:rsidP="000F21E0">
      <w:pPr>
        <w:spacing w:line="360" w:lineRule="auto"/>
        <w:jc w:val="both"/>
        <w:rPr>
          <w:rFonts w:ascii="Arial" w:hAnsi="Arial"/>
          <w:rtl/>
        </w:rPr>
      </w:pPr>
    </w:p>
    <w:p w14:paraId="1DDB3000" w14:textId="77777777" w:rsidR="000F21E0" w:rsidRDefault="000F21E0" w:rsidP="000F21E0">
      <w:pPr>
        <w:spacing w:line="360" w:lineRule="auto"/>
        <w:jc w:val="both"/>
        <w:rPr>
          <w:rFonts w:ascii="Arial" w:hAnsi="Arial"/>
          <w:rtl/>
        </w:rPr>
      </w:pPr>
      <w:r>
        <w:rPr>
          <w:rFonts w:ascii="Arial" w:hAnsi="Arial" w:hint="cs"/>
          <w:rtl/>
        </w:rPr>
        <w:t>23.</w:t>
      </w:r>
      <w:r>
        <w:rPr>
          <w:rFonts w:ascii="Arial" w:hAnsi="Arial" w:hint="cs"/>
          <w:rtl/>
        </w:rPr>
        <w:tab/>
        <w:t xml:space="preserve">העונש המרבי הקבוע לעבירת ההריגה לפי </w:t>
      </w:r>
      <w:hyperlink r:id="rId54" w:history="1">
        <w:r w:rsidR="000B152A" w:rsidRPr="000B152A">
          <w:rPr>
            <w:rFonts w:ascii="Arial" w:hAnsi="Arial"/>
            <w:color w:val="0000FF"/>
            <w:u w:val="single"/>
            <w:rtl/>
          </w:rPr>
          <w:t>סעיף 298</w:t>
        </w:r>
      </w:hyperlink>
      <w:r>
        <w:rPr>
          <w:rFonts w:ascii="Arial" w:hAnsi="Arial" w:hint="cs"/>
          <w:rtl/>
        </w:rPr>
        <w:t xml:space="preserve"> ל</w:t>
      </w:r>
      <w:hyperlink r:id="rId55" w:history="1">
        <w:r w:rsidR="009A4ACB" w:rsidRPr="009A4ACB">
          <w:rPr>
            <w:rStyle w:val="Hyperlink"/>
            <w:rFonts w:ascii="Arial" w:hAnsi="Arial" w:hint="eastAsia"/>
            <w:rtl/>
          </w:rPr>
          <w:t>חוק</w:t>
        </w:r>
        <w:r w:rsidR="009A4ACB" w:rsidRPr="009A4ACB">
          <w:rPr>
            <w:rStyle w:val="Hyperlink"/>
            <w:rFonts w:ascii="Arial" w:hAnsi="Arial"/>
            <w:rtl/>
          </w:rPr>
          <w:t xml:space="preserve"> העונשין</w:t>
        </w:r>
      </w:hyperlink>
      <w:r>
        <w:rPr>
          <w:rFonts w:ascii="Arial" w:hAnsi="Arial" w:hint="cs"/>
          <w:rtl/>
        </w:rPr>
        <w:t xml:space="preserve"> הוא מאסר לתקופה של 20 שנה. עונש זה מבטא את החומרה הרבה שבנטילת חיי אדם. נטילת חיים פוגעת בערך החיים ובקדושתם ומחייבת ענישה מחמירה, גם אם המבצע לא פעל מתוך כוונה להביא להמתת הקרבן. </w:t>
      </w:r>
    </w:p>
    <w:p w14:paraId="7CCD3C33" w14:textId="77777777" w:rsidR="000F21E0" w:rsidRDefault="000F21E0" w:rsidP="000F21E0">
      <w:pPr>
        <w:spacing w:line="360" w:lineRule="auto"/>
        <w:jc w:val="both"/>
        <w:rPr>
          <w:rFonts w:ascii="Arial" w:hAnsi="Arial"/>
          <w:rtl/>
        </w:rPr>
      </w:pPr>
    </w:p>
    <w:p w14:paraId="688B6650" w14:textId="77777777" w:rsidR="000F21E0" w:rsidRPr="00404796" w:rsidRDefault="000F21E0" w:rsidP="000F21E0">
      <w:pPr>
        <w:spacing w:line="360" w:lineRule="auto"/>
        <w:jc w:val="both"/>
        <w:rPr>
          <w:rFonts w:ascii="Arial" w:hAnsi="Arial"/>
          <w:rtl/>
        </w:rPr>
      </w:pPr>
      <w:r>
        <w:rPr>
          <w:rFonts w:ascii="Arial" w:hAnsi="Arial"/>
          <w:rtl/>
        </w:rPr>
        <w:tab/>
      </w:r>
      <w:r>
        <w:rPr>
          <w:rFonts w:ascii="Arial" w:hAnsi="Arial" w:hint="cs"/>
          <w:rtl/>
        </w:rPr>
        <w:t>ב</w:t>
      </w:r>
      <w:hyperlink r:id="rId56" w:history="1">
        <w:r w:rsidR="009A4ACB" w:rsidRPr="009A4ACB">
          <w:rPr>
            <w:rStyle w:val="Hyperlink"/>
            <w:rFonts w:ascii="Arial" w:hAnsi="Arial" w:hint="eastAsia"/>
            <w:rtl/>
          </w:rPr>
          <w:t>ע</w:t>
        </w:r>
        <w:r w:rsidR="009A4ACB" w:rsidRPr="009A4ACB">
          <w:rPr>
            <w:rStyle w:val="Hyperlink"/>
            <w:rFonts w:ascii="Arial" w:hAnsi="Arial"/>
            <w:rtl/>
          </w:rPr>
          <w:t>"פ 9422/11</w:t>
        </w:r>
      </w:hyperlink>
      <w:r>
        <w:rPr>
          <w:rFonts w:ascii="Arial" w:hAnsi="Arial" w:hint="cs"/>
          <w:rtl/>
        </w:rPr>
        <w:t xml:space="preserve"> </w:t>
      </w:r>
      <w:r w:rsidRPr="005D7998">
        <w:rPr>
          <w:rFonts w:ascii="Arial" w:hAnsi="Arial" w:cs="Miriam" w:hint="cs"/>
          <w:rtl/>
        </w:rPr>
        <w:t>דהן נ' מדינת ישראל</w:t>
      </w:r>
      <w:r>
        <w:rPr>
          <w:rFonts w:ascii="Arial" w:hAnsi="Arial" w:hint="cs"/>
          <w:rtl/>
        </w:rPr>
        <w:t xml:space="preserve"> (3.7.2013) פסקה 8, נאמר:</w:t>
      </w:r>
    </w:p>
    <w:p w14:paraId="46E0F995" w14:textId="77777777" w:rsidR="000F21E0" w:rsidRDefault="000F21E0" w:rsidP="000F21E0">
      <w:pPr>
        <w:spacing w:line="360" w:lineRule="auto"/>
        <w:jc w:val="both"/>
        <w:rPr>
          <w:rFonts w:ascii="Arial" w:hAnsi="Arial"/>
          <w:rtl/>
        </w:rPr>
      </w:pPr>
    </w:p>
    <w:p w14:paraId="3FD39FE5" w14:textId="77777777" w:rsidR="000F21E0" w:rsidRPr="00940920" w:rsidRDefault="000F21E0" w:rsidP="000F21E0">
      <w:pPr>
        <w:ind w:left="1134" w:right="1134"/>
        <w:jc w:val="both"/>
        <w:rPr>
          <w:rFonts w:ascii="Arial" w:hAnsi="Arial" w:cs="Miriam"/>
          <w:rtl/>
        </w:rPr>
      </w:pPr>
      <w:r w:rsidRPr="00940920">
        <w:rPr>
          <w:rFonts w:cs="Miriam"/>
          <w:rtl/>
        </w:rPr>
        <w:t>דומה, כי כבר נאמר כל שניתן על הקלות הבלתי נתפסת בה נגדעים בארצנו חיי אדם, ולא נותר אלא לחזור על הדברים. חילופי דברים וסכסוכים של מה בכך מובילים במקרים רבים מדי ובמהירות גדולה מדי לשליפת כלי נשק, קר או חם, או לנקיטה במעשי אלימות קטלנים. יתרה מכך, לעיתים נדמה שחל פיחות בלתי נסלח ובלתי נסבל בערכם של חיי אדם. בראש ובראשונה עלינו לשוות לנגד עיננו את המנוח שחייו קופדו בנסיבות שאין להשלים עימן, ולהגנה על ערך החיים וקדושתם שמור משקל משמעותי ביותר במלאכת הענישה.</w:t>
      </w:r>
    </w:p>
    <w:p w14:paraId="34A9FB12" w14:textId="77777777" w:rsidR="000F21E0" w:rsidRDefault="000F21E0" w:rsidP="000F21E0">
      <w:pPr>
        <w:spacing w:line="360" w:lineRule="auto"/>
        <w:jc w:val="both"/>
        <w:rPr>
          <w:rFonts w:ascii="Arial" w:hAnsi="Arial"/>
          <w:rtl/>
        </w:rPr>
      </w:pPr>
    </w:p>
    <w:p w14:paraId="7811A413" w14:textId="77777777" w:rsidR="000F21E0" w:rsidRDefault="000F21E0" w:rsidP="000F21E0">
      <w:pPr>
        <w:spacing w:line="360" w:lineRule="auto"/>
        <w:jc w:val="both"/>
        <w:rPr>
          <w:rtl/>
        </w:rPr>
      </w:pPr>
      <w:r>
        <w:rPr>
          <w:rFonts w:hint="cs"/>
          <w:rtl/>
        </w:rPr>
        <w:t>24.</w:t>
      </w:r>
      <w:r>
        <w:rPr>
          <w:rFonts w:hint="cs"/>
          <w:rtl/>
        </w:rPr>
        <w:tab/>
        <w:t>העונש המוסכם, 18 שנים, נופל אך במעט מהעונש המרבי לעבירה. הוא מבטא את החומרה שבמעשיו של אייל, אשר פעל מתוך בצע כסף וסיכון לחיי אדם תוך שימוש באקדח. אייל פעל מתוך אדישות לאפשרות שהירי יביא למותו של המנוח, התעלם מפציעתו והותירו פצוע, שותת דם, בנסיבות שבהן היה צריך להיות ברור כי לא יזכה לכל עזרה.</w:t>
      </w:r>
    </w:p>
    <w:p w14:paraId="57D05221" w14:textId="77777777" w:rsidR="000F21E0" w:rsidRDefault="000F21E0" w:rsidP="000F21E0">
      <w:pPr>
        <w:spacing w:line="360" w:lineRule="auto"/>
        <w:jc w:val="both"/>
        <w:rPr>
          <w:rtl/>
        </w:rPr>
      </w:pPr>
    </w:p>
    <w:p w14:paraId="6DEBA51C" w14:textId="77777777" w:rsidR="000F21E0" w:rsidRDefault="000F21E0" w:rsidP="000F21E0">
      <w:pPr>
        <w:spacing w:line="360" w:lineRule="auto"/>
        <w:jc w:val="both"/>
        <w:rPr>
          <w:rtl/>
        </w:rPr>
      </w:pPr>
      <w:r>
        <w:rPr>
          <w:rtl/>
        </w:rPr>
        <w:tab/>
      </w:r>
      <w:r>
        <w:rPr>
          <w:rFonts w:hint="cs"/>
          <w:rtl/>
        </w:rPr>
        <w:t xml:space="preserve">ענישה על מעשה שכזה צריכה לבטא את החומרה הרבה ואת הסלידה מהתנהגותו של אייל. העונש המוסכם, הקרוב לעונש המרבי אותו ניתן להטיל, מבטא חומרה זו. </w:t>
      </w:r>
    </w:p>
    <w:p w14:paraId="042A1D4F" w14:textId="77777777" w:rsidR="000F21E0" w:rsidRDefault="000F21E0" w:rsidP="000F21E0">
      <w:pPr>
        <w:spacing w:line="360" w:lineRule="auto"/>
        <w:jc w:val="both"/>
        <w:rPr>
          <w:rtl/>
        </w:rPr>
      </w:pPr>
    </w:p>
    <w:p w14:paraId="5EB3162C" w14:textId="77777777" w:rsidR="000F21E0" w:rsidRDefault="000F21E0" w:rsidP="000F21E0">
      <w:pPr>
        <w:spacing w:line="360" w:lineRule="auto"/>
        <w:jc w:val="both"/>
        <w:rPr>
          <w:rtl/>
        </w:rPr>
      </w:pPr>
      <w:r>
        <w:rPr>
          <w:rFonts w:hint="cs"/>
          <w:rtl/>
        </w:rPr>
        <w:t>25.</w:t>
      </w:r>
      <w:r>
        <w:rPr>
          <w:rFonts w:hint="cs"/>
          <w:rtl/>
        </w:rPr>
        <w:tab/>
        <w:t xml:space="preserve">כאשר בוחנים עונשים שהוטלו בבית משפט בנסיבות דומות, ניתן לראות כי העונש המוסכם אינו חורג מהענישה הנוהגת ומצוי ברף העליון והמחמיר של עונשים בעבירת ההריגה (ראו </w:t>
      </w:r>
      <w:hyperlink r:id="rId57" w:history="1">
        <w:r w:rsidR="009A4ACB" w:rsidRPr="009A4ACB">
          <w:rPr>
            <w:rStyle w:val="Hyperlink"/>
            <w:rFonts w:hint="eastAsia"/>
            <w:rtl/>
          </w:rPr>
          <w:t>ע</w:t>
        </w:r>
        <w:r w:rsidR="009A4ACB" w:rsidRPr="009A4ACB">
          <w:rPr>
            <w:rStyle w:val="Hyperlink"/>
            <w:rtl/>
          </w:rPr>
          <w:t>"פ 329/13</w:t>
        </w:r>
      </w:hyperlink>
      <w:r>
        <w:rPr>
          <w:rFonts w:hint="cs"/>
          <w:rtl/>
        </w:rPr>
        <w:t xml:space="preserve"> </w:t>
      </w:r>
      <w:r w:rsidRPr="00BE3CA3">
        <w:rPr>
          <w:rFonts w:cs="Miriam" w:hint="cs"/>
          <w:rtl/>
        </w:rPr>
        <w:t>ורגס נ' מדינת ישראל</w:t>
      </w:r>
      <w:r>
        <w:rPr>
          <w:rFonts w:hint="cs"/>
          <w:rtl/>
        </w:rPr>
        <w:t xml:space="preserve"> (9.3.2014); </w:t>
      </w:r>
      <w:hyperlink r:id="rId58" w:history="1">
        <w:r w:rsidR="009A4ACB" w:rsidRPr="009A4ACB">
          <w:rPr>
            <w:rStyle w:val="Hyperlink"/>
            <w:rFonts w:hint="eastAsia"/>
            <w:rtl/>
          </w:rPr>
          <w:t>ע</w:t>
        </w:r>
        <w:r w:rsidR="009A4ACB" w:rsidRPr="009A4ACB">
          <w:rPr>
            <w:rStyle w:val="Hyperlink"/>
            <w:rtl/>
          </w:rPr>
          <w:t>"פ 6477/10</w:t>
        </w:r>
      </w:hyperlink>
      <w:r>
        <w:rPr>
          <w:rFonts w:hint="cs"/>
          <w:rtl/>
        </w:rPr>
        <w:t xml:space="preserve"> </w:t>
      </w:r>
      <w:r>
        <w:rPr>
          <w:rFonts w:cs="Miriam" w:hint="cs"/>
          <w:rtl/>
        </w:rPr>
        <w:t>מינליק</w:t>
      </w:r>
      <w:r w:rsidRPr="00BE3CA3">
        <w:rPr>
          <w:rFonts w:cs="Miriam" w:hint="cs"/>
          <w:rtl/>
        </w:rPr>
        <w:t xml:space="preserve"> נ' מדינת ישראל</w:t>
      </w:r>
      <w:r>
        <w:rPr>
          <w:rFonts w:hint="cs"/>
          <w:rtl/>
        </w:rPr>
        <w:t xml:space="preserve"> (8.1.2013); </w:t>
      </w:r>
      <w:hyperlink r:id="rId59" w:history="1">
        <w:r w:rsidR="009A4ACB" w:rsidRPr="009A4ACB">
          <w:rPr>
            <w:rStyle w:val="Hyperlink"/>
            <w:rFonts w:hint="eastAsia"/>
            <w:rtl/>
          </w:rPr>
          <w:t>ע</w:t>
        </w:r>
        <w:r w:rsidR="009A4ACB" w:rsidRPr="009A4ACB">
          <w:rPr>
            <w:rStyle w:val="Hyperlink"/>
            <w:rtl/>
          </w:rPr>
          <w:t>"פ 3042/13</w:t>
        </w:r>
      </w:hyperlink>
      <w:r>
        <w:rPr>
          <w:rFonts w:hint="cs"/>
          <w:rtl/>
        </w:rPr>
        <w:t xml:space="preserve"> </w:t>
      </w:r>
      <w:r w:rsidRPr="00FA2B9D">
        <w:rPr>
          <w:rFonts w:cs="Miriam" w:hint="cs"/>
          <w:rtl/>
        </w:rPr>
        <w:t>חיימוב נ' מדינת ישראל</w:t>
      </w:r>
      <w:r>
        <w:rPr>
          <w:rFonts w:hint="cs"/>
          <w:rtl/>
        </w:rPr>
        <w:t xml:space="preserve">, פסקה 7 (21.5.2015); </w:t>
      </w:r>
      <w:hyperlink r:id="rId60" w:history="1">
        <w:r w:rsidR="009A4ACB" w:rsidRPr="009A4ACB">
          <w:rPr>
            <w:rStyle w:val="Hyperlink"/>
            <w:rFonts w:hint="eastAsia"/>
            <w:rtl/>
          </w:rPr>
          <w:t>ע</w:t>
        </w:r>
        <w:r w:rsidR="009A4ACB" w:rsidRPr="009A4ACB">
          <w:rPr>
            <w:rStyle w:val="Hyperlink"/>
            <w:rtl/>
          </w:rPr>
          <w:t>"פ 7179/14</w:t>
        </w:r>
      </w:hyperlink>
      <w:r>
        <w:rPr>
          <w:rFonts w:hint="cs"/>
          <w:rtl/>
        </w:rPr>
        <w:t xml:space="preserve"> </w:t>
      </w:r>
      <w:r w:rsidRPr="00FA2B9D">
        <w:rPr>
          <w:rFonts w:cs="Miriam" w:hint="cs"/>
          <w:rtl/>
        </w:rPr>
        <w:t>טוויל נ' מדינת ישראל</w:t>
      </w:r>
      <w:r>
        <w:rPr>
          <w:rFonts w:cs="Miriam" w:hint="cs"/>
          <w:rtl/>
        </w:rPr>
        <w:t>,</w:t>
      </w:r>
      <w:r w:rsidRPr="00FA2B9D">
        <w:rPr>
          <w:rFonts w:cs="Miriam" w:hint="cs"/>
          <w:rtl/>
        </w:rPr>
        <w:t xml:space="preserve"> </w:t>
      </w:r>
      <w:r>
        <w:rPr>
          <w:rFonts w:hint="cs"/>
          <w:rtl/>
        </w:rPr>
        <w:t>פסקה 14 (22.11.2015)).</w:t>
      </w:r>
    </w:p>
    <w:p w14:paraId="176671D9" w14:textId="77777777" w:rsidR="000F21E0" w:rsidRDefault="000F21E0" w:rsidP="000F21E0">
      <w:pPr>
        <w:spacing w:line="360" w:lineRule="auto"/>
        <w:jc w:val="both"/>
        <w:rPr>
          <w:rtl/>
        </w:rPr>
      </w:pPr>
    </w:p>
    <w:p w14:paraId="502A5FD5" w14:textId="77777777" w:rsidR="000F21E0" w:rsidRDefault="000F21E0" w:rsidP="000F21E0">
      <w:pPr>
        <w:spacing w:line="360" w:lineRule="auto"/>
        <w:jc w:val="both"/>
        <w:rPr>
          <w:rtl/>
        </w:rPr>
      </w:pPr>
      <w:r>
        <w:rPr>
          <w:rFonts w:hint="cs"/>
          <w:rtl/>
        </w:rPr>
        <w:t>26.</w:t>
      </w:r>
      <w:r>
        <w:rPr>
          <w:rFonts w:hint="cs"/>
          <w:rtl/>
        </w:rPr>
        <w:tab/>
        <w:t xml:space="preserve">אין בנסיבות שאינן קשורות בביצוע העבירה הצדקה להחמיר או להקל בעונש המוסכם. אייל הורשע בעבר רק במקרה אחד, עבירה של תקיפת שוטר ואיומים. מדובר בעבירה משנת 2009, ואין בעבר זה כדי להוות גורם משמעותי בענישה. חרטת הנאשם ובקשת המחילה ממשפחת הקרבן באו רק לאחר תום שמיעת ראיות התביעה ואף כי יש לברך על הבעת החרטה, ולו גם כשהיא מגיעה באיחור רב, אין בה כשלעצמה להצדיק סטייה מהעונש המוסכם. גם מצבו המשפחתי של הנאשם ומחלת בתו אינם מצדיקים חריגה. </w:t>
      </w:r>
    </w:p>
    <w:p w14:paraId="04AB4B98" w14:textId="77777777" w:rsidR="000F21E0" w:rsidRDefault="000F21E0" w:rsidP="000F21E0">
      <w:pPr>
        <w:spacing w:line="360" w:lineRule="auto"/>
        <w:jc w:val="both"/>
        <w:rPr>
          <w:rtl/>
        </w:rPr>
      </w:pPr>
    </w:p>
    <w:p w14:paraId="3A7FB832" w14:textId="77777777" w:rsidR="000F21E0" w:rsidRDefault="000F21E0" w:rsidP="000F21E0">
      <w:pPr>
        <w:spacing w:line="360" w:lineRule="auto"/>
        <w:jc w:val="both"/>
        <w:rPr>
          <w:rtl/>
        </w:rPr>
      </w:pPr>
      <w:r>
        <w:rPr>
          <w:rFonts w:hint="cs"/>
          <w:rtl/>
        </w:rPr>
        <w:t>27.</w:t>
      </w:r>
      <w:r>
        <w:rPr>
          <w:rFonts w:hint="cs"/>
          <w:rtl/>
        </w:rPr>
        <w:tab/>
        <w:t xml:space="preserve">המאשימה מבקשת להטיל על הנאשם גם קנס כספי. הטעם העיקרי להצדיק הטלת קנס במקרה הנוכחי נעוץ בעובדה כי הנאשם פעל למען בצע כסף ואף קיבל 30,000 ₪ עבור מעשיו. </w:t>
      </w:r>
    </w:p>
    <w:p w14:paraId="50CA35EC" w14:textId="77777777" w:rsidR="000F21E0" w:rsidRDefault="000F21E0" w:rsidP="000F21E0">
      <w:pPr>
        <w:spacing w:line="360" w:lineRule="auto"/>
        <w:jc w:val="both"/>
        <w:rPr>
          <w:rtl/>
        </w:rPr>
      </w:pPr>
    </w:p>
    <w:p w14:paraId="78837DD1" w14:textId="77777777" w:rsidR="000F21E0" w:rsidRDefault="000F21E0" w:rsidP="000F21E0">
      <w:pPr>
        <w:spacing w:line="360" w:lineRule="auto"/>
        <w:jc w:val="both"/>
        <w:rPr>
          <w:rtl/>
        </w:rPr>
      </w:pPr>
      <w:r>
        <w:rPr>
          <w:rFonts w:hint="cs"/>
          <w:rtl/>
        </w:rPr>
        <w:tab/>
      </w:r>
      <w:hyperlink r:id="rId61" w:history="1">
        <w:r w:rsidR="000B152A" w:rsidRPr="000B152A">
          <w:rPr>
            <w:color w:val="0000FF"/>
            <w:u w:val="single"/>
            <w:rtl/>
          </w:rPr>
          <w:t>סעיף 63</w:t>
        </w:r>
      </w:hyperlink>
      <w:r>
        <w:rPr>
          <w:rFonts w:hint="cs"/>
          <w:rtl/>
        </w:rPr>
        <w:t xml:space="preserve"> ל</w:t>
      </w:r>
      <w:hyperlink r:id="rId62" w:history="1">
        <w:r w:rsidR="009A4ACB" w:rsidRPr="009A4ACB">
          <w:rPr>
            <w:rStyle w:val="Hyperlink"/>
            <w:rFonts w:hint="eastAsia"/>
            <w:rtl/>
          </w:rPr>
          <w:t>חוק</w:t>
        </w:r>
        <w:r w:rsidR="009A4ACB" w:rsidRPr="009A4ACB">
          <w:rPr>
            <w:rStyle w:val="Hyperlink"/>
            <w:rtl/>
          </w:rPr>
          <w:t xml:space="preserve"> העונשין</w:t>
        </w:r>
      </w:hyperlink>
      <w:r>
        <w:rPr>
          <w:rFonts w:hint="cs"/>
          <w:rtl/>
        </w:rPr>
        <w:t xml:space="preserve"> קובע את העיקרון ולפיו בית המשפט רשאי להטיל קנס לפי שווי הנזק או טובת ההנאה לנאשם. וכך מורה הסעיף:</w:t>
      </w:r>
    </w:p>
    <w:p w14:paraId="677EA805" w14:textId="77777777" w:rsidR="000F21E0" w:rsidRDefault="000F21E0" w:rsidP="000F21E0">
      <w:pPr>
        <w:spacing w:line="360" w:lineRule="auto"/>
        <w:jc w:val="both"/>
        <w:rPr>
          <w:rtl/>
        </w:rPr>
      </w:pPr>
    </w:p>
    <w:p w14:paraId="0100B3A4" w14:textId="77777777" w:rsidR="000F21E0" w:rsidRPr="00D57004" w:rsidRDefault="000F21E0" w:rsidP="000F21E0">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134" w:right="1134"/>
        <w:jc w:val="both"/>
        <w:rPr>
          <w:rFonts w:cs="Miriam"/>
          <w:rtl/>
          <w:lang w:eastAsia="he-IL"/>
        </w:rPr>
      </w:pPr>
      <w:r w:rsidRPr="00D57004">
        <w:rPr>
          <w:rFonts w:cs="Miriam"/>
          <w:rtl/>
          <w:lang w:eastAsia="he-IL"/>
        </w:rPr>
        <w:t>(א)</w:t>
      </w:r>
      <w:r w:rsidRPr="00D57004">
        <w:rPr>
          <w:rFonts w:cs="Miriam"/>
          <w:rtl/>
          <w:lang w:eastAsia="he-IL"/>
        </w:rPr>
        <w:tab/>
        <w:t xml:space="preserve">בשל עבירה שנתכוון בה הנאשם לגרום נזק ממון לאחר או להשיג טובת הנאה לעצמו או לאחר, רשאי בית המשפט להטיל על הנאשם קנס פי ארבעה משוויים של הנזק שנגרם או של טובת ההנאה שהושגה על ידי העבירה, או את הקנס שנקבע בחיקוק, הכל לפי הגדול שבהם. </w:t>
      </w:r>
    </w:p>
    <w:p w14:paraId="12F85CAB" w14:textId="77777777" w:rsidR="000F21E0" w:rsidRPr="00D57004" w:rsidRDefault="000F21E0" w:rsidP="000F21E0">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134" w:right="1134"/>
        <w:jc w:val="both"/>
        <w:rPr>
          <w:rFonts w:cs="Miriam"/>
          <w:rtl/>
          <w:lang w:eastAsia="he-IL"/>
        </w:rPr>
      </w:pPr>
      <w:r w:rsidRPr="00D57004">
        <w:rPr>
          <w:rFonts w:cs="Miriam"/>
          <w:rtl/>
          <w:lang w:eastAsia="he-IL"/>
        </w:rPr>
        <w:t>(ב)</w:t>
      </w:r>
      <w:r w:rsidRPr="00D57004">
        <w:rPr>
          <w:rFonts w:cs="Miriam"/>
          <w:rtl/>
          <w:lang w:eastAsia="he-IL"/>
        </w:rPr>
        <w:tab/>
        <w:t xml:space="preserve">הורשע אדם בעבירה, וקיבל דבר כשכר בעד ביצועה או כאמצעי לביצועה, רשאי בית המשפט להטיל עליו קנס פי ארבעה משוויו של הדבר, או את הקנס שנקבע בחיקוק, הכל לפי הגדול שבהם. </w:t>
      </w:r>
    </w:p>
    <w:p w14:paraId="5D07C78A" w14:textId="77777777" w:rsidR="000F21E0" w:rsidRPr="00D57004" w:rsidRDefault="000F21E0" w:rsidP="000F21E0">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134" w:right="1134"/>
        <w:jc w:val="both"/>
        <w:rPr>
          <w:rFonts w:cs="Miriam"/>
          <w:rtl/>
          <w:lang w:eastAsia="he-IL"/>
        </w:rPr>
      </w:pPr>
      <w:r w:rsidRPr="00D57004">
        <w:rPr>
          <w:rFonts w:cs="Miriam"/>
          <w:rtl/>
          <w:lang w:eastAsia="he-IL"/>
        </w:rPr>
        <w:t>(ג)</w:t>
      </w:r>
      <w:r w:rsidRPr="00D57004">
        <w:rPr>
          <w:rFonts w:cs="Miriam"/>
          <w:rtl/>
          <w:lang w:eastAsia="he-IL"/>
        </w:rPr>
        <w:tab/>
        <w:t xml:space="preserve">בקביעת סכום הקנס לפי סעיף זה רשאי בית המשפט להתחשב, בין השאר, בהשפעה שתהיה לסילוק הקנס על יכולתו של הנאשם לפצות את הניזוק בשל הנזק שנגרם לו על ידי העבירה. </w:t>
      </w:r>
    </w:p>
    <w:p w14:paraId="0E7EE00D" w14:textId="77777777" w:rsidR="000F21E0" w:rsidRPr="00D57004" w:rsidRDefault="000F21E0" w:rsidP="000F21E0">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1134" w:right="1134"/>
        <w:jc w:val="both"/>
        <w:rPr>
          <w:rFonts w:cs="Miriam"/>
          <w:rtl/>
          <w:lang w:eastAsia="he-IL"/>
        </w:rPr>
      </w:pPr>
      <w:r w:rsidRPr="00D57004">
        <w:rPr>
          <w:rFonts w:cs="Miriam"/>
          <w:rtl/>
          <w:lang w:eastAsia="he-IL"/>
        </w:rPr>
        <w:t>(ד)</w:t>
      </w:r>
      <w:r w:rsidRPr="00D57004">
        <w:rPr>
          <w:rFonts w:cs="Miriam"/>
          <w:rtl/>
          <w:lang w:eastAsia="he-IL"/>
        </w:rPr>
        <w:tab/>
        <w:t xml:space="preserve">קביעת הקנס לפי ערך הנזק שנגרם או טובת ההנאה שהופקה תהא כערכם ביום ביצוע העבירה או ביום מתן החלטת בית המשפט, לפי הגדול שבהם. </w:t>
      </w:r>
    </w:p>
    <w:p w14:paraId="34660586" w14:textId="77777777" w:rsidR="000F21E0" w:rsidRDefault="000F21E0" w:rsidP="000F21E0">
      <w:pPr>
        <w:spacing w:line="360" w:lineRule="auto"/>
        <w:jc w:val="both"/>
        <w:rPr>
          <w:rtl/>
        </w:rPr>
      </w:pPr>
    </w:p>
    <w:p w14:paraId="48EEC55D" w14:textId="77777777" w:rsidR="000F21E0" w:rsidRDefault="000F21E0" w:rsidP="000F21E0">
      <w:pPr>
        <w:spacing w:line="360" w:lineRule="auto"/>
        <w:jc w:val="both"/>
        <w:rPr>
          <w:rtl/>
        </w:rPr>
      </w:pPr>
      <w:r>
        <w:rPr>
          <w:rtl/>
        </w:rPr>
        <w:tab/>
      </w:r>
      <w:r>
        <w:rPr>
          <w:rFonts w:hint="cs"/>
          <w:rtl/>
        </w:rPr>
        <w:t xml:space="preserve">הזיקה בין טובת ההנאה שנצמחה לנאשם לבין הקנס שניתן להשית עליו, נועדה להרתיע נאשמים ולהבהיר להם כי לא יזכו ליהנות מפרי מעלליהם וכי "הנזק" שייגרם להם יעלה על טובת ההנאה הצפויה (ראו </w:t>
      </w:r>
      <w:hyperlink r:id="rId63" w:history="1">
        <w:r w:rsidR="009A4ACB" w:rsidRPr="009A4ACB">
          <w:rPr>
            <w:rStyle w:val="Hyperlink"/>
            <w:rFonts w:hint="eastAsia"/>
            <w:rtl/>
          </w:rPr>
          <w:t>ע</w:t>
        </w:r>
        <w:r w:rsidR="009A4ACB" w:rsidRPr="009A4ACB">
          <w:rPr>
            <w:rStyle w:val="Hyperlink"/>
            <w:rtl/>
          </w:rPr>
          <w:t>"פ 4919/14</w:t>
        </w:r>
      </w:hyperlink>
      <w:r>
        <w:rPr>
          <w:rFonts w:hint="cs"/>
          <w:rtl/>
        </w:rPr>
        <w:t xml:space="preserve"> </w:t>
      </w:r>
      <w:r w:rsidRPr="00D57004">
        <w:rPr>
          <w:rFonts w:cs="Miriam" w:hint="cs"/>
          <w:rtl/>
        </w:rPr>
        <w:t>אזולאי נ' מדינת ישראל</w:t>
      </w:r>
      <w:r>
        <w:rPr>
          <w:rFonts w:hint="cs"/>
          <w:rtl/>
        </w:rPr>
        <w:t xml:space="preserve"> (6.3.2017)).</w:t>
      </w:r>
    </w:p>
    <w:p w14:paraId="0B1658E8" w14:textId="77777777" w:rsidR="000F21E0" w:rsidRDefault="000F21E0" w:rsidP="000F21E0">
      <w:pPr>
        <w:spacing w:line="360" w:lineRule="auto"/>
        <w:jc w:val="both"/>
        <w:rPr>
          <w:rtl/>
        </w:rPr>
      </w:pPr>
    </w:p>
    <w:p w14:paraId="735D60C5" w14:textId="77777777" w:rsidR="000F21E0" w:rsidRDefault="000F21E0" w:rsidP="000F21E0">
      <w:pPr>
        <w:spacing w:line="360" w:lineRule="auto"/>
        <w:jc w:val="both"/>
        <w:rPr>
          <w:rtl/>
        </w:rPr>
      </w:pPr>
      <w:r>
        <w:rPr>
          <w:rFonts w:hint="cs"/>
          <w:rtl/>
        </w:rPr>
        <w:t>28.</w:t>
      </w:r>
      <w:r>
        <w:rPr>
          <w:rtl/>
        </w:rPr>
        <w:tab/>
      </w:r>
      <w:r>
        <w:rPr>
          <w:rFonts w:hint="cs"/>
          <w:rtl/>
        </w:rPr>
        <w:t xml:space="preserve">בבוא בית המשפט לשקול את שיעור הקנס ואת עונש המאסר שיושת על נאשם  אם לא ישלם את הקנס, עליו לשקול גם את יכולתו הכלכלית של הנאשם (ראו </w:t>
      </w:r>
      <w:hyperlink r:id="rId64" w:history="1">
        <w:r w:rsidR="009A4ACB" w:rsidRPr="009A4ACB">
          <w:rPr>
            <w:rStyle w:val="Hyperlink"/>
            <w:rFonts w:hint="eastAsia"/>
            <w:rtl/>
          </w:rPr>
          <w:t>ע</w:t>
        </w:r>
        <w:r w:rsidR="009A4ACB" w:rsidRPr="009A4ACB">
          <w:rPr>
            <w:rStyle w:val="Hyperlink"/>
            <w:rtl/>
          </w:rPr>
          <w:t>"פ 7159/13</w:t>
        </w:r>
      </w:hyperlink>
      <w:r>
        <w:rPr>
          <w:rFonts w:hint="cs"/>
          <w:rtl/>
        </w:rPr>
        <w:t xml:space="preserve"> </w:t>
      </w:r>
      <w:r w:rsidRPr="009F043D">
        <w:rPr>
          <w:rFonts w:cs="Miriam" w:hint="cs"/>
          <w:rtl/>
        </w:rPr>
        <w:t>ברזילי נ' מדינת ישראל</w:t>
      </w:r>
      <w:r>
        <w:rPr>
          <w:rFonts w:hint="cs"/>
          <w:rtl/>
        </w:rPr>
        <w:t xml:space="preserve">, פסקה 12 (16.3.2015); </w:t>
      </w:r>
      <w:hyperlink r:id="rId65" w:history="1">
        <w:r w:rsidR="009A4ACB" w:rsidRPr="009A4ACB">
          <w:rPr>
            <w:rStyle w:val="Hyperlink"/>
            <w:rFonts w:hint="eastAsia"/>
            <w:rtl/>
          </w:rPr>
          <w:t>ע</w:t>
        </w:r>
        <w:r w:rsidR="009A4ACB" w:rsidRPr="009A4ACB">
          <w:rPr>
            <w:rStyle w:val="Hyperlink"/>
            <w:rtl/>
          </w:rPr>
          <w:t>"פ 6474/03 מלכה נ' מדינת ישראל, פ"ד נח</w:t>
        </w:r>
      </w:hyperlink>
      <w:r>
        <w:rPr>
          <w:rFonts w:hint="cs"/>
          <w:rtl/>
        </w:rPr>
        <w:t xml:space="preserve">(3) 721, פסקה 7 (2004); </w:t>
      </w:r>
      <w:hyperlink r:id="rId66" w:history="1">
        <w:r w:rsidR="009A4ACB" w:rsidRPr="009A4ACB">
          <w:rPr>
            <w:rStyle w:val="Hyperlink"/>
            <w:rFonts w:hint="eastAsia"/>
            <w:rtl/>
          </w:rPr>
          <w:t>ע</w:t>
        </w:r>
        <w:r w:rsidR="009A4ACB" w:rsidRPr="009A4ACB">
          <w:rPr>
            <w:rStyle w:val="Hyperlink"/>
            <w:rtl/>
          </w:rPr>
          <w:t>"פ 4919/14</w:t>
        </w:r>
      </w:hyperlink>
      <w:r>
        <w:rPr>
          <w:rFonts w:hint="cs"/>
          <w:rtl/>
        </w:rPr>
        <w:t xml:space="preserve"> הנ"ל). </w:t>
      </w:r>
    </w:p>
    <w:p w14:paraId="60565103" w14:textId="77777777" w:rsidR="000F21E0" w:rsidRDefault="000F21E0" w:rsidP="000F21E0">
      <w:pPr>
        <w:spacing w:line="360" w:lineRule="auto"/>
        <w:jc w:val="both"/>
        <w:rPr>
          <w:rtl/>
        </w:rPr>
      </w:pPr>
    </w:p>
    <w:p w14:paraId="6A6ECC36" w14:textId="77777777" w:rsidR="000F21E0" w:rsidRDefault="000F21E0" w:rsidP="000F21E0">
      <w:pPr>
        <w:spacing w:line="360" w:lineRule="auto"/>
        <w:ind w:firstLine="720"/>
        <w:jc w:val="both"/>
        <w:rPr>
          <w:rtl/>
        </w:rPr>
      </w:pPr>
      <w:r>
        <w:rPr>
          <w:rFonts w:hint="cs"/>
          <w:rtl/>
        </w:rPr>
        <w:t xml:space="preserve">בשים לב לטובת ההנאה שנצמחה לאייל, קבלת 30,000 ₪ ומצבו הכלכלי, דומני כי במקרה הנוכחי ראוי להטיל על אייל קנס בשיעור של 50,000 ₪, ולקבוע כי אם לא ישלם הקנס, ירצה הנאשם 3 חודשי מאסר. הקנס ישולם בתשלומים כפי שיפורט להלן. </w:t>
      </w:r>
    </w:p>
    <w:p w14:paraId="379D1194" w14:textId="77777777" w:rsidR="000F21E0" w:rsidRDefault="000F21E0" w:rsidP="000F21E0">
      <w:pPr>
        <w:spacing w:line="360" w:lineRule="auto"/>
        <w:jc w:val="both"/>
        <w:rPr>
          <w:rtl/>
        </w:rPr>
      </w:pPr>
    </w:p>
    <w:p w14:paraId="1FB82C11" w14:textId="77777777" w:rsidR="000F21E0" w:rsidRDefault="000F21E0" w:rsidP="000F21E0">
      <w:pPr>
        <w:spacing w:line="360" w:lineRule="auto"/>
        <w:jc w:val="both"/>
        <w:rPr>
          <w:rtl/>
        </w:rPr>
      </w:pPr>
      <w:r>
        <w:rPr>
          <w:rFonts w:hint="cs"/>
          <w:rtl/>
        </w:rPr>
        <w:t>29.</w:t>
      </w:r>
      <w:r>
        <w:rPr>
          <w:rFonts w:hint="cs"/>
          <w:rtl/>
        </w:rPr>
        <w:tab/>
        <w:t xml:space="preserve">מעשיו של הנאשם הביאו למותו של המנוח. גם בהעדר תסקיר נפגע עבירה ברור לכל כי גדיעת חייו של אדם בן 42, מותירה את משפחתו לא רק עם עצב ויגון על האבדן, אלא גם  עם פגיעה כלכלית קשה. במיוחד נכון הדבר כאשר המנוח היה אב מפרנס לאשתו ולשלושת ילדיו. </w:t>
      </w:r>
    </w:p>
    <w:p w14:paraId="777F3EB8" w14:textId="77777777" w:rsidR="000F21E0" w:rsidRDefault="000F21E0" w:rsidP="000F21E0">
      <w:pPr>
        <w:spacing w:line="360" w:lineRule="auto"/>
        <w:jc w:val="both"/>
        <w:rPr>
          <w:rtl/>
        </w:rPr>
      </w:pPr>
    </w:p>
    <w:p w14:paraId="67962209" w14:textId="77777777" w:rsidR="000F21E0" w:rsidRDefault="000F21E0" w:rsidP="000F21E0">
      <w:pPr>
        <w:spacing w:line="360" w:lineRule="auto"/>
        <w:jc w:val="both"/>
        <w:rPr>
          <w:rtl/>
        </w:rPr>
      </w:pPr>
      <w:r>
        <w:rPr>
          <w:rtl/>
        </w:rPr>
        <w:tab/>
      </w:r>
      <w:r>
        <w:rPr>
          <w:rFonts w:hint="cs"/>
          <w:rtl/>
        </w:rPr>
        <w:t xml:space="preserve">המאשימה עותרת להטיל על אייל את הפיצוי המקסימאלי הקבוע בחוק (סעיף </w:t>
      </w:r>
      <w:hyperlink r:id="rId67" w:history="1">
        <w:r w:rsidR="000B152A" w:rsidRPr="000B152A">
          <w:rPr>
            <w:color w:val="0000FF"/>
            <w:u w:val="single"/>
            <w:rtl/>
          </w:rPr>
          <w:t>77</w:t>
        </w:r>
      </w:hyperlink>
      <w:r>
        <w:rPr>
          <w:rFonts w:hint="cs"/>
          <w:rtl/>
        </w:rPr>
        <w:t>).</w:t>
      </w:r>
      <w:r>
        <w:rPr>
          <w:rtl/>
        </w:rPr>
        <w:tab/>
      </w:r>
      <w:hyperlink r:id="rId68" w:history="1">
        <w:r w:rsidR="000B152A" w:rsidRPr="000B152A">
          <w:rPr>
            <w:color w:val="0000FF"/>
            <w:u w:val="single"/>
            <w:rtl/>
          </w:rPr>
          <w:t>בסעיף 77(ב)</w:t>
        </w:r>
      </w:hyperlink>
      <w:r>
        <w:rPr>
          <w:rFonts w:hint="cs"/>
          <w:rtl/>
        </w:rPr>
        <w:t xml:space="preserve"> נקבע כי "</w:t>
      </w:r>
      <w:r w:rsidRPr="004D2876">
        <w:rPr>
          <w:rFonts w:cs="Miriam" w:hint="cs"/>
          <w:rtl/>
        </w:rPr>
        <w:t xml:space="preserve">קביעת הפיצויים לפי סעיף זה תהא לפי ערך הנזק או הסבל שנגרמו, ביום ביצוע העבירה או ביום מתן ההחלטה על הפיצויים, </w:t>
      </w:r>
      <w:r>
        <w:rPr>
          <w:rFonts w:cs="Miriam" w:hint="cs"/>
          <w:rtl/>
        </w:rPr>
        <w:t xml:space="preserve">הכל </w:t>
      </w:r>
      <w:r w:rsidRPr="004D2876">
        <w:rPr>
          <w:rFonts w:cs="Miriam" w:hint="cs"/>
          <w:rtl/>
        </w:rPr>
        <w:t>לפי הגדול יותר</w:t>
      </w:r>
      <w:r>
        <w:rPr>
          <w:rFonts w:hint="cs"/>
          <w:rtl/>
        </w:rPr>
        <w:t>".</w:t>
      </w:r>
    </w:p>
    <w:p w14:paraId="05A4A397" w14:textId="77777777" w:rsidR="000F21E0" w:rsidRDefault="000F21E0" w:rsidP="000F21E0">
      <w:pPr>
        <w:spacing w:line="360" w:lineRule="auto"/>
        <w:jc w:val="both"/>
        <w:rPr>
          <w:rtl/>
        </w:rPr>
      </w:pPr>
    </w:p>
    <w:p w14:paraId="1824960C" w14:textId="77777777" w:rsidR="000F21E0" w:rsidRDefault="000F21E0" w:rsidP="000F21E0">
      <w:pPr>
        <w:spacing w:line="360" w:lineRule="auto"/>
        <w:jc w:val="both"/>
        <w:rPr>
          <w:rtl/>
        </w:rPr>
      </w:pPr>
      <w:r>
        <w:rPr>
          <w:rFonts w:hint="cs"/>
          <w:rtl/>
        </w:rPr>
        <w:t>30.</w:t>
      </w:r>
      <w:r>
        <w:rPr>
          <w:rFonts w:hint="cs"/>
          <w:rtl/>
        </w:rPr>
        <w:tab/>
        <w:t xml:space="preserve">הכאב והסבל שנגרמו למשפחת המנוח אינם ברי פיצוי. עם זאת, הנזק הכלכלי שנגרם להם ראוי לפיצוי ממשי. בשים לב לנסיבות המקרה ולפיצויים שנפסקו במקרים דומים, אנו סבורים שיש לחייב את הנאשם בפיצוי בסך של 250,000 ₪. סכום זה ישולם לשיעורן כפי שיפורט להלן. </w:t>
      </w:r>
    </w:p>
    <w:p w14:paraId="4E9D1B0E" w14:textId="77777777" w:rsidR="000F21E0" w:rsidRDefault="000F21E0" w:rsidP="000F21E0">
      <w:pPr>
        <w:spacing w:line="360" w:lineRule="auto"/>
        <w:jc w:val="both"/>
        <w:rPr>
          <w:rtl/>
        </w:rPr>
      </w:pPr>
    </w:p>
    <w:p w14:paraId="7C23D9F9" w14:textId="77777777" w:rsidR="000F21E0" w:rsidRDefault="000F21E0" w:rsidP="000F21E0">
      <w:pPr>
        <w:spacing w:line="360" w:lineRule="auto"/>
        <w:jc w:val="both"/>
        <w:rPr>
          <w:rtl/>
        </w:rPr>
      </w:pPr>
      <w:r>
        <w:rPr>
          <w:rtl/>
        </w:rPr>
        <w:tab/>
      </w:r>
      <w:r>
        <w:rPr>
          <w:rFonts w:hint="cs"/>
          <w:rtl/>
        </w:rPr>
        <w:t xml:space="preserve">נעיר ונזכיר כי פיצוי זה אינו תחליף לפיצוי כספי אותו רשאים בני משפחת המנוח לתבוע בהליך אזרחי ואינו ממצה את מלוא נזקיהם. </w:t>
      </w:r>
    </w:p>
    <w:p w14:paraId="066E2942" w14:textId="77777777" w:rsidR="000F21E0" w:rsidRDefault="000F21E0" w:rsidP="000F21E0">
      <w:pPr>
        <w:spacing w:line="360" w:lineRule="auto"/>
        <w:jc w:val="both"/>
        <w:rPr>
          <w:rtl/>
        </w:rPr>
      </w:pPr>
    </w:p>
    <w:p w14:paraId="4B318FEF" w14:textId="77777777" w:rsidR="000F21E0" w:rsidRDefault="000F21E0" w:rsidP="000F21E0">
      <w:pPr>
        <w:spacing w:line="360" w:lineRule="auto"/>
        <w:jc w:val="both"/>
        <w:rPr>
          <w:rtl/>
        </w:rPr>
      </w:pPr>
      <w:r>
        <w:rPr>
          <w:rFonts w:hint="cs"/>
          <w:rtl/>
        </w:rPr>
        <w:tab/>
        <w:t xml:space="preserve">בצד כל אלו נטיל על הנאשם גם עונש מאסר מותנה הצופה פני עתיד. </w:t>
      </w:r>
    </w:p>
    <w:p w14:paraId="476B9E30" w14:textId="77777777" w:rsidR="000F21E0" w:rsidRDefault="000F21E0" w:rsidP="000F21E0">
      <w:pPr>
        <w:spacing w:line="360" w:lineRule="auto"/>
        <w:jc w:val="both"/>
        <w:rPr>
          <w:rtl/>
        </w:rPr>
      </w:pPr>
    </w:p>
    <w:p w14:paraId="06A07387" w14:textId="77777777" w:rsidR="000F21E0" w:rsidRPr="009F043D" w:rsidRDefault="000F21E0" w:rsidP="000F21E0">
      <w:pPr>
        <w:spacing w:line="360" w:lineRule="auto"/>
        <w:jc w:val="both"/>
        <w:rPr>
          <w:b/>
          <w:bCs/>
          <w:u w:val="single"/>
          <w:rtl/>
        </w:rPr>
      </w:pPr>
      <w:r w:rsidRPr="009F043D">
        <w:rPr>
          <w:rFonts w:hint="cs"/>
          <w:b/>
          <w:bCs/>
          <w:u w:val="single"/>
          <w:rtl/>
        </w:rPr>
        <w:t>גזירת דינו של אחמד</w:t>
      </w:r>
    </w:p>
    <w:p w14:paraId="547CBE96" w14:textId="77777777" w:rsidR="000F21E0" w:rsidRDefault="000F21E0" w:rsidP="000F21E0">
      <w:pPr>
        <w:spacing w:line="360" w:lineRule="auto"/>
        <w:jc w:val="both"/>
        <w:rPr>
          <w:rtl/>
        </w:rPr>
      </w:pPr>
      <w:r>
        <w:rPr>
          <w:rFonts w:hint="cs"/>
          <w:rtl/>
        </w:rPr>
        <w:t>31.</w:t>
      </w:r>
      <w:r>
        <w:rPr>
          <w:rFonts w:hint="cs"/>
          <w:rtl/>
        </w:rPr>
        <w:tab/>
        <w:t xml:space="preserve">אחמד הורשע בעבירות בנשק. ראינו כי אחמד החזיק שלא כדין באקדח ומסר אותו לאחמד פתחי. על פי כתב האישום, אחמד ידע כי האקדח הוא כלי מסוכן, שאף שימש לירי קודם (סעיף 9 לכתב האישום). </w:t>
      </w:r>
    </w:p>
    <w:p w14:paraId="50A85157" w14:textId="77777777" w:rsidR="000F21E0" w:rsidRDefault="000F21E0" w:rsidP="000F21E0">
      <w:pPr>
        <w:spacing w:line="360" w:lineRule="auto"/>
        <w:jc w:val="both"/>
        <w:rPr>
          <w:rtl/>
        </w:rPr>
      </w:pPr>
    </w:p>
    <w:p w14:paraId="64455011" w14:textId="77777777" w:rsidR="000F21E0" w:rsidRPr="002D2380" w:rsidRDefault="000F21E0" w:rsidP="000F21E0">
      <w:pPr>
        <w:spacing w:line="360" w:lineRule="auto"/>
        <w:jc w:val="both"/>
        <w:rPr>
          <w:rtl/>
        </w:rPr>
      </w:pPr>
      <w:r>
        <w:rPr>
          <w:rtl/>
        </w:rPr>
        <w:tab/>
      </w:r>
      <w:r>
        <w:rPr>
          <w:rFonts w:hint="cs"/>
          <w:rtl/>
        </w:rPr>
        <w:t xml:space="preserve">דומה כי כל המוסר אקדח המוחזק שלא כדין, מבין ויודע כי המחזיק באקדח עלול להשתמש </w:t>
      </w:r>
      <w:r w:rsidRPr="002D2380">
        <w:rPr>
          <w:rFonts w:hint="cs"/>
          <w:rtl/>
        </w:rPr>
        <w:t xml:space="preserve">בו וכי בהחזקת האקדח ובשימוש בו טמונה סכנה. על כן, קבע המחוקק כי עונשים חמורים למבצע עבירות בנשק; 7 שנים למחזיק בנשק (סעיף </w:t>
      </w:r>
      <w:hyperlink r:id="rId69" w:history="1">
        <w:r w:rsidR="000B152A" w:rsidRPr="000B152A">
          <w:rPr>
            <w:color w:val="0000FF"/>
            <w:u w:val="single"/>
            <w:rtl/>
          </w:rPr>
          <w:t>144(א)</w:t>
        </w:r>
      </w:hyperlink>
      <w:r>
        <w:rPr>
          <w:rFonts w:hint="cs"/>
          <w:rtl/>
        </w:rPr>
        <w:t>לחוק</w:t>
      </w:r>
      <w:r w:rsidRPr="002D2380">
        <w:rPr>
          <w:rFonts w:hint="cs"/>
          <w:rtl/>
        </w:rPr>
        <w:t>) ו- 15 שנים למי שסוחר בנשק או שמוסר נשק לאחר (</w:t>
      </w:r>
      <w:hyperlink r:id="rId70" w:history="1">
        <w:r w:rsidR="000B152A" w:rsidRPr="000B152A">
          <w:rPr>
            <w:color w:val="0000FF"/>
            <w:u w:val="single"/>
            <w:rtl/>
          </w:rPr>
          <w:t>סעיף 144(ב2)</w:t>
        </w:r>
      </w:hyperlink>
      <w:r w:rsidRPr="002D2380">
        <w:rPr>
          <w:rFonts w:hint="cs"/>
          <w:rtl/>
        </w:rPr>
        <w:t xml:space="preserve"> לחוק</w:t>
      </w:r>
      <w:r>
        <w:rPr>
          <w:rFonts w:hint="cs"/>
          <w:rtl/>
        </w:rPr>
        <w:t>)</w:t>
      </w:r>
      <w:r w:rsidRPr="002D2380">
        <w:rPr>
          <w:rFonts w:hint="cs"/>
          <w:rtl/>
        </w:rPr>
        <w:t xml:space="preserve">. </w:t>
      </w:r>
      <w:r>
        <w:rPr>
          <w:rFonts w:hint="cs"/>
          <w:rtl/>
        </w:rPr>
        <w:t xml:space="preserve">בתי משפט שבו והתריעו פעמים אין ספור על החומרה בעבירות בנשק " </w:t>
      </w:r>
      <w:r w:rsidRPr="002D2380">
        <w:rPr>
          <w:rFonts w:cs="Miriam"/>
          <w:rtl/>
        </w:rPr>
        <w:t>"בשל הסיכון הגלום בהן לחיי אדם, לשלמות הגוף ולביטחון הציבור, ובשל פוטנציאל היקף הפגיעה הרחב שעלול להיגרם משימוש חוזר בכלי הנשק</w:t>
      </w:r>
      <w:r w:rsidRPr="002D2380">
        <w:rPr>
          <w:rFonts w:cs="Miriam" w:hint="cs"/>
          <w:rtl/>
        </w:rPr>
        <w:t>"</w:t>
      </w:r>
      <w:r>
        <w:rPr>
          <w:rFonts w:hint="cs"/>
          <w:rtl/>
        </w:rPr>
        <w:t xml:space="preserve"> (</w:t>
      </w:r>
      <w:hyperlink r:id="rId71" w:history="1">
        <w:r w:rsidR="009A4ACB" w:rsidRPr="009A4ACB">
          <w:rPr>
            <w:rStyle w:val="Hyperlink"/>
            <w:rFonts w:hint="eastAsia"/>
            <w:rtl/>
          </w:rPr>
          <w:t>ע</w:t>
        </w:r>
        <w:r w:rsidR="009A4ACB" w:rsidRPr="009A4ACB">
          <w:rPr>
            <w:rStyle w:val="Hyperlink"/>
            <w:rtl/>
          </w:rPr>
          <w:t>"פ 7552/14</w:t>
        </w:r>
      </w:hyperlink>
      <w:r>
        <w:rPr>
          <w:rFonts w:hint="cs"/>
          <w:rtl/>
        </w:rPr>
        <w:t xml:space="preserve"> </w:t>
      </w:r>
      <w:r w:rsidRPr="002D2380">
        <w:rPr>
          <w:rFonts w:cs="Miriam" w:hint="cs"/>
          <w:rtl/>
        </w:rPr>
        <w:t>אגבאריה נ' מדינת ישראל</w:t>
      </w:r>
      <w:r>
        <w:rPr>
          <w:rFonts w:hint="cs"/>
          <w:rtl/>
        </w:rPr>
        <w:t xml:space="preserve">, פסקה 7 (23.6.2015) (ראו גם  </w:t>
      </w:r>
      <w:hyperlink r:id="rId72" w:history="1">
        <w:r w:rsidR="009A4ACB" w:rsidRPr="009A4ACB">
          <w:rPr>
            <w:rStyle w:val="Hyperlink"/>
            <w:rtl/>
          </w:rPr>
          <w:t>ע"פ 9373/10</w:t>
        </w:r>
      </w:hyperlink>
      <w:r>
        <w:rPr>
          <w:rtl/>
        </w:rPr>
        <w:t xml:space="preserve"> </w:t>
      </w:r>
      <w:r w:rsidRPr="002D2380">
        <w:rPr>
          <w:rFonts w:cs="Miriam"/>
          <w:rtl/>
        </w:rPr>
        <w:t xml:space="preserve">ותד נ' מדינת ישראל </w:t>
      </w:r>
      <w:r>
        <w:rPr>
          <w:rtl/>
        </w:rPr>
        <w:t xml:space="preserve">(14.9.2011); </w:t>
      </w:r>
      <w:hyperlink r:id="rId73" w:history="1">
        <w:r w:rsidR="009A4ACB" w:rsidRPr="009A4ACB">
          <w:rPr>
            <w:rStyle w:val="Hyperlink"/>
            <w:rtl/>
          </w:rPr>
          <w:t>ע"פ 2251/11</w:t>
        </w:r>
      </w:hyperlink>
      <w:r>
        <w:rPr>
          <w:rtl/>
        </w:rPr>
        <w:t xml:space="preserve"> </w:t>
      </w:r>
      <w:r w:rsidRPr="002D2380">
        <w:rPr>
          <w:rFonts w:cs="Miriam"/>
          <w:rtl/>
        </w:rPr>
        <w:t>נפאע נ' מדינת ישראל</w:t>
      </w:r>
      <w:r>
        <w:rPr>
          <w:rtl/>
        </w:rPr>
        <w:t xml:space="preserve"> (4.12.2011); </w:t>
      </w:r>
      <w:hyperlink r:id="rId74" w:history="1">
        <w:r w:rsidR="009A4ACB" w:rsidRPr="009A4ACB">
          <w:rPr>
            <w:rStyle w:val="Hyperlink"/>
            <w:rFonts w:cs="Miriam"/>
            <w:rtl/>
          </w:rPr>
          <w:t>ע"פ 318/11</w:t>
        </w:r>
      </w:hyperlink>
      <w:r w:rsidRPr="002D2380">
        <w:rPr>
          <w:rFonts w:cs="Miriam"/>
          <w:rtl/>
        </w:rPr>
        <w:t xml:space="preserve"> מדינת ישראל נ' אבו ערב</w:t>
      </w:r>
      <w:r>
        <w:rPr>
          <w:rtl/>
        </w:rPr>
        <w:t xml:space="preserve"> (5.12.2011); </w:t>
      </w:r>
      <w:hyperlink r:id="rId75" w:history="1">
        <w:r w:rsidR="009A4ACB" w:rsidRPr="009A4ACB">
          <w:rPr>
            <w:rStyle w:val="Hyperlink"/>
            <w:rtl/>
          </w:rPr>
          <w:t>ע"פ 1397/16</w:t>
        </w:r>
      </w:hyperlink>
      <w:r>
        <w:rPr>
          <w:rtl/>
        </w:rPr>
        <w:t xml:space="preserve"> </w:t>
      </w:r>
      <w:r w:rsidRPr="002D2380">
        <w:rPr>
          <w:rFonts w:cs="Miriam"/>
          <w:rtl/>
        </w:rPr>
        <w:t>מדינת ישראל נ' חמאיל (</w:t>
      </w:r>
      <w:r>
        <w:rPr>
          <w:rtl/>
        </w:rPr>
        <w:t>12.9.2016)).</w:t>
      </w:r>
    </w:p>
    <w:p w14:paraId="521D97BB" w14:textId="77777777" w:rsidR="000F21E0" w:rsidRPr="002D2380" w:rsidRDefault="000F21E0" w:rsidP="000F21E0">
      <w:pPr>
        <w:spacing w:line="360" w:lineRule="auto"/>
        <w:jc w:val="both"/>
        <w:rPr>
          <w:rtl/>
        </w:rPr>
      </w:pPr>
    </w:p>
    <w:p w14:paraId="5452CEED" w14:textId="77777777" w:rsidR="000F21E0" w:rsidRDefault="000F21E0" w:rsidP="000F21E0">
      <w:pPr>
        <w:spacing w:line="360" w:lineRule="auto"/>
        <w:jc w:val="both"/>
        <w:rPr>
          <w:rtl/>
        </w:rPr>
      </w:pPr>
      <w:r w:rsidRPr="002D2380">
        <w:rPr>
          <w:rFonts w:hint="cs"/>
          <w:rtl/>
        </w:rPr>
        <w:t>32.</w:t>
      </w:r>
      <w:r w:rsidRPr="002D2380">
        <w:rPr>
          <w:rFonts w:hint="cs"/>
          <w:rtl/>
        </w:rPr>
        <w:tab/>
        <w:t>הצדדים מבקשים להטיל על אחמד את העונש המוסכם של 4 שנות מאסר. דומה שעונש זה</w:t>
      </w:r>
      <w:r>
        <w:rPr>
          <w:rFonts w:hint="cs"/>
          <w:rtl/>
        </w:rPr>
        <w:t xml:space="preserve"> מצוי במתחם העונש ההולם לעבירות בהן הורשע ולנסיבותיהן (ראו לגבי מתחם העונש ההולם בעבירות נשק </w:t>
      </w:r>
      <w:hyperlink r:id="rId76" w:history="1">
        <w:r w:rsidR="009A4ACB" w:rsidRPr="009A4ACB">
          <w:rPr>
            <w:rStyle w:val="Hyperlink"/>
            <w:rFonts w:hint="eastAsia"/>
            <w:rtl/>
          </w:rPr>
          <w:t>ע</w:t>
        </w:r>
        <w:r w:rsidR="009A4ACB" w:rsidRPr="009A4ACB">
          <w:rPr>
            <w:rStyle w:val="Hyperlink"/>
            <w:rtl/>
          </w:rPr>
          <w:t>"פ 6371/11</w:t>
        </w:r>
      </w:hyperlink>
      <w:r>
        <w:rPr>
          <w:rFonts w:hint="cs"/>
          <w:rtl/>
        </w:rPr>
        <w:t xml:space="preserve"> </w:t>
      </w:r>
      <w:r w:rsidRPr="00FA2B9D">
        <w:rPr>
          <w:rFonts w:cs="Miriam" w:hint="cs"/>
          <w:rtl/>
        </w:rPr>
        <w:t>מ</w:t>
      </w:r>
      <w:r>
        <w:rPr>
          <w:rFonts w:cs="Miriam" w:hint="cs"/>
          <w:rtl/>
        </w:rPr>
        <w:t>ד</w:t>
      </w:r>
      <w:r w:rsidRPr="00FA2B9D">
        <w:rPr>
          <w:rFonts w:cs="Miriam" w:hint="cs"/>
          <w:rtl/>
        </w:rPr>
        <w:t>ינת ישראל נ' הייבי,</w:t>
      </w:r>
      <w:r>
        <w:rPr>
          <w:rFonts w:hint="cs"/>
          <w:rtl/>
        </w:rPr>
        <w:t xml:space="preserve"> פסקה כג' (18.12.2011); </w:t>
      </w:r>
      <w:hyperlink r:id="rId77" w:history="1">
        <w:r w:rsidR="009A4ACB" w:rsidRPr="009A4ACB">
          <w:rPr>
            <w:rStyle w:val="Hyperlink"/>
            <w:rFonts w:hint="eastAsia"/>
            <w:rtl/>
          </w:rPr>
          <w:t>ע</w:t>
        </w:r>
        <w:r w:rsidR="009A4ACB" w:rsidRPr="009A4ACB">
          <w:rPr>
            <w:rStyle w:val="Hyperlink"/>
            <w:rtl/>
          </w:rPr>
          <w:t>"פ 1768/14</w:t>
        </w:r>
      </w:hyperlink>
      <w:r>
        <w:rPr>
          <w:rFonts w:hint="cs"/>
          <w:rtl/>
        </w:rPr>
        <w:t xml:space="preserve"> </w:t>
      </w:r>
      <w:r w:rsidRPr="00FA2B9D">
        <w:rPr>
          <w:rFonts w:cs="Miriam" w:hint="cs"/>
          <w:rtl/>
        </w:rPr>
        <w:t>גנאיים נ' מדינת ישראל</w:t>
      </w:r>
      <w:r>
        <w:rPr>
          <w:rFonts w:hint="cs"/>
          <w:rtl/>
        </w:rPr>
        <w:t xml:space="preserve"> (22.7.2014); </w:t>
      </w:r>
      <w:hyperlink r:id="rId78" w:history="1">
        <w:r w:rsidR="009A4ACB" w:rsidRPr="009A4ACB">
          <w:rPr>
            <w:rStyle w:val="Hyperlink"/>
            <w:rFonts w:hint="eastAsia"/>
            <w:rtl/>
          </w:rPr>
          <w:t>ע</w:t>
        </w:r>
        <w:r w:rsidR="009A4ACB" w:rsidRPr="009A4ACB">
          <w:rPr>
            <w:rStyle w:val="Hyperlink"/>
            <w:rtl/>
          </w:rPr>
          <w:t>"פ 370/14</w:t>
        </w:r>
      </w:hyperlink>
      <w:r>
        <w:rPr>
          <w:rFonts w:hint="cs"/>
          <w:rtl/>
        </w:rPr>
        <w:t xml:space="preserve"> </w:t>
      </w:r>
      <w:r w:rsidRPr="00FA2B9D">
        <w:rPr>
          <w:rFonts w:cs="Miriam" w:hint="cs"/>
          <w:rtl/>
        </w:rPr>
        <w:t>סלפיתי נ' מדינת ישראל</w:t>
      </w:r>
      <w:r>
        <w:rPr>
          <w:rFonts w:hint="cs"/>
          <w:rtl/>
        </w:rPr>
        <w:t xml:space="preserve"> (25.8.2014)). אין גם נסיבות שאינן קשורות בביצוע העבירה המצדיקות סטייה מהעונש המוסכם. </w:t>
      </w:r>
    </w:p>
    <w:p w14:paraId="07D94CD1" w14:textId="77777777" w:rsidR="000F21E0" w:rsidRDefault="000F21E0" w:rsidP="000F21E0">
      <w:pPr>
        <w:spacing w:line="360" w:lineRule="auto"/>
        <w:jc w:val="both"/>
        <w:rPr>
          <w:rtl/>
        </w:rPr>
      </w:pPr>
    </w:p>
    <w:p w14:paraId="3664A4ED" w14:textId="77777777" w:rsidR="000F21E0" w:rsidRDefault="000F21E0" w:rsidP="000F21E0">
      <w:pPr>
        <w:spacing w:line="360" w:lineRule="auto"/>
        <w:jc w:val="both"/>
        <w:rPr>
          <w:rtl/>
        </w:rPr>
      </w:pPr>
      <w:r>
        <w:rPr>
          <w:rFonts w:hint="cs"/>
          <w:rtl/>
        </w:rPr>
        <w:t>33.</w:t>
      </w:r>
      <w:r>
        <w:rPr>
          <w:rFonts w:hint="cs"/>
          <w:rtl/>
        </w:rPr>
        <w:tab/>
        <w:t>המחלוקת העיקרית עניינה בשאלה האם מהעונש שיוטל על הנאשם ינוכו כל ימי מעצרו בתיק זה או שמא יש להפחית מימי המעצר שינוכו, את תקופת מאסרו של אחמד בתיק הנוסף (מיום 28.3.2015 ועד 24.11.2015).</w:t>
      </w:r>
    </w:p>
    <w:p w14:paraId="4E17D803" w14:textId="77777777" w:rsidR="000F21E0" w:rsidRDefault="000F21E0" w:rsidP="000F21E0">
      <w:pPr>
        <w:spacing w:line="360" w:lineRule="auto"/>
        <w:jc w:val="both"/>
        <w:rPr>
          <w:rtl/>
        </w:rPr>
      </w:pPr>
    </w:p>
    <w:p w14:paraId="03C6C29C" w14:textId="77777777" w:rsidR="000F21E0" w:rsidRDefault="000F21E0" w:rsidP="000F21E0">
      <w:pPr>
        <w:spacing w:line="360" w:lineRule="auto"/>
        <w:jc w:val="both"/>
        <w:rPr>
          <w:rtl/>
        </w:rPr>
      </w:pPr>
      <w:r>
        <w:rPr>
          <w:rFonts w:hint="cs"/>
          <w:rtl/>
        </w:rPr>
        <w:t>34.</w:t>
      </w:r>
      <w:r>
        <w:rPr>
          <w:rFonts w:hint="cs"/>
          <w:rtl/>
        </w:rPr>
        <w:tab/>
      </w:r>
      <w:hyperlink r:id="rId79" w:history="1">
        <w:r w:rsidR="000B152A" w:rsidRPr="000B152A">
          <w:rPr>
            <w:color w:val="0000FF"/>
            <w:u w:val="single"/>
            <w:rtl/>
          </w:rPr>
          <w:t>סעיף 45(ב)</w:t>
        </w:r>
      </w:hyperlink>
      <w:r>
        <w:rPr>
          <w:rFonts w:hint="cs"/>
          <w:rtl/>
        </w:rPr>
        <w:t xml:space="preserve"> ל</w:t>
      </w:r>
      <w:hyperlink r:id="rId80" w:history="1">
        <w:r w:rsidR="009A4ACB" w:rsidRPr="009A4ACB">
          <w:rPr>
            <w:rStyle w:val="Hyperlink"/>
            <w:rFonts w:hint="eastAsia"/>
            <w:rtl/>
          </w:rPr>
          <w:t>חוק</w:t>
        </w:r>
        <w:r w:rsidR="009A4ACB" w:rsidRPr="009A4ACB">
          <w:rPr>
            <w:rStyle w:val="Hyperlink"/>
            <w:rtl/>
          </w:rPr>
          <w:t xml:space="preserve"> העונשין</w:t>
        </w:r>
      </w:hyperlink>
      <w:r>
        <w:rPr>
          <w:rFonts w:hint="cs"/>
          <w:rtl/>
        </w:rPr>
        <w:t xml:space="preserve"> קובע את הכלל בדבר חפיפת עונשים, בקבעו כי "</w:t>
      </w:r>
      <w:r w:rsidRPr="00425F19">
        <w:rPr>
          <w:rFonts w:cs="Miriam" w:hint="cs"/>
          <w:rtl/>
        </w:rPr>
        <w:t>מי שנ</w:t>
      </w:r>
      <w:r>
        <w:rPr>
          <w:rFonts w:cs="Miriam" w:hint="cs"/>
          <w:rtl/>
        </w:rPr>
        <w:t>ידון למאסר ולפני שנשא כל ע</w:t>
      </w:r>
      <w:r w:rsidRPr="00425F19">
        <w:rPr>
          <w:rFonts w:cs="Miriam" w:hint="cs"/>
          <w:rtl/>
        </w:rPr>
        <w:t xml:space="preserve">נשו </w:t>
      </w:r>
      <w:r>
        <w:rPr>
          <w:rFonts w:cs="Miriam" w:hint="cs"/>
          <w:rtl/>
        </w:rPr>
        <w:t>חזר</w:t>
      </w:r>
      <w:r w:rsidRPr="00425F19">
        <w:rPr>
          <w:rFonts w:cs="Miriam" w:hint="cs"/>
          <w:rtl/>
        </w:rPr>
        <w:t xml:space="preserve"> ונידון למאסר [...] לא ישא אלא עונש מאסר אחד והוא של התקופה הארוכה ביותר</w:t>
      </w:r>
      <w:r>
        <w:rPr>
          <w:rFonts w:hint="cs"/>
          <w:rtl/>
        </w:rPr>
        <w:t>". עם זאת, הסעיף מקנה לבית המשפט סמכות להורות על הצטברות העונשים ולקבוע כי הנאשם "</w:t>
      </w:r>
      <w:r w:rsidRPr="00425F19">
        <w:rPr>
          <w:rFonts w:cs="Miriam" w:hint="cs"/>
          <w:rtl/>
        </w:rPr>
        <w:t>[...] ישא את ענשי המאסר, כולם או מקצתם, בזה אחר זה [...]</w:t>
      </w:r>
      <w:r>
        <w:rPr>
          <w:rFonts w:hint="cs"/>
          <w:rtl/>
        </w:rPr>
        <w:t xml:space="preserve">". </w:t>
      </w:r>
    </w:p>
    <w:p w14:paraId="7B249423" w14:textId="77777777" w:rsidR="000F21E0" w:rsidRDefault="000F21E0" w:rsidP="000F21E0">
      <w:pPr>
        <w:spacing w:line="360" w:lineRule="auto"/>
        <w:jc w:val="both"/>
        <w:rPr>
          <w:rtl/>
        </w:rPr>
      </w:pPr>
    </w:p>
    <w:p w14:paraId="45540F21" w14:textId="77777777" w:rsidR="000F21E0" w:rsidRDefault="000F21E0" w:rsidP="000F21E0">
      <w:pPr>
        <w:spacing w:line="360" w:lineRule="auto"/>
        <w:jc w:val="both"/>
        <w:rPr>
          <w:rtl/>
        </w:rPr>
      </w:pPr>
      <w:r>
        <w:rPr>
          <w:rFonts w:hint="cs"/>
          <w:rtl/>
        </w:rPr>
        <w:tab/>
        <w:t>בפסיקה נקבע כי בית המשפט ישקול, בטרם החלטתו אם העונשים ירוצו במצטבר או בחופף, את חומרת המעשים, האם מדובר בעבירות עצמאיות שלהן קיום נפרד או שמא מדובר במסכת עובדתית אחת, האם נסיבות ביצוע העבירות מצדיקות תגובה עונשית מיוחדת (</w:t>
      </w:r>
      <w:hyperlink r:id="rId81" w:history="1">
        <w:r w:rsidR="009A4ACB" w:rsidRPr="009A4ACB">
          <w:rPr>
            <w:rStyle w:val="Hyperlink"/>
            <w:rFonts w:hint="eastAsia"/>
            <w:rtl/>
          </w:rPr>
          <w:t>ע</w:t>
        </w:r>
        <w:r w:rsidR="009A4ACB" w:rsidRPr="009A4ACB">
          <w:rPr>
            <w:rStyle w:val="Hyperlink"/>
            <w:rtl/>
          </w:rPr>
          <w:t>"פ 3503/01 תפאל נ' מדינת ישראל, פ"ד נח</w:t>
        </w:r>
      </w:hyperlink>
      <w:r>
        <w:rPr>
          <w:rFonts w:hint="cs"/>
          <w:rtl/>
        </w:rPr>
        <w:t xml:space="preserve">(1) </w:t>
      </w:r>
      <w:r w:rsidRPr="002D2380">
        <w:rPr>
          <w:rFonts w:hint="cs"/>
          <w:rtl/>
        </w:rPr>
        <w:t>865 865, 872 (2003</w:t>
      </w:r>
      <w:r>
        <w:rPr>
          <w:rFonts w:hint="cs"/>
          <w:rtl/>
        </w:rPr>
        <w:t xml:space="preserve">)). המבחן העיקרי הוא מבחן מהותי </w:t>
      </w:r>
      <w:r>
        <w:rPr>
          <w:rtl/>
        </w:rPr>
        <w:t>–</w:t>
      </w:r>
      <w:r>
        <w:rPr>
          <w:rFonts w:hint="cs"/>
          <w:rtl/>
        </w:rPr>
        <w:t xml:space="preserve"> מוסרי שעניינו בחינת הפגיעה שנגרמה על ידי העבירה הנוספת, האינטרסים המוגנים והערכים החברתיים עליהן מגינה כל עבירה, והשיקולים המוכרים העומדים בבסיס הענישה (ראו </w:t>
      </w:r>
      <w:hyperlink r:id="rId82" w:history="1">
        <w:r w:rsidR="009A4ACB" w:rsidRPr="009A4ACB">
          <w:rPr>
            <w:rStyle w:val="Hyperlink"/>
            <w:rFonts w:hint="eastAsia"/>
            <w:rtl/>
          </w:rPr>
          <w:t>ע</w:t>
        </w:r>
        <w:r w:rsidR="009A4ACB" w:rsidRPr="009A4ACB">
          <w:rPr>
            <w:rStyle w:val="Hyperlink"/>
            <w:rtl/>
          </w:rPr>
          <w:t>"פ 4089/07</w:t>
        </w:r>
      </w:hyperlink>
      <w:r>
        <w:rPr>
          <w:rFonts w:hint="cs"/>
          <w:rtl/>
        </w:rPr>
        <w:t xml:space="preserve"> </w:t>
      </w:r>
      <w:r w:rsidRPr="003A1850">
        <w:rPr>
          <w:rFonts w:cs="Miriam" w:hint="cs"/>
          <w:rtl/>
        </w:rPr>
        <w:t>סייף נ' מדינת ישראל</w:t>
      </w:r>
      <w:r>
        <w:rPr>
          <w:rFonts w:hint="cs"/>
          <w:rtl/>
        </w:rPr>
        <w:t xml:space="preserve"> (6.5.2010); </w:t>
      </w:r>
      <w:hyperlink r:id="rId83" w:history="1">
        <w:r w:rsidR="009A4ACB" w:rsidRPr="009A4ACB">
          <w:rPr>
            <w:rStyle w:val="Hyperlink"/>
            <w:rFonts w:hint="eastAsia"/>
            <w:rtl/>
          </w:rPr>
          <w:t>ע</w:t>
        </w:r>
        <w:r w:rsidR="009A4ACB" w:rsidRPr="009A4ACB">
          <w:rPr>
            <w:rStyle w:val="Hyperlink"/>
            <w:rtl/>
          </w:rPr>
          <w:t>"פ 6294/11</w:t>
        </w:r>
      </w:hyperlink>
      <w:r>
        <w:rPr>
          <w:rFonts w:hint="cs"/>
          <w:rtl/>
        </w:rPr>
        <w:t xml:space="preserve"> </w:t>
      </w:r>
      <w:r w:rsidRPr="003A1850">
        <w:rPr>
          <w:rFonts w:cs="Miriam" w:hint="cs"/>
          <w:rtl/>
        </w:rPr>
        <w:t>פלוני נ' מדינת ישראל</w:t>
      </w:r>
      <w:r>
        <w:rPr>
          <w:rFonts w:hint="cs"/>
          <w:rtl/>
        </w:rPr>
        <w:t xml:space="preserve"> (20.2.2014); </w:t>
      </w:r>
      <w:hyperlink r:id="rId84" w:history="1">
        <w:r w:rsidR="009A4ACB" w:rsidRPr="009A4ACB">
          <w:rPr>
            <w:rStyle w:val="Hyperlink"/>
            <w:rFonts w:hint="eastAsia"/>
            <w:rtl/>
          </w:rPr>
          <w:t>ע</w:t>
        </w:r>
        <w:r w:rsidR="009A4ACB" w:rsidRPr="009A4ACB">
          <w:rPr>
            <w:rStyle w:val="Hyperlink"/>
            <w:rtl/>
          </w:rPr>
          <w:t>"פ 2544/12</w:t>
        </w:r>
      </w:hyperlink>
      <w:r>
        <w:rPr>
          <w:rFonts w:hint="cs"/>
          <w:rtl/>
        </w:rPr>
        <w:t xml:space="preserve"> </w:t>
      </w:r>
      <w:r>
        <w:rPr>
          <w:rFonts w:cs="Miriam" w:hint="cs"/>
          <w:rtl/>
        </w:rPr>
        <w:t>פט</w:t>
      </w:r>
      <w:r w:rsidRPr="003A1850">
        <w:rPr>
          <w:rFonts w:cs="Miriam" w:hint="cs"/>
          <w:rtl/>
        </w:rPr>
        <w:t>אפאה נ' מדינת ישראל</w:t>
      </w:r>
      <w:r>
        <w:rPr>
          <w:rFonts w:hint="cs"/>
          <w:rtl/>
        </w:rPr>
        <w:t xml:space="preserve"> (4.8.2014); </w:t>
      </w:r>
      <w:hyperlink r:id="rId85" w:history="1">
        <w:r w:rsidR="009A4ACB" w:rsidRPr="009A4ACB">
          <w:rPr>
            <w:rStyle w:val="Hyperlink"/>
            <w:rFonts w:hint="eastAsia"/>
            <w:rtl/>
          </w:rPr>
          <w:t>ע</w:t>
        </w:r>
        <w:r w:rsidR="009A4ACB" w:rsidRPr="009A4ACB">
          <w:rPr>
            <w:rStyle w:val="Hyperlink"/>
            <w:rtl/>
          </w:rPr>
          <w:t>"פ 2453/15</w:t>
        </w:r>
      </w:hyperlink>
      <w:r>
        <w:rPr>
          <w:rFonts w:hint="cs"/>
          <w:rtl/>
        </w:rPr>
        <w:t xml:space="preserve"> </w:t>
      </w:r>
      <w:r w:rsidRPr="003A1850">
        <w:rPr>
          <w:rFonts w:cs="Miriam" w:hint="cs"/>
          <w:rtl/>
        </w:rPr>
        <w:t>חיימוב נ' מדינת ישראל</w:t>
      </w:r>
      <w:r>
        <w:rPr>
          <w:rFonts w:hint="cs"/>
          <w:rtl/>
        </w:rPr>
        <w:t xml:space="preserve"> (11.12.2016); </w:t>
      </w:r>
      <w:hyperlink r:id="rId86" w:history="1">
        <w:r w:rsidR="009A4ACB" w:rsidRPr="009A4ACB">
          <w:rPr>
            <w:rStyle w:val="Hyperlink"/>
            <w:rtl/>
          </w:rPr>
          <w:t>ע"פ  8080/12</w:t>
        </w:r>
      </w:hyperlink>
      <w:r w:rsidRPr="009F043D">
        <w:rPr>
          <w:rFonts w:cs="Miriam"/>
          <w:rtl/>
        </w:rPr>
        <w:t xml:space="preserve"> מדינת ישראל</w:t>
      </w:r>
      <w:r w:rsidRPr="009F043D">
        <w:rPr>
          <w:rFonts w:cs="Miriam" w:hint="cs"/>
          <w:rtl/>
        </w:rPr>
        <w:t xml:space="preserve"> </w:t>
      </w:r>
      <w:r w:rsidRPr="009F043D">
        <w:rPr>
          <w:rFonts w:cs="Miriam"/>
          <w:rtl/>
        </w:rPr>
        <w:t>נ</w:t>
      </w:r>
      <w:r>
        <w:rPr>
          <w:rFonts w:cs="Miriam" w:hint="cs"/>
          <w:rtl/>
        </w:rPr>
        <w:t>'</w:t>
      </w:r>
      <w:r w:rsidRPr="009F043D">
        <w:rPr>
          <w:rFonts w:cs="Miriam"/>
          <w:rtl/>
        </w:rPr>
        <w:t xml:space="preserve"> אולמרט</w:t>
      </w:r>
      <w:r>
        <w:rPr>
          <w:rtl/>
        </w:rPr>
        <w:t xml:space="preserve">, </w:t>
      </w:r>
      <w:r>
        <w:rPr>
          <w:rFonts w:hint="cs"/>
          <w:rtl/>
        </w:rPr>
        <w:t>פסקה 145</w:t>
      </w:r>
      <w:r>
        <w:rPr>
          <w:rtl/>
        </w:rPr>
        <w:t xml:space="preserve"> (28</w:t>
      </w:r>
      <w:r>
        <w:rPr>
          <w:rFonts w:hint="cs"/>
          <w:rtl/>
        </w:rPr>
        <w:t>.</w:t>
      </w:r>
      <w:r>
        <w:rPr>
          <w:rtl/>
        </w:rPr>
        <w:t>9</w:t>
      </w:r>
      <w:r>
        <w:rPr>
          <w:rFonts w:hint="cs"/>
          <w:rtl/>
        </w:rPr>
        <w:t>.</w:t>
      </w:r>
      <w:r>
        <w:rPr>
          <w:rtl/>
        </w:rPr>
        <w:t>2016</w:t>
      </w:r>
      <w:r>
        <w:rPr>
          <w:rFonts w:hint="cs"/>
          <w:rtl/>
        </w:rPr>
        <w:t xml:space="preserve">)). </w:t>
      </w:r>
    </w:p>
    <w:p w14:paraId="44D54E1D" w14:textId="77777777" w:rsidR="000F21E0" w:rsidRDefault="000F21E0" w:rsidP="000F21E0">
      <w:pPr>
        <w:spacing w:line="360" w:lineRule="auto"/>
        <w:jc w:val="both"/>
        <w:rPr>
          <w:rtl/>
        </w:rPr>
      </w:pPr>
    </w:p>
    <w:p w14:paraId="4622824E" w14:textId="77777777" w:rsidR="000F21E0" w:rsidRDefault="000F21E0" w:rsidP="000F21E0">
      <w:pPr>
        <w:spacing w:line="360" w:lineRule="auto"/>
        <w:jc w:val="both"/>
        <w:rPr>
          <w:rtl/>
        </w:rPr>
      </w:pPr>
      <w:r>
        <w:rPr>
          <w:rFonts w:hint="cs"/>
          <w:rtl/>
        </w:rPr>
        <w:t>35.</w:t>
      </w:r>
      <w:r>
        <w:rPr>
          <w:rFonts w:hint="cs"/>
          <w:rtl/>
        </w:rPr>
        <w:tab/>
        <w:t xml:space="preserve">במקרה הנוכחי הורשע אחמד גם בתיק הנוסף בעבירות בנשק. מתברר כי אחמד החזיק שלא כדין באקדח וכשהגיעו השוטרים לסוכת אבלים בבית משפחתו, נמלט מהמקום עם האקדח. אחמד השליך את האקדח במהלך מנוסתו. </w:t>
      </w:r>
    </w:p>
    <w:p w14:paraId="34EDC706" w14:textId="77777777" w:rsidR="000F21E0" w:rsidRDefault="000F21E0" w:rsidP="000F21E0">
      <w:pPr>
        <w:spacing w:line="360" w:lineRule="auto"/>
        <w:jc w:val="both"/>
        <w:rPr>
          <w:rtl/>
        </w:rPr>
      </w:pPr>
    </w:p>
    <w:p w14:paraId="20F8FF1B" w14:textId="77777777" w:rsidR="000F21E0" w:rsidRDefault="000F21E0" w:rsidP="000F21E0">
      <w:pPr>
        <w:spacing w:line="360" w:lineRule="auto"/>
        <w:jc w:val="both"/>
        <w:rPr>
          <w:rtl/>
        </w:rPr>
      </w:pPr>
      <w:r>
        <w:rPr>
          <w:rtl/>
        </w:rPr>
        <w:tab/>
      </w:r>
      <w:r>
        <w:rPr>
          <w:rFonts w:hint="cs"/>
          <w:rtl/>
        </w:rPr>
        <w:t xml:space="preserve">מדובר בעבירה עצמאית ונפרדת שגם היא נעברה </w:t>
      </w:r>
      <w:r w:rsidRPr="00FE7B77">
        <w:rPr>
          <w:rFonts w:hint="cs"/>
          <w:rtl/>
        </w:rPr>
        <w:t>בנשק. אין</w:t>
      </w:r>
      <w:r>
        <w:rPr>
          <w:rFonts w:hint="cs"/>
          <w:rtl/>
        </w:rPr>
        <w:t xml:space="preserve"> זיקה בין המעשים מושא שני האישומים. יש לראות בחומרה את העובדה כי אחמד שב והחזיק אקדח שלא כדין, לאחר שאקדח קודם שמסר לאחמד פתחי הביא למותו של המנוח. שיקולי הענישה, הצורך בהרתעה וביטוי לחומרת המעשים, מחייבים לקבוע כי העונשים ירוצו במצטבר. </w:t>
      </w:r>
    </w:p>
    <w:p w14:paraId="0B5F850E" w14:textId="77777777" w:rsidR="000F21E0" w:rsidRDefault="000F21E0" w:rsidP="000F21E0">
      <w:pPr>
        <w:spacing w:line="360" w:lineRule="auto"/>
        <w:jc w:val="both"/>
        <w:rPr>
          <w:rtl/>
        </w:rPr>
      </w:pPr>
    </w:p>
    <w:p w14:paraId="6A80202F" w14:textId="77777777" w:rsidR="000F21E0" w:rsidRDefault="000F21E0" w:rsidP="000F21E0">
      <w:pPr>
        <w:spacing w:line="360" w:lineRule="auto"/>
        <w:jc w:val="both"/>
        <w:rPr>
          <w:rtl/>
        </w:rPr>
      </w:pPr>
      <w:r>
        <w:rPr>
          <w:rFonts w:hint="cs"/>
          <w:rtl/>
        </w:rPr>
        <w:t>36.</w:t>
      </w:r>
      <w:r>
        <w:rPr>
          <w:rFonts w:hint="cs"/>
          <w:rtl/>
        </w:rPr>
        <w:tab/>
        <w:t xml:space="preserve">המאשימה מבקשת להשית גם על אחמד קנס. אין טענה ואין ראיה כי אחמד ביצע את המעשה </w:t>
      </w:r>
      <w:r w:rsidRPr="002D2380">
        <w:rPr>
          <w:rFonts w:hint="cs"/>
          <w:rtl/>
        </w:rPr>
        <w:t>לשם קבלת טובת הנאה כספית כלשהי. על כן אנו סבורים שראוי להטיל על אחמד קנס כספי בסכום לא גבוה.</w:t>
      </w:r>
      <w:r>
        <w:rPr>
          <w:rFonts w:hint="cs"/>
          <w:rtl/>
        </w:rPr>
        <w:t xml:space="preserve"> </w:t>
      </w:r>
    </w:p>
    <w:p w14:paraId="505F8A75" w14:textId="77777777" w:rsidR="000F21E0" w:rsidRDefault="000F21E0" w:rsidP="000F21E0">
      <w:pPr>
        <w:spacing w:line="360" w:lineRule="auto"/>
        <w:jc w:val="both"/>
        <w:rPr>
          <w:rtl/>
        </w:rPr>
      </w:pPr>
    </w:p>
    <w:p w14:paraId="7C4F8D1B" w14:textId="77777777" w:rsidR="000F21E0" w:rsidRDefault="000F21E0" w:rsidP="000F21E0">
      <w:pPr>
        <w:spacing w:line="360" w:lineRule="auto"/>
        <w:jc w:val="both"/>
        <w:rPr>
          <w:rtl/>
        </w:rPr>
      </w:pPr>
      <w:r>
        <w:rPr>
          <w:rFonts w:hint="cs"/>
          <w:rtl/>
        </w:rPr>
        <w:t>37.</w:t>
      </w:r>
      <w:r>
        <w:rPr>
          <w:rFonts w:hint="cs"/>
          <w:rtl/>
        </w:rPr>
        <w:tab/>
        <w:t xml:space="preserve">אף שאחמד לא הורשע בקשירת קשר להמתת המנוח, ואף כי אין ראיה שידע מהי כוונתם של אחמד פתחי ואייל, הרי ברור שידע והבין כי האקדח עלול לסכן חיים ולגרום לנזק. על כן, יש מקום לחייב גם את אחמד לשלם פיצוי למשפחת הקרבן. </w:t>
      </w:r>
    </w:p>
    <w:p w14:paraId="12E54683" w14:textId="77777777" w:rsidR="000F21E0" w:rsidRDefault="000F21E0" w:rsidP="000F21E0">
      <w:pPr>
        <w:spacing w:line="360" w:lineRule="auto"/>
        <w:jc w:val="both"/>
        <w:rPr>
          <w:rtl/>
        </w:rPr>
      </w:pPr>
    </w:p>
    <w:p w14:paraId="00CED341" w14:textId="77777777" w:rsidR="000F21E0" w:rsidRDefault="000F21E0" w:rsidP="000F21E0">
      <w:pPr>
        <w:spacing w:line="360" w:lineRule="auto"/>
        <w:ind w:firstLine="720"/>
        <w:jc w:val="both"/>
        <w:rPr>
          <w:rtl/>
        </w:rPr>
      </w:pPr>
      <w:r>
        <w:rPr>
          <w:rFonts w:hint="cs"/>
          <w:rtl/>
        </w:rPr>
        <w:t xml:space="preserve">בקביעת סכום פיצוי זה נביא בחשבון את חלקו של אחמד במעשה, ולכן נטיל עליו פיצוי בסך </w:t>
      </w:r>
      <w:r w:rsidRPr="002D2380">
        <w:rPr>
          <w:rFonts w:hint="cs"/>
          <w:rtl/>
        </w:rPr>
        <w:t>של 80,000 ₪ בלבד. לצד כל אלו יש כמובן להטיל על אחמד עונשי מאסר על תנאי.</w:t>
      </w:r>
      <w:r>
        <w:rPr>
          <w:rFonts w:hint="cs"/>
          <w:rtl/>
        </w:rPr>
        <w:t xml:space="preserve"> </w:t>
      </w:r>
    </w:p>
    <w:p w14:paraId="198B18EA" w14:textId="77777777" w:rsidR="000F21E0" w:rsidRDefault="000F21E0" w:rsidP="000F21E0">
      <w:pPr>
        <w:spacing w:line="360" w:lineRule="auto"/>
        <w:jc w:val="both"/>
        <w:rPr>
          <w:rtl/>
        </w:rPr>
      </w:pPr>
    </w:p>
    <w:p w14:paraId="08479A9C" w14:textId="77777777" w:rsidR="000F21E0" w:rsidRPr="00BA4472" w:rsidRDefault="000F21E0" w:rsidP="000F21E0">
      <w:pPr>
        <w:spacing w:line="360" w:lineRule="auto"/>
        <w:jc w:val="both"/>
        <w:rPr>
          <w:b/>
          <w:bCs/>
          <w:u w:val="single"/>
          <w:rtl/>
        </w:rPr>
      </w:pPr>
      <w:r>
        <w:rPr>
          <w:rFonts w:hint="cs"/>
          <w:b/>
          <w:bCs/>
          <w:u w:val="single"/>
          <w:rtl/>
        </w:rPr>
        <w:t>סוף דבר</w:t>
      </w:r>
    </w:p>
    <w:p w14:paraId="3E030A3B" w14:textId="77777777" w:rsidR="000F21E0" w:rsidRDefault="000F21E0" w:rsidP="000F21E0">
      <w:pPr>
        <w:spacing w:line="360" w:lineRule="auto"/>
        <w:jc w:val="both"/>
        <w:rPr>
          <w:rtl/>
        </w:rPr>
      </w:pPr>
      <w:r>
        <w:rPr>
          <w:rFonts w:hint="cs"/>
          <w:rtl/>
        </w:rPr>
        <w:t>38.</w:t>
      </w:r>
      <w:r>
        <w:rPr>
          <w:rFonts w:hint="cs"/>
          <w:rtl/>
        </w:rPr>
        <w:tab/>
        <w:t>לאור כל האמור, אנו גוזרים על הנאשמים את העונשים כדלקמן:</w:t>
      </w:r>
    </w:p>
    <w:p w14:paraId="15AC5A6E" w14:textId="77777777" w:rsidR="000F21E0" w:rsidRDefault="000F21E0" w:rsidP="000F21E0">
      <w:pPr>
        <w:spacing w:line="360" w:lineRule="auto"/>
        <w:jc w:val="both"/>
        <w:rPr>
          <w:rtl/>
        </w:rPr>
      </w:pPr>
    </w:p>
    <w:p w14:paraId="1015F9CB" w14:textId="77777777" w:rsidR="000F21E0" w:rsidRPr="00101587" w:rsidRDefault="000F21E0" w:rsidP="000F21E0">
      <w:pPr>
        <w:spacing w:line="360" w:lineRule="auto"/>
        <w:jc w:val="both"/>
        <w:rPr>
          <w:b/>
          <w:bCs/>
          <w:u w:val="single"/>
          <w:rtl/>
        </w:rPr>
      </w:pPr>
      <w:r w:rsidRPr="00101587">
        <w:rPr>
          <w:rFonts w:hint="cs"/>
          <w:b/>
          <w:bCs/>
          <w:u w:val="single"/>
          <w:rtl/>
        </w:rPr>
        <w:t>על אייל הייב:</w:t>
      </w:r>
    </w:p>
    <w:p w14:paraId="361C8D54" w14:textId="77777777" w:rsidR="000F21E0" w:rsidRDefault="000F21E0" w:rsidP="000F21E0">
      <w:pPr>
        <w:spacing w:line="360" w:lineRule="auto"/>
        <w:jc w:val="both"/>
        <w:rPr>
          <w:rtl/>
        </w:rPr>
      </w:pPr>
      <w:r>
        <w:rPr>
          <w:rtl/>
        </w:rPr>
        <w:tab/>
      </w:r>
      <w:r>
        <w:rPr>
          <w:rFonts w:hint="cs"/>
          <w:rtl/>
        </w:rPr>
        <w:t>(א)</w:t>
      </w:r>
      <w:r>
        <w:rPr>
          <w:rFonts w:hint="cs"/>
          <w:rtl/>
        </w:rPr>
        <w:tab/>
        <w:t>מאסר בפועל של 18 שנים</w:t>
      </w:r>
      <w:r w:rsidRPr="00FE7B77">
        <w:rPr>
          <w:rFonts w:hint="cs"/>
          <w:rtl/>
        </w:rPr>
        <w:t xml:space="preserve">, </w:t>
      </w:r>
      <w:r>
        <w:rPr>
          <w:rFonts w:hint="cs"/>
          <w:rtl/>
        </w:rPr>
        <w:t xml:space="preserve">אשר יימנה </w:t>
      </w:r>
      <w:r w:rsidRPr="00FE7B77">
        <w:rPr>
          <w:rFonts w:hint="cs"/>
          <w:rtl/>
        </w:rPr>
        <w:t>מיום מעצרו 20.4.2015.</w:t>
      </w:r>
    </w:p>
    <w:p w14:paraId="0066AC48" w14:textId="77777777" w:rsidR="000F21E0" w:rsidRDefault="000F21E0" w:rsidP="000F21E0">
      <w:pPr>
        <w:spacing w:line="360" w:lineRule="auto"/>
        <w:jc w:val="both"/>
        <w:rPr>
          <w:rtl/>
        </w:rPr>
      </w:pPr>
    </w:p>
    <w:p w14:paraId="7DEBF4AF" w14:textId="77777777" w:rsidR="000F21E0" w:rsidRDefault="000F21E0" w:rsidP="000F21E0">
      <w:pPr>
        <w:spacing w:line="360" w:lineRule="auto"/>
        <w:ind w:left="720"/>
        <w:jc w:val="both"/>
        <w:rPr>
          <w:rtl/>
        </w:rPr>
      </w:pPr>
      <w:r w:rsidRPr="002D2380">
        <w:rPr>
          <w:rFonts w:hint="cs"/>
          <w:rtl/>
        </w:rPr>
        <w:t>(ב)</w:t>
      </w:r>
      <w:r w:rsidRPr="002D2380">
        <w:rPr>
          <w:rtl/>
        </w:rPr>
        <w:tab/>
      </w:r>
      <w:r w:rsidRPr="002D2380">
        <w:rPr>
          <w:rFonts w:hint="cs"/>
          <w:rtl/>
        </w:rPr>
        <w:t xml:space="preserve">מאסר מותנה של 18 חודשים, </w:t>
      </w:r>
      <w:r>
        <w:rPr>
          <w:rFonts w:hint="cs"/>
          <w:rtl/>
        </w:rPr>
        <w:t xml:space="preserve">לבל יעבור </w:t>
      </w:r>
      <w:r w:rsidRPr="002D2380">
        <w:rPr>
          <w:rFonts w:hint="cs"/>
          <w:rtl/>
        </w:rPr>
        <w:t xml:space="preserve">הנאשם תוך שלוש שנים מיום שחרורו, עבירת אלימות מסוג פשע או קשירת קשר לפשע ו/או עבירה בנשק מסוג פשע לפי </w:t>
      </w:r>
      <w:hyperlink r:id="rId87" w:history="1">
        <w:r w:rsidR="000B152A" w:rsidRPr="000B152A">
          <w:rPr>
            <w:color w:val="0000FF"/>
            <w:u w:val="single"/>
            <w:rtl/>
          </w:rPr>
          <w:t>סעיף 144</w:t>
        </w:r>
      </w:hyperlink>
      <w:r w:rsidRPr="002D2380">
        <w:rPr>
          <w:rFonts w:hint="cs"/>
          <w:rtl/>
        </w:rPr>
        <w:t xml:space="preserve"> ל</w:t>
      </w:r>
      <w:hyperlink r:id="rId88" w:history="1">
        <w:r w:rsidR="009A4ACB" w:rsidRPr="009A4ACB">
          <w:rPr>
            <w:rStyle w:val="Hyperlink"/>
            <w:rFonts w:hint="eastAsia"/>
            <w:rtl/>
          </w:rPr>
          <w:t>חוק</w:t>
        </w:r>
        <w:r w:rsidR="009A4ACB" w:rsidRPr="009A4ACB">
          <w:rPr>
            <w:rStyle w:val="Hyperlink"/>
            <w:rtl/>
          </w:rPr>
          <w:t xml:space="preserve"> העונשין</w:t>
        </w:r>
      </w:hyperlink>
      <w:r w:rsidRPr="002D2380">
        <w:rPr>
          <w:rFonts w:hint="cs"/>
          <w:rtl/>
        </w:rPr>
        <w:t>.</w:t>
      </w:r>
      <w:r>
        <w:rPr>
          <w:rFonts w:hint="cs"/>
          <w:rtl/>
        </w:rPr>
        <w:t xml:space="preserve"> </w:t>
      </w:r>
    </w:p>
    <w:p w14:paraId="6016D60F" w14:textId="77777777" w:rsidR="000F21E0" w:rsidRDefault="000F21E0" w:rsidP="000F21E0">
      <w:pPr>
        <w:spacing w:line="360" w:lineRule="auto"/>
        <w:jc w:val="both"/>
        <w:rPr>
          <w:rtl/>
        </w:rPr>
      </w:pPr>
    </w:p>
    <w:p w14:paraId="671EE8AB" w14:textId="77777777" w:rsidR="000F21E0" w:rsidRDefault="000F21E0" w:rsidP="000F21E0">
      <w:pPr>
        <w:spacing w:line="360" w:lineRule="auto"/>
        <w:ind w:left="720"/>
        <w:jc w:val="both"/>
        <w:rPr>
          <w:rtl/>
        </w:rPr>
      </w:pPr>
      <w:r>
        <w:rPr>
          <w:rFonts w:hint="cs"/>
          <w:rtl/>
        </w:rPr>
        <w:t>(ג)</w:t>
      </w:r>
      <w:r>
        <w:rPr>
          <w:rtl/>
        </w:rPr>
        <w:tab/>
      </w:r>
      <w:r>
        <w:rPr>
          <w:rFonts w:hint="cs"/>
          <w:rtl/>
        </w:rPr>
        <w:t xml:space="preserve">הנאשם ישלם קנס בסך של 50,000 ₪. הקנס ישולם ב- 5 תשלומים חודשיים ושווים החל מיום 1.5.2017. אם לא ישולם הקנס ירצה הנאשם מאסר של 3 חודשים. </w:t>
      </w:r>
    </w:p>
    <w:p w14:paraId="27D0E58E" w14:textId="77777777" w:rsidR="000F21E0" w:rsidRDefault="000F21E0" w:rsidP="000F21E0">
      <w:pPr>
        <w:spacing w:line="360" w:lineRule="auto"/>
        <w:ind w:left="720"/>
        <w:jc w:val="both"/>
        <w:rPr>
          <w:rtl/>
        </w:rPr>
      </w:pPr>
    </w:p>
    <w:p w14:paraId="14032E9D" w14:textId="77777777" w:rsidR="000F21E0" w:rsidRDefault="000F21E0" w:rsidP="000F21E0">
      <w:pPr>
        <w:spacing w:line="360" w:lineRule="auto"/>
        <w:ind w:left="720"/>
        <w:jc w:val="both"/>
        <w:rPr>
          <w:rtl/>
        </w:rPr>
      </w:pPr>
      <w:r>
        <w:rPr>
          <w:rFonts w:hint="cs"/>
          <w:rtl/>
        </w:rPr>
        <w:t>(ד)</w:t>
      </w:r>
      <w:r>
        <w:rPr>
          <w:rtl/>
        </w:rPr>
        <w:tab/>
      </w:r>
      <w:r>
        <w:rPr>
          <w:rFonts w:hint="cs"/>
          <w:rtl/>
        </w:rPr>
        <w:t xml:space="preserve">הנאשם ישלם למשפחת המנוח פיצויים בסך של 250,000 ₪. הפיצויים ישולמו ב- 12 תשלומים חודשיים שווים החל מיום 1.5.2017. התשלומים יבוצעו לקופת בית המשפט ויועברו למשפחת הקרבן. המאשימה תגיש תוך 15 ימים את פרטי חשבון הבנק של משפחת הקרבן. </w:t>
      </w:r>
    </w:p>
    <w:p w14:paraId="591FEF16" w14:textId="77777777" w:rsidR="000F21E0" w:rsidRDefault="000F21E0" w:rsidP="000F21E0">
      <w:pPr>
        <w:spacing w:line="360" w:lineRule="auto"/>
        <w:ind w:left="720"/>
        <w:jc w:val="both"/>
        <w:rPr>
          <w:rtl/>
        </w:rPr>
      </w:pPr>
    </w:p>
    <w:p w14:paraId="392405B8" w14:textId="77777777" w:rsidR="000F21E0" w:rsidRPr="00953E60" w:rsidRDefault="000F21E0" w:rsidP="000F21E0">
      <w:pPr>
        <w:spacing w:line="360" w:lineRule="auto"/>
        <w:jc w:val="both"/>
        <w:rPr>
          <w:b/>
          <w:bCs/>
          <w:u w:val="single"/>
          <w:rtl/>
        </w:rPr>
      </w:pPr>
      <w:r w:rsidRPr="00953E60">
        <w:rPr>
          <w:rFonts w:hint="cs"/>
          <w:b/>
          <w:bCs/>
          <w:u w:val="single"/>
          <w:rtl/>
        </w:rPr>
        <w:t>על אחמד חסארמה:</w:t>
      </w:r>
    </w:p>
    <w:p w14:paraId="35FC3ECF" w14:textId="77777777" w:rsidR="000F21E0" w:rsidRDefault="000F21E0" w:rsidP="000F21E0">
      <w:pPr>
        <w:spacing w:line="360" w:lineRule="auto"/>
        <w:ind w:left="720"/>
        <w:jc w:val="both"/>
        <w:rPr>
          <w:rtl/>
        </w:rPr>
      </w:pPr>
      <w:r>
        <w:rPr>
          <w:rFonts w:hint="cs"/>
          <w:rtl/>
        </w:rPr>
        <w:t>(א)</w:t>
      </w:r>
      <w:r>
        <w:rPr>
          <w:rtl/>
        </w:rPr>
        <w:tab/>
      </w:r>
      <w:r>
        <w:rPr>
          <w:rFonts w:hint="cs"/>
          <w:rtl/>
        </w:rPr>
        <w:t>מאסר בפועל של 4 שנים שיימנו החל מיום 25.11.2015.</w:t>
      </w:r>
    </w:p>
    <w:p w14:paraId="2902524F" w14:textId="77777777" w:rsidR="000F21E0" w:rsidRDefault="000F21E0" w:rsidP="000F21E0">
      <w:pPr>
        <w:spacing w:line="360" w:lineRule="auto"/>
        <w:ind w:left="720"/>
        <w:jc w:val="both"/>
        <w:rPr>
          <w:rtl/>
        </w:rPr>
      </w:pPr>
    </w:p>
    <w:p w14:paraId="591C62A3" w14:textId="77777777" w:rsidR="000F21E0" w:rsidRPr="002D2380" w:rsidRDefault="000F21E0" w:rsidP="000F21E0">
      <w:pPr>
        <w:spacing w:line="360" w:lineRule="auto"/>
        <w:ind w:left="720"/>
        <w:jc w:val="both"/>
        <w:rPr>
          <w:rtl/>
        </w:rPr>
      </w:pPr>
      <w:r w:rsidRPr="002D2380">
        <w:rPr>
          <w:rFonts w:hint="cs"/>
          <w:rtl/>
        </w:rPr>
        <w:t>(ב)</w:t>
      </w:r>
      <w:r w:rsidRPr="002D2380">
        <w:rPr>
          <w:rFonts w:hint="cs"/>
          <w:rtl/>
        </w:rPr>
        <w:tab/>
        <w:t>מ</w:t>
      </w:r>
      <w:r>
        <w:rPr>
          <w:rFonts w:hint="cs"/>
          <w:rtl/>
        </w:rPr>
        <w:t xml:space="preserve">אסר מותנה של 12 חודשים לבל יעבור הנאשם, </w:t>
      </w:r>
      <w:r w:rsidRPr="002D2380">
        <w:rPr>
          <w:rFonts w:hint="cs"/>
          <w:rtl/>
        </w:rPr>
        <w:t>תוך 3 שנים משחרורו עבירה בה הורשע.</w:t>
      </w:r>
    </w:p>
    <w:p w14:paraId="3100DB10" w14:textId="77777777" w:rsidR="000F21E0" w:rsidRDefault="000F21E0" w:rsidP="000F21E0">
      <w:pPr>
        <w:spacing w:line="360" w:lineRule="auto"/>
        <w:ind w:left="720"/>
        <w:jc w:val="both"/>
        <w:rPr>
          <w:rtl/>
        </w:rPr>
      </w:pPr>
      <w:r w:rsidRPr="002D2380">
        <w:rPr>
          <w:rFonts w:hint="cs"/>
          <w:rtl/>
        </w:rPr>
        <w:t>(ג)</w:t>
      </w:r>
      <w:r w:rsidRPr="002D2380">
        <w:rPr>
          <w:rFonts w:hint="cs"/>
          <w:rtl/>
        </w:rPr>
        <w:tab/>
        <w:t>הנאשם ישלם קנס בסך 1</w:t>
      </w:r>
      <w:r>
        <w:rPr>
          <w:rFonts w:hint="cs"/>
          <w:rtl/>
        </w:rPr>
        <w:t>0</w:t>
      </w:r>
      <w:r w:rsidRPr="002D2380">
        <w:rPr>
          <w:rFonts w:hint="cs"/>
          <w:rtl/>
        </w:rPr>
        <w:t xml:space="preserve">,000 ₪ או </w:t>
      </w:r>
      <w:r>
        <w:rPr>
          <w:rFonts w:hint="cs"/>
          <w:rtl/>
        </w:rPr>
        <w:t>3</w:t>
      </w:r>
      <w:r w:rsidRPr="002D2380">
        <w:rPr>
          <w:rFonts w:hint="cs"/>
          <w:rtl/>
        </w:rPr>
        <w:t xml:space="preserve">0 ימי מאסר תמורתו. </w:t>
      </w:r>
      <w:r>
        <w:rPr>
          <w:rFonts w:hint="cs"/>
          <w:rtl/>
        </w:rPr>
        <w:t>הקנס ישולם  ב- 5 תשלומים חודשיים ושווים החל מיום 1.5.2017</w:t>
      </w:r>
      <w:r w:rsidRPr="002D2380">
        <w:rPr>
          <w:rFonts w:hint="cs"/>
          <w:rtl/>
        </w:rPr>
        <w:t>.</w:t>
      </w:r>
    </w:p>
    <w:p w14:paraId="08E0B21C" w14:textId="77777777" w:rsidR="000F21E0" w:rsidRDefault="000F21E0" w:rsidP="000F21E0">
      <w:pPr>
        <w:spacing w:line="360" w:lineRule="auto"/>
        <w:ind w:left="720"/>
        <w:jc w:val="both"/>
        <w:rPr>
          <w:rtl/>
        </w:rPr>
      </w:pPr>
    </w:p>
    <w:p w14:paraId="2F1D7F9D" w14:textId="77777777" w:rsidR="000F21E0" w:rsidRDefault="000F21E0" w:rsidP="000F21E0">
      <w:pPr>
        <w:spacing w:line="360" w:lineRule="auto"/>
        <w:ind w:left="720"/>
        <w:jc w:val="both"/>
        <w:rPr>
          <w:rtl/>
        </w:rPr>
      </w:pPr>
      <w:r w:rsidRPr="002D2380">
        <w:rPr>
          <w:rFonts w:hint="cs"/>
          <w:rtl/>
        </w:rPr>
        <w:t>(ד)</w:t>
      </w:r>
      <w:r w:rsidRPr="002D2380">
        <w:rPr>
          <w:rtl/>
        </w:rPr>
        <w:tab/>
      </w:r>
      <w:r w:rsidRPr="002D2380">
        <w:rPr>
          <w:rFonts w:hint="cs"/>
          <w:rtl/>
        </w:rPr>
        <w:t>הנאשם ישלם למשפחת הקרבן פיצוי בסך של 80,000 ₪. הפיצוי ישולם ב- 10 תשלומים חודשיים החל מיום 1.5.2017.</w:t>
      </w:r>
    </w:p>
    <w:p w14:paraId="19B580A8" w14:textId="77777777" w:rsidR="000F21E0" w:rsidRDefault="000F21E0" w:rsidP="000F21E0">
      <w:pPr>
        <w:spacing w:line="360" w:lineRule="auto"/>
        <w:ind w:left="720"/>
        <w:jc w:val="both"/>
        <w:rPr>
          <w:rtl/>
        </w:rPr>
      </w:pPr>
    </w:p>
    <w:p w14:paraId="63155F9B" w14:textId="77777777" w:rsidR="000F21E0" w:rsidRDefault="000F21E0" w:rsidP="000F21E0">
      <w:pPr>
        <w:spacing w:line="360" w:lineRule="auto"/>
        <w:jc w:val="both"/>
        <w:rPr>
          <w:rtl/>
        </w:rPr>
      </w:pPr>
      <w:r>
        <w:rPr>
          <w:rFonts w:hint="cs"/>
          <w:rtl/>
        </w:rPr>
        <w:t xml:space="preserve">זכות ערעור לבית המשפט העליון תוך 45 יום. </w:t>
      </w:r>
    </w:p>
    <w:p w14:paraId="4601AE73" w14:textId="77777777" w:rsidR="000F21E0" w:rsidRDefault="000F21E0" w:rsidP="000F21E0">
      <w:pPr>
        <w:rPr>
          <w:rtl/>
        </w:rPr>
      </w:pPr>
    </w:p>
    <w:p w14:paraId="498E5642" w14:textId="77777777" w:rsidR="000F21E0" w:rsidRPr="00B05847" w:rsidRDefault="000F21E0" w:rsidP="000F21E0">
      <w:pPr>
        <w:rPr>
          <w:rtl/>
        </w:rPr>
      </w:pPr>
    </w:p>
    <w:p w14:paraId="748FEBB4" w14:textId="77777777" w:rsidR="000F21E0" w:rsidRPr="002F1423" w:rsidRDefault="009A4ACB" w:rsidP="000F21E0">
      <w:pPr>
        <w:rPr>
          <w:rtl/>
        </w:rPr>
      </w:pPr>
      <w:r w:rsidRPr="009A4ACB">
        <w:rPr>
          <w:b/>
          <w:bCs/>
          <w:color w:val="FFFFFF"/>
          <w:sz w:val="2"/>
          <w:szCs w:val="2"/>
          <w:rtl/>
        </w:rPr>
        <w:t>5129371</w:t>
      </w:r>
      <w:r>
        <w:rPr>
          <w:b/>
          <w:bCs/>
          <w:rtl/>
        </w:rPr>
        <w:t xml:space="preserve">ניתן והודע היום כ"ד אדר תשע"ז, 22/3/2017 במעמד הנוכחים.  </w:t>
      </w:r>
    </w:p>
    <w:tbl>
      <w:tblPr>
        <w:bidiVisual/>
        <w:tblW w:w="8930" w:type="dxa"/>
        <w:tblInd w:w="904" w:type="dxa"/>
        <w:tblLook w:val="01E0" w:firstRow="1" w:lastRow="1" w:firstColumn="1" w:lastColumn="1" w:noHBand="0" w:noVBand="0"/>
      </w:tblPr>
      <w:tblGrid>
        <w:gridCol w:w="2516"/>
        <w:gridCol w:w="3420"/>
        <w:gridCol w:w="2994"/>
      </w:tblGrid>
      <w:tr w:rsidR="000F21E0" w14:paraId="720DBC4F" w14:textId="77777777" w:rsidTr="009A4ACB">
        <w:tc>
          <w:tcPr>
            <w:tcW w:w="2516" w:type="dxa"/>
            <w:shd w:val="clear" w:color="auto" w:fill="auto"/>
          </w:tcPr>
          <w:p w14:paraId="50524E67" w14:textId="77777777" w:rsidR="000F21E0" w:rsidRPr="009A4ACB" w:rsidRDefault="009A4ACB" w:rsidP="009A4ACB">
            <w:pPr>
              <w:jc w:val="center"/>
              <w:rPr>
                <w:color w:val="FFFFFF"/>
                <w:sz w:val="2"/>
                <w:szCs w:val="2"/>
                <w:rtl/>
              </w:rPr>
            </w:pPr>
            <w:r w:rsidRPr="009A4ACB">
              <w:rPr>
                <w:color w:val="FFFFFF"/>
                <w:sz w:val="2"/>
                <w:szCs w:val="2"/>
                <w:rtl/>
              </w:rPr>
              <w:t>54678313</w:t>
            </w:r>
          </w:p>
        </w:tc>
        <w:tc>
          <w:tcPr>
            <w:tcW w:w="3420" w:type="dxa"/>
            <w:shd w:val="clear" w:color="auto" w:fill="auto"/>
          </w:tcPr>
          <w:p w14:paraId="0096A28F" w14:textId="77777777" w:rsidR="000F21E0" w:rsidRPr="00507DD4" w:rsidRDefault="000F21E0" w:rsidP="009A4ACB">
            <w:pPr>
              <w:spacing w:line="360" w:lineRule="auto"/>
              <w:jc w:val="center"/>
              <w:rPr>
                <w:rFonts w:cs="FrankRuehl"/>
              </w:rPr>
            </w:pPr>
          </w:p>
          <w:p w14:paraId="2DE6F2F6" w14:textId="77777777" w:rsidR="000F21E0" w:rsidRPr="00507DD4" w:rsidRDefault="000F21E0" w:rsidP="009A4ACB">
            <w:pPr>
              <w:jc w:val="center"/>
              <w:rPr>
                <w:rFonts w:cs="Times New Roman"/>
                <w:rtl/>
              </w:rPr>
            </w:pPr>
          </w:p>
        </w:tc>
        <w:tc>
          <w:tcPr>
            <w:tcW w:w="2994" w:type="dxa"/>
            <w:shd w:val="clear" w:color="auto" w:fill="auto"/>
          </w:tcPr>
          <w:p w14:paraId="100384E3" w14:textId="77777777" w:rsidR="000F21E0" w:rsidRDefault="000F21E0" w:rsidP="009A4ACB">
            <w:pPr>
              <w:jc w:val="center"/>
            </w:pPr>
          </w:p>
        </w:tc>
      </w:tr>
      <w:tr w:rsidR="000F21E0" w14:paraId="1D51B27B" w14:textId="77777777" w:rsidTr="009A4ACB">
        <w:tc>
          <w:tcPr>
            <w:tcW w:w="2516" w:type="dxa"/>
            <w:shd w:val="clear" w:color="auto" w:fill="auto"/>
          </w:tcPr>
          <w:p w14:paraId="13FE21F8" w14:textId="77777777" w:rsidR="000F21E0" w:rsidRPr="00507DD4" w:rsidRDefault="000F21E0" w:rsidP="009A4ACB">
            <w:pPr>
              <w:spacing w:line="360" w:lineRule="auto"/>
              <w:jc w:val="center"/>
              <w:rPr>
                <w:b/>
                <w:bCs/>
              </w:rPr>
            </w:pPr>
            <w:r w:rsidRPr="00507DD4">
              <w:rPr>
                <w:rFonts w:hint="cs"/>
                <w:b/>
                <w:bCs/>
                <w:rtl/>
              </w:rPr>
              <w:t>רון  סוקול, שופט</w:t>
            </w:r>
          </w:p>
          <w:p w14:paraId="1769DB52" w14:textId="77777777" w:rsidR="000F21E0" w:rsidRPr="00507DD4" w:rsidRDefault="000F21E0" w:rsidP="009A4ACB">
            <w:pPr>
              <w:spacing w:line="360" w:lineRule="auto"/>
              <w:jc w:val="center"/>
              <w:rPr>
                <w:b/>
                <w:bCs/>
                <w:rtl/>
              </w:rPr>
            </w:pPr>
            <w:r w:rsidRPr="00507DD4">
              <w:rPr>
                <w:rFonts w:hint="cs"/>
                <w:b/>
                <w:bCs/>
                <w:rtl/>
              </w:rPr>
              <w:t>אב"ד</w:t>
            </w:r>
          </w:p>
        </w:tc>
        <w:tc>
          <w:tcPr>
            <w:tcW w:w="3420" w:type="dxa"/>
            <w:shd w:val="clear" w:color="auto" w:fill="auto"/>
          </w:tcPr>
          <w:p w14:paraId="530FA36B" w14:textId="77777777" w:rsidR="000F21E0" w:rsidRPr="00507DD4" w:rsidRDefault="000F21E0" w:rsidP="009A4ACB">
            <w:pPr>
              <w:spacing w:line="360" w:lineRule="auto"/>
              <w:jc w:val="center"/>
              <w:rPr>
                <w:b/>
                <w:bCs/>
                <w:rtl/>
              </w:rPr>
            </w:pPr>
            <w:r w:rsidRPr="00507DD4">
              <w:rPr>
                <w:rFonts w:hint="cs"/>
                <w:b/>
                <w:bCs/>
                <w:rtl/>
              </w:rPr>
              <w:t>תמר שרון נתנאל, שופטת</w:t>
            </w:r>
          </w:p>
        </w:tc>
        <w:tc>
          <w:tcPr>
            <w:tcW w:w="2994" w:type="dxa"/>
            <w:shd w:val="clear" w:color="auto" w:fill="auto"/>
          </w:tcPr>
          <w:p w14:paraId="19FD166A" w14:textId="77777777" w:rsidR="000F21E0" w:rsidRPr="00507DD4" w:rsidRDefault="000F21E0" w:rsidP="009A4ACB">
            <w:pPr>
              <w:spacing w:line="360" w:lineRule="auto"/>
              <w:jc w:val="center"/>
              <w:rPr>
                <w:b/>
                <w:bCs/>
                <w:rtl/>
              </w:rPr>
            </w:pPr>
            <w:r w:rsidRPr="00507DD4">
              <w:rPr>
                <w:rFonts w:hint="cs"/>
                <w:b/>
                <w:bCs/>
                <w:rtl/>
              </w:rPr>
              <w:t>רונית בש, שופטת</w:t>
            </w:r>
          </w:p>
        </w:tc>
      </w:tr>
    </w:tbl>
    <w:p w14:paraId="6238E795" w14:textId="77777777" w:rsidR="000F21E0" w:rsidRPr="000B152A" w:rsidRDefault="000B152A" w:rsidP="000F21E0">
      <w:pPr>
        <w:spacing w:line="360" w:lineRule="auto"/>
        <w:jc w:val="both"/>
        <w:rPr>
          <w:rFonts w:ascii="David" w:hAnsi="David"/>
          <w:color w:val="FFFFFF"/>
          <w:sz w:val="2"/>
          <w:szCs w:val="2"/>
          <w:rtl/>
        </w:rPr>
      </w:pPr>
      <w:r w:rsidRPr="000B152A">
        <w:rPr>
          <w:rFonts w:ascii="David" w:hAnsi="David"/>
          <w:color w:val="FFFFFF"/>
          <w:sz w:val="2"/>
          <w:szCs w:val="2"/>
          <w:rtl/>
        </w:rPr>
        <w:t>5129371</w:t>
      </w:r>
    </w:p>
    <w:p w14:paraId="3C19233C" w14:textId="77777777" w:rsidR="009A4ACB" w:rsidRPr="000B152A" w:rsidRDefault="000B152A" w:rsidP="009A4ACB">
      <w:pPr>
        <w:keepNext/>
        <w:rPr>
          <w:rFonts w:ascii="David" w:hAnsi="David"/>
          <w:color w:val="FFFFFF"/>
          <w:sz w:val="2"/>
          <w:szCs w:val="2"/>
          <w:rtl/>
        </w:rPr>
      </w:pPr>
      <w:r w:rsidRPr="000B152A">
        <w:rPr>
          <w:rFonts w:ascii="David" w:hAnsi="David"/>
          <w:color w:val="FFFFFF"/>
          <w:sz w:val="2"/>
          <w:szCs w:val="2"/>
          <w:rtl/>
        </w:rPr>
        <w:t>54678313</w:t>
      </w:r>
    </w:p>
    <w:p w14:paraId="2B69820D" w14:textId="77777777" w:rsidR="009A4ACB" w:rsidRPr="009A4ACB" w:rsidRDefault="009A4ACB" w:rsidP="009A4ACB">
      <w:pPr>
        <w:keepNext/>
        <w:rPr>
          <w:rFonts w:ascii="David" w:hAnsi="David"/>
          <w:color w:val="000000"/>
          <w:sz w:val="22"/>
          <w:szCs w:val="22"/>
          <w:rtl/>
        </w:rPr>
      </w:pPr>
      <w:r w:rsidRPr="009A4ACB">
        <w:rPr>
          <w:rFonts w:ascii="David" w:hAnsi="David"/>
          <w:color w:val="000000"/>
          <w:sz w:val="22"/>
          <w:szCs w:val="22"/>
          <w:rtl/>
        </w:rPr>
        <w:t>הרכב 54678313</w:t>
      </w:r>
    </w:p>
    <w:p w14:paraId="09AEEA9E" w14:textId="77777777" w:rsidR="009A4ACB" w:rsidRDefault="009A4ACB" w:rsidP="009A4ACB">
      <w:pPr>
        <w:rPr>
          <w:color w:val="000000"/>
          <w:rtl/>
        </w:rPr>
      </w:pPr>
      <w:r w:rsidRPr="009A4ACB">
        <w:rPr>
          <w:color w:val="000000"/>
          <w:rtl/>
        </w:rPr>
        <w:t>נוסח מסמך זה כפוף לשינויי ניסוח ועריכה</w:t>
      </w:r>
    </w:p>
    <w:p w14:paraId="166B643A" w14:textId="77777777" w:rsidR="009A4ACB" w:rsidRDefault="009A4ACB" w:rsidP="009A4ACB">
      <w:pPr>
        <w:rPr>
          <w:rtl/>
        </w:rPr>
      </w:pPr>
    </w:p>
    <w:p w14:paraId="30F0BAB8" w14:textId="77777777" w:rsidR="009A4ACB" w:rsidRDefault="009A4ACB" w:rsidP="009A4ACB">
      <w:pPr>
        <w:jc w:val="center"/>
        <w:rPr>
          <w:color w:val="0000FF"/>
          <w:u w:val="single"/>
          <w:rtl/>
        </w:rPr>
      </w:pPr>
      <w:hyperlink r:id="rId89" w:history="1">
        <w:r>
          <w:rPr>
            <w:rStyle w:val="Hyperlink"/>
            <w:rtl/>
          </w:rPr>
          <w:t>בעניין עריכה ושינויים במסמכי פסיקה, חקיקה ועוד באתר נבו – הקש כאן</w:t>
        </w:r>
      </w:hyperlink>
      <w:r w:rsidR="0056046B">
        <w:rPr>
          <w:rFonts w:hint="cs"/>
          <w:color w:val="0000FF"/>
          <w:u w:val="single"/>
          <w:rtl/>
        </w:rPr>
        <w:t xml:space="preserve"> </w:t>
      </w:r>
    </w:p>
    <w:p w14:paraId="1E3800C8" w14:textId="77777777" w:rsidR="000B152A" w:rsidRPr="000B152A" w:rsidRDefault="000B152A" w:rsidP="000B152A">
      <w:pPr>
        <w:keepNext/>
        <w:rPr>
          <w:rFonts w:ascii="David" w:hAnsi="David"/>
          <w:color w:val="000000"/>
          <w:sz w:val="22"/>
          <w:szCs w:val="22"/>
          <w:rtl/>
        </w:rPr>
      </w:pPr>
    </w:p>
    <w:sectPr w:rsidR="000B152A" w:rsidRPr="000B152A" w:rsidSect="000B152A">
      <w:headerReference w:type="even" r:id="rId90"/>
      <w:headerReference w:type="default" r:id="rId91"/>
      <w:footerReference w:type="even" r:id="rId92"/>
      <w:footerReference w:type="default" r:id="rId9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691BA9" w14:textId="77777777" w:rsidR="00B263DC" w:rsidRPr="00D02247" w:rsidRDefault="00B263DC">
      <w:pPr>
        <w:rPr>
          <w:rFonts w:cs="Times New Roman"/>
        </w:rPr>
      </w:pPr>
      <w:r>
        <w:separator/>
      </w:r>
    </w:p>
  </w:endnote>
  <w:endnote w:type="continuationSeparator" w:id="0">
    <w:p w14:paraId="14289AB2" w14:textId="77777777" w:rsidR="00B263DC" w:rsidRPr="00D02247" w:rsidRDefault="00B263DC">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01046" w14:textId="77777777" w:rsidR="00B42B01" w:rsidRDefault="00B42B01" w:rsidP="000B15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DDD17AF" w14:textId="77777777" w:rsidR="00B42B01" w:rsidRPr="000B152A" w:rsidRDefault="00B42B01" w:rsidP="000B152A">
    <w:pPr>
      <w:pStyle w:val="a4"/>
      <w:pBdr>
        <w:top w:val="single" w:sz="4" w:space="1" w:color="auto"/>
        <w:between w:val="single" w:sz="4" w:space="0" w:color="auto"/>
      </w:pBdr>
      <w:spacing w:after="60"/>
      <w:jc w:val="center"/>
      <w:rPr>
        <w:rFonts w:ascii="FrankRuehl" w:hAnsi="FrankRuehl" w:cs="FrankRuehl"/>
        <w:color w:val="000000"/>
      </w:rPr>
    </w:pPr>
    <w:r w:rsidRPr="000B15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B49CB" w14:textId="77777777" w:rsidR="00B42B01" w:rsidRDefault="00B42B01" w:rsidP="000B152A">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1238C">
      <w:rPr>
        <w:rFonts w:ascii="FrankRuehl" w:hAnsi="FrankRuehl" w:cs="FrankRuehl"/>
        <w:noProof/>
        <w:rtl/>
      </w:rPr>
      <w:t>1</w:t>
    </w:r>
    <w:r>
      <w:rPr>
        <w:rFonts w:ascii="FrankRuehl" w:hAnsi="FrankRuehl" w:cs="FrankRuehl"/>
        <w:rtl/>
      </w:rPr>
      <w:fldChar w:fldCharType="end"/>
    </w:r>
  </w:p>
  <w:p w14:paraId="0E0ABDC7" w14:textId="77777777" w:rsidR="00B42B01" w:rsidRPr="000B152A" w:rsidRDefault="00B42B01" w:rsidP="000B152A">
    <w:pPr>
      <w:pStyle w:val="a4"/>
      <w:pBdr>
        <w:top w:val="single" w:sz="4" w:space="1" w:color="auto"/>
        <w:between w:val="single" w:sz="4" w:space="0" w:color="auto"/>
      </w:pBdr>
      <w:spacing w:after="60"/>
      <w:jc w:val="center"/>
      <w:rPr>
        <w:rFonts w:ascii="FrankRuehl" w:hAnsi="FrankRuehl" w:cs="FrankRuehl"/>
        <w:color w:val="000000"/>
      </w:rPr>
    </w:pPr>
    <w:r w:rsidRPr="000B152A">
      <w:rPr>
        <w:rFonts w:ascii="FrankRuehl" w:hAnsi="FrankRuehl" w:cs="FrankRuehl"/>
        <w:color w:val="000000"/>
      </w:rPr>
      <w:pict w14:anchorId="5850CD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174C36" w14:textId="77777777" w:rsidR="00B263DC" w:rsidRPr="00D02247" w:rsidRDefault="00B263DC">
      <w:pPr>
        <w:rPr>
          <w:rFonts w:cs="Times New Roman"/>
        </w:rPr>
      </w:pPr>
      <w:r>
        <w:separator/>
      </w:r>
    </w:p>
  </w:footnote>
  <w:footnote w:type="continuationSeparator" w:id="0">
    <w:p w14:paraId="227B32E7" w14:textId="77777777" w:rsidR="00B263DC" w:rsidRPr="00D02247" w:rsidRDefault="00B263DC">
      <w:pPr>
        <w:rPr>
          <w:rFonts w:cs="Times New Roman"/>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2CE9FE" w14:textId="77777777" w:rsidR="00B42B01" w:rsidRPr="000B152A" w:rsidRDefault="00B42B01" w:rsidP="000B15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29738-05-15</w:t>
    </w:r>
    <w:r>
      <w:rPr>
        <w:rFonts w:ascii="David" w:hAnsi="David"/>
        <w:color w:val="000000"/>
        <w:sz w:val="22"/>
        <w:szCs w:val="22"/>
        <w:rtl/>
      </w:rPr>
      <w:tab/>
      <w:t xml:space="preserve"> מדינת ישראל נ' אייל הייב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2D9BB" w14:textId="77777777" w:rsidR="00B42B01" w:rsidRPr="000B152A" w:rsidRDefault="00B42B01" w:rsidP="000B15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29738-05-15</w:t>
    </w:r>
    <w:r>
      <w:rPr>
        <w:rFonts w:ascii="David" w:hAnsi="David"/>
        <w:color w:val="000000"/>
        <w:sz w:val="22"/>
        <w:szCs w:val="22"/>
        <w:rtl/>
      </w:rPr>
      <w:tab/>
      <w:t xml:space="preserve"> מדינת ישראל נ' אייל הייב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21E0"/>
    <w:rsid w:val="000B152A"/>
    <w:rsid w:val="000F21E0"/>
    <w:rsid w:val="00247F86"/>
    <w:rsid w:val="00324EF6"/>
    <w:rsid w:val="0056046B"/>
    <w:rsid w:val="005E03DA"/>
    <w:rsid w:val="008329B4"/>
    <w:rsid w:val="009A4ACB"/>
    <w:rsid w:val="00AB67DD"/>
    <w:rsid w:val="00B263DC"/>
    <w:rsid w:val="00B42B01"/>
    <w:rsid w:val="00C1238C"/>
    <w:rsid w:val="00DF27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5C4F8DF"/>
  <w15:chartTrackingRefBased/>
  <w15:docId w15:val="{DCA1A91A-8EC1-4D00-82EB-F71B203D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21E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F21E0"/>
    <w:pPr>
      <w:tabs>
        <w:tab w:val="center" w:pos="4153"/>
        <w:tab w:val="right" w:pos="8306"/>
      </w:tabs>
    </w:pPr>
  </w:style>
  <w:style w:type="paragraph" w:styleId="a4">
    <w:name w:val="footer"/>
    <w:basedOn w:val="a"/>
    <w:rsid w:val="000F21E0"/>
    <w:pPr>
      <w:tabs>
        <w:tab w:val="center" w:pos="4153"/>
        <w:tab w:val="right" w:pos="8306"/>
      </w:tabs>
    </w:pPr>
  </w:style>
  <w:style w:type="character" w:styleId="a5">
    <w:name w:val="page number"/>
    <w:basedOn w:val="a0"/>
    <w:rsid w:val="000F21E0"/>
  </w:style>
  <w:style w:type="character" w:customStyle="1" w:styleId="TimesNewRomanTimesNewRoman">
    <w:name w:val="סגנון (לטיני) Times New Roman (עברית ושפות אחרות) Times New Roman..."/>
    <w:rsid w:val="000F21E0"/>
    <w:rPr>
      <w:rFonts w:ascii="Times New Roman" w:hAnsi="Times New Roman" w:cs="David" w:hint="default"/>
      <w:b/>
      <w:bCs/>
      <w:sz w:val="26"/>
      <w:szCs w:val="26"/>
    </w:rPr>
  </w:style>
  <w:style w:type="paragraph" w:customStyle="1" w:styleId="a6">
    <w:name w:val="כללי"/>
    <w:basedOn w:val="a"/>
    <w:rsid w:val="000F21E0"/>
    <w:pPr>
      <w:overflowPunct w:val="0"/>
      <w:autoSpaceDE w:val="0"/>
      <w:autoSpaceDN w:val="0"/>
      <w:adjustRightInd w:val="0"/>
      <w:spacing w:after="220" w:line="270" w:lineRule="exact"/>
      <w:ind w:firstLine="284"/>
      <w:jc w:val="both"/>
      <w:textAlignment w:val="baseline"/>
    </w:pPr>
    <w:rPr>
      <w:rFonts w:cs="FrankRuehl"/>
      <w:sz w:val="20"/>
      <w:lang w:eastAsia="he-IL"/>
    </w:rPr>
  </w:style>
  <w:style w:type="character" w:styleId="Hyperlink">
    <w:name w:val="Hyperlink"/>
    <w:rsid w:val="009A4A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298" TargetMode="External"/><Relationship Id="rId21" Type="http://schemas.openxmlformats.org/officeDocument/2006/relationships/hyperlink" Target="http://www.nevo.co.il/law/70301/144.b2" TargetMode="External"/><Relationship Id="rId42" Type="http://schemas.openxmlformats.org/officeDocument/2006/relationships/hyperlink" Target="http://www.nevo.co.il/law/70301/40b" TargetMode="External"/><Relationship Id="rId47" Type="http://schemas.openxmlformats.org/officeDocument/2006/relationships/hyperlink" Target="http://www.nevo.co.il/law/70301/40f" TargetMode="External"/><Relationship Id="rId63" Type="http://schemas.openxmlformats.org/officeDocument/2006/relationships/hyperlink" Target="http://www.nevo.co.il/case/17043259" TargetMode="External"/><Relationship Id="rId68" Type="http://schemas.openxmlformats.org/officeDocument/2006/relationships/hyperlink" Target="http://www.nevo.co.il/law/70301/77.b" TargetMode="External"/><Relationship Id="rId84" Type="http://schemas.openxmlformats.org/officeDocument/2006/relationships/hyperlink" Target="http://www.nevo.co.il/case/5580839" TargetMode="External"/><Relationship Id="rId89" Type="http://schemas.openxmlformats.org/officeDocument/2006/relationships/hyperlink" Target="http://www.nevo.co.il/advertisements/nevo-100.doc" TargetMode="External"/><Relationship Id="rId16" Type="http://schemas.openxmlformats.org/officeDocument/2006/relationships/hyperlink" Target="http://www.nevo.co.il/law/70301/77" TargetMode="External"/><Relationship Id="rId11" Type="http://schemas.openxmlformats.org/officeDocument/2006/relationships/hyperlink" Target="http://www.nevo.co.il/law/70301/40f"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case/7029339" TargetMode="External"/><Relationship Id="rId53" Type="http://schemas.openxmlformats.org/officeDocument/2006/relationships/hyperlink" Target="http://www.nevo.co.il/case/20371840" TargetMode="External"/><Relationship Id="rId58" Type="http://schemas.openxmlformats.org/officeDocument/2006/relationships/hyperlink" Target="http://www.nevo.co.il/case/6068193" TargetMode="External"/><Relationship Id="rId74" Type="http://schemas.openxmlformats.org/officeDocument/2006/relationships/hyperlink" Target="http://www.nevo.co.il/case/5692319" TargetMode="External"/><Relationship Id="rId79" Type="http://schemas.openxmlformats.org/officeDocument/2006/relationships/hyperlink" Target="http://www.nevo.co.il/law/70301/45.b" TargetMode="External"/><Relationship Id="rId5" Type="http://schemas.openxmlformats.org/officeDocument/2006/relationships/endnotes" Target="endnotes.xml"/><Relationship Id="rId90" Type="http://schemas.openxmlformats.org/officeDocument/2006/relationships/header" Target="header1.xml"/><Relationship Id="rId95" Type="http://schemas.openxmlformats.org/officeDocument/2006/relationships/theme" Target="theme/theme1.xml"/><Relationship Id="rId22" Type="http://schemas.openxmlformats.org/officeDocument/2006/relationships/hyperlink" Target="http://www.nevo.co.il/law/70301/298" TargetMode="External"/><Relationship Id="rId27" Type="http://schemas.openxmlformats.org/officeDocument/2006/relationships/hyperlink" Target="http://www.nevo.co.il/law/70301/29"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40g" TargetMode="External"/><Relationship Id="rId64" Type="http://schemas.openxmlformats.org/officeDocument/2006/relationships/hyperlink" Target="http://www.nevo.co.il/case/8457254" TargetMode="External"/><Relationship Id="rId69" Type="http://schemas.openxmlformats.org/officeDocument/2006/relationships/hyperlink" Target="http://www.nevo.co.il/law/70301/144.a" TargetMode="External"/><Relationship Id="rId8" Type="http://schemas.openxmlformats.org/officeDocument/2006/relationships/hyperlink" Target="http://www.nevo.co.il/law/70301/40b" TargetMode="External"/><Relationship Id="rId51" Type="http://schemas.openxmlformats.org/officeDocument/2006/relationships/hyperlink" Target="http://www.nevo.co.il/case/5569233" TargetMode="External"/><Relationship Id="rId72" Type="http://schemas.openxmlformats.org/officeDocument/2006/relationships/hyperlink" Target="http://www.nevo.co.il/case/6151556" TargetMode="External"/><Relationship Id="rId80" Type="http://schemas.openxmlformats.org/officeDocument/2006/relationships/hyperlink" Target="http://www.nevo.co.il/law/70301" TargetMode="External"/><Relationship Id="rId85" Type="http://schemas.openxmlformats.org/officeDocument/2006/relationships/hyperlink" Target="http://www.nevo.co.il/case/20178061" TargetMode="External"/><Relationship Id="rId93"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hyperlink" Target="http://www.nevo.co.il/law/70301/40g" TargetMode="External"/><Relationship Id="rId17" Type="http://schemas.openxmlformats.org/officeDocument/2006/relationships/hyperlink" Target="http://www.nevo.co.il/law/70301/77.b" TargetMode="External"/><Relationship Id="rId25" Type="http://schemas.openxmlformats.org/officeDocument/2006/relationships/hyperlink" Target="http://www.nevo.co.il/law/70301/499.a.1" TargetMode="External"/><Relationship Id="rId33" Type="http://schemas.openxmlformats.org/officeDocument/2006/relationships/hyperlink" Target="http://www.nevo.co.il/law/70301/144.b2" TargetMode="External"/><Relationship Id="rId38" Type="http://schemas.openxmlformats.org/officeDocument/2006/relationships/hyperlink" Target="http://www.nevo.co.il/case/161892" TargetMode="External"/><Relationship Id="rId46" Type="http://schemas.openxmlformats.org/officeDocument/2006/relationships/hyperlink" Target="http://www.nevo.co.il/law/70301/40e" TargetMode="External"/><Relationship Id="rId59" Type="http://schemas.openxmlformats.org/officeDocument/2006/relationships/hyperlink" Target="http://www.nevo.co.il/case/6953822" TargetMode="External"/><Relationship Id="rId67" Type="http://schemas.openxmlformats.org/officeDocument/2006/relationships/hyperlink" Target="http://www.nevo.co.il/law/70301/77" TargetMode="External"/><Relationship Id="rId20" Type="http://schemas.openxmlformats.org/officeDocument/2006/relationships/hyperlink" Target="http://www.nevo.co.il/law/70301/144.b" TargetMode="External"/><Relationship Id="rId41" Type="http://schemas.openxmlformats.org/officeDocument/2006/relationships/hyperlink" Target="http://www.nevo.co.il/law/70301" TargetMode="External"/><Relationship Id="rId54" Type="http://schemas.openxmlformats.org/officeDocument/2006/relationships/hyperlink" Target="http://www.nevo.co.il/law/70301/298" TargetMode="External"/><Relationship Id="rId62" Type="http://schemas.openxmlformats.org/officeDocument/2006/relationships/hyperlink" Target="http://www.nevo.co.il/law/70301" TargetMode="External"/><Relationship Id="rId70" Type="http://schemas.openxmlformats.org/officeDocument/2006/relationships/hyperlink" Target="http://www.nevo.co.il/law/70301/144.b2" TargetMode="External"/><Relationship Id="rId75" Type="http://schemas.openxmlformats.org/officeDocument/2006/relationships/hyperlink" Target="http://www.nevo.co.il/case/21472788" TargetMode="External"/><Relationship Id="rId83" Type="http://schemas.openxmlformats.org/officeDocument/2006/relationships/hyperlink" Target="http://www.nevo.co.il/case/5594098" TargetMode="External"/><Relationship Id="rId88" Type="http://schemas.openxmlformats.org/officeDocument/2006/relationships/hyperlink" Target="http://www.nevo.co.il/law/70301" TargetMode="External"/><Relationship Id="rId91"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63" TargetMode="External"/><Relationship Id="rId23" Type="http://schemas.openxmlformats.org/officeDocument/2006/relationships/hyperlink" Target="http://www.nevo.co.il/law/70301/40j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569233" TargetMode="External"/><Relationship Id="rId49" Type="http://schemas.openxmlformats.org/officeDocument/2006/relationships/hyperlink" Target="http://www.nevo.co.il/law/70301/40ja" TargetMode="External"/><Relationship Id="rId57" Type="http://schemas.openxmlformats.org/officeDocument/2006/relationships/hyperlink" Target="http://www.nevo.co.il/case/5568851" TargetMode="External"/><Relationship Id="rId10" Type="http://schemas.openxmlformats.org/officeDocument/2006/relationships/hyperlink" Target="http://www.nevo.co.il/law/70301/40e" TargetMode="External"/><Relationship Id="rId31" Type="http://schemas.openxmlformats.org/officeDocument/2006/relationships/hyperlink" Target="http://www.nevo.co.il/law/70301/29" TargetMode="External"/><Relationship Id="rId44" Type="http://schemas.openxmlformats.org/officeDocument/2006/relationships/hyperlink" Target="http://www.nevo.co.il/law/70301/40i" TargetMode="External"/><Relationship Id="rId52" Type="http://schemas.openxmlformats.org/officeDocument/2006/relationships/hyperlink" Target="http://www.nevo.co.il/case/18090623" TargetMode="External"/><Relationship Id="rId60" Type="http://schemas.openxmlformats.org/officeDocument/2006/relationships/hyperlink" Target="http://www.nevo.co.il/case/20450195" TargetMode="External"/><Relationship Id="rId65" Type="http://schemas.openxmlformats.org/officeDocument/2006/relationships/hyperlink" Target="http://www.nevo.co.il/case/5784437" TargetMode="External"/><Relationship Id="rId73" Type="http://schemas.openxmlformats.org/officeDocument/2006/relationships/hyperlink" Target="http://www.nevo.co.il/case/5821327" TargetMode="External"/><Relationship Id="rId78" Type="http://schemas.openxmlformats.org/officeDocument/2006/relationships/hyperlink" Target="http://www.nevo.co.il/case/11206073" TargetMode="External"/><Relationship Id="rId81" Type="http://schemas.openxmlformats.org/officeDocument/2006/relationships/hyperlink" Target="http://www.nevo.co.il/case/5875565" TargetMode="External"/><Relationship Id="rId86" Type="http://schemas.openxmlformats.org/officeDocument/2006/relationships/hyperlink" Target="http://www.nevo.co.il/case/5605747" TargetMode="External"/><Relationship Id="rId9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40d" TargetMode="External"/><Relationship Id="rId13" Type="http://schemas.openxmlformats.org/officeDocument/2006/relationships/hyperlink" Target="http://www.nevo.co.il/law/70301/40i" TargetMode="External"/><Relationship Id="rId18" Type="http://schemas.openxmlformats.org/officeDocument/2006/relationships/hyperlink" Target="http://www.nevo.co.il/law/70301/144"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 TargetMode="External"/><Relationship Id="rId55" Type="http://schemas.openxmlformats.org/officeDocument/2006/relationships/hyperlink" Target="http://www.nevo.co.il/law/70301" TargetMode="External"/><Relationship Id="rId76" Type="http://schemas.openxmlformats.org/officeDocument/2006/relationships/hyperlink" Target="http://www.nevo.co.il/case/5594385" TargetMode="External"/><Relationship Id="rId7" Type="http://schemas.openxmlformats.org/officeDocument/2006/relationships/hyperlink" Target="http://www.nevo.co.il/law/70301/29" TargetMode="External"/><Relationship Id="rId71" Type="http://schemas.openxmlformats.org/officeDocument/2006/relationships/hyperlink" Target="http://www.nevo.co.il/case/18653720" TargetMode="External"/><Relationship Id="rId92" Type="http://schemas.openxmlformats.org/officeDocument/2006/relationships/footer" Target="footer1.xml"/><Relationship Id="rId2" Type="http://schemas.openxmlformats.org/officeDocument/2006/relationships/settings" Target="settings.xml"/><Relationship Id="rId29" Type="http://schemas.openxmlformats.org/officeDocument/2006/relationships/hyperlink" Target="http://www.nevo.co.il/law/70301/499.a.1" TargetMode="External"/><Relationship Id="rId24" Type="http://schemas.openxmlformats.org/officeDocument/2006/relationships/hyperlink" Target="http://www.nevo.co.il/law/70301/40jc" TargetMode="External"/><Relationship Id="rId40" Type="http://schemas.openxmlformats.org/officeDocument/2006/relationships/hyperlink" Target="http://www.nevo.co.il/law/70301/40jc" TargetMode="External"/><Relationship Id="rId45" Type="http://schemas.openxmlformats.org/officeDocument/2006/relationships/hyperlink" Target="http://www.nevo.co.il/law/70301/40d" TargetMode="External"/><Relationship Id="rId66" Type="http://schemas.openxmlformats.org/officeDocument/2006/relationships/hyperlink" Target="http://www.nevo.co.il/case/17043259" TargetMode="External"/><Relationship Id="rId87" Type="http://schemas.openxmlformats.org/officeDocument/2006/relationships/hyperlink" Target="http://www.nevo.co.il/law/70301/144" TargetMode="External"/><Relationship Id="rId61" Type="http://schemas.openxmlformats.org/officeDocument/2006/relationships/hyperlink" Target="http://www.nevo.co.il/law/70301/63" TargetMode="External"/><Relationship Id="rId82" Type="http://schemas.openxmlformats.org/officeDocument/2006/relationships/hyperlink" Target="http://www.nevo.co.il/case/5936742" TargetMode="External"/><Relationship Id="rId19" Type="http://schemas.openxmlformats.org/officeDocument/2006/relationships/hyperlink" Target="http://www.nevo.co.il/law/70301/144.a." TargetMode="External"/><Relationship Id="rId14" Type="http://schemas.openxmlformats.org/officeDocument/2006/relationships/hyperlink" Target="http://www.nevo.co.il/law/70301/45.b" TargetMode="External"/><Relationship Id="rId30" Type="http://schemas.openxmlformats.org/officeDocument/2006/relationships/hyperlink" Target="http://www.nevo.co.il/law/70301/144.a.;144.b" TargetMode="External"/><Relationship Id="rId35" Type="http://schemas.openxmlformats.org/officeDocument/2006/relationships/hyperlink" Target="http://www.nevo.co.il/case/161892" TargetMode="External"/><Relationship Id="rId56" Type="http://schemas.openxmlformats.org/officeDocument/2006/relationships/hyperlink" Target="http://www.nevo.co.il/case/5612802" TargetMode="External"/><Relationship Id="rId77" Type="http://schemas.openxmlformats.org/officeDocument/2006/relationships/hyperlink" Target="http://www.nevo.co.il/case/1302313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4483</Words>
  <Characters>22415</Characters>
  <Application>Microsoft Office Word</Application>
  <DocSecurity>0</DocSecurity>
  <Lines>186</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26845</CharactersWithSpaces>
  <SharedDoc>false</SharedDoc>
  <HLinks>
    <vt:vector size="504" baseType="variant">
      <vt:variant>
        <vt:i4>393283</vt:i4>
      </vt:variant>
      <vt:variant>
        <vt:i4>249</vt:i4>
      </vt:variant>
      <vt:variant>
        <vt:i4>0</vt:i4>
      </vt:variant>
      <vt:variant>
        <vt:i4>5</vt:i4>
      </vt:variant>
      <vt:variant>
        <vt:lpwstr>http://www.nevo.co.il/advertisements/nevo-100.doc</vt:lpwstr>
      </vt:variant>
      <vt:variant>
        <vt:lpwstr/>
      </vt:variant>
      <vt:variant>
        <vt:i4>7995492</vt:i4>
      </vt:variant>
      <vt:variant>
        <vt:i4>246</vt:i4>
      </vt:variant>
      <vt:variant>
        <vt:i4>0</vt:i4>
      </vt:variant>
      <vt:variant>
        <vt:i4>5</vt:i4>
      </vt:variant>
      <vt:variant>
        <vt:lpwstr>http://www.nevo.co.il/law/70301</vt:lpwstr>
      </vt:variant>
      <vt:variant>
        <vt:lpwstr/>
      </vt:variant>
      <vt:variant>
        <vt:i4>6357092</vt:i4>
      </vt:variant>
      <vt:variant>
        <vt:i4>243</vt:i4>
      </vt:variant>
      <vt:variant>
        <vt:i4>0</vt:i4>
      </vt:variant>
      <vt:variant>
        <vt:i4>5</vt:i4>
      </vt:variant>
      <vt:variant>
        <vt:lpwstr>http://www.nevo.co.il/law/70301/144</vt:lpwstr>
      </vt:variant>
      <vt:variant>
        <vt:lpwstr/>
      </vt:variant>
      <vt:variant>
        <vt:i4>3473523</vt:i4>
      </vt:variant>
      <vt:variant>
        <vt:i4>240</vt:i4>
      </vt:variant>
      <vt:variant>
        <vt:i4>0</vt:i4>
      </vt:variant>
      <vt:variant>
        <vt:i4>5</vt:i4>
      </vt:variant>
      <vt:variant>
        <vt:lpwstr>http://www.nevo.co.il/case/5605747</vt:lpwstr>
      </vt:variant>
      <vt:variant>
        <vt:lpwstr/>
      </vt:variant>
      <vt:variant>
        <vt:i4>3997811</vt:i4>
      </vt:variant>
      <vt:variant>
        <vt:i4>237</vt:i4>
      </vt:variant>
      <vt:variant>
        <vt:i4>0</vt:i4>
      </vt:variant>
      <vt:variant>
        <vt:i4>5</vt:i4>
      </vt:variant>
      <vt:variant>
        <vt:lpwstr>http://www.nevo.co.il/case/20178061</vt:lpwstr>
      </vt:variant>
      <vt:variant>
        <vt:lpwstr/>
      </vt:variant>
      <vt:variant>
        <vt:i4>3932274</vt:i4>
      </vt:variant>
      <vt:variant>
        <vt:i4>234</vt:i4>
      </vt:variant>
      <vt:variant>
        <vt:i4>0</vt:i4>
      </vt:variant>
      <vt:variant>
        <vt:i4>5</vt:i4>
      </vt:variant>
      <vt:variant>
        <vt:lpwstr>http://www.nevo.co.il/case/5580839</vt:lpwstr>
      </vt:variant>
      <vt:variant>
        <vt:lpwstr/>
      </vt:variant>
      <vt:variant>
        <vt:i4>3407996</vt:i4>
      </vt:variant>
      <vt:variant>
        <vt:i4>231</vt:i4>
      </vt:variant>
      <vt:variant>
        <vt:i4>0</vt:i4>
      </vt:variant>
      <vt:variant>
        <vt:i4>5</vt:i4>
      </vt:variant>
      <vt:variant>
        <vt:lpwstr>http://www.nevo.co.il/case/5594098</vt:lpwstr>
      </vt:variant>
      <vt:variant>
        <vt:lpwstr/>
      </vt:variant>
      <vt:variant>
        <vt:i4>3342463</vt:i4>
      </vt:variant>
      <vt:variant>
        <vt:i4>228</vt:i4>
      </vt:variant>
      <vt:variant>
        <vt:i4>0</vt:i4>
      </vt:variant>
      <vt:variant>
        <vt:i4>5</vt:i4>
      </vt:variant>
      <vt:variant>
        <vt:lpwstr>http://www.nevo.co.il/case/5936742</vt:lpwstr>
      </vt:variant>
      <vt:variant>
        <vt:lpwstr/>
      </vt:variant>
      <vt:variant>
        <vt:i4>3276927</vt:i4>
      </vt:variant>
      <vt:variant>
        <vt:i4>225</vt:i4>
      </vt:variant>
      <vt:variant>
        <vt:i4>0</vt:i4>
      </vt:variant>
      <vt:variant>
        <vt:i4>5</vt:i4>
      </vt:variant>
      <vt:variant>
        <vt:lpwstr>http://www.nevo.co.il/case/5875565</vt:lpwstr>
      </vt:variant>
      <vt:variant>
        <vt:lpwstr/>
      </vt:variant>
      <vt:variant>
        <vt:i4>7995492</vt:i4>
      </vt:variant>
      <vt:variant>
        <vt:i4>222</vt:i4>
      </vt:variant>
      <vt:variant>
        <vt:i4>0</vt:i4>
      </vt:variant>
      <vt:variant>
        <vt:i4>5</vt:i4>
      </vt:variant>
      <vt:variant>
        <vt:lpwstr>http://www.nevo.co.il/law/70301</vt:lpwstr>
      </vt:variant>
      <vt:variant>
        <vt:lpwstr/>
      </vt:variant>
      <vt:variant>
        <vt:i4>131151</vt:i4>
      </vt:variant>
      <vt:variant>
        <vt:i4>219</vt:i4>
      </vt:variant>
      <vt:variant>
        <vt:i4>0</vt:i4>
      </vt:variant>
      <vt:variant>
        <vt:i4>5</vt:i4>
      </vt:variant>
      <vt:variant>
        <vt:lpwstr>http://www.nevo.co.il/law/70301/45.b</vt:lpwstr>
      </vt:variant>
      <vt:variant>
        <vt:lpwstr/>
      </vt:variant>
      <vt:variant>
        <vt:i4>3276917</vt:i4>
      </vt:variant>
      <vt:variant>
        <vt:i4>216</vt:i4>
      </vt:variant>
      <vt:variant>
        <vt:i4>0</vt:i4>
      </vt:variant>
      <vt:variant>
        <vt:i4>5</vt:i4>
      </vt:variant>
      <vt:variant>
        <vt:lpwstr>http://www.nevo.co.il/case/11206073</vt:lpwstr>
      </vt:variant>
      <vt:variant>
        <vt:lpwstr/>
      </vt:variant>
      <vt:variant>
        <vt:i4>3211380</vt:i4>
      </vt:variant>
      <vt:variant>
        <vt:i4>213</vt:i4>
      </vt:variant>
      <vt:variant>
        <vt:i4>0</vt:i4>
      </vt:variant>
      <vt:variant>
        <vt:i4>5</vt:i4>
      </vt:variant>
      <vt:variant>
        <vt:lpwstr>http://www.nevo.co.il/case/13023134</vt:lpwstr>
      </vt:variant>
      <vt:variant>
        <vt:lpwstr/>
      </vt:variant>
      <vt:variant>
        <vt:i4>3801213</vt:i4>
      </vt:variant>
      <vt:variant>
        <vt:i4>210</vt:i4>
      </vt:variant>
      <vt:variant>
        <vt:i4>0</vt:i4>
      </vt:variant>
      <vt:variant>
        <vt:i4>5</vt:i4>
      </vt:variant>
      <vt:variant>
        <vt:lpwstr>http://www.nevo.co.il/case/5594385</vt:lpwstr>
      </vt:variant>
      <vt:variant>
        <vt:lpwstr/>
      </vt:variant>
      <vt:variant>
        <vt:i4>3932277</vt:i4>
      </vt:variant>
      <vt:variant>
        <vt:i4>207</vt:i4>
      </vt:variant>
      <vt:variant>
        <vt:i4>0</vt:i4>
      </vt:variant>
      <vt:variant>
        <vt:i4>5</vt:i4>
      </vt:variant>
      <vt:variant>
        <vt:lpwstr>http://www.nevo.co.il/case/21472788</vt:lpwstr>
      </vt:variant>
      <vt:variant>
        <vt:lpwstr/>
      </vt:variant>
      <vt:variant>
        <vt:i4>3539057</vt:i4>
      </vt:variant>
      <vt:variant>
        <vt:i4>204</vt:i4>
      </vt:variant>
      <vt:variant>
        <vt:i4>0</vt:i4>
      </vt:variant>
      <vt:variant>
        <vt:i4>5</vt:i4>
      </vt:variant>
      <vt:variant>
        <vt:lpwstr>http://www.nevo.co.il/case/5692319</vt:lpwstr>
      </vt:variant>
      <vt:variant>
        <vt:lpwstr/>
      </vt:variant>
      <vt:variant>
        <vt:i4>3342463</vt:i4>
      </vt:variant>
      <vt:variant>
        <vt:i4>201</vt:i4>
      </vt:variant>
      <vt:variant>
        <vt:i4>0</vt:i4>
      </vt:variant>
      <vt:variant>
        <vt:i4>5</vt:i4>
      </vt:variant>
      <vt:variant>
        <vt:lpwstr>http://www.nevo.co.il/case/5821327</vt:lpwstr>
      </vt:variant>
      <vt:variant>
        <vt:lpwstr/>
      </vt:variant>
      <vt:variant>
        <vt:i4>3145841</vt:i4>
      </vt:variant>
      <vt:variant>
        <vt:i4>198</vt:i4>
      </vt:variant>
      <vt:variant>
        <vt:i4>0</vt:i4>
      </vt:variant>
      <vt:variant>
        <vt:i4>5</vt:i4>
      </vt:variant>
      <vt:variant>
        <vt:lpwstr>http://www.nevo.co.il/case/6151556</vt:lpwstr>
      </vt:variant>
      <vt:variant>
        <vt:lpwstr/>
      </vt:variant>
      <vt:variant>
        <vt:i4>3539070</vt:i4>
      </vt:variant>
      <vt:variant>
        <vt:i4>195</vt:i4>
      </vt:variant>
      <vt:variant>
        <vt:i4>0</vt:i4>
      </vt:variant>
      <vt:variant>
        <vt:i4>5</vt:i4>
      </vt:variant>
      <vt:variant>
        <vt:lpwstr>http://www.nevo.co.il/case/18653720</vt:lpwstr>
      </vt:variant>
      <vt:variant>
        <vt:lpwstr/>
      </vt:variant>
      <vt:variant>
        <vt:i4>8192050</vt:i4>
      </vt:variant>
      <vt:variant>
        <vt:i4>192</vt:i4>
      </vt:variant>
      <vt:variant>
        <vt:i4>0</vt:i4>
      </vt:variant>
      <vt:variant>
        <vt:i4>5</vt:i4>
      </vt:variant>
      <vt:variant>
        <vt:lpwstr>http://www.nevo.co.il/law/70301/144.b2</vt:lpwstr>
      </vt:variant>
      <vt:variant>
        <vt:lpwstr/>
      </vt:variant>
      <vt:variant>
        <vt:i4>5177424</vt:i4>
      </vt:variant>
      <vt:variant>
        <vt:i4>189</vt:i4>
      </vt:variant>
      <vt:variant>
        <vt:i4>0</vt:i4>
      </vt:variant>
      <vt:variant>
        <vt:i4>5</vt:i4>
      </vt:variant>
      <vt:variant>
        <vt:lpwstr>http://www.nevo.co.il/law/70301/144.a</vt:lpwstr>
      </vt:variant>
      <vt:variant>
        <vt:lpwstr/>
      </vt:variant>
      <vt:variant>
        <vt:i4>76</vt:i4>
      </vt:variant>
      <vt:variant>
        <vt:i4>186</vt:i4>
      </vt:variant>
      <vt:variant>
        <vt:i4>0</vt:i4>
      </vt:variant>
      <vt:variant>
        <vt:i4>5</vt:i4>
      </vt:variant>
      <vt:variant>
        <vt:lpwstr>http://www.nevo.co.il/law/70301/77.b</vt:lpwstr>
      </vt:variant>
      <vt:variant>
        <vt:lpwstr/>
      </vt:variant>
      <vt:variant>
        <vt:i4>6422626</vt:i4>
      </vt:variant>
      <vt:variant>
        <vt:i4>183</vt:i4>
      </vt:variant>
      <vt:variant>
        <vt:i4>0</vt:i4>
      </vt:variant>
      <vt:variant>
        <vt:i4>5</vt:i4>
      </vt:variant>
      <vt:variant>
        <vt:lpwstr>http://www.nevo.co.il/law/70301/77</vt:lpwstr>
      </vt:variant>
      <vt:variant>
        <vt:lpwstr/>
      </vt:variant>
      <vt:variant>
        <vt:i4>3604597</vt:i4>
      </vt:variant>
      <vt:variant>
        <vt:i4>180</vt:i4>
      </vt:variant>
      <vt:variant>
        <vt:i4>0</vt:i4>
      </vt:variant>
      <vt:variant>
        <vt:i4>5</vt:i4>
      </vt:variant>
      <vt:variant>
        <vt:lpwstr>http://www.nevo.co.il/case/17043259</vt:lpwstr>
      </vt:variant>
      <vt:variant>
        <vt:lpwstr/>
      </vt:variant>
      <vt:variant>
        <vt:i4>4063348</vt:i4>
      </vt:variant>
      <vt:variant>
        <vt:i4>177</vt:i4>
      </vt:variant>
      <vt:variant>
        <vt:i4>0</vt:i4>
      </vt:variant>
      <vt:variant>
        <vt:i4>5</vt:i4>
      </vt:variant>
      <vt:variant>
        <vt:lpwstr>http://www.nevo.co.il/case/5784437</vt:lpwstr>
      </vt:variant>
      <vt:variant>
        <vt:lpwstr/>
      </vt:variant>
      <vt:variant>
        <vt:i4>3866738</vt:i4>
      </vt:variant>
      <vt:variant>
        <vt:i4>174</vt:i4>
      </vt:variant>
      <vt:variant>
        <vt:i4>0</vt:i4>
      </vt:variant>
      <vt:variant>
        <vt:i4>5</vt:i4>
      </vt:variant>
      <vt:variant>
        <vt:lpwstr>http://www.nevo.co.il/case/8457254</vt:lpwstr>
      </vt:variant>
      <vt:variant>
        <vt:lpwstr/>
      </vt:variant>
      <vt:variant>
        <vt:i4>3604597</vt:i4>
      </vt:variant>
      <vt:variant>
        <vt:i4>171</vt:i4>
      </vt:variant>
      <vt:variant>
        <vt:i4>0</vt:i4>
      </vt:variant>
      <vt:variant>
        <vt:i4>5</vt:i4>
      </vt:variant>
      <vt:variant>
        <vt:lpwstr>http://www.nevo.co.il/case/17043259</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6684771</vt:i4>
      </vt:variant>
      <vt:variant>
        <vt:i4>165</vt:i4>
      </vt:variant>
      <vt:variant>
        <vt:i4>0</vt:i4>
      </vt:variant>
      <vt:variant>
        <vt:i4>5</vt:i4>
      </vt:variant>
      <vt:variant>
        <vt:lpwstr>http://www.nevo.co.il/law/70301/63</vt:lpwstr>
      </vt:variant>
      <vt:variant>
        <vt:lpwstr/>
      </vt:variant>
      <vt:variant>
        <vt:i4>4128880</vt:i4>
      </vt:variant>
      <vt:variant>
        <vt:i4>162</vt:i4>
      </vt:variant>
      <vt:variant>
        <vt:i4>0</vt:i4>
      </vt:variant>
      <vt:variant>
        <vt:i4>5</vt:i4>
      </vt:variant>
      <vt:variant>
        <vt:lpwstr>http://www.nevo.co.il/case/20450195</vt:lpwstr>
      </vt:variant>
      <vt:variant>
        <vt:lpwstr/>
      </vt:variant>
      <vt:variant>
        <vt:i4>3735676</vt:i4>
      </vt:variant>
      <vt:variant>
        <vt:i4>159</vt:i4>
      </vt:variant>
      <vt:variant>
        <vt:i4>0</vt:i4>
      </vt:variant>
      <vt:variant>
        <vt:i4>5</vt:i4>
      </vt:variant>
      <vt:variant>
        <vt:lpwstr>http://www.nevo.co.il/case/6953822</vt:lpwstr>
      </vt:variant>
      <vt:variant>
        <vt:lpwstr/>
      </vt:variant>
      <vt:variant>
        <vt:i4>3276917</vt:i4>
      </vt:variant>
      <vt:variant>
        <vt:i4>156</vt:i4>
      </vt:variant>
      <vt:variant>
        <vt:i4>0</vt:i4>
      </vt:variant>
      <vt:variant>
        <vt:i4>5</vt:i4>
      </vt:variant>
      <vt:variant>
        <vt:lpwstr>http://www.nevo.co.il/case/6068193</vt:lpwstr>
      </vt:variant>
      <vt:variant>
        <vt:lpwstr/>
      </vt:variant>
      <vt:variant>
        <vt:i4>3801212</vt:i4>
      </vt:variant>
      <vt:variant>
        <vt:i4>153</vt:i4>
      </vt:variant>
      <vt:variant>
        <vt:i4>0</vt:i4>
      </vt:variant>
      <vt:variant>
        <vt:i4>5</vt:i4>
      </vt:variant>
      <vt:variant>
        <vt:lpwstr>http://www.nevo.co.il/case/5568851</vt:lpwstr>
      </vt:variant>
      <vt:variant>
        <vt:lpwstr/>
      </vt:variant>
      <vt:variant>
        <vt:i4>4063344</vt:i4>
      </vt:variant>
      <vt:variant>
        <vt:i4>150</vt:i4>
      </vt:variant>
      <vt:variant>
        <vt:i4>0</vt:i4>
      </vt:variant>
      <vt:variant>
        <vt:i4>5</vt:i4>
      </vt:variant>
      <vt:variant>
        <vt:lpwstr>http://www.nevo.co.il/case/5612802</vt:lpwstr>
      </vt:variant>
      <vt:variant>
        <vt:lpwstr/>
      </vt:variant>
      <vt:variant>
        <vt:i4>7995492</vt:i4>
      </vt:variant>
      <vt:variant>
        <vt:i4>147</vt:i4>
      </vt:variant>
      <vt:variant>
        <vt:i4>0</vt:i4>
      </vt:variant>
      <vt:variant>
        <vt:i4>5</vt:i4>
      </vt:variant>
      <vt:variant>
        <vt:lpwstr>http://www.nevo.co.il/law/70301</vt:lpwstr>
      </vt:variant>
      <vt:variant>
        <vt:lpwstr/>
      </vt:variant>
      <vt:variant>
        <vt:i4>7077991</vt:i4>
      </vt:variant>
      <vt:variant>
        <vt:i4>144</vt:i4>
      </vt:variant>
      <vt:variant>
        <vt:i4>0</vt:i4>
      </vt:variant>
      <vt:variant>
        <vt:i4>5</vt:i4>
      </vt:variant>
      <vt:variant>
        <vt:lpwstr>http://www.nevo.co.il/law/70301/298</vt:lpwstr>
      </vt:variant>
      <vt:variant>
        <vt:lpwstr/>
      </vt:variant>
      <vt:variant>
        <vt:i4>3407995</vt:i4>
      </vt:variant>
      <vt:variant>
        <vt:i4>141</vt:i4>
      </vt:variant>
      <vt:variant>
        <vt:i4>0</vt:i4>
      </vt:variant>
      <vt:variant>
        <vt:i4>5</vt:i4>
      </vt:variant>
      <vt:variant>
        <vt:lpwstr>http://www.nevo.co.il/case/20371840</vt:lpwstr>
      </vt:variant>
      <vt:variant>
        <vt:lpwstr/>
      </vt:variant>
      <vt:variant>
        <vt:i4>3342451</vt:i4>
      </vt:variant>
      <vt:variant>
        <vt:i4>138</vt:i4>
      </vt:variant>
      <vt:variant>
        <vt:i4>0</vt:i4>
      </vt:variant>
      <vt:variant>
        <vt:i4>5</vt:i4>
      </vt:variant>
      <vt:variant>
        <vt:lpwstr>http://www.nevo.co.il/case/18090623</vt:lpwstr>
      </vt:variant>
      <vt:variant>
        <vt:lpwstr/>
      </vt:variant>
      <vt:variant>
        <vt:i4>3276923</vt:i4>
      </vt:variant>
      <vt:variant>
        <vt:i4>135</vt:i4>
      </vt:variant>
      <vt:variant>
        <vt:i4>0</vt:i4>
      </vt:variant>
      <vt:variant>
        <vt:i4>5</vt:i4>
      </vt:variant>
      <vt:variant>
        <vt:lpwstr>http://www.nevo.co.il/case/5569233</vt:lpwstr>
      </vt:variant>
      <vt:variant>
        <vt:lpwstr/>
      </vt:variant>
      <vt:variant>
        <vt:i4>7995492</vt:i4>
      </vt:variant>
      <vt:variant>
        <vt:i4>132</vt:i4>
      </vt:variant>
      <vt:variant>
        <vt:i4>0</vt:i4>
      </vt:variant>
      <vt:variant>
        <vt:i4>5</vt:i4>
      </vt:variant>
      <vt:variant>
        <vt:lpwstr>http://www.nevo.co.il/law/70301</vt:lpwstr>
      </vt:variant>
      <vt:variant>
        <vt:lpwstr/>
      </vt:variant>
      <vt:variant>
        <vt:i4>262155</vt:i4>
      </vt:variant>
      <vt:variant>
        <vt:i4>129</vt:i4>
      </vt:variant>
      <vt:variant>
        <vt:i4>0</vt:i4>
      </vt:variant>
      <vt:variant>
        <vt:i4>5</vt:i4>
      </vt:variant>
      <vt:variant>
        <vt:lpwstr>http://www.nevo.co.il/law/70301/40ja</vt:lpwstr>
      </vt:variant>
      <vt:variant>
        <vt:lpwstr/>
      </vt:variant>
      <vt:variant>
        <vt:i4>6619233</vt:i4>
      </vt:variant>
      <vt:variant>
        <vt:i4>126</vt:i4>
      </vt:variant>
      <vt:variant>
        <vt:i4>0</vt:i4>
      </vt:variant>
      <vt:variant>
        <vt:i4>5</vt:i4>
      </vt:variant>
      <vt:variant>
        <vt:lpwstr>http://www.nevo.co.il/law/70301/40g</vt:lpwstr>
      </vt:variant>
      <vt:variant>
        <vt:lpwstr/>
      </vt:variant>
      <vt:variant>
        <vt:i4>6619233</vt:i4>
      </vt:variant>
      <vt:variant>
        <vt:i4>123</vt:i4>
      </vt:variant>
      <vt:variant>
        <vt:i4>0</vt:i4>
      </vt:variant>
      <vt:variant>
        <vt:i4>5</vt:i4>
      </vt:variant>
      <vt:variant>
        <vt:lpwstr>http://www.nevo.co.il/law/70301/40f</vt:lpwstr>
      </vt:variant>
      <vt:variant>
        <vt:lpwstr/>
      </vt:variant>
      <vt:variant>
        <vt:i4>6619233</vt:i4>
      </vt:variant>
      <vt:variant>
        <vt:i4>120</vt:i4>
      </vt:variant>
      <vt:variant>
        <vt:i4>0</vt:i4>
      </vt:variant>
      <vt:variant>
        <vt:i4>5</vt:i4>
      </vt:variant>
      <vt:variant>
        <vt:lpwstr>http://www.nevo.co.il/law/70301/40e</vt:lpwstr>
      </vt:variant>
      <vt:variant>
        <vt:lpwstr/>
      </vt:variant>
      <vt:variant>
        <vt:i4>6619233</vt:i4>
      </vt:variant>
      <vt:variant>
        <vt:i4>117</vt:i4>
      </vt:variant>
      <vt:variant>
        <vt:i4>0</vt:i4>
      </vt:variant>
      <vt:variant>
        <vt:i4>5</vt:i4>
      </vt:variant>
      <vt:variant>
        <vt:lpwstr>http://www.nevo.co.il/law/70301/40d</vt:lpwstr>
      </vt:variant>
      <vt:variant>
        <vt:lpwstr/>
      </vt:variant>
      <vt:variant>
        <vt:i4>6619233</vt:i4>
      </vt:variant>
      <vt:variant>
        <vt:i4>114</vt:i4>
      </vt:variant>
      <vt:variant>
        <vt:i4>0</vt:i4>
      </vt:variant>
      <vt:variant>
        <vt:i4>5</vt:i4>
      </vt:variant>
      <vt:variant>
        <vt:lpwstr>http://www.nevo.co.il/law/70301/40i</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6619233</vt:i4>
      </vt:variant>
      <vt:variant>
        <vt:i4>108</vt:i4>
      </vt:variant>
      <vt:variant>
        <vt:i4>0</vt:i4>
      </vt:variant>
      <vt:variant>
        <vt:i4>5</vt:i4>
      </vt:variant>
      <vt:variant>
        <vt:lpwstr>http://www.nevo.co.il/law/70301/40b</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393227</vt:i4>
      </vt:variant>
      <vt:variant>
        <vt:i4>102</vt:i4>
      </vt:variant>
      <vt:variant>
        <vt:i4>0</vt:i4>
      </vt:variant>
      <vt:variant>
        <vt:i4>5</vt:i4>
      </vt:variant>
      <vt:variant>
        <vt:lpwstr>http://www.nevo.co.il/law/70301/40jc</vt:lpwstr>
      </vt:variant>
      <vt:variant>
        <vt:lpwstr/>
      </vt:variant>
      <vt:variant>
        <vt:i4>7995492</vt:i4>
      </vt:variant>
      <vt:variant>
        <vt:i4>99</vt:i4>
      </vt:variant>
      <vt:variant>
        <vt:i4>0</vt:i4>
      </vt:variant>
      <vt:variant>
        <vt:i4>5</vt:i4>
      </vt:variant>
      <vt:variant>
        <vt:lpwstr>http://www.nevo.co.il/law/70301</vt:lpwstr>
      </vt:variant>
      <vt:variant>
        <vt:lpwstr/>
      </vt:variant>
      <vt:variant>
        <vt:i4>589898</vt:i4>
      </vt:variant>
      <vt:variant>
        <vt:i4>96</vt:i4>
      </vt:variant>
      <vt:variant>
        <vt:i4>0</vt:i4>
      </vt:variant>
      <vt:variant>
        <vt:i4>5</vt:i4>
      </vt:variant>
      <vt:variant>
        <vt:lpwstr>http://www.nevo.co.il/case/161892</vt:lpwstr>
      </vt:variant>
      <vt:variant>
        <vt:lpwstr/>
      </vt:variant>
      <vt:variant>
        <vt:i4>4128894</vt:i4>
      </vt:variant>
      <vt:variant>
        <vt:i4>93</vt:i4>
      </vt:variant>
      <vt:variant>
        <vt:i4>0</vt:i4>
      </vt:variant>
      <vt:variant>
        <vt:i4>5</vt:i4>
      </vt:variant>
      <vt:variant>
        <vt:lpwstr>http://www.nevo.co.il/case/7029339</vt:lpwstr>
      </vt:variant>
      <vt:variant>
        <vt:lpwstr/>
      </vt:variant>
      <vt:variant>
        <vt:i4>3276923</vt:i4>
      </vt:variant>
      <vt:variant>
        <vt:i4>90</vt:i4>
      </vt:variant>
      <vt:variant>
        <vt:i4>0</vt:i4>
      </vt:variant>
      <vt:variant>
        <vt:i4>5</vt:i4>
      </vt:variant>
      <vt:variant>
        <vt:lpwstr>http://www.nevo.co.il/case/5569233</vt:lpwstr>
      </vt:variant>
      <vt:variant>
        <vt:lpwstr/>
      </vt:variant>
      <vt:variant>
        <vt:i4>589898</vt:i4>
      </vt:variant>
      <vt:variant>
        <vt:i4>87</vt:i4>
      </vt:variant>
      <vt:variant>
        <vt:i4>0</vt:i4>
      </vt:variant>
      <vt:variant>
        <vt:i4>5</vt:i4>
      </vt:variant>
      <vt:variant>
        <vt:lpwstr>http://www.nevo.co.il/case/161892</vt:lpwstr>
      </vt:variant>
      <vt:variant>
        <vt:lpwstr/>
      </vt:variant>
      <vt:variant>
        <vt:i4>7995492</vt:i4>
      </vt:variant>
      <vt:variant>
        <vt:i4>84</vt:i4>
      </vt:variant>
      <vt:variant>
        <vt:i4>0</vt:i4>
      </vt:variant>
      <vt:variant>
        <vt:i4>5</vt:i4>
      </vt:variant>
      <vt:variant>
        <vt:lpwstr>http://www.nevo.co.il/law/70301</vt:lpwstr>
      </vt:variant>
      <vt:variant>
        <vt:lpwstr/>
      </vt:variant>
      <vt:variant>
        <vt:i4>8192050</vt:i4>
      </vt:variant>
      <vt:variant>
        <vt:i4>81</vt:i4>
      </vt:variant>
      <vt:variant>
        <vt:i4>0</vt:i4>
      </vt:variant>
      <vt:variant>
        <vt:i4>5</vt:i4>
      </vt:variant>
      <vt:variant>
        <vt:lpwstr>http://www.nevo.co.il/law/70301/144.b2</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7077991</vt:i4>
      </vt:variant>
      <vt:variant>
        <vt:i4>75</vt:i4>
      </vt:variant>
      <vt:variant>
        <vt:i4>0</vt:i4>
      </vt:variant>
      <vt:variant>
        <vt:i4>5</vt:i4>
      </vt:variant>
      <vt:variant>
        <vt:lpwstr>http://www.nevo.co.il/law/70301/29</vt:lpwstr>
      </vt:variant>
      <vt:variant>
        <vt:lpwstr/>
      </vt:variant>
      <vt:variant>
        <vt:i4>393232</vt:i4>
      </vt:variant>
      <vt:variant>
        <vt:i4>72</vt:i4>
      </vt:variant>
      <vt:variant>
        <vt:i4>0</vt:i4>
      </vt:variant>
      <vt:variant>
        <vt:i4>5</vt:i4>
      </vt:variant>
      <vt:variant>
        <vt:lpwstr>http://www.nevo.co.il/law/70301/144.a.;144.b</vt:lpwstr>
      </vt:variant>
      <vt:variant>
        <vt:lpwstr/>
      </vt:variant>
      <vt:variant>
        <vt:i4>7077945</vt:i4>
      </vt:variant>
      <vt:variant>
        <vt:i4>69</vt:i4>
      </vt:variant>
      <vt:variant>
        <vt:i4>0</vt:i4>
      </vt:variant>
      <vt:variant>
        <vt:i4>5</vt:i4>
      </vt:variant>
      <vt:variant>
        <vt:lpwstr>http://www.nevo.co.il/law/70301/499.a.1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7077991</vt:i4>
      </vt:variant>
      <vt:variant>
        <vt:i4>63</vt:i4>
      </vt:variant>
      <vt:variant>
        <vt:i4>0</vt:i4>
      </vt:variant>
      <vt:variant>
        <vt:i4>5</vt:i4>
      </vt:variant>
      <vt:variant>
        <vt:lpwstr>http://www.nevo.co.il/law/70301/29</vt:lpwstr>
      </vt:variant>
      <vt:variant>
        <vt:lpwstr/>
      </vt:variant>
      <vt:variant>
        <vt:i4>7077991</vt:i4>
      </vt:variant>
      <vt:variant>
        <vt:i4>60</vt:i4>
      </vt:variant>
      <vt:variant>
        <vt:i4>0</vt:i4>
      </vt:variant>
      <vt:variant>
        <vt:i4>5</vt:i4>
      </vt:variant>
      <vt:variant>
        <vt:lpwstr>http://www.nevo.co.il/law/70301/298</vt:lpwstr>
      </vt:variant>
      <vt:variant>
        <vt:lpwstr/>
      </vt:variant>
      <vt:variant>
        <vt:i4>7077945</vt:i4>
      </vt:variant>
      <vt:variant>
        <vt:i4>57</vt:i4>
      </vt:variant>
      <vt:variant>
        <vt:i4>0</vt:i4>
      </vt:variant>
      <vt:variant>
        <vt:i4>5</vt:i4>
      </vt:variant>
      <vt:variant>
        <vt:lpwstr>http://www.nevo.co.il/law/70301/499.a.1</vt:lpwstr>
      </vt:variant>
      <vt:variant>
        <vt:lpwstr/>
      </vt:variant>
      <vt:variant>
        <vt:i4>393227</vt:i4>
      </vt:variant>
      <vt:variant>
        <vt:i4>54</vt:i4>
      </vt:variant>
      <vt:variant>
        <vt:i4>0</vt:i4>
      </vt:variant>
      <vt:variant>
        <vt:i4>5</vt:i4>
      </vt:variant>
      <vt:variant>
        <vt:lpwstr>http://www.nevo.co.il/law/70301/40jc</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7077991</vt:i4>
      </vt:variant>
      <vt:variant>
        <vt:i4>48</vt:i4>
      </vt:variant>
      <vt:variant>
        <vt:i4>0</vt:i4>
      </vt:variant>
      <vt:variant>
        <vt:i4>5</vt:i4>
      </vt:variant>
      <vt:variant>
        <vt:lpwstr>http://www.nevo.co.il/law/70301/298</vt:lpwstr>
      </vt:variant>
      <vt:variant>
        <vt:lpwstr/>
      </vt:variant>
      <vt:variant>
        <vt:i4>8192050</vt:i4>
      </vt:variant>
      <vt:variant>
        <vt:i4>45</vt:i4>
      </vt:variant>
      <vt:variant>
        <vt:i4>0</vt:i4>
      </vt:variant>
      <vt:variant>
        <vt:i4>5</vt:i4>
      </vt:variant>
      <vt:variant>
        <vt:lpwstr>http://www.nevo.co.il/law/70301/144.b2</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6357041</vt:i4>
      </vt:variant>
      <vt:variant>
        <vt:i4>39</vt:i4>
      </vt:variant>
      <vt:variant>
        <vt:i4>0</vt:i4>
      </vt:variant>
      <vt:variant>
        <vt:i4>5</vt:i4>
      </vt:variant>
      <vt:variant>
        <vt:lpwstr>http://www.nevo.co.il/law/70301/144.a.</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76</vt:i4>
      </vt:variant>
      <vt:variant>
        <vt:i4>33</vt:i4>
      </vt:variant>
      <vt:variant>
        <vt:i4>0</vt:i4>
      </vt:variant>
      <vt:variant>
        <vt:i4>5</vt:i4>
      </vt:variant>
      <vt:variant>
        <vt:lpwstr>http://www.nevo.co.il/law/70301/77.b</vt:lpwstr>
      </vt:variant>
      <vt:variant>
        <vt:lpwstr/>
      </vt:variant>
      <vt:variant>
        <vt:i4>6422626</vt:i4>
      </vt:variant>
      <vt:variant>
        <vt:i4>30</vt:i4>
      </vt:variant>
      <vt:variant>
        <vt:i4>0</vt:i4>
      </vt:variant>
      <vt:variant>
        <vt:i4>5</vt:i4>
      </vt:variant>
      <vt:variant>
        <vt:lpwstr>http://www.nevo.co.il/law/70301/77</vt:lpwstr>
      </vt:variant>
      <vt:variant>
        <vt:lpwstr/>
      </vt:variant>
      <vt:variant>
        <vt:i4>6684771</vt:i4>
      </vt:variant>
      <vt:variant>
        <vt:i4>27</vt:i4>
      </vt:variant>
      <vt:variant>
        <vt:i4>0</vt:i4>
      </vt:variant>
      <vt:variant>
        <vt:i4>5</vt:i4>
      </vt:variant>
      <vt:variant>
        <vt:lpwstr>http://www.nevo.co.il/law/70301/63</vt:lpwstr>
      </vt:variant>
      <vt:variant>
        <vt:lpwstr/>
      </vt:variant>
      <vt:variant>
        <vt:i4>131151</vt:i4>
      </vt:variant>
      <vt:variant>
        <vt:i4>24</vt:i4>
      </vt:variant>
      <vt:variant>
        <vt:i4>0</vt:i4>
      </vt:variant>
      <vt:variant>
        <vt:i4>5</vt:i4>
      </vt:variant>
      <vt:variant>
        <vt:lpwstr>http://www.nevo.co.il/law/70301/45.b</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http://www.nevo.co.il/law/70301/40g</vt:lpwstr>
      </vt:variant>
      <vt:variant>
        <vt:lpwstr/>
      </vt:variant>
      <vt:variant>
        <vt:i4>6619233</vt:i4>
      </vt:variant>
      <vt:variant>
        <vt:i4>15</vt:i4>
      </vt:variant>
      <vt:variant>
        <vt:i4>0</vt:i4>
      </vt:variant>
      <vt:variant>
        <vt:i4>5</vt:i4>
      </vt:variant>
      <vt:variant>
        <vt:lpwstr>http://www.nevo.co.il/law/70301/40f</vt:lpwstr>
      </vt:variant>
      <vt:variant>
        <vt:lpwstr/>
      </vt:variant>
      <vt:variant>
        <vt:i4>6619233</vt:i4>
      </vt:variant>
      <vt:variant>
        <vt:i4>12</vt:i4>
      </vt:variant>
      <vt:variant>
        <vt:i4>0</vt:i4>
      </vt:variant>
      <vt:variant>
        <vt:i4>5</vt:i4>
      </vt:variant>
      <vt:variant>
        <vt:lpwstr>http://www.nevo.co.il/law/70301/40e</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2025-04-25T10:35:00Z</dcterms:created>
  <dcterms:modified xsi:type="dcterms:W3CDTF">2025-04-25T10:35:00Z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29738</vt:lpwstr>
  </property>
  <property fmtid="{D5CDD505-2E9C-101B-9397-08002B2CF9AE}" pid="6" name="NEWPARTB">
    <vt:lpwstr>05</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אייל הייב;אחמד חסארמה</vt:lpwstr>
  </property>
  <property fmtid="{D5CDD505-2E9C-101B-9397-08002B2CF9AE}" pid="10" name="LAWYER">
    <vt:lpwstr>צחי נמירובסקי;ראניה סרוג'י;ששון בר עוז;אלעד אלימלך</vt:lpwstr>
  </property>
  <property fmtid="{D5CDD505-2E9C-101B-9397-08002B2CF9AE}" pid="11" name="JUDGE">
    <vt:lpwstr>רון סוקול ; תמר שרון נתנאל; רונית בש</vt:lpwstr>
  </property>
  <property fmtid="{D5CDD505-2E9C-101B-9397-08002B2CF9AE}" pid="12" name="CITY">
    <vt:lpwstr>חי'</vt:lpwstr>
  </property>
  <property fmtid="{D5CDD505-2E9C-101B-9397-08002B2CF9AE}" pid="13" name="DATE">
    <vt:lpwstr>20170322</vt:lpwstr>
  </property>
  <property fmtid="{D5CDD505-2E9C-101B-9397-08002B2CF9AE}" pid="14" name="TYPE_N_DATE">
    <vt:lpwstr>39020170322</vt:lpwstr>
  </property>
  <property fmtid="{D5CDD505-2E9C-101B-9397-08002B2CF9AE}" pid="15" name="CASESLISTTMP1">
    <vt:lpwstr>161892:2;5569233:2;7029339;18090623;20371840;5612802;5568851;6068193;6953822;20450195;17043259:2;8457254;5784437;18653720;6151556;5821327;5692319;21472788;5594385;13023134;11206073;5875565;5936742;5594098;5580839;20178061;5605747</vt:lpwstr>
  </property>
  <property fmtid="{D5CDD505-2E9C-101B-9397-08002B2CF9AE}" pid="16" name="WORDNUMPAGES">
    <vt:lpwstr>12</vt:lpwstr>
  </property>
  <property fmtid="{D5CDD505-2E9C-101B-9397-08002B2CF9AE}" pid="17" name="TYPE_ABS_DATE">
    <vt:lpwstr>390020170322</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70301/298:2;029:2;499.a.1;144.a:3;144.b;144.b2:2;40jc;040b;040i;040d;040e;040f;040g;40ja;063;077;077.b;045.b;144</vt:lpwstr>
  </property>
</Properties>
</file>