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183174" w:rsidRPr="007135D1" w14:paraId="6FBEEED3" w14:textId="77777777">
        <w:trPr>
          <w:trHeight w:hRule="exact" w:val="418"/>
          <w:jc w:val="center"/>
        </w:trPr>
        <w:tc>
          <w:tcPr>
            <w:tcW w:w="8721" w:type="dxa"/>
            <w:gridSpan w:val="2"/>
          </w:tcPr>
          <w:p w14:paraId="3E6625A5" w14:textId="77777777" w:rsidR="00183174" w:rsidRPr="007135D1" w:rsidRDefault="007135D1">
            <w:pPr>
              <w:pStyle w:val="a3"/>
              <w:jc w:val="center"/>
              <w:rPr>
                <w:rFonts w:ascii="Tahoma" w:hAnsi="Tahoma" w:cs="Tahoma"/>
                <w:color w:val="000080"/>
                <w:rtl/>
              </w:rPr>
            </w:pPr>
            <w:bookmarkStart w:id="0" w:name="LastJudge"/>
            <w:r w:rsidRPr="007135D1">
              <w:rPr>
                <w:rFonts w:ascii="Tahoma" w:hAnsi="Tahoma" w:cs="Tahoma"/>
                <w:b/>
                <w:bCs/>
                <w:color w:val="000080"/>
                <w:rtl/>
              </w:rPr>
              <w:t>בית המשפט המחוזי בחיפה</w:t>
            </w:r>
          </w:p>
        </w:tc>
      </w:tr>
      <w:tr w:rsidR="00183174" w:rsidRPr="007135D1" w14:paraId="4B6398C1" w14:textId="77777777">
        <w:trPr>
          <w:trHeight w:val="337"/>
          <w:jc w:val="center"/>
        </w:trPr>
        <w:tc>
          <w:tcPr>
            <w:tcW w:w="5049" w:type="dxa"/>
          </w:tcPr>
          <w:p w14:paraId="0ADD0439" w14:textId="77777777" w:rsidR="00183174" w:rsidRPr="007135D1" w:rsidRDefault="007135D1">
            <w:pPr>
              <w:rPr>
                <w:rFonts w:cs="FrankRuehl"/>
                <w:sz w:val="28"/>
                <w:szCs w:val="28"/>
                <w:rtl/>
              </w:rPr>
            </w:pPr>
            <w:r w:rsidRPr="007135D1">
              <w:rPr>
                <w:rFonts w:cs="FrankRuehl"/>
                <w:sz w:val="28"/>
                <w:szCs w:val="28"/>
                <w:rtl/>
              </w:rPr>
              <w:t>ת"פ</w:t>
            </w:r>
            <w:r w:rsidRPr="007135D1">
              <w:rPr>
                <w:rFonts w:cs="FrankRuehl" w:hint="cs"/>
                <w:sz w:val="28"/>
                <w:szCs w:val="28"/>
                <w:rtl/>
              </w:rPr>
              <w:t xml:space="preserve"> </w:t>
            </w:r>
            <w:r w:rsidRPr="007135D1">
              <w:rPr>
                <w:rFonts w:cs="FrankRuehl"/>
                <w:sz w:val="28"/>
                <w:szCs w:val="28"/>
                <w:rtl/>
              </w:rPr>
              <w:t>36381-05-15</w:t>
            </w:r>
            <w:r w:rsidRPr="007135D1">
              <w:rPr>
                <w:rFonts w:cs="FrankRuehl" w:hint="cs"/>
                <w:sz w:val="28"/>
                <w:szCs w:val="28"/>
                <w:rtl/>
              </w:rPr>
              <w:t xml:space="preserve"> </w:t>
            </w:r>
            <w:r w:rsidRPr="007135D1">
              <w:rPr>
                <w:rFonts w:cs="FrankRuehl"/>
                <w:sz w:val="28"/>
                <w:szCs w:val="28"/>
                <w:rtl/>
              </w:rPr>
              <w:t>מדינת ישראל נ' אבו שנדי(עציר)</w:t>
            </w:r>
          </w:p>
          <w:p w14:paraId="5BF7C404" w14:textId="77777777" w:rsidR="00183174" w:rsidRPr="007135D1" w:rsidRDefault="00183174">
            <w:pPr>
              <w:pStyle w:val="a3"/>
              <w:rPr>
                <w:rFonts w:cs="FrankRuehl"/>
                <w:sz w:val="28"/>
                <w:szCs w:val="28"/>
                <w:rtl/>
              </w:rPr>
            </w:pPr>
          </w:p>
        </w:tc>
        <w:tc>
          <w:tcPr>
            <w:tcW w:w="3672" w:type="dxa"/>
          </w:tcPr>
          <w:p w14:paraId="4B27A7F7" w14:textId="77777777" w:rsidR="00183174" w:rsidRPr="007135D1" w:rsidRDefault="007135D1">
            <w:pPr>
              <w:pStyle w:val="a3"/>
              <w:jc w:val="right"/>
              <w:rPr>
                <w:rFonts w:cs="FrankRuehl"/>
                <w:sz w:val="28"/>
                <w:szCs w:val="28"/>
                <w:rtl/>
              </w:rPr>
            </w:pPr>
            <w:r w:rsidRPr="007135D1">
              <w:rPr>
                <w:rFonts w:cs="FrankRuehl" w:hint="cs"/>
                <w:sz w:val="28"/>
                <w:szCs w:val="28"/>
                <w:rtl/>
              </w:rPr>
              <w:t>31 בדצמבר 2015</w:t>
            </w:r>
          </w:p>
        </w:tc>
      </w:tr>
    </w:tbl>
    <w:p w14:paraId="46E7FEC7" w14:textId="77777777" w:rsidR="00183174" w:rsidRPr="007135D1" w:rsidRDefault="007135D1">
      <w:pPr>
        <w:pStyle w:val="a3"/>
        <w:rPr>
          <w:rtl/>
        </w:rPr>
      </w:pPr>
      <w:r w:rsidRPr="007135D1">
        <w:rPr>
          <w:rFonts w:hint="cs"/>
          <w:rtl/>
        </w:rPr>
        <w:t xml:space="preserve"> </w:t>
      </w:r>
    </w:p>
    <w:p w14:paraId="4D25E9E4" w14:textId="77777777" w:rsidR="00183174" w:rsidRPr="007135D1" w:rsidRDefault="00183174">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83174" w:rsidRPr="007135D1" w14:paraId="3C510FF6" w14:textId="77777777">
        <w:trPr>
          <w:trHeight w:val="295"/>
          <w:jc w:val="center"/>
        </w:trPr>
        <w:tc>
          <w:tcPr>
            <w:tcW w:w="923" w:type="dxa"/>
            <w:tcBorders>
              <w:top w:val="nil"/>
              <w:left w:val="nil"/>
              <w:bottom w:val="nil"/>
              <w:right w:val="nil"/>
            </w:tcBorders>
            <w:shd w:val="clear" w:color="auto" w:fill="auto"/>
          </w:tcPr>
          <w:p w14:paraId="428AA240" w14:textId="77777777" w:rsidR="00183174" w:rsidRPr="007135D1" w:rsidRDefault="007135D1">
            <w:pPr>
              <w:spacing w:line="360" w:lineRule="auto"/>
              <w:jc w:val="both"/>
              <w:rPr>
                <w:rFonts w:ascii="Arial" w:hAnsi="Arial" w:cs="FrankRuehl"/>
                <w:sz w:val="28"/>
                <w:szCs w:val="28"/>
              </w:rPr>
            </w:pPr>
            <w:r w:rsidRPr="007135D1">
              <w:rPr>
                <w:rFonts w:ascii="Arial" w:hAnsi="Arial" w:cs="FrankRuehl" w:hint="cs"/>
                <w:sz w:val="28"/>
                <w:szCs w:val="28"/>
                <w:rtl/>
              </w:rPr>
              <w:t>ב</w:t>
            </w:r>
            <w:r w:rsidRPr="007135D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B7F4398" w14:textId="77777777" w:rsidR="00183174" w:rsidRPr="007135D1" w:rsidRDefault="007135D1">
            <w:pPr>
              <w:spacing w:line="360" w:lineRule="auto"/>
              <w:rPr>
                <w:rFonts w:ascii="Arial" w:hAnsi="Arial"/>
                <w:b/>
                <w:bCs/>
              </w:rPr>
            </w:pPr>
            <w:r w:rsidRPr="007135D1">
              <w:rPr>
                <w:rFonts w:ascii="Arial" w:hAnsi="Arial" w:hint="cs"/>
                <w:b/>
                <w:bCs/>
                <w:rtl/>
              </w:rPr>
              <w:t>כבוד ה</w:t>
            </w:r>
            <w:r w:rsidRPr="007135D1">
              <w:rPr>
                <w:rFonts w:hint="cs"/>
                <w:rtl/>
              </w:rPr>
              <w:t>שופטת</w:t>
            </w:r>
            <w:r w:rsidRPr="007135D1">
              <w:rPr>
                <w:rFonts w:ascii="Arial" w:hAnsi="Arial" w:hint="cs"/>
                <w:b/>
                <w:bCs/>
                <w:rtl/>
              </w:rPr>
              <w:t xml:space="preserve">  </w:t>
            </w:r>
            <w:r w:rsidRPr="007135D1">
              <w:rPr>
                <w:rFonts w:hint="cs"/>
                <w:rtl/>
              </w:rPr>
              <w:t>רונית בש</w:t>
            </w:r>
          </w:p>
        </w:tc>
      </w:tr>
      <w:tr w:rsidR="00183174" w:rsidRPr="007135D1" w14:paraId="26093AA8" w14:textId="77777777">
        <w:trPr>
          <w:trHeight w:val="355"/>
          <w:jc w:val="center"/>
        </w:trPr>
        <w:tc>
          <w:tcPr>
            <w:tcW w:w="923" w:type="dxa"/>
            <w:tcBorders>
              <w:top w:val="nil"/>
              <w:left w:val="nil"/>
              <w:bottom w:val="nil"/>
              <w:right w:val="nil"/>
            </w:tcBorders>
            <w:shd w:val="clear" w:color="auto" w:fill="auto"/>
          </w:tcPr>
          <w:p w14:paraId="0CDE1FDF" w14:textId="77777777" w:rsidR="00183174" w:rsidRPr="007135D1" w:rsidRDefault="007135D1">
            <w:pPr>
              <w:spacing w:line="360" w:lineRule="auto"/>
              <w:jc w:val="both"/>
              <w:rPr>
                <w:rFonts w:ascii="Arial" w:hAnsi="Arial" w:cs="FrankRuehl"/>
                <w:sz w:val="28"/>
                <w:szCs w:val="28"/>
              </w:rPr>
            </w:pPr>
            <w:bookmarkStart w:id="1" w:name="FirstAppellant"/>
            <w:r w:rsidRPr="007135D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07956C6" w14:textId="77777777" w:rsidR="00183174" w:rsidRPr="007135D1" w:rsidRDefault="007135D1">
            <w:pPr>
              <w:spacing w:line="360" w:lineRule="auto"/>
            </w:pPr>
            <w:r w:rsidRPr="007135D1">
              <w:rPr>
                <w:rFonts w:hint="cs"/>
                <w:b/>
                <w:bCs/>
                <w:rtl/>
              </w:rPr>
              <w:t>מדינת ישראל</w:t>
            </w:r>
          </w:p>
        </w:tc>
        <w:tc>
          <w:tcPr>
            <w:tcW w:w="3771" w:type="dxa"/>
            <w:tcBorders>
              <w:top w:val="nil"/>
              <w:left w:val="nil"/>
              <w:bottom w:val="nil"/>
              <w:right w:val="nil"/>
            </w:tcBorders>
            <w:shd w:val="clear" w:color="auto" w:fill="auto"/>
          </w:tcPr>
          <w:p w14:paraId="0A02BC94" w14:textId="77777777" w:rsidR="00183174" w:rsidRPr="007135D1" w:rsidRDefault="00183174">
            <w:pPr>
              <w:spacing w:line="360" w:lineRule="auto"/>
              <w:jc w:val="both"/>
              <w:rPr>
                <w:rFonts w:ascii="Arial" w:hAnsi="Arial" w:cs="FrankRuehl"/>
                <w:sz w:val="28"/>
                <w:szCs w:val="28"/>
              </w:rPr>
            </w:pPr>
          </w:p>
        </w:tc>
      </w:tr>
      <w:bookmarkEnd w:id="1"/>
      <w:tr w:rsidR="00183174" w:rsidRPr="007135D1" w14:paraId="183CC75E" w14:textId="77777777">
        <w:trPr>
          <w:trHeight w:val="355"/>
          <w:jc w:val="center"/>
        </w:trPr>
        <w:tc>
          <w:tcPr>
            <w:tcW w:w="923" w:type="dxa"/>
            <w:tcBorders>
              <w:top w:val="nil"/>
              <w:left w:val="nil"/>
              <w:bottom w:val="nil"/>
              <w:right w:val="nil"/>
            </w:tcBorders>
            <w:shd w:val="clear" w:color="auto" w:fill="auto"/>
          </w:tcPr>
          <w:p w14:paraId="4B1BFE0C" w14:textId="77777777" w:rsidR="00183174" w:rsidRPr="007135D1" w:rsidRDefault="00183174">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0BEDE2FC" w14:textId="77777777" w:rsidR="00183174" w:rsidRPr="007135D1" w:rsidRDefault="00183174">
            <w:pPr>
              <w:spacing w:line="360" w:lineRule="auto"/>
              <w:jc w:val="both"/>
              <w:rPr>
                <w:rtl/>
              </w:rPr>
            </w:pPr>
          </w:p>
        </w:tc>
        <w:tc>
          <w:tcPr>
            <w:tcW w:w="3771" w:type="dxa"/>
            <w:tcBorders>
              <w:top w:val="nil"/>
              <w:left w:val="nil"/>
              <w:bottom w:val="nil"/>
              <w:right w:val="nil"/>
            </w:tcBorders>
            <w:shd w:val="clear" w:color="auto" w:fill="auto"/>
          </w:tcPr>
          <w:p w14:paraId="4029A21B" w14:textId="77777777" w:rsidR="00183174" w:rsidRPr="007135D1" w:rsidRDefault="007135D1">
            <w:pPr>
              <w:spacing w:line="360" w:lineRule="auto"/>
              <w:jc w:val="right"/>
              <w:rPr>
                <w:rFonts w:ascii="Arial" w:hAnsi="Arial" w:cs="FrankRuehl"/>
                <w:b/>
                <w:bCs/>
                <w:sz w:val="28"/>
                <w:szCs w:val="28"/>
                <w:rtl/>
              </w:rPr>
            </w:pPr>
            <w:r w:rsidRPr="007135D1">
              <w:rPr>
                <w:rFonts w:ascii="Arial" w:hAnsi="Arial" w:cs="FrankRuehl" w:hint="cs"/>
                <w:b/>
                <w:bCs/>
                <w:sz w:val="28"/>
                <w:szCs w:val="28"/>
                <w:rtl/>
              </w:rPr>
              <w:t>ה</w:t>
            </w:r>
            <w:r w:rsidRPr="007135D1">
              <w:rPr>
                <w:rFonts w:hint="cs"/>
                <w:b/>
                <w:bCs/>
                <w:rtl/>
              </w:rPr>
              <w:t>מאשימה</w:t>
            </w:r>
          </w:p>
        </w:tc>
      </w:tr>
      <w:tr w:rsidR="00183174" w:rsidRPr="007135D1" w14:paraId="7450350B" w14:textId="77777777">
        <w:trPr>
          <w:trHeight w:val="355"/>
          <w:jc w:val="center"/>
        </w:trPr>
        <w:tc>
          <w:tcPr>
            <w:tcW w:w="923" w:type="dxa"/>
            <w:tcBorders>
              <w:top w:val="nil"/>
              <w:left w:val="nil"/>
              <w:bottom w:val="nil"/>
              <w:right w:val="nil"/>
            </w:tcBorders>
            <w:shd w:val="clear" w:color="auto" w:fill="auto"/>
          </w:tcPr>
          <w:p w14:paraId="6EB927A7" w14:textId="77777777" w:rsidR="00183174" w:rsidRPr="007135D1" w:rsidRDefault="00183174">
            <w:pPr>
              <w:spacing w:line="360" w:lineRule="auto"/>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0332EF3" w14:textId="77777777" w:rsidR="00183174" w:rsidRPr="007135D1" w:rsidRDefault="00183174">
            <w:pPr>
              <w:spacing w:line="360" w:lineRule="auto"/>
              <w:jc w:val="center"/>
              <w:rPr>
                <w:rFonts w:ascii="Arial" w:hAnsi="Arial" w:cs="FrankRuehl"/>
                <w:b/>
                <w:bCs/>
                <w:sz w:val="28"/>
                <w:szCs w:val="28"/>
                <w:rtl/>
              </w:rPr>
            </w:pPr>
          </w:p>
          <w:p w14:paraId="569CEEBA" w14:textId="77777777" w:rsidR="00183174" w:rsidRPr="007135D1" w:rsidRDefault="007135D1">
            <w:pPr>
              <w:spacing w:line="360" w:lineRule="auto"/>
              <w:jc w:val="center"/>
              <w:rPr>
                <w:rFonts w:ascii="Arial" w:hAnsi="Arial" w:cs="FrankRuehl"/>
                <w:b/>
                <w:bCs/>
                <w:sz w:val="28"/>
                <w:szCs w:val="28"/>
                <w:rtl/>
              </w:rPr>
            </w:pPr>
            <w:r w:rsidRPr="007135D1">
              <w:rPr>
                <w:rFonts w:ascii="Arial" w:hAnsi="Arial" w:cs="FrankRuehl"/>
                <w:b/>
                <w:bCs/>
                <w:sz w:val="28"/>
                <w:szCs w:val="28"/>
                <w:rtl/>
              </w:rPr>
              <w:t>נגד</w:t>
            </w:r>
          </w:p>
          <w:p w14:paraId="5D7F363A" w14:textId="77777777" w:rsidR="00183174" w:rsidRPr="007135D1" w:rsidRDefault="00183174">
            <w:pPr>
              <w:spacing w:line="360" w:lineRule="auto"/>
              <w:jc w:val="both"/>
              <w:rPr>
                <w:rFonts w:ascii="Arial" w:hAnsi="Arial" w:cs="FrankRuehl"/>
                <w:sz w:val="28"/>
                <w:szCs w:val="28"/>
              </w:rPr>
            </w:pPr>
          </w:p>
        </w:tc>
      </w:tr>
      <w:tr w:rsidR="00183174" w:rsidRPr="007135D1" w14:paraId="71A3BDB2" w14:textId="77777777">
        <w:trPr>
          <w:trHeight w:val="355"/>
          <w:jc w:val="center"/>
        </w:trPr>
        <w:tc>
          <w:tcPr>
            <w:tcW w:w="923" w:type="dxa"/>
            <w:tcBorders>
              <w:top w:val="nil"/>
              <w:left w:val="nil"/>
              <w:bottom w:val="nil"/>
              <w:right w:val="nil"/>
            </w:tcBorders>
            <w:shd w:val="clear" w:color="auto" w:fill="auto"/>
          </w:tcPr>
          <w:p w14:paraId="440FEF5E" w14:textId="77777777" w:rsidR="00183174" w:rsidRPr="007135D1" w:rsidRDefault="00183174">
            <w:pPr>
              <w:spacing w:line="360" w:lineRule="auto"/>
              <w:rPr>
                <w:rFonts w:ascii="Arial" w:hAnsi="Arial" w:cs="FrankRuehl"/>
                <w:sz w:val="28"/>
                <w:szCs w:val="28"/>
                <w:rtl/>
              </w:rPr>
            </w:pPr>
          </w:p>
        </w:tc>
        <w:tc>
          <w:tcPr>
            <w:tcW w:w="4126" w:type="dxa"/>
            <w:tcBorders>
              <w:top w:val="nil"/>
              <w:left w:val="nil"/>
              <w:bottom w:val="nil"/>
              <w:right w:val="nil"/>
            </w:tcBorders>
            <w:shd w:val="clear" w:color="auto" w:fill="auto"/>
          </w:tcPr>
          <w:p w14:paraId="325EB31B" w14:textId="77777777" w:rsidR="00183174" w:rsidRPr="007135D1" w:rsidRDefault="007135D1">
            <w:pPr>
              <w:spacing w:line="360" w:lineRule="auto"/>
              <w:rPr>
                <w:rtl/>
              </w:rPr>
            </w:pPr>
            <w:r w:rsidRPr="007135D1">
              <w:rPr>
                <w:rFonts w:hint="cs"/>
                <w:b/>
                <w:bCs/>
                <w:rtl/>
              </w:rPr>
              <w:t>סאייד אבו שנדי (עציר)</w:t>
            </w:r>
          </w:p>
        </w:tc>
        <w:tc>
          <w:tcPr>
            <w:tcW w:w="3771" w:type="dxa"/>
            <w:tcBorders>
              <w:top w:val="nil"/>
              <w:left w:val="nil"/>
              <w:bottom w:val="nil"/>
              <w:right w:val="nil"/>
            </w:tcBorders>
            <w:shd w:val="clear" w:color="auto" w:fill="auto"/>
          </w:tcPr>
          <w:p w14:paraId="7609D0FF" w14:textId="77777777" w:rsidR="00183174" w:rsidRPr="007135D1" w:rsidRDefault="00183174">
            <w:pPr>
              <w:spacing w:line="360" w:lineRule="auto"/>
              <w:jc w:val="right"/>
              <w:rPr>
                <w:rFonts w:ascii="Arial" w:hAnsi="Arial" w:cs="FrankRuehl"/>
                <w:sz w:val="28"/>
                <w:szCs w:val="28"/>
              </w:rPr>
            </w:pPr>
          </w:p>
        </w:tc>
      </w:tr>
      <w:tr w:rsidR="00183174" w:rsidRPr="007135D1" w14:paraId="03563C4E" w14:textId="77777777">
        <w:trPr>
          <w:trHeight w:val="355"/>
          <w:jc w:val="center"/>
        </w:trPr>
        <w:tc>
          <w:tcPr>
            <w:tcW w:w="923" w:type="dxa"/>
            <w:tcBorders>
              <w:top w:val="nil"/>
              <w:left w:val="nil"/>
              <w:bottom w:val="nil"/>
              <w:right w:val="nil"/>
            </w:tcBorders>
            <w:shd w:val="clear" w:color="auto" w:fill="auto"/>
          </w:tcPr>
          <w:p w14:paraId="31B147A2" w14:textId="77777777" w:rsidR="00183174" w:rsidRPr="007135D1" w:rsidRDefault="00183174">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7915CFF7" w14:textId="77777777" w:rsidR="00183174" w:rsidRPr="007135D1" w:rsidRDefault="00183174">
            <w:pPr>
              <w:spacing w:line="360" w:lineRule="auto"/>
              <w:jc w:val="both"/>
              <w:rPr>
                <w:rtl/>
              </w:rPr>
            </w:pPr>
          </w:p>
        </w:tc>
        <w:tc>
          <w:tcPr>
            <w:tcW w:w="3771" w:type="dxa"/>
            <w:tcBorders>
              <w:top w:val="nil"/>
              <w:left w:val="nil"/>
              <w:bottom w:val="nil"/>
              <w:right w:val="nil"/>
            </w:tcBorders>
            <w:shd w:val="clear" w:color="auto" w:fill="auto"/>
          </w:tcPr>
          <w:p w14:paraId="54D826D2" w14:textId="77777777" w:rsidR="00183174" w:rsidRPr="007135D1" w:rsidRDefault="007135D1">
            <w:pPr>
              <w:spacing w:line="360" w:lineRule="auto"/>
              <w:jc w:val="right"/>
              <w:rPr>
                <w:rFonts w:ascii="Arial" w:hAnsi="Arial" w:cs="FrankRuehl"/>
                <w:b/>
                <w:bCs/>
                <w:sz w:val="28"/>
                <w:szCs w:val="28"/>
              </w:rPr>
            </w:pPr>
            <w:r w:rsidRPr="007135D1">
              <w:rPr>
                <w:rFonts w:ascii="Arial" w:hAnsi="Arial" w:cs="FrankRuehl" w:hint="cs"/>
                <w:b/>
                <w:bCs/>
                <w:sz w:val="28"/>
                <w:szCs w:val="28"/>
                <w:rtl/>
              </w:rPr>
              <w:t>ה</w:t>
            </w:r>
            <w:r w:rsidRPr="007135D1">
              <w:rPr>
                <w:rFonts w:hint="cs"/>
                <w:b/>
                <w:bCs/>
                <w:rtl/>
              </w:rPr>
              <w:t>נאשם</w:t>
            </w:r>
          </w:p>
        </w:tc>
      </w:tr>
    </w:tbl>
    <w:p w14:paraId="1E543309" w14:textId="77777777" w:rsidR="00927E56" w:rsidRDefault="00927E56">
      <w:pPr>
        <w:spacing w:line="360" w:lineRule="auto"/>
        <w:rPr>
          <w:rtl/>
        </w:rPr>
      </w:pPr>
      <w:bookmarkStart w:id="2" w:name="LawTable"/>
      <w:bookmarkEnd w:id="2"/>
    </w:p>
    <w:p w14:paraId="1F36AAAD" w14:textId="77777777" w:rsidR="00927E56" w:rsidRPr="00927E56" w:rsidRDefault="00927E56" w:rsidP="00927E56">
      <w:pPr>
        <w:spacing w:after="120" w:line="240" w:lineRule="exact"/>
        <w:ind w:left="283" w:hanging="283"/>
        <w:jc w:val="both"/>
        <w:rPr>
          <w:rFonts w:ascii="FrankRuehl" w:hAnsi="FrankRuehl" w:cs="FrankRuehl"/>
          <w:rtl/>
        </w:rPr>
      </w:pPr>
    </w:p>
    <w:p w14:paraId="0F3E707D" w14:textId="77777777" w:rsidR="00927E56" w:rsidRPr="00927E56" w:rsidRDefault="00927E56" w:rsidP="00927E56">
      <w:pPr>
        <w:spacing w:after="120" w:line="240" w:lineRule="exact"/>
        <w:ind w:left="283" w:hanging="283"/>
        <w:jc w:val="both"/>
        <w:rPr>
          <w:rFonts w:ascii="FrankRuehl" w:hAnsi="FrankRuehl" w:cs="FrankRuehl"/>
          <w:rtl/>
        </w:rPr>
      </w:pPr>
      <w:r w:rsidRPr="00927E56">
        <w:rPr>
          <w:rFonts w:ascii="FrankRuehl" w:hAnsi="FrankRuehl" w:cs="FrankRuehl"/>
          <w:rtl/>
        </w:rPr>
        <w:t xml:space="preserve">חקיקה שאוזכרה: </w:t>
      </w:r>
    </w:p>
    <w:p w14:paraId="696E2361" w14:textId="77777777" w:rsidR="00927E56" w:rsidRPr="00927E56" w:rsidRDefault="00927E56" w:rsidP="00927E56">
      <w:pPr>
        <w:spacing w:after="120" w:line="240" w:lineRule="exact"/>
        <w:ind w:left="283" w:hanging="283"/>
        <w:jc w:val="both"/>
        <w:rPr>
          <w:rFonts w:ascii="FrankRuehl" w:hAnsi="FrankRuehl" w:cs="FrankRuehl"/>
          <w:rtl/>
        </w:rPr>
      </w:pPr>
      <w:hyperlink r:id="rId6" w:history="1">
        <w:r w:rsidRPr="00927E56">
          <w:rPr>
            <w:rFonts w:ascii="FrankRuehl" w:hAnsi="FrankRuehl" w:cs="FrankRuehl"/>
            <w:color w:val="0000FF"/>
            <w:u w:val="single"/>
            <w:rtl/>
          </w:rPr>
          <w:t>חוק העונשין, תשל"ז-1977</w:t>
        </w:r>
      </w:hyperlink>
      <w:r w:rsidRPr="00927E56">
        <w:rPr>
          <w:rFonts w:ascii="FrankRuehl" w:hAnsi="FrankRuehl" w:cs="FrankRuehl"/>
          <w:rtl/>
        </w:rPr>
        <w:t xml:space="preserve">: סע'  </w:t>
      </w:r>
      <w:hyperlink r:id="rId7" w:history="1">
        <w:r w:rsidRPr="00927E56">
          <w:rPr>
            <w:rFonts w:ascii="FrankRuehl" w:hAnsi="FrankRuehl" w:cs="FrankRuehl"/>
            <w:color w:val="0000FF"/>
            <w:u w:val="single"/>
            <w:rtl/>
          </w:rPr>
          <w:t>29</w:t>
        </w:r>
      </w:hyperlink>
      <w:r w:rsidRPr="00927E56">
        <w:rPr>
          <w:rFonts w:ascii="FrankRuehl" w:hAnsi="FrankRuehl" w:cs="FrankRuehl"/>
          <w:rtl/>
        </w:rPr>
        <w:t xml:space="preserve">, </w:t>
      </w:r>
      <w:hyperlink r:id="rId8" w:history="1">
        <w:r w:rsidRPr="00927E56">
          <w:rPr>
            <w:rFonts w:ascii="FrankRuehl" w:hAnsi="FrankRuehl" w:cs="FrankRuehl"/>
            <w:color w:val="0000FF"/>
            <w:u w:val="single"/>
            <w:rtl/>
          </w:rPr>
          <w:t>40 ב</w:t>
        </w:r>
      </w:hyperlink>
      <w:r w:rsidRPr="00927E56">
        <w:rPr>
          <w:rFonts w:ascii="FrankRuehl" w:hAnsi="FrankRuehl" w:cs="FrankRuehl"/>
          <w:rtl/>
        </w:rPr>
        <w:t xml:space="preserve">, </w:t>
      </w:r>
      <w:hyperlink r:id="rId9" w:history="1">
        <w:r w:rsidRPr="00927E56">
          <w:rPr>
            <w:rFonts w:ascii="FrankRuehl" w:hAnsi="FrankRuehl" w:cs="FrankRuehl"/>
            <w:color w:val="0000FF"/>
            <w:u w:val="single"/>
            <w:rtl/>
          </w:rPr>
          <w:t>40 ג'</w:t>
        </w:r>
      </w:hyperlink>
      <w:r w:rsidRPr="00927E56">
        <w:rPr>
          <w:rFonts w:ascii="FrankRuehl" w:hAnsi="FrankRuehl" w:cs="FrankRuehl"/>
          <w:rtl/>
        </w:rPr>
        <w:t xml:space="preserve">, </w:t>
      </w:r>
      <w:hyperlink r:id="rId10" w:history="1">
        <w:r w:rsidRPr="00927E56">
          <w:rPr>
            <w:rFonts w:ascii="FrankRuehl" w:hAnsi="FrankRuehl" w:cs="FrankRuehl"/>
            <w:color w:val="0000FF"/>
            <w:u w:val="single"/>
            <w:rtl/>
          </w:rPr>
          <w:t>40ג(א)</w:t>
        </w:r>
      </w:hyperlink>
      <w:r w:rsidRPr="00927E56">
        <w:rPr>
          <w:rFonts w:ascii="FrankRuehl" w:hAnsi="FrankRuehl" w:cs="FrankRuehl"/>
          <w:rtl/>
        </w:rPr>
        <w:t xml:space="preserve">, </w:t>
      </w:r>
      <w:hyperlink r:id="rId11" w:history="1">
        <w:r w:rsidRPr="00927E56">
          <w:rPr>
            <w:rFonts w:ascii="FrankRuehl" w:hAnsi="FrankRuehl" w:cs="FrankRuehl"/>
            <w:color w:val="0000FF"/>
            <w:u w:val="single"/>
            <w:rtl/>
          </w:rPr>
          <w:t>40 ט'</w:t>
        </w:r>
      </w:hyperlink>
      <w:r w:rsidRPr="00927E56">
        <w:rPr>
          <w:rFonts w:ascii="FrankRuehl" w:hAnsi="FrankRuehl" w:cs="FrankRuehl"/>
          <w:rtl/>
        </w:rPr>
        <w:t xml:space="preserve">, </w:t>
      </w:r>
      <w:hyperlink r:id="rId12" w:history="1">
        <w:r w:rsidRPr="00927E56">
          <w:rPr>
            <w:rFonts w:ascii="FrankRuehl" w:hAnsi="FrankRuehl" w:cs="FrankRuehl"/>
            <w:color w:val="0000FF"/>
            <w:u w:val="single"/>
            <w:rtl/>
          </w:rPr>
          <w:t>144</w:t>
        </w:r>
      </w:hyperlink>
      <w:r w:rsidRPr="00927E56">
        <w:rPr>
          <w:rFonts w:ascii="FrankRuehl" w:hAnsi="FrankRuehl" w:cs="FrankRuehl"/>
          <w:rtl/>
        </w:rPr>
        <w:t xml:space="preserve">, </w:t>
      </w:r>
      <w:hyperlink r:id="rId13" w:history="1">
        <w:r w:rsidRPr="00927E56">
          <w:rPr>
            <w:rFonts w:ascii="FrankRuehl" w:hAnsi="FrankRuehl" w:cs="FrankRuehl"/>
            <w:color w:val="0000FF"/>
            <w:u w:val="single"/>
            <w:rtl/>
          </w:rPr>
          <w:t>144(ב)(2)</w:t>
        </w:r>
      </w:hyperlink>
      <w:r w:rsidRPr="00927E56">
        <w:rPr>
          <w:rFonts w:ascii="FrankRuehl" w:hAnsi="FrankRuehl" w:cs="FrankRuehl"/>
          <w:rtl/>
        </w:rPr>
        <w:t xml:space="preserve">, </w:t>
      </w:r>
      <w:hyperlink r:id="rId14" w:history="1">
        <w:r w:rsidRPr="00927E56">
          <w:rPr>
            <w:rFonts w:ascii="FrankRuehl" w:hAnsi="FrankRuehl" w:cs="FrankRuehl"/>
            <w:color w:val="0000FF"/>
            <w:u w:val="single"/>
            <w:rtl/>
          </w:rPr>
          <w:t>144(ג)</w:t>
        </w:r>
      </w:hyperlink>
    </w:p>
    <w:p w14:paraId="41503461" w14:textId="77777777" w:rsidR="00927E56" w:rsidRPr="00927E56" w:rsidRDefault="00927E56" w:rsidP="00927E5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3174" w14:paraId="253B552A" w14:textId="77777777">
        <w:trPr>
          <w:trHeight w:val="355"/>
          <w:jc w:val="center"/>
        </w:trPr>
        <w:tc>
          <w:tcPr>
            <w:tcW w:w="8820" w:type="dxa"/>
            <w:tcBorders>
              <w:top w:val="nil"/>
              <w:left w:val="nil"/>
              <w:bottom w:val="nil"/>
              <w:right w:val="nil"/>
            </w:tcBorders>
            <w:shd w:val="clear" w:color="auto" w:fill="auto"/>
          </w:tcPr>
          <w:p w14:paraId="3CF6358B" w14:textId="77777777" w:rsidR="007135D1" w:rsidRPr="007135D1" w:rsidRDefault="007135D1" w:rsidP="007135D1">
            <w:pPr>
              <w:spacing w:line="360" w:lineRule="auto"/>
              <w:jc w:val="center"/>
              <w:rPr>
                <w:rFonts w:ascii="Arial" w:hAnsi="Arial" w:cs="FrankRuehl"/>
                <w:b/>
                <w:bCs/>
                <w:sz w:val="32"/>
                <w:szCs w:val="32"/>
                <w:u w:val="single"/>
                <w:rtl/>
              </w:rPr>
            </w:pPr>
            <w:bookmarkStart w:id="3" w:name="LawTable_End"/>
            <w:bookmarkStart w:id="4" w:name="PsakDin" w:colFirst="0" w:colLast="0"/>
            <w:bookmarkEnd w:id="0"/>
            <w:bookmarkEnd w:id="3"/>
            <w:r w:rsidRPr="007135D1">
              <w:rPr>
                <w:rFonts w:ascii="Arial" w:hAnsi="Arial" w:cs="FrankRuehl"/>
                <w:b/>
                <w:bCs/>
                <w:sz w:val="32"/>
                <w:szCs w:val="32"/>
                <w:u w:val="single"/>
                <w:rtl/>
              </w:rPr>
              <w:t>גזר דין</w:t>
            </w:r>
          </w:p>
          <w:p w14:paraId="4C70FA33" w14:textId="77777777" w:rsidR="00183174" w:rsidRPr="007135D1" w:rsidRDefault="00183174" w:rsidP="007135D1">
            <w:pPr>
              <w:spacing w:line="360" w:lineRule="auto"/>
              <w:jc w:val="center"/>
              <w:rPr>
                <w:rFonts w:ascii="Arial" w:hAnsi="Arial" w:cs="FrankRuehl"/>
                <w:bCs/>
                <w:sz w:val="32"/>
                <w:szCs w:val="32"/>
                <w:u w:val="single"/>
                <w:rtl/>
              </w:rPr>
            </w:pPr>
          </w:p>
        </w:tc>
      </w:tr>
      <w:bookmarkEnd w:id="4"/>
    </w:tbl>
    <w:p w14:paraId="703EEF8A" w14:textId="77777777" w:rsidR="00183174" w:rsidRDefault="00183174">
      <w:pPr>
        <w:spacing w:line="360" w:lineRule="auto"/>
        <w:rPr>
          <w:rFonts w:ascii="Arial" w:hAnsi="Arial"/>
          <w:rtl/>
        </w:rPr>
      </w:pPr>
    </w:p>
    <w:p w14:paraId="397885AF" w14:textId="77777777" w:rsidR="00183174" w:rsidRDefault="007135D1">
      <w:pPr>
        <w:spacing w:line="360" w:lineRule="auto"/>
        <w:ind w:left="720" w:hanging="720"/>
        <w:jc w:val="both"/>
        <w:rPr>
          <w:rtl/>
        </w:rPr>
      </w:pPr>
      <w:r>
        <w:rPr>
          <w:rtl/>
        </w:rPr>
        <w:t xml:space="preserve">1. </w:t>
      </w:r>
      <w:r>
        <w:rPr>
          <w:rtl/>
        </w:rPr>
        <w:tab/>
      </w:r>
      <w:bookmarkStart w:id="5" w:name="ABSTRACT_START"/>
      <w:bookmarkEnd w:id="5"/>
      <w:r>
        <w:rPr>
          <w:rtl/>
        </w:rPr>
        <w:t>הנאשם הוד</w:t>
      </w:r>
      <w:r>
        <w:rPr>
          <w:rFonts w:hint="cs"/>
          <w:rtl/>
        </w:rPr>
        <w:t>ה</w:t>
      </w:r>
      <w:r>
        <w:rPr>
          <w:rtl/>
        </w:rPr>
        <w:t xml:space="preserve"> בתיק זה בעובדות כתב האישום שתוקן, במסגרת הסדר טיעון בין הצדדים, אשר לא כלל הסדר לעניין העונש והורשע</w:t>
      </w:r>
      <w:r>
        <w:rPr>
          <w:rFonts w:hint="cs"/>
          <w:rtl/>
        </w:rPr>
        <w:t xml:space="preserve"> </w:t>
      </w:r>
      <w:r>
        <w:rPr>
          <w:rtl/>
        </w:rPr>
        <w:t xml:space="preserve"> בביצוע עביר</w:t>
      </w:r>
      <w:r>
        <w:rPr>
          <w:rFonts w:hint="cs"/>
          <w:rtl/>
        </w:rPr>
        <w:t xml:space="preserve">ה של סחר בנשק שלא כדין, עבירה לפי </w:t>
      </w:r>
      <w:hyperlink r:id="rId15" w:history="1">
        <w:r w:rsidR="00927E56" w:rsidRPr="00927E56">
          <w:rPr>
            <w:color w:val="0000FF"/>
            <w:u w:val="single"/>
            <w:rtl/>
          </w:rPr>
          <w:t>סעיפים 144(ב)(2)</w:t>
        </w:r>
      </w:hyperlink>
      <w:r>
        <w:rPr>
          <w:rtl/>
        </w:rPr>
        <w:t xml:space="preserve"> ו- </w:t>
      </w:r>
      <w:hyperlink r:id="rId16" w:history="1">
        <w:r w:rsidR="00927E56" w:rsidRPr="00927E56">
          <w:rPr>
            <w:color w:val="0000FF"/>
            <w:u w:val="single"/>
            <w:rtl/>
          </w:rPr>
          <w:t>144(ג)</w:t>
        </w:r>
      </w:hyperlink>
      <w:r>
        <w:rPr>
          <w:rtl/>
        </w:rPr>
        <w:t xml:space="preserve"> </w:t>
      </w:r>
      <w:r>
        <w:rPr>
          <w:rFonts w:hint="cs"/>
          <w:rtl/>
        </w:rPr>
        <w:t xml:space="preserve">בצירוף </w:t>
      </w:r>
      <w:hyperlink r:id="rId17" w:history="1">
        <w:r w:rsidR="00927E56" w:rsidRPr="00927E56">
          <w:rPr>
            <w:color w:val="0000FF"/>
            <w:u w:val="single"/>
            <w:rtl/>
          </w:rPr>
          <w:t>סעיף 29</w:t>
        </w:r>
      </w:hyperlink>
      <w:r>
        <w:rPr>
          <w:rFonts w:hint="cs"/>
          <w:rtl/>
        </w:rPr>
        <w:t xml:space="preserve"> </w:t>
      </w:r>
      <w:r>
        <w:rPr>
          <w:rtl/>
        </w:rPr>
        <w:t xml:space="preserve"> ל</w:t>
      </w:r>
      <w:hyperlink r:id="rId18" w:history="1">
        <w:r w:rsidRPr="007135D1">
          <w:rPr>
            <w:rStyle w:val="Hyperlink"/>
            <w:rtl/>
          </w:rPr>
          <w:t>חוק העונשין</w:t>
        </w:r>
      </w:hyperlink>
      <w:r>
        <w:rPr>
          <w:rFonts w:hint="cs"/>
          <w:rtl/>
        </w:rPr>
        <w:t>, התשל"ז- 1977(להלן: "חוק העונשין"). סוכם בין הצדדים, כי המאשימה תעתור להטלת עונש של  מאסר בפועל על הנאשם, בצד עונשי מאסר על תנאי וקנס כספי.</w:t>
      </w:r>
    </w:p>
    <w:p w14:paraId="5FAD4A7D" w14:textId="77777777" w:rsidR="00183174" w:rsidRDefault="00183174">
      <w:pPr>
        <w:spacing w:line="360" w:lineRule="auto"/>
        <w:ind w:left="720" w:hanging="720"/>
        <w:jc w:val="both"/>
        <w:rPr>
          <w:rtl/>
        </w:rPr>
      </w:pPr>
      <w:bookmarkStart w:id="6" w:name="ABSTRACT_END"/>
      <w:bookmarkEnd w:id="6"/>
    </w:p>
    <w:p w14:paraId="160F74EE" w14:textId="77777777" w:rsidR="00183174" w:rsidRDefault="007135D1">
      <w:pPr>
        <w:spacing w:line="360" w:lineRule="auto"/>
        <w:ind w:left="720" w:hanging="720"/>
        <w:jc w:val="both"/>
        <w:rPr>
          <w:rtl/>
        </w:rPr>
      </w:pPr>
      <w:r>
        <w:rPr>
          <w:rFonts w:hint="cs"/>
          <w:rtl/>
        </w:rPr>
        <w:t>2.</w:t>
      </w:r>
      <w:r>
        <w:rPr>
          <w:rtl/>
        </w:rPr>
        <w:tab/>
      </w:r>
      <w:r>
        <w:rPr>
          <w:rFonts w:hint="cs"/>
          <w:rtl/>
        </w:rPr>
        <w:t>כעת, לאחר שהוגשו הראיות לעונש והועלו טיעוני ב"כ הצדדים לעונש</w:t>
      </w:r>
      <w:r>
        <w:rPr>
          <w:rtl/>
        </w:rPr>
        <w:t>, כל שנותר כעת הוא לגזור את דינ</w:t>
      </w:r>
      <w:r>
        <w:rPr>
          <w:rFonts w:hint="cs"/>
          <w:rtl/>
        </w:rPr>
        <w:t>ו</w:t>
      </w:r>
      <w:r>
        <w:rPr>
          <w:rtl/>
        </w:rPr>
        <w:t xml:space="preserve"> של הנאשם.  </w:t>
      </w:r>
    </w:p>
    <w:p w14:paraId="6A0587EE" w14:textId="77777777" w:rsidR="00183174" w:rsidRDefault="007135D1">
      <w:pPr>
        <w:spacing w:line="360" w:lineRule="auto"/>
        <w:jc w:val="both"/>
        <w:rPr>
          <w:rtl/>
        </w:rPr>
      </w:pPr>
      <w:r>
        <w:rPr>
          <w:rtl/>
        </w:rPr>
        <w:t xml:space="preserve"> </w:t>
      </w:r>
    </w:p>
    <w:p w14:paraId="713C9B83" w14:textId="77777777" w:rsidR="00183174" w:rsidRDefault="007135D1">
      <w:pPr>
        <w:spacing w:line="360" w:lineRule="auto"/>
        <w:jc w:val="both"/>
        <w:rPr>
          <w:b/>
          <w:bCs/>
          <w:u w:val="single"/>
          <w:rtl/>
        </w:rPr>
      </w:pPr>
      <w:r>
        <w:rPr>
          <w:b/>
          <w:bCs/>
          <w:u w:val="single"/>
          <w:rtl/>
        </w:rPr>
        <w:t xml:space="preserve">כתב האישום המתוקן </w:t>
      </w:r>
    </w:p>
    <w:p w14:paraId="3D26D991" w14:textId="77777777" w:rsidR="00183174" w:rsidRDefault="007135D1">
      <w:pPr>
        <w:spacing w:line="360" w:lineRule="auto"/>
        <w:ind w:left="720" w:hanging="720"/>
        <w:jc w:val="both"/>
        <w:rPr>
          <w:rtl/>
        </w:rPr>
      </w:pPr>
      <w:r>
        <w:rPr>
          <w:rtl/>
        </w:rPr>
        <w:t xml:space="preserve"> 3.</w:t>
      </w:r>
      <w:r>
        <w:rPr>
          <w:rtl/>
        </w:rPr>
        <w:tab/>
        <w:t>בכתב האישום המתוקן נטען</w:t>
      </w:r>
      <w:r>
        <w:rPr>
          <w:rFonts w:hint="cs"/>
          <w:rtl/>
        </w:rPr>
        <w:t>,</w:t>
      </w:r>
      <w:r>
        <w:rPr>
          <w:rtl/>
        </w:rPr>
        <w:t xml:space="preserve"> כדלקמן</w:t>
      </w:r>
      <w:r>
        <w:rPr>
          <w:rFonts w:hint="cs"/>
          <w:rtl/>
        </w:rPr>
        <w:t>:</w:t>
      </w:r>
    </w:p>
    <w:p w14:paraId="16755596" w14:textId="77777777" w:rsidR="00183174" w:rsidRDefault="007135D1">
      <w:pPr>
        <w:spacing w:line="360" w:lineRule="auto"/>
        <w:ind w:left="720"/>
        <w:jc w:val="both"/>
        <w:rPr>
          <w:rtl/>
        </w:rPr>
      </w:pPr>
      <w:r>
        <w:rPr>
          <w:rFonts w:hint="cs"/>
          <w:rtl/>
        </w:rPr>
        <w:lastRenderedPageBreak/>
        <w:t>סלים טרודי הינו שוטר במשטרת ישראל (להלן: "הסמוי") ובמועדים הרלוונטיי</w:t>
      </w:r>
      <w:r>
        <w:rPr>
          <w:rFonts w:hint="eastAsia"/>
          <w:rtl/>
        </w:rPr>
        <w:t>ם</w:t>
      </w:r>
      <w:r>
        <w:rPr>
          <w:rFonts w:hint="cs"/>
          <w:rtl/>
        </w:rPr>
        <w:t xml:space="preserve"> לכתב האישום פעל בשליחות משטרת ישראל ורכש בהוראתה, באישורה ובכספה כלי נשק ותחמושת, באופן המתואר להלן.</w:t>
      </w:r>
    </w:p>
    <w:p w14:paraId="2E612107" w14:textId="77777777" w:rsidR="00183174" w:rsidRDefault="007135D1">
      <w:pPr>
        <w:spacing w:line="360" w:lineRule="auto"/>
        <w:ind w:left="720"/>
        <w:jc w:val="both"/>
        <w:rPr>
          <w:rtl/>
        </w:rPr>
      </w:pPr>
      <w:r>
        <w:rPr>
          <w:rFonts w:hint="cs"/>
          <w:rtl/>
        </w:rPr>
        <w:t>במסגרת הפעלת הסמוי ועובר למועדים הרלוונטיים לכתב האישום, הכיר הסמוי את הקטין ע.מ. (להלן: "הקטין"). הנאשם והקטין הינם תושבי כפר קרע וקיימת ביניהם היכרות. בתאריך 22.2.15 שוחחו הקטין והסמוי במספר הזדמנויות וסיכמו לבצע עסקת נשק, במסגרתה ימכור הקטין לסמוי תת מקלע מאולתר עם מחסנית (להלן: "הנשק") בתמורה לתשלום סכום של 15,000 ₪ (להלן: "העסקה"). עוד סיכמו הסמוי והקטין, כי ייפגשו לקראת השעה 22:00 לצורך ביצוע העסקה.</w:t>
      </w:r>
    </w:p>
    <w:p w14:paraId="5F3CD299" w14:textId="77777777" w:rsidR="00183174" w:rsidRDefault="007135D1">
      <w:pPr>
        <w:spacing w:line="360" w:lineRule="auto"/>
        <w:ind w:left="720"/>
        <w:jc w:val="both"/>
        <w:rPr>
          <w:rtl/>
        </w:rPr>
      </w:pPr>
      <w:r>
        <w:rPr>
          <w:rFonts w:hint="cs"/>
          <w:rtl/>
        </w:rPr>
        <w:t>בהמשך לאמור לעיל ולשם ביצוע העסקה, פנה הקטין לנאשם וביקש ממנו לספק לו נשק על מנת למכור אותו לסוכן והנאשם הסכים לכך. בשעה 21:45 או בסמוך לכך, נסעו הסמוי והקטין, ברכבו של הסמוי, לביתו של הנאשם על פי הנחיית הקטין. בהגיעם לביתו של הנאשם, בשעה 22:00 או בסמוך לכך, ירד הקטין מהרכב ונכנס לביתו של הנאשם. כעבור מספר דקות, חזר הקטין לרכב והודיע לסמוי כי הנאשם לא בביתו, וכי עליהם לשוב מאוחר יותר. זמן קצר אחר כך, לפני השעה 23:00, חזרו הקטין והסמוי לביתו של הנאשם. באותה עת, הגיע הנאשם לביתו, כשהוא נוהג ברכבו מסוג מרצדס. לבקשת הנאשם, עלו הקטין והסמוי לביתו של הנאשם. לאחר זמן קצר, אמר הנאשם לסמוי: "בוא נצא לדרך", שאז השלושה יצאו מהבית, עלו לרכבו של הסמוי, כשהסמוי נוהג ברכב ונסעו לבצע את העסקה. במהלך הנסיעה, הכווינו הנאשם והקטין את הסמוי בנסיעתו, בצוותא חדא, והורו לו לצאת מכפר קרע, להיכנס לכפר ערערה ולעצור בכפר ערערה במקום שאינו ידוע למאשימה. בעוד הסמוי עוצר את הרכב, בהתאם להוראות הנאשם והקטין, הגיע למקום רכב של אחר, שזהותו אינה ידועה למאשימה, וניצב מאחורי רכב הסמוי. הנאשם והקטין ניגשו לרכב האחר וכעבור כדקה שב הקטין לרכב הסמוי והעביר לידיו תת מקלע מאולתר, שסוגל לירות כדור שבכוחו להמית אדם וכן מחסנית ריקה כשהם עטופים במגבת. בתמורה לנשק והמחסנית, שילם הסמוי לקטין סכום של 15,000 ₪, מתוכם נטל הקטין לעצמו סכום של  2,000₪ ועזב את המקום.</w:t>
      </w:r>
    </w:p>
    <w:p w14:paraId="3B68153E" w14:textId="77777777" w:rsidR="00183174" w:rsidRDefault="00183174">
      <w:pPr>
        <w:spacing w:line="360" w:lineRule="auto"/>
        <w:rPr>
          <w:rtl/>
        </w:rPr>
      </w:pPr>
    </w:p>
    <w:p w14:paraId="2303C750" w14:textId="77777777" w:rsidR="00183174" w:rsidRDefault="007135D1">
      <w:pPr>
        <w:spacing w:line="360" w:lineRule="auto"/>
        <w:rPr>
          <w:b/>
          <w:bCs/>
          <w:u w:val="single"/>
          <w:rtl/>
        </w:rPr>
      </w:pPr>
      <w:r>
        <w:rPr>
          <w:b/>
          <w:bCs/>
          <w:u w:val="single"/>
          <w:rtl/>
        </w:rPr>
        <w:t xml:space="preserve">ראיות  </w:t>
      </w:r>
      <w:r>
        <w:rPr>
          <w:rFonts w:hint="cs"/>
          <w:b/>
          <w:bCs/>
          <w:u w:val="single"/>
          <w:rtl/>
        </w:rPr>
        <w:t xml:space="preserve">לעונש </w:t>
      </w:r>
      <w:r>
        <w:rPr>
          <w:b/>
          <w:bCs/>
          <w:u w:val="single"/>
          <w:rtl/>
        </w:rPr>
        <w:t xml:space="preserve">וטיעוני ב"כ הצדדים לעונש   </w:t>
      </w:r>
    </w:p>
    <w:p w14:paraId="63020F18" w14:textId="77777777" w:rsidR="00183174" w:rsidRDefault="007135D1">
      <w:pPr>
        <w:spacing w:line="360" w:lineRule="auto"/>
        <w:ind w:left="720" w:hanging="720"/>
        <w:jc w:val="both"/>
        <w:rPr>
          <w:rtl/>
        </w:rPr>
      </w:pPr>
      <w:r>
        <w:rPr>
          <w:rFonts w:hint="cs"/>
          <w:rtl/>
        </w:rPr>
        <w:t>4.</w:t>
      </w:r>
      <w:r>
        <w:rPr>
          <w:rtl/>
        </w:rPr>
        <w:tab/>
        <w:t>ב"כ המאשימה הגיש</w:t>
      </w:r>
      <w:r>
        <w:rPr>
          <w:rFonts w:hint="cs"/>
          <w:rtl/>
        </w:rPr>
        <w:t xml:space="preserve"> </w:t>
      </w:r>
      <w:r>
        <w:rPr>
          <w:rtl/>
        </w:rPr>
        <w:t xml:space="preserve"> בדיון בפניי ביום </w:t>
      </w:r>
      <w:r>
        <w:rPr>
          <w:rFonts w:hint="cs"/>
          <w:rtl/>
        </w:rPr>
        <w:t xml:space="preserve">1.12.15 </w:t>
      </w:r>
      <w:r>
        <w:rPr>
          <w:rtl/>
        </w:rPr>
        <w:t xml:space="preserve">את גיליון המרשם הפלילי של </w:t>
      </w:r>
      <w:r>
        <w:rPr>
          <w:rFonts w:hint="cs"/>
          <w:rtl/>
        </w:rPr>
        <w:t>ה</w:t>
      </w:r>
      <w:r>
        <w:rPr>
          <w:rtl/>
        </w:rPr>
        <w:t>נאשם (ת/1)</w:t>
      </w:r>
      <w:r>
        <w:rPr>
          <w:rFonts w:hint="cs"/>
          <w:rtl/>
        </w:rPr>
        <w:t xml:space="preserve"> וכן את טיעוני המאשימה לעונש (ת/2).</w:t>
      </w:r>
    </w:p>
    <w:p w14:paraId="6109ED0D" w14:textId="77777777" w:rsidR="00183174" w:rsidRDefault="00183174">
      <w:pPr>
        <w:spacing w:line="360" w:lineRule="auto"/>
        <w:ind w:left="720" w:hanging="720"/>
        <w:jc w:val="both"/>
        <w:rPr>
          <w:rtl/>
        </w:rPr>
      </w:pPr>
    </w:p>
    <w:p w14:paraId="54D7E3B0" w14:textId="77777777" w:rsidR="00183174" w:rsidRDefault="007135D1">
      <w:pPr>
        <w:spacing w:line="360" w:lineRule="auto"/>
        <w:ind w:left="720" w:hanging="720"/>
        <w:jc w:val="both"/>
        <w:rPr>
          <w:rtl/>
        </w:rPr>
      </w:pPr>
      <w:r>
        <w:rPr>
          <w:rFonts w:hint="cs"/>
          <w:rtl/>
        </w:rPr>
        <w:t xml:space="preserve">5. </w:t>
      </w:r>
      <w:r>
        <w:rPr>
          <w:rtl/>
        </w:rPr>
        <w:tab/>
      </w:r>
      <w:r>
        <w:rPr>
          <w:rFonts w:hint="cs"/>
          <w:rtl/>
        </w:rPr>
        <w:t xml:space="preserve">בת/2 ציין ב"כ המאשימה, כי העונש המרבי בגין עבירה של סחר בנשק הוא עונש של 15 שנות מאסר. ב"כ המאשימה הטעים בטיעוניו, כי עבירות האלימות המבוצעות באמצעות נשק, התרבו בעת האחרונה, כמו גם עבירות האלימות הנגזרות באופן ישיר מהסחר הבלתי חוקי בנשק. עוד נטען, כי העבירות הנ"ל נעשות במחשכים, דבר המקשה על גילוי העבירות </w:t>
      </w:r>
      <w:r>
        <w:rPr>
          <w:rFonts w:hint="cs"/>
          <w:rtl/>
        </w:rPr>
        <w:lastRenderedPageBreak/>
        <w:t>ומבצען. לפיכך, טען ב"כ המאשימה, כי על בית המשפט לראות בסחר בנשק בלתי חוקי כמכת מדינה של ממש ולהשית ענישה מחמירה בעבירות הנשק על נגזרותיהן לצורך מיגור תופעת האלימות הגואה באמצעות כלי הנשק.</w:t>
      </w:r>
    </w:p>
    <w:p w14:paraId="7946BA37" w14:textId="77777777" w:rsidR="00183174" w:rsidRDefault="00183174">
      <w:pPr>
        <w:spacing w:line="360" w:lineRule="auto"/>
        <w:ind w:left="720" w:hanging="720"/>
        <w:jc w:val="both"/>
        <w:rPr>
          <w:rtl/>
        </w:rPr>
      </w:pPr>
    </w:p>
    <w:p w14:paraId="2962C3AC" w14:textId="77777777" w:rsidR="00183174" w:rsidRDefault="007135D1">
      <w:pPr>
        <w:spacing w:line="360" w:lineRule="auto"/>
        <w:ind w:left="720" w:hanging="720"/>
        <w:jc w:val="both"/>
        <w:rPr>
          <w:rtl/>
        </w:rPr>
      </w:pPr>
      <w:r>
        <w:rPr>
          <w:rFonts w:hint="cs"/>
          <w:rtl/>
        </w:rPr>
        <w:t xml:space="preserve">6. </w:t>
      </w:r>
      <w:r>
        <w:rPr>
          <w:rtl/>
        </w:rPr>
        <w:tab/>
      </w:r>
      <w:r>
        <w:rPr>
          <w:rFonts w:hint="cs"/>
          <w:rtl/>
        </w:rPr>
        <w:t>באשר לנסיבות הקשורות בביצוע העבירה, ציין ב"כ המאשימה בת/2, כי הנאשם נלכד במסגרת מבצע סוכן, וכי תמורת הנשק שילם הסוכן סכום של  15,000 ₪. ב"כ המאשימה הטעים, כי ניתן ללמוד על תעוזתו ומסוכנותו של הנאשם מעצם נסיבות ביצוע העבירה, כמו גם על חלקו בביצוע העבירה ומעמדו של הנאשם כבוגר אליו פונים קטינים לצורך ביצוע עסקאות סחר בלתי חוקיות . ב"כ המאשימה ציין, כי לא מדובר במעידה חד- פעמית אלא בעבירות מתמשכות שהן פרי תכנון מוקדם ותעוזה רבה המעידה על אופיו העברייני של מבצעה.</w:t>
      </w:r>
    </w:p>
    <w:p w14:paraId="4CF96258" w14:textId="77777777" w:rsidR="00183174" w:rsidRDefault="00183174">
      <w:pPr>
        <w:spacing w:line="360" w:lineRule="auto"/>
        <w:ind w:left="720" w:hanging="720"/>
        <w:jc w:val="both"/>
        <w:rPr>
          <w:rtl/>
        </w:rPr>
      </w:pPr>
    </w:p>
    <w:p w14:paraId="163EA10A" w14:textId="77777777" w:rsidR="00183174" w:rsidRDefault="007135D1">
      <w:pPr>
        <w:spacing w:line="360" w:lineRule="auto"/>
        <w:ind w:left="720" w:hanging="720"/>
        <w:jc w:val="both"/>
        <w:rPr>
          <w:rtl/>
        </w:rPr>
      </w:pPr>
      <w:r>
        <w:rPr>
          <w:rFonts w:hint="cs"/>
          <w:rtl/>
        </w:rPr>
        <w:t xml:space="preserve">7. </w:t>
      </w:r>
      <w:r>
        <w:rPr>
          <w:rtl/>
        </w:rPr>
        <w:tab/>
      </w:r>
      <w:r>
        <w:rPr>
          <w:rFonts w:hint="cs"/>
          <w:rtl/>
        </w:rPr>
        <w:t>במסגרת ת/2, הפנה ב"כ המאשימה לפסיקה הממחישה את עמדתה העונשית של המאשימה בתיק זה. ב"כ המאשימה הטעים, כי בהתחשב בערך החברתי שנפגע, במידת הפגיעה בו ובמדיניות הענישה הנהוגה, סבורה המאשימה כי מתחם העונש ההולם לעבירות בהן הורשע הנאשם נע בין 5-3 שנות מאסר בפועל, זאת לצד עונש של מאסר על תנאי וקנס כספי כבד. באשר לקביעת העונש בתוך מתחם העונש ההולם, ביקש ב"כ המאשימה להשית על הנאשם עונש ברף הגבוה של המתחם הנ"ל.</w:t>
      </w:r>
    </w:p>
    <w:p w14:paraId="7BB4B2A7" w14:textId="77777777" w:rsidR="00183174" w:rsidRDefault="00183174">
      <w:pPr>
        <w:spacing w:line="360" w:lineRule="auto"/>
        <w:ind w:left="720" w:hanging="720"/>
        <w:jc w:val="both"/>
        <w:rPr>
          <w:rtl/>
        </w:rPr>
      </w:pPr>
    </w:p>
    <w:p w14:paraId="5E36AF72" w14:textId="77777777" w:rsidR="00183174" w:rsidRDefault="007135D1">
      <w:pPr>
        <w:spacing w:line="360" w:lineRule="auto"/>
        <w:ind w:left="720" w:hanging="720"/>
        <w:jc w:val="both"/>
        <w:rPr>
          <w:rtl/>
        </w:rPr>
      </w:pPr>
      <w:r>
        <w:rPr>
          <w:rFonts w:hint="cs"/>
          <w:rtl/>
        </w:rPr>
        <w:t xml:space="preserve">8. </w:t>
      </w:r>
      <w:r>
        <w:rPr>
          <w:rtl/>
        </w:rPr>
        <w:tab/>
      </w:r>
      <w:r>
        <w:rPr>
          <w:rFonts w:hint="cs"/>
          <w:rtl/>
        </w:rPr>
        <w:t>לפיכך, עתרה המאשימה להשית על הנאשם עונש של מאסר בפועל ברף הגבוה של מתחם העונש הנזכר לעיל, מאסר על תנאי מרתיע וקנס כספי כבד, שיגלם בחובו את סכום הכסף הנכבד אותו קיבל הנאשם, בצוותא חדא, מידי הסוכן (15,000 ש"ח) והן את ההשקעה הרבה של משטרת  ישראל בחקירת הפרשה.</w:t>
      </w:r>
    </w:p>
    <w:p w14:paraId="72F58F23" w14:textId="77777777" w:rsidR="00183174" w:rsidRDefault="00183174">
      <w:pPr>
        <w:spacing w:line="360" w:lineRule="auto"/>
        <w:ind w:left="720" w:hanging="720"/>
        <w:jc w:val="both"/>
        <w:rPr>
          <w:rtl/>
        </w:rPr>
      </w:pPr>
    </w:p>
    <w:p w14:paraId="5181330A" w14:textId="77777777" w:rsidR="00183174" w:rsidRDefault="007135D1">
      <w:pPr>
        <w:spacing w:line="360" w:lineRule="auto"/>
        <w:ind w:left="720" w:hanging="720"/>
        <w:jc w:val="both"/>
        <w:rPr>
          <w:rtl/>
        </w:rPr>
      </w:pPr>
      <w:r>
        <w:rPr>
          <w:rFonts w:hint="cs"/>
          <w:rtl/>
        </w:rPr>
        <w:t xml:space="preserve">9. </w:t>
      </w:r>
      <w:r>
        <w:rPr>
          <w:rtl/>
        </w:rPr>
        <w:tab/>
      </w:r>
      <w:r>
        <w:rPr>
          <w:rFonts w:hint="cs"/>
          <w:rtl/>
        </w:rPr>
        <w:t>במסגרת טיעוניו לעונש בפניי, ביקש הסנגור שלא למצות את הדין עם הנאשם, תוך שציין כי הנאשם עצור בגין תיק זה מיום 11.5.15. בנקודה זו ציין הסנגור, כי הנאשם הסכים למעצרו עד תום ההליכים, מתוך כוונה ליתן את הדין על ביצוע העבירה. הסנגור הדגיש את הודאת הנאשם בהזדמנות הראשונה, הודאה אשר חסכה זמן שיפוטי יקר וכן העדת עדים רבים ובעיקר את העדת הסוכן המשטרתי.</w:t>
      </w:r>
    </w:p>
    <w:p w14:paraId="648FF440" w14:textId="77777777" w:rsidR="00183174" w:rsidRDefault="00183174">
      <w:pPr>
        <w:spacing w:line="360" w:lineRule="auto"/>
        <w:ind w:left="720" w:hanging="720"/>
        <w:jc w:val="both"/>
        <w:rPr>
          <w:rtl/>
        </w:rPr>
      </w:pPr>
    </w:p>
    <w:p w14:paraId="019A317E" w14:textId="77777777" w:rsidR="00183174" w:rsidRDefault="007135D1">
      <w:pPr>
        <w:spacing w:line="360" w:lineRule="auto"/>
        <w:ind w:left="720" w:hanging="720"/>
        <w:jc w:val="both"/>
        <w:rPr>
          <w:rFonts w:ascii="Calibri" w:hAnsi="Calibri"/>
          <w:rtl/>
        </w:rPr>
      </w:pPr>
      <w:r>
        <w:rPr>
          <w:rFonts w:hint="cs"/>
          <w:rtl/>
        </w:rPr>
        <w:t xml:space="preserve">10. </w:t>
      </w:r>
      <w:r>
        <w:rPr>
          <w:rtl/>
        </w:rPr>
        <w:tab/>
      </w:r>
      <w:r>
        <w:rPr>
          <w:rFonts w:hint="cs"/>
          <w:rtl/>
        </w:rPr>
        <w:t>במסגרת נסיבותיו האישיות של הנאשם, הטעים הסנגור, כי הנאשם בן 26, נשוי משנת 2013 ואב לשני ילדים וכן כי אשתו בת 21, עקרת בית. הסנגור הוסיף וציין, כי הנאשם סיים 12 שנות לימוד וקיבל תעודת בגרות וכן כי בתום לימודיו  החל הנאשם לעבוד בבניין</w:t>
      </w:r>
      <w:r>
        <w:rPr>
          <w:rFonts w:hint="cs"/>
        </w:rPr>
        <w:t xml:space="preserve"> </w:t>
      </w:r>
      <w:r>
        <w:rPr>
          <w:rFonts w:hint="cs"/>
          <w:rtl/>
        </w:rPr>
        <w:t>ולאחר מכן כנהג הובלות. הסנגור הוסיף וציין, כי הנאשם מתואר כעובד מסור ואחראי ללא בעיות משמעת ומקובל בחברה, הן על לקוחות החברה והן על ספקיה. לאישוש טיעוניו הנ"ל, הגיש הסנגור מכתבים מבית הספר בו למד  הנאשם ומן המועצה המקומית כפר קרע וכן מכתב המלצה מהמעסיק האחרון של הנאשם(נ/1). עוד ציין הסנגור, כי הנאשם הוא הבכור במשפחתו, אשר גדל בקונסטלציה משפחתית מורכבת נוכח אורח חייו של אביו וקשריו מחוץ לנישואים, אשר הובילו בסופו של יום לגירושי ההורים. עוד נטען ע"י הסנגור, כי הנאשם גדל  ב</w:t>
      </w:r>
      <w:r>
        <w:rPr>
          <w:rFonts w:ascii="Calibri" w:hAnsi="Calibri" w:hint="cs"/>
          <w:rtl/>
        </w:rPr>
        <w:t xml:space="preserve">עזובה רגשית ונאלץ להתמודד מגיל צעיר עם מציאות משפחתית לא יציבה ורוויית מתחים ולכן ילדותו  הייתה מאופיינת בבדידות חברתית, דבר שגרם לנאשם לפיתוח תחושת דימוי נמוך. </w:t>
      </w:r>
    </w:p>
    <w:p w14:paraId="13695404" w14:textId="77777777" w:rsidR="00183174" w:rsidRDefault="00183174">
      <w:pPr>
        <w:spacing w:line="360" w:lineRule="auto"/>
        <w:ind w:left="720" w:hanging="720"/>
        <w:jc w:val="both"/>
        <w:rPr>
          <w:rFonts w:ascii="Calibri" w:hAnsi="Calibri"/>
          <w:rtl/>
        </w:rPr>
      </w:pPr>
    </w:p>
    <w:p w14:paraId="4AC8DB7F" w14:textId="77777777" w:rsidR="00183174" w:rsidRDefault="007135D1">
      <w:pPr>
        <w:spacing w:line="360" w:lineRule="auto"/>
        <w:ind w:left="720" w:hanging="720"/>
        <w:jc w:val="both"/>
        <w:rPr>
          <w:rFonts w:ascii="Calibri" w:hAnsi="Calibri"/>
          <w:rtl/>
        </w:rPr>
      </w:pPr>
      <w:r>
        <w:rPr>
          <w:rFonts w:ascii="Calibri" w:hAnsi="Calibri" w:hint="cs"/>
          <w:rtl/>
        </w:rPr>
        <w:t xml:space="preserve">11. </w:t>
      </w:r>
      <w:r>
        <w:rPr>
          <w:rFonts w:ascii="Calibri" w:hAnsi="Calibri"/>
          <w:rtl/>
        </w:rPr>
        <w:tab/>
      </w:r>
      <w:r>
        <w:rPr>
          <w:rFonts w:ascii="Calibri" w:hAnsi="Calibri" w:hint="cs"/>
          <w:rtl/>
        </w:rPr>
        <w:t>הסנגור הוסיף וטען, כי לא מדובר בנאשם בעל דפוסי התנהגות עבריינים. הסנגור הטעים, כי עברו הפלילי של הנאשם אינו מכביד כלל ועיקר   וכי לחובתו הרשעה אחת בלבד בעקבות קטטה. הסנגור הוסיף וציין, כי במסגרת מעצרו משמש הנאשם כ"עציר תומך" ולהמחשת האמור הציג הסנגור לעיוני  תעודה שקיבל  הנאשם משב"ס לגבי תפקודו במעצרו ועזרתו לזולת.</w:t>
      </w:r>
      <w:r>
        <w:rPr>
          <w:rFonts w:ascii="Calibri" w:hAnsi="Calibri"/>
          <w:rtl/>
        </w:rPr>
        <w:tab/>
      </w:r>
    </w:p>
    <w:p w14:paraId="16996567" w14:textId="77777777" w:rsidR="00183174" w:rsidRDefault="00183174">
      <w:pPr>
        <w:spacing w:line="360" w:lineRule="auto"/>
        <w:ind w:left="720" w:hanging="720"/>
        <w:jc w:val="both"/>
        <w:rPr>
          <w:rFonts w:ascii="Calibri" w:hAnsi="Calibri"/>
          <w:rtl/>
        </w:rPr>
      </w:pPr>
    </w:p>
    <w:p w14:paraId="15D3DC83" w14:textId="77777777" w:rsidR="00183174" w:rsidRDefault="007135D1">
      <w:pPr>
        <w:spacing w:line="360" w:lineRule="auto"/>
        <w:ind w:left="720" w:hanging="720"/>
        <w:jc w:val="both"/>
        <w:rPr>
          <w:rtl/>
        </w:rPr>
      </w:pPr>
      <w:r>
        <w:rPr>
          <w:rFonts w:ascii="Calibri" w:hAnsi="Calibri" w:hint="cs"/>
          <w:rtl/>
        </w:rPr>
        <w:t xml:space="preserve"> 12. </w:t>
      </w:r>
      <w:r>
        <w:rPr>
          <w:rFonts w:ascii="Calibri" w:hAnsi="Calibri"/>
          <w:rtl/>
        </w:rPr>
        <w:tab/>
      </w:r>
      <w:r>
        <w:rPr>
          <w:rFonts w:ascii="Calibri" w:hAnsi="Calibri" w:hint="cs"/>
          <w:rtl/>
        </w:rPr>
        <w:t xml:space="preserve">באשר לנסיבות ביצוע העבירה טען הסנגור, כי מכתב האישום עולה, כי חלקו של הנאשם בעבירה קטן ביותר ביחס  לקטין ואף קרוב יותר לעבירת הסיוע  לסחר בנשק מאשר לעבירת הסחר עצמה.  הסנגור הוסיף וטען, כי  אין כל אינדיקציה ראייתית לכך שהנאשם קיבל בפועל תמורה כלשהי  בגין העסקה. </w:t>
      </w:r>
    </w:p>
    <w:p w14:paraId="7BBF5AFD" w14:textId="77777777" w:rsidR="00183174" w:rsidRDefault="00183174">
      <w:pPr>
        <w:spacing w:line="360" w:lineRule="auto"/>
        <w:jc w:val="both"/>
        <w:rPr>
          <w:rtl/>
        </w:rPr>
      </w:pPr>
    </w:p>
    <w:p w14:paraId="77128E19" w14:textId="77777777" w:rsidR="00183174" w:rsidRDefault="007135D1">
      <w:pPr>
        <w:spacing w:line="360" w:lineRule="auto"/>
        <w:ind w:left="720" w:hanging="720"/>
        <w:jc w:val="both"/>
        <w:rPr>
          <w:rFonts w:ascii="Calibri" w:hAnsi="Calibri"/>
          <w:rtl/>
        </w:rPr>
      </w:pPr>
      <w:r>
        <w:rPr>
          <w:rFonts w:hint="cs"/>
          <w:rtl/>
        </w:rPr>
        <w:t>13.</w:t>
      </w:r>
      <w:r>
        <w:rPr>
          <w:rtl/>
        </w:rPr>
        <w:tab/>
      </w:r>
      <w:r>
        <w:rPr>
          <w:rFonts w:hint="cs"/>
          <w:rtl/>
        </w:rPr>
        <w:t xml:space="preserve">לפיכך, סבר הסנגור כי  מתחם העונש ההולם בנסיבותיו של תיק זה </w:t>
      </w:r>
      <w:r>
        <w:rPr>
          <w:rFonts w:ascii="Calibri" w:hAnsi="Calibri" w:hint="cs"/>
          <w:rtl/>
        </w:rPr>
        <w:t xml:space="preserve"> נע בין 8 חודשים ל- 18 חודשי מאסר בפועל. בהמשך טיעוניו ביקש הסנגור לאמץ מתחם עונש הולם מקל יותר,</w:t>
      </w:r>
      <w:r>
        <w:rPr>
          <w:rFonts w:ascii="Calibri" w:hAnsi="Calibri"/>
          <w:rtl/>
        </w:rPr>
        <w:t xml:space="preserve"> </w:t>
      </w:r>
      <w:r>
        <w:rPr>
          <w:rFonts w:ascii="Calibri" w:hAnsi="Calibri" w:hint="cs"/>
          <w:rtl/>
        </w:rPr>
        <w:t>שנע בין</w:t>
      </w:r>
      <w:r>
        <w:rPr>
          <w:rFonts w:ascii="Calibri" w:hAnsi="Calibri"/>
          <w:rtl/>
        </w:rPr>
        <w:t xml:space="preserve"> 6 ל- 12 חודשי מאסר בפועל</w:t>
      </w:r>
      <w:r>
        <w:rPr>
          <w:rFonts w:ascii="Calibri" w:hAnsi="Calibri" w:hint="cs"/>
          <w:rtl/>
        </w:rPr>
        <w:t>, זאת</w:t>
      </w:r>
      <w:r>
        <w:rPr>
          <w:rFonts w:ascii="Calibri" w:hAnsi="Calibri"/>
          <w:rtl/>
        </w:rPr>
        <w:t xml:space="preserve"> </w:t>
      </w:r>
      <w:r>
        <w:rPr>
          <w:rFonts w:ascii="Calibri" w:hAnsi="Calibri" w:hint="cs"/>
          <w:rtl/>
        </w:rPr>
        <w:t>בהינתן</w:t>
      </w:r>
      <w:r>
        <w:rPr>
          <w:rFonts w:ascii="Calibri" w:hAnsi="Calibri"/>
          <w:rtl/>
        </w:rPr>
        <w:t xml:space="preserve"> נסיבותיו האישיות של הנאשם ונסיבות ביצוע העבירה </w:t>
      </w:r>
      <w:r>
        <w:rPr>
          <w:rFonts w:ascii="Calibri" w:hAnsi="Calibri" w:hint="cs"/>
          <w:rtl/>
        </w:rPr>
        <w:t>שהובאו בטיעוניו בפניי.</w:t>
      </w:r>
      <w:r>
        <w:rPr>
          <w:rFonts w:ascii="Calibri" w:hAnsi="Calibri"/>
          <w:rtl/>
        </w:rPr>
        <w:t xml:space="preserve"> </w:t>
      </w:r>
      <w:r>
        <w:rPr>
          <w:rFonts w:ascii="Calibri" w:hAnsi="Calibri" w:hint="cs"/>
          <w:rtl/>
        </w:rPr>
        <w:t>הסנגור ביקש שלא ללמוד גזירה שווה מהפסיקה שהגישה המאשימה לתיק זה והטעים, כי נסיבותיהם של פסקי הדין אליהם הפנתה המאשימה שונים בתכלית וחמורים  מנסיבותיו של תיק זה ומנסיבותיו האישיות של הנאשם.</w:t>
      </w:r>
      <w:r>
        <w:rPr>
          <w:rtl/>
        </w:rPr>
        <w:t xml:space="preserve"> </w:t>
      </w:r>
      <w:r>
        <w:rPr>
          <w:rFonts w:ascii="Calibri" w:hAnsi="Calibri"/>
          <w:rtl/>
        </w:rPr>
        <w:t xml:space="preserve">להמחשת עמדתה העונשית של </w:t>
      </w:r>
      <w:r>
        <w:rPr>
          <w:rFonts w:ascii="Calibri" w:hAnsi="Calibri" w:hint="cs"/>
          <w:rtl/>
        </w:rPr>
        <w:t>ה</w:t>
      </w:r>
      <w:r>
        <w:rPr>
          <w:rFonts w:ascii="Calibri" w:hAnsi="Calibri"/>
          <w:rtl/>
        </w:rPr>
        <w:t>הגנה הגיש הסנגור אסופת פסיקה (נ/2).</w:t>
      </w:r>
    </w:p>
    <w:p w14:paraId="1DE24E65" w14:textId="77777777" w:rsidR="00183174" w:rsidRDefault="00183174">
      <w:pPr>
        <w:spacing w:line="360" w:lineRule="auto"/>
        <w:jc w:val="both"/>
        <w:rPr>
          <w:rFonts w:ascii="Calibri" w:hAnsi="Calibri"/>
          <w:rtl/>
        </w:rPr>
      </w:pPr>
    </w:p>
    <w:p w14:paraId="0DE62F2B" w14:textId="77777777" w:rsidR="00183174" w:rsidRDefault="007135D1">
      <w:pPr>
        <w:spacing w:line="360" w:lineRule="auto"/>
        <w:ind w:left="720" w:hanging="720"/>
        <w:jc w:val="both"/>
        <w:rPr>
          <w:rFonts w:ascii="Calibri" w:hAnsi="Calibri"/>
          <w:rtl/>
        </w:rPr>
      </w:pPr>
      <w:r>
        <w:rPr>
          <w:rFonts w:ascii="Calibri" w:hAnsi="Calibri" w:hint="cs"/>
          <w:rtl/>
        </w:rPr>
        <w:t>14.</w:t>
      </w:r>
      <w:r>
        <w:rPr>
          <w:rFonts w:ascii="Calibri" w:hAnsi="Calibri"/>
          <w:rtl/>
        </w:rPr>
        <w:tab/>
      </w:r>
      <w:r>
        <w:rPr>
          <w:rFonts w:ascii="Calibri" w:hAnsi="Calibri" w:hint="cs"/>
          <w:rtl/>
        </w:rPr>
        <w:t>הנאשם בדבריו בדיון בפניי שב  והודה בביצוע העבירה והביע צער על מעשיו. הנאשם ביקש את רחמיו של בית המשפט, תוך שציין כי הוא אב לשני פעוטות וכי הוא המבוגר האחראי בביתו.</w:t>
      </w:r>
    </w:p>
    <w:p w14:paraId="52AC3A1E" w14:textId="77777777" w:rsidR="00183174" w:rsidRDefault="00183174">
      <w:pPr>
        <w:spacing w:line="360" w:lineRule="auto"/>
        <w:jc w:val="both"/>
        <w:rPr>
          <w:rtl/>
        </w:rPr>
      </w:pPr>
    </w:p>
    <w:p w14:paraId="343E8543" w14:textId="77777777" w:rsidR="00183174" w:rsidRDefault="007135D1">
      <w:pPr>
        <w:spacing w:line="360" w:lineRule="auto"/>
        <w:jc w:val="both"/>
        <w:rPr>
          <w:b/>
          <w:bCs/>
          <w:u w:val="single"/>
          <w:rtl/>
        </w:rPr>
      </w:pPr>
      <w:r>
        <w:rPr>
          <w:b/>
          <w:bCs/>
          <w:u w:val="single"/>
          <w:rtl/>
        </w:rPr>
        <w:t xml:space="preserve">דיון והכרעה  </w:t>
      </w:r>
    </w:p>
    <w:p w14:paraId="5D8B388D" w14:textId="77777777" w:rsidR="00183174" w:rsidRDefault="007135D1">
      <w:pPr>
        <w:spacing w:line="360" w:lineRule="auto"/>
        <w:ind w:left="720" w:hanging="720"/>
        <w:jc w:val="both"/>
        <w:rPr>
          <w:rtl/>
        </w:rPr>
      </w:pPr>
      <w:r>
        <w:rPr>
          <w:rFonts w:hint="cs"/>
          <w:rtl/>
        </w:rPr>
        <w:t xml:space="preserve">15. </w:t>
      </w:r>
      <w:r>
        <w:rPr>
          <w:rtl/>
        </w:rPr>
        <w:tab/>
        <w:t xml:space="preserve">תיקון מס' 113 </w:t>
      </w:r>
      <w:r>
        <w:rPr>
          <w:rFonts w:hint="cs"/>
          <w:rtl/>
        </w:rPr>
        <w:t>ל</w:t>
      </w:r>
      <w:hyperlink r:id="rId19" w:history="1">
        <w:r w:rsidRPr="007135D1">
          <w:rPr>
            <w:rStyle w:val="Hyperlink"/>
            <w:rFonts w:hint="eastAsia"/>
            <w:rtl/>
          </w:rPr>
          <w:t>חוק</w:t>
        </w:r>
        <w:r w:rsidRPr="007135D1">
          <w:rPr>
            <w:rStyle w:val="Hyperlink"/>
            <w:rtl/>
          </w:rPr>
          <w:t xml:space="preserve"> העונשין</w:t>
        </w:r>
      </w:hyperlink>
      <w:r>
        <w:rPr>
          <w:rFonts w:hint="cs"/>
          <w:rtl/>
        </w:rPr>
        <w:t xml:space="preserve"> </w:t>
      </w:r>
      <w:r>
        <w:rPr>
          <w:rtl/>
        </w:rPr>
        <w:t>מתווה את העיקרון המנחה כיום את ביהמ"ש בבואו לגזור דינו של נאשם</w:t>
      </w:r>
      <w:r>
        <w:rPr>
          <w:rFonts w:hint="cs"/>
          <w:rtl/>
        </w:rPr>
        <w:t>,</w:t>
      </w:r>
      <w:r>
        <w:rPr>
          <w:rtl/>
        </w:rPr>
        <w:t xml:space="preserve"> </w:t>
      </w:r>
      <w:r>
        <w:rPr>
          <w:rFonts w:hint="cs"/>
          <w:rtl/>
        </w:rPr>
        <w:t>ש</w:t>
      </w:r>
      <w:r>
        <w:rPr>
          <w:rtl/>
        </w:rPr>
        <w:t xml:space="preserve">הינו, לפי סעיף </w:t>
      </w:r>
      <w:hyperlink r:id="rId20" w:history="1">
        <w:r w:rsidR="00927E56" w:rsidRPr="00927E56">
          <w:rPr>
            <w:color w:val="0000FF"/>
            <w:u w:val="single"/>
            <w:rtl/>
          </w:rPr>
          <w:t>40 ב</w:t>
        </w:r>
      </w:hyperlink>
      <w:r>
        <w:rPr>
          <w:rtl/>
        </w:rPr>
        <w:t xml:space="preserve"> לחוק העונשין, עיקרון ההלימה, לפיו צריך להתקיים יחס הולם בין חומרת מעשי העבירה בנסיבותיו ומידת אשמו של הנאשם לבין סוג ומידת העונש המוטל עליו. יחס זה מבטא, למעשה, את עיקרון הגמול (רא</w:t>
      </w:r>
      <w:r>
        <w:rPr>
          <w:rFonts w:hint="cs"/>
          <w:rtl/>
        </w:rPr>
        <w:t>ו:</w:t>
      </w:r>
      <w:r>
        <w:rPr>
          <w:rtl/>
        </w:rPr>
        <w:t xml:space="preserve"> </w:t>
      </w:r>
      <w:hyperlink r:id="rId21" w:history="1">
        <w:r w:rsidRPr="007135D1">
          <w:rPr>
            <w:rStyle w:val="Hyperlink"/>
            <w:rtl/>
          </w:rPr>
          <w:t>ע.פ. 1523/10</w:t>
        </w:r>
      </w:hyperlink>
      <w:r>
        <w:rPr>
          <w:rtl/>
        </w:rPr>
        <w:t xml:space="preserve">  </w:t>
      </w:r>
      <w:r>
        <w:rPr>
          <w:b/>
          <w:bCs/>
          <w:rtl/>
        </w:rPr>
        <w:t>פלוני נ' מדינת ישראל</w:t>
      </w:r>
      <w:r>
        <w:rPr>
          <w:rtl/>
        </w:rPr>
        <w:t xml:space="preserve">, 18/4/12, לא פורסם). סעיף </w:t>
      </w:r>
      <w:hyperlink r:id="rId22" w:history="1">
        <w:r w:rsidR="00927E56" w:rsidRPr="00927E56">
          <w:rPr>
            <w:color w:val="0000FF"/>
            <w:u w:val="single"/>
            <w:rtl/>
          </w:rPr>
          <w:t>40 ג'</w:t>
        </w:r>
      </w:hyperlink>
      <w:r>
        <w:rPr>
          <w:rtl/>
        </w:rPr>
        <w:t xml:space="preserve"> ל</w:t>
      </w:r>
      <w:hyperlink r:id="rId23" w:history="1">
        <w:r w:rsidRPr="007135D1">
          <w:rPr>
            <w:rStyle w:val="Hyperlink"/>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בסעיף </w:t>
      </w:r>
      <w:hyperlink r:id="rId24" w:history="1">
        <w:r w:rsidR="00927E56" w:rsidRPr="00927E56">
          <w:rPr>
            <w:color w:val="0000FF"/>
            <w:u w:val="single"/>
            <w:rtl/>
          </w:rPr>
          <w:t>40 ט'</w:t>
        </w:r>
      </w:hyperlink>
      <w:r>
        <w:rPr>
          <w:rtl/>
        </w:rPr>
        <w:t xml:space="preserve"> ל</w:t>
      </w:r>
      <w:hyperlink r:id="rId25" w:history="1">
        <w:r w:rsidRPr="007135D1">
          <w:rPr>
            <w:rStyle w:val="Hyperlink"/>
            <w:rtl/>
          </w:rPr>
          <w:t>חוק העונשין</w:t>
        </w:r>
      </w:hyperlink>
      <w:r>
        <w:rPr>
          <w:rtl/>
        </w:rPr>
        <w:t xml:space="preserve">.  </w:t>
      </w:r>
    </w:p>
    <w:p w14:paraId="41055190" w14:textId="77777777" w:rsidR="00183174" w:rsidRDefault="00183174">
      <w:pPr>
        <w:spacing w:line="360" w:lineRule="auto"/>
        <w:jc w:val="both"/>
        <w:rPr>
          <w:rtl/>
        </w:rPr>
      </w:pPr>
    </w:p>
    <w:p w14:paraId="0416E113" w14:textId="77777777" w:rsidR="00183174" w:rsidRDefault="007135D1">
      <w:pPr>
        <w:spacing w:line="360" w:lineRule="auto"/>
        <w:ind w:left="720" w:hanging="720"/>
        <w:jc w:val="both"/>
        <w:rPr>
          <w:rtl/>
        </w:rPr>
      </w:pPr>
      <w:r>
        <w:rPr>
          <w:rFonts w:hint="cs"/>
          <w:rtl/>
        </w:rPr>
        <w:t>16.</w:t>
      </w:r>
      <w:r>
        <w:rPr>
          <w:rtl/>
        </w:rPr>
        <w:tab/>
        <w:t xml:space="preserve">הערך המוגן הנפגע כתוצאה מביצוע עבירת </w:t>
      </w:r>
      <w:r>
        <w:rPr>
          <w:rFonts w:hint="cs"/>
          <w:rtl/>
        </w:rPr>
        <w:t>ה</w:t>
      </w:r>
      <w:r>
        <w:rPr>
          <w:rtl/>
        </w:rPr>
        <w:t>נשק</w:t>
      </w:r>
      <w:r>
        <w:rPr>
          <w:rFonts w:hint="cs"/>
          <w:rtl/>
        </w:rPr>
        <w:t xml:space="preserve"> שביצע הנאשם, </w:t>
      </w:r>
      <w:r>
        <w:rPr>
          <w:rtl/>
        </w:rPr>
        <w:t>הינו שלום הציבור ובטחונו. "</w:t>
      </w:r>
      <w:r>
        <w:rPr>
          <w:b/>
          <w:bCs/>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tl/>
        </w:rPr>
        <w:t>" (</w:t>
      </w:r>
      <w:hyperlink r:id="rId26" w:history="1">
        <w:r w:rsidRPr="007135D1">
          <w:rPr>
            <w:rStyle w:val="Hyperlink"/>
            <w:rtl/>
          </w:rPr>
          <w:t>ע"פ 7502/12</w:t>
        </w:r>
      </w:hyperlink>
      <w:r>
        <w:rPr>
          <w:rtl/>
        </w:rPr>
        <w:t xml:space="preserve">  ‏</w:t>
      </w:r>
      <w:r>
        <w:rPr>
          <w:b/>
          <w:bCs/>
          <w:rtl/>
        </w:rPr>
        <w:t>כוויס נ' מדינת ישראל</w:t>
      </w:r>
      <w:r>
        <w:rPr>
          <w:rtl/>
        </w:rPr>
        <w:t xml:space="preserve"> (25.6.2013)). בתי המשפט עמדו לא אחת על חומרתן הרבה של עבירות הנשק למיניהן, על פוטנציאל הסיכון הרב הטמון בשימוש בנשק ללא היתר והעברתו מיד ליד ללא פיקוח, ו</w:t>
      </w:r>
      <w:r>
        <w:rPr>
          <w:rFonts w:hint="cs"/>
          <w:rtl/>
        </w:rPr>
        <w:t xml:space="preserve">כן </w:t>
      </w:r>
      <w:r>
        <w:rPr>
          <w:rtl/>
        </w:rPr>
        <w:t>על התוצאות הקשות והרות-הגורל שעלולות להיגרם מביצוע עבירות אלו.  לעניין זה יפים דבריו של כב' השופט לוי ב</w:t>
      </w:r>
      <w:hyperlink r:id="rId27" w:history="1">
        <w:r w:rsidRPr="007135D1">
          <w:rPr>
            <w:rStyle w:val="Hyperlink"/>
            <w:rtl/>
          </w:rPr>
          <w:t>ע"פ 5833/07</w:t>
        </w:r>
      </w:hyperlink>
      <w:r>
        <w:rPr>
          <w:rtl/>
        </w:rPr>
        <w:t xml:space="preserve">  </w:t>
      </w:r>
      <w:r>
        <w:rPr>
          <w:b/>
          <w:bCs/>
          <w:rtl/>
        </w:rPr>
        <w:t>ח'ורי נ' מדינת ישראל</w:t>
      </w:r>
      <w:r>
        <w:rPr>
          <w:rtl/>
        </w:rPr>
        <w:t xml:space="preserve"> (פורסם בנבו, 18.11.2007): </w:t>
      </w:r>
    </w:p>
    <w:p w14:paraId="7CC54E9F" w14:textId="77777777" w:rsidR="00183174" w:rsidRDefault="00183174">
      <w:pPr>
        <w:spacing w:line="360" w:lineRule="auto"/>
        <w:jc w:val="both"/>
        <w:rPr>
          <w:rtl/>
        </w:rPr>
      </w:pPr>
    </w:p>
    <w:p w14:paraId="386616DC" w14:textId="77777777" w:rsidR="00183174" w:rsidRDefault="007135D1">
      <w:pPr>
        <w:spacing w:line="360" w:lineRule="auto"/>
        <w:ind w:left="1440" w:right="567"/>
        <w:jc w:val="both"/>
        <w:rPr>
          <w:rtl/>
        </w:rPr>
      </w:pPr>
      <w:r>
        <w:rPr>
          <w:rtl/>
        </w:rPr>
        <w:t>"</w:t>
      </w:r>
      <w:r>
        <w:rPr>
          <w:b/>
          <w:bCs/>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r>
        <w:rPr>
          <w:rtl/>
        </w:rPr>
        <w:t xml:space="preserve">".   </w:t>
      </w:r>
    </w:p>
    <w:p w14:paraId="3F87BB61" w14:textId="77777777" w:rsidR="00183174" w:rsidRDefault="00183174">
      <w:pPr>
        <w:spacing w:line="360" w:lineRule="auto"/>
        <w:ind w:left="720" w:right="567"/>
        <w:jc w:val="both"/>
        <w:rPr>
          <w:rtl/>
        </w:rPr>
      </w:pPr>
    </w:p>
    <w:p w14:paraId="552C60B0" w14:textId="77777777" w:rsidR="00183174" w:rsidRDefault="007135D1">
      <w:pPr>
        <w:spacing w:line="360" w:lineRule="auto"/>
        <w:ind w:left="720"/>
        <w:rPr>
          <w:rtl/>
        </w:rPr>
      </w:pPr>
      <w:r>
        <w:rPr>
          <w:rFonts w:hint="cs"/>
          <w:rtl/>
        </w:rPr>
        <w:t>עוד</w:t>
      </w:r>
      <w:r>
        <w:rPr>
          <w:rtl/>
        </w:rPr>
        <w:t xml:space="preserve"> יפים בענייננו דבריה הבאים של כב' השופטת ד' ברק-ארז</w:t>
      </w:r>
      <w:r>
        <w:rPr>
          <w:rFonts w:hint="cs"/>
          <w:rtl/>
        </w:rPr>
        <w:t>, כפי שנאמרו</w:t>
      </w:r>
      <w:r>
        <w:rPr>
          <w:rtl/>
        </w:rPr>
        <w:t xml:space="preserve"> ב</w:t>
      </w:r>
      <w:hyperlink r:id="rId28" w:history="1">
        <w:r w:rsidRPr="007135D1">
          <w:rPr>
            <w:rStyle w:val="Hyperlink"/>
            <w:rtl/>
          </w:rPr>
          <w:t>ע"פ 5913/11</w:t>
        </w:r>
      </w:hyperlink>
      <w:r>
        <w:rPr>
          <w:rtl/>
        </w:rPr>
        <w:t xml:space="preserve">  </w:t>
      </w:r>
      <w:r>
        <w:rPr>
          <w:b/>
          <w:bCs/>
          <w:rtl/>
        </w:rPr>
        <w:t>תאר הייבי נ' מדינת ישראל</w:t>
      </w:r>
      <w:r>
        <w:rPr>
          <w:rtl/>
        </w:rPr>
        <w:t xml:space="preserve"> (פורסם בנבו, ניתן ביום 12.9.12):              </w:t>
      </w:r>
    </w:p>
    <w:p w14:paraId="228621B9" w14:textId="77777777" w:rsidR="00183174" w:rsidRDefault="00183174">
      <w:pPr>
        <w:spacing w:line="360" w:lineRule="auto"/>
        <w:ind w:left="1440" w:right="567"/>
        <w:rPr>
          <w:rtl/>
        </w:rPr>
      </w:pPr>
    </w:p>
    <w:p w14:paraId="0EC86B42" w14:textId="77777777" w:rsidR="00183174" w:rsidRDefault="007135D1">
      <w:pPr>
        <w:spacing w:line="360" w:lineRule="auto"/>
        <w:ind w:left="1440" w:right="567"/>
        <w:rPr>
          <w:rtl/>
        </w:rPr>
      </w:pPr>
      <w:r>
        <w:rPr>
          <w:rtl/>
        </w:rPr>
        <w:t xml:space="preserve"> "</w:t>
      </w:r>
      <w:r>
        <w:rPr>
          <w:b/>
          <w:bCs/>
          <w:rtl/>
        </w:rPr>
        <w:t>עבירות של סחר בנשק הן עבירות חמורות ביותר – המאיימות על שלום הציבור ומהוות "שמן" על גלגליה של פעילות עבריינית אחרת</w:t>
      </w:r>
      <w:r>
        <w:rPr>
          <w:rtl/>
        </w:rPr>
        <w:t xml:space="preserve">".  </w:t>
      </w:r>
    </w:p>
    <w:p w14:paraId="39C78D88" w14:textId="77777777" w:rsidR="00183174" w:rsidRDefault="00183174">
      <w:pPr>
        <w:spacing w:line="360" w:lineRule="auto"/>
        <w:ind w:left="720"/>
        <w:jc w:val="both"/>
        <w:rPr>
          <w:rtl/>
        </w:rPr>
      </w:pPr>
    </w:p>
    <w:p w14:paraId="378D69FB" w14:textId="77777777" w:rsidR="00183174" w:rsidRDefault="007135D1">
      <w:pPr>
        <w:spacing w:line="360" w:lineRule="auto"/>
        <w:ind w:left="720" w:hanging="720"/>
        <w:jc w:val="both"/>
        <w:rPr>
          <w:rtl/>
        </w:rPr>
      </w:pPr>
      <w:r>
        <w:rPr>
          <w:rFonts w:hint="cs"/>
          <w:rtl/>
        </w:rPr>
        <w:t>17.</w:t>
      </w:r>
      <w:r>
        <w:rPr>
          <w:rtl/>
        </w:rPr>
        <w:tab/>
      </w:r>
      <w:r>
        <w:rPr>
          <w:rFonts w:hint="cs"/>
          <w:rtl/>
        </w:rPr>
        <w:t>במסגרת בחינת הנסיבות הקשורות בביצוע העבירה, אציין, לחובת הנאשם, כי עסקינן בעבירה שתוכננה על ידי הנאשם, כפי שטען בנקודה זו ב"כ המאשימה, ובצדק. ודוק, הנאשם והקטין תכננו את ביצוע העבירה, זאת לאחר שהנאשם הביע בפני הקטין את הסכמתו לספק לו נשק לצורך מכירתו לסוכן. כך, אמר הנאשם לסמוי "לצאת לדרך" והשניים, יחד עם הקטין, נסעו ברכבו של הסמוי לצורך ביצוע העסקה, כאשר במהלך הנסיעה, הדריכו הנאשם והקטין את הסמוי עד שהגיעו השלושה למקום ביצוע עסקת הנשק. הנאשם הוא זה שהנחה  את האחר, שהגיע למקום, לעצור מאחורי רכבו של הסמוי, שאז הנאשם והקטין ניגשו לרכבו של האחר וכעבור זמן קצר שב הקטין לרכבו של הסמוי והעביר לידיו את הנשק והמחסנית, בתמורה לסכום של  15,000 ₪ שקיבל לידיו. מהתמונה העובדתית המתוארת לעיל, הננו למדים בדבר חלקו הדומיננטי של הנאשם בביצוע העבירה, מה גם שהנאשם הוא זה שיצר את הקשר עם האחר שסיפק את הנשק, דבר המלמד</w:t>
      </w:r>
      <w:r>
        <w:rPr>
          <w:rFonts w:hint="cs"/>
        </w:rPr>
        <w:t xml:space="preserve"> </w:t>
      </w:r>
      <w:r>
        <w:rPr>
          <w:rFonts w:hint="cs"/>
          <w:rtl/>
        </w:rPr>
        <w:t xml:space="preserve"> על היות הנאשם חולייה חשובה בביצוע עבירת הסחר בנשק. עם זאת, לטובת הנאשם אציין, כי הקטין היה זה שסיכם עם הסמוי  לבצע את עסקת הנשק בתמורה לסכום של 15,000 ₪ וכן אוסיף בנקודה זו, כי אין אינדיקציה ראייתית לכך שהנאשם קיבל תמורה כספית בפועל מביצוע העבירה. במסגרת זו של בחינת הנסיבות הקשורות בביצוע העבירה, אציין את היות הנאשם בגיר בעת ביצוע עבירת הסחר בנשק, לעומת שותפו שהיה קטין בעת הרלוונטית. לחובת הנאשם, אוסיף ואציין את סוג הנשק בו עסקינן </w:t>
      </w:r>
      <w:r>
        <w:rPr>
          <w:rtl/>
        </w:rPr>
        <w:t>–</w:t>
      </w:r>
      <w:r>
        <w:rPr>
          <w:rFonts w:hint="cs"/>
          <w:rtl/>
        </w:rPr>
        <w:t xml:space="preserve"> נשק מסוג תת מקלע מאולתר, שהינו נשק המגלם בחובו פוטנציאל של מסוכנות רבה לביטחון הציבור ואין צורך להכביר במילים בעניין זה.</w:t>
      </w:r>
      <w:r>
        <w:rPr>
          <w:rFonts w:hint="cs"/>
        </w:rPr>
        <w:t xml:space="preserve"> </w:t>
      </w:r>
    </w:p>
    <w:p w14:paraId="47279847" w14:textId="77777777" w:rsidR="00183174" w:rsidRDefault="007135D1">
      <w:pPr>
        <w:spacing w:line="360" w:lineRule="auto"/>
        <w:ind w:left="720" w:hanging="720"/>
        <w:jc w:val="both"/>
        <w:rPr>
          <w:rtl/>
        </w:rPr>
      </w:pPr>
      <w:r>
        <w:rPr>
          <w:rtl/>
        </w:rPr>
        <w:tab/>
      </w:r>
    </w:p>
    <w:p w14:paraId="5509AA51" w14:textId="77777777" w:rsidR="00183174" w:rsidRDefault="007135D1">
      <w:pPr>
        <w:spacing w:line="360" w:lineRule="auto"/>
        <w:ind w:left="720" w:hanging="720"/>
        <w:jc w:val="both"/>
        <w:rPr>
          <w:rtl/>
        </w:rPr>
      </w:pPr>
      <w:r>
        <w:rPr>
          <w:rFonts w:hint="cs"/>
          <w:rtl/>
        </w:rPr>
        <w:t>18.</w:t>
      </w:r>
      <w:r>
        <w:rPr>
          <w:rtl/>
        </w:rPr>
        <w:tab/>
      </w:r>
      <w:r>
        <w:rPr>
          <w:rFonts w:hint="cs"/>
          <w:rtl/>
        </w:rPr>
        <w:t xml:space="preserve">במסגרת בחינת מדיניות הענישה הנהוגה, כנדרש </w:t>
      </w:r>
      <w:hyperlink r:id="rId29" w:history="1">
        <w:r w:rsidR="00927E56" w:rsidRPr="00927E56">
          <w:rPr>
            <w:color w:val="0000FF"/>
            <w:u w:val="single"/>
            <w:rtl/>
          </w:rPr>
          <w:t>בסעיף 40ג(א)</w:t>
        </w:r>
      </w:hyperlink>
      <w:r>
        <w:rPr>
          <w:rFonts w:hint="cs"/>
          <w:rtl/>
        </w:rPr>
        <w:t xml:space="preserve"> ל</w:t>
      </w:r>
      <w:hyperlink r:id="rId30" w:history="1">
        <w:r w:rsidRPr="007135D1">
          <w:rPr>
            <w:rStyle w:val="Hyperlink"/>
            <w:rFonts w:hint="eastAsia"/>
            <w:rtl/>
          </w:rPr>
          <w:t>חוק</w:t>
        </w:r>
        <w:r w:rsidRPr="007135D1">
          <w:rPr>
            <w:rStyle w:val="Hyperlink"/>
            <w:rtl/>
          </w:rPr>
          <w:t xml:space="preserve"> העונשין</w:t>
        </w:r>
      </w:hyperlink>
      <w:r>
        <w:rPr>
          <w:rFonts w:hint="cs"/>
          <w:rtl/>
        </w:rPr>
        <w:t>, תובא הפסיקה להלן:</w:t>
      </w:r>
    </w:p>
    <w:p w14:paraId="6ED7CD0D" w14:textId="77777777" w:rsidR="00183174" w:rsidRDefault="007135D1">
      <w:pPr>
        <w:spacing w:line="360" w:lineRule="auto"/>
        <w:ind w:left="720"/>
        <w:jc w:val="both"/>
        <w:rPr>
          <w:rtl/>
        </w:rPr>
      </w:pPr>
      <w:r>
        <w:rPr>
          <w:rFonts w:hint="cs"/>
          <w:rtl/>
        </w:rPr>
        <w:t>*</w:t>
      </w:r>
      <w:r>
        <w:rPr>
          <w:rtl/>
        </w:rPr>
        <w:t xml:space="preserve"> ב</w:t>
      </w:r>
      <w:hyperlink r:id="rId31" w:history="1">
        <w:r w:rsidRPr="007135D1">
          <w:rPr>
            <w:rStyle w:val="Hyperlink"/>
            <w:rtl/>
          </w:rPr>
          <w:t>ת"פ 24548-06-13</w:t>
        </w:r>
      </w:hyperlink>
      <w:r>
        <w:rPr>
          <w:rtl/>
        </w:rPr>
        <w:t xml:space="preserve"> (מחוזי ירושלים) </w:t>
      </w:r>
      <w:r>
        <w:rPr>
          <w:b/>
          <w:bCs/>
          <w:rtl/>
        </w:rPr>
        <w:t>מ"י נ' קרקי ואח' (</w:t>
      </w:r>
      <w:r>
        <w:rPr>
          <w:rtl/>
        </w:rPr>
        <w:t xml:space="preserve">פורסם בנבו, 15.6.14) </w:t>
      </w:r>
      <w:r>
        <w:rPr>
          <w:rFonts w:hint="cs"/>
          <w:rtl/>
        </w:rPr>
        <w:t>נק</w:t>
      </w:r>
      <w:r>
        <w:rPr>
          <w:rtl/>
        </w:rPr>
        <w:t>בע</w:t>
      </w:r>
      <w:r>
        <w:rPr>
          <w:rFonts w:hint="cs"/>
          <w:rtl/>
        </w:rPr>
        <w:t xml:space="preserve">, </w:t>
      </w:r>
      <w:r>
        <w:rPr>
          <w:rtl/>
        </w:rPr>
        <w:t xml:space="preserve">במסגרת גזירת דינם של נאשמים שהורשעו בביצוע עבירות של סחר בנשק, בעקבות פעילותו של סוכן משטרתי סמוי, כי מתחם הענישה ההולם בגין כל אירוע של סחר בנשק נע בין 18 חודשי מאסר בפועל ל- 36 חודשי מאסר בפועל.              </w:t>
      </w:r>
    </w:p>
    <w:p w14:paraId="67E24D94" w14:textId="77777777" w:rsidR="00183174" w:rsidRDefault="00183174">
      <w:pPr>
        <w:spacing w:line="360" w:lineRule="auto"/>
        <w:ind w:left="720"/>
        <w:jc w:val="both"/>
        <w:rPr>
          <w:rtl/>
        </w:rPr>
      </w:pPr>
    </w:p>
    <w:p w14:paraId="6FC7094B" w14:textId="77777777" w:rsidR="00183174" w:rsidRDefault="007135D1">
      <w:pPr>
        <w:spacing w:line="360" w:lineRule="auto"/>
        <w:ind w:left="720"/>
        <w:jc w:val="both"/>
        <w:rPr>
          <w:rtl/>
        </w:rPr>
      </w:pPr>
      <w:r>
        <w:rPr>
          <w:rFonts w:hint="cs"/>
          <w:rtl/>
        </w:rPr>
        <w:t xml:space="preserve">* </w:t>
      </w:r>
      <w:r>
        <w:rPr>
          <w:rtl/>
        </w:rPr>
        <w:t>ב</w:t>
      </w:r>
      <w:hyperlink r:id="rId32" w:history="1">
        <w:r w:rsidRPr="007135D1">
          <w:rPr>
            <w:rStyle w:val="Hyperlink"/>
            <w:rtl/>
          </w:rPr>
          <w:t>ת"פ 24207-06-13</w:t>
        </w:r>
      </w:hyperlink>
      <w:r>
        <w:rPr>
          <w:rtl/>
        </w:rPr>
        <w:t xml:space="preserve"> (מחוזי ירושלים)</w:t>
      </w:r>
      <w:r>
        <w:rPr>
          <w:b/>
          <w:bCs/>
          <w:rtl/>
        </w:rPr>
        <w:t xml:space="preserve"> מ"י נ' כרכי </w:t>
      </w:r>
      <w:r>
        <w:rPr>
          <w:rtl/>
        </w:rPr>
        <w:t xml:space="preserve">(פורסם בנבו, 6.7.14), נקבע בעניינו של נאשם שהורשע, עפ"י הודאתו, בין היתר, בשתי עבירות של סחר בנשק ובעבירה של סיוע לסחר בנשק, באמצעות סוכן משטרתי, כי מתחם הענישה ההולם בגין כל עבירה של סחר בנשק נע בין מאסר בפועל לתקופה של 24 חודש לבין מאסר בפועל לתקופה של 48 חודש וכי מתחם העונש ההולם בגין עבירת הסיוע לסחר בנשק נע בין 12 חודשי מאסר בפועל ל- 24 חודשי מאסר בפועל.   </w:t>
      </w:r>
    </w:p>
    <w:p w14:paraId="41BC7CFB" w14:textId="77777777" w:rsidR="00183174" w:rsidRDefault="00183174">
      <w:pPr>
        <w:spacing w:line="360" w:lineRule="auto"/>
        <w:ind w:left="720"/>
        <w:jc w:val="both"/>
        <w:rPr>
          <w:rtl/>
        </w:rPr>
      </w:pPr>
    </w:p>
    <w:p w14:paraId="77137109" w14:textId="77777777" w:rsidR="00183174" w:rsidRDefault="007135D1">
      <w:pPr>
        <w:spacing w:line="360" w:lineRule="auto"/>
        <w:ind w:left="720"/>
        <w:jc w:val="both"/>
        <w:rPr>
          <w:rtl/>
        </w:rPr>
      </w:pPr>
      <w:r>
        <w:rPr>
          <w:rFonts w:hint="cs"/>
          <w:rtl/>
        </w:rPr>
        <w:t xml:space="preserve">* </w:t>
      </w:r>
      <w:r>
        <w:rPr>
          <w:rtl/>
        </w:rPr>
        <w:t>ב</w:t>
      </w:r>
      <w:hyperlink r:id="rId33" w:history="1">
        <w:r w:rsidRPr="007135D1">
          <w:rPr>
            <w:rStyle w:val="Hyperlink"/>
            <w:rtl/>
          </w:rPr>
          <w:t>ע"פ 2251/11</w:t>
        </w:r>
      </w:hyperlink>
      <w:r>
        <w:rPr>
          <w:rtl/>
        </w:rPr>
        <w:t xml:space="preserve">  </w:t>
      </w:r>
      <w:r>
        <w:rPr>
          <w:b/>
          <w:bCs/>
          <w:rtl/>
        </w:rPr>
        <w:t>נפאע נ' מ"י</w:t>
      </w:r>
      <w:r>
        <w:rPr>
          <w:rtl/>
        </w:rPr>
        <w:t xml:space="preserve"> (פורסם בנבו ניתן ביום 4.12.11) </w:t>
      </w:r>
      <w:r>
        <w:rPr>
          <w:rFonts w:hint="cs"/>
          <w:rtl/>
        </w:rPr>
        <w:t xml:space="preserve"> </w:t>
      </w:r>
      <w:r>
        <w:rPr>
          <w:rtl/>
        </w:rPr>
        <w:t xml:space="preserve">נדחה ערעור המערער הנ"ל על גזר דינו של בית המשפט המחוזי בחיפה, לפיו הושת על המערער, בין היתר, עונש של 38 חודשי מאסר בפועל (בניכוי ימי מעצרו), זאת בגין ביצוע עבירות של נשיאה והובלת נשק שלא כדין וסחר בנשק שלא כדין, באמצעות סוכן משטרתי סמוי. במקרה הנ"ל דובר באקדח מסוג ברטה ובשתי הזדמנויות שונות בהן בוצעו העבירות הנ"ל, וכן במערער בעל עבר פלילי מכביד.                          </w:t>
      </w:r>
    </w:p>
    <w:p w14:paraId="3FE46DE4" w14:textId="77777777" w:rsidR="00183174" w:rsidRDefault="00183174">
      <w:pPr>
        <w:spacing w:line="360" w:lineRule="auto"/>
        <w:ind w:left="720"/>
        <w:jc w:val="both"/>
        <w:rPr>
          <w:rtl/>
        </w:rPr>
      </w:pPr>
    </w:p>
    <w:p w14:paraId="395894FA" w14:textId="77777777" w:rsidR="00183174" w:rsidRDefault="007135D1">
      <w:pPr>
        <w:spacing w:line="360" w:lineRule="auto"/>
        <w:ind w:left="720"/>
        <w:jc w:val="both"/>
        <w:rPr>
          <w:rtl/>
        </w:rPr>
      </w:pPr>
      <w:r>
        <w:rPr>
          <w:rFonts w:hint="cs"/>
          <w:rtl/>
        </w:rPr>
        <w:t>* ב</w:t>
      </w:r>
      <w:hyperlink r:id="rId34" w:history="1">
        <w:r w:rsidRPr="007135D1">
          <w:rPr>
            <w:rStyle w:val="Hyperlink"/>
            <w:rFonts w:hint="eastAsia"/>
            <w:rtl/>
          </w:rPr>
          <w:t>ע</w:t>
        </w:r>
        <w:r w:rsidRPr="007135D1">
          <w:rPr>
            <w:rStyle w:val="Hyperlink"/>
            <w:rtl/>
          </w:rPr>
          <w:t>"פ 3138/11</w:t>
        </w:r>
      </w:hyperlink>
      <w:r>
        <w:rPr>
          <w:rFonts w:hint="cs"/>
          <w:rtl/>
        </w:rPr>
        <w:t xml:space="preserve"> </w:t>
      </w:r>
      <w:r>
        <w:rPr>
          <w:rFonts w:hint="cs"/>
          <w:b/>
          <w:bCs/>
          <w:rtl/>
        </w:rPr>
        <w:t>עפיף הייבי נ' מ"י</w:t>
      </w:r>
      <w:r>
        <w:rPr>
          <w:rFonts w:hint="cs"/>
          <w:rtl/>
        </w:rPr>
        <w:t xml:space="preserve"> (פורסם בנבו, 6.3.12) נדחה ערעורו של המערער עליו הושת בבית המשפט המחוזי בחיפה לאחר שהורשע, מכוח הודאתו, בעבירות של קשירת קשר לפשע וניסיון לסחר בנשק (אקדח), שבוצעו באמצעות סוכן משטרתי, עונש של 36 חודשי מאסר בפועל בצד רכיבי ענישה נלווים. במקרה הנ"ל דובר במערער בעל עבר פלילי מכביד.</w:t>
      </w:r>
    </w:p>
    <w:p w14:paraId="165809CC" w14:textId="77777777" w:rsidR="00183174" w:rsidRDefault="00183174">
      <w:pPr>
        <w:spacing w:line="360" w:lineRule="auto"/>
        <w:ind w:left="720"/>
        <w:jc w:val="both"/>
        <w:rPr>
          <w:rtl/>
        </w:rPr>
      </w:pPr>
    </w:p>
    <w:p w14:paraId="4A7C9BD1" w14:textId="77777777" w:rsidR="00183174" w:rsidRDefault="007135D1">
      <w:pPr>
        <w:spacing w:line="360" w:lineRule="auto"/>
        <w:ind w:left="720"/>
        <w:jc w:val="both"/>
        <w:rPr>
          <w:rtl/>
        </w:rPr>
      </w:pPr>
      <w:r>
        <w:rPr>
          <w:rFonts w:hint="cs"/>
          <w:rtl/>
        </w:rPr>
        <w:t>*</w:t>
      </w:r>
      <w:r>
        <w:rPr>
          <w:rtl/>
        </w:rPr>
        <w:t xml:space="preserve"> ב</w:t>
      </w:r>
      <w:hyperlink r:id="rId35" w:history="1">
        <w:r w:rsidRPr="007135D1">
          <w:rPr>
            <w:rStyle w:val="Hyperlink"/>
            <w:rtl/>
          </w:rPr>
          <w:t>ת"פ (מחוזי חיפה) 36166-12-11</w:t>
        </w:r>
      </w:hyperlink>
      <w:r>
        <w:rPr>
          <w:rtl/>
        </w:rPr>
        <w:t xml:space="preserve">  </w:t>
      </w:r>
      <w:r>
        <w:rPr>
          <w:b/>
          <w:bCs/>
          <w:rtl/>
        </w:rPr>
        <w:t>מ"י נ' זידאן</w:t>
      </w:r>
      <w:r>
        <w:rPr>
          <w:rtl/>
        </w:rPr>
        <w:t xml:space="preserve"> (ניתן ביום 26.3.12) </w:t>
      </w:r>
      <w:r>
        <w:rPr>
          <w:rFonts w:hint="cs"/>
          <w:rtl/>
        </w:rPr>
        <w:t xml:space="preserve"> </w:t>
      </w:r>
      <w:r>
        <w:rPr>
          <w:rtl/>
        </w:rPr>
        <w:t xml:space="preserve">הושת, בין היתר, על נאשם שהורשע בעבירה של נשיאה והובלת נשק ובעבירה של סחר בנשק, באמצעות סוכן משטרתי, עונש של 40 חודשי מאסר בפועל. במקרה הנ"ל דובר בנשק מסוג תת מקלע ובנאשם שהציע למכור לסוכן המשטרתי כלי נשק נוספים. כן דובר במקרה הנ"ל בנאשם בעל עבר פלילי, אם כי לא מכביד.   </w:t>
      </w:r>
    </w:p>
    <w:p w14:paraId="2972906C" w14:textId="77777777" w:rsidR="00183174" w:rsidRDefault="00183174">
      <w:pPr>
        <w:spacing w:line="360" w:lineRule="auto"/>
        <w:ind w:left="720"/>
        <w:jc w:val="both"/>
        <w:rPr>
          <w:rtl/>
        </w:rPr>
      </w:pPr>
    </w:p>
    <w:p w14:paraId="2B1B3D80" w14:textId="77777777" w:rsidR="00183174" w:rsidRDefault="007135D1">
      <w:pPr>
        <w:spacing w:line="360" w:lineRule="auto"/>
        <w:ind w:left="720"/>
        <w:jc w:val="both"/>
        <w:rPr>
          <w:rtl/>
        </w:rPr>
      </w:pPr>
      <w:r>
        <w:rPr>
          <w:rFonts w:hint="cs"/>
          <w:rtl/>
        </w:rPr>
        <w:t>* ב</w:t>
      </w:r>
      <w:hyperlink r:id="rId36" w:history="1">
        <w:r w:rsidRPr="007135D1">
          <w:rPr>
            <w:rStyle w:val="Hyperlink"/>
            <w:rFonts w:hint="eastAsia"/>
            <w:rtl/>
          </w:rPr>
          <w:t>ת</w:t>
        </w:r>
        <w:r w:rsidRPr="007135D1">
          <w:rPr>
            <w:rStyle w:val="Hyperlink"/>
            <w:rtl/>
          </w:rPr>
          <w:t>"פ (מחוזי חיפה) 15105-08-14</w:t>
        </w:r>
      </w:hyperlink>
      <w:r>
        <w:rPr>
          <w:rFonts w:hint="cs"/>
          <w:rtl/>
        </w:rPr>
        <w:t xml:space="preserve"> </w:t>
      </w:r>
      <w:r>
        <w:rPr>
          <w:rFonts w:hint="cs"/>
          <w:b/>
          <w:bCs/>
          <w:rtl/>
        </w:rPr>
        <w:t>מ"י נ' סמיר ענבתאוי ואח'</w:t>
      </w:r>
      <w:r>
        <w:rPr>
          <w:rFonts w:hint="cs"/>
          <w:rtl/>
        </w:rPr>
        <w:t xml:space="preserve"> (ניתן על ידי ביום 1.4.15) הושת בגזר הדין על נאשם 1 שהורשע בביצוע עבירות שעניינן קשירת קשר לפשע, נשיאת והחזקת נשק וסחר בנשק (נשק מסוג תת מקלע וכן מחסנית עם כדורים לתת מקלע), עונש של 30 חודשי מאסר בפועל, בצד רכיבי ענישה נילווים. הערעור על גזר הדין הנ"ל נדחה. במקרה הנ"ל דובר בנאשם בעל עבר נקי שהודה בביצוע העבירות הנ"ל, אשר בוצעו באמצעות סוכן משטרתי. עוד יצוין בנקודה זו, כי בגזר הדין הנ"ל קבעתי בעניינו של נאשם 1 מתחם עונש הולם שנע בין 24 חודשי מאסר בפועל ל- 48 חודשי מאסר בפועל. יובהר, כי נאשם 2 בתיק הנ"ל הורשע בביצוע עבירות שעיקרן סיוע לסחר בנשק ולגביו קבעתי מתחם עונש הולם שנע בין 12 חודשי מאסר בפועל לבין 24 חודשי מאסר בפועל.</w:t>
      </w:r>
    </w:p>
    <w:p w14:paraId="4F132F2A" w14:textId="77777777" w:rsidR="00183174" w:rsidRDefault="007135D1">
      <w:pPr>
        <w:spacing w:line="360" w:lineRule="auto"/>
        <w:jc w:val="both"/>
        <w:rPr>
          <w:rtl/>
        </w:rPr>
      </w:pPr>
      <w:r>
        <w:rPr>
          <w:rtl/>
        </w:rPr>
        <w:tab/>
      </w:r>
    </w:p>
    <w:p w14:paraId="2E054C07" w14:textId="77777777" w:rsidR="00183174" w:rsidRDefault="007135D1">
      <w:pPr>
        <w:spacing w:line="360" w:lineRule="auto"/>
        <w:ind w:left="720" w:hanging="720"/>
        <w:jc w:val="both"/>
        <w:rPr>
          <w:rtl/>
        </w:rPr>
      </w:pPr>
      <w:r>
        <w:rPr>
          <w:rFonts w:hint="cs"/>
          <w:rtl/>
        </w:rPr>
        <w:t>19.</w:t>
      </w:r>
      <w:r>
        <w:rPr>
          <w:rtl/>
        </w:rPr>
        <w:tab/>
        <w:t>לאחר שבחנתי את הנסיבות הקשורות בביצוע העביר</w:t>
      </w:r>
      <w:r>
        <w:rPr>
          <w:rFonts w:hint="cs"/>
          <w:rtl/>
        </w:rPr>
        <w:t>ה בענייננו</w:t>
      </w:r>
      <w:r>
        <w:rPr>
          <w:rtl/>
        </w:rPr>
        <w:t>, כאמור לעיל, כמו גם את מדיניות הענישה הנהוגה, כל זאת בצד הערך החברתי שנפגע על ידי ביצוע העביר</w:t>
      </w:r>
      <w:r>
        <w:rPr>
          <w:rFonts w:hint="cs"/>
          <w:rtl/>
        </w:rPr>
        <w:t>ה של סחר בנשק</w:t>
      </w:r>
      <w:r>
        <w:rPr>
          <w:rtl/>
        </w:rPr>
        <w:t xml:space="preserve"> (ביטחון ושלום הציבור), הגעתי לכלל מסקנה</w:t>
      </w:r>
      <w:r>
        <w:rPr>
          <w:rFonts w:hint="cs"/>
          <w:rtl/>
        </w:rPr>
        <w:t>,</w:t>
      </w:r>
      <w:r>
        <w:rPr>
          <w:rtl/>
        </w:rPr>
        <w:t xml:space="preserve"> כי מתחם העונש ההולם בעניינו של </w:t>
      </w:r>
      <w:r>
        <w:rPr>
          <w:rFonts w:hint="cs"/>
          <w:rtl/>
        </w:rPr>
        <w:t>ה</w:t>
      </w:r>
      <w:r>
        <w:rPr>
          <w:rtl/>
        </w:rPr>
        <w:t xml:space="preserve">נאשם נע בין עונש של מאסר בפועל לתקופה של </w:t>
      </w:r>
      <w:r>
        <w:rPr>
          <w:rFonts w:hint="cs"/>
          <w:rtl/>
        </w:rPr>
        <w:t>24</w:t>
      </w:r>
      <w:r>
        <w:rPr>
          <w:rtl/>
        </w:rPr>
        <w:t xml:space="preserve"> חודש לבין עונש של מאסר בפועל לתקופה של 48 חודש, כל זאת בצד עונש של מאסר על תנאי וקנס כספי</w:t>
      </w:r>
      <w:r>
        <w:rPr>
          <w:rFonts w:hint="cs"/>
          <w:rtl/>
        </w:rPr>
        <w:t xml:space="preserve">. </w:t>
      </w:r>
      <w:r>
        <w:rPr>
          <w:rtl/>
        </w:rPr>
        <w:t xml:space="preserve"> </w:t>
      </w:r>
    </w:p>
    <w:p w14:paraId="1C42865B" w14:textId="77777777" w:rsidR="00183174" w:rsidRDefault="00183174">
      <w:pPr>
        <w:spacing w:line="360" w:lineRule="auto"/>
        <w:ind w:left="720"/>
        <w:rPr>
          <w:rtl/>
        </w:rPr>
      </w:pPr>
    </w:p>
    <w:p w14:paraId="3F29146B" w14:textId="77777777" w:rsidR="00183174" w:rsidRDefault="007135D1">
      <w:pPr>
        <w:spacing w:line="360" w:lineRule="auto"/>
        <w:ind w:left="720" w:hanging="720"/>
        <w:jc w:val="both"/>
        <w:rPr>
          <w:rtl/>
        </w:rPr>
      </w:pPr>
      <w:r>
        <w:rPr>
          <w:rFonts w:hint="cs"/>
          <w:rtl/>
        </w:rPr>
        <w:t>20.</w:t>
      </w:r>
      <w:r>
        <w:rPr>
          <w:rtl/>
        </w:rPr>
        <w:tab/>
        <w:t xml:space="preserve">במסגרת </w:t>
      </w:r>
      <w:r>
        <w:rPr>
          <w:rFonts w:hint="cs"/>
          <w:rtl/>
        </w:rPr>
        <w:t xml:space="preserve">הנסיבות שאינן קשורות בביצוע העבירה, לצורך </w:t>
      </w:r>
      <w:r>
        <w:rPr>
          <w:rtl/>
        </w:rPr>
        <w:t xml:space="preserve">קביעת העונש המתאים בעניינו של </w:t>
      </w:r>
      <w:r>
        <w:rPr>
          <w:rFonts w:hint="cs"/>
          <w:rtl/>
        </w:rPr>
        <w:t>ה</w:t>
      </w:r>
      <w:r>
        <w:rPr>
          <w:rtl/>
        </w:rPr>
        <w:t>נאשם</w:t>
      </w:r>
      <w:r>
        <w:rPr>
          <w:rFonts w:hint="cs"/>
          <w:rtl/>
        </w:rPr>
        <w:t>,</w:t>
      </w:r>
      <w:r>
        <w:rPr>
          <w:rtl/>
        </w:rPr>
        <w:t xml:space="preserve"> יצוין עברו </w:t>
      </w:r>
      <w:r>
        <w:rPr>
          <w:rFonts w:hint="cs"/>
          <w:rtl/>
        </w:rPr>
        <w:t>הלא מכביד. ודוק,</w:t>
      </w:r>
      <w:r>
        <w:rPr>
          <w:rtl/>
        </w:rPr>
        <w:t xml:space="preserve"> </w:t>
      </w:r>
      <w:r>
        <w:rPr>
          <w:rFonts w:hint="cs"/>
          <w:rtl/>
        </w:rPr>
        <w:t xml:space="preserve">לחובת הנאשם הרשעה קודמת אחת בלבד  בעבירות שעניינן החזקת סכין שלא כדין ותקיפה סתם בנסיבות מחמירות (על ידי שניים או יותר). עוד יצוין בנקודה זו, כי הנאשם ריצה בגין העבירה הנ"ל עונש של 6 חודשי מאסר בפועל בדרך של עבודות שירות, כפי שעולה מגיליון המרשם הפלילי של הנאשם (ת/1). לאמור לעיל אוסיף את </w:t>
      </w:r>
      <w:r>
        <w:rPr>
          <w:rtl/>
        </w:rPr>
        <w:t>הודאת</w:t>
      </w:r>
      <w:r>
        <w:rPr>
          <w:rFonts w:hint="cs"/>
          <w:rtl/>
        </w:rPr>
        <w:t xml:space="preserve"> הנאשם </w:t>
      </w:r>
      <w:r>
        <w:rPr>
          <w:rtl/>
        </w:rPr>
        <w:t xml:space="preserve"> בהזדמנות הראשונה בעובדות כתב האישום המתוקן, </w:t>
      </w:r>
      <w:r>
        <w:rPr>
          <w:rFonts w:hint="cs"/>
          <w:rtl/>
        </w:rPr>
        <w:t xml:space="preserve">אשר חסכה הן מזמנו היקר של בית המשפט והן את העדת העדים, לרבות הסוכן המשטרתי. </w:t>
      </w:r>
      <w:r>
        <w:rPr>
          <w:rFonts w:hint="cs"/>
        </w:rPr>
        <w:t xml:space="preserve"> </w:t>
      </w:r>
      <w:r>
        <w:rPr>
          <w:rFonts w:hint="cs"/>
          <w:rtl/>
        </w:rPr>
        <w:t>במסגרת זו אציין, לקולא, את נסיבותיו האישיות של הנאשם, כנטען על ידי הסנגור בדיון בפניי. ודוק, הנאשם בחור צעיר בן 26, נשוי ואב ל- 2 ילדים קטנים. הנאשם, שגדל בקונסטלציה משפחתית מורכבת, תפקד עובר לביצוע העבירה באופן נורמטיבי (ראו: נ/1).</w:t>
      </w:r>
    </w:p>
    <w:p w14:paraId="26013207" w14:textId="77777777" w:rsidR="00183174" w:rsidRDefault="00183174">
      <w:pPr>
        <w:spacing w:line="360" w:lineRule="auto"/>
        <w:ind w:left="720" w:hanging="720"/>
        <w:jc w:val="both"/>
        <w:rPr>
          <w:rtl/>
        </w:rPr>
      </w:pPr>
    </w:p>
    <w:p w14:paraId="16E8F243" w14:textId="77777777" w:rsidR="00183174" w:rsidRDefault="007135D1">
      <w:pPr>
        <w:spacing w:line="360" w:lineRule="auto"/>
        <w:ind w:left="720" w:hanging="720"/>
        <w:jc w:val="both"/>
        <w:rPr>
          <w:rtl/>
        </w:rPr>
      </w:pPr>
      <w:r>
        <w:rPr>
          <w:rFonts w:hint="cs"/>
          <w:rtl/>
        </w:rPr>
        <w:t>21.</w:t>
      </w:r>
      <w:r>
        <w:rPr>
          <w:rtl/>
        </w:rPr>
        <w:tab/>
      </w:r>
      <w:r>
        <w:rPr>
          <w:rFonts w:hint="cs"/>
          <w:rtl/>
        </w:rPr>
        <w:t>בתיתי את הדעת לנסיבות הנ"ל שאינן קשורות בביצוע העבירה, כמו גם לתפקודו התורם לזולת של הנאשם במסגרת מעצרו ולחרטה שהביע בדיון בפניי, הגעתי לכלל מסקנה, כי מן הראוי להשית על הנאשם בתיק זה עונש של 28 חודשי מאסר בפועל, בצד רכיבי ענישה של מאסר על תנאי וקנס כספי. בנקודה זו יצוין, כי בהינתן מצבה הכלכלי הקשה של משפחת הנאשם, כפי שעולה ממכתב העו"ס במועצה המקומית כפר קרע (נ/1) ונוכח העובדה שאין אינדיקציה ראייתית לכך שהנאשם קיבל תמורה כספית בפועל בגין ביצוע העבירה, החלטתי שלא להחמיר בגובה הקנס שיושת על הנאשם.</w:t>
      </w:r>
    </w:p>
    <w:p w14:paraId="01A2C544" w14:textId="77777777" w:rsidR="00183174" w:rsidRDefault="00183174">
      <w:pPr>
        <w:spacing w:line="360" w:lineRule="auto"/>
        <w:ind w:left="720" w:hanging="720"/>
        <w:jc w:val="both"/>
        <w:rPr>
          <w:rtl/>
        </w:rPr>
      </w:pPr>
    </w:p>
    <w:p w14:paraId="5C767BC5" w14:textId="77777777" w:rsidR="00183174" w:rsidRDefault="007135D1">
      <w:pPr>
        <w:spacing w:line="360" w:lineRule="auto"/>
        <w:ind w:left="720" w:hanging="720"/>
        <w:jc w:val="both"/>
        <w:rPr>
          <w:rtl/>
        </w:rPr>
      </w:pPr>
      <w:r>
        <w:rPr>
          <w:rFonts w:hint="cs"/>
          <w:rtl/>
        </w:rPr>
        <w:t>22.</w:t>
      </w:r>
      <w:r>
        <w:rPr>
          <w:rFonts w:hint="cs"/>
          <w:rtl/>
        </w:rPr>
        <w:tab/>
        <w:t>סיכומו של דבר, אני דנה את הנאשם לעונשים הבאים:</w:t>
      </w:r>
    </w:p>
    <w:p w14:paraId="48772C01" w14:textId="77777777" w:rsidR="00183174" w:rsidRDefault="007135D1">
      <w:pPr>
        <w:spacing w:line="360" w:lineRule="auto"/>
        <w:ind w:left="720" w:hanging="720"/>
        <w:jc w:val="both"/>
        <w:rPr>
          <w:rtl/>
        </w:rPr>
      </w:pPr>
      <w:r>
        <w:rPr>
          <w:rtl/>
        </w:rPr>
        <w:tab/>
      </w:r>
      <w:r>
        <w:rPr>
          <w:rFonts w:hint="cs"/>
          <w:rtl/>
        </w:rPr>
        <w:t>* למאסר בפועל לתקופה של 28 חודש, בניכוי ימי מעצרו (מיום 11.5.15).</w:t>
      </w:r>
    </w:p>
    <w:p w14:paraId="1EDFF5D6" w14:textId="77777777" w:rsidR="00183174" w:rsidRDefault="00183174">
      <w:pPr>
        <w:spacing w:line="360" w:lineRule="auto"/>
        <w:ind w:left="720" w:hanging="720"/>
        <w:jc w:val="both"/>
        <w:rPr>
          <w:rtl/>
        </w:rPr>
      </w:pPr>
    </w:p>
    <w:p w14:paraId="10E6D38F" w14:textId="77777777" w:rsidR="00183174" w:rsidRDefault="007135D1">
      <w:pPr>
        <w:spacing w:line="360" w:lineRule="auto"/>
        <w:ind w:left="720" w:hanging="720"/>
        <w:jc w:val="both"/>
        <w:rPr>
          <w:rtl/>
        </w:rPr>
      </w:pPr>
      <w:r>
        <w:rPr>
          <w:rtl/>
        </w:rPr>
        <w:tab/>
      </w:r>
      <w:r>
        <w:rPr>
          <w:rFonts w:hint="cs"/>
          <w:rtl/>
        </w:rPr>
        <w:t xml:space="preserve">* למאסר על תנאי לתקופה של 15 חודש למשך 3 שנים והתנאי הוא, כי הנאשם לא יעבור עבירה מסוג פשע לפי </w:t>
      </w:r>
      <w:hyperlink r:id="rId37" w:history="1">
        <w:r w:rsidR="00927E56" w:rsidRPr="00927E56">
          <w:rPr>
            <w:color w:val="0000FF"/>
            <w:u w:val="single"/>
            <w:rtl/>
          </w:rPr>
          <w:t>סעיף 144</w:t>
        </w:r>
      </w:hyperlink>
      <w:r>
        <w:rPr>
          <w:rFonts w:hint="cs"/>
          <w:rtl/>
        </w:rPr>
        <w:t xml:space="preserve"> ל</w:t>
      </w:r>
      <w:hyperlink r:id="rId38" w:history="1">
        <w:r w:rsidRPr="007135D1">
          <w:rPr>
            <w:rStyle w:val="Hyperlink"/>
            <w:rFonts w:hint="eastAsia"/>
            <w:rtl/>
          </w:rPr>
          <w:t>חוק</w:t>
        </w:r>
        <w:r w:rsidRPr="007135D1">
          <w:rPr>
            <w:rStyle w:val="Hyperlink"/>
            <w:rtl/>
          </w:rPr>
          <w:t xml:space="preserve"> העונשין</w:t>
        </w:r>
      </w:hyperlink>
      <w:r>
        <w:rPr>
          <w:rFonts w:hint="cs"/>
          <w:rtl/>
        </w:rPr>
        <w:t xml:space="preserve"> ויורשע בגינה.</w:t>
      </w:r>
    </w:p>
    <w:p w14:paraId="024ECD00" w14:textId="77777777" w:rsidR="00183174" w:rsidRDefault="007135D1">
      <w:pPr>
        <w:spacing w:line="360" w:lineRule="auto"/>
        <w:ind w:left="720" w:hanging="720"/>
        <w:jc w:val="both"/>
        <w:rPr>
          <w:rtl/>
        </w:rPr>
      </w:pPr>
      <w:r>
        <w:rPr>
          <w:rFonts w:hint="cs"/>
          <w:rtl/>
        </w:rPr>
        <w:t xml:space="preserve"> </w:t>
      </w:r>
    </w:p>
    <w:p w14:paraId="241B2762" w14:textId="77777777" w:rsidR="00183174" w:rsidRDefault="007135D1">
      <w:pPr>
        <w:spacing w:line="360" w:lineRule="auto"/>
        <w:ind w:left="720" w:hanging="720"/>
        <w:jc w:val="both"/>
        <w:rPr>
          <w:rtl/>
        </w:rPr>
      </w:pPr>
      <w:r>
        <w:rPr>
          <w:rtl/>
        </w:rPr>
        <w:tab/>
      </w:r>
      <w:r>
        <w:rPr>
          <w:rFonts w:hint="cs"/>
          <w:rtl/>
        </w:rPr>
        <w:t xml:space="preserve">* למאסר על תנאי לתקופה של 6 חודשים למשך 3 שנים והתנאי הוא, כי הנאשם לא יעבור עבירה מסוג עוון לפי </w:t>
      </w:r>
      <w:hyperlink r:id="rId39" w:history="1">
        <w:r w:rsidR="00927E56" w:rsidRPr="00927E56">
          <w:rPr>
            <w:color w:val="0000FF"/>
            <w:u w:val="single"/>
            <w:rtl/>
          </w:rPr>
          <w:t>סעיף 144</w:t>
        </w:r>
      </w:hyperlink>
      <w:r>
        <w:rPr>
          <w:rFonts w:hint="cs"/>
          <w:rtl/>
        </w:rPr>
        <w:t xml:space="preserve"> ל</w:t>
      </w:r>
      <w:hyperlink r:id="rId40" w:history="1">
        <w:r w:rsidRPr="007135D1">
          <w:rPr>
            <w:rStyle w:val="Hyperlink"/>
            <w:rFonts w:hint="eastAsia"/>
            <w:rtl/>
          </w:rPr>
          <w:t>חוק</w:t>
        </w:r>
        <w:r w:rsidRPr="007135D1">
          <w:rPr>
            <w:rStyle w:val="Hyperlink"/>
            <w:rtl/>
          </w:rPr>
          <w:t xml:space="preserve"> העונשין</w:t>
        </w:r>
      </w:hyperlink>
      <w:r>
        <w:rPr>
          <w:rFonts w:hint="cs"/>
          <w:rtl/>
        </w:rPr>
        <w:t xml:space="preserve"> ויורשע בגינה.</w:t>
      </w:r>
    </w:p>
    <w:p w14:paraId="40C29ECA" w14:textId="77777777" w:rsidR="00183174" w:rsidRDefault="00183174">
      <w:pPr>
        <w:spacing w:line="360" w:lineRule="auto"/>
        <w:ind w:left="720" w:hanging="720"/>
        <w:jc w:val="both"/>
        <w:rPr>
          <w:rtl/>
        </w:rPr>
      </w:pPr>
    </w:p>
    <w:p w14:paraId="0552811B" w14:textId="77777777" w:rsidR="00183174" w:rsidRDefault="007135D1">
      <w:pPr>
        <w:spacing w:line="360" w:lineRule="auto"/>
        <w:ind w:left="720" w:hanging="720"/>
        <w:jc w:val="both"/>
        <w:rPr>
          <w:rtl/>
        </w:rPr>
      </w:pPr>
      <w:r>
        <w:rPr>
          <w:rtl/>
        </w:rPr>
        <w:tab/>
      </w:r>
      <w:r>
        <w:rPr>
          <w:rFonts w:hint="cs"/>
          <w:rtl/>
        </w:rPr>
        <w:t>* לתשלום קנס בסכום של 7,000 ₪ או 35 ימי מאסר תמורתו. הקנס ישולם ע"י הנאשם ב- 10 תשלומים חודשיים, שווים ורצופים בסך 700 ₪, כל אחד, זאת החל מיום 1.5.16 ואילך.</w:t>
      </w:r>
    </w:p>
    <w:p w14:paraId="492F947E" w14:textId="77777777" w:rsidR="00183174" w:rsidRDefault="00183174">
      <w:pPr>
        <w:spacing w:line="360" w:lineRule="auto"/>
        <w:ind w:left="720" w:hanging="720"/>
        <w:jc w:val="both"/>
        <w:rPr>
          <w:rtl/>
        </w:rPr>
      </w:pPr>
    </w:p>
    <w:p w14:paraId="41607BA4" w14:textId="77777777" w:rsidR="00183174" w:rsidRDefault="007135D1">
      <w:pPr>
        <w:spacing w:line="360" w:lineRule="auto"/>
        <w:ind w:left="720" w:hanging="720"/>
        <w:jc w:val="both"/>
        <w:rPr>
          <w:b/>
          <w:bCs/>
          <w:rtl/>
        </w:rPr>
      </w:pPr>
      <w:r>
        <w:rPr>
          <w:rtl/>
        </w:rPr>
        <w:tab/>
      </w:r>
      <w:r>
        <w:rPr>
          <w:rFonts w:hint="cs"/>
          <w:b/>
          <w:bCs/>
          <w:rtl/>
        </w:rPr>
        <w:t>זכות ערעור לבית המשפט העליון תוך 45 יום.</w:t>
      </w:r>
    </w:p>
    <w:p w14:paraId="2D742290" w14:textId="77777777" w:rsidR="00183174" w:rsidRDefault="00183174">
      <w:pPr>
        <w:spacing w:line="360" w:lineRule="auto"/>
        <w:jc w:val="both"/>
        <w:rPr>
          <w:rtl/>
        </w:rPr>
      </w:pPr>
    </w:p>
    <w:p w14:paraId="5B5EBBF0" w14:textId="77777777" w:rsidR="00183174" w:rsidRDefault="007135D1">
      <w:pPr>
        <w:spacing w:line="360" w:lineRule="auto"/>
        <w:jc w:val="center"/>
        <w:rPr>
          <w:rFonts w:cs="FrankRuehl"/>
          <w:sz w:val="28"/>
          <w:szCs w:val="28"/>
          <w:rtl/>
        </w:rPr>
      </w:pPr>
      <w:r w:rsidRPr="007135D1">
        <w:rPr>
          <w:rFonts w:ascii="Arial" w:hAnsi="Arial"/>
          <w:color w:val="FFFFFF"/>
          <w:sz w:val="2"/>
          <w:szCs w:val="2"/>
          <w:rtl/>
        </w:rPr>
        <w:t>5129371</w:t>
      </w:r>
      <w:r>
        <w:rPr>
          <w:rFonts w:ascii="Arial" w:hAnsi="Arial"/>
          <w:rtl/>
        </w:rPr>
        <w:t xml:space="preserve">ניתן היום, י"ט טבת תשע"ו, 31 בדצמבר 2015 במעמד ב"כ המאשימה, הנאשם וסנגורו. </w:t>
      </w:r>
    </w:p>
    <w:tbl>
      <w:tblPr>
        <w:bidiVisual/>
        <w:tblW w:w="3936" w:type="dxa"/>
        <w:tblInd w:w="5133" w:type="dxa"/>
        <w:tblBorders>
          <w:insideH w:val="single" w:sz="4" w:space="0" w:color="auto"/>
          <w:insideV w:val="single" w:sz="4" w:space="0" w:color="auto"/>
        </w:tblBorders>
        <w:tblLook w:val="01E0" w:firstRow="1" w:lastRow="1" w:firstColumn="1" w:lastColumn="1" w:noHBand="0" w:noVBand="0"/>
      </w:tblPr>
      <w:tblGrid>
        <w:gridCol w:w="3936"/>
      </w:tblGrid>
      <w:tr w:rsidR="00183174" w14:paraId="5DF38B4F" w14:textId="77777777">
        <w:trPr>
          <w:trHeight w:val="316"/>
        </w:trPr>
        <w:tc>
          <w:tcPr>
            <w:tcW w:w="3936" w:type="dxa"/>
            <w:tcBorders>
              <w:top w:val="nil"/>
              <w:left w:val="nil"/>
              <w:bottom w:val="single" w:sz="4" w:space="0" w:color="auto"/>
              <w:right w:val="nil"/>
            </w:tcBorders>
            <w:shd w:val="clear" w:color="auto" w:fill="auto"/>
          </w:tcPr>
          <w:p w14:paraId="5C5CC6EB" w14:textId="77777777" w:rsidR="00183174" w:rsidRPr="007135D1" w:rsidRDefault="007135D1">
            <w:pPr>
              <w:jc w:val="center"/>
              <w:rPr>
                <w:rFonts w:cs="Times New Roman"/>
                <w:color w:val="FFFFFF"/>
                <w:sz w:val="2"/>
                <w:szCs w:val="2"/>
              </w:rPr>
            </w:pPr>
            <w:r w:rsidRPr="007135D1">
              <w:rPr>
                <w:rFonts w:cs="Times New Roman"/>
                <w:color w:val="FFFFFF"/>
                <w:sz w:val="2"/>
                <w:szCs w:val="2"/>
                <w:rtl/>
              </w:rPr>
              <w:t>54678313</w:t>
            </w:r>
          </w:p>
          <w:p w14:paraId="6E481250" w14:textId="77777777" w:rsidR="00183174" w:rsidRDefault="00183174">
            <w:pPr>
              <w:jc w:val="center"/>
            </w:pPr>
          </w:p>
        </w:tc>
      </w:tr>
      <w:tr w:rsidR="00183174" w14:paraId="67802B3B" w14:textId="77777777">
        <w:trPr>
          <w:trHeight w:val="361"/>
        </w:trPr>
        <w:tc>
          <w:tcPr>
            <w:tcW w:w="3936" w:type="dxa"/>
            <w:tcBorders>
              <w:top w:val="single" w:sz="4" w:space="0" w:color="auto"/>
              <w:left w:val="nil"/>
              <w:bottom w:val="nil"/>
              <w:right w:val="nil"/>
            </w:tcBorders>
            <w:shd w:val="clear" w:color="auto" w:fill="auto"/>
          </w:tcPr>
          <w:p w14:paraId="63344677" w14:textId="77777777" w:rsidR="00183174" w:rsidRDefault="007135D1">
            <w:pPr>
              <w:jc w:val="center"/>
              <w:rPr>
                <w:b/>
                <w:bCs/>
                <w:rtl/>
              </w:rPr>
            </w:pPr>
            <w:r>
              <w:rPr>
                <w:rFonts w:hint="cs"/>
                <w:b/>
                <w:bCs/>
                <w:rtl/>
              </w:rPr>
              <w:t xml:space="preserve">רונית </w:t>
            </w:r>
            <w:r>
              <w:rPr>
                <w:rFonts w:cs="Times New Roman" w:hint="cs"/>
                <w:b/>
                <w:bCs/>
                <w:rtl/>
              </w:rPr>
              <w:t>בש</w:t>
            </w:r>
            <w:r>
              <w:rPr>
                <w:rFonts w:hint="cs"/>
                <w:b/>
                <w:bCs/>
                <w:rtl/>
              </w:rPr>
              <w:t xml:space="preserve"> , </w:t>
            </w:r>
            <w:r>
              <w:rPr>
                <w:rFonts w:cs="Times New Roman" w:hint="cs"/>
                <w:b/>
                <w:bCs/>
                <w:rtl/>
              </w:rPr>
              <w:t>שופטת</w:t>
            </w:r>
            <w:r>
              <w:rPr>
                <w:rFonts w:hint="cs"/>
                <w:b/>
                <w:bCs/>
                <w:rtl/>
              </w:rPr>
              <w:t xml:space="preserve"> </w:t>
            </w:r>
          </w:p>
        </w:tc>
      </w:tr>
    </w:tbl>
    <w:p w14:paraId="3B0754C5" w14:textId="77777777" w:rsidR="00183174" w:rsidRDefault="00183174">
      <w:pPr>
        <w:pStyle w:val="a3"/>
        <w:spacing w:line="360" w:lineRule="auto"/>
        <w:jc w:val="center"/>
        <w:rPr>
          <w:rtl/>
        </w:rPr>
      </w:pPr>
    </w:p>
    <w:p w14:paraId="234BD758" w14:textId="77777777" w:rsidR="007135D1" w:rsidRPr="007135D1" w:rsidRDefault="007135D1" w:rsidP="007135D1">
      <w:pPr>
        <w:keepNext/>
        <w:rPr>
          <w:rFonts w:ascii="David" w:hAnsi="David"/>
          <w:color w:val="000000"/>
          <w:sz w:val="22"/>
          <w:szCs w:val="22"/>
          <w:rtl/>
        </w:rPr>
      </w:pPr>
    </w:p>
    <w:p w14:paraId="2F911347" w14:textId="77777777" w:rsidR="007135D1" w:rsidRPr="007135D1" w:rsidRDefault="007135D1" w:rsidP="007135D1">
      <w:pPr>
        <w:keepNext/>
        <w:rPr>
          <w:rFonts w:ascii="David" w:hAnsi="David"/>
          <w:color w:val="000000"/>
          <w:sz w:val="22"/>
          <w:szCs w:val="22"/>
          <w:rtl/>
        </w:rPr>
      </w:pPr>
      <w:r w:rsidRPr="007135D1">
        <w:rPr>
          <w:rFonts w:ascii="David" w:hAnsi="David"/>
          <w:color w:val="000000"/>
          <w:sz w:val="22"/>
          <w:szCs w:val="22"/>
          <w:rtl/>
        </w:rPr>
        <w:t>רונית בש 54678313</w:t>
      </w:r>
    </w:p>
    <w:p w14:paraId="6B9D4922" w14:textId="77777777" w:rsidR="007135D1" w:rsidRDefault="007135D1" w:rsidP="007135D1">
      <w:r w:rsidRPr="007135D1">
        <w:rPr>
          <w:color w:val="000000"/>
          <w:rtl/>
        </w:rPr>
        <w:t>נוסח מסמך זה כפוף לשינויי ניסוח ועריכה</w:t>
      </w:r>
    </w:p>
    <w:p w14:paraId="0C0B7BFD" w14:textId="77777777" w:rsidR="007135D1" w:rsidRDefault="007135D1" w:rsidP="007135D1">
      <w:pPr>
        <w:rPr>
          <w:rtl/>
        </w:rPr>
      </w:pPr>
    </w:p>
    <w:p w14:paraId="2FA05C46" w14:textId="77777777" w:rsidR="007135D1" w:rsidRDefault="007135D1" w:rsidP="007135D1">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3600A838" w14:textId="77777777" w:rsidR="00183174" w:rsidRDefault="00183174" w:rsidP="007135D1">
      <w:pPr>
        <w:jc w:val="center"/>
        <w:rPr>
          <w:rFonts w:hint="cs"/>
          <w:color w:val="0000FF"/>
          <w:u w:val="single"/>
          <w:rtl/>
        </w:rPr>
      </w:pPr>
    </w:p>
    <w:p w14:paraId="52424E6D" w14:textId="77777777" w:rsidR="00C14248" w:rsidRPr="007135D1" w:rsidRDefault="00C14248" w:rsidP="007135D1">
      <w:pPr>
        <w:jc w:val="center"/>
        <w:rPr>
          <w:color w:val="0000FF"/>
          <w:u w:val="single"/>
        </w:rPr>
      </w:pPr>
    </w:p>
    <w:sectPr w:rsidR="00C14248" w:rsidRPr="007135D1" w:rsidSect="007135D1">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7A3D3" w14:textId="77777777" w:rsidR="00BA1398" w:rsidRDefault="00BA1398">
      <w:r>
        <w:separator/>
      </w:r>
    </w:p>
  </w:endnote>
  <w:endnote w:type="continuationSeparator" w:id="0">
    <w:p w14:paraId="24352D9E" w14:textId="77777777" w:rsidR="00BA1398" w:rsidRDefault="00BA1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8ABCB" w14:textId="77777777" w:rsidR="0038529A" w:rsidRDefault="0038529A" w:rsidP="007135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F34C4E" w14:textId="77777777" w:rsidR="0038529A" w:rsidRPr="007135D1" w:rsidRDefault="0038529A" w:rsidP="007135D1">
    <w:pPr>
      <w:pStyle w:val="a4"/>
      <w:pBdr>
        <w:top w:val="single" w:sz="4" w:space="1" w:color="auto"/>
        <w:between w:val="single" w:sz="4" w:space="0" w:color="auto"/>
      </w:pBdr>
      <w:spacing w:after="60"/>
      <w:jc w:val="center"/>
      <w:rPr>
        <w:rFonts w:ascii="FrankRuehl" w:hAnsi="FrankRuehl" w:cs="FrankRuehl"/>
        <w:color w:val="000000"/>
      </w:rPr>
    </w:pPr>
    <w:r w:rsidRPr="007135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D4039" w14:textId="77777777" w:rsidR="0038529A" w:rsidRDefault="0038529A" w:rsidP="007135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4973">
      <w:rPr>
        <w:rFonts w:ascii="FrankRuehl" w:hAnsi="FrankRuehl" w:cs="FrankRuehl"/>
        <w:noProof/>
        <w:rtl/>
      </w:rPr>
      <w:t>1</w:t>
    </w:r>
    <w:r>
      <w:rPr>
        <w:rFonts w:ascii="FrankRuehl" w:hAnsi="FrankRuehl" w:cs="FrankRuehl"/>
        <w:rtl/>
      </w:rPr>
      <w:fldChar w:fldCharType="end"/>
    </w:r>
  </w:p>
  <w:p w14:paraId="2195A094" w14:textId="77777777" w:rsidR="0038529A" w:rsidRPr="007135D1" w:rsidRDefault="0038529A" w:rsidP="007135D1">
    <w:pPr>
      <w:pStyle w:val="a4"/>
      <w:pBdr>
        <w:top w:val="single" w:sz="4" w:space="1" w:color="auto"/>
        <w:between w:val="single" w:sz="4" w:space="0" w:color="auto"/>
      </w:pBdr>
      <w:spacing w:after="60"/>
      <w:jc w:val="center"/>
      <w:rPr>
        <w:rFonts w:ascii="FrankRuehl" w:hAnsi="FrankRuehl" w:cs="FrankRuehl"/>
        <w:color w:val="000000"/>
      </w:rPr>
    </w:pPr>
    <w:r w:rsidRPr="007135D1">
      <w:rPr>
        <w:rFonts w:ascii="FrankRuehl" w:hAnsi="FrankRuehl" w:cs="FrankRuehl"/>
        <w:color w:val="000000"/>
      </w:rPr>
      <w:pict w14:anchorId="673E3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0DAC1" w14:textId="77777777" w:rsidR="00BA1398" w:rsidRDefault="00BA1398">
      <w:r>
        <w:separator/>
      </w:r>
    </w:p>
  </w:footnote>
  <w:footnote w:type="continuationSeparator" w:id="0">
    <w:p w14:paraId="11290EA9" w14:textId="77777777" w:rsidR="00BA1398" w:rsidRDefault="00BA1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AFFBC" w14:textId="77777777" w:rsidR="0038529A" w:rsidRPr="007135D1" w:rsidRDefault="0038529A" w:rsidP="007135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36381-05-15</w:t>
    </w:r>
    <w:r>
      <w:rPr>
        <w:rFonts w:ascii="David" w:hAnsi="David"/>
        <w:color w:val="000000"/>
        <w:sz w:val="22"/>
        <w:szCs w:val="22"/>
        <w:rtl/>
      </w:rPr>
      <w:tab/>
      <w:t xml:space="preserve"> מדינת ישראל נ' סאייד אבו שנדי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1C319" w14:textId="77777777" w:rsidR="0038529A" w:rsidRPr="007135D1" w:rsidRDefault="0038529A" w:rsidP="007135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36381-05-15</w:t>
    </w:r>
    <w:r>
      <w:rPr>
        <w:rFonts w:ascii="David" w:hAnsi="David"/>
        <w:color w:val="000000"/>
        <w:sz w:val="22"/>
        <w:szCs w:val="22"/>
        <w:rtl/>
      </w:rPr>
      <w:tab/>
      <w:t xml:space="preserve"> מדינת ישראל נ' סאייד אבו שנדי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3174"/>
    <w:rsid w:val="00183174"/>
    <w:rsid w:val="0038529A"/>
    <w:rsid w:val="003904F4"/>
    <w:rsid w:val="00502AAA"/>
    <w:rsid w:val="007135D1"/>
    <w:rsid w:val="00927E56"/>
    <w:rsid w:val="00B03EE2"/>
    <w:rsid w:val="00B24973"/>
    <w:rsid w:val="00BA1398"/>
    <w:rsid w:val="00C14248"/>
    <w:rsid w:val="00E226FE"/>
    <w:rsid w:val="00F86D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B84093"/>
  <w15:chartTrackingRefBased/>
  <w15:docId w15:val="{D819FC06-41C9-40E0-AB76-0E64D9AE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317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83174"/>
    <w:pPr>
      <w:tabs>
        <w:tab w:val="center" w:pos="4153"/>
        <w:tab w:val="right" w:pos="8306"/>
      </w:tabs>
    </w:pPr>
  </w:style>
  <w:style w:type="paragraph" w:styleId="a4">
    <w:name w:val="footer"/>
    <w:basedOn w:val="a"/>
    <w:rsid w:val="00183174"/>
    <w:pPr>
      <w:tabs>
        <w:tab w:val="center" w:pos="4153"/>
        <w:tab w:val="right" w:pos="8306"/>
      </w:tabs>
    </w:pPr>
  </w:style>
  <w:style w:type="character" w:styleId="a5">
    <w:name w:val="page number"/>
    <w:basedOn w:val="a0"/>
    <w:rsid w:val="00183174"/>
  </w:style>
  <w:style w:type="character" w:styleId="Hyperlink">
    <w:name w:val="Hyperlink"/>
    <w:rsid w:val="00713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01503" TargetMode="External"/><Relationship Id="rId39" Type="http://schemas.openxmlformats.org/officeDocument/2006/relationships/hyperlink" Target="http://www.nevo.co.il/law/70301/144" TargetMode="External"/><Relationship Id="rId21" Type="http://schemas.openxmlformats.org/officeDocument/2006/relationships/hyperlink" Target="http://www.nevo.co.il/case/6243627" TargetMode="External"/><Relationship Id="rId34" Type="http://schemas.openxmlformats.org/officeDocument/2006/relationships/hyperlink" Target="http://www.nevo.co.il/case/5878120"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144.c" TargetMode="External"/><Relationship Id="rId29" Type="http://schemas.openxmlformats.org/officeDocument/2006/relationships/hyperlink" Target="http://www.nevo.co.il/law/70301/40c.a"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40i" TargetMode="External"/><Relationship Id="rId32" Type="http://schemas.openxmlformats.org/officeDocument/2006/relationships/hyperlink" Target="http://www.nevo.co.il/case/7779334" TargetMode="External"/><Relationship Id="rId37" Type="http://schemas.openxmlformats.org/officeDocument/2006/relationships/hyperlink" Target="http://www.nevo.co.il/law/70301/144"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716796" TargetMode="External"/><Relationship Id="rId36" Type="http://schemas.openxmlformats.org/officeDocument/2006/relationships/hyperlink" Target="http://www.nevo.co.il/case/17962496" TargetMode="External"/><Relationship Id="rId10" Type="http://schemas.openxmlformats.org/officeDocument/2006/relationships/hyperlink" Target="http://www.nevo.co.il/law/70301/40c.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7779337"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c"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law/70301/40c" TargetMode="External"/><Relationship Id="rId27" Type="http://schemas.openxmlformats.org/officeDocument/2006/relationships/hyperlink" Target="http://www.nevo.co.il/case/603492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426917" TargetMode="External"/><Relationship Id="rId43" Type="http://schemas.openxmlformats.org/officeDocument/2006/relationships/header" Target="header2.xml"/><Relationship Id="rId8" Type="http://schemas.openxmlformats.org/officeDocument/2006/relationships/hyperlink" Target="http://www.nevo.co.il/law/70301/40b" TargetMode="External"/><Relationship Id="rId3" Type="http://schemas.openxmlformats.org/officeDocument/2006/relationships/webSettings" Target="webSettings.xml"/><Relationship Id="rId12" Type="http://schemas.openxmlformats.org/officeDocument/2006/relationships/hyperlink" Target="http://www.nevo.co.il/law/70301/144" TargetMode="External"/><Relationship Id="rId17" Type="http://schemas.openxmlformats.org/officeDocument/2006/relationships/hyperlink" Target="http://www.nevo.co.il/law/70301/29"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821327"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70301/40b"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2869</Words>
  <Characters>14349</Characters>
  <Application>Microsoft Office Word</Application>
  <DocSecurity>0</DocSecurity>
  <Lines>119</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17184</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3342449</vt:i4>
      </vt:variant>
      <vt:variant>
        <vt:i4>90</vt:i4>
      </vt:variant>
      <vt:variant>
        <vt:i4>0</vt:i4>
      </vt:variant>
      <vt:variant>
        <vt:i4>5</vt:i4>
      </vt:variant>
      <vt:variant>
        <vt:lpwstr>http://www.nevo.co.il/case/17962496</vt:lpwstr>
      </vt:variant>
      <vt:variant>
        <vt:lpwstr/>
      </vt:variant>
      <vt:variant>
        <vt:i4>3735671</vt:i4>
      </vt:variant>
      <vt:variant>
        <vt:i4>87</vt:i4>
      </vt:variant>
      <vt:variant>
        <vt:i4>0</vt:i4>
      </vt:variant>
      <vt:variant>
        <vt:i4>5</vt:i4>
      </vt:variant>
      <vt:variant>
        <vt:lpwstr>http://www.nevo.co.il/case/5426917</vt:lpwstr>
      </vt:variant>
      <vt:variant>
        <vt:lpwstr/>
      </vt:variant>
      <vt:variant>
        <vt:i4>3342454</vt:i4>
      </vt:variant>
      <vt:variant>
        <vt:i4>84</vt:i4>
      </vt:variant>
      <vt:variant>
        <vt:i4>0</vt:i4>
      </vt:variant>
      <vt:variant>
        <vt:i4>5</vt:i4>
      </vt:variant>
      <vt:variant>
        <vt:lpwstr>http://www.nevo.co.il/case/5878120</vt:lpwstr>
      </vt:variant>
      <vt:variant>
        <vt:lpwstr/>
      </vt:variant>
      <vt:variant>
        <vt:i4>3342463</vt:i4>
      </vt:variant>
      <vt:variant>
        <vt:i4>81</vt:i4>
      </vt:variant>
      <vt:variant>
        <vt:i4>0</vt:i4>
      </vt:variant>
      <vt:variant>
        <vt:i4>5</vt:i4>
      </vt:variant>
      <vt:variant>
        <vt:lpwstr>http://www.nevo.co.il/case/5821327</vt:lpwstr>
      </vt:variant>
      <vt:variant>
        <vt:lpwstr/>
      </vt:variant>
      <vt:variant>
        <vt:i4>3604601</vt:i4>
      </vt:variant>
      <vt:variant>
        <vt:i4>78</vt:i4>
      </vt:variant>
      <vt:variant>
        <vt:i4>0</vt:i4>
      </vt:variant>
      <vt:variant>
        <vt:i4>5</vt:i4>
      </vt:variant>
      <vt:variant>
        <vt:lpwstr>http://www.nevo.co.il/case/7779334</vt:lpwstr>
      </vt:variant>
      <vt:variant>
        <vt:lpwstr/>
      </vt:variant>
      <vt:variant>
        <vt:i4>3407993</vt:i4>
      </vt:variant>
      <vt:variant>
        <vt:i4>75</vt:i4>
      </vt:variant>
      <vt:variant>
        <vt:i4>0</vt:i4>
      </vt:variant>
      <vt:variant>
        <vt:i4>5</vt:i4>
      </vt:variant>
      <vt:variant>
        <vt:lpwstr>http://www.nevo.co.il/case/7779337</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4915202</vt:i4>
      </vt:variant>
      <vt:variant>
        <vt:i4>69</vt:i4>
      </vt:variant>
      <vt:variant>
        <vt:i4>0</vt:i4>
      </vt:variant>
      <vt:variant>
        <vt:i4>5</vt:i4>
      </vt:variant>
      <vt:variant>
        <vt:lpwstr>http://www.nevo.co.il/law/70301/40c.a</vt:lpwstr>
      </vt:variant>
      <vt:variant>
        <vt:lpwstr/>
      </vt:variant>
      <vt:variant>
        <vt:i4>3473532</vt:i4>
      </vt:variant>
      <vt:variant>
        <vt:i4>66</vt:i4>
      </vt:variant>
      <vt:variant>
        <vt:i4>0</vt:i4>
      </vt:variant>
      <vt:variant>
        <vt:i4>5</vt:i4>
      </vt:variant>
      <vt:variant>
        <vt:lpwstr>http://www.nevo.co.il/case/5716796</vt:lpwstr>
      </vt:variant>
      <vt:variant>
        <vt:lpwstr/>
      </vt:variant>
      <vt:variant>
        <vt:i4>3997810</vt:i4>
      </vt:variant>
      <vt:variant>
        <vt:i4>63</vt:i4>
      </vt:variant>
      <vt:variant>
        <vt:i4>0</vt:i4>
      </vt:variant>
      <vt:variant>
        <vt:i4>5</vt:i4>
      </vt:variant>
      <vt:variant>
        <vt:lpwstr>http://www.nevo.co.il/case/6034921</vt:lpwstr>
      </vt:variant>
      <vt:variant>
        <vt:lpwstr/>
      </vt:variant>
      <vt:variant>
        <vt:i4>3342451</vt:i4>
      </vt:variant>
      <vt:variant>
        <vt:i4>60</vt:i4>
      </vt:variant>
      <vt:variant>
        <vt:i4>0</vt:i4>
      </vt:variant>
      <vt:variant>
        <vt:i4>5</vt:i4>
      </vt:variant>
      <vt:variant>
        <vt:lpwstr>http://www.nevo.co.il/case/5601503</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3342455</vt:i4>
      </vt:variant>
      <vt:variant>
        <vt:i4>45</vt:i4>
      </vt:variant>
      <vt:variant>
        <vt:i4>0</vt:i4>
      </vt:variant>
      <vt:variant>
        <vt:i4>5</vt:i4>
      </vt:variant>
      <vt:variant>
        <vt:lpwstr>http://www.nevo.co.il/case/6243627</vt:lpwstr>
      </vt:variant>
      <vt:variant>
        <vt:lpwstr/>
      </vt:variant>
      <vt:variant>
        <vt:i4>6619233</vt:i4>
      </vt:variant>
      <vt:variant>
        <vt:i4>42</vt:i4>
      </vt:variant>
      <vt:variant>
        <vt:i4>0</vt:i4>
      </vt:variant>
      <vt:variant>
        <vt:i4>5</vt:i4>
      </vt:variant>
      <vt:variant>
        <vt:lpwstr>http://www.nevo.co.il/law/70301/40b</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http://www.nevo.co.il/law/70301/144.c</vt:lpwstr>
      </vt:variant>
      <vt:variant>
        <vt:lpwstr/>
      </vt:variant>
      <vt:variant>
        <vt:i4>6357042</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http://www.nevo.co.il/law/70301/144.c</vt:lpwstr>
      </vt:variant>
      <vt:variant>
        <vt:lpwstr/>
      </vt:variant>
      <vt:variant>
        <vt:i4>6357042</vt:i4>
      </vt:variant>
      <vt:variant>
        <vt:i4>21</vt:i4>
      </vt:variant>
      <vt:variant>
        <vt:i4>0</vt:i4>
      </vt:variant>
      <vt:variant>
        <vt:i4>5</vt:i4>
      </vt:variant>
      <vt:variant>
        <vt:lpwstr>http://www.nevo.co.il/law/70301/144.b.2</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2025-01-19T16:01:00Z</dcterms:created>
  <dcterms:modified xsi:type="dcterms:W3CDTF">2025-01-19T16:01:00Z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36381</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סאייד אבו שנדי</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20151231</vt:lpwstr>
  </property>
  <property fmtid="{D5CDD505-2E9C-101B-9397-08002B2CF9AE}" pid="13" name="TYPE_N_DATE">
    <vt:lpwstr>39020151231</vt:lpwstr>
  </property>
  <property fmtid="{D5CDD505-2E9C-101B-9397-08002B2CF9AE}" pid="14" name="CASESLISTTMP1">
    <vt:lpwstr>6243627;5601503;6034921;5716796;7779337;7779334;5821327;5878120;5426917;17962496</vt:lpwstr>
  </property>
  <property fmtid="{D5CDD505-2E9C-101B-9397-08002B2CF9AE}" pid="15" name="WORDNUMPAGES">
    <vt:lpwstr>8</vt:lpwstr>
  </property>
  <property fmtid="{D5CDD505-2E9C-101B-9397-08002B2CF9AE}" pid="16" name="TYPE_ABS_DATE">
    <vt:lpwstr>390020151231</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70301/144.b.2;144.c;029;040b;040c;040i;040c.a;144:2</vt:lpwstr>
  </property>
</Properties>
</file>