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402"/>
        <w:gridCol w:w="1747"/>
        <w:gridCol w:w="3356"/>
      </w:tblGrid>
      <w:tr w:rsidR="0024566B" w:rsidRPr="00136982" w14:paraId="572B5F41" w14:textId="77777777">
        <w:trPr>
          <w:trHeight w:hRule="exact" w:val="418"/>
          <w:jc w:val="center"/>
        </w:trPr>
        <w:tc>
          <w:tcPr>
            <w:tcW w:w="8505" w:type="dxa"/>
            <w:gridSpan w:val="3"/>
          </w:tcPr>
          <w:p w14:paraId="41A44D04" w14:textId="77777777" w:rsidR="0024566B" w:rsidRPr="00136982" w:rsidRDefault="00136982">
            <w:pPr>
              <w:tabs>
                <w:tab w:val="center" w:pos="4153"/>
                <w:tab w:val="right" w:pos="8306"/>
              </w:tabs>
              <w:spacing w:line="360" w:lineRule="auto"/>
              <w:ind w:left="567" w:hanging="567"/>
              <w:jc w:val="center"/>
              <w:rPr>
                <w:rFonts w:ascii="Tahoma" w:hAnsi="Tahoma" w:cs="Tahoma"/>
                <w:color w:val="000080"/>
                <w:sz w:val="18"/>
                <w:szCs w:val="18"/>
                <w:rtl/>
              </w:rPr>
            </w:pPr>
            <w:r w:rsidRPr="00136982">
              <w:rPr>
                <w:rFonts w:ascii="Tahoma" w:hAnsi="Tahoma" w:cs="Tahoma"/>
                <w:color w:val="000080"/>
                <w:sz w:val="18"/>
                <w:szCs w:val="18"/>
                <w:rtl/>
              </w:rPr>
              <w:t>בית המשפט המחוזי בחיפה</w:t>
            </w:r>
          </w:p>
        </w:tc>
      </w:tr>
      <w:tr w:rsidR="0024566B" w:rsidRPr="00136982" w14:paraId="55ECD0A4" w14:textId="77777777">
        <w:trPr>
          <w:trHeight w:val="630"/>
          <w:jc w:val="center"/>
        </w:trPr>
        <w:tc>
          <w:tcPr>
            <w:tcW w:w="3402" w:type="dxa"/>
            <w:tcBorders>
              <w:bottom w:val="single" w:sz="4" w:space="0" w:color="auto"/>
            </w:tcBorders>
          </w:tcPr>
          <w:p w14:paraId="35F2216C" w14:textId="77777777" w:rsidR="0024566B" w:rsidRPr="00136982"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hanging="567"/>
              <w:jc w:val="both"/>
              <w:rPr>
                <w:b/>
                <w:bCs/>
                <w:sz w:val="22"/>
                <w:szCs w:val="22"/>
                <w:rtl/>
              </w:rPr>
            </w:pPr>
            <w:r w:rsidRPr="00136982">
              <w:rPr>
                <w:b/>
                <w:bCs/>
                <w:sz w:val="22"/>
                <w:szCs w:val="22"/>
                <w:rtl/>
              </w:rPr>
              <w:t>ת"פ 45095-05-15</w:t>
            </w:r>
          </w:p>
          <w:p w14:paraId="24F8F9CA" w14:textId="77777777" w:rsidR="0024566B" w:rsidRPr="00136982"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hanging="567"/>
              <w:jc w:val="both"/>
              <w:rPr>
                <w:b/>
                <w:bCs/>
                <w:sz w:val="22"/>
                <w:szCs w:val="22"/>
                <w:rtl/>
              </w:rPr>
            </w:pPr>
            <w:r w:rsidRPr="00136982">
              <w:rPr>
                <w:b/>
                <w:bCs/>
                <w:sz w:val="22"/>
                <w:szCs w:val="22"/>
                <w:rtl/>
              </w:rPr>
              <w:t>מדינת ישראל נ' סאאר עביד</w:t>
            </w:r>
          </w:p>
        </w:tc>
        <w:tc>
          <w:tcPr>
            <w:tcW w:w="1747" w:type="dxa"/>
          </w:tcPr>
          <w:p w14:paraId="7E936DC8" w14:textId="77777777" w:rsidR="0024566B" w:rsidRPr="00136982" w:rsidRDefault="0024566B">
            <w:pPr>
              <w:tabs>
                <w:tab w:val="center" w:pos="4153"/>
                <w:tab w:val="right" w:pos="8306"/>
              </w:tabs>
              <w:ind w:left="567" w:hanging="567"/>
              <w:jc w:val="center"/>
              <w:rPr>
                <w:b/>
                <w:bCs/>
                <w:sz w:val="22"/>
                <w:szCs w:val="22"/>
                <w:rtl/>
              </w:rPr>
            </w:pPr>
          </w:p>
        </w:tc>
        <w:tc>
          <w:tcPr>
            <w:tcW w:w="3356" w:type="dxa"/>
            <w:tcBorders>
              <w:bottom w:val="single" w:sz="4" w:space="0" w:color="auto"/>
            </w:tcBorders>
          </w:tcPr>
          <w:p w14:paraId="78E782B8" w14:textId="77777777" w:rsidR="0024566B" w:rsidRPr="00136982" w:rsidRDefault="0024566B">
            <w:pPr>
              <w:tabs>
                <w:tab w:val="center" w:pos="4153"/>
                <w:tab w:val="right" w:pos="8306"/>
              </w:tabs>
              <w:ind w:left="567" w:hanging="567"/>
              <w:jc w:val="center"/>
              <w:rPr>
                <w:b/>
                <w:bCs/>
                <w:sz w:val="22"/>
                <w:szCs w:val="22"/>
                <w:rtl/>
              </w:rPr>
            </w:pPr>
          </w:p>
          <w:p w14:paraId="648ED0CA" w14:textId="77777777" w:rsidR="0024566B" w:rsidRPr="00136982" w:rsidRDefault="00136982">
            <w:pPr>
              <w:tabs>
                <w:tab w:val="center" w:pos="4153"/>
                <w:tab w:val="right" w:pos="8306"/>
              </w:tabs>
              <w:ind w:left="567" w:hanging="567"/>
              <w:jc w:val="center"/>
              <w:rPr>
                <w:b/>
                <w:bCs/>
                <w:sz w:val="22"/>
                <w:szCs w:val="22"/>
                <w:rtl/>
              </w:rPr>
            </w:pPr>
            <w:r w:rsidRPr="00136982">
              <w:rPr>
                <w:rFonts w:hint="cs"/>
                <w:b/>
                <w:bCs/>
                <w:sz w:val="22"/>
                <w:szCs w:val="22"/>
                <w:rtl/>
              </w:rPr>
              <w:t>14.2.2016</w:t>
            </w:r>
          </w:p>
        </w:tc>
      </w:tr>
    </w:tbl>
    <w:p w14:paraId="790CF5B2" w14:textId="77777777" w:rsidR="0024566B" w:rsidRPr="00136982"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sz w:val="22"/>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3451"/>
        <w:gridCol w:w="1417"/>
        <w:gridCol w:w="2361"/>
      </w:tblGrid>
      <w:tr w:rsidR="0024566B" w:rsidRPr="00136982" w14:paraId="68E961AD" w14:textId="77777777">
        <w:trPr>
          <w:trHeight w:val="495"/>
        </w:trPr>
        <w:tc>
          <w:tcPr>
            <w:tcW w:w="6286" w:type="dxa"/>
            <w:gridSpan w:val="3"/>
          </w:tcPr>
          <w:p w14:paraId="013AB0DE" w14:textId="77777777" w:rsidR="0024566B" w:rsidRPr="00136982" w:rsidRDefault="00136982">
            <w:pPr>
              <w:suppressLineNumbers/>
              <w:overflowPunct w:val="0"/>
              <w:autoSpaceDE w:val="0"/>
              <w:autoSpaceDN w:val="0"/>
              <w:adjustRightInd w:val="0"/>
              <w:spacing w:line="360" w:lineRule="auto"/>
              <w:textAlignment w:val="baseline"/>
              <w:rPr>
                <w:b/>
                <w:bCs/>
                <w:sz w:val="22"/>
                <w:rtl/>
                <w:lang w:eastAsia="he-IL"/>
              </w:rPr>
            </w:pPr>
            <w:r w:rsidRPr="00136982">
              <w:rPr>
                <w:b/>
                <w:bCs/>
                <w:sz w:val="22"/>
                <w:rtl/>
                <w:lang w:eastAsia="he-IL"/>
              </w:rPr>
              <w:t>בפני השופט יצחק כהן, סגן נשיא</w:t>
            </w:r>
          </w:p>
        </w:tc>
        <w:tc>
          <w:tcPr>
            <w:tcW w:w="2361" w:type="dxa"/>
          </w:tcPr>
          <w:p w14:paraId="439FEA39" w14:textId="77777777" w:rsidR="0024566B" w:rsidRPr="00136982" w:rsidRDefault="0024566B">
            <w:pPr>
              <w:suppressLineNumbers/>
              <w:overflowPunct w:val="0"/>
              <w:autoSpaceDE w:val="0"/>
              <w:autoSpaceDN w:val="0"/>
              <w:adjustRightInd w:val="0"/>
              <w:textAlignment w:val="baseline"/>
              <w:rPr>
                <w:b/>
                <w:bCs/>
                <w:sz w:val="22"/>
                <w:szCs w:val="26"/>
                <w:rtl/>
                <w:lang w:eastAsia="he-IL"/>
              </w:rPr>
            </w:pPr>
          </w:p>
        </w:tc>
      </w:tr>
      <w:tr w:rsidR="0024566B" w:rsidRPr="00136982" w14:paraId="30689B09" w14:textId="77777777">
        <w:trPr>
          <w:trHeight w:val="495"/>
        </w:trPr>
        <w:tc>
          <w:tcPr>
            <w:tcW w:w="1418" w:type="dxa"/>
          </w:tcPr>
          <w:p w14:paraId="5C550E66" w14:textId="77777777" w:rsidR="0024566B" w:rsidRPr="00136982" w:rsidRDefault="0024566B">
            <w:pPr>
              <w:suppressLineNumbers/>
              <w:overflowPunct w:val="0"/>
              <w:autoSpaceDE w:val="0"/>
              <w:autoSpaceDN w:val="0"/>
              <w:adjustRightInd w:val="0"/>
              <w:textAlignment w:val="baseline"/>
              <w:rPr>
                <w:b/>
                <w:bCs/>
                <w:sz w:val="22"/>
                <w:rtl/>
                <w:lang w:eastAsia="he-IL"/>
              </w:rPr>
            </w:pPr>
            <w:bookmarkStart w:id="0" w:name="LastJudge"/>
            <w:bookmarkEnd w:id="0"/>
          </w:p>
        </w:tc>
        <w:tc>
          <w:tcPr>
            <w:tcW w:w="4868" w:type="dxa"/>
            <w:gridSpan w:val="2"/>
          </w:tcPr>
          <w:p w14:paraId="4616561E" w14:textId="77777777" w:rsidR="0024566B" w:rsidRPr="00136982" w:rsidRDefault="0024566B">
            <w:pPr>
              <w:suppressLineNumbers/>
              <w:overflowPunct w:val="0"/>
              <w:autoSpaceDE w:val="0"/>
              <w:autoSpaceDN w:val="0"/>
              <w:adjustRightInd w:val="0"/>
              <w:spacing w:line="360" w:lineRule="auto"/>
              <w:textAlignment w:val="baseline"/>
              <w:rPr>
                <w:b/>
                <w:bCs/>
                <w:sz w:val="22"/>
                <w:rtl/>
                <w:lang w:eastAsia="he-IL"/>
              </w:rPr>
            </w:pPr>
          </w:p>
        </w:tc>
        <w:tc>
          <w:tcPr>
            <w:tcW w:w="2361" w:type="dxa"/>
          </w:tcPr>
          <w:p w14:paraId="61F2886D" w14:textId="77777777" w:rsidR="0024566B" w:rsidRPr="00136982" w:rsidRDefault="0024566B">
            <w:pPr>
              <w:suppressLineNumbers/>
              <w:overflowPunct w:val="0"/>
              <w:autoSpaceDE w:val="0"/>
              <w:autoSpaceDN w:val="0"/>
              <w:adjustRightInd w:val="0"/>
              <w:textAlignment w:val="baseline"/>
              <w:rPr>
                <w:b/>
                <w:bCs/>
                <w:sz w:val="22"/>
                <w:szCs w:val="26"/>
                <w:rtl/>
                <w:lang w:eastAsia="he-IL"/>
              </w:rPr>
            </w:pPr>
          </w:p>
        </w:tc>
      </w:tr>
      <w:tr w:rsidR="0024566B" w:rsidRPr="00136982" w14:paraId="1ECE62D9" w14:textId="77777777">
        <w:trPr>
          <w:trHeight w:val="601"/>
        </w:trPr>
        <w:tc>
          <w:tcPr>
            <w:tcW w:w="1418" w:type="dxa"/>
          </w:tcPr>
          <w:p w14:paraId="38106F27" w14:textId="77777777" w:rsidR="0024566B" w:rsidRPr="00136982" w:rsidRDefault="0024566B">
            <w:pPr>
              <w:suppressLineNumbers/>
              <w:overflowPunct w:val="0"/>
              <w:autoSpaceDE w:val="0"/>
              <w:autoSpaceDN w:val="0"/>
              <w:adjustRightInd w:val="0"/>
              <w:textAlignment w:val="baseline"/>
              <w:rPr>
                <w:b/>
                <w:bCs/>
                <w:sz w:val="22"/>
                <w:rtl/>
                <w:lang w:eastAsia="he-IL"/>
              </w:rPr>
            </w:pPr>
          </w:p>
        </w:tc>
        <w:tc>
          <w:tcPr>
            <w:tcW w:w="4868" w:type="dxa"/>
            <w:gridSpan w:val="2"/>
          </w:tcPr>
          <w:p w14:paraId="6984FE90" w14:textId="77777777" w:rsidR="0024566B" w:rsidRPr="00136982" w:rsidRDefault="00136982">
            <w:pPr>
              <w:suppressLineNumbers/>
              <w:overflowPunct w:val="0"/>
              <w:autoSpaceDE w:val="0"/>
              <w:autoSpaceDN w:val="0"/>
              <w:adjustRightInd w:val="0"/>
              <w:spacing w:line="360" w:lineRule="auto"/>
              <w:textAlignment w:val="baseline"/>
              <w:rPr>
                <w:b/>
                <w:bCs/>
                <w:sz w:val="22"/>
                <w:rtl/>
                <w:lang w:eastAsia="he-IL"/>
              </w:rPr>
            </w:pPr>
            <w:r w:rsidRPr="00136982">
              <w:rPr>
                <w:b/>
                <w:bCs/>
                <w:sz w:val="22"/>
                <w:rtl/>
                <w:lang w:eastAsia="he-IL"/>
              </w:rPr>
              <w:t>מדינת ישראל</w:t>
            </w:r>
          </w:p>
        </w:tc>
        <w:tc>
          <w:tcPr>
            <w:tcW w:w="2361" w:type="dxa"/>
          </w:tcPr>
          <w:p w14:paraId="2E26BA86" w14:textId="77777777" w:rsidR="0024566B" w:rsidRPr="00136982" w:rsidRDefault="0024566B">
            <w:pPr>
              <w:suppressLineNumbers/>
              <w:overflowPunct w:val="0"/>
              <w:autoSpaceDE w:val="0"/>
              <w:autoSpaceDN w:val="0"/>
              <w:adjustRightInd w:val="0"/>
              <w:textAlignment w:val="baseline"/>
              <w:rPr>
                <w:b/>
                <w:bCs/>
                <w:sz w:val="22"/>
                <w:szCs w:val="26"/>
                <w:rtl/>
                <w:lang w:eastAsia="he-IL"/>
              </w:rPr>
            </w:pPr>
          </w:p>
        </w:tc>
      </w:tr>
      <w:tr w:rsidR="0024566B" w:rsidRPr="00136982" w14:paraId="18678714" w14:textId="77777777">
        <w:tc>
          <w:tcPr>
            <w:tcW w:w="1418" w:type="dxa"/>
          </w:tcPr>
          <w:p w14:paraId="6EB2F333" w14:textId="77777777" w:rsidR="0024566B" w:rsidRPr="00136982" w:rsidRDefault="0024566B">
            <w:pPr>
              <w:suppressLineNumbers/>
              <w:overflowPunct w:val="0"/>
              <w:autoSpaceDE w:val="0"/>
              <w:autoSpaceDN w:val="0"/>
              <w:adjustRightInd w:val="0"/>
              <w:textAlignment w:val="baseline"/>
              <w:rPr>
                <w:b/>
                <w:bCs/>
                <w:sz w:val="22"/>
                <w:rtl/>
                <w:lang w:eastAsia="he-IL"/>
              </w:rPr>
            </w:pPr>
            <w:bookmarkStart w:id="1" w:name="FirstAppellant" w:colFirst="0" w:colLast="0"/>
            <w:bookmarkStart w:id="2" w:name="FirstLawyer"/>
          </w:p>
        </w:tc>
        <w:tc>
          <w:tcPr>
            <w:tcW w:w="3451" w:type="dxa"/>
          </w:tcPr>
          <w:p w14:paraId="6228D998" w14:textId="77777777" w:rsidR="0024566B" w:rsidRPr="00136982" w:rsidRDefault="00136982">
            <w:pPr>
              <w:suppressLineNumbers/>
              <w:overflowPunct w:val="0"/>
              <w:autoSpaceDE w:val="0"/>
              <w:autoSpaceDN w:val="0"/>
              <w:adjustRightInd w:val="0"/>
              <w:textAlignment w:val="baseline"/>
              <w:rPr>
                <w:b/>
                <w:bCs/>
                <w:sz w:val="22"/>
                <w:szCs w:val="22"/>
                <w:rtl/>
                <w:lang w:eastAsia="he-IL"/>
              </w:rPr>
            </w:pPr>
            <w:r w:rsidRPr="00136982">
              <w:rPr>
                <w:sz w:val="22"/>
                <w:szCs w:val="22"/>
                <w:rtl/>
                <w:lang w:eastAsia="he-IL"/>
              </w:rPr>
              <w:t>ע"י ב"כ עו"ד משה אייל</w:t>
            </w:r>
            <w:r w:rsidRPr="00136982">
              <w:rPr>
                <w:rFonts w:hint="cs"/>
                <w:sz w:val="22"/>
                <w:szCs w:val="22"/>
                <w:rtl/>
                <w:lang w:eastAsia="he-IL"/>
              </w:rPr>
              <w:t xml:space="preserve"> </w:t>
            </w:r>
            <w:r w:rsidRPr="00136982">
              <w:rPr>
                <w:sz w:val="22"/>
                <w:szCs w:val="22"/>
                <w:rtl/>
                <w:lang w:eastAsia="he-IL"/>
              </w:rPr>
              <w:t>[פמח"פ]</w:t>
            </w:r>
          </w:p>
        </w:tc>
        <w:tc>
          <w:tcPr>
            <w:tcW w:w="1417" w:type="dxa"/>
          </w:tcPr>
          <w:p w14:paraId="543095FA" w14:textId="77777777" w:rsidR="0024566B" w:rsidRPr="00136982" w:rsidRDefault="0024566B">
            <w:pPr>
              <w:suppressLineNumbers/>
              <w:overflowPunct w:val="0"/>
              <w:autoSpaceDE w:val="0"/>
              <w:autoSpaceDN w:val="0"/>
              <w:adjustRightInd w:val="0"/>
              <w:textAlignment w:val="baseline"/>
              <w:rPr>
                <w:sz w:val="22"/>
                <w:szCs w:val="22"/>
                <w:rtl/>
                <w:lang w:eastAsia="he-IL"/>
              </w:rPr>
            </w:pPr>
          </w:p>
        </w:tc>
        <w:tc>
          <w:tcPr>
            <w:tcW w:w="2361" w:type="dxa"/>
          </w:tcPr>
          <w:p w14:paraId="66F67807" w14:textId="77777777" w:rsidR="0024566B" w:rsidRPr="00136982" w:rsidRDefault="00136982">
            <w:pPr>
              <w:suppressLineNumbers/>
              <w:overflowPunct w:val="0"/>
              <w:autoSpaceDE w:val="0"/>
              <w:autoSpaceDN w:val="0"/>
              <w:adjustRightInd w:val="0"/>
              <w:textAlignment w:val="baseline"/>
              <w:rPr>
                <w:b/>
                <w:bCs/>
                <w:sz w:val="22"/>
                <w:szCs w:val="26"/>
                <w:rtl/>
                <w:lang w:eastAsia="he-IL"/>
              </w:rPr>
            </w:pPr>
            <w:r w:rsidRPr="00136982">
              <w:rPr>
                <w:b/>
                <w:bCs/>
                <w:sz w:val="22"/>
                <w:szCs w:val="22"/>
                <w:rtl/>
                <w:lang w:eastAsia="he-IL"/>
              </w:rPr>
              <w:t>המאשימה</w:t>
            </w:r>
          </w:p>
        </w:tc>
      </w:tr>
      <w:bookmarkEnd w:id="2"/>
      <w:tr w:rsidR="0024566B" w:rsidRPr="00136982" w14:paraId="5ECD8182" w14:textId="77777777">
        <w:trPr>
          <w:trHeight w:val="840"/>
        </w:trPr>
        <w:tc>
          <w:tcPr>
            <w:tcW w:w="1418" w:type="dxa"/>
          </w:tcPr>
          <w:p w14:paraId="56B5B845" w14:textId="77777777" w:rsidR="0024566B" w:rsidRPr="00136982" w:rsidRDefault="0024566B">
            <w:pPr>
              <w:suppressLineNumbers/>
              <w:overflowPunct w:val="0"/>
              <w:autoSpaceDE w:val="0"/>
              <w:autoSpaceDN w:val="0"/>
              <w:adjustRightInd w:val="0"/>
              <w:spacing w:before="600"/>
              <w:jc w:val="center"/>
              <w:textAlignment w:val="baseline"/>
              <w:rPr>
                <w:b/>
                <w:bCs/>
                <w:sz w:val="22"/>
                <w:rtl/>
                <w:lang w:eastAsia="he-IL"/>
              </w:rPr>
            </w:pPr>
          </w:p>
        </w:tc>
        <w:tc>
          <w:tcPr>
            <w:tcW w:w="4868" w:type="dxa"/>
            <w:gridSpan w:val="2"/>
            <w:vAlign w:val="center"/>
          </w:tcPr>
          <w:p w14:paraId="146B1D24" w14:textId="77777777" w:rsidR="0024566B" w:rsidRPr="00136982" w:rsidRDefault="00136982">
            <w:pPr>
              <w:suppressLineNumbers/>
              <w:overflowPunct w:val="0"/>
              <w:autoSpaceDE w:val="0"/>
              <w:autoSpaceDN w:val="0"/>
              <w:adjustRightInd w:val="0"/>
              <w:jc w:val="center"/>
              <w:textAlignment w:val="baseline"/>
              <w:rPr>
                <w:b/>
                <w:bCs/>
                <w:sz w:val="22"/>
                <w:rtl/>
                <w:lang w:eastAsia="he-IL"/>
              </w:rPr>
            </w:pPr>
            <w:r w:rsidRPr="00136982">
              <w:rPr>
                <w:b/>
                <w:bCs/>
                <w:sz w:val="22"/>
                <w:rtl/>
                <w:lang w:eastAsia="he-IL"/>
              </w:rPr>
              <w:t>נגד</w:t>
            </w:r>
          </w:p>
        </w:tc>
        <w:tc>
          <w:tcPr>
            <w:tcW w:w="2361" w:type="dxa"/>
          </w:tcPr>
          <w:p w14:paraId="6C499B08" w14:textId="77777777" w:rsidR="0024566B" w:rsidRPr="00136982" w:rsidRDefault="0024566B">
            <w:pPr>
              <w:suppressLineNumbers/>
              <w:overflowPunct w:val="0"/>
              <w:autoSpaceDE w:val="0"/>
              <w:autoSpaceDN w:val="0"/>
              <w:adjustRightInd w:val="0"/>
              <w:textAlignment w:val="baseline"/>
              <w:rPr>
                <w:b/>
                <w:bCs/>
                <w:sz w:val="22"/>
                <w:rtl/>
                <w:lang w:eastAsia="he-IL"/>
              </w:rPr>
            </w:pPr>
          </w:p>
        </w:tc>
      </w:tr>
      <w:bookmarkEnd w:id="1"/>
      <w:tr w:rsidR="0024566B" w:rsidRPr="00136982" w14:paraId="5BA0B90B" w14:textId="77777777">
        <w:trPr>
          <w:trHeight w:val="804"/>
        </w:trPr>
        <w:tc>
          <w:tcPr>
            <w:tcW w:w="1418" w:type="dxa"/>
          </w:tcPr>
          <w:p w14:paraId="0CEE3EF5" w14:textId="77777777" w:rsidR="0024566B" w:rsidRPr="00136982" w:rsidRDefault="0024566B">
            <w:pPr>
              <w:suppressLineNumbers/>
              <w:overflowPunct w:val="0"/>
              <w:autoSpaceDE w:val="0"/>
              <w:autoSpaceDN w:val="0"/>
              <w:adjustRightInd w:val="0"/>
              <w:textAlignment w:val="baseline"/>
              <w:rPr>
                <w:b/>
                <w:bCs/>
                <w:sz w:val="22"/>
                <w:rtl/>
                <w:lang w:eastAsia="he-IL"/>
              </w:rPr>
            </w:pPr>
          </w:p>
        </w:tc>
        <w:tc>
          <w:tcPr>
            <w:tcW w:w="4868" w:type="dxa"/>
            <w:gridSpan w:val="2"/>
          </w:tcPr>
          <w:p w14:paraId="2AF1F19B" w14:textId="77777777" w:rsidR="0024566B" w:rsidRPr="00136982" w:rsidRDefault="00136982">
            <w:pPr>
              <w:suppressLineNumbers/>
              <w:overflowPunct w:val="0"/>
              <w:autoSpaceDE w:val="0"/>
              <w:autoSpaceDN w:val="0"/>
              <w:adjustRightInd w:val="0"/>
              <w:spacing w:line="360" w:lineRule="auto"/>
              <w:textAlignment w:val="baseline"/>
              <w:rPr>
                <w:sz w:val="22"/>
                <w:szCs w:val="22"/>
                <w:rtl/>
                <w:lang w:eastAsia="he-IL"/>
              </w:rPr>
            </w:pPr>
            <w:r w:rsidRPr="00136982">
              <w:rPr>
                <w:b/>
                <w:bCs/>
                <w:sz w:val="22"/>
                <w:rtl/>
                <w:lang w:eastAsia="he-IL"/>
              </w:rPr>
              <w:t xml:space="preserve">סאאר (בן מוחמד) עביד ת"ז </w:t>
            </w:r>
            <w:r>
              <w:rPr>
                <w:b/>
                <w:bCs/>
                <w:sz w:val="22"/>
                <w:lang w:eastAsia="he-IL"/>
              </w:rPr>
              <w:t>xxxxxxxxx</w:t>
            </w:r>
          </w:p>
          <w:p w14:paraId="1ECE8E6B" w14:textId="77777777" w:rsidR="0024566B" w:rsidRPr="00136982" w:rsidRDefault="00136982">
            <w:pPr>
              <w:suppressLineNumbers/>
              <w:overflowPunct w:val="0"/>
              <w:autoSpaceDE w:val="0"/>
              <w:autoSpaceDN w:val="0"/>
              <w:adjustRightInd w:val="0"/>
              <w:spacing w:line="360" w:lineRule="auto"/>
              <w:textAlignment w:val="baseline"/>
              <w:rPr>
                <w:sz w:val="22"/>
                <w:szCs w:val="22"/>
                <w:rtl/>
                <w:lang w:eastAsia="he-IL"/>
              </w:rPr>
            </w:pPr>
            <w:r w:rsidRPr="00136982">
              <w:rPr>
                <w:sz w:val="22"/>
                <w:szCs w:val="22"/>
                <w:rtl/>
                <w:lang w:eastAsia="he-IL"/>
              </w:rPr>
              <w:t>יליד שנת 1984</w:t>
            </w:r>
          </w:p>
        </w:tc>
        <w:tc>
          <w:tcPr>
            <w:tcW w:w="2361" w:type="dxa"/>
          </w:tcPr>
          <w:p w14:paraId="753A60CE" w14:textId="77777777" w:rsidR="0024566B" w:rsidRPr="00136982" w:rsidRDefault="0024566B">
            <w:pPr>
              <w:suppressLineNumbers/>
              <w:overflowPunct w:val="0"/>
              <w:autoSpaceDE w:val="0"/>
              <w:autoSpaceDN w:val="0"/>
              <w:adjustRightInd w:val="0"/>
              <w:textAlignment w:val="baseline"/>
              <w:rPr>
                <w:b/>
                <w:bCs/>
                <w:sz w:val="22"/>
                <w:szCs w:val="26"/>
                <w:rtl/>
                <w:lang w:eastAsia="he-IL"/>
              </w:rPr>
            </w:pPr>
          </w:p>
        </w:tc>
      </w:tr>
      <w:tr w:rsidR="0024566B" w:rsidRPr="00136982" w14:paraId="06F0181F" w14:textId="77777777">
        <w:tc>
          <w:tcPr>
            <w:tcW w:w="1418" w:type="dxa"/>
          </w:tcPr>
          <w:p w14:paraId="3FE7BEBA" w14:textId="77777777" w:rsidR="0024566B" w:rsidRPr="00136982" w:rsidRDefault="0024566B">
            <w:pPr>
              <w:suppressLineNumbers/>
              <w:overflowPunct w:val="0"/>
              <w:autoSpaceDE w:val="0"/>
              <w:autoSpaceDN w:val="0"/>
              <w:adjustRightInd w:val="0"/>
              <w:textAlignment w:val="baseline"/>
              <w:rPr>
                <w:b/>
                <w:bCs/>
                <w:sz w:val="22"/>
                <w:rtl/>
                <w:lang w:eastAsia="he-IL"/>
              </w:rPr>
            </w:pPr>
          </w:p>
        </w:tc>
        <w:tc>
          <w:tcPr>
            <w:tcW w:w="3451" w:type="dxa"/>
          </w:tcPr>
          <w:p w14:paraId="388CB658" w14:textId="77777777" w:rsidR="0024566B" w:rsidRPr="00136982" w:rsidRDefault="00136982">
            <w:pPr>
              <w:suppressLineNumbers/>
              <w:overflowPunct w:val="0"/>
              <w:autoSpaceDE w:val="0"/>
              <w:autoSpaceDN w:val="0"/>
              <w:adjustRightInd w:val="0"/>
              <w:textAlignment w:val="baseline"/>
              <w:rPr>
                <w:b/>
                <w:bCs/>
                <w:sz w:val="22"/>
                <w:szCs w:val="22"/>
                <w:rtl/>
                <w:lang w:eastAsia="he-IL"/>
              </w:rPr>
            </w:pPr>
            <w:r w:rsidRPr="00136982">
              <w:rPr>
                <w:sz w:val="22"/>
                <w:szCs w:val="22"/>
                <w:rtl/>
                <w:lang w:eastAsia="he-IL"/>
              </w:rPr>
              <w:t>ע"י ב"כ עו"ד אסף בוחבוט</w:t>
            </w:r>
          </w:p>
        </w:tc>
        <w:tc>
          <w:tcPr>
            <w:tcW w:w="1417" w:type="dxa"/>
          </w:tcPr>
          <w:p w14:paraId="093C2078" w14:textId="77777777" w:rsidR="0024566B" w:rsidRPr="00136982" w:rsidRDefault="00136982">
            <w:pPr>
              <w:suppressLineNumbers/>
              <w:overflowPunct w:val="0"/>
              <w:autoSpaceDE w:val="0"/>
              <w:autoSpaceDN w:val="0"/>
              <w:adjustRightInd w:val="0"/>
              <w:textAlignment w:val="baseline"/>
              <w:rPr>
                <w:sz w:val="22"/>
                <w:szCs w:val="22"/>
                <w:rtl/>
                <w:lang w:eastAsia="he-IL"/>
              </w:rPr>
            </w:pPr>
            <w:r w:rsidRPr="00136982">
              <w:rPr>
                <w:sz w:val="22"/>
                <w:szCs w:val="22"/>
                <w:rtl/>
                <w:lang w:eastAsia="he-IL"/>
              </w:rPr>
              <w:t xml:space="preserve"> </w:t>
            </w:r>
          </w:p>
        </w:tc>
        <w:tc>
          <w:tcPr>
            <w:tcW w:w="2361" w:type="dxa"/>
          </w:tcPr>
          <w:p w14:paraId="62B64E8B" w14:textId="77777777" w:rsidR="0024566B" w:rsidRPr="00136982" w:rsidRDefault="00136982">
            <w:pPr>
              <w:suppressLineNumbers/>
              <w:overflowPunct w:val="0"/>
              <w:autoSpaceDE w:val="0"/>
              <w:autoSpaceDN w:val="0"/>
              <w:adjustRightInd w:val="0"/>
              <w:textAlignment w:val="baseline"/>
              <w:rPr>
                <w:b/>
                <w:bCs/>
                <w:sz w:val="22"/>
                <w:szCs w:val="26"/>
                <w:rtl/>
                <w:lang w:eastAsia="he-IL"/>
              </w:rPr>
            </w:pPr>
            <w:r w:rsidRPr="00136982">
              <w:rPr>
                <w:b/>
                <w:bCs/>
                <w:sz w:val="22"/>
                <w:szCs w:val="22"/>
                <w:rtl/>
                <w:lang w:eastAsia="he-IL"/>
              </w:rPr>
              <w:t>הנאשם</w:t>
            </w:r>
          </w:p>
        </w:tc>
      </w:tr>
    </w:tbl>
    <w:p w14:paraId="43DA06C6" w14:textId="77777777" w:rsidR="00C31B94" w:rsidRDefault="00C31B9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sz w:val="22"/>
          <w:rtl/>
        </w:rPr>
      </w:pPr>
      <w:bookmarkStart w:id="3" w:name="LawTable"/>
      <w:bookmarkEnd w:id="3"/>
    </w:p>
    <w:p w14:paraId="1E42A589" w14:textId="77777777" w:rsidR="00C31B94" w:rsidRPr="00C31B94" w:rsidRDefault="00C31B94" w:rsidP="00C31B9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120" w:line="240" w:lineRule="exact"/>
        <w:ind w:left="283" w:hanging="283"/>
        <w:jc w:val="both"/>
        <w:rPr>
          <w:rFonts w:ascii="FrankRuehl" w:hAnsi="FrankRuehl" w:cs="FrankRuehl"/>
          <w:rtl/>
        </w:rPr>
      </w:pPr>
    </w:p>
    <w:p w14:paraId="7DD536CF" w14:textId="77777777" w:rsidR="00C31B94" w:rsidRPr="00C31B94" w:rsidRDefault="00C31B94" w:rsidP="00C31B9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120" w:line="240" w:lineRule="exact"/>
        <w:ind w:left="283" w:hanging="283"/>
        <w:jc w:val="both"/>
        <w:rPr>
          <w:rFonts w:ascii="FrankRuehl" w:hAnsi="FrankRuehl" w:cs="FrankRuehl"/>
          <w:rtl/>
        </w:rPr>
      </w:pPr>
      <w:r w:rsidRPr="00C31B94">
        <w:rPr>
          <w:rFonts w:ascii="FrankRuehl" w:hAnsi="FrankRuehl" w:cs="FrankRuehl"/>
          <w:rtl/>
        </w:rPr>
        <w:t xml:space="preserve">חקיקה שאוזכרה: </w:t>
      </w:r>
    </w:p>
    <w:p w14:paraId="77A48C52" w14:textId="77777777" w:rsidR="00C31B94" w:rsidRPr="00C31B94" w:rsidRDefault="00C31B94" w:rsidP="00C31B9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120" w:line="240" w:lineRule="exact"/>
        <w:ind w:left="283" w:hanging="283"/>
        <w:jc w:val="both"/>
        <w:rPr>
          <w:rFonts w:ascii="FrankRuehl" w:hAnsi="FrankRuehl" w:cs="FrankRuehl"/>
          <w:rtl/>
        </w:rPr>
      </w:pPr>
      <w:hyperlink r:id="rId6" w:history="1">
        <w:r w:rsidRPr="00C31B94">
          <w:rPr>
            <w:rFonts w:ascii="FrankRuehl" w:hAnsi="FrankRuehl" w:cs="FrankRuehl"/>
            <w:color w:val="0000FF"/>
            <w:u w:val="single"/>
            <w:rtl/>
          </w:rPr>
          <w:t>חוק העונשין, תשל"ז-1977</w:t>
        </w:r>
      </w:hyperlink>
      <w:r w:rsidRPr="00C31B94">
        <w:rPr>
          <w:rFonts w:ascii="FrankRuehl" w:hAnsi="FrankRuehl" w:cs="FrankRuehl"/>
          <w:rtl/>
        </w:rPr>
        <w:t xml:space="preserve">: סע'  </w:t>
      </w:r>
      <w:hyperlink r:id="rId7" w:history="1">
        <w:r w:rsidRPr="00C31B94">
          <w:rPr>
            <w:rFonts w:ascii="FrankRuehl" w:hAnsi="FrankRuehl" w:cs="FrankRuehl"/>
            <w:color w:val="0000FF"/>
            <w:u w:val="single"/>
            <w:rtl/>
          </w:rPr>
          <w:t>40ט'</w:t>
        </w:r>
      </w:hyperlink>
      <w:r w:rsidRPr="00C31B94">
        <w:rPr>
          <w:rFonts w:ascii="FrankRuehl" w:hAnsi="FrankRuehl" w:cs="FrankRuehl"/>
          <w:rtl/>
        </w:rPr>
        <w:t xml:space="preserve">, </w:t>
      </w:r>
      <w:hyperlink r:id="rId8" w:history="1">
        <w:r w:rsidRPr="00C31B94">
          <w:rPr>
            <w:rFonts w:ascii="FrankRuehl" w:hAnsi="FrankRuehl" w:cs="FrankRuehl"/>
            <w:color w:val="0000FF"/>
            <w:u w:val="single"/>
            <w:rtl/>
          </w:rPr>
          <w:t>144</w:t>
        </w:r>
      </w:hyperlink>
      <w:r w:rsidRPr="00C31B94">
        <w:rPr>
          <w:rFonts w:ascii="FrankRuehl" w:hAnsi="FrankRuehl" w:cs="FrankRuehl"/>
          <w:rtl/>
        </w:rPr>
        <w:t xml:space="preserve">, </w:t>
      </w:r>
      <w:hyperlink r:id="rId9" w:history="1">
        <w:r w:rsidRPr="00C31B94">
          <w:rPr>
            <w:rFonts w:ascii="FrankRuehl" w:hAnsi="FrankRuehl" w:cs="FrankRuehl"/>
            <w:color w:val="0000FF"/>
            <w:u w:val="single"/>
            <w:rtl/>
          </w:rPr>
          <w:t>144(א)</w:t>
        </w:r>
      </w:hyperlink>
      <w:r w:rsidRPr="00C31B94">
        <w:rPr>
          <w:rFonts w:ascii="FrankRuehl" w:hAnsi="FrankRuehl" w:cs="FrankRuehl"/>
          <w:rtl/>
        </w:rPr>
        <w:t xml:space="preserve">, </w:t>
      </w:r>
      <w:hyperlink r:id="rId10" w:history="1">
        <w:r w:rsidRPr="00C31B94">
          <w:rPr>
            <w:rFonts w:ascii="FrankRuehl" w:hAnsi="FrankRuehl" w:cs="FrankRuehl"/>
            <w:color w:val="0000FF"/>
            <w:u w:val="single"/>
            <w:rtl/>
          </w:rPr>
          <w:t>144(ב)</w:t>
        </w:r>
      </w:hyperlink>
      <w:r w:rsidRPr="00C31B94">
        <w:rPr>
          <w:rFonts w:ascii="FrankRuehl" w:hAnsi="FrankRuehl" w:cs="FrankRuehl"/>
          <w:rtl/>
        </w:rPr>
        <w:t xml:space="preserve">, </w:t>
      </w:r>
      <w:hyperlink r:id="rId11" w:history="1">
        <w:r w:rsidRPr="00C31B94">
          <w:rPr>
            <w:rFonts w:ascii="FrankRuehl" w:hAnsi="FrankRuehl" w:cs="FrankRuehl"/>
            <w:color w:val="0000FF"/>
            <w:u w:val="single"/>
            <w:rtl/>
          </w:rPr>
          <w:t>333</w:t>
        </w:r>
      </w:hyperlink>
      <w:r w:rsidRPr="00C31B94">
        <w:rPr>
          <w:rFonts w:ascii="FrankRuehl" w:hAnsi="FrankRuehl" w:cs="FrankRuehl"/>
          <w:rtl/>
        </w:rPr>
        <w:t xml:space="preserve">, </w:t>
      </w:r>
      <w:hyperlink r:id="rId12" w:history="1">
        <w:r w:rsidRPr="00C31B94">
          <w:rPr>
            <w:rFonts w:ascii="FrankRuehl" w:hAnsi="FrankRuehl" w:cs="FrankRuehl"/>
            <w:color w:val="0000FF"/>
            <w:u w:val="single"/>
            <w:rtl/>
          </w:rPr>
          <w:t>335(א)(1)</w:t>
        </w:r>
      </w:hyperlink>
      <w:r w:rsidRPr="00C31B94">
        <w:rPr>
          <w:rFonts w:ascii="FrankRuehl" w:hAnsi="FrankRuehl" w:cs="FrankRuehl"/>
          <w:rtl/>
        </w:rPr>
        <w:t xml:space="preserve">, </w:t>
      </w:r>
      <w:hyperlink r:id="rId13" w:history="1">
        <w:r w:rsidRPr="00C31B94">
          <w:rPr>
            <w:rFonts w:ascii="FrankRuehl" w:hAnsi="FrankRuehl" w:cs="FrankRuehl"/>
            <w:color w:val="0000FF"/>
            <w:u w:val="single"/>
            <w:rtl/>
          </w:rPr>
          <w:t>340א'</w:t>
        </w:r>
      </w:hyperlink>
    </w:p>
    <w:p w14:paraId="7EA81FFE" w14:textId="77777777" w:rsidR="00C31B94" w:rsidRPr="00C31B94" w:rsidRDefault="00C31B94" w:rsidP="00C31B9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120" w:line="240" w:lineRule="exact"/>
        <w:ind w:left="283" w:hanging="283"/>
        <w:jc w:val="both"/>
        <w:rPr>
          <w:rFonts w:ascii="FrankRuehl" w:hAnsi="FrankRuehl" w:cs="FrankRuehl"/>
          <w:rtl/>
        </w:rPr>
      </w:pPr>
    </w:p>
    <w:p w14:paraId="12E05D5F" w14:textId="77777777" w:rsidR="00136982" w:rsidRPr="00136982" w:rsidRDefault="00136982" w:rsidP="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center"/>
        <w:rPr>
          <w:b/>
          <w:bCs/>
          <w:sz w:val="28"/>
          <w:szCs w:val="28"/>
          <w:rtl/>
        </w:rPr>
      </w:pPr>
      <w:bookmarkStart w:id="4" w:name="LawTable_End"/>
      <w:bookmarkStart w:id="5" w:name="PsakDin"/>
      <w:bookmarkEnd w:id="4"/>
      <w:r w:rsidRPr="00136982">
        <w:rPr>
          <w:b/>
          <w:bCs/>
          <w:sz w:val="28"/>
          <w:szCs w:val="28"/>
          <w:rtl/>
        </w:rPr>
        <w:t>גזר דין</w:t>
      </w:r>
    </w:p>
    <w:bookmarkEnd w:id="5"/>
    <w:p w14:paraId="446AAFFF"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b/>
          <w:bCs/>
          <w:sz w:val="28"/>
          <w:szCs w:val="28"/>
          <w:rtl/>
        </w:rPr>
      </w:pPr>
    </w:p>
    <w:p w14:paraId="4BEEA31A"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1.</w:t>
      </w:r>
      <w:r>
        <w:rPr>
          <w:color w:val="404040"/>
          <w:sz w:val="22"/>
          <w:rtl/>
        </w:rPr>
        <w:tab/>
      </w:r>
      <w:r>
        <w:rPr>
          <w:rFonts w:hint="cs"/>
          <w:color w:val="404040"/>
          <w:sz w:val="22"/>
          <w:rtl/>
        </w:rPr>
        <w:t>במהלך שמיעת הראיות, ו</w:t>
      </w:r>
      <w:r>
        <w:rPr>
          <w:color w:val="404040"/>
          <w:sz w:val="22"/>
          <w:rtl/>
        </w:rPr>
        <w:t>בעקבות הסדר טיעון שנעשה בין הצדדים, הוגש נגד הנאשם כתב אישום מתוקן (אשר סומן "הט/2"), והנאשם הודה בעבירות המיוחסות לו בכתב האישום המתוקן. הסדר הטיעון שנעשה, לא כלל הסכמה בנוגע לעונש שיושת על הנאשם.</w:t>
      </w:r>
    </w:p>
    <w:p w14:paraId="1CF3F1A4"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5589E835"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2.</w:t>
      </w:r>
      <w:r>
        <w:rPr>
          <w:color w:val="404040"/>
          <w:sz w:val="22"/>
          <w:rtl/>
        </w:rPr>
        <w:tab/>
      </w:r>
      <w:bookmarkStart w:id="6" w:name="ABSTRACT_START"/>
      <w:bookmarkEnd w:id="6"/>
      <w:r>
        <w:rPr>
          <w:color w:val="404040"/>
          <w:sz w:val="22"/>
          <w:rtl/>
        </w:rPr>
        <w:t xml:space="preserve">על פי כתב האישום המתוקן, בזמנים הרלוונטיים החזיק הנאשם בביתו תת מקלע מאולתר, מחסנית ו- 16 כדורים בקוטר 9 מ"מ. בתאריך 16.5.2015, הנאשם ישב ליד חלון דירתו, ובעקבות חילופי דברים עם בני משפחת המתלוננים, שישבו על מרפסת דירתם, נטל הנאשם את כלי הנשק וירה מספר כדורים לעבר בני משפחת המתלוננים, וכן לכיוון המרפסת "וזאת בניסיון לחבול במתלוננים חבלה חמורה". </w:t>
      </w:r>
      <w:r>
        <w:rPr>
          <w:rFonts w:hint="cs"/>
          <w:color w:val="404040"/>
          <w:sz w:val="22"/>
          <w:rtl/>
        </w:rPr>
        <w:t>לאחר מכן</w:t>
      </w:r>
      <w:r>
        <w:rPr>
          <w:color w:val="404040"/>
          <w:sz w:val="22"/>
          <w:rtl/>
        </w:rPr>
        <w:t xml:space="preserve"> עלה הנאשם על גג ביתו, והמשיך לירות מספר כדורים מכלי הנשק, ואף זאת בניסיון לחבול בבני משפחת המתלוננים חבלה חמורה.</w:t>
      </w:r>
      <w:bookmarkStart w:id="7" w:name="ABSTRACT_END"/>
      <w:bookmarkEnd w:id="7"/>
    </w:p>
    <w:p w14:paraId="269E2BF9"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1D09A675"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ab/>
        <w:t>אביו של הנאשם עלה לגג הבית, ורק לאחר שהיכה את הנאשם במוט פלסטיק בראשו, הפסיק הנאשם לירות בכלי הנשק וברח לרחוב, כשהוא מחזיק ונושא את כלי הנשק.</w:t>
      </w:r>
    </w:p>
    <w:p w14:paraId="1643966C"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39EE5E63"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08A7DBCD"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3.</w:t>
      </w:r>
      <w:r>
        <w:rPr>
          <w:color w:val="404040"/>
          <w:sz w:val="22"/>
          <w:rtl/>
        </w:rPr>
        <w:tab/>
        <w:t>על רקע העובדות המתוארות בכתב האישום</w:t>
      </w:r>
      <w:r>
        <w:rPr>
          <w:rFonts w:hint="cs"/>
          <w:color w:val="404040"/>
          <w:sz w:val="22"/>
          <w:rtl/>
        </w:rPr>
        <w:t xml:space="preserve"> המתוקן</w:t>
      </w:r>
      <w:r>
        <w:rPr>
          <w:color w:val="404040"/>
          <w:sz w:val="22"/>
          <w:rtl/>
        </w:rPr>
        <w:t xml:space="preserve">, בהן </w:t>
      </w:r>
      <w:r>
        <w:rPr>
          <w:rFonts w:hint="cs"/>
          <w:color w:val="404040"/>
          <w:sz w:val="22"/>
          <w:rtl/>
        </w:rPr>
        <w:t xml:space="preserve">כאמור </w:t>
      </w:r>
      <w:r>
        <w:rPr>
          <w:color w:val="404040"/>
          <w:sz w:val="22"/>
          <w:rtl/>
        </w:rPr>
        <w:t>הנאשם</w:t>
      </w:r>
      <w:r>
        <w:rPr>
          <w:rFonts w:hint="cs"/>
          <w:color w:val="404040"/>
          <w:sz w:val="22"/>
          <w:rtl/>
        </w:rPr>
        <w:t xml:space="preserve"> הודה</w:t>
      </w:r>
      <w:r>
        <w:rPr>
          <w:color w:val="404040"/>
          <w:sz w:val="22"/>
          <w:rtl/>
        </w:rPr>
        <w:t>, הורשע הנאשם, על פי הודאתו, בביצוע העבירות הבאות:</w:t>
      </w:r>
    </w:p>
    <w:p w14:paraId="2AA8072A"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0B2798DF"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color w:val="404040"/>
          <w:sz w:val="22"/>
          <w:rtl/>
        </w:rPr>
      </w:pPr>
      <w:r>
        <w:rPr>
          <w:color w:val="404040"/>
          <w:sz w:val="22"/>
          <w:rtl/>
        </w:rPr>
        <w:t>(א)</w:t>
      </w:r>
      <w:r>
        <w:rPr>
          <w:color w:val="404040"/>
          <w:sz w:val="22"/>
          <w:rtl/>
        </w:rPr>
        <w:tab/>
        <w:t xml:space="preserve">עבירות בנשק, לפי </w:t>
      </w:r>
      <w:hyperlink r:id="rId14" w:history="1">
        <w:r w:rsidR="00C31B94" w:rsidRPr="00C31B94">
          <w:rPr>
            <w:color w:val="0000FF"/>
            <w:sz w:val="22"/>
            <w:u w:val="single"/>
            <w:rtl/>
          </w:rPr>
          <w:t>סעיף 144(א)</w:t>
        </w:r>
      </w:hyperlink>
      <w:r>
        <w:rPr>
          <w:color w:val="404040"/>
          <w:sz w:val="22"/>
          <w:rtl/>
        </w:rPr>
        <w:t xml:space="preserve"> רישא וסיפא, ל</w:t>
      </w:r>
      <w:hyperlink r:id="rId15" w:history="1">
        <w:r w:rsidRPr="00136982">
          <w:rPr>
            <w:color w:val="0000FF"/>
            <w:sz w:val="22"/>
            <w:u w:val="single"/>
            <w:rtl/>
          </w:rPr>
          <w:t>חוק העונשין</w:t>
        </w:r>
      </w:hyperlink>
      <w:r>
        <w:rPr>
          <w:color w:val="404040"/>
          <w:sz w:val="22"/>
          <w:rtl/>
        </w:rPr>
        <w:t xml:space="preserve">, תשל"ז – 1977, ולפי </w:t>
      </w:r>
      <w:hyperlink r:id="rId16" w:history="1">
        <w:r w:rsidR="00C31B94" w:rsidRPr="00C31B94">
          <w:rPr>
            <w:color w:val="0000FF"/>
            <w:sz w:val="22"/>
            <w:u w:val="single"/>
            <w:rtl/>
          </w:rPr>
          <w:t>סעיף 144(ב)</w:t>
        </w:r>
      </w:hyperlink>
      <w:r>
        <w:rPr>
          <w:color w:val="404040"/>
          <w:sz w:val="22"/>
          <w:rtl/>
        </w:rPr>
        <w:t xml:space="preserve">  רישא וסיפא לחוק העונשין.</w:t>
      </w:r>
    </w:p>
    <w:p w14:paraId="092068D9"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color w:val="404040"/>
          <w:sz w:val="22"/>
          <w:rtl/>
        </w:rPr>
      </w:pPr>
    </w:p>
    <w:p w14:paraId="3B630B66"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color w:val="404040"/>
          <w:sz w:val="22"/>
          <w:rtl/>
        </w:rPr>
      </w:pPr>
      <w:r>
        <w:rPr>
          <w:color w:val="404040"/>
          <w:sz w:val="22"/>
          <w:rtl/>
        </w:rPr>
        <w:t>(ב)</w:t>
      </w:r>
      <w:r>
        <w:rPr>
          <w:color w:val="404040"/>
          <w:sz w:val="22"/>
          <w:rtl/>
        </w:rPr>
        <w:tab/>
        <w:t xml:space="preserve">ניסיון לגרום חבלה חמורה, בנסיבות מחמירות, עבירה לפי </w:t>
      </w:r>
      <w:hyperlink r:id="rId17" w:history="1">
        <w:r w:rsidR="00C31B94" w:rsidRPr="00C31B94">
          <w:rPr>
            <w:color w:val="0000FF"/>
            <w:sz w:val="22"/>
            <w:u w:val="single"/>
            <w:rtl/>
          </w:rPr>
          <w:t>סעיף 333</w:t>
        </w:r>
      </w:hyperlink>
      <w:r>
        <w:rPr>
          <w:color w:val="404040"/>
          <w:sz w:val="22"/>
          <w:rtl/>
        </w:rPr>
        <w:t xml:space="preserve"> ל</w:t>
      </w:r>
      <w:hyperlink r:id="rId18" w:history="1">
        <w:r w:rsidRPr="00136982">
          <w:rPr>
            <w:color w:val="0000FF"/>
            <w:sz w:val="22"/>
            <w:u w:val="single"/>
            <w:rtl/>
          </w:rPr>
          <w:t>חוק העונשין</w:t>
        </w:r>
      </w:hyperlink>
      <w:r>
        <w:rPr>
          <w:color w:val="404040"/>
          <w:sz w:val="22"/>
          <w:rtl/>
        </w:rPr>
        <w:t xml:space="preserve">, בנסיבות המפורטות </w:t>
      </w:r>
      <w:hyperlink r:id="rId19" w:history="1">
        <w:r w:rsidR="00C31B94" w:rsidRPr="00C31B94">
          <w:rPr>
            <w:color w:val="0000FF"/>
            <w:sz w:val="22"/>
            <w:u w:val="single"/>
            <w:rtl/>
          </w:rPr>
          <w:t>בסעיף 335(א)(1)</w:t>
        </w:r>
      </w:hyperlink>
      <w:r>
        <w:rPr>
          <w:color w:val="404040"/>
          <w:sz w:val="22"/>
          <w:rtl/>
        </w:rPr>
        <w:t xml:space="preserve"> לחוק העונשין.</w:t>
      </w:r>
    </w:p>
    <w:p w14:paraId="61B9153B"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color w:val="404040"/>
          <w:sz w:val="22"/>
          <w:rtl/>
        </w:rPr>
      </w:pPr>
    </w:p>
    <w:p w14:paraId="147055B9"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1134" w:hanging="567"/>
        <w:jc w:val="both"/>
        <w:rPr>
          <w:color w:val="404040"/>
          <w:sz w:val="22"/>
          <w:rtl/>
        </w:rPr>
      </w:pPr>
    </w:p>
    <w:p w14:paraId="34955327"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4.</w:t>
      </w:r>
      <w:r>
        <w:rPr>
          <w:color w:val="404040"/>
          <w:sz w:val="22"/>
          <w:rtl/>
        </w:rPr>
        <w:tab/>
        <w:t>קודם שבאתי לשמוע ראיות הצדדים וטענותיהם לעניין העונש, ביקשתי לערוך תסקיר מבחן בעניינו של הנאשם.</w:t>
      </w:r>
    </w:p>
    <w:p w14:paraId="5FA3DAC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2C0DF04C"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ab/>
        <w:t xml:space="preserve">על פי התסקיר, הנאשם, כבן 32 שנים, נשוי ואב לשני ילדים גילאי 4 ו- 3 שנים. הנאשם סיים 12 שנות לימוד במגמת טכנאי מיזוג אוויר, וכן למד בקורס לניהול תיקי השקעות ולסחר בינלאומי. לפני קצינת המבחן טען הנאשם כי מצא את </w:t>
      </w:r>
      <w:r>
        <w:rPr>
          <w:rFonts w:hint="cs"/>
          <w:color w:val="404040"/>
          <w:sz w:val="22"/>
          <w:rtl/>
        </w:rPr>
        <w:t xml:space="preserve">כלי </w:t>
      </w:r>
      <w:r>
        <w:rPr>
          <w:color w:val="404040"/>
          <w:sz w:val="22"/>
          <w:rtl/>
        </w:rPr>
        <w:t>ה</w:t>
      </w:r>
      <w:r>
        <w:rPr>
          <w:rFonts w:hint="cs"/>
          <w:color w:val="404040"/>
          <w:sz w:val="22"/>
          <w:rtl/>
        </w:rPr>
        <w:t>נשק</w:t>
      </w:r>
      <w:r>
        <w:rPr>
          <w:color w:val="404040"/>
          <w:sz w:val="22"/>
          <w:rtl/>
        </w:rPr>
        <w:t xml:space="preserve"> והחזיק בו עד שיגבש החלטה מה לעשות בו. בתסקיר ציינה קצינת המבחן, כי בין הנאשם ומשפחת המתלוננים נעשה הסכם סולחה, ועוד ציינה, כי במהלך התקופה בה היה בחלופת מעצר (מאז 16.9.2015), הנאשם השתתף בקבוצה טיפולית במסגרת שירות המבחן. בהתייחסה להשתתפות הנאשם בקבוצה הטיפולית ציינה קצינת המבחן, כי בתחילה הביע הנאשם עמדה "קורבנית", אך במהלך הזמן שינה את גישתו, והחל להביע אמפתיה למשפחת המתלוננים וצער על המעשה שעשה. עם זאת, להתרשמות קצינת המבחן, הנאשם חש חרדה ובלבול מההליך המשפטי, והוא "מתנהל משיקולים של רווח ותועלתיות הנוגעים לגזר הדין והשלכותיו".</w:t>
      </w:r>
    </w:p>
    <w:p w14:paraId="2DC856D2"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79B78D81"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ab/>
        <w:t xml:space="preserve">קצינת המבחן סבורה, כי לנאשם קושי לשלוט בכעסיו, וכן התרשמה, כי רמת הסיכון להישנות עבירות דומות בעתיד, היא בדרגה בינונית גבוהה. על כן, בסיפא </w:t>
      </w:r>
      <w:r>
        <w:rPr>
          <w:rFonts w:hint="cs"/>
          <w:color w:val="404040"/>
          <w:sz w:val="22"/>
          <w:rtl/>
        </w:rPr>
        <w:t>לתסקיר</w:t>
      </w:r>
      <w:r>
        <w:rPr>
          <w:color w:val="404040"/>
          <w:sz w:val="22"/>
          <w:rtl/>
        </w:rPr>
        <w:t xml:space="preserve"> המבחן, נמנעה קצינת המבחן מליתן המלצה </w:t>
      </w:r>
      <w:r>
        <w:rPr>
          <w:rFonts w:hint="cs"/>
          <w:color w:val="404040"/>
          <w:sz w:val="22"/>
          <w:rtl/>
        </w:rPr>
        <w:t>בנוגע לח</w:t>
      </w:r>
      <w:r>
        <w:rPr>
          <w:color w:val="404040"/>
          <w:sz w:val="22"/>
          <w:rtl/>
        </w:rPr>
        <w:t>לופה עונשית</w:t>
      </w:r>
      <w:r>
        <w:rPr>
          <w:rFonts w:hint="cs"/>
          <w:color w:val="404040"/>
          <w:sz w:val="22"/>
          <w:rtl/>
        </w:rPr>
        <w:t>,</w:t>
      </w:r>
      <w:r>
        <w:rPr>
          <w:color w:val="404040"/>
          <w:sz w:val="22"/>
          <w:rtl/>
        </w:rPr>
        <w:t xml:space="preserve"> אך המליצה, כי במידה ויוטל על הנאשם עונש מאסר, שצרכיו הטיפוליים של הנאשם ייבחנו על ידי שירות בתי הסוהר.</w:t>
      </w:r>
    </w:p>
    <w:p w14:paraId="11BC7831"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065B99B1"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0323BD06"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5.</w:t>
      </w:r>
      <w:r>
        <w:rPr>
          <w:color w:val="404040"/>
          <w:sz w:val="22"/>
          <w:rtl/>
        </w:rPr>
        <w:tab/>
        <w:t>בא כוח המאשימה עמד בטיעונו על חומרת העבירות שבוצעו על ידי הנאשם, ובעיקר על כך, שהנאשם ביצע ירי בתוך שכונת מג</w:t>
      </w:r>
      <w:r>
        <w:rPr>
          <w:rFonts w:hint="cs"/>
          <w:color w:val="404040"/>
          <w:sz w:val="22"/>
          <w:rtl/>
        </w:rPr>
        <w:t>ו</w:t>
      </w:r>
      <w:r>
        <w:rPr>
          <w:color w:val="404040"/>
          <w:sz w:val="22"/>
          <w:rtl/>
        </w:rPr>
        <w:t>ר</w:t>
      </w:r>
      <w:r>
        <w:rPr>
          <w:rFonts w:hint="cs"/>
          <w:color w:val="404040"/>
          <w:sz w:val="22"/>
          <w:rtl/>
        </w:rPr>
        <w:t>ים</w:t>
      </w:r>
      <w:r>
        <w:rPr>
          <w:color w:val="404040"/>
          <w:sz w:val="22"/>
          <w:rtl/>
        </w:rPr>
        <w:t>, תוך סיכון תושבי השכונה. בא כוח המאשימה ציין, כי הנאשם החזיק בכלי הנשק לאורך זמן, ועוד ציין, כי מתוך תסקיר המבחן עולה, שלקיחת האחריות אינה כנה והנאשם אינו מביע אמפתיה אמיתית כלפי משפחת המתלוננים.</w:t>
      </w:r>
    </w:p>
    <w:p w14:paraId="0D17389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4EE3CA09"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ab/>
        <w:t>לדעת בא כוח המאשימה מתחם העונש ההולם נע בין 3 שנות מאסר לריצוי בפועל ועד ל- 6 שנים לריצוי בפועל.</w:t>
      </w:r>
    </w:p>
    <w:p w14:paraId="13CA946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5DACE9FF"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4D99B1A7"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lastRenderedPageBreak/>
        <w:t>6.</w:t>
      </w:r>
      <w:r>
        <w:rPr>
          <w:color w:val="404040"/>
          <w:sz w:val="22"/>
          <w:rtl/>
        </w:rPr>
        <w:tab/>
        <w:t xml:space="preserve">בא כוח הנאשם עמד על מצבו המשפחתי של הנאשם, וציין, כי למעשה, כבר במועד חקירתו במשטרה, ולאחר מכן, </w:t>
      </w:r>
      <w:r>
        <w:rPr>
          <w:rFonts w:hint="cs"/>
          <w:color w:val="404040"/>
          <w:sz w:val="22"/>
          <w:rtl/>
        </w:rPr>
        <w:t>ב</w:t>
      </w:r>
      <w:r>
        <w:rPr>
          <w:color w:val="404040"/>
          <w:sz w:val="22"/>
          <w:rtl/>
        </w:rPr>
        <w:t>מעמד הקראת כתב האישום, הודה הנאשם בעובדות כתב האישום, והמחלוקת בין הצדדים הייתה מחלוקת בשאלת היסוד הנפשי</w:t>
      </w:r>
      <w:r>
        <w:rPr>
          <w:rFonts w:hint="cs"/>
          <w:color w:val="404040"/>
          <w:sz w:val="22"/>
          <w:rtl/>
        </w:rPr>
        <w:t xml:space="preserve"> שעמד ברקע הדברים</w:t>
      </w:r>
      <w:r>
        <w:rPr>
          <w:color w:val="404040"/>
          <w:sz w:val="22"/>
          <w:rtl/>
        </w:rPr>
        <w:t>. בא כוח הנאשם הוסיף וציין</w:t>
      </w:r>
      <w:r>
        <w:rPr>
          <w:rFonts w:hint="cs"/>
          <w:color w:val="404040"/>
          <w:sz w:val="22"/>
          <w:rtl/>
        </w:rPr>
        <w:t>,</w:t>
      </w:r>
      <w:r>
        <w:rPr>
          <w:color w:val="404040"/>
          <w:sz w:val="22"/>
          <w:rtl/>
        </w:rPr>
        <w:t xml:space="preserve"> כי בין הנאשם ומשפחת המתלוננים נעשתה סולחה, ו</w:t>
      </w:r>
      <w:r>
        <w:rPr>
          <w:rFonts w:hint="cs"/>
          <w:color w:val="404040"/>
          <w:sz w:val="22"/>
          <w:rtl/>
        </w:rPr>
        <w:t xml:space="preserve">כן ציין, כי </w:t>
      </w:r>
      <w:r>
        <w:rPr>
          <w:color w:val="404040"/>
          <w:sz w:val="22"/>
          <w:rtl/>
        </w:rPr>
        <w:t>הנאשם השתתף בקבוצה טיפולים במסגרת שירות המבחן. לדעת בא כוח הנאשם, מתחם העונש ההולם נע בין 6 חודשי מאסר בפועל ועד 18 חודשי מאסר בפועל.</w:t>
      </w:r>
    </w:p>
    <w:p w14:paraId="1C414197"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0E7E033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134F1CA5"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color w:val="404040"/>
          <w:sz w:val="22"/>
          <w:rtl/>
        </w:rPr>
        <w:t>7.</w:t>
      </w:r>
      <w:r>
        <w:rPr>
          <w:color w:val="404040"/>
          <w:sz w:val="22"/>
          <w:rtl/>
        </w:rPr>
        <w:tab/>
      </w:r>
      <w:r>
        <w:rPr>
          <w:rFonts w:hint="cs"/>
          <w:color w:val="404040"/>
          <w:sz w:val="22"/>
          <w:rtl/>
        </w:rPr>
        <w:t xml:space="preserve">במהלך הישיבה שנקבעה לשמיעת טיעונים לעונש, </w:t>
      </w:r>
      <w:r>
        <w:rPr>
          <w:color w:val="404040"/>
          <w:sz w:val="22"/>
          <w:rtl/>
        </w:rPr>
        <w:t xml:space="preserve">הנאשם </w:t>
      </w:r>
      <w:r>
        <w:rPr>
          <w:rFonts w:hint="cs"/>
          <w:color w:val="404040"/>
          <w:sz w:val="22"/>
          <w:rtl/>
        </w:rPr>
        <w:t xml:space="preserve">אמר כי הוא מצטער </w:t>
      </w:r>
      <w:r>
        <w:rPr>
          <w:color w:val="404040"/>
          <w:sz w:val="22"/>
          <w:rtl/>
        </w:rPr>
        <w:t>על המעשה שעשה, והביע חרטה.</w:t>
      </w:r>
      <w:r>
        <w:rPr>
          <w:rFonts w:hint="cs"/>
          <w:color w:val="404040"/>
          <w:sz w:val="22"/>
          <w:rtl/>
        </w:rPr>
        <w:t xml:space="preserve"> בפתח הישיבה שנקבעה למתן גזר הדין (בתאריך 11.2.2016) הנאשם ביקש להוסיף, והתרתי לו זאת (ומטעם זה דחיתי מתן גזר הדין להיום). בדבריו הנוספים הנאשם חזר על כך שהוא מכיר שהמעשה שעשה הוא מעשה חמור, וחזר על הבעת הצער והחרטה. הנאשם ציין את תושייתו של אביו, שגרם להפסקת הירי, וכן ציין את העובדה שהיחסים בין משפחתו ומשפחת המתלוננים היו תקינים משך שנים רבות, והם עדיין תקינים. הנאשם הוסיף, כי לא יחזור על המעשה.</w:t>
      </w:r>
    </w:p>
    <w:p w14:paraId="5D0AA57B"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r>
        <w:rPr>
          <w:rFonts w:hint="cs"/>
          <w:color w:val="404040"/>
          <w:sz w:val="22"/>
          <w:rtl/>
        </w:rPr>
        <w:t xml:space="preserve"> </w:t>
      </w:r>
    </w:p>
    <w:p w14:paraId="7C7B3AB8"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1E889949"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b/>
          <w:bCs/>
          <w:color w:val="404040"/>
          <w:sz w:val="22"/>
          <w:rtl/>
        </w:rPr>
      </w:pPr>
      <w:r>
        <w:rPr>
          <w:color w:val="404040"/>
          <w:sz w:val="22"/>
          <w:rtl/>
        </w:rPr>
        <w:t>8.</w:t>
      </w:r>
      <w:r>
        <w:rPr>
          <w:color w:val="404040"/>
          <w:sz w:val="22"/>
          <w:rtl/>
        </w:rPr>
        <w:tab/>
      </w:r>
      <w:r>
        <w:rPr>
          <w:b/>
          <w:bCs/>
          <w:color w:val="404040"/>
          <w:sz w:val="22"/>
          <w:rtl/>
        </w:rPr>
        <w:t>מתחם העונש ההולם:</w:t>
      </w:r>
    </w:p>
    <w:p w14:paraId="796D437B"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6FC2CE33" w14:textId="77777777" w:rsidR="0024566B" w:rsidRDefault="00136982">
      <w:pPr>
        <w:spacing w:line="360" w:lineRule="auto"/>
        <w:ind w:left="1134" w:hanging="567"/>
        <w:jc w:val="both"/>
        <w:rPr>
          <w:sz w:val="22"/>
          <w:rtl/>
        </w:rPr>
      </w:pPr>
      <w:r>
        <w:rPr>
          <w:sz w:val="22"/>
          <w:rtl/>
        </w:rPr>
        <w:t>(א)</w:t>
      </w:r>
      <w:r>
        <w:rPr>
          <w:sz w:val="22"/>
          <w:rtl/>
        </w:rPr>
        <w:tab/>
        <w:t>הע</w:t>
      </w:r>
      <w:r>
        <w:rPr>
          <w:rFonts w:hint="cs"/>
          <w:sz w:val="22"/>
          <w:rtl/>
        </w:rPr>
        <w:t>י</w:t>
      </w:r>
      <w:r>
        <w:rPr>
          <w:sz w:val="22"/>
          <w:rtl/>
        </w:rPr>
        <w:t>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w:t>
      </w:r>
      <w:r>
        <w:rPr>
          <w:rFonts w:hint="cs"/>
          <w:sz w:val="22"/>
          <w:rtl/>
        </w:rPr>
        <w:t>ו</w:t>
      </w:r>
      <w:r>
        <w:rPr>
          <w:sz w:val="22"/>
          <w:rtl/>
        </w:rPr>
        <w:t>, מאידך גיסא. בקביעת מתחם העונש ההולם, על בית המשפט להתחשב במידת הפגיעה בערך החברתי שנפגע כתוצאה מביצוע העבירה, במידת הענישה הנהוגה בנסיבות הקשורות בביצוע העבירה על ידי הנאשם.</w:t>
      </w:r>
    </w:p>
    <w:p w14:paraId="1F6D78EF" w14:textId="77777777" w:rsidR="0024566B" w:rsidRDefault="0024566B">
      <w:pPr>
        <w:spacing w:line="360" w:lineRule="auto"/>
        <w:ind w:left="567" w:hanging="567"/>
        <w:jc w:val="both"/>
        <w:rPr>
          <w:sz w:val="22"/>
          <w:rtl/>
        </w:rPr>
      </w:pPr>
    </w:p>
    <w:p w14:paraId="45C52CC9" w14:textId="77777777" w:rsidR="0024566B" w:rsidRDefault="00136982">
      <w:pPr>
        <w:spacing w:line="360" w:lineRule="auto"/>
        <w:ind w:left="1134" w:hanging="567"/>
        <w:jc w:val="both"/>
        <w:rPr>
          <w:rFonts w:ascii="Calibri" w:hAnsi="Calibri"/>
          <w:rtl/>
        </w:rPr>
      </w:pPr>
      <w:r>
        <w:rPr>
          <w:sz w:val="22"/>
          <w:rtl/>
        </w:rPr>
        <w:t>(ב)</w:t>
      </w:r>
      <w:r>
        <w:rPr>
          <w:sz w:val="22"/>
          <w:rtl/>
        </w:rPr>
        <w:tab/>
      </w:r>
      <w:hyperlink r:id="rId20" w:history="1">
        <w:r w:rsidR="00C31B94" w:rsidRPr="00C31B94">
          <w:rPr>
            <w:color w:val="0000FF"/>
            <w:sz w:val="22"/>
            <w:u w:val="single"/>
            <w:rtl/>
          </w:rPr>
          <w:t>בסעיף 40ט'</w:t>
        </w:r>
      </w:hyperlink>
      <w:r>
        <w:rPr>
          <w:sz w:val="22"/>
          <w:rtl/>
        </w:rPr>
        <w:t xml:space="preserve"> ל</w:t>
      </w:r>
      <w:hyperlink r:id="rId21" w:history="1">
        <w:r w:rsidRPr="00136982">
          <w:rPr>
            <w:color w:val="0000FF"/>
            <w:sz w:val="22"/>
            <w:u w:val="single"/>
            <w:rtl/>
          </w:rPr>
          <w:t>חוק העונשין</w:t>
        </w:r>
      </w:hyperlink>
      <w:r>
        <w:rPr>
          <w:sz w:val="22"/>
          <w:rtl/>
        </w:rPr>
        <w:t xml:space="preserve">, פורטו שיקולים שונים, שאינם מהווים רשימה סגורה, שעל בית המשפט להתחשב בהם, ככל שבית המשפט סבור שהם משפיעים על חומרת המעשה ועל אשמו של הנאשם. בהתייחס לעניין שלפני, יש להביא בחשבון, בין היתר, את חומרת העבירות, ואת הנזק שנגרם או שעלול היה להיגרם. </w:t>
      </w:r>
    </w:p>
    <w:p w14:paraId="3853EB32" w14:textId="77777777" w:rsidR="0024566B" w:rsidRDefault="0024566B">
      <w:pPr>
        <w:spacing w:line="360" w:lineRule="auto"/>
        <w:ind w:left="1134" w:hanging="567"/>
        <w:jc w:val="both"/>
        <w:rPr>
          <w:rFonts w:ascii="Calibri" w:hAnsi="Calibri"/>
          <w:rtl/>
        </w:rPr>
      </w:pPr>
    </w:p>
    <w:p w14:paraId="06729E48" w14:textId="77777777" w:rsidR="0024566B" w:rsidRDefault="00136982">
      <w:pPr>
        <w:spacing w:line="360" w:lineRule="auto"/>
        <w:ind w:left="1134" w:hanging="567"/>
        <w:jc w:val="both"/>
        <w:rPr>
          <w:rFonts w:ascii="Calibri" w:hAnsi="Calibri"/>
          <w:rtl/>
        </w:rPr>
      </w:pPr>
      <w:r>
        <w:rPr>
          <w:rFonts w:ascii="Calibri" w:hAnsi="Calibri"/>
          <w:rtl/>
        </w:rPr>
        <w:t>(</w:t>
      </w:r>
      <w:r>
        <w:rPr>
          <w:rFonts w:ascii="Calibri" w:hAnsi="Calibri" w:hint="eastAsia"/>
          <w:rtl/>
        </w:rPr>
        <w:t>ג</w:t>
      </w:r>
      <w:r>
        <w:rPr>
          <w:rFonts w:ascii="Calibri" w:hAnsi="Calibri"/>
          <w:rtl/>
        </w:rPr>
        <w:t>)</w:t>
      </w:r>
      <w:r>
        <w:rPr>
          <w:rFonts w:ascii="Calibri" w:hAnsi="Calibri"/>
          <w:rtl/>
        </w:rPr>
        <w:tab/>
      </w:r>
      <w:r>
        <w:rPr>
          <w:rFonts w:ascii="Calibri" w:hAnsi="Calibri" w:hint="eastAsia"/>
          <w:rtl/>
        </w:rPr>
        <w:t>העבירות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פגיעתו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שמוחזק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מוסמך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שמוחזק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להתגלגל</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פושעות</w:t>
      </w:r>
      <w:r>
        <w:rPr>
          <w:rFonts w:ascii="Calibri" w:hAnsi="Calibri"/>
          <w:rtl/>
        </w:rPr>
        <w:t xml:space="preserve">, </w:t>
      </w:r>
      <w:r>
        <w:rPr>
          <w:rFonts w:ascii="Calibri" w:hAnsi="Calibri" w:hint="eastAsia"/>
          <w:rtl/>
        </w:rPr>
        <w:t>ולפגוע</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באנשים</w:t>
      </w:r>
      <w:r>
        <w:rPr>
          <w:rFonts w:ascii="Calibri" w:hAnsi="Calibri"/>
          <w:rtl/>
        </w:rPr>
        <w:t xml:space="preserve"> </w:t>
      </w:r>
      <w:r>
        <w:rPr>
          <w:rFonts w:ascii="Calibri" w:hAnsi="Calibri" w:hint="eastAsia"/>
          <w:rtl/>
        </w:rPr>
        <w:t>תמימים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שבשעה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שכניו</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במסע</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ברחובה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השכונה</w:t>
      </w:r>
      <w:r>
        <w:rPr>
          <w:rFonts w:ascii="Calibri" w:hAnsi="Calibri"/>
          <w:rtl/>
        </w:rPr>
        <w:t xml:space="preserve">, </w:t>
      </w:r>
      <w:r>
        <w:rPr>
          <w:rFonts w:ascii="Calibri" w:hAnsi="Calibri" w:hint="eastAsia"/>
          <w:rtl/>
        </w:rPr>
        <w:t>ואך</w:t>
      </w:r>
      <w:r>
        <w:rPr>
          <w:rFonts w:ascii="Calibri" w:hAnsi="Calibri"/>
          <w:rtl/>
        </w:rPr>
        <w:t xml:space="preserve"> </w:t>
      </w:r>
      <w:r>
        <w:rPr>
          <w:rFonts w:ascii="Calibri" w:hAnsi="Calibri" w:hint="eastAsia"/>
          <w:rtl/>
        </w:rPr>
        <w:t>נס</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שאיש</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מסרט</w:t>
      </w:r>
      <w:r>
        <w:rPr>
          <w:rFonts w:ascii="Calibri" w:hAnsi="Calibri"/>
          <w:rtl/>
        </w:rPr>
        <w:t xml:space="preserve"> </w:t>
      </w:r>
      <w:r>
        <w:rPr>
          <w:rFonts w:ascii="Calibri" w:hAnsi="Calibri" w:hint="eastAsia"/>
          <w:rtl/>
        </w:rPr>
        <w:t>מצלמת</w:t>
      </w:r>
      <w:r>
        <w:rPr>
          <w:rFonts w:ascii="Calibri" w:hAnsi="Calibri"/>
          <w:rtl/>
        </w:rPr>
        <w:t xml:space="preserve"> </w:t>
      </w:r>
      <w:r>
        <w:rPr>
          <w:rFonts w:ascii="Calibri" w:hAnsi="Calibri" w:hint="eastAsia"/>
          <w:rtl/>
        </w:rPr>
        <w:t>האבטחה</w:t>
      </w:r>
      <w:r>
        <w:rPr>
          <w:rFonts w:ascii="Calibri" w:hAnsi="Calibri"/>
          <w:rtl/>
        </w:rPr>
        <w:t xml:space="preserve">, </w:t>
      </w:r>
      <w:r>
        <w:rPr>
          <w:rFonts w:ascii="Calibri" w:hAnsi="Calibri" w:hint="eastAsia"/>
          <w:rtl/>
        </w:rPr>
        <w:t>שהוקרן</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ארוכות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ותושבי</w:t>
      </w:r>
      <w:r>
        <w:rPr>
          <w:rFonts w:ascii="Calibri" w:hAnsi="Calibri" w:hint="cs"/>
          <w:rtl/>
        </w:rPr>
        <w:t>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מתושבי</w:t>
      </w:r>
      <w:r>
        <w:rPr>
          <w:rFonts w:ascii="Calibri" w:hAnsi="Calibri"/>
          <w:rtl/>
        </w:rPr>
        <w:t xml:space="preserve"> </w:t>
      </w:r>
      <w:r>
        <w:rPr>
          <w:rFonts w:ascii="Calibri" w:hAnsi="Calibri" w:hint="eastAsia"/>
          <w:rtl/>
        </w:rPr>
        <w:t>השכונה</w:t>
      </w:r>
      <w:r>
        <w:rPr>
          <w:rFonts w:ascii="Calibri" w:hAnsi="Calibri"/>
          <w:rtl/>
        </w:rPr>
        <w:t xml:space="preserve">, </w:t>
      </w:r>
      <w:r>
        <w:rPr>
          <w:rFonts w:ascii="Calibri" w:hAnsi="Calibri" w:hint="eastAsia"/>
          <w:rtl/>
        </w:rPr>
        <w:t>נתונים</w:t>
      </w:r>
      <w:r>
        <w:rPr>
          <w:rFonts w:ascii="Calibri" w:hAnsi="Calibri"/>
          <w:rtl/>
        </w:rPr>
        <w:t xml:space="preserve"> </w:t>
      </w:r>
      <w:r>
        <w:rPr>
          <w:rFonts w:ascii="Calibri" w:hAnsi="Calibri" w:hint="eastAsia"/>
          <w:rtl/>
        </w:rPr>
        <w:t>למתקפת</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והשכונה</w:t>
      </w:r>
      <w:r>
        <w:rPr>
          <w:rFonts w:ascii="Calibri" w:hAnsi="Calibri"/>
          <w:rtl/>
        </w:rPr>
        <w:t xml:space="preserve"> </w:t>
      </w:r>
      <w:r>
        <w:rPr>
          <w:rFonts w:ascii="Calibri" w:hAnsi="Calibri" w:hint="eastAsia"/>
          <w:rtl/>
        </w:rPr>
        <w:t>הפכה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שדה</w:t>
      </w:r>
      <w:r>
        <w:rPr>
          <w:rFonts w:ascii="Calibri" w:hAnsi="Calibri"/>
          <w:rtl/>
        </w:rPr>
        <w:t xml:space="preserve"> </w:t>
      </w:r>
      <w:r>
        <w:rPr>
          <w:rFonts w:ascii="Calibri" w:hAnsi="Calibri" w:hint="eastAsia"/>
          <w:rtl/>
        </w:rPr>
        <w:t>קרב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ההחזקה</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והשימוש</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יתרה</w:t>
      </w:r>
      <w:r>
        <w:rPr>
          <w:rFonts w:ascii="Calibri" w:hAnsi="Calibri"/>
          <w:rtl/>
        </w:rPr>
        <w:t>.</w:t>
      </w:r>
    </w:p>
    <w:p w14:paraId="762EDDB6" w14:textId="77777777" w:rsidR="0024566B" w:rsidRDefault="0024566B">
      <w:pPr>
        <w:spacing w:line="360" w:lineRule="auto"/>
        <w:ind w:left="1134" w:hanging="567"/>
        <w:jc w:val="both"/>
        <w:rPr>
          <w:rFonts w:ascii="Calibri" w:hAnsi="Calibri"/>
          <w:rtl/>
        </w:rPr>
      </w:pPr>
    </w:p>
    <w:p w14:paraId="7EFC79BD" w14:textId="77777777" w:rsidR="0024566B" w:rsidRDefault="00136982">
      <w:pPr>
        <w:spacing w:line="360" w:lineRule="auto"/>
        <w:ind w:left="1134" w:hanging="567"/>
        <w:jc w:val="both"/>
        <w:rPr>
          <w:rFonts w:ascii="Calibri" w:hAnsi="Calibri"/>
          <w:rtl/>
        </w:rPr>
      </w:pPr>
      <w:r>
        <w:rPr>
          <w:rFonts w:ascii="Calibri" w:hAnsi="Calibri"/>
          <w:rtl/>
        </w:rPr>
        <w:t>(</w:t>
      </w:r>
      <w:r>
        <w:rPr>
          <w:rFonts w:ascii="Calibri" w:hAnsi="Calibri" w:hint="eastAsia"/>
          <w:rtl/>
        </w:rPr>
        <w:t>ד</w:t>
      </w:r>
      <w:r>
        <w:rPr>
          <w:rFonts w:ascii="Calibri" w:hAnsi="Calibri"/>
          <w:rtl/>
        </w:rPr>
        <w:t>)</w:t>
      </w:r>
      <w:r>
        <w:rPr>
          <w:rFonts w:ascii="Calibri" w:hAnsi="Calibri"/>
          <w:rtl/>
        </w:rPr>
        <w:tab/>
      </w:r>
      <w:r>
        <w:rPr>
          <w:rFonts w:ascii="Calibri" w:hAnsi="Calibri" w:hint="eastAsia"/>
          <w:rtl/>
        </w:rPr>
        <w:t>בשורה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בראשם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שעובר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hint="cs"/>
          <w:rtl/>
        </w:rPr>
        <w:t xml:space="preserve"> (וראו למשל:</w:t>
      </w:r>
      <w:r>
        <w:rPr>
          <w:rFonts w:ascii="Calibri" w:hAnsi="Calibri"/>
          <w:rtl/>
        </w:rPr>
        <w:t xml:space="preserve"> </w:t>
      </w:r>
      <w:r>
        <w:rPr>
          <w:rFonts w:ascii="Calibri" w:hAnsi="Calibri" w:hint="cs"/>
          <w:rtl/>
        </w:rPr>
        <w:t>ב</w:t>
      </w:r>
      <w:hyperlink r:id="rId22" w:history="1">
        <w:r w:rsidRPr="00136982">
          <w:rPr>
            <w:rFonts w:ascii="Calibri" w:hAnsi="Calibri" w:hint="eastAsia"/>
            <w:color w:val="0000FF"/>
            <w:u w:val="single"/>
            <w:rtl/>
          </w:rPr>
          <w:t>ע</w:t>
        </w:r>
        <w:r w:rsidRPr="00136982">
          <w:rPr>
            <w:rFonts w:ascii="Calibri" w:hAnsi="Calibri"/>
            <w:color w:val="0000FF"/>
            <w:u w:val="single"/>
            <w:rtl/>
          </w:rPr>
          <w:t>"</w:t>
        </w:r>
        <w:r w:rsidRPr="00136982">
          <w:rPr>
            <w:rFonts w:ascii="Calibri" w:hAnsi="Calibri" w:hint="eastAsia"/>
            <w:color w:val="0000FF"/>
            <w:u w:val="single"/>
            <w:rtl/>
          </w:rPr>
          <w:t>פ</w:t>
        </w:r>
        <w:r w:rsidRPr="00136982">
          <w:rPr>
            <w:rFonts w:ascii="Calibri" w:hAnsi="Calibri"/>
            <w:color w:val="0000FF"/>
            <w:u w:val="single"/>
            <w:rtl/>
          </w:rPr>
          <w:t xml:space="preserve"> 1676/08</w:t>
        </w:r>
      </w:hyperlink>
      <w:r>
        <w:rPr>
          <w:rFonts w:ascii="Calibri" w:hAnsi="Calibri" w:hint="cs"/>
          <w:rtl/>
        </w:rPr>
        <w:t xml:space="preserve"> </w:t>
      </w:r>
      <w:r>
        <w:rPr>
          <w:rFonts w:ascii="Calibri" w:hAnsi="Calibri" w:hint="cs"/>
          <w:b/>
          <w:bCs/>
          <w:rtl/>
        </w:rPr>
        <w:t>אבו האני נ' מדינת ישראל</w:t>
      </w:r>
      <w:r>
        <w:rPr>
          <w:rFonts w:ascii="Calibri" w:hAnsi="Calibri" w:hint="cs"/>
          <w:rtl/>
        </w:rPr>
        <w:t xml:space="preserve"> (פורסם במאגר "נבו" </w:t>
      </w:r>
      <w:r>
        <w:rPr>
          <w:rFonts w:ascii="Calibri" w:hAnsi="Calibri"/>
          <w:rtl/>
        </w:rPr>
        <w:t>–</w:t>
      </w:r>
      <w:r>
        <w:rPr>
          <w:rFonts w:ascii="Calibri" w:hAnsi="Calibri" w:hint="cs"/>
          <w:rtl/>
        </w:rPr>
        <w:t xml:space="preserve"> 1.6.2009)).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באי</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הנני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בין</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cs"/>
          <w:rtl/>
        </w:rPr>
        <w:t>36 חודשים</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w:t>
      </w:r>
    </w:p>
    <w:p w14:paraId="36D733C8" w14:textId="77777777" w:rsidR="0024566B" w:rsidRDefault="0024566B">
      <w:pPr>
        <w:spacing w:line="360" w:lineRule="auto"/>
        <w:ind w:left="1134" w:hanging="567"/>
        <w:jc w:val="both"/>
        <w:rPr>
          <w:rFonts w:ascii="Calibri" w:hAnsi="Calibri"/>
          <w:rtl/>
        </w:rPr>
      </w:pPr>
    </w:p>
    <w:p w14:paraId="78EA5DB0" w14:textId="77777777" w:rsidR="0024566B" w:rsidRDefault="0024566B">
      <w:pPr>
        <w:spacing w:line="360" w:lineRule="auto"/>
        <w:ind w:left="1134" w:hanging="567"/>
        <w:jc w:val="both"/>
        <w:rPr>
          <w:rFonts w:ascii="Calibri" w:hAnsi="Calibri"/>
          <w:rtl/>
        </w:rPr>
      </w:pPr>
    </w:p>
    <w:p w14:paraId="52192791"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b/>
          <w:bCs/>
          <w:color w:val="404040"/>
          <w:sz w:val="22"/>
          <w:rtl/>
        </w:rPr>
      </w:pPr>
      <w:r>
        <w:rPr>
          <w:color w:val="404040"/>
          <w:sz w:val="22"/>
          <w:rtl/>
        </w:rPr>
        <w:t>9.</w:t>
      </w:r>
      <w:r>
        <w:rPr>
          <w:color w:val="404040"/>
          <w:sz w:val="22"/>
          <w:rtl/>
        </w:rPr>
        <w:tab/>
      </w:r>
      <w:r>
        <w:rPr>
          <w:b/>
          <w:bCs/>
          <w:color w:val="404040"/>
          <w:sz w:val="22"/>
          <w:rtl/>
        </w:rPr>
        <w:t>חריגה ממתחם העונש ההולם בשל טעמי שיקום:</w:t>
      </w:r>
    </w:p>
    <w:p w14:paraId="2A0FBE9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color w:val="404040"/>
          <w:sz w:val="22"/>
          <w:rtl/>
        </w:rPr>
      </w:pPr>
    </w:p>
    <w:p w14:paraId="39107E2D"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r>
        <w:rPr>
          <w:rtl/>
        </w:rPr>
        <w:tab/>
        <w:t>בית המשפט רשאי לחרוג לקולא ממתחם העונש ההולם שנקבע, מקום בו קיים סיכוי לשיקומו של הנאשם. עם זאת, מקום בו מעשה העבירה ומידת אשמו של הנאשם הם בעלי חומרה יתרה, אין לחרוג לקולא ממתחם העונש ההולם, אפילו השתקם הנאשם או שיש סיכוי של ממש שישתקם.</w:t>
      </w:r>
    </w:p>
    <w:p w14:paraId="48C568D4"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p>
    <w:p w14:paraId="585356BE"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r>
        <w:rPr>
          <w:rtl/>
        </w:rPr>
        <w:tab/>
        <w:t>במקרה שלפני, שירות המבחן לא המליץ על אמצעים טיפוליים כלשהם, ואף ציין שקיים סיכון, בדרגה בינונית גבוהה להישנות עבירות דומות בעתיד. על כן, במקרה שלפני, הנני סבור, שאין מקום לסטות ממתחם העונש ההולם בשל שיקולי שיקום.</w:t>
      </w:r>
    </w:p>
    <w:p w14:paraId="1033AD0A"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p>
    <w:p w14:paraId="29820F55"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b/>
          <w:bCs/>
          <w:rtl/>
        </w:rPr>
      </w:pPr>
      <w:r>
        <w:rPr>
          <w:rtl/>
        </w:rPr>
        <w:t>10.</w:t>
      </w:r>
      <w:r>
        <w:rPr>
          <w:rtl/>
        </w:rPr>
        <w:tab/>
      </w:r>
      <w:r>
        <w:rPr>
          <w:b/>
          <w:bCs/>
          <w:rtl/>
        </w:rPr>
        <w:t>קביעת העונש:</w:t>
      </w:r>
    </w:p>
    <w:p w14:paraId="7D92FA47"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p>
    <w:p w14:paraId="0A988429"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tl/>
        </w:rPr>
        <w:t>(א)</w:t>
      </w:r>
      <w:r>
        <w:rPr>
          <w:rtl/>
        </w:rPr>
        <w:tab/>
        <w:t>הנאשם בן כ- 32 שנים, נשוי ואב לשני ילדים, ואין לחובתו עבר פלילי משמעותי (ולטענת בא כוחו, בתסקיר המבחן נפלה טעות</w:t>
      </w:r>
      <w:r>
        <w:rPr>
          <w:rFonts w:hint="cs"/>
          <w:rtl/>
        </w:rPr>
        <w:t>,</w:t>
      </w:r>
      <w:r>
        <w:rPr>
          <w:rtl/>
        </w:rPr>
        <w:t xml:space="preserve"> בקביעה כי לחובת הנאשם יש 75 עבירות תעבורה).</w:t>
      </w:r>
    </w:p>
    <w:p w14:paraId="1812D0D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24E3A26D"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tl/>
        </w:rPr>
        <w:t>(ב)</w:t>
      </w:r>
      <w:r>
        <w:rPr>
          <w:rtl/>
        </w:rPr>
        <w:tab/>
        <w:t>לזכות הנאשם עומדת העובדה כי הוד</w:t>
      </w:r>
      <w:r>
        <w:rPr>
          <w:rFonts w:hint="cs"/>
          <w:rtl/>
        </w:rPr>
        <w:t>ה</w:t>
      </w:r>
      <w:r>
        <w:rPr>
          <w:rtl/>
        </w:rPr>
        <w:t xml:space="preserve"> במעשים שיוחסו לו, ולמעשה הודה בביצוע הירי כבר מתחילת החקירה, ועוד עומדת לזכותו העובדה, כי נעשתה סולחה בין משפחת הנאשם ומשפחת המתלוננים, ויש לקוות שהשקט יחזור לשכונה.</w:t>
      </w:r>
      <w:r>
        <w:rPr>
          <w:rFonts w:hint="cs"/>
          <w:rtl/>
        </w:rPr>
        <w:t xml:space="preserve"> כמו כן, הנני זוקף לזכות הנאשם את ההכרה בחומרת המעשה, והבעת החרטה (אם כי יתכן שהיא מושפעת מחששו של הנאשם מגזר הדין שיינתן בעניינו).</w:t>
      </w:r>
    </w:p>
    <w:p w14:paraId="4BDAF7E7"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2A653DA0"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tl/>
        </w:rPr>
        <w:t>(ג)</w:t>
      </w:r>
      <w:r>
        <w:rPr>
          <w:rtl/>
        </w:rPr>
        <w:tab/>
      </w:r>
      <w:r>
        <w:rPr>
          <w:rFonts w:hint="cs"/>
          <w:rtl/>
        </w:rPr>
        <w:t>עם זאת,</w:t>
      </w:r>
      <w:r>
        <w:rPr>
          <w:rtl/>
        </w:rPr>
        <w:t xml:space="preserve"> מדובר במעשים חמורים</w:t>
      </w:r>
      <w:r>
        <w:rPr>
          <w:rFonts w:hint="cs"/>
          <w:rtl/>
        </w:rPr>
        <w:t xml:space="preserve">, שסכנה רבה הייתה טמונה בהם, </w:t>
      </w:r>
      <w:r>
        <w:rPr>
          <w:rtl/>
        </w:rPr>
        <w:t>וב</w:t>
      </w:r>
      <w:r>
        <w:rPr>
          <w:rFonts w:hint="cs"/>
          <w:rtl/>
        </w:rPr>
        <w:t>אדם</w:t>
      </w:r>
      <w:r>
        <w:rPr>
          <w:rtl/>
        </w:rPr>
        <w:t xml:space="preserve"> שקיים בו סיכון בדרגה בינונית </w:t>
      </w:r>
      <w:r>
        <w:rPr>
          <w:rFonts w:hint="cs"/>
          <w:rtl/>
        </w:rPr>
        <w:t xml:space="preserve">עד </w:t>
      </w:r>
      <w:r>
        <w:rPr>
          <w:rtl/>
        </w:rPr>
        <w:t>גבוהה להישנות עבירות דומות.</w:t>
      </w:r>
      <w:r>
        <w:rPr>
          <w:rFonts w:hint="cs"/>
          <w:rtl/>
        </w:rPr>
        <w:t xml:space="preserve"> לא זו בלבד שהנאשם החזיק ברשותו כלי נשק מסוכן, אלא שבשעה של איבוד שליטה, הוציא את כלי הנשק ממקום מחבואו, והחל לירות בו לכל עבר. אם החזקת כלי הנשק הוא מעשה חמור, המחייבת ענישה במאסר של ממש, הרי שהשימוש שנעשה בכלי הנשק חמור פי שבעים ושבעה, בשל הסכנה הרבה שנשקפה למשפחת המתלוננים, ואנשים אחרים. </w:t>
      </w:r>
    </w:p>
    <w:p w14:paraId="08F9DB66"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74629B56"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tl/>
        </w:rPr>
        <w:t>(ד)</w:t>
      </w:r>
      <w:r>
        <w:rPr>
          <w:rtl/>
        </w:rPr>
        <w:tab/>
        <w:t>לאחר ששקלתי טענות באי כוח הצדדים, ובהתחשב בכל הנסיבות הצריכות לעניין, הנני סבור כי יש להטיל על הנאשם 2</w:t>
      </w:r>
      <w:r>
        <w:rPr>
          <w:rFonts w:hint="cs"/>
          <w:rtl/>
        </w:rPr>
        <w:t>4</w:t>
      </w:r>
      <w:r>
        <w:rPr>
          <w:rtl/>
        </w:rPr>
        <w:t xml:space="preserve"> חודשי מאסר לריצוי בפועל.</w:t>
      </w:r>
    </w:p>
    <w:p w14:paraId="05EE36CB"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1EB8C9AA"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321D2FE9"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b/>
          <w:bCs/>
          <w:rtl/>
        </w:rPr>
      </w:pPr>
      <w:r>
        <w:rPr>
          <w:rtl/>
        </w:rPr>
        <w:t>11.</w:t>
      </w:r>
      <w:r>
        <w:rPr>
          <w:rtl/>
        </w:rPr>
        <w:tab/>
      </w:r>
      <w:r>
        <w:rPr>
          <w:b/>
          <w:bCs/>
          <w:rtl/>
        </w:rPr>
        <w:t xml:space="preserve">אשר על כל האמור לעיל, הנני דן </w:t>
      </w:r>
      <w:r>
        <w:rPr>
          <w:rFonts w:hint="cs"/>
          <w:b/>
          <w:bCs/>
          <w:rtl/>
        </w:rPr>
        <w:t>מחליט כדלקמן:</w:t>
      </w:r>
    </w:p>
    <w:p w14:paraId="24C3DD7B"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p>
    <w:p w14:paraId="09147760"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Fonts w:hint="cs"/>
          <w:rtl/>
        </w:rPr>
        <w:t>(א)</w:t>
      </w:r>
      <w:r>
        <w:rPr>
          <w:rtl/>
        </w:rPr>
        <w:tab/>
      </w:r>
      <w:r>
        <w:rPr>
          <w:rFonts w:hint="cs"/>
          <w:rtl/>
        </w:rPr>
        <w:t xml:space="preserve">הנני דן </w:t>
      </w:r>
      <w:r>
        <w:rPr>
          <w:rtl/>
        </w:rPr>
        <w:t>את הנאשם ל- 3</w:t>
      </w:r>
      <w:r>
        <w:rPr>
          <w:rFonts w:hint="cs"/>
          <w:rtl/>
        </w:rPr>
        <w:t>4</w:t>
      </w:r>
      <w:r>
        <w:rPr>
          <w:rtl/>
        </w:rPr>
        <w:t xml:space="preserve"> חודשי מאסר, מתוכם 2</w:t>
      </w:r>
      <w:r>
        <w:rPr>
          <w:rFonts w:hint="cs"/>
          <w:rtl/>
        </w:rPr>
        <w:t>4</w:t>
      </w:r>
      <w:r>
        <w:rPr>
          <w:rtl/>
        </w:rPr>
        <w:t xml:space="preserve"> (עשרים</w:t>
      </w:r>
      <w:r>
        <w:rPr>
          <w:rFonts w:hint="cs"/>
          <w:rtl/>
        </w:rPr>
        <w:t xml:space="preserve"> וארבעה</w:t>
      </w:r>
      <w:r>
        <w:rPr>
          <w:rtl/>
        </w:rPr>
        <w:t>) חודשי</w:t>
      </w:r>
      <w:r>
        <w:rPr>
          <w:rFonts w:hint="cs"/>
          <w:rtl/>
        </w:rPr>
        <w:t>ם</w:t>
      </w:r>
      <w:r>
        <w:rPr>
          <w:rtl/>
        </w:rPr>
        <w:t xml:space="preserve"> לריצוי בפועל, והיתר (10 (עשרה) חודשים) לריצוי על תנאי, והתנאי הוא, שבמשך 3 שלוש שנים לא יעבור </w:t>
      </w:r>
      <w:r>
        <w:rPr>
          <w:rFonts w:hint="cs"/>
          <w:rtl/>
        </w:rPr>
        <w:t xml:space="preserve">הנאשם </w:t>
      </w:r>
      <w:r>
        <w:rPr>
          <w:rtl/>
        </w:rPr>
        <w:t>עבירה מהעבירות הבאות:</w:t>
      </w:r>
    </w:p>
    <w:p w14:paraId="7134607C"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0166613F"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2268" w:hanging="567"/>
        <w:jc w:val="both"/>
        <w:rPr>
          <w:rtl/>
        </w:rPr>
      </w:pPr>
      <w:r>
        <w:rPr>
          <w:rtl/>
        </w:rPr>
        <w:t>(</w:t>
      </w:r>
      <w:r>
        <w:rPr>
          <w:rFonts w:hint="cs"/>
          <w:rtl/>
        </w:rPr>
        <w:t>1</w:t>
      </w:r>
      <w:r>
        <w:rPr>
          <w:rtl/>
        </w:rPr>
        <w:t>)</w:t>
      </w:r>
      <w:r>
        <w:rPr>
          <w:rtl/>
        </w:rPr>
        <w:tab/>
        <w:t xml:space="preserve">עבירות בנשק לפי </w:t>
      </w:r>
      <w:hyperlink r:id="rId23" w:history="1">
        <w:r w:rsidR="00C31B94" w:rsidRPr="00C31B94">
          <w:rPr>
            <w:color w:val="0000FF"/>
            <w:u w:val="single"/>
            <w:rtl/>
          </w:rPr>
          <w:t>סעיף 144</w:t>
        </w:r>
      </w:hyperlink>
      <w:r>
        <w:rPr>
          <w:rtl/>
        </w:rPr>
        <w:t xml:space="preserve"> ל</w:t>
      </w:r>
      <w:hyperlink r:id="rId24" w:history="1">
        <w:r w:rsidRPr="00136982">
          <w:rPr>
            <w:color w:val="0000FF"/>
            <w:u w:val="single"/>
            <w:rtl/>
          </w:rPr>
          <w:t>חוק העונשין</w:t>
        </w:r>
      </w:hyperlink>
      <w:r>
        <w:rPr>
          <w:rtl/>
        </w:rPr>
        <w:t>, תשל"ז – 1977.</w:t>
      </w:r>
    </w:p>
    <w:p w14:paraId="4FAD6C74"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2268" w:hanging="567"/>
        <w:jc w:val="both"/>
        <w:rPr>
          <w:rtl/>
        </w:rPr>
      </w:pPr>
      <w:r>
        <w:rPr>
          <w:rtl/>
        </w:rPr>
        <w:t>(</w:t>
      </w:r>
      <w:r>
        <w:rPr>
          <w:rFonts w:hint="cs"/>
          <w:rtl/>
        </w:rPr>
        <w:t>2)</w:t>
      </w:r>
      <w:r>
        <w:rPr>
          <w:rtl/>
        </w:rPr>
        <w:tab/>
        <w:t>עבירות אלימות מסוג פשע כלפי גופו של אדם.</w:t>
      </w:r>
    </w:p>
    <w:p w14:paraId="4B266B51"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2268" w:hanging="567"/>
        <w:jc w:val="both"/>
        <w:rPr>
          <w:rtl/>
        </w:rPr>
      </w:pPr>
      <w:r>
        <w:rPr>
          <w:rtl/>
        </w:rPr>
        <w:t>(</w:t>
      </w:r>
      <w:r>
        <w:rPr>
          <w:rFonts w:hint="cs"/>
          <w:rtl/>
        </w:rPr>
        <w:t>3</w:t>
      </w:r>
      <w:r>
        <w:rPr>
          <w:rtl/>
        </w:rPr>
        <w:t>)</w:t>
      </w:r>
      <w:r>
        <w:rPr>
          <w:rtl/>
        </w:rPr>
        <w:tab/>
        <w:t xml:space="preserve">ירי באזור מגורים, </w:t>
      </w:r>
      <w:r>
        <w:rPr>
          <w:rFonts w:hint="cs"/>
          <w:rtl/>
        </w:rPr>
        <w:t xml:space="preserve">עבירה </w:t>
      </w:r>
      <w:r>
        <w:rPr>
          <w:rtl/>
        </w:rPr>
        <w:t xml:space="preserve">לפי </w:t>
      </w:r>
      <w:hyperlink r:id="rId25" w:history="1">
        <w:r w:rsidR="00C31B94" w:rsidRPr="00C31B94">
          <w:rPr>
            <w:color w:val="0000FF"/>
            <w:u w:val="single"/>
            <w:rtl/>
          </w:rPr>
          <w:t>סעיף 340א'</w:t>
        </w:r>
      </w:hyperlink>
      <w:r>
        <w:rPr>
          <w:rtl/>
        </w:rPr>
        <w:t xml:space="preserve"> ל</w:t>
      </w:r>
      <w:hyperlink r:id="rId26" w:history="1">
        <w:r w:rsidRPr="00136982">
          <w:rPr>
            <w:color w:val="0000FF"/>
            <w:u w:val="single"/>
            <w:rtl/>
          </w:rPr>
          <w:t>חוק העונשין</w:t>
        </w:r>
      </w:hyperlink>
      <w:r>
        <w:rPr>
          <w:rtl/>
        </w:rPr>
        <w:t>, תשל"ז -1977.</w:t>
      </w:r>
    </w:p>
    <w:p w14:paraId="1BEFEB2E"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701" w:hanging="567"/>
        <w:jc w:val="both"/>
        <w:rPr>
          <w:rtl/>
        </w:rPr>
      </w:pPr>
    </w:p>
    <w:p w14:paraId="5E1DF4A3"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Fonts w:hint="cs"/>
          <w:rtl/>
        </w:rPr>
        <w:t>(ב)</w:t>
      </w:r>
      <w:r>
        <w:rPr>
          <w:rtl/>
        </w:rPr>
        <w:tab/>
      </w:r>
      <w:r>
        <w:rPr>
          <w:rFonts w:hint="cs"/>
          <w:rtl/>
        </w:rPr>
        <w:t>מתקופת המאסר שעל הנאשם לרצות בפועל, על פי האמור בסעיף קטן (א) שלעיל, ינוכו הימים בהם היה הנאשם נתון במעצר במתקן כליאה במסגרת ההליכים שהתקיימו בתיק זה.</w:t>
      </w:r>
    </w:p>
    <w:p w14:paraId="3E3F0282"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12500148"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Fonts w:hint="cs"/>
          <w:rtl/>
        </w:rPr>
        <w:t>(ג)</w:t>
      </w:r>
      <w:r>
        <w:rPr>
          <w:rtl/>
        </w:rPr>
        <w:tab/>
      </w:r>
      <w:r>
        <w:rPr>
          <w:rFonts w:hint="cs"/>
          <w:rtl/>
        </w:rPr>
        <w:t xml:space="preserve">הנאשם יתייצב </w:t>
      </w:r>
      <w:r>
        <w:rPr>
          <w:rtl/>
        </w:rPr>
        <w:t>ל</w:t>
      </w:r>
      <w:r>
        <w:rPr>
          <w:rFonts w:hint="cs"/>
          <w:rtl/>
        </w:rPr>
        <w:t xml:space="preserve">ריצוי עונש המאסר ביום א', בתאריך 13.3.2016, עד השעה 10:00 בבוקר, בבית מעצר "קישון", </w:t>
      </w:r>
      <w:r>
        <w:rPr>
          <w:rtl/>
        </w:rPr>
        <w:t xml:space="preserve">או </w:t>
      </w:r>
      <w:r>
        <w:rPr>
          <w:rFonts w:hint="cs"/>
          <w:rtl/>
        </w:rPr>
        <w:t xml:space="preserve">בכל מקום אחר ששירות בתי הסוהר יקבע, </w:t>
      </w:r>
      <w:r>
        <w:rPr>
          <w:rtl/>
        </w:rPr>
        <w:t>כשברשותו תעודת זהות או דרכון.</w:t>
      </w:r>
      <w:r>
        <w:rPr>
          <w:rFonts w:hint="cs"/>
          <w:rtl/>
        </w:rPr>
        <w:t xml:space="preserve"> </w:t>
      </w:r>
      <w:r>
        <w:rPr>
          <w:rtl/>
        </w:rPr>
        <w:t>על ה</w:t>
      </w:r>
      <w:r>
        <w:rPr>
          <w:rFonts w:hint="cs"/>
          <w:rtl/>
        </w:rPr>
        <w:t xml:space="preserve">נאשם </w:t>
      </w:r>
      <w:r>
        <w:rPr>
          <w:rtl/>
        </w:rPr>
        <w:t xml:space="preserve">לתאם את הכניסה למאסר, כולל האפשרות למיון מוקדם, עם ענף אבחון ומיון של </w:t>
      </w:r>
      <w:r>
        <w:rPr>
          <w:rFonts w:hint="cs"/>
          <w:rtl/>
        </w:rPr>
        <w:t>שירות בתי הסוהר ב</w:t>
      </w:r>
      <w:r>
        <w:rPr>
          <w:rtl/>
        </w:rPr>
        <w:t>טלפונים: 08-9787377, 08-9787336.</w:t>
      </w:r>
    </w:p>
    <w:p w14:paraId="224DE8A5"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21E2D257"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Fonts w:hint="cs"/>
          <w:rtl/>
        </w:rPr>
        <w:t>(ד)</w:t>
      </w:r>
      <w:r>
        <w:rPr>
          <w:rtl/>
        </w:rPr>
        <w:tab/>
      </w:r>
      <w:r>
        <w:rPr>
          <w:rFonts w:hint="cs"/>
          <w:rtl/>
        </w:rPr>
        <w:t>עד להתייצבות הנאשם לריצוי עונש המאסר, יחולו עליו כל ההגבלות שהוטלו עליו בעקבות האירוע נשוא כתב האישום.</w:t>
      </w:r>
    </w:p>
    <w:p w14:paraId="15AC29A0" w14:textId="77777777" w:rsidR="0024566B" w:rsidRDefault="0024566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p>
    <w:p w14:paraId="08C5A6AF"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Fonts w:hint="cs"/>
          <w:rtl/>
        </w:rPr>
        <w:t>(ד)</w:t>
      </w:r>
      <w:r>
        <w:rPr>
          <w:rtl/>
        </w:rPr>
        <w:tab/>
      </w:r>
      <w:r>
        <w:rPr>
          <w:rFonts w:hint="cs"/>
          <w:rtl/>
        </w:rPr>
        <w:t>כהמלצת קצינת המבחן, מתבקש שירות בתי הסוהר לבחון את צרכיו הטיפוליים של הנאשם (וראו האמור בסעיף 4 לגזר הדין).</w:t>
      </w:r>
    </w:p>
    <w:p w14:paraId="21984CF6" w14:textId="77777777" w:rsidR="0024566B" w:rsidRDefault="0024566B">
      <w:pPr>
        <w:spacing w:line="360" w:lineRule="auto"/>
        <w:ind w:left="567"/>
        <w:jc w:val="both"/>
        <w:rPr>
          <w:rFonts w:ascii="Arial" w:hAnsi="Arial"/>
          <w:b/>
          <w:bCs/>
          <w:rtl/>
        </w:rPr>
      </w:pPr>
    </w:p>
    <w:p w14:paraId="6ACD347C"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567" w:hanging="567"/>
        <w:jc w:val="both"/>
        <w:rPr>
          <w:rtl/>
        </w:rPr>
      </w:pPr>
      <w:r>
        <w:rPr>
          <w:rFonts w:ascii="Arial" w:hAnsi="Arial"/>
          <w:b/>
          <w:bCs/>
          <w:rtl/>
        </w:rPr>
        <w:t xml:space="preserve">ניתן היום, ה' באדר א', 14 פברואר 2016, והודע בפומבי. </w:t>
      </w:r>
    </w:p>
    <w:p w14:paraId="5D635EF3" w14:textId="77777777" w:rsidR="0024566B" w:rsidRDefault="001369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1134" w:hanging="567"/>
        <w:jc w:val="both"/>
        <w:rPr>
          <w:rtl/>
        </w:rPr>
      </w:pPr>
      <w:r>
        <w:rPr>
          <w:rtl/>
        </w:rPr>
        <w:t>והודע לנאשם כי הוא זכאי לערער על פסק הדין בתוך 45 ימים לפני בית המשפט העליון.</w:t>
      </w:r>
    </w:p>
    <w:p w14:paraId="483E6B51" w14:textId="77777777" w:rsidR="0024566B" w:rsidRPr="00136982" w:rsidRDefault="00136982">
      <w:pPr>
        <w:pStyle w:val="a4"/>
        <w:jc w:val="right"/>
        <w:rPr>
          <w:color w:val="FFFFFF"/>
          <w:sz w:val="2"/>
          <w:szCs w:val="2"/>
          <w:rtl/>
        </w:rPr>
      </w:pPr>
      <w:r w:rsidRPr="00136982">
        <w:rPr>
          <w:color w:val="FFFFFF"/>
          <w:sz w:val="2"/>
          <w:szCs w:val="2"/>
          <w:rtl/>
        </w:rPr>
        <w:t>5129371</w:t>
      </w:r>
    </w:p>
    <w:tbl>
      <w:tblPr>
        <w:bidiVisual/>
        <w:tblW w:w="0" w:type="auto"/>
        <w:jc w:val="right"/>
        <w:tblLook w:val="01E0" w:firstRow="1" w:lastRow="1" w:firstColumn="1" w:lastColumn="1" w:noHBand="0" w:noVBand="0"/>
      </w:tblPr>
      <w:tblGrid>
        <w:gridCol w:w="2576"/>
      </w:tblGrid>
      <w:tr w:rsidR="0024566B" w14:paraId="49F6A2AE" w14:textId="77777777">
        <w:trPr>
          <w:jc w:val="right"/>
        </w:trPr>
        <w:tc>
          <w:tcPr>
            <w:tcW w:w="2576" w:type="dxa"/>
            <w:tcBorders>
              <w:top w:val="nil"/>
              <w:left w:val="nil"/>
              <w:bottom w:val="single" w:sz="4" w:space="0" w:color="auto"/>
              <w:right w:val="nil"/>
            </w:tcBorders>
            <w:shd w:val="clear" w:color="auto" w:fill="auto"/>
            <w:vAlign w:val="bottom"/>
          </w:tcPr>
          <w:p w14:paraId="1DA7D081" w14:textId="77777777" w:rsidR="0024566B" w:rsidRPr="00136982" w:rsidRDefault="00136982">
            <w:pPr>
              <w:jc w:val="center"/>
              <w:rPr>
                <w:rFonts w:ascii="Courier New" w:hAnsi="Courier New"/>
                <w:b/>
                <w:bCs/>
                <w:color w:val="FFFFFF"/>
                <w:sz w:val="2"/>
                <w:szCs w:val="2"/>
                <w:rtl/>
              </w:rPr>
            </w:pPr>
            <w:r w:rsidRPr="00136982">
              <w:rPr>
                <w:rFonts w:ascii="Courier New" w:hAnsi="Courier New"/>
                <w:b/>
                <w:bCs/>
                <w:color w:val="FFFFFF"/>
                <w:sz w:val="2"/>
                <w:szCs w:val="2"/>
                <w:rtl/>
              </w:rPr>
              <w:t>54678313</w:t>
            </w:r>
          </w:p>
        </w:tc>
      </w:tr>
      <w:tr w:rsidR="0024566B" w14:paraId="59DA6948" w14:textId="77777777">
        <w:trPr>
          <w:jc w:val="right"/>
        </w:trPr>
        <w:tc>
          <w:tcPr>
            <w:tcW w:w="2576" w:type="dxa"/>
            <w:tcBorders>
              <w:top w:val="single" w:sz="4" w:space="0" w:color="auto"/>
              <w:left w:val="nil"/>
              <w:bottom w:val="nil"/>
              <w:right w:val="nil"/>
            </w:tcBorders>
            <w:shd w:val="clear" w:color="auto" w:fill="auto"/>
          </w:tcPr>
          <w:p w14:paraId="15CBC16F" w14:textId="77777777" w:rsidR="0024566B" w:rsidRDefault="00136982">
            <w:pPr>
              <w:jc w:val="center"/>
              <w:rPr>
                <w:b/>
                <w:bCs/>
                <w:sz w:val="22"/>
                <w:szCs w:val="22"/>
                <w:rtl/>
              </w:rPr>
            </w:pPr>
            <w:r>
              <w:rPr>
                <w:rFonts w:hint="cs"/>
                <w:b/>
                <w:bCs/>
                <w:sz w:val="22"/>
                <w:szCs w:val="22"/>
                <w:rtl/>
              </w:rPr>
              <w:t>י' כהן, שופט</w:t>
            </w:r>
          </w:p>
          <w:p w14:paraId="44C87918" w14:textId="77777777" w:rsidR="0024566B" w:rsidRDefault="00136982">
            <w:pPr>
              <w:jc w:val="center"/>
              <w:rPr>
                <w:b/>
                <w:bCs/>
              </w:rPr>
            </w:pPr>
            <w:r>
              <w:rPr>
                <w:rFonts w:hint="cs"/>
                <w:b/>
                <w:bCs/>
                <w:sz w:val="22"/>
                <w:szCs w:val="22"/>
                <w:rtl/>
              </w:rPr>
              <w:t>סגן נשיא</w:t>
            </w:r>
          </w:p>
        </w:tc>
      </w:tr>
    </w:tbl>
    <w:p w14:paraId="2B05C7A6" w14:textId="77777777" w:rsidR="0024566B" w:rsidRPr="00C31B94" w:rsidRDefault="00C31B94">
      <w:pPr>
        <w:pStyle w:val="a4"/>
        <w:jc w:val="right"/>
        <w:rPr>
          <w:color w:val="FFFFFF"/>
          <w:sz w:val="2"/>
          <w:szCs w:val="2"/>
          <w:rtl/>
        </w:rPr>
      </w:pPr>
      <w:r w:rsidRPr="00C31B94">
        <w:rPr>
          <w:color w:val="FFFFFF"/>
          <w:sz w:val="2"/>
          <w:szCs w:val="2"/>
          <w:rtl/>
        </w:rPr>
        <w:t>5129371</w:t>
      </w:r>
    </w:p>
    <w:p w14:paraId="17C8F2A4" w14:textId="77777777" w:rsidR="00136982" w:rsidRPr="00C31B94" w:rsidRDefault="00C31B94" w:rsidP="00136982">
      <w:pPr>
        <w:keepNext/>
        <w:rPr>
          <w:rFonts w:ascii="David" w:hAnsi="David"/>
          <w:color w:val="FFFFFF"/>
          <w:sz w:val="2"/>
          <w:szCs w:val="2"/>
          <w:rtl/>
        </w:rPr>
      </w:pPr>
      <w:r w:rsidRPr="00C31B94">
        <w:rPr>
          <w:rFonts w:ascii="David" w:hAnsi="David"/>
          <w:color w:val="FFFFFF"/>
          <w:sz w:val="2"/>
          <w:szCs w:val="2"/>
          <w:rtl/>
        </w:rPr>
        <w:t>54678313</w:t>
      </w:r>
    </w:p>
    <w:p w14:paraId="13112E0F" w14:textId="77777777" w:rsidR="00136982" w:rsidRPr="00136982" w:rsidRDefault="00136982" w:rsidP="00136982">
      <w:pPr>
        <w:keepNext/>
        <w:rPr>
          <w:rFonts w:ascii="David" w:hAnsi="David"/>
          <w:color w:val="000000"/>
          <w:sz w:val="22"/>
          <w:szCs w:val="22"/>
          <w:rtl/>
        </w:rPr>
      </w:pPr>
      <w:r w:rsidRPr="00136982">
        <w:rPr>
          <w:rFonts w:ascii="David" w:hAnsi="David"/>
          <w:color w:val="000000"/>
          <w:sz w:val="22"/>
          <w:szCs w:val="22"/>
          <w:rtl/>
        </w:rPr>
        <w:t>יצחק כהן 54678313</w:t>
      </w:r>
    </w:p>
    <w:p w14:paraId="1520BCEF" w14:textId="77777777" w:rsidR="00136982" w:rsidRDefault="00136982" w:rsidP="00136982">
      <w:r w:rsidRPr="00136982">
        <w:rPr>
          <w:color w:val="000000"/>
          <w:rtl/>
        </w:rPr>
        <w:t>נוסח מסמך זה כפוף לשינויי ניסוח ועריכה</w:t>
      </w:r>
    </w:p>
    <w:p w14:paraId="23FCDB3E" w14:textId="77777777" w:rsidR="00136982" w:rsidRDefault="00136982" w:rsidP="00136982">
      <w:pPr>
        <w:rPr>
          <w:rtl/>
        </w:rPr>
      </w:pPr>
    </w:p>
    <w:p w14:paraId="367398C4" w14:textId="77777777" w:rsidR="00136982" w:rsidRDefault="00136982" w:rsidP="00136982">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BB8565F" w14:textId="77777777" w:rsidR="00C31B94" w:rsidRDefault="00C31B94" w:rsidP="00C31B94">
      <w:pPr>
        <w:keepNext/>
        <w:rPr>
          <w:rFonts w:ascii="David" w:hAnsi="David" w:hint="cs"/>
          <w:color w:val="000000"/>
          <w:sz w:val="22"/>
          <w:szCs w:val="22"/>
          <w:rtl/>
        </w:rPr>
      </w:pPr>
    </w:p>
    <w:p w14:paraId="39D632B5" w14:textId="77777777" w:rsidR="00405328" w:rsidRPr="00C31B94" w:rsidRDefault="00405328" w:rsidP="00C31B94">
      <w:pPr>
        <w:keepNext/>
        <w:rPr>
          <w:rFonts w:ascii="David" w:hAnsi="David"/>
          <w:color w:val="000000"/>
          <w:sz w:val="22"/>
          <w:szCs w:val="22"/>
          <w:rtl/>
        </w:rPr>
      </w:pPr>
    </w:p>
    <w:p w14:paraId="69642C6F" w14:textId="77777777" w:rsidR="00C31B94" w:rsidRDefault="00C31B94" w:rsidP="00C31B94">
      <w:pPr>
        <w:keepNext/>
        <w:rPr>
          <w:rFonts w:ascii="David" w:hAnsi="David" w:hint="cs"/>
          <w:color w:val="000000"/>
          <w:sz w:val="22"/>
          <w:szCs w:val="22"/>
          <w:rtl/>
        </w:rPr>
      </w:pPr>
    </w:p>
    <w:p w14:paraId="430980A1" w14:textId="77777777" w:rsidR="00C31B94" w:rsidRPr="00C31B94" w:rsidRDefault="00C31B94" w:rsidP="00C31B94">
      <w:pPr>
        <w:keepNext/>
        <w:rPr>
          <w:rFonts w:ascii="David" w:hAnsi="David" w:hint="cs"/>
          <w:color w:val="000000"/>
          <w:sz w:val="22"/>
          <w:szCs w:val="22"/>
          <w:rtl/>
        </w:rPr>
      </w:pPr>
    </w:p>
    <w:sectPr w:rsidR="00C31B94" w:rsidRPr="00C31B94" w:rsidSect="00C31B94">
      <w:headerReference w:type="even" r:id="rId28"/>
      <w:headerReference w:type="default" r:id="rId29"/>
      <w:footerReference w:type="even" r:id="rId30"/>
      <w:footerReference w:type="default" r:id="rId31"/>
      <w:pgSz w:w="11907" w:h="16840" w:code="9"/>
      <w:pgMar w:top="1701" w:right="1559" w:bottom="1418" w:left="1701" w:header="680" w:footer="79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CCCCE" w14:textId="77777777" w:rsidR="0041540A" w:rsidRDefault="0041540A">
      <w:r>
        <w:separator/>
      </w:r>
    </w:p>
  </w:endnote>
  <w:endnote w:type="continuationSeparator" w:id="0">
    <w:p w14:paraId="706F326D" w14:textId="77777777" w:rsidR="0041540A" w:rsidRDefault="0041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C560A" w14:textId="77777777" w:rsidR="0027160E" w:rsidRDefault="0027160E" w:rsidP="00C31B9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0D8139" w14:textId="77777777" w:rsidR="0027160E" w:rsidRPr="00C31B94" w:rsidRDefault="0027160E" w:rsidP="00C31B94">
    <w:pPr>
      <w:pStyle w:val="a6"/>
      <w:pBdr>
        <w:top w:val="single" w:sz="4" w:space="1" w:color="auto"/>
        <w:between w:val="single" w:sz="4" w:space="0" w:color="auto"/>
      </w:pBdr>
      <w:spacing w:after="60"/>
      <w:jc w:val="center"/>
      <w:rPr>
        <w:rFonts w:ascii="FrankRuehl" w:hAnsi="FrankRuehl" w:cs="FrankRuehl"/>
        <w:color w:val="000000"/>
      </w:rPr>
    </w:pPr>
    <w:r w:rsidRPr="00C31B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D40A8" w14:textId="77777777" w:rsidR="0027160E" w:rsidRDefault="0027160E" w:rsidP="00C31B9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038">
      <w:rPr>
        <w:rFonts w:ascii="FrankRuehl" w:hAnsi="FrankRuehl" w:cs="FrankRuehl"/>
        <w:noProof/>
        <w:rtl/>
      </w:rPr>
      <w:t>1</w:t>
    </w:r>
    <w:r>
      <w:rPr>
        <w:rFonts w:ascii="FrankRuehl" w:hAnsi="FrankRuehl" w:cs="FrankRuehl"/>
        <w:rtl/>
      </w:rPr>
      <w:fldChar w:fldCharType="end"/>
    </w:r>
  </w:p>
  <w:p w14:paraId="508670AE" w14:textId="77777777" w:rsidR="0027160E" w:rsidRPr="00C31B94" w:rsidRDefault="0027160E" w:rsidP="00C31B94">
    <w:pPr>
      <w:pStyle w:val="a6"/>
      <w:pBdr>
        <w:top w:val="single" w:sz="4" w:space="1" w:color="auto"/>
        <w:between w:val="single" w:sz="4" w:space="0" w:color="auto"/>
      </w:pBdr>
      <w:spacing w:after="60"/>
      <w:jc w:val="center"/>
      <w:rPr>
        <w:rFonts w:ascii="FrankRuehl" w:hAnsi="FrankRuehl" w:cs="FrankRuehl"/>
        <w:color w:val="000000"/>
      </w:rPr>
    </w:pPr>
    <w:r w:rsidRPr="00C31B94">
      <w:rPr>
        <w:rFonts w:ascii="FrankRuehl" w:hAnsi="FrankRuehl" w:cs="FrankRuehl"/>
        <w:color w:val="000000"/>
      </w:rPr>
      <w:pict w14:anchorId="4C951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5A57F" w14:textId="77777777" w:rsidR="0041540A" w:rsidRDefault="0041540A">
      <w:r>
        <w:separator/>
      </w:r>
    </w:p>
  </w:footnote>
  <w:footnote w:type="continuationSeparator" w:id="0">
    <w:p w14:paraId="21A75FB0" w14:textId="77777777" w:rsidR="0041540A" w:rsidRDefault="00415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2022F" w14:textId="77777777" w:rsidR="0027160E" w:rsidRPr="00C31B94" w:rsidRDefault="0027160E" w:rsidP="00C31B9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45095-05-15</w:t>
    </w:r>
    <w:r>
      <w:rPr>
        <w:rFonts w:ascii="David" w:hAnsi="David"/>
        <w:color w:val="000000"/>
        <w:sz w:val="22"/>
        <w:szCs w:val="22"/>
        <w:rtl/>
      </w:rPr>
      <w:tab/>
      <w:t xml:space="preserve"> מדינת ישראל נ' סאאר (בן מוחמד)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87365" w14:textId="77777777" w:rsidR="0027160E" w:rsidRPr="00C31B94" w:rsidRDefault="0027160E" w:rsidP="00C31B9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45095-05-15</w:t>
    </w:r>
    <w:r>
      <w:rPr>
        <w:rFonts w:ascii="David" w:hAnsi="David"/>
        <w:color w:val="000000"/>
        <w:sz w:val="22"/>
        <w:szCs w:val="22"/>
        <w:rtl/>
      </w:rPr>
      <w:tab/>
      <w:t xml:space="preserve"> מדינת ישראל נ' סאאר (בן מוחמד) עביד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566B"/>
    <w:rsid w:val="00136982"/>
    <w:rsid w:val="001A1437"/>
    <w:rsid w:val="001F6F50"/>
    <w:rsid w:val="0024566B"/>
    <w:rsid w:val="0027160E"/>
    <w:rsid w:val="00300038"/>
    <w:rsid w:val="00405328"/>
    <w:rsid w:val="0041540A"/>
    <w:rsid w:val="007F0673"/>
    <w:rsid w:val="00AF1233"/>
    <w:rsid w:val="00C31B94"/>
    <w:rsid w:val="00C65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D0029E"/>
  <w15:chartTrackingRefBased/>
  <w15:docId w15:val="{60AA5ED0-82B9-4B5C-A79B-7D29785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566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4566B"/>
  </w:style>
  <w:style w:type="paragraph" w:styleId="a4">
    <w:name w:val="header"/>
    <w:basedOn w:val="a"/>
    <w:link w:val="a5"/>
    <w:rsid w:val="0024566B"/>
    <w:pPr>
      <w:tabs>
        <w:tab w:val="center" w:pos="4153"/>
        <w:tab w:val="right" w:pos="8306"/>
      </w:tabs>
    </w:pPr>
  </w:style>
  <w:style w:type="paragraph" w:styleId="a6">
    <w:name w:val="footer"/>
    <w:basedOn w:val="a"/>
    <w:rsid w:val="0024566B"/>
    <w:pPr>
      <w:tabs>
        <w:tab w:val="center" w:pos="4153"/>
        <w:tab w:val="right" w:pos="8306"/>
      </w:tabs>
    </w:pPr>
  </w:style>
  <w:style w:type="character" w:styleId="a7">
    <w:name w:val="page number"/>
    <w:basedOn w:val="a0"/>
    <w:rsid w:val="0024566B"/>
  </w:style>
  <w:style w:type="character" w:customStyle="1" w:styleId="a5">
    <w:name w:val="כותרת עליונה תו"/>
    <w:link w:val="a4"/>
    <w:rsid w:val="0024566B"/>
    <w:rPr>
      <w:rFonts w:cs="David"/>
      <w:sz w:val="24"/>
      <w:szCs w:val="24"/>
      <w:lang w:val="en-US" w:eastAsia="en-US" w:bidi="he-IL"/>
    </w:rPr>
  </w:style>
  <w:style w:type="character" w:styleId="Hyperlink">
    <w:name w:val="Hyperlink"/>
    <w:rsid w:val="00136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40i" TargetMode="External"/><Relationship Id="rId12" Type="http://schemas.openxmlformats.org/officeDocument/2006/relationships/hyperlink" Target="http://www.nevo.co.il/law/70301/335.a.1"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340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40i"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3"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law/70301/335.a.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736455"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1654</Words>
  <Characters>8272</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9907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86</vt:i4>
      </vt:variant>
      <vt:variant>
        <vt:i4>57</vt:i4>
      </vt:variant>
      <vt:variant>
        <vt:i4>0</vt:i4>
      </vt:variant>
      <vt:variant>
        <vt:i4>5</vt:i4>
      </vt:variant>
      <vt:variant>
        <vt:lpwstr>http://www.nevo.co.il/law/70301/340a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3604592</vt:i4>
      </vt:variant>
      <vt:variant>
        <vt:i4>48</vt:i4>
      </vt:variant>
      <vt:variant>
        <vt:i4>0</vt:i4>
      </vt:variant>
      <vt:variant>
        <vt:i4>5</vt:i4>
      </vt:variant>
      <vt:variant>
        <vt:lpwstr>http://www.nevo.co.il/case/5736455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86</vt:i4>
      </vt:variant>
      <vt:variant>
        <vt:i4>21</vt:i4>
      </vt:variant>
      <vt:variant>
        <vt:i4>0</vt:i4>
      </vt:variant>
      <vt:variant>
        <vt:i4>5</vt:i4>
      </vt:variant>
      <vt:variant>
        <vt:lpwstr>http://www.nevo.co.il/law/70301/340a</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45095</vt:lpwstr>
  </property>
  <property fmtid="{D5CDD505-2E9C-101B-9397-08002B2CF9AE}" pid="6" name="NEWPARTB">
    <vt:lpwstr>05</vt:lpwstr>
  </property>
  <property fmtid="{D5CDD505-2E9C-101B-9397-08002B2CF9AE}" pid="7" name="NEWPARTC">
    <vt:lpwstr>15</vt:lpwstr>
  </property>
  <property fmtid="{D5CDD505-2E9C-101B-9397-08002B2CF9AE}" pid="8" name="APPELLEE">
    <vt:lpwstr>סאאר (בן מוחמד) עביד;</vt:lpwstr>
  </property>
  <property fmtid="{D5CDD505-2E9C-101B-9397-08002B2CF9AE}" pid="9" name="LAWYER">
    <vt:lpwstr>משה אייל ;אסף בוחבוט</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20160214</vt:lpwstr>
  </property>
  <property fmtid="{D5CDD505-2E9C-101B-9397-08002B2CF9AE}" pid="13" name="TYPE_N_DATE">
    <vt:lpwstr>39020160214</vt:lpwstr>
  </property>
  <property fmtid="{D5CDD505-2E9C-101B-9397-08002B2CF9AE}" pid="14" name="CASESLISTTMP1">
    <vt:lpwstr>5736455</vt:lpwstr>
  </property>
  <property fmtid="{D5CDD505-2E9C-101B-9397-08002B2CF9AE}" pid="15" name="WORDNUMPAGES">
    <vt:lpwstr>6</vt:lpwstr>
  </property>
  <property fmtid="{D5CDD505-2E9C-101B-9397-08002B2CF9AE}" pid="16" name="TYPE_ABS_DATE">
    <vt:lpwstr>390020160214</vt:lpwstr>
  </property>
  <property fmtid="{D5CDD505-2E9C-101B-9397-08002B2CF9AE}" pid="17" name="ISABSTRACT">
    <vt:lpwstr>Y</vt:lpwstr>
  </property>
  <property fmtid="{D5CDD505-2E9C-101B-9397-08002B2CF9AE}" pid="18" name="APPELLANT">
    <vt:lpwstr>מדינת ישראל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70301/144.a;144.b;333;335.a.1;040i;144;340a</vt:lpwstr>
  </property>
</Properties>
</file>