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953"/>
        <w:gridCol w:w="2552"/>
      </w:tblGrid>
      <w:tr w:rsidR="003A1001" w:rsidRPr="00291A81" w14:paraId="1F027769" w14:textId="77777777">
        <w:trPr>
          <w:trHeight w:hRule="exact" w:val="418"/>
          <w:jc w:val="center"/>
        </w:trPr>
        <w:tc>
          <w:tcPr>
            <w:tcW w:w="8505" w:type="dxa"/>
            <w:gridSpan w:val="2"/>
          </w:tcPr>
          <w:p w14:paraId="594DF6D0" w14:textId="77777777" w:rsidR="003A1001" w:rsidRPr="00291A81" w:rsidRDefault="00291A81">
            <w:pPr>
              <w:pStyle w:val="a3"/>
              <w:jc w:val="center"/>
              <w:rPr>
                <w:rFonts w:ascii="Tahoma" w:hAnsi="Tahoma" w:cs="Tahoma"/>
                <w:color w:val="000080"/>
                <w:rtl/>
              </w:rPr>
            </w:pPr>
            <w:r w:rsidRPr="00291A81">
              <w:rPr>
                <w:rFonts w:ascii="Tahoma" w:hAnsi="Tahoma" w:cs="Tahoma"/>
                <w:b/>
                <w:bCs/>
                <w:color w:val="000080"/>
                <w:rtl/>
              </w:rPr>
              <w:t>בית המשפט המחוזי בבאר שבע</w:t>
            </w:r>
          </w:p>
        </w:tc>
      </w:tr>
      <w:tr w:rsidR="003A1001" w:rsidRPr="00291A81" w14:paraId="19668650" w14:textId="77777777">
        <w:trPr>
          <w:trHeight w:val="337"/>
          <w:jc w:val="center"/>
        </w:trPr>
        <w:tc>
          <w:tcPr>
            <w:tcW w:w="5953" w:type="dxa"/>
          </w:tcPr>
          <w:p w14:paraId="3CABB58F" w14:textId="77777777" w:rsidR="003A1001" w:rsidRPr="00291A81" w:rsidRDefault="00291A81">
            <w:pPr>
              <w:pStyle w:val="a3"/>
              <w:rPr>
                <w:rFonts w:cs="FrankRuehl"/>
                <w:sz w:val="28"/>
                <w:szCs w:val="28"/>
                <w:rtl/>
              </w:rPr>
            </w:pPr>
            <w:r w:rsidRPr="00291A81">
              <w:rPr>
                <w:rFonts w:hint="cs"/>
                <w:b/>
                <w:bCs/>
                <w:noProof w:val="0"/>
                <w:sz w:val="26"/>
                <w:szCs w:val="26"/>
                <w:rtl/>
              </w:rPr>
              <w:t>בפני:</w:t>
            </w:r>
            <w:r w:rsidRPr="00291A81">
              <w:rPr>
                <w:rFonts w:hint="cs"/>
                <w:sz w:val="26"/>
                <w:szCs w:val="26"/>
                <w:rtl/>
              </w:rPr>
              <w:t xml:space="preserve"> </w:t>
            </w:r>
            <w:r w:rsidRPr="00291A81">
              <w:rPr>
                <w:rFonts w:ascii="Arial" w:hAnsi="Arial" w:hint="cs"/>
                <w:b/>
                <w:bCs/>
                <w:sz w:val="26"/>
                <w:szCs w:val="26"/>
                <w:rtl/>
              </w:rPr>
              <w:t xml:space="preserve"> כב' השופט  עמית כהן</w:t>
            </w:r>
            <w:r w:rsidRPr="00291A81">
              <w:rPr>
                <w:rFonts w:cs="FrankRuehl"/>
                <w:sz w:val="28"/>
                <w:szCs w:val="28"/>
                <w:rtl/>
              </w:rPr>
              <w:t xml:space="preserve"> </w:t>
            </w:r>
          </w:p>
        </w:tc>
        <w:tc>
          <w:tcPr>
            <w:tcW w:w="2552" w:type="dxa"/>
          </w:tcPr>
          <w:p w14:paraId="2261148E" w14:textId="77777777" w:rsidR="003A1001" w:rsidRPr="00291A81" w:rsidRDefault="00291A81">
            <w:pPr>
              <w:pStyle w:val="a3"/>
              <w:rPr>
                <w:rFonts w:cs="FrankRuehl"/>
                <w:b/>
                <w:bCs/>
                <w:sz w:val="28"/>
                <w:szCs w:val="28"/>
                <w:rtl/>
              </w:rPr>
            </w:pPr>
            <w:r w:rsidRPr="00291A81">
              <w:rPr>
                <w:rFonts w:hint="cs"/>
                <w:b/>
                <w:bCs/>
                <w:noProof w:val="0"/>
                <w:sz w:val="26"/>
                <w:szCs w:val="26"/>
                <w:rtl/>
              </w:rPr>
              <w:t>08 דצמבר 2016</w:t>
            </w:r>
          </w:p>
          <w:p w14:paraId="015E4AC1" w14:textId="77777777" w:rsidR="003A1001" w:rsidRPr="00291A81" w:rsidRDefault="00291A81">
            <w:pPr>
              <w:pStyle w:val="a3"/>
              <w:rPr>
                <w:rFonts w:cs="FrankRuehl"/>
                <w:sz w:val="28"/>
                <w:szCs w:val="28"/>
                <w:rtl/>
              </w:rPr>
            </w:pPr>
            <w:r w:rsidRPr="00291A81">
              <w:rPr>
                <w:b/>
                <w:bCs/>
                <w:sz w:val="28"/>
                <w:szCs w:val="28"/>
                <w:rtl/>
              </w:rPr>
              <w:t>ת"פ</w:t>
            </w:r>
            <w:r w:rsidRPr="00291A81">
              <w:rPr>
                <w:rFonts w:hint="cs"/>
                <w:b/>
                <w:bCs/>
                <w:sz w:val="28"/>
                <w:szCs w:val="28"/>
                <w:rtl/>
              </w:rPr>
              <w:t xml:space="preserve"> </w:t>
            </w:r>
            <w:r w:rsidRPr="00291A81">
              <w:rPr>
                <w:b/>
                <w:bCs/>
                <w:sz w:val="28"/>
                <w:szCs w:val="28"/>
                <w:rtl/>
              </w:rPr>
              <w:t>10549-06-15</w:t>
            </w:r>
          </w:p>
        </w:tc>
      </w:tr>
    </w:tbl>
    <w:p w14:paraId="0D3B6762" w14:textId="77777777" w:rsidR="003A1001" w:rsidRPr="00291A81" w:rsidRDefault="00291A81">
      <w:pPr>
        <w:pStyle w:val="a3"/>
        <w:rPr>
          <w:rtl/>
        </w:rPr>
      </w:pPr>
      <w:bookmarkStart w:id="0" w:name="LastJudge"/>
      <w:bookmarkEnd w:id="0"/>
      <w:r w:rsidRPr="00291A81">
        <w:rPr>
          <w:rFonts w:hint="cs"/>
          <w:rtl/>
        </w:rPr>
        <w:t xml:space="preserve"> </w:t>
      </w:r>
    </w:p>
    <w:p w14:paraId="3AF9E20C" w14:textId="77777777" w:rsidR="003A1001" w:rsidRPr="00291A81" w:rsidRDefault="003A1001">
      <w:pPr>
        <w:rPr>
          <w:rtl/>
        </w:rPr>
      </w:pPr>
    </w:p>
    <w:tbl>
      <w:tblPr>
        <w:bidiVisual/>
        <w:tblW w:w="8820" w:type="dxa"/>
        <w:jc w:val="center"/>
        <w:tblLook w:val="01E0" w:firstRow="1" w:lastRow="1" w:firstColumn="1" w:lastColumn="1" w:noHBand="0" w:noVBand="0"/>
      </w:tblPr>
      <w:tblGrid>
        <w:gridCol w:w="743"/>
        <w:gridCol w:w="1080"/>
        <w:gridCol w:w="6997"/>
      </w:tblGrid>
      <w:tr w:rsidR="003A1001" w:rsidRPr="00291A81" w14:paraId="124301D0" w14:textId="77777777">
        <w:trPr>
          <w:jc w:val="center"/>
        </w:trPr>
        <w:tc>
          <w:tcPr>
            <w:tcW w:w="743" w:type="dxa"/>
            <w:shd w:val="clear" w:color="auto" w:fill="auto"/>
          </w:tcPr>
          <w:p w14:paraId="1F61B479" w14:textId="77777777" w:rsidR="003A1001" w:rsidRPr="00291A81" w:rsidRDefault="00291A81">
            <w:pPr>
              <w:jc w:val="both"/>
              <w:rPr>
                <w:rFonts w:ascii="Arial" w:hAnsi="Arial"/>
                <w:b/>
                <w:bCs/>
                <w:sz w:val="28"/>
                <w:szCs w:val="28"/>
              </w:rPr>
            </w:pPr>
            <w:r w:rsidRPr="00291A81">
              <w:rPr>
                <w:rFonts w:ascii="Arial" w:hAnsi="Arial" w:hint="cs"/>
                <w:b/>
                <w:bCs/>
                <w:sz w:val="28"/>
                <w:szCs w:val="28"/>
                <w:rtl/>
              </w:rPr>
              <w:t xml:space="preserve">בפני </w:t>
            </w:r>
          </w:p>
        </w:tc>
        <w:tc>
          <w:tcPr>
            <w:tcW w:w="8077" w:type="dxa"/>
            <w:gridSpan w:val="2"/>
            <w:shd w:val="clear" w:color="auto" w:fill="auto"/>
          </w:tcPr>
          <w:p w14:paraId="02555A7B" w14:textId="77777777" w:rsidR="003A1001" w:rsidRPr="00291A81" w:rsidRDefault="00291A81">
            <w:pPr>
              <w:rPr>
                <w:rFonts w:ascii="Arial" w:hAnsi="Arial"/>
                <w:b/>
                <w:bCs/>
                <w:sz w:val="28"/>
                <w:szCs w:val="28"/>
                <w:rtl/>
              </w:rPr>
            </w:pPr>
            <w:r w:rsidRPr="00291A81">
              <w:rPr>
                <w:rFonts w:ascii="Arial" w:hAnsi="Arial" w:hint="cs"/>
                <w:b/>
                <w:bCs/>
                <w:sz w:val="28"/>
                <w:szCs w:val="28"/>
                <w:rtl/>
              </w:rPr>
              <w:t>כב' ה</w:t>
            </w:r>
            <w:r w:rsidRPr="00291A81">
              <w:rPr>
                <w:rFonts w:hint="cs"/>
                <w:rtl/>
              </w:rPr>
              <w:t>שופט</w:t>
            </w:r>
            <w:r w:rsidRPr="00291A81">
              <w:rPr>
                <w:rFonts w:ascii="Arial" w:hAnsi="Arial" w:hint="cs"/>
                <w:b/>
                <w:bCs/>
                <w:sz w:val="28"/>
                <w:szCs w:val="28"/>
                <w:rtl/>
              </w:rPr>
              <w:t xml:space="preserve">  </w:t>
            </w:r>
            <w:r w:rsidRPr="00291A81">
              <w:rPr>
                <w:rFonts w:hint="cs"/>
                <w:rtl/>
              </w:rPr>
              <w:t>עמית כהן</w:t>
            </w:r>
          </w:p>
          <w:p w14:paraId="1F7CCFF7" w14:textId="77777777" w:rsidR="003A1001" w:rsidRPr="00291A81" w:rsidRDefault="003A1001">
            <w:pPr>
              <w:rPr>
                <w:rFonts w:ascii="Arial" w:hAnsi="Arial"/>
                <w:b/>
                <w:bCs/>
                <w:sz w:val="28"/>
                <w:szCs w:val="28"/>
                <w:highlight w:val="yellow"/>
              </w:rPr>
            </w:pPr>
          </w:p>
        </w:tc>
      </w:tr>
      <w:tr w:rsidR="003A1001" w:rsidRPr="00291A81" w14:paraId="170A4DE2" w14:textId="77777777">
        <w:trPr>
          <w:jc w:val="center"/>
        </w:trPr>
        <w:tc>
          <w:tcPr>
            <w:tcW w:w="1823" w:type="dxa"/>
            <w:gridSpan w:val="2"/>
            <w:shd w:val="clear" w:color="auto" w:fill="auto"/>
          </w:tcPr>
          <w:p w14:paraId="2FA95331" w14:textId="77777777" w:rsidR="003A1001" w:rsidRPr="00291A81" w:rsidRDefault="00291A81">
            <w:pPr>
              <w:rPr>
                <w:rFonts w:ascii="Arial" w:hAnsi="Arial"/>
                <w:b/>
                <w:bCs/>
                <w:noProof w:val="0"/>
                <w:sz w:val="28"/>
                <w:szCs w:val="28"/>
                <w:rtl/>
              </w:rPr>
            </w:pPr>
            <w:bookmarkStart w:id="1" w:name="FirstAppellant"/>
            <w:bookmarkStart w:id="2" w:name="FirstLawyer"/>
            <w:r w:rsidRPr="00291A81">
              <w:rPr>
                <w:rFonts w:ascii="Arial" w:hAnsi="Arial" w:hint="cs"/>
                <w:b/>
                <w:bCs/>
                <w:noProof w:val="0"/>
                <w:sz w:val="28"/>
                <w:szCs w:val="28"/>
                <w:rtl/>
              </w:rPr>
              <w:t>המאשימה:</w:t>
            </w:r>
          </w:p>
        </w:tc>
        <w:tc>
          <w:tcPr>
            <w:tcW w:w="6997" w:type="dxa"/>
            <w:shd w:val="clear" w:color="auto" w:fill="auto"/>
          </w:tcPr>
          <w:p w14:paraId="0DE95559" w14:textId="77777777" w:rsidR="003A1001" w:rsidRPr="00291A81" w:rsidRDefault="00291A81">
            <w:pPr>
              <w:rPr>
                <w:b/>
                <w:bCs/>
                <w:noProof w:val="0"/>
                <w:sz w:val="28"/>
                <w:szCs w:val="28"/>
                <w:rtl/>
              </w:rPr>
            </w:pPr>
            <w:r w:rsidRPr="00291A81">
              <w:rPr>
                <w:rFonts w:hint="cs"/>
                <w:b/>
                <w:bCs/>
                <w:sz w:val="28"/>
                <w:szCs w:val="28"/>
                <w:rtl/>
              </w:rPr>
              <w:t>מדינת ישראל</w:t>
            </w:r>
          </w:p>
          <w:p w14:paraId="4B7BE2F1" w14:textId="77777777" w:rsidR="003A1001" w:rsidRPr="00291A81" w:rsidRDefault="00291A81">
            <w:pPr>
              <w:rPr>
                <w:noProof w:val="0"/>
                <w:sz w:val="28"/>
                <w:szCs w:val="28"/>
                <w:rtl/>
              </w:rPr>
            </w:pPr>
            <w:r w:rsidRPr="00291A81">
              <w:rPr>
                <w:rFonts w:hint="cs"/>
                <w:noProof w:val="0"/>
                <w:sz w:val="28"/>
                <w:szCs w:val="28"/>
                <w:rtl/>
              </w:rPr>
              <w:t>ע"י ב"כ עו"ד ענבל ברסנו</w:t>
            </w:r>
          </w:p>
          <w:p w14:paraId="6ABE0673" w14:textId="77777777" w:rsidR="003A1001" w:rsidRPr="00291A81" w:rsidRDefault="00291A81">
            <w:pPr>
              <w:rPr>
                <w:noProof w:val="0"/>
                <w:sz w:val="28"/>
                <w:szCs w:val="28"/>
              </w:rPr>
            </w:pPr>
            <w:r w:rsidRPr="00291A81">
              <w:rPr>
                <w:rFonts w:hint="cs"/>
                <w:noProof w:val="0"/>
                <w:sz w:val="28"/>
                <w:szCs w:val="28"/>
                <w:rtl/>
              </w:rPr>
              <w:t>פרקליטות מחוז דרום</w:t>
            </w:r>
          </w:p>
        </w:tc>
      </w:tr>
      <w:bookmarkEnd w:id="1"/>
      <w:bookmarkEnd w:id="2"/>
      <w:tr w:rsidR="003A1001" w:rsidRPr="00291A81" w14:paraId="2FBD61BF" w14:textId="77777777">
        <w:trPr>
          <w:jc w:val="center"/>
        </w:trPr>
        <w:tc>
          <w:tcPr>
            <w:tcW w:w="8820" w:type="dxa"/>
            <w:gridSpan w:val="3"/>
            <w:shd w:val="clear" w:color="auto" w:fill="auto"/>
          </w:tcPr>
          <w:p w14:paraId="015AA45B" w14:textId="77777777" w:rsidR="003A1001" w:rsidRPr="00291A81" w:rsidRDefault="003A1001">
            <w:pPr>
              <w:rPr>
                <w:rFonts w:ascii="Arial" w:hAnsi="Arial"/>
                <w:b/>
                <w:bCs/>
                <w:noProof w:val="0"/>
                <w:sz w:val="28"/>
                <w:szCs w:val="28"/>
                <w:rtl/>
              </w:rPr>
            </w:pPr>
          </w:p>
          <w:p w14:paraId="0D5FF4F4" w14:textId="77777777" w:rsidR="003A1001" w:rsidRPr="00291A81" w:rsidRDefault="00291A81">
            <w:pPr>
              <w:jc w:val="center"/>
              <w:rPr>
                <w:rFonts w:ascii="Arial" w:hAnsi="Arial"/>
                <w:b/>
                <w:bCs/>
                <w:noProof w:val="0"/>
                <w:sz w:val="28"/>
                <w:szCs w:val="28"/>
                <w:rtl/>
              </w:rPr>
            </w:pPr>
            <w:r w:rsidRPr="00291A81">
              <w:rPr>
                <w:rFonts w:ascii="Arial" w:hAnsi="Arial" w:hint="cs"/>
                <w:b/>
                <w:bCs/>
                <w:noProof w:val="0"/>
                <w:sz w:val="28"/>
                <w:szCs w:val="28"/>
                <w:rtl/>
              </w:rPr>
              <w:t>נגד</w:t>
            </w:r>
          </w:p>
          <w:p w14:paraId="3544E978" w14:textId="77777777" w:rsidR="003A1001" w:rsidRPr="00291A81" w:rsidRDefault="003A1001">
            <w:pPr>
              <w:rPr>
                <w:rFonts w:ascii="Arial" w:hAnsi="Arial"/>
                <w:b/>
                <w:bCs/>
                <w:noProof w:val="0"/>
                <w:sz w:val="28"/>
                <w:szCs w:val="28"/>
              </w:rPr>
            </w:pPr>
          </w:p>
        </w:tc>
      </w:tr>
      <w:tr w:rsidR="003A1001" w:rsidRPr="00291A81" w14:paraId="3BA2B846" w14:textId="77777777">
        <w:trPr>
          <w:jc w:val="center"/>
        </w:trPr>
        <w:tc>
          <w:tcPr>
            <w:tcW w:w="1823" w:type="dxa"/>
            <w:gridSpan w:val="2"/>
            <w:shd w:val="clear" w:color="auto" w:fill="auto"/>
          </w:tcPr>
          <w:p w14:paraId="0F5BA09D" w14:textId="77777777" w:rsidR="003A1001" w:rsidRPr="00291A81" w:rsidRDefault="00291A81">
            <w:pPr>
              <w:rPr>
                <w:rFonts w:ascii="Arial" w:hAnsi="Arial"/>
                <w:b/>
                <w:bCs/>
                <w:noProof w:val="0"/>
                <w:sz w:val="28"/>
                <w:szCs w:val="28"/>
              </w:rPr>
            </w:pPr>
            <w:r w:rsidRPr="00291A81">
              <w:rPr>
                <w:rFonts w:hint="cs"/>
                <w:b/>
                <w:bCs/>
                <w:sz w:val="28"/>
                <w:szCs w:val="28"/>
                <w:rtl/>
              </w:rPr>
              <w:t>הנאשם:</w:t>
            </w:r>
          </w:p>
        </w:tc>
        <w:tc>
          <w:tcPr>
            <w:tcW w:w="6997" w:type="dxa"/>
            <w:shd w:val="clear" w:color="auto" w:fill="auto"/>
          </w:tcPr>
          <w:p w14:paraId="492D560D" w14:textId="77777777" w:rsidR="003A1001" w:rsidRPr="00291A81" w:rsidRDefault="00291A81">
            <w:pPr>
              <w:rPr>
                <w:rtl/>
              </w:rPr>
            </w:pPr>
            <w:r w:rsidRPr="00291A81">
              <w:rPr>
                <w:rFonts w:hint="cs"/>
                <w:rtl/>
              </w:rPr>
              <w:t>1</w:t>
            </w:r>
            <w:r w:rsidRPr="00291A81">
              <w:rPr>
                <w:rFonts w:ascii="Arial" w:hAnsi="Arial" w:hint="cs"/>
                <w:b/>
                <w:bCs/>
                <w:noProof w:val="0"/>
                <w:sz w:val="28"/>
                <w:szCs w:val="28"/>
                <w:rtl/>
              </w:rPr>
              <w:t xml:space="preserve"> </w:t>
            </w:r>
            <w:r w:rsidRPr="00291A81">
              <w:rPr>
                <w:rFonts w:hint="cs"/>
                <w:rtl/>
              </w:rPr>
              <w:t>חמזה בן סלאמה צואוין (אסיר)</w:t>
            </w:r>
            <w:r w:rsidRPr="00291A81">
              <w:rPr>
                <w:rFonts w:ascii="Arial" w:hAnsi="Arial" w:hint="cs"/>
                <w:b/>
                <w:bCs/>
                <w:noProof w:val="0"/>
                <w:sz w:val="28"/>
                <w:szCs w:val="28"/>
                <w:rtl/>
              </w:rPr>
              <w:t xml:space="preserve">, </w:t>
            </w:r>
            <w:r w:rsidRPr="00291A81">
              <w:rPr>
                <w:rFonts w:hint="cs"/>
                <w:rtl/>
              </w:rPr>
              <w:t>ת.ז.</w:t>
            </w:r>
            <w:r w:rsidRPr="00291A81">
              <w:rPr>
                <w:rFonts w:ascii="Arial" w:hAnsi="Arial" w:hint="cs"/>
                <w:b/>
                <w:bCs/>
                <w:noProof w:val="0"/>
                <w:sz w:val="28"/>
                <w:szCs w:val="28"/>
                <w:rtl/>
              </w:rPr>
              <w:t xml:space="preserve"> </w:t>
            </w:r>
            <w:r>
              <w:t>xxxxxxxxx</w:t>
            </w:r>
          </w:p>
          <w:p w14:paraId="6B4B1CF4" w14:textId="77777777" w:rsidR="003A1001" w:rsidRPr="00291A81" w:rsidRDefault="00291A81">
            <w:pPr>
              <w:rPr>
                <w:rFonts w:ascii="Arial" w:hAnsi="Arial"/>
                <w:noProof w:val="0"/>
                <w:sz w:val="28"/>
                <w:szCs w:val="28"/>
              </w:rPr>
            </w:pPr>
            <w:r w:rsidRPr="00291A81">
              <w:rPr>
                <w:rFonts w:ascii="Arial" w:hAnsi="Arial" w:hint="cs"/>
                <w:rtl/>
              </w:rPr>
              <w:t>ע"י ב"כ עו"ד מוחמד ג'ברין</w:t>
            </w:r>
          </w:p>
        </w:tc>
      </w:tr>
      <w:tr w:rsidR="003A1001" w14:paraId="5D2BD4C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5"/>
          <w:jc w:val="center"/>
        </w:trPr>
        <w:tc>
          <w:tcPr>
            <w:tcW w:w="8820" w:type="dxa"/>
            <w:gridSpan w:val="3"/>
            <w:tcBorders>
              <w:top w:val="nil"/>
              <w:left w:val="nil"/>
              <w:bottom w:val="nil"/>
              <w:right w:val="nil"/>
            </w:tcBorders>
            <w:shd w:val="clear" w:color="auto" w:fill="auto"/>
          </w:tcPr>
          <w:p w14:paraId="6C84242D" w14:textId="77777777" w:rsidR="00E84C3D" w:rsidRDefault="00E84C3D" w:rsidP="00291A81">
            <w:pPr>
              <w:jc w:val="center"/>
              <w:rPr>
                <w:rFonts w:ascii="Arial" w:hAnsi="Arial"/>
                <w:sz w:val="32"/>
                <w:szCs w:val="32"/>
                <w:rtl/>
              </w:rPr>
            </w:pPr>
            <w:bookmarkStart w:id="3" w:name="PsakDin" w:colFirst="0" w:colLast="0"/>
            <w:bookmarkStart w:id="4" w:name="LawTable"/>
            <w:bookmarkEnd w:id="4"/>
          </w:p>
          <w:p w14:paraId="246CCEE1" w14:textId="77777777" w:rsidR="00E84C3D" w:rsidRPr="00E84C3D" w:rsidRDefault="00E84C3D" w:rsidP="00E84C3D">
            <w:pPr>
              <w:spacing w:after="120" w:line="240" w:lineRule="exact"/>
              <w:ind w:left="283" w:hanging="283"/>
              <w:jc w:val="both"/>
              <w:rPr>
                <w:rFonts w:ascii="FrankRuehl" w:hAnsi="FrankRuehl" w:cs="FrankRuehl"/>
                <w:rtl/>
              </w:rPr>
            </w:pPr>
          </w:p>
          <w:p w14:paraId="7D496361" w14:textId="77777777" w:rsidR="00E84C3D" w:rsidRPr="00E84C3D" w:rsidRDefault="00E84C3D" w:rsidP="00E84C3D">
            <w:pPr>
              <w:spacing w:after="120" w:line="240" w:lineRule="exact"/>
              <w:ind w:left="283" w:hanging="283"/>
              <w:jc w:val="both"/>
              <w:rPr>
                <w:rFonts w:ascii="FrankRuehl" w:hAnsi="FrankRuehl" w:cs="FrankRuehl"/>
                <w:rtl/>
              </w:rPr>
            </w:pPr>
            <w:r w:rsidRPr="00E84C3D">
              <w:rPr>
                <w:rFonts w:ascii="FrankRuehl" w:hAnsi="FrankRuehl" w:cs="FrankRuehl"/>
                <w:rtl/>
              </w:rPr>
              <w:t xml:space="preserve">חקיקה שאוזכרה: </w:t>
            </w:r>
          </w:p>
          <w:p w14:paraId="037671AF" w14:textId="77777777" w:rsidR="00E84C3D" w:rsidRPr="00E84C3D" w:rsidRDefault="00E84C3D" w:rsidP="00E84C3D">
            <w:pPr>
              <w:spacing w:after="120" w:line="240" w:lineRule="exact"/>
              <w:ind w:left="283" w:hanging="283"/>
              <w:jc w:val="both"/>
              <w:rPr>
                <w:rFonts w:ascii="FrankRuehl" w:hAnsi="FrankRuehl" w:cs="FrankRuehl"/>
                <w:rtl/>
              </w:rPr>
            </w:pPr>
            <w:hyperlink r:id="rId7" w:history="1">
              <w:r w:rsidRPr="00E84C3D">
                <w:rPr>
                  <w:rFonts w:ascii="FrankRuehl" w:hAnsi="FrankRuehl" w:cs="FrankRuehl"/>
                  <w:color w:val="0000FF"/>
                  <w:u w:val="single"/>
                  <w:rtl/>
                </w:rPr>
                <w:t>חוק העונשין, תשל"ז-1977</w:t>
              </w:r>
            </w:hyperlink>
            <w:r w:rsidRPr="00E84C3D">
              <w:rPr>
                <w:rFonts w:ascii="FrankRuehl" w:hAnsi="FrankRuehl" w:cs="FrankRuehl"/>
                <w:rtl/>
              </w:rPr>
              <w:t xml:space="preserve">: סע'  </w:t>
            </w:r>
            <w:hyperlink r:id="rId8" w:history="1">
              <w:r w:rsidRPr="00E84C3D">
                <w:rPr>
                  <w:rFonts w:ascii="FrankRuehl" w:hAnsi="FrankRuehl" w:cs="FrankRuehl"/>
                  <w:color w:val="0000FF"/>
                  <w:u w:val="single"/>
                  <w:rtl/>
                </w:rPr>
                <w:t>114(א)</w:t>
              </w:r>
            </w:hyperlink>
            <w:r w:rsidRPr="00E84C3D">
              <w:rPr>
                <w:rFonts w:ascii="FrankRuehl" w:hAnsi="FrankRuehl" w:cs="FrankRuehl"/>
                <w:rtl/>
              </w:rPr>
              <w:t xml:space="preserve">, </w:t>
            </w:r>
            <w:hyperlink r:id="rId9" w:history="1">
              <w:r w:rsidRPr="00E84C3D">
                <w:rPr>
                  <w:rFonts w:ascii="FrankRuehl" w:hAnsi="FrankRuehl" w:cs="FrankRuehl"/>
                  <w:color w:val="0000FF"/>
                  <w:u w:val="single"/>
                  <w:rtl/>
                </w:rPr>
                <w:t>144(א)</w:t>
              </w:r>
            </w:hyperlink>
            <w:r w:rsidRPr="00E84C3D">
              <w:rPr>
                <w:rFonts w:ascii="FrankRuehl" w:hAnsi="FrankRuehl" w:cs="FrankRuehl"/>
                <w:rtl/>
              </w:rPr>
              <w:t xml:space="preserve">, </w:t>
            </w:r>
            <w:hyperlink r:id="rId10" w:history="1">
              <w:r w:rsidRPr="00E84C3D">
                <w:rPr>
                  <w:rFonts w:ascii="FrankRuehl" w:hAnsi="FrankRuehl" w:cs="FrankRuehl"/>
                  <w:color w:val="0000FF"/>
                  <w:u w:val="single"/>
                  <w:rtl/>
                </w:rPr>
                <w:t>305(1)</w:t>
              </w:r>
            </w:hyperlink>
            <w:r w:rsidRPr="00E84C3D">
              <w:rPr>
                <w:rFonts w:ascii="FrankRuehl" w:hAnsi="FrankRuehl" w:cs="FrankRuehl"/>
                <w:rtl/>
              </w:rPr>
              <w:t xml:space="preserve">, </w:t>
            </w:r>
            <w:hyperlink r:id="rId11" w:history="1">
              <w:r w:rsidRPr="00E84C3D">
                <w:rPr>
                  <w:rFonts w:ascii="FrankRuehl" w:hAnsi="FrankRuehl" w:cs="FrankRuehl"/>
                  <w:color w:val="0000FF"/>
                  <w:u w:val="single"/>
                  <w:rtl/>
                </w:rPr>
                <w:t>329</w:t>
              </w:r>
            </w:hyperlink>
            <w:r w:rsidRPr="00E84C3D">
              <w:rPr>
                <w:rFonts w:ascii="FrankRuehl" w:hAnsi="FrankRuehl" w:cs="FrankRuehl"/>
                <w:rtl/>
              </w:rPr>
              <w:t xml:space="preserve">, </w:t>
            </w:r>
            <w:hyperlink r:id="rId12" w:history="1">
              <w:r w:rsidRPr="00E84C3D">
                <w:rPr>
                  <w:rFonts w:ascii="FrankRuehl" w:hAnsi="FrankRuehl" w:cs="FrankRuehl"/>
                  <w:color w:val="0000FF"/>
                  <w:u w:val="single"/>
                  <w:rtl/>
                </w:rPr>
                <w:t>329(א)</w:t>
              </w:r>
            </w:hyperlink>
            <w:r w:rsidRPr="00E84C3D">
              <w:rPr>
                <w:rFonts w:ascii="FrankRuehl" w:hAnsi="FrankRuehl" w:cs="FrankRuehl"/>
                <w:rtl/>
              </w:rPr>
              <w:t xml:space="preserve">, </w:t>
            </w:r>
            <w:hyperlink r:id="rId13" w:history="1">
              <w:r w:rsidRPr="00E84C3D">
                <w:rPr>
                  <w:rFonts w:ascii="FrankRuehl" w:hAnsi="FrankRuehl" w:cs="FrankRuehl"/>
                  <w:color w:val="0000FF"/>
                  <w:u w:val="single"/>
                  <w:rtl/>
                </w:rPr>
                <w:t>329(א)(1)</w:t>
              </w:r>
            </w:hyperlink>
            <w:r w:rsidRPr="00E84C3D">
              <w:rPr>
                <w:rFonts w:ascii="FrankRuehl" w:hAnsi="FrankRuehl" w:cs="FrankRuehl"/>
                <w:rtl/>
              </w:rPr>
              <w:t xml:space="preserve">, </w:t>
            </w:r>
            <w:hyperlink r:id="rId14" w:history="1">
              <w:r w:rsidRPr="00E84C3D">
                <w:rPr>
                  <w:rFonts w:ascii="FrankRuehl" w:hAnsi="FrankRuehl" w:cs="FrankRuehl"/>
                  <w:color w:val="0000FF"/>
                  <w:u w:val="single"/>
                  <w:rtl/>
                </w:rPr>
                <w:t>333</w:t>
              </w:r>
            </w:hyperlink>
            <w:r w:rsidRPr="00E84C3D">
              <w:rPr>
                <w:rFonts w:ascii="FrankRuehl" w:hAnsi="FrankRuehl" w:cs="FrankRuehl"/>
                <w:rtl/>
              </w:rPr>
              <w:t xml:space="preserve">, </w:t>
            </w:r>
            <w:hyperlink r:id="rId15" w:history="1">
              <w:r w:rsidRPr="00E84C3D">
                <w:rPr>
                  <w:rFonts w:ascii="FrankRuehl" w:hAnsi="FrankRuehl" w:cs="FrankRuehl"/>
                  <w:color w:val="0000FF"/>
                  <w:u w:val="single"/>
                  <w:rtl/>
                </w:rPr>
                <w:t>334</w:t>
              </w:r>
            </w:hyperlink>
            <w:r w:rsidRPr="00E84C3D">
              <w:rPr>
                <w:rFonts w:ascii="FrankRuehl" w:hAnsi="FrankRuehl" w:cs="FrankRuehl"/>
                <w:rtl/>
              </w:rPr>
              <w:t xml:space="preserve">, </w:t>
            </w:r>
            <w:hyperlink r:id="rId16" w:history="1">
              <w:r w:rsidRPr="00E84C3D">
                <w:rPr>
                  <w:rFonts w:ascii="FrankRuehl" w:hAnsi="FrankRuehl" w:cs="FrankRuehl"/>
                  <w:color w:val="0000FF"/>
                  <w:u w:val="single"/>
                  <w:rtl/>
                </w:rPr>
                <w:t>335</w:t>
              </w:r>
            </w:hyperlink>
            <w:r w:rsidRPr="00E84C3D">
              <w:rPr>
                <w:rFonts w:ascii="FrankRuehl" w:hAnsi="FrankRuehl" w:cs="FrankRuehl"/>
                <w:rtl/>
              </w:rPr>
              <w:t xml:space="preserve">, </w:t>
            </w:r>
            <w:hyperlink r:id="rId17" w:history="1">
              <w:r w:rsidRPr="00E84C3D">
                <w:rPr>
                  <w:rFonts w:ascii="FrankRuehl" w:hAnsi="FrankRuehl" w:cs="FrankRuehl"/>
                  <w:color w:val="0000FF"/>
                  <w:u w:val="single"/>
                  <w:rtl/>
                </w:rPr>
                <w:t>335(א)(1)</w:t>
              </w:r>
            </w:hyperlink>
            <w:r w:rsidRPr="00E84C3D">
              <w:rPr>
                <w:rFonts w:ascii="FrankRuehl" w:hAnsi="FrankRuehl" w:cs="FrankRuehl"/>
                <w:rtl/>
              </w:rPr>
              <w:t xml:space="preserve">, </w:t>
            </w:r>
            <w:hyperlink r:id="rId18" w:history="1">
              <w:r w:rsidRPr="00E84C3D">
                <w:rPr>
                  <w:rFonts w:ascii="FrankRuehl" w:hAnsi="FrankRuehl" w:cs="FrankRuehl"/>
                  <w:color w:val="0000FF"/>
                  <w:u w:val="single"/>
                  <w:rtl/>
                </w:rPr>
                <w:t>499(א)(1)</w:t>
              </w:r>
            </w:hyperlink>
          </w:p>
          <w:p w14:paraId="71F3FA59" w14:textId="77777777" w:rsidR="00E84C3D" w:rsidRPr="00E84C3D" w:rsidRDefault="00E84C3D" w:rsidP="00E84C3D">
            <w:pPr>
              <w:spacing w:after="120" w:line="240" w:lineRule="exact"/>
              <w:ind w:left="283" w:hanging="283"/>
              <w:jc w:val="both"/>
              <w:rPr>
                <w:rFonts w:ascii="FrankRuehl" w:hAnsi="FrankRuehl" w:cs="FrankRuehl"/>
                <w:rtl/>
              </w:rPr>
            </w:pPr>
            <w:hyperlink r:id="rId19" w:history="1">
              <w:r w:rsidRPr="00E84C3D">
                <w:rPr>
                  <w:rFonts w:ascii="FrankRuehl" w:hAnsi="FrankRuehl" w:cs="FrankRuehl"/>
                  <w:color w:val="0000FF"/>
                  <w:u w:val="single"/>
                  <w:rtl/>
                </w:rPr>
                <w:t>חוק למניעת הסתננות (עבירות ושיפוט), תשי"ד-1954</w:t>
              </w:r>
            </w:hyperlink>
            <w:r w:rsidRPr="00E84C3D">
              <w:rPr>
                <w:rFonts w:ascii="FrankRuehl" w:hAnsi="FrankRuehl" w:cs="FrankRuehl"/>
                <w:rtl/>
              </w:rPr>
              <w:t xml:space="preserve">: סע'  </w:t>
            </w:r>
            <w:hyperlink r:id="rId20" w:history="1">
              <w:r w:rsidRPr="00E84C3D">
                <w:rPr>
                  <w:rFonts w:ascii="FrankRuehl" w:hAnsi="FrankRuehl" w:cs="FrankRuehl"/>
                  <w:color w:val="0000FF"/>
                  <w:u w:val="single"/>
                  <w:rtl/>
                </w:rPr>
                <w:t>2</w:t>
              </w:r>
            </w:hyperlink>
          </w:p>
          <w:p w14:paraId="37D815E1" w14:textId="77777777" w:rsidR="00E84C3D" w:rsidRPr="00E84C3D" w:rsidRDefault="00E84C3D" w:rsidP="00E84C3D">
            <w:pPr>
              <w:spacing w:after="120" w:line="240" w:lineRule="exact"/>
              <w:ind w:left="283" w:hanging="283"/>
              <w:jc w:val="both"/>
              <w:rPr>
                <w:rFonts w:ascii="FrankRuehl" w:hAnsi="FrankRuehl" w:cs="FrankRuehl"/>
                <w:rtl/>
              </w:rPr>
            </w:pPr>
            <w:hyperlink r:id="rId21" w:history="1">
              <w:r w:rsidRPr="00E84C3D">
                <w:rPr>
                  <w:rFonts w:ascii="FrankRuehl" w:hAnsi="FrankRuehl" w:cs="FrankRuehl"/>
                  <w:color w:val="0000FF"/>
                  <w:u w:val="single"/>
                  <w:rtl/>
                </w:rPr>
                <w:t>תקנות ההגנה (שעת-חירום), 1945</w:t>
              </w:r>
            </w:hyperlink>
            <w:r w:rsidRPr="00E84C3D">
              <w:rPr>
                <w:rFonts w:ascii="FrankRuehl" w:hAnsi="FrankRuehl" w:cs="FrankRuehl"/>
                <w:rtl/>
              </w:rPr>
              <w:t xml:space="preserve">: סע'  </w:t>
            </w:r>
            <w:hyperlink r:id="rId22" w:history="1">
              <w:r w:rsidRPr="00E84C3D">
                <w:rPr>
                  <w:rFonts w:ascii="FrankRuehl" w:hAnsi="FrankRuehl" w:cs="FrankRuehl"/>
                  <w:color w:val="0000FF"/>
                  <w:u w:val="single"/>
                  <w:rtl/>
                </w:rPr>
                <w:t>85(א)</w:t>
              </w:r>
            </w:hyperlink>
          </w:p>
          <w:p w14:paraId="77CC21CA" w14:textId="77777777" w:rsidR="00E84C3D" w:rsidRPr="00E84C3D" w:rsidRDefault="00E84C3D" w:rsidP="00E84C3D">
            <w:pPr>
              <w:spacing w:after="120" w:line="240" w:lineRule="exact"/>
              <w:ind w:left="283" w:hanging="283"/>
              <w:jc w:val="both"/>
              <w:rPr>
                <w:rFonts w:ascii="FrankRuehl" w:hAnsi="FrankRuehl" w:cs="FrankRuehl"/>
                <w:rtl/>
              </w:rPr>
            </w:pPr>
            <w:hyperlink r:id="rId23" w:history="1">
              <w:r w:rsidRPr="00E84C3D">
                <w:rPr>
                  <w:rFonts w:ascii="FrankRuehl" w:hAnsi="FrankRuehl" w:cs="FrankRuehl"/>
                  <w:color w:val="0000FF"/>
                  <w:u w:val="single"/>
                  <w:rtl/>
                </w:rPr>
                <w:t>חוק סדר הדין הפלילי [נוסח משולב], תשמ"ב-1982</w:t>
              </w:r>
            </w:hyperlink>
            <w:r w:rsidRPr="00E84C3D">
              <w:rPr>
                <w:rFonts w:ascii="FrankRuehl" w:hAnsi="FrankRuehl" w:cs="FrankRuehl"/>
                <w:rtl/>
              </w:rPr>
              <w:t xml:space="preserve">: סע'  </w:t>
            </w:r>
            <w:hyperlink r:id="rId24" w:history="1">
              <w:r w:rsidRPr="00E84C3D">
                <w:rPr>
                  <w:rFonts w:ascii="FrankRuehl" w:hAnsi="FrankRuehl" w:cs="FrankRuehl"/>
                  <w:color w:val="0000FF"/>
                  <w:u w:val="single"/>
                  <w:rtl/>
                </w:rPr>
                <w:t>187(ב)</w:t>
              </w:r>
            </w:hyperlink>
          </w:p>
          <w:p w14:paraId="6D394667" w14:textId="77777777" w:rsidR="00E84C3D" w:rsidRPr="00E84C3D" w:rsidRDefault="00E84C3D" w:rsidP="00E84C3D">
            <w:pPr>
              <w:spacing w:after="120" w:line="240" w:lineRule="exact"/>
              <w:ind w:left="283" w:hanging="283"/>
              <w:jc w:val="both"/>
              <w:rPr>
                <w:rFonts w:ascii="FrankRuehl" w:hAnsi="FrankRuehl" w:cs="FrankRuehl"/>
                <w:rtl/>
              </w:rPr>
            </w:pPr>
          </w:p>
          <w:p w14:paraId="494EDFB8" w14:textId="77777777" w:rsidR="00E84C3D" w:rsidRPr="00E84C3D" w:rsidRDefault="00E84C3D" w:rsidP="00291A81">
            <w:pPr>
              <w:jc w:val="center"/>
              <w:rPr>
                <w:rFonts w:ascii="Arial" w:hAnsi="Arial"/>
                <w:sz w:val="32"/>
                <w:szCs w:val="32"/>
                <w:rtl/>
              </w:rPr>
            </w:pPr>
            <w:bookmarkStart w:id="5" w:name="LawTable_End"/>
            <w:bookmarkEnd w:id="5"/>
          </w:p>
          <w:p w14:paraId="71E96AE2" w14:textId="77777777" w:rsidR="00844D04" w:rsidRPr="00844D04" w:rsidRDefault="00844D04" w:rsidP="00291A81">
            <w:pPr>
              <w:jc w:val="center"/>
              <w:rPr>
                <w:rFonts w:ascii="Arial" w:hAnsi="Arial"/>
                <w:sz w:val="32"/>
                <w:szCs w:val="32"/>
                <w:rtl/>
              </w:rPr>
            </w:pPr>
          </w:p>
          <w:p w14:paraId="22B66686" w14:textId="77777777" w:rsidR="00291A81" w:rsidRPr="00291A81" w:rsidRDefault="00291A81" w:rsidP="00291A81">
            <w:pPr>
              <w:jc w:val="center"/>
              <w:rPr>
                <w:rFonts w:ascii="Arial" w:hAnsi="Arial"/>
                <w:b/>
                <w:bCs/>
                <w:sz w:val="32"/>
                <w:szCs w:val="32"/>
                <w:u w:val="single"/>
                <w:rtl/>
              </w:rPr>
            </w:pPr>
            <w:r w:rsidRPr="00291A81">
              <w:rPr>
                <w:rFonts w:ascii="Arial" w:hAnsi="Arial"/>
                <w:b/>
                <w:bCs/>
                <w:sz w:val="32"/>
                <w:szCs w:val="32"/>
                <w:u w:val="single"/>
                <w:rtl/>
              </w:rPr>
              <w:t>גזר דין</w:t>
            </w:r>
          </w:p>
          <w:p w14:paraId="4A87F76C" w14:textId="77777777" w:rsidR="003A1001" w:rsidRPr="00291A81" w:rsidRDefault="003A1001" w:rsidP="00291A81">
            <w:pPr>
              <w:jc w:val="center"/>
              <w:rPr>
                <w:rFonts w:ascii="Arial" w:hAnsi="Arial"/>
                <w:bCs/>
                <w:sz w:val="32"/>
                <w:szCs w:val="32"/>
                <w:u w:val="single"/>
                <w:rtl/>
              </w:rPr>
            </w:pPr>
          </w:p>
        </w:tc>
      </w:tr>
    </w:tbl>
    <w:bookmarkEnd w:id="3"/>
    <w:p w14:paraId="758EE1BB" w14:textId="77777777" w:rsidR="003A1001" w:rsidRDefault="00291A81">
      <w:pPr>
        <w:pStyle w:val="10"/>
      </w:pPr>
      <w:r>
        <w:rPr>
          <w:rFonts w:hint="cs"/>
          <w:rtl/>
        </w:rPr>
        <w:t>רקע</w:t>
      </w:r>
    </w:p>
    <w:p w14:paraId="0576C46A" w14:textId="77777777" w:rsidR="003A1001" w:rsidRDefault="00291A81">
      <w:pPr>
        <w:pStyle w:val="1"/>
        <w:numPr>
          <w:ilvl w:val="0"/>
          <w:numId w:val="2"/>
        </w:numPr>
        <w:ind w:right="0"/>
        <w:rPr>
          <w:rtl/>
        </w:rPr>
      </w:pPr>
      <w:bookmarkStart w:id="6" w:name="ABSTRACT_START"/>
      <w:bookmarkEnd w:id="6"/>
      <w:r>
        <w:rPr>
          <w:rFonts w:hint="cs"/>
          <w:rtl/>
        </w:rPr>
        <w:t xml:space="preserve">הנאשם הורשע על פי הודאתו בכתב אישום מתוקן, בעבירה של חבלה בכוונה מחמירה, לפי </w:t>
      </w:r>
      <w:hyperlink r:id="rId25" w:history="1">
        <w:r w:rsidR="00D04F30" w:rsidRPr="00D04F30">
          <w:rPr>
            <w:b/>
            <w:bCs/>
            <w:color w:val="0000FF"/>
            <w:u w:val="single"/>
            <w:rtl/>
          </w:rPr>
          <w:t>סעיף 329(א)(1)</w:t>
        </w:r>
      </w:hyperlink>
      <w:r>
        <w:rPr>
          <w:rFonts w:hint="cs"/>
          <w:b/>
          <w:bCs/>
          <w:rtl/>
        </w:rPr>
        <w:t xml:space="preserve"> ל</w:t>
      </w:r>
      <w:hyperlink r:id="rId26" w:history="1">
        <w:r w:rsidRPr="00291A81">
          <w:rPr>
            <w:rStyle w:val="Hyperlink"/>
            <w:rFonts w:hint="eastAsia"/>
            <w:b/>
            <w:bCs/>
            <w:rtl/>
          </w:rPr>
          <w:t>חוק</w:t>
        </w:r>
        <w:r w:rsidRPr="00291A81">
          <w:rPr>
            <w:rStyle w:val="Hyperlink"/>
            <w:b/>
            <w:bCs/>
            <w:rtl/>
          </w:rPr>
          <w:t xml:space="preserve"> העונשין</w:t>
        </w:r>
      </w:hyperlink>
      <w:r>
        <w:rPr>
          <w:rFonts w:hint="cs"/>
          <w:rtl/>
        </w:rPr>
        <w:t>, תשל"ז – 1977 (להלן: "</w:t>
      </w:r>
      <w:r>
        <w:rPr>
          <w:rFonts w:hint="cs"/>
          <w:b/>
          <w:bCs/>
          <w:sz w:val="22"/>
          <w:szCs w:val="26"/>
          <w:rtl/>
        </w:rPr>
        <w:t>חוק העונשין</w:t>
      </w:r>
      <w:r>
        <w:rPr>
          <w:rFonts w:hint="cs"/>
          <w:rtl/>
        </w:rPr>
        <w:t xml:space="preserve">"). </w:t>
      </w:r>
    </w:p>
    <w:p w14:paraId="3859C530" w14:textId="77777777" w:rsidR="003A1001" w:rsidRDefault="00291A81">
      <w:pPr>
        <w:pStyle w:val="1"/>
        <w:numPr>
          <w:ilvl w:val="0"/>
          <w:numId w:val="2"/>
        </w:numPr>
        <w:ind w:right="0"/>
        <w:rPr>
          <w:sz w:val="24"/>
        </w:rPr>
      </w:pPr>
      <w:bookmarkStart w:id="7" w:name="ABSTRACT_END"/>
      <w:bookmarkEnd w:id="7"/>
      <w:r>
        <w:rPr>
          <w:rFonts w:hint="cs"/>
          <w:rtl/>
        </w:rPr>
        <w:t>מעובדות כתב האישום המתוקן בשנית עולה כי הנאשם היה בתקופה הרלוונטית אסיר בכלא רמון; ביום 23/2/15, בשעה 12:10 או בסמוך לכך, היה הנאשם צריך לצאת לבדיקות רפואיות בבית החולים של שירות בתי הסוהר; במהלך בדיקת הנאשם לקראת יציאתו מהכלא, נשמע צפצוף במכשיר המגנומטר שהעלה את חשדו של הסוהר חיים (להלן: "</w:t>
      </w:r>
      <w:r>
        <w:rPr>
          <w:rFonts w:hint="cs"/>
          <w:b/>
          <w:bCs/>
          <w:sz w:val="22"/>
          <w:szCs w:val="26"/>
          <w:rtl/>
        </w:rPr>
        <w:t>חיים</w:t>
      </w:r>
      <w:r>
        <w:rPr>
          <w:rFonts w:hint="cs"/>
          <w:rtl/>
        </w:rPr>
        <w:t>" או "</w:t>
      </w:r>
      <w:r>
        <w:rPr>
          <w:rFonts w:hint="cs"/>
          <w:b/>
          <w:bCs/>
          <w:sz w:val="22"/>
          <w:szCs w:val="26"/>
          <w:rtl/>
        </w:rPr>
        <w:t>הסוהר</w:t>
      </w:r>
      <w:r>
        <w:rPr>
          <w:rFonts w:hint="cs"/>
          <w:rtl/>
        </w:rPr>
        <w:t xml:space="preserve">"), אשר ביקש מהנאשם לעבור לחדר צדדי לצורך ביצוע חיפוש גופני; </w:t>
      </w:r>
      <w:r>
        <w:rPr>
          <w:rFonts w:hint="cs"/>
          <w:sz w:val="24"/>
          <w:rtl/>
        </w:rPr>
        <w:t>הנאשם נכנס לחדר כשחיים בעקבותיו, שלף חפץ חד שהסתיר בבגדיו, צעק "אללה אכבר", ובכוונה לגרום לחיים חבלה חמורה, התקרב אל חיים ודקר אותו בצווארו ובפניו; חיים הדף מעליו את הנאשם וקרא לסוהר נוסף, ישראל (להלן: "</w:t>
      </w:r>
      <w:r>
        <w:rPr>
          <w:rFonts w:hint="cs"/>
          <w:b/>
          <w:bCs/>
          <w:sz w:val="26"/>
          <w:szCs w:val="26"/>
          <w:rtl/>
        </w:rPr>
        <w:t>ישראל</w:t>
      </w:r>
      <w:r>
        <w:rPr>
          <w:rFonts w:hint="cs"/>
          <w:sz w:val="24"/>
          <w:rtl/>
        </w:rPr>
        <w:t xml:space="preserve">"), שיבוא לסייע לו; הנאשם הבחין בישראל, הלך </w:t>
      </w:r>
      <w:r>
        <w:rPr>
          <w:rFonts w:hint="cs"/>
          <w:sz w:val="24"/>
          <w:rtl/>
        </w:rPr>
        <w:lastRenderedPageBreak/>
        <w:t>לכיוונו, אך כשראה שישראל מחזיק באלה, חזר לכיוונו של חיים; חיים השליך שרפרף מפלסטיק שהיה מונח בסמוך אליו, על מנת להרחיק את הנאשם ממנו; סוהר נוסף, חגי (להלן: "</w:t>
      </w:r>
      <w:r>
        <w:rPr>
          <w:rFonts w:hint="cs"/>
          <w:b/>
          <w:bCs/>
          <w:sz w:val="26"/>
          <w:szCs w:val="26"/>
          <w:rtl/>
        </w:rPr>
        <w:t>חגי</w:t>
      </w:r>
      <w:r>
        <w:rPr>
          <w:rFonts w:hint="cs"/>
          <w:sz w:val="24"/>
          <w:rtl/>
        </w:rPr>
        <w:t>") שמע את הצעקות, ניגש לחדר ויחד עם חיים הצליחו להשתלט על הנאשם; כתוצאה ממעשיו של הנאשם, נגרמו לחיים סימני חבלה בלחי השמאלית, באורך של 15 ס"מ, שתי שריטות  באזור הצוואר באורך של 10 ס"מ ו- 4 ס"מ, שריטות באזור העליון השמאלי של החזה ורגישות באזור החזה והצוואר.</w:t>
      </w:r>
    </w:p>
    <w:p w14:paraId="66EEA27E" w14:textId="77777777" w:rsidR="003A1001" w:rsidRDefault="00291A81">
      <w:pPr>
        <w:pStyle w:val="1"/>
        <w:numPr>
          <w:ilvl w:val="0"/>
          <w:numId w:val="2"/>
        </w:numPr>
        <w:ind w:right="0"/>
      </w:pPr>
      <w:r>
        <w:rPr>
          <w:rFonts w:hint="cs"/>
          <w:rtl/>
        </w:rPr>
        <w:t>המאשימה התחילה להציג ראיותיה, ונשמעו עדויותיהם של 8 עדים, כולל חיים, ישראל וחגי. המאשימה הגישה מוצגים שונים ובין השאר צילום הפגיעות בחיים (ת/2 ו- ת/3), צילום החפץ בו עשה הנאשם שימוש כדי לדקור את חיים (ת/4), צילומי מצלמות אבטחה (ת/5 ו- ת/6), מזכרים ותעודות שונות. ההגנה הגישה צילומים של הנאשם אחרי האירוע (נ/1).</w:t>
      </w:r>
    </w:p>
    <w:p w14:paraId="6BDCB6BA" w14:textId="77777777" w:rsidR="003A1001" w:rsidRDefault="00291A81">
      <w:pPr>
        <w:pStyle w:val="1"/>
        <w:numPr>
          <w:ilvl w:val="0"/>
          <w:numId w:val="2"/>
        </w:numPr>
        <w:ind w:right="0"/>
      </w:pPr>
      <w:r>
        <w:rPr>
          <w:rFonts w:hint="cs"/>
          <w:rtl/>
        </w:rPr>
        <w:t xml:space="preserve">לאחר שנשמעו העדויות שתוארו לעיל, הגיעו הצדדים להסדר טיעון, על פיו חזר בו הנאשם מכפירתו, הודה בעובדות כתב האישום המתוקן בשנית (כמתואר לעיל) והורשע. הסדר הטיעון לא כלל הסכמה עונשית, אך הצדדים הסכימו שהמאשימה תטען לעונש של 5 שנות מאסר בפועל, אשר ירוצה במצטבר לכל עונש אחר אותו מרצה הנאשם, וההגנה לא תהיה מוגבלת בטיעוניה. </w:t>
      </w:r>
    </w:p>
    <w:p w14:paraId="0D5B008C" w14:textId="77777777" w:rsidR="003A1001" w:rsidRDefault="00291A81">
      <w:pPr>
        <w:pStyle w:val="10"/>
        <w:rPr>
          <w:rtl/>
        </w:rPr>
      </w:pPr>
      <w:r>
        <w:rPr>
          <w:rFonts w:hint="cs"/>
          <w:rtl/>
        </w:rPr>
        <w:t>הראיות לעונש</w:t>
      </w:r>
    </w:p>
    <w:p w14:paraId="7730C1D0" w14:textId="77777777" w:rsidR="003A1001" w:rsidRDefault="00291A81">
      <w:pPr>
        <w:pStyle w:val="1"/>
        <w:numPr>
          <w:ilvl w:val="0"/>
          <w:numId w:val="2"/>
        </w:numPr>
        <w:ind w:right="0"/>
        <w:rPr>
          <w:rtl/>
        </w:rPr>
      </w:pPr>
      <w:r>
        <w:rPr>
          <w:rFonts w:hint="cs"/>
          <w:b/>
          <w:bCs/>
          <w:rtl/>
        </w:rPr>
        <w:t>המאשימה</w:t>
      </w:r>
      <w:r>
        <w:rPr>
          <w:rFonts w:hint="cs"/>
          <w:rtl/>
        </w:rPr>
        <w:t xml:space="preserve"> הגישה את גיליון הרישום הפלילי של הנאשם, על פיו ביום 16/3/14 נגזרו עליו </w:t>
      </w:r>
      <w:hyperlink r:id="rId27" w:history="1">
        <w:r w:rsidR="00844D04" w:rsidRPr="00844D04">
          <w:rPr>
            <w:color w:val="0000FF"/>
            <w:u w:val="single"/>
            <w:rtl/>
          </w:rPr>
          <w:t xml:space="preserve">בת"פ 30135-07-13 (מחוזי באר שבע), </w:t>
        </w:r>
      </w:hyperlink>
      <w:r>
        <w:rPr>
          <w:rFonts w:hint="cs"/>
          <w:rtl/>
        </w:rPr>
        <w:t xml:space="preserve"> 13 שנות מאסר בפועל ומאסר מותנה בגין הרשעתו בשתי עבירות של הסתננות, לפי </w:t>
      </w:r>
      <w:hyperlink r:id="rId28" w:history="1">
        <w:r w:rsidR="00D04F30" w:rsidRPr="00D04F30">
          <w:rPr>
            <w:color w:val="0000FF"/>
            <w:u w:val="single"/>
            <w:rtl/>
          </w:rPr>
          <w:t>סעיף 2</w:t>
        </w:r>
      </w:hyperlink>
      <w:r>
        <w:rPr>
          <w:rFonts w:hint="cs"/>
          <w:rtl/>
        </w:rPr>
        <w:t xml:space="preserve"> ל</w:t>
      </w:r>
      <w:hyperlink r:id="rId29" w:history="1">
        <w:r w:rsidRPr="00291A81">
          <w:rPr>
            <w:rStyle w:val="Hyperlink"/>
            <w:rFonts w:hint="eastAsia"/>
            <w:rtl/>
          </w:rPr>
          <w:t>חוק</w:t>
        </w:r>
        <w:r w:rsidRPr="00291A81">
          <w:rPr>
            <w:rStyle w:val="Hyperlink"/>
            <w:rtl/>
          </w:rPr>
          <w:t xml:space="preserve"> למניעת הסתננות (עבירות ושיפוט)</w:t>
        </w:r>
      </w:hyperlink>
      <w:r>
        <w:rPr>
          <w:rFonts w:hint="cs"/>
          <w:rtl/>
        </w:rPr>
        <w:t xml:space="preserve">, תשי"ד – 1954; קשירת קשר לביצוע פשע, לפי </w:t>
      </w:r>
      <w:hyperlink r:id="rId30" w:history="1">
        <w:r w:rsidR="00D04F30" w:rsidRPr="00D04F30">
          <w:rPr>
            <w:color w:val="0000FF"/>
            <w:u w:val="single"/>
            <w:rtl/>
          </w:rPr>
          <w:t>סעיף 499(א)(1)</w:t>
        </w:r>
      </w:hyperlink>
      <w:r>
        <w:rPr>
          <w:rFonts w:hint="cs"/>
          <w:rtl/>
        </w:rPr>
        <w:t xml:space="preserve"> ל</w:t>
      </w:r>
      <w:hyperlink r:id="rId31" w:history="1">
        <w:r w:rsidRPr="00291A81">
          <w:rPr>
            <w:rStyle w:val="Hyperlink"/>
            <w:rFonts w:hint="eastAsia"/>
            <w:rtl/>
          </w:rPr>
          <w:t>חוק</w:t>
        </w:r>
        <w:r w:rsidRPr="00291A81">
          <w:rPr>
            <w:rStyle w:val="Hyperlink"/>
            <w:rtl/>
          </w:rPr>
          <w:t xml:space="preserve"> העונשין</w:t>
        </w:r>
      </w:hyperlink>
      <w:r>
        <w:rPr>
          <w:rFonts w:hint="cs"/>
          <w:rtl/>
        </w:rPr>
        <w:t xml:space="preserve">; מגע עם סוכן חוץ, לפי </w:t>
      </w:r>
      <w:hyperlink r:id="rId32" w:history="1">
        <w:r w:rsidR="00D04F30" w:rsidRPr="00D04F30">
          <w:rPr>
            <w:color w:val="0000FF"/>
            <w:u w:val="single"/>
            <w:rtl/>
          </w:rPr>
          <w:t>סעיף 114(א)</w:t>
        </w:r>
      </w:hyperlink>
      <w:r>
        <w:rPr>
          <w:rFonts w:hint="cs"/>
          <w:rtl/>
        </w:rPr>
        <w:t xml:space="preserve"> לחוק העונשין; חברות בהתאגדות בלתי חוקית, לפי </w:t>
      </w:r>
      <w:hyperlink r:id="rId33" w:history="1">
        <w:r w:rsidR="00D04F30" w:rsidRPr="00D04F30">
          <w:rPr>
            <w:color w:val="0000FF"/>
            <w:u w:val="single"/>
            <w:rtl/>
          </w:rPr>
          <w:t>סעיף 85(א)</w:t>
        </w:r>
      </w:hyperlink>
      <w:r>
        <w:rPr>
          <w:rFonts w:hint="cs"/>
          <w:rtl/>
        </w:rPr>
        <w:t xml:space="preserve"> ל</w:t>
      </w:r>
      <w:hyperlink r:id="rId34" w:history="1">
        <w:r w:rsidRPr="00291A81">
          <w:rPr>
            <w:rStyle w:val="Hyperlink"/>
            <w:rFonts w:hint="eastAsia"/>
            <w:rtl/>
          </w:rPr>
          <w:t>תקנות</w:t>
        </w:r>
        <w:r w:rsidRPr="00291A81">
          <w:rPr>
            <w:rStyle w:val="Hyperlink"/>
            <w:rtl/>
          </w:rPr>
          <w:t xml:space="preserve"> ההגנה (שעת חירום)</w:t>
        </w:r>
      </w:hyperlink>
      <w:r>
        <w:rPr>
          <w:rFonts w:hint="cs"/>
          <w:rtl/>
        </w:rPr>
        <w:t xml:space="preserve"> 1945; רכישת/החזקת נשק שלא כדין, לפי </w:t>
      </w:r>
      <w:hyperlink r:id="rId35" w:history="1">
        <w:r w:rsidR="00D04F30" w:rsidRPr="00D04F30">
          <w:rPr>
            <w:color w:val="0000FF"/>
            <w:u w:val="single"/>
            <w:rtl/>
          </w:rPr>
          <w:t>סעיף 144(א)</w:t>
        </w:r>
      </w:hyperlink>
      <w:r>
        <w:rPr>
          <w:rFonts w:hint="cs"/>
          <w:rtl/>
        </w:rPr>
        <w:t xml:space="preserve"> לחוק העונשין; ניסיון לגרימת מוות לפי </w:t>
      </w:r>
      <w:hyperlink r:id="rId36" w:history="1">
        <w:r w:rsidR="00D04F30" w:rsidRPr="00D04F30">
          <w:rPr>
            <w:color w:val="0000FF"/>
            <w:u w:val="single"/>
            <w:rtl/>
          </w:rPr>
          <w:t>סעיף 305(1)</w:t>
        </w:r>
      </w:hyperlink>
      <w:r>
        <w:rPr>
          <w:rFonts w:hint="cs"/>
          <w:rtl/>
        </w:rPr>
        <w:t xml:space="preserve"> לחוק העונשין; </w:t>
      </w:r>
    </w:p>
    <w:p w14:paraId="2488494B" w14:textId="77777777" w:rsidR="003A1001" w:rsidRDefault="00291A81">
      <w:pPr>
        <w:pStyle w:val="12"/>
      </w:pPr>
      <w:r>
        <w:rPr>
          <w:rFonts w:hint="cs"/>
          <w:rtl/>
        </w:rPr>
        <w:t xml:space="preserve">בנוסף, הוגש תסקיר נפגע עבירה, בקשר למצבו של חיים, אשר הוכן בהתאם </w:t>
      </w:r>
      <w:hyperlink r:id="rId37" w:history="1">
        <w:r w:rsidR="00D04F30" w:rsidRPr="00D04F30">
          <w:rPr>
            <w:color w:val="0000FF"/>
            <w:u w:val="single"/>
            <w:rtl/>
          </w:rPr>
          <w:t>לסעיף 187(ב)</w:t>
        </w:r>
      </w:hyperlink>
      <w:r>
        <w:rPr>
          <w:rFonts w:hint="cs"/>
          <w:rtl/>
        </w:rPr>
        <w:t xml:space="preserve"> ל</w:t>
      </w:r>
      <w:hyperlink r:id="rId38" w:history="1">
        <w:r w:rsidRPr="00291A81">
          <w:rPr>
            <w:rStyle w:val="Hyperlink"/>
            <w:rFonts w:hint="eastAsia"/>
            <w:rtl/>
          </w:rPr>
          <w:t>חוק</w:t>
        </w:r>
        <w:r w:rsidRPr="00291A81">
          <w:rPr>
            <w:rStyle w:val="Hyperlink"/>
            <w:rtl/>
          </w:rPr>
          <w:t xml:space="preserve"> סדר הדין הפלילי</w:t>
        </w:r>
      </w:hyperlink>
      <w:r>
        <w:rPr>
          <w:rFonts w:hint="cs"/>
          <w:rtl/>
        </w:rPr>
        <w:t xml:space="preserve"> (נוסח משולב), התשמ"ב - 1982.</w:t>
      </w:r>
    </w:p>
    <w:p w14:paraId="1B70781F" w14:textId="77777777" w:rsidR="003A1001" w:rsidRDefault="00291A81">
      <w:pPr>
        <w:pStyle w:val="1"/>
        <w:numPr>
          <w:ilvl w:val="0"/>
          <w:numId w:val="2"/>
        </w:numPr>
        <w:ind w:right="0"/>
      </w:pPr>
      <w:r>
        <w:rPr>
          <w:rFonts w:hint="cs"/>
          <w:b/>
          <w:bCs/>
          <w:rtl/>
        </w:rPr>
        <w:t xml:space="preserve">מטעם הנאשם </w:t>
      </w:r>
      <w:r>
        <w:rPr>
          <w:rFonts w:hint="cs"/>
          <w:rtl/>
        </w:rPr>
        <w:t xml:space="preserve">הוגשו תעודות רפואיות על טיפול שקיבל בחדר המיון בעקבות חשד לשברים בעצמות פנים ופגיעה בעין שמאל. </w:t>
      </w:r>
    </w:p>
    <w:p w14:paraId="44BD07BE" w14:textId="77777777" w:rsidR="003A1001" w:rsidRDefault="00291A81">
      <w:pPr>
        <w:pStyle w:val="1"/>
        <w:numPr>
          <w:ilvl w:val="0"/>
          <w:numId w:val="2"/>
        </w:numPr>
        <w:ind w:right="0"/>
      </w:pPr>
      <w:r>
        <w:rPr>
          <w:rFonts w:hint="cs"/>
          <w:b/>
          <w:bCs/>
          <w:rtl/>
        </w:rPr>
        <w:t>תסקיר נפגע עבירה</w:t>
      </w:r>
      <w:r>
        <w:rPr>
          <w:rFonts w:hint="cs"/>
          <w:rtl/>
        </w:rPr>
        <w:t xml:space="preserve">- בתסקיר שנערך בעניינו של חיים צוין כי הוא שב לעבודתו כיומיים לאחר הפגיעה, אולם בעקבות התקיפה הוא נדרש להתמודד עם המתח סביב המגע עם האסירים והתקשורת עימם, תהליך שלווה מבחינתו בתחושות של לחץ וחשש מפני פגיעה על ידי אסיר נוסף. לטענת חיים, מאז האירוע הוא מתנהל בדריכות וזהירות יתר מול האסירים מה שמסרבל את עבודתו, וגורם לפגיעה בדמוי העצמי שלו ובאופן בו הוא תופס את כוחותיו ויכולותיו. בחירתו של הנאשם לפגוע דווקא בו מעלה בו חששות בנוגע לאופן בו מתבוננים עליו אנשים, נסדקה עבורו התדמית הפיזית החזקה שראה בעצמו, אמונתו ביכולותיו נפגעה, </w:t>
      </w:r>
      <w:r>
        <w:rPr>
          <w:rFonts w:hint="cs"/>
          <w:rtl/>
        </w:rPr>
        <w:lastRenderedPageBreak/>
        <w:t xml:space="preserve">התקשה להירדם כשהיה לבד בביתו, חווה סיוטים ליליים ומיעט לצאת לבילויים או למפגשים חברתיים בגלל התחבושת על פניו. הפגיעה הציפה בחיים זיכרונות ומראות קשים מתקופת שירותו הצבאי, הוא מתקשה לייצר קשרי חברות חדשים ומטופל על ידי פסיכותרפיסטית. </w:t>
      </w:r>
    </w:p>
    <w:p w14:paraId="22DECCA2" w14:textId="77777777" w:rsidR="003A1001" w:rsidRDefault="00291A81">
      <w:pPr>
        <w:pStyle w:val="12"/>
      </w:pPr>
      <w:r>
        <w:rPr>
          <w:rFonts w:hint="cs"/>
          <w:rtl/>
        </w:rPr>
        <w:t>נוכח המתואר בתסקיר, על מנת להעניק לחיים הכרה חברתית כנפגע על ידי הנאשם, הומלץ כי יוטל על הנאשם, בין היתר, פיצוי כספי משמעותי לחיים.</w:t>
      </w:r>
    </w:p>
    <w:p w14:paraId="585D16B3" w14:textId="77777777" w:rsidR="003A1001" w:rsidRDefault="00291A81">
      <w:pPr>
        <w:pStyle w:val="10"/>
        <w:rPr>
          <w:rtl/>
        </w:rPr>
      </w:pPr>
      <w:r>
        <w:rPr>
          <w:rFonts w:hint="cs"/>
          <w:rtl/>
        </w:rPr>
        <w:t>טענות הצדדים לעונש</w:t>
      </w:r>
    </w:p>
    <w:p w14:paraId="063CC58B" w14:textId="77777777" w:rsidR="003A1001" w:rsidRDefault="00291A81">
      <w:pPr>
        <w:pStyle w:val="1"/>
        <w:keepNext/>
        <w:numPr>
          <w:ilvl w:val="0"/>
          <w:numId w:val="2"/>
        </w:numPr>
        <w:ind w:right="0"/>
        <w:rPr>
          <w:b/>
          <w:bCs/>
          <w:u w:val="single"/>
          <w:rtl/>
        </w:rPr>
      </w:pPr>
      <w:r>
        <w:rPr>
          <w:rFonts w:hint="cs"/>
          <w:b/>
          <w:bCs/>
          <w:u w:val="single"/>
          <w:rtl/>
        </w:rPr>
        <w:t xml:space="preserve">טענות המאשימה לעונש </w:t>
      </w:r>
    </w:p>
    <w:p w14:paraId="64732A47" w14:textId="77777777" w:rsidR="003A1001" w:rsidRDefault="00291A81">
      <w:pPr>
        <w:pStyle w:val="12"/>
      </w:pPr>
      <w:r>
        <w:rPr>
          <w:rFonts w:hint="cs"/>
          <w:rtl/>
        </w:rPr>
        <w:t xml:space="preserve">המאשימה עתרה להשית על הנאשם עונש של 5 שנות מאסר בפועל, אשר ירוצו במצטבר לכל עונש מאסר אותו מרצה הנאשם וכן מאסר מותנה, קנס ופיצוי הולם למתלונן. </w:t>
      </w:r>
    </w:p>
    <w:p w14:paraId="3129DC41" w14:textId="77777777" w:rsidR="003A1001" w:rsidRDefault="00291A81">
      <w:pPr>
        <w:pStyle w:val="12"/>
      </w:pPr>
      <w:r>
        <w:rPr>
          <w:rFonts w:hint="cs"/>
          <w:rtl/>
        </w:rPr>
        <w:t>המאשימה מבקשת לייחס משקל רב לעקרון ההלימה. לטענתה, הערכים החברתיים שנפגעו מביצוע העבירה הם שמירה על בטחונו האישי של הציבור, שלמות גופו וכבודו ושלטון החוק. במעשיו פגע הנאשם ברף העליון של הערכים המוגנים, תוך שהוא תוקף ופוצע עובד ציבור, על ידי שימוש בנשק קר.</w:t>
      </w:r>
    </w:p>
    <w:p w14:paraId="2DF38A1F" w14:textId="77777777" w:rsidR="003A1001" w:rsidRDefault="00291A81">
      <w:pPr>
        <w:pStyle w:val="12"/>
        <w:rPr>
          <w:rtl/>
        </w:rPr>
      </w:pPr>
      <w:r>
        <w:rPr>
          <w:rFonts w:hint="cs"/>
          <w:rtl/>
        </w:rPr>
        <w:t>עובדות כתב האישום המתוקן, בהן הורשע הנאשם, מלמדות כי הנאשם נקט באלימות חמורה כאשר פגע במתלונן בפניו וצווארו, שהם אזורים רגישים וחיוניים, אלימות שהיה בה כדי להעמיד את המתלונן בסכנת חיים ממשית. נגרם לחיים נזק חמור כתוצאה ממעשה העבירה, ורק בשל תושייתו וסוהר נוסף, נמנעו תוצאות חמורות הרבה יותר. הנאשם ביצע את מעשיו בין כותלי בית הסוהר, כלפי סוהר, לאחר שהחליט לפגוע בו בשל היותו סוהר.</w:t>
      </w:r>
    </w:p>
    <w:p w14:paraId="73069F4D" w14:textId="77777777" w:rsidR="003A1001" w:rsidRDefault="00291A81">
      <w:pPr>
        <w:pStyle w:val="12"/>
        <w:rPr>
          <w:b/>
          <w:bCs/>
          <w:rtl/>
        </w:rPr>
      </w:pPr>
      <w:r>
        <w:rPr>
          <w:rFonts w:hint="cs"/>
          <w:rtl/>
        </w:rPr>
        <w:t xml:space="preserve">המאשימה הפנתה לפסיקה לעניין חומרת העבירה- </w:t>
      </w:r>
      <w:hyperlink r:id="rId39" w:history="1">
        <w:r w:rsidRPr="00291A81">
          <w:rPr>
            <w:rStyle w:val="Hyperlink"/>
            <w:rFonts w:hint="eastAsia"/>
            <w:rtl/>
          </w:rPr>
          <w:t>ע</w:t>
        </w:r>
        <w:r w:rsidRPr="00291A81">
          <w:rPr>
            <w:rStyle w:val="Hyperlink"/>
            <w:rtl/>
          </w:rPr>
          <w:t>"פ 3573/08;</w:t>
        </w:r>
      </w:hyperlink>
      <w:r>
        <w:rPr>
          <w:rFonts w:hint="cs"/>
          <w:rtl/>
        </w:rPr>
        <w:t xml:space="preserve"> </w:t>
      </w:r>
      <w:hyperlink r:id="rId40" w:history="1">
        <w:r w:rsidRPr="00291A81">
          <w:rPr>
            <w:rStyle w:val="Hyperlink"/>
            <w:rFonts w:hint="eastAsia"/>
            <w:rtl/>
          </w:rPr>
          <w:t>ע</w:t>
        </w:r>
        <w:r w:rsidRPr="00291A81">
          <w:rPr>
            <w:rStyle w:val="Hyperlink"/>
            <w:rtl/>
          </w:rPr>
          <w:t>"פ 2597/08;</w:t>
        </w:r>
      </w:hyperlink>
      <w:r>
        <w:rPr>
          <w:rFonts w:hint="cs"/>
          <w:rtl/>
        </w:rPr>
        <w:t xml:space="preserve"> </w:t>
      </w:r>
      <w:hyperlink r:id="rId41" w:history="1">
        <w:r w:rsidRPr="00291A81">
          <w:rPr>
            <w:rStyle w:val="Hyperlink"/>
            <w:rFonts w:hint="eastAsia"/>
            <w:rtl/>
          </w:rPr>
          <w:t>ע</w:t>
        </w:r>
        <w:r w:rsidRPr="00291A81">
          <w:rPr>
            <w:rStyle w:val="Hyperlink"/>
            <w:rtl/>
          </w:rPr>
          <w:t>"פ 5641/09</w:t>
        </w:r>
      </w:hyperlink>
      <w:r>
        <w:rPr>
          <w:rFonts w:hint="cs"/>
          <w:rtl/>
        </w:rPr>
        <w:t>.</w:t>
      </w:r>
      <w:r>
        <w:rPr>
          <w:rFonts w:hint="cs"/>
          <w:u w:val="single"/>
          <w:rtl/>
        </w:rPr>
        <w:t xml:space="preserve"> </w:t>
      </w:r>
      <w:r>
        <w:rPr>
          <w:rFonts w:hint="cs"/>
          <w:rtl/>
        </w:rPr>
        <w:t>לעניין מדיניות הענישה הנהוגה, טוענת המאשימה שבית המשפט העליון עמד על הצורך בענישה משמעותית שתהווה גמול הולם לאינטרסים החשובים הנפגעים במקרים מסוג זה, תוך הפנייה ל</w:t>
      </w:r>
      <w:hyperlink r:id="rId42" w:history="1">
        <w:r w:rsidRPr="00291A81">
          <w:rPr>
            <w:rStyle w:val="Hyperlink"/>
            <w:rFonts w:hint="eastAsia"/>
            <w:rtl/>
          </w:rPr>
          <w:t>ע</w:t>
        </w:r>
        <w:r w:rsidRPr="00291A81">
          <w:rPr>
            <w:rStyle w:val="Hyperlink"/>
            <w:rtl/>
          </w:rPr>
          <w:t>"פ 7360/13</w:t>
        </w:r>
      </w:hyperlink>
      <w:r>
        <w:rPr>
          <w:rFonts w:hint="cs"/>
          <w:rtl/>
        </w:rPr>
        <w:t>,</w:t>
      </w:r>
      <w:r>
        <w:rPr>
          <w:rFonts w:hint="cs"/>
          <w:u w:val="single"/>
          <w:rtl/>
        </w:rPr>
        <w:t xml:space="preserve"> </w:t>
      </w:r>
      <w:hyperlink r:id="rId43" w:history="1">
        <w:r w:rsidRPr="00291A81">
          <w:rPr>
            <w:rStyle w:val="Hyperlink"/>
            <w:rFonts w:hint="eastAsia"/>
            <w:rtl/>
          </w:rPr>
          <w:t>ע</w:t>
        </w:r>
        <w:r w:rsidRPr="00291A81">
          <w:rPr>
            <w:rStyle w:val="Hyperlink"/>
            <w:rtl/>
          </w:rPr>
          <w:t>"פ 4631/13</w:t>
        </w:r>
      </w:hyperlink>
      <w:r>
        <w:rPr>
          <w:rFonts w:hint="cs"/>
          <w:rtl/>
        </w:rPr>
        <w:t xml:space="preserve">, </w:t>
      </w:r>
      <w:hyperlink r:id="rId44" w:history="1">
        <w:r w:rsidRPr="00291A81">
          <w:rPr>
            <w:rStyle w:val="Hyperlink"/>
            <w:rFonts w:hint="eastAsia"/>
            <w:rtl/>
          </w:rPr>
          <w:t>תפ</w:t>
        </w:r>
        <w:r w:rsidRPr="00291A81">
          <w:rPr>
            <w:rStyle w:val="Hyperlink"/>
            <w:rtl/>
          </w:rPr>
          <w:t>"ח 40025-01-13</w:t>
        </w:r>
      </w:hyperlink>
      <w:r>
        <w:rPr>
          <w:rFonts w:hint="cs"/>
          <w:rtl/>
        </w:rPr>
        <w:t xml:space="preserve">, </w:t>
      </w:r>
      <w:hyperlink r:id="rId45" w:history="1">
        <w:r w:rsidRPr="00291A81">
          <w:rPr>
            <w:rStyle w:val="Hyperlink"/>
            <w:rFonts w:hint="eastAsia"/>
            <w:rtl/>
          </w:rPr>
          <w:t>ע</w:t>
        </w:r>
        <w:r w:rsidRPr="00291A81">
          <w:rPr>
            <w:rStyle w:val="Hyperlink"/>
            <w:rtl/>
          </w:rPr>
          <w:t>"פ 1651/12</w:t>
        </w:r>
      </w:hyperlink>
      <w:r>
        <w:rPr>
          <w:rFonts w:hint="cs"/>
          <w:rtl/>
        </w:rPr>
        <w:t xml:space="preserve"> ו</w:t>
      </w:r>
      <w:hyperlink r:id="rId46" w:history="1">
        <w:r w:rsidRPr="00291A81">
          <w:rPr>
            <w:rStyle w:val="Hyperlink"/>
            <w:rFonts w:hint="eastAsia"/>
            <w:rtl/>
          </w:rPr>
          <w:t>ת</w:t>
        </w:r>
        <w:r w:rsidRPr="00291A81">
          <w:rPr>
            <w:rStyle w:val="Hyperlink"/>
            <w:rtl/>
          </w:rPr>
          <w:t>"פ 17212-11-12</w:t>
        </w:r>
      </w:hyperlink>
      <w:r>
        <w:rPr>
          <w:rFonts w:hint="cs"/>
          <w:rtl/>
        </w:rPr>
        <w:t>.</w:t>
      </w:r>
    </w:p>
    <w:p w14:paraId="601A3738" w14:textId="77777777" w:rsidR="003A1001" w:rsidRDefault="00291A81">
      <w:pPr>
        <w:pStyle w:val="12"/>
        <w:rPr>
          <w:rtl/>
        </w:rPr>
      </w:pPr>
      <w:r>
        <w:rPr>
          <w:rFonts w:hint="cs"/>
          <w:rtl/>
        </w:rPr>
        <w:t xml:space="preserve">לטענת המאשימה, </w:t>
      </w:r>
      <w:r>
        <w:rPr>
          <w:rFonts w:hint="cs"/>
          <w:sz w:val="24"/>
          <w:rtl/>
        </w:rPr>
        <w:t xml:space="preserve">על בית המשפט להוציא מסר ברור וחד משמעי לעבריינים פוטנציאליים ולציבור כולו – לפיו בעבירות מסוג זה יושתו עונשים חמורים. המאשימה ביקשה </w:t>
      </w:r>
      <w:r>
        <w:rPr>
          <w:rFonts w:hint="cs"/>
          <w:rtl/>
        </w:rPr>
        <w:t xml:space="preserve">להתחשב בשיקולי הרתעת הרבים והיחיד, כאשר מדובר בעבירה המאפיינת את "תת תרבות הסכין", קיימת חשיבות להרתעת הנאשם מחזרה על העבירה והרתעת הרבים, במיוחד כאשר מדובר באסיר שביצע עבירה כלפי איש סגל. נוכח זאת ומאחר שהנאשם לא חדל מפעילות עבריינית גם בין כותלי בית הסוהר, עותרת המאשימה להטיל על הנאשם עונש ראוי של חמש שנות מאסר בפועל, מאסר על תנאי, קנס ופיצוי למתלונן. </w:t>
      </w:r>
    </w:p>
    <w:p w14:paraId="68C54F0F" w14:textId="77777777" w:rsidR="003A1001" w:rsidRDefault="00291A81">
      <w:pPr>
        <w:pStyle w:val="1"/>
        <w:numPr>
          <w:ilvl w:val="0"/>
          <w:numId w:val="2"/>
        </w:numPr>
        <w:ind w:right="0"/>
        <w:rPr>
          <w:b/>
          <w:bCs/>
          <w:u w:val="single"/>
          <w:rtl/>
        </w:rPr>
      </w:pPr>
      <w:r>
        <w:rPr>
          <w:rFonts w:hint="cs"/>
          <w:b/>
          <w:bCs/>
          <w:u w:val="single"/>
          <w:rtl/>
        </w:rPr>
        <w:t>טענות הנאשם לעונש</w:t>
      </w:r>
    </w:p>
    <w:p w14:paraId="7476EBFB" w14:textId="77777777" w:rsidR="003A1001" w:rsidRDefault="00291A81">
      <w:pPr>
        <w:pStyle w:val="12"/>
      </w:pPr>
      <w:r>
        <w:rPr>
          <w:rFonts w:hint="cs"/>
          <w:rtl/>
        </w:rPr>
        <w:t xml:space="preserve">ב"כ הנאשם טען כי מתחם הענישה הנהוג במקרים מסוג זה הינו 12 חודשים עד 30 חודשי מאסר בפועל בלבד. לשיטתו, הגם שמדובר באסיר בטחוני, לא מדובר באירוע שבוצע על רקע לאומני, אלא בתקיפה שהחלה בשל חששו של הנאשם שהסוהרים מתנכלים לו. </w:t>
      </w:r>
    </w:p>
    <w:p w14:paraId="1147EDDA" w14:textId="77777777" w:rsidR="003A1001" w:rsidRDefault="00291A81">
      <w:pPr>
        <w:pStyle w:val="12"/>
        <w:rPr>
          <w:rtl/>
        </w:rPr>
      </w:pPr>
      <w:r>
        <w:rPr>
          <w:rFonts w:hint="cs"/>
          <w:rtl/>
        </w:rPr>
        <w:t xml:space="preserve">ב"כ הנאשם טוען כי הסוהרים השתלטו על הנאשם בקלות ובמהירות תוך הפעלת כוח בלתי סביר ומוגזם עד כי נגרמו לנאשם שברים בעצמות האף ושטפי דם בעיניים. הנאשם נזקק לקבלת טיפול רפואי ואף אושפז בבית החולים למשך שבוע ימים. כמו כן, נטען כי הנאשם הוענש גם בין כותלי בית הסוהר, בכך שנשלח להפרדה ובידוד למשך שנה וחצי ונשללו ממנו ביקורים וגם השימוש בקנטינה, בעוד שעל פי עדותו של המתלונן ועל פי תסקיר נפגע העבירה שנערך בעניינו, הלה חזר לעבודה יומיים לאחר המקרה והמשיך לבצע את אותו התפקיד שמילא קודם לכן. </w:t>
      </w:r>
    </w:p>
    <w:p w14:paraId="0F7C8CCE" w14:textId="77777777" w:rsidR="003A1001" w:rsidRDefault="00291A81">
      <w:pPr>
        <w:pStyle w:val="12"/>
        <w:rPr>
          <w:rtl/>
        </w:rPr>
      </w:pPr>
      <w:r>
        <w:rPr>
          <w:rFonts w:hint="cs"/>
          <w:rtl/>
        </w:rPr>
        <w:t>אשר לפסיקה שהגישה המאשימה לתמיכה בטענותיה, טוען ב"כ הנאשם כי היא אינה תואמת את נסיבות המקרה שבפנינו. שם דובר בתקיפה תוך כדי שימוש בסכין, בעוד שבעניינו של הנאשם מדובר בתקיפה באמצעות חוט ברזל שהנזק שיכול להיגרם ממנו קטן משמעותית מזה שיכול היה להיגרם משימוש בסכין. ב"כ הנאשם מפנה ל</w:t>
      </w:r>
      <w:hyperlink r:id="rId47" w:history="1">
        <w:r w:rsidRPr="00291A81">
          <w:rPr>
            <w:rStyle w:val="Hyperlink"/>
            <w:rFonts w:hint="eastAsia"/>
            <w:sz w:val="24"/>
            <w:rtl/>
          </w:rPr>
          <w:t>ת</w:t>
        </w:r>
        <w:r w:rsidRPr="00291A81">
          <w:rPr>
            <w:rStyle w:val="Hyperlink"/>
            <w:sz w:val="24"/>
            <w:rtl/>
          </w:rPr>
          <w:t>"פ 20828-06-15</w:t>
        </w:r>
      </w:hyperlink>
      <w:r>
        <w:rPr>
          <w:rFonts w:hint="cs"/>
          <w:sz w:val="24"/>
          <w:rtl/>
        </w:rPr>
        <w:t xml:space="preserve">, </w:t>
      </w:r>
      <w:hyperlink r:id="rId48" w:history="1">
        <w:r w:rsidRPr="00291A81">
          <w:rPr>
            <w:rStyle w:val="Hyperlink"/>
            <w:rFonts w:hint="eastAsia"/>
            <w:sz w:val="24"/>
            <w:rtl/>
          </w:rPr>
          <w:t>ת</w:t>
        </w:r>
        <w:r w:rsidRPr="00291A81">
          <w:rPr>
            <w:rStyle w:val="Hyperlink"/>
            <w:sz w:val="24"/>
            <w:rtl/>
          </w:rPr>
          <w:t>"פ 46386-04-13</w:t>
        </w:r>
      </w:hyperlink>
      <w:r>
        <w:rPr>
          <w:rFonts w:hint="cs"/>
          <w:sz w:val="24"/>
          <w:rtl/>
        </w:rPr>
        <w:t xml:space="preserve"> ו- </w:t>
      </w:r>
      <w:hyperlink r:id="rId49" w:history="1">
        <w:r w:rsidRPr="00291A81">
          <w:rPr>
            <w:rStyle w:val="Hyperlink"/>
            <w:rFonts w:hint="eastAsia"/>
            <w:sz w:val="24"/>
            <w:rtl/>
          </w:rPr>
          <w:t>ת</w:t>
        </w:r>
        <w:r w:rsidRPr="00291A81">
          <w:rPr>
            <w:rStyle w:val="Hyperlink"/>
            <w:sz w:val="24"/>
            <w:rtl/>
          </w:rPr>
          <w:t>"פ 35169-06-12</w:t>
        </w:r>
      </w:hyperlink>
      <w:r>
        <w:rPr>
          <w:rFonts w:hint="cs"/>
          <w:rtl/>
        </w:rPr>
        <w:t xml:space="preserve">. </w:t>
      </w:r>
    </w:p>
    <w:p w14:paraId="38326EB0" w14:textId="77777777" w:rsidR="003A1001" w:rsidRDefault="00291A81">
      <w:pPr>
        <w:pStyle w:val="12"/>
        <w:rPr>
          <w:rtl/>
        </w:rPr>
      </w:pPr>
      <w:r>
        <w:rPr>
          <w:rFonts w:hint="cs"/>
          <w:rtl/>
        </w:rPr>
        <w:t xml:space="preserve">לסיכום טענותיו הוסיף ב"כ הנאשם וטען כי מדובר בתושב שטחים שנכנס לכלא כשהוא צעיר בן 21 ונידון ל- 13 שנות מאסר בלא כל אפיק שיקומי. </w:t>
      </w:r>
    </w:p>
    <w:p w14:paraId="01CD2418" w14:textId="77777777" w:rsidR="003A1001" w:rsidRDefault="00291A81">
      <w:pPr>
        <w:pStyle w:val="1"/>
        <w:numPr>
          <w:ilvl w:val="0"/>
          <w:numId w:val="2"/>
        </w:numPr>
        <w:ind w:right="0"/>
        <w:rPr>
          <w:b/>
          <w:bCs/>
          <w:u w:val="single"/>
          <w:rtl/>
        </w:rPr>
      </w:pPr>
      <w:r>
        <w:rPr>
          <w:rFonts w:hint="cs"/>
          <w:b/>
          <w:bCs/>
          <w:u w:val="single"/>
          <w:rtl/>
        </w:rPr>
        <w:t>דבר הנאשם</w:t>
      </w:r>
    </w:p>
    <w:p w14:paraId="35EE4B24" w14:textId="77777777" w:rsidR="003A1001" w:rsidRDefault="00291A81">
      <w:pPr>
        <w:pStyle w:val="12"/>
      </w:pPr>
      <w:r>
        <w:rPr>
          <w:rFonts w:hint="cs"/>
          <w:rtl/>
        </w:rPr>
        <w:t xml:space="preserve">הנאשם, במסגרת המילה האחרונה, אמר שהוא מצטער על מעשיו. </w:t>
      </w:r>
    </w:p>
    <w:p w14:paraId="11C5742F" w14:textId="77777777" w:rsidR="003A1001" w:rsidRDefault="00291A81">
      <w:pPr>
        <w:pStyle w:val="00"/>
        <w:rPr>
          <w:rtl/>
        </w:rPr>
      </w:pPr>
      <w:r>
        <w:rPr>
          <w:rFonts w:hint="cs"/>
          <w:rtl/>
        </w:rPr>
        <w:t>דיון</w:t>
      </w:r>
    </w:p>
    <w:p w14:paraId="5F06D9DB" w14:textId="77777777" w:rsidR="003A1001" w:rsidRDefault="00291A81">
      <w:pPr>
        <w:pStyle w:val="1"/>
        <w:numPr>
          <w:ilvl w:val="0"/>
          <w:numId w:val="2"/>
        </w:numPr>
        <w:ind w:right="0"/>
        <w:rPr>
          <w:rtl/>
        </w:rPr>
      </w:pPr>
      <w:r>
        <w:rPr>
          <w:rFonts w:hint="cs"/>
          <w:rtl/>
        </w:rPr>
        <w:t>הנאשם הורשע בביצוע עבירה חמורה מאוד- בהיותו אסיר, הוא תקף סוהר באכזריות, באמצעות חפץ חד שהסתיר בבגדיו, ודקר אותו בפניו ובצווארו. הנזק הגופני שיכול היה להיגרם לסוהר היה חמור ביותר, וזאת נוכח האיברים בהם נגרמה הפגיעה- הפנים והצוואר, אך למרבה המזל, הנזק הגופני שנגרם בפועל, לא היה משמעותי. אולם, כעולה מתסקיר נפגע העבירה, הנזקים הנפשיים שנגרמו לחיים לא היו קלים ועד היום הוא נושא צלקות נפשיות בשל האירוע, המגבילות אותו בחיי החברה ובעבודתו.</w:t>
      </w:r>
    </w:p>
    <w:p w14:paraId="24E09BE6" w14:textId="77777777" w:rsidR="003A1001" w:rsidRDefault="00291A81">
      <w:pPr>
        <w:pStyle w:val="1"/>
        <w:numPr>
          <w:ilvl w:val="0"/>
          <w:numId w:val="2"/>
        </w:numPr>
        <w:ind w:right="0"/>
      </w:pPr>
      <w:r>
        <w:rPr>
          <w:rFonts w:hint="cs"/>
          <w:rtl/>
        </w:rPr>
        <w:t>החברה שולחת את הסוהרים למקום מסוכן, רווי אלימות, על מנת להגן עליה מפני עבריינים, כולל כאלה שעברו עבירות אלימות ואחרות, מן החמורות שבספר החוקים. על בית המשפט להגיב בחומרה על פגיעה בסוהרים, על מנת לתרום את חלקו בהגנה עליהם ולמאבק נגד גילויי אלימות נגדם.</w:t>
      </w:r>
    </w:p>
    <w:p w14:paraId="57C98B43" w14:textId="77777777" w:rsidR="003A1001" w:rsidRDefault="00291A81">
      <w:pPr>
        <w:pStyle w:val="10"/>
      </w:pPr>
      <w:r>
        <w:rPr>
          <w:rFonts w:hint="cs"/>
          <w:rtl/>
        </w:rPr>
        <w:t>מתחם העונש ההולם</w:t>
      </w:r>
    </w:p>
    <w:p w14:paraId="69F078D5" w14:textId="77777777" w:rsidR="003A1001" w:rsidRDefault="00291A81">
      <w:pPr>
        <w:pStyle w:val="1"/>
        <w:numPr>
          <w:ilvl w:val="0"/>
          <w:numId w:val="2"/>
        </w:numPr>
        <w:ind w:right="0"/>
      </w:pPr>
      <w:r>
        <w:rPr>
          <w:rFonts w:hint="cs"/>
          <w:rtl/>
        </w:rPr>
        <w:t>הערכים המוגנים שנפגעו מביצוע העבירה הם ביטחון ושלום הציבור, שלמות גופו וכבודו, שמירה על אנשי חוק ושלטון החוק והסדר הציבורי.</w:t>
      </w:r>
    </w:p>
    <w:p w14:paraId="49586802" w14:textId="77777777" w:rsidR="003A1001" w:rsidRDefault="00291A81">
      <w:pPr>
        <w:pStyle w:val="12"/>
      </w:pPr>
      <w:r>
        <w:rPr>
          <w:rFonts w:hint="cs"/>
          <w:rtl/>
        </w:rPr>
        <w:t>מידת הפגיעה בערכים היא גבוהה, בשל חומרת התקיפה והעובדה שהעבירות בוצעו בתחומי הכלא, כנגד עובד ציבור.</w:t>
      </w:r>
    </w:p>
    <w:p w14:paraId="5F9AEC64" w14:textId="77777777" w:rsidR="003A1001" w:rsidRDefault="00291A81">
      <w:pPr>
        <w:pStyle w:val="20"/>
        <w:rPr>
          <w:rtl/>
        </w:rPr>
      </w:pPr>
      <w:r>
        <w:rPr>
          <w:rFonts w:hint="cs"/>
          <w:rtl/>
        </w:rPr>
        <w:t>מדיניות הענישה</w:t>
      </w:r>
    </w:p>
    <w:p w14:paraId="556BA619" w14:textId="77777777" w:rsidR="003A1001" w:rsidRDefault="00291A81">
      <w:pPr>
        <w:pStyle w:val="1"/>
        <w:numPr>
          <w:ilvl w:val="0"/>
          <w:numId w:val="2"/>
        </w:numPr>
        <w:ind w:right="0"/>
      </w:pPr>
      <w:r>
        <w:rPr>
          <w:rFonts w:hint="cs"/>
          <w:rtl/>
        </w:rPr>
        <w:t xml:space="preserve">הנאשם הורשע בעבירת אלימות קשה בעודו מרצה עונש מאסר ממושך בגין עבירות חמורות. תקיפתו של הסוהר על ידי הנאשם נעשתה כאשר הופנה הנאשם לקבלת טיפול רפואי, למול עיניי הסוהרים, בין כותלי בית הסוהר, באמצעות נשק קר. </w:t>
      </w:r>
    </w:p>
    <w:p w14:paraId="1DCFEAE5" w14:textId="77777777" w:rsidR="003A1001" w:rsidRDefault="00291A81">
      <w:pPr>
        <w:pStyle w:val="1"/>
        <w:numPr>
          <w:ilvl w:val="0"/>
          <w:numId w:val="2"/>
        </w:numPr>
        <w:ind w:right="0"/>
        <w:rPr>
          <w:rtl/>
        </w:rPr>
      </w:pPr>
      <w:r>
        <w:rPr>
          <w:rFonts w:hint="cs"/>
          <w:rtl/>
        </w:rPr>
        <w:t xml:space="preserve">בית המשפט העליון חזר ופסק כי במקרי אלימות שכאלה המתבצעים בין כותלי בית הסוהר מתבקשת ענישה ראויה ומשמעותית למען הרתעתם של אחרים ולמען הרתעתם של הנאשמים עצמם. ראו, לדוגמה, </w:t>
      </w:r>
      <w:hyperlink r:id="rId50" w:history="1">
        <w:r w:rsidRPr="00291A81">
          <w:rPr>
            <w:rStyle w:val="Hyperlink"/>
            <w:rFonts w:hint="eastAsia"/>
            <w:rtl/>
          </w:rPr>
          <w:t>ע</w:t>
        </w:r>
        <w:r w:rsidRPr="00291A81">
          <w:rPr>
            <w:rStyle w:val="Hyperlink"/>
            <w:rtl/>
          </w:rPr>
          <w:t>"פ 5622/92</w:t>
        </w:r>
      </w:hyperlink>
      <w:r>
        <w:rPr>
          <w:rFonts w:hint="cs"/>
          <w:u w:val="single"/>
          <w:rtl/>
        </w:rPr>
        <w:t xml:space="preserve"> מאיר איפרגן נ' מדינת ישראל</w:t>
      </w:r>
      <w:r>
        <w:rPr>
          <w:rFonts w:hint="cs"/>
          <w:rtl/>
        </w:rPr>
        <w:t xml:space="preserve"> (16/3/94) כי: </w:t>
      </w:r>
    </w:p>
    <w:p w14:paraId="4C73168D" w14:textId="77777777" w:rsidR="003A1001" w:rsidRDefault="00291A81">
      <w:pPr>
        <w:pStyle w:val="Quote"/>
      </w:pPr>
      <w:r>
        <w:rPr>
          <w:rFonts w:hint="cs"/>
          <w:rtl/>
        </w:rPr>
        <w:t xml:space="preserve">"למרבה הצער, גלוי וידוע הוא שבין כתלי בתי הסוהר מתבצעים מידי פעם עבירות חמורות, ביניהן עבירות שעניינן אלימות קשה מתוך יריבויות בין אסירים לשם חיסול חשבונות... דומה שאסירים השפוטים לתקופות מאסר ארוכות, ועל אחת כמה וכבר לעונשי מאסר עולם, רואים חירות לעצמם לנהוג כך מתוך סברה מוטעית כי על עונש נוסף שיושת עליהם יהיה חסר משמעות, ובדרך כלל עונש חופף. תפיסה מסוכנת ומוטעית זו מעודדת עבריינות כמתואר לעיל. אם מבקשים להתמודד עם תופעה זו, ושומה על בתי המשפט לתרום את תרומתו להתמודדות זו, יש לגזור את דינם של אלה לעונשי מאסר משמעותיים ומצטברים שבהם, ואולי רק בהם, יש די לרסן, אם לא למגר את התופעה." </w:t>
      </w:r>
    </w:p>
    <w:p w14:paraId="7635045F" w14:textId="77777777" w:rsidR="003A1001" w:rsidRDefault="00291A81">
      <w:pPr>
        <w:pStyle w:val="12"/>
      </w:pPr>
      <w:r>
        <w:rPr>
          <w:rFonts w:hint="cs"/>
          <w:rtl/>
        </w:rPr>
        <w:t xml:space="preserve">ובמיוחד כאשר מדובר בתקיפת עובד ציבור, ראו, לדוגמה, </w:t>
      </w:r>
      <w:hyperlink r:id="rId51" w:history="1">
        <w:r w:rsidRPr="00291A81">
          <w:rPr>
            <w:rStyle w:val="Hyperlink"/>
            <w:rFonts w:hint="eastAsia"/>
            <w:rtl/>
          </w:rPr>
          <w:t>ע</w:t>
        </w:r>
        <w:r w:rsidRPr="00291A81">
          <w:rPr>
            <w:rStyle w:val="Hyperlink"/>
            <w:rtl/>
          </w:rPr>
          <w:t>"פ 10049/08</w:t>
        </w:r>
      </w:hyperlink>
      <w:r>
        <w:rPr>
          <w:rFonts w:hint="cs"/>
          <w:u w:val="single"/>
          <w:rtl/>
        </w:rPr>
        <w:t xml:space="preserve"> ראתב אבו עצא נ' מדינת ישראל</w:t>
      </w:r>
      <w:r>
        <w:rPr>
          <w:rFonts w:hint="cs"/>
          <w:rtl/>
        </w:rPr>
        <w:t xml:space="preserve"> (23/8/12):</w:t>
      </w:r>
    </w:p>
    <w:p w14:paraId="6AF5B8F4" w14:textId="77777777" w:rsidR="003A1001" w:rsidRDefault="00291A81">
      <w:pPr>
        <w:pStyle w:val="Quote"/>
        <w:rPr>
          <w:rtl/>
        </w:rPr>
      </w:pPr>
      <w:r>
        <w:rPr>
          <w:rFonts w:hint="cs"/>
          <w:rtl/>
        </w:rPr>
        <w:t>"על המערער ושכמותו לדעת כי פגיעה בשלמות גופם של ממלאי תפקיד לפי דין, ובפרט של שוטרים האמונים על שמירת השלום והסדר הציבורי, תוביל להשתת עונשים כבדים"</w:t>
      </w:r>
    </w:p>
    <w:p w14:paraId="6FC56000" w14:textId="77777777" w:rsidR="003A1001" w:rsidRDefault="00291A81">
      <w:pPr>
        <w:pStyle w:val="12"/>
        <w:rPr>
          <w:rtl/>
        </w:rPr>
      </w:pPr>
      <w:r>
        <w:rPr>
          <w:rFonts w:hint="cs"/>
          <w:rtl/>
        </w:rPr>
        <w:t xml:space="preserve">לעניין תקיפת עובדי ציבור, ראו גם </w:t>
      </w:r>
      <w:hyperlink r:id="rId52" w:history="1">
        <w:r w:rsidRPr="00291A81">
          <w:rPr>
            <w:rStyle w:val="Hyperlink"/>
            <w:rFonts w:hint="eastAsia"/>
            <w:rtl/>
          </w:rPr>
          <w:t>ע</w:t>
        </w:r>
        <w:r w:rsidRPr="00291A81">
          <w:rPr>
            <w:rStyle w:val="Hyperlink"/>
            <w:rtl/>
          </w:rPr>
          <w:t>"פ 4565/13</w:t>
        </w:r>
      </w:hyperlink>
      <w:r>
        <w:rPr>
          <w:rFonts w:hint="cs"/>
          <w:u w:val="single"/>
          <w:rtl/>
        </w:rPr>
        <w:t xml:space="preserve"> אמון חאלד נ' מדינת ישראל</w:t>
      </w:r>
      <w:r>
        <w:rPr>
          <w:rFonts w:hint="cs"/>
          <w:rtl/>
        </w:rPr>
        <w:t xml:space="preserve"> (4/11/13):</w:t>
      </w:r>
    </w:p>
    <w:p w14:paraId="0200C77B" w14:textId="77777777" w:rsidR="003A1001" w:rsidRDefault="00291A81">
      <w:pPr>
        <w:pStyle w:val="Quote"/>
        <w:rPr>
          <w:rtl/>
        </w:rPr>
      </w:pPr>
      <w:r>
        <w:rPr>
          <w:rFonts w:hint="cs"/>
          <w:rtl/>
        </w:rPr>
        <w:t>"בית משפט זה כבר פסק בעבר כי מעבר לחומרה הכללית הנודעת לעבירות אלימות, הרי שלאלימות המכוונת כנגד עובדי ציבור נודעת חומרה מיוחדת, מאחר שהן פוגעות פגיעה אנושה גם בערך החברתי הנודע לתפקוד התקין של השירות הציבורי ... זהו הרקע לחקיקת עבירות מיוחדות שעניינן לא רק הגנה על שלמות גופם של עובדי הציבור, אלא גם הגנה על כבודם, לפחות במצבים שבהם הפגיעה היא פגיעה קשה בליבתו.".</w:t>
      </w:r>
    </w:p>
    <w:p w14:paraId="72F16750" w14:textId="77777777" w:rsidR="003A1001" w:rsidRDefault="00291A81">
      <w:pPr>
        <w:pStyle w:val="20"/>
      </w:pPr>
      <w:r>
        <w:rPr>
          <w:rFonts w:hint="cs"/>
          <w:rtl/>
        </w:rPr>
        <w:t>הפסיקה הנוהגת</w:t>
      </w:r>
    </w:p>
    <w:p w14:paraId="321559A8" w14:textId="77777777" w:rsidR="003A1001" w:rsidRDefault="00291A81">
      <w:pPr>
        <w:pStyle w:val="1"/>
        <w:keepNext/>
        <w:numPr>
          <w:ilvl w:val="0"/>
          <w:numId w:val="2"/>
        </w:numPr>
        <w:ind w:right="0"/>
        <w:rPr>
          <w:rtl/>
        </w:rPr>
      </w:pPr>
      <w:r>
        <w:rPr>
          <w:rFonts w:hint="cs"/>
          <w:rtl/>
        </w:rPr>
        <w:t>סקירת הפסיקה הנוהגת בהתייחס לעבירות בהן הורשע הנאשם בנסיבות הדומות לענייננו, מלמדת על ענישה של מאסר משמעותי בפועל:</w:t>
      </w:r>
    </w:p>
    <w:p w14:paraId="781D5AAB" w14:textId="77777777" w:rsidR="003A1001" w:rsidRDefault="00291A81">
      <w:pPr>
        <w:pStyle w:val="12"/>
      </w:pPr>
      <w:hyperlink r:id="rId53" w:history="1">
        <w:r w:rsidRPr="00291A81">
          <w:rPr>
            <w:rStyle w:val="Hyperlink"/>
            <w:rFonts w:hint="eastAsia"/>
            <w:b/>
            <w:bCs/>
            <w:rtl/>
          </w:rPr>
          <w:t>עפ</w:t>
        </w:r>
        <w:r w:rsidRPr="00291A81">
          <w:rPr>
            <w:rStyle w:val="Hyperlink"/>
            <w:b/>
            <w:bCs/>
            <w:rtl/>
          </w:rPr>
          <w:t>"ג 11075-05-13</w:t>
        </w:r>
      </w:hyperlink>
      <w:r>
        <w:rPr>
          <w:rFonts w:hint="cs"/>
          <w:b/>
          <w:bCs/>
          <w:u w:val="single"/>
          <w:rtl/>
        </w:rPr>
        <w:t xml:space="preserve"> עווד צעידי נ' מדינת ישראל</w:t>
      </w:r>
      <w:r>
        <w:rPr>
          <w:rFonts w:hint="cs"/>
          <w:rtl/>
        </w:rPr>
        <w:t xml:space="preserve"> (6/11/13): המערער, תושב עזה, המרצה עונש מאסר בגין עבירות ביטחון, הורשע בבית משפט השלום בכך שחתך סוהר פעמיים בפניו בחפץ מתכתי. המערער הורשע בעבירה של פציעה בנסיבות מחמירות, לפי </w:t>
      </w:r>
      <w:hyperlink r:id="rId54" w:history="1">
        <w:r w:rsidR="00D04F30" w:rsidRPr="00D04F30">
          <w:rPr>
            <w:color w:val="0000FF"/>
            <w:u w:val="single"/>
            <w:rtl/>
          </w:rPr>
          <w:t>סעיף 334</w:t>
        </w:r>
      </w:hyperlink>
      <w:r>
        <w:rPr>
          <w:rFonts w:hint="cs"/>
          <w:b/>
          <w:bCs/>
          <w:rtl/>
        </w:rPr>
        <w:t xml:space="preserve"> בנסיבות </w:t>
      </w:r>
      <w:hyperlink r:id="rId55" w:history="1">
        <w:r w:rsidR="00D04F30" w:rsidRPr="00D04F30">
          <w:rPr>
            <w:b/>
            <w:bCs/>
            <w:color w:val="0000FF"/>
            <w:u w:val="single"/>
            <w:rtl/>
          </w:rPr>
          <w:t>סעיף 335(א)(1)</w:t>
        </w:r>
      </w:hyperlink>
      <w:r>
        <w:rPr>
          <w:rFonts w:hint="cs"/>
          <w:rtl/>
        </w:rPr>
        <w:t xml:space="preserve"> ל</w:t>
      </w:r>
      <w:hyperlink r:id="rId56" w:history="1">
        <w:r w:rsidRPr="00291A81">
          <w:rPr>
            <w:rStyle w:val="Hyperlink"/>
            <w:rFonts w:hint="eastAsia"/>
            <w:rtl/>
          </w:rPr>
          <w:t>חוק</w:t>
        </w:r>
        <w:r w:rsidRPr="00291A81">
          <w:rPr>
            <w:rStyle w:val="Hyperlink"/>
            <w:rtl/>
          </w:rPr>
          <w:t xml:space="preserve"> העונשין</w:t>
        </w:r>
      </w:hyperlink>
      <w:r>
        <w:rPr>
          <w:rFonts w:hint="cs"/>
          <w:rtl/>
        </w:rPr>
        <w:t xml:space="preserve">. בית משפט השלום קבע שהמתחם ההולם הוא 2 עד 5 שנים, וגזר על המערער מאסר </w:t>
      </w:r>
      <w:r>
        <w:rPr>
          <w:rFonts w:hint="cs"/>
          <w:b/>
          <w:bCs/>
          <w:rtl/>
        </w:rPr>
        <w:t>4 שנים</w:t>
      </w:r>
      <w:r>
        <w:rPr>
          <w:rFonts w:hint="cs"/>
          <w:rtl/>
        </w:rPr>
        <w:t>, במצטבר לעונש המאסר של 15 שנה, אותו הוא מרצה. בית המשפט המחוזי דחה את הערעור בקשר לעונש המאסר (אך ביטל קנס שהושת על המערער).</w:t>
      </w:r>
    </w:p>
    <w:p w14:paraId="192C4DC1" w14:textId="77777777" w:rsidR="003A1001" w:rsidRDefault="00291A81">
      <w:pPr>
        <w:pStyle w:val="12"/>
        <w:rPr>
          <w:rtl/>
        </w:rPr>
      </w:pPr>
      <w:hyperlink r:id="rId57" w:history="1">
        <w:r w:rsidRPr="00291A81">
          <w:rPr>
            <w:rStyle w:val="Hyperlink"/>
            <w:rFonts w:hint="eastAsia"/>
            <w:b/>
            <w:bCs/>
            <w:rtl/>
          </w:rPr>
          <w:t>ת</w:t>
        </w:r>
        <w:r w:rsidRPr="00291A81">
          <w:rPr>
            <w:rStyle w:val="Hyperlink"/>
            <w:b/>
            <w:bCs/>
            <w:rtl/>
          </w:rPr>
          <w:t>"פ (מחוזי ב"ש) 8064/98</w:t>
        </w:r>
      </w:hyperlink>
      <w:r>
        <w:rPr>
          <w:rFonts w:hint="cs"/>
          <w:b/>
          <w:bCs/>
          <w:u w:val="single"/>
          <w:rtl/>
        </w:rPr>
        <w:t xml:space="preserve"> מדינת ישראל נ' שוקרי אחמד</w:t>
      </w:r>
      <w:r>
        <w:rPr>
          <w:rFonts w:hint="cs"/>
          <w:rtl/>
        </w:rPr>
        <w:t xml:space="preserve"> (5/4/01): הנאשם, אשר היה אסיר במועד הרלוונטי, הובא לבדיקה במרפאת הכלא, דקר את רופא הכלא באמצעות דוקרן שהחביא בבגדיו. הנאשם הורשע בעבירה לפי </w:t>
      </w:r>
      <w:hyperlink r:id="rId58" w:history="1">
        <w:r w:rsidR="00D04F30" w:rsidRPr="00D04F30">
          <w:rPr>
            <w:b/>
            <w:bCs/>
            <w:color w:val="0000FF"/>
            <w:u w:val="single"/>
            <w:rtl/>
          </w:rPr>
          <w:t>סעיף 329</w:t>
        </w:r>
      </w:hyperlink>
      <w:r>
        <w:rPr>
          <w:rFonts w:hint="cs"/>
          <w:rtl/>
        </w:rPr>
        <w:t xml:space="preserve"> ל</w:t>
      </w:r>
      <w:hyperlink r:id="rId59" w:history="1">
        <w:r w:rsidRPr="00291A81">
          <w:rPr>
            <w:rStyle w:val="Hyperlink"/>
            <w:rFonts w:hint="eastAsia"/>
            <w:rtl/>
          </w:rPr>
          <w:t>חוק</w:t>
        </w:r>
        <w:r w:rsidRPr="00291A81">
          <w:rPr>
            <w:rStyle w:val="Hyperlink"/>
            <w:rtl/>
          </w:rPr>
          <w:t xml:space="preserve"> העונשין</w:t>
        </w:r>
      </w:hyperlink>
      <w:r>
        <w:rPr>
          <w:rFonts w:hint="cs"/>
          <w:rtl/>
        </w:rPr>
        <w:t xml:space="preserve"> (וסעיפים נוספים), ונגזרו עליו </w:t>
      </w:r>
      <w:r>
        <w:rPr>
          <w:rFonts w:hint="cs"/>
          <w:b/>
          <w:bCs/>
          <w:rtl/>
        </w:rPr>
        <w:t>7 שנות</w:t>
      </w:r>
      <w:r>
        <w:rPr>
          <w:rFonts w:hint="cs"/>
          <w:rtl/>
        </w:rPr>
        <w:t xml:space="preserve"> מאסר, במצטבר לתקופת מאסרו, תוך שבית המשפט מציין שהוא אינו ממצה את הדין עם הנאשם, נוכח מצב בריאותו הלקוי ונוכח תקופת המאסר הארוכה שעליו לרצות.</w:t>
      </w:r>
    </w:p>
    <w:p w14:paraId="53AFB3DD" w14:textId="77777777" w:rsidR="003A1001" w:rsidRDefault="00E84C3D">
      <w:pPr>
        <w:pStyle w:val="12"/>
        <w:rPr>
          <w:rtl/>
        </w:rPr>
      </w:pPr>
      <w:hyperlink r:id="rId60" w:history="1">
        <w:r w:rsidRPr="00E84C3D">
          <w:rPr>
            <w:b/>
            <w:bCs/>
            <w:color w:val="0000FF"/>
            <w:u w:val="single"/>
            <w:rtl/>
          </w:rPr>
          <w:t>ת"פ (מחוזי נצ') 1142/04</w:t>
        </w:r>
      </w:hyperlink>
      <w:r w:rsidR="00291A81">
        <w:rPr>
          <w:rFonts w:hint="cs"/>
          <w:b/>
          <w:bCs/>
          <w:u w:val="single"/>
          <w:rtl/>
        </w:rPr>
        <w:t xml:space="preserve"> מדינת ישראל נ' מראד אבו רכאב</w:t>
      </w:r>
      <w:r w:rsidR="00291A81">
        <w:rPr>
          <w:rFonts w:hint="cs"/>
          <w:rtl/>
        </w:rPr>
        <w:t xml:space="preserve"> (5/7/05): הנאשם, אשר היה למטה מגיל 21 בעת ביצוע העבירה וריצה עונש מאסר ארוך בבית הכלא, הורשע בעבירה לפי </w:t>
      </w:r>
      <w:hyperlink r:id="rId61" w:history="1">
        <w:r w:rsidR="00D04F30" w:rsidRPr="00D04F30">
          <w:rPr>
            <w:b/>
            <w:bCs/>
            <w:color w:val="0000FF"/>
            <w:u w:val="single"/>
            <w:rtl/>
          </w:rPr>
          <w:t>סעיף 329(א)</w:t>
        </w:r>
      </w:hyperlink>
      <w:r w:rsidR="00291A81">
        <w:rPr>
          <w:rFonts w:hint="cs"/>
          <w:rtl/>
        </w:rPr>
        <w:t xml:space="preserve"> ל</w:t>
      </w:r>
      <w:hyperlink r:id="rId62" w:history="1">
        <w:r w:rsidR="00291A81" w:rsidRPr="00291A81">
          <w:rPr>
            <w:rStyle w:val="Hyperlink"/>
            <w:rFonts w:hint="eastAsia"/>
            <w:rtl/>
          </w:rPr>
          <w:t>חוק</w:t>
        </w:r>
        <w:r w:rsidR="00291A81" w:rsidRPr="00291A81">
          <w:rPr>
            <w:rStyle w:val="Hyperlink"/>
            <w:rtl/>
          </w:rPr>
          <w:t xml:space="preserve"> העונשין</w:t>
        </w:r>
      </w:hyperlink>
      <w:r w:rsidR="00291A81">
        <w:rPr>
          <w:rFonts w:hint="cs"/>
          <w:rtl/>
        </w:rPr>
        <w:t xml:space="preserve">, לאחר ששפך שמן רותח לעבר שני סוהרים, ונגזר עליו עונש מאסר של </w:t>
      </w:r>
      <w:r w:rsidR="00291A81">
        <w:rPr>
          <w:rFonts w:hint="cs"/>
          <w:b/>
          <w:bCs/>
          <w:rtl/>
        </w:rPr>
        <w:t>7 שנים</w:t>
      </w:r>
      <w:r w:rsidR="00291A81">
        <w:rPr>
          <w:rFonts w:hint="cs"/>
          <w:rtl/>
        </w:rPr>
        <w:t>, במצטבר לעונש אותו הוא מרצה.</w:t>
      </w:r>
    </w:p>
    <w:p w14:paraId="1693FB75" w14:textId="77777777" w:rsidR="003A1001" w:rsidRDefault="00291A81">
      <w:pPr>
        <w:pStyle w:val="12"/>
        <w:rPr>
          <w:rtl/>
        </w:rPr>
      </w:pPr>
      <w:hyperlink r:id="rId63" w:history="1">
        <w:r w:rsidRPr="00291A81">
          <w:rPr>
            <w:rStyle w:val="Hyperlink"/>
            <w:rFonts w:hint="eastAsia"/>
            <w:b/>
            <w:bCs/>
            <w:rtl/>
          </w:rPr>
          <w:t>ע</w:t>
        </w:r>
        <w:r w:rsidRPr="00291A81">
          <w:rPr>
            <w:rStyle w:val="Hyperlink"/>
            <w:b/>
            <w:bCs/>
            <w:rtl/>
          </w:rPr>
          <w:t>"פ 9385/10</w:t>
        </w:r>
      </w:hyperlink>
      <w:r>
        <w:rPr>
          <w:rFonts w:hint="cs"/>
          <w:b/>
          <w:bCs/>
          <w:u w:val="single"/>
          <w:rtl/>
        </w:rPr>
        <w:t xml:space="preserve"> חוסיין אבו צעלוק נ' מדינת ישראל</w:t>
      </w:r>
      <w:r>
        <w:rPr>
          <w:rFonts w:hint="cs"/>
          <w:b/>
          <w:bCs/>
          <w:rtl/>
        </w:rPr>
        <w:t xml:space="preserve"> </w:t>
      </w:r>
      <w:r>
        <w:rPr>
          <w:rFonts w:hint="cs"/>
          <w:rtl/>
        </w:rPr>
        <w:t xml:space="preserve">(27/12/11): המערער הורשע בחבלה חמורה בנסיבות מחמירות, לפי </w:t>
      </w:r>
      <w:hyperlink r:id="rId64" w:history="1">
        <w:r w:rsidR="00D04F30" w:rsidRPr="00D04F30">
          <w:rPr>
            <w:color w:val="0000FF"/>
            <w:u w:val="single"/>
            <w:rtl/>
          </w:rPr>
          <w:t>סעיף 333</w:t>
        </w:r>
      </w:hyperlink>
      <w:r>
        <w:rPr>
          <w:rFonts w:hint="cs"/>
          <w:b/>
          <w:bCs/>
          <w:rtl/>
        </w:rPr>
        <w:t xml:space="preserve"> בנסיבות </w:t>
      </w:r>
      <w:hyperlink r:id="rId65" w:history="1">
        <w:r w:rsidR="00D04F30" w:rsidRPr="00D04F30">
          <w:rPr>
            <w:b/>
            <w:bCs/>
            <w:color w:val="0000FF"/>
            <w:u w:val="single"/>
            <w:rtl/>
          </w:rPr>
          <w:t>סעיף 335(א)(1)</w:t>
        </w:r>
      </w:hyperlink>
      <w:r>
        <w:rPr>
          <w:rFonts w:hint="cs"/>
          <w:rtl/>
        </w:rPr>
        <w:t xml:space="preserve"> ל</w:t>
      </w:r>
      <w:hyperlink r:id="rId66" w:history="1">
        <w:r w:rsidRPr="00291A81">
          <w:rPr>
            <w:rStyle w:val="Hyperlink"/>
            <w:rFonts w:hint="eastAsia"/>
            <w:rtl/>
          </w:rPr>
          <w:t>חוק</w:t>
        </w:r>
        <w:r w:rsidRPr="00291A81">
          <w:rPr>
            <w:rStyle w:val="Hyperlink"/>
            <w:rtl/>
          </w:rPr>
          <w:t xml:space="preserve"> העונשין</w:t>
        </w:r>
      </w:hyperlink>
      <w:r>
        <w:rPr>
          <w:rFonts w:hint="cs"/>
          <w:rtl/>
        </w:rPr>
        <w:t xml:space="preserve">, על כך שחתך אסיר אחר בצוואר ובחזה, באמצעות מכסה של קופסת שימורים.  בית המשפט המחוזי גזר על הנאשם </w:t>
      </w:r>
      <w:r>
        <w:rPr>
          <w:rFonts w:hint="cs"/>
          <w:b/>
          <w:bCs/>
          <w:rtl/>
        </w:rPr>
        <w:t>5 שנות</w:t>
      </w:r>
      <w:r>
        <w:rPr>
          <w:rFonts w:hint="cs"/>
          <w:rtl/>
        </w:rPr>
        <w:t xml:space="preserve"> מאסר ובית המשפט העליון דחה את הערעור, תוך שהוא מציין לחומרה את העובדה שהעבירה בוצעה בתוך כותלי בית הסוהר.</w:t>
      </w:r>
    </w:p>
    <w:p w14:paraId="462266A2" w14:textId="77777777" w:rsidR="003A1001" w:rsidRDefault="00291A81">
      <w:pPr>
        <w:pStyle w:val="12"/>
        <w:rPr>
          <w:rtl/>
        </w:rPr>
      </w:pPr>
      <w:hyperlink r:id="rId67" w:history="1">
        <w:r w:rsidRPr="00291A81">
          <w:rPr>
            <w:rStyle w:val="Hyperlink"/>
            <w:rFonts w:hint="eastAsia"/>
            <w:b/>
            <w:bCs/>
            <w:rtl/>
          </w:rPr>
          <w:t>ע</w:t>
        </w:r>
        <w:r w:rsidRPr="00291A81">
          <w:rPr>
            <w:rStyle w:val="Hyperlink"/>
            <w:b/>
            <w:bCs/>
            <w:rtl/>
          </w:rPr>
          <w:t>"פ 6347/12</w:t>
        </w:r>
      </w:hyperlink>
      <w:r>
        <w:rPr>
          <w:rFonts w:hint="cs"/>
          <w:b/>
          <w:bCs/>
          <w:u w:val="single"/>
          <w:rtl/>
        </w:rPr>
        <w:t xml:space="preserve"> מדינת ישראל נ' שי מרה</w:t>
      </w:r>
      <w:r>
        <w:rPr>
          <w:rFonts w:hint="cs"/>
          <w:rtl/>
        </w:rPr>
        <w:t xml:space="preserve"> (מיום 13/5/13): המשיב הורשע בעבירה לפי </w:t>
      </w:r>
      <w:hyperlink r:id="rId68" w:history="1">
        <w:r w:rsidR="00D04F30" w:rsidRPr="00D04F30">
          <w:rPr>
            <w:b/>
            <w:bCs/>
            <w:color w:val="0000FF"/>
            <w:u w:val="single"/>
            <w:rtl/>
          </w:rPr>
          <w:t>סעיף 329(א)</w:t>
        </w:r>
      </w:hyperlink>
      <w:r>
        <w:rPr>
          <w:rFonts w:hint="cs"/>
          <w:rtl/>
        </w:rPr>
        <w:t xml:space="preserve"> ל</w:t>
      </w:r>
      <w:hyperlink r:id="rId69" w:history="1">
        <w:r w:rsidRPr="00291A81">
          <w:rPr>
            <w:rStyle w:val="Hyperlink"/>
            <w:rFonts w:hint="eastAsia"/>
            <w:rtl/>
          </w:rPr>
          <w:t>חוק</w:t>
        </w:r>
        <w:r w:rsidRPr="00291A81">
          <w:rPr>
            <w:rStyle w:val="Hyperlink"/>
            <w:rtl/>
          </w:rPr>
          <w:t xml:space="preserve"> העונשין</w:t>
        </w:r>
      </w:hyperlink>
      <w:r>
        <w:rPr>
          <w:rFonts w:hint="cs"/>
          <w:rtl/>
        </w:rPr>
        <w:t xml:space="preserve"> (וסעיפים נוספים), בכך שכאשר היה אסיר, שפך דלי מים רותחים על ראשו של אסיר, הכה אסיר נוסף עם הדלי ושפך עליו את שארית המים הרותחים שנותרו, הכה אותו באגרופים ובבעיטות. בית המשפט המחוזי גזר עליו עונש מאסר למשך 3 שנים, בהתחשב בגילו הצעיר, נכונותו להודות בעבירות שיוחסו לו ובנסיבות חיו. בית המשפט העליון קיבל את הערעור והחמיר את עונשו של המשיב ל- </w:t>
      </w:r>
      <w:r>
        <w:rPr>
          <w:rFonts w:hint="cs"/>
          <w:b/>
          <w:bCs/>
          <w:rtl/>
        </w:rPr>
        <w:t>4 שנות מאסר</w:t>
      </w:r>
      <w:r>
        <w:rPr>
          <w:rFonts w:hint="cs"/>
          <w:rtl/>
        </w:rPr>
        <w:t>, תוך שהוא מציין לחומרה שהעבירה בוצעה בין כותלי הכלא.</w:t>
      </w:r>
    </w:p>
    <w:p w14:paraId="30C8385C" w14:textId="77777777" w:rsidR="003A1001" w:rsidRDefault="00291A81">
      <w:pPr>
        <w:pStyle w:val="12"/>
        <w:rPr>
          <w:rtl/>
        </w:rPr>
      </w:pPr>
      <w:hyperlink r:id="rId70" w:history="1">
        <w:r w:rsidRPr="00291A81">
          <w:rPr>
            <w:rStyle w:val="Hyperlink"/>
            <w:b/>
            <w:bCs/>
            <w:rtl/>
          </w:rPr>
          <w:t>ת"פ 54416-01-13</w:t>
        </w:r>
      </w:hyperlink>
      <w:r>
        <w:rPr>
          <w:b/>
          <w:bCs/>
          <w:u w:val="single"/>
          <w:rtl/>
        </w:rPr>
        <w:t xml:space="preserve"> מדינת ישראל נ' עמאר</w:t>
      </w:r>
      <w:r>
        <w:rPr>
          <w:rtl/>
        </w:rPr>
        <w:t xml:space="preserve"> (14/10/13): הנאשם הורשע בעבירות לפי </w:t>
      </w:r>
      <w:hyperlink r:id="rId71" w:history="1">
        <w:r w:rsidR="00D04F30" w:rsidRPr="00D04F30">
          <w:rPr>
            <w:color w:val="0000FF"/>
            <w:u w:val="single"/>
            <w:rtl/>
          </w:rPr>
          <w:t>סעיף 329(א)</w:t>
        </w:r>
      </w:hyperlink>
      <w:r>
        <w:rPr>
          <w:rtl/>
        </w:rPr>
        <w:t xml:space="preserve"> ל</w:t>
      </w:r>
      <w:hyperlink r:id="rId72" w:history="1">
        <w:r w:rsidRPr="00291A81">
          <w:rPr>
            <w:rStyle w:val="Hyperlink"/>
            <w:rtl/>
          </w:rPr>
          <w:t>חוק העונשין</w:t>
        </w:r>
      </w:hyperlink>
      <w:r>
        <w:rPr>
          <w:rtl/>
        </w:rPr>
        <w:t xml:space="preserve"> (ועבירות נוספות), בכך שחתך את המתלונן בפניו, חתך ארוך ועמוק מאזור אוזנו השמאלית ועד מעל שפתו העליונה ולרוחב לחיו השמאלית של המתלונן, באמצעות סכין. בית המשפט המחוזי קבע כי מתחם הענישה לעבירה בה הורשע הנאשם הוא בין </w:t>
      </w:r>
      <w:r>
        <w:rPr>
          <w:b/>
          <w:bCs/>
          <w:rtl/>
        </w:rPr>
        <w:t>4 ל- 7</w:t>
      </w:r>
      <w:r>
        <w:rPr>
          <w:rtl/>
        </w:rPr>
        <w:t xml:space="preserve"> שנים והשית על הנאשם </w:t>
      </w:r>
      <w:r>
        <w:rPr>
          <w:b/>
          <w:bCs/>
          <w:rtl/>
        </w:rPr>
        <w:t>5 שנים</w:t>
      </w:r>
      <w:r>
        <w:rPr>
          <w:rtl/>
        </w:rPr>
        <w:t>.</w:t>
      </w:r>
    </w:p>
    <w:p w14:paraId="0C26DD4B" w14:textId="77777777" w:rsidR="003A1001" w:rsidRDefault="00291A81">
      <w:pPr>
        <w:pStyle w:val="12"/>
        <w:rPr>
          <w:rtl/>
        </w:rPr>
      </w:pPr>
      <w:hyperlink r:id="rId73" w:history="1">
        <w:r w:rsidRPr="00291A81">
          <w:rPr>
            <w:rStyle w:val="Hyperlink"/>
            <w:b/>
            <w:bCs/>
            <w:rtl/>
          </w:rPr>
          <w:t>ע"פ 1651/12</w:t>
        </w:r>
      </w:hyperlink>
      <w:r>
        <w:rPr>
          <w:b/>
          <w:bCs/>
          <w:u w:val="single"/>
          <w:rtl/>
        </w:rPr>
        <w:t xml:space="preserve"> בן יטח נ' מדינת ישראל</w:t>
      </w:r>
      <w:r>
        <w:rPr>
          <w:rtl/>
        </w:rPr>
        <w:t xml:space="preserve"> (4/7/16): המערער, בוגר צעיר בן 22, הורשע בעבירות לפי </w:t>
      </w:r>
      <w:hyperlink r:id="rId74" w:history="1">
        <w:r w:rsidR="00D04F30" w:rsidRPr="00D04F30">
          <w:rPr>
            <w:b/>
            <w:bCs/>
            <w:color w:val="0000FF"/>
            <w:u w:val="single"/>
            <w:rtl/>
          </w:rPr>
          <w:t>סעיף 329(א)</w:t>
        </w:r>
      </w:hyperlink>
      <w:r>
        <w:rPr>
          <w:rtl/>
        </w:rPr>
        <w:t xml:space="preserve"> ל</w:t>
      </w:r>
      <w:hyperlink r:id="rId75" w:history="1">
        <w:r w:rsidRPr="00291A81">
          <w:rPr>
            <w:rStyle w:val="Hyperlink"/>
            <w:rtl/>
          </w:rPr>
          <w:t>חוק העונשין</w:t>
        </w:r>
      </w:hyperlink>
      <w:r>
        <w:rPr>
          <w:rtl/>
        </w:rPr>
        <w:t xml:space="preserve"> (וסעיפים נוספים), בכך שהכה את המתלונן באגרופים מאוחר יותר, דקר אותו שתי דקירות בבטנו ובבית החזה. בית המשפט המחוזי גזר על המערער </w:t>
      </w:r>
      <w:r>
        <w:rPr>
          <w:b/>
          <w:bCs/>
          <w:rtl/>
        </w:rPr>
        <w:t>7 שנות מאסר</w:t>
      </w:r>
      <w:r>
        <w:rPr>
          <w:rtl/>
        </w:rPr>
        <w:t>. בית המשפט העליון דחה את הערעור תוך שציין שהעונש מצוי ברף העליון של המתחם, אך אינו חורג ממנו.</w:t>
      </w:r>
    </w:p>
    <w:p w14:paraId="4A043EBE" w14:textId="77777777" w:rsidR="003A1001" w:rsidRDefault="00291A81">
      <w:pPr>
        <w:pStyle w:val="1"/>
        <w:rPr>
          <w:rtl/>
        </w:rPr>
      </w:pPr>
      <w:r>
        <w:rPr>
          <w:rFonts w:hint="cs"/>
          <w:rtl/>
        </w:rPr>
        <w:t xml:space="preserve">הנאשם הפנה לגזרי דין בהם נגזרו על הנאשמים עונשים של 12 עד 24 חודשי מאסר, והמתחם העולה מהם הוא 18 – 48 חודשים. אולם, בגזרי הדין אליהם הפנה הנאשם הורשעו הנאשמים בעבירות קלות מהנאשם בתיק הנוכחי (לפי </w:t>
      </w:r>
      <w:hyperlink r:id="rId76" w:history="1">
        <w:r w:rsidR="00D04F30" w:rsidRPr="00D04F30">
          <w:rPr>
            <w:color w:val="0000FF"/>
            <w:u w:val="single"/>
            <w:rtl/>
          </w:rPr>
          <w:t>סעיפים 333</w:t>
        </w:r>
      </w:hyperlink>
      <w:r>
        <w:rPr>
          <w:rFonts w:hint="cs"/>
          <w:rtl/>
        </w:rPr>
        <w:t xml:space="preserve"> או </w:t>
      </w:r>
      <w:hyperlink r:id="rId77" w:history="1">
        <w:r w:rsidR="00D04F30" w:rsidRPr="00D04F30">
          <w:rPr>
            <w:rStyle w:val="Hyperlink"/>
            <w:rtl/>
          </w:rPr>
          <w:t>334</w:t>
        </w:r>
      </w:hyperlink>
      <w:r>
        <w:rPr>
          <w:rFonts w:hint="cs"/>
          <w:rtl/>
        </w:rPr>
        <w:t xml:space="preserve">, בנסיבות </w:t>
      </w:r>
      <w:hyperlink r:id="rId78" w:history="1">
        <w:r w:rsidR="00D04F30" w:rsidRPr="00D04F30">
          <w:rPr>
            <w:rStyle w:val="Hyperlink"/>
            <w:rFonts w:hint="eastAsia"/>
            <w:rtl/>
          </w:rPr>
          <w:t>סעיף</w:t>
        </w:r>
        <w:r w:rsidR="00D04F30" w:rsidRPr="00D04F30">
          <w:rPr>
            <w:rStyle w:val="Hyperlink"/>
            <w:rtl/>
          </w:rPr>
          <w:t xml:space="preserve"> 335</w:t>
        </w:r>
      </w:hyperlink>
      <w:r>
        <w:rPr>
          <w:rFonts w:hint="cs"/>
          <w:rtl/>
        </w:rPr>
        <w:t xml:space="preserve"> ל</w:t>
      </w:r>
      <w:hyperlink r:id="rId79" w:history="1">
        <w:r w:rsidRPr="00291A81">
          <w:rPr>
            <w:rStyle w:val="Hyperlink"/>
            <w:rFonts w:hint="eastAsia"/>
            <w:rtl/>
          </w:rPr>
          <w:t>חוק</w:t>
        </w:r>
        <w:r w:rsidRPr="00291A81">
          <w:rPr>
            <w:rStyle w:val="Hyperlink"/>
            <w:rtl/>
          </w:rPr>
          <w:t xml:space="preserve"> העונשין</w:t>
        </w:r>
      </w:hyperlink>
      <w:r>
        <w:rPr>
          <w:rFonts w:hint="cs"/>
          <w:rtl/>
        </w:rPr>
        <w:t xml:space="preserve">, לעומת הנאשם שהורשע בעבירה לפי </w:t>
      </w:r>
      <w:hyperlink r:id="rId80" w:history="1">
        <w:r w:rsidR="00D04F30" w:rsidRPr="00D04F30">
          <w:rPr>
            <w:rStyle w:val="Hyperlink"/>
            <w:rFonts w:hint="eastAsia"/>
            <w:rtl/>
          </w:rPr>
          <w:t>סעיף</w:t>
        </w:r>
        <w:r w:rsidR="00D04F30" w:rsidRPr="00D04F30">
          <w:rPr>
            <w:rStyle w:val="Hyperlink"/>
            <w:rtl/>
          </w:rPr>
          <w:t xml:space="preserve"> 329</w:t>
        </w:r>
      </w:hyperlink>
      <w:r>
        <w:rPr>
          <w:rFonts w:hint="cs"/>
          <w:rtl/>
        </w:rPr>
        <w:t xml:space="preserve"> לחוק העונשין), ובאחד מהם אף זוכה הנאשם מעבירה לפי </w:t>
      </w:r>
      <w:hyperlink r:id="rId81" w:history="1">
        <w:r w:rsidR="00D04F30" w:rsidRPr="00D04F30">
          <w:rPr>
            <w:rStyle w:val="Hyperlink"/>
            <w:rFonts w:hint="eastAsia"/>
            <w:rtl/>
          </w:rPr>
          <w:t>סעיף</w:t>
        </w:r>
        <w:r w:rsidR="00D04F30" w:rsidRPr="00D04F30">
          <w:rPr>
            <w:rStyle w:val="Hyperlink"/>
            <w:rtl/>
          </w:rPr>
          <w:t xml:space="preserve"> 329</w:t>
        </w:r>
      </w:hyperlink>
      <w:r>
        <w:rPr>
          <w:rFonts w:hint="cs"/>
          <w:rtl/>
        </w:rPr>
        <w:t xml:space="preserve"> לחוק העונשין. לכן, המתחם הראוי בענייננו הוא גבוה יותר מזה העולה מגזרי הדין אליהם הפנה הנאשם.</w:t>
      </w:r>
    </w:p>
    <w:p w14:paraId="1FE7D737" w14:textId="77777777" w:rsidR="003A1001" w:rsidRDefault="00291A81">
      <w:pPr>
        <w:pStyle w:val="1"/>
        <w:numPr>
          <w:ilvl w:val="0"/>
          <w:numId w:val="2"/>
        </w:numPr>
        <w:ind w:right="0"/>
        <w:rPr>
          <w:rtl/>
        </w:rPr>
      </w:pPr>
      <w:r>
        <w:rPr>
          <w:rFonts w:hint="cs"/>
          <w:rtl/>
        </w:rPr>
        <w:t xml:space="preserve">בהביאי בחשבון את הערכים החברתיים שנפגעו מביצוע העבירה; הפגיעה הגבוהה בהם;  מדיניות הענישה הנהוגה כפי שפורטה לעיל (בשים לב שחלק מגזרי הדין שפורטו לעיל נגזרו בגין עבירות קלות יותר, לפי </w:t>
      </w:r>
      <w:hyperlink r:id="rId82" w:history="1">
        <w:r w:rsidR="00D04F30" w:rsidRPr="00D04F30">
          <w:rPr>
            <w:rStyle w:val="Hyperlink"/>
            <w:rFonts w:hint="eastAsia"/>
            <w:rtl/>
          </w:rPr>
          <w:t>סעיפים</w:t>
        </w:r>
        <w:r w:rsidR="00D04F30" w:rsidRPr="00D04F30">
          <w:rPr>
            <w:rStyle w:val="Hyperlink"/>
            <w:rtl/>
          </w:rPr>
          <w:t xml:space="preserve"> 333</w:t>
        </w:r>
      </w:hyperlink>
      <w:r>
        <w:rPr>
          <w:rFonts w:hint="cs"/>
          <w:rtl/>
        </w:rPr>
        <w:t xml:space="preserve"> או </w:t>
      </w:r>
      <w:hyperlink r:id="rId83" w:history="1">
        <w:r w:rsidR="00D04F30" w:rsidRPr="00D04F30">
          <w:rPr>
            <w:color w:val="0000FF"/>
            <w:u w:val="single"/>
            <w:rtl/>
          </w:rPr>
          <w:t>334</w:t>
        </w:r>
      </w:hyperlink>
      <w:r>
        <w:rPr>
          <w:rFonts w:hint="cs"/>
          <w:rtl/>
        </w:rPr>
        <w:t xml:space="preserve"> בנסיבות </w:t>
      </w:r>
      <w:hyperlink r:id="rId84" w:history="1">
        <w:r w:rsidR="00D04F30" w:rsidRPr="00D04F30">
          <w:rPr>
            <w:color w:val="0000FF"/>
            <w:u w:val="single"/>
            <w:rtl/>
          </w:rPr>
          <w:t>סעיף 335</w:t>
        </w:r>
      </w:hyperlink>
      <w:r>
        <w:rPr>
          <w:rFonts w:hint="cs"/>
          <w:rtl/>
        </w:rPr>
        <w:t xml:space="preserve"> ל</w:t>
      </w:r>
      <w:hyperlink r:id="rId85" w:history="1">
        <w:r w:rsidRPr="00291A81">
          <w:rPr>
            <w:rStyle w:val="Hyperlink"/>
            <w:rFonts w:hint="eastAsia"/>
            <w:rtl/>
          </w:rPr>
          <w:t>חוק</w:t>
        </w:r>
        <w:r w:rsidRPr="00291A81">
          <w:rPr>
            <w:rStyle w:val="Hyperlink"/>
            <w:rtl/>
          </w:rPr>
          <w:t xml:space="preserve"> העונשין</w:t>
        </w:r>
      </w:hyperlink>
      <w:r>
        <w:rPr>
          <w:rFonts w:hint="cs"/>
          <w:rtl/>
        </w:rPr>
        <w:t xml:space="preserve">), בהתחשב בכך שמדובר בעבירה שבוצעה בתוך כתלי הכלא, נגד סוהר; הנזק המשמעותי שנגרם לסוהר בפועל, כפי שפורט לעיל; והנזק המשמעותי יותר שהיה צפוי להיגרם נוכח התקיפה לאזור הפנים והצוואר, </w:t>
      </w:r>
      <w:r>
        <w:rPr>
          <w:rFonts w:hint="cs"/>
          <w:b/>
          <w:bCs/>
          <w:rtl/>
        </w:rPr>
        <w:t>אני סבור שמתחם הענישה ההולם עומד על 4 עד 8 שנות מאסר</w:t>
      </w:r>
      <w:r>
        <w:rPr>
          <w:rFonts w:hint="cs"/>
          <w:rtl/>
        </w:rPr>
        <w:t>.</w:t>
      </w:r>
    </w:p>
    <w:p w14:paraId="1C382ACE" w14:textId="77777777" w:rsidR="003A1001" w:rsidRDefault="00291A81">
      <w:pPr>
        <w:pStyle w:val="10"/>
        <w:rPr>
          <w:rtl/>
        </w:rPr>
      </w:pPr>
      <w:r>
        <w:rPr>
          <w:rFonts w:hint="cs"/>
          <w:rtl/>
        </w:rPr>
        <w:t>העונש המתאים לנאשם</w:t>
      </w:r>
    </w:p>
    <w:p w14:paraId="31CEE1CD" w14:textId="77777777" w:rsidR="003A1001" w:rsidRDefault="00291A81">
      <w:pPr>
        <w:pStyle w:val="1"/>
        <w:numPr>
          <w:ilvl w:val="0"/>
          <w:numId w:val="2"/>
        </w:numPr>
        <w:ind w:right="0"/>
        <w:rPr>
          <w:rtl/>
        </w:rPr>
      </w:pPr>
      <w:r>
        <w:rPr>
          <w:rFonts w:hint="cs"/>
          <w:rtl/>
        </w:rPr>
        <w:t>במקרה זה אין נסיבות המצדיקות חריגה לקולא או לחומרה ממתחם הענישה.</w:t>
      </w:r>
    </w:p>
    <w:p w14:paraId="68B93B74" w14:textId="77777777" w:rsidR="003A1001" w:rsidRDefault="00291A81">
      <w:pPr>
        <w:pStyle w:val="12"/>
        <w:rPr>
          <w:rtl/>
        </w:rPr>
      </w:pPr>
      <w:r>
        <w:rPr>
          <w:rFonts w:hint="cs"/>
          <w:rtl/>
        </w:rPr>
        <w:t xml:space="preserve">שקלתי את הסכמת הצדדים, ובהתחשב בהודאת הנאשם, ההלכה בדבר כיבוד הסדרי טיעון והעובדה שהעונש המקסימאלי המוסכם נמצא בתוך מתחם הענישה ההולם, אני סבור שהצדדים שקלו היטב את כל השיקולים הצריכים לעניין, הסדר הטיעון הולם ולכן אכבד אותו. על כן, לא אגזור על הנאשם עונש מאסר העולה על 5 שנים. </w:t>
      </w:r>
    </w:p>
    <w:p w14:paraId="252AC402" w14:textId="77777777" w:rsidR="003A1001" w:rsidRDefault="00291A81">
      <w:pPr>
        <w:pStyle w:val="12"/>
        <w:rPr>
          <w:sz w:val="24"/>
        </w:rPr>
      </w:pPr>
      <w:r>
        <w:rPr>
          <w:rFonts w:hint="cs"/>
          <w:rtl/>
        </w:rPr>
        <w:t>בקביעת עונשו של הנאשם בתוך מתחם הענישה</w:t>
      </w:r>
      <w:r>
        <w:rPr>
          <w:rFonts w:hint="cs"/>
          <w:sz w:val="24"/>
          <w:rtl/>
        </w:rPr>
        <w:t>, התחשבתי ל</w:t>
      </w:r>
      <w:r>
        <w:rPr>
          <w:rFonts w:hint="cs"/>
          <w:b/>
          <w:bCs/>
          <w:sz w:val="24"/>
          <w:rtl/>
        </w:rPr>
        <w:t>חומרה</w:t>
      </w:r>
      <w:r>
        <w:rPr>
          <w:rFonts w:hint="cs"/>
          <w:sz w:val="24"/>
          <w:rtl/>
        </w:rPr>
        <w:t xml:space="preserve"> בעברו הפלילי של הנאשם, ובכך שהעבירה בוצעה פחות משנה לאחר שנגזר על הנאשם עונש מאסר בשל עבירות חמורות. ל</w:t>
      </w:r>
      <w:r>
        <w:rPr>
          <w:rFonts w:hint="cs"/>
          <w:b/>
          <w:bCs/>
          <w:sz w:val="24"/>
          <w:rtl/>
        </w:rPr>
        <w:t>קולא</w:t>
      </w:r>
      <w:r>
        <w:rPr>
          <w:rFonts w:hint="cs"/>
          <w:sz w:val="24"/>
          <w:rtl/>
        </w:rPr>
        <w:t>, התחשבתי בגילו של הנאשם ובכך שהנאשם נטל אחריות על מעשיו והודה, אם כי הדבר נעשה לאחר שמיעת רוב העדויות ובין השאר עדותו של המתלונן.</w:t>
      </w:r>
    </w:p>
    <w:p w14:paraId="74AE45A8" w14:textId="77777777" w:rsidR="003A1001" w:rsidRDefault="00291A81">
      <w:pPr>
        <w:pStyle w:val="1"/>
        <w:numPr>
          <w:ilvl w:val="0"/>
          <w:numId w:val="2"/>
        </w:numPr>
        <w:ind w:right="0"/>
        <w:rPr>
          <w:rtl/>
        </w:rPr>
      </w:pPr>
      <w:r>
        <w:rPr>
          <w:rFonts w:hint="cs"/>
          <w:rtl/>
        </w:rPr>
        <w:t>בשקלול הנסיבות, היות והעונש המקסימאלי עליו סיכמו הצדדים (5 שנות מאסר), מצוי במחצית הנמוכה של המתחם, אני סבור שזה העונש המתאים בנסיבות העניין.</w:t>
      </w:r>
    </w:p>
    <w:p w14:paraId="5CB3426E" w14:textId="77777777" w:rsidR="003A1001" w:rsidRDefault="00291A81">
      <w:pPr>
        <w:pStyle w:val="1"/>
        <w:numPr>
          <w:ilvl w:val="0"/>
          <w:numId w:val="2"/>
        </w:numPr>
        <w:ind w:right="0"/>
      </w:pPr>
      <w:r>
        <w:rPr>
          <w:rFonts w:hint="cs"/>
          <w:rtl/>
        </w:rPr>
        <w:t xml:space="preserve">אשר לשאלה אם המאסר ירוצה במצטבר או בחופף למאסר אותו מרצה הנאשם כעת: נוכח המאסר הארוך אותו מרצה הנאשם עקב העבירות הקודמות שביצע, אם ייקבע שהעונש ירוצה בחופף למאסר אותו הוא מרצה כעת, תהיה משמעות הדבר שמעשיו החמורים של הנאשם יעברו ללא ענישה. על מנת להתמודד עם פשעים המבוצעים על ידי אסירים בכלא, יש לקבוע שהעונש ירוצה </w:t>
      </w:r>
      <w:r>
        <w:rPr>
          <w:rFonts w:hint="cs"/>
          <w:b/>
          <w:bCs/>
          <w:rtl/>
        </w:rPr>
        <w:t>במצטבר</w:t>
      </w:r>
      <w:r>
        <w:rPr>
          <w:rFonts w:hint="cs"/>
          <w:rtl/>
        </w:rPr>
        <w:t xml:space="preserve"> למאסר אותו מרצה הנאשם כעת (ראו </w:t>
      </w:r>
      <w:hyperlink r:id="rId86" w:history="1">
        <w:r w:rsidRPr="00291A81">
          <w:rPr>
            <w:rStyle w:val="Hyperlink"/>
            <w:rFonts w:hint="eastAsia"/>
            <w:rtl/>
          </w:rPr>
          <w:t>ע</w:t>
        </w:r>
        <w:r w:rsidRPr="00291A81">
          <w:rPr>
            <w:rStyle w:val="Hyperlink"/>
            <w:rtl/>
          </w:rPr>
          <w:t>"פ 5622/92</w:t>
        </w:r>
      </w:hyperlink>
      <w:r>
        <w:rPr>
          <w:rFonts w:hint="cs"/>
          <w:rtl/>
        </w:rPr>
        <w:t xml:space="preserve"> הנ"ל), וכך אני קובע.</w:t>
      </w:r>
    </w:p>
    <w:p w14:paraId="64084E4D" w14:textId="77777777" w:rsidR="003A1001" w:rsidRDefault="00291A81">
      <w:pPr>
        <w:pStyle w:val="10"/>
      </w:pPr>
      <w:r>
        <w:rPr>
          <w:rFonts w:hint="cs"/>
          <w:rtl/>
        </w:rPr>
        <w:t>גזירת העונש</w:t>
      </w:r>
    </w:p>
    <w:p w14:paraId="2DB0BFBC" w14:textId="77777777" w:rsidR="003A1001" w:rsidRDefault="00291A81">
      <w:pPr>
        <w:pStyle w:val="1"/>
        <w:keepNext/>
        <w:numPr>
          <w:ilvl w:val="0"/>
          <w:numId w:val="2"/>
        </w:numPr>
        <w:spacing w:before="240"/>
        <w:ind w:right="0"/>
      </w:pPr>
      <w:r>
        <w:rPr>
          <w:rFonts w:hint="cs"/>
          <w:rtl/>
        </w:rPr>
        <w:t>אשר על כן הנני גוזר על הנאשם את העונשים הבאים:</w:t>
      </w:r>
    </w:p>
    <w:p w14:paraId="70B84804" w14:textId="77777777" w:rsidR="003A1001" w:rsidRDefault="00291A81">
      <w:pPr>
        <w:pStyle w:val="12"/>
        <w:spacing w:before="240"/>
        <w:ind w:left="1134" w:hanging="567"/>
        <w:rPr>
          <w:rtl/>
        </w:rPr>
      </w:pPr>
      <w:r>
        <w:rPr>
          <w:rFonts w:hint="cs"/>
          <w:rtl/>
        </w:rPr>
        <w:t>א.</w:t>
      </w:r>
      <w:r>
        <w:rPr>
          <w:rFonts w:hint="cs"/>
          <w:rtl/>
        </w:rPr>
        <w:tab/>
      </w:r>
      <w:r>
        <w:rPr>
          <w:rFonts w:hint="cs"/>
          <w:sz w:val="24"/>
          <w:rtl/>
        </w:rPr>
        <w:t>מאסר בפועל למשך 5 שנים, שירוצה במצטבר לכל מאסר שמרצה הנאשם.</w:t>
      </w:r>
    </w:p>
    <w:p w14:paraId="68AFAE8C" w14:textId="77777777" w:rsidR="003A1001" w:rsidRDefault="00291A81">
      <w:pPr>
        <w:pStyle w:val="12"/>
        <w:spacing w:before="240"/>
        <w:ind w:left="1134" w:hanging="567"/>
        <w:rPr>
          <w:rtl/>
        </w:rPr>
      </w:pPr>
      <w:r>
        <w:rPr>
          <w:rFonts w:hint="cs"/>
          <w:rtl/>
        </w:rPr>
        <w:t>ב.</w:t>
      </w:r>
      <w:r>
        <w:rPr>
          <w:rFonts w:hint="cs"/>
          <w:rtl/>
        </w:rPr>
        <w:tab/>
        <w:t xml:space="preserve">18 חודשי מאסר על תנאי. הנאשם יישא בעונש זה אם בתקופה של 3 שנים </w:t>
      </w:r>
      <w:r>
        <w:rPr>
          <w:rFonts w:hint="cs"/>
          <w:u w:val="single"/>
          <w:rtl/>
        </w:rPr>
        <w:t>מהיום</w:t>
      </w:r>
      <w:r>
        <w:rPr>
          <w:rFonts w:hint="cs"/>
          <w:rtl/>
        </w:rPr>
        <w:t>, יעבור עבירת אלימות מסוג פשע.</w:t>
      </w:r>
    </w:p>
    <w:p w14:paraId="36C81CAF" w14:textId="77777777" w:rsidR="003A1001" w:rsidRDefault="00291A81">
      <w:pPr>
        <w:pStyle w:val="12"/>
        <w:spacing w:before="240"/>
        <w:ind w:left="1134" w:hanging="567"/>
        <w:rPr>
          <w:rtl/>
        </w:rPr>
      </w:pPr>
      <w:r>
        <w:rPr>
          <w:rFonts w:hint="cs"/>
          <w:rtl/>
        </w:rPr>
        <w:t>ג.</w:t>
      </w:r>
      <w:r>
        <w:rPr>
          <w:rFonts w:hint="cs"/>
          <w:rtl/>
        </w:rPr>
        <w:tab/>
        <w:t>בנסיבות העניין ונוכח המאסר הממושך יחסית, אני נמנע מהטלת קנס.</w:t>
      </w:r>
    </w:p>
    <w:p w14:paraId="360127A9" w14:textId="77777777" w:rsidR="003A1001" w:rsidRDefault="00291A81">
      <w:pPr>
        <w:pStyle w:val="12"/>
        <w:spacing w:before="240"/>
        <w:ind w:left="1134" w:hanging="567"/>
        <w:rPr>
          <w:rtl/>
        </w:rPr>
      </w:pPr>
      <w:r>
        <w:rPr>
          <w:rFonts w:hint="cs"/>
          <w:rtl/>
        </w:rPr>
        <w:t xml:space="preserve">ד. </w:t>
      </w:r>
      <w:r>
        <w:rPr>
          <w:rFonts w:hint="cs"/>
          <w:rtl/>
        </w:rPr>
        <w:tab/>
        <w:t>הנאשם ישלם למתלונן- הסוהר חיים, עד תביעה 1, פיצוי בסכום של 25,000 ₪, אשר יופקד על ידי הנאשם בקופת בית המשפט עבור המתלונן, תוך 90 יום.</w:t>
      </w:r>
    </w:p>
    <w:p w14:paraId="655B602D" w14:textId="77777777" w:rsidR="003A1001" w:rsidRDefault="00291A81">
      <w:pPr>
        <w:pStyle w:val="0"/>
        <w:rPr>
          <w:b/>
          <w:bCs/>
          <w:sz w:val="24"/>
          <w:rtl/>
        </w:rPr>
      </w:pPr>
      <w:r>
        <w:rPr>
          <w:rFonts w:hint="cs"/>
          <w:b/>
          <w:bCs/>
          <w:sz w:val="24"/>
          <w:rtl/>
        </w:rPr>
        <w:t>זכות ערעור לבית המשפט העליון תוך 45 יום.</w:t>
      </w:r>
    </w:p>
    <w:p w14:paraId="7D8579C2" w14:textId="77777777" w:rsidR="003A1001" w:rsidRDefault="003A1001">
      <w:pPr>
        <w:rPr>
          <w:sz w:val="26"/>
          <w:szCs w:val="26"/>
          <w:rtl/>
        </w:rPr>
      </w:pPr>
    </w:p>
    <w:p w14:paraId="049CF866" w14:textId="77777777" w:rsidR="003A1001" w:rsidRDefault="003A1001">
      <w:pPr>
        <w:rPr>
          <w:rtl/>
        </w:rPr>
      </w:pPr>
    </w:p>
    <w:p w14:paraId="14F20A58" w14:textId="77777777" w:rsidR="003A1001" w:rsidRDefault="00291A81">
      <w:pPr>
        <w:rPr>
          <w:sz w:val="26"/>
          <w:szCs w:val="26"/>
          <w:rtl/>
        </w:rPr>
      </w:pPr>
      <w:r w:rsidRPr="00291A81">
        <w:rPr>
          <w:rFonts w:ascii="Arial" w:hAnsi="Arial"/>
          <w:color w:val="FFFFFF"/>
          <w:sz w:val="2"/>
          <w:szCs w:val="2"/>
          <w:rtl/>
        </w:rPr>
        <w:t>5129371</w:t>
      </w:r>
      <w:r>
        <w:rPr>
          <w:rFonts w:ascii="Arial" w:hAnsi="Arial"/>
          <w:sz w:val="26"/>
          <w:szCs w:val="26"/>
          <w:rtl/>
        </w:rPr>
        <w:t xml:space="preserve">ניתן היום,  ח' כסלו תשע"ז, 08 דצמבר 2016, במעמד הצדדים. </w:t>
      </w:r>
    </w:p>
    <w:tbl>
      <w:tblPr>
        <w:bidiVisual/>
        <w:tblW w:w="0" w:type="auto"/>
        <w:tblInd w:w="4580" w:type="dxa"/>
        <w:tblLook w:val="01E0" w:firstRow="1" w:lastRow="1" w:firstColumn="1" w:lastColumn="1" w:noHBand="0" w:noVBand="0"/>
      </w:tblPr>
      <w:tblGrid>
        <w:gridCol w:w="2496"/>
      </w:tblGrid>
      <w:tr w:rsidR="003A1001" w14:paraId="651ED286" w14:textId="77777777">
        <w:trPr>
          <w:trHeight w:val="1202"/>
        </w:trPr>
        <w:tc>
          <w:tcPr>
            <w:tcW w:w="2496" w:type="dxa"/>
            <w:tcBorders>
              <w:top w:val="nil"/>
              <w:left w:val="nil"/>
              <w:bottom w:val="single" w:sz="4" w:space="0" w:color="auto"/>
              <w:right w:val="nil"/>
            </w:tcBorders>
            <w:shd w:val="clear" w:color="auto" w:fill="auto"/>
            <w:vAlign w:val="center"/>
          </w:tcPr>
          <w:p w14:paraId="248388AB" w14:textId="77777777" w:rsidR="003A1001" w:rsidRPr="00291A81" w:rsidRDefault="00291A81">
            <w:pPr>
              <w:jc w:val="center"/>
              <w:rPr>
                <w:rFonts w:ascii="Courier New" w:hAnsi="Courier New"/>
                <w:b/>
                <w:bCs/>
                <w:color w:val="FFFFFF"/>
                <w:sz w:val="2"/>
                <w:szCs w:val="2"/>
                <w:lang w:eastAsia="he-IL"/>
              </w:rPr>
            </w:pPr>
            <w:r w:rsidRPr="00291A81">
              <w:rPr>
                <w:rFonts w:ascii="Courier New" w:hAnsi="Courier New"/>
                <w:b/>
                <w:bCs/>
                <w:color w:val="FFFFFF"/>
                <w:sz w:val="2"/>
                <w:szCs w:val="2"/>
                <w:rtl/>
                <w:lang w:eastAsia="he-IL"/>
              </w:rPr>
              <w:t>54678313</w:t>
            </w:r>
          </w:p>
        </w:tc>
      </w:tr>
      <w:tr w:rsidR="003A1001" w14:paraId="2FC75F8C" w14:textId="77777777">
        <w:trPr>
          <w:trHeight w:val="197"/>
        </w:trPr>
        <w:tc>
          <w:tcPr>
            <w:tcW w:w="2496" w:type="dxa"/>
            <w:tcBorders>
              <w:top w:val="single" w:sz="4" w:space="0" w:color="auto"/>
              <w:left w:val="nil"/>
              <w:bottom w:val="nil"/>
              <w:right w:val="nil"/>
            </w:tcBorders>
            <w:shd w:val="clear" w:color="auto" w:fill="auto"/>
          </w:tcPr>
          <w:p w14:paraId="6A7F46AE" w14:textId="77777777" w:rsidR="003A1001" w:rsidRDefault="00291A81">
            <w:pPr>
              <w:jc w:val="center"/>
              <w:rPr>
                <w:rFonts w:ascii="Courier New" w:hAnsi="Courier New"/>
                <w:b/>
                <w:bCs/>
                <w:lang w:eastAsia="he-IL"/>
              </w:rPr>
            </w:pPr>
            <w:r>
              <w:rPr>
                <w:rFonts w:ascii="Courier New" w:hAnsi="Courier New" w:hint="cs"/>
                <w:b/>
                <w:bCs/>
                <w:rtl/>
              </w:rPr>
              <w:t>עמית כהן, שופט</w:t>
            </w:r>
          </w:p>
        </w:tc>
      </w:tr>
    </w:tbl>
    <w:p w14:paraId="0EA94BA3" w14:textId="77777777" w:rsidR="003A1001" w:rsidRDefault="003A1001">
      <w:pPr>
        <w:ind w:left="4320"/>
        <w:rPr>
          <w:rFonts w:ascii="Arial" w:hAnsi="Arial"/>
          <w:rtl/>
        </w:rPr>
      </w:pPr>
    </w:p>
    <w:p w14:paraId="0FC77486" w14:textId="77777777" w:rsidR="003A1001" w:rsidRDefault="003A1001">
      <w:pPr>
        <w:rPr>
          <w:rtl/>
        </w:rPr>
      </w:pPr>
    </w:p>
    <w:p w14:paraId="71CDF704" w14:textId="77777777" w:rsidR="003A1001" w:rsidRPr="00D04F30" w:rsidRDefault="00D04F30">
      <w:pPr>
        <w:pStyle w:val="a3"/>
        <w:jc w:val="center"/>
        <w:rPr>
          <w:color w:val="FFFFFF"/>
          <w:sz w:val="2"/>
          <w:szCs w:val="2"/>
          <w:rtl/>
        </w:rPr>
      </w:pPr>
      <w:r w:rsidRPr="00D04F30">
        <w:rPr>
          <w:color w:val="FFFFFF"/>
          <w:sz w:val="2"/>
          <w:szCs w:val="2"/>
          <w:rtl/>
        </w:rPr>
        <w:t>5129371</w:t>
      </w:r>
    </w:p>
    <w:p w14:paraId="058A5974" w14:textId="77777777" w:rsidR="00291A81" w:rsidRPr="00D04F30" w:rsidRDefault="00D04F30" w:rsidP="00291A81">
      <w:pPr>
        <w:keepNext/>
        <w:rPr>
          <w:rFonts w:ascii="David" w:hAnsi="David"/>
          <w:color w:val="FFFFFF"/>
          <w:sz w:val="2"/>
          <w:szCs w:val="2"/>
          <w:rtl/>
        </w:rPr>
      </w:pPr>
      <w:r w:rsidRPr="00D04F30">
        <w:rPr>
          <w:rFonts w:ascii="David" w:hAnsi="David"/>
          <w:color w:val="FFFFFF"/>
          <w:sz w:val="2"/>
          <w:szCs w:val="2"/>
          <w:rtl/>
        </w:rPr>
        <w:t>54678313</w:t>
      </w:r>
    </w:p>
    <w:p w14:paraId="27967A81" w14:textId="77777777" w:rsidR="00291A81" w:rsidRPr="00291A81" w:rsidRDefault="00291A81" w:rsidP="00291A81">
      <w:pPr>
        <w:keepNext/>
        <w:rPr>
          <w:rFonts w:ascii="David" w:hAnsi="David"/>
          <w:color w:val="000000"/>
          <w:sz w:val="22"/>
          <w:szCs w:val="22"/>
          <w:rtl/>
        </w:rPr>
      </w:pPr>
      <w:r w:rsidRPr="00291A81">
        <w:rPr>
          <w:rFonts w:ascii="David" w:hAnsi="David"/>
          <w:color w:val="000000"/>
          <w:sz w:val="22"/>
          <w:szCs w:val="22"/>
          <w:rtl/>
        </w:rPr>
        <w:t>עמית כהן 54678313</w:t>
      </w:r>
    </w:p>
    <w:p w14:paraId="52E665A7" w14:textId="77777777" w:rsidR="00291A81" w:rsidRDefault="00291A81" w:rsidP="00291A81">
      <w:pPr>
        <w:rPr>
          <w:color w:val="000000"/>
          <w:rtl/>
        </w:rPr>
      </w:pPr>
      <w:r w:rsidRPr="00291A81">
        <w:rPr>
          <w:color w:val="000000"/>
          <w:rtl/>
        </w:rPr>
        <w:t>נוסח מסמך זה כפוף לשינויי ניסוח ועריכה</w:t>
      </w:r>
    </w:p>
    <w:p w14:paraId="6BD699BF" w14:textId="77777777" w:rsidR="00291A81" w:rsidRDefault="00291A81" w:rsidP="00291A81">
      <w:pPr>
        <w:rPr>
          <w:rtl/>
        </w:rPr>
      </w:pPr>
    </w:p>
    <w:p w14:paraId="22D52BAD" w14:textId="77777777" w:rsidR="00291A81" w:rsidRDefault="00291A81" w:rsidP="00291A81">
      <w:pPr>
        <w:jc w:val="center"/>
        <w:rPr>
          <w:color w:val="0000FF"/>
          <w:u w:val="single"/>
          <w:rtl/>
        </w:rPr>
      </w:pPr>
      <w:hyperlink r:id="rId87" w:history="1">
        <w:r>
          <w:rPr>
            <w:rStyle w:val="Hyperlink"/>
            <w:rtl/>
          </w:rPr>
          <w:t>בעניין עריכה ושינויים במסמכי פסיקה, חקיקה ועוד באתר נבו – הקש כאן</w:t>
        </w:r>
      </w:hyperlink>
      <w:r w:rsidR="00844D04">
        <w:rPr>
          <w:rFonts w:hint="cs"/>
          <w:color w:val="0000FF"/>
          <w:u w:val="single"/>
          <w:rtl/>
        </w:rPr>
        <w:t xml:space="preserve"> </w:t>
      </w:r>
      <w:r w:rsidR="00E84C3D">
        <w:rPr>
          <w:rFonts w:hint="cs"/>
          <w:color w:val="0000FF"/>
          <w:u w:val="single"/>
          <w:rtl/>
        </w:rPr>
        <w:t xml:space="preserve"> </w:t>
      </w:r>
      <w:r w:rsidR="00706F2A">
        <w:rPr>
          <w:rFonts w:hint="cs"/>
          <w:color w:val="0000FF"/>
          <w:u w:val="single"/>
          <w:rtl/>
        </w:rPr>
        <w:t xml:space="preserve"> </w:t>
      </w:r>
    </w:p>
    <w:p w14:paraId="66F945EA" w14:textId="77777777" w:rsidR="00D04F30" w:rsidRPr="00D04F30" w:rsidRDefault="00D04F30" w:rsidP="00D04F30">
      <w:pPr>
        <w:keepNext/>
        <w:rPr>
          <w:rFonts w:ascii="David" w:hAnsi="David"/>
          <w:color w:val="000000"/>
          <w:sz w:val="22"/>
          <w:szCs w:val="22"/>
          <w:rtl/>
        </w:rPr>
      </w:pPr>
    </w:p>
    <w:sectPr w:rsidR="00D04F30" w:rsidRPr="00D04F30" w:rsidSect="00D04F30">
      <w:headerReference w:type="even" r:id="rId88"/>
      <w:headerReference w:type="default" r:id="rId89"/>
      <w:footerReference w:type="even" r:id="rId90"/>
      <w:footerReference w:type="default" r:id="rId91"/>
      <w:pgSz w:w="11907" w:h="16840" w:code="9"/>
      <w:pgMar w:top="1701" w:right="1701" w:bottom="170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DEB4F2" w14:textId="77777777" w:rsidR="00773AE6" w:rsidRDefault="00773AE6">
      <w:r>
        <w:separator/>
      </w:r>
    </w:p>
  </w:endnote>
  <w:endnote w:type="continuationSeparator" w:id="0">
    <w:p w14:paraId="6F039DD4" w14:textId="77777777" w:rsidR="00773AE6" w:rsidRDefault="00773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0BD8E" w14:textId="77777777" w:rsidR="00FD6824" w:rsidRDefault="00FD6824" w:rsidP="00D04F3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5184CE05" w14:textId="77777777" w:rsidR="00FD6824" w:rsidRPr="00D04F30" w:rsidRDefault="00FD6824" w:rsidP="00D04F30">
    <w:pPr>
      <w:pStyle w:val="a4"/>
      <w:pBdr>
        <w:top w:val="single" w:sz="4" w:space="1" w:color="auto"/>
        <w:between w:val="single" w:sz="4" w:space="0" w:color="auto"/>
      </w:pBdr>
      <w:spacing w:after="60"/>
      <w:jc w:val="center"/>
      <w:rPr>
        <w:rFonts w:ascii="FrankRuehl" w:hAnsi="FrankRuehl" w:cs="FrankRuehl"/>
        <w:color w:val="000000"/>
      </w:rPr>
    </w:pPr>
    <w:r w:rsidRPr="00D04F3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0D035" w14:textId="77777777" w:rsidR="00FD6824" w:rsidRDefault="00FD6824" w:rsidP="00D04F3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A67F2">
      <w:rPr>
        <w:rFonts w:ascii="FrankRuehl" w:hAnsi="FrankRuehl" w:cs="FrankRuehl"/>
        <w:rtl/>
      </w:rPr>
      <w:t>1</w:t>
    </w:r>
    <w:r>
      <w:rPr>
        <w:rFonts w:ascii="FrankRuehl" w:hAnsi="FrankRuehl" w:cs="FrankRuehl"/>
        <w:rtl/>
      </w:rPr>
      <w:fldChar w:fldCharType="end"/>
    </w:r>
  </w:p>
  <w:p w14:paraId="3E10618A" w14:textId="77777777" w:rsidR="00FD6824" w:rsidRPr="00D04F30" w:rsidRDefault="00FD6824" w:rsidP="00D04F30">
    <w:pPr>
      <w:pStyle w:val="a4"/>
      <w:pBdr>
        <w:top w:val="single" w:sz="4" w:space="1" w:color="auto"/>
        <w:between w:val="single" w:sz="4" w:space="0" w:color="auto"/>
      </w:pBdr>
      <w:spacing w:after="60"/>
      <w:jc w:val="center"/>
      <w:rPr>
        <w:rFonts w:ascii="FrankRuehl" w:hAnsi="FrankRuehl" w:cs="FrankRuehl"/>
        <w:color w:val="000000"/>
      </w:rPr>
    </w:pPr>
    <w:r w:rsidRPr="00D04F30">
      <w:rPr>
        <w:rFonts w:ascii="FrankRuehl" w:hAnsi="FrankRuehl" w:cs="FrankRuehl"/>
        <w:color w:val="000000"/>
      </w:rPr>
      <w:pict w14:anchorId="2414B4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68F26B" w14:textId="77777777" w:rsidR="00773AE6" w:rsidRDefault="00773AE6">
      <w:r>
        <w:separator/>
      </w:r>
    </w:p>
  </w:footnote>
  <w:footnote w:type="continuationSeparator" w:id="0">
    <w:p w14:paraId="1D756EEF" w14:textId="77777777" w:rsidR="00773AE6" w:rsidRDefault="00773A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B855E" w14:textId="77777777" w:rsidR="00FD6824" w:rsidRPr="00D04F30" w:rsidRDefault="00FD6824" w:rsidP="00D04F3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10549-06-15</w:t>
    </w:r>
    <w:r>
      <w:rPr>
        <w:rFonts w:ascii="David" w:hAnsi="David"/>
        <w:color w:val="000000"/>
        <w:sz w:val="22"/>
        <w:szCs w:val="22"/>
        <w:rtl/>
      </w:rPr>
      <w:tab/>
      <w:t xml:space="preserve"> מדינת ישראל נ' חמזה בן סלאמה צואוין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09700" w14:textId="77777777" w:rsidR="00FD6824" w:rsidRPr="00D04F30" w:rsidRDefault="00FD6824" w:rsidP="00D04F3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10549-06-15</w:t>
    </w:r>
    <w:r>
      <w:rPr>
        <w:rFonts w:ascii="David" w:hAnsi="David"/>
        <w:color w:val="000000"/>
        <w:sz w:val="22"/>
        <w:szCs w:val="22"/>
        <w:rtl/>
      </w:rPr>
      <w:tab/>
      <w:t xml:space="preserve"> מדינת ישראל נ' חמזה בן סלאמה צואוין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2F087B"/>
    <w:multiLevelType w:val="multilevel"/>
    <w:tmpl w:val="F6F00716"/>
    <w:lvl w:ilvl="0">
      <w:start w:val="1"/>
      <w:numFmt w:val="decimal"/>
      <w:pStyle w:val="1"/>
      <w:lvlText w:val="%1."/>
      <w:lvlJc w:val="left"/>
      <w:pPr>
        <w:tabs>
          <w:tab w:val="num" w:pos="567"/>
        </w:tabs>
        <w:ind w:left="567" w:right="567" w:hanging="567"/>
      </w:pPr>
      <w:rPr>
        <w:rFonts w:ascii="Times New Roman" w:hAnsi="Times New Roman" w:cs="David" w:hint="cs"/>
        <w:b w:val="0"/>
        <w:i w:val="0"/>
        <w:sz w:val="20"/>
        <w:u w:val="none"/>
        <w:lang w:val="en-US"/>
      </w:rPr>
    </w:lvl>
    <w:lvl w:ilvl="1">
      <w:start w:val="1"/>
      <w:numFmt w:val="decimal"/>
      <w:pStyle w:val="2"/>
      <w:lvlText w:val="%1.%2."/>
      <w:lvlJc w:val="left"/>
      <w:pPr>
        <w:tabs>
          <w:tab w:val="num" w:pos="1134"/>
        </w:tabs>
        <w:ind w:left="1134" w:right="1134" w:hanging="567"/>
      </w:pPr>
      <w:rPr>
        <w:rFonts w:ascii="Times New Roman" w:hAnsi="Times New Roman" w:cs="David" w:hint="cs"/>
        <w:b w:val="0"/>
        <w:i w:val="0"/>
        <w:sz w:val="20"/>
        <w:u w:val="none"/>
      </w:rPr>
    </w:lvl>
    <w:lvl w:ilvl="2">
      <w:start w:val="1"/>
      <w:numFmt w:val="decimal"/>
      <w:pStyle w:val="3"/>
      <w:lvlText w:val="%1.%2.%3."/>
      <w:lvlJc w:val="left"/>
      <w:pPr>
        <w:tabs>
          <w:tab w:val="num" w:pos="1985"/>
        </w:tabs>
        <w:ind w:left="1985" w:right="1985" w:hanging="851"/>
      </w:pPr>
      <w:rPr>
        <w:rFonts w:ascii="Times New Roman" w:hAnsi="Times New Roman" w:cs="David" w:hint="cs"/>
        <w:b w:val="0"/>
        <w:i w:val="0"/>
        <w:sz w:val="20"/>
      </w:rPr>
    </w:lvl>
    <w:lvl w:ilvl="3">
      <w:start w:val="1"/>
      <w:numFmt w:val="bullet"/>
      <w:lvlText w:val=""/>
      <w:lvlJc w:val="left"/>
      <w:pPr>
        <w:tabs>
          <w:tab w:val="num" w:pos="2268"/>
        </w:tabs>
        <w:ind w:left="2268" w:right="2268" w:hanging="283"/>
      </w:pPr>
      <w:rPr>
        <w:rFonts w:ascii="Wingdings" w:hAnsi="Wingdings" w:cs="Times New Roman" w:hint="default"/>
        <w:b w:val="0"/>
        <w:i w:val="0"/>
        <w:sz w:val="20"/>
      </w:rPr>
    </w:lvl>
    <w:lvl w:ilvl="4">
      <w:start w:val="1"/>
      <w:numFmt w:val="decimal"/>
      <w:lvlText w:val="%1.%2.%3.%4.%5."/>
      <w:lvlJc w:val="center"/>
      <w:pPr>
        <w:tabs>
          <w:tab w:val="num" w:pos="0"/>
        </w:tabs>
        <w:ind w:left="3401" w:right="3401" w:hanging="708"/>
      </w:pPr>
      <w:rPr>
        <w:rFonts w:ascii="Times New Roman" w:hAnsi="Times New Roman" w:cs="Times New Roman" w:hint="default"/>
      </w:rPr>
    </w:lvl>
    <w:lvl w:ilvl="5">
      <w:start w:val="1"/>
      <w:numFmt w:val="decimal"/>
      <w:lvlText w:val="%1.%2.%3.%4.%5.%6."/>
      <w:lvlJc w:val="center"/>
      <w:pPr>
        <w:tabs>
          <w:tab w:val="num" w:pos="0"/>
        </w:tabs>
        <w:ind w:left="4109" w:right="4109" w:hanging="708"/>
      </w:pPr>
      <w:rPr>
        <w:rFonts w:ascii="Times New Roman" w:hAnsi="Times New Roman" w:cs="Times New Roman" w:hint="default"/>
      </w:rPr>
    </w:lvl>
    <w:lvl w:ilvl="6">
      <w:start w:val="1"/>
      <w:numFmt w:val="decimal"/>
      <w:lvlText w:val="%1.%2.%3.%4.%5.%6.%7."/>
      <w:lvlJc w:val="center"/>
      <w:pPr>
        <w:tabs>
          <w:tab w:val="num" w:pos="0"/>
        </w:tabs>
        <w:ind w:left="4817" w:right="4817" w:hanging="708"/>
      </w:pPr>
      <w:rPr>
        <w:rFonts w:ascii="Times New Roman" w:hAnsi="Times New Roman" w:cs="Times New Roman" w:hint="default"/>
      </w:rPr>
    </w:lvl>
    <w:lvl w:ilvl="7">
      <w:start w:val="1"/>
      <w:numFmt w:val="decimal"/>
      <w:lvlText w:val="%1.%2.%3.%4.%5.%6.%7.%8."/>
      <w:lvlJc w:val="center"/>
      <w:pPr>
        <w:tabs>
          <w:tab w:val="num" w:pos="0"/>
        </w:tabs>
        <w:ind w:left="5525" w:right="5525" w:hanging="708"/>
      </w:pPr>
      <w:rPr>
        <w:rFonts w:ascii="Times New Roman" w:hAnsi="Times New Roman" w:cs="Times New Roman" w:hint="default"/>
      </w:rPr>
    </w:lvl>
    <w:lvl w:ilvl="8">
      <w:start w:val="1"/>
      <w:numFmt w:val="decimal"/>
      <w:lvlText w:val="%1.%2.%3.%4.%5.%6.%7.%8.%9."/>
      <w:lvlJc w:val="center"/>
      <w:pPr>
        <w:tabs>
          <w:tab w:val="num" w:pos="0"/>
        </w:tabs>
        <w:ind w:left="6233" w:right="6233" w:hanging="708"/>
      </w:pPr>
      <w:rPr>
        <w:rFonts w:ascii="Times New Roman" w:hAnsi="Times New Roman" w:cs="Times New Roman" w:hint="default"/>
      </w:rPr>
    </w:lvl>
  </w:abstractNum>
  <w:num w:numId="1" w16cid:durableId="987633850">
    <w:abstractNumId w:val="0"/>
  </w:num>
  <w:num w:numId="2" w16cid:durableId="1309937736">
    <w:abstractNumId w:val="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A1001"/>
    <w:rsid w:val="00075D18"/>
    <w:rsid w:val="0019755C"/>
    <w:rsid w:val="00253C85"/>
    <w:rsid w:val="00291A81"/>
    <w:rsid w:val="003A1001"/>
    <w:rsid w:val="0044599D"/>
    <w:rsid w:val="00573CC3"/>
    <w:rsid w:val="00706F2A"/>
    <w:rsid w:val="00773AE6"/>
    <w:rsid w:val="00844D04"/>
    <w:rsid w:val="008A0815"/>
    <w:rsid w:val="00A8758C"/>
    <w:rsid w:val="00AA67F2"/>
    <w:rsid w:val="00CB7390"/>
    <w:rsid w:val="00D04F30"/>
    <w:rsid w:val="00E84C3D"/>
    <w:rsid w:val="00FD68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10642E"/>
  <w15:chartTrackingRefBased/>
  <w15:docId w15:val="{372D185B-841F-4277-BB8B-49A6B94A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1001"/>
    <w:pPr>
      <w:bidi/>
    </w:pPr>
    <w:rPr>
      <w:rFonts w:cs="David"/>
      <w:noProof/>
      <w:sz w:val="24"/>
      <w:szCs w:val="24"/>
    </w:rPr>
  </w:style>
  <w:style w:type="paragraph" w:styleId="10">
    <w:name w:val="heading 1"/>
    <w:basedOn w:val="0"/>
    <w:next w:val="a"/>
    <w:link w:val="11"/>
    <w:qFormat/>
    <w:rsid w:val="003A1001"/>
    <w:pPr>
      <w:keepNext/>
      <w:outlineLvl w:val="0"/>
    </w:pPr>
    <w:rPr>
      <w:rFonts w:ascii="Arial" w:hAnsi="Arial"/>
      <w:bCs/>
      <w:kern w:val="32"/>
      <w:sz w:val="32"/>
      <w:szCs w:val="32"/>
      <w:u w:val="single"/>
    </w:rPr>
  </w:style>
  <w:style w:type="paragraph" w:styleId="20">
    <w:name w:val="heading 2"/>
    <w:basedOn w:val="a"/>
    <w:next w:val="a"/>
    <w:link w:val="21"/>
    <w:qFormat/>
    <w:rsid w:val="003A1001"/>
    <w:pPr>
      <w:keepNext/>
      <w:spacing w:before="240" w:line="360" w:lineRule="auto"/>
      <w:outlineLvl w:val="1"/>
    </w:pPr>
    <w:rPr>
      <w:rFonts w:ascii="Arial" w:hAnsi="Arial"/>
      <w:b/>
      <w:bCs/>
      <w:i/>
      <w:sz w:val="28"/>
      <w:szCs w:val="28"/>
      <w:u w:val="single"/>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A1001"/>
    <w:pPr>
      <w:tabs>
        <w:tab w:val="center" w:pos="4153"/>
        <w:tab w:val="right" w:pos="8306"/>
      </w:tabs>
    </w:pPr>
  </w:style>
  <w:style w:type="paragraph" w:styleId="a4">
    <w:name w:val="footer"/>
    <w:basedOn w:val="a"/>
    <w:rsid w:val="003A1001"/>
    <w:pPr>
      <w:tabs>
        <w:tab w:val="center" w:pos="4153"/>
        <w:tab w:val="right" w:pos="8306"/>
      </w:tabs>
    </w:pPr>
  </w:style>
  <w:style w:type="character" w:styleId="a5">
    <w:name w:val="page number"/>
    <w:basedOn w:val="a0"/>
    <w:rsid w:val="003A1001"/>
  </w:style>
  <w:style w:type="paragraph" w:customStyle="1" w:styleId="0">
    <w:name w:val="רגיל0"/>
    <w:basedOn w:val="a"/>
    <w:rsid w:val="003A1001"/>
    <w:pPr>
      <w:spacing w:before="240" w:line="360" w:lineRule="auto"/>
      <w:jc w:val="both"/>
    </w:pPr>
    <w:rPr>
      <w:rFonts w:ascii="Courier New" w:hAnsi="Courier New"/>
      <w:noProof w:val="0"/>
      <w:sz w:val="20"/>
      <w:lang w:eastAsia="he-IL"/>
    </w:rPr>
  </w:style>
  <w:style w:type="paragraph" w:customStyle="1" w:styleId="12">
    <w:name w:val="רגיל1"/>
    <w:basedOn w:val="0"/>
    <w:rsid w:val="003A1001"/>
    <w:pPr>
      <w:tabs>
        <w:tab w:val="left" w:pos="567"/>
        <w:tab w:val="left" w:pos="1134"/>
        <w:tab w:val="left" w:pos="1985"/>
      </w:tabs>
      <w:spacing w:before="60"/>
      <w:ind w:left="567"/>
    </w:pPr>
    <w:rPr>
      <w:kern w:val="28"/>
    </w:rPr>
  </w:style>
  <w:style w:type="paragraph" w:customStyle="1" w:styleId="Quote">
    <w:name w:val="Quote"/>
    <w:basedOn w:val="a"/>
    <w:link w:val="QuoteChar"/>
    <w:rsid w:val="003A1001"/>
    <w:pPr>
      <w:spacing w:after="240"/>
      <w:ind w:left="1701" w:right="284"/>
      <w:contextualSpacing/>
      <w:jc w:val="both"/>
    </w:pPr>
    <w:rPr>
      <w:bCs/>
    </w:rPr>
  </w:style>
  <w:style w:type="character" w:customStyle="1" w:styleId="QuoteChar">
    <w:name w:val="Quote Char"/>
    <w:link w:val="Quote"/>
    <w:rsid w:val="003A1001"/>
    <w:rPr>
      <w:rFonts w:cs="David"/>
      <w:bCs/>
      <w:noProof/>
      <w:sz w:val="24"/>
      <w:szCs w:val="24"/>
      <w:lang w:val="en-US" w:eastAsia="en-US" w:bidi="he-IL"/>
    </w:rPr>
  </w:style>
  <w:style w:type="character" w:customStyle="1" w:styleId="11">
    <w:name w:val="כותרת 1 תו"/>
    <w:link w:val="10"/>
    <w:rsid w:val="003A1001"/>
    <w:rPr>
      <w:rFonts w:ascii="Arial" w:hAnsi="Arial" w:cs="David"/>
      <w:bCs/>
      <w:kern w:val="32"/>
      <w:sz w:val="32"/>
      <w:szCs w:val="32"/>
      <w:u w:val="single"/>
      <w:lang w:val="en-US" w:eastAsia="he-IL" w:bidi="he-IL"/>
    </w:rPr>
  </w:style>
  <w:style w:type="paragraph" w:customStyle="1" w:styleId="00">
    <w:name w:val="כותרת 0"/>
    <w:basedOn w:val="10"/>
    <w:rsid w:val="003A1001"/>
    <w:rPr>
      <w:szCs w:val="44"/>
      <w:u w:val="double"/>
    </w:rPr>
  </w:style>
  <w:style w:type="character" w:customStyle="1" w:styleId="21">
    <w:name w:val="כותרת 2 תו"/>
    <w:link w:val="20"/>
    <w:rsid w:val="003A1001"/>
    <w:rPr>
      <w:rFonts w:ascii="Arial" w:hAnsi="Arial" w:cs="David"/>
      <w:b/>
      <w:bCs/>
      <w:i/>
      <w:noProof/>
      <w:sz w:val="28"/>
      <w:szCs w:val="28"/>
      <w:u w:val="single"/>
      <w:lang w:val="en-US" w:eastAsia="en-US" w:bidi="he-IL"/>
    </w:rPr>
  </w:style>
  <w:style w:type="paragraph" w:customStyle="1" w:styleId="1">
    <w:name w:val="1"/>
    <w:basedOn w:val="0"/>
    <w:rsid w:val="003A1001"/>
    <w:pPr>
      <w:numPr>
        <w:numId w:val="1"/>
      </w:numPr>
      <w:autoSpaceDE w:val="0"/>
      <w:autoSpaceDN w:val="0"/>
      <w:spacing w:before="120"/>
      <w:ind w:right="0"/>
    </w:pPr>
    <w:rPr>
      <w:rFonts w:ascii="Times New Roman" w:hAnsi="Times New Roman"/>
    </w:rPr>
  </w:style>
  <w:style w:type="paragraph" w:customStyle="1" w:styleId="2">
    <w:name w:val="2"/>
    <w:basedOn w:val="0"/>
    <w:rsid w:val="003A1001"/>
    <w:pPr>
      <w:numPr>
        <w:ilvl w:val="1"/>
        <w:numId w:val="1"/>
      </w:numPr>
      <w:autoSpaceDE w:val="0"/>
      <w:autoSpaceDN w:val="0"/>
      <w:spacing w:before="120"/>
      <w:ind w:right="567"/>
    </w:pPr>
  </w:style>
  <w:style w:type="paragraph" w:customStyle="1" w:styleId="3">
    <w:name w:val="3"/>
    <w:basedOn w:val="0"/>
    <w:rsid w:val="003A1001"/>
    <w:pPr>
      <w:numPr>
        <w:ilvl w:val="2"/>
        <w:numId w:val="1"/>
      </w:numPr>
      <w:autoSpaceDE w:val="0"/>
      <w:autoSpaceDN w:val="0"/>
      <w:spacing w:before="60"/>
    </w:pPr>
    <w:rPr>
      <w:rFonts w:ascii="David" w:hAnsi="David"/>
      <w:sz w:val="24"/>
    </w:rPr>
  </w:style>
  <w:style w:type="character" w:styleId="Hyperlink">
    <w:name w:val="Hyperlink"/>
    <w:rsid w:val="00291A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3729" TargetMode="External"/><Relationship Id="rId42" Type="http://schemas.openxmlformats.org/officeDocument/2006/relationships/hyperlink" Target="http://www.nevo.co.il/case/8474959" TargetMode="External"/><Relationship Id="rId47" Type="http://schemas.openxmlformats.org/officeDocument/2006/relationships/hyperlink" Target="http://www.nevo.co.il/case/20345338" TargetMode="External"/><Relationship Id="rId63" Type="http://schemas.openxmlformats.org/officeDocument/2006/relationships/hyperlink" Target="http://www.nevo.co.il/case/5986849" TargetMode="External"/><Relationship Id="rId68" Type="http://schemas.openxmlformats.org/officeDocument/2006/relationships/hyperlink" Target="http://www.nevo.co.il/law/70301/329.a" TargetMode="External"/><Relationship Id="rId84" Type="http://schemas.openxmlformats.org/officeDocument/2006/relationships/hyperlink" Target="http://www.nevo.co.il/law/70301/335" TargetMode="External"/><Relationship Id="rId89" Type="http://schemas.openxmlformats.org/officeDocument/2006/relationships/header" Target="header2.xml"/><Relationship Id="rId16" Type="http://schemas.openxmlformats.org/officeDocument/2006/relationships/hyperlink" Target="http://www.nevo.co.il/law/70301/335" TargetMode="External"/><Relationship Id="rId11" Type="http://schemas.openxmlformats.org/officeDocument/2006/relationships/hyperlink" Target="http://www.nevo.co.il/law/70301/329" TargetMode="External"/><Relationship Id="rId32" Type="http://schemas.openxmlformats.org/officeDocument/2006/relationships/hyperlink" Target="http://www.nevo.co.il/law/70301/114.a" TargetMode="External"/><Relationship Id="rId37" Type="http://schemas.openxmlformats.org/officeDocument/2006/relationships/hyperlink" Target="http://www.nevo.co.il/law/74903/187.b" TargetMode="External"/><Relationship Id="rId53" Type="http://schemas.openxmlformats.org/officeDocument/2006/relationships/hyperlink" Target="http://www.nevo.co.il/case/6996702" TargetMode="External"/><Relationship Id="rId58" Type="http://schemas.openxmlformats.org/officeDocument/2006/relationships/hyperlink" Target="http://www.nevo.co.il/law/70301/329" TargetMode="External"/><Relationship Id="rId74" Type="http://schemas.openxmlformats.org/officeDocument/2006/relationships/hyperlink" Target="http://www.nevo.co.il/law/70301/329.a" TargetMode="External"/><Relationship Id="rId79" Type="http://schemas.openxmlformats.org/officeDocument/2006/relationships/hyperlink" Target="http://www.nevo.co.il/law/70301" TargetMode="External"/><Relationship Id="rId5" Type="http://schemas.openxmlformats.org/officeDocument/2006/relationships/footnotes" Target="footnotes.xml"/><Relationship Id="rId90" Type="http://schemas.openxmlformats.org/officeDocument/2006/relationships/footer" Target="footer1.xml"/><Relationship Id="rId22" Type="http://schemas.openxmlformats.org/officeDocument/2006/relationships/hyperlink" Target="http://www.nevo.co.il/law/73729/85.a" TargetMode="External"/><Relationship Id="rId27" Type="http://schemas.openxmlformats.org/officeDocument/2006/relationships/hyperlink" Target="http://www.nevo.co.il/case/7793374" TargetMode="External"/><Relationship Id="rId43" Type="http://schemas.openxmlformats.org/officeDocument/2006/relationships/hyperlink" Target="http://www.nevo.co.il/case/7700839" TargetMode="External"/><Relationship Id="rId48" Type="http://schemas.openxmlformats.org/officeDocument/2006/relationships/hyperlink" Target="http://www.nevo.co.il/case/6954424" TargetMode="External"/><Relationship Id="rId64" Type="http://schemas.openxmlformats.org/officeDocument/2006/relationships/hyperlink" Target="http://www.nevo.co.il/law/70301/333" TargetMode="External"/><Relationship Id="rId69" Type="http://schemas.openxmlformats.org/officeDocument/2006/relationships/hyperlink" Target="http://www.nevo.co.il/law/70301" TargetMode="External"/><Relationship Id="rId8" Type="http://schemas.openxmlformats.org/officeDocument/2006/relationships/hyperlink" Target="http://www.nevo.co.il/law/70301/114.a" TargetMode="External"/><Relationship Id="rId51" Type="http://schemas.openxmlformats.org/officeDocument/2006/relationships/hyperlink" Target="http://www.nevo.co.il/case/5714675" TargetMode="External"/><Relationship Id="rId72" Type="http://schemas.openxmlformats.org/officeDocument/2006/relationships/hyperlink" Target="http://www.nevo.co.il/law/70301" TargetMode="External"/><Relationship Id="rId80" Type="http://schemas.openxmlformats.org/officeDocument/2006/relationships/hyperlink" Target="http://www.nevo.co.il/law/70301/329" TargetMode="External"/><Relationship Id="rId85" Type="http://schemas.openxmlformats.org/officeDocument/2006/relationships/hyperlink" Target="http://www.nevo.co.il/law/70301"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329.a" TargetMode="External"/><Relationship Id="rId17" Type="http://schemas.openxmlformats.org/officeDocument/2006/relationships/hyperlink" Target="http://www.nevo.co.il/law/70301/335.a.1" TargetMode="External"/><Relationship Id="rId25" Type="http://schemas.openxmlformats.org/officeDocument/2006/relationships/hyperlink" Target="http://www.nevo.co.il/law/70301/329.a.1" TargetMode="External"/><Relationship Id="rId33" Type="http://schemas.openxmlformats.org/officeDocument/2006/relationships/hyperlink" Target="http://www.nevo.co.il/law/73729/85.a" TargetMode="External"/><Relationship Id="rId38" Type="http://schemas.openxmlformats.org/officeDocument/2006/relationships/hyperlink" Target="http://www.nevo.co.il/law/74903" TargetMode="External"/><Relationship Id="rId46" Type="http://schemas.openxmlformats.org/officeDocument/2006/relationships/hyperlink" Target="http://www.nevo.co.il/case/4032628" TargetMode="External"/><Relationship Id="rId59" Type="http://schemas.openxmlformats.org/officeDocument/2006/relationships/hyperlink" Target="http://www.nevo.co.il/law/70301" TargetMode="External"/><Relationship Id="rId67" Type="http://schemas.openxmlformats.org/officeDocument/2006/relationships/hyperlink" Target="http://www.nevo.co.il/case/5594306" TargetMode="External"/><Relationship Id="rId20" Type="http://schemas.openxmlformats.org/officeDocument/2006/relationships/hyperlink" Target="http://www.nevo.co.il/law/72510/2" TargetMode="External"/><Relationship Id="rId41" Type="http://schemas.openxmlformats.org/officeDocument/2006/relationships/hyperlink" Target="http://www.nevo.co.il/case/6025720" TargetMode="External"/><Relationship Id="rId54" Type="http://schemas.openxmlformats.org/officeDocument/2006/relationships/hyperlink" Target="http://www.nevo.co.il/law/70301/334" TargetMode="External"/><Relationship Id="rId62" Type="http://schemas.openxmlformats.org/officeDocument/2006/relationships/hyperlink" Target="http://www.nevo.co.il/law/70301" TargetMode="External"/><Relationship Id="rId70" Type="http://schemas.openxmlformats.org/officeDocument/2006/relationships/hyperlink" Target="http://www.nevo.co.il/case/5640607" TargetMode="External"/><Relationship Id="rId75" Type="http://schemas.openxmlformats.org/officeDocument/2006/relationships/hyperlink" Target="http://www.nevo.co.il/law/70301" TargetMode="External"/><Relationship Id="rId83" Type="http://schemas.openxmlformats.org/officeDocument/2006/relationships/hyperlink" Target="http://www.nevo.co.il/law/70301/334" TargetMode="External"/><Relationship Id="rId88" Type="http://schemas.openxmlformats.org/officeDocument/2006/relationships/header" Target="header1.xml"/><Relationship Id="rId9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34" TargetMode="External"/><Relationship Id="rId23" Type="http://schemas.openxmlformats.org/officeDocument/2006/relationships/hyperlink" Target="http://www.nevo.co.il/law/74903" TargetMode="External"/><Relationship Id="rId28" Type="http://schemas.openxmlformats.org/officeDocument/2006/relationships/hyperlink" Target="http://www.nevo.co.il/law/72510/2" TargetMode="External"/><Relationship Id="rId36" Type="http://schemas.openxmlformats.org/officeDocument/2006/relationships/hyperlink" Target="http://www.nevo.co.il/law/70301/305.1" TargetMode="External"/><Relationship Id="rId49" Type="http://schemas.openxmlformats.org/officeDocument/2006/relationships/hyperlink" Target="http://www.nevo.co.il/case/3503022" TargetMode="External"/><Relationship Id="rId57" Type="http://schemas.openxmlformats.org/officeDocument/2006/relationships/hyperlink" Target="http://www.nevo.co.il/case/713193" TargetMode="External"/><Relationship Id="rId10" Type="http://schemas.openxmlformats.org/officeDocument/2006/relationships/hyperlink" Target="http://www.nevo.co.il/law/70301/305.1"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4674954" TargetMode="External"/><Relationship Id="rId52" Type="http://schemas.openxmlformats.org/officeDocument/2006/relationships/hyperlink" Target="http://www.nevo.co.il/case/7697298" TargetMode="External"/><Relationship Id="rId60" Type="http://schemas.openxmlformats.org/officeDocument/2006/relationships/hyperlink" Target="http://www.nevo.co.il/case/%20347127" TargetMode="External"/><Relationship Id="rId65" Type="http://schemas.openxmlformats.org/officeDocument/2006/relationships/hyperlink" Target="http://www.nevo.co.il/law/70301/335.a.1" TargetMode="External"/><Relationship Id="rId73" Type="http://schemas.openxmlformats.org/officeDocument/2006/relationships/hyperlink" Target="http://www.nevo.co.il/case/5576581" TargetMode="External"/><Relationship Id="rId78" Type="http://schemas.openxmlformats.org/officeDocument/2006/relationships/hyperlink" Target="http://www.nevo.co.il/law/70301/335" TargetMode="External"/><Relationship Id="rId81" Type="http://schemas.openxmlformats.org/officeDocument/2006/relationships/hyperlink" Target="http://www.nevo.co.il/law/70301/329" TargetMode="External"/><Relationship Id="rId86" Type="http://schemas.openxmlformats.org/officeDocument/2006/relationships/hyperlink" Target="http://www.nevo.co.il/case/17927327"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3" Type="http://schemas.openxmlformats.org/officeDocument/2006/relationships/hyperlink" Target="http://www.nevo.co.il/law/70301/329.a.1" TargetMode="External"/><Relationship Id="rId18" Type="http://schemas.openxmlformats.org/officeDocument/2006/relationships/hyperlink" Target="http://www.nevo.co.il/law/70301/499.a.1" TargetMode="External"/><Relationship Id="rId39" Type="http://schemas.openxmlformats.org/officeDocument/2006/relationships/hyperlink" Target="http://www.nevo.co.il/case/5699762" TargetMode="External"/><Relationship Id="rId34" Type="http://schemas.openxmlformats.org/officeDocument/2006/relationships/hyperlink" Target="http://www.nevo.co.il/law/73729" TargetMode="External"/><Relationship Id="rId50" Type="http://schemas.openxmlformats.org/officeDocument/2006/relationships/hyperlink" Target="http://www.nevo.co.il/case/17927327" TargetMode="External"/><Relationship Id="rId55" Type="http://schemas.openxmlformats.org/officeDocument/2006/relationships/hyperlink" Target="http://www.nevo.co.il/law/70301/335.a.1" TargetMode="External"/><Relationship Id="rId76" Type="http://schemas.openxmlformats.org/officeDocument/2006/relationships/hyperlink" Target="http://www.nevo.co.il/law/70301/333"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329.a"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www.nevo.co.il/law/72510" TargetMode="External"/><Relationship Id="rId24" Type="http://schemas.openxmlformats.org/officeDocument/2006/relationships/hyperlink" Target="http://www.nevo.co.il/law/74903/187.b" TargetMode="External"/><Relationship Id="rId40" Type="http://schemas.openxmlformats.org/officeDocument/2006/relationships/hyperlink" Target="http://www.nevo.co.il/case/5845337" TargetMode="External"/><Relationship Id="rId45" Type="http://schemas.openxmlformats.org/officeDocument/2006/relationships/hyperlink" Target="http://www.nevo.co.il/case/5576581" TargetMode="External"/><Relationship Id="rId66" Type="http://schemas.openxmlformats.org/officeDocument/2006/relationships/hyperlink" Target="http://www.nevo.co.il/law/70301" TargetMode="External"/><Relationship Id="rId87" Type="http://schemas.openxmlformats.org/officeDocument/2006/relationships/hyperlink" Target="http://www.nevo.co.il/advertisements/nevo-100.doc" TargetMode="External"/><Relationship Id="rId61" Type="http://schemas.openxmlformats.org/officeDocument/2006/relationships/hyperlink" Target="http://www.nevo.co.il/law/70301/329.a" TargetMode="External"/><Relationship Id="rId82" Type="http://schemas.openxmlformats.org/officeDocument/2006/relationships/hyperlink" Target="http://www.nevo.co.il/law/70301/333" TargetMode="External"/><Relationship Id="rId19" Type="http://schemas.openxmlformats.org/officeDocument/2006/relationships/hyperlink" Target="http://www.nevo.co.il/law/72510" TargetMode="External"/><Relationship Id="rId14" Type="http://schemas.openxmlformats.org/officeDocument/2006/relationships/hyperlink" Target="http://www.nevo.co.il/law/70301/333" TargetMode="External"/><Relationship Id="rId30" Type="http://schemas.openxmlformats.org/officeDocument/2006/relationships/hyperlink" Target="http://www.nevo.co.il/law/70301/499.a.1" TargetMode="External"/><Relationship Id="rId35" Type="http://schemas.openxmlformats.org/officeDocument/2006/relationships/hyperlink" Target="http://www.nevo.co.il/law/70301/144.a" TargetMode="External"/><Relationship Id="rId56" Type="http://schemas.openxmlformats.org/officeDocument/2006/relationships/hyperlink" Target="http://www.nevo.co.il/law/70301" TargetMode="External"/><Relationship Id="rId77" Type="http://schemas.openxmlformats.org/officeDocument/2006/relationships/hyperlink" Target="http://www.nevo.co.il/law/70301/33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3249</Words>
  <Characters>16246</Characters>
  <Application>Microsoft Office Word</Application>
  <DocSecurity>0</DocSecurity>
  <Lines>135</Lines>
  <Paragraphs>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19457</CharactersWithSpaces>
  <SharedDoc>false</SharedDoc>
  <HLinks>
    <vt:vector size="486" baseType="variant">
      <vt:variant>
        <vt:i4>393283</vt:i4>
      </vt:variant>
      <vt:variant>
        <vt:i4>240</vt:i4>
      </vt:variant>
      <vt:variant>
        <vt:i4>0</vt:i4>
      </vt:variant>
      <vt:variant>
        <vt:i4>5</vt:i4>
      </vt:variant>
      <vt:variant>
        <vt:lpwstr>http://www.nevo.co.il/advertisements/nevo-100.doc</vt:lpwstr>
      </vt:variant>
      <vt:variant>
        <vt:lpwstr/>
      </vt:variant>
      <vt:variant>
        <vt:i4>3997810</vt:i4>
      </vt:variant>
      <vt:variant>
        <vt:i4>237</vt:i4>
      </vt:variant>
      <vt:variant>
        <vt:i4>0</vt:i4>
      </vt:variant>
      <vt:variant>
        <vt:i4>5</vt:i4>
      </vt:variant>
      <vt:variant>
        <vt:lpwstr>http://www.nevo.co.il/case/17927327</vt:lpwstr>
      </vt:variant>
      <vt:variant>
        <vt:lpwstr/>
      </vt:variant>
      <vt:variant>
        <vt:i4>7995492</vt:i4>
      </vt:variant>
      <vt:variant>
        <vt:i4>234</vt:i4>
      </vt:variant>
      <vt:variant>
        <vt:i4>0</vt:i4>
      </vt:variant>
      <vt:variant>
        <vt:i4>5</vt:i4>
      </vt:variant>
      <vt:variant>
        <vt:lpwstr>http://www.nevo.co.il/law/70301</vt:lpwstr>
      </vt:variant>
      <vt:variant>
        <vt:lpwstr/>
      </vt:variant>
      <vt:variant>
        <vt:i4>6684774</vt:i4>
      </vt:variant>
      <vt:variant>
        <vt:i4>231</vt:i4>
      </vt:variant>
      <vt:variant>
        <vt:i4>0</vt:i4>
      </vt:variant>
      <vt:variant>
        <vt:i4>5</vt:i4>
      </vt:variant>
      <vt:variant>
        <vt:lpwstr>http://www.nevo.co.il/law/70301/335</vt:lpwstr>
      </vt:variant>
      <vt:variant>
        <vt:lpwstr/>
      </vt:variant>
      <vt:variant>
        <vt:i4>6684774</vt:i4>
      </vt:variant>
      <vt:variant>
        <vt:i4>228</vt:i4>
      </vt:variant>
      <vt:variant>
        <vt:i4>0</vt:i4>
      </vt:variant>
      <vt:variant>
        <vt:i4>5</vt:i4>
      </vt:variant>
      <vt:variant>
        <vt:lpwstr>http://www.nevo.co.il/law/70301/334</vt:lpwstr>
      </vt:variant>
      <vt:variant>
        <vt:lpwstr/>
      </vt:variant>
      <vt:variant>
        <vt:i4>6684774</vt:i4>
      </vt:variant>
      <vt:variant>
        <vt:i4>225</vt:i4>
      </vt:variant>
      <vt:variant>
        <vt:i4>0</vt:i4>
      </vt:variant>
      <vt:variant>
        <vt:i4>5</vt:i4>
      </vt:variant>
      <vt:variant>
        <vt:lpwstr>http://www.nevo.co.il/law/70301/333</vt:lpwstr>
      </vt:variant>
      <vt:variant>
        <vt:lpwstr/>
      </vt:variant>
      <vt:variant>
        <vt:i4>6750310</vt:i4>
      </vt:variant>
      <vt:variant>
        <vt:i4>222</vt:i4>
      </vt:variant>
      <vt:variant>
        <vt:i4>0</vt:i4>
      </vt:variant>
      <vt:variant>
        <vt:i4>5</vt:i4>
      </vt:variant>
      <vt:variant>
        <vt:lpwstr>http://www.nevo.co.il/law/70301/329</vt:lpwstr>
      </vt:variant>
      <vt:variant>
        <vt:lpwstr/>
      </vt:variant>
      <vt:variant>
        <vt:i4>6750310</vt:i4>
      </vt:variant>
      <vt:variant>
        <vt:i4>219</vt:i4>
      </vt:variant>
      <vt:variant>
        <vt:i4>0</vt:i4>
      </vt:variant>
      <vt:variant>
        <vt:i4>5</vt:i4>
      </vt:variant>
      <vt:variant>
        <vt:lpwstr>http://www.nevo.co.il/law/70301/329</vt:lpwstr>
      </vt:variant>
      <vt:variant>
        <vt:lpwstr/>
      </vt:variant>
      <vt:variant>
        <vt:i4>7995492</vt:i4>
      </vt:variant>
      <vt:variant>
        <vt:i4>216</vt:i4>
      </vt:variant>
      <vt:variant>
        <vt:i4>0</vt:i4>
      </vt:variant>
      <vt:variant>
        <vt:i4>5</vt:i4>
      </vt:variant>
      <vt:variant>
        <vt:lpwstr>http://www.nevo.co.il/law/70301</vt:lpwstr>
      </vt:variant>
      <vt:variant>
        <vt:lpwstr/>
      </vt:variant>
      <vt:variant>
        <vt:i4>6684774</vt:i4>
      </vt:variant>
      <vt:variant>
        <vt:i4>213</vt:i4>
      </vt:variant>
      <vt:variant>
        <vt:i4>0</vt:i4>
      </vt:variant>
      <vt:variant>
        <vt:i4>5</vt:i4>
      </vt:variant>
      <vt:variant>
        <vt:lpwstr>http://www.nevo.co.il/law/70301/335</vt:lpwstr>
      </vt:variant>
      <vt:variant>
        <vt:lpwstr/>
      </vt:variant>
      <vt:variant>
        <vt:i4>6684774</vt:i4>
      </vt:variant>
      <vt:variant>
        <vt:i4>210</vt:i4>
      </vt:variant>
      <vt:variant>
        <vt:i4>0</vt:i4>
      </vt:variant>
      <vt:variant>
        <vt:i4>5</vt:i4>
      </vt:variant>
      <vt:variant>
        <vt:lpwstr>http://www.nevo.co.il/law/70301/334</vt:lpwstr>
      </vt:variant>
      <vt:variant>
        <vt:lpwstr/>
      </vt:variant>
      <vt:variant>
        <vt:i4>6684774</vt:i4>
      </vt:variant>
      <vt:variant>
        <vt:i4>207</vt:i4>
      </vt:variant>
      <vt:variant>
        <vt:i4>0</vt:i4>
      </vt:variant>
      <vt:variant>
        <vt:i4>5</vt:i4>
      </vt:variant>
      <vt:variant>
        <vt:lpwstr>http://www.nevo.co.il/law/70301/333</vt:lpwstr>
      </vt:variant>
      <vt:variant>
        <vt:lpwstr/>
      </vt:variant>
      <vt:variant>
        <vt:i4>7995492</vt:i4>
      </vt:variant>
      <vt:variant>
        <vt:i4>204</vt:i4>
      </vt:variant>
      <vt:variant>
        <vt:i4>0</vt:i4>
      </vt:variant>
      <vt:variant>
        <vt:i4>5</vt:i4>
      </vt:variant>
      <vt:variant>
        <vt:lpwstr>http://www.nevo.co.il/law/70301</vt:lpwstr>
      </vt:variant>
      <vt:variant>
        <vt:lpwstr/>
      </vt:variant>
      <vt:variant>
        <vt:i4>4784223</vt:i4>
      </vt:variant>
      <vt:variant>
        <vt:i4>201</vt:i4>
      </vt:variant>
      <vt:variant>
        <vt:i4>0</vt:i4>
      </vt:variant>
      <vt:variant>
        <vt:i4>5</vt:i4>
      </vt:variant>
      <vt:variant>
        <vt:lpwstr>http://www.nevo.co.il/law/70301/329.a</vt:lpwstr>
      </vt:variant>
      <vt:variant>
        <vt:lpwstr/>
      </vt:variant>
      <vt:variant>
        <vt:i4>3539071</vt:i4>
      </vt:variant>
      <vt:variant>
        <vt:i4>198</vt:i4>
      </vt:variant>
      <vt:variant>
        <vt:i4>0</vt:i4>
      </vt:variant>
      <vt:variant>
        <vt:i4>5</vt:i4>
      </vt:variant>
      <vt:variant>
        <vt:lpwstr>http://www.nevo.co.il/case/5576581</vt:lpwstr>
      </vt:variant>
      <vt:variant>
        <vt:lpwstr/>
      </vt:variant>
      <vt:variant>
        <vt:i4>7995492</vt:i4>
      </vt:variant>
      <vt:variant>
        <vt:i4>195</vt:i4>
      </vt:variant>
      <vt:variant>
        <vt:i4>0</vt:i4>
      </vt:variant>
      <vt:variant>
        <vt:i4>5</vt:i4>
      </vt:variant>
      <vt:variant>
        <vt:lpwstr>http://www.nevo.co.il/law/70301</vt:lpwstr>
      </vt:variant>
      <vt:variant>
        <vt:lpwstr/>
      </vt:variant>
      <vt:variant>
        <vt:i4>4784223</vt:i4>
      </vt:variant>
      <vt:variant>
        <vt:i4>192</vt:i4>
      </vt:variant>
      <vt:variant>
        <vt:i4>0</vt:i4>
      </vt:variant>
      <vt:variant>
        <vt:i4>5</vt:i4>
      </vt:variant>
      <vt:variant>
        <vt:lpwstr>http://www.nevo.co.il/law/70301/329.a</vt:lpwstr>
      </vt:variant>
      <vt:variant>
        <vt:lpwstr/>
      </vt:variant>
      <vt:variant>
        <vt:i4>3145842</vt:i4>
      </vt:variant>
      <vt:variant>
        <vt:i4>189</vt:i4>
      </vt:variant>
      <vt:variant>
        <vt:i4>0</vt:i4>
      </vt:variant>
      <vt:variant>
        <vt:i4>5</vt:i4>
      </vt:variant>
      <vt:variant>
        <vt:lpwstr>http://www.nevo.co.il/case/5640607</vt:lpwstr>
      </vt:variant>
      <vt:variant>
        <vt:lpwstr/>
      </vt:variant>
      <vt:variant>
        <vt:i4>7995492</vt:i4>
      </vt:variant>
      <vt:variant>
        <vt:i4>186</vt:i4>
      </vt:variant>
      <vt:variant>
        <vt:i4>0</vt:i4>
      </vt:variant>
      <vt:variant>
        <vt:i4>5</vt:i4>
      </vt:variant>
      <vt:variant>
        <vt:lpwstr>http://www.nevo.co.il/law/70301</vt:lpwstr>
      </vt:variant>
      <vt:variant>
        <vt:lpwstr/>
      </vt:variant>
      <vt:variant>
        <vt:i4>4784223</vt:i4>
      </vt:variant>
      <vt:variant>
        <vt:i4>183</vt:i4>
      </vt:variant>
      <vt:variant>
        <vt:i4>0</vt:i4>
      </vt:variant>
      <vt:variant>
        <vt:i4>5</vt:i4>
      </vt:variant>
      <vt:variant>
        <vt:lpwstr>http://www.nevo.co.il/law/70301/329.a</vt:lpwstr>
      </vt:variant>
      <vt:variant>
        <vt:lpwstr/>
      </vt:variant>
      <vt:variant>
        <vt:i4>3735669</vt:i4>
      </vt:variant>
      <vt:variant>
        <vt:i4>180</vt:i4>
      </vt:variant>
      <vt:variant>
        <vt:i4>0</vt:i4>
      </vt:variant>
      <vt:variant>
        <vt:i4>5</vt:i4>
      </vt:variant>
      <vt:variant>
        <vt:lpwstr>http://www.nevo.co.il/case/5594306</vt:lpwstr>
      </vt:variant>
      <vt:variant>
        <vt:lpwstr/>
      </vt:variant>
      <vt:variant>
        <vt:i4>7995492</vt:i4>
      </vt:variant>
      <vt:variant>
        <vt:i4>177</vt:i4>
      </vt:variant>
      <vt:variant>
        <vt:i4>0</vt:i4>
      </vt:variant>
      <vt:variant>
        <vt:i4>5</vt:i4>
      </vt:variant>
      <vt:variant>
        <vt:lpwstr>http://www.nevo.co.il/law/70301</vt:lpwstr>
      </vt:variant>
      <vt:variant>
        <vt:lpwstr/>
      </vt:variant>
      <vt:variant>
        <vt:i4>6684722</vt:i4>
      </vt:variant>
      <vt:variant>
        <vt:i4>174</vt:i4>
      </vt:variant>
      <vt:variant>
        <vt:i4>0</vt:i4>
      </vt:variant>
      <vt:variant>
        <vt:i4>5</vt:i4>
      </vt:variant>
      <vt:variant>
        <vt:lpwstr>http://www.nevo.co.il/law/70301/335.a.1</vt:lpwstr>
      </vt:variant>
      <vt:variant>
        <vt:lpwstr/>
      </vt:variant>
      <vt:variant>
        <vt:i4>6684774</vt:i4>
      </vt:variant>
      <vt:variant>
        <vt:i4>171</vt:i4>
      </vt:variant>
      <vt:variant>
        <vt:i4>0</vt:i4>
      </vt:variant>
      <vt:variant>
        <vt:i4>5</vt:i4>
      </vt:variant>
      <vt:variant>
        <vt:lpwstr>http://www.nevo.co.il/law/70301/333</vt:lpwstr>
      </vt:variant>
      <vt:variant>
        <vt:lpwstr/>
      </vt:variant>
      <vt:variant>
        <vt:i4>3932287</vt:i4>
      </vt:variant>
      <vt:variant>
        <vt:i4>168</vt:i4>
      </vt:variant>
      <vt:variant>
        <vt:i4>0</vt:i4>
      </vt:variant>
      <vt:variant>
        <vt:i4>5</vt:i4>
      </vt:variant>
      <vt:variant>
        <vt:lpwstr>http://www.nevo.co.il/case/5986849</vt:lpwstr>
      </vt:variant>
      <vt:variant>
        <vt:lpwstr/>
      </vt:variant>
      <vt:variant>
        <vt:i4>7995492</vt:i4>
      </vt:variant>
      <vt:variant>
        <vt:i4>165</vt:i4>
      </vt:variant>
      <vt:variant>
        <vt:i4>0</vt:i4>
      </vt:variant>
      <vt:variant>
        <vt:i4>5</vt:i4>
      </vt:variant>
      <vt:variant>
        <vt:lpwstr>http://www.nevo.co.il/law/70301</vt:lpwstr>
      </vt:variant>
      <vt:variant>
        <vt:lpwstr/>
      </vt:variant>
      <vt:variant>
        <vt:i4>4784223</vt:i4>
      </vt:variant>
      <vt:variant>
        <vt:i4>162</vt:i4>
      </vt:variant>
      <vt:variant>
        <vt:i4>0</vt:i4>
      </vt:variant>
      <vt:variant>
        <vt:i4>5</vt:i4>
      </vt:variant>
      <vt:variant>
        <vt:lpwstr>http://www.nevo.co.il/law/70301/329.a</vt:lpwstr>
      </vt:variant>
      <vt:variant>
        <vt:lpwstr/>
      </vt:variant>
      <vt:variant>
        <vt:i4>2228338</vt:i4>
      </vt:variant>
      <vt:variant>
        <vt:i4>159</vt:i4>
      </vt:variant>
      <vt:variant>
        <vt:i4>0</vt:i4>
      </vt:variant>
      <vt:variant>
        <vt:i4>5</vt:i4>
      </vt:variant>
      <vt:variant>
        <vt:lpwstr>http://www.nevo.co.il/case/ 347127</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6750310</vt:i4>
      </vt:variant>
      <vt:variant>
        <vt:i4>153</vt:i4>
      </vt:variant>
      <vt:variant>
        <vt:i4>0</vt:i4>
      </vt:variant>
      <vt:variant>
        <vt:i4>5</vt:i4>
      </vt:variant>
      <vt:variant>
        <vt:lpwstr>http://www.nevo.co.il/law/70301/329</vt:lpwstr>
      </vt:variant>
      <vt:variant>
        <vt:lpwstr/>
      </vt:variant>
      <vt:variant>
        <vt:i4>852036</vt:i4>
      </vt:variant>
      <vt:variant>
        <vt:i4>150</vt:i4>
      </vt:variant>
      <vt:variant>
        <vt:i4>0</vt:i4>
      </vt:variant>
      <vt:variant>
        <vt:i4>5</vt:i4>
      </vt:variant>
      <vt:variant>
        <vt:lpwstr>http://www.nevo.co.il/case/713193</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6684722</vt:i4>
      </vt:variant>
      <vt:variant>
        <vt:i4>144</vt:i4>
      </vt:variant>
      <vt:variant>
        <vt:i4>0</vt:i4>
      </vt:variant>
      <vt:variant>
        <vt:i4>5</vt:i4>
      </vt:variant>
      <vt:variant>
        <vt:lpwstr>http://www.nevo.co.il/law/70301/335.a.1</vt:lpwstr>
      </vt:variant>
      <vt:variant>
        <vt:lpwstr/>
      </vt:variant>
      <vt:variant>
        <vt:i4>6684774</vt:i4>
      </vt:variant>
      <vt:variant>
        <vt:i4>141</vt:i4>
      </vt:variant>
      <vt:variant>
        <vt:i4>0</vt:i4>
      </vt:variant>
      <vt:variant>
        <vt:i4>5</vt:i4>
      </vt:variant>
      <vt:variant>
        <vt:lpwstr>http://www.nevo.co.il/law/70301/334</vt:lpwstr>
      </vt:variant>
      <vt:variant>
        <vt:lpwstr/>
      </vt:variant>
      <vt:variant>
        <vt:i4>3801211</vt:i4>
      </vt:variant>
      <vt:variant>
        <vt:i4>138</vt:i4>
      </vt:variant>
      <vt:variant>
        <vt:i4>0</vt:i4>
      </vt:variant>
      <vt:variant>
        <vt:i4>5</vt:i4>
      </vt:variant>
      <vt:variant>
        <vt:lpwstr>http://www.nevo.co.il/case/6996702</vt:lpwstr>
      </vt:variant>
      <vt:variant>
        <vt:lpwstr/>
      </vt:variant>
      <vt:variant>
        <vt:i4>3407996</vt:i4>
      </vt:variant>
      <vt:variant>
        <vt:i4>135</vt:i4>
      </vt:variant>
      <vt:variant>
        <vt:i4>0</vt:i4>
      </vt:variant>
      <vt:variant>
        <vt:i4>5</vt:i4>
      </vt:variant>
      <vt:variant>
        <vt:lpwstr>http://www.nevo.co.il/case/7697298</vt:lpwstr>
      </vt:variant>
      <vt:variant>
        <vt:lpwstr/>
      </vt:variant>
      <vt:variant>
        <vt:i4>3604592</vt:i4>
      </vt:variant>
      <vt:variant>
        <vt:i4>132</vt:i4>
      </vt:variant>
      <vt:variant>
        <vt:i4>0</vt:i4>
      </vt:variant>
      <vt:variant>
        <vt:i4>5</vt:i4>
      </vt:variant>
      <vt:variant>
        <vt:lpwstr>http://www.nevo.co.il/case/5714675</vt:lpwstr>
      </vt:variant>
      <vt:variant>
        <vt:lpwstr/>
      </vt:variant>
      <vt:variant>
        <vt:i4>3997810</vt:i4>
      </vt:variant>
      <vt:variant>
        <vt:i4>129</vt:i4>
      </vt:variant>
      <vt:variant>
        <vt:i4>0</vt:i4>
      </vt:variant>
      <vt:variant>
        <vt:i4>5</vt:i4>
      </vt:variant>
      <vt:variant>
        <vt:lpwstr>http://www.nevo.co.il/case/17927327</vt:lpwstr>
      </vt:variant>
      <vt:variant>
        <vt:lpwstr/>
      </vt:variant>
      <vt:variant>
        <vt:i4>3211376</vt:i4>
      </vt:variant>
      <vt:variant>
        <vt:i4>126</vt:i4>
      </vt:variant>
      <vt:variant>
        <vt:i4>0</vt:i4>
      </vt:variant>
      <vt:variant>
        <vt:i4>5</vt:i4>
      </vt:variant>
      <vt:variant>
        <vt:lpwstr>http://www.nevo.co.il/case/3503022</vt:lpwstr>
      </vt:variant>
      <vt:variant>
        <vt:lpwstr/>
      </vt:variant>
      <vt:variant>
        <vt:i4>3342459</vt:i4>
      </vt:variant>
      <vt:variant>
        <vt:i4>123</vt:i4>
      </vt:variant>
      <vt:variant>
        <vt:i4>0</vt:i4>
      </vt:variant>
      <vt:variant>
        <vt:i4>5</vt:i4>
      </vt:variant>
      <vt:variant>
        <vt:lpwstr>http://www.nevo.co.il/case/6954424</vt:lpwstr>
      </vt:variant>
      <vt:variant>
        <vt:lpwstr/>
      </vt:variant>
      <vt:variant>
        <vt:i4>3604595</vt:i4>
      </vt:variant>
      <vt:variant>
        <vt:i4>120</vt:i4>
      </vt:variant>
      <vt:variant>
        <vt:i4>0</vt:i4>
      </vt:variant>
      <vt:variant>
        <vt:i4>5</vt:i4>
      </vt:variant>
      <vt:variant>
        <vt:lpwstr>http://www.nevo.co.il/case/20345338</vt:lpwstr>
      </vt:variant>
      <vt:variant>
        <vt:lpwstr/>
      </vt:variant>
      <vt:variant>
        <vt:i4>3735668</vt:i4>
      </vt:variant>
      <vt:variant>
        <vt:i4>117</vt:i4>
      </vt:variant>
      <vt:variant>
        <vt:i4>0</vt:i4>
      </vt:variant>
      <vt:variant>
        <vt:i4>5</vt:i4>
      </vt:variant>
      <vt:variant>
        <vt:lpwstr>http://www.nevo.co.il/case/4032628</vt:lpwstr>
      </vt:variant>
      <vt:variant>
        <vt:lpwstr/>
      </vt:variant>
      <vt:variant>
        <vt:i4>3539071</vt:i4>
      </vt:variant>
      <vt:variant>
        <vt:i4>114</vt:i4>
      </vt:variant>
      <vt:variant>
        <vt:i4>0</vt:i4>
      </vt:variant>
      <vt:variant>
        <vt:i4>5</vt:i4>
      </vt:variant>
      <vt:variant>
        <vt:lpwstr>http://www.nevo.co.il/case/5576581</vt:lpwstr>
      </vt:variant>
      <vt:variant>
        <vt:lpwstr/>
      </vt:variant>
      <vt:variant>
        <vt:i4>4063347</vt:i4>
      </vt:variant>
      <vt:variant>
        <vt:i4>111</vt:i4>
      </vt:variant>
      <vt:variant>
        <vt:i4>0</vt:i4>
      </vt:variant>
      <vt:variant>
        <vt:i4>5</vt:i4>
      </vt:variant>
      <vt:variant>
        <vt:lpwstr>http://www.nevo.co.il/case/4674954</vt:lpwstr>
      </vt:variant>
      <vt:variant>
        <vt:lpwstr/>
      </vt:variant>
      <vt:variant>
        <vt:i4>3539056</vt:i4>
      </vt:variant>
      <vt:variant>
        <vt:i4>108</vt:i4>
      </vt:variant>
      <vt:variant>
        <vt:i4>0</vt:i4>
      </vt:variant>
      <vt:variant>
        <vt:i4>5</vt:i4>
      </vt:variant>
      <vt:variant>
        <vt:lpwstr>http://www.nevo.co.il/case/7700839</vt:lpwstr>
      </vt:variant>
      <vt:variant>
        <vt:lpwstr/>
      </vt:variant>
      <vt:variant>
        <vt:i4>4128881</vt:i4>
      </vt:variant>
      <vt:variant>
        <vt:i4>105</vt:i4>
      </vt:variant>
      <vt:variant>
        <vt:i4>0</vt:i4>
      </vt:variant>
      <vt:variant>
        <vt:i4>5</vt:i4>
      </vt:variant>
      <vt:variant>
        <vt:lpwstr>http://www.nevo.co.il/case/8474959</vt:lpwstr>
      </vt:variant>
      <vt:variant>
        <vt:lpwstr/>
      </vt:variant>
      <vt:variant>
        <vt:i4>3342451</vt:i4>
      </vt:variant>
      <vt:variant>
        <vt:i4>102</vt:i4>
      </vt:variant>
      <vt:variant>
        <vt:i4>0</vt:i4>
      </vt:variant>
      <vt:variant>
        <vt:i4>5</vt:i4>
      </vt:variant>
      <vt:variant>
        <vt:lpwstr>http://www.nevo.co.il/case/6025720</vt:lpwstr>
      </vt:variant>
      <vt:variant>
        <vt:lpwstr/>
      </vt:variant>
      <vt:variant>
        <vt:i4>3473530</vt:i4>
      </vt:variant>
      <vt:variant>
        <vt:i4>99</vt:i4>
      </vt:variant>
      <vt:variant>
        <vt:i4>0</vt:i4>
      </vt:variant>
      <vt:variant>
        <vt:i4>5</vt:i4>
      </vt:variant>
      <vt:variant>
        <vt:lpwstr>http://www.nevo.co.il/case/5845337</vt:lpwstr>
      </vt:variant>
      <vt:variant>
        <vt:lpwstr/>
      </vt:variant>
      <vt:variant>
        <vt:i4>3735677</vt:i4>
      </vt:variant>
      <vt:variant>
        <vt:i4>96</vt:i4>
      </vt:variant>
      <vt:variant>
        <vt:i4>0</vt:i4>
      </vt:variant>
      <vt:variant>
        <vt:i4>5</vt:i4>
      </vt:variant>
      <vt:variant>
        <vt:lpwstr>http://www.nevo.co.il/case/5699762</vt:lpwstr>
      </vt:variant>
      <vt:variant>
        <vt:lpwstr/>
      </vt:variant>
      <vt:variant>
        <vt:i4>8257646</vt:i4>
      </vt:variant>
      <vt:variant>
        <vt:i4>93</vt:i4>
      </vt:variant>
      <vt:variant>
        <vt:i4>0</vt:i4>
      </vt:variant>
      <vt:variant>
        <vt:i4>5</vt:i4>
      </vt:variant>
      <vt:variant>
        <vt:lpwstr>http://www.nevo.co.il/law/74903</vt:lpwstr>
      </vt:variant>
      <vt:variant>
        <vt:lpwstr/>
      </vt:variant>
      <vt:variant>
        <vt:i4>4653147</vt:i4>
      </vt:variant>
      <vt:variant>
        <vt:i4>90</vt:i4>
      </vt:variant>
      <vt:variant>
        <vt:i4>0</vt:i4>
      </vt:variant>
      <vt:variant>
        <vt:i4>5</vt:i4>
      </vt:variant>
      <vt:variant>
        <vt:lpwstr>http://www.nevo.co.il/law/74903/187.b</vt:lpwstr>
      </vt:variant>
      <vt:variant>
        <vt:lpwstr/>
      </vt:variant>
      <vt:variant>
        <vt:i4>4915283</vt:i4>
      </vt:variant>
      <vt:variant>
        <vt:i4>87</vt:i4>
      </vt:variant>
      <vt:variant>
        <vt:i4>0</vt:i4>
      </vt:variant>
      <vt:variant>
        <vt:i4>5</vt:i4>
      </vt:variant>
      <vt:variant>
        <vt:lpwstr>http://www.nevo.co.il/law/70301/305.1</vt:lpwstr>
      </vt:variant>
      <vt:variant>
        <vt:lpwstr/>
      </vt:variant>
      <vt:variant>
        <vt:i4>5177424</vt:i4>
      </vt:variant>
      <vt:variant>
        <vt:i4>84</vt:i4>
      </vt:variant>
      <vt:variant>
        <vt:i4>0</vt:i4>
      </vt:variant>
      <vt:variant>
        <vt:i4>5</vt:i4>
      </vt:variant>
      <vt:variant>
        <vt:lpwstr>http://www.nevo.co.il/law/70301/144.a</vt:lpwstr>
      </vt:variant>
      <vt:variant>
        <vt:lpwstr/>
      </vt:variant>
      <vt:variant>
        <vt:i4>8061024</vt:i4>
      </vt:variant>
      <vt:variant>
        <vt:i4>81</vt:i4>
      </vt:variant>
      <vt:variant>
        <vt:i4>0</vt:i4>
      </vt:variant>
      <vt:variant>
        <vt:i4>5</vt:i4>
      </vt:variant>
      <vt:variant>
        <vt:lpwstr>http://www.nevo.co.il/law/73729</vt:lpwstr>
      </vt:variant>
      <vt:variant>
        <vt:lpwstr/>
      </vt:variant>
      <vt:variant>
        <vt:i4>79</vt:i4>
      </vt:variant>
      <vt:variant>
        <vt:i4>78</vt:i4>
      </vt:variant>
      <vt:variant>
        <vt:i4>0</vt:i4>
      </vt:variant>
      <vt:variant>
        <vt:i4>5</vt:i4>
      </vt:variant>
      <vt:variant>
        <vt:lpwstr>http://www.nevo.co.il/law/73729/85.a</vt:lpwstr>
      </vt:variant>
      <vt:variant>
        <vt:lpwstr/>
      </vt:variant>
      <vt:variant>
        <vt:i4>4849744</vt:i4>
      </vt:variant>
      <vt:variant>
        <vt:i4>75</vt:i4>
      </vt:variant>
      <vt:variant>
        <vt:i4>0</vt:i4>
      </vt:variant>
      <vt:variant>
        <vt:i4>5</vt:i4>
      </vt:variant>
      <vt:variant>
        <vt:lpwstr>http://www.nevo.co.il/law/70301/114.a</vt:lpwstr>
      </vt:variant>
      <vt:variant>
        <vt:lpwstr/>
      </vt:variant>
      <vt:variant>
        <vt:i4>7995492</vt:i4>
      </vt:variant>
      <vt:variant>
        <vt:i4>72</vt:i4>
      </vt:variant>
      <vt:variant>
        <vt:i4>0</vt:i4>
      </vt:variant>
      <vt:variant>
        <vt:i4>5</vt:i4>
      </vt:variant>
      <vt:variant>
        <vt:lpwstr>http://www.nevo.co.il/law/70301</vt:lpwstr>
      </vt:variant>
      <vt:variant>
        <vt:lpwstr/>
      </vt:variant>
      <vt:variant>
        <vt:i4>7077945</vt:i4>
      </vt:variant>
      <vt:variant>
        <vt:i4>69</vt:i4>
      </vt:variant>
      <vt:variant>
        <vt:i4>0</vt:i4>
      </vt:variant>
      <vt:variant>
        <vt:i4>5</vt:i4>
      </vt:variant>
      <vt:variant>
        <vt:lpwstr>http://www.nevo.co.il/law/70301/499.a.1</vt:lpwstr>
      </vt:variant>
      <vt:variant>
        <vt:lpwstr/>
      </vt:variant>
      <vt:variant>
        <vt:i4>7929954</vt:i4>
      </vt:variant>
      <vt:variant>
        <vt:i4>66</vt:i4>
      </vt:variant>
      <vt:variant>
        <vt:i4>0</vt:i4>
      </vt:variant>
      <vt:variant>
        <vt:i4>5</vt:i4>
      </vt:variant>
      <vt:variant>
        <vt:lpwstr>http://www.nevo.co.il/law/72510</vt:lpwstr>
      </vt:variant>
      <vt:variant>
        <vt:lpwstr/>
      </vt:variant>
      <vt:variant>
        <vt:i4>5636178</vt:i4>
      </vt:variant>
      <vt:variant>
        <vt:i4>63</vt:i4>
      </vt:variant>
      <vt:variant>
        <vt:i4>0</vt:i4>
      </vt:variant>
      <vt:variant>
        <vt:i4>5</vt:i4>
      </vt:variant>
      <vt:variant>
        <vt:lpwstr>http://www.nevo.co.il/law/72510/2</vt:lpwstr>
      </vt:variant>
      <vt:variant>
        <vt:lpwstr/>
      </vt:variant>
      <vt:variant>
        <vt:i4>3735671</vt:i4>
      </vt:variant>
      <vt:variant>
        <vt:i4>60</vt:i4>
      </vt:variant>
      <vt:variant>
        <vt:i4>0</vt:i4>
      </vt:variant>
      <vt:variant>
        <vt:i4>5</vt:i4>
      </vt:variant>
      <vt:variant>
        <vt:lpwstr>http://www.nevo.co.il/case/7793374</vt:lpwstr>
      </vt:variant>
      <vt:variant>
        <vt:lpwstr/>
      </vt:variant>
      <vt:variant>
        <vt:i4>7995492</vt:i4>
      </vt:variant>
      <vt:variant>
        <vt:i4>57</vt:i4>
      </vt:variant>
      <vt:variant>
        <vt:i4>0</vt:i4>
      </vt:variant>
      <vt:variant>
        <vt:i4>5</vt:i4>
      </vt:variant>
      <vt:variant>
        <vt:lpwstr>http://www.nevo.co.il/law/70301</vt:lpwstr>
      </vt:variant>
      <vt:variant>
        <vt:lpwstr/>
      </vt:variant>
      <vt:variant>
        <vt:i4>6750270</vt:i4>
      </vt:variant>
      <vt:variant>
        <vt:i4>54</vt:i4>
      </vt:variant>
      <vt:variant>
        <vt:i4>0</vt:i4>
      </vt:variant>
      <vt:variant>
        <vt:i4>5</vt:i4>
      </vt:variant>
      <vt:variant>
        <vt:lpwstr>http://www.nevo.co.il/law/70301/329.a.1</vt:lpwstr>
      </vt:variant>
      <vt:variant>
        <vt:lpwstr/>
      </vt:variant>
      <vt:variant>
        <vt:i4>4653147</vt:i4>
      </vt:variant>
      <vt:variant>
        <vt:i4>51</vt:i4>
      </vt:variant>
      <vt:variant>
        <vt:i4>0</vt:i4>
      </vt:variant>
      <vt:variant>
        <vt:i4>5</vt:i4>
      </vt:variant>
      <vt:variant>
        <vt:lpwstr>http://www.nevo.co.il/law/74903/187.b</vt:lpwstr>
      </vt:variant>
      <vt:variant>
        <vt:lpwstr/>
      </vt:variant>
      <vt:variant>
        <vt:i4>8257646</vt:i4>
      </vt:variant>
      <vt:variant>
        <vt:i4>48</vt:i4>
      </vt:variant>
      <vt:variant>
        <vt:i4>0</vt:i4>
      </vt:variant>
      <vt:variant>
        <vt:i4>5</vt:i4>
      </vt:variant>
      <vt:variant>
        <vt:lpwstr>http://www.nevo.co.il/law/74903</vt:lpwstr>
      </vt:variant>
      <vt:variant>
        <vt:lpwstr/>
      </vt:variant>
      <vt:variant>
        <vt:i4>79</vt:i4>
      </vt:variant>
      <vt:variant>
        <vt:i4>45</vt:i4>
      </vt:variant>
      <vt:variant>
        <vt:i4>0</vt:i4>
      </vt:variant>
      <vt:variant>
        <vt:i4>5</vt:i4>
      </vt:variant>
      <vt:variant>
        <vt:lpwstr>http://www.nevo.co.il/law/73729/85.a</vt:lpwstr>
      </vt:variant>
      <vt:variant>
        <vt:lpwstr/>
      </vt:variant>
      <vt:variant>
        <vt:i4>8061024</vt:i4>
      </vt:variant>
      <vt:variant>
        <vt:i4>42</vt:i4>
      </vt:variant>
      <vt:variant>
        <vt:i4>0</vt:i4>
      </vt:variant>
      <vt:variant>
        <vt:i4>5</vt:i4>
      </vt:variant>
      <vt:variant>
        <vt:lpwstr>http://www.nevo.co.il/law/73729</vt:lpwstr>
      </vt:variant>
      <vt:variant>
        <vt:lpwstr/>
      </vt:variant>
      <vt:variant>
        <vt:i4>5636178</vt:i4>
      </vt:variant>
      <vt:variant>
        <vt:i4>39</vt:i4>
      </vt:variant>
      <vt:variant>
        <vt:i4>0</vt:i4>
      </vt:variant>
      <vt:variant>
        <vt:i4>5</vt:i4>
      </vt:variant>
      <vt:variant>
        <vt:lpwstr>http://www.nevo.co.il/law/72510/2</vt:lpwstr>
      </vt:variant>
      <vt:variant>
        <vt:lpwstr/>
      </vt:variant>
      <vt:variant>
        <vt:i4>7929954</vt:i4>
      </vt:variant>
      <vt:variant>
        <vt:i4>36</vt:i4>
      </vt:variant>
      <vt:variant>
        <vt:i4>0</vt:i4>
      </vt:variant>
      <vt:variant>
        <vt:i4>5</vt:i4>
      </vt:variant>
      <vt:variant>
        <vt:lpwstr>http://www.nevo.co.il/law/72510</vt:lpwstr>
      </vt:variant>
      <vt:variant>
        <vt:lpwstr/>
      </vt:variant>
      <vt:variant>
        <vt:i4>7077945</vt:i4>
      </vt:variant>
      <vt:variant>
        <vt:i4>33</vt:i4>
      </vt:variant>
      <vt:variant>
        <vt:i4>0</vt:i4>
      </vt:variant>
      <vt:variant>
        <vt:i4>5</vt:i4>
      </vt:variant>
      <vt:variant>
        <vt:lpwstr>http://www.nevo.co.il/law/70301/499.a.1</vt:lpwstr>
      </vt:variant>
      <vt:variant>
        <vt:lpwstr/>
      </vt:variant>
      <vt:variant>
        <vt:i4>6684722</vt:i4>
      </vt:variant>
      <vt:variant>
        <vt:i4>30</vt:i4>
      </vt:variant>
      <vt:variant>
        <vt:i4>0</vt:i4>
      </vt:variant>
      <vt:variant>
        <vt:i4>5</vt:i4>
      </vt:variant>
      <vt:variant>
        <vt:lpwstr>http://www.nevo.co.il/law/70301/335.a.1</vt:lpwstr>
      </vt:variant>
      <vt:variant>
        <vt:lpwstr/>
      </vt:variant>
      <vt:variant>
        <vt:i4>6684774</vt:i4>
      </vt:variant>
      <vt:variant>
        <vt:i4>27</vt:i4>
      </vt:variant>
      <vt:variant>
        <vt:i4>0</vt:i4>
      </vt:variant>
      <vt:variant>
        <vt:i4>5</vt:i4>
      </vt:variant>
      <vt:variant>
        <vt:lpwstr>http://www.nevo.co.il/law/70301/335</vt:lpwstr>
      </vt:variant>
      <vt:variant>
        <vt:lpwstr/>
      </vt:variant>
      <vt:variant>
        <vt:i4>6684774</vt:i4>
      </vt:variant>
      <vt:variant>
        <vt:i4>24</vt:i4>
      </vt:variant>
      <vt:variant>
        <vt:i4>0</vt:i4>
      </vt:variant>
      <vt:variant>
        <vt:i4>5</vt:i4>
      </vt:variant>
      <vt:variant>
        <vt:lpwstr>http://www.nevo.co.il/law/70301/334</vt:lpwstr>
      </vt:variant>
      <vt:variant>
        <vt:lpwstr/>
      </vt:variant>
      <vt:variant>
        <vt:i4>6684774</vt:i4>
      </vt:variant>
      <vt:variant>
        <vt:i4>21</vt:i4>
      </vt:variant>
      <vt:variant>
        <vt:i4>0</vt:i4>
      </vt:variant>
      <vt:variant>
        <vt:i4>5</vt:i4>
      </vt:variant>
      <vt:variant>
        <vt:lpwstr>http://www.nevo.co.il/law/70301/333</vt:lpwstr>
      </vt:variant>
      <vt:variant>
        <vt:lpwstr/>
      </vt:variant>
      <vt:variant>
        <vt:i4>6750270</vt:i4>
      </vt:variant>
      <vt:variant>
        <vt:i4>18</vt:i4>
      </vt:variant>
      <vt:variant>
        <vt:i4>0</vt:i4>
      </vt:variant>
      <vt:variant>
        <vt:i4>5</vt:i4>
      </vt:variant>
      <vt:variant>
        <vt:lpwstr>http://www.nevo.co.il/law/70301/329.a.1</vt:lpwstr>
      </vt:variant>
      <vt:variant>
        <vt:lpwstr/>
      </vt:variant>
      <vt:variant>
        <vt:i4>4784223</vt:i4>
      </vt:variant>
      <vt:variant>
        <vt:i4>15</vt:i4>
      </vt:variant>
      <vt:variant>
        <vt:i4>0</vt:i4>
      </vt:variant>
      <vt:variant>
        <vt:i4>5</vt:i4>
      </vt:variant>
      <vt:variant>
        <vt:lpwstr>http://www.nevo.co.il/law/70301/329.a</vt:lpwstr>
      </vt:variant>
      <vt:variant>
        <vt:lpwstr/>
      </vt:variant>
      <vt:variant>
        <vt:i4>6750310</vt:i4>
      </vt:variant>
      <vt:variant>
        <vt:i4>12</vt:i4>
      </vt:variant>
      <vt:variant>
        <vt:i4>0</vt:i4>
      </vt:variant>
      <vt:variant>
        <vt:i4>5</vt:i4>
      </vt:variant>
      <vt:variant>
        <vt:lpwstr>http://www.nevo.co.il/law/70301/329</vt:lpwstr>
      </vt:variant>
      <vt:variant>
        <vt:lpwstr/>
      </vt:variant>
      <vt:variant>
        <vt:i4>4915283</vt:i4>
      </vt:variant>
      <vt:variant>
        <vt:i4>9</vt:i4>
      </vt:variant>
      <vt:variant>
        <vt:i4>0</vt:i4>
      </vt:variant>
      <vt:variant>
        <vt:i4>5</vt:i4>
      </vt:variant>
      <vt:variant>
        <vt:lpwstr>http://www.nevo.co.il/law/70301/305.1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4849744</vt:i4>
      </vt:variant>
      <vt:variant>
        <vt:i4>3</vt:i4>
      </vt:variant>
      <vt:variant>
        <vt:i4>0</vt:i4>
      </vt:variant>
      <vt:variant>
        <vt:i4>5</vt:i4>
      </vt:variant>
      <vt:variant>
        <vt:lpwstr>http://www.nevo.co.il/law/70301/114.a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2025-01-19T16:02:00Z</dcterms:created>
  <dcterms:modified xsi:type="dcterms:W3CDTF">2025-01-19T16:02:00Z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10549</vt:lpwstr>
  </property>
  <property fmtid="{D5CDD505-2E9C-101B-9397-08002B2CF9AE}" pid="6" name="NEWPARTB">
    <vt:lpwstr>06</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חמזה בן סלאמה צואוין </vt:lpwstr>
  </property>
  <property fmtid="{D5CDD505-2E9C-101B-9397-08002B2CF9AE}" pid="10" name="LAWYER">
    <vt:lpwstr>ענבל ברסנו ;מוחמד ג'ברין</vt:lpwstr>
  </property>
  <property fmtid="{D5CDD505-2E9C-101B-9397-08002B2CF9AE}" pid="11" name="JUDGE">
    <vt:lpwstr>עמית כהן</vt:lpwstr>
  </property>
  <property fmtid="{D5CDD505-2E9C-101B-9397-08002B2CF9AE}" pid="12" name="CITY">
    <vt:lpwstr>ב"ש</vt:lpwstr>
  </property>
  <property fmtid="{D5CDD505-2E9C-101B-9397-08002B2CF9AE}" pid="13" name="DATE">
    <vt:lpwstr>20161208</vt:lpwstr>
  </property>
  <property fmtid="{D5CDD505-2E9C-101B-9397-08002B2CF9AE}" pid="14" name="TYPE_N_DATE">
    <vt:lpwstr>39020161208</vt:lpwstr>
  </property>
  <property fmtid="{D5CDD505-2E9C-101B-9397-08002B2CF9AE}" pid="15" name="WORDNUMPAGES">
    <vt:lpwstr>8</vt:lpwstr>
  </property>
  <property fmtid="{D5CDD505-2E9C-101B-9397-08002B2CF9AE}" pid="16" name="TYPE_ABS_DATE">
    <vt:lpwstr>390020161208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7793374;5699762;5845337;6025720;8474959;7700839;4674954;5576581:2;4032628;20345338;6954424;3503022;17927327:2;5714675;7697298;6996702;713193;347127;5986849;5594306;5640607</vt:lpwstr>
  </property>
  <property fmtid="{D5CDD505-2E9C-101B-9397-08002B2CF9AE}" pid="36" name="LAWLISTTMP1">
    <vt:lpwstr>70301/329.a.1;499.a.1;114.a;144.a;305.1;334:3;335.a.1:2;329:3;329.a:4;333:3;335:2</vt:lpwstr>
  </property>
  <property fmtid="{D5CDD505-2E9C-101B-9397-08002B2CF9AE}" pid="37" name="LAWLISTTMP2">
    <vt:lpwstr>72510/002</vt:lpwstr>
  </property>
  <property fmtid="{D5CDD505-2E9C-101B-9397-08002B2CF9AE}" pid="38" name="LAWLISTTMP3">
    <vt:lpwstr>73729/085.a</vt:lpwstr>
  </property>
  <property fmtid="{D5CDD505-2E9C-101B-9397-08002B2CF9AE}" pid="39" name="LAWLISTTMP4">
    <vt:lpwstr>74903/187.b</vt:lpwstr>
  </property>
</Properties>
</file>