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FB3661" w:rsidRPr="00294A69" w14:paraId="6EDCA14E" w14:textId="77777777">
        <w:trPr>
          <w:trHeight w:hRule="exact" w:val="704"/>
          <w:jc w:val="center"/>
        </w:trPr>
        <w:tc>
          <w:tcPr>
            <w:tcW w:w="8721" w:type="dxa"/>
            <w:gridSpan w:val="2"/>
          </w:tcPr>
          <w:p w14:paraId="305FAB3F" w14:textId="77777777" w:rsidR="00FB3661" w:rsidRPr="00294A69" w:rsidRDefault="00294A69">
            <w:pPr>
              <w:pStyle w:val="a3"/>
              <w:jc w:val="center"/>
              <w:rPr>
                <w:rFonts w:ascii="Tahoma" w:hAnsi="Tahoma" w:cs="Tahoma"/>
                <w:b/>
                <w:bCs/>
                <w:noProof w:val="0"/>
                <w:color w:val="000080"/>
                <w:rtl/>
              </w:rPr>
            </w:pPr>
            <w:bookmarkStart w:id="0" w:name="LastJudge"/>
            <w:r w:rsidRPr="00294A69">
              <w:rPr>
                <w:rFonts w:ascii="Tahoma" w:hAnsi="Tahoma" w:cs="Tahoma"/>
                <w:b/>
                <w:bCs/>
                <w:noProof w:val="0"/>
                <w:color w:val="000080"/>
                <w:rtl/>
              </w:rPr>
              <w:t>בית המשפט המחוזי בירושלים</w:t>
            </w:r>
          </w:p>
          <w:p w14:paraId="613950C6" w14:textId="77777777" w:rsidR="00FB3661" w:rsidRPr="00294A69" w:rsidRDefault="00FB3661">
            <w:pPr>
              <w:pStyle w:val="a3"/>
              <w:jc w:val="center"/>
              <w:rPr>
                <w:rFonts w:ascii="Tahoma" w:hAnsi="Tahoma" w:cs="Tahoma"/>
                <w:noProof w:val="0"/>
                <w:color w:val="000080"/>
                <w:rtl/>
              </w:rPr>
            </w:pPr>
          </w:p>
        </w:tc>
      </w:tr>
      <w:tr w:rsidR="00FB3661" w:rsidRPr="00294A69" w14:paraId="7EC54FAC" w14:textId="77777777">
        <w:trPr>
          <w:trHeight w:val="337"/>
          <w:jc w:val="center"/>
        </w:trPr>
        <w:tc>
          <w:tcPr>
            <w:tcW w:w="5047" w:type="dxa"/>
          </w:tcPr>
          <w:p w14:paraId="21252453" w14:textId="77777777" w:rsidR="00FB3661" w:rsidRPr="00294A69" w:rsidRDefault="00FB3661">
            <w:pPr>
              <w:rPr>
                <w:b/>
                <w:bCs/>
                <w:noProof w:val="0"/>
                <w:sz w:val="26"/>
                <w:szCs w:val="26"/>
                <w:rtl/>
              </w:rPr>
            </w:pPr>
          </w:p>
        </w:tc>
        <w:tc>
          <w:tcPr>
            <w:tcW w:w="3674" w:type="dxa"/>
          </w:tcPr>
          <w:p w14:paraId="28EF48B7" w14:textId="77777777" w:rsidR="00FB3661" w:rsidRPr="00294A69" w:rsidRDefault="00FB3661">
            <w:pPr>
              <w:pStyle w:val="a3"/>
              <w:jc w:val="right"/>
              <w:rPr>
                <w:b/>
                <w:bCs/>
                <w:noProof w:val="0"/>
                <w:sz w:val="26"/>
                <w:szCs w:val="26"/>
                <w:rtl/>
              </w:rPr>
            </w:pPr>
          </w:p>
        </w:tc>
      </w:tr>
      <w:tr w:rsidR="00FB3661" w:rsidRPr="00294A69" w14:paraId="5BF9880D" w14:textId="77777777">
        <w:trPr>
          <w:trHeight w:val="807"/>
          <w:jc w:val="center"/>
        </w:trPr>
        <w:tc>
          <w:tcPr>
            <w:tcW w:w="8721" w:type="dxa"/>
            <w:gridSpan w:val="2"/>
          </w:tcPr>
          <w:p w14:paraId="728E665A" w14:textId="77777777" w:rsidR="00FB3661" w:rsidRPr="00294A69" w:rsidRDefault="00294A69">
            <w:pPr>
              <w:rPr>
                <w:rtl/>
              </w:rPr>
            </w:pPr>
            <w:r w:rsidRPr="00294A69">
              <w:rPr>
                <w:b/>
                <w:bCs/>
                <w:noProof w:val="0"/>
                <w:sz w:val="26"/>
                <w:szCs w:val="26"/>
                <w:rtl/>
              </w:rPr>
              <w:t>ת"פ 3510-06-15 מדינת ישראל נ' אטדגי</w:t>
            </w:r>
            <w:r w:rsidRPr="00294A69">
              <w:rPr>
                <w:rtl/>
              </w:rPr>
              <w:t xml:space="preserve"> </w:t>
            </w:r>
          </w:p>
        </w:tc>
      </w:tr>
    </w:tbl>
    <w:p w14:paraId="0EE53038" w14:textId="77777777" w:rsidR="00FB3661" w:rsidRPr="00294A69" w:rsidRDefault="00294A69">
      <w:pPr>
        <w:pStyle w:val="a3"/>
        <w:rPr>
          <w:noProof w:val="0"/>
          <w:sz w:val="2"/>
          <w:szCs w:val="2"/>
          <w:rtl/>
        </w:rPr>
      </w:pPr>
      <w:r w:rsidRPr="00294A69">
        <w:rPr>
          <w:noProof w:val="0"/>
          <w:rtl/>
        </w:rPr>
        <w:t xml:space="preserve"> </w:t>
      </w:r>
    </w:p>
    <w:p w14:paraId="0977917D" w14:textId="77777777" w:rsidR="00FB3661" w:rsidRPr="00294A69" w:rsidRDefault="00FB3661">
      <w:pPr>
        <w:suppressLineNumbers/>
        <w:rPr>
          <w:sz w:val="20"/>
          <w:szCs w:val="20"/>
          <w:rtl/>
        </w:rPr>
      </w:pPr>
    </w:p>
    <w:tbl>
      <w:tblPr>
        <w:bidiVisual/>
        <w:tblW w:w="8820" w:type="dxa"/>
        <w:jc w:val="center"/>
        <w:tblLook w:val="01E0" w:firstRow="1" w:lastRow="1" w:firstColumn="1" w:lastColumn="1" w:noHBand="0" w:noVBand="0"/>
      </w:tblPr>
      <w:tblGrid>
        <w:gridCol w:w="743"/>
        <w:gridCol w:w="2506"/>
        <w:gridCol w:w="5571"/>
      </w:tblGrid>
      <w:tr w:rsidR="00FB3661" w:rsidRPr="00294A69" w14:paraId="5CDC35BE" w14:textId="77777777">
        <w:trPr>
          <w:jc w:val="center"/>
        </w:trPr>
        <w:tc>
          <w:tcPr>
            <w:tcW w:w="743" w:type="dxa"/>
            <w:shd w:val="clear" w:color="auto" w:fill="auto"/>
          </w:tcPr>
          <w:p w14:paraId="4B152447" w14:textId="77777777" w:rsidR="00FB3661" w:rsidRPr="00294A69" w:rsidRDefault="00294A69">
            <w:pPr>
              <w:jc w:val="both"/>
              <w:rPr>
                <w:rFonts w:ascii="Arial" w:hAnsi="Arial"/>
                <w:b/>
                <w:bCs/>
              </w:rPr>
            </w:pPr>
            <w:r w:rsidRPr="00294A69">
              <w:rPr>
                <w:rFonts w:ascii="Arial" w:hAnsi="Arial" w:hint="cs"/>
                <w:b/>
                <w:bCs/>
                <w:rtl/>
              </w:rPr>
              <w:t>ב</w:t>
            </w:r>
            <w:r w:rsidRPr="00294A69">
              <w:rPr>
                <w:rFonts w:ascii="Arial" w:hAnsi="Arial"/>
                <w:b/>
                <w:bCs/>
                <w:rtl/>
              </w:rPr>
              <w:t>פני</w:t>
            </w:r>
            <w:r w:rsidRPr="00294A69">
              <w:rPr>
                <w:rFonts w:ascii="Arial" w:hAnsi="Arial" w:hint="cs"/>
                <w:b/>
                <w:bCs/>
                <w:rtl/>
              </w:rPr>
              <w:t>:</w:t>
            </w:r>
            <w:r w:rsidRPr="00294A69">
              <w:rPr>
                <w:rFonts w:ascii="Arial" w:hAnsi="Arial"/>
                <w:b/>
                <w:bCs/>
                <w:rtl/>
              </w:rPr>
              <w:t xml:space="preserve"> </w:t>
            </w:r>
          </w:p>
        </w:tc>
        <w:tc>
          <w:tcPr>
            <w:tcW w:w="8077" w:type="dxa"/>
            <w:gridSpan w:val="2"/>
            <w:shd w:val="clear" w:color="auto" w:fill="auto"/>
          </w:tcPr>
          <w:p w14:paraId="051D96A8" w14:textId="77777777" w:rsidR="00FB3661" w:rsidRPr="00294A69" w:rsidRDefault="00294A69">
            <w:pPr>
              <w:rPr>
                <w:rFonts w:ascii="Arial" w:hAnsi="Arial"/>
                <w:b/>
                <w:bCs/>
                <w:rtl/>
              </w:rPr>
            </w:pPr>
            <w:r w:rsidRPr="00294A69">
              <w:rPr>
                <w:rFonts w:ascii="Arial" w:hAnsi="Arial" w:hint="cs"/>
                <w:b/>
                <w:bCs/>
                <w:rtl/>
              </w:rPr>
              <w:t xml:space="preserve">כבוד השופט הבכיר </w:t>
            </w:r>
            <w:r w:rsidRPr="00294A69">
              <w:rPr>
                <w:rFonts w:hint="cs"/>
                <w:rtl/>
              </w:rPr>
              <w:t>אמנון כהן</w:t>
            </w:r>
          </w:p>
          <w:p w14:paraId="5B295CDB" w14:textId="77777777" w:rsidR="00FB3661" w:rsidRPr="00294A69" w:rsidRDefault="00FB3661">
            <w:pPr>
              <w:rPr>
                <w:rFonts w:ascii="Arial" w:hAnsi="Arial" w:cs="FrankRuehl"/>
                <w:sz w:val="28"/>
                <w:szCs w:val="28"/>
                <w:highlight w:val="yellow"/>
              </w:rPr>
            </w:pPr>
          </w:p>
        </w:tc>
      </w:tr>
      <w:tr w:rsidR="00FB3661" w:rsidRPr="00294A69" w14:paraId="2C0324A2" w14:textId="77777777">
        <w:trPr>
          <w:jc w:val="center"/>
        </w:trPr>
        <w:tc>
          <w:tcPr>
            <w:tcW w:w="3249" w:type="dxa"/>
            <w:gridSpan w:val="2"/>
            <w:shd w:val="clear" w:color="auto" w:fill="auto"/>
          </w:tcPr>
          <w:p w14:paraId="0706A15A" w14:textId="77777777" w:rsidR="00FB3661" w:rsidRPr="00294A69" w:rsidRDefault="00FB3661">
            <w:pPr>
              <w:bidi w:val="0"/>
              <w:jc w:val="right"/>
              <w:rPr>
                <w:rFonts w:ascii="Arial" w:hAnsi="Arial"/>
                <w:b/>
                <w:bCs/>
                <w:noProof w:val="0"/>
                <w:sz w:val="26"/>
                <w:szCs w:val="26"/>
              </w:rPr>
            </w:pPr>
            <w:bookmarkStart w:id="1" w:name="FirstAppellant"/>
            <w:bookmarkStart w:id="2" w:name="FirstLawyer"/>
          </w:p>
          <w:p w14:paraId="2468BFAE" w14:textId="77777777" w:rsidR="00FB3661" w:rsidRPr="00294A69" w:rsidRDefault="00294A69">
            <w:pPr>
              <w:bidi w:val="0"/>
              <w:jc w:val="right"/>
              <w:rPr>
                <w:rFonts w:ascii="Arial" w:hAnsi="Arial"/>
                <w:b/>
                <w:bCs/>
                <w:noProof w:val="0"/>
                <w:sz w:val="26"/>
                <w:szCs w:val="26"/>
                <w:rtl/>
              </w:rPr>
            </w:pPr>
            <w:r w:rsidRPr="00294A69">
              <w:rPr>
                <w:rFonts w:hint="cs"/>
                <w:rtl/>
              </w:rPr>
              <w:t>המאשימה</w:t>
            </w:r>
          </w:p>
        </w:tc>
        <w:tc>
          <w:tcPr>
            <w:tcW w:w="5571" w:type="dxa"/>
            <w:shd w:val="clear" w:color="auto" w:fill="auto"/>
          </w:tcPr>
          <w:p w14:paraId="618E42B6" w14:textId="77777777" w:rsidR="00FB3661" w:rsidRPr="00294A69" w:rsidRDefault="00FB3661">
            <w:pPr>
              <w:rPr>
                <w:rFonts w:ascii="Arial" w:hAnsi="Arial"/>
                <w:b/>
                <w:bCs/>
                <w:noProof w:val="0"/>
                <w:sz w:val="26"/>
                <w:szCs w:val="26"/>
                <w:rtl/>
              </w:rPr>
            </w:pPr>
          </w:p>
          <w:p w14:paraId="29A22B6B" w14:textId="77777777" w:rsidR="00FB3661" w:rsidRPr="00294A69" w:rsidRDefault="00294A69">
            <w:pPr>
              <w:rPr>
                <w:rtl/>
              </w:rPr>
            </w:pPr>
            <w:r w:rsidRPr="00294A69">
              <w:rPr>
                <w:rFonts w:hint="cs"/>
                <w:rtl/>
              </w:rPr>
              <w:t>מדינת ישראל</w:t>
            </w:r>
          </w:p>
          <w:p w14:paraId="4D685F8B" w14:textId="77777777" w:rsidR="00FB3661" w:rsidRPr="00294A69" w:rsidRDefault="00294A69">
            <w:pPr>
              <w:rPr>
                <w:sz w:val="26"/>
                <w:szCs w:val="26"/>
                <w:rtl/>
              </w:rPr>
            </w:pPr>
            <w:r w:rsidRPr="00294A69">
              <w:rPr>
                <w:rFonts w:hint="cs"/>
                <w:sz w:val="26"/>
                <w:szCs w:val="26"/>
                <w:rtl/>
              </w:rPr>
              <w:t>באמצעות פרקליטות מחוז ירושלים (פלילי)</w:t>
            </w:r>
          </w:p>
          <w:p w14:paraId="38262FC3" w14:textId="77777777" w:rsidR="00FB3661" w:rsidRPr="00294A69" w:rsidRDefault="00294A69">
            <w:pPr>
              <w:rPr>
                <w:b/>
                <w:bCs/>
                <w:noProof w:val="0"/>
                <w:sz w:val="26"/>
                <w:szCs w:val="26"/>
              </w:rPr>
            </w:pPr>
            <w:r w:rsidRPr="00294A69">
              <w:rPr>
                <w:rFonts w:hint="cs"/>
                <w:sz w:val="26"/>
                <w:szCs w:val="26"/>
                <w:rtl/>
              </w:rPr>
              <w:t>ע"י ב"כ עו"ד יובל קדר</w:t>
            </w:r>
          </w:p>
        </w:tc>
      </w:tr>
      <w:bookmarkEnd w:id="1"/>
      <w:bookmarkEnd w:id="2"/>
      <w:tr w:rsidR="00FB3661" w:rsidRPr="00294A69" w14:paraId="53034C96" w14:textId="77777777">
        <w:trPr>
          <w:jc w:val="center"/>
        </w:trPr>
        <w:tc>
          <w:tcPr>
            <w:tcW w:w="8820" w:type="dxa"/>
            <w:gridSpan w:val="3"/>
            <w:shd w:val="clear" w:color="auto" w:fill="auto"/>
          </w:tcPr>
          <w:p w14:paraId="0FA117B2" w14:textId="77777777" w:rsidR="00FB3661" w:rsidRPr="00294A69" w:rsidRDefault="00FB3661">
            <w:pPr>
              <w:rPr>
                <w:rFonts w:ascii="Arial" w:hAnsi="Arial"/>
                <w:b/>
                <w:bCs/>
                <w:noProof w:val="0"/>
                <w:sz w:val="26"/>
                <w:szCs w:val="26"/>
                <w:rtl/>
              </w:rPr>
            </w:pPr>
          </w:p>
          <w:p w14:paraId="3216CE06" w14:textId="77777777" w:rsidR="00FB3661" w:rsidRPr="00294A69" w:rsidRDefault="00294A69">
            <w:pPr>
              <w:jc w:val="center"/>
              <w:rPr>
                <w:rFonts w:ascii="Arial" w:hAnsi="Arial"/>
                <w:b/>
                <w:bCs/>
                <w:noProof w:val="0"/>
                <w:sz w:val="26"/>
                <w:szCs w:val="26"/>
                <w:rtl/>
              </w:rPr>
            </w:pPr>
            <w:r w:rsidRPr="00294A69">
              <w:rPr>
                <w:rFonts w:ascii="Arial" w:hAnsi="Arial"/>
                <w:b/>
                <w:bCs/>
                <w:noProof w:val="0"/>
                <w:sz w:val="26"/>
                <w:szCs w:val="26"/>
                <w:rtl/>
              </w:rPr>
              <w:t>נגד</w:t>
            </w:r>
          </w:p>
          <w:p w14:paraId="2FEA8529" w14:textId="77777777" w:rsidR="00FB3661" w:rsidRPr="00294A69" w:rsidRDefault="00FB3661">
            <w:pPr>
              <w:rPr>
                <w:rFonts w:ascii="Arial" w:hAnsi="Arial"/>
                <w:b/>
                <w:bCs/>
                <w:noProof w:val="0"/>
                <w:sz w:val="26"/>
                <w:szCs w:val="26"/>
              </w:rPr>
            </w:pPr>
          </w:p>
        </w:tc>
      </w:tr>
      <w:tr w:rsidR="00FB3661" w:rsidRPr="00294A69" w14:paraId="1A39B5B0" w14:textId="77777777">
        <w:trPr>
          <w:jc w:val="center"/>
        </w:trPr>
        <w:tc>
          <w:tcPr>
            <w:tcW w:w="3249" w:type="dxa"/>
            <w:gridSpan w:val="2"/>
            <w:shd w:val="clear" w:color="auto" w:fill="auto"/>
          </w:tcPr>
          <w:p w14:paraId="409DF667" w14:textId="77777777" w:rsidR="00FB3661" w:rsidRPr="00294A69" w:rsidRDefault="00294A69">
            <w:pPr>
              <w:rPr>
                <w:rFonts w:ascii="Arial" w:hAnsi="Arial"/>
                <w:b/>
                <w:bCs/>
                <w:noProof w:val="0"/>
                <w:sz w:val="26"/>
                <w:szCs w:val="26"/>
              </w:rPr>
            </w:pPr>
            <w:r w:rsidRPr="00294A69">
              <w:rPr>
                <w:rFonts w:hint="cs"/>
                <w:rtl/>
              </w:rPr>
              <w:t>הנאשם</w:t>
            </w:r>
          </w:p>
        </w:tc>
        <w:tc>
          <w:tcPr>
            <w:tcW w:w="5571" w:type="dxa"/>
            <w:shd w:val="clear" w:color="auto" w:fill="auto"/>
          </w:tcPr>
          <w:p w14:paraId="07029414" w14:textId="77777777" w:rsidR="00FB3661" w:rsidRPr="00294A69" w:rsidRDefault="00B96AB4" w:rsidP="00B96AB4">
            <w:pPr>
              <w:rPr>
                <w:rtl/>
              </w:rPr>
            </w:pPr>
            <w:r>
              <w:rPr>
                <w:rFonts w:hint="cs"/>
                <w:rtl/>
              </w:rPr>
              <w:t xml:space="preserve">מיכאל אטדגי </w:t>
            </w:r>
          </w:p>
          <w:p w14:paraId="08F781C2" w14:textId="77777777" w:rsidR="00FB3661" w:rsidRPr="00294A69" w:rsidRDefault="00294A69">
            <w:pPr>
              <w:rPr>
                <w:noProof w:val="0"/>
                <w:sz w:val="26"/>
                <w:szCs w:val="26"/>
                <w:rtl/>
              </w:rPr>
            </w:pPr>
            <w:r w:rsidRPr="00294A69">
              <w:rPr>
                <w:rFonts w:hint="cs"/>
                <w:sz w:val="26"/>
                <w:szCs w:val="26"/>
                <w:rtl/>
              </w:rPr>
              <w:t>ע"י ב"כ עו"ד דוד ונטורה</w:t>
            </w:r>
          </w:p>
        </w:tc>
      </w:tr>
    </w:tbl>
    <w:p w14:paraId="32FBDBFB" w14:textId="77777777" w:rsidR="00B2315F" w:rsidRDefault="00B2315F">
      <w:pPr>
        <w:bidi w:val="0"/>
        <w:jc w:val="center"/>
        <w:rPr>
          <w:rFonts w:ascii="Arial" w:hAnsi="Arial"/>
          <w:noProof w:val="0"/>
          <w:sz w:val="14"/>
          <w:szCs w:val="14"/>
        </w:rPr>
      </w:pPr>
      <w:bookmarkStart w:id="3" w:name="LawTable"/>
      <w:bookmarkEnd w:id="3"/>
    </w:p>
    <w:p w14:paraId="03330B1F" w14:textId="77777777" w:rsidR="00B2315F" w:rsidRPr="00B2315F" w:rsidRDefault="00B2315F" w:rsidP="00B2315F">
      <w:pPr>
        <w:bidi w:val="0"/>
        <w:spacing w:after="120" w:line="240" w:lineRule="exact"/>
        <w:ind w:left="283" w:hanging="283"/>
        <w:jc w:val="both"/>
        <w:rPr>
          <w:rFonts w:ascii="FrankRuehl" w:hAnsi="FrankRuehl" w:cs="FrankRuehl"/>
          <w:noProof w:val="0"/>
        </w:rPr>
      </w:pPr>
    </w:p>
    <w:p w14:paraId="583E5D0E" w14:textId="77777777" w:rsidR="00B2315F" w:rsidRPr="00B2315F" w:rsidRDefault="00B2315F" w:rsidP="00B2315F">
      <w:pPr>
        <w:bidi w:val="0"/>
        <w:spacing w:after="120" w:line="240" w:lineRule="exact"/>
        <w:ind w:left="283" w:hanging="283"/>
        <w:jc w:val="both"/>
        <w:rPr>
          <w:rFonts w:ascii="FrankRuehl" w:hAnsi="FrankRuehl" w:cs="FrankRuehl"/>
          <w:noProof w:val="0"/>
        </w:rPr>
      </w:pPr>
      <w:r w:rsidRPr="00B2315F">
        <w:rPr>
          <w:rFonts w:ascii="FrankRuehl" w:hAnsi="FrankRuehl" w:cs="FrankRuehl"/>
          <w:noProof w:val="0"/>
          <w:rtl/>
        </w:rPr>
        <w:t>חקיקה שאוזכרה</w:t>
      </w:r>
      <w:r w:rsidRPr="00B2315F">
        <w:rPr>
          <w:rFonts w:ascii="FrankRuehl" w:hAnsi="FrankRuehl" w:cs="FrankRuehl"/>
          <w:noProof w:val="0"/>
        </w:rPr>
        <w:t xml:space="preserve">: </w:t>
      </w:r>
    </w:p>
    <w:p w14:paraId="6B84D626" w14:textId="77777777" w:rsidR="00B2315F" w:rsidRPr="00B2315F" w:rsidRDefault="00B2315F" w:rsidP="00B2315F">
      <w:pPr>
        <w:bidi w:val="0"/>
        <w:spacing w:after="120" w:line="240" w:lineRule="exact"/>
        <w:ind w:left="283" w:hanging="283"/>
        <w:jc w:val="both"/>
        <w:rPr>
          <w:rFonts w:ascii="FrankRuehl" w:hAnsi="FrankRuehl" w:cs="FrankRuehl"/>
          <w:noProof w:val="0"/>
        </w:rPr>
      </w:pPr>
      <w:hyperlink r:id="rId6" w:history="1">
        <w:r w:rsidRPr="00B2315F">
          <w:rPr>
            <w:rFonts w:ascii="FrankRuehl" w:hAnsi="FrankRuehl" w:cs="FrankRuehl"/>
            <w:noProof w:val="0"/>
            <w:color w:val="0000FF"/>
            <w:u w:val="single"/>
            <w:rtl/>
          </w:rPr>
          <w:t>חוק העונשין, תשל"ז-1977</w:t>
        </w:r>
      </w:hyperlink>
      <w:r w:rsidRPr="00B2315F">
        <w:rPr>
          <w:rFonts w:ascii="FrankRuehl" w:hAnsi="FrankRuehl" w:cs="FrankRuehl"/>
          <w:noProof w:val="0"/>
        </w:rPr>
        <w:t xml:space="preserve">: </w:t>
      </w:r>
      <w:r w:rsidRPr="00B2315F">
        <w:rPr>
          <w:rFonts w:ascii="FrankRuehl" w:hAnsi="FrankRuehl" w:cs="FrankRuehl"/>
          <w:noProof w:val="0"/>
          <w:rtl/>
        </w:rPr>
        <w:t>סע</w:t>
      </w:r>
      <w:r w:rsidRPr="00B2315F">
        <w:rPr>
          <w:rFonts w:ascii="FrankRuehl" w:hAnsi="FrankRuehl" w:cs="FrankRuehl"/>
          <w:noProof w:val="0"/>
        </w:rPr>
        <w:t xml:space="preserve">'  </w:t>
      </w:r>
      <w:hyperlink r:id="rId7"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ב</w:t>
        </w:r>
      </w:hyperlink>
      <w:r w:rsidRPr="00B2315F">
        <w:rPr>
          <w:rFonts w:ascii="FrankRuehl" w:hAnsi="FrankRuehl" w:cs="FrankRuehl"/>
          <w:noProof w:val="0"/>
        </w:rPr>
        <w:t xml:space="preserve">, </w:t>
      </w:r>
      <w:hyperlink r:id="rId8"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ג(א</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9"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ג(ב</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10"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ד</w:t>
        </w:r>
      </w:hyperlink>
      <w:r w:rsidRPr="00B2315F">
        <w:rPr>
          <w:rFonts w:ascii="FrankRuehl" w:hAnsi="FrankRuehl" w:cs="FrankRuehl"/>
          <w:noProof w:val="0"/>
        </w:rPr>
        <w:t xml:space="preserve">, </w:t>
      </w:r>
      <w:hyperlink r:id="rId11"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ה לחוק</w:t>
        </w:r>
      </w:hyperlink>
      <w:r w:rsidRPr="00B2315F">
        <w:rPr>
          <w:rFonts w:ascii="FrankRuehl" w:hAnsi="FrankRuehl" w:cs="FrankRuehl"/>
          <w:noProof w:val="0"/>
        </w:rPr>
        <w:t xml:space="preserve">, </w:t>
      </w:r>
      <w:hyperlink r:id="rId12"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ט(א</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13"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ט(א)(2</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14"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ט(א)(3</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15"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ט(א)(4</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16"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ט(א)(5</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17" w:history="1">
        <w:r w:rsidRPr="00B2315F">
          <w:rPr>
            <w:rFonts w:ascii="FrankRuehl" w:hAnsi="FrankRuehl" w:cs="FrankRuehl"/>
            <w:noProof w:val="0"/>
            <w:color w:val="0000FF"/>
            <w:u w:val="single"/>
          </w:rPr>
          <w:t>144(</w:t>
        </w:r>
        <w:r w:rsidRPr="00B2315F">
          <w:rPr>
            <w:rFonts w:ascii="FrankRuehl" w:hAnsi="FrankRuehl" w:cs="FrankRuehl"/>
            <w:noProof w:val="0"/>
            <w:color w:val="0000FF"/>
            <w:u w:val="single"/>
            <w:rtl/>
          </w:rPr>
          <w:t>ב</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18"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יא</w:t>
        </w:r>
      </w:hyperlink>
      <w:r w:rsidRPr="00B2315F">
        <w:rPr>
          <w:rFonts w:ascii="FrankRuehl" w:hAnsi="FrankRuehl" w:cs="FrankRuehl"/>
          <w:noProof w:val="0"/>
        </w:rPr>
        <w:t xml:space="preserve">, </w:t>
      </w:r>
      <w:hyperlink r:id="rId19"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יא(1</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20"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יא(11</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21"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יא(2</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22"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יא(3</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23" w:history="1">
        <w:r w:rsidRPr="00B2315F">
          <w:rPr>
            <w:rFonts w:ascii="FrankRuehl" w:hAnsi="FrankRuehl" w:cs="FrankRuehl"/>
            <w:noProof w:val="0"/>
            <w:color w:val="0000FF"/>
            <w:u w:val="single"/>
          </w:rPr>
          <w:t>40</w:t>
        </w:r>
        <w:r w:rsidRPr="00B2315F">
          <w:rPr>
            <w:rFonts w:ascii="FrankRuehl" w:hAnsi="FrankRuehl" w:cs="FrankRuehl"/>
            <w:noProof w:val="0"/>
            <w:color w:val="0000FF"/>
            <w:u w:val="single"/>
            <w:rtl/>
          </w:rPr>
          <w:t>יא(6</w:t>
        </w:r>
        <w:r w:rsidRPr="00B2315F">
          <w:rPr>
            <w:rFonts w:ascii="FrankRuehl" w:hAnsi="FrankRuehl" w:cs="FrankRuehl"/>
            <w:noProof w:val="0"/>
            <w:color w:val="0000FF"/>
            <w:u w:val="single"/>
          </w:rPr>
          <w:t>)</w:t>
        </w:r>
      </w:hyperlink>
      <w:r w:rsidRPr="00B2315F">
        <w:rPr>
          <w:rFonts w:ascii="FrankRuehl" w:hAnsi="FrankRuehl" w:cs="FrankRuehl"/>
          <w:noProof w:val="0"/>
        </w:rPr>
        <w:t xml:space="preserve">, </w:t>
      </w:r>
      <w:hyperlink r:id="rId24" w:history="1">
        <w:r w:rsidRPr="00B2315F">
          <w:rPr>
            <w:rFonts w:ascii="FrankRuehl" w:hAnsi="FrankRuehl" w:cs="FrankRuehl"/>
            <w:noProof w:val="0"/>
            <w:color w:val="0000FF"/>
            <w:u w:val="single"/>
            <w:rtl/>
          </w:rPr>
          <w:t>יא(4</w:t>
        </w:r>
        <w:r w:rsidRPr="00B2315F">
          <w:rPr>
            <w:rFonts w:ascii="FrankRuehl" w:hAnsi="FrankRuehl" w:cs="FrankRuehl"/>
            <w:noProof w:val="0"/>
            <w:color w:val="0000FF"/>
            <w:u w:val="single"/>
          </w:rPr>
          <w:t>)</w:t>
        </w:r>
      </w:hyperlink>
    </w:p>
    <w:p w14:paraId="62186E82" w14:textId="77777777" w:rsidR="00B2315F" w:rsidRPr="00B2315F" w:rsidRDefault="00B2315F" w:rsidP="00B2315F">
      <w:pPr>
        <w:bidi w:val="0"/>
        <w:spacing w:after="120" w:line="240" w:lineRule="exact"/>
        <w:ind w:left="283" w:hanging="283"/>
        <w:jc w:val="both"/>
        <w:rPr>
          <w:rFonts w:ascii="FrankRuehl" w:hAnsi="FrankRuehl" w:cs="FrankRuehl"/>
          <w:noProof w:val="0"/>
        </w:rPr>
      </w:pPr>
    </w:p>
    <w:p w14:paraId="5E54510F" w14:textId="77777777" w:rsidR="00B2315F" w:rsidRPr="00B2315F" w:rsidRDefault="00B2315F">
      <w:pPr>
        <w:bidi w:val="0"/>
        <w:jc w:val="center"/>
        <w:rPr>
          <w:rFonts w:ascii="Arial" w:hAnsi="Arial"/>
          <w:noProof w:val="0"/>
          <w:sz w:val="14"/>
          <w:szCs w:val="14"/>
        </w:rPr>
      </w:pPr>
      <w:bookmarkStart w:id="4" w:name="LawTable_End"/>
      <w:bookmarkEnd w:id="4"/>
    </w:p>
    <w:p w14:paraId="63B69280" w14:textId="77777777" w:rsidR="00D17A65" w:rsidRPr="00D17A65" w:rsidRDefault="00D17A65">
      <w:pPr>
        <w:bidi w:val="0"/>
        <w:jc w:val="center"/>
        <w:rPr>
          <w:rFonts w:ascii="Arial" w:hAnsi="Arial"/>
          <w:noProof w:val="0"/>
          <w:sz w:val="14"/>
          <w:szCs w:val="14"/>
        </w:rPr>
      </w:pPr>
    </w:p>
    <w:p w14:paraId="6E1F2179" w14:textId="77777777" w:rsidR="00B96AB4" w:rsidRPr="00294A69" w:rsidRDefault="00B96AB4">
      <w:pPr>
        <w:bidi w:val="0"/>
        <w:jc w:val="center"/>
        <w:rPr>
          <w:rFonts w:ascii="Arial" w:hAnsi="Arial"/>
          <w:noProof w:val="0"/>
          <w:sz w:val="14"/>
          <w:szCs w:val="14"/>
        </w:rPr>
      </w:pPr>
    </w:p>
    <w:p w14:paraId="3B540B27" w14:textId="77777777" w:rsidR="00B96AB4" w:rsidRPr="00294A69" w:rsidRDefault="00B96AB4">
      <w:pPr>
        <w:bidi w:val="0"/>
        <w:jc w:val="center"/>
        <w:rPr>
          <w:rFonts w:ascii="Arial" w:hAnsi="Arial"/>
          <w:b/>
          <w:bCs/>
          <w:noProof w:val="0"/>
          <w:sz w:val="14"/>
          <w:szCs w:val="14"/>
        </w:rPr>
      </w:pPr>
    </w:p>
    <w:p w14:paraId="223CBC19" w14:textId="77777777" w:rsidR="00B96AB4" w:rsidRPr="00294A69" w:rsidRDefault="00B96AB4">
      <w:pPr>
        <w:bidi w:val="0"/>
        <w:jc w:val="center"/>
        <w:rPr>
          <w:rFonts w:ascii="Arial" w:hAnsi="Arial"/>
          <w:b/>
          <w:bCs/>
          <w:noProof w:val="0"/>
          <w:sz w:val="14"/>
          <w:szCs w:val="14"/>
        </w:rPr>
      </w:pPr>
    </w:p>
    <w:p w14:paraId="0F08D843" w14:textId="77777777" w:rsidR="00FB3661" w:rsidRPr="00294A69" w:rsidRDefault="00FB3661">
      <w:pPr>
        <w:rPr>
          <w:vanish/>
        </w:rPr>
      </w:pPr>
    </w:p>
    <w:p w14:paraId="615D3943" w14:textId="77777777" w:rsidR="00B96AB4" w:rsidRPr="00294A69" w:rsidRDefault="00B96AB4" w:rsidP="00294A69">
      <w:pPr>
        <w:bidi w:val="0"/>
        <w:jc w:val="center"/>
        <w:rPr>
          <w:rFonts w:ascii="Arial" w:hAnsi="Arial"/>
          <w:b/>
          <w:bCs/>
          <w:noProof w:val="0"/>
          <w:sz w:val="28"/>
          <w:szCs w:val="28"/>
          <w:u w:val="single"/>
          <w:rtl/>
        </w:rPr>
      </w:pPr>
      <w:bookmarkStart w:id="5" w:name="PsakDin" w:colFirst="0" w:colLast="0"/>
      <w:bookmarkEnd w:id="0"/>
      <w:r w:rsidRPr="00294A69">
        <w:rPr>
          <w:rFonts w:ascii="Arial" w:hAnsi="Arial"/>
          <w:b/>
          <w:bCs/>
          <w:noProof w:val="0"/>
          <w:sz w:val="28"/>
          <w:szCs w:val="28"/>
          <w:u w:val="single"/>
          <w:rtl/>
        </w:rPr>
        <w:t>גזר דין</w:t>
      </w:r>
    </w:p>
    <w:p w14:paraId="506A9EA6" w14:textId="77777777" w:rsidR="00B96AB4" w:rsidRPr="00294A69" w:rsidRDefault="00B96AB4" w:rsidP="00294A69">
      <w:pPr>
        <w:bidi w:val="0"/>
        <w:jc w:val="center"/>
        <w:rPr>
          <w:rFonts w:ascii="Arial" w:hAnsi="Arial"/>
          <w:b/>
          <w:bCs/>
          <w:noProof w:val="0"/>
          <w:sz w:val="28"/>
          <w:szCs w:val="28"/>
          <w:u w:val="single"/>
          <w:rtl/>
        </w:rPr>
      </w:pPr>
    </w:p>
    <w:bookmarkEnd w:id="5"/>
    <w:p w14:paraId="255521F2" w14:textId="77777777" w:rsidR="00FB3661" w:rsidRDefault="00FB3661">
      <w:pPr>
        <w:spacing w:line="360" w:lineRule="auto"/>
        <w:jc w:val="both"/>
        <w:rPr>
          <w:noProof w:val="0"/>
          <w:sz w:val="26"/>
          <w:szCs w:val="26"/>
          <w:rtl/>
        </w:rPr>
      </w:pPr>
    </w:p>
    <w:p w14:paraId="4E03FA02" w14:textId="77777777" w:rsidR="00FB3661" w:rsidRDefault="00294A69">
      <w:pPr>
        <w:spacing w:line="360" w:lineRule="auto"/>
        <w:jc w:val="both"/>
        <w:rPr>
          <w:noProof w:val="0"/>
          <w:sz w:val="26"/>
          <w:szCs w:val="26"/>
          <w:rtl/>
        </w:rPr>
      </w:pPr>
      <w:r>
        <w:rPr>
          <w:noProof w:val="0"/>
          <w:sz w:val="26"/>
          <w:szCs w:val="26"/>
          <w:rtl/>
        </w:rPr>
        <w:t>1.</w:t>
      </w:r>
      <w:r>
        <w:rPr>
          <w:noProof w:val="0"/>
          <w:sz w:val="26"/>
          <w:szCs w:val="26"/>
          <w:rtl/>
        </w:rPr>
        <w:tab/>
        <w:t xml:space="preserve">הנאשם, מיכאל אטדגי, הורשע על </w:t>
      </w:r>
      <w:r>
        <w:rPr>
          <w:rFonts w:hint="cs"/>
          <w:noProof w:val="0"/>
          <w:sz w:val="26"/>
          <w:szCs w:val="26"/>
          <w:rtl/>
        </w:rPr>
        <w:t>פי</w:t>
      </w:r>
      <w:r>
        <w:rPr>
          <w:noProof w:val="0"/>
          <w:sz w:val="26"/>
          <w:szCs w:val="26"/>
          <w:rtl/>
        </w:rPr>
        <w:t xml:space="preserve"> הודאתו בעובדות כתב אישום מתוקן במסגרת הסדר טיעון, בביצוע עבירה בנשק (נשיאה או הובלה בלא רשות על פי דין), לפי סעיף</w:t>
      </w:r>
      <w:r>
        <w:rPr>
          <w:rFonts w:hint="cs"/>
          <w:noProof w:val="0"/>
          <w:sz w:val="26"/>
          <w:szCs w:val="26"/>
          <w:rtl/>
        </w:rPr>
        <w:t xml:space="preserve"> </w:t>
      </w:r>
      <w:r>
        <w:rPr>
          <w:noProof w:val="0"/>
          <w:sz w:val="26"/>
          <w:szCs w:val="26"/>
          <w:rtl/>
        </w:rPr>
        <w:t>144(ב) ל</w:t>
      </w:r>
      <w:hyperlink r:id="rId25" w:history="1">
        <w:r w:rsidRPr="00294A69">
          <w:rPr>
            <w:noProof w:val="0"/>
            <w:color w:val="0000FF"/>
            <w:sz w:val="26"/>
            <w:szCs w:val="26"/>
            <w:u w:val="single"/>
            <w:rtl/>
          </w:rPr>
          <w:t>חוק העונשין</w:t>
        </w:r>
      </w:hyperlink>
      <w:r>
        <w:rPr>
          <w:noProof w:val="0"/>
          <w:sz w:val="26"/>
          <w:szCs w:val="26"/>
          <w:rtl/>
        </w:rPr>
        <w:t>, התשל"ז-1977 (להלן – החוק).</w:t>
      </w:r>
    </w:p>
    <w:p w14:paraId="099B084E" w14:textId="77777777" w:rsidR="00FB3661" w:rsidRDefault="00FB3661">
      <w:pPr>
        <w:spacing w:line="360" w:lineRule="auto"/>
        <w:jc w:val="both"/>
        <w:rPr>
          <w:noProof w:val="0"/>
          <w:sz w:val="26"/>
          <w:szCs w:val="26"/>
          <w:rtl/>
        </w:rPr>
      </w:pPr>
    </w:p>
    <w:p w14:paraId="1B9A4931" w14:textId="77777777" w:rsidR="00FB3661" w:rsidRDefault="00294A69">
      <w:pPr>
        <w:spacing w:line="360" w:lineRule="auto"/>
        <w:jc w:val="both"/>
        <w:rPr>
          <w:noProof w:val="0"/>
          <w:sz w:val="26"/>
          <w:szCs w:val="26"/>
          <w:rtl/>
        </w:rPr>
      </w:pPr>
      <w:r>
        <w:rPr>
          <w:noProof w:val="0"/>
          <w:sz w:val="26"/>
          <w:szCs w:val="26"/>
          <w:rtl/>
        </w:rPr>
        <w:t>2.</w:t>
      </w:r>
      <w:r>
        <w:rPr>
          <w:noProof w:val="0"/>
          <w:sz w:val="26"/>
          <w:szCs w:val="26"/>
          <w:rtl/>
        </w:rPr>
        <w:tab/>
      </w:r>
      <w:bookmarkStart w:id="6" w:name="ABSTRACT_START"/>
      <w:bookmarkEnd w:id="6"/>
      <w:r>
        <w:rPr>
          <w:noProof w:val="0"/>
          <w:sz w:val="26"/>
          <w:szCs w:val="26"/>
          <w:rtl/>
        </w:rPr>
        <w:t xml:space="preserve">כפי שתואר בכתב האישום המתוקן, ביום 16.5.15, סמוך לשעה 22:30, שהה הנאשם בבית העסק "אימפריית השמש". זמן קצר לאחר הגיעו למקום, הגיעו למקום גם איסמעיל ומחמוד אל ג'רושי, ברכב מסוג קאיה. לאחר מספר דקות, נכנס הנאשם לרכבו, מסוג הונדה, והחל בנסיעה. </w:t>
      </w:r>
    </w:p>
    <w:p w14:paraId="08F6A0C4" w14:textId="77777777" w:rsidR="00FB3661" w:rsidRDefault="00FB3661">
      <w:pPr>
        <w:spacing w:line="360" w:lineRule="auto"/>
        <w:jc w:val="both"/>
        <w:rPr>
          <w:noProof w:val="0"/>
          <w:sz w:val="26"/>
          <w:szCs w:val="26"/>
          <w:rtl/>
        </w:rPr>
      </w:pPr>
    </w:p>
    <w:p w14:paraId="78822903" w14:textId="77777777" w:rsidR="00FB3661" w:rsidRDefault="00294A69">
      <w:pPr>
        <w:spacing w:line="360" w:lineRule="auto"/>
        <w:jc w:val="both"/>
        <w:rPr>
          <w:noProof w:val="0"/>
          <w:sz w:val="26"/>
          <w:szCs w:val="26"/>
          <w:rtl/>
        </w:rPr>
      </w:pPr>
      <w:r>
        <w:rPr>
          <w:noProof w:val="0"/>
          <w:sz w:val="26"/>
          <w:szCs w:val="26"/>
          <w:rtl/>
        </w:rPr>
        <w:t xml:space="preserve">באותה עת, החזיק הנאשם ברכבו, מתחת למושב שליד הנהג, מטען חבלה המורכב מלבנת חבלה המכילה חומר נפץ מסוג </w:t>
      </w:r>
      <w:r>
        <w:rPr>
          <w:noProof w:val="0"/>
          <w:sz w:val="26"/>
          <w:szCs w:val="26"/>
        </w:rPr>
        <w:t>TNT</w:t>
      </w:r>
      <w:r>
        <w:rPr>
          <w:noProof w:val="0"/>
          <w:sz w:val="26"/>
          <w:szCs w:val="26"/>
          <w:rtl/>
        </w:rPr>
        <w:t xml:space="preserve"> ונפץ, גוף חשמלי, מצבר, מגנט ושלט רחוק. כל אלה, היו עטופים יחדיו ביריעת בד. בבדיקת מרכיבי מטען החבלה, נמצא, כי המטען לא יכול היה </w:t>
      </w:r>
      <w:r>
        <w:rPr>
          <w:noProof w:val="0"/>
          <w:sz w:val="26"/>
          <w:szCs w:val="26"/>
          <w:rtl/>
        </w:rPr>
        <w:lastRenderedPageBreak/>
        <w:t xml:space="preserve">להתפוצץ, אך אם כל מרכיביו היו תקינים ומחוברים כהלכה, היה בכוחו להמית אדם בעת התפוצצותו. </w:t>
      </w:r>
    </w:p>
    <w:p w14:paraId="346C3F91" w14:textId="77777777" w:rsidR="00FB3661" w:rsidRDefault="00FB3661">
      <w:pPr>
        <w:spacing w:line="360" w:lineRule="auto"/>
        <w:jc w:val="both"/>
        <w:rPr>
          <w:noProof w:val="0"/>
          <w:sz w:val="26"/>
          <w:szCs w:val="26"/>
          <w:rtl/>
        </w:rPr>
      </w:pPr>
      <w:bookmarkStart w:id="7" w:name="ABSTRACT_END"/>
      <w:bookmarkEnd w:id="7"/>
    </w:p>
    <w:p w14:paraId="37CF71AC" w14:textId="77777777" w:rsidR="00FB3661" w:rsidRDefault="00294A69">
      <w:pPr>
        <w:spacing w:line="360" w:lineRule="auto"/>
        <w:jc w:val="both"/>
        <w:rPr>
          <w:noProof w:val="0"/>
          <w:sz w:val="26"/>
          <w:szCs w:val="26"/>
          <w:rtl/>
        </w:rPr>
      </w:pPr>
      <w:r>
        <w:rPr>
          <w:noProof w:val="0"/>
          <w:sz w:val="26"/>
          <w:szCs w:val="26"/>
          <w:rtl/>
        </w:rPr>
        <w:t xml:space="preserve">הנאשם נסע בכבישים, כשאיסמעיל ומחמוד, נוסעים אחריו ברכב הקאיה. במהלך הנסיעה בכביש 40, עקף רכב הקאיה את רכבו של הנאשם והוביל אותו ברחובות העיר רמלה, עד לרחוב אל בוסתאן, שם נעצרו על ידי המשטרה. </w:t>
      </w:r>
    </w:p>
    <w:p w14:paraId="2C489EB7" w14:textId="77777777" w:rsidR="00FB3661" w:rsidRDefault="00FB3661">
      <w:pPr>
        <w:spacing w:line="360" w:lineRule="auto"/>
        <w:jc w:val="both"/>
        <w:rPr>
          <w:noProof w:val="0"/>
          <w:sz w:val="26"/>
          <w:szCs w:val="26"/>
          <w:rtl/>
        </w:rPr>
      </w:pPr>
    </w:p>
    <w:p w14:paraId="78FD940A" w14:textId="77777777" w:rsidR="00FB3661" w:rsidRDefault="00294A69">
      <w:pPr>
        <w:spacing w:line="360" w:lineRule="auto"/>
        <w:jc w:val="both"/>
        <w:rPr>
          <w:noProof w:val="0"/>
          <w:sz w:val="26"/>
          <w:szCs w:val="26"/>
          <w:rtl/>
        </w:rPr>
      </w:pPr>
      <w:r>
        <w:rPr>
          <w:noProof w:val="0"/>
          <w:sz w:val="26"/>
          <w:szCs w:val="26"/>
          <w:rtl/>
        </w:rPr>
        <w:t xml:space="preserve">הנאשם הודה, כי במעשיו אלה, הוא נשא או הוביל נשק בלא רשות על פי דין לנשיאתו או הובלתו. </w:t>
      </w:r>
    </w:p>
    <w:p w14:paraId="3325415D" w14:textId="77777777" w:rsidR="00FB3661" w:rsidRDefault="00FB3661">
      <w:pPr>
        <w:spacing w:line="360" w:lineRule="auto"/>
        <w:jc w:val="both"/>
        <w:rPr>
          <w:noProof w:val="0"/>
          <w:sz w:val="26"/>
          <w:szCs w:val="26"/>
          <w:rtl/>
        </w:rPr>
      </w:pPr>
    </w:p>
    <w:p w14:paraId="37495ED5" w14:textId="77777777" w:rsidR="00FB3661" w:rsidRDefault="00294A69">
      <w:pPr>
        <w:spacing w:line="360" w:lineRule="auto"/>
        <w:jc w:val="both"/>
        <w:rPr>
          <w:noProof w:val="0"/>
          <w:sz w:val="26"/>
          <w:szCs w:val="26"/>
          <w:rtl/>
        </w:rPr>
      </w:pPr>
      <w:r>
        <w:rPr>
          <w:noProof w:val="0"/>
          <w:sz w:val="26"/>
          <w:szCs w:val="26"/>
          <w:rtl/>
        </w:rPr>
        <w:t>3.</w:t>
      </w:r>
      <w:r>
        <w:rPr>
          <w:noProof w:val="0"/>
          <w:sz w:val="26"/>
          <w:szCs w:val="26"/>
          <w:rtl/>
        </w:rPr>
        <w:tab/>
        <w:t xml:space="preserve">בהסדר הטיעון הוסכם, כי הצדדים יהיו חופשיים לטעון לעניין העונש. </w:t>
      </w:r>
    </w:p>
    <w:p w14:paraId="14C7E740" w14:textId="77777777" w:rsidR="00FB3661" w:rsidRDefault="00FB3661">
      <w:pPr>
        <w:spacing w:line="360" w:lineRule="auto"/>
        <w:jc w:val="both"/>
        <w:rPr>
          <w:noProof w:val="0"/>
          <w:sz w:val="26"/>
          <w:szCs w:val="26"/>
          <w:rtl/>
        </w:rPr>
      </w:pPr>
    </w:p>
    <w:p w14:paraId="53FF3BDE" w14:textId="77777777" w:rsidR="00FB3661" w:rsidRDefault="00294A69">
      <w:pPr>
        <w:spacing w:line="360" w:lineRule="auto"/>
        <w:jc w:val="both"/>
        <w:rPr>
          <w:noProof w:val="0"/>
          <w:sz w:val="26"/>
          <w:szCs w:val="26"/>
          <w:rtl/>
        </w:rPr>
      </w:pPr>
      <w:r>
        <w:rPr>
          <w:noProof w:val="0"/>
          <w:sz w:val="26"/>
          <w:szCs w:val="26"/>
          <w:rtl/>
        </w:rPr>
        <w:t>ב"כ המאשימה, עמד על הסכנה הגבוהה לחיי אדם שיצר הנאשם במעשהו, בהדגישו, כי פוטנציאל הפגיעה של המטען הוא רב יותר משל נשק רגיל, משהמטען עלול לפגוע בקבוצה שלמה של אנשים, ולא רק באדם בודד. בצד זה, ציין את העובדה, ש</w:t>
      </w:r>
      <w:r>
        <w:rPr>
          <w:rFonts w:hint="cs"/>
          <w:noProof w:val="0"/>
          <w:sz w:val="26"/>
          <w:szCs w:val="26"/>
          <w:rtl/>
        </w:rPr>
        <w:t>ה</w:t>
      </w:r>
      <w:r>
        <w:rPr>
          <w:noProof w:val="0"/>
          <w:sz w:val="26"/>
          <w:szCs w:val="26"/>
          <w:rtl/>
        </w:rPr>
        <w:t xml:space="preserve">יעד של המטען אינו ידוע וכך גם זהותם של כל המעורבים, והבהיר, כי </w:t>
      </w:r>
      <w:r>
        <w:rPr>
          <w:rFonts w:hint="cs"/>
          <w:noProof w:val="0"/>
          <w:sz w:val="26"/>
          <w:szCs w:val="26"/>
          <w:rtl/>
        </w:rPr>
        <w:t xml:space="preserve">המעשה המיוחס לנאשם הוא </w:t>
      </w:r>
      <w:r>
        <w:rPr>
          <w:noProof w:val="0"/>
          <w:sz w:val="26"/>
          <w:szCs w:val="26"/>
          <w:rtl/>
        </w:rPr>
        <w:t xml:space="preserve">אך הסעת המטען מנקודה לנקודה וכי לא מיוחסת לנאשם כוונה להעביר את המטען, לצורך פגיעה באדם כלשהו. בהתייחסו לעובדה, שהמטען שנשא הנאשם לא היה יכול להתפוצץ, טען ב"כ המאשימה, כי יש ליתן לעובדה זו משקל שולי. </w:t>
      </w:r>
    </w:p>
    <w:p w14:paraId="01A8A7A4" w14:textId="77777777" w:rsidR="00FB3661" w:rsidRDefault="00FB3661">
      <w:pPr>
        <w:spacing w:line="360" w:lineRule="auto"/>
        <w:jc w:val="both"/>
        <w:rPr>
          <w:noProof w:val="0"/>
          <w:sz w:val="26"/>
          <w:szCs w:val="26"/>
          <w:rtl/>
        </w:rPr>
      </w:pPr>
    </w:p>
    <w:p w14:paraId="3E33F8F3" w14:textId="77777777" w:rsidR="00FB3661" w:rsidRDefault="00294A69">
      <w:pPr>
        <w:spacing w:line="360" w:lineRule="auto"/>
        <w:jc w:val="both"/>
        <w:rPr>
          <w:noProof w:val="0"/>
          <w:sz w:val="26"/>
          <w:szCs w:val="26"/>
          <w:rtl/>
        </w:rPr>
      </w:pPr>
      <w:r>
        <w:rPr>
          <w:noProof w:val="0"/>
          <w:sz w:val="26"/>
          <w:szCs w:val="26"/>
          <w:rtl/>
        </w:rPr>
        <w:t>אשר למדיניות הענישה הנוהגת, הפנה ב"כ המאשימה למספר פסקי דין, וציין, כי הענישה נעה בין שנתיים מאסר בפועל ועד לארבע שנות מאסר. לבסוף, ציין ב"כ המאשימה את עברו הנקי של הנאשם, ובהתייחסו לעובדה שהנאשם הודה באישום, טען, כי אמנם יש לזקוף זאת לזכותו, אך באופן מוגבל, שכן הנאשם הודה במעשים המיוחסים לו רק לקראת סיום ההליך</w:t>
      </w:r>
      <w:r>
        <w:rPr>
          <w:rFonts w:hint="cs"/>
          <w:noProof w:val="0"/>
          <w:sz w:val="26"/>
          <w:szCs w:val="26"/>
          <w:rtl/>
        </w:rPr>
        <w:t xml:space="preserve"> (במהלך חקירתו הנגדית)</w:t>
      </w:r>
      <w:r>
        <w:rPr>
          <w:noProof w:val="0"/>
          <w:sz w:val="26"/>
          <w:szCs w:val="26"/>
          <w:rtl/>
        </w:rPr>
        <w:t xml:space="preserve">. לנוכח כל אלה, טען ב"כ המאשימה, כי מתחם העונש ההולם במקרה דנן נע בין שנתיים לארבע שנות מאסר בפועל, וביקש למקם את הנאשם בשליש התחתון של המתחם. כן ביקש להטיל על הנאשם קנס ולחלט את רכבו, ששימש לנשיאת המטען. </w:t>
      </w:r>
    </w:p>
    <w:p w14:paraId="6AE248DC" w14:textId="77777777" w:rsidR="00FB3661" w:rsidRDefault="00FB3661">
      <w:pPr>
        <w:spacing w:line="360" w:lineRule="auto"/>
        <w:jc w:val="both"/>
        <w:rPr>
          <w:noProof w:val="0"/>
          <w:sz w:val="26"/>
          <w:szCs w:val="26"/>
          <w:rtl/>
        </w:rPr>
      </w:pPr>
    </w:p>
    <w:p w14:paraId="06120946" w14:textId="77777777" w:rsidR="00FB3661" w:rsidRDefault="00294A69">
      <w:pPr>
        <w:spacing w:line="360" w:lineRule="auto"/>
        <w:jc w:val="both"/>
        <w:rPr>
          <w:noProof w:val="0"/>
          <w:sz w:val="26"/>
          <w:szCs w:val="26"/>
          <w:rtl/>
        </w:rPr>
      </w:pPr>
      <w:r>
        <w:rPr>
          <w:rFonts w:hint="cs"/>
          <w:noProof w:val="0"/>
          <w:sz w:val="26"/>
          <w:szCs w:val="26"/>
          <w:rtl/>
        </w:rPr>
        <w:t>4</w:t>
      </w:r>
      <w:r>
        <w:rPr>
          <w:noProof w:val="0"/>
          <w:sz w:val="26"/>
          <w:szCs w:val="26"/>
          <w:rtl/>
        </w:rPr>
        <w:t>.</w:t>
      </w:r>
      <w:r>
        <w:rPr>
          <w:noProof w:val="0"/>
          <w:sz w:val="26"/>
          <w:szCs w:val="26"/>
          <w:rtl/>
        </w:rPr>
        <w:tab/>
        <w:t xml:space="preserve"> ב"כ הנאשם, מצדו, ביקש ליתן משקל לכך, שהמטען לא היה תקין, כך שלא רק שלא נגרם בפועל נזק, אלא, שלא יכול היה להיגרם נזק, ולמעשה, האינטרס החברתי לא נפגע. בהקשר זה, הוסיף, כי על פי עובדות כתב האישום המתוקן, לא ניתן לדעת, האם המטען יוצר מתוך כוונה שהוא יוכל להתפוצץ, ומשכך, טען, כי יש להתייחס למטען "כנשק לא תקין". כן טען, כי הנאשם </w:t>
      </w:r>
      <w:r>
        <w:rPr>
          <w:b/>
          <w:bCs/>
          <w:noProof w:val="0"/>
          <w:sz w:val="26"/>
          <w:szCs w:val="26"/>
          <w:rtl/>
        </w:rPr>
        <w:t>"היה כלי בידי אחרים"</w:t>
      </w:r>
      <w:r>
        <w:rPr>
          <w:noProof w:val="0"/>
          <w:sz w:val="26"/>
          <w:szCs w:val="26"/>
          <w:rtl/>
        </w:rPr>
        <w:t xml:space="preserve"> והוא לא הסיע את המטען במטרה לפגוע ביעד ספציפי או על מנת לקבל תמורה כספית, אלא מתוך רצון לסייע </w:t>
      </w:r>
      <w:r>
        <w:rPr>
          <w:b/>
          <w:bCs/>
          <w:noProof w:val="0"/>
          <w:sz w:val="26"/>
          <w:szCs w:val="26"/>
          <w:rtl/>
        </w:rPr>
        <w:t>"למישהו שהוא מזדהה עם המצוקה שלו"</w:t>
      </w:r>
      <w:r>
        <w:rPr>
          <w:noProof w:val="0"/>
          <w:sz w:val="26"/>
          <w:szCs w:val="26"/>
          <w:rtl/>
        </w:rPr>
        <w:t xml:space="preserve"> (בע' 79 ש' 32 לפרוטוקול). אשר למתחם הענישה הנוהג, הפנה </w:t>
      </w:r>
      <w:r>
        <w:rPr>
          <w:noProof w:val="0"/>
          <w:sz w:val="26"/>
          <w:szCs w:val="26"/>
          <w:rtl/>
        </w:rPr>
        <w:lastRenderedPageBreak/>
        <w:t>ב"כ הנאשם למקבץ פסקי דין וטען, כי בנסיבות דומות למקרה דנן</w:t>
      </w:r>
      <w:r>
        <w:rPr>
          <w:rFonts w:hint="cs"/>
          <w:noProof w:val="0"/>
          <w:sz w:val="26"/>
          <w:szCs w:val="26"/>
          <w:rtl/>
        </w:rPr>
        <w:t>,</w:t>
      </w:r>
      <w:r>
        <w:rPr>
          <w:noProof w:val="0"/>
          <w:sz w:val="26"/>
          <w:szCs w:val="26"/>
          <w:rtl/>
        </w:rPr>
        <w:t xml:space="preserve"> </w:t>
      </w:r>
      <w:r>
        <w:rPr>
          <w:rFonts w:hint="cs"/>
          <w:noProof w:val="0"/>
          <w:sz w:val="26"/>
          <w:szCs w:val="26"/>
          <w:rtl/>
        </w:rPr>
        <w:t xml:space="preserve">נע </w:t>
      </w:r>
      <w:r>
        <w:rPr>
          <w:noProof w:val="0"/>
          <w:sz w:val="26"/>
          <w:szCs w:val="26"/>
          <w:rtl/>
        </w:rPr>
        <w:t>טווח הענישה בין עבודות שירות לשנת מאסר בפועל. מעבר לכך, ביקש להתחשב בעובדה, שזהו אירוע חד פעמי בנוף חייו של הנאשם, אשר חי חיים נורמטיביים ואין לו עבר פלילי. הנאשם, נמצא כבר ששה חודשים במעצר בו נחשף לסביבה עבריינית, והוא "למד את הלקח". המשך שהותו מאחורי סורג ובריח עלול לפגוע בדימוי העצמי של הנאשם ולדחוף אותו לשולי החברה, וכך גם יפגע קשות במצבה הכל</w:t>
      </w:r>
      <w:r>
        <w:rPr>
          <w:rFonts w:hint="cs"/>
          <w:noProof w:val="0"/>
          <w:sz w:val="26"/>
          <w:szCs w:val="26"/>
          <w:rtl/>
        </w:rPr>
        <w:t>כ</w:t>
      </w:r>
      <w:r>
        <w:rPr>
          <w:noProof w:val="0"/>
          <w:sz w:val="26"/>
          <w:szCs w:val="26"/>
          <w:rtl/>
        </w:rPr>
        <w:t>לי של משפחתו, אשר הדרדר מאז מעצרו (אשתו מנהל</w:t>
      </w:r>
      <w:r>
        <w:rPr>
          <w:rFonts w:hint="cs"/>
          <w:noProof w:val="0"/>
          <w:sz w:val="26"/>
          <w:szCs w:val="26"/>
          <w:rtl/>
        </w:rPr>
        <w:t>ת</w:t>
      </w:r>
      <w:r>
        <w:rPr>
          <w:noProof w:val="0"/>
          <w:sz w:val="26"/>
          <w:szCs w:val="26"/>
          <w:rtl/>
        </w:rPr>
        <w:t xml:space="preserve"> לבדה את העסק, שהינו על סף התמוטטות, והנאשם נאלץ למכור את המשק שלו). לפיכך, ביקש ב"כ הנאשם להסתפק בתקופת המעצר שריצה הנאשם עד כה</w:t>
      </w:r>
      <w:r>
        <w:rPr>
          <w:rFonts w:hint="cs"/>
          <w:noProof w:val="0"/>
          <w:sz w:val="26"/>
          <w:szCs w:val="26"/>
          <w:rtl/>
        </w:rPr>
        <w:t xml:space="preserve">. כן ציין, כי הרכב אינו רשום על שמו של הנאשם ורובץ עליו </w:t>
      </w:r>
      <w:r>
        <w:rPr>
          <w:noProof w:val="0"/>
          <w:sz w:val="26"/>
          <w:szCs w:val="26"/>
          <w:rtl/>
        </w:rPr>
        <w:t xml:space="preserve">חוב </w:t>
      </w:r>
      <w:r>
        <w:rPr>
          <w:rFonts w:hint="cs"/>
          <w:noProof w:val="0"/>
          <w:sz w:val="26"/>
          <w:szCs w:val="26"/>
          <w:rtl/>
        </w:rPr>
        <w:t>לבנק הפועלים (בסכום של</w:t>
      </w:r>
      <w:r>
        <w:rPr>
          <w:noProof w:val="0"/>
          <w:sz w:val="26"/>
          <w:szCs w:val="26"/>
          <w:rtl/>
        </w:rPr>
        <w:t xml:space="preserve"> 136,0</w:t>
      </w:r>
      <w:r>
        <w:rPr>
          <w:rFonts w:hint="cs"/>
          <w:noProof w:val="0"/>
          <w:sz w:val="26"/>
          <w:szCs w:val="26"/>
          <w:rtl/>
        </w:rPr>
        <w:t>72</w:t>
      </w:r>
      <w:r>
        <w:rPr>
          <w:noProof w:val="0"/>
          <w:sz w:val="26"/>
          <w:szCs w:val="26"/>
          <w:rtl/>
        </w:rPr>
        <w:t xml:space="preserve"> ₪</w:t>
      </w:r>
      <w:r>
        <w:rPr>
          <w:rFonts w:hint="cs"/>
          <w:noProof w:val="0"/>
          <w:sz w:val="26"/>
          <w:szCs w:val="26"/>
          <w:rtl/>
        </w:rPr>
        <w:t>, מתוכו נותרו לתשלום 75,247 ₪) (הוגש מסמך לאימות הטענה)</w:t>
      </w:r>
      <w:r>
        <w:rPr>
          <w:noProof w:val="0"/>
          <w:sz w:val="26"/>
          <w:szCs w:val="26"/>
          <w:rtl/>
        </w:rPr>
        <w:t>, ו</w:t>
      </w:r>
      <w:r>
        <w:rPr>
          <w:rFonts w:hint="cs"/>
          <w:noProof w:val="0"/>
          <w:sz w:val="26"/>
          <w:szCs w:val="26"/>
          <w:rtl/>
        </w:rPr>
        <w:t xml:space="preserve">משכך </w:t>
      </w:r>
      <w:r>
        <w:rPr>
          <w:noProof w:val="0"/>
          <w:sz w:val="26"/>
          <w:szCs w:val="26"/>
          <w:rtl/>
        </w:rPr>
        <w:t xml:space="preserve">ביקש, </w:t>
      </w:r>
      <w:r>
        <w:rPr>
          <w:rFonts w:hint="cs"/>
          <w:noProof w:val="0"/>
          <w:sz w:val="26"/>
          <w:szCs w:val="26"/>
          <w:rtl/>
        </w:rPr>
        <w:t>ש</w:t>
      </w:r>
      <w:r>
        <w:rPr>
          <w:noProof w:val="0"/>
          <w:sz w:val="26"/>
          <w:szCs w:val="26"/>
          <w:rtl/>
        </w:rPr>
        <w:t xml:space="preserve">במקום חילוט הרכב יוטל </w:t>
      </w:r>
      <w:r>
        <w:rPr>
          <w:rFonts w:hint="cs"/>
          <w:noProof w:val="0"/>
          <w:sz w:val="26"/>
          <w:szCs w:val="26"/>
          <w:rtl/>
        </w:rPr>
        <w:t xml:space="preserve">על הנאשם </w:t>
      </w:r>
      <w:r>
        <w:rPr>
          <w:noProof w:val="0"/>
          <w:sz w:val="26"/>
          <w:szCs w:val="26"/>
          <w:rtl/>
        </w:rPr>
        <w:t xml:space="preserve">קנס.  </w:t>
      </w:r>
    </w:p>
    <w:p w14:paraId="7CFA84E3" w14:textId="77777777" w:rsidR="00FB3661" w:rsidRDefault="00FB3661">
      <w:pPr>
        <w:spacing w:line="360" w:lineRule="auto"/>
        <w:jc w:val="both"/>
        <w:rPr>
          <w:noProof w:val="0"/>
          <w:sz w:val="26"/>
          <w:szCs w:val="26"/>
          <w:rtl/>
        </w:rPr>
      </w:pPr>
    </w:p>
    <w:p w14:paraId="31C8FD17" w14:textId="77777777" w:rsidR="00FB3661" w:rsidRDefault="00294A69">
      <w:pPr>
        <w:spacing w:line="360" w:lineRule="auto"/>
        <w:jc w:val="both"/>
        <w:rPr>
          <w:noProof w:val="0"/>
          <w:sz w:val="26"/>
          <w:szCs w:val="26"/>
          <w:rtl/>
        </w:rPr>
      </w:pPr>
      <w:r>
        <w:rPr>
          <w:noProof w:val="0"/>
          <w:sz w:val="26"/>
          <w:szCs w:val="26"/>
          <w:rtl/>
        </w:rPr>
        <w:t>בסוף טיעוני ההגנה, הביע הנאשם בפני בית המשפט חרטה על המעשה שביצע.</w:t>
      </w:r>
    </w:p>
    <w:p w14:paraId="06A22251" w14:textId="77777777" w:rsidR="00FB3661" w:rsidRDefault="00FB3661">
      <w:pPr>
        <w:spacing w:line="360" w:lineRule="auto"/>
        <w:jc w:val="both"/>
        <w:rPr>
          <w:noProof w:val="0"/>
          <w:sz w:val="26"/>
          <w:szCs w:val="26"/>
          <w:rtl/>
        </w:rPr>
      </w:pPr>
    </w:p>
    <w:p w14:paraId="150B316E" w14:textId="77777777" w:rsidR="00FB3661" w:rsidRDefault="00294A69">
      <w:pPr>
        <w:spacing w:line="360" w:lineRule="auto"/>
        <w:jc w:val="both"/>
        <w:rPr>
          <w:noProof w:val="0"/>
          <w:sz w:val="26"/>
          <w:szCs w:val="26"/>
          <w:u w:val="single"/>
          <w:rtl/>
        </w:rPr>
      </w:pPr>
      <w:r>
        <w:rPr>
          <w:noProof w:val="0"/>
          <w:sz w:val="26"/>
          <w:szCs w:val="26"/>
          <w:u w:val="single"/>
          <w:rtl/>
        </w:rPr>
        <w:t>דיון</w:t>
      </w:r>
    </w:p>
    <w:p w14:paraId="6973FEAF" w14:textId="77777777" w:rsidR="00FB3661" w:rsidRDefault="00294A69">
      <w:pPr>
        <w:spacing w:line="360" w:lineRule="auto"/>
        <w:jc w:val="both"/>
        <w:rPr>
          <w:noProof w:val="0"/>
          <w:sz w:val="26"/>
          <w:szCs w:val="26"/>
          <w:rtl/>
        </w:rPr>
      </w:pPr>
      <w:r>
        <w:rPr>
          <w:rFonts w:hint="cs"/>
          <w:noProof w:val="0"/>
          <w:sz w:val="26"/>
          <w:szCs w:val="26"/>
          <w:rtl/>
        </w:rPr>
        <w:t>5</w:t>
      </w:r>
      <w:r>
        <w:rPr>
          <w:noProof w:val="0"/>
          <w:sz w:val="26"/>
          <w:szCs w:val="26"/>
          <w:rtl/>
        </w:rPr>
        <w:t>.</w:t>
      </w:r>
      <w:r>
        <w:rPr>
          <w:noProof w:val="0"/>
          <w:sz w:val="26"/>
          <w:szCs w:val="26"/>
          <w:rtl/>
        </w:rPr>
        <w:tab/>
      </w:r>
      <w:r>
        <w:rPr>
          <w:noProof w:val="0"/>
          <w:sz w:val="26"/>
          <w:szCs w:val="26"/>
          <w:rtl/>
          <w:lang w:eastAsia="he-IL"/>
        </w:rPr>
        <w:t>במלאכת גזירת הדין, נצעד לפי המתווה המנחה שנקבע בתיקון 113 ל</w:t>
      </w:r>
      <w:hyperlink r:id="rId26" w:history="1">
        <w:r w:rsidRPr="00294A69">
          <w:rPr>
            <w:noProof w:val="0"/>
            <w:color w:val="0000FF"/>
            <w:sz w:val="26"/>
            <w:szCs w:val="26"/>
            <w:u w:val="single"/>
            <w:rtl/>
            <w:lang w:eastAsia="he-IL"/>
          </w:rPr>
          <w:t>חוק העונשין</w:t>
        </w:r>
      </w:hyperlink>
      <w:r>
        <w:rPr>
          <w:noProof w:val="0"/>
          <w:sz w:val="26"/>
          <w:szCs w:val="26"/>
          <w:rtl/>
          <w:lang w:eastAsia="he-IL"/>
        </w:rPr>
        <w:t xml:space="preserve">, בו העמיד המחוקק </w:t>
      </w:r>
      <w:r>
        <w:rPr>
          <w:noProof w:val="0"/>
          <w:sz w:val="26"/>
          <w:szCs w:val="26"/>
          <w:rtl/>
        </w:rPr>
        <w:t>כעקרון על בגזירת העונש את עקרון ההלימה, המבטא את "עקרון הגמול":</w:t>
      </w:r>
      <w:r>
        <w:rPr>
          <w:rFonts w:ascii="Arial TUR" w:hAnsi="Arial TUR" w:cs="FrankRuehl"/>
          <w:noProof w:val="0"/>
          <w:spacing w:val="10"/>
          <w:sz w:val="26"/>
          <w:szCs w:val="26"/>
          <w:rtl/>
        </w:rPr>
        <w:t xml:space="preserve"> </w:t>
      </w:r>
      <w:r>
        <w:rPr>
          <w:b/>
          <w:bCs/>
          <w:noProof w:val="0"/>
          <w:sz w:val="26"/>
          <w:szCs w:val="26"/>
          <w:rtl/>
        </w:rPr>
        <w:t>"העיקרון המנחה בענישה הוא קיומו של יחס הולם בין חומרת מעשה העבירה בנסיבותיו ומידת אשמו של הנאשם ובין סוג ומידת העונש המוטל עליו"</w:t>
      </w:r>
      <w:r>
        <w:rPr>
          <w:noProof w:val="0"/>
          <w:sz w:val="26"/>
          <w:szCs w:val="26"/>
          <w:rtl/>
        </w:rPr>
        <w:t xml:space="preserve"> (ר' </w:t>
      </w:r>
      <w:hyperlink r:id="rId27" w:history="1">
        <w:r w:rsidR="00B96AB4" w:rsidRPr="00B96AB4">
          <w:rPr>
            <w:rStyle w:val="Hyperlink"/>
            <w:noProof w:val="0"/>
            <w:sz w:val="26"/>
            <w:szCs w:val="26"/>
            <w:rtl/>
          </w:rPr>
          <w:t>בסעיף 40ב</w:t>
        </w:r>
      </w:hyperlink>
      <w:r>
        <w:rPr>
          <w:noProof w:val="0"/>
          <w:sz w:val="26"/>
          <w:szCs w:val="26"/>
          <w:rtl/>
        </w:rPr>
        <w:t xml:space="preserve"> לחוק). כידוע, התיקון קובע בחינה בת שלושה שלבים לצורך קביעת העונש. בשלב הראשון, על בית המשפט לקבוע את מתחם העונש ההולם את נסיבות המקרה הקונקרטי, תוך התחשבות בערך החברתי שנפגע מביצוע העבירה, במידת הפגיעה בו, במדיניות הענישה הנהוגה ובנסיבות הקשורות בביצוע העבירה (</w:t>
      </w:r>
      <w:hyperlink r:id="rId28" w:history="1">
        <w:r w:rsidR="00B96AB4" w:rsidRPr="00B96AB4">
          <w:rPr>
            <w:rStyle w:val="Hyperlink"/>
            <w:noProof w:val="0"/>
            <w:sz w:val="26"/>
            <w:szCs w:val="26"/>
            <w:rtl/>
          </w:rPr>
          <w:t>בסעיף 40ג(א)</w:t>
        </w:r>
      </w:hyperlink>
      <w:r>
        <w:rPr>
          <w:noProof w:val="0"/>
          <w:sz w:val="26"/>
          <w:szCs w:val="26"/>
          <w:rtl/>
        </w:rPr>
        <w:t xml:space="preserve"> לחוק). בשלב השני, על בית המשפט לבחון האם מתקיימים חריגים המצדיקים סטייה מהמתחם שנקבע (</w:t>
      </w:r>
      <w:hyperlink r:id="rId29" w:history="1">
        <w:r w:rsidR="00B96AB4" w:rsidRPr="00B96AB4">
          <w:rPr>
            <w:rStyle w:val="Hyperlink"/>
            <w:noProof w:val="0"/>
            <w:sz w:val="26"/>
            <w:szCs w:val="26"/>
            <w:rtl/>
          </w:rPr>
          <w:t>בסעיפים 40ד</w:t>
        </w:r>
      </w:hyperlink>
      <w:r>
        <w:rPr>
          <w:noProof w:val="0"/>
          <w:sz w:val="26"/>
          <w:szCs w:val="26"/>
          <w:rtl/>
        </w:rPr>
        <w:t xml:space="preserve"> ו-</w:t>
      </w:r>
      <w:hyperlink r:id="rId30" w:history="1">
        <w:r w:rsidR="00B96AB4" w:rsidRPr="00B96AB4">
          <w:rPr>
            <w:rStyle w:val="Hyperlink"/>
            <w:noProof w:val="0"/>
            <w:sz w:val="26"/>
            <w:szCs w:val="26"/>
            <w:rtl/>
          </w:rPr>
          <w:t>40ה לחוק</w:t>
        </w:r>
      </w:hyperlink>
      <w:r>
        <w:rPr>
          <w:noProof w:val="0"/>
          <w:sz w:val="26"/>
          <w:szCs w:val="26"/>
          <w:rtl/>
        </w:rPr>
        <w:t>). אם לא מצא בית המשפט לחרוג ממתחם העונש שקבע, יעבור לשלב השלישי, בו עליו לקבוע את עונשו של הנאשם בתוך המתחם, בהתחשב בנסיבות שאינן קשורות בביצוע העבירה (</w:t>
      </w:r>
      <w:hyperlink r:id="rId31" w:history="1">
        <w:r w:rsidR="00B96AB4" w:rsidRPr="00B96AB4">
          <w:rPr>
            <w:rStyle w:val="Hyperlink"/>
            <w:noProof w:val="0"/>
            <w:sz w:val="26"/>
            <w:szCs w:val="26"/>
            <w:rtl/>
          </w:rPr>
          <w:t>בסעיף 40ג(ב)</w:t>
        </w:r>
      </w:hyperlink>
      <w:r>
        <w:rPr>
          <w:noProof w:val="0"/>
          <w:sz w:val="26"/>
          <w:szCs w:val="26"/>
          <w:rtl/>
        </w:rPr>
        <w:t xml:space="preserve"> לחוק). </w:t>
      </w:r>
    </w:p>
    <w:p w14:paraId="21FE627B" w14:textId="77777777" w:rsidR="00FB3661" w:rsidRDefault="00FB3661">
      <w:pPr>
        <w:spacing w:line="360" w:lineRule="auto"/>
        <w:jc w:val="both"/>
        <w:rPr>
          <w:noProof w:val="0"/>
          <w:sz w:val="26"/>
          <w:szCs w:val="26"/>
          <w:rtl/>
        </w:rPr>
      </w:pPr>
    </w:p>
    <w:p w14:paraId="3714D988" w14:textId="77777777" w:rsidR="00FB3661" w:rsidRDefault="00294A69">
      <w:pPr>
        <w:spacing w:line="360" w:lineRule="auto"/>
        <w:jc w:val="both"/>
        <w:rPr>
          <w:noProof w:val="0"/>
          <w:sz w:val="26"/>
          <w:szCs w:val="26"/>
          <w:u w:val="single"/>
          <w:rtl/>
        </w:rPr>
      </w:pPr>
      <w:r>
        <w:rPr>
          <w:noProof w:val="0"/>
          <w:sz w:val="26"/>
          <w:szCs w:val="26"/>
          <w:u w:val="single"/>
          <w:rtl/>
        </w:rPr>
        <w:t>הערכים המוגנים ומידת הפגיעה בהם</w:t>
      </w:r>
    </w:p>
    <w:p w14:paraId="35EA0FDF" w14:textId="77777777" w:rsidR="00FB3661" w:rsidRDefault="00294A69">
      <w:pPr>
        <w:spacing w:line="360" w:lineRule="auto"/>
        <w:jc w:val="both"/>
        <w:rPr>
          <w:rFonts w:cs="FrankRuehl"/>
          <w:noProof w:val="0"/>
          <w:sz w:val="28"/>
          <w:szCs w:val="28"/>
          <w:rtl/>
        </w:rPr>
      </w:pPr>
      <w:r>
        <w:rPr>
          <w:rFonts w:hint="cs"/>
          <w:noProof w:val="0"/>
          <w:sz w:val="26"/>
          <w:szCs w:val="26"/>
          <w:rtl/>
        </w:rPr>
        <w:t>6</w:t>
      </w:r>
      <w:r>
        <w:rPr>
          <w:noProof w:val="0"/>
          <w:sz w:val="26"/>
          <w:szCs w:val="26"/>
          <w:rtl/>
        </w:rPr>
        <w:t>.</w:t>
      </w:r>
      <w:r>
        <w:rPr>
          <w:noProof w:val="0"/>
          <w:sz w:val="26"/>
          <w:szCs w:val="26"/>
          <w:rtl/>
        </w:rPr>
        <w:tab/>
        <w:t xml:space="preserve">ברקע האיסור הפלילי על מעשה של הובלת נשק בלא רשות על פי דין, </w:t>
      </w:r>
      <w:hyperlink r:id="rId32" w:history="1">
        <w:r w:rsidR="00B96AB4" w:rsidRPr="00B96AB4">
          <w:rPr>
            <w:rStyle w:val="Hyperlink"/>
            <w:noProof w:val="0"/>
            <w:sz w:val="26"/>
            <w:szCs w:val="26"/>
            <w:rtl/>
          </w:rPr>
          <w:t>שבסעיף 144(ב)</w:t>
        </w:r>
      </w:hyperlink>
      <w:r>
        <w:rPr>
          <w:noProof w:val="0"/>
          <w:sz w:val="26"/>
          <w:szCs w:val="26"/>
          <w:rtl/>
        </w:rPr>
        <w:t xml:space="preserve"> ל</w:t>
      </w:r>
      <w:hyperlink r:id="rId33" w:history="1">
        <w:r w:rsidRPr="00294A69">
          <w:rPr>
            <w:noProof w:val="0"/>
            <w:color w:val="0000FF"/>
            <w:sz w:val="26"/>
            <w:szCs w:val="26"/>
            <w:u w:val="single"/>
            <w:rtl/>
          </w:rPr>
          <w:t>חוק העונשין</w:t>
        </w:r>
      </w:hyperlink>
      <w:r>
        <w:rPr>
          <w:noProof w:val="0"/>
          <w:sz w:val="26"/>
          <w:szCs w:val="26"/>
          <w:rtl/>
        </w:rPr>
        <w:t xml:space="preserve">, עומד הצורך להגן על שלומו וביטחונו של הציבור. בית המשפט העליון חזר ועמד על המסוכנות הגבוהה לביטחון הציבור העולה מעבירות הנשק, אשר </w:t>
      </w:r>
      <w:r>
        <w:rPr>
          <w:b/>
          <w:bCs/>
          <w:noProof w:val="0"/>
          <w:sz w:val="26"/>
          <w:szCs w:val="26"/>
          <w:rtl/>
        </w:rPr>
        <w:t xml:space="preserve">"הפכו לחזון נפרץ במחוזותינו, בבחינת 'מכת מדינה'" </w:t>
      </w:r>
      <w:r>
        <w:rPr>
          <w:noProof w:val="0"/>
          <w:sz w:val="26"/>
          <w:szCs w:val="26"/>
          <w:rtl/>
        </w:rPr>
        <w:t xml:space="preserve">והן </w:t>
      </w:r>
      <w:r>
        <w:rPr>
          <w:b/>
          <w:bCs/>
          <w:noProof w:val="0"/>
          <w:sz w:val="26"/>
          <w:szCs w:val="26"/>
          <w:rtl/>
        </w:rPr>
        <w:t>"יוצרות פוטנציאל לסכסוכים אלימים, ומקימות סיכון ממשי וחמור לחיי אדם, לשלום הציבור ולביטחונו"</w:t>
      </w:r>
      <w:r>
        <w:rPr>
          <w:noProof w:val="0"/>
          <w:sz w:val="26"/>
          <w:szCs w:val="26"/>
          <w:rtl/>
        </w:rPr>
        <w:t>.</w:t>
      </w:r>
      <w:r>
        <w:rPr>
          <w:b/>
          <w:bCs/>
          <w:noProof w:val="0"/>
          <w:sz w:val="26"/>
          <w:szCs w:val="26"/>
          <w:rtl/>
        </w:rPr>
        <w:t xml:space="preserve"> </w:t>
      </w:r>
      <w:r>
        <w:rPr>
          <w:noProof w:val="0"/>
          <w:sz w:val="26"/>
          <w:szCs w:val="26"/>
          <w:rtl/>
        </w:rPr>
        <w:t>לנוכח הסכנה הנשקפת לציבור והיקפן המתרחב של העבירות בנשק, הדגיש בית המשפט העליון, כי יש לשדר מסר עונשי אשר ירתיע מפני ביצוען, וזאת בדרך של החמרה בענישה (ב</w:t>
      </w:r>
      <w:hyperlink r:id="rId34" w:history="1">
        <w:r w:rsidRPr="00294A69">
          <w:rPr>
            <w:noProof w:val="0"/>
            <w:color w:val="0000FF"/>
            <w:sz w:val="26"/>
            <w:szCs w:val="26"/>
            <w:u w:val="single"/>
            <w:rtl/>
          </w:rPr>
          <w:t>ע"פ 3790/11</w:t>
        </w:r>
      </w:hyperlink>
      <w:r>
        <w:rPr>
          <w:noProof w:val="0"/>
          <w:sz w:val="26"/>
          <w:szCs w:val="26"/>
          <w:rtl/>
        </w:rPr>
        <w:t xml:space="preserve"> </w:t>
      </w:r>
      <w:r>
        <w:rPr>
          <w:b/>
          <w:bCs/>
          <w:noProof w:val="0"/>
          <w:sz w:val="26"/>
          <w:szCs w:val="26"/>
          <w:rtl/>
        </w:rPr>
        <w:t>נידאל נ' מדינת ישראל</w:t>
      </w:r>
      <w:r>
        <w:rPr>
          <w:noProof w:val="0"/>
          <w:sz w:val="26"/>
          <w:szCs w:val="26"/>
          <w:rtl/>
        </w:rPr>
        <w:t xml:space="preserve">, ניתן ביום 23.2.12, בפסקה 6). </w:t>
      </w:r>
    </w:p>
    <w:p w14:paraId="6F6FB334" w14:textId="77777777" w:rsidR="00FB3661" w:rsidRDefault="00FB3661">
      <w:pPr>
        <w:spacing w:line="360" w:lineRule="auto"/>
        <w:jc w:val="both"/>
        <w:rPr>
          <w:noProof w:val="0"/>
          <w:sz w:val="26"/>
          <w:szCs w:val="26"/>
          <w:rtl/>
        </w:rPr>
      </w:pPr>
    </w:p>
    <w:p w14:paraId="2B3ABFE3" w14:textId="77777777" w:rsidR="00FB3661" w:rsidRDefault="00294A69">
      <w:pPr>
        <w:spacing w:line="360" w:lineRule="auto"/>
        <w:jc w:val="both"/>
        <w:rPr>
          <w:rFonts w:cs="FrankRuehl"/>
          <w:noProof w:val="0"/>
          <w:sz w:val="28"/>
          <w:szCs w:val="28"/>
          <w:rtl/>
        </w:rPr>
      </w:pPr>
      <w:r>
        <w:rPr>
          <w:noProof w:val="0"/>
          <w:sz w:val="26"/>
          <w:szCs w:val="26"/>
          <w:rtl/>
        </w:rPr>
        <w:t>עת עסקינן בנשק מסוג מטען חבלה, הפגיעה בערכים המוגנים עולה ביתר שאת – הן משום שמדובר בנשק אשר מעצם טיבו נועד לתכלית התקפית</w:t>
      </w:r>
      <w:r>
        <w:rPr>
          <w:rFonts w:hint="cs"/>
          <w:noProof w:val="0"/>
          <w:sz w:val="26"/>
          <w:szCs w:val="26"/>
          <w:rtl/>
        </w:rPr>
        <w:t>,</w:t>
      </w:r>
      <w:r>
        <w:rPr>
          <w:noProof w:val="0"/>
          <w:sz w:val="26"/>
          <w:szCs w:val="26"/>
          <w:rtl/>
        </w:rPr>
        <w:t xml:space="preserve"> והן משום</w:t>
      </w:r>
      <w:r>
        <w:rPr>
          <w:rFonts w:hint="cs"/>
          <w:noProof w:val="0"/>
          <w:sz w:val="26"/>
          <w:szCs w:val="26"/>
          <w:rtl/>
        </w:rPr>
        <w:t xml:space="preserve"> </w:t>
      </w:r>
      <w:r>
        <w:rPr>
          <w:noProof w:val="0"/>
          <w:sz w:val="26"/>
          <w:szCs w:val="26"/>
          <w:rtl/>
        </w:rPr>
        <w:t xml:space="preserve">שמטען חבלה גורם לנזק היקפי ובלתי מבוקר, כך שהוא בעל פוטנציאל גבוה לפגוע באנשים תמימים: </w:t>
      </w:r>
      <w:r>
        <w:rPr>
          <w:b/>
          <w:bCs/>
          <w:noProof w:val="0"/>
          <w:sz w:val="26"/>
          <w:szCs w:val="26"/>
          <w:rtl/>
        </w:rPr>
        <w:t>"כאשר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noProof w:val="0"/>
          <w:sz w:val="26"/>
          <w:szCs w:val="26"/>
          <w:rtl/>
        </w:rPr>
        <w:t xml:space="preserve"> (ע"פ </w:t>
      </w:r>
      <w:hyperlink r:id="rId35" w:history="1">
        <w:r w:rsidR="00D17A65" w:rsidRPr="00D17A65">
          <w:rPr>
            <w:noProof w:val="0"/>
            <w:color w:val="0000FF"/>
            <w:sz w:val="26"/>
            <w:szCs w:val="26"/>
            <w:u w:val="single"/>
            <w:rtl/>
          </w:rPr>
          <w:t xml:space="preserve">1332/04 </w:t>
        </w:r>
      </w:hyperlink>
      <w:r>
        <w:rPr>
          <w:noProof w:val="0"/>
          <w:sz w:val="26"/>
          <w:szCs w:val="26"/>
          <w:rtl/>
        </w:rPr>
        <w:t xml:space="preserve"> </w:t>
      </w:r>
      <w:r>
        <w:rPr>
          <w:b/>
          <w:bCs/>
          <w:noProof w:val="0"/>
          <w:sz w:val="26"/>
          <w:szCs w:val="26"/>
          <w:rtl/>
        </w:rPr>
        <w:t>מ"י נ' פס</w:t>
      </w:r>
      <w:r>
        <w:rPr>
          <w:noProof w:val="0"/>
          <w:sz w:val="26"/>
          <w:szCs w:val="26"/>
          <w:rtl/>
        </w:rPr>
        <w:t xml:space="preserve">, ניתן ביום 19.4.04, בפסקה 4). ובמילותיו של כבוד השופט נ' סולברג: </w:t>
      </w:r>
      <w:r>
        <w:rPr>
          <w:b/>
          <w:bCs/>
          <w:noProof w:val="0"/>
          <w:sz w:val="26"/>
          <w:szCs w:val="26"/>
          <w:rtl/>
        </w:rPr>
        <w:t>"סכנת נפשות, פשוטו כמשמעו"</w:t>
      </w:r>
      <w:r>
        <w:rPr>
          <w:noProof w:val="0"/>
          <w:sz w:val="26"/>
          <w:szCs w:val="26"/>
          <w:rtl/>
        </w:rPr>
        <w:t xml:space="preserve"> (</w:t>
      </w:r>
      <w:hyperlink r:id="rId36" w:history="1">
        <w:r w:rsidRPr="00294A69">
          <w:rPr>
            <w:noProof w:val="0"/>
            <w:color w:val="0000FF"/>
            <w:sz w:val="26"/>
            <w:szCs w:val="26"/>
            <w:u w:val="single"/>
            <w:rtl/>
          </w:rPr>
          <w:t>ע"פ 6210/13</w:t>
        </w:r>
      </w:hyperlink>
      <w:r>
        <w:rPr>
          <w:noProof w:val="0"/>
          <w:sz w:val="26"/>
          <w:szCs w:val="26"/>
          <w:rtl/>
        </w:rPr>
        <w:t xml:space="preserve"> </w:t>
      </w:r>
      <w:r>
        <w:rPr>
          <w:b/>
          <w:bCs/>
          <w:noProof w:val="0"/>
          <w:sz w:val="26"/>
          <w:szCs w:val="26"/>
          <w:rtl/>
        </w:rPr>
        <w:t>גונן נ' מדינת ישראל</w:t>
      </w:r>
      <w:r>
        <w:rPr>
          <w:noProof w:val="0"/>
          <w:sz w:val="26"/>
          <w:szCs w:val="26"/>
          <w:rtl/>
        </w:rPr>
        <w:t>, ניתן ביום 14.11.13, בפסקה 7). בהקשר זה, יש גם ליתן את הדעת לכך, שמלבד הסיכון הקונקרטי שיצר הנאשם, ישנה גם פגיעה בתחושת הביטחון הכללית של הציבור הרחב, שכן מעשים כאמור קוראים תיגר כנגד הסדר הציבורי ושלטון החוק.</w:t>
      </w:r>
    </w:p>
    <w:p w14:paraId="07E033D2" w14:textId="77777777" w:rsidR="00FB3661" w:rsidRDefault="00FB3661">
      <w:pPr>
        <w:spacing w:line="360" w:lineRule="auto"/>
        <w:jc w:val="both"/>
        <w:rPr>
          <w:noProof w:val="0"/>
          <w:sz w:val="26"/>
          <w:szCs w:val="26"/>
          <w:rtl/>
        </w:rPr>
      </w:pPr>
    </w:p>
    <w:p w14:paraId="3F30B649" w14:textId="77777777" w:rsidR="00FB3661" w:rsidRDefault="00294A69">
      <w:pPr>
        <w:spacing w:line="360" w:lineRule="auto"/>
        <w:jc w:val="both"/>
        <w:rPr>
          <w:noProof w:val="0"/>
          <w:sz w:val="26"/>
          <w:szCs w:val="26"/>
          <w:rtl/>
        </w:rPr>
      </w:pPr>
      <w:r>
        <w:rPr>
          <w:rFonts w:hint="cs"/>
          <w:noProof w:val="0"/>
          <w:sz w:val="26"/>
          <w:szCs w:val="26"/>
          <w:rtl/>
        </w:rPr>
        <w:t>7</w:t>
      </w:r>
      <w:r>
        <w:rPr>
          <w:noProof w:val="0"/>
          <w:sz w:val="26"/>
          <w:szCs w:val="26"/>
          <w:rtl/>
        </w:rPr>
        <w:t>.</w:t>
      </w:r>
      <w:r>
        <w:rPr>
          <w:noProof w:val="0"/>
          <w:sz w:val="26"/>
          <w:szCs w:val="26"/>
          <w:rtl/>
        </w:rPr>
        <w:tab/>
        <w:t xml:space="preserve">במקרה דנן, המטען לא </w:t>
      </w:r>
      <w:r>
        <w:rPr>
          <w:rFonts w:hint="cs"/>
          <w:noProof w:val="0"/>
          <w:sz w:val="26"/>
          <w:szCs w:val="26"/>
          <w:rtl/>
        </w:rPr>
        <w:t xml:space="preserve">היה </w:t>
      </w:r>
      <w:r>
        <w:rPr>
          <w:noProof w:val="0"/>
          <w:sz w:val="26"/>
          <w:szCs w:val="26"/>
          <w:rtl/>
        </w:rPr>
        <w:t>תקין ומכאן שלא הייתה פגיעה ממשית בערכים המוגנים. בצד האמור, יש לזכור, כי לא ידוע, האם בזמן אמת, כאשר הוביל את המטען מנקודה אחת לשנייה, ידע הנאשם שהמטען אינו שמיש, וכך גם, כפי שצוין בכתב האישום, ניתן היה להפוך את המטען למטען שבכוחו להתפוצץ</w:t>
      </w:r>
      <w:r>
        <w:rPr>
          <w:rFonts w:hint="cs"/>
          <w:noProof w:val="0"/>
          <w:sz w:val="26"/>
          <w:szCs w:val="26"/>
          <w:rtl/>
        </w:rPr>
        <w:t xml:space="preserve"> ולהמית אדם</w:t>
      </w:r>
      <w:r>
        <w:rPr>
          <w:noProof w:val="0"/>
          <w:sz w:val="26"/>
          <w:szCs w:val="26"/>
          <w:rtl/>
        </w:rPr>
        <w:t xml:space="preserve">. המשמעות היא, כי עצם נכונותו של הנאשם להעביר מטען חבלה, בשילוב עם טיבו של המטען, מצביעים על פוטנציאל סיכון לא מבוטל לפעולות של עשיית דין עצמי ושפיכות דמים, </w:t>
      </w:r>
      <w:r>
        <w:rPr>
          <w:rFonts w:hint="cs"/>
          <w:noProof w:val="0"/>
          <w:sz w:val="26"/>
          <w:szCs w:val="26"/>
          <w:rtl/>
        </w:rPr>
        <w:t>ה</w:t>
      </w:r>
      <w:r>
        <w:rPr>
          <w:noProof w:val="0"/>
          <w:sz w:val="26"/>
          <w:szCs w:val="26"/>
          <w:rtl/>
        </w:rPr>
        <w:t>פוגע בערכים המוגנים. וראו הדברים שנאמרו ב</w:t>
      </w:r>
      <w:hyperlink r:id="rId37" w:history="1">
        <w:r w:rsidRPr="00294A69">
          <w:rPr>
            <w:noProof w:val="0"/>
            <w:color w:val="0000FF"/>
            <w:sz w:val="26"/>
            <w:szCs w:val="26"/>
            <w:u w:val="single"/>
            <w:rtl/>
          </w:rPr>
          <w:t>ע"פ 116/13</w:t>
        </w:r>
      </w:hyperlink>
      <w:r>
        <w:rPr>
          <w:noProof w:val="0"/>
          <w:sz w:val="26"/>
          <w:szCs w:val="26"/>
          <w:rtl/>
        </w:rPr>
        <w:t xml:space="preserve"> </w:t>
      </w:r>
      <w:r>
        <w:rPr>
          <w:b/>
          <w:bCs/>
          <w:noProof w:val="0"/>
          <w:sz w:val="26"/>
          <w:szCs w:val="26"/>
          <w:rtl/>
        </w:rPr>
        <w:t>וקנין נ' מדינת ישראל</w:t>
      </w:r>
      <w:r>
        <w:rPr>
          <w:noProof w:val="0"/>
          <w:sz w:val="26"/>
          <w:szCs w:val="26"/>
          <w:rtl/>
        </w:rPr>
        <w:t xml:space="preserve"> (ניתן ביום 31.7.13) (להלן – </w:t>
      </w:r>
      <w:r>
        <w:rPr>
          <w:b/>
          <w:bCs/>
          <w:noProof w:val="0"/>
          <w:sz w:val="26"/>
          <w:szCs w:val="26"/>
          <w:rtl/>
        </w:rPr>
        <w:t>ע"פ וקנין</w:t>
      </w:r>
      <w:r>
        <w:rPr>
          <w:noProof w:val="0"/>
          <w:sz w:val="26"/>
          <w:szCs w:val="26"/>
          <w:rtl/>
        </w:rPr>
        <w:t xml:space="preserve">): </w:t>
      </w:r>
      <w:r>
        <w:rPr>
          <w:b/>
          <w:bCs/>
          <w:noProof w:val="0"/>
          <w:sz w:val="26"/>
          <w:szCs w:val="26"/>
          <w:rtl/>
        </w:rPr>
        <w:t xml:space="preserve">"חומרתן של עבירות נשק אינה מסתכמת רק במה שאירע בפועל, אלא גם במה שעלול היה להתרחש – קרי: בסיכון הפוטנציאלי שהיה טמון </w:t>
      </w:r>
      <w:r>
        <w:rPr>
          <w:b/>
          <w:bCs/>
          <w:noProof w:val="0"/>
          <w:sz w:val="26"/>
          <w:szCs w:val="26"/>
          <w:u w:val="single"/>
          <w:rtl/>
        </w:rPr>
        <w:t>בהתנהגות</w:t>
      </w:r>
      <w:r>
        <w:rPr>
          <w:b/>
          <w:bCs/>
          <w:noProof w:val="0"/>
          <w:sz w:val="26"/>
          <w:szCs w:val="26"/>
          <w:rtl/>
        </w:rPr>
        <w:t>"</w:t>
      </w:r>
      <w:r>
        <w:rPr>
          <w:noProof w:val="0"/>
          <w:sz w:val="26"/>
          <w:szCs w:val="26"/>
          <w:rtl/>
        </w:rPr>
        <w:t xml:space="preserve"> (ההדגשה שלי – א' כ') (</w:t>
      </w:r>
      <w:r>
        <w:rPr>
          <w:b/>
          <w:bCs/>
          <w:noProof w:val="0"/>
          <w:sz w:val="26"/>
          <w:szCs w:val="26"/>
          <w:rtl/>
        </w:rPr>
        <w:t>שם</w:t>
      </w:r>
      <w:r>
        <w:rPr>
          <w:noProof w:val="0"/>
          <w:sz w:val="26"/>
          <w:szCs w:val="26"/>
          <w:rtl/>
        </w:rPr>
        <w:t xml:space="preserve">, בפסקה 7). </w:t>
      </w:r>
    </w:p>
    <w:p w14:paraId="4ACDF4CC" w14:textId="77777777" w:rsidR="00FB3661" w:rsidRDefault="00FB3661">
      <w:pPr>
        <w:spacing w:line="360" w:lineRule="auto"/>
        <w:jc w:val="both"/>
        <w:rPr>
          <w:noProof w:val="0"/>
          <w:sz w:val="26"/>
          <w:szCs w:val="26"/>
          <w:u w:val="single"/>
          <w:rtl/>
        </w:rPr>
      </w:pPr>
    </w:p>
    <w:p w14:paraId="5A350DA0" w14:textId="77777777" w:rsidR="00FB3661" w:rsidRDefault="00294A69">
      <w:pPr>
        <w:spacing w:line="360" w:lineRule="auto"/>
        <w:jc w:val="both"/>
        <w:rPr>
          <w:noProof w:val="0"/>
          <w:sz w:val="26"/>
          <w:szCs w:val="26"/>
          <w:u w:val="single"/>
          <w:rtl/>
        </w:rPr>
      </w:pPr>
      <w:r>
        <w:rPr>
          <w:noProof w:val="0"/>
          <w:sz w:val="26"/>
          <w:szCs w:val="26"/>
          <w:u w:val="single"/>
          <w:rtl/>
        </w:rPr>
        <w:t>מדיניות הענישה הנוהגת</w:t>
      </w:r>
    </w:p>
    <w:p w14:paraId="405892F5" w14:textId="77777777" w:rsidR="00FB3661" w:rsidRDefault="00294A69">
      <w:pPr>
        <w:spacing w:line="360" w:lineRule="auto"/>
        <w:jc w:val="both"/>
        <w:rPr>
          <w:noProof w:val="0"/>
          <w:sz w:val="26"/>
          <w:szCs w:val="26"/>
          <w:rtl/>
        </w:rPr>
      </w:pPr>
      <w:r>
        <w:rPr>
          <w:rFonts w:hint="cs"/>
          <w:noProof w:val="0"/>
          <w:sz w:val="26"/>
          <w:szCs w:val="26"/>
          <w:rtl/>
        </w:rPr>
        <w:t>8</w:t>
      </w:r>
      <w:r>
        <w:rPr>
          <w:noProof w:val="0"/>
          <w:sz w:val="26"/>
          <w:szCs w:val="26"/>
          <w:rtl/>
        </w:rPr>
        <w:t>.</w:t>
      </w:r>
      <w:r>
        <w:rPr>
          <w:noProof w:val="0"/>
          <w:sz w:val="26"/>
          <w:szCs w:val="26"/>
          <w:rtl/>
        </w:rPr>
        <w:tab/>
        <w:t xml:space="preserve">במסגרת הטיעונים לעונש, כל צד הציג בפניי פסיקה התומכת, לשיטתו, במתחם העונש ההולם לו הוא טוען. חלק מפסקי הדין שהוצגו, עסקו בעבירות שנסיבותיהן שונות מאלה שבמקרה דנן, הן מבחינת סוג העבירה (רכישת או מכירת נשק, להבדיל מהובלת נשק) והן מבחינת סוג הנשק (אקדח, להבדיל ממטען חבלה). מכאן, שאפנה למקרים שהינם קרובים יותר בנסיבותיהם לענייננו. </w:t>
      </w:r>
    </w:p>
    <w:p w14:paraId="210AA70F" w14:textId="77777777" w:rsidR="00FB3661" w:rsidRDefault="00FB3661">
      <w:pPr>
        <w:spacing w:line="360" w:lineRule="auto"/>
        <w:jc w:val="both"/>
        <w:rPr>
          <w:noProof w:val="0"/>
          <w:sz w:val="26"/>
          <w:szCs w:val="26"/>
          <w:rtl/>
        </w:rPr>
      </w:pPr>
    </w:p>
    <w:p w14:paraId="30B7AD10" w14:textId="77777777" w:rsidR="00FB3661" w:rsidRDefault="00294A69">
      <w:pPr>
        <w:spacing w:line="360" w:lineRule="auto"/>
        <w:jc w:val="both"/>
        <w:rPr>
          <w:noProof w:val="0"/>
          <w:sz w:val="26"/>
          <w:szCs w:val="26"/>
          <w:rtl/>
        </w:rPr>
      </w:pPr>
      <w:r>
        <w:rPr>
          <w:rFonts w:hint="cs"/>
          <w:noProof w:val="0"/>
          <w:sz w:val="26"/>
          <w:szCs w:val="26"/>
          <w:rtl/>
        </w:rPr>
        <w:t>9</w:t>
      </w:r>
      <w:r>
        <w:rPr>
          <w:noProof w:val="0"/>
          <w:sz w:val="26"/>
          <w:szCs w:val="26"/>
          <w:rtl/>
        </w:rPr>
        <w:t>.</w:t>
      </w:r>
      <w:r>
        <w:rPr>
          <w:noProof w:val="0"/>
          <w:sz w:val="26"/>
          <w:szCs w:val="26"/>
          <w:rtl/>
        </w:rPr>
        <w:tab/>
        <w:t>ב</w:t>
      </w:r>
      <w:hyperlink r:id="rId38" w:history="1">
        <w:r w:rsidRPr="00294A69">
          <w:rPr>
            <w:noProof w:val="0"/>
            <w:color w:val="0000FF"/>
            <w:sz w:val="26"/>
            <w:szCs w:val="26"/>
            <w:u w:val="single"/>
            <w:rtl/>
          </w:rPr>
          <w:t>ע"פ 5336/13</w:t>
        </w:r>
      </w:hyperlink>
      <w:r>
        <w:rPr>
          <w:noProof w:val="0"/>
          <w:sz w:val="26"/>
          <w:szCs w:val="26"/>
          <w:rtl/>
        </w:rPr>
        <w:t xml:space="preserve"> </w:t>
      </w:r>
      <w:r>
        <w:rPr>
          <w:b/>
          <w:bCs/>
          <w:noProof w:val="0"/>
          <w:sz w:val="26"/>
          <w:szCs w:val="26"/>
          <w:rtl/>
        </w:rPr>
        <w:t>צדוק נ' מדינת ישראל</w:t>
      </w:r>
      <w:r>
        <w:rPr>
          <w:noProof w:val="0"/>
          <w:sz w:val="26"/>
          <w:szCs w:val="26"/>
          <w:rtl/>
        </w:rPr>
        <w:t xml:space="preserve"> (ניתן ביום 17.11.13), הותיר בית המשפט העליון על כנו עונש של 20 חודשי מאסר, מאסר על תנאי וקנס בסך 7,500 ₪, שהוטלו על נאשם אשר הוביל יחד עם אדם נוסף, באמצעות קטנוע, מטען חבלה מביתו של מרכיב המטען (בחולון) לראשון לציון. יצוין, כי לנאשם באותו מקרה היה עבר פלילי והוא לא נכנס לביתו של מרכיב המטען אלא המתין מחוצה לו (הנאשם הורשע בעבירה אחת של נשיאה והובלה של נשק). </w:t>
      </w:r>
    </w:p>
    <w:p w14:paraId="117704A6" w14:textId="77777777" w:rsidR="00FB3661" w:rsidRDefault="00FB3661">
      <w:pPr>
        <w:spacing w:line="360" w:lineRule="auto"/>
        <w:jc w:val="both"/>
        <w:rPr>
          <w:noProof w:val="0"/>
          <w:sz w:val="26"/>
          <w:szCs w:val="26"/>
          <w:rtl/>
        </w:rPr>
      </w:pPr>
    </w:p>
    <w:p w14:paraId="1DFA12DF" w14:textId="77777777" w:rsidR="00FB3661" w:rsidRDefault="00294A69">
      <w:pPr>
        <w:spacing w:line="360" w:lineRule="auto"/>
        <w:jc w:val="both"/>
        <w:rPr>
          <w:noProof w:val="0"/>
          <w:sz w:val="26"/>
          <w:szCs w:val="26"/>
          <w:rtl/>
        </w:rPr>
      </w:pPr>
      <w:r>
        <w:rPr>
          <w:noProof w:val="0"/>
          <w:sz w:val="26"/>
          <w:szCs w:val="26"/>
          <w:rtl/>
        </w:rPr>
        <w:t>נאשם אחר באותה פרשה, אשר הורשע בשתי עבירות של נשיאה והובלה של נשק, נידון ל-30 חודשי מאסר בפועל, מאסר על תנאי וקנס בסך 7,500 ₪. חלקו בפרשה היה בקבלת מטען החבלה בביתו של מרכיב המטען, והובלתו משם למקום לא ידוע. כן ביקש ממרכיב המטען לרכוש מנגנון הפעלה, אשר הועבר אליו בהמשך. הנאשם, היה בן 18 בעת ביצוע העבירה, ולחובתו היה עבר פלילי (</w:t>
      </w:r>
      <w:hyperlink r:id="rId39" w:history="1">
        <w:r w:rsidRPr="00294A69">
          <w:rPr>
            <w:noProof w:val="0"/>
            <w:color w:val="0000FF"/>
            <w:sz w:val="26"/>
            <w:szCs w:val="26"/>
            <w:u w:val="single"/>
            <w:rtl/>
          </w:rPr>
          <w:t>ע"פ 6210/13</w:t>
        </w:r>
      </w:hyperlink>
      <w:r>
        <w:rPr>
          <w:noProof w:val="0"/>
          <w:sz w:val="26"/>
          <w:szCs w:val="26"/>
          <w:rtl/>
        </w:rPr>
        <w:t xml:space="preserve"> </w:t>
      </w:r>
      <w:r>
        <w:rPr>
          <w:b/>
          <w:bCs/>
          <w:noProof w:val="0"/>
          <w:sz w:val="26"/>
          <w:szCs w:val="26"/>
          <w:rtl/>
        </w:rPr>
        <w:t>גונן נ' מדינת ישראל</w:t>
      </w:r>
      <w:r>
        <w:rPr>
          <w:noProof w:val="0"/>
          <w:sz w:val="26"/>
          <w:szCs w:val="26"/>
          <w:rtl/>
        </w:rPr>
        <w:t xml:space="preserve">, ניתן ביום 14.11.13). </w:t>
      </w:r>
    </w:p>
    <w:p w14:paraId="1DB2C231" w14:textId="77777777" w:rsidR="00FB3661" w:rsidRDefault="00FB3661">
      <w:pPr>
        <w:spacing w:line="360" w:lineRule="auto"/>
        <w:jc w:val="both"/>
        <w:rPr>
          <w:b/>
          <w:bCs/>
          <w:noProof w:val="0"/>
          <w:sz w:val="26"/>
          <w:szCs w:val="26"/>
          <w:rtl/>
        </w:rPr>
      </w:pPr>
    </w:p>
    <w:p w14:paraId="6DD088B9" w14:textId="77777777" w:rsidR="00FB3661" w:rsidRDefault="00294A69">
      <w:pPr>
        <w:spacing w:line="360" w:lineRule="auto"/>
        <w:jc w:val="both"/>
        <w:rPr>
          <w:noProof w:val="0"/>
          <w:sz w:val="26"/>
          <w:szCs w:val="26"/>
          <w:rtl/>
        </w:rPr>
      </w:pPr>
      <w:r>
        <w:rPr>
          <w:noProof w:val="0"/>
          <w:sz w:val="26"/>
          <w:szCs w:val="26"/>
          <w:rtl/>
        </w:rPr>
        <w:t xml:space="preserve">כן ניתן להקיש לענייננו מת"פ (י-ם) </w:t>
      </w:r>
      <w:hyperlink r:id="rId40" w:history="1">
        <w:r w:rsidR="00D17A65" w:rsidRPr="00D17A65">
          <w:rPr>
            <w:noProof w:val="0"/>
            <w:color w:val="0000FF"/>
            <w:sz w:val="26"/>
            <w:szCs w:val="26"/>
            <w:u w:val="single"/>
            <w:rtl/>
          </w:rPr>
          <w:t>355/09</w:t>
        </w:r>
      </w:hyperlink>
      <w:r>
        <w:rPr>
          <w:noProof w:val="0"/>
          <w:sz w:val="26"/>
          <w:szCs w:val="26"/>
          <w:rtl/>
        </w:rPr>
        <w:t xml:space="preserve"> </w:t>
      </w:r>
      <w:r>
        <w:rPr>
          <w:b/>
          <w:bCs/>
          <w:noProof w:val="0"/>
          <w:sz w:val="26"/>
          <w:szCs w:val="26"/>
          <w:rtl/>
        </w:rPr>
        <w:t>מדינת ישראל נ' הילל</w:t>
      </w:r>
      <w:r>
        <w:rPr>
          <w:noProof w:val="0"/>
          <w:sz w:val="26"/>
          <w:szCs w:val="26"/>
          <w:rtl/>
        </w:rPr>
        <w:t xml:space="preserve"> (ניתן ביום 14.11.10) בו הורשע נאשם בקשירת קשר לביצוע פשע ובנשיאה והובלת נשק. הנאשם, שהיה כבאי במקצועו, העביר מטען חבלה והסתירו במכוניתו החונה דרך קבע בתחנת כיבוי האש שבה עבד. לאחר מכן, העביר את מפתח המכונית והשלט שמשמש לפתיחת המחסום בכניסה לתחנה, לשני הנאשמים האחרים, שקשרו עמו את הקשר האמור. כבוד השופט נ' סולברג השית על הנאשם, שהיה ללא עבר פלילי, עונש של 18 חודשי מאסר. במסגרת שיקוליו, לקולא, התחשב בית המשפט בעובדה, שהנאשם ביצע את המעשה בשל המצוקה הכלכלית אליה נקלע ומדובר במעשה חד פעמי עבורו, ולחומרה, התחשב בעובדה, שהנאשם ניצל את תפקידו ולא לקח אחריות על מעשיו. </w:t>
      </w:r>
    </w:p>
    <w:p w14:paraId="741A0083" w14:textId="77777777" w:rsidR="00FB3661" w:rsidRDefault="00FB3661">
      <w:pPr>
        <w:spacing w:line="360" w:lineRule="auto"/>
        <w:jc w:val="both"/>
        <w:rPr>
          <w:noProof w:val="0"/>
          <w:sz w:val="26"/>
          <w:szCs w:val="26"/>
          <w:rtl/>
        </w:rPr>
      </w:pPr>
    </w:p>
    <w:p w14:paraId="2492A398" w14:textId="77777777" w:rsidR="00FB3661" w:rsidRDefault="00294A69">
      <w:pPr>
        <w:spacing w:line="360" w:lineRule="auto"/>
        <w:jc w:val="both"/>
        <w:rPr>
          <w:noProof w:val="0"/>
          <w:sz w:val="26"/>
          <w:szCs w:val="26"/>
          <w:u w:val="single"/>
          <w:rtl/>
        </w:rPr>
      </w:pPr>
      <w:r>
        <w:rPr>
          <w:noProof w:val="0"/>
          <w:sz w:val="26"/>
          <w:szCs w:val="26"/>
          <w:u w:val="single"/>
          <w:rtl/>
        </w:rPr>
        <w:t>הנסיבות הקשורות בביצוע העבירה (</w:t>
      </w:r>
      <w:hyperlink r:id="rId41" w:history="1">
        <w:r w:rsidR="00B96AB4" w:rsidRPr="00B96AB4">
          <w:rPr>
            <w:rStyle w:val="Hyperlink"/>
            <w:noProof w:val="0"/>
            <w:sz w:val="26"/>
            <w:szCs w:val="26"/>
            <w:rtl/>
          </w:rPr>
          <w:t>סעיף 40ט(א)</w:t>
        </w:r>
      </w:hyperlink>
      <w:r>
        <w:rPr>
          <w:noProof w:val="0"/>
          <w:sz w:val="26"/>
          <w:szCs w:val="26"/>
          <w:u w:val="single"/>
          <w:rtl/>
        </w:rPr>
        <w:t xml:space="preserve"> לחוק)</w:t>
      </w:r>
    </w:p>
    <w:p w14:paraId="289AB764" w14:textId="77777777" w:rsidR="00FB3661" w:rsidRDefault="00294A69">
      <w:pPr>
        <w:spacing w:line="360" w:lineRule="auto"/>
        <w:jc w:val="both"/>
        <w:rPr>
          <w:noProof w:val="0"/>
          <w:sz w:val="26"/>
          <w:szCs w:val="26"/>
          <w:rtl/>
        </w:rPr>
      </w:pPr>
      <w:r>
        <w:rPr>
          <w:noProof w:val="0"/>
          <w:sz w:val="26"/>
          <w:szCs w:val="26"/>
          <w:rtl/>
        </w:rPr>
        <w:t>1</w:t>
      </w:r>
      <w:r>
        <w:rPr>
          <w:rFonts w:hint="cs"/>
          <w:noProof w:val="0"/>
          <w:sz w:val="26"/>
          <w:szCs w:val="26"/>
          <w:rtl/>
        </w:rPr>
        <w:t>0</w:t>
      </w:r>
      <w:r>
        <w:rPr>
          <w:noProof w:val="0"/>
          <w:sz w:val="26"/>
          <w:szCs w:val="26"/>
          <w:rtl/>
        </w:rPr>
        <w:t>.</w:t>
      </w:r>
      <w:r>
        <w:rPr>
          <w:noProof w:val="0"/>
          <w:sz w:val="26"/>
          <w:szCs w:val="26"/>
          <w:rtl/>
        </w:rPr>
        <w:tab/>
        <w:t>תחילה, אני רואה לייחס משקל לכך, ש</w:t>
      </w:r>
      <w:r>
        <w:rPr>
          <w:b/>
          <w:bCs/>
          <w:noProof w:val="0"/>
          <w:sz w:val="26"/>
          <w:szCs w:val="26"/>
          <w:rtl/>
        </w:rPr>
        <w:t xml:space="preserve">חלקו של הנאשם בביצוע העבירה </w:t>
      </w:r>
      <w:r>
        <w:rPr>
          <w:noProof w:val="0"/>
          <w:sz w:val="26"/>
          <w:szCs w:val="26"/>
          <w:rtl/>
        </w:rPr>
        <w:t>(</w:t>
      </w:r>
      <w:hyperlink r:id="rId42" w:history="1">
        <w:r w:rsidR="00B96AB4" w:rsidRPr="00B96AB4">
          <w:rPr>
            <w:rStyle w:val="Hyperlink"/>
            <w:noProof w:val="0"/>
            <w:sz w:val="26"/>
            <w:szCs w:val="26"/>
            <w:rtl/>
          </w:rPr>
          <w:t>סעיף 40ט(א)(2)</w:t>
        </w:r>
      </w:hyperlink>
      <w:r>
        <w:rPr>
          <w:noProof w:val="0"/>
          <w:sz w:val="26"/>
          <w:szCs w:val="26"/>
          <w:rtl/>
        </w:rPr>
        <w:t xml:space="preserve"> לחוק) התמצא בשינוע המטען ממקום למקום, ולא מיוחס לנאשם, כי נטל חלק במהלכים נוספים או כי ידע לאיזה תכלית נועד המטען. כל אלה, מפחיתים במידת מה מחומרת המעשה שביצע. יחד עם זאת, אין להתעלם מהאפשרות, שאלמלא היענותו של הנאשם למעשה, העברת המטען לא הייתה מתאפשרת, כמו גם מן העובדה, שברור לכל בר דעת, כי מטען חבלה לא נועד למטרות תמימות והוא עלול להגיע לידיים עברייניות ולפגוע באזרחים חפים מפשע. כפי שקבע כבוד השופט י' עמית ב</w:t>
      </w:r>
      <w:hyperlink r:id="rId43" w:history="1">
        <w:r w:rsidRPr="00294A69">
          <w:rPr>
            <w:noProof w:val="0"/>
            <w:color w:val="0000FF"/>
            <w:sz w:val="26"/>
            <w:szCs w:val="26"/>
            <w:u w:val="single"/>
            <w:rtl/>
          </w:rPr>
          <w:t>ע"פ 5779/14</w:t>
        </w:r>
      </w:hyperlink>
      <w:r>
        <w:rPr>
          <w:noProof w:val="0"/>
          <w:sz w:val="26"/>
          <w:szCs w:val="26"/>
          <w:rtl/>
        </w:rPr>
        <w:t xml:space="preserve"> </w:t>
      </w:r>
      <w:r>
        <w:rPr>
          <w:b/>
          <w:bCs/>
          <w:noProof w:val="0"/>
          <w:sz w:val="26"/>
          <w:szCs w:val="26"/>
          <w:rtl/>
        </w:rPr>
        <w:t>אלגזי נ' מדינת ישראל</w:t>
      </w:r>
      <w:r>
        <w:rPr>
          <w:noProof w:val="0"/>
          <w:sz w:val="26"/>
          <w:szCs w:val="26"/>
          <w:rtl/>
        </w:rPr>
        <w:t xml:space="preserve"> (ניתן ביום 5.2.15): </w:t>
      </w:r>
      <w:r>
        <w:rPr>
          <w:b/>
          <w:bCs/>
          <w:noProof w:val="0"/>
          <w:sz w:val="26"/>
          <w:szCs w:val="26"/>
          <w:rtl/>
        </w:rPr>
        <w:t>"ענייננו במטען חבלה, וגם אם המערער לא ידע על השימוש המדויק שאלירן ואפי התכוונו לעשות במטען, הרי שאין צורך בדמיון מפותח כדי להבין כי מטען החבלה לא נועד לצרכים תמימים. מטעני חבלה מתפוצצים ומסכנים עוברי אורח תמימים ברחובותינו, פגיעתם ברכוש ובנפש קשה והם מביאים להסלמת הפעילות העבריינית"</w:t>
      </w:r>
      <w:r>
        <w:rPr>
          <w:noProof w:val="0"/>
          <w:sz w:val="26"/>
          <w:szCs w:val="26"/>
          <w:rtl/>
        </w:rPr>
        <w:t xml:space="preserve"> (</w:t>
      </w:r>
      <w:r>
        <w:rPr>
          <w:b/>
          <w:bCs/>
          <w:noProof w:val="0"/>
          <w:sz w:val="26"/>
          <w:szCs w:val="26"/>
          <w:rtl/>
        </w:rPr>
        <w:t>שם</w:t>
      </w:r>
      <w:r>
        <w:rPr>
          <w:noProof w:val="0"/>
          <w:sz w:val="26"/>
          <w:szCs w:val="26"/>
          <w:rtl/>
        </w:rPr>
        <w:t>, בפסקה 3). מכאן, שאף אם כגרסתו של הנאשם, ה</w:t>
      </w:r>
      <w:r>
        <w:rPr>
          <w:b/>
          <w:bCs/>
          <w:noProof w:val="0"/>
          <w:sz w:val="26"/>
          <w:szCs w:val="26"/>
          <w:rtl/>
        </w:rPr>
        <w:t>סיבה שהביאה אותו לבצע את העבירה</w:t>
      </w:r>
      <w:r>
        <w:rPr>
          <w:noProof w:val="0"/>
          <w:sz w:val="26"/>
          <w:szCs w:val="26"/>
          <w:rtl/>
        </w:rPr>
        <w:t xml:space="preserve"> (</w:t>
      </w:r>
      <w:hyperlink r:id="rId44" w:history="1">
        <w:r w:rsidR="00B96AB4" w:rsidRPr="00B96AB4">
          <w:rPr>
            <w:rStyle w:val="Hyperlink"/>
            <w:noProof w:val="0"/>
            <w:sz w:val="26"/>
            <w:szCs w:val="26"/>
            <w:rtl/>
          </w:rPr>
          <w:t>סעיף 40ט(א)(5)</w:t>
        </w:r>
      </w:hyperlink>
      <w:r>
        <w:rPr>
          <w:noProof w:val="0"/>
          <w:sz w:val="26"/>
          <w:szCs w:val="26"/>
          <w:rtl/>
        </w:rPr>
        <w:t xml:space="preserve"> לחוק) הייתה רחמים ורצון לעזור לאדם, ולא בצע כסף</w:t>
      </w:r>
      <w:r>
        <w:rPr>
          <w:rFonts w:hint="cs"/>
          <w:noProof w:val="0"/>
          <w:sz w:val="26"/>
          <w:szCs w:val="26"/>
          <w:rtl/>
        </w:rPr>
        <w:t xml:space="preserve"> או כוונה לפגוע </w:t>
      </w:r>
      <w:r>
        <w:rPr>
          <w:noProof w:val="0"/>
          <w:sz w:val="26"/>
          <w:szCs w:val="26"/>
          <w:rtl/>
        </w:rPr>
        <w:t xml:space="preserve">, עדיין, אין להקל ראש בעצם הסכמתו של הנאשם להוביל מטען חבלה. </w:t>
      </w:r>
    </w:p>
    <w:p w14:paraId="527A4182" w14:textId="77777777" w:rsidR="00FB3661" w:rsidRDefault="00FB3661">
      <w:pPr>
        <w:spacing w:line="360" w:lineRule="auto"/>
        <w:jc w:val="both"/>
        <w:rPr>
          <w:noProof w:val="0"/>
          <w:sz w:val="26"/>
          <w:szCs w:val="26"/>
          <w:rtl/>
        </w:rPr>
      </w:pPr>
    </w:p>
    <w:p w14:paraId="372FEB53" w14:textId="77777777" w:rsidR="00FB3661" w:rsidRDefault="00294A69">
      <w:pPr>
        <w:spacing w:line="360" w:lineRule="auto"/>
        <w:jc w:val="both"/>
        <w:rPr>
          <w:noProof w:val="0"/>
          <w:sz w:val="26"/>
          <w:szCs w:val="26"/>
          <w:rtl/>
        </w:rPr>
      </w:pPr>
      <w:r>
        <w:rPr>
          <w:noProof w:val="0"/>
          <w:sz w:val="26"/>
          <w:szCs w:val="26"/>
          <w:rtl/>
        </w:rPr>
        <w:t>1</w:t>
      </w:r>
      <w:r>
        <w:rPr>
          <w:rFonts w:hint="cs"/>
          <w:noProof w:val="0"/>
          <w:sz w:val="26"/>
          <w:szCs w:val="26"/>
          <w:rtl/>
        </w:rPr>
        <w:t>1</w:t>
      </w:r>
      <w:r>
        <w:rPr>
          <w:noProof w:val="0"/>
          <w:sz w:val="26"/>
          <w:szCs w:val="26"/>
          <w:rtl/>
        </w:rPr>
        <w:t>.</w:t>
      </w:r>
      <w:r>
        <w:rPr>
          <w:noProof w:val="0"/>
          <w:sz w:val="26"/>
          <w:szCs w:val="26"/>
          <w:rtl/>
        </w:rPr>
        <w:tab/>
        <w:t xml:space="preserve">כאמור, </w:t>
      </w:r>
      <w:r>
        <w:rPr>
          <w:b/>
          <w:bCs/>
          <w:noProof w:val="0"/>
          <w:sz w:val="26"/>
          <w:szCs w:val="26"/>
          <w:rtl/>
        </w:rPr>
        <w:t>לא נגרם כל נזק מביצוע העבירה</w:t>
      </w:r>
      <w:r>
        <w:rPr>
          <w:noProof w:val="0"/>
          <w:sz w:val="26"/>
          <w:szCs w:val="26"/>
          <w:rtl/>
        </w:rPr>
        <w:t xml:space="preserve"> (</w:t>
      </w:r>
      <w:hyperlink r:id="rId45" w:history="1">
        <w:r w:rsidR="00B96AB4" w:rsidRPr="00B96AB4">
          <w:rPr>
            <w:rStyle w:val="Hyperlink"/>
            <w:noProof w:val="0"/>
            <w:sz w:val="26"/>
            <w:szCs w:val="26"/>
            <w:rtl/>
          </w:rPr>
          <w:t>סעיף 40ט(א)(3)</w:t>
        </w:r>
      </w:hyperlink>
      <w:r>
        <w:rPr>
          <w:noProof w:val="0"/>
          <w:sz w:val="26"/>
          <w:szCs w:val="26"/>
          <w:rtl/>
        </w:rPr>
        <w:t xml:space="preserve"> לחוק) וכך גם בבדיקת מרכיבי מטען החבלה נמצא, כי המטען לא יכול היה להתפוצץ כמות שהוא. ברם, אין להסיק מכך בהכרח, כי </w:t>
      </w:r>
      <w:r>
        <w:rPr>
          <w:b/>
          <w:bCs/>
          <w:noProof w:val="0"/>
          <w:sz w:val="26"/>
          <w:szCs w:val="26"/>
          <w:rtl/>
        </w:rPr>
        <w:t>לא היה צפוי להיגרם נזק מביצוע העבירה</w:t>
      </w:r>
      <w:r>
        <w:rPr>
          <w:noProof w:val="0"/>
          <w:sz w:val="26"/>
          <w:szCs w:val="26"/>
          <w:rtl/>
        </w:rPr>
        <w:t xml:space="preserve"> (</w:t>
      </w:r>
      <w:hyperlink r:id="rId46" w:history="1">
        <w:r w:rsidR="00B96AB4" w:rsidRPr="00B96AB4">
          <w:rPr>
            <w:rStyle w:val="Hyperlink"/>
            <w:noProof w:val="0"/>
            <w:sz w:val="26"/>
            <w:szCs w:val="26"/>
            <w:rtl/>
          </w:rPr>
          <w:t>סעיף 40ט(א)(4)</w:t>
        </w:r>
      </w:hyperlink>
      <w:r>
        <w:rPr>
          <w:noProof w:val="0"/>
          <w:sz w:val="26"/>
          <w:szCs w:val="26"/>
          <w:rtl/>
        </w:rPr>
        <w:t xml:space="preserve"> לחוק). זאת בשים לב לעובדה, ש</w:t>
      </w:r>
      <w:r>
        <w:rPr>
          <w:b/>
          <w:bCs/>
          <w:noProof w:val="0"/>
          <w:sz w:val="26"/>
          <w:szCs w:val="26"/>
          <w:rtl/>
        </w:rPr>
        <w:t>"כאשר כל מרכיביו תקינים ומחוברים כהלכה"</w:t>
      </w:r>
      <w:r>
        <w:rPr>
          <w:noProof w:val="0"/>
          <w:sz w:val="26"/>
          <w:szCs w:val="26"/>
          <w:rtl/>
        </w:rPr>
        <w:t>, היה בכוחו של המטען הספציפי להמית אדם בעת התפוצצותו (בסעיף 4א לכתב האישום), ומכאן, שלא מן הנמנע, שהתקלה הייתה מתבררת מבעוד מועד וניתן היה להביא את המטען לכלל פעולה.</w:t>
      </w:r>
    </w:p>
    <w:p w14:paraId="4463937D" w14:textId="77777777" w:rsidR="00FB3661" w:rsidRDefault="00FB3661">
      <w:pPr>
        <w:spacing w:line="360" w:lineRule="auto"/>
        <w:jc w:val="both"/>
        <w:rPr>
          <w:noProof w:val="0"/>
          <w:sz w:val="26"/>
          <w:szCs w:val="26"/>
          <w:rtl/>
        </w:rPr>
      </w:pPr>
    </w:p>
    <w:p w14:paraId="3B1DEF10" w14:textId="77777777" w:rsidR="00FB3661" w:rsidRDefault="00294A69">
      <w:pPr>
        <w:spacing w:line="360" w:lineRule="auto"/>
        <w:jc w:val="both"/>
        <w:rPr>
          <w:noProof w:val="0"/>
          <w:sz w:val="26"/>
          <w:szCs w:val="26"/>
          <w:u w:val="single"/>
          <w:rtl/>
        </w:rPr>
      </w:pPr>
      <w:r>
        <w:rPr>
          <w:noProof w:val="0"/>
          <w:sz w:val="26"/>
          <w:szCs w:val="26"/>
          <w:u w:val="single"/>
          <w:rtl/>
        </w:rPr>
        <w:t>מתחם הענישה ההולם</w:t>
      </w:r>
    </w:p>
    <w:p w14:paraId="06690BB0" w14:textId="77777777" w:rsidR="00FB3661" w:rsidRDefault="00294A69">
      <w:pPr>
        <w:spacing w:line="360" w:lineRule="auto"/>
        <w:jc w:val="both"/>
        <w:rPr>
          <w:noProof w:val="0"/>
          <w:sz w:val="26"/>
          <w:szCs w:val="26"/>
          <w:rtl/>
        </w:rPr>
      </w:pPr>
      <w:r>
        <w:rPr>
          <w:noProof w:val="0"/>
          <w:sz w:val="26"/>
          <w:szCs w:val="26"/>
          <w:rtl/>
        </w:rPr>
        <w:t>1</w:t>
      </w:r>
      <w:r>
        <w:rPr>
          <w:rFonts w:hint="cs"/>
          <w:noProof w:val="0"/>
          <w:sz w:val="26"/>
          <w:szCs w:val="26"/>
          <w:rtl/>
        </w:rPr>
        <w:t>2</w:t>
      </w:r>
      <w:r>
        <w:rPr>
          <w:noProof w:val="0"/>
          <w:sz w:val="26"/>
          <w:szCs w:val="26"/>
          <w:rtl/>
        </w:rPr>
        <w:t>.</w:t>
      </w:r>
      <w:r>
        <w:rPr>
          <w:noProof w:val="0"/>
          <w:sz w:val="26"/>
          <w:szCs w:val="26"/>
          <w:rtl/>
        </w:rPr>
        <w:tab/>
        <w:t>כאמור, ב"כ המאשימה ביקש לקבוע מתחם ענישה של שנתיים עד ארבע שנות מאסר בפועל ולמקם את הנאשם בשליש התחתון של המתחם. ב"כ הנאשם, לעומת</w:t>
      </w:r>
      <w:r>
        <w:rPr>
          <w:rFonts w:hint="cs"/>
          <w:noProof w:val="0"/>
          <w:sz w:val="26"/>
          <w:szCs w:val="26"/>
          <w:rtl/>
        </w:rPr>
        <w:t>ו</w:t>
      </w:r>
      <w:r>
        <w:rPr>
          <w:noProof w:val="0"/>
          <w:sz w:val="26"/>
          <w:szCs w:val="26"/>
          <w:rtl/>
        </w:rPr>
        <w:t>, ביקש לקבוע מתחם שנע בין עבודות שירות לשנת מאסר. בשים לב לכל הפרמטרים שמניתי לעיל, אני מוצא לקבוע מתחם שנע בין 12 חודשי מאסר עד ל-36 חודשי מאסר בפועל.</w:t>
      </w:r>
    </w:p>
    <w:p w14:paraId="06F20E5F" w14:textId="77777777" w:rsidR="00FB3661" w:rsidRDefault="00FB3661">
      <w:pPr>
        <w:spacing w:line="360" w:lineRule="auto"/>
        <w:jc w:val="both"/>
        <w:rPr>
          <w:noProof w:val="0"/>
          <w:sz w:val="26"/>
          <w:szCs w:val="26"/>
          <w:rtl/>
        </w:rPr>
      </w:pPr>
    </w:p>
    <w:p w14:paraId="0F1E052B" w14:textId="77777777" w:rsidR="00FB3661" w:rsidRDefault="00294A69">
      <w:pPr>
        <w:spacing w:line="360" w:lineRule="auto"/>
        <w:jc w:val="both"/>
        <w:rPr>
          <w:noProof w:val="0"/>
          <w:sz w:val="26"/>
          <w:szCs w:val="26"/>
          <w:u w:val="single"/>
          <w:rtl/>
        </w:rPr>
      </w:pPr>
      <w:r>
        <w:rPr>
          <w:noProof w:val="0"/>
          <w:sz w:val="26"/>
          <w:szCs w:val="26"/>
          <w:u w:val="single"/>
          <w:rtl/>
        </w:rPr>
        <w:t>האם מתקיימות נסיבות המצדיקות חריגה ממתחם הענישה (</w:t>
      </w:r>
      <w:hyperlink r:id="rId47" w:history="1">
        <w:r w:rsidR="00B96AB4" w:rsidRPr="00B96AB4">
          <w:rPr>
            <w:rStyle w:val="Hyperlink"/>
            <w:noProof w:val="0"/>
            <w:sz w:val="26"/>
            <w:szCs w:val="26"/>
            <w:rtl/>
          </w:rPr>
          <w:t>סעיף 40ד-ה</w:t>
        </w:r>
      </w:hyperlink>
      <w:r>
        <w:rPr>
          <w:noProof w:val="0"/>
          <w:sz w:val="26"/>
          <w:szCs w:val="26"/>
          <w:u w:val="single"/>
          <w:rtl/>
        </w:rPr>
        <w:t xml:space="preserve"> לחוק)?</w:t>
      </w:r>
    </w:p>
    <w:p w14:paraId="0DB8EE02" w14:textId="77777777" w:rsidR="00FB3661" w:rsidRDefault="00294A69">
      <w:pPr>
        <w:spacing w:line="360" w:lineRule="auto"/>
        <w:jc w:val="both"/>
        <w:rPr>
          <w:noProof w:val="0"/>
          <w:sz w:val="26"/>
          <w:szCs w:val="26"/>
          <w:rtl/>
        </w:rPr>
      </w:pPr>
      <w:r>
        <w:rPr>
          <w:noProof w:val="0"/>
          <w:sz w:val="26"/>
          <w:szCs w:val="26"/>
          <w:rtl/>
        </w:rPr>
        <w:t>1</w:t>
      </w:r>
      <w:r>
        <w:rPr>
          <w:rFonts w:hint="cs"/>
          <w:noProof w:val="0"/>
          <w:sz w:val="26"/>
          <w:szCs w:val="26"/>
          <w:rtl/>
        </w:rPr>
        <w:t>3</w:t>
      </w:r>
      <w:r>
        <w:rPr>
          <w:noProof w:val="0"/>
          <w:sz w:val="26"/>
          <w:szCs w:val="26"/>
          <w:rtl/>
        </w:rPr>
        <w:t>.</w:t>
      </w:r>
      <w:r>
        <w:rPr>
          <w:noProof w:val="0"/>
          <w:sz w:val="26"/>
          <w:szCs w:val="26"/>
          <w:rtl/>
        </w:rPr>
        <w:tab/>
        <w:t xml:space="preserve">בנסיבות המקרה, לא מצאתי, כי מתקיימים החריגים המאפשרים חריגה ממתחם העונש: שיקולי שיקום והגנה על הציבור, כאמור </w:t>
      </w:r>
      <w:hyperlink r:id="rId48" w:history="1">
        <w:r w:rsidR="00B96AB4" w:rsidRPr="00B96AB4">
          <w:rPr>
            <w:rStyle w:val="Hyperlink"/>
            <w:noProof w:val="0"/>
            <w:sz w:val="26"/>
            <w:szCs w:val="26"/>
            <w:rtl/>
          </w:rPr>
          <w:t>בסעיף 40ד</w:t>
        </w:r>
      </w:hyperlink>
      <w:r>
        <w:rPr>
          <w:noProof w:val="0"/>
          <w:sz w:val="26"/>
          <w:szCs w:val="26"/>
          <w:rtl/>
        </w:rPr>
        <w:t xml:space="preserve"> ו-</w:t>
      </w:r>
      <w:hyperlink r:id="rId49" w:history="1">
        <w:r w:rsidR="00B96AB4" w:rsidRPr="00B96AB4">
          <w:rPr>
            <w:rStyle w:val="Hyperlink"/>
            <w:noProof w:val="0"/>
            <w:sz w:val="26"/>
            <w:szCs w:val="26"/>
            <w:rtl/>
          </w:rPr>
          <w:t>40ה</w:t>
        </w:r>
      </w:hyperlink>
      <w:r>
        <w:rPr>
          <w:noProof w:val="0"/>
          <w:sz w:val="26"/>
          <w:szCs w:val="26"/>
          <w:rtl/>
        </w:rPr>
        <w:t xml:space="preserve"> לחוק. </w:t>
      </w:r>
    </w:p>
    <w:p w14:paraId="0A8F7CBA" w14:textId="77777777" w:rsidR="00FB3661" w:rsidRDefault="00FB3661">
      <w:pPr>
        <w:spacing w:line="360" w:lineRule="auto"/>
        <w:jc w:val="both"/>
        <w:rPr>
          <w:noProof w:val="0"/>
          <w:sz w:val="26"/>
          <w:szCs w:val="26"/>
          <w:rtl/>
        </w:rPr>
      </w:pPr>
    </w:p>
    <w:p w14:paraId="3DB08F50" w14:textId="77777777" w:rsidR="00FB3661" w:rsidRDefault="00294A69">
      <w:pPr>
        <w:spacing w:line="360" w:lineRule="auto"/>
        <w:jc w:val="both"/>
        <w:rPr>
          <w:noProof w:val="0"/>
          <w:sz w:val="26"/>
          <w:szCs w:val="26"/>
          <w:u w:val="single"/>
          <w:rtl/>
        </w:rPr>
      </w:pPr>
      <w:r>
        <w:rPr>
          <w:noProof w:val="0"/>
          <w:sz w:val="26"/>
          <w:szCs w:val="26"/>
          <w:u w:val="single"/>
          <w:rtl/>
        </w:rPr>
        <w:t>נסיבות שאינן קשורות בביצוע העבירה (</w:t>
      </w:r>
      <w:hyperlink r:id="rId50" w:history="1">
        <w:r w:rsidR="00B96AB4" w:rsidRPr="00B96AB4">
          <w:rPr>
            <w:rStyle w:val="Hyperlink"/>
            <w:noProof w:val="0"/>
            <w:sz w:val="26"/>
            <w:szCs w:val="26"/>
            <w:rtl/>
          </w:rPr>
          <w:t>סעיף 40יא</w:t>
        </w:r>
      </w:hyperlink>
      <w:r>
        <w:rPr>
          <w:noProof w:val="0"/>
          <w:sz w:val="26"/>
          <w:szCs w:val="26"/>
          <w:u w:val="single"/>
          <w:rtl/>
        </w:rPr>
        <w:t xml:space="preserve"> לחוק)</w:t>
      </w:r>
    </w:p>
    <w:p w14:paraId="3976BC31" w14:textId="77777777" w:rsidR="00FB3661" w:rsidRDefault="00294A69">
      <w:pPr>
        <w:spacing w:line="360" w:lineRule="auto"/>
        <w:jc w:val="both"/>
        <w:rPr>
          <w:noProof w:val="0"/>
          <w:sz w:val="26"/>
          <w:szCs w:val="26"/>
          <w:rtl/>
        </w:rPr>
      </w:pPr>
      <w:r>
        <w:rPr>
          <w:noProof w:val="0"/>
          <w:sz w:val="26"/>
          <w:szCs w:val="26"/>
          <w:rtl/>
        </w:rPr>
        <w:t>1</w:t>
      </w:r>
      <w:r>
        <w:rPr>
          <w:rFonts w:hint="cs"/>
          <w:noProof w:val="0"/>
          <w:sz w:val="26"/>
          <w:szCs w:val="26"/>
          <w:rtl/>
        </w:rPr>
        <w:t>4</w:t>
      </w:r>
      <w:r>
        <w:rPr>
          <w:noProof w:val="0"/>
          <w:sz w:val="26"/>
          <w:szCs w:val="26"/>
          <w:rtl/>
        </w:rPr>
        <w:t>.</w:t>
      </w:r>
      <w:r>
        <w:rPr>
          <w:noProof w:val="0"/>
          <w:sz w:val="26"/>
          <w:szCs w:val="26"/>
          <w:rtl/>
        </w:rPr>
        <w:tab/>
        <w:t>הנאשם בן 40, נשוי ואב לארבעה ילדים (בני 15.5, 11, 9.5 ו-1.8). בהתייחסו ל</w:t>
      </w:r>
      <w:r>
        <w:rPr>
          <w:b/>
          <w:bCs/>
          <w:noProof w:val="0"/>
          <w:sz w:val="26"/>
          <w:szCs w:val="26"/>
          <w:rtl/>
        </w:rPr>
        <w:t xml:space="preserve">פגיעה של העונש בנאשם </w:t>
      </w:r>
      <w:r>
        <w:rPr>
          <w:noProof w:val="0"/>
          <w:sz w:val="26"/>
          <w:szCs w:val="26"/>
          <w:rtl/>
        </w:rPr>
        <w:t>(</w:t>
      </w:r>
      <w:hyperlink r:id="rId51" w:history="1">
        <w:r w:rsidR="00B96AB4" w:rsidRPr="00B96AB4">
          <w:rPr>
            <w:rStyle w:val="Hyperlink"/>
            <w:noProof w:val="0"/>
            <w:sz w:val="26"/>
            <w:szCs w:val="26"/>
            <w:rtl/>
          </w:rPr>
          <w:t>בסעיף 40יא(1)</w:t>
        </w:r>
      </w:hyperlink>
      <w:r>
        <w:rPr>
          <w:noProof w:val="0"/>
          <w:sz w:val="26"/>
          <w:szCs w:val="26"/>
          <w:rtl/>
        </w:rPr>
        <w:t xml:space="preserve"> לחוק), ביקש בא כוחו להימנע מהטלת ענישה אשר תפגע בדימוי העצמי של הנאשם וביכולתו להשתלב בחזרה בחברה. הוא טען, כי ענישה משמעותית </w:t>
      </w:r>
      <w:r>
        <w:rPr>
          <w:b/>
          <w:bCs/>
          <w:noProof w:val="0"/>
          <w:sz w:val="26"/>
          <w:szCs w:val="26"/>
          <w:rtl/>
        </w:rPr>
        <w:t xml:space="preserve">תפגע במצבה הכלכלי של משפחתו </w:t>
      </w:r>
      <w:r>
        <w:rPr>
          <w:noProof w:val="0"/>
          <w:sz w:val="26"/>
          <w:szCs w:val="26"/>
          <w:rtl/>
        </w:rPr>
        <w:t>של הנאשם (</w:t>
      </w:r>
      <w:hyperlink r:id="rId52" w:history="1">
        <w:r w:rsidR="00B96AB4" w:rsidRPr="00B96AB4">
          <w:rPr>
            <w:rStyle w:val="Hyperlink"/>
            <w:noProof w:val="0"/>
            <w:sz w:val="26"/>
            <w:szCs w:val="26"/>
            <w:rtl/>
          </w:rPr>
          <w:t>בסעיף 40יא(2)</w:t>
        </w:r>
      </w:hyperlink>
      <w:r>
        <w:rPr>
          <w:noProof w:val="0"/>
          <w:sz w:val="26"/>
          <w:szCs w:val="26"/>
          <w:rtl/>
        </w:rPr>
        <w:t xml:space="preserve"> לחוק) והוסיף אודות </w:t>
      </w:r>
      <w:r>
        <w:rPr>
          <w:b/>
          <w:bCs/>
          <w:noProof w:val="0"/>
          <w:sz w:val="26"/>
          <w:szCs w:val="26"/>
          <w:rtl/>
        </w:rPr>
        <w:t>הנזק שנגרם לנאשם מביצוע העבירה ומהרשעתו</w:t>
      </w:r>
      <w:r>
        <w:rPr>
          <w:noProof w:val="0"/>
          <w:sz w:val="26"/>
          <w:szCs w:val="26"/>
          <w:rtl/>
        </w:rPr>
        <w:t xml:space="preserve"> (</w:t>
      </w:r>
      <w:hyperlink r:id="rId53" w:history="1">
        <w:r w:rsidR="00B96AB4" w:rsidRPr="00B96AB4">
          <w:rPr>
            <w:rStyle w:val="Hyperlink"/>
            <w:noProof w:val="0"/>
            <w:sz w:val="26"/>
            <w:szCs w:val="26"/>
            <w:rtl/>
          </w:rPr>
          <w:t>בסעיף 40יא(3)</w:t>
        </w:r>
      </w:hyperlink>
      <w:r>
        <w:rPr>
          <w:noProof w:val="0"/>
          <w:sz w:val="26"/>
          <w:szCs w:val="26"/>
          <w:rtl/>
        </w:rPr>
        <w:t xml:space="preserve"> לחוק), כי העסק של הנאשם נמצא על סף התמוטטות והנאשם אף נאלץ למכור את המשק שלו. ואולם, טיבו של כל עונש, כי הוא פוגע בנאשם ובקרובים אליו, ולא התרשמתי, כי הפגיעה הצפויה הינה חריגה או יוצאת דופן בחומרתה. בצד זה, מוצא אני ליתן משקל לכך, שהנאשם מצוי במעצר מזה כחצי שנה, כמו גם לעובדה, שאין לנאשם </w:t>
      </w:r>
      <w:r>
        <w:rPr>
          <w:b/>
          <w:bCs/>
          <w:noProof w:val="0"/>
          <w:sz w:val="26"/>
          <w:szCs w:val="26"/>
          <w:rtl/>
        </w:rPr>
        <w:t>עבר פלילי</w:t>
      </w:r>
      <w:r>
        <w:rPr>
          <w:noProof w:val="0"/>
          <w:sz w:val="26"/>
          <w:szCs w:val="26"/>
          <w:rtl/>
        </w:rPr>
        <w:t xml:space="preserve"> (</w:t>
      </w:r>
      <w:hyperlink r:id="rId54" w:history="1">
        <w:r w:rsidR="00B96AB4" w:rsidRPr="00B96AB4">
          <w:rPr>
            <w:rStyle w:val="Hyperlink"/>
            <w:noProof w:val="0"/>
            <w:sz w:val="26"/>
            <w:szCs w:val="26"/>
            <w:rtl/>
          </w:rPr>
          <w:t>בסעיף 40יא(11)</w:t>
        </w:r>
      </w:hyperlink>
      <w:r>
        <w:rPr>
          <w:noProof w:val="0"/>
          <w:sz w:val="26"/>
          <w:szCs w:val="26"/>
          <w:rtl/>
        </w:rPr>
        <w:t xml:space="preserve"> לחוק) והוא </w:t>
      </w:r>
      <w:r>
        <w:rPr>
          <w:b/>
          <w:bCs/>
          <w:noProof w:val="0"/>
          <w:sz w:val="26"/>
          <w:szCs w:val="26"/>
          <w:rtl/>
        </w:rPr>
        <w:t xml:space="preserve">נטל אחריות </w:t>
      </w:r>
      <w:r>
        <w:rPr>
          <w:noProof w:val="0"/>
          <w:sz w:val="26"/>
          <w:szCs w:val="26"/>
          <w:rtl/>
        </w:rPr>
        <w:t>על המעשה שביצע (</w:t>
      </w:r>
      <w:hyperlink r:id="rId55" w:history="1">
        <w:r w:rsidR="00B96AB4" w:rsidRPr="00B96AB4">
          <w:rPr>
            <w:rStyle w:val="Hyperlink"/>
            <w:noProof w:val="0"/>
            <w:sz w:val="26"/>
            <w:szCs w:val="26"/>
            <w:rtl/>
          </w:rPr>
          <w:t>בסעיף יא(4)</w:t>
        </w:r>
      </w:hyperlink>
      <w:r>
        <w:rPr>
          <w:noProof w:val="0"/>
          <w:sz w:val="26"/>
          <w:szCs w:val="26"/>
          <w:rtl/>
        </w:rPr>
        <w:t xml:space="preserve"> לחוק) ו</w:t>
      </w:r>
      <w:r>
        <w:rPr>
          <w:b/>
          <w:bCs/>
          <w:noProof w:val="0"/>
          <w:sz w:val="26"/>
          <w:szCs w:val="26"/>
          <w:rtl/>
        </w:rPr>
        <w:t>הביע צער וחרטה</w:t>
      </w:r>
      <w:r>
        <w:rPr>
          <w:noProof w:val="0"/>
          <w:sz w:val="26"/>
          <w:szCs w:val="26"/>
          <w:rtl/>
        </w:rPr>
        <w:t xml:space="preserve"> </w:t>
      </w:r>
      <w:r>
        <w:rPr>
          <w:b/>
          <w:bCs/>
          <w:noProof w:val="0"/>
          <w:sz w:val="26"/>
          <w:szCs w:val="26"/>
          <w:rtl/>
        </w:rPr>
        <w:t>על מעשיו</w:t>
      </w:r>
      <w:r>
        <w:rPr>
          <w:noProof w:val="0"/>
          <w:sz w:val="26"/>
          <w:szCs w:val="26"/>
          <w:rtl/>
        </w:rPr>
        <w:t xml:space="preserve"> (</w:t>
      </w:r>
      <w:hyperlink r:id="rId56" w:history="1">
        <w:r w:rsidR="00B96AB4" w:rsidRPr="00B96AB4">
          <w:rPr>
            <w:rStyle w:val="Hyperlink"/>
            <w:noProof w:val="0"/>
            <w:sz w:val="26"/>
            <w:szCs w:val="26"/>
            <w:rtl/>
          </w:rPr>
          <w:t>בסעיף 40יא(6)</w:t>
        </w:r>
      </w:hyperlink>
      <w:r>
        <w:rPr>
          <w:noProof w:val="0"/>
          <w:sz w:val="26"/>
          <w:szCs w:val="26"/>
          <w:rtl/>
        </w:rPr>
        <w:t xml:space="preserve"> לחוק). </w:t>
      </w:r>
    </w:p>
    <w:p w14:paraId="1B1E6C42" w14:textId="77777777" w:rsidR="00FB3661" w:rsidRDefault="00FB3661">
      <w:pPr>
        <w:spacing w:line="360" w:lineRule="auto"/>
        <w:jc w:val="both"/>
        <w:rPr>
          <w:noProof w:val="0"/>
          <w:sz w:val="26"/>
          <w:szCs w:val="26"/>
          <w:rtl/>
        </w:rPr>
      </w:pPr>
    </w:p>
    <w:p w14:paraId="792BEC40" w14:textId="77777777" w:rsidR="00FB3661" w:rsidRDefault="00294A69">
      <w:pPr>
        <w:spacing w:line="360" w:lineRule="auto"/>
        <w:jc w:val="both"/>
        <w:rPr>
          <w:noProof w:val="0"/>
          <w:sz w:val="26"/>
          <w:szCs w:val="26"/>
          <w:u w:val="single"/>
          <w:rtl/>
        </w:rPr>
      </w:pPr>
      <w:r>
        <w:rPr>
          <w:noProof w:val="0"/>
          <w:sz w:val="26"/>
          <w:szCs w:val="26"/>
          <w:u w:val="single"/>
          <w:rtl/>
        </w:rPr>
        <w:t>גזירת העונש</w:t>
      </w:r>
    </w:p>
    <w:p w14:paraId="25135002" w14:textId="77777777" w:rsidR="00FB3661" w:rsidRDefault="00294A69">
      <w:pPr>
        <w:spacing w:line="360" w:lineRule="auto"/>
        <w:jc w:val="both"/>
        <w:rPr>
          <w:rFonts w:cs="FrankRuehl"/>
          <w:noProof w:val="0"/>
          <w:sz w:val="28"/>
          <w:szCs w:val="28"/>
          <w:rtl/>
        </w:rPr>
      </w:pPr>
      <w:r>
        <w:rPr>
          <w:noProof w:val="0"/>
          <w:sz w:val="26"/>
          <w:szCs w:val="26"/>
          <w:rtl/>
        </w:rPr>
        <w:t>1</w:t>
      </w:r>
      <w:r>
        <w:rPr>
          <w:rFonts w:hint="cs"/>
          <w:noProof w:val="0"/>
          <w:sz w:val="26"/>
          <w:szCs w:val="26"/>
          <w:rtl/>
        </w:rPr>
        <w:t>5</w:t>
      </w:r>
      <w:r>
        <w:rPr>
          <w:noProof w:val="0"/>
          <w:sz w:val="26"/>
          <w:szCs w:val="26"/>
          <w:rtl/>
        </w:rPr>
        <w:t>.</w:t>
      </w:r>
      <w:r>
        <w:rPr>
          <w:noProof w:val="0"/>
          <w:sz w:val="26"/>
          <w:szCs w:val="26"/>
          <w:rtl/>
        </w:rPr>
        <w:tab/>
        <w:t>אשר על כן, לאחר שנתתי את דעתי למכלול השיקולים, ובמיוחד לסוג הנשק אותו הוביל הנאשם, שהינו בעל פוטנציאל סיכון גבוה ביחס לנשקים אחרים, ובשים לב למצוותו של בית המשפט העליון להעביר מסר ברור לכל מי ששוקל לבצע עבירות נשק – אני מוצא להעניק בגזירת הדין משקל רב יותר לאינטרס של ביטחון הציבור, על פני הפגיעה בחירותו של המשיב, ולהטיל על הנאשם עונש מאסר, כחלק מהמלחמה בעבירות בנשק. בצד האמור, בהינתן ש</w:t>
      </w:r>
      <w:r>
        <w:rPr>
          <w:rFonts w:hint="cs"/>
          <w:noProof w:val="0"/>
          <w:sz w:val="26"/>
          <w:szCs w:val="26"/>
          <w:rtl/>
        </w:rPr>
        <w:t>ה</w:t>
      </w:r>
      <w:r>
        <w:rPr>
          <w:noProof w:val="0"/>
          <w:sz w:val="26"/>
          <w:szCs w:val="26"/>
          <w:rtl/>
        </w:rPr>
        <w:t xml:space="preserve">רכב ששימש להובלת המטען </w:t>
      </w:r>
      <w:r>
        <w:rPr>
          <w:rFonts w:hint="cs"/>
          <w:noProof w:val="0"/>
          <w:sz w:val="26"/>
          <w:szCs w:val="26"/>
          <w:rtl/>
        </w:rPr>
        <w:t xml:space="preserve">אינו רשום על שמו של הנאשם </w:t>
      </w:r>
      <w:r>
        <w:rPr>
          <w:noProof w:val="0"/>
          <w:sz w:val="26"/>
          <w:szCs w:val="26"/>
          <w:rtl/>
        </w:rPr>
        <w:t>ו</w:t>
      </w:r>
      <w:r>
        <w:rPr>
          <w:rFonts w:hint="cs"/>
          <w:noProof w:val="0"/>
          <w:sz w:val="26"/>
          <w:szCs w:val="26"/>
          <w:rtl/>
        </w:rPr>
        <w:t xml:space="preserve">גם </w:t>
      </w:r>
      <w:r>
        <w:rPr>
          <w:noProof w:val="0"/>
          <w:sz w:val="26"/>
          <w:szCs w:val="26"/>
          <w:rtl/>
        </w:rPr>
        <w:t>רובץ על</w:t>
      </w:r>
      <w:r>
        <w:rPr>
          <w:rFonts w:hint="cs"/>
          <w:noProof w:val="0"/>
          <w:sz w:val="26"/>
          <w:szCs w:val="26"/>
          <w:rtl/>
        </w:rPr>
        <w:t xml:space="preserve"> הרכב</w:t>
      </w:r>
      <w:r>
        <w:rPr>
          <w:noProof w:val="0"/>
          <w:sz w:val="26"/>
          <w:szCs w:val="26"/>
          <w:rtl/>
        </w:rPr>
        <w:t xml:space="preserve"> חוב</w:t>
      </w:r>
      <w:r>
        <w:rPr>
          <w:rFonts w:hint="cs"/>
          <w:noProof w:val="0"/>
          <w:sz w:val="26"/>
          <w:szCs w:val="26"/>
          <w:rtl/>
        </w:rPr>
        <w:t xml:space="preserve"> לבנק הפועלים, אשר משולם בהחזר חודשי של 2,896 ₪, </w:t>
      </w:r>
      <w:r>
        <w:rPr>
          <w:noProof w:val="0"/>
          <w:sz w:val="26"/>
          <w:szCs w:val="26"/>
          <w:rtl/>
        </w:rPr>
        <w:t>לא מצאתי להורות על חילוט</w:t>
      </w:r>
      <w:r>
        <w:rPr>
          <w:rFonts w:hint="cs"/>
          <w:noProof w:val="0"/>
          <w:sz w:val="26"/>
          <w:szCs w:val="26"/>
          <w:rtl/>
        </w:rPr>
        <w:t>ו</w:t>
      </w:r>
      <w:r>
        <w:rPr>
          <w:noProof w:val="0"/>
          <w:sz w:val="26"/>
          <w:szCs w:val="26"/>
          <w:rtl/>
        </w:rPr>
        <w:t xml:space="preserve">.  </w:t>
      </w:r>
    </w:p>
    <w:p w14:paraId="70F120D5" w14:textId="77777777" w:rsidR="00FB3661" w:rsidRDefault="00FB3661">
      <w:pPr>
        <w:spacing w:line="360" w:lineRule="auto"/>
        <w:jc w:val="both"/>
        <w:rPr>
          <w:noProof w:val="0"/>
          <w:sz w:val="26"/>
          <w:szCs w:val="26"/>
          <w:rtl/>
        </w:rPr>
      </w:pPr>
    </w:p>
    <w:p w14:paraId="6D858FDA" w14:textId="77777777" w:rsidR="00FB3661" w:rsidRDefault="00294A69">
      <w:pPr>
        <w:spacing w:line="360" w:lineRule="auto"/>
        <w:jc w:val="both"/>
        <w:rPr>
          <w:b/>
          <w:bCs/>
          <w:noProof w:val="0"/>
          <w:sz w:val="26"/>
          <w:szCs w:val="26"/>
          <w:rtl/>
        </w:rPr>
      </w:pPr>
      <w:r>
        <w:rPr>
          <w:noProof w:val="0"/>
          <w:sz w:val="26"/>
          <w:szCs w:val="26"/>
          <w:rtl/>
        </w:rPr>
        <w:t xml:space="preserve">אשר על כן, </w:t>
      </w:r>
      <w:r>
        <w:rPr>
          <w:rFonts w:hint="cs"/>
          <w:noProof w:val="0"/>
          <w:sz w:val="26"/>
          <w:szCs w:val="26"/>
          <w:rtl/>
        </w:rPr>
        <w:t>אני מ</w:t>
      </w:r>
      <w:r>
        <w:rPr>
          <w:noProof w:val="0"/>
          <w:sz w:val="26"/>
          <w:szCs w:val="26"/>
          <w:rtl/>
        </w:rPr>
        <w:t>טיל על הנאשם את העונשים הבאים:</w:t>
      </w:r>
      <w:r>
        <w:rPr>
          <w:b/>
          <w:bCs/>
          <w:noProof w:val="0"/>
          <w:sz w:val="26"/>
          <w:szCs w:val="26"/>
          <w:rtl/>
        </w:rPr>
        <w:t xml:space="preserve"> </w:t>
      </w:r>
    </w:p>
    <w:p w14:paraId="37EC7D6E" w14:textId="77777777" w:rsidR="00FB3661" w:rsidRDefault="00FB3661">
      <w:pPr>
        <w:spacing w:line="360" w:lineRule="auto"/>
        <w:jc w:val="both"/>
        <w:rPr>
          <w:b/>
          <w:bCs/>
          <w:noProof w:val="0"/>
          <w:sz w:val="18"/>
          <w:szCs w:val="18"/>
          <w:rtl/>
        </w:rPr>
      </w:pPr>
    </w:p>
    <w:p w14:paraId="0694B9B5" w14:textId="77777777" w:rsidR="00FB3661" w:rsidRDefault="00294A69">
      <w:pPr>
        <w:spacing w:line="360" w:lineRule="auto"/>
        <w:ind w:left="1440" w:right="993" w:hanging="720"/>
        <w:jc w:val="both"/>
        <w:rPr>
          <w:noProof w:val="0"/>
          <w:sz w:val="26"/>
          <w:szCs w:val="26"/>
          <w:rtl/>
        </w:rPr>
      </w:pPr>
      <w:r>
        <w:rPr>
          <w:noProof w:val="0"/>
          <w:sz w:val="26"/>
          <w:szCs w:val="26"/>
          <w:rtl/>
        </w:rPr>
        <w:t>א.</w:t>
      </w:r>
      <w:r>
        <w:rPr>
          <w:noProof w:val="0"/>
          <w:sz w:val="26"/>
          <w:szCs w:val="26"/>
          <w:rtl/>
        </w:rPr>
        <w:tab/>
        <w:t xml:space="preserve">מאסר בפועל של </w:t>
      </w:r>
      <w:r>
        <w:rPr>
          <w:rFonts w:hint="cs"/>
          <w:noProof w:val="0"/>
          <w:sz w:val="26"/>
          <w:szCs w:val="26"/>
          <w:rtl/>
        </w:rPr>
        <w:t xml:space="preserve">16 </w:t>
      </w:r>
      <w:r>
        <w:rPr>
          <w:noProof w:val="0"/>
          <w:sz w:val="26"/>
          <w:szCs w:val="26"/>
          <w:rtl/>
        </w:rPr>
        <w:t xml:space="preserve">חודשים, </w:t>
      </w:r>
      <w:r>
        <w:rPr>
          <w:rFonts w:hint="cs"/>
          <w:noProof w:val="0"/>
          <w:sz w:val="26"/>
          <w:szCs w:val="26"/>
          <w:rtl/>
        </w:rPr>
        <w:t xml:space="preserve">החל מיום </w:t>
      </w:r>
      <w:r>
        <w:rPr>
          <w:noProof w:val="0"/>
          <w:sz w:val="26"/>
          <w:szCs w:val="26"/>
          <w:rtl/>
        </w:rPr>
        <w:t>מעצרו</w:t>
      </w:r>
      <w:r>
        <w:rPr>
          <w:rFonts w:hint="cs"/>
          <w:noProof w:val="0"/>
          <w:sz w:val="26"/>
          <w:szCs w:val="26"/>
          <w:rtl/>
        </w:rPr>
        <w:t xml:space="preserve"> (דהיינו, מיום </w:t>
      </w:r>
      <w:r>
        <w:rPr>
          <w:noProof w:val="0"/>
          <w:sz w:val="26"/>
          <w:szCs w:val="26"/>
          <w:rtl/>
        </w:rPr>
        <w:t xml:space="preserve"> 16.5.15</w:t>
      </w:r>
      <w:r>
        <w:rPr>
          <w:rFonts w:hint="cs"/>
          <w:noProof w:val="0"/>
          <w:sz w:val="26"/>
          <w:szCs w:val="26"/>
          <w:rtl/>
        </w:rPr>
        <w:t>)</w:t>
      </w:r>
      <w:r>
        <w:rPr>
          <w:noProof w:val="0"/>
          <w:sz w:val="26"/>
          <w:szCs w:val="26"/>
          <w:rtl/>
        </w:rPr>
        <w:t xml:space="preserve">.  </w:t>
      </w:r>
    </w:p>
    <w:p w14:paraId="12A518F1" w14:textId="77777777" w:rsidR="00FB3661" w:rsidRDefault="00FB3661">
      <w:pPr>
        <w:spacing w:line="360" w:lineRule="auto"/>
        <w:ind w:right="993" w:firstLine="720"/>
        <w:jc w:val="both"/>
        <w:rPr>
          <w:noProof w:val="0"/>
          <w:sz w:val="16"/>
          <w:szCs w:val="16"/>
          <w:rtl/>
        </w:rPr>
      </w:pPr>
    </w:p>
    <w:p w14:paraId="62BA9444" w14:textId="77777777" w:rsidR="00FB3661" w:rsidRDefault="00294A69">
      <w:pPr>
        <w:spacing w:line="360" w:lineRule="auto"/>
        <w:ind w:left="1440" w:right="993" w:hanging="720"/>
        <w:jc w:val="both"/>
        <w:rPr>
          <w:noProof w:val="0"/>
          <w:sz w:val="26"/>
          <w:szCs w:val="26"/>
          <w:rtl/>
        </w:rPr>
      </w:pPr>
      <w:r>
        <w:rPr>
          <w:noProof w:val="0"/>
          <w:sz w:val="26"/>
          <w:szCs w:val="26"/>
          <w:rtl/>
        </w:rPr>
        <w:t>ב.</w:t>
      </w:r>
      <w:r>
        <w:rPr>
          <w:noProof w:val="0"/>
          <w:sz w:val="26"/>
          <w:szCs w:val="26"/>
          <w:rtl/>
        </w:rPr>
        <w:tab/>
        <w:t xml:space="preserve">מאסר על תנאי למשך 12 חודש, ואולם, הנאשם לא </w:t>
      </w:r>
      <w:r>
        <w:rPr>
          <w:rFonts w:hint="cs"/>
          <w:noProof w:val="0"/>
          <w:sz w:val="26"/>
          <w:szCs w:val="26"/>
          <w:rtl/>
        </w:rPr>
        <w:t>י</w:t>
      </w:r>
      <w:r>
        <w:rPr>
          <w:noProof w:val="0"/>
          <w:sz w:val="26"/>
          <w:szCs w:val="26"/>
          <w:rtl/>
        </w:rPr>
        <w:t>ישא בעונש זה אלא אם כן יעבור תוך תקופה של שנתיים מיום שחרורו עבירה כלשהי בנשק ויורשע עליה.</w:t>
      </w:r>
    </w:p>
    <w:p w14:paraId="2AD6CFD1" w14:textId="77777777" w:rsidR="00FB3661" w:rsidRPr="00294A69" w:rsidRDefault="00294A69">
      <w:pPr>
        <w:spacing w:line="360" w:lineRule="auto"/>
        <w:ind w:left="1440" w:right="993" w:hanging="720"/>
        <w:jc w:val="both"/>
        <w:rPr>
          <w:noProof w:val="0"/>
          <w:color w:val="FFFFFF"/>
          <w:sz w:val="2"/>
          <w:szCs w:val="2"/>
          <w:rtl/>
        </w:rPr>
      </w:pPr>
      <w:r w:rsidRPr="00294A69">
        <w:rPr>
          <w:noProof w:val="0"/>
          <w:color w:val="FFFFFF"/>
          <w:sz w:val="2"/>
          <w:szCs w:val="2"/>
          <w:rtl/>
        </w:rPr>
        <w:t>5129371</w:t>
      </w:r>
    </w:p>
    <w:p w14:paraId="0DEF59F9" w14:textId="77777777" w:rsidR="00FB3661" w:rsidRDefault="00294A69">
      <w:pPr>
        <w:spacing w:line="360" w:lineRule="auto"/>
        <w:ind w:left="1440" w:right="993" w:hanging="720"/>
        <w:jc w:val="both"/>
        <w:rPr>
          <w:noProof w:val="0"/>
          <w:sz w:val="26"/>
          <w:szCs w:val="26"/>
          <w:rtl/>
        </w:rPr>
      </w:pPr>
      <w:r w:rsidRPr="00294A69">
        <w:rPr>
          <w:noProof w:val="0"/>
          <w:color w:val="FFFFFF"/>
          <w:sz w:val="2"/>
          <w:szCs w:val="2"/>
          <w:rtl/>
        </w:rPr>
        <w:t>54678313</w:t>
      </w:r>
      <w:r>
        <w:rPr>
          <w:noProof w:val="0"/>
          <w:sz w:val="26"/>
          <w:szCs w:val="26"/>
          <w:rtl/>
        </w:rPr>
        <w:t>ג.</w:t>
      </w:r>
      <w:r>
        <w:rPr>
          <w:noProof w:val="0"/>
          <w:sz w:val="26"/>
          <w:szCs w:val="26"/>
          <w:rtl/>
        </w:rPr>
        <w:tab/>
        <w:t>קנס בסך 3</w:t>
      </w:r>
      <w:r>
        <w:rPr>
          <w:rFonts w:hint="cs"/>
          <w:noProof w:val="0"/>
          <w:sz w:val="26"/>
          <w:szCs w:val="26"/>
          <w:rtl/>
        </w:rPr>
        <w:t>0</w:t>
      </w:r>
      <w:r>
        <w:rPr>
          <w:noProof w:val="0"/>
          <w:sz w:val="26"/>
          <w:szCs w:val="26"/>
          <w:rtl/>
        </w:rPr>
        <w:t xml:space="preserve">,000 ₪ או מאסר תחתיו למשך ששה חודשים. </w:t>
      </w:r>
    </w:p>
    <w:p w14:paraId="325B5F27" w14:textId="77777777" w:rsidR="00FB3661" w:rsidRDefault="00FB3661">
      <w:pPr>
        <w:spacing w:line="360" w:lineRule="auto"/>
        <w:ind w:left="720" w:hanging="720"/>
        <w:jc w:val="both"/>
        <w:rPr>
          <w:noProof w:val="0"/>
          <w:sz w:val="20"/>
          <w:szCs w:val="20"/>
          <w:rtl/>
        </w:rPr>
      </w:pPr>
    </w:p>
    <w:p w14:paraId="765E2FC2" w14:textId="77777777" w:rsidR="00FB3661" w:rsidRDefault="00294A69">
      <w:pPr>
        <w:spacing w:line="360" w:lineRule="auto"/>
        <w:jc w:val="both"/>
        <w:rPr>
          <w:noProof w:val="0"/>
          <w:sz w:val="26"/>
          <w:szCs w:val="26"/>
          <w:rtl/>
        </w:rPr>
      </w:pPr>
      <w:r>
        <w:rPr>
          <w:b/>
          <w:bCs/>
          <w:noProof w:val="0"/>
          <w:sz w:val="26"/>
          <w:szCs w:val="26"/>
          <w:rtl/>
        </w:rPr>
        <w:t>הצדדים רשאים לערער על פסק הדין בפני בית המשפט העליון תוך 45 יום מהיום</w:t>
      </w:r>
      <w:r>
        <w:rPr>
          <w:noProof w:val="0"/>
          <w:sz w:val="26"/>
          <w:szCs w:val="26"/>
          <w:rtl/>
        </w:rPr>
        <w:t xml:space="preserve">. </w:t>
      </w:r>
    </w:p>
    <w:p w14:paraId="165B2874" w14:textId="77777777" w:rsidR="00B96AB4" w:rsidRDefault="00B96AB4" w:rsidP="00B96AB4">
      <w:pPr>
        <w:spacing w:line="360" w:lineRule="auto"/>
        <w:rPr>
          <w:rFonts w:ascii="Arial" w:hAnsi="Arial" w:hint="cs"/>
          <w:noProof w:val="0"/>
          <w:rtl/>
        </w:rPr>
      </w:pPr>
    </w:p>
    <w:p w14:paraId="422BB119" w14:textId="77777777" w:rsidR="00FB3661" w:rsidRDefault="00294A69" w:rsidP="00B96AB4">
      <w:pPr>
        <w:spacing w:line="360" w:lineRule="auto"/>
      </w:pPr>
      <w:r>
        <w:rPr>
          <w:rFonts w:ascii="Arial" w:hAnsi="Arial"/>
          <w:noProof w:val="0"/>
          <w:rtl/>
        </w:rPr>
        <w:t xml:space="preserve">ניתן היום, ו' כסלו תשע"ו, 18 נובמבר 2015, במעמד הצדדים. </w:t>
      </w:r>
    </w:p>
    <w:p w14:paraId="2135E673" w14:textId="77777777" w:rsidR="00FB3661" w:rsidRPr="00B96AB4" w:rsidRDefault="00B96AB4">
      <w:pPr>
        <w:spacing w:line="360" w:lineRule="auto"/>
        <w:ind w:left="3600" w:firstLine="720"/>
        <w:jc w:val="center"/>
        <w:rPr>
          <w:rFonts w:ascii="Arial" w:hAnsi="Arial"/>
          <w:noProof w:val="0"/>
          <w:color w:val="FFFFFF"/>
          <w:sz w:val="2"/>
          <w:szCs w:val="2"/>
          <w:rtl/>
        </w:rPr>
      </w:pPr>
      <w:r w:rsidRPr="00B96AB4">
        <w:rPr>
          <w:rFonts w:ascii="Arial" w:hAnsi="Arial"/>
          <w:noProof w:val="0"/>
          <w:color w:val="FFFFFF"/>
          <w:sz w:val="2"/>
          <w:szCs w:val="2"/>
          <w:rtl/>
        </w:rPr>
        <w:t>5129371</w:t>
      </w:r>
    </w:p>
    <w:p w14:paraId="2BD67F81" w14:textId="77777777" w:rsidR="00294A69" w:rsidRPr="00B96AB4" w:rsidRDefault="00B96AB4" w:rsidP="00294A69">
      <w:pPr>
        <w:keepNext/>
        <w:rPr>
          <w:rFonts w:ascii="David" w:hAnsi="David" w:hint="cs"/>
          <w:color w:val="FFFFFF"/>
          <w:sz w:val="2"/>
          <w:szCs w:val="2"/>
          <w:rtl/>
        </w:rPr>
      </w:pPr>
      <w:r w:rsidRPr="00B96AB4">
        <w:rPr>
          <w:rFonts w:ascii="David" w:hAnsi="David"/>
          <w:color w:val="FFFFFF"/>
          <w:sz w:val="2"/>
          <w:szCs w:val="2"/>
          <w:rtl/>
        </w:rPr>
        <w:t>54678313</w:t>
      </w:r>
    </w:p>
    <w:p w14:paraId="5EE63467" w14:textId="77777777" w:rsidR="00294A69" w:rsidRPr="00294A69" w:rsidRDefault="00294A69" w:rsidP="00294A69">
      <w:pPr>
        <w:keepNext/>
        <w:rPr>
          <w:rFonts w:ascii="David" w:hAnsi="David"/>
          <w:color w:val="000000"/>
          <w:sz w:val="22"/>
          <w:szCs w:val="22"/>
          <w:rtl/>
        </w:rPr>
      </w:pPr>
      <w:r w:rsidRPr="00294A69">
        <w:rPr>
          <w:rFonts w:ascii="David" w:hAnsi="David"/>
          <w:color w:val="000000"/>
          <w:sz w:val="22"/>
          <w:szCs w:val="22"/>
          <w:rtl/>
        </w:rPr>
        <w:t>אמנון כהן 54678313</w:t>
      </w:r>
    </w:p>
    <w:p w14:paraId="40754AA1" w14:textId="77777777" w:rsidR="00294A69" w:rsidRDefault="00294A69" w:rsidP="00294A69">
      <w:r w:rsidRPr="00294A69">
        <w:rPr>
          <w:color w:val="000000"/>
          <w:rtl/>
        </w:rPr>
        <w:t>נוסח מסמך זה כפוף לשינויי ניסוח ועריכה</w:t>
      </w:r>
    </w:p>
    <w:p w14:paraId="6EBCDBF3" w14:textId="77777777" w:rsidR="00294A69" w:rsidRDefault="00294A69" w:rsidP="00294A69">
      <w:pPr>
        <w:rPr>
          <w:rtl/>
        </w:rPr>
      </w:pPr>
    </w:p>
    <w:p w14:paraId="5E4EF4D5" w14:textId="77777777" w:rsidR="00294A69" w:rsidRDefault="00294A69" w:rsidP="00294A69">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16137D74" w14:textId="77777777" w:rsidR="00B96AB4" w:rsidRPr="00B96AB4" w:rsidRDefault="00B96AB4" w:rsidP="00B96AB4">
      <w:pPr>
        <w:keepNext/>
        <w:rPr>
          <w:rFonts w:ascii="David" w:hAnsi="David" w:hint="cs"/>
          <w:color w:val="000000"/>
          <w:sz w:val="22"/>
          <w:szCs w:val="22"/>
          <w:rtl/>
        </w:rPr>
      </w:pPr>
    </w:p>
    <w:sectPr w:rsidR="00B96AB4" w:rsidRPr="00B96AB4" w:rsidSect="00B96AB4">
      <w:headerReference w:type="even" r:id="rId58"/>
      <w:headerReference w:type="default" r:id="rId59"/>
      <w:footerReference w:type="even" r:id="rId60"/>
      <w:footerReference w:type="default" r:id="rId61"/>
      <w:pgSz w:w="11907" w:h="16840" w:code="9"/>
      <w:pgMar w:top="1701" w:right="1701" w:bottom="1418"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0786B" w14:textId="77777777" w:rsidR="007E7925" w:rsidRDefault="007E7925">
      <w:r>
        <w:separator/>
      </w:r>
    </w:p>
  </w:endnote>
  <w:endnote w:type="continuationSeparator" w:id="0">
    <w:p w14:paraId="3F798E0F" w14:textId="77777777" w:rsidR="007E7925" w:rsidRDefault="007E7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B1DE0" w14:textId="77777777" w:rsidR="00886BF9" w:rsidRDefault="00886BF9" w:rsidP="00B96AB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FB5E18E" w14:textId="77777777" w:rsidR="00886BF9" w:rsidRPr="00B96AB4" w:rsidRDefault="00886BF9" w:rsidP="00B96AB4">
    <w:pPr>
      <w:pStyle w:val="a4"/>
      <w:pBdr>
        <w:top w:val="single" w:sz="4" w:space="1" w:color="auto"/>
        <w:between w:val="single" w:sz="4" w:space="0" w:color="auto"/>
      </w:pBdr>
      <w:spacing w:after="60"/>
      <w:jc w:val="center"/>
      <w:rPr>
        <w:rFonts w:ascii="FrankRuehl" w:hAnsi="FrankRuehl" w:cs="FrankRuehl"/>
        <w:color w:val="000000"/>
      </w:rPr>
    </w:pPr>
    <w:r w:rsidRPr="00B96A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9E85B" w14:textId="77777777" w:rsidR="00886BF9" w:rsidRDefault="00886BF9" w:rsidP="00B96AB4">
    <w:pPr>
      <w:pStyle w:val="a4"/>
      <w:jc w:val="center"/>
      <w:rPr>
        <w:rStyle w:val="a5"/>
        <w:rFonts w:ascii="FrankRuehl" w:hAnsi="FrankRuehl" w:cs="FrankRuehl"/>
        <w:rt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hint="cs"/>
      </w:rPr>
      <w:instrText>PAGE</w:instrText>
    </w:r>
    <w:r>
      <w:rPr>
        <w:rStyle w:val="a5"/>
        <w:rFonts w:ascii="FrankRuehl" w:hAnsi="FrankRuehl" w:cs="FrankRuehl" w:hint="cs"/>
        <w:rtl/>
      </w:rPr>
      <w:instrText xml:space="preserve">  \* </w:instrText>
    </w:r>
    <w:r>
      <w:rPr>
        <w:rStyle w:val="a5"/>
        <w:rFonts w:ascii="FrankRuehl" w:hAnsi="FrankRuehl" w:cs="FrankRuehl" w:hint="cs"/>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367042">
      <w:rPr>
        <w:rStyle w:val="a5"/>
        <w:rFonts w:ascii="FrankRuehl" w:hAnsi="FrankRuehl" w:cs="FrankRuehl"/>
        <w:rtl/>
      </w:rPr>
      <w:t>1</w:t>
    </w:r>
    <w:r>
      <w:rPr>
        <w:rStyle w:val="a5"/>
        <w:rFonts w:ascii="FrankRuehl" w:hAnsi="FrankRuehl" w:cs="FrankRuehl"/>
        <w:rtl/>
      </w:rPr>
      <w:fldChar w:fldCharType="end"/>
    </w:r>
  </w:p>
  <w:p w14:paraId="23A3D622" w14:textId="77777777" w:rsidR="00886BF9" w:rsidRPr="00B96AB4" w:rsidRDefault="00886BF9" w:rsidP="00B96AB4">
    <w:pPr>
      <w:pStyle w:val="a4"/>
      <w:pBdr>
        <w:top w:val="single" w:sz="4" w:space="1" w:color="auto"/>
        <w:between w:val="single" w:sz="4" w:space="0" w:color="auto"/>
      </w:pBdr>
      <w:spacing w:after="60"/>
      <w:jc w:val="center"/>
      <w:rPr>
        <w:rStyle w:val="a5"/>
        <w:rFonts w:ascii="FrankRuehl" w:hAnsi="FrankRuehl" w:cs="FrankRuehl" w:hint="cs"/>
        <w:color w:val="000000"/>
      </w:rPr>
    </w:pPr>
    <w:r w:rsidRPr="00B96AB4">
      <w:rPr>
        <w:rStyle w:val="a5"/>
        <w:rFonts w:ascii="FrankRuehl" w:hAnsi="FrankRuehl" w:cs="FrankRuehl" w:hint="cs"/>
        <w:color w:val="000000"/>
      </w:rPr>
      <w:pict w14:anchorId="709C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C3052" w14:textId="77777777" w:rsidR="007E7925" w:rsidRDefault="007E7925">
      <w:r>
        <w:separator/>
      </w:r>
    </w:p>
  </w:footnote>
  <w:footnote w:type="continuationSeparator" w:id="0">
    <w:p w14:paraId="7625E30B" w14:textId="77777777" w:rsidR="007E7925" w:rsidRDefault="007E7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17A77" w14:textId="77777777" w:rsidR="00886BF9" w:rsidRPr="00B96AB4" w:rsidRDefault="00886BF9" w:rsidP="00B96A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3510-06-15</w:t>
    </w:r>
    <w:r>
      <w:rPr>
        <w:rFonts w:ascii="David" w:hAnsi="David"/>
        <w:color w:val="000000"/>
        <w:sz w:val="22"/>
        <w:szCs w:val="22"/>
        <w:rtl/>
      </w:rPr>
      <w:tab/>
      <w:t xml:space="preserve"> מדינת ישראל נ' מיכאל אטדגי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89795" w14:textId="77777777" w:rsidR="00886BF9" w:rsidRPr="00B96AB4" w:rsidRDefault="00886BF9" w:rsidP="00B96A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3510-06-15</w:t>
    </w:r>
    <w:r>
      <w:rPr>
        <w:rFonts w:ascii="David" w:hAnsi="David"/>
        <w:color w:val="000000"/>
        <w:sz w:val="22"/>
        <w:szCs w:val="22"/>
        <w:rtl/>
      </w:rPr>
      <w:tab/>
      <w:t xml:space="preserve"> מדינת ישראל נ' מיכאל אטדגי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3661"/>
    <w:rsid w:val="00294A69"/>
    <w:rsid w:val="002E7A8E"/>
    <w:rsid w:val="00367042"/>
    <w:rsid w:val="00602D89"/>
    <w:rsid w:val="00675936"/>
    <w:rsid w:val="007E7925"/>
    <w:rsid w:val="00886BF9"/>
    <w:rsid w:val="00B2315F"/>
    <w:rsid w:val="00B96AB4"/>
    <w:rsid w:val="00D17A65"/>
    <w:rsid w:val="00E1052E"/>
    <w:rsid w:val="00F82C5A"/>
    <w:rsid w:val="00FB36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6719EF"/>
  <w15:chartTrackingRefBased/>
  <w15:docId w15:val="{16ABD572-232F-4D0E-B3A5-F9D01989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3661"/>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B3661"/>
    <w:pPr>
      <w:tabs>
        <w:tab w:val="center" w:pos="4153"/>
        <w:tab w:val="right" w:pos="8306"/>
      </w:tabs>
    </w:pPr>
  </w:style>
  <w:style w:type="paragraph" w:styleId="a4">
    <w:name w:val="footer"/>
    <w:basedOn w:val="a"/>
    <w:rsid w:val="00FB3661"/>
    <w:pPr>
      <w:tabs>
        <w:tab w:val="center" w:pos="4153"/>
        <w:tab w:val="right" w:pos="8306"/>
      </w:tabs>
    </w:pPr>
  </w:style>
  <w:style w:type="character" w:styleId="a5">
    <w:name w:val="page number"/>
    <w:basedOn w:val="a0"/>
    <w:rsid w:val="00FB3661"/>
  </w:style>
  <w:style w:type="character" w:styleId="Hyperlink">
    <w:name w:val="Hyperlink"/>
    <w:rsid w:val="00294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2"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0485614" TargetMode="External"/><Relationship Id="rId21" Type="http://schemas.openxmlformats.org/officeDocument/2006/relationships/hyperlink" Target="http://www.nevo.co.il/law/70301/40ja.2" TargetMode="External"/><Relationship Id="rId34" Type="http://schemas.openxmlformats.org/officeDocument/2006/relationships/hyperlink" Target="http://www.nevo.co.il/case/5581144" TargetMode="External"/><Relationship Id="rId42" Type="http://schemas.openxmlformats.org/officeDocument/2006/relationships/hyperlink" Target="http://www.nevo.co.il/law/70301/40i.a.2" TargetMode="External"/><Relationship Id="rId47" Type="http://schemas.openxmlformats.org/officeDocument/2006/relationships/hyperlink" Target="http://www.nevo.co.il/law/70301/40d;40e" TargetMode="External"/><Relationship Id="rId50" Type="http://schemas.openxmlformats.org/officeDocument/2006/relationships/hyperlink" Target="http://www.nevo.co.il/law/70301/40ja" TargetMode="External"/><Relationship Id="rId55" Type="http://schemas.openxmlformats.org/officeDocument/2006/relationships/hyperlink" Target="http://www.nevo.co.il/law/70301/ja.4" TargetMode="External"/><Relationship Id="rId63" Type="http://schemas.openxmlformats.org/officeDocument/2006/relationships/theme" Target="theme/theme1.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40i.a.5" TargetMode="External"/><Relationship Id="rId29" Type="http://schemas.openxmlformats.org/officeDocument/2006/relationships/hyperlink" Target="http://www.nevo.co.il/law/70301/40d" TargetMode="External"/><Relationship Id="rId11" Type="http://schemas.openxmlformats.org/officeDocument/2006/relationships/hyperlink" Target="http://www.nevo.co.il/law/70301/40e" TargetMode="External"/><Relationship Id="rId24" Type="http://schemas.openxmlformats.org/officeDocument/2006/relationships/hyperlink" Target="http://www.nevo.co.il/law/70301/ja.4"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case/5568354" TargetMode="External"/><Relationship Id="rId40" Type="http://schemas.openxmlformats.org/officeDocument/2006/relationships/hyperlink" Target="http://www.nevo.co.il/case/3627158" TargetMode="External"/><Relationship Id="rId45" Type="http://schemas.openxmlformats.org/officeDocument/2006/relationships/hyperlink" Target="http://www.nevo.co.il/law/70301/40i.a.3" TargetMode="External"/><Relationship Id="rId53" Type="http://schemas.openxmlformats.org/officeDocument/2006/relationships/hyperlink" Target="http://www.nevo.co.il/law/70301/40ja.3"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70301/40ja.1" TargetMode="External"/><Relationship Id="rId14" Type="http://schemas.openxmlformats.org/officeDocument/2006/relationships/hyperlink" Target="http://www.nevo.co.il/law/70301/40i.a.3" TargetMode="External"/><Relationship Id="rId22" Type="http://schemas.openxmlformats.org/officeDocument/2006/relationships/hyperlink" Target="http://www.nevo.co.il/law/70301/40ja.3"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40e" TargetMode="External"/><Relationship Id="rId35" Type="http://schemas.openxmlformats.org/officeDocument/2006/relationships/hyperlink" Target="http://www.nevo.co.il/case/5762686" TargetMode="External"/><Relationship Id="rId43" Type="http://schemas.openxmlformats.org/officeDocument/2006/relationships/hyperlink" Target="http://www.nevo.co.il/case/17948154" TargetMode="External"/><Relationship Id="rId48" Type="http://schemas.openxmlformats.org/officeDocument/2006/relationships/hyperlink" Target="http://www.nevo.co.il/law/70301/40d" TargetMode="External"/><Relationship Id="rId56" Type="http://schemas.openxmlformats.org/officeDocument/2006/relationships/hyperlink" Target="http://www.nevo.co.il/law/70301/40ja.6" TargetMode="External"/><Relationship Id="rId8" Type="http://schemas.openxmlformats.org/officeDocument/2006/relationships/hyperlink" Target="http://www.nevo.co.il/law/70301/40c.a" TargetMode="External"/><Relationship Id="rId51" Type="http://schemas.openxmlformats.org/officeDocument/2006/relationships/hyperlink" Target="http://www.nevo.co.il/law/70301/40ja.1" TargetMode="External"/><Relationship Id="rId3" Type="http://schemas.openxmlformats.org/officeDocument/2006/relationships/webSettings" Target="webSettings.xml"/><Relationship Id="rId12" Type="http://schemas.openxmlformats.org/officeDocument/2006/relationships/hyperlink" Target="http://www.nevo.co.il/law/70301/40i.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7821883" TargetMode="External"/><Relationship Id="rId46" Type="http://schemas.openxmlformats.org/officeDocument/2006/relationships/hyperlink" Target="http://www.nevo.co.il/law/70301/40i.a.4" TargetMode="External"/><Relationship Id="rId59" Type="http://schemas.openxmlformats.org/officeDocument/2006/relationships/header" Target="header2.xml"/><Relationship Id="rId20" Type="http://schemas.openxmlformats.org/officeDocument/2006/relationships/hyperlink" Target="http://www.nevo.co.il/law/70301/40ja.11" TargetMode="External"/><Relationship Id="rId41" Type="http://schemas.openxmlformats.org/officeDocument/2006/relationships/hyperlink" Target="http://www.nevo.co.il/law/70301/40i.a" TargetMode="External"/><Relationship Id="rId54" Type="http://schemas.openxmlformats.org/officeDocument/2006/relationships/hyperlink" Target="http://www.nevo.co.il/law/70301/40ja.11"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i.a.4" TargetMode="External"/><Relationship Id="rId23" Type="http://schemas.openxmlformats.org/officeDocument/2006/relationships/hyperlink" Target="http://www.nevo.co.il/law/70301/40ja.6"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10485614" TargetMode="External"/><Relationship Id="rId49" Type="http://schemas.openxmlformats.org/officeDocument/2006/relationships/hyperlink" Target="http://www.nevo.co.il/law/70301/40e"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0301/40c.b" TargetMode="External"/><Relationship Id="rId44" Type="http://schemas.openxmlformats.org/officeDocument/2006/relationships/hyperlink" Target="http://www.nevo.co.il/law/70301/40i.a.5" TargetMode="External"/><Relationship Id="rId52" Type="http://schemas.openxmlformats.org/officeDocument/2006/relationships/hyperlink" Target="http://www.nevo.co.il/law/70301/40ja.2"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c.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2599</Words>
  <Characters>12998</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15566</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3276837</vt:i4>
      </vt:variant>
      <vt:variant>
        <vt:i4>150</vt:i4>
      </vt:variant>
      <vt:variant>
        <vt:i4>0</vt:i4>
      </vt:variant>
      <vt:variant>
        <vt:i4>5</vt:i4>
      </vt:variant>
      <vt:variant>
        <vt:lpwstr>http://www.nevo.co.il/law/70301/40ja.6</vt:lpwstr>
      </vt:variant>
      <vt:variant>
        <vt:lpwstr/>
      </vt:variant>
      <vt:variant>
        <vt:i4>17</vt:i4>
      </vt:variant>
      <vt:variant>
        <vt:i4>147</vt:i4>
      </vt:variant>
      <vt:variant>
        <vt:i4>0</vt:i4>
      </vt:variant>
      <vt:variant>
        <vt:i4>5</vt:i4>
      </vt:variant>
      <vt:variant>
        <vt:lpwstr>http://www.nevo.co.il/law/70301/ja.4</vt:lpwstr>
      </vt:variant>
      <vt:variant>
        <vt:lpwstr/>
      </vt:variant>
      <vt:variant>
        <vt:i4>3473445</vt:i4>
      </vt:variant>
      <vt:variant>
        <vt:i4>144</vt:i4>
      </vt:variant>
      <vt:variant>
        <vt:i4>0</vt:i4>
      </vt:variant>
      <vt:variant>
        <vt:i4>5</vt:i4>
      </vt:variant>
      <vt:variant>
        <vt:lpwstr>http://www.nevo.co.il/law/70301/40ja.11</vt:lpwstr>
      </vt:variant>
      <vt:variant>
        <vt:lpwstr/>
      </vt:variant>
      <vt:variant>
        <vt:i4>3604517</vt:i4>
      </vt:variant>
      <vt:variant>
        <vt:i4>141</vt:i4>
      </vt:variant>
      <vt:variant>
        <vt:i4>0</vt:i4>
      </vt:variant>
      <vt:variant>
        <vt:i4>5</vt:i4>
      </vt:variant>
      <vt:variant>
        <vt:lpwstr>http://www.nevo.co.il/law/70301/40ja.3</vt:lpwstr>
      </vt:variant>
      <vt:variant>
        <vt:lpwstr/>
      </vt:variant>
      <vt:variant>
        <vt:i4>3538981</vt:i4>
      </vt:variant>
      <vt:variant>
        <vt:i4>138</vt:i4>
      </vt:variant>
      <vt:variant>
        <vt:i4>0</vt:i4>
      </vt:variant>
      <vt:variant>
        <vt:i4>5</vt:i4>
      </vt:variant>
      <vt:variant>
        <vt:lpwstr>http://www.nevo.co.il/law/70301/40ja.2</vt:lpwstr>
      </vt:variant>
      <vt:variant>
        <vt:lpwstr/>
      </vt:variant>
      <vt:variant>
        <vt:i4>3473445</vt:i4>
      </vt:variant>
      <vt:variant>
        <vt:i4>135</vt:i4>
      </vt:variant>
      <vt:variant>
        <vt:i4>0</vt:i4>
      </vt:variant>
      <vt:variant>
        <vt:i4>5</vt:i4>
      </vt:variant>
      <vt:variant>
        <vt:lpwstr>http://www.nevo.co.il/law/70301/40ja.1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6619233</vt:i4>
      </vt:variant>
      <vt:variant>
        <vt:i4>129</vt:i4>
      </vt:variant>
      <vt:variant>
        <vt:i4>0</vt:i4>
      </vt:variant>
      <vt:variant>
        <vt:i4>5</vt:i4>
      </vt:variant>
      <vt:variant>
        <vt:lpwstr>http://www.nevo.co.il/law/70301/40e</vt:lpwstr>
      </vt:variant>
      <vt:variant>
        <vt:lpwstr/>
      </vt:variant>
      <vt:variant>
        <vt:i4>6619233</vt:i4>
      </vt:variant>
      <vt:variant>
        <vt:i4>126</vt:i4>
      </vt:variant>
      <vt:variant>
        <vt:i4>0</vt:i4>
      </vt:variant>
      <vt:variant>
        <vt:i4>5</vt:i4>
      </vt:variant>
      <vt:variant>
        <vt:lpwstr>http://www.nevo.co.il/law/70301/40d</vt:lpwstr>
      </vt:variant>
      <vt:variant>
        <vt:lpwstr/>
      </vt:variant>
      <vt:variant>
        <vt:i4>7209009</vt:i4>
      </vt:variant>
      <vt:variant>
        <vt:i4>123</vt:i4>
      </vt:variant>
      <vt:variant>
        <vt:i4>0</vt:i4>
      </vt:variant>
      <vt:variant>
        <vt:i4>5</vt:i4>
      </vt:variant>
      <vt:variant>
        <vt:lpwstr>http://www.nevo.co.il/law/70301/40d;40e</vt:lpwstr>
      </vt:variant>
      <vt:variant>
        <vt:lpwstr/>
      </vt:variant>
      <vt:variant>
        <vt:i4>6619241</vt:i4>
      </vt:variant>
      <vt:variant>
        <vt:i4>120</vt:i4>
      </vt:variant>
      <vt:variant>
        <vt:i4>0</vt:i4>
      </vt:variant>
      <vt:variant>
        <vt:i4>5</vt:i4>
      </vt:variant>
      <vt:variant>
        <vt:lpwstr>http://www.nevo.co.il/law/70301/40i.a.4</vt:lpwstr>
      </vt:variant>
      <vt:variant>
        <vt:lpwstr/>
      </vt:variant>
      <vt:variant>
        <vt:i4>6619241</vt:i4>
      </vt:variant>
      <vt:variant>
        <vt:i4>117</vt:i4>
      </vt:variant>
      <vt:variant>
        <vt:i4>0</vt:i4>
      </vt:variant>
      <vt:variant>
        <vt:i4>5</vt:i4>
      </vt:variant>
      <vt:variant>
        <vt:lpwstr>http://www.nevo.co.il/law/70301/40i.a.3</vt:lpwstr>
      </vt:variant>
      <vt:variant>
        <vt:lpwstr/>
      </vt:variant>
      <vt:variant>
        <vt:i4>6619241</vt:i4>
      </vt:variant>
      <vt:variant>
        <vt:i4>114</vt:i4>
      </vt:variant>
      <vt:variant>
        <vt:i4>0</vt:i4>
      </vt:variant>
      <vt:variant>
        <vt:i4>5</vt:i4>
      </vt:variant>
      <vt:variant>
        <vt:lpwstr>http://www.nevo.co.il/law/70301/40i.a.5</vt:lpwstr>
      </vt:variant>
      <vt:variant>
        <vt:lpwstr/>
      </vt:variant>
      <vt:variant>
        <vt:i4>3473526</vt:i4>
      </vt:variant>
      <vt:variant>
        <vt:i4>111</vt:i4>
      </vt:variant>
      <vt:variant>
        <vt:i4>0</vt:i4>
      </vt:variant>
      <vt:variant>
        <vt:i4>5</vt:i4>
      </vt:variant>
      <vt:variant>
        <vt:lpwstr>http://www.nevo.co.il/case/17948154</vt:lpwstr>
      </vt:variant>
      <vt:variant>
        <vt:lpwstr/>
      </vt:variant>
      <vt:variant>
        <vt:i4>6619241</vt:i4>
      </vt:variant>
      <vt:variant>
        <vt:i4>108</vt:i4>
      </vt:variant>
      <vt:variant>
        <vt:i4>0</vt:i4>
      </vt:variant>
      <vt:variant>
        <vt:i4>5</vt:i4>
      </vt:variant>
      <vt:variant>
        <vt:lpwstr>http://www.nevo.co.il/law/70301/40i.a.2</vt:lpwstr>
      </vt:variant>
      <vt:variant>
        <vt:lpwstr/>
      </vt:variant>
      <vt:variant>
        <vt:i4>4915208</vt:i4>
      </vt:variant>
      <vt:variant>
        <vt:i4>105</vt:i4>
      </vt:variant>
      <vt:variant>
        <vt:i4>0</vt:i4>
      </vt:variant>
      <vt:variant>
        <vt:i4>5</vt:i4>
      </vt:variant>
      <vt:variant>
        <vt:lpwstr>http://www.nevo.co.il/law/70301/40i.a</vt:lpwstr>
      </vt:variant>
      <vt:variant>
        <vt:lpwstr/>
      </vt:variant>
      <vt:variant>
        <vt:i4>3670128</vt:i4>
      </vt:variant>
      <vt:variant>
        <vt:i4>102</vt:i4>
      </vt:variant>
      <vt:variant>
        <vt:i4>0</vt:i4>
      </vt:variant>
      <vt:variant>
        <vt:i4>5</vt:i4>
      </vt:variant>
      <vt:variant>
        <vt:lpwstr>http://www.nevo.co.il/case/3627158</vt:lpwstr>
      </vt:variant>
      <vt:variant>
        <vt:lpwstr/>
      </vt:variant>
      <vt:variant>
        <vt:i4>3211386</vt:i4>
      </vt:variant>
      <vt:variant>
        <vt:i4>99</vt:i4>
      </vt:variant>
      <vt:variant>
        <vt:i4>0</vt:i4>
      </vt:variant>
      <vt:variant>
        <vt:i4>5</vt:i4>
      </vt:variant>
      <vt:variant>
        <vt:lpwstr>http://www.nevo.co.il/case/10485614</vt:lpwstr>
      </vt:variant>
      <vt:variant>
        <vt:lpwstr/>
      </vt:variant>
      <vt:variant>
        <vt:i4>4063349</vt:i4>
      </vt:variant>
      <vt:variant>
        <vt:i4>96</vt:i4>
      </vt:variant>
      <vt:variant>
        <vt:i4>0</vt:i4>
      </vt:variant>
      <vt:variant>
        <vt:i4>5</vt:i4>
      </vt:variant>
      <vt:variant>
        <vt:lpwstr>http://www.nevo.co.il/case/7821883</vt:lpwstr>
      </vt:variant>
      <vt:variant>
        <vt:lpwstr/>
      </vt:variant>
      <vt:variant>
        <vt:i4>3407996</vt:i4>
      </vt:variant>
      <vt:variant>
        <vt:i4>93</vt:i4>
      </vt:variant>
      <vt:variant>
        <vt:i4>0</vt:i4>
      </vt:variant>
      <vt:variant>
        <vt:i4>5</vt:i4>
      </vt:variant>
      <vt:variant>
        <vt:lpwstr>http://www.nevo.co.il/case/5568354</vt:lpwstr>
      </vt:variant>
      <vt:variant>
        <vt:lpwstr/>
      </vt:variant>
      <vt:variant>
        <vt:i4>3211386</vt:i4>
      </vt:variant>
      <vt:variant>
        <vt:i4>90</vt:i4>
      </vt:variant>
      <vt:variant>
        <vt:i4>0</vt:i4>
      </vt:variant>
      <vt:variant>
        <vt:i4>5</vt:i4>
      </vt:variant>
      <vt:variant>
        <vt:lpwstr>http://www.nevo.co.il/case/10485614</vt:lpwstr>
      </vt:variant>
      <vt:variant>
        <vt:lpwstr/>
      </vt:variant>
      <vt:variant>
        <vt:i4>3342457</vt:i4>
      </vt:variant>
      <vt:variant>
        <vt:i4>87</vt:i4>
      </vt:variant>
      <vt:variant>
        <vt:i4>0</vt:i4>
      </vt:variant>
      <vt:variant>
        <vt:i4>5</vt:i4>
      </vt:variant>
      <vt:variant>
        <vt:lpwstr>http://www.nevo.co.il/case/5762686</vt:lpwstr>
      </vt:variant>
      <vt:variant>
        <vt:lpwstr/>
      </vt:variant>
      <vt:variant>
        <vt:i4>3670132</vt:i4>
      </vt:variant>
      <vt:variant>
        <vt:i4>84</vt:i4>
      </vt:variant>
      <vt:variant>
        <vt:i4>0</vt:i4>
      </vt:variant>
      <vt:variant>
        <vt:i4>5</vt:i4>
      </vt:variant>
      <vt:variant>
        <vt:lpwstr>http://www.nevo.co.il/case/5581144</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4915202</vt:i4>
      </vt:variant>
      <vt:variant>
        <vt:i4>75</vt:i4>
      </vt:variant>
      <vt:variant>
        <vt:i4>0</vt:i4>
      </vt:variant>
      <vt:variant>
        <vt:i4>5</vt:i4>
      </vt:variant>
      <vt:variant>
        <vt:lpwstr>http://www.nevo.co.il/law/70301/40c.b</vt:lpwstr>
      </vt:variant>
      <vt:variant>
        <vt:lpwstr/>
      </vt:variant>
      <vt:variant>
        <vt:i4>6619233</vt:i4>
      </vt:variant>
      <vt:variant>
        <vt:i4>72</vt:i4>
      </vt:variant>
      <vt:variant>
        <vt:i4>0</vt:i4>
      </vt:variant>
      <vt:variant>
        <vt:i4>5</vt:i4>
      </vt:variant>
      <vt:variant>
        <vt:lpwstr>http://www.nevo.co.il/law/70301/40e</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17</vt:i4>
      </vt:variant>
      <vt:variant>
        <vt:i4>54</vt:i4>
      </vt:variant>
      <vt:variant>
        <vt:i4>0</vt:i4>
      </vt:variant>
      <vt:variant>
        <vt:i4>5</vt:i4>
      </vt:variant>
      <vt:variant>
        <vt:lpwstr>http://www.nevo.co.il/law/70301/ja.4</vt:lpwstr>
      </vt:variant>
      <vt:variant>
        <vt:lpwstr/>
      </vt:variant>
      <vt:variant>
        <vt:i4>3276837</vt:i4>
      </vt:variant>
      <vt:variant>
        <vt:i4>51</vt:i4>
      </vt:variant>
      <vt:variant>
        <vt:i4>0</vt:i4>
      </vt:variant>
      <vt:variant>
        <vt:i4>5</vt:i4>
      </vt:variant>
      <vt:variant>
        <vt:lpwstr>http://www.nevo.co.il/law/70301/40ja.6</vt:lpwstr>
      </vt:variant>
      <vt:variant>
        <vt:lpwstr/>
      </vt:variant>
      <vt:variant>
        <vt:i4>3604517</vt:i4>
      </vt:variant>
      <vt:variant>
        <vt:i4>48</vt:i4>
      </vt:variant>
      <vt:variant>
        <vt:i4>0</vt:i4>
      </vt:variant>
      <vt:variant>
        <vt:i4>5</vt:i4>
      </vt:variant>
      <vt:variant>
        <vt:lpwstr>http://www.nevo.co.il/law/70301/40ja.3</vt:lpwstr>
      </vt:variant>
      <vt:variant>
        <vt:lpwstr/>
      </vt:variant>
      <vt:variant>
        <vt:i4>3538981</vt:i4>
      </vt:variant>
      <vt:variant>
        <vt:i4>45</vt:i4>
      </vt:variant>
      <vt:variant>
        <vt:i4>0</vt:i4>
      </vt:variant>
      <vt:variant>
        <vt:i4>5</vt:i4>
      </vt:variant>
      <vt:variant>
        <vt:lpwstr>http://www.nevo.co.il/law/70301/40ja.2</vt:lpwstr>
      </vt:variant>
      <vt:variant>
        <vt:lpwstr/>
      </vt:variant>
      <vt:variant>
        <vt:i4>3473445</vt:i4>
      </vt:variant>
      <vt:variant>
        <vt:i4>42</vt:i4>
      </vt:variant>
      <vt:variant>
        <vt:i4>0</vt:i4>
      </vt:variant>
      <vt:variant>
        <vt:i4>5</vt:i4>
      </vt:variant>
      <vt:variant>
        <vt:lpwstr>http://www.nevo.co.il/law/70301/40ja.11</vt:lpwstr>
      </vt:variant>
      <vt:variant>
        <vt:lpwstr/>
      </vt:variant>
      <vt:variant>
        <vt:i4>3473445</vt:i4>
      </vt:variant>
      <vt:variant>
        <vt:i4>39</vt:i4>
      </vt:variant>
      <vt:variant>
        <vt:i4>0</vt:i4>
      </vt:variant>
      <vt:variant>
        <vt:i4>5</vt:i4>
      </vt:variant>
      <vt:variant>
        <vt:lpwstr>http://www.nevo.co.il/law/70301/40ja.1</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6619241</vt:i4>
      </vt:variant>
      <vt:variant>
        <vt:i4>30</vt:i4>
      </vt:variant>
      <vt:variant>
        <vt:i4>0</vt:i4>
      </vt:variant>
      <vt:variant>
        <vt:i4>5</vt:i4>
      </vt:variant>
      <vt:variant>
        <vt:lpwstr>http://www.nevo.co.il/law/70301/40i.a.5</vt:lpwstr>
      </vt:variant>
      <vt:variant>
        <vt:lpwstr/>
      </vt:variant>
      <vt:variant>
        <vt:i4>6619241</vt:i4>
      </vt:variant>
      <vt:variant>
        <vt:i4>27</vt:i4>
      </vt:variant>
      <vt:variant>
        <vt:i4>0</vt:i4>
      </vt:variant>
      <vt:variant>
        <vt:i4>5</vt:i4>
      </vt:variant>
      <vt:variant>
        <vt:lpwstr>http://www.nevo.co.il/law/70301/40i.a.4</vt:lpwstr>
      </vt:variant>
      <vt:variant>
        <vt:lpwstr/>
      </vt:variant>
      <vt:variant>
        <vt:i4>6619241</vt:i4>
      </vt:variant>
      <vt:variant>
        <vt:i4>24</vt:i4>
      </vt:variant>
      <vt:variant>
        <vt:i4>0</vt:i4>
      </vt:variant>
      <vt:variant>
        <vt:i4>5</vt:i4>
      </vt:variant>
      <vt:variant>
        <vt:lpwstr>http://www.nevo.co.il/law/70301/40i.a.3</vt:lpwstr>
      </vt:variant>
      <vt:variant>
        <vt:lpwstr/>
      </vt:variant>
      <vt:variant>
        <vt:i4>6619241</vt:i4>
      </vt:variant>
      <vt:variant>
        <vt:i4>21</vt:i4>
      </vt:variant>
      <vt:variant>
        <vt:i4>0</vt:i4>
      </vt:variant>
      <vt:variant>
        <vt:i4>5</vt:i4>
      </vt:variant>
      <vt:variant>
        <vt:lpwstr>http://www.nevo.co.il/law/70301/40i.a.2</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2025-01-19T16:02:00Z</dcterms:created>
  <dcterms:modified xsi:type="dcterms:W3CDTF">2025-01-19T16:02:00Z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3510</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ישראל;פרקליטות מחוז ירושלים (פלילי)</vt:lpwstr>
  </property>
  <property fmtid="{D5CDD505-2E9C-101B-9397-08002B2CF9AE}" pid="9" name="APPELLEE">
    <vt:lpwstr>מיכאל אטדגי</vt:lpwstr>
  </property>
  <property fmtid="{D5CDD505-2E9C-101B-9397-08002B2CF9AE}" pid="10" name="LAWYER">
    <vt:lpwstr>יובל קדר;דוד ונטורה</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20151118</vt:lpwstr>
  </property>
  <property fmtid="{D5CDD505-2E9C-101B-9397-08002B2CF9AE}" pid="14" name="TYPE_N_DATE">
    <vt:lpwstr>39020151118</vt:lpwstr>
  </property>
  <property fmtid="{D5CDD505-2E9C-101B-9397-08002B2CF9AE}" pid="15" name="WORDNUMPAGES">
    <vt:lpwstr>7</vt:lpwstr>
  </property>
  <property fmtid="{D5CDD505-2E9C-101B-9397-08002B2CF9AE}" pid="16" name="TYPE_ABS_DATE">
    <vt:lpwstr>390020151118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5581144;5762686;10485614:2;5568354;7821883;3627158;17948154</vt:lpwstr>
  </property>
  <property fmtid="{D5CDD505-2E9C-101B-9397-08002B2CF9AE}" pid="36" name="LAWLISTTMP1">
    <vt:lpwstr>70301/040b;040c.a;040d:3;040e:3;040c.b;144.b;040i.a;040i.a.2;040i.a.5;040i.a.3;040i.a.4;40ja;40ja.1;40ja.2;40ja.3;40ja.11;ja.4;40ja.6</vt:lpwstr>
  </property>
</Properties>
</file>