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6017F" w:rsidRPr="008B4D28" w14:paraId="562190C2" w14:textId="77777777">
        <w:trPr>
          <w:trHeight w:hRule="exact" w:val="418"/>
          <w:jc w:val="center"/>
        </w:trPr>
        <w:tc>
          <w:tcPr>
            <w:tcW w:w="8721" w:type="dxa"/>
            <w:gridSpan w:val="2"/>
          </w:tcPr>
          <w:p w14:paraId="396AED62" w14:textId="77777777" w:rsidR="00D6017F" w:rsidRPr="008B4D28" w:rsidRDefault="008B4D28">
            <w:pPr>
              <w:pStyle w:val="a3"/>
              <w:jc w:val="center"/>
              <w:rPr>
                <w:rFonts w:ascii="Tahoma" w:hAnsi="Tahoma" w:cs="Tahoma"/>
                <w:color w:val="000080"/>
                <w:rtl/>
              </w:rPr>
            </w:pPr>
            <w:bookmarkStart w:id="0" w:name="FirstLawyer"/>
            <w:bookmarkStart w:id="1" w:name="LastJudge"/>
            <w:r w:rsidRPr="008B4D28">
              <w:rPr>
                <w:rFonts w:ascii="Tahoma" w:hAnsi="Tahoma" w:cs="Tahoma"/>
                <w:b/>
                <w:bCs/>
                <w:color w:val="000080"/>
                <w:rtl/>
              </w:rPr>
              <w:t>בית המשפט המחוזי בחיפה</w:t>
            </w:r>
          </w:p>
        </w:tc>
      </w:tr>
      <w:tr w:rsidR="00D6017F" w:rsidRPr="008B4D28" w14:paraId="7C7ED8DE" w14:textId="77777777">
        <w:trPr>
          <w:trHeight w:val="337"/>
          <w:jc w:val="center"/>
        </w:trPr>
        <w:tc>
          <w:tcPr>
            <w:tcW w:w="5054" w:type="dxa"/>
          </w:tcPr>
          <w:p w14:paraId="60BB393E" w14:textId="77777777" w:rsidR="00D6017F" w:rsidRPr="008B4D28" w:rsidRDefault="008B4D28">
            <w:pPr>
              <w:rPr>
                <w:rFonts w:cs="FrankRuehl"/>
                <w:sz w:val="28"/>
                <w:szCs w:val="28"/>
                <w:rtl/>
              </w:rPr>
            </w:pPr>
            <w:r w:rsidRPr="008B4D28">
              <w:rPr>
                <w:rFonts w:cs="FrankRuehl"/>
                <w:sz w:val="28"/>
                <w:szCs w:val="28"/>
                <w:rtl/>
              </w:rPr>
              <w:t>ת"פ</w:t>
            </w:r>
            <w:r w:rsidRPr="008B4D28">
              <w:rPr>
                <w:rFonts w:cs="FrankRuehl" w:hint="cs"/>
                <w:sz w:val="28"/>
                <w:szCs w:val="28"/>
                <w:rtl/>
              </w:rPr>
              <w:t xml:space="preserve"> </w:t>
            </w:r>
            <w:r w:rsidRPr="008B4D28">
              <w:rPr>
                <w:rFonts w:cs="FrankRuehl"/>
                <w:sz w:val="28"/>
                <w:szCs w:val="28"/>
                <w:rtl/>
              </w:rPr>
              <w:t>13153-08-15</w:t>
            </w:r>
            <w:r w:rsidRPr="008B4D28">
              <w:rPr>
                <w:rFonts w:cs="FrankRuehl" w:hint="cs"/>
                <w:sz w:val="28"/>
                <w:szCs w:val="28"/>
                <w:rtl/>
              </w:rPr>
              <w:t xml:space="preserve"> </w:t>
            </w:r>
            <w:r w:rsidRPr="008B4D28">
              <w:rPr>
                <w:rFonts w:cs="FrankRuehl"/>
                <w:sz w:val="28"/>
                <w:szCs w:val="28"/>
                <w:rtl/>
              </w:rPr>
              <w:t>מדינת ישראל נ' עמאש</w:t>
            </w:r>
          </w:p>
          <w:p w14:paraId="098FE667" w14:textId="77777777" w:rsidR="00D6017F" w:rsidRPr="008B4D28" w:rsidRDefault="00D6017F">
            <w:pPr>
              <w:pStyle w:val="a3"/>
              <w:rPr>
                <w:rFonts w:cs="FrankRuehl"/>
                <w:sz w:val="28"/>
                <w:szCs w:val="28"/>
                <w:rtl/>
              </w:rPr>
            </w:pPr>
          </w:p>
        </w:tc>
        <w:tc>
          <w:tcPr>
            <w:tcW w:w="3667" w:type="dxa"/>
          </w:tcPr>
          <w:p w14:paraId="7086BFF4" w14:textId="77777777" w:rsidR="00D6017F" w:rsidRPr="008B4D28" w:rsidRDefault="00D6017F">
            <w:pPr>
              <w:pStyle w:val="a3"/>
              <w:jc w:val="right"/>
              <w:rPr>
                <w:rFonts w:cs="FrankRuehl"/>
                <w:sz w:val="28"/>
                <w:szCs w:val="28"/>
                <w:rtl/>
              </w:rPr>
            </w:pPr>
          </w:p>
        </w:tc>
      </w:tr>
    </w:tbl>
    <w:p w14:paraId="2952A5C6" w14:textId="77777777" w:rsidR="00D6017F" w:rsidRPr="008B4D28" w:rsidRDefault="008B4D28">
      <w:pPr>
        <w:pStyle w:val="a3"/>
        <w:rPr>
          <w:rtl/>
        </w:rPr>
      </w:pPr>
      <w:r w:rsidRPr="008B4D28">
        <w:rPr>
          <w:rFonts w:hint="cs"/>
          <w:rtl/>
        </w:rPr>
        <w:t xml:space="preserve"> </w:t>
      </w:r>
    </w:p>
    <w:p w14:paraId="62AE70C6" w14:textId="77777777" w:rsidR="00D6017F" w:rsidRPr="008B4D28" w:rsidRDefault="00D6017F">
      <w:pPr>
        <w:rPr>
          <w:sz w:val="18"/>
          <w:szCs w:val="18"/>
          <w:rtl/>
        </w:rPr>
      </w:pPr>
    </w:p>
    <w:tbl>
      <w:tblPr>
        <w:bidiVisual/>
        <w:tblW w:w="8820" w:type="dxa"/>
        <w:jc w:val="center"/>
        <w:tblLook w:val="01E0" w:firstRow="1" w:lastRow="1" w:firstColumn="1" w:lastColumn="1" w:noHBand="0" w:noVBand="0"/>
      </w:tblPr>
      <w:tblGrid>
        <w:gridCol w:w="743"/>
        <w:gridCol w:w="2506"/>
        <w:gridCol w:w="5571"/>
      </w:tblGrid>
      <w:tr w:rsidR="00D6017F" w:rsidRPr="008B4D28" w14:paraId="03693B04" w14:textId="77777777">
        <w:trPr>
          <w:jc w:val="center"/>
        </w:trPr>
        <w:tc>
          <w:tcPr>
            <w:tcW w:w="743" w:type="dxa"/>
            <w:shd w:val="clear" w:color="auto" w:fill="auto"/>
          </w:tcPr>
          <w:p w14:paraId="59293F95" w14:textId="77777777" w:rsidR="00D6017F" w:rsidRPr="008B4D28" w:rsidRDefault="008B4D28">
            <w:pPr>
              <w:rPr>
                <w:rFonts w:ascii="Arial" w:hAnsi="Arial"/>
                <w:b/>
                <w:bCs/>
              </w:rPr>
            </w:pPr>
            <w:r w:rsidRPr="008B4D28">
              <w:rPr>
                <w:rFonts w:ascii="Arial" w:hAnsi="Arial" w:hint="cs"/>
                <w:b/>
                <w:bCs/>
                <w:rtl/>
              </w:rPr>
              <w:t xml:space="preserve">בפני </w:t>
            </w:r>
          </w:p>
        </w:tc>
        <w:tc>
          <w:tcPr>
            <w:tcW w:w="8077" w:type="dxa"/>
            <w:gridSpan w:val="2"/>
            <w:shd w:val="clear" w:color="auto" w:fill="auto"/>
          </w:tcPr>
          <w:p w14:paraId="1E79274D" w14:textId="77777777" w:rsidR="00D6017F" w:rsidRPr="008B4D28" w:rsidRDefault="008B4D28">
            <w:pPr>
              <w:rPr>
                <w:rFonts w:ascii="Arial" w:hAnsi="Arial"/>
                <w:b/>
                <w:bCs/>
                <w:rtl/>
              </w:rPr>
            </w:pPr>
            <w:r w:rsidRPr="008B4D28">
              <w:rPr>
                <w:rFonts w:ascii="Arial" w:hAnsi="Arial" w:hint="cs"/>
                <w:b/>
                <w:bCs/>
                <w:rtl/>
              </w:rPr>
              <w:t>כבוד ה</w:t>
            </w:r>
            <w:r w:rsidRPr="008B4D28">
              <w:rPr>
                <w:rFonts w:hint="cs"/>
                <w:b/>
                <w:bCs/>
                <w:rtl/>
              </w:rPr>
              <w:t>שופט</w:t>
            </w:r>
            <w:r w:rsidRPr="008B4D28">
              <w:rPr>
                <w:rFonts w:ascii="Arial" w:hAnsi="Arial" w:hint="cs"/>
                <w:b/>
                <w:bCs/>
                <w:rtl/>
              </w:rPr>
              <w:t xml:space="preserve">  </w:t>
            </w:r>
            <w:r w:rsidRPr="008B4D28">
              <w:rPr>
                <w:rFonts w:hint="cs"/>
                <w:b/>
                <w:bCs/>
                <w:rtl/>
              </w:rPr>
              <w:t>דניאל פיש</w:t>
            </w:r>
          </w:p>
          <w:p w14:paraId="28E5653A" w14:textId="77777777" w:rsidR="00D6017F" w:rsidRPr="008B4D28" w:rsidRDefault="00D6017F">
            <w:pPr>
              <w:rPr>
                <w:rFonts w:ascii="Arial" w:hAnsi="Arial" w:cs="FrankRuehl"/>
                <w:b/>
                <w:bCs/>
                <w:highlight w:val="yellow"/>
                <w:rtl/>
              </w:rPr>
            </w:pPr>
          </w:p>
        </w:tc>
      </w:tr>
      <w:tr w:rsidR="00D6017F" w:rsidRPr="008B4D28" w14:paraId="38A0CEBA" w14:textId="77777777">
        <w:trPr>
          <w:jc w:val="center"/>
        </w:trPr>
        <w:tc>
          <w:tcPr>
            <w:tcW w:w="3249" w:type="dxa"/>
            <w:gridSpan w:val="2"/>
            <w:shd w:val="clear" w:color="auto" w:fill="auto"/>
          </w:tcPr>
          <w:p w14:paraId="7709ACDE" w14:textId="77777777" w:rsidR="00D6017F" w:rsidRPr="008B4D28" w:rsidRDefault="00D6017F">
            <w:pPr>
              <w:rPr>
                <w:rFonts w:ascii="Arial" w:hAnsi="Arial"/>
                <w:b/>
                <w:bCs/>
              </w:rPr>
            </w:pPr>
            <w:bookmarkStart w:id="2" w:name="FirstAppellant"/>
          </w:p>
          <w:p w14:paraId="4939A521" w14:textId="77777777" w:rsidR="00D6017F" w:rsidRPr="008B4D28" w:rsidRDefault="008B4D28">
            <w:pPr>
              <w:rPr>
                <w:rFonts w:ascii="Arial" w:hAnsi="Arial"/>
                <w:b/>
                <w:bCs/>
              </w:rPr>
            </w:pPr>
            <w:r w:rsidRPr="008B4D28">
              <w:rPr>
                <w:rFonts w:hint="cs"/>
                <w:b/>
                <w:bCs/>
                <w:rtl/>
              </w:rPr>
              <w:t>מאשימה</w:t>
            </w:r>
          </w:p>
        </w:tc>
        <w:tc>
          <w:tcPr>
            <w:tcW w:w="5571" w:type="dxa"/>
            <w:shd w:val="clear" w:color="auto" w:fill="auto"/>
          </w:tcPr>
          <w:p w14:paraId="4380ACCB" w14:textId="77777777" w:rsidR="00D6017F" w:rsidRPr="008B4D28" w:rsidRDefault="00D6017F">
            <w:pPr>
              <w:rPr>
                <w:rFonts w:ascii="Arial" w:hAnsi="Arial"/>
                <w:b/>
                <w:bCs/>
                <w:rtl/>
              </w:rPr>
            </w:pPr>
          </w:p>
          <w:p w14:paraId="3A71BE5D" w14:textId="77777777" w:rsidR="00D6017F" w:rsidRPr="008B4D28" w:rsidRDefault="008B4D28">
            <w:pPr>
              <w:rPr>
                <w:b/>
                <w:bCs/>
                <w:rtl/>
              </w:rPr>
            </w:pPr>
            <w:r w:rsidRPr="008B4D28">
              <w:rPr>
                <w:rFonts w:hint="cs"/>
                <w:b/>
                <w:bCs/>
                <w:rtl/>
              </w:rPr>
              <w:t>מדינת ישראל</w:t>
            </w:r>
            <w:r w:rsidRPr="008B4D28">
              <w:rPr>
                <w:rFonts w:hint="cs"/>
                <w:b/>
                <w:bCs/>
                <w:rtl/>
              </w:rPr>
              <w:br/>
              <w:t>ע"י ב"כ עו"ד הילה איזנבנד</w:t>
            </w:r>
            <w:r w:rsidRPr="008B4D28">
              <w:rPr>
                <w:rFonts w:hint="cs"/>
                <w:b/>
                <w:bCs/>
                <w:rtl/>
              </w:rPr>
              <w:br/>
              <w:t>מפרקליטות מחוז חיפה  -פלילי</w:t>
            </w:r>
          </w:p>
        </w:tc>
      </w:tr>
      <w:bookmarkEnd w:id="2"/>
      <w:tr w:rsidR="00D6017F" w:rsidRPr="008B4D28" w14:paraId="039D17E6" w14:textId="77777777">
        <w:trPr>
          <w:jc w:val="center"/>
        </w:trPr>
        <w:tc>
          <w:tcPr>
            <w:tcW w:w="8820" w:type="dxa"/>
            <w:gridSpan w:val="3"/>
            <w:shd w:val="clear" w:color="auto" w:fill="auto"/>
          </w:tcPr>
          <w:p w14:paraId="0C27805A" w14:textId="77777777" w:rsidR="00D6017F" w:rsidRPr="008B4D28" w:rsidRDefault="00D6017F">
            <w:pPr>
              <w:rPr>
                <w:rFonts w:ascii="Arial" w:hAnsi="Arial"/>
                <w:b/>
                <w:bCs/>
                <w:sz w:val="12"/>
                <w:szCs w:val="12"/>
              </w:rPr>
            </w:pPr>
          </w:p>
          <w:p w14:paraId="6273BACF" w14:textId="77777777" w:rsidR="00D6017F" w:rsidRPr="008B4D28" w:rsidRDefault="008B4D28">
            <w:pPr>
              <w:jc w:val="center"/>
              <w:rPr>
                <w:rFonts w:ascii="Arial" w:hAnsi="Arial"/>
                <w:b/>
                <w:bCs/>
                <w:rtl/>
              </w:rPr>
            </w:pPr>
            <w:r w:rsidRPr="008B4D28">
              <w:rPr>
                <w:rFonts w:ascii="Arial" w:hAnsi="Arial" w:hint="cs"/>
                <w:b/>
                <w:bCs/>
                <w:rtl/>
              </w:rPr>
              <w:t>נגד</w:t>
            </w:r>
          </w:p>
          <w:p w14:paraId="0CD2874C" w14:textId="77777777" w:rsidR="00D6017F" w:rsidRPr="008B4D28" w:rsidRDefault="00D6017F">
            <w:pPr>
              <w:rPr>
                <w:rFonts w:ascii="Arial" w:hAnsi="Arial"/>
                <w:b/>
                <w:bCs/>
                <w:sz w:val="12"/>
                <w:szCs w:val="12"/>
                <w:rtl/>
              </w:rPr>
            </w:pPr>
          </w:p>
        </w:tc>
      </w:tr>
      <w:tr w:rsidR="00D6017F" w:rsidRPr="008B4D28" w14:paraId="0A777A75" w14:textId="77777777">
        <w:trPr>
          <w:jc w:val="center"/>
        </w:trPr>
        <w:tc>
          <w:tcPr>
            <w:tcW w:w="3249" w:type="dxa"/>
            <w:gridSpan w:val="2"/>
            <w:shd w:val="clear" w:color="auto" w:fill="auto"/>
          </w:tcPr>
          <w:p w14:paraId="3CAA8941" w14:textId="77777777" w:rsidR="00D6017F" w:rsidRPr="008B4D28" w:rsidRDefault="008B4D28">
            <w:pPr>
              <w:rPr>
                <w:rFonts w:ascii="Arial" w:hAnsi="Arial"/>
                <w:b/>
                <w:bCs/>
                <w:rtl/>
              </w:rPr>
            </w:pPr>
            <w:r w:rsidRPr="008B4D28">
              <w:rPr>
                <w:rFonts w:hint="cs"/>
                <w:b/>
                <w:bCs/>
                <w:rtl/>
              </w:rPr>
              <w:t>נאשם</w:t>
            </w:r>
          </w:p>
        </w:tc>
        <w:tc>
          <w:tcPr>
            <w:tcW w:w="5571" w:type="dxa"/>
            <w:shd w:val="clear" w:color="auto" w:fill="auto"/>
          </w:tcPr>
          <w:p w14:paraId="75604D04" w14:textId="77777777" w:rsidR="00D6017F" w:rsidRPr="008B4D28" w:rsidRDefault="008B4D28">
            <w:pPr>
              <w:rPr>
                <w:b/>
                <w:bCs/>
                <w:rtl/>
              </w:rPr>
            </w:pPr>
            <w:r w:rsidRPr="008B4D28">
              <w:rPr>
                <w:rFonts w:hint="cs"/>
                <w:b/>
                <w:bCs/>
                <w:rtl/>
              </w:rPr>
              <w:t xml:space="preserve">מוחמד עמאש ת.ז. </w:t>
            </w:r>
            <w:r>
              <w:rPr>
                <w:b/>
                <w:bCs/>
              </w:rPr>
              <w:t>xxxxxxxxx</w:t>
            </w:r>
            <w:r w:rsidRPr="008B4D28">
              <w:rPr>
                <w:rFonts w:hint="cs"/>
                <w:b/>
                <w:bCs/>
                <w:rtl/>
              </w:rPr>
              <w:br/>
              <w:t xml:space="preserve">ע"י ב"כ עו"ד עאדל בויראת </w:t>
            </w:r>
          </w:p>
        </w:tc>
      </w:tr>
    </w:tbl>
    <w:p w14:paraId="24A1927A" w14:textId="77777777" w:rsidR="00D348A1" w:rsidRDefault="00D348A1">
      <w:pPr>
        <w:spacing w:line="360" w:lineRule="auto"/>
        <w:jc w:val="both"/>
        <w:rPr>
          <w:sz w:val="18"/>
          <w:szCs w:val="18"/>
          <w:rtl/>
        </w:rPr>
      </w:pPr>
      <w:bookmarkStart w:id="3" w:name="LawTable"/>
      <w:bookmarkEnd w:id="3"/>
    </w:p>
    <w:p w14:paraId="657D2018" w14:textId="77777777" w:rsidR="00D348A1" w:rsidRPr="00D348A1" w:rsidRDefault="00D348A1" w:rsidP="00D348A1">
      <w:pPr>
        <w:spacing w:after="120" w:line="240" w:lineRule="exact"/>
        <w:ind w:left="283" w:hanging="283"/>
        <w:jc w:val="both"/>
        <w:rPr>
          <w:rFonts w:ascii="FrankRuehl" w:hAnsi="FrankRuehl" w:cs="FrankRuehl"/>
          <w:rtl/>
        </w:rPr>
      </w:pPr>
    </w:p>
    <w:p w14:paraId="0C452764" w14:textId="77777777" w:rsidR="00D348A1" w:rsidRPr="00D348A1" w:rsidRDefault="00D348A1" w:rsidP="00D348A1">
      <w:pPr>
        <w:spacing w:after="120" w:line="240" w:lineRule="exact"/>
        <w:ind w:left="283" w:hanging="283"/>
        <w:jc w:val="both"/>
        <w:rPr>
          <w:rFonts w:ascii="FrankRuehl" w:hAnsi="FrankRuehl" w:cs="FrankRuehl"/>
          <w:rtl/>
        </w:rPr>
      </w:pPr>
      <w:r w:rsidRPr="00D348A1">
        <w:rPr>
          <w:rFonts w:ascii="FrankRuehl" w:hAnsi="FrankRuehl" w:cs="FrankRuehl"/>
          <w:rtl/>
        </w:rPr>
        <w:t xml:space="preserve">חקיקה שאוזכרה: </w:t>
      </w:r>
    </w:p>
    <w:p w14:paraId="5404E5AB" w14:textId="77777777" w:rsidR="00D348A1" w:rsidRPr="00D348A1" w:rsidRDefault="00D348A1" w:rsidP="00D348A1">
      <w:pPr>
        <w:spacing w:after="120" w:line="240" w:lineRule="exact"/>
        <w:ind w:left="283" w:hanging="283"/>
        <w:jc w:val="both"/>
        <w:rPr>
          <w:rFonts w:ascii="FrankRuehl" w:hAnsi="FrankRuehl" w:cs="FrankRuehl"/>
          <w:rtl/>
        </w:rPr>
      </w:pPr>
      <w:hyperlink r:id="rId7" w:history="1">
        <w:r w:rsidRPr="00D348A1">
          <w:rPr>
            <w:rFonts w:ascii="FrankRuehl" w:hAnsi="FrankRuehl" w:cs="FrankRuehl"/>
            <w:color w:val="0000FF"/>
            <w:u w:val="single"/>
            <w:rtl/>
          </w:rPr>
          <w:t>חוק העונשין, תשל"ז-1977</w:t>
        </w:r>
      </w:hyperlink>
      <w:r w:rsidRPr="00D348A1">
        <w:rPr>
          <w:rFonts w:ascii="FrankRuehl" w:hAnsi="FrankRuehl" w:cs="FrankRuehl"/>
          <w:rtl/>
        </w:rPr>
        <w:t xml:space="preserve">: סע'  </w:t>
      </w:r>
      <w:hyperlink r:id="rId8" w:history="1">
        <w:r w:rsidRPr="00D348A1">
          <w:rPr>
            <w:rFonts w:ascii="FrankRuehl" w:hAnsi="FrankRuehl" w:cs="FrankRuehl"/>
            <w:color w:val="0000FF"/>
            <w:u w:val="single"/>
            <w:rtl/>
          </w:rPr>
          <w:t>40ד</w:t>
        </w:r>
      </w:hyperlink>
      <w:r w:rsidRPr="00D348A1">
        <w:rPr>
          <w:rFonts w:ascii="FrankRuehl" w:hAnsi="FrankRuehl" w:cs="FrankRuehl"/>
          <w:rtl/>
        </w:rPr>
        <w:t xml:space="preserve">, </w:t>
      </w:r>
      <w:hyperlink r:id="rId9" w:history="1">
        <w:r w:rsidRPr="00D348A1">
          <w:rPr>
            <w:rFonts w:ascii="FrankRuehl" w:hAnsi="FrankRuehl" w:cs="FrankRuehl"/>
            <w:color w:val="0000FF"/>
            <w:u w:val="single"/>
            <w:rtl/>
          </w:rPr>
          <w:t>144(א)</w:t>
        </w:r>
      </w:hyperlink>
    </w:p>
    <w:p w14:paraId="5AEBAFC1" w14:textId="77777777" w:rsidR="00D348A1" w:rsidRPr="00D348A1" w:rsidRDefault="00D348A1" w:rsidP="00D348A1">
      <w:pPr>
        <w:spacing w:after="120" w:line="240" w:lineRule="exact"/>
        <w:ind w:left="283" w:hanging="283"/>
        <w:jc w:val="both"/>
        <w:rPr>
          <w:rFonts w:ascii="FrankRuehl" w:hAnsi="FrankRuehl" w:cs="FrankRuehl"/>
          <w:rtl/>
        </w:rPr>
      </w:pPr>
      <w:hyperlink r:id="rId10" w:history="1">
        <w:r w:rsidRPr="00D348A1">
          <w:rPr>
            <w:rFonts w:ascii="FrankRuehl" w:hAnsi="FrankRuehl" w:cs="FrankRuehl"/>
            <w:color w:val="0000FF"/>
            <w:u w:val="single"/>
            <w:rtl/>
          </w:rPr>
          <w:t>פקודת המבחן [נוסח חדש], תשכ"ט-1969</w:t>
        </w:r>
      </w:hyperlink>
      <w:r w:rsidRPr="00D348A1">
        <w:rPr>
          <w:rFonts w:ascii="FrankRuehl" w:hAnsi="FrankRuehl" w:cs="FrankRuehl"/>
          <w:rtl/>
        </w:rPr>
        <w:t xml:space="preserve">: סע'  </w:t>
      </w:r>
      <w:hyperlink r:id="rId11" w:history="1">
        <w:r w:rsidRPr="00D348A1">
          <w:rPr>
            <w:rFonts w:ascii="FrankRuehl" w:hAnsi="FrankRuehl" w:cs="FrankRuehl"/>
            <w:color w:val="0000FF"/>
            <w:u w:val="single"/>
            <w:rtl/>
          </w:rPr>
          <w:t>1(ב)</w:t>
        </w:r>
      </w:hyperlink>
    </w:p>
    <w:p w14:paraId="1EC268C4" w14:textId="77777777" w:rsidR="00D348A1" w:rsidRPr="00D348A1" w:rsidRDefault="00D348A1" w:rsidP="00D348A1">
      <w:pPr>
        <w:spacing w:after="120" w:line="240" w:lineRule="exact"/>
        <w:ind w:left="283" w:hanging="283"/>
        <w:jc w:val="both"/>
        <w:rPr>
          <w:rFonts w:ascii="FrankRuehl" w:hAnsi="FrankRuehl" w:cs="FrankRuehl"/>
          <w:rtl/>
        </w:rPr>
      </w:pPr>
    </w:p>
    <w:p w14:paraId="2339DF07" w14:textId="77777777" w:rsidR="00D348A1" w:rsidRPr="00D348A1" w:rsidRDefault="00D348A1">
      <w:pPr>
        <w:spacing w:line="360" w:lineRule="auto"/>
        <w:jc w:val="both"/>
        <w:rPr>
          <w:sz w:val="18"/>
          <w:szCs w:val="18"/>
          <w:rtl/>
        </w:rPr>
      </w:pPr>
      <w:bookmarkStart w:id="4" w:name="LawTable_End"/>
      <w:bookmarkEnd w:id="4"/>
    </w:p>
    <w:p w14:paraId="7E2DCF61" w14:textId="77777777" w:rsidR="008B4D28" w:rsidRPr="008B4D28" w:rsidRDefault="008B4D28">
      <w:pPr>
        <w:spacing w:line="360" w:lineRule="auto"/>
        <w:jc w:val="both"/>
        <w:rPr>
          <w:sz w:val="18"/>
          <w:szCs w:val="18"/>
          <w:rtl/>
        </w:rPr>
      </w:pPr>
    </w:p>
    <w:p w14:paraId="3E79B326" w14:textId="77777777" w:rsidR="00D6017F" w:rsidRPr="008B4D28" w:rsidRDefault="00D6017F">
      <w:pPr>
        <w:spacing w:line="360" w:lineRule="auto"/>
        <w:jc w:val="both"/>
        <w:rPr>
          <w:sz w:val="18"/>
          <w:szCs w:val="1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017F" w14:paraId="1C38C28F" w14:textId="77777777">
        <w:trPr>
          <w:trHeight w:val="355"/>
          <w:jc w:val="center"/>
        </w:trPr>
        <w:tc>
          <w:tcPr>
            <w:tcW w:w="8820" w:type="dxa"/>
            <w:tcBorders>
              <w:top w:val="nil"/>
              <w:left w:val="nil"/>
              <w:bottom w:val="nil"/>
              <w:right w:val="nil"/>
            </w:tcBorders>
            <w:shd w:val="clear" w:color="auto" w:fill="auto"/>
          </w:tcPr>
          <w:p w14:paraId="5DDA9CD5" w14:textId="77777777" w:rsidR="008B4D28" w:rsidRPr="008B4D28" w:rsidRDefault="008B4D28" w:rsidP="008B4D28">
            <w:pPr>
              <w:jc w:val="center"/>
              <w:rPr>
                <w:rFonts w:ascii="Arial" w:hAnsi="Arial" w:cs="FrankRuehl"/>
                <w:b/>
                <w:bCs/>
                <w:sz w:val="32"/>
                <w:szCs w:val="32"/>
                <w:u w:val="single"/>
                <w:rtl/>
              </w:rPr>
            </w:pPr>
            <w:bookmarkStart w:id="5" w:name="PsakDin" w:colFirst="0" w:colLast="0"/>
            <w:bookmarkEnd w:id="0"/>
            <w:bookmarkEnd w:id="1"/>
            <w:r w:rsidRPr="008B4D28">
              <w:rPr>
                <w:rFonts w:ascii="Arial" w:hAnsi="Arial" w:cs="FrankRuehl"/>
                <w:b/>
                <w:bCs/>
                <w:sz w:val="32"/>
                <w:szCs w:val="32"/>
                <w:u w:val="single"/>
                <w:rtl/>
              </w:rPr>
              <w:t>גזר דין</w:t>
            </w:r>
          </w:p>
          <w:p w14:paraId="26BF8407" w14:textId="77777777" w:rsidR="00D6017F" w:rsidRPr="008B4D28" w:rsidRDefault="00D6017F" w:rsidP="007123F8">
            <w:pPr>
              <w:rPr>
                <w:rFonts w:ascii="Arial" w:hAnsi="Arial" w:cs="FrankRuehl" w:hint="cs"/>
                <w:bCs/>
                <w:sz w:val="32"/>
                <w:szCs w:val="32"/>
                <w:u w:val="single"/>
                <w:rtl/>
              </w:rPr>
            </w:pPr>
          </w:p>
        </w:tc>
      </w:tr>
      <w:bookmarkEnd w:id="5"/>
    </w:tbl>
    <w:p w14:paraId="488C9C66" w14:textId="77777777" w:rsidR="00D6017F" w:rsidRDefault="00D6017F">
      <w:pPr>
        <w:spacing w:line="360" w:lineRule="auto"/>
        <w:jc w:val="both"/>
        <w:rPr>
          <w:sz w:val="18"/>
          <w:szCs w:val="18"/>
          <w:rtl/>
        </w:rPr>
      </w:pPr>
    </w:p>
    <w:p w14:paraId="5558D496" w14:textId="77777777" w:rsidR="00D6017F" w:rsidRDefault="008B4D28">
      <w:pPr>
        <w:pStyle w:val="ListParagraph"/>
        <w:numPr>
          <w:ilvl w:val="0"/>
          <w:numId w:val="1"/>
        </w:numPr>
        <w:spacing w:line="360" w:lineRule="auto"/>
        <w:jc w:val="both"/>
        <w:rPr>
          <w:rtl/>
        </w:rPr>
      </w:pPr>
      <w:bookmarkStart w:id="6" w:name="ABSTRACT_START"/>
      <w:bookmarkEnd w:id="6"/>
      <w:r>
        <w:rPr>
          <w:rtl/>
        </w:rPr>
        <w:t xml:space="preserve">במסגרת הסדר טיעון שלא כלל הסדר על העונש, הודה הנאשם בביצוע עבירה של החזקת נשק ותחמושת לפי </w:t>
      </w:r>
      <w:hyperlink r:id="rId12" w:history="1">
        <w:r w:rsidR="007123F8" w:rsidRPr="007123F8">
          <w:rPr>
            <w:rStyle w:val="Hyperlink"/>
            <w:rtl/>
          </w:rPr>
          <w:t>סעיפים 144(א)</w:t>
        </w:r>
      </w:hyperlink>
      <w:r>
        <w:rPr>
          <w:rtl/>
        </w:rPr>
        <w:t xml:space="preserve"> רישא ו- </w:t>
      </w:r>
      <w:hyperlink r:id="rId13" w:history="1">
        <w:r w:rsidR="007123F8" w:rsidRPr="007123F8">
          <w:rPr>
            <w:rStyle w:val="Hyperlink"/>
            <w:rtl/>
          </w:rPr>
          <w:t>144(א)</w:t>
        </w:r>
      </w:hyperlink>
      <w:r>
        <w:rPr>
          <w:rtl/>
        </w:rPr>
        <w:t xml:space="preserve"> סיפא ל</w:t>
      </w:r>
      <w:hyperlink r:id="rId14" w:history="1">
        <w:r w:rsidRPr="008B4D28">
          <w:rPr>
            <w:color w:val="0000FF"/>
            <w:u w:val="single"/>
            <w:rtl/>
          </w:rPr>
          <w:t>חוק העונשין</w:t>
        </w:r>
      </w:hyperlink>
      <w:r>
        <w:rPr>
          <w:rtl/>
        </w:rPr>
        <w:t xml:space="preserve">. על פי האמור בכתב האישום המתוקן, ביום 27.7.15 בשעה 22:10 החזיק הנאשם בשטח פתוח באיזור הדרומי בכפר ג'סר א- זרקא אקדח מסוג חילוואן (הלוואן) תוצרת מצרים, קליבר 9 מ"מ פרבלום, כן החזיק בכיס מכנסיו כדור מסוג 9 מ"מ ומחסנית ובתוכה כדור נוסף. כשהוא הבחין בשוטרים, זרק את הנשק ארצה והחל לברוח. הוא נעצר לאחר מרדף רגלי קצר. </w:t>
      </w:r>
    </w:p>
    <w:p w14:paraId="4BE06F09" w14:textId="77777777" w:rsidR="00D6017F" w:rsidRDefault="00D6017F">
      <w:pPr>
        <w:spacing w:line="360" w:lineRule="auto"/>
        <w:jc w:val="both"/>
        <w:rPr>
          <w:sz w:val="18"/>
          <w:szCs w:val="18"/>
          <w:rtl/>
        </w:rPr>
      </w:pPr>
      <w:bookmarkStart w:id="7" w:name="ABSTRACT_END"/>
      <w:bookmarkEnd w:id="7"/>
    </w:p>
    <w:p w14:paraId="7C107F5D" w14:textId="77777777" w:rsidR="00D6017F" w:rsidRDefault="008B4D28">
      <w:pPr>
        <w:pStyle w:val="ListParagraph"/>
        <w:spacing w:line="360" w:lineRule="auto"/>
        <w:ind w:left="567"/>
        <w:jc w:val="both"/>
        <w:rPr>
          <w:rtl/>
        </w:rPr>
      </w:pPr>
      <w:r>
        <w:rPr>
          <w:b/>
          <w:bCs/>
          <w:u w:val="single"/>
          <w:rtl/>
        </w:rPr>
        <w:t>טיעוני המאשימה לעניין העונש</w:t>
      </w:r>
    </w:p>
    <w:p w14:paraId="1FF2FD7C" w14:textId="77777777" w:rsidR="00D6017F" w:rsidRDefault="00D6017F">
      <w:pPr>
        <w:spacing w:line="360" w:lineRule="auto"/>
        <w:jc w:val="both"/>
        <w:rPr>
          <w:sz w:val="18"/>
          <w:szCs w:val="18"/>
          <w:rtl/>
        </w:rPr>
      </w:pPr>
    </w:p>
    <w:p w14:paraId="47F34AB3" w14:textId="77777777" w:rsidR="00D6017F" w:rsidRDefault="008B4D28">
      <w:pPr>
        <w:pStyle w:val="ListParagraph"/>
        <w:numPr>
          <w:ilvl w:val="0"/>
          <w:numId w:val="1"/>
        </w:numPr>
        <w:spacing w:line="360" w:lineRule="auto"/>
        <w:jc w:val="both"/>
        <w:rPr>
          <w:rtl/>
        </w:rPr>
      </w:pPr>
      <w:r>
        <w:rPr>
          <w:rtl/>
        </w:rPr>
        <w:t>המדינה ציינה שהנאשם נעצר ביום 27.7.15 וש</w:t>
      </w:r>
      <w:r>
        <w:rPr>
          <w:rFonts w:hint="cs"/>
          <w:rtl/>
        </w:rPr>
        <w:t>ו</w:t>
      </w:r>
      <w:r>
        <w:rPr>
          <w:rtl/>
        </w:rPr>
        <w:t xml:space="preserve">חרר למעצר בית מלא ביום 10.8.15 כאשר ביום 10.1.16 הותר לו לצאת לעבודה ומאז הוא שוהה במעצר בית חלקי. </w:t>
      </w:r>
    </w:p>
    <w:p w14:paraId="5B8587E6" w14:textId="77777777" w:rsidR="00D6017F" w:rsidRDefault="00D6017F">
      <w:pPr>
        <w:spacing w:line="360" w:lineRule="auto"/>
        <w:jc w:val="both"/>
        <w:rPr>
          <w:rtl/>
        </w:rPr>
      </w:pPr>
    </w:p>
    <w:p w14:paraId="2CBB5859" w14:textId="77777777" w:rsidR="00D6017F" w:rsidRDefault="008B4D28">
      <w:pPr>
        <w:pStyle w:val="ListParagraph"/>
        <w:numPr>
          <w:ilvl w:val="0"/>
          <w:numId w:val="1"/>
        </w:numPr>
        <w:spacing w:line="360" w:lineRule="auto"/>
        <w:jc w:val="both"/>
        <w:rPr>
          <w:rtl/>
        </w:rPr>
      </w:pPr>
      <w:r>
        <w:rPr>
          <w:rtl/>
        </w:rPr>
        <w:t xml:space="preserve">באשר לנסיבות ביצוע העבירה, נטען שאמנם הנאשם לא עשה שימוש בנשק, אך עצם ההחזקה מקימה פוטנציאל </w:t>
      </w:r>
      <w:r>
        <w:rPr>
          <w:rFonts w:hint="cs"/>
          <w:rtl/>
        </w:rPr>
        <w:t>משמעותי לשימוש ב</w:t>
      </w:r>
      <w:r>
        <w:rPr>
          <w:rtl/>
        </w:rPr>
        <w:t xml:space="preserve">נשק. נטען שמדובר בחוליה מתוך </w:t>
      </w:r>
      <w:r>
        <w:rPr>
          <w:rtl/>
        </w:rPr>
        <w:lastRenderedPageBreak/>
        <w:t xml:space="preserve">שרשרת מעשים פוטנציאליים שעלולים להביא לפגיעה בחיי אדם. נטען שבמקרה לא מתקימות נסיבות הקשורות לביצוע העבירה המפחיתות חומרת המעשה שכן הנאשם הבין את שעשה ואת הפסול במעשיו. </w:t>
      </w:r>
    </w:p>
    <w:p w14:paraId="2A392759" w14:textId="77777777" w:rsidR="00D6017F" w:rsidRDefault="00D6017F">
      <w:pPr>
        <w:spacing w:line="360" w:lineRule="auto"/>
        <w:jc w:val="both"/>
        <w:rPr>
          <w:rtl/>
        </w:rPr>
      </w:pPr>
    </w:p>
    <w:p w14:paraId="6DA75314" w14:textId="77777777" w:rsidR="00D6017F" w:rsidRDefault="008B4D28">
      <w:pPr>
        <w:pStyle w:val="ListParagraph"/>
        <w:numPr>
          <w:ilvl w:val="0"/>
          <w:numId w:val="1"/>
        </w:numPr>
        <w:spacing w:line="360" w:lineRule="auto"/>
        <w:jc w:val="both"/>
        <w:rPr>
          <w:rtl/>
        </w:rPr>
      </w:pPr>
      <w:r>
        <w:rPr>
          <w:rtl/>
        </w:rPr>
        <w:t>באשר למדיניות הענישה נטען שהעונש המירבי עומד על 7 שנים וכי מדיניות הענישה מחמירה (</w:t>
      </w:r>
      <w:hyperlink r:id="rId15" w:history="1">
        <w:r w:rsidRPr="008B4D28">
          <w:rPr>
            <w:color w:val="0000FF"/>
            <w:u w:val="single"/>
            <w:rtl/>
          </w:rPr>
          <w:t>ע"פ 3300/06</w:t>
        </w:r>
      </w:hyperlink>
      <w:r>
        <w:rPr>
          <w:rtl/>
        </w:rPr>
        <w:t xml:space="preserve"> </w:t>
      </w:r>
      <w:r>
        <w:rPr>
          <w:b/>
          <w:bCs/>
          <w:rtl/>
        </w:rPr>
        <w:t xml:space="preserve">אבו סנינא נ' מדינת ישראל </w:t>
      </w:r>
      <w:r>
        <w:rPr>
          <w:rtl/>
        </w:rPr>
        <w:t xml:space="preserve">(2006); </w:t>
      </w:r>
      <w:hyperlink r:id="rId16" w:history="1">
        <w:r w:rsidR="00D348A1" w:rsidRPr="00D348A1">
          <w:rPr>
            <w:color w:val="0000FF"/>
            <w:u w:val="single"/>
            <w:rtl/>
          </w:rPr>
          <w:t xml:space="preserve">ע"פ 1332/04 </w:t>
        </w:r>
      </w:hyperlink>
      <w:r>
        <w:rPr>
          <w:rtl/>
        </w:rPr>
        <w:t xml:space="preserve"> </w:t>
      </w:r>
      <w:r>
        <w:rPr>
          <w:b/>
          <w:bCs/>
          <w:rtl/>
        </w:rPr>
        <w:t xml:space="preserve">מדינת ישראל נ' פס </w:t>
      </w:r>
      <w:r>
        <w:rPr>
          <w:rtl/>
        </w:rPr>
        <w:t xml:space="preserve">(2004)). המדינה איזכרה מקרים בהם הוטלו עונשים בין 18 עד 50 חודשי מאסר בפועל. </w:t>
      </w:r>
    </w:p>
    <w:p w14:paraId="472B06A0" w14:textId="77777777" w:rsidR="00D6017F" w:rsidRDefault="008B4D28">
      <w:pPr>
        <w:pStyle w:val="ListParagraph"/>
        <w:spacing w:line="360" w:lineRule="auto"/>
        <w:ind w:left="927"/>
        <w:jc w:val="both"/>
        <w:rPr>
          <w:rtl/>
        </w:rPr>
      </w:pPr>
      <w:r>
        <w:rPr>
          <w:rtl/>
        </w:rPr>
        <w:t>ב</w:t>
      </w:r>
      <w:hyperlink r:id="rId17" w:history="1">
        <w:r w:rsidRPr="008B4D28">
          <w:rPr>
            <w:color w:val="0000FF"/>
            <w:u w:val="single"/>
            <w:rtl/>
          </w:rPr>
          <w:t>ע"פ 3288/14</w:t>
        </w:r>
      </w:hyperlink>
      <w:r>
        <w:rPr>
          <w:rtl/>
        </w:rPr>
        <w:t xml:space="preserve"> </w:t>
      </w:r>
      <w:r>
        <w:rPr>
          <w:b/>
          <w:bCs/>
          <w:rtl/>
        </w:rPr>
        <w:t xml:space="preserve">מדינת ישראל נ' מרדכי קריספין </w:t>
      </w:r>
      <w:r>
        <w:rPr>
          <w:rtl/>
        </w:rPr>
        <w:t xml:space="preserve">(24.8.2014) הורשע נאשם בהחזקת אקדח גנוב, טעון, ומחסנית ובה 7 כדורים ומשתיק קול, הושתו 9 חודשי מאסר בפועל כאשר לנאשם היו הרשעות קודמות. בערעור הוחמר העונש והועמד על 18 חודשי מאסר בפועל. </w:t>
      </w:r>
    </w:p>
    <w:p w14:paraId="58A9F261" w14:textId="77777777" w:rsidR="00D6017F" w:rsidRDefault="008B4D28">
      <w:pPr>
        <w:pStyle w:val="ListParagraph"/>
        <w:spacing w:line="360" w:lineRule="auto"/>
        <w:ind w:left="927"/>
        <w:jc w:val="both"/>
        <w:rPr>
          <w:rtl/>
        </w:rPr>
      </w:pPr>
      <w:r>
        <w:rPr>
          <w:rtl/>
        </w:rPr>
        <w:t>ב</w:t>
      </w:r>
      <w:hyperlink r:id="rId18" w:history="1">
        <w:r w:rsidRPr="008B4D28">
          <w:rPr>
            <w:color w:val="0000FF"/>
            <w:u w:val="single"/>
            <w:rtl/>
          </w:rPr>
          <w:t>ע"פ 3632/14</w:t>
        </w:r>
      </w:hyperlink>
      <w:r>
        <w:rPr>
          <w:rtl/>
        </w:rPr>
        <w:t xml:space="preserve"> </w:t>
      </w:r>
      <w:r>
        <w:rPr>
          <w:b/>
          <w:bCs/>
          <w:rtl/>
        </w:rPr>
        <w:t xml:space="preserve">אנואר אבו סבית נ' מדינת ישראל </w:t>
      </w:r>
      <w:r>
        <w:rPr>
          <w:rtl/>
        </w:rPr>
        <w:t xml:space="preserve">(8.12.2014) נאשם צעיר ללא עבר פלילי הורשע בהחזקת נשק והוטלו עליו 18 חודשי מאסר בפועל. הערעור לבית המשפט העליון נדחה. </w:t>
      </w:r>
    </w:p>
    <w:p w14:paraId="0AC44D4E" w14:textId="77777777" w:rsidR="00D6017F" w:rsidRDefault="008B4D28">
      <w:pPr>
        <w:pStyle w:val="ListParagraph"/>
        <w:spacing w:line="360" w:lineRule="auto"/>
        <w:ind w:left="927"/>
        <w:jc w:val="both"/>
        <w:rPr>
          <w:rtl/>
        </w:rPr>
      </w:pPr>
      <w:r>
        <w:rPr>
          <w:rtl/>
        </w:rPr>
        <w:t>ב</w:t>
      </w:r>
      <w:hyperlink r:id="rId19" w:history="1">
        <w:r w:rsidRPr="008B4D28">
          <w:rPr>
            <w:color w:val="0000FF"/>
            <w:u w:val="single"/>
            <w:rtl/>
          </w:rPr>
          <w:t>רע"פ 2822/12</w:t>
        </w:r>
      </w:hyperlink>
      <w:r>
        <w:rPr>
          <w:rtl/>
        </w:rPr>
        <w:t xml:space="preserve"> </w:t>
      </w:r>
      <w:r>
        <w:rPr>
          <w:b/>
          <w:bCs/>
          <w:rtl/>
        </w:rPr>
        <w:t xml:space="preserve">איברהים דואהרי נ' מדינת ישראל </w:t>
      </w:r>
      <w:r>
        <w:rPr>
          <w:rtl/>
        </w:rPr>
        <w:t>(25.4.2012) הורשע נאשם בהחזקת נשק כאשר בסמוך לבית מגוריו נתפס תיק ובו אקדח עם מחסנית שהכילה 13 כדורים ו- 2</w:t>
      </w:r>
      <w:r>
        <w:rPr>
          <w:rFonts w:hint="cs"/>
          <w:rtl/>
        </w:rPr>
        <w:t xml:space="preserve"> </w:t>
      </w:r>
      <w:r>
        <w:rPr>
          <w:rtl/>
        </w:rPr>
        <w:t xml:space="preserve">מחסניות נוספות. בערעור השית בית המשפט המחוזי 20 חודשי מאסר בפועל. בקשת רשות ערעור לבית המשפט העליון נדחתה. </w:t>
      </w:r>
    </w:p>
    <w:p w14:paraId="27D6698D" w14:textId="77777777" w:rsidR="00D6017F" w:rsidRDefault="008B4D28">
      <w:pPr>
        <w:pStyle w:val="ListParagraph"/>
        <w:spacing w:line="360" w:lineRule="auto"/>
        <w:ind w:left="927"/>
        <w:jc w:val="both"/>
        <w:rPr>
          <w:rtl/>
        </w:rPr>
      </w:pPr>
      <w:r>
        <w:rPr>
          <w:rtl/>
        </w:rPr>
        <w:t>ב</w:t>
      </w:r>
      <w:hyperlink r:id="rId20" w:history="1">
        <w:r w:rsidRPr="008B4D28">
          <w:rPr>
            <w:color w:val="0000FF"/>
            <w:u w:val="single"/>
            <w:rtl/>
          </w:rPr>
          <w:t>ע"פ 2892/13</w:t>
        </w:r>
      </w:hyperlink>
      <w:r>
        <w:rPr>
          <w:rtl/>
        </w:rPr>
        <w:t xml:space="preserve"> </w:t>
      </w:r>
      <w:r>
        <w:rPr>
          <w:b/>
          <w:bCs/>
          <w:rtl/>
        </w:rPr>
        <w:t xml:space="preserve">עודתאללה נ' מדינת ישראל </w:t>
      </w:r>
      <w:r>
        <w:rPr>
          <w:rtl/>
        </w:rPr>
        <w:t>(29.9.2013) מערער בן 25 ללא עבר פלילי הורשע בעבירות של נשיאה והובל</w:t>
      </w:r>
      <w:r>
        <w:rPr>
          <w:rFonts w:hint="cs"/>
          <w:rtl/>
        </w:rPr>
        <w:t>ת</w:t>
      </w:r>
      <w:r>
        <w:rPr>
          <w:rtl/>
        </w:rPr>
        <w:t xml:space="preserve"> נשק והסתייעות ברכב לביצוע פשע כאשר הוא נתפס וברכבו אקדח ומחסנית ריקה. נגזרו עליו 20 חודשי מאסר בפועל. הערעור לבית המשפט העליון נדחה. </w:t>
      </w:r>
    </w:p>
    <w:p w14:paraId="679C133F" w14:textId="77777777" w:rsidR="00D6017F" w:rsidRDefault="008B4D28">
      <w:pPr>
        <w:pStyle w:val="ListParagraph"/>
        <w:spacing w:line="360" w:lineRule="auto"/>
        <w:ind w:left="927"/>
        <w:jc w:val="both"/>
        <w:rPr>
          <w:rtl/>
        </w:rPr>
      </w:pPr>
      <w:r>
        <w:rPr>
          <w:rtl/>
        </w:rPr>
        <w:t>ב</w:t>
      </w:r>
      <w:hyperlink r:id="rId21" w:history="1">
        <w:r w:rsidRPr="008B4D28">
          <w:rPr>
            <w:color w:val="0000FF"/>
            <w:u w:val="single"/>
            <w:rtl/>
          </w:rPr>
          <w:t>ע"פ 9373/10</w:t>
        </w:r>
      </w:hyperlink>
      <w:r>
        <w:rPr>
          <w:rtl/>
        </w:rPr>
        <w:t xml:space="preserve"> </w:t>
      </w:r>
      <w:r>
        <w:rPr>
          <w:b/>
          <w:bCs/>
          <w:rtl/>
        </w:rPr>
        <w:t xml:space="preserve">חמד וותד נ' מדינת ישראל </w:t>
      </w:r>
      <w:r>
        <w:rPr>
          <w:rtl/>
        </w:rPr>
        <w:t>(14.9.2011) הורשע נאשם בעבירות של החזקה ונשיאת נשק כאשר</w:t>
      </w:r>
      <w:r>
        <w:rPr>
          <w:rFonts w:hint="cs"/>
          <w:rtl/>
        </w:rPr>
        <w:t xml:space="preserve"> </w:t>
      </w:r>
      <w:r>
        <w:rPr>
          <w:rtl/>
        </w:rPr>
        <w:t xml:space="preserve">לחובתו 3 הרשעות קודמות שלא בעבירות נשק- נגזרו עליו 50 חודשי מאסר בפועל. בית המשפט העליון קבע שהגיעה העת להחמיר בעבירות נשק ואך קבע שיש לעשות זאת בהדרגה והעמיד את העונש על 30 חודשי  מאסר בפועל. </w:t>
      </w:r>
    </w:p>
    <w:p w14:paraId="699B4D99" w14:textId="77777777" w:rsidR="00D6017F" w:rsidRDefault="00D6017F">
      <w:pPr>
        <w:spacing w:line="360" w:lineRule="auto"/>
        <w:jc w:val="both"/>
        <w:rPr>
          <w:sz w:val="18"/>
          <w:szCs w:val="18"/>
          <w:rtl/>
        </w:rPr>
      </w:pPr>
    </w:p>
    <w:p w14:paraId="05FCCE23" w14:textId="77777777" w:rsidR="00D6017F" w:rsidRDefault="008B4D28">
      <w:pPr>
        <w:pStyle w:val="ListParagraph"/>
        <w:numPr>
          <w:ilvl w:val="0"/>
          <w:numId w:val="1"/>
        </w:numPr>
        <w:spacing w:line="360" w:lineRule="auto"/>
        <w:jc w:val="both"/>
        <w:rPr>
          <w:rtl/>
        </w:rPr>
      </w:pPr>
      <w:r>
        <w:rPr>
          <w:rtl/>
        </w:rPr>
        <w:t xml:space="preserve">נטען שנפגעו הערכים החברתיים של ההגנה על שלום הציבור ובטחונו </w:t>
      </w:r>
      <w:r>
        <w:rPr>
          <w:rFonts w:hint="cs"/>
          <w:rtl/>
        </w:rPr>
        <w:t>ו</w:t>
      </w:r>
      <w:r>
        <w:rPr>
          <w:rtl/>
        </w:rPr>
        <w:t xml:space="preserve">ההגנה על הסדר הציבורי. נטען למתחם עונש הולם בין 18 עד 36 חודשי מאסר בפועל. נטען שבעניינו של הנאשם הוגש תסקיר ובו הערכת מסוכנות נמוכה עם המלצה להטלת מאסר בעבודות שירות לצד צו מבחן. נטען שבית המשפט העליון ציין לא אחת שמדיניות הענישה בעבירות נשק גם למי שזו לו הרשעתו הראשונה הינה מאסר בפועל ולפיכך על בית המשפט לתת משקל לנסיבות אישיות בתוך המתחם באופן שיבוא לידי ביטוי במשך המאסר. נטען שהמלצת שירות המבחן אינה הולמת את חומרת העבירות וקבלת </w:t>
      </w:r>
      <w:r>
        <w:rPr>
          <w:rtl/>
        </w:rPr>
        <w:lastRenderedPageBreak/>
        <w:t xml:space="preserve">ההמלצה תוביל לסטיה ממתחם העונש ההולם. נטען שבנסיבות דנן אין מקום לסטות מהמתחם שפורט כאשר הנאשם לא החל בכל הליך שיקומי טיפולי. נטען שגם כאשר קיימים סיכויי שיקום גבוהים לא מוביל הדבר בהכרח לחריגה מן המתחם הראוי. על כן ביקשה המדינה להטיל מאסר בפועל בתוך המתחם, מאסר על תנאי ממושך וקנס. </w:t>
      </w:r>
    </w:p>
    <w:p w14:paraId="4E7CC93D" w14:textId="77777777" w:rsidR="00D6017F" w:rsidRDefault="00D6017F">
      <w:pPr>
        <w:pStyle w:val="ListParagraph"/>
        <w:spacing w:line="360" w:lineRule="auto"/>
        <w:ind w:left="567"/>
        <w:jc w:val="both"/>
        <w:rPr>
          <w:b/>
          <w:bCs/>
          <w:sz w:val="18"/>
          <w:szCs w:val="18"/>
          <w:u w:val="single"/>
          <w:rtl/>
        </w:rPr>
      </w:pPr>
    </w:p>
    <w:p w14:paraId="24410FAA" w14:textId="77777777" w:rsidR="00D6017F" w:rsidRDefault="008B4D28">
      <w:pPr>
        <w:pStyle w:val="ListParagraph"/>
        <w:spacing w:line="360" w:lineRule="auto"/>
        <w:ind w:left="567"/>
        <w:jc w:val="both"/>
        <w:rPr>
          <w:rtl/>
        </w:rPr>
      </w:pPr>
      <w:r>
        <w:rPr>
          <w:b/>
          <w:bCs/>
          <w:u w:val="single"/>
          <w:rtl/>
        </w:rPr>
        <w:t>טיעוני ב"כ הנאשם לעונש</w:t>
      </w:r>
    </w:p>
    <w:p w14:paraId="6F02B2D0" w14:textId="77777777" w:rsidR="00D6017F" w:rsidRDefault="00D6017F">
      <w:pPr>
        <w:spacing w:line="360" w:lineRule="auto"/>
        <w:jc w:val="both"/>
        <w:rPr>
          <w:sz w:val="12"/>
          <w:szCs w:val="12"/>
          <w:rtl/>
        </w:rPr>
      </w:pPr>
    </w:p>
    <w:p w14:paraId="5592CF65" w14:textId="77777777" w:rsidR="00D6017F" w:rsidRDefault="008B4D28">
      <w:pPr>
        <w:pStyle w:val="ListParagraph"/>
        <w:numPr>
          <w:ilvl w:val="0"/>
          <w:numId w:val="1"/>
        </w:numPr>
        <w:spacing w:line="360" w:lineRule="auto"/>
        <w:jc w:val="both"/>
        <w:rPr>
          <w:rtl/>
        </w:rPr>
      </w:pPr>
      <w:r>
        <w:rPr>
          <w:rtl/>
        </w:rPr>
        <w:t xml:space="preserve">הסניגור ביקש לאמץ </w:t>
      </w:r>
      <w:r>
        <w:rPr>
          <w:rFonts w:hint="cs"/>
          <w:rtl/>
        </w:rPr>
        <w:t xml:space="preserve">את </w:t>
      </w:r>
      <w:r>
        <w:rPr>
          <w:rtl/>
        </w:rPr>
        <w:t>המלצת שירות המבחן ולהשית מאסר שירוצ</w:t>
      </w:r>
      <w:r>
        <w:rPr>
          <w:rFonts w:hint="cs"/>
          <w:rtl/>
        </w:rPr>
        <w:t>ה</w:t>
      </w:r>
      <w:r>
        <w:rPr>
          <w:rtl/>
        </w:rPr>
        <w:t xml:space="preserve"> בעבודות שירות ותקופת מבחן לשנה. נטען שמדובר בהמלצה ראויה. נטען שהנאשם הודה בהזדמנות הראשונה ועל פי העבירה שנותרה בכתב האישום המתוקן, מדובר בעבירה המוגשת לבית משפט השלום. הסניגור תאר את נסיבותיו האישיות והמשפחתיות של הנאשם והדגיש כי מדובר במשפחה נורמטיבית כאשר הנאשם עצמו עבד למחייתו טרם מעצרו. כמו כן הודגש שהנאשם שוהה מזה זמן במעצר בית חלקי בלבד ולא הפר את האמון שניתן בו. נטען שבית המשפט רשאי לחרוג ממתחם הענישה כאשר קיימים סיכויי שיקום טובים. </w:t>
      </w:r>
    </w:p>
    <w:p w14:paraId="7C2B3D04" w14:textId="77777777" w:rsidR="00D6017F" w:rsidRDefault="00D6017F">
      <w:pPr>
        <w:spacing w:line="360" w:lineRule="auto"/>
        <w:jc w:val="both"/>
        <w:rPr>
          <w:sz w:val="18"/>
          <w:szCs w:val="18"/>
          <w:rtl/>
        </w:rPr>
      </w:pPr>
    </w:p>
    <w:p w14:paraId="21D0AECD" w14:textId="77777777" w:rsidR="00D6017F" w:rsidRDefault="008B4D28" w:rsidP="00D348A1">
      <w:pPr>
        <w:pStyle w:val="ListParagraph"/>
        <w:numPr>
          <w:ilvl w:val="0"/>
          <w:numId w:val="1"/>
        </w:numPr>
        <w:spacing w:line="360" w:lineRule="auto"/>
        <w:jc w:val="both"/>
        <w:rPr>
          <w:rtl/>
        </w:rPr>
      </w:pPr>
      <w:r>
        <w:rPr>
          <w:rtl/>
        </w:rPr>
        <w:t>הסניגור הפנה ל</w:t>
      </w:r>
      <w:hyperlink r:id="rId22" w:history="1">
        <w:r w:rsidR="00D348A1" w:rsidRPr="00D348A1">
          <w:rPr>
            <w:color w:val="0000FF"/>
            <w:u w:val="single"/>
            <w:rtl/>
          </w:rPr>
          <w:t xml:space="preserve">ת"פ 3622-10-13 </w:t>
        </w:r>
      </w:hyperlink>
      <w:r w:rsidR="00D348A1" w:rsidRPr="00D348A1">
        <w:rPr>
          <w:rtl/>
        </w:rPr>
        <w:t xml:space="preserve"> </w:t>
      </w:r>
      <w:r>
        <w:rPr>
          <w:b/>
          <w:bCs/>
          <w:rtl/>
        </w:rPr>
        <w:t>מדינת ישראל נ' מוחמד עמאש</w:t>
      </w:r>
      <w:r>
        <w:rPr>
          <w:rtl/>
        </w:rPr>
        <w:t xml:space="preserve"> (5.5.2015) בגין החזקת תת מקלע דמוי קרל גוסטב מתחת למושב רכב בו נסע הנאשם ואחר,  נקבע מתחם ענישה הולם בין 8 עד 24 חודשי מאסר בפועל. בית המשפט החליט באותו מקרה כי קיימים סיכויי שיקום של ממש בהסתמך על תסקיר שירות המבחן והושת עונש של מאסר שירוצ</w:t>
      </w:r>
      <w:r>
        <w:rPr>
          <w:rFonts w:hint="cs"/>
          <w:rtl/>
        </w:rPr>
        <w:t>ה</w:t>
      </w:r>
      <w:r>
        <w:rPr>
          <w:rtl/>
        </w:rPr>
        <w:t xml:space="preserve"> בעבודות שירות במשך 4 חודשים וצו מבחן לשנה. </w:t>
      </w:r>
    </w:p>
    <w:p w14:paraId="5DCEBB1F" w14:textId="77777777" w:rsidR="00D6017F" w:rsidRDefault="008B4D28">
      <w:pPr>
        <w:pStyle w:val="ListParagraph"/>
        <w:spacing w:line="360" w:lineRule="auto"/>
        <w:ind w:left="927"/>
        <w:jc w:val="both"/>
        <w:rPr>
          <w:rtl/>
        </w:rPr>
      </w:pPr>
      <w:r>
        <w:rPr>
          <w:rtl/>
        </w:rPr>
        <w:t>ב</w:t>
      </w:r>
      <w:hyperlink r:id="rId23" w:history="1">
        <w:r w:rsidRPr="008B4D28">
          <w:rPr>
            <w:color w:val="0000FF"/>
            <w:u w:val="single"/>
            <w:rtl/>
          </w:rPr>
          <w:t>ע"פ 7139/12</w:t>
        </w:r>
      </w:hyperlink>
      <w:r>
        <w:rPr>
          <w:rtl/>
        </w:rPr>
        <w:t xml:space="preserve"> </w:t>
      </w:r>
      <w:r>
        <w:rPr>
          <w:b/>
          <w:bCs/>
          <w:rtl/>
        </w:rPr>
        <w:t xml:space="preserve">גורנו ליאור נ' מדינת ישראל </w:t>
      </w:r>
      <w:r>
        <w:rPr>
          <w:rtl/>
        </w:rPr>
        <w:t xml:space="preserve">(7.3.2013) הושת על נאשם מאסר של 6 חודשים לריצוי בעבודות שירות במקום 8 חודשי מאסר בפועל, למרות שהוא עבר עבירות של החזקת נשק, אך לזכותו עבר נקי ותקופה ארוכה שחלפה מאז ביצוע העבירות והתפתחות מקצועית ומשפחתית חיובית כך שהערעור נדחה. </w:t>
      </w:r>
    </w:p>
    <w:p w14:paraId="5EED8D7E" w14:textId="77777777" w:rsidR="00D6017F" w:rsidRDefault="008B4D28">
      <w:pPr>
        <w:pStyle w:val="ListParagraph"/>
        <w:spacing w:line="360" w:lineRule="auto"/>
        <w:ind w:left="927"/>
        <w:jc w:val="both"/>
        <w:rPr>
          <w:rtl/>
        </w:rPr>
      </w:pPr>
      <w:r>
        <w:rPr>
          <w:rtl/>
        </w:rPr>
        <w:t>ב</w:t>
      </w:r>
      <w:hyperlink r:id="rId24" w:history="1">
        <w:r w:rsidRPr="008B4D28">
          <w:rPr>
            <w:color w:val="0000FF"/>
            <w:u w:val="single"/>
            <w:rtl/>
          </w:rPr>
          <w:t>ע"פ 5713/10</w:t>
        </w:r>
      </w:hyperlink>
      <w:r>
        <w:rPr>
          <w:rtl/>
        </w:rPr>
        <w:t xml:space="preserve"> </w:t>
      </w:r>
      <w:r>
        <w:rPr>
          <w:b/>
          <w:bCs/>
          <w:rtl/>
        </w:rPr>
        <w:t xml:space="preserve">יהושע אקרמן נ' מדינת ישראל </w:t>
      </w:r>
      <w:r>
        <w:rPr>
          <w:rtl/>
        </w:rPr>
        <w:t xml:space="preserve">(1.3.2011)  בית המשפט המחוזי הטיל על המערער בגין החזקת נשק (לבנות חבלה) 9 חודשי מאסר בפועל ובית המשפט העליון המיר זאת ב- 6 חודשי מאסר לריצוי בעבודות שירות לאור עבר חיובי ונורמטיבי לרבות שירות צבאי קרבי ונטילת אחריות מלאה. </w:t>
      </w:r>
    </w:p>
    <w:p w14:paraId="5A5A16EE" w14:textId="77777777" w:rsidR="00D6017F" w:rsidRDefault="008B4D28">
      <w:pPr>
        <w:pStyle w:val="ListParagraph"/>
        <w:spacing w:line="360" w:lineRule="auto"/>
        <w:ind w:left="927"/>
        <w:jc w:val="both"/>
        <w:rPr>
          <w:rtl/>
        </w:rPr>
      </w:pPr>
      <w:r>
        <w:rPr>
          <w:rtl/>
        </w:rPr>
        <w:t>ב</w:t>
      </w:r>
      <w:hyperlink r:id="rId25" w:history="1">
        <w:r w:rsidRPr="008B4D28">
          <w:rPr>
            <w:color w:val="0000FF"/>
            <w:u w:val="single"/>
            <w:rtl/>
          </w:rPr>
          <w:t>ע"פ 4945/13</w:t>
        </w:r>
      </w:hyperlink>
      <w:r>
        <w:rPr>
          <w:rtl/>
        </w:rPr>
        <w:t xml:space="preserve"> </w:t>
      </w:r>
      <w:r>
        <w:rPr>
          <w:b/>
          <w:bCs/>
          <w:rtl/>
        </w:rPr>
        <w:t xml:space="preserve">מדינת ישראל נ' עבד אל כרים סלימאן </w:t>
      </w:r>
      <w:r>
        <w:rPr>
          <w:rtl/>
        </w:rPr>
        <w:t>(19.1.2014) הושת</w:t>
      </w:r>
      <w:r>
        <w:rPr>
          <w:rFonts w:hint="cs"/>
          <w:rtl/>
        </w:rPr>
        <w:t>ו</w:t>
      </w:r>
      <w:r>
        <w:rPr>
          <w:rtl/>
        </w:rPr>
        <w:t xml:space="preserve"> על המשיב 6 חודשי מאסר לריצוי בעבודות שירות בגין החזקת נשק ונשיאה והובלה, נשיאה והובלה של תחמושת, הפרעה לשוטר במילוי תפקידו ומעשה פזיזות והסתייעות ברכב לביצוע פשע. נקבע שהמשיב רכ</w:t>
      </w:r>
      <w:r>
        <w:rPr>
          <w:rFonts w:hint="cs"/>
          <w:rtl/>
        </w:rPr>
        <w:t>ש</w:t>
      </w:r>
      <w:r>
        <w:rPr>
          <w:rtl/>
        </w:rPr>
        <w:t xml:space="preserve"> מאדם נשק מסוג קרל גוסטב</w:t>
      </w:r>
      <w:r>
        <w:rPr>
          <w:rFonts w:hint="cs"/>
          <w:rtl/>
        </w:rPr>
        <w:t>,</w:t>
      </w:r>
      <w:r>
        <w:rPr>
          <w:rtl/>
        </w:rPr>
        <w:t xml:space="preserve"> מחסנית וכדורים</w:t>
      </w:r>
      <w:r>
        <w:rPr>
          <w:rFonts w:hint="cs"/>
          <w:rtl/>
        </w:rPr>
        <w:t>,</w:t>
      </w:r>
      <w:r>
        <w:rPr>
          <w:rtl/>
        </w:rPr>
        <w:t xml:space="preserve"> ירה בחורשה והטמינו במקום מסתור סמוך לביתו. בערעור בבית המשפט העליון צויינה הסכנה הנשקפת לציבור כתוצאה מעבירות הנשק ונקבע מתחם הולם בין 12 עד 36 חודשי מאסר בפועל. באותו מקרה נקבע כי בעקבות סיכוי של ממש לשיקום יש מקום לחרוג מהמתחם ולאפשר ריצוי העונש בעבודות שירות. </w:t>
      </w:r>
    </w:p>
    <w:p w14:paraId="4D2E817A" w14:textId="77777777" w:rsidR="00D6017F" w:rsidRDefault="00D6017F">
      <w:pPr>
        <w:spacing w:line="360" w:lineRule="auto"/>
        <w:jc w:val="both"/>
        <w:rPr>
          <w:sz w:val="18"/>
          <w:szCs w:val="18"/>
          <w:rtl/>
        </w:rPr>
      </w:pPr>
    </w:p>
    <w:p w14:paraId="0C29F712" w14:textId="77777777" w:rsidR="00D6017F" w:rsidRDefault="008B4D28">
      <w:pPr>
        <w:pStyle w:val="ListParagraph"/>
        <w:numPr>
          <w:ilvl w:val="0"/>
          <w:numId w:val="1"/>
        </w:numPr>
        <w:spacing w:line="360" w:lineRule="auto"/>
        <w:jc w:val="both"/>
        <w:rPr>
          <w:rtl/>
        </w:rPr>
      </w:pPr>
      <w:r>
        <w:rPr>
          <w:rtl/>
        </w:rPr>
        <w:t xml:space="preserve">נטען שהמקרים שהוזכרו על ידי המדינה חמורים יותר, הן בעובדותיהם והן בהעדר סיכויי שיקום. הוזכר עוד שהנאשם נמצא חודשים רבים בתנאים מגבילים שהוא לא הפר. </w:t>
      </w:r>
    </w:p>
    <w:p w14:paraId="40F82789" w14:textId="77777777" w:rsidR="00D6017F" w:rsidRDefault="00D6017F">
      <w:pPr>
        <w:spacing w:line="360" w:lineRule="auto"/>
        <w:jc w:val="both"/>
        <w:rPr>
          <w:sz w:val="18"/>
          <w:szCs w:val="18"/>
          <w:rtl/>
        </w:rPr>
      </w:pPr>
    </w:p>
    <w:p w14:paraId="0B117CE1" w14:textId="77777777" w:rsidR="00D6017F" w:rsidRDefault="008B4D28">
      <w:pPr>
        <w:pStyle w:val="ListParagraph"/>
        <w:numPr>
          <w:ilvl w:val="0"/>
          <w:numId w:val="1"/>
        </w:numPr>
        <w:spacing w:line="360" w:lineRule="auto"/>
        <w:jc w:val="both"/>
        <w:rPr>
          <w:rtl/>
        </w:rPr>
      </w:pPr>
      <w:r>
        <w:rPr>
          <w:rtl/>
        </w:rPr>
        <w:t>הנאשם עצמו הביע חרטה על ביצוע העבירה</w:t>
      </w:r>
      <w:r>
        <w:rPr>
          <w:rFonts w:hint="cs"/>
          <w:rtl/>
        </w:rPr>
        <w:t>,</w:t>
      </w:r>
      <w:r>
        <w:rPr>
          <w:rtl/>
        </w:rPr>
        <w:t xml:space="preserve"> הבטיח שלא לחזור עליה והזכיר שהוא עומד להתחתן ולפתוח בחיים חדשים. </w:t>
      </w:r>
    </w:p>
    <w:p w14:paraId="38F06981" w14:textId="77777777" w:rsidR="00D6017F" w:rsidRDefault="00D6017F">
      <w:pPr>
        <w:spacing w:line="360" w:lineRule="auto"/>
        <w:jc w:val="both"/>
        <w:rPr>
          <w:sz w:val="18"/>
          <w:szCs w:val="18"/>
          <w:rtl/>
        </w:rPr>
      </w:pPr>
    </w:p>
    <w:p w14:paraId="7A0C4251" w14:textId="77777777" w:rsidR="00D6017F" w:rsidRDefault="00D6017F">
      <w:pPr>
        <w:pStyle w:val="ListParagraph"/>
        <w:spacing w:line="360" w:lineRule="auto"/>
        <w:ind w:left="567"/>
        <w:jc w:val="both"/>
        <w:rPr>
          <w:b/>
          <w:bCs/>
          <w:u w:val="single"/>
          <w:rtl/>
        </w:rPr>
      </w:pPr>
    </w:p>
    <w:p w14:paraId="43591011" w14:textId="77777777" w:rsidR="00D6017F" w:rsidRDefault="00D6017F">
      <w:pPr>
        <w:pStyle w:val="ListParagraph"/>
        <w:spacing w:line="360" w:lineRule="auto"/>
        <w:ind w:left="567"/>
        <w:jc w:val="both"/>
        <w:rPr>
          <w:b/>
          <w:bCs/>
          <w:u w:val="single"/>
          <w:rtl/>
        </w:rPr>
      </w:pPr>
    </w:p>
    <w:p w14:paraId="4ACA32B8" w14:textId="77777777" w:rsidR="00D6017F" w:rsidRDefault="008B4D28">
      <w:pPr>
        <w:pStyle w:val="ListParagraph"/>
        <w:spacing w:line="360" w:lineRule="auto"/>
        <w:ind w:left="567"/>
        <w:jc w:val="both"/>
        <w:rPr>
          <w:b/>
          <w:bCs/>
          <w:u w:val="single"/>
          <w:rtl/>
        </w:rPr>
      </w:pPr>
      <w:r>
        <w:rPr>
          <w:b/>
          <w:bCs/>
          <w:u w:val="single"/>
          <w:rtl/>
        </w:rPr>
        <w:t>דיון</w:t>
      </w:r>
    </w:p>
    <w:p w14:paraId="4A088ED1" w14:textId="77777777" w:rsidR="00D6017F" w:rsidRDefault="00D6017F">
      <w:pPr>
        <w:spacing w:line="360" w:lineRule="auto"/>
        <w:jc w:val="both"/>
        <w:rPr>
          <w:b/>
          <w:bCs/>
          <w:sz w:val="18"/>
          <w:szCs w:val="18"/>
          <w:u w:val="single"/>
          <w:rtl/>
        </w:rPr>
      </w:pPr>
    </w:p>
    <w:p w14:paraId="455BB6D3" w14:textId="77777777" w:rsidR="00D6017F" w:rsidRDefault="008B4D28">
      <w:pPr>
        <w:pStyle w:val="ListParagraph"/>
        <w:spacing w:line="360" w:lineRule="auto"/>
        <w:ind w:left="567"/>
        <w:jc w:val="both"/>
        <w:rPr>
          <w:u w:val="single"/>
          <w:rtl/>
        </w:rPr>
      </w:pPr>
      <w:r>
        <w:rPr>
          <w:u w:val="single"/>
          <w:rtl/>
        </w:rPr>
        <w:t>תסקיר שירות המבחן</w:t>
      </w:r>
    </w:p>
    <w:p w14:paraId="6A81A0C1" w14:textId="77777777" w:rsidR="00D6017F" w:rsidRDefault="00D6017F">
      <w:pPr>
        <w:pStyle w:val="ListParagraph"/>
        <w:spacing w:line="360" w:lineRule="auto"/>
        <w:ind w:left="567"/>
        <w:jc w:val="both"/>
        <w:rPr>
          <w:sz w:val="18"/>
          <w:szCs w:val="18"/>
          <w:rtl/>
        </w:rPr>
      </w:pPr>
    </w:p>
    <w:p w14:paraId="0A00FFBB" w14:textId="77777777" w:rsidR="00D6017F" w:rsidRDefault="008B4D28">
      <w:pPr>
        <w:pStyle w:val="ListParagraph"/>
        <w:numPr>
          <w:ilvl w:val="0"/>
          <w:numId w:val="1"/>
        </w:numPr>
        <w:spacing w:line="360" w:lineRule="auto"/>
        <w:jc w:val="both"/>
        <w:rPr>
          <w:rtl/>
        </w:rPr>
      </w:pPr>
      <w:r>
        <w:rPr>
          <w:rtl/>
        </w:rPr>
        <w:t xml:space="preserve">התסקיר  שהוגש סקר את קורותיו, הנאשם בן 24 ומאורס. משפחתו נורמטיבית ושוללת מעורבות בפלילים. הנאשם סיים 10 שנות לימוד ומאז עובד ומתפרנס וטרם מעצרו עבד בנגריה שם הוא עובד עד היום (בפיקוח אחיו) (הוגש מכתב מהנגריה במהלך הטיעונים לעונש – נ/1). בנוסף צויין שהוא כיום מאורס וגם ארוסתו עובדת. שירות המבחן העריך כי אין לנאשם דפוסים עבריינים מושרשים והוא יציב באורח חייו. עלתה התרשמות מפער בין תפקודו הכללי לבין העבירה בה הוא הורשע. בנוסף עלו תהיות בנוגע לפער בין עמדותיו אשר לכאורה שוללות מעורבות בפלילים לבין העבירה שלא ניתן להן מענה. על אף זאת, העריך שירות המבחן קיום סיכון נמוך להישנות התנהגות עוברת חוק. למרות חומרת העבירה, נמצא הנאשם מתאים להשתלבות בטיפול בקבוצה יעודית של עברייני נשק והומלץ על שילובו בה. כך הומלץ על הטלת צו מבחן </w:t>
      </w:r>
      <w:r>
        <w:rPr>
          <w:rFonts w:hint="cs"/>
          <w:rtl/>
        </w:rPr>
        <w:t>ו</w:t>
      </w:r>
      <w:r>
        <w:rPr>
          <w:rtl/>
        </w:rPr>
        <w:t xml:space="preserve">השתלבות בהליך טיפולי. </w:t>
      </w:r>
    </w:p>
    <w:p w14:paraId="635F66D3" w14:textId="77777777" w:rsidR="00D6017F" w:rsidRDefault="00D6017F">
      <w:pPr>
        <w:spacing w:line="360" w:lineRule="auto"/>
        <w:jc w:val="both"/>
        <w:rPr>
          <w:rtl/>
        </w:rPr>
      </w:pPr>
    </w:p>
    <w:p w14:paraId="5DF887D7" w14:textId="77777777" w:rsidR="00D6017F" w:rsidRDefault="008B4D28">
      <w:pPr>
        <w:pStyle w:val="ListParagraph"/>
        <w:numPr>
          <w:ilvl w:val="0"/>
          <w:numId w:val="1"/>
        </w:numPr>
        <w:spacing w:line="360" w:lineRule="auto"/>
        <w:jc w:val="both"/>
        <w:rPr>
          <w:rtl/>
        </w:rPr>
      </w:pPr>
      <w:r>
        <w:rPr>
          <w:rtl/>
        </w:rPr>
        <w:t xml:space="preserve">נפגעו הערכים החברתיים של בטחון הפרט והציבור והשמירה על הסדר הציבורי. מידת הפגיעה לא היתה חמורה (ראו: </w:t>
      </w:r>
      <w:hyperlink r:id="rId26" w:history="1">
        <w:r w:rsidRPr="008B4D28">
          <w:rPr>
            <w:color w:val="0000FF"/>
            <w:u w:val="single"/>
            <w:rtl/>
          </w:rPr>
          <w:t>ע"פ 2251/11</w:t>
        </w:r>
      </w:hyperlink>
      <w:r>
        <w:rPr>
          <w:rtl/>
        </w:rPr>
        <w:t xml:space="preserve"> </w:t>
      </w:r>
      <w:r>
        <w:rPr>
          <w:b/>
          <w:bCs/>
          <w:rtl/>
        </w:rPr>
        <w:t xml:space="preserve">נפאע נ' מדינת ישראל </w:t>
      </w:r>
      <w:r>
        <w:rPr>
          <w:rtl/>
        </w:rPr>
        <w:t>(4.12.2011)). מכתב האישום לא ניתן להסיק אודות תכנון שקדם לביצוע העבירה אך עולה שחלקו היחסי של הנאשם היה בלעדי ואין צריך להרחיב על הנזק שהיה צפוי מביצוע העבירה. בפועל, לא נגרם נזק היות שלא נעשה שימוש באקדח. אין צורך להרחיב על חומרת עבירות הנשק. המתחם הראוי נמצא בין 9 עד 36 חודשי מאסר בפועל.</w:t>
      </w:r>
    </w:p>
    <w:p w14:paraId="22801F1F" w14:textId="77777777" w:rsidR="00D6017F" w:rsidRDefault="00D6017F">
      <w:pPr>
        <w:spacing w:line="360" w:lineRule="auto"/>
        <w:jc w:val="both"/>
        <w:rPr>
          <w:rtl/>
        </w:rPr>
      </w:pPr>
    </w:p>
    <w:p w14:paraId="28369DD6" w14:textId="77777777" w:rsidR="00D6017F" w:rsidRDefault="008B4D28">
      <w:pPr>
        <w:pStyle w:val="ListParagraph"/>
        <w:numPr>
          <w:ilvl w:val="0"/>
          <w:numId w:val="1"/>
        </w:numPr>
        <w:spacing w:line="360" w:lineRule="auto"/>
        <w:jc w:val="both"/>
        <w:rPr>
          <w:rtl/>
        </w:rPr>
      </w:pPr>
      <w:r>
        <w:rPr>
          <w:rtl/>
        </w:rPr>
        <w:t xml:space="preserve">ואולם בהתאם </w:t>
      </w:r>
      <w:hyperlink r:id="rId27" w:history="1">
        <w:r w:rsidR="007123F8" w:rsidRPr="007123F8">
          <w:rPr>
            <w:rStyle w:val="Hyperlink"/>
            <w:rtl/>
          </w:rPr>
          <w:t>לסעיף 40ד</w:t>
        </w:r>
      </w:hyperlink>
      <w:r>
        <w:rPr>
          <w:rtl/>
        </w:rPr>
        <w:t xml:space="preserve"> ל</w:t>
      </w:r>
      <w:hyperlink r:id="rId28" w:history="1">
        <w:r w:rsidRPr="008B4D28">
          <w:rPr>
            <w:color w:val="0000FF"/>
            <w:u w:val="single"/>
            <w:rtl/>
          </w:rPr>
          <w:t>חוק העונשין</w:t>
        </w:r>
      </w:hyperlink>
      <w:r>
        <w:rPr>
          <w:rtl/>
        </w:rPr>
        <w:t>, נראה לי על בסיס האמור בתסקיר כי ק</w:t>
      </w:r>
      <w:r>
        <w:rPr>
          <w:rFonts w:hint="cs"/>
          <w:rtl/>
        </w:rPr>
        <w:t>י</w:t>
      </w:r>
      <w:r>
        <w:rPr>
          <w:rtl/>
        </w:rPr>
        <w:t xml:space="preserve">ים סיכוי של ממש שהנאשם ישתקם ועניין זה מהווה הצדקה לחרוג מן המתחם שנקבע. תצויין בנוסף העובדה שהוא הודה בביצוע העבירה ונטל אחריות בגינה ללא ניסיון להתחמק. </w:t>
      </w:r>
    </w:p>
    <w:p w14:paraId="5251EFB6" w14:textId="77777777" w:rsidR="00D6017F" w:rsidRDefault="00D6017F">
      <w:pPr>
        <w:spacing w:line="360" w:lineRule="auto"/>
        <w:jc w:val="both"/>
        <w:rPr>
          <w:rtl/>
        </w:rPr>
      </w:pPr>
    </w:p>
    <w:p w14:paraId="2C65F235" w14:textId="77777777" w:rsidR="00D6017F" w:rsidRDefault="008B4D28">
      <w:pPr>
        <w:pStyle w:val="ListParagraph"/>
        <w:numPr>
          <w:ilvl w:val="0"/>
          <w:numId w:val="1"/>
        </w:numPr>
        <w:spacing w:line="360" w:lineRule="auto"/>
        <w:jc w:val="both"/>
        <w:rPr>
          <w:rtl/>
        </w:rPr>
      </w:pPr>
      <w:r>
        <w:rPr>
          <w:rtl/>
        </w:rPr>
        <w:t xml:space="preserve">אשר על כן, הנני מטיל על הנאשם עונשים כדלקמן: </w:t>
      </w:r>
    </w:p>
    <w:p w14:paraId="5E09B3F8" w14:textId="77777777" w:rsidR="00D6017F" w:rsidRDefault="008B4D28">
      <w:pPr>
        <w:pStyle w:val="ListParagraph"/>
        <w:numPr>
          <w:ilvl w:val="0"/>
          <w:numId w:val="2"/>
        </w:numPr>
        <w:spacing w:line="360" w:lineRule="auto"/>
        <w:jc w:val="both"/>
        <w:rPr>
          <w:rtl/>
        </w:rPr>
      </w:pPr>
      <w:r>
        <w:rPr>
          <w:rtl/>
        </w:rPr>
        <w:t xml:space="preserve">6 חודשי מאסר בפועל לריצוי בעבודות שירות בתנאי שתתקבל חוות דעת חיובית מהממונה על עבודות השירות. </w:t>
      </w:r>
    </w:p>
    <w:p w14:paraId="354A0D55" w14:textId="77777777" w:rsidR="00D6017F" w:rsidRDefault="008B4D28">
      <w:pPr>
        <w:pStyle w:val="ListParagraph"/>
        <w:numPr>
          <w:ilvl w:val="0"/>
          <w:numId w:val="2"/>
        </w:numPr>
        <w:spacing w:line="360" w:lineRule="auto"/>
        <w:jc w:val="both"/>
        <w:rPr>
          <w:rtl/>
        </w:rPr>
      </w:pPr>
      <w:r>
        <w:rPr>
          <w:rtl/>
        </w:rPr>
        <w:t xml:space="preserve">12 חודשי מאסר על תנאי למשך 3 שנים כאשר התנאי יופעל במידה ויעבור עבירת נשק מסוג פשע. </w:t>
      </w:r>
    </w:p>
    <w:p w14:paraId="74EE405B" w14:textId="77777777" w:rsidR="00D6017F" w:rsidRDefault="008B4D28">
      <w:pPr>
        <w:pStyle w:val="ListParagraph"/>
        <w:numPr>
          <w:ilvl w:val="0"/>
          <w:numId w:val="2"/>
        </w:numPr>
        <w:spacing w:line="360" w:lineRule="auto"/>
        <w:jc w:val="both"/>
        <w:rPr>
          <w:rtl/>
        </w:rPr>
      </w:pPr>
      <w:r>
        <w:rPr>
          <w:rtl/>
        </w:rPr>
        <w:t xml:space="preserve">הנני מעמיד את הנאשם למבחן בהתאם </w:t>
      </w:r>
      <w:hyperlink r:id="rId29" w:history="1">
        <w:r w:rsidR="007123F8" w:rsidRPr="007123F8">
          <w:rPr>
            <w:rStyle w:val="Hyperlink"/>
            <w:rtl/>
          </w:rPr>
          <w:t>לסעיף 1(ב)</w:t>
        </w:r>
      </w:hyperlink>
      <w:r>
        <w:rPr>
          <w:rtl/>
        </w:rPr>
        <w:t xml:space="preserve"> ל</w:t>
      </w:r>
      <w:hyperlink r:id="rId30" w:history="1">
        <w:r w:rsidRPr="008B4D28">
          <w:rPr>
            <w:color w:val="0000FF"/>
            <w:u w:val="single"/>
            <w:rtl/>
          </w:rPr>
          <w:t>פקודת המבחן</w:t>
        </w:r>
      </w:hyperlink>
      <w:r>
        <w:rPr>
          <w:rtl/>
        </w:rPr>
        <w:t xml:space="preserve"> משך 12 חודשים כאשר הוא יעמוד בפיקוח שירות המבחן וישתף פעולה עם תכנית שיקום שתבנה עבורו. </w:t>
      </w:r>
    </w:p>
    <w:p w14:paraId="7327D206" w14:textId="77777777" w:rsidR="00D6017F" w:rsidRDefault="00D6017F">
      <w:pPr>
        <w:spacing w:line="360" w:lineRule="auto"/>
        <w:jc w:val="both"/>
        <w:rPr>
          <w:rtl/>
        </w:rPr>
      </w:pPr>
    </w:p>
    <w:p w14:paraId="59B130D5" w14:textId="77777777" w:rsidR="00D6017F" w:rsidRDefault="008B4D28">
      <w:pPr>
        <w:rPr>
          <w:b/>
          <w:bCs/>
          <w:u w:val="single"/>
          <w:rtl/>
        </w:rPr>
      </w:pPr>
      <w:r>
        <w:rPr>
          <w:rFonts w:hint="cs"/>
          <w:b/>
          <w:bCs/>
          <w:u w:val="single"/>
          <w:rtl/>
        </w:rPr>
        <w:t xml:space="preserve">זכות ערעור תוך 45 ימים. </w:t>
      </w:r>
    </w:p>
    <w:p w14:paraId="7DAB3092" w14:textId="77777777" w:rsidR="00D6017F" w:rsidRDefault="00D6017F">
      <w:pPr>
        <w:rPr>
          <w:rtl/>
        </w:rPr>
      </w:pPr>
    </w:p>
    <w:p w14:paraId="2B733F09" w14:textId="77777777" w:rsidR="00D6017F" w:rsidRDefault="00D6017F">
      <w:pPr>
        <w:rPr>
          <w:rtl/>
        </w:rPr>
      </w:pPr>
    </w:p>
    <w:p w14:paraId="7F46089E" w14:textId="77777777" w:rsidR="00D6017F" w:rsidRDefault="008B4D28">
      <w:pPr>
        <w:spacing w:line="360" w:lineRule="auto"/>
        <w:jc w:val="both"/>
        <w:rPr>
          <w:rFonts w:ascii="Arial" w:hAnsi="Arial"/>
        </w:rPr>
      </w:pPr>
      <w:r>
        <w:rPr>
          <w:rFonts w:ascii="Arial" w:hAnsi="Arial"/>
          <w:rtl/>
        </w:rPr>
        <w:t xml:space="preserve">ניתן היום,  כ"ה אדר ב' תשע"ו, 04 אפריל 2016, בנוכחות הנאשם, בא כוחו ובהעדר ב"כ המאשימה </w:t>
      </w:r>
      <w:r>
        <w:rPr>
          <w:rFonts w:ascii="Arial" w:hAnsi="Arial" w:hint="cs"/>
          <w:rtl/>
        </w:rPr>
        <w:t>בשל עיצומי הפרקליטות</w:t>
      </w:r>
      <w:r>
        <w:rPr>
          <w:rFonts w:ascii="Arial" w:hAnsi="Arial"/>
          <w:rtl/>
        </w:rPr>
        <w:t>.</w:t>
      </w:r>
    </w:p>
    <w:p w14:paraId="3CC5991F" w14:textId="77777777" w:rsidR="00D6017F" w:rsidRPr="008B4D28" w:rsidRDefault="008B4D28">
      <w:pPr>
        <w:jc w:val="center"/>
        <w:rPr>
          <w:color w:val="FFFFFF"/>
          <w:sz w:val="2"/>
          <w:szCs w:val="2"/>
        </w:rPr>
      </w:pPr>
      <w:r w:rsidRPr="008B4D2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6017F" w14:paraId="606704EB" w14:textId="77777777">
        <w:trPr>
          <w:trHeight w:val="316"/>
          <w:jc w:val="right"/>
        </w:trPr>
        <w:tc>
          <w:tcPr>
            <w:tcW w:w="3936" w:type="dxa"/>
            <w:tcBorders>
              <w:top w:val="nil"/>
              <w:left w:val="nil"/>
              <w:bottom w:val="single" w:sz="4" w:space="0" w:color="auto"/>
              <w:right w:val="nil"/>
            </w:tcBorders>
            <w:shd w:val="clear" w:color="auto" w:fill="auto"/>
          </w:tcPr>
          <w:p w14:paraId="039020B1" w14:textId="77777777" w:rsidR="00D6017F" w:rsidRPr="008B4D28" w:rsidRDefault="008B4D28">
            <w:pPr>
              <w:jc w:val="center"/>
              <w:rPr>
                <w:color w:val="FFFFFF"/>
                <w:sz w:val="2"/>
                <w:szCs w:val="2"/>
                <w:rtl/>
              </w:rPr>
            </w:pPr>
            <w:r w:rsidRPr="008B4D28">
              <w:rPr>
                <w:color w:val="FFFFFF"/>
                <w:sz w:val="2"/>
                <w:szCs w:val="2"/>
                <w:rtl/>
              </w:rPr>
              <w:t>54678313</w:t>
            </w:r>
          </w:p>
          <w:p w14:paraId="4B42E564" w14:textId="77777777" w:rsidR="00D6017F" w:rsidRDefault="00D6017F">
            <w:pPr>
              <w:jc w:val="center"/>
            </w:pPr>
          </w:p>
        </w:tc>
      </w:tr>
      <w:tr w:rsidR="00D6017F" w14:paraId="5AD883EA" w14:textId="77777777">
        <w:trPr>
          <w:trHeight w:val="361"/>
          <w:jc w:val="right"/>
        </w:trPr>
        <w:tc>
          <w:tcPr>
            <w:tcW w:w="3936" w:type="dxa"/>
            <w:tcBorders>
              <w:top w:val="single" w:sz="4" w:space="0" w:color="auto"/>
              <w:left w:val="nil"/>
              <w:bottom w:val="nil"/>
              <w:right w:val="nil"/>
            </w:tcBorders>
            <w:shd w:val="clear" w:color="auto" w:fill="auto"/>
          </w:tcPr>
          <w:p w14:paraId="6B34922C" w14:textId="77777777" w:rsidR="00D6017F" w:rsidRDefault="008B4D28">
            <w:pPr>
              <w:jc w:val="center"/>
              <w:rPr>
                <w:b/>
                <w:bCs/>
                <w:rtl/>
              </w:rPr>
            </w:pPr>
            <w:r>
              <w:rPr>
                <w:rFonts w:hint="cs"/>
                <w:b/>
                <w:bCs/>
                <w:rtl/>
              </w:rPr>
              <w:t xml:space="preserve">דניאל </w:t>
            </w:r>
            <w:r>
              <w:rPr>
                <w:rFonts w:cs="Times New Roman" w:hint="cs"/>
                <w:b/>
                <w:bCs/>
                <w:rtl/>
              </w:rPr>
              <w:t>פיש</w:t>
            </w:r>
            <w:r>
              <w:rPr>
                <w:rFonts w:hint="cs"/>
                <w:b/>
                <w:bCs/>
                <w:rtl/>
              </w:rPr>
              <w:t xml:space="preserve"> , </w:t>
            </w:r>
            <w:r>
              <w:rPr>
                <w:rFonts w:cs="Times New Roman" w:hint="cs"/>
                <w:b/>
                <w:bCs/>
                <w:rtl/>
              </w:rPr>
              <w:t>שופט</w:t>
            </w:r>
            <w:r>
              <w:rPr>
                <w:rFonts w:hint="cs"/>
                <w:b/>
                <w:bCs/>
                <w:rtl/>
              </w:rPr>
              <w:t xml:space="preserve"> </w:t>
            </w:r>
          </w:p>
        </w:tc>
      </w:tr>
    </w:tbl>
    <w:p w14:paraId="3F49916F" w14:textId="77777777" w:rsidR="00D6017F" w:rsidRDefault="00D6017F">
      <w:pPr>
        <w:spacing w:line="360" w:lineRule="auto"/>
        <w:jc w:val="both"/>
        <w:rPr>
          <w:rFonts w:ascii="Arial" w:hAnsi="Arial"/>
          <w:rtl/>
        </w:rPr>
      </w:pPr>
    </w:p>
    <w:p w14:paraId="045D189C" w14:textId="77777777" w:rsidR="008B4D28" w:rsidRPr="008B4D28" w:rsidRDefault="008B4D28" w:rsidP="008B4D28">
      <w:pPr>
        <w:keepNext/>
        <w:rPr>
          <w:rFonts w:ascii="David" w:hAnsi="David"/>
          <w:color w:val="000000"/>
          <w:sz w:val="22"/>
          <w:szCs w:val="22"/>
          <w:rtl/>
        </w:rPr>
      </w:pPr>
      <w:r w:rsidRPr="008B4D28">
        <w:rPr>
          <w:rFonts w:ascii="David" w:hAnsi="David"/>
          <w:color w:val="000000"/>
          <w:sz w:val="22"/>
          <w:szCs w:val="22"/>
          <w:rtl/>
        </w:rPr>
        <w:t>דניאל פיש 54678313</w:t>
      </w:r>
    </w:p>
    <w:p w14:paraId="0285BE84" w14:textId="77777777" w:rsidR="008B4D28" w:rsidRDefault="008B4D28" w:rsidP="008B4D28">
      <w:r w:rsidRPr="008B4D28">
        <w:rPr>
          <w:color w:val="000000"/>
          <w:rtl/>
        </w:rPr>
        <w:t>נוסח מסמך זה כפוף לשינויי ניסוח ועריכה</w:t>
      </w:r>
    </w:p>
    <w:p w14:paraId="5FEA7703" w14:textId="77777777" w:rsidR="008B4D28" w:rsidRDefault="008B4D28" w:rsidP="008B4D28">
      <w:pPr>
        <w:rPr>
          <w:rtl/>
        </w:rPr>
      </w:pPr>
    </w:p>
    <w:p w14:paraId="40E49C9D" w14:textId="77777777" w:rsidR="008B4D28" w:rsidRDefault="008B4D28" w:rsidP="008B4D2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D348A1">
        <w:rPr>
          <w:rFonts w:hint="cs"/>
          <w:color w:val="0000FF"/>
          <w:u w:val="single"/>
          <w:rtl/>
        </w:rPr>
        <w:t xml:space="preserve"> </w:t>
      </w:r>
    </w:p>
    <w:p w14:paraId="1D58FA72" w14:textId="77777777" w:rsidR="00D6017F" w:rsidRPr="008B4D28" w:rsidRDefault="00D6017F" w:rsidP="008B4D28">
      <w:pPr>
        <w:jc w:val="center"/>
        <w:rPr>
          <w:color w:val="0000FF"/>
          <w:u w:val="single"/>
        </w:rPr>
      </w:pPr>
    </w:p>
    <w:sectPr w:rsidR="00D6017F" w:rsidRPr="008B4D28" w:rsidSect="008B4D2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CB411" w14:textId="77777777" w:rsidR="007438F4" w:rsidRDefault="007438F4">
      <w:r>
        <w:separator/>
      </w:r>
    </w:p>
  </w:endnote>
  <w:endnote w:type="continuationSeparator" w:id="0">
    <w:p w14:paraId="0582EE59" w14:textId="77777777" w:rsidR="007438F4" w:rsidRDefault="0074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BF6E" w14:textId="77777777" w:rsidR="00475511" w:rsidRDefault="00475511" w:rsidP="008B4D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92D4D3" w14:textId="77777777" w:rsidR="00475511" w:rsidRPr="008B4D28" w:rsidRDefault="00475511" w:rsidP="008B4D28">
    <w:pPr>
      <w:pStyle w:val="a4"/>
      <w:pBdr>
        <w:top w:val="single" w:sz="4" w:space="1" w:color="auto"/>
        <w:between w:val="single" w:sz="4" w:space="0" w:color="auto"/>
      </w:pBdr>
      <w:spacing w:after="60"/>
      <w:jc w:val="center"/>
      <w:rPr>
        <w:rFonts w:ascii="FrankRuehl" w:hAnsi="FrankRuehl" w:cs="FrankRuehl"/>
        <w:color w:val="000000"/>
      </w:rPr>
    </w:pPr>
    <w:r w:rsidRPr="008B4D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B91D0" w14:textId="77777777" w:rsidR="00475511" w:rsidRDefault="00475511" w:rsidP="008B4D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7A54">
      <w:rPr>
        <w:rFonts w:ascii="FrankRuehl" w:hAnsi="FrankRuehl" w:cs="FrankRuehl"/>
        <w:noProof/>
        <w:rtl/>
      </w:rPr>
      <w:t>1</w:t>
    </w:r>
    <w:r>
      <w:rPr>
        <w:rFonts w:ascii="FrankRuehl" w:hAnsi="FrankRuehl" w:cs="FrankRuehl"/>
        <w:rtl/>
      </w:rPr>
      <w:fldChar w:fldCharType="end"/>
    </w:r>
  </w:p>
  <w:p w14:paraId="48259554" w14:textId="77777777" w:rsidR="00475511" w:rsidRPr="008B4D28" w:rsidRDefault="00475511" w:rsidP="008B4D28">
    <w:pPr>
      <w:pStyle w:val="a4"/>
      <w:pBdr>
        <w:top w:val="single" w:sz="4" w:space="1" w:color="auto"/>
        <w:between w:val="single" w:sz="4" w:space="0" w:color="auto"/>
      </w:pBdr>
      <w:spacing w:after="60"/>
      <w:jc w:val="center"/>
      <w:rPr>
        <w:rFonts w:ascii="FrankRuehl" w:hAnsi="FrankRuehl" w:cs="FrankRuehl"/>
        <w:color w:val="000000"/>
      </w:rPr>
    </w:pPr>
    <w:r w:rsidRPr="008B4D28">
      <w:rPr>
        <w:rFonts w:ascii="FrankRuehl" w:hAnsi="FrankRuehl" w:cs="FrankRuehl"/>
        <w:color w:val="000000"/>
      </w:rPr>
      <w:pict w14:anchorId="1185A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747A6" w14:textId="77777777" w:rsidR="007438F4" w:rsidRDefault="007438F4">
      <w:r>
        <w:separator/>
      </w:r>
    </w:p>
  </w:footnote>
  <w:footnote w:type="continuationSeparator" w:id="0">
    <w:p w14:paraId="17A9DCAC" w14:textId="77777777" w:rsidR="007438F4" w:rsidRDefault="00743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6DDEF" w14:textId="77777777" w:rsidR="00475511" w:rsidRPr="008B4D28" w:rsidRDefault="00475511" w:rsidP="008B4D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13153-08-15</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01E71" w14:textId="77777777" w:rsidR="00475511" w:rsidRPr="008B4D28" w:rsidRDefault="00475511" w:rsidP="008B4D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13153-08-15</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C6FBB"/>
    <w:multiLevelType w:val="hybridMultilevel"/>
    <w:tmpl w:val="76B44838"/>
    <w:lvl w:ilvl="0" w:tplc="893E91A2">
      <w:start w:val="1"/>
      <w:numFmt w:val="decimal"/>
      <w:lvlText w:val="%1."/>
      <w:lvlJc w:val="left"/>
      <w:pPr>
        <w:ind w:left="927" w:hanging="360"/>
      </w:pPr>
      <w:rPr>
        <w:rFonts w:cs="David"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64B6C"/>
    <w:multiLevelType w:val="multilevel"/>
    <w:tmpl w:val="04090021"/>
    <w:lvl w:ilvl="0">
      <w:start w:val="1"/>
      <w:numFmt w:val="hebrew1"/>
      <w:lvlText w:val="%1."/>
      <w:lvlJc w:val="center"/>
      <w:pPr>
        <w:ind w:left="1647" w:hanging="360"/>
      </w:pPr>
    </w:lvl>
    <w:lvl w:ilvl="1">
      <w:start w:val="1"/>
      <w:numFmt w:val="decimal"/>
      <w:lvlText w:val="%1.%2."/>
      <w:lvlJc w:val="center"/>
      <w:pPr>
        <w:ind w:left="2007" w:hanging="360"/>
      </w:pPr>
    </w:lvl>
    <w:lvl w:ilvl="2">
      <w:start w:val="1"/>
      <w:numFmt w:val="hebrew1"/>
      <w:lvlText w:val="%1.%2.%3."/>
      <w:lvlJc w:val="center"/>
      <w:pPr>
        <w:ind w:left="2367" w:hanging="360"/>
      </w:pPr>
    </w:lvl>
    <w:lvl w:ilvl="3">
      <w:start w:val="1"/>
      <w:numFmt w:val="decimal"/>
      <w:lvlText w:val="%1.%2.%3.%4."/>
      <w:lvlJc w:val="center"/>
      <w:pPr>
        <w:ind w:left="2727" w:hanging="360"/>
      </w:pPr>
    </w:lvl>
    <w:lvl w:ilvl="4">
      <w:start w:val="1"/>
      <w:numFmt w:val="hebrew1"/>
      <w:lvlText w:val="%1.%2.%3.%4.%5."/>
      <w:lvlJc w:val="center"/>
      <w:pPr>
        <w:ind w:left="3087" w:hanging="360"/>
      </w:pPr>
    </w:lvl>
    <w:lvl w:ilvl="5">
      <w:start w:val="1"/>
      <w:numFmt w:val="decimal"/>
      <w:lvlText w:val="%1.%2.%3.%4.%5.%6."/>
      <w:lvlJc w:val="center"/>
      <w:pPr>
        <w:ind w:left="3447" w:hanging="360"/>
      </w:pPr>
    </w:lvl>
    <w:lvl w:ilvl="6">
      <w:start w:val="1"/>
      <w:numFmt w:val="hebrew1"/>
      <w:lvlText w:val="%1.%2.%3.%4.%5.%6.%7."/>
      <w:lvlJc w:val="center"/>
      <w:pPr>
        <w:ind w:left="3807" w:hanging="360"/>
      </w:pPr>
    </w:lvl>
    <w:lvl w:ilvl="7">
      <w:start w:val="1"/>
      <w:numFmt w:val="decimal"/>
      <w:lvlText w:val="%1.%2.%3.%4.%5.%6.%7.%8."/>
      <w:lvlJc w:val="center"/>
      <w:pPr>
        <w:ind w:left="4167" w:hanging="360"/>
      </w:pPr>
    </w:lvl>
    <w:lvl w:ilvl="8">
      <w:start w:val="1"/>
      <w:numFmt w:val="hebrew1"/>
      <w:lvlText w:val="%1.%2.%3.%4.%5.%6.%7.%8.%9."/>
      <w:lvlJc w:val="center"/>
      <w:pPr>
        <w:ind w:left="4527" w:hanging="360"/>
      </w:pPr>
    </w:lvl>
  </w:abstractNum>
  <w:num w:numId="1" w16cid:durableId="1020199405">
    <w:abstractNumId w:val="0"/>
  </w:num>
  <w:num w:numId="2" w16cid:durableId="44068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017F"/>
    <w:rsid w:val="000F49A4"/>
    <w:rsid w:val="00475511"/>
    <w:rsid w:val="007123F8"/>
    <w:rsid w:val="007438F4"/>
    <w:rsid w:val="007B56BF"/>
    <w:rsid w:val="008B4D28"/>
    <w:rsid w:val="009B7A54"/>
    <w:rsid w:val="00B535A7"/>
    <w:rsid w:val="00CE546B"/>
    <w:rsid w:val="00D348A1"/>
    <w:rsid w:val="00D6017F"/>
    <w:rsid w:val="00E200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4A5AAA"/>
  <w15:chartTrackingRefBased/>
  <w15:docId w15:val="{B45D474F-43F6-4CD3-9970-136F00EF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17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6017F"/>
    <w:pPr>
      <w:tabs>
        <w:tab w:val="center" w:pos="4153"/>
        <w:tab w:val="right" w:pos="8306"/>
      </w:tabs>
    </w:pPr>
  </w:style>
  <w:style w:type="paragraph" w:styleId="a4">
    <w:name w:val="footer"/>
    <w:basedOn w:val="a"/>
    <w:rsid w:val="00D6017F"/>
    <w:pPr>
      <w:tabs>
        <w:tab w:val="center" w:pos="4153"/>
        <w:tab w:val="right" w:pos="8306"/>
      </w:tabs>
    </w:pPr>
  </w:style>
  <w:style w:type="character" w:styleId="a5">
    <w:name w:val="page number"/>
    <w:basedOn w:val="a0"/>
    <w:rsid w:val="00D6017F"/>
  </w:style>
  <w:style w:type="paragraph" w:customStyle="1" w:styleId="ListParagraph">
    <w:name w:val="List Paragraph"/>
    <w:basedOn w:val="a"/>
    <w:rsid w:val="00D6017F"/>
    <w:pPr>
      <w:ind w:left="720"/>
      <w:contextualSpacing/>
    </w:pPr>
  </w:style>
  <w:style w:type="character" w:styleId="Hyperlink">
    <w:name w:val="Hyperlink"/>
    <w:rsid w:val="008B4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6944929" TargetMode="External"/><Relationship Id="rId26" Type="http://schemas.openxmlformats.org/officeDocument/2006/relationships/hyperlink" Target="http://www.nevo.co.il/case/5821327" TargetMode="External"/><Relationship Id="rId21" Type="http://schemas.openxmlformats.org/officeDocument/2006/relationships/hyperlink" Target="http://www.nevo.co.il/case/615155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6913730" TargetMode="External"/><Relationship Id="rId25" Type="http://schemas.openxmlformats.org/officeDocument/2006/relationships/hyperlink" Target="http://www.nevo.co.il/case/779149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762686" TargetMode="External"/><Relationship Id="rId20" Type="http://schemas.openxmlformats.org/officeDocument/2006/relationships/hyperlink" Target="http://www.nevo.co.il/case/6949290" TargetMode="External"/><Relationship Id="rId29" Type="http://schemas.openxmlformats.org/officeDocument/2006/relationships/hyperlink" Target="http://www.nevo.co.il/law/71553/1.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1.b" TargetMode="External"/><Relationship Id="rId24" Type="http://schemas.openxmlformats.org/officeDocument/2006/relationships/hyperlink" Target="http://www.nevo.co.il/case/56780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887664" TargetMode="External"/><Relationship Id="rId23" Type="http://schemas.openxmlformats.org/officeDocument/2006/relationships/hyperlink" Target="http://www.nevo.co.il/case/5614477"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1553" TargetMode="External"/><Relationship Id="rId19" Type="http://schemas.openxmlformats.org/officeDocument/2006/relationships/hyperlink" Target="http://www.nevo.co.il/case/558078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8253344"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71553" TargetMode="External"/><Relationship Id="rId35" Type="http://schemas.openxmlformats.org/officeDocument/2006/relationships/footer" Target="footer2.xml"/><Relationship Id="rId8" Type="http://schemas.openxmlformats.org/officeDocument/2006/relationships/hyperlink" Target="http://www.nevo.co.il/law/70301/40d"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1518</Words>
  <Characters>7593</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9093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8257634</vt:i4>
      </vt:variant>
      <vt:variant>
        <vt:i4>69</vt:i4>
      </vt:variant>
      <vt:variant>
        <vt:i4>0</vt:i4>
      </vt:variant>
      <vt:variant>
        <vt:i4>5</vt:i4>
      </vt:variant>
      <vt:variant>
        <vt:lpwstr>http://www.nevo.co.il/law/71553</vt:lpwstr>
      </vt:variant>
      <vt:variant>
        <vt:lpwstr/>
      </vt:variant>
      <vt:variant>
        <vt:i4>8323168</vt:i4>
      </vt:variant>
      <vt:variant>
        <vt:i4>66</vt:i4>
      </vt:variant>
      <vt:variant>
        <vt:i4>0</vt:i4>
      </vt:variant>
      <vt:variant>
        <vt:i4>5</vt:i4>
      </vt:variant>
      <vt:variant>
        <vt:lpwstr>http://www.nevo.co.il/law/71553/1.b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3342463</vt:i4>
      </vt:variant>
      <vt:variant>
        <vt:i4>57</vt:i4>
      </vt:variant>
      <vt:variant>
        <vt:i4>0</vt:i4>
      </vt:variant>
      <vt:variant>
        <vt:i4>5</vt:i4>
      </vt:variant>
      <vt:variant>
        <vt:lpwstr>http://www.nevo.co.il/case/5821327</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3342458</vt:i4>
      </vt:variant>
      <vt:variant>
        <vt:i4>51</vt:i4>
      </vt:variant>
      <vt:variant>
        <vt:i4>0</vt:i4>
      </vt:variant>
      <vt:variant>
        <vt:i4>5</vt:i4>
      </vt:variant>
      <vt:variant>
        <vt:lpwstr>http://www.nevo.co.il/case/5678001</vt:lpwstr>
      </vt:variant>
      <vt:variant>
        <vt:lpwstr/>
      </vt:variant>
      <vt:variant>
        <vt:i4>3604593</vt:i4>
      </vt:variant>
      <vt:variant>
        <vt:i4>48</vt:i4>
      </vt:variant>
      <vt:variant>
        <vt:i4>0</vt:i4>
      </vt:variant>
      <vt:variant>
        <vt:i4>5</vt:i4>
      </vt:variant>
      <vt:variant>
        <vt:lpwstr>http://www.nevo.co.il/case/5614477</vt:lpwstr>
      </vt:variant>
      <vt:variant>
        <vt:lpwstr/>
      </vt:variant>
      <vt:variant>
        <vt:i4>3801201</vt:i4>
      </vt:variant>
      <vt:variant>
        <vt:i4>45</vt:i4>
      </vt:variant>
      <vt:variant>
        <vt:i4>0</vt:i4>
      </vt:variant>
      <vt:variant>
        <vt:i4>5</vt:i4>
      </vt:variant>
      <vt:variant>
        <vt:lpwstr>http://www.nevo.co.il/case/8253344</vt:lpwstr>
      </vt:variant>
      <vt:variant>
        <vt:lpwstr/>
      </vt:variant>
      <vt:variant>
        <vt:i4>3145841</vt:i4>
      </vt:variant>
      <vt:variant>
        <vt:i4>42</vt:i4>
      </vt:variant>
      <vt:variant>
        <vt:i4>0</vt:i4>
      </vt:variant>
      <vt:variant>
        <vt:i4>5</vt:i4>
      </vt:variant>
      <vt:variant>
        <vt:lpwstr>http://www.nevo.co.il/case/6151556</vt:lpwstr>
      </vt:variant>
      <vt:variant>
        <vt:lpwstr/>
      </vt:variant>
      <vt:variant>
        <vt:i4>3145853</vt:i4>
      </vt:variant>
      <vt:variant>
        <vt:i4>39</vt:i4>
      </vt:variant>
      <vt:variant>
        <vt:i4>0</vt:i4>
      </vt:variant>
      <vt:variant>
        <vt:i4>5</vt:i4>
      </vt:variant>
      <vt:variant>
        <vt:lpwstr>http://www.nevo.co.il/case/6949290</vt:lpwstr>
      </vt:variant>
      <vt:variant>
        <vt:lpwstr/>
      </vt:variant>
      <vt:variant>
        <vt:i4>3866745</vt:i4>
      </vt:variant>
      <vt:variant>
        <vt:i4>36</vt:i4>
      </vt:variant>
      <vt:variant>
        <vt:i4>0</vt:i4>
      </vt:variant>
      <vt:variant>
        <vt:i4>5</vt:i4>
      </vt:variant>
      <vt:variant>
        <vt:lpwstr>http://www.nevo.co.il/case/5580781</vt:lpwstr>
      </vt:variant>
      <vt:variant>
        <vt:lpwstr/>
      </vt:variant>
      <vt:variant>
        <vt:i4>4063359</vt:i4>
      </vt:variant>
      <vt:variant>
        <vt:i4>33</vt:i4>
      </vt:variant>
      <vt:variant>
        <vt:i4>0</vt:i4>
      </vt:variant>
      <vt:variant>
        <vt:i4>5</vt:i4>
      </vt:variant>
      <vt:variant>
        <vt:lpwstr>http://www.nevo.co.il/case/16944929</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3342457</vt:i4>
      </vt:variant>
      <vt:variant>
        <vt:i4>27</vt:i4>
      </vt:variant>
      <vt:variant>
        <vt:i4>0</vt:i4>
      </vt:variant>
      <vt:variant>
        <vt:i4>5</vt:i4>
      </vt:variant>
      <vt:variant>
        <vt:lpwstr>http://www.nevo.co.il/case/5762686</vt:lpwstr>
      </vt:variant>
      <vt:variant>
        <vt:lpwstr/>
      </vt:variant>
      <vt:variant>
        <vt:i4>4128893</vt:i4>
      </vt:variant>
      <vt:variant>
        <vt:i4>24</vt:i4>
      </vt:variant>
      <vt:variant>
        <vt:i4>0</vt:i4>
      </vt:variant>
      <vt:variant>
        <vt:i4>5</vt:i4>
      </vt:variant>
      <vt:variant>
        <vt:lpwstr>http://www.nevo.co.il/case/5887664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8323168</vt:i4>
      </vt:variant>
      <vt:variant>
        <vt:i4>12</vt:i4>
      </vt:variant>
      <vt:variant>
        <vt:i4>0</vt:i4>
      </vt:variant>
      <vt:variant>
        <vt:i4>5</vt:i4>
      </vt:variant>
      <vt:variant>
        <vt:lpwstr>http://www.nevo.co.il/law/71553/1.b</vt:lpwstr>
      </vt:variant>
      <vt:variant>
        <vt:lpwstr/>
      </vt:variant>
      <vt:variant>
        <vt:i4>8257634</vt:i4>
      </vt:variant>
      <vt:variant>
        <vt:i4>9</vt:i4>
      </vt:variant>
      <vt:variant>
        <vt:i4>0</vt:i4>
      </vt:variant>
      <vt:variant>
        <vt:i4>5</vt:i4>
      </vt:variant>
      <vt:variant>
        <vt:lpwstr>http://www.nevo.co.il/law/71553</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13153</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עמאש</vt:lpwstr>
  </property>
  <property fmtid="{D5CDD505-2E9C-101B-9397-08002B2CF9AE}" pid="10" name="LAWYER">
    <vt:lpwstr>הילה איזנבנד;עאדל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20160404</vt:lpwstr>
  </property>
  <property fmtid="{D5CDD505-2E9C-101B-9397-08002B2CF9AE}" pid="14" name="TYPE_N_DATE">
    <vt:lpwstr>39020160404</vt:lpwstr>
  </property>
  <property fmtid="{D5CDD505-2E9C-101B-9397-08002B2CF9AE}" pid="15" name="WORDNUMPAGES">
    <vt:lpwstr>5</vt:lpwstr>
  </property>
  <property fmtid="{D5CDD505-2E9C-101B-9397-08002B2CF9AE}" pid="16" name="TYPE_ABS_DATE">
    <vt:lpwstr>390020160404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5887664;5762686;16913730;16944929;5580781;6949290;6151556;8253344;5614477;5678001;7791493;5821327</vt:lpwstr>
  </property>
  <property fmtid="{D5CDD505-2E9C-101B-9397-08002B2CF9AE}" pid="36" name="LAWLISTTMP1">
    <vt:lpwstr>70301/144.a:2;040d</vt:lpwstr>
  </property>
  <property fmtid="{D5CDD505-2E9C-101B-9397-08002B2CF9AE}" pid="37" name="LAWLISTTMP2">
    <vt:lpwstr>71553/001.b</vt:lpwstr>
  </property>
</Properties>
</file>