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DF7BD3" w:rsidRPr="008270B8" w14:paraId="07DD63CE" w14:textId="77777777" w:rsidTr="00BB2403">
        <w:trPr>
          <w:trHeight w:hRule="exact" w:val="418"/>
          <w:jc w:val="center"/>
        </w:trPr>
        <w:tc>
          <w:tcPr>
            <w:tcW w:w="8721" w:type="dxa"/>
            <w:gridSpan w:val="2"/>
          </w:tcPr>
          <w:p w14:paraId="23AB90C4" w14:textId="77777777" w:rsidR="00DF7BD3" w:rsidRPr="008270B8" w:rsidRDefault="00DF7BD3" w:rsidP="008270B8">
            <w:pPr>
              <w:pStyle w:val="a3"/>
              <w:jc w:val="center"/>
              <w:rPr>
                <w:rFonts w:ascii="Tahoma" w:hAnsi="Tahoma" w:cs="Tahoma"/>
                <w:color w:val="000080"/>
                <w:rtl/>
              </w:rPr>
            </w:pPr>
            <w:bookmarkStart w:id="0" w:name="LastJudge"/>
            <w:r w:rsidRPr="008270B8">
              <w:rPr>
                <w:rFonts w:ascii="Tahoma" w:hAnsi="Tahoma" w:cs="Tahoma"/>
                <w:b/>
                <w:bCs/>
                <w:color w:val="000080"/>
                <w:rtl/>
              </w:rPr>
              <w:t>בית המשפט המחוזי בחיפה</w:t>
            </w:r>
          </w:p>
        </w:tc>
      </w:tr>
      <w:tr w:rsidR="00DF7BD3" w:rsidRPr="008270B8" w14:paraId="7EF27F5C" w14:textId="77777777" w:rsidTr="00BB2403">
        <w:trPr>
          <w:trHeight w:val="337"/>
          <w:jc w:val="center"/>
        </w:trPr>
        <w:tc>
          <w:tcPr>
            <w:tcW w:w="5058" w:type="dxa"/>
          </w:tcPr>
          <w:p w14:paraId="534A9CF1" w14:textId="77777777" w:rsidR="00DF7BD3" w:rsidRPr="008270B8" w:rsidRDefault="00DF7BD3" w:rsidP="008270B8">
            <w:pPr>
              <w:rPr>
                <w:rFonts w:cs="FrankRuehl"/>
                <w:sz w:val="28"/>
                <w:szCs w:val="28"/>
                <w:rtl/>
              </w:rPr>
            </w:pPr>
            <w:r w:rsidRPr="008270B8">
              <w:rPr>
                <w:rFonts w:cs="FrankRuehl"/>
                <w:sz w:val="28"/>
                <w:szCs w:val="28"/>
                <w:rtl/>
              </w:rPr>
              <w:t>ת"פ</w:t>
            </w:r>
            <w:r w:rsidRPr="008270B8">
              <w:rPr>
                <w:rFonts w:cs="FrankRuehl" w:hint="cs"/>
                <w:sz w:val="28"/>
                <w:szCs w:val="28"/>
                <w:rtl/>
              </w:rPr>
              <w:t xml:space="preserve"> </w:t>
            </w:r>
            <w:r w:rsidRPr="008270B8">
              <w:rPr>
                <w:rFonts w:cs="FrankRuehl"/>
                <w:sz w:val="28"/>
                <w:szCs w:val="28"/>
                <w:rtl/>
              </w:rPr>
              <w:t>53084-08-15</w:t>
            </w:r>
            <w:r w:rsidRPr="008270B8">
              <w:rPr>
                <w:rFonts w:cs="FrankRuehl" w:hint="cs"/>
                <w:sz w:val="28"/>
                <w:szCs w:val="28"/>
                <w:rtl/>
              </w:rPr>
              <w:t xml:space="preserve"> </w:t>
            </w:r>
            <w:r w:rsidRPr="008270B8">
              <w:rPr>
                <w:rFonts w:cs="FrankRuehl"/>
                <w:sz w:val="28"/>
                <w:szCs w:val="28"/>
                <w:rtl/>
              </w:rPr>
              <w:t>מדינת ישראל נ' יאסין(עציר)</w:t>
            </w:r>
          </w:p>
          <w:p w14:paraId="7073B1D9" w14:textId="77777777" w:rsidR="00DF7BD3" w:rsidRPr="008270B8" w:rsidRDefault="00DF7BD3" w:rsidP="008270B8">
            <w:pPr>
              <w:pStyle w:val="a3"/>
              <w:rPr>
                <w:rFonts w:cs="FrankRuehl"/>
                <w:sz w:val="28"/>
                <w:szCs w:val="28"/>
                <w:rtl/>
              </w:rPr>
            </w:pPr>
          </w:p>
        </w:tc>
        <w:tc>
          <w:tcPr>
            <w:tcW w:w="3663" w:type="dxa"/>
          </w:tcPr>
          <w:p w14:paraId="217ACC0B" w14:textId="77777777" w:rsidR="00DF7BD3" w:rsidRPr="008270B8" w:rsidRDefault="00DF7BD3" w:rsidP="008270B8">
            <w:pPr>
              <w:pStyle w:val="a3"/>
              <w:jc w:val="right"/>
              <w:rPr>
                <w:rFonts w:cs="FrankRuehl"/>
                <w:sz w:val="28"/>
                <w:szCs w:val="28"/>
                <w:rtl/>
              </w:rPr>
            </w:pPr>
          </w:p>
        </w:tc>
      </w:tr>
    </w:tbl>
    <w:p w14:paraId="380CE38F" w14:textId="77777777" w:rsidR="00DF7BD3" w:rsidRPr="008270B8" w:rsidRDefault="00DF7BD3" w:rsidP="00DF7BD3">
      <w:pPr>
        <w:pStyle w:val="a3"/>
        <w:rPr>
          <w:rtl/>
        </w:rPr>
      </w:pPr>
      <w:r w:rsidRPr="008270B8">
        <w:rPr>
          <w:rFonts w:hint="cs"/>
          <w:rtl/>
        </w:rPr>
        <w:t xml:space="preserve"> </w:t>
      </w:r>
    </w:p>
    <w:p w14:paraId="6182B798" w14:textId="77777777" w:rsidR="00DF7BD3" w:rsidRPr="008270B8" w:rsidRDefault="00DF7BD3" w:rsidP="00DF7BD3">
      <w:pPr>
        <w:rPr>
          <w:rFonts w:ascii="Arial" w:hAnsi="Arial"/>
          <w:rtl/>
        </w:rPr>
      </w:pPr>
    </w:p>
    <w:tbl>
      <w:tblPr>
        <w:bidiVisual/>
        <w:tblW w:w="9018" w:type="dxa"/>
        <w:tblInd w:w="-28" w:type="dxa"/>
        <w:tblLook w:val="01E0" w:firstRow="1" w:lastRow="1" w:firstColumn="1" w:lastColumn="1" w:noHBand="0" w:noVBand="0"/>
      </w:tblPr>
      <w:tblGrid>
        <w:gridCol w:w="9018"/>
      </w:tblGrid>
      <w:tr w:rsidR="00DF7BD3" w:rsidRPr="008270B8" w14:paraId="3F98BC34" w14:textId="77777777" w:rsidTr="008270B8">
        <w:tc>
          <w:tcPr>
            <w:tcW w:w="9018" w:type="dxa"/>
            <w:shd w:val="clear" w:color="auto" w:fill="auto"/>
          </w:tcPr>
          <w:p w14:paraId="6ECA2978" w14:textId="77777777" w:rsidR="00DF7BD3" w:rsidRPr="008270B8" w:rsidRDefault="00DF7BD3" w:rsidP="008270B8">
            <w:pPr>
              <w:pStyle w:val="a3"/>
              <w:rPr>
                <w:b/>
                <w:bCs/>
                <w:sz w:val="26"/>
                <w:szCs w:val="26"/>
              </w:rPr>
            </w:pPr>
            <w:bookmarkStart w:id="1" w:name="FirstAppellant"/>
            <w:bookmarkStart w:id="2" w:name="FirstLawyer"/>
            <w:r w:rsidRPr="008270B8">
              <w:t xml:space="preserve">  -</w:t>
            </w:r>
          </w:p>
          <w:p w14:paraId="5CA5C5F8" w14:textId="77777777" w:rsidR="00DF7BD3" w:rsidRPr="008270B8" w:rsidRDefault="00DF7BD3" w:rsidP="008270B8">
            <w:pPr>
              <w:rPr>
                <w:rStyle w:val="TimesNewRomanTimesNewRoman"/>
                <w:rtl/>
              </w:rPr>
            </w:pPr>
            <w:r w:rsidRPr="008270B8">
              <w:rPr>
                <w:rFonts w:hint="cs"/>
                <w:b/>
                <w:bCs/>
                <w:sz w:val="26"/>
                <w:szCs w:val="26"/>
                <w:rtl/>
              </w:rPr>
              <w:t>לפני כבוד ה</w:t>
            </w:r>
            <w:r w:rsidRPr="008270B8">
              <w:rPr>
                <w:rFonts w:hint="cs"/>
                <w:rtl/>
              </w:rPr>
              <w:t>שופט אמיר טובי</w:t>
            </w:r>
            <w:r w:rsidRPr="008270B8">
              <w:rPr>
                <w:rStyle w:val="TimesNewRomanTimesNewRoman"/>
                <w:rFonts w:hint="cs"/>
                <w:rtl/>
              </w:rPr>
              <w:t xml:space="preserve"> </w:t>
            </w:r>
          </w:p>
          <w:p w14:paraId="5EA8B227" w14:textId="77777777" w:rsidR="00DF7BD3" w:rsidRPr="008270B8" w:rsidRDefault="00DF7BD3" w:rsidP="008270B8">
            <w:pPr>
              <w:rPr>
                <w:rtl/>
              </w:rPr>
            </w:pPr>
          </w:p>
          <w:p w14:paraId="08C77410" w14:textId="77777777" w:rsidR="00DF7BD3" w:rsidRPr="008270B8" w:rsidRDefault="00DF7BD3" w:rsidP="008270B8">
            <w:pPr>
              <w:rPr>
                <w:b/>
                <w:bCs/>
                <w:sz w:val="26"/>
                <w:szCs w:val="26"/>
                <w:rtl/>
              </w:rPr>
            </w:pPr>
            <w:r w:rsidRPr="008270B8">
              <w:rPr>
                <w:rFonts w:hint="cs"/>
                <w:b/>
                <w:bCs/>
                <w:sz w:val="26"/>
                <w:szCs w:val="26"/>
                <w:rtl/>
              </w:rPr>
              <w:t>המאשימה</w:t>
            </w:r>
            <w:r w:rsidRPr="008270B8">
              <w:rPr>
                <w:b/>
                <w:bCs/>
                <w:sz w:val="26"/>
                <w:szCs w:val="26"/>
                <w:rtl/>
              </w:rPr>
              <w:t>-</w:t>
            </w:r>
            <w:r w:rsidRPr="008270B8">
              <w:rPr>
                <w:rtl/>
              </w:rPr>
              <w:t xml:space="preserve"> </w:t>
            </w:r>
            <w:r w:rsidRPr="008270B8">
              <w:rPr>
                <w:rFonts w:hint="cs"/>
                <w:rtl/>
              </w:rPr>
              <w:t>מדינת ישראל</w:t>
            </w:r>
          </w:p>
          <w:p w14:paraId="66BC40E2" w14:textId="77777777" w:rsidR="00DF7BD3" w:rsidRPr="008270B8" w:rsidRDefault="00DF7BD3" w:rsidP="008270B8">
            <w:pPr>
              <w:rPr>
                <w:rFonts w:ascii="Arial" w:hAnsi="Arial"/>
                <w:b/>
                <w:bCs/>
                <w:sz w:val="26"/>
                <w:szCs w:val="26"/>
                <w:rtl/>
              </w:rPr>
            </w:pPr>
          </w:p>
          <w:bookmarkEnd w:id="1"/>
          <w:p w14:paraId="5F120B58" w14:textId="77777777" w:rsidR="00DF7BD3" w:rsidRPr="008270B8" w:rsidRDefault="00DF7BD3" w:rsidP="008270B8">
            <w:pPr>
              <w:jc w:val="center"/>
              <w:rPr>
                <w:rFonts w:ascii="Arial" w:hAnsi="Arial"/>
                <w:b/>
                <w:bCs/>
                <w:sz w:val="26"/>
                <w:szCs w:val="26"/>
                <w:rtl/>
              </w:rPr>
            </w:pPr>
            <w:r w:rsidRPr="008270B8">
              <w:rPr>
                <w:rFonts w:ascii="Arial" w:hAnsi="Arial" w:hint="cs"/>
                <w:b/>
                <w:bCs/>
                <w:sz w:val="26"/>
                <w:szCs w:val="26"/>
                <w:rtl/>
              </w:rPr>
              <w:t>נגד</w:t>
            </w:r>
          </w:p>
          <w:p w14:paraId="524A28BA" w14:textId="77777777" w:rsidR="00DF7BD3" w:rsidRPr="008270B8" w:rsidRDefault="00DF7BD3" w:rsidP="008270B8">
            <w:pPr>
              <w:rPr>
                <w:rFonts w:ascii="Arial" w:hAnsi="Arial"/>
                <w:b/>
                <w:bCs/>
                <w:sz w:val="26"/>
                <w:szCs w:val="26"/>
                <w:rtl/>
              </w:rPr>
            </w:pPr>
          </w:p>
          <w:p w14:paraId="020947C8" w14:textId="77777777" w:rsidR="00DF7BD3" w:rsidRPr="008270B8" w:rsidRDefault="00DF7BD3" w:rsidP="008270B8">
            <w:pPr>
              <w:rPr>
                <w:b/>
                <w:bCs/>
                <w:sz w:val="26"/>
                <w:szCs w:val="26"/>
              </w:rPr>
            </w:pPr>
            <w:r w:rsidRPr="008270B8">
              <w:rPr>
                <w:rFonts w:hint="cs"/>
                <w:b/>
                <w:bCs/>
                <w:sz w:val="26"/>
                <w:szCs w:val="26"/>
                <w:rtl/>
              </w:rPr>
              <w:t>הנאשם</w:t>
            </w:r>
            <w:r w:rsidRPr="008270B8">
              <w:rPr>
                <w:b/>
                <w:bCs/>
                <w:sz w:val="26"/>
                <w:szCs w:val="26"/>
                <w:rtl/>
              </w:rPr>
              <w:t>-</w:t>
            </w:r>
            <w:r w:rsidRPr="008270B8">
              <w:rPr>
                <w:rtl/>
              </w:rPr>
              <w:t xml:space="preserve"> </w:t>
            </w:r>
            <w:r w:rsidRPr="008270B8">
              <w:rPr>
                <w:rFonts w:hint="cs"/>
                <w:rtl/>
              </w:rPr>
              <w:t>עלי יאסין</w:t>
            </w:r>
          </w:p>
          <w:p w14:paraId="39137FD3" w14:textId="77777777" w:rsidR="00DF7BD3" w:rsidRPr="008270B8" w:rsidRDefault="00DF7BD3" w:rsidP="008270B8">
            <w:pPr>
              <w:rPr>
                <w:rFonts w:ascii="David" w:hAnsi="David"/>
                <w:rtl/>
              </w:rPr>
            </w:pPr>
          </w:p>
          <w:p w14:paraId="3C1B9606" w14:textId="77777777" w:rsidR="00DF7BD3" w:rsidRPr="008270B8" w:rsidRDefault="00DF7BD3" w:rsidP="008270B8">
            <w:pPr>
              <w:spacing w:line="360" w:lineRule="auto"/>
              <w:jc w:val="both"/>
              <w:rPr>
                <w:sz w:val="6"/>
                <w:szCs w:val="6"/>
                <w:rtl/>
              </w:rPr>
            </w:pPr>
            <w:r w:rsidRPr="008270B8">
              <w:rPr>
                <w:rFonts w:hint="cs"/>
                <w:sz w:val="6"/>
                <w:szCs w:val="6"/>
                <w:rtl/>
              </w:rPr>
              <w:t>&lt;#1#&gt;</w:t>
            </w:r>
          </w:p>
          <w:p w14:paraId="095742E5" w14:textId="77777777" w:rsidR="00DF7BD3" w:rsidRPr="008270B8" w:rsidRDefault="00DF7BD3" w:rsidP="008270B8">
            <w:pPr>
              <w:pStyle w:val="12"/>
              <w:rPr>
                <w:u w:val="none"/>
                <w:rtl/>
              </w:rPr>
            </w:pPr>
            <w:r w:rsidRPr="008270B8">
              <w:rPr>
                <w:rFonts w:hint="cs"/>
                <w:u w:val="none"/>
                <w:rtl/>
              </w:rPr>
              <w:t>נוכחים:</w:t>
            </w:r>
          </w:p>
          <w:p w14:paraId="73ADEF14" w14:textId="77777777" w:rsidR="00DF7BD3" w:rsidRPr="008270B8" w:rsidRDefault="00DF7BD3" w:rsidP="008270B8">
            <w:pPr>
              <w:pStyle w:val="12"/>
              <w:rPr>
                <w:b w:val="0"/>
                <w:bCs w:val="0"/>
                <w:u w:val="none"/>
                <w:rtl/>
              </w:rPr>
            </w:pPr>
            <w:r w:rsidRPr="008270B8">
              <w:rPr>
                <w:rFonts w:hint="cs"/>
                <w:b w:val="0"/>
                <w:bCs w:val="0"/>
                <w:u w:val="none"/>
                <w:rtl/>
              </w:rPr>
              <w:t xml:space="preserve">ב"כ המאשימה: עו"ד גב' ענת שטיינשניד </w:t>
            </w:r>
          </w:p>
          <w:p w14:paraId="72B9D2B1" w14:textId="77777777" w:rsidR="00DF7BD3" w:rsidRPr="008270B8" w:rsidRDefault="00DF7BD3" w:rsidP="008270B8">
            <w:pPr>
              <w:pStyle w:val="12"/>
              <w:rPr>
                <w:b w:val="0"/>
                <w:bCs w:val="0"/>
                <w:u w:val="none"/>
                <w:rtl/>
              </w:rPr>
            </w:pPr>
            <w:r w:rsidRPr="008270B8">
              <w:rPr>
                <w:rFonts w:hint="cs"/>
                <w:b w:val="0"/>
                <w:bCs w:val="0"/>
                <w:u w:val="none"/>
                <w:rtl/>
              </w:rPr>
              <w:t>ב"כ הנאשם: עו"ד משה מרוז ועו"ד משה פלמור</w:t>
            </w:r>
          </w:p>
          <w:p w14:paraId="5DD4B707" w14:textId="77777777" w:rsidR="00DF7BD3" w:rsidRPr="008270B8" w:rsidRDefault="00DF7BD3" w:rsidP="008270B8">
            <w:pPr>
              <w:pStyle w:val="12"/>
              <w:rPr>
                <w:b w:val="0"/>
                <w:bCs w:val="0"/>
                <w:u w:val="none"/>
                <w:rtl/>
              </w:rPr>
            </w:pPr>
            <w:r w:rsidRPr="008270B8">
              <w:rPr>
                <w:rFonts w:hint="cs"/>
                <w:b w:val="0"/>
                <w:bCs w:val="0"/>
                <w:u w:val="none"/>
                <w:rtl/>
              </w:rPr>
              <w:t xml:space="preserve">הנאשם באמצעות הליווי </w:t>
            </w:r>
          </w:p>
          <w:p w14:paraId="447E6295" w14:textId="77777777" w:rsidR="00DF7BD3" w:rsidRPr="008270B8" w:rsidRDefault="00DF7BD3" w:rsidP="008270B8">
            <w:pPr>
              <w:pStyle w:val="12"/>
              <w:rPr>
                <w:b w:val="0"/>
                <w:bCs w:val="0"/>
                <w:u w:val="none"/>
                <w:rtl/>
              </w:rPr>
            </w:pPr>
            <w:r w:rsidRPr="008270B8">
              <w:rPr>
                <w:rFonts w:hint="cs"/>
                <w:b w:val="0"/>
                <w:bCs w:val="0"/>
                <w:u w:val="none"/>
                <w:rtl/>
              </w:rPr>
              <w:t>נציג משפחת הקרבן, עו"ד שאמי מחמוד</w:t>
            </w:r>
          </w:p>
        </w:tc>
      </w:tr>
    </w:tbl>
    <w:p w14:paraId="6178FB11" w14:textId="77777777" w:rsidR="00A57E5F" w:rsidRDefault="00A57E5F" w:rsidP="00BB2403">
      <w:pPr>
        <w:jc w:val="center"/>
        <w:rPr>
          <w:rFonts w:ascii="Arial" w:hAnsi="Arial" w:cs="FrankRuehl"/>
          <w:sz w:val="32"/>
          <w:szCs w:val="32"/>
          <w:rtl/>
        </w:rPr>
      </w:pPr>
      <w:bookmarkStart w:id="3" w:name="LawTable"/>
      <w:bookmarkEnd w:id="0"/>
      <w:bookmarkEnd w:id="2"/>
      <w:bookmarkEnd w:id="3"/>
    </w:p>
    <w:p w14:paraId="7944B5C1" w14:textId="77777777" w:rsidR="00A57E5F" w:rsidRPr="00A57E5F" w:rsidRDefault="00A57E5F" w:rsidP="00A57E5F">
      <w:pPr>
        <w:spacing w:after="120" w:line="240" w:lineRule="exact"/>
        <w:ind w:left="283" w:hanging="283"/>
        <w:jc w:val="both"/>
        <w:rPr>
          <w:rFonts w:ascii="FrankRuehl" w:hAnsi="FrankRuehl" w:cs="FrankRuehl"/>
          <w:rtl/>
        </w:rPr>
      </w:pPr>
    </w:p>
    <w:p w14:paraId="5BFDB39C" w14:textId="77777777" w:rsidR="00A57E5F" w:rsidRPr="00A57E5F" w:rsidRDefault="00A57E5F" w:rsidP="00A57E5F">
      <w:pPr>
        <w:spacing w:after="120" w:line="240" w:lineRule="exact"/>
        <w:ind w:left="283" w:hanging="283"/>
        <w:jc w:val="both"/>
        <w:rPr>
          <w:rFonts w:ascii="FrankRuehl" w:hAnsi="FrankRuehl" w:cs="FrankRuehl"/>
          <w:rtl/>
        </w:rPr>
      </w:pPr>
      <w:r w:rsidRPr="00A57E5F">
        <w:rPr>
          <w:rFonts w:ascii="FrankRuehl" w:hAnsi="FrankRuehl" w:cs="FrankRuehl"/>
          <w:rtl/>
        </w:rPr>
        <w:t xml:space="preserve">חקיקה שאוזכרה: </w:t>
      </w:r>
    </w:p>
    <w:p w14:paraId="2EE0434F" w14:textId="77777777" w:rsidR="00A57E5F" w:rsidRPr="00A57E5F" w:rsidRDefault="00A57E5F" w:rsidP="00A57E5F">
      <w:pPr>
        <w:spacing w:after="120" w:line="240" w:lineRule="exact"/>
        <w:ind w:left="283" w:hanging="283"/>
        <w:jc w:val="both"/>
        <w:rPr>
          <w:rFonts w:ascii="FrankRuehl" w:hAnsi="FrankRuehl" w:cs="FrankRuehl"/>
          <w:rtl/>
        </w:rPr>
      </w:pPr>
      <w:hyperlink r:id="rId6" w:history="1">
        <w:r w:rsidRPr="00A57E5F">
          <w:rPr>
            <w:rFonts w:ascii="FrankRuehl" w:hAnsi="FrankRuehl" w:cs="FrankRuehl"/>
            <w:color w:val="0000FF"/>
            <w:u w:val="single"/>
            <w:rtl/>
          </w:rPr>
          <w:t>חוק העונשין, תשל"ז-1977</w:t>
        </w:r>
      </w:hyperlink>
      <w:r w:rsidRPr="00A57E5F">
        <w:rPr>
          <w:rFonts w:ascii="FrankRuehl" w:hAnsi="FrankRuehl" w:cs="FrankRuehl"/>
          <w:rtl/>
        </w:rPr>
        <w:t xml:space="preserve">: סע'  </w:t>
      </w:r>
      <w:hyperlink r:id="rId7" w:history="1">
        <w:r w:rsidRPr="00A57E5F">
          <w:rPr>
            <w:rFonts w:ascii="FrankRuehl" w:hAnsi="FrankRuehl" w:cs="FrankRuehl"/>
            <w:color w:val="0000FF"/>
            <w:u w:val="single"/>
            <w:rtl/>
          </w:rPr>
          <w:t>29</w:t>
        </w:r>
      </w:hyperlink>
      <w:r w:rsidRPr="00A57E5F">
        <w:rPr>
          <w:rFonts w:ascii="FrankRuehl" w:hAnsi="FrankRuehl" w:cs="FrankRuehl"/>
          <w:rtl/>
        </w:rPr>
        <w:t xml:space="preserve">, </w:t>
      </w:r>
      <w:hyperlink r:id="rId8" w:history="1">
        <w:r w:rsidRPr="00A57E5F">
          <w:rPr>
            <w:rFonts w:ascii="FrankRuehl" w:hAnsi="FrankRuehl" w:cs="FrankRuehl"/>
            <w:color w:val="0000FF"/>
            <w:u w:val="single"/>
            <w:rtl/>
          </w:rPr>
          <w:t>31</w:t>
        </w:r>
      </w:hyperlink>
      <w:r w:rsidRPr="00A57E5F">
        <w:rPr>
          <w:rFonts w:ascii="FrankRuehl" w:hAnsi="FrankRuehl" w:cs="FrankRuehl"/>
          <w:rtl/>
        </w:rPr>
        <w:t xml:space="preserve">, </w:t>
      </w:r>
      <w:hyperlink r:id="rId9" w:history="1">
        <w:r w:rsidRPr="00A57E5F">
          <w:rPr>
            <w:rFonts w:ascii="FrankRuehl" w:hAnsi="FrankRuehl" w:cs="FrankRuehl"/>
            <w:color w:val="0000FF"/>
            <w:u w:val="single"/>
            <w:rtl/>
          </w:rPr>
          <w:t>(ב)</w:t>
        </w:r>
      </w:hyperlink>
      <w:r w:rsidRPr="00A57E5F">
        <w:rPr>
          <w:rFonts w:ascii="FrankRuehl" w:hAnsi="FrankRuehl" w:cs="FrankRuehl"/>
          <w:rtl/>
        </w:rPr>
        <w:t xml:space="preserve">, </w:t>
      </w:r>
      <w:hyperlink r:id="rId10" w:history="1">
        <w:r w:rsidRPr="00A57E5F">
          <w:rPr>
            <w:rFonts w:ascii="FrankRuehl" w:hAnsi="FrankRuehl" w:cs="FrankRuehl"/>
            <w:color w:val="0000FF"/>
            <w:u w:val="single"/>
            <w:rtl/>
          </w:rPr>
          <w:t>144(א)</w:t>
        </w:r>
      </w:hyperlink>
      <w:r w:rsidRPr="00A57E5F">
        <w:rPr>
          <w:rFonts w:ascii="FrankRuehl" w:hAnsi="FrankRuehl" w:cs="FrankRuehl"/>
          <w:rtl/>
        </w:rPr>
        <w:t xml:space="preserve">, </w:t>
      </w:r>
      <w:hyperlink r:id="rId11" w:history="1">
        <w:r w:rsidRPr="00A57E5F">
          <w:rPr>
            <w:rFonts w:ascii="FrankRuehl" w:hAnsi="FrankRuehl" w:cs="FrankRuehl"/>
            <w:color w:val="0000FF"/>
            <w:u w:val="single"/>
            <w:rtl/>
          </w:rPr>
          <w:t>244</w:t>
        </w:r>
      </w:hyperlink>
      <w:r w:rsidRPr="00A57E5F">
        <w:rPr>
          <w:rFonts w:ascii="FrankRuehl" w:hAnsi="FrankRuehl" w:cs="FrankRuehl"/>
          <w:rtl/>
        </w:rPr>
        <w:t xml:space="preserve">, </w:t>
      </w:r>
      <w:hyperlink r:id="rId12" w:history="1">
        <w:r w:rsidRPr="00A57E5F">
          <w:rPr>
            <w:rFonts w:ascii="FrankRuehl" w:hAnsi="FrankRuehl" w:cs="FrankRuehl"/>
            <w:color w:val="0000FF"/>
            <w:u w:val="single"/>
            <w:rtl/>
          </w:rPr>
          <w:t>279</w:t>
        </w:r>
      </w:hyperlink>
      <w:r w:rsidRPr="00A57E5F">
        <w:rPr>
          <w:rFonts w:ascii="FrankRuehl" w:hAnsi="FrankRuehl" w:cs="FrankRuehl"/>
          <w:rtl/>
        </w:rPr>
        <w:t xml:space="preserve">, </w:t>
      </w:r>
      <w:hyperlink r:id="rId13" w:history="1">
        <w:r w:rsidRPr="00A57E5F">
          <w:rPr>
            <w:rFonts w:ascii="FrankRuehl" w:hAnsi="FrankRuehl" w:cs="FrankRuehl"/>
            <w:color w:val="0000FF"/>
            <w:u w:val="single"/>
            <w:rtl/>
          </w:rPr>
          <w:t>298</w:t>
        </w:r>
      </w:hyperlink>
      <w:r w:rsidRPr="00A57E5F">
        <w:rPr>
          <w:rFonts w:ascii="FrankRuehl" w:hAnsi="FrankRuehl" w:cs="FrankRuehl"/>
          <w:rtl/>
        </w:rPr>
        <w:t xml:space="preserve">, </w:t>
      </w:r>
      <w:hyperlink r:id="rId14" w:history="1">
        <w:r w:rsidRPr="00A57E5F">
          <w:rPr>
            <w:rFonts w:ascii="FrankRuehl" w:hAnsi="FrankRuehl" w:cs="FrankRuehl"/>
            <w:color w:val="0000FF"/>
            <w:u w:val="single"/>
            <w:rtl/>
          </w:rPr>
          <w:t>452</w:t>
        </w:r>
      </w:hyperlink>
    </w:p>
    <w:p w14:paraId="6C830D28" w14:textId="77777777" w:rsidR="00A57E5F" w:rsidRPr="00A57E5F" w:rsidRDefault="00A57E5F" w:rsidP="00A57E5F">
      <w:pPr>
        <w:spacing w:after="120" w:line="240" w:lineRule="exact"/>
        <w:ind w:left="283" w:hanging="283"/>
        <w:jc w:val="both"/>
        <w:rPr>
          <w:rFonts w:ascii="FrankRuehl" w:hAnsi="FrankRuehl" w:cs="FrankRuehl"/>
          <w:rtl/>
        </w:rPr>
      </w:pPr>
    </w:p>
    <w:p w14:paraId="7A9CA11A" w14:textId="77777777" w:rsidR="00A57E5F" w:rsidRPr="00A57E5F" w:rsidRDefault="00A57E5F" w:rsidP="00BB2403">
      <w:pPr>
        <w:jc w:val="center"/>
        <w:rPr>
          <w:rFonts w:ascii="Arial" w:hAnsi="Arial" w:cs="FrankRuehl"/>
          <w:sz w:val="32"/>
          <w:szCs w:val="32"/>
          <w:rtl/>
        </w:rPr>
      </w:pPr>
      <w:bookmarkStart w:id="4" w:name="LawTable_End"/>
      <w:bookmarkEnd w:id="4"/>
    </w:p>
    <w:p w14:paraId="65DD6019" w14:textId="77777777" w:rsidR="00BB2403" w:rsidRPr="00BB2403" w:rsidRDefault="00BB2403" w:rsidP="00BB2403">
      <w:pPr>
        <w:jc w:val="center"/>
        <w:rPr>
          <w:rFonts w:ascii="Arial" w:hAnsi="Arial" w:cs="FrankRuehl"/>
          <w:sz w:val="32"/>
          <w:szCs w:val="32"/>
          <w:rtl/>
        </w:rPr>
      </w:pPr>
    </w:p>
    <w:p w14:paraId="78BC9072" w14:textId="77777777" w:rsidR="00BB2403" w:rsidRPr="008270B8" w:rsidRDefault="00BB2403" w:rsidP="00BB2403">
      <w:pPr>
        <w:jc w:val="center"/>
        <w:rPr>
          <w:rFonts w:ascii="Arial" w:hAnsi="Arial" w:cs="FrankRuehl"/>
          <w:sz w:val="32"/>
          <w:szCs w:val="32"/>
          <w:rtl/>
        </w:rPr>
      </w:pPr>
    </w:p>
    <w:p w14:paraId="74FE5ECC" w14:textId="77777777" w:rsidR="00BB2403" w:rsidRPr="008270B8" w:rsidRDefault="00BB2403" w:rsidP="00BB2403">
      <w:pPr>
        <w:jc w:val="center"/>
        <w:rPr>
          <w:rFonts w:ascii="Arial" w:hAnsi="Arial" w:cs="FrankRuehl"/>
          <w:b/>
          <w:bCs/>
          <w:sz w:val="32"/>
          <w:szCs w:val="32"/>
          <w:rtl/>
        </w:rPr>
      </w:pPr>
      <w:bookmarkStart w:id="5" w:name="PsakDin"/>
      <w:r w:rsidRPr="008270B8">
        <w:rPr>
          <w:rFonts w:ascii="Arial" w:hAnsi="Arial" w:cs="FrankRuehl"/>
          <w:b/>
          <w:bCs/>
          <w:sz w:val="32"/>
          <w:szCs w:val="32"/>
          <w:rtl/>
        </w:rPr>
        <w:t>גזר דין</w:t>
      </w:r>
      <w:bookmarkEnd w:id="5"/>
    </w:p>
    <w:p w14:paraId="5D879BD6" w14:textId="77777777" w:rsidR="00DF7BD3" w:rsidRPr="00B05847" w:rsidRDefault="00DF7BD3" w:rsidP="00DF7BD3">
      <w:pPr>
        <w:spacing w:line="360" w:lineRule="auto"/>
        <w:rPr>
          <w:rFonts w:ascii="Arial" w:hAnsi="Arial"/>
          <w:rtl/>
        </w:rPr>
      </w:pPr>
    </w:p>
    <w:p w14:paraId="367257F4" w14:textId="77777777" w:rsidR="00DF7BD3" w:rsidRDefault="00DF7BD3" w:rsidP="00DF7BD3">
      <w:pPr>
        <w:spacing w:line="360" w:lineRule="auto"/>
        <w:ind w:left="567" w:hanging="567"/>
        <w:jc w:val="both"/>
        <w:rPr>
          <w:rtl/>
        </w:rPr>
      </w:pPr>
      <w:r>
        <w:rPr>
          <w:rFonts w:hint="cs"/>
          <w:rtl/>
        </w:rPr>
        <w:t>1.</w:t>
      </w:r>
      <w:r>
        <w:rPr>
          <w:rtl/>
        </w:rPr>
        <w:tab/>
      </w:r>
      <w:bookmarkStart w:id="6" w:name="ABSTRACT_START"/>
      <w:bookmarkEnd w:id="6"/>
      <w:r>
        <w:rPr>
          <w:rFonts w:hint="cs"/>
          <w:rtl/>
        </w:rPr>
        <w:t xml:space="preserve">הנאשם הורשע על סמך הודייתו בעבירות שיוחסו לו בכתב אישום, שתוקן במסגרת הסדר טיעון, אליו הגיעו הצדדים. הוסכם, בין היתר, כי על הנאשם יושת עונש מאסר בפועל בין 4 שנים, בניכוי ימי מעצרו בתיק זה וכי יופעל כנגדו עונש מאסר מותנה בר הפעלה בן שנה, חציו בחופף וחציו במצטבר, כך שסה"כ ירצה הנאשם עונש מאסר בפועל בין 4.5 שנים. בנוסף, יושתו על הנאשם  עונשי מאסר על תנאי, קנס כספי ופיצוי, והטיעונים לעניין זה יטענו באופן חופשי על ידי הצדדים. </w:t>
      </w:r>
    </w:p>
    <w:p w14:paraId="5BA5051B" w14:textId="77777777" w:rsidR="00DF7BD3" w:rsidRDefault="00DF7BD3" w:rsidP="00DF7BD3">
      <w:pPr>
        <w:spacing w:line="360" w:lineRule="auto"/>
        <w:ind w:left="567" w:hanging="567"/>
        <w:rPr>
          <w:rtl/>
        </w:rPr>
      </w:pPr>
      <w:bookmarkStart w:id="7" w:name="ABSTRACT_END"/>
      <w:bookmarkEnd w:id="7"/>
    </w:p>
    <w:p w14:paraId="64C1B200" w14:textId="77777777" w:rsidR="00DF7BD3" w:rsidRDefault="00DF7BD3" w:rsidP="00DF7BD3">
      <w:pPr>
        <w:spacing w:line="360" w:lineRule="auto"/>
        <w:ind w:left="567" w:hanging="567"/>
        <w:jc w:val="both"/>
        <w:rPr>
          <w:rtl/>
        </w:rPr>
      </w:pPr>
      <w:r>
        <w:rPr>
          <w:rFonts w:hint="cs"/>
          <w:rtl/>
        </w:rPr>
        <w:t>2.</w:t>
      </w:r>
      <w:r>
        <w:rPr>
          <w:rFonts w:hint="cs"/>
          <w:rtl/>
        </w:rPr>
        <w:tab/>
        <w:t xml:space="preserve">בכתב האישום המתוקן (להלן: "כתב האישום") יוחסו לנאשם העבירות הבאות </w:t>
      </w:r>
      <w:r>
        <w:rPr>
          <w:rtl/>
        </w:rPr>
        <w:t>–</w:t>
      </w:r>
      <w:r>
        <w:rPr>
          <w:rFonts w:hint="cs"/>
          <w:rtl/>
        </w:rPr>
        <w:t xml:space="preserve"> סיוע להריגה, עבירה לפי </w:t>
      </w:r>
      <w:hyperlink r:id="rId15" w:history="1">
        <w:r w:rsidR="00BB2403" w:rsidRPr="00BB2403">
          <w:rPr>
            <w:color w:val="0000FF"/>
            <w:u w:val="single"/>
            <w:rtl/>
          </w:rPr>
          <w:t>סעיף 298</w:t>
        </w:r>
      </w:hyperlink>
      <w:r>
        <w:rPr>
          <w:rFonts w:hint="cs"/>
          <w:rtl/>
        </w:rPr>
        <w:t xml:space="preserve"> + </w:t>
      </w:r>
      <w:hyperlink r:id="rId16" w:history="1">
        <w:r w:rsidR="00BB2403" w:rsidRPr="00BB2403">
          <w:rPr>
            <w:color w:val="0000FF"/>
            <w:u w:val="single"/>
            <w:rtl/>
          </w:rPr>
          <w:t>31</w:t>
        </w:r>
      </w:hyperlink>
      <w:r>
        <w:rPr>
          <w:rFonts w:hint="cs"/>
          <w:rtl/>
        </w:rPr>
        <w:t xml:space="preserve"> ל</w:t>
      </w:r>
      <w:hyperlink r:id="rId17" w:history="1">
        <w:r w:rsidR="008270B8" w:rsidRPr="008270B8">
          <w:rPr>
            <w:rStyle w:val="Hyperlink"/>
            <w:rFonts w:hint="eastAsia"/>
            <w:rtl/>
          </w:rPr>
          <w:t>חוק</w:t>
        </w:r>
        <w:r w:rsidR="008270B8" w:rsidRPr="008270B8">
          <w:rPr>
            <w:rStyle w:val="Hyperlink"/>
            <w:rtl/>
          </w:rPr>
          <w:t xml:space="preserve"> העונשין</w:t>
        </w:r>
      </w:hyperlink>
      <w:r>
        <w:rPr>
          <w:rFonts w:hint="cs"/>
          <w:rtl/>
        </w:rPr>
        <w:t xml:space="preserve">, התשל"ז -1977 (להלן: "חוק העונשין"); החזקה ונשיאה של נשק שלא כדין, עבירה לפי </w:t>
      </w:r>
      <w:hyperlink r:id="rId18" w:history="1">
        <w:r w:rsidR="00BB2403" w:rsidRPr="00BB2403">
          <w:rPr>
            <w:color w:val="0000FF"/>
            <w:u w:val="single"/>
            <w:rtl/>
          </w:rPr>
          <w:t>סעיפים 144(א)</w:t>
        </w:r>
      </w:hyperlink>
      <w:r>
        <w:rPr>
          <w:rFonts w:hint="cs"/>
          <w:rtl/>
        </w:rPr>
        <w:t xml:space="preserve"> +</w:t>
      </w:r>
      <w:hyperlink r:id="rId19" w:history="1">
        <w:r w:rsidR="00BB2403" w:rsidRPr="00BB2403">
          <w:rPr>
            <w:color w:val="0000FF"/>
            <w:u w:val="single"/>
            <w:rtl/>
          </w:rPr>
          <w:t>(ב)</w:t>
        </w:r>
      </w:hyperlink>
      <w:r>
        <w:rPr>
          <w:rFonts w:hint="cs"/>
          <w:rtl/>
        </w:rPr>
        <w:t xml:space="preserve"> + </w:t>
      </w:r>
      <w:hyperlink r:id="rId20" w:history="1">
        <w:r w:rsidR="00BB2403" w:rsidRPr="00BB2403">
          <w:rPr>
            <w:color w:val="0000FF"/>
            <w:u w:val="single"/>
            <w:rtl/>
          </w:rPr>
          <w:t>29</w:t>
        </w:r>
      </w:hyperlink>
      <w:r>
        <w:rPr>
          <w:rFonts w:hint="cs"/>
          <w:rtl/>
        </w:rPr>
        <w:t xml:space="preserve"> לחוק העונשין; היזק בזדון, עבירה לפי </w:t>
      </w:r>
      <w:hyperlink r:id="rId21" w:history="1">
        <w:r w:rsidR="00BB2403" w:rsidRPr="00BB2403">
          <w:rPr>
            <w:color w:val="0000FF"/>
            <w:u w:val="single"/>
            <w:rtl/>
          </w:rPr>
          <w:t>סעיף 452</w:t>
        </w:r>
      </w:hyperlink>
      <w:r>
        <w:rPr>
          <w:rFonts w:hint="cs"/>
          <w:rtl/>
        </w:rPr>
        <w:t xml:space="preserve"> + </w:t>
      </w:r>
      <w:hyperlink r:id="rId22" w:history="1">
        <w:r w:rsidR="00BB2403" w:rsidRPr="00BB2403">
          <w:rPr>
            <w:color w:val="0000FF"/>
            <w:u w:val="single"/>
            <w:rtl/>
          </w:rPr>
          <w:t>29</w:t>
        </w:r>
      </w:hyperlink>
      <w:r>
        <w:rPr>
          <w:rFonts w:hint="cs"/>
          <w:rtl/>
        </w:rPr>
        <w:t xml:space="preserve"> לחוק העונשין; שיבוש מהלכי משפט, עבירה לפי </w:t>
      </w:r>
      <w:hyperlink r:id="rId23" w:history="1">
        <w:r w:rsidR="00BB2403" w:rsidRPr="00BB2403">
          <w:rPr>
            <w:color w:val="0000FF"/>
            <w:u w:val="single"/>
            <w:rtl/>
          </w:rPr>
          <w:t>סעיף 244</w:t>
        </w:r>
      </w:hyperlink>
      <w:r>
        <w:rPr>
          <w:rFonts w:hint="cs"/>
          <w:rtl/>
        </w:rPr>
        <w:t xml:space="preserve"> לחוק העונשין ותקיפה סתם , עבירה לפי </w:t>
      </w:r>
      <w:hyperlink r:id="rId24" w:history="1">
        <w:r w:rsidR="00BB2403" w:rsidRPr="00BB2403">
          <w:rPr>
            <w:color w:val="0000FF"/>
            <w:u w:val="single"/>
            <w:rtl/>
          </w:rPr>
          <w:t>סעיף 279</w:t>
        </w:r>
      </w:hyperlink>
      <w:r>
        <w:rPr>
          <w:rFonts w:hint="cs"/>
          <w:rtl/>
        </w:rPr>
        <w:t xml:space="preserve"> לחוק העונשין.</w:t>
      </w:r>
    </w:p>
    <w:p w14:paraId="75D697FE" w14:textId="77777777" w:rsidR="00DF7BD3" w:rsidRDefault="00DF7BD3" w:rsidP="00DF7BD3">
      <w:pPr>
        <w:spacing w:line="360" w:lineRule="auto"/>
        <w:ind w:left="567" w:hanging="567"/>
        <w:rPr>
          <w:rtl/>
        </w:rPr>
      </w:pPr>
    </w:p>
    <w:p w14:paraId="4491DDFD" w14:textId="77777777" w:rsidR="00DF7BD3" w:rsidRDefault="00DF7BD3" w:rsidP="00DF7BD3">
      <w:pPr>
        <w:spacing w:line="360" w:lineRule="auto"/>
        <w:ind w:left="567" w:hanging="567"/>
        <w:jc w:val="both"/>
        <w:rPr>
          <w:rtl/>
        </w:rPr>
      </w:pPr>
      <w:r>
        <w:rPr>
          <w:rFonts w:hint="cs"/>
          <w:rtl/>
        </w:rPr>
        <w:t>3.</w:t>
      </w:r>
      <w:r>
        <w:rPr>
          <w:rFonts w:hint="cs"/>
          <w:rtl/>
        </w:rPr>
        <w:tab/>
        <w:t xml:space="preserve">בעובדות כתב האישום נאמר כי במועד שאינו ידוע למאשימה , עובר לתאריך 30.6.15, החליט הנאשם לירות לעבר סופרמרקט "דוחא" בטמרה. לצורך הירי פנה הנאשם ביום 29.6.15 למוחמד סמאר וביקש לקנות ממנו את הקטנוע שהיה ברשותו. כמו כן ביקש הנאשם מסמאר להחליף את אגזוז הקטנוע שהרעיש, לאגזוז שאינו משמיע רעש. סמאר נעתר לבקשת הנאשם והחליף את האגזוז כמבוקש. </w:t>
      </w:r>
    </w:p>
    <w:p w14:paraId="2AFE1059" w14:textId="77777777" w:rsidR="00DF7BD3" w:rsidRDefault="00DF7BD3" w:rsidP="00DF7BD3">
      <w:pPr>
        <w:spacing w:line="360" w:lineRule="auto"/>
        <w:ind w:left="567" w:hanging="567"/>
        <w:rPr>
          <w:rtl/>
        </w:rPr>
      </w:pPr>
    </w:p>
    <w:p w14:paraId="6FC5ED36" w14:textId="77777777" w:rsidR="00DF7BD3" w:rsidRDefault="00DF7BD3" w:rsidP="00DF7BD3">
      <w:pPr>
        <w:spacing w:line="360" w:lineRule="auto"/>
        <w:ind w:left="567" w:hanging="567"/>
        <w:jc w:val="both"/>
        <w:rPr>
          <w:rtl/>
        </w:rPr>
      </w:pPr>
      <w:r>
        <w:rPr>
          <w:rtl/>
        </w:rPr>
        <w:tab/>
      </w:r>
      <w:r>
        <w:rPr>
          <w:rFonts w:hint="cs"/>
          <w:rtl/>
        </w:rPr>
        <w:t xml:space="preserve">בתאריך 29.6.15 סמוך לפני חצות, נפגש סמאר עם הנאשם ועם אחר ומסר לידי הנאשם את הקטנוע לאחר שקיבל מידיו סך של 2,000 ₪. במעמד זה אמר הנאשם לסמאר כי הקטנוע ישמש אותו בירי לעבר סופרמרקט "דוחא" שבטמרה. לצורך הירי הצטיידו הנאשם והאחר בתת מקלע ובאקדח שהינם כלי נשק שסוגלו לירות כדור שבכוחו להמית אדם ובתחמושת. </w:t>
      </w:r>
    </w:p>
    <w:p w14:paraId="172A2A61" w14:textId="77777777" w:rsidR="00DF7BD3" w:rsidRDefault="00DF7BD3" w:rsidP="00DF7BD3">
      <w:pPr>
        <w:spacing w:line="360" w:lineRule="auto"/>
        <w:ind w:left="567" w:hanging="567"/>
        <w:rPr>
          <w:rtl/>
        </w:rPr>
      </w:pPr>
    </w:p>
    <w:p w14:paraId="47A88528" w14:textId="77777777" w:rsidR="00DF7BD3" w:rsidRDefault="00DF7BD3" w:rsidP="00DF7BD3">
      <w:pPr>
        <w:spacing w:line="360" w:lineRule="auto"/>
        <w:ind w:left="567" w:hanging="567"/>
        <w:jc w:val="both"/>
        <w:rPr>
          <w:rtl/>
        </w:rPr>
      </w:pPr>
      <w:r>
        <w:rPr>
          <w:rtl/>
        </w:rPr>
        <w:tab/>
      </w:r>
      <w:r>
        <w:rPr>
          <w:rFonts w:hint="cs"/>
          <w:rtl/>
        </w:rPr>
        <w:t xml:space="preserve">ביום 30.6.15 בשעה 01:15 או בסמוך לכך, הגיעו הנאשם והאחר רכובים על הקטנוע עד סמוך לסופר, כשהנאשם נוהג בקטנוע והאחר יושב מאחוריו. תוך כדי נסיעה ירה האחר באמצעות אחד מכלי הנשק מספר יריות לעבר הסופר והנאשם והאחר המשיכו בנסיעתם. כשתי דקות לאחר הירי הראשון, בשעה 01:17 חזרו הנאשם והאחר כשהם רכובים על הקטנוע עד סמוך לסופר. תוך כדי נסיעה, ירה האחר באמצעות אחד מכלי הנשק מספר יריות לעבר הסופר והאנשים שעמדו בקרבתו ואשר הגיעו למקום בעקבות הירי הראשון. הנאשם והאחר המשיכו בנסיעתם. בין אותם אנשים שהיו במקום היה גם חי'ר דיאב (להלן: "המנוח"). אחד מהקליעים שירה האחר בירי השני, בסיועו של הנאשם, פגע במנוח וגרם למותו. כמו כן נגרם לחליל סובח שפשוף ברגל שמאל ולמ.א.א.ה שריטה באצבע. מותו של המנוח נגרם מנזק לריאה "חזה דם", כתוצאה ממעבר הקליע דרך זרועו השמאלית, כניסתו לבית החזה משמאל, מעבר דרך הריאה השמאלית וכלי דם גדול ויציאה בגב מימין. </w:t>
      </w:r>
    </w:p>
    <w:p w14:paraId="27093908" w14:textId="77777777" w:rsidR="00DF7BD3" w:rsidRDefault="00DF7BD3" w:rsidP="00DF7BD3">
      <w:pPr>
        <w:spacing w:line="360" w:lineRule="auto"/>
        <w:ind w:left="567" w:hanging="567"/>
        <w:rPr>
          <w:rtl/>
        </w:rPr>
      </w:pPr>
    </w:p>
    <w:p w14:paraId="27DDB828" w14:textId="77777777" w:rsidR="00DF7BD3" w:rsidRDefault="00DF7BD3" w:rsidP="00DF7BD3">
      <w:pPr>
        <w:spacing w:line="360" w:lineRule="auto"/>
        <w:ind w:left="567" w:hanging="567"/>
        <w:jc w:val="both"/>
        <w:rPr>
          <w:rtl/>
        </w:rPr>
      </w:pPr>
      <w:r>
        <w:rPr>
          <w:rtl/>
        </w:rPr>
        <w:tab/>
      </w:r>
      <w:r>
        <w:rPr>
          <w:rFonts w:hint="cs"/>
          <w:rtl/>
        </w:rPr>
        <w:t>סה"כ נורו בירי הראשון והשני כ- 22 כדורים שגרמו נזק למדפים שבתוך הסופר, לשמשה ולקירות הסופר. לאחר הירי התקשר הנאשם לסמאר ואמר לו לזרוק את כרטיס הסים של הטלפון הנייד שלו, בכוונה למנוע או להכשיל הליך שיפוטי, וסמאר עשה כן. כמו כן הסתיר הנאשם את הטלפון הנייד שלו בכוונה למנוע או להכשיל הליך שיפוטי.</w:t>
      </w:r>
    </w:p>
    <w:p w14:paraId="7FEE9E9C" w14:textId="77777777" w:rsidR="00DF7BD3" w:rsidRDefault="00DF7BD3" w:rsidP="00DF7BD3">
      <w:pPr>
        <w:spacing w:line="360" w:lineRule="auto"/>
        <w:ind w:left="567" w:hanging="567"/>
        <w:rPr>
          <w:rtl/>
        </w:rPr>
      </w:pPr>
    </w:p>
    <w:p w14:paraId="0047BCD7" w14:textId="77777777" w:rsidR="00DF7BD3" w:rsidRDefault="00DF7BD3" w:rsidP="00DF7BD3">
      <w:pPr>
        <w:spacing w:line="360" w:lineRule="auto"/>
        <w:ind w:left="567" w:hanging="567"/>
        <w:jc w:val="both"/>
        <w:rPr>
          <w:rtl/>
        </w:rPr>
      </w:pPr>
      <w:r>
        <w:rPr>
          <w:rtl/>
        </w:rPr>
        <w:tab/>
      </w:r>
      <w:r>
        <w:rPr>
          <w:rFonts w:hint="cs"/>
          <w:rtl/>
        </w:rPr>
        <w:t xml:space="preserve">ביום 10.8.15 בעת שהיו נתונים במעצר בתיק זה תקף הנאשם את סמאר בכך שהכה אותו בראשו ואמר לו "למה פתחת עליי?". </w:t>
      </w:r>
    </w:p>
    <w:p w14:paraId="5B242273" w14:textId="77777777" w:rsidR="00DF7BD3" w:rsidRDefault="00DF7BD3" w:rsidP="00DF7BD3">
      <w:pPr>
        <w:spacing w:line="360" w:lineRule="auto"/>
        <w:ind w:left="567" w:hanging="567"/>
        <w:rPr>
          <w:rtl/>
        </w:rPr>
      </w:pPr>
    </w:p>
    <w:p w14:paraId="144A8546" w14:textId="77777777" w:rsidR="00DF7BD3" w:rsidRDefault="00DF7BD3" w:rsidP="00DF7BD3">
      <w:pPr>
        <w:spacing w:line="360" w:lineRule="auto"/>
        <w:ind w:left="567" w:hanging="567"/>
        <w:jc w:val="both"/>
        <w:rPr>
          <w:rtl/>
        </w:rPr>
      </w:pPr>
      <w:r>
        <w:rPr>
          <w:rFonts w:hint="cs"/>
          <w:rtl/>
        </w:rPr>
        <w:t xml:space="preserve"> 4.</w:t>
      </w:r>
      <w:r>
        <w:rPr>
          <w:rtl/>
        </w:rPr>
        <w:tab/>
      </w:r>
      <w:r>
        <w:rPr>
          <w:rFonts w:hint="cs"/>
          <w:rtl/>
        </w:rPr>
        <w:t xml:space="preserve">ביום 3.4.17 הוצג הסדר הטיעון, הנאשם חזר בו מכפירתו, הוגש כתב אישום מתוקן בו הודה הנאשם והורשע על פי הודייתו. </w:t>
      </w:r>
    </w:p>
    <w:p w14:paraId="09E79B16" w14:textId="77777777" w:rsidR="00DF7BD3" w:rsidRDefault="00DF7BD3" w:rsidP="00DF7BD3">
      <w:pPr>
        <w:spacing w:line="360" w:lineRule="auto"/>
        <w:ind w:left="567" w:hanging="567"/>
        <w:rPr>
          <w:rtl/>
        </w:rPr>
      </w:pPr>
    </w:p>
    <w:p w14:paraId="15354781" w14:textId="77777777" w:rsidR="00DF7BD3" w:rsidRDefault="00DF7BD3" w:rsidP="00DF7BD3">
      <w:pPr>
        <w:spacing w:line="360" w:lineRule="auto"/>
        <w:ind w:left="567" w:hanging="567"/>
        <w:jc w:val="both"/>
        <w:rPr>
          <w:rtl/>
        </w:rPr>
      </w:pPr>
      <w:r>
        <w:rPr>
          <w:rFonts w:hint="cs"/>
          <w:rtl/>
        </w:rPr>
        <w:lastRenderedPageBreak/>
        <w:t>5.</w:t>
      </w:r>
      <w:r>
        <w:rPr>
          <w:rFonts w:hint="cs"/>
          <w:rtl/>
        </w:rPr>
        <w:tab/>
        <w:t xml:space="preserve">בטרם נשמעו טיעוני הצדדים לעונש, הציגה המאשימה במסגרת ראיותיה לעונש את גיליון הרשעותיו של הנאשם (מע/1) ממנו עולה, כי לחובתו הרשעה מיום 2.5.13  בעבירת חבלה, לרבות חבלה כשהעבריין מזויין וחבלה חמורה, פציעה ונהיגת רכב מנועי ללא רישיון. בנוסף, הציגה ב"כ המאשימה את כתב האישום נשוא ההרשעה הנ"ל וכן את הכרעת הדין וגזר הדין שניתנו וכן את פסק דינו של בית המשפט העליון בערעור שהוגש על גזר הדין ונדחה. </w:t>
      </w:r>
    </w:p>
    <w:p w14:paraId="3804CF4B" w14:textId="77777777" w:rsidR="00DF7BD3" w:rsidRDefault="00DF7BD3" w:rsidP="00DF7BD3">
      <w:pPr>
        <w:spacing w:line="360" w:lineRule="auto"/>
        <w:ind w:left="567" w:hanging="567"/>
        <w:rPr>
          <w:rtl/>
        </w:rPr>
      </w:pPr>
    </w:p>
    <w:p w14:paraId="2B914943" w14:textId="77777777" w:rsidR="00DF7BD3" w:rsidRDefault="00DF7BD3" w:rsidP="00DF7BD3">
      <w:pPr>
        <w:spacing w:line="360" w:lineRule="auto"/>
        <w:ind w:left="567" w:hanging="567"/>
        <w:jc w:val="both"/>
        <w:rPr>
          <w:rtl/>
        </w:rPr>
      </w:pPr>
      <w:r>
        <w:rPr>
          <w:rFonts w:hint="cs"/>
          <w:rtl/>
        </w:rPr>
        <w:t>6.</w:t>
      </w:r>
      <w:r>
        <w:rPr>
          <w:rFonts w:hint="cs"/>
          <w:rtl/>
        </w:rPr>
        <w:tab/>
        <w:t>בנוסף, ביקשה המאשימה להביא את דבריו של בנו של המנוח , מר דיאב ח'יר. בדבריו ציין מר דיאב  כי בעבר שמו היה מחמוד וכי שינה את שמו  לחי'ר על שם אביו לאחר מותו. לדבריו, אימו עבדה כל חייה כמורה בבית ספר וכי במועד שבו החליטה לפרוש לגמלאות, להתחיל פרק חדש בחייה ולהנות עם בן זוגה, נהרג אבי המשפחה שהיה הרוח החיה בבית. המנוח לא היה קשור כלל לאירוע הירי וכל אשמו התבטא בכך שהיה במקום הלא נכון בזמן הלא נכון. הבן הוסיף כי אין פיצוי שיקהה את עוצמת הכאב והוא בא לבקש מבית המשפט לעשות צדק.</w:t>
      </w:r>
    </w:p>
    <w:p w14:paraId="7FB46115" w14:textId="77777777" w:rsidR="00DF7BD3" w:rsidRDefault="00DF7BD3" w:rsidP="00DF7BD3">
      <w:pPr>
        <w:spacing w:line="360" w:lineRule="auto"/>
        <w:ind w:left="567" w:hanging="567"/>
        <w:rPr>
          <w:rtl/>
        </w:rPr>
      </w:pPr>
    </w:p>
    <w:p w14:paraId="45FD695A" w14:textId="77777777" w:rsidR="00DF7BD3" w:rsidRDefault="00DF7BD3" w:rsidP="00DF7BD3">
      <w:pPr>
        <w:spacing w:line="360" w:lineRule="auto"/>
        <w:ind w:left="567" w:hanging="567"/>
        <w:jc w:val="both"/>
        <w:rPr>
          <w:rtl/>
        </w:rPr>
      </w:pPr>
      <w:r>
        <w:rPr>
          <w:rFonts w:hint="cs"/>
          <w:rtl/>
        </w:rPr>
        <w:t>7.</w:t>
      </w:r>
      <w:r>
        <w:rPr>
          <w:rFonts w:hint="cs"/>
          <w:rtl/>
        </w:rPr>
        <w:tab/>
        <w:t xml:space="preserve">ב"כ המאשימה בקשה לכבד את ההסדר אשר נרקם בין הצדדים, בין היתר, לאור קושי ראייתי אליו נחשף בית המשפט במהלך ניהול המשפט. נאמר כי הענישה שהוסכמה על ידי הצדדים תואמת את הענישה הנוהגת בפסיקה בנסיבות דומות. בנוסף בקשה המאשימה להטיל על הנאשם קנס ומאסר מותנה לתקופה ממושכת שיהא בו כדי להרתיע אותו מלחזור ולבצע עבירות כגון אלו בהן הורשע. כמו כן עתרה המאשימה לחייב את הנאשם בפיצוי משפחת המנוח בסכום שיהא בו כדי לשקף את ההכרה בפגיעה הקשה שנגרמה להם.  </w:t>
      </w:r>
    </w:p>
    <w:p w14:paraId="25BF6BF4" w14:textId="77777777" w:rsidR="00DF7BD3" w:rsidRDefault="00DF7BD3" w:rsidP="00DF7BD3">
      <w:pPr>
        <w:spacing w:line="360" w:lineRule="auto"/>
        <w:ind w:left="567" w:hanging="567"/>
        <w:rPr>
          <w:rtl/>
        </w:rPr>
      </w:pPr>
    </w:p>
    <w:p w14:paraId="3B9D2357" w14:textId="77777777" w:rsidR="00DF7BD3" w:rsidRDefault="00DF7BD3" w:rsidP="00DF7BD3">
      <w:pPr>
        <w:spacing w:line="360" w:lineRule="auto"/>
        <w:ind w:left="567" w:hanging="567"/>
        <w:jc w:val="both"/>
        <w:rPr>
          <w:rtl/>
        </w:rPr>
      </w:pPr>
      <w:r>
        <w:rPr>
          <w:rFonts w:hint="cs"/>
          <w:rtl/>
        </w:rPr>
        <w:t>8.</w:t>
      </w:r>
      <w:r>
        <w:rPr>
          <w:rFonts w:hint="cs"/>
          <w:rtl/>
        </w:rPr>
        <w:tab/>
        <w:t xml:space="preserve">ב"כ הנאשם טען כי ההסדר הושג נוכח קשיים ראייתיים וכי הודיית שולחו מבטאת נטילת אחריות על מעשיו ומביאה לחסכון בזמן שיפוטי יקר, בייחוד בשים לב לכך שרשימת עדי התביעה מונה 170 עדים, מתוכן נשמעו רק כ- 20 עדים. תחת לנהל משפט ארוך שבסופו עשוי היה בית המשפט גם לזכות את הנאשם, בחר הנאשם ליטול אחריות ולהודות בסיוע להריגה. הסיוע מתבטא בכך שהנאשם נהג בקטנוע אך לא הוא זה שירה במנוח. </w:t>
      </w:r>
    </w:p>
    <w:p w14:paraId="1661A72F" w14:textId="77777777" w:rsidR="00DF7BD3" w:rsidRDefault="00DF7BD3" w:rsidP="00DF7BD3">
      <w:pPr>
        <w:spacing w:line="360" w:lineRule="auto"/>
        <w:ind w:left="567" w:hanging="567"/>
        <w:rPr>
          <w:rtl/>
        </w:rPr>
      </w:pPr>
    </w:p>
    <w:p w14:paraId="3B57831A" w14:textId="77777777" w:rsidR="00DF7BD3" w:rsidRDefault="00DF7BD3" w:rsidP="00DF7BD3">
      <w:pPr>
        <w:spacing w:line="360" w:lineRule="auto"/>
        <w:ind w:left="567" w:hanging="567"/>
        <w:jc w:val="both"/>
        <w:rPr>
          <w:rtl/>
        </w:rPr>
      </w:pPr>
      <w:r>
        <w:rPr>
          <w:rtl/>
        </w:rPr>
        <w:tab/>
      </w:r>
      <w:r>
        <w:rPr>
          <w:rFonts w:hint="cs"/>
          <w:rtl/>
        </w:rPr>
        <w:t xml:space="preserve">לגבי נסיבותיו האישיות של הנאשם, טען סנגורו כי מדובר במי שהיה בן 21 במועד האירוע, ומכאן שנמנה על קבוצת הבגירים צעירים שזכו להתחשבות מיוחדת בפסיקה. נאמר כי הנאשם סיים 10 שנות לימוד, עבד כקבלן שיפוצים עד למעצרו ופרנס את המשפחה המונה חמשה אחים. אביו נמצא במוסד גמילה ואילו אמו חיה מקצבת הבטחת הכנסה.  </w:t>
      </w:r>
    </w:p>
    <w:p w14:paraId="274D4BCC" w14:textId="77777777" w:rsidR="00DF7BD3" w:rsidRDefault="00DF7BD3" w:rsidP="00DF7BD3">
      <w:pPr>
        <w:spacing w:line="360" w:lineRule="auto"/>
        <w:ind w:left="567" w:hanging="567"/>
        <w:rPr>
          <w:rtl/>
        </w:rPr>
      </w:pPr>
      <w:r>
        <w:rPr>
          <w:rFonts w:hint="cs"/>
          <w:rtl/>
        </w:rPr>
        <w:t xml:space="preserve"> </w:t>
      </w:r>
    </w:p>
    <w:p w14:paraId="5B61924C" w14:textId="77777777" w:rsidR="00DF7BD3" w:rsidRDefault="00DF7BD3" w:rsidP="00DF7BD3">
      <w:pPr>
        <w:spacing w:line="360" w:lineRule="auto"/>
        <w:ind w:left="567" w:hanging="567"/>
        <w:jc w:val="both"/>
        <w:rPr>
          <w:rtl/>
        </w:rPr>
      </w:pPr>
      <w:r>
        <w:rPr>
          <w:rtl/>
        </w:rPr>
        <w:tab/>
      </w:r>
      <w:r>
        <w:rPr>
          <w:rFonts w:hint="cs"/>
          <w:rtl/>
        </w:rPr>
        <w:t xml:space="preserve">בנסיבות, סבור ב"כ הנאשם כי מדובר בהסדר סביר העונה על דרישות הפסיקה. לגבי הפיצוי נטען כי בגזרי דין שעניינם הריגה וסיוע להריגה סכומי הפיצויים נעים בין 20,000 </w:t>
      </w:r>
      <w:r>
        <w:rPr>
          <w:rtl/>
        </w:rPr>
        <w:t>–</w:t>
      </w:r>
      <w:r>
        <w:rPr>
          <w:rFonts w:hint="cs"/>
          <w:rtl/>
        </w:rPr>
        <w:t xml:space="preserve"> 30,000 ₪ וקיימים מקרים בהם לא נפסקו פיצויים כלל. בענייננו, מדובר במשפחה מובטלת שאין לה מקור הכנסה ועל כן ככל שהפיצוי יהא סביר יותר כך יגדלו הסיכויים כי הוא ישולם. לבסוף נטען כי נהוג שכאשר בית המשפט פוסק פיצוי הוא נמנע לרוב מהטלת קנס. </w:t>
      </w:r>
    </w:p>
    <w:p w14:paraId="4936487F" w14:textId="77777777" w:rsidR="00DF7BD3" w:rsidRDefault="00DF7BD3" w:rsidP="00DF7BD3">
      <w:pPr>
        <w:spacing w:line="360" w:lineRule="auto"/>
        <w:ind w:left="567" w:hanging="567"/>
        <w:rPr>
          <w:rtl/>
        </w:rPr>
      </w:pPr>
    </w:p>
    <w:p w14:paraId="428816A4" w14:textId="77777777" w:rsidR="00DF7BD3" w:rsidRDefault="00DF7BD3" w:rsidP="00DF7BD3">
      <w:pPr>
        <w:spacing w:line="360" w:lineRule="auto"/>
        <w:ind w:left="567" w:hanging="567"/>
        <w:rPr>
          <w:rtl/>
        </w:rPr>
      </w:pPr>
      <w:r>
        <w:rPr>
          <w:rFonts w:hint="cs"/>
          <w:rtl/>
        </w:rPr>
        <w:t>9.</w:t>
      </w:r>
      <w:r>
        <w:rPr>
          <w:rFonts w:hint="cs"/>
          <w:rtl/>
        </w:rPr>
        <w:tab/>
        <w:t xml:space="preserve">הנאשם וויתר על זכותו לומר את המלה האחרונה. </w:t>
      </w:r>
    </w:p>
    <w:p w14:paraId="79D957A2" w14:textId="77777777" w:rsidR="00DF7BD3" w:rsidRDefault="00DF7BD3" w:rsidP="00DF7BD3">
      <w:pPr>
        <w:spacing w:line="360" w:lineRule="auto"/>
        <w:ind w:left="567" w:hanging="567"/>
        <w:rPr>
          <w:rtl/>
        </w:rPr>
      </w:pPr>
    </w:p>
    <w:p w14:paraId="2203DBB0" w14:textId="77777777" w:rsidR="00DF7BD3" w:rsidRDefault="00DF7BD3" w:rsidP="00DF7BD3">
      <w:pPr>
        <w:spacing w:line="360" w:lineRule="auto"/>
        <w:ind w:left="567" w:hanging="567"/>
        <w:jc w:val="both"/>
        <w:rPr>
          <w:rFonts w:ascii="Century" w:hAnsi="Century"/>
          <w:rtl/>
        </w:rPr>
      </w:pPr>
      <w:r>
        <w:rPr>
          <w:rFonts w:hint="cs"/>
          <w:rtl/>
        </w:rPr>
        <w:t>10.</w:t>
      </w:r>
      <w:r>
        <w:rPr>
          <w:rFonts w:hint="cs"/>
          <w:rtl/>
        </w:rPr>
        <w:tab/>
        <w:t xml:space="preserve">עבירת ההריגה היא מהעבירות הקשות והחמורות שבספר החוקים שבצדה העמיד המחוקק עונש מרבי של 20 שנות מאסר. בעבירת הסיוע בה הורשע הנאשם, עומד העונש המרבי על מחצית התקופה הנ"ל, היינו עשר שנות מאסר. בית המשפט עמד לא אחת על הצורך להילחם בתופעה של יישוב סכסוכים באלימות ובנשק חם בציינו כי </w:t>
      </w:r>
      <w:r>
        <w:rPr>
          <w:rFonts w:ascii="Century" w:hAnsi="Century"/>
          <w:rtl/>
        </w:rPr>
        <w:t>"</w:t>
      </w:r>
      <w:r>
        <w:rPr>
          <w:sz w:val="28"/>
          <w:rtl/>
        </w:rPr>
        <w:t xml:space="preserve">חברתנו הפכה להיותה חברה אלימה, ותרומתו של בית-המשפט למלחמה באלימות היא בהטלת עונשים ראויים" </w:t>
      </w:r>
      <w:r w:rsidRPr="00E80F68">
        <w:rPr>
          <w:rFonts w:ascii="Century" w:hAnsi="Century"/>
          <w:rtl/>
        </w:rPr>
        <w:t>(</w:t>
      </w:r>
      <w:hyperlink r:id="rId25" w:history="1">
        <w:r w:rsidR="008270B8" w:rsidRPr="008270B8">
          <w:rPr>
            <w:rStyle w:val="Hyperlink"/>
            <w:rFonts w:ascii="Century" w:hAnsi="Century" w:hint="eastAsia"/>
            <w:rtl/>
          </w:rPr>
          <w:t>ע</w:t>
        </w:r>
        <w:r w:rsidR="008270B8" w:rsidRPr="008270B8">
          <w:rPr>
            <w:rStyle w:val="Hyperlink"/>
            <w:rFonts w:ascii="Century" w:hAnsi="Century"/>
            <w:rtl/>
          </w:rPr>
          <w:t>"</w:t>
        </w:r>
        <w:r w:rsidR="008270B8" w:rsidRPr="008270B8">
          <w:rPr>
            <w:rStyle w:val="Hyperlink"/>
            <w:rFonts w:ascii="Century" w:hAnsi="Century" w:hint="eastAsia"/>
            <w:rtl/>
          </w:rPr>
          <w:t>פ</w:t>
        </w:r>
        <w:r w:rsidR="008270B8" w:rsidRPr="008270B8">
          <w:rPr>
            <w:rStyle w:val="Hyperlink"/>
            <w:rFonts w:ascii="Century" w:hAnsi="Century"/>
            <w:rtl/>
          </w:rPr>
          <w:t xml:space="preserve"> 5753/04</w:t>
        </w:r>
      </w:hyperlink>
      <w:r w:rsidRPr="00E80F68">
        <w:rPr>
          <w:rFonts w:ascii="Century" w:hAnsi="Century"/>
          <w:rtl/>
        </w:rPr>
        <w:t xml:space="preserve"> </w:t>
      </w:r>
      <w:r w:rsidRPr="00E80F68">
        <w:rPr>
          <w:rFonts w:ascii="Century" w:hAnsi="Century" w:hint="eastAsia"/>
          <w:bCs/>
          <w:rtl/>
        </w:rPr>
        <w:t>מדינת</w:t>
      </w:r>
      <w:r w:rsidRPr="00E80F68">
        <w:rPr>
          <w:rFonts w:ascii="Century" w:hAnsi="Century"/>
          <w:bCs/>
          <w:rtl/>
        </w:rPr>
        <w:t xml:space="preserve"> </w:t>
      </w:r>
      <w:r w:rsidRPr="00E80F68">
        <w:rPr>
          <w:rFonts w:ascii="Century" w:hAnsi="Century" w:hint="eastAsia"/>
          <w:bCs/>
          <w:rtl/>
        </w:rPr>
        <w:t>ישראל</w:t>
      </w:r>
      <w:r w:rsidRPr="00E80F68">
        <w:rPr>
          <w:rFonts w:ascii="Century" w:hAnsi="Century"/>
          <w:bCs/>
          <w:rtl/>
        </w:rPr>
        <w:t xml:space="preserve"> </w:t>
      </w:r>
      <w:r w:rsidRPr="00E80F68">
        <w:rPr>
          <w:rFonts w:ascii="Century" w:hAnsi="Century" w:hint="eastAsia"/>
          <w:bCs/>
          <w:rtl/>
        </w:rPr>
        <w:t>נ</w:t>
      </w:r>
      <w:r w:rsidRPr="00E80F68">
        <w:rPr>
          <w:rFonts w:ascii="Century" w:hAnsi="Century"/>
          <w:bCs/>
          <w:rtl/>
        </w:rPr>
        <w:t xml:space="preserve">' </w:t>
      </w:r>
      <w:r w:rsidRPr="00E80F68">
        <w:rPr>
          <w:rFonts w:ascii="Century" w:hAnsi="Century" w:hint="eastAsia"/>
          <w:bCs/>
          <w:rtl/>
        </w:rPr>
        <w:t>רייכמן</w:t>
      </w:r>
      <w:r w:rsidRPr="00E80F68">
        <w:rPr>
          <w:rFonts w:ascii="Century" w:hAnsi="Century"/>
          <w:rtl/>
        </w:rPr>
        <w:t xml:space="preserve"> </w:t>
      </w:r>
      <w:r w:rsidRPr="00E80F68">
        <w:rPr>
          <w:rtl/>
        </w:rPr>
        <w:t xml:space="preserve"> </w:t>
      </w:r>
      <w:r w:rsidRPr="00E80F68">
        <w:rPr>
          <w:rFonts w:ascii="Century" w:hAnsi="Century"/>
          <w:rtl/>
        </w:rPr>
        <w:t xml:space="preserve">(7.2.2005); </w:t>
      </w:r>
      <w:r w:rsidRPr="00E80F68">
        <w:rPr>
          <w:rFonts w:ascii="Century" w:hAnsi="Century" w:hint="eastAsia"/>
          <w:rtl/>
        </w:rPr>
        <w:t>ראו</w:t>
      </w:r>
      <w:r w:rsidRPr="00E80F68">
        <w:rPr>
          <w:rFonts w:ascii="Century" w:hAnsi="Century"/>
          <w:rtl/>
        </w:rPr>
        <w:t xml:space="preserve"> </w:t>
      </w:r>
      <w:r w:rsidRPr="00E80F68">
        <w:rPr>
          <w:rFonts w:ascii="Century" w:hAnsi="Century" w:hint="eastAsia"/>
          <w:rtl/>
        </w:rPr>
        <w:t>גם</w:t>
      </w:r>
      <w:r w:rsidRPr="00E80F68">
        <w:rPr>
          <w:rFonts w:ascii="Century" w:hAnsi="Century"/>
          <w:rtl/>
        </w:rPr>
        <w:t xml:space="preserve">: </w:t>
      </w:r>
      <w:hyperlink r:id="rId26" w:history="1">
        <w:r w:rsidR="008270B8" w:rsidRPr="008270B8">
          <w:rPr>
            <w:rStyle w:val="Hyperlink"/>
            <w:rFonts w:ascii="Century" w:hAnsi="Century" w:hint="eastAsia"/>
            <w:rtl/>
          </w:rPr>
          <w:t>ע</w:t>
        </w:r>
        <w:r w:rsidR="008270B8" w:rsidRPr="008270B8">
          <w:rPr>
            <w:rStyle w:val="Hyperlink"/>
            <w:rFonts w:ascii="Century" w:hAnsi="Century"/>
            <w:rtl/>
          </w:rPr>
          <w:t>"</w:t>
        </w:r>
        <w:r w:rsidR="008270B8" w:rsidRPr="008270B8">
          <w:rPr>
            <w:rStyle w:val="Hyperlink"/>
            <w:rFonts w:ascii="Century" w:hAnsi="Century" w:hint="eastAsia"/>
            <w:rtl/>
          </w:rPr>
          <w:t>פ</w:t>
        </w:r>
        <w:r w:rsidR="008270B8" w:rsidRPr="008270B8">
          <w:rPr>
            <w:rStyle w:val="Hyperlink"/>
            <w:rFonts w:ascii="Century" w:hAnsi="Century"/>
            <w:rtl/>
          </w:rPr>
          <w:t xml:space="preserve"> 7374/07</w:t>
        </w:r>
      </w:hyperlink>
      <w:r w:rsidRPr="00E80F68">
        <w:rPr>
          <w:rFonts w:ascii="Century" w:hAnsi="Century"/>
          <w:rtl/>
        </w:rPr>
        <w:t xml:space="preserve"> </w:t>
      </w:r>
      <w:r w:rsidRPr="00E80F68">
        <w:rPr>
          <w:rFonts w:ascii="Century" w:hAnsi="Century" w:hint="eastAsia"/>
          <w:bCs/>
          <w:rtl/>
        </w:rPr>
        <w:t>שמאי</w:t>
      </w:r>
      <w:r w:rsidRPr="00E80F68">
        <w:rPr>
          <w:rFonts w:ascii="Century" w:hAnsi="Century"/>
          <w:bCs/>
          <w:rtl/>
        </w:rPr>
        <w:t xml:space="preserve"> </w:t>
      </w:r>
      <w:r w:rsidRPr="00E80F68">
        <w:rPr>
          <w:rFonts w:ascii="Century" w:hAnsi="Century" w:hint="eastAsia"/>
          <w:bCs/>
          <w:rtl/>
        </w:rPr>
        <w:t>נ</w:t>
      </w:r>
      <w:r w:rsidRPr="00E80F68">
        <w:rPr>
          <w:rFonts w:ascii="Century" w:hAnsi="Century"/>
          <w:bCs/>
          <w:rtl/>
        </w:rPr>
        <w:t xml:space="preserve">' </w:t>
      </w:r>
      <w:r w:rsidRPr="00E80F68">
        <w:rPr>
          <w:rFonts w:ascii="Century" w:hAnsi="Century" w:hint="eastAsia"/>
          <w:bCs/>
          <w:rtl/>
        </w:rPr>
        <w:t>מדינת</w:t>
      </w:r>
      <w:r w:rsidRPr="00E80F68">
        <w:rPr>
          <w:rFonts w:ascii="Century" w:hAnsi="Century"/>
          <w:bCs/>
          <w:rtl/>
        </w:rPr>
        <w:t xml:space="preserve"> </w:t>
      </w:r>
      <w:r w:rsidRPr="00E80F68">
        <w:rPr>
          <w:rFonts w:ascii="Century" w:hAnsi="Century" w:hint="eastAsia"/>
          <w:bCs/>
          <w:rtl/>
        </w:rPr>
        <w:t>ישראל</w:t>
      </w:r>
      <w:r w:rsidRPr="00E80F68">
        <w:rPr>
          <w:rFonts w:ascii="Century" w:hAnsi="Century"/>
          <w:rtl/>
        </w:rPr>
        <w:t>,</w:t>
      </w:r>
      <w:r>
        <w:rPr>
          <w:rFonts w:ascii="Century" w:hAnsi="Century" w:hint="cs"/>
          <w:rtl/>
        </w:rPr>
        <w:t xml:space="preserve"> </w:t>
      </w:r>
      <w:r w:rsidRPr="00E80F68">
        <w:rPr>
          <w:rFonts w:ascii="Century" w:hAnsi="Century" w:hint="eastAsia"/>
          <w:rtl/>
        </w:rPr>
        <w:t>פסקה</w:t>
      </w:r>
      <w:r w:rsidRPr="00E80F68">
        <w:rPr>
          <w:rFonts w:ascii="Century" w:hAnsi="Century"/>
          <w:rtl/>
        </w:rPr>
        <w:t xml:space="preserve"> 21 (16.11.2009); </w:t>
      </w:r>
      <w:hyperlink r:id="rId27" w:history="1">
        <w:r w:rsidR="008270B8" w:rsidRPr="008270B8">
          <w:rPr>
            <w:rStyle w:val="Hyperlink"/>
            <w:rFonts w:ascii="Century" w:hAnsi="Century" w:hint="eastAsia"/>
            <w:rtl/>
          </w:rPr>
          <w:t>ע</w:t>
        </w:r>
        <w:r w:rsidR="008270B8" w:rsidRPr="008270B8">
          <w:rPr>
            <w:rStyle w:val="Hyperlink"/>
            <w:rFonts w:ascii="Century" w:hAnsi="Century"/>
            <w:rtl/>
          </w:rPr>
          <w:t>"</w:t>
        </w:r>
        <w:r w:rsidR="008270B8" w:rsidRPr="008270B8">
          <w:rPr>
            <w:rStyle w:val="Hyperlink"/>
            <w:rFonts w:ascii="Century" w:hAnsi="Century" w:hint="eastAsia"/>
            <w:rtl/>
          </w:rPr>
          <w:t>פ</w:t>
        </w:r>
        <w:r w:rsidR="008270B8" w:rsidRPr="008270B8">
          <w:rPr>
            <w:rStyle w:val="Hyperlink"/>
            <w:rFonts w:ascii="Century" w:hAnsi="Century"/>
            <w:rtl/>
          </w:rPr>
          <w:t xml:space="preserve"> 3573/08</w:t>
        </w:r>
      </w:hyperlink>
      <w:r w:rsidRPr="00E80F68">
        <w:rPr>
          <w:rFonts w:ascii="Century" w:hAnsi="Century"/>
          <w:rtl/>
        </w:rPr>
        <w:t xml:space="preserve"> </w:t>
      </w:r>
      <w:r w:rsidRPr="00E80F68">
        <w:rPr>
          <w:rFonts w:ascii="Century" w:hAnsi="Century" w:hint="eastAsia"/>
          <w:bCs/>
          <w:rtl/>
        </w:rPr>
        <w:t>עוודרה</w:t>
      </w:r>
      <w:r w:rsidRPr="00E80F68">
        <w:rPr>
          <w:rFonts w:ascii="Century" w:hAnsi="Century"/>
          <w:bCs/>
          <w:rtl/>
        </w:rPr>
        <w:t xml:space="preserve"> </w:t>
      </w:r>
      <w:r w:rsidRPr="00E80F68">
        <w:rPr>
          <w:rFonts w:ascii="Century" w:hAnsi="Century" w:hint="eastAsia"/>
          <w:bCs/>
          <w:rtl/>
        </w:rPr>
        <w:t>נ</w:t>
      </w:r>
      <w:r w:rsidRPr="00E80F68">
        <w:rPr>
          <w:rFonts w:ascii="Century" w:hAnsi="Century"/>
          <w:bCs/>
          <w:rtl/>
        </w:rPr>
        <w:t xml:space="preserve">' </w:t>
      </w:r>
      <w:r w:rsidRPr="00E80F68">
        <w:rPr>
          <w:rFonts w:ascii="Century" w:hAnsi="Century" w:hint="eastAsia"/>
          <w:bCs/>
          <w:rtl/>
        </w:rPr>
        <w:t>מדינת</w:t>
      </w:r>
      <w:r w:rsidRPr="00E80F68">
        <w:rPr>
          <w:rFonts w:ascii="Century" w:hAnsi="Century"/>
          <w:bCs/>
          <w:rtl/>
        </w:rPr>
        <w:t xml:space="preserve"> </w:t>
      </w:r>
      <w:r w:rsidRPr="00E80F68">
        <w:rPr>
          <w:rFonts w:ascii="Century" w:hAnsi="Century" w:hint="eastAsia"/>
          <w:bCs/>
          <w:rtl/>
        </w:rPr>
        <w:t>ישראל</w:t>
      </w:r>
      <w:r w:rsidRPr="00E80F68">
        <w:rPr>
          <w:rFonts w:ascii="Century" w:hAnsi="Century"/>
          <w:rtl/>
        </w:rPr>
        <w:t>,</w:t>
      </w:r>
      <w:r w:rsidRPr="00E80F68">
        <w:rPr>
          <w:rtl/>
        </w:rPr>
        <w:t xml:space="preserve"> </w:t>
      </w:r>
      <w:r w:rsidRPr="00E80F68">
        <w:rPr>
          <w:rFonts w:ascii="Century" w:hAnsi="Century" w:hint="eastAsia"/>
          <w:rtl/>
        </w:rPr>
        <w:t>פסקה</w:t>
      </w:r>
      <w:r w:rsidRPr="00E80F68">
        <w:rPr>
          <w:rFonts w:ascii="Century" w:hAnsi="Century"/>
          <w:rtl/>
        </w:rPr>
        <w:t xml:space="preserve"> 45 (13.4.2010); </w:t>
      </w:r>
      <w:hyperlink r:id="rId28" w:history="1">
        <w:r w:rsidR="008270B8" w:rsidRPr="008270B8">
          <w:rPr>
            <w:rStyle w:val="Hyperlink"/>
            <w:rFonts w:ascii="Century" w:hAnsi="Century" w:hint="eastAsia"/>
            <w:rtl/>
          </w:rPr>
          <w:t>ע</w:t>
        </w:r>
        <w:r w:rsidR="008270B8" w:rsidRPr="008270B8">
          <w:rPr>
            <w:rStyle w:val="Hyperlink"/>
            <w:rFonts w:ascii="Century" w:hAnsi="Century"/>
            <w:rtl/>
          </w:rPr>
          <w:t>"</w:t>
        </w:r>
        <w:r w:rsidR="008270B8" w:rsidRPr="008270B8">
          <w:rPr>
            <w:rStyle w:val="Hyperlink"/>
            <w:rFonts w:ascii="Century" w:hAnsi="Century" w:hint="eastAsia"/>
            <w:rtl/>
          </w:rPr>
          <w:t>פ</w:t>
        </w:r>
        <w:r w:rsidR="008270B8" w:rsidRPr="008270B8">
          <w:rPr>
            <w:rStyle w:val="Hyperlink"/>
            <w:rFonts w:ascii="Century" w:hAnsi="Century"/>
            <w:rtl/>
          </w:rPr>
          <w:t xml:space="preserve"> 1630/14</w:t>
        </w:r>
      </w:hyperlink>
      <w:r w:rsidRPr="00E80F68">
        <w:rPr>
          <w:rFonts w:ascii="Century" w:hAnsi="Century"/>
          <w:rtl/>
        </w:rPr>
        <w:t xml:space="preserve"> </w:t>
      </w:r>
      <w:r w:rsidRPr="00E80F68">
        <w:rPr>
          <w:rFonts w:ascii="Century" w:hAnsi="Century" w:hint="eastAsia"/>
          <w:bCs/>
          <w:rtl/>
        </w:rPr>
        <w:t>אבו</w:t>
      </w:r>
      <w:r w:rsidRPr="00E80F68">
        <w:rPr>
          <w:rFonts w:ascii="Century" w:hAnsi="Century"/>
          <w:bCs/>
          <w:rtl/>
        </w:rPr>
        <w:t xml:space="preserve"> </w:t>
      </w:r>
      <w:r w:rsidRPr="00E80F68">
        <w:rPr>
          <w:rFonts w:ascii="Century" w:hAnsi="Century" w:hint="eastAsia"/>
          <w:bCs/>
          <w:rtl/>
        </w:rPr>
        <w:t>שנדי</w:t>
      </w:r>
      <w:r w:rsidRPr="00E80F68">
        <w:rPr>
          <w:rFonts w:ascii="Century" w:hAnsi="Century"/>
          <w:bCs/>
          <w:rtl/>
        </w:rPr>
        <w:t xml:space="preserve"> </w:t>
      </w:r>
      <w:r w:rsidRPr="00E80F68">
        <w:rPr>
          <w:rFonts w:ascii="Century" w:hAnsi="Century" w:hint="eastAsia"/>
          <w:bCs/>
          <w:rtl/>
        </w:rPr>
        <w:t>נ</w:t>
      </w:r>
      <w:r w:rsidRPr="00E80F68">
        <w:rPr>
          <w:rFonts w:ascii="Century" w:hAnsi="Century"/>
          <w:bCs/>
          <w:rtl/>
        </w:rPr>
        <w:t xml:space="preserve">' </w:t>
      </w:r>
      <w:r w:rsidRPr="00E80F68">
        <w:rPr>
          <w:rFonts w:ascii="Century" w:hAnsi="Century" w:hint="eastAsia"/>
          <w:bCs/>
          <w:rtl/>
        </w:rPr>
        <w:t>מדינת</w:t>
      </w:r>
      <w:r w:rsidRPr="00E80F68">
        <w:rPr>
          <w:rFonts w:ascii="Century" w:hAnsi="Century"/>
          <w:bCs/>
          <w:rtl/>
        </w:rPr>
        <w:t xml:space="preserve"> </w:t>
      </w:r>
      <w:r w:rsidRPr="00E80F68">
        <w:rPr>
          <w:rFonts w:ascii="Century" w:hAnsi="Century" w:hint="eastAsia"/>
          <w:bCs/>
          <w:rtl/>
        </w:rPr>
        <w:t>ישראל</w:t>
      </w:r>
      <w:r w:rsidRPr="00E80F68">
        <w:rPr>
          <w:rFonts w:ascii="Century" w:hAnsi="Century"/>
          <w:rtl/>
        </w:rPr>
        <w:t xml:space="preserve">, </w:t>
      </w:r>
      <w:r w:rsidRPr="00E80F68">
        <w:rPr>
          <w:rFonts w:ascii="Century" w:hAnsi="Century" w:hint="eastAsia"/>
          <w:rtl/>
        </w:rPr>
        <w:t>פסקאות</w:t>
      </w:r>
      <w:r w:rsidRPr="00E80F68">
        <w:rPr>
          <w:rFonts w:ascii="Century" w:hAnsi="Century"/>
          <w:rtl/>
        </w:rPr>
        <w:t xml:space="preserve"> 20-10 (4.12.2014)).</w:t>
      </w:r>
      <w:r>
        <w:rPr>
          <w:rFonts w:ascii="Century" w:hAnsi="Century"/>
          <w:rtl/>
        </w:rPr>
        <w:t xml:space="preserve"> </w:t>
      </w:r>
    </w:p>
    <w:p w14:paraId="090FAFE7" w14:textId="77777777" w:rsidR="00DF7BD3" w:rsidRDefault="00DF7BD3" w:rsidP="00DF7BD3">
      <w:pPr>
        <w:spacing w:line="360" w:lineRule="auto"/>
        <w:ind w:left="567" w:hanging="567"/>
        <w:rPr>
          <w:rFonts w:ascii="Century" w:hAnsi="Century"/>
          <w:rtl/>
        </w:rPr>
      </w:pPr>
    </w:p>
    <w:p w14:paraId="39DBF6E7" w14:textId="77777777" w:rsidR="00DF7BD3" w:rsidRDefault="00DF7BD3" w:rsidP="00DF7BD3">
      <w:pPr>
        <w:spacing w:line="360" w:lineRule="auto"/>
        <w:ind w:left="567" w:hanging="567"/>
        <w:jc w:val="both"/>
        <w:rPr>
          <w:rFonts w:ascii="Century" w:hAnsi="Century"/>
          <w:rtl/>
        </w:rPr>
      </w:pPr>
      <w:r>
        <w:rPr>
          <w:rFonts w:ascii="Century" w:hAnsi="Century"/>
          <w:rtl/>
        </w:rPr>
        <w:tab/>
      </w:r>
      <w:r>
        <w:rPr>
          <w:rFonts w:ascii="Century" w:hAnsi="Century" w:hint="cs"/>
          <w:rtl/>
        </w:rPr>
        <w:t>ב</w:t>
      </w:r>
      <w:hyperlink r:id="rId29" w:history="1">
        <w:r w:rsidR="008270B8" w:rsidRPr="008270B8">
          <w:rPr>
            <w:rStyle w:val="Hyperlink"/>
            <w:rFonts w:ascii="Century" w:hAnsi="Century" w:hint="eastAsia"/>
            <w:rtl/>
          </w:rPr>
          <w:t>ע</w:t>
        </w:r>
        <w:r w:rsidR="008270B8" w:rsidRPr="008270B8">
          <w:rPr>
            <w:rStyle w:val="Hyperlink"/>
            <w:rFonts w:ascii="Century" w:hAnsi="Century"/>
            <w:rtl/>
          </w:rPr>
          <w:t>"</w:t>
        </w:r>
        <w:r w:rsidR="008270B8" w:rsidRPr="008270B8">
          <w:rPr>
            <w:rStyle w:val="Hyperlink"/>
            <w:rFonts w:ascii="Century" w:hAnsi="Century" w:hint="eastAsia"/>
            <w:rtl/>
          </w:rPr>
          <w:t>פ</w:t>
        </w:r>
        <w:r w:rsidR="008270B8" w:rsidRPr="008270B8">
          <w:rPr>
            <w:rStyle w:val="Hyperlink"/>
            <w:rFonts w:ascii="Century" w:hAnsi="Century"/>
            <w:rtl/>
          </w:rPr>
          <w:t xml:space="preserve"> 7744/14</w:t>
        </w:r>
      </w:hyperlink>
      <w:r>
        <w:rPr>
          <w:rFonts w:ascii="Century" w:hAnsi="Century" w:hint="cs"/>
          <w:rtl/>
        </w:rPr>
        <w:t xml:space="preserve"> </w:t>
      </w:r>
      <w:r>
        <w:rPr>
          <w:rFonts w:ascii="Century" w:hAnsi="Century" w:hint="cs"/>
          <w:b/>
          <w:bCs/>
          <w:rtl/>
        </w:rPr>
        <w:t>מדינת ישראל נ' הייב</w:t>
      </w:r>
      <w:r>
        <w:rPr>
          <w:rFonts w:ascii="Century" w:hAnsi="Century" w:hint="cs"/>
          <w:rtl/>
        </w:rPr>
        <w:t xml:space="preserve"> (10.12.2015) נדון מקרה בו קיפח אדם את חייו עקב מעשי ירי שכוונו לעבר ביתו. נאמר כי :</w:t>
      </w:r>
    </w:p>
    <w:p w14:paraId="469BC86B" w14:textId="77777777" w:rsidR="00DF7BD3" w:rsidRDefault="00DF7BD3" w:rsidP="00DF7BD3">
      <w:pPr>
        <w:spacing w:line="360" w:lineRule="auto"/>
        <w:ind w:left="567" w:hanging="567"/>
        <w:rPr>
          <w:rFonts w:ascii="Century" w:hAnsi="Century"/>
          <w:rtl/>
        </w:rPr>
      </w:pPr>
    </w:p>
    <w:p w14:paraId="61649C2B" w14:textId="77777777" w:rsidR="00DF7BD3" w:rsidRDefault="00DF7BD3" w:rsidP="00DF7BD3">
      <w:pPr>
        <w:pStyle w:val="Quote"/>
        <w:rPr>
          <w:rtl/>
        </w:rPr>
      </w:pPr>
      <w:r>
        <w:rPr>
          <w:rFonts w:hint="cs"/>
          <w:rtl/>
        </w:rPr>
        <w:t xml:space="preserve">"ריסוס של למעלה ממאה יריות אינו יכול שלא להכיל את צפיית האפשרות של פגיעה בחיי אדם, והוא מעמיד את מבחני עבירת ההריגה ברף גבוה. . . גם אם אין אפשרות לקבוע שהמשיב כיוון את הירי לעבר המנוח או שהבחין בו, עצם הירי המסיבי טומן בחובו את הנורה האדומה והפעמון המצלצל הזועקים כי חיי אדם מועמדים בסכנה". </w:t>
      </w:r>
    </w:p>
    <w:p w14:paraId="6BC7FBA7" w14:textId="77777777" w:rsidR="00DF7BD3" w:rsidRDefault="00DF7BD3" w:rsidP="00DF7BD3">
      <w:pPr>
        <w:spacing w:line="360" w:lineRule="auto"/>
        <w:rPr>
          <w:rtl/>
        </w:rPr>
      </w:pPr>
    </w:p>
    <w:p w14:paraId="720E344B" w14:textId="77777777" w:rsidR="00DF7BD3" w:rsidRDefault="00DF7BD3" w:rsidP="00DF7BD3">
      <w:pPr>
        <w:spacing w:line="360" w:lineRule="auto"/>
        <w:ind w:left="567" w:hanging="567"/>
        <w:jc w:val="both"/>
        <w:rPr>
          <w:rtl/>
        </w:rPr>
      </w:pPr>
      <w:r>
        <w:rPr>
          <w:rFonts w:hint="cs"/>
          <w:rtl/>
        </w:rPr>
        <w:t>11.</w:t>
      </w:r>
      <w:r>
        <w:rPr>
          <w:rtl/>
        </w:rPr>
        <w:tab/>
      </w:r>
      <w:r>
        <w:rPr>
          <w:rFonts w:hint="cs"/>
          <w:rtl/>
        </w:rPr>
        <w:t>נוכח חומרת העבירה שהובילה לתוצאה הקשה של קטילת חיי אדם, הרי עונש המאסר שהוסכם, העומד על ארבע שנות מאסר בפועל, מצוי מתחת למתחם העונש ההולם את נסיבות העניין ואינו משקף את חומרת העבירות בהן הורשע הנאשם. המסר שצריך לצאת מבית המשפט הוא מסר חד וברור ולפיו ירי לעבר אזרחים תמימים בנסיבות שתוארו בכתב האישום, מחייב ענישה מרתיעה העולה על העונש שהוסכם. הדברים נכונים שבעתיים שעה שאותו ירי הוביל לקיפוח חייו של אדם רק על שום שהזדמן באקראי לזירת האירוע ונכח במקום הלא נכון בזמן הלא נכון. הקלות הבלתי נתפסת של ירי בטבורה של עיר, במקום בו התקהלו אנשים בשל מעשה ירי קודם, מקוממת, ראויה לכל גינוי ומחייבת ענישה מחמירה.</w:t>
      </w:r>
    </w:p>
    <w:p w14:paraId="25F9208D" w14:textId="77777777" w:rsidR="00DF7BD3" w:rsidRDefault="00DF7BD3" w:rsidP="00DF7BD3">
      <w:pPr>
        <w:spacing w:line="360" w:lineRule="auto"/>
        <w:ind w:left="567" w:hanging="567"/>
        <w:jc w:val="both"/>
        <w:rPr>
          <w:rtl/>
        </w:rPr>
      </w:pPr>
    </w:p>
    <w:p w14:paraId="61628C13" w14:textId="77777777" w:rsidR="00DF7BD3" w:rsidRDefault="00DF7BD3" w:rsidP="00DF7BD3">
      <w:pPr>
        <w:spacing w:line="360" w:lineRule="auto"/>
        <w:ind w:left="567" w:hanging="567"/>
        <w:jc w:val="both"/>
        <w:rPr>
          <w:rtl/>
        </w:rPr>
      </w:pPr>
      <w:r>
        <w:rPr>
          <w:rFonts w:hint="cs"/>
          <w:rtl/>
        </w:rPr>
        <w:t>12.</w:t>
      </w:r>
      <w:r>
        <w:rPr>
          <w:rFonts w:hint="cs"/>
          <w:rtl/>
        </w:rPr>
        <w:tab/>
        <w:t xml:space="preserve">יחד עם זאת, העונש הוסכם במסגרת הסדר טיעון שנרקם בין הצדדים. ההסדר הושג בין היתר על רקע קושי ראייתי שהתעורר בתיק, כפי שנטען מפי ב"כ המאשימה. נוכח זאת, לא ראיתי לדחות את ההסדר. רבות נאמר בפסיקה על תפקידו הראוי של מכשיר הסדר הטיעון במסגרת האכיפה הפלילית ועל הזהירות שיש לנקוט ביחס אליו. </w:t>
      </w:r>
    </w:p>
    <w:p w14:paraId="1CA4A05A" w14:textId="77777777" w:rsidR="00DF7BD3" w:rsidRDefault="00DF7BD3" w:rsidP="00DF7BD3">
      <w:pPr>
        <w:spacing w:line="360" w:lineRule="auto"/>
        <w:ind w:left="567" w:hanging="567"/>
        <w:jc w:val="both"/>
        <w:rPr>
          <w:rtl/>
        </w:rPr>
      </w:pPr>
    </w:p>
    <w:p w14:paraId="72A8624D" w14:textId="77777777" w:rsidR="00DF7BD3" w:rsidRDefault="00DF7BD3" w:rsidP="00DF7BD3">
      <w:pPr>
        <w:spacing w:line="360" w:lineRule="auto"/>
        <w:ind w:left="567" w:hanging="567"/>
        <w:jc w:val="both"/>
      </w:pPr>
    </w:p>
    <w:p w14:paraId="40D01A5C" w14:textId="77777777" w:rsidR="00DF7BD3" w:rsidRDefault="00DF7BD3" w:rsidP="00DF7BD3">
      <w:pPr>
        <w:spacing w:line="360" w:lineRule="auto"/>
        <w:ind w:left="567" w:hanging="567"/>
        <w:jc w:val="both"/>
        <w:rPr>
          <w:rtl/>
        </w:rPr>
      </w:pPr>
    </w:p>
    <w:p w14:paraId="0A9014F7" w14:textId="77777777" w:rsidR="00DF7BD3" w:rsidRDefault="00DF7BD3" w:rsidP="00DF7BD3">
      <w:pPr>
        <w:spacing w:line="360" w:lineRule="auto"/>
        <w:ind w:left="567"/>
        <w:jc w:val="both"/>
        <w:rPr>
          <w:rtl/>
        </w:rPr>
      </w:pPr>
      <w:r>
        <w:rPr>
          <w:rFonts w:hint="cs"/>
          <w:rtl/>
        </w:rPr>
        <w:t>ב</w:t>
      </w:r>
      <w:hyperlink r:id="rId30" w:history="1">
        <w:r w:rsidR="008270B8" w:rsidRPr="008270B8">
          <w:rPr>
            <w:rStyle w:val="Hyperlink"/>
            <w:rFonts w:hint="eastAsia"/>
            <w:rtl/>
          </w:rPr>
          <w:t>ע</w:t>
        </w:r>
        <w:r w:rsidR="008270B8" w:rsidRPr="008270B8">
          <w:rPr>
            <w:rStyle w:val="Hyperlink"/>
            <w:rtl/>
          </w:rPr>
          <w:t>"פ 1281/06 בורשטיין נ' מדינת ישראל, פ"ד סב</w:t>
        </w:r>
      </w:hyperlink>
      <w:r>
        <w:rPr>
          <w:rFonts w:hint="cs"/>
          <w:rtl/>
        </w:rPr>
        <w:t>(4), 100 נאמר כי:</w:t>
      </w:r>
    </w:p>
    <w:p w14:paraId="5480FD87" w14:textId="77777777" w:rsidR="00DF7BD3" w:rsidRDefault="00DF7BD3" w:rsidP="00DF7BD3">
      <w:pPr>
        <w:spacing w:line="360" w:lineRule="auto"/>
        <w:ind w:left="567" w:hanging="567"/>
        <w:rPr>
          <w:rtl/>
        </w:rPr>
      </w:pPr>
    </w:p>
    <w:p w14:paraId="738B0DEA" w14:textId="77777777" w:rsidR="00DF7BD3" w:rsidRDefault="00DF7BD3" w:rsidP="00DF7BD3">
      <w:pPr>
        <w:pStyle w:val="Quote"/>
        <w:rPr>
          <w:rtl/>
        </w:rPr>
      </w:pPr>
      <w:r>
        <w:rPr>
          <w:rFonts w:hint="cs"/>
          <w:rtl/>
        </w:rPr>
        <w:t>"</w:t>
      </w:r>
      <w:r w:rsidRPr="008F31B2">
        <w:rPr>
          <w:rFonts w:hint="eastAsia"/>
          <w:rtl/>
        </w:rPr>
        <w:t>נושא</w:t>
      </w:r>
      <w:r w:rsidRPr="008F31B2">
        <w:rPr>
          <w:rtl/>
        </w:rPr>
        <w:t xml:space="preserve"> </w:t>
      </w:r>
      <w:r w:rsidRPr="008F31B2">
        <w:rPr>
          <w:rFonts w:hint="eastAsia"/>
          <w:rtl/>
        </w:rPr>
        <w:t>אישורם</w:t>
      </w:r>
      <w:r w:rsidRPr="008F31B2">
        <w:rPr>
          <w:rtl/>
        </w:rPr>
        <w:t xml:space="preserve"> </w:t>
      </w:r>
      <w:r w:rsidRPr="008F31B2">
        <w:rPr>
          <w:rFonts w:hint="eastAsia"/>
          <w:rtl/>
        </w:rPr>
        <w:t>ודחייתם</w:t>
      </w:r>
      <w:r w:rsidRPr="008F31B2">
        <w:rPr>
          <w:rtl/>
        </w:rPr>
        <w:t xml:space="preserve"> </w:t>
      </w:r>
      <w:r w:rsidRPr="008F31B2">
        <w:rPr>
          <w:rFonts w:hint="eastAsia"/>
          <w:rtl/>
        </w:rPr>
        <w:t>של</w:t>
      </w:r>
      <w:r w:rsidRPr="008F31B2">
        <w:rPr>
          <w:rtl/>
        </w:rPr>
        <w:t xml:space="preserve"> </w:t>
      </w:r>
      <w:r w:rsidRPr="008F31B2">
        <w:rPr>
          <w:rFonts w:hint="eastAsia"/>
          <w:rtl/>
        </w:rPr>
        <w:t>הסדרי</w:t>
      </w:r>
      <w:r w:rsidRPr="008F31B2">
        <w:rPr>
          <w:rtl/>
        </w:rPr>
        <w:t xml:space="preserve"> </w:t>
      </w:r>
      <w:r w:rsidRPr="008F31B2">
        <w:rPr>
          <w:rFonts w:hint="eastAsia"/>
          <w:rtl/>
        </w:rPr>
        <w:t>טיעון</w:t>
      </w:r>
      <w:r w:rsidRPr="008F31B2">
        <w:rPr>
          <w:rtl/>
        </w:rPr>
        <w:t xml:space="preserve"> - </w:t>
      </w:r>
      <w:r w:rsidRPr="008F31B2">
        <w:rPr>
          <w:rFonts w:hint="eastAsia"/>
          <w:rtl/>
        </w:rPr>
        <w:t>הן</w:t>
      </w:r>
      <w:r w:rsidRPr="008F31B2">
        <w:rPr>
          <w:rtl/>
        </w:rPr>
        <w:t xml:space="preserve"> </w:t>
      </w:r>
      <w:r w:rsidRPr="008F31B2">
        <w:rPr>
          <w:rFonts w:hint="eastAsia"/>
          <w:rtl/>
        </w:rPr>
        <w:t>במישור</w:t>
      </w:r>
      <w:r w:rsidRPr="008F31B2">
        <w:rPr>
          <w:rtl/>
        </w:rPr>
        <w:t xml:space="preserve"> </w:t>
      </w:r>
      <w:r w:rsidRPr="008F31B2">
        <w:rPr>
          <w:rFonts w:hint="eastAsia"/>
          <w:rtl/>
        </w:rPr>
        <w:t>העקרוני</w:t>
      </w:r>
      <w:r w:rsidRPr="008F31B2">
        <w:rPr>
          <w:rtl/>
        </w:rPr>
        <w:t xml:space="preserve"> </w:t>
      </w:r>
      <w:r w:rsidRPr="008F31B2">
        <w:rPr>
          <w:rFonts w:hint="eastAsia"/>
          <w:rtl/>
        </w:rPr>
        <w:t>והן</w:t>
      </w:r>
      <w:r w:rsidRPr="008F31B2">
        <w:rPr>
          <w:rtl/>
        </w:rPr>
        <w:t xml:space="preserve"> </w:t>
      </w:r>
      <w:r w:rsidRPr="008F31B2">
        <w:rPr>
          <w:rFonts w:hint="eastAsia"/>
          <w:rtl/>
        </w:rPr>
        <w:t>במישור</w:t>
      </w:r>
      <w:r w:rsidRPr="008F31B2">
        <w:rPr>
          <w:rtl/>
        </w:rPr>
        <w:t xml:space="preserve"> </w:t>
      </w:r>
      <w:r w:rsidRPr="008F31B2">
        <w:rPr>
          <w:rFonts w:hint="eastAsia"/>
          <w:rtl/>
        </w:rPr>
        <w:t>הפרטני</w:t>
      </w:r>
      <w:r w:rsidRPr="008F31B2">
        <w:rPr>
          <w:rtl/>
        </w:rPr>
        <w:t xml:space="preserve"> - </w:t>
      </w:r>
      <w:r w:rsidRPr="008F31B2">
        <w:rPr>
          <w:rFonts w:hint="eastAsia"/>
          <w:rtl/>
        </w:rPr>
        <w:t>שב</w:t>
      </w:r>
      <w:r w:rsidRPr="008F31B2">
        <w:rPr>
          <w:rtl/>
        </w:rPr>
        <w:t xml:space="preserve"> </w:t>
      </w:r>
      <w:r w:rsidRPr="008F31B2">
        <w:rPr>
          <w:rFonts w:hint="eastAsia"/>
          <w:rtl/>
        </w:rPr>
        <w:t>ומובא</w:t>
      </w:r>
      <w:r w:rsidRPr="008F31B2">
        <w:rPr>
          <w:rtl/>
        </w:rPr>
        <w:t xml:space="preserve"> </w:t>
      </w:r>
      <w:r w:rsidRPr="008F31B2">
        <w:rPr>
          <w:rFonts w:hint="eastAsia"/>
          <w:rtl/>
        </w:rPr>
        <w:t>להכרעתו</w:t>
      </w:r>
      <w:r w:rsidRPr="008F31B2">
        <w:rPr>
          <w:rtl/>
        </w:rPr>
        <w:t xml:space="preserve"> </w:t>
      </w:r>
      <w:r w:rsidRPr="008F31B2">
        <w:rPr>
          <w:rFonts w:hint="eastAsia"/>
          <w:rtl/>
        </w:rPr>
        <w:t>של</w:t>
      </w:r>
      <w:r w:rsidRPr="008F31B2">
        <w:rPr>
          <w:rtl/>
        </w:rPr>
        <w:t xml:space="preserve"> </w:t>
      </w:r>
      <w:r w:rsidRPr="008F31B2">
        <w:rPr>
          <w:rFonts w:hint="eastAsia"/>
          <w:rtl/>
        </w:rPr>
        <w:t>בית</w:t>
      </w:r>
      <w:r w:rsidRPr="008F31B2">
        <w:rPr>
          <w:rtl/>
        </w:rPr>
        <w:t xml:space="preserve"> </w:t>
      </w:r>
      <w:r w:rsidRPr="008F31B2">
        <w:rPr>
          <w:rFonts w:hint="eastAsia"/>
          <w:rtl/>
        </w:rPr>
        <w:t>משפט</w:t>
      </w:r>
      <w:r w:rsidRPr="008F31B2">
        <w:rPr>
          <w:rtl/>
        </w:rPr>
        <w:t xml:space="preserve"> </w:t>
      </w:r>
      <w:r w:rsidRPr="008F31B2">
        <w:rPr>
          <w:rFonts w:hint="eastAsia"/>
          <w:rtl/>
        </w:rPr>
        <w:t>זה</w:t>
      </w:r>
      <w:r w:rsidRPr="008F31B2">
        <w:rPr>
          <w:rtl/>
        </w:rPr>
        <w:t xml:space="preserve">. </w:t>
      </w:r>
      <w:r w:rsidRPr="008F31B2">
        <w:rPr>
          <w:rFonts w:hint="eastAsia"/>
          <w:rtl/>
        </w:rPr>
        <w:t>לא</w:t>
      </w:r>
      <w:r w:rsidRPr="008F31B2">
        <w:rPr>
          <w:rtl/>
        </w:rPr>
        <w:t xml:space="preserve"> </w:t>
      </w:r>
      <w:r w:rsidRPr="008F31B2">
        <w:rPr>
          <w:rFonts w:hint="eastAsia"/>
          <w:rtl/>
        </w:rPr>
        <w:t>פעם</w:t>
      </w:r>
      <w:r w:rsidRPr="008F31B2">
        <w:rPr>
          <w:rtl/>
        </w:rPr>
        <w:t xml:space="preserve"> </w:t>
      </w:r>
      <w:r w:rsidRPr="008F31B2">
        <w:rPr>
          <w:rFonts w:hint="eastAsia"/>
          <w:rtl/>
        </w:rPr>
        <w:t>מעורר</w:t>
      </w:r>
      <w:r w:rsidRPr="008F31B2">
        <w:rPr>
          <w:rtl/>
        </w:rPr>
        <w:t xml:space="preserve"> </w:t>
      </w:r>
      <w:r w:rsidRPr="008F31B2">
        <w:rPr>
          <w:rFonts w:hint="eastAsia"/>
          <w:rtl/>
        </w:rPr>
        <w:t>הוא</w:t>
      </w:r>
      <w:r w:rsidRPr="008F31B2">
        <w:rPr>
          <w:rtl/>
        </w:rPr>
        <w:t xml:space="preserve"> </w:t>
      </w:r>
      <w:r w:rsidRPr="008F31B2">
        <w:rPr>
          <w:rFonts w:hint="eastAsia"/>
          <w:rtl/>
        </w:rPr>
        <w:t>דילמות</w:t>
      </w:r>
      <w:r w:rsidRPr="008F31B2">
        <w:rPr>
          <w:rtl/>
        </w:rPr>
        <w:t xml:space="preserve"> </w:t>
      </w:r>
      <w:r w:rsidRPr="008F31B2">
        <w:rPr>
          <w:rFonts w:hint="eastAsia"/>
          <w:rtl/>
        </w:rPr>
        <w:t>קשות</w:t>
      </w:r>
      <w:r w:rsidRPr="008F31B2">
        <w:rPr>
          <w:rtl/>
        </w:rPr>
        <w:t xml:space="preserve">,  </w:t>
      </w:r>
      <w:r w:rsidRPr="008F31B2">
        <w:rPr>
          <w:rFonts w:hint="eastAsia"/>
          <w:rtl/>
        </w:rPr>
        <w:t>ותמיד</w:t>
      </w:r>
      <w:r w:rsidRPr="008F31B2">
        <w:rPr>
          <w:rtl/>
        </w:rPr>
        <w:t xml:space="preserve">- </w:t>
      </w:r>
      <w:r w:rsidRPr="008F31B2">
        <w:rPr>
          <w:rFonts w:hint="eastAsia"/>
          <w:rtl/>
        </w:rPr>
        <w:t>מצריך</w:t>
      </w:r>
      <w:r w:rsidRPr="008F31B2">
        <w:rPr>
          <w:rtl/>
        </w:rPr>
        <w:t xml:space="preserve"> </w:t>
      </w:r>
      <w:r w:rsidRPr="008F31B2">
        <w:rPr>
          <w:rFonts w:hint="eastAsia"/>
          <w:rtl/>
        </w:rPr>
        <w:t>הוא</w:t>
      </w:r>
      <w:r w:rsidRPr="008F31B2">
        <w:rPr>
          <w:rtl/>
        </w:rPr>
        <w:t xml:space="preserve"> </w:t>
      </w:r>
      <w:r w:rsidRPr="008F31B2">
        <w:rPr>
          <w:rFonts w:hint="eastAsia"/>
          <w:rtl/>
        </w:rPr>
        <w:t>עריכת</w:t>
      </w:r>
      <w:r w:rsidRPr="008F31B2">
        <w:rPr>
          <w:rtl/>
        </w:rPr>
        <w:t xml:space="preserve"> </w:t>
      </w:r>
      <w:r w:rsidRPr="008F31B2">
        <w:rPr>
          <w:rFonts w:hint="eastAsia"/>
          <w:rtl/>
        </w:rPr>
        <w:t>איזון</w:t>
      </w:r>
      <w:r w:rsidRPr="008F31B2">
        <w:rPr>
          <w:rtl/>
        </w:rPr>
        <w:t xml:space="preserve"> </w:t>
      </w:r>
      <w:r w:rsidRPr="008F31B2">
        <w:rPr>
          <w:rFonts w:hint="eastAsia"/>
          <w:rtl/>
        </w:rPr>
        <w:t>זהיר</w:t>
      </w:r>
      <w:r w:rsidRPr="008F31B2">
        <w:rPr>
          <w:rtl/>
        </w:rPr>
        <w:t xml:space="preserve">, </w:t>
      </w:r>
      <w:r w:rsidRPr="008F31B2">
        <w:rPr>
          <w:rFonts w:hint="eastAsia"/>
          <w:rtl/>
        </w:rPr>
        <w:t>מחושב</w:t>
      </w:r>
      <w:r w:rsidRPr="008F31B2">
        <w:rPr>
          <w:rtl/>
        </w:rPr>
        <w:t xml:space="preserve"> </w:t>
      </w:r>
      <w:r w:rsidRPr="008F31B2">
        <w:rPr>
          <w:rFonts w:hint="eastAsia"/>
          <w:rtl/>
        </w:rPr>
        <w:t>ועדין</w:t>
      </w:r>
      <w:r w:rsidRPr="008F31B2">
        <w:rPr>
          <w:rtl/>
        </w:rPr>
        <w:t xml:space="preserve"> </w:t>
      </w:r>
      <w:r w:rsidRPr="008F31B2">
        <w:rPr>
          <w:rFonts w:hint="eastAsia"/>
          <w:rtl/>
        </w:rPr>
        <w:t>בין</w:t>
      </w:r>
      <w:r w:rsidRPr="008F31B2">
        <w:rPr>
          <w:rtl/>
        </w:rPr>
        <w:t xml:space="preserve"> </w:t>
      </w:r>
      <w:r w:rsidRPr="008F31B2">
        <w:rPr>
          <w:rFonts w:hint="eastAsia"/>
          <w:rtl/>
        </w:rPr>
        <w:t>מכלול</w:t>
      </w:r>
      <w:r w:rsidRPr="008F31B2">
        <w:rPr>
          <w:rtl/>
        </w:rPr>
        <w:t xml:space="preserve"> </w:t>
      </w:r>
      <w:r w:rsidRPr="008F31B2">
        <w:rPr>
          <w:rFonts w:hint="eastAsia"/>
          <w:rtl/>
        </w:rPr>
        <w:t>השיקולים</w:t>
      </w:r>
      <w:r w:rsidRPr="008F31B2">
        <w:rPr>
          <w:rtl/>
        </w:rPr>
        <w:t xml:space="preserve"> </w:t>
      </w:r>
      <w:r w:rsidRPr="008F31B2">
        <w:rPr>
          <w:rFonts w:hint="eastAsia"/>
          <w:rtl/>
        </w:rPr>
        <w:t>הצריכים</w:t>
      </w:r>
      <w:r w:rsidRPr="008F31B2">
        <w:rPr>
          <w:rtl/>
        </w:rPr>
        <w:t xml:space="preserve"> </w:t>
      </w:r>
      <w:r w:rsidRPr="008F31B2">
        <w:rPr>
          <w:rFonts w:hint="eastAsia"/>
          <w:rtl/>
        </w:rPr>
        <w:t>לעניין</w:t>
      </w:r>
      <w:r w:rsidRPr="008F31B2">
        <w:rPr>
          <w:rtl/>
        </w:rPr>
        <w:t xml:space="preserve">. </w:t>
      </w:r>
      <w:r w:rsidRPr="008F31B2">
        <w:rPr>
          <w:rFonts w:hint="eastAsia"/>
          <w:rtl/>
        </w:rPr>
        <w:t>ההתייחסות</w:t>
      </w:r>
      <w:r w:rsidRPr="008F31B2">
        <w:rPr>
          <w:rtl/>
        </w:rPr>
        <w:t xml:space="preserve"> </w:t>
      </w:r>
      <w:r w:rsidRPr="008F31B2">
        <w:rPr>
          <w:rFonts w:hint="eastAsia"/>
          <w:rtl/>
        </w:rPr>
        <w:t>להסדרי</w:t>
      </w:r>
      <w:r w:rsidRPr="008F31B2">
        <w:rPr>
          <w:rtl/>
        </w:rPr>
        <w:t xml:space="preserve"> </w:t>
      </w:r>
      <w:r w:rsidRPr="008F31B2">
        <w:rPr>
          <w:rFonts w:hint="eastAsia"/>
          <w:rtl/>
        </w:rPr>
        <w:t>טיעון</w:t>
      </w:r>
      <w:r w:rsidRPr="008F31B2">
        <w:rPr>
          <w:rtl/>
        </w:rPr>
        <w:t xml:space="preserve"> </w:t>
      </w:r>
      <w:r w:rsidRPr="008F31B2">
        <w:rPr>
          <w:rFonts w:hint="eastAsia"/>
          <w:rtl/>
        </w:rPr>
        <w:t>בשיטתנו</w:t>
      </w:r>
      <w:r w:rsidRPr="008F31B2">
        <w:rPr>
          <w:rtl/>
        </w:rPr>
        <w:t xml:space="preserve"> </w:t>
      </w:r>
      <w:r w:rsidRPr="008F31B2">
        <w:rPr>
          <w:rFonts w:hint="eastAsia"/>
          <w:rtl/>
        </w:rPr>
        <w:t>עברה</w:t>
      </w:r>
      <w:r w:rsidRPr="008F31B2">
        <w:rPr>
          <w:rtl/>
        </w:rPr>
        <w:t xml:space="preserve"> </w:t>
      </w:r>
      <w:r w:rsidRPr="008F31B2">
        <w:rPr>
          <w:rFonts w:hint="eastAsia"/>
          <w:rtl/>
        </w:rPr>
        <w:t>עם</w:t>
      </w:r>
      <w:r w:rsidRPr="008F31B2">
        <w:rPr>
          <w:rtl/>
        </w:rPr>
        <w:t xml:space="preserve"> </w:t>
      </w:r>
      <w:r w:rsidRPr="008F31B2">
        <w:rPr>
          <w:rFonts w:hint="eastAsia"/>
          <w:rtl/>
        </w:rPr>
        <w:t>השנים</w:t>
      </w:r>
      <w:r w:rsidRPr="008F31B2">
        <w:rPr>
          <w:rtl/>
        </w:rPr>
        <w:t xml:space="preserve"> </w:t>
      </w:r>
      <w:r w:rsidRPr="008F31B2">
        <w:rPr>
          <w:rFonts w:hint="eastAsia"/>
          <w:rtl/>
        </w:rPr>
        <w:t>שינויים</w:t>
      </w:r>
      <w:r w:rsidRPr="008F31B2">
        <w:rPr>
          <w:rtl/>
        </w:rPr>
        <w:t xml:space="preserve"> </w:t>
      </w:r>
      <w:r w:rsidRPr="008F31B2">
        <w:rPr>
          <w:rFonts w:hint="eastAsia"/>
          <w:rtl/>
        </w:rPr>
        <w:t>והתפתחויות</w:t>
      </w:r>
      <w:r w:rsidRPr="008F31B2">
        <w:rPr>
          <w:rtl/>
        </w:rPr>
        <w:t xml:space="preserve">. </w:t>
      </w:r>
      <w:r w:rsidRPr="008F31B2">
        <w:rPr>
          <w:rFonts w:hint="eastAsia"/>
          <w:rtl/>
        </w:rPr>
        <w:t>לאחר</w:t>
      </w:r>
      <w:r w:rsidRPr="008F31B2">
        <w:rPr>
          <w:rtl/>
        </w:rPr>
        <w:t xml:space="preserve"> </w:t>
      </w:r>
      <w:r w:rsidRPr="008F31B2">
        <w:rPr>
          <w:rFonts w:hint="eastAsia"/>
          <w:rtl/>
        </w:rPr>
        <w:t>שהנושא</w:t>
      </w:r>
      <w:r w:rsidRPr="008F31B2">
        <w:rPr>
          <w:rtl/>
        </w:rPr>
        <w:t xml:space="preserve"> </w:t>
      </w:r>
      <w:r w:rsidRPr="008F31B2">
        <w:rPr>
          <w:rFonts w:hint="eastAsia"/>
          <w:rtl/>
        </w:rPr>
        <w:t>נבחן</w:t>
      </w:r>
      <w:r w:rsidRPr="008F31B2">
        <w:rPr>
          <w:rtl/>
        </w:rPr>
        <w:t xml:space="preserve"> </w:t>
      </w:r>
      <w:r w:rsidRPr="008F31B2">
        <w:rPr>
          <w:rFonts w:hint="eastAsia"/>
          <w:rtl/>
        </w:rPr>
        <w:t>בפסיקתנו</w:t>
      </w:r>
      <w:r w:rsidRPr="008F31B2">
        <w:rPr>
          <w:rtl/>
        </w:rPr>
        <w:t xml:space="preserve"> </w:t>
      </w:r>
      <w:r w:rsidRPr="008F31B2">
        <w:rPr>
          <w:rFonts w:hint="eastAsia"/>
          <w:rtl/>
        </w:rPr>
        <w:t>פעם</w:t>
      </w:r>
      <w:r w:rsidRPr="008F31B2">
        <w:rPr>
          <w:rtl/>
        </w:rPr>
        <w:t xml:space="preserve"> </w:t>
      </w:r>
      <w:r w:rsidRPr="008F31B2">
        <w:rPr>
          <w:rFonts w:hint="eastAsia"/>
          <w:rtl/>
        </w:rPr>
        <w:t>ועוד</w:t>
      </w:r>
      <w:r w:rsidRPr="008F31B2">
        <w:rPr>
          <w:rtl/>
        </w:rPr>
        <w:t xml:space="preserve"> </w:t>
      </w:r>
      <w:r w:rsidRPr="008F31B2">
        <w:rPr>
          <w:rFonts w:hint="eastAsia"/>
          <w:rtl/>
        </w:rPr>
        <w:t>פעם</w:t>
      </w:r>
      <w:r w:rsidRPr="008F31B2">
        <w:rPr>
          <w:rtl/>
        </w:rPr>
        <w:t xml:space="preserve">, </w:t>
      </w:r>
      <w:r w:rsidRPr="008F31B2">
        <w:rPr>
          <w:rFonts w:hint="eastAsia"/>
          <w:rtl/>
        </w:rPr>
        <w:t>דומה</w:t>
      </w:r>
      <w:r w:rsidRPr="008F31B2">
        <w:rPr>
          <w:rtl/>
        </w:rPr>
        <w:t xml:space="preserve"> </w:t>
      </w:r>
      <w:r w:rsidRPr="008F31B2">
        <w:rPr>
          <w:rFonts w:hint="eastAsia"/>
          <w:rtl/>
        </w:rPr>
        <w:t>כי</w:t>
      </w:r>
      <w:r w:rsidRPr="008F31B2">
        <w:rPr>
          <w:rtl/>
        </w:rPr>
        <w:t xml:space="preserve"> </w:t>
      </w:r>
      <w:r w:rsidRPr="008F31B2">
        <w:rPr>
          <w:rFonts w:hint="eastAsia"/>
          <w:rtl/>
        </w:rPr>
        <w:t>אין</w:t>
      </w:r>
      <w:r w:rsidRPr="008F31B2">
        <w:rPr>
          <w:rtl/>
        </w:rPr>
        <w:t xml:space="preserve"> </w:t>
      </w:r>
      <w:r w:rsidRPr="008F31B2">
        <w:rPr>
          <w:rFonts w:hint="eastAsia"/>
          <w:rtl/>
        </w:rPr>
        <w:t>כיום</w:t>
      </w:r>
      <w:r w:rsidRPr="008F31B2">
        <w:rPr>
          <w:rtl/>
        </w:rPr>
        <w:t xml:space="preserve"> </w:t>
      </w:r>
      <w:r w:rsidRPr="008F31B2">
        <w:rPr>
          <w:rFonts w:hint="eastAsia"/>
          <w:rtl/>
        </w:rPr>
        <w:t>חולק</w:t>
      </w:r>
      <w:r w:rsidRPr="008F31B2">
        <w:rPr>
          <w:rtl/>
        </w:rPr>
        <w:t xml:space="preserve"> </w:t>
      </w:r>
      <w:r w:rsidRPr="008F31B2">
        <w:rPr>
          <w:rFonts w:hint="eastAsia"/>
          <w:rtl/>
        </w:rPr>
        <w:t>כמעט</w:t>
      </w:r>
      <w:r w:rsidRPr="008F31B2">
        <w:rPr>
          <w:rtl/>
        </w:rPr>
        <w:t xml:space="preserve"> </w:t>
      </w:r>
      <w:r w:rsidRPr="008F31B2">
        <w:rPr>
          <w:rFonts w:hint="eastAsia"/>
          <w:rtl/>
        </w:rPr>
        <w:t>על</w:t>
      </w:r>
      <w:r w:rsidRPr="008F31B2">
        <w:rPr>
          <w:rtl/>
        </w:rPr>
        <w:t xml:space="preserve"> </w:t>
      </w:r>
      <w:r w:rsidRPr="008F31B2">
        <w:rPr>
          <w:rFonts w:hint="eastAsia"/>
          <w:rtl/>
        </w:rPr>
        <w:t>כך</w:t>
      </w:r>
      <w:r w:rsidRPr="008F31B2">
        <w:rPr>
          <w:rtl/>
        </w:rPr>
        <w:t xml:space="preserve"> </w:t>
      </w:r>
      <w:r w:rsidRPr="008F31B2">
        <w:rPr>
          <w:rFonts w:hint="eastAsia"/>
          <w:rtl/>
        </w:rPr>
        <w:t>שהשימוש</w:t>
      </w:r>
      <w:r w:rsidRPr="008F31B2">
        <w:rPr>
          <w:rtl/>
        </w:rPr>
        <w:t xml:space="preserve"> </w:t>
      </w:r>
      <w:r w:rsidRPr="008F31B2">
        <w:rPr>
          <w:rFonts w:hint="eastAsia"/>
          <w:rtl/>
        </w:rPr>
        <w:t>בכלי</w:t>
      </w:r>
      <w:r w:rsidRPr="008F31B2">
        <w:rPr>
          <w:rtl/>
        </w:rPr>
        <w:t xml:space="preserve"> </w:t>
      </w:r>
      <w:r w:rsidRPr="008F31B2">
        <w:rPr>
          <w:rFonts w:hint="eastAsia"/>
          <w:rtl/>
        </w:rPr>
        <w:t>זה</w:t>
      </w:r>
      <w:r w:rsidRPr="008F31B2">
        <w:rPr>
          <w:rtl/>
        </w:rPr>
        <w:t xml:space="preserve"> </w:t>
      </w:r>
      <w:r w:rsidRPr="008F31B2">
        <w:rPr>
          <w:rFonts w:hint="eastAsia"/>
          <w:rtl/>
        </w:rPr>
        <w:t>הינו</w:t>
      </w:r>
      <w:r w:rsidRPr="008F31B2">
        <w:rPr>
          <w:rtl/>
        </w:rPr>
        <w:t xml:space="preserve"> </w:t>
      </w:r>
      <w:r w:rsidRPr="008F31B2">
        <w:rPr>
          <w:rFonts w:hint="eastAsia"/>
          <w:rtl/>
        </w:rPr>
        <w:t>בעל</w:t>
      </w:r>
      <w:r w:rsidRPr="008F31B2">
        <w:rPr>
          <w:rtl/>
        </w:rPr>
        <w:t xml:space="preserve"> </w:t>
      </w:r>
      <w:r w:rsidRPr="008F31B2">
        <w:rPr>
          <w:rFonts w:hint="eastAsia"/>
          <w:rtl/>
        </w:rPr>
        <w:t>יתרונות</w:t>
      </w:r>
      <w:r w:rsidRPr="008F31B2">
        <w:rPr>
          <w:rtl/>
        </w:rPr>
        <w:t xml:space="preserve"> </w:t>
      </w:r>
      <w:r w:rsidRPr="008F31B2">
        <w:rPr>
          <w:rFonts w:hint="eastAsia"/>
          <w:rtl/>
        </w:rPr>
        <w:t>ניכרים</w:t>
      </w:r>
      <w:r w:rsidRPr="008F31B2">
        <w:rPr>
          <w:rtl/>
        </w:rPr>
        <w:t xml:space="preserve"> </w:t>
      </w:r>
      <w:r w:rsidRPr="008F31B2">
        <w:rPr>
          <w:rFonts w:hint="eastAsia"/>
          <w:rtl/>
        </w:rPr>
        <w:t>ועל</w:t>
      </w:r>
      <w:r w:rsidRPr="008F31B2">
        <w:rPr>
          <w:rtl/>
        </w:rPr>
        <w:t xml:space="preserve"> </w:t>
      </w:r>
      <w:r w:rsidRPr="008F31B2">
        <w:rPr>
          <w:rFonts w:hint="eastAsia"/>
          <w:rtl/>
        </w:rPr>
        <w:t>כך</w:t>
      </w:r>
      <w:r w:rsidRPr="008F31B2">
        <w:rPr>
          <w:rtl/>
        </w:rPr>
        <w:t xml:space="preserve"> </w:t>
      </w:r>
      <w:r w:rsidRPr="008F31B2">
        <w:rPr>
          <w:rFonts w:hint="eastAsia"/>
          <w:rtl/>
        </w:rPr>
        <w:t>שככלל</w:t>
      </w:r>
      <w:r w:rsidRPr="008F31B2">
        <w:rPr>
          <w:rtl/>
        </w:rPr>
        <w:t xml:space="preserve"> </w:t>
      </w:r>
      <w:r w:rsidRPr="008F31B2">
        <w:rPr>
          <w:rFonts w:hint="eastAsia"/>
          <w:rtl/>
        </w:rPr>
        <w:t>יש</w:t>
      </w:r>
      <w:r w:rsidRPr="008F31B2">
        <w:rPr>
          <w:rtl/>
        </w:rPr>
        <w:t xml:space="preserve"> </w:t>
      </w:r>
      <w:r w:rsidRPr="008F31B2">
        <w:rPr>
          <w:rFonts w:hint="eastAsia"/>
          <w:rtl/>
        </w:rPr>
        <w:t>בעריכתם</w:t>
      </w:r>
      <w:r w:rsidRPr="008F31B2">
        <w:rPr>
          <w:rtl/>
        </w:rPr>
        <w:t xml:space="preserve"> </w:t>
      </w:r>
      <w:r w:rsidRPr="008F31B2">
        <w:rPr>
          <w:rFonts w:hint="eastAsia"/>
          <w:rtl/>
        </w:rPr>
        <w:t>של</w:t>
      </w:r>
      <w:r w:rsidRPr="008F31B2">
        <w:rPr>
          <w:rtl/>
        </w:rPr>
        <w:t xml:space="preserve"> </w:t>
      </w:r>
      <w:r w:rsidRPr="008F31B2">
        <w:rPr>
          <w:rFonts w:hint="eastAsia"/>
          <w:rtl/>
        </w:rPr>
        <w:t>הסדרי</w:t>
      </w:r>
      <w:r w:rsidRPr="008F31B2">
        <w:rPr>
          <w:rtl/>
        </w:rPr>
        <w:t xml:space="preserve"> </w:t>
      </w:r>
      <w:r w:rsidRPr="008F31B2">
        <w:rPr>
          <w:rFonts w:hint="eastAsia"/>
          <w:rtl/>
        </w:rPr>
        <w:t>טיעון</w:t>
      </w:r>
      <w:r w:rsidRPr="008F31B2">
        <w:rPr>
          <w:rtl/>
        </w:rPr>
        <w:t xml:space="preserve"> </w:t>
      </w:r>
      <w:r w:rsidRPr="008F31B2">
        <w:rPr>
          <w:rFonts w:hint="eastAsia"/>
          <w:rtl/>
        </w:rPr>
        <w:t>כדי</w:t>
      </w:r>
      <w:r w:rsidRPr="008F31B2">
        <w:rPr>
          <w:rtl/>
        </w:rPr>
        <w:t xml:space="preserve"> </w:t>
      </w:r>
      <w:r w:rsidRPr="008F31B2">
        <w:rPr>
          <w:rFonts w:hint="eastAsia"/>
          <w:rtl/>
        </w:rPr>
        <w:t>לקדם</w:t>
      </w:r>
      <w:r w:rsidRPr="008F31B2">
        <w:rPr>
          <w:rtl/>
        </w:rPr>
        <w:t xml:space="preserve"> </w:t>
      </w:r>
      <w:r w:rsidRPr="008F31B2">
        <w:rPr>
          <w:rFonts w:hint="eastAsia"/>
          <w:rtl/>
        </w:rPr>
        <w:t>את</w:t>
      </w:r>
      <w:r w:rsidRPr="008F31B2">
        <w:rPr>
          <w:rtl/>
        </w:rPr>
        <w:t xml:space="preserve"> </w:t>
      </w:r>
      <w:r w:rsidRPr="008F31B2">
        <w:rPr>
          <w:rFonts w:hint="eastAsia"/>
          <w:rtl/>
        </w:rPr>
        <w:t>האינטרס</w:t>
      </w:r>
      <w:r w:rsidRPr="008F31B2">
        <w:rPr>
          <w:rtl/>
        </w:rPr>
        <w:t xml:space="preserve"> </w:t>
      </w:r>
      <w:r w:rsidRPr="008F31B2">
        <w:rPr>
          <w:rFonts w:hint="eastAsia"/>
          <w:rtl/>
        </w:rPr>
        <w:t>הציבורי</w:t>
      </w:r>
      <w:r w:rsidRPr="008F31B2">
        <w:rPr>
          <w:rtl/>
        </w:rPr>
        <w:t xml:space="preserve">, </w:t>
      </w:r>
      <w:r w:rsidRPr="008F31B2">
        <w:rPr>
          <w:rFonts w:hint="eastAsia"/>
          <w:rtl/>
        </w:rPr>
        <w:t>כמו</w:t>
      </w:r>
      <w:r w:rsidRPr="008F31B2">
        <w:rPr>
          <w:rtl/>
        </w:rPr>
        <w:t xml:space="preserve"> </w:t>
      </w:r>
      <w:r w:rsidRPr="008F31B2">
        <w:rPr>
          <w:rFonts w:hint="eastAsia"/>
          <w:rtl/>
        </w:rPr>
        <w:t>גם</w:t>
      </w:r>
      <w:r w:rsidRPr="008F31B2">
        <w:rPr>
          <w:rtl/>
        </w:rPr>
        <w:t xml:space="preserve"> </w:t>
      </w:r>
      <w:r w:rsidRPr="008F31B2">
        <w:rPr>
          <w:rFonts w:hint="eastAsia"/>
          <w:rtl/>
        </w:rPr>
        <w:t>על</w:t>
      </w:r>
      <w:r w:rsidRPr="008F31B2">
        <w:rPr>
          <w:rtl/>
        </w:rPr>
        <w:t xml:space="preserve"> </w:t>
      </w:r>
      <w:r w:rsidRPr="008F31B2">
        <w:rPr>
          <w:rFonts w:hint="eastAsia"/>
          <w:rtl/>
        </w:rPr>
        <w:t>כך</w:t>
      </w:r>
      <w:r w:rsidRPr="008F31B2">
        <w:rPr>
          <w:rtl/>
        </w:rPr>
        <w:t xml:space="preserve"> </w:t>
      </w:r>
      <w:r w:rsidRPr="008F31B2">
        <w:rPr>
          <w:rFonts w:hint="eastAsia"/>
          <w:rtl/>
        </w:rPr>
        <w:t>שממילא</w:t>
      </w:r>
      <w:r w:rsidRPr="008F31B2">
        <w:rPr>
          <w:rtl/>
        </w:rPr>
        <w:t xml:space="preserve">, </w:t>
      </w:r>
      <w:r w:rsidRPr="008F31B2">
        <w:rPr>
          <w:rFonts w:hint="eastAsia"/>
          <w:rtl/>
        </w:rPr>
        <w:t>במציאות</w:t>
      </w:r>
      <w:r w:rsidRPr="008F31B2">
        <w:rPr>
          <w:rtl/>
        </w:rPr>
        <w:t xml:space="preserve"> </w:t>
      </w:r>
      <w:r w:rsidRPr="008F31B2">
        <w:rPr>
          <w:rFonts w:hint="eastAsia"/>
          <w:rtl/>
        </w:rPr>
        <w:t>שעמה</w:t>
      </w:r>
      <w:r w:rsidRPr="008F31B2">
        <w:rPr>
          <w:rtl/>
        </w:rPr>
        <w:t xml:space="preserve"> </w:t>
      </w:r>
      <w:r w:rsidRPr="008F31B2">
        <w:rPr>
          <w:rFonts w:hint="eastAsia"/>
          <w:rtl/>
        </w:rPr>
        <w:t>מתמודדת</w:t>
      </w:r>
      <w:r w:rsidRPr="008F31B2">
        <w:rPr>
          <w:rtl/>
        </w:rPr>
        <w:t xml:space="preserve"> </w:t>
      </w:r>
      <w:r w:rsidRPr="008F31B2">
        <w:rPr>
          <w:rFonts w:hint="eastAsia"/>
          <w:rtl/>
        </w:rPr>
        <w:t>מערכת</w:t>
      </w:r>
      <w:r w:rsidRPr="008F31B2">
        <w:rPr>
          <w:rtl/>
        </w:rPr>
        <w:t xml:space="preserve"> </w:t>
      </w:r>
      <w:r w:rsidRPr="008F31B2">
        <w:rPr>
          <w:rFonts w:hint="eastAsia"/>
          <w:rtl/>
        </w:rPr>
        <w:t>המשפט</w:t>
      </w:r>
      <w:r w:rsidRPr="008F31B2">
        <w:rPr>
          <w:rtl/>
        </w:rPr>
        <w:t xml:space="preserve"> </w:t>
      </w:r>
      <w:r w:rsidRPr="008F31B2">
        <w:rPr>
          <w:rFonts w:hint="eastAsia"/>
          <w:rtl/>
        </w:rPr>
        <w:t>בישראל</w:t>
      </w:r>
      <w:r w:rsidRPr="008F31B2">
        <w:rPr>
          <w:rtl/>
        </w:rPr>
        <w:t xml:space="preserve"> </w:t>
      </w:r>
      <w:r w:rsidRPr="008F31B2">
        <w:rPr>
          <w:rFonts w:hint="eastAsia"/>
          <w:rtl/>
        </w:rPr>
        <w:t>ובהתחשב</w:t>
      </w:r>
      <w:r w:rsidRPr="008F31B2">
        <w:rPr>
          <w:rtl/>
        </w:rPr>
        <w:t xml:space="preserve"> </w:t>
      </w:r>
      <w:r w:rsidRPr="008F31B2">
        <w:rPr>
          <w:rFonts w:hint="eastAsia"/>
          <w:rtl/>
        </w:rPr>
        <w:t>בעומס</w:t>
      </w:r>
      <w:r w:rsidRPr="008F31B2">
        <w:rPr>
          <w:rtl/>
        </w:rPr>
        <w:t xml:space="preserve"> </w:t>
      </w:r>
      <w:r w:rsidRPr="008F31B2">
        <w:rPr>
          <w:rFonts w:hint="eastAsia"/>
          <w:rtl/>
        </w:rPr>
        <w:t>הרב</w:t>
      </w:r>
      <w:r w:rsidRPr="008F31B2">
        <w:rPr>
          <w:rtl/>
        </w:rPr>
        <w:t xml:space="preserve"> </w:t>
      </w:r>
      <w:r w:rsidRPr="008F31B2">
        <w:rPr>
          <w:rFonts w:hint="eastAsia"/>
          <w:rtl/>
        </w:rPr>
        <w:t>המוטל</w:t>
      </w:r>
      <w:r w:rsidRPr="008F31B2">
        <w:rPr>
          <w:rtl/>
        </w:rPr>
        <w:t xml:space="preserve"> </w:t>
      </w:r>
      <w:r w:rsidRPr="008F31B2">
        <w:rPr>
          <w:rFonts w:hint="eastAsia"/>
          <w:rtl/>
        </w:rPr>
        <w:t>הן</w:t>
      </w:r>
      <w:r w:rsidRPr="008F31B2">
        <w:rPr>
          <w:rtl/>
        </w:rPr>
        <w:t xml:space="preserve"> </w:t>
      </w:r>
      <w:r w:rsidRPr="008F31B2">
        <w:rPr>
          <w:rFonts w:hint="eastAsia"/>
          <w:rtl/>
        </w:rPr>
        <w:t>על</w:t>
      </w:r>
      <w:r w:rsidRPr="008F31B2">
        <w:rPr>
          <w:rtl/>
        </w:rPr>
        <w:t xml:space="preserve"> </w:t>
      </w:r>
      <w:r w:rsidRPr="008F31B2">
        <w:rPr>
          <w:rFonts w:hint="eastAsia"/>
          <w:rtl/>
        </w:rPr>
        <w:t>בתי</w:t>
      </w:r>
      <w:r w:rsidRPr="008F31B2">
        <w:rPr>
          <w:rtl/>
        </w:rPr>
        <w:t xml:space="preserve"> </w:t>
      </w:r>
      <w:r w:rsidRPr="008F31B2">
        <w:rPr>
          <w:rFonts w:hint="eastAsia"/>
          <w:rtl/>
        </w:rPr>
        <w:t>המשפט</w:t>
      </w:r>
      <w:r w:rsidRPr="008F31B2">
        <w:rPr>
          <w:rtl/>
        </w:rPr>
        <w:t xml:space="preserve">,  </w:t>
      </w:r>
      <w:r w:rsidRPr="008F31B2">
        <w:rPr>
          <w:rFonts w:hint="eastAsia"/>
          <w:rtl/>
        </w:rPr>
        <w:t>הן</w:t>
      </w:r>
      <w:r w:rsidRPr="008F31B2">
        <w:rPr>
          <w:rtl/>
        </w:rPr>
        <w:t xml:space="preserve"> </w:t>
      </w:r>
      <w:r w:rsidRPr="008F31B2">
        <w:rPr>
          <w:rFonts w:hint="eastAsia"/>
          <w:rtl/>
        </w:rPr>
        <w:t>על</w:t>
      </w:r>
      <w:r w:rsidRPr="008F31B2">
        <w:rPr>
          <w:rtl/>
        </w:rPr>
        <w:t xml:space="preserve"> </w:t>
      </w:r>
      <w:r w:rsidRPr="008F31B2">
        <w:rPr>
          <w:rFonts w:hint="eastAsia"/>
          <w:rtl/>
        </w:rPr>
        <w:t>יתר</w:t>
      </w:r>
      <w:r w:rsidRPr="008F31B2">
        <w:rPr>
          <w:rtl/>
        </w:rPr>
        <w:t xml:space="preserve"> </w:t>
      </w:r>
      <w:r w:rsidRPr="008F31B2">
        <w:rPr>
          <w:rFonts w:hint="eastAsia"/>
          <w:rtl/>
        </w:rPr>
        <w:t>הנוגעים</w:t>
      </w:r>
      <w:r w:rsidRPr="008F31B2">
        <w:rPr>
          <w:rtl/>
        </w:rPr>
        <w:t xml:space="preserve"> </w:t>
      </w:r>
      <w:r w:rsidRPr="008F31B2">
        <w:rPr>
          <w:rFonts w:hint="eastAsia"/>
          <w:rtl/>
        </w:rPr>
        <w:t>בדבר</w:t>
      </w:r>
      <w:r w:rsidRPr="008F31B2">
        <w:rPr>
          <w:rtl/>
        </w:rPr>
        <w:t xml:space="preserve">, </w:t>
      </w:r>
      <w:r w:rsidRPr="008F31B2">
        <w:rPr>
          <w:rFonts w:hint="eastAsia"/>
          <w:rtl/>
        </w:rPr>
        <w:t>הסדרי</w:t>
      </w:r>
      <w:r w:rsidRPr="008F31B2">
        <w:rPr>
          <w:rtl/>
        </w:rPr>
        <w:t xml:space="preserve"> </w:t>
      </w:r>
      <w:r w:rsidRPr="008F31B2">
        <w:rPr>
          <w:rFonts w:hint="eastAsia"/>
          <w:rtl/>
        </w:rPr>
        <w:t>טיעון</w:t>
      </w:r>
      <w:r w:rsidRPr="008F31B2">
        <w:rPr>
          <w:rtl/>
        </w:rPr>
        <w:t xml:space="preserve"> </w:t>
      </w:r>
      <w:r w:rsidRPr="008F31B2">
        <w:rPr>
          <w:rFonts w:hint="eastAsia"/>
          <w:rtl/>
        </w:rPr>
        <w:t>מהווים</w:t>
      </w:r>
      <w:r w:rsidRPr="008F31B2">
        <w:rPr>
          <w:rtl/>
        </w:rPr>
        <w:t xml:space="preserve"> </w:t>
      </w:r>
      <w:r w:rsidRPr="008F31B2">
        <w:rPr>
          <w:rFonts w:hint="eastAsia"/>
          <w:rtl/>
        </w:rPr>
        <w:t>כלי</w:t>
      </w:r>
      <w:r w:rsidRPr="008F31B2">
        <w:rPr>
          <w:rtl/>
        </w:rPr>
        <w:t xml:space="preserve"> </w:t>
      </w:r>
      <w:r w:rsidRPr="008F31B2">
        <w:rPr>
          <w:rFonts w:hint="eastAsia"/>
          <w:rtl/>
        </w:rPr>
        <w:t>מרכזי</w:t>
      </w:r>
      <w:r w:rsidRPr="008F31B2">
        <w:rPr>
          <w:rtl/>
        </w:rPr>
        <w:t xml:space="preserve"> </w:t>
      </w:r>
      <w:r w:rsidRPr="008F31B2">
        <w:rPr>
          <w:rFonts w:hint="eastAsia"/>
          <w:rtl/>
        </w:rPr>
        <w:t>במלאכת</w:t>
      </w:r>
      <w:r w:rsidRPr="008F31B2">
        <w:rPr>
          <w:rtl/>
        </w:rPr>
        <w:t xml:space="preserve"> </w:t>
      </w:r>
      <w:r w:rsidRPr="008F31B2">
        <w:rPr>
          <w:rFonts w:hint="eastAsia"/>
          <w:rtl/>
        </w:rPr>
        <w:t>אכיפת</w:t>
      </w:r>
      <w:r w:rsidRPr="008F31B2">
        <w:rPr>
          <w:rtl/>
        </w:rPr>
        <w:t xml:space="preserve"> </w:t>
      </w:r>
      <w:r w:rsidRPr="008F31B2">
        <w:rPr>
          <w:rFonts w:hint="eastAsia"/>
          <w:rtl/>
        </w:rPr>
        <w:t>החוק</w:t>
      </w:r>
      <w:r w:rsidRPr="008F31B2">
        <w:rPr>
          <w:rtl/>
        </w:rPr>
        <w:t xml:space="preserve"> - </w:t>
      </w:r>
      <w:r w:rsidRPr="008F31B2">
        <w:rPr>
          <w:rFonts w:hint="eastAsia"/>
          <w:rtl/>
        </w:rPr>
        <w:t>כלי</w:t>
      </w:r>
      <w:r w:rsidRPr="008F31B2">
        <w:rPr>
          <w:rtl/>
        </w:rPr>
        <w:t xml:space="preserve"> </w:t>
      </w:r>
      <w:r w:rsidRPr="008F31B2">
        <w:rPr>
          <w:rFonts w:hint="eastAsia"/>
          <w:rtl/>
        </w:rPr>
        <w:t>הכרחי</w:t>
      </w:r>
      <w:r w:rsidRPr="008F31B2">
        <w:rPr>
          <w:rtl/>
        </w:rPr>
        <w:t xml:space="preserve"> </w:t>
      </w:r>
      <w:r w:rsidRPr="008F31B2">
        <w:rPr>
          <w:rFonts w:hint="eastAsia"/>
          <w:rtl/>
        </w:rPr>
        <w:t>על</w:t>
      </w:r>
      <w:r w:rsidRPr="008F31B2">
        <w:rPr>
          <w:rtl/>
        </w:rPr>
        <w:t xml:space="preserve"> </w:t>
      </w:r>
      <w:r w:rsidRPr="008F31B2">
        <w:rPr>
          <w:rFonts w:hint="eastAsia"/>
          <w:rtl/>
        </w:rPr>
        <w:t>מנת</w:t>
      </w:r>
      <w:r w:rsidRPr="008F31B2">
        <w:rPr>
          <w:rtl/>
        </w:rPr>
        <w:t xml:space="preserve"> </w:t>
      </w:r>
      <w:r w:rsidRPr="008F31B2">
        <w:rPr>
          <w:rFonts w:hint="eastAsia"/>
          <w:rtl/>
        </w:rPr>
        <w:t>שהמערכת</w:t>
      </w:r>
      <w:r w:rsidRPr="008F31B2">
        <w:rPr>
          <w:rtl/>
        </w:rPr>
        <w:t xml:space="preserve"> </w:t>
      </w:r>
      <w:r w:rsidRPr="008F31B2">
        <w:rPr>
          <w:rFonts w:hint="eastAsia"/>
          <w:rtl/>
        </w:rPr>
        <w:t>כולה</w:t>
      </w:r>
      <w:r w:rsidRPr="008F31B2">
        <w:rPr>
          <w:rtl/>
        </w:rPr>
        <w:t xml:space="preserve"> </w:t>
      </w:r>
      <w:r w:rsidRPr="008F31B2">
        <w:rPr>
          <w:rFonts w:hint="eastAsia"/>
          <w:rtl/>
        </w:rPr>
        <w:t>תוכל</w:t>
      </w:r>
      <w:r w:rsidRPr="008F31B2">
        <w:rPr>
          <w:rtl/>
        </w:rPr>
        <w:t xml:space="preserve"> </w:t>
      </w:r>
      <w:r w:rsidRPr="008F31B2">
        <w:rPr>
          <w:rFonts w:hint="eastAsia"/>
          <w:rtl/>
        </w:rPr>
        <w:t>לשאת</w:t>
      </w:r>
      <w:r w:rsidRPr="008F31B2">
        <w:rPr>
          <w:rtl/>
        </w:rPr>
        <w:t xml:space="preserve"> </w:t>
      </w:r>
      <w:r w:rsidRPr="008F31B2">
        <w:rPr>
          <w:rFonts w:hint="eastAsia"/>
          <w:rtl/>
        </w:rPr>
        <w:t>במשימות</w:t>
      </w:r>
      <w:r w:rsidRPr="008F31B2">
        <w:rPr>
          <w:rtl/>
        </w:rPr>
        <w:t xml:space="preserve"> </w:t>
      </w:r>
      <w:r w:rsidRPr="008F31B2">
        <w:rPr>
          <w:rFonts w:hint="eastAsia"/>
          <w:rtl/>
        </w:rPr>
        <w:t>המוטלות</w:t>
      </w:r>
      <w:r w:rsidRPr="008F31B2">
        <w:rPr>
          <w:rtl/>
        </w:rPr>
        <w:t xml:space="preserve"> </w:t>
      </w:r>
      <w:r w:rsidRPr="008F31B2">
        <w:rPr>
          <w:rFonts w:hint="eastAsia"/>
          <w:rtl/>
        </w:rPr>
        <w:t>על</w:t>
      </w:r>
      <w:r w:rsidRPr="008F31B2">
        <w:rPr>
          <w:rtl/>
        </w:rPr>
        <w:t xml:space="preserve"> </w:t>
      </w:r>
      <w:r w:rsidRPr="008F31B2">
        <w:rPr>
          <w:rFonts w:hint="eastAsia"/>
          <w:rtl/>
        </w:rPr>
        <w:t>כתפיה</w:t>
      </w:r>
      <w:r w:rsidRPr="008F31B2">
        <w:rPr>
          <w:rtl/>
        </w:rPr>
        <w:t xml:space="preserve">. </w:t>
      </w:r>
      <w:r w:rsidRPr="008F31B2">
        <w:rPr>
          <w:rFonts w:hint="eastAsia"/>
          <w:rtl/>
        </w:rPr>
        <w:t>לצד</w:t>
      </w:r>
      <w:r w:rsidRPr="008F31B2">
        <w:rPr>
          <w:rtl/>
        </w:rPr>
        <w:t xml:space="preserve"> </w:t>
      </w:r>
      <w:r w:rsidRPr="008F31B2">
        <w:rPr>
          <w:rFonts w:hint="eastAsia"/>
          <w:rtl/>
        </w:rPr>
        <w:t>זאת</w:t>
      </w:r>
      <w:r w:rsidRPr="008F31B2">
        <w:rPr>
          <w:rtl/>
        </w:rPr>
        <w:t xml:space="preserve">, </w:t>
      </w:r>
      <w:r w:rsidRPr="008F31B2">
        <w:rPr>
          <w:rFonts w:hint="eastAsia"/>
          <w:rtl/>
        </w:rPr>
        <w:t>אין</w:t>
      </w:r>
      <w:r w:rsidRPr="008F31B2">
        <w:rPr>
          <w:rtl/>
        </w:rPr>
        <w:t xml:space="preserve"> </w:t>
      </w:r>
      <w:r w:rsidRPr="008F31B2">
        <w:rPr>
          <w:rFonts w:hint="eastAsia"/>
          <w:rtl/>
        </w:rPr>
        <w:t>ולא</w:t>
      </w:r>
      <w:r w:rsidRPr="008F31B2">
        <w:rPr>
          <w:rtl/>
        </w:rPr>
        <w:t xml:space="preserve"> </w:t>
      </w:r>
      <w:r w:rsidRPr="008F31B2">
        <w:rPr>
          <w:rFonts w:hint="eastAsia"/>
          <w:rtl/>
        </w:rPr>
        <w:t>ניתן</w:t>
      </w:r>
      <w:r w:rsidRPr="008F31B2">
        <w:rPr>
          <w:rtl/>
        </w:rPr>
        <w:t xml:space="preserve"> </w:t>
      </w:r>
      <w:r w:rsidRPr="008F31B2">
        <w:rPr>
          <w:rFonts w:hint="eastAsia"/>
          <w:rtl/>
        </w:rPr>
        <w:t>להתעלם</w:t>
      </w:r>
      <w:r w:rsidRPr="008F31B2">
        <w:rPr>
          <w:rtl/>
        </w:rPr>
        <w:t xml:space="preserve"> </w:t>
      </w:r>
      <w:r w:rsidRPr="008F31B2">
        <w:rPr>
          <w:rFonts w:hint="eastAsia"/>
          <w:rtl/>
        </w:rPr>
        <w:t>מהקשיים</w:t>
      </w:r>
      <w:r w:rsidRPr="008F31B2">
        <w:rPr>
          <w:rtl/>
        </w:rPr>
        <w:t xml:space="preserve"> </w:t>
      </w:r>
      <w:r w:rsidRPr="008F31B2">
        <w:rPr>
          <w:rFonts w:hint="eastAsia"/>
          <w:rtl/>
        </w:rPr>
        <w:t>ומהסיכונים</w:t>
      </w:r>
      <w:r w:rsidRPr="008F31B2">
        <w:rPr>
          <w:rtl/>
        </w:rPr>
        <w:t xml:space="preserve"> </w:t>
      </w:r>
      <w:r w:rsidRPr="008F31B2">
        <w:rPr>
          <w:rFonts w:hint="eastAsia"/>
          <w:rtl/>
        </w:rPr>
        <w:t>הבלתי</w:t>
      </w:r>
      <w:r w:rsidRPr="008F31B2">
        <w:rPr>
          <w:rtl/>
        </w:rPr>
        <w:t xml:space="preserve"> </w:t>
      </w:r>
      <w:r w:rsidRPr="008F31B2">
        <w:rPr>
          <w:rFonts w:hint="eastAsia"/>
          <w:rtl/>
        </w:rPr>
        <w:t>מבוטלים</w:t>
      </w:r>
      <w:r w:rsidRPr="008F31B2">
        <w:rPr>
          <w:rtl/>
        </w:rPr>
        <w:t xml:space="preserve"> </w:t>
      </w:r>
      <w:r w:rsidRPr="008F31B2">
        <w:rPr>
          <w:rFonts w:hint="eastAsia"/>
          <w:rtl/>
        </w:rPr>
        <w:t>שטומן</w:t>
      </w:r>
      <w:r w:rsidRPr="008F31B2">
        <w:rPr>
          <w:rtl/>
        </w:rPr>
        <w:t xml:space="preserve"> </w:t>
      </w:r>
      <w:r w:rsidRPr="008F31B2">
        <w:rPr>
          <w:rFonts w:hint="eastAsia"/>
          <w:rtl/>
        </w:rPr>
        <w:t>בחובו</w:t>
      </w:r>
      <w:r w:rsidRPr="008F31B2">
        <w:rPr>
          <w:rtl/>
        </w:rPr>
        <w:t xml:space="preserve"> </w:t>
      </w:r>
      <w:r w:rsidRPr="008F31B2">
        <w:rPr>
          <w:rFonts w:hint="eastAsia"/>
          <w:rtl/>
        </w:rPr>
        <w:t>מוסד</w:t>
      </w:r>
      <w:r w:rsidRPr="008F31B2">
        <w:rPr>
          <w:rtl/>
        </w:rPr>
        <w:t xml:space="preserve"> </w:t>
      </w:r>
      <w:r w:rsidRPr="008F31B2">
        <w:rPr>
          <w:rFonts w:hint="eastAsia"/>
          <w:rtl/>
        </w:rPr>
        <w:t>זה</w:t>
      </w:r>
      <w:r w:rsidRPr="008F31B2">
        <w:rPr>
          <w:rtl/>
        </w:rPr>
        <w:t xml:space="preserve">, </w:t>
      </w:r>
      <w:r w:rsidRPr="008F31B2">
        <w:rPr>
          <w:rFonts w:hint="eastAsia"/>
          <w:rtl/>
        </w:rPr>
        <w:t>ובין</w:t>
      </w:r>
      <w:r w:rsidRPr="008F31B2">
        <w:rPr>
          <w:rtl/>
        </w:rPr>
        <w:t xml:space="preserve"> </w:t>
      </w:r>
      <w:r w:rsidRPr="008F31B2">
        <w:rPr>
          <w:rFonts w:hint="eastAsia"/>
          <w:rtl/>
        </w:rPr>
        <w:t>היתר</w:t>
      </w:r>
      <w:r w:rsidRPr="008F31B2">
        <w:rPr>
          <w:rtl/>
        </w:rPr>
        <w:t xml:space="preserve"> </w:t>
      </w:r>
      <w:r w:rsidRPr="008F31B2">
        <w:rPr>
          <w:rFonts w:hint="eastAsia"/>
          <w:rtl/>
        </w:rPr>
        <w:t>מהחשש</w:t>
      </w:r>
      <w:r w:rsidRPr="008F31B2">
        <w:rPr>
          <w:rtl/>
        </w:rPr>
        <w:t xml:space="preserve"> </w:t>
      </w:r>
      <w:r w:rsidRPr="008F31B2">
        <w:rPr>
          <w:rFonts w:hint="eastAsia"/>
          <w:rtl/>
        </w:rPr>
        <w:t>מפני</w:t>
      </w:r>
      <w:r w:rsidRPr="008F31B2">
        <w:rPr>
          <w:rtl/>
        </w:rPr>
        <w:t xml:space="preserve"> </w:t>
      </w:r>
      <w:r w:rsidRPr="008F31B2">
        <w:rPr>
          <w:rFonts w:hint="eastAsia"/>
          <w:rtl/>
        </w:rPr>
        <w:t>הרשעת</w:t>
      </w:r>
      <w:r w:rsidRPr="008F31B2">
        <w:rPr>
          <w:rtl/>
        </w:rPr>
        <w:t xml:space="preserve"> </w:t>
      </w:r>
      <w:r w:rsidRPr="008F31B2">
        <w:rPr>
          <w:rFonts w:hint="eastAsia"/>
          <w:rtl/>
        </w:rPr>
        <w:t>חפים</w:t>
      </w:r>
      <w:r w:rsidRPr="008F31B2">
        <w:rPr>
          <w:rtl/>
        </w:rPr>
        <w:t xml:space="preserve"> </w:t>
      </w:r>
      <w:r w:rsidRPr="008F31B2">
        <w:rPr>
          <w:rFonts w:hint="eastAsia"/>
          <w:rtl/>
        </w:rPr>
        <w:t>מפשע</w:t>
      </w:r>
      <w:r w:rsidRPr="008F31B2">
        <w:rPr>
          <w:rtl/>
        </w:rPr>
        <w:t xml:space="preserve">, </w:t>
      </w:r>
      <w:r w:rsidRPr="008F31B2">
        <w:rPr>
          <w:rFonts w:hint="eastAsia"/>
          <w:rtl/>
        </w:rPr>
        <w:t>מהחשש</w:t>
      </w:r>
      <w:r w:rsidRPr="008F31B2">
        <w:rPr>
          <w:rtl/>
        </w:rPr>
        <w:t xml:space="preserve"> </w:t>
      </w:r>
      <w:r w:rsidRPr="008F31B2">
        <w:rPr>
          <w:rFonts w:hint="eastAsia"/>
          <w:rtl/>
        </w:rPr>
        <w:t>מפגיעה</w:t>
      </w:r>
      <w:r w:rsidRPr="008F31B2">
        <w:rPr>
          <w:rtl/>
        </w:rPr>
        <w:t xml:space="preserve"> </w:t>
      </w:r>
      <w:r w:rsidRPr="008F31B2">
        <w:rPr>
          <w:rFonts w:hint="eastAsia"/>
          <w:rtl/>
        </w:rPr>
        <w:t>באינטרס</w:t>
      </w:r>
      <w:r w:rsidRPr="008F31B2">
        <w:rPr>
          <w:rtl/>
        </w:rPr>
        <w:t xml:space="preserve"> </w:t>
      </w:r>
      <w:r w:rsidRPr="008F31B2">
        <w:rPr>
          <w:rFonts w:hint="eastAsia"/>
          <w:rtl/>
        </w:rPr>
        <w:t>הציבורי</w:t>
      </w:r>
      <w:r w:rsidRPr="008F31B2">
        <w:rPr>
          <w:rtl/>
        </w:rPr>
        <w:t xml:space="preserve"> </w:t>
      </w:r>
      <w:r w:rsidRPr="008F31B2">
        <w:rPr>
          <w:rFonts w:hint="eastAsia"/>
          <w:rtl/>
        </w:rPr>
        <w:t>להענשת</w:t>
      </w:r>
      <w:r w:rsidRPr="008F31B2">
        <w:rPr>
          <w:rtl/>
        </w:rPr>
        <w:t xml:space="preserve"> </w:t>
      </w:r>
      <w:r w:rsidRPr="008F31B2">
        <w:rPr>
          <w:rFonts w:hint="eastAsia"/>
          <w:rtl/>
        </w:rPr>
        <w:t>עבריינים</w:t>
      </w:r>
      <w:r w:rsidRPr="008F31B2">
        <w:rPr>
          <w:rtl/>
        </w:rPr>
        <w:t xml:space="preserve"> </w:t>
      </w:r>
      <w:r w:rsidRPr="008F31B2">
        <w:rPr>
          <w:rFonts w:hint="eastAsia"/>
          <w:rtl/>
        </w:rPr>
        <w:t>ומפגיעה</w:t>
      </w:r>
      <w:r w:rsidRPr="008F31B2">
        <w:rPr>
          <w:rtl/>
        </w:rPr>
        <w:t xml:space="preserve"> </w:t>
      </w:r>
      <w:r w:rsidRPr="008F31B2">
        <w:rPr>
          <w:rFonts w:hint="eastAsia"/>
          <w:rtl/>
        </w:rPr>
        <w:t>בעיקרון</w:t>
      </w:r>
      <w:r w:rsidRPr="008F31B2">
        <w:rPr>
          <w:rtl/>
        </w:rPr>
        <w:t xml:space="preserve"> </w:t>
      </w:r>
      <w:r w:rsidRPr="008F31B2">
        <w:rPr>
          <w:rFonts w:hint="eastAsia"/>
          <w:rtl/>
        </w:rPr>
        <w:t>הבסיסי</w:t>
      </w:r>
      <w:r w:rsidRPr="008F31B2">
        <w:rPr>
          <w:rtl/>
        </w:rPr>
        <w:t xml:space="preserve"> </w:t>
      </w:r>
      <w:r w:rsidRPr="008F31B2">
        <w:rPr>
          <w:rFonts w:hint="eastAsia"/>
          <w:rtl/>
        </w:rPr>
        <w:t>של</w:t>
      </w:r>
      <w:r w:rsidRPr="008F31B2">
        <w:rPr>
          <w:rtl/>
        </w:rPr>
        <w:t xml:space="preserve"> </w:t>
      </w:r>
      <w:r w:rsidRPr="008F31B2">
        <w:rPr>
          <w:rFonts w:hint="eastAsia"/>
          <w:rtl/>
        </w:rPr>
        <w:t>שוויון</w:t>
      </w:r>
      <w:r w:rsidRPr="008F31B2">
        <w:rPr>
          <w:rtl/>
        </w:rPr>
        <w:t xml:space="preserve"> </w:t>
      </w:r>
      <w:r w:rsidRPr="008F31B2">
        <w:rPr>
          <w:rFonts w:hint="eastAsia"/>
          <w:rtl/>
        </w:rPr>
        <w:t>בפני</w:t>
      </w:r>
      <w:r w:rsidRPr="008F31B2">
        <w:rPr>
          <w:rtl/>
        </w:rPr>
        <w:t xml:space="preserve"> </w:t>
      </w:r>
      <w:r w:rsidRPr="008F31B2">
        <w:rPr>
          <w:rFonts w:hint="eastAsia"/>
          <w:rtl/>
        </w:rPr>
        <w:t>החוק</w:t>
      </w:r>
      <w:r w:rsidRPr="008F31B2">
        <w:rPr>
          <w:rtl/>
        </w:rPr>
        <w:t xml:space="preserve">. </w:t>
      </w:r>
      <w:r w:rsidRPr="008F31B2">
        <w:rPr>
          <w:rFonts w:hint="eastAsia"/>
          <w:rtl/>
        </w:rPr>
        <w:t>משמעות</w:t>
      </w:r>
      <w:r w:rsidRPr="008F31B2">
        <w:rPr>
          <w:rtl/>
        </w:rPr>
        <w:t xml:space="preserve"> </w:t>
      </w:r>
      <w:r w:rsidRPr="008F31B2">
        <w:rPr>
          <w:rFonts w:hint="eastAsia"/>
          <w:rtl/>
        </w:rPr>
        <w:t>הדברים</w:t>
      </w:r>
      <w:r w:rsidRPr="008F31B2">
        <w:rPr>
          <w:rtl/>
        </w:rPr>
        <w:t xml:space="preserve"> </w:t>
      </w:r>
      <w:r w:rsidRPr="008F31B2">
        <w:rPr>
          <w:rFonts w:hint="eastAsia"/>
          <w:rtl/>
        </w:rPr>
        <w:t>הינה</w:t>
      </w:r>
      <w:r w:rsidRPr="008F31B2">
        <w:rPr>
          <w:rtl/>
        </w:rPr>
        <w:t xml:space="preserve"> </w:t>
      </w:r>
      <w:r w:rsidRPr="008F31B2">
        <w:rPr>
          <w:rFonts w:hint="eastAsia"/>
          <w:rtl/>
        </w:rPr>
        <w:t>אפוא</w:t>
      </w:r>
      <w:r w:rsidRPr="008F31B2">
        <w:rPr>
          <w:rtl/>
        </w:rPr>
        <w:t xml:space="preserve"> </w:t>
      </w:r>
      <w:r w:rsidRPr="008F31B2">
        <w:rPr>
          <w:rFonts w:hint="eastAsia"/>
          <w:rtl/>
        </w:rPr>
        <w:t>כי</w:t>
      </w:r>
      <w:r w:rsidRPr="008F31B2">
        <w:rPr>
          <w:rtl/>
        </w:rPr>
        <w:t xml:space="preserve"> </w:t>
      </w:r>
      <w:r w:rsidRPr="008F31B2">
        <w:rPr>
          <w:rFonts w:hint="eastAsia"/>
          <w:rtl/>
        </w:rPr>
        <w:t>עריכת</w:t>
      </w:r>
      <w:r w:rsidRPr="008F31B2">
        <w:rPr>
          <w:rtl/>
        </w:rPr>
        <w:t xml:space="preserve"> </w:t>
      </w:r>
      <w:r w:rsidRPr="008F31B2">
        <w:rPr>
          <w:rFonts w:hint="eastAsia"/>
          <w:rtl/>
        </w:rPr>
        <w:t>הסדר</w:t>
      </w:r>
      <w:r w:rsidRPr="008F31B2">
        <w:rPr>
          <w:rtl/>
        </w:rPr>
        <w:t xml:space="preserve"> </w:t>
      </w:r>
      <w:r w:rsidRPr="008F31B2">
        <w:rPr>
          <w:rFonts w:hint="eastAsia"/>
          <w:rtl/>
        </w:rPr>
        <w:t>טיעון</w:t>
      </w:r>
      <w:r w:rsidRPr="008F31B2">
        <w:rPr>
          <w:rtl/>
        </w:rPr>
        <w:t xml:space="preserve"> </w:t>
      </w:r>
      <w:r w:rsidRPr="008F31B2">
        <w:rPr>
          <w:rFonts w:hint="eastAsia"/>
          <w:rtl/>
        </w:rPr>
        <w:t>לא</w:t>
      </w:r>
      <w:r w:rsidRPr="008F31B2">
        <w:rPr>
          <w:rtl/>
        </w:rPr>
        <w:t xml:space="preserve"> </w:t>
      </w:r>
      <w:r w:rsidRPr="008F31B2">
        <w:rPr>
          <w:rFonts w:hint="eastAsia"/>
          <w:rtl/>
        </w:rPr>
        <w:t>תהיה</w:t>
      </w:r>
      <w:r w:rsidRPr="008F31B2">
        <w:rPr>
          <w:rtl/>
        </w:rPr>
        <w:t xml:space="preserve"> </w:t>
      </w:r>
      <w:r w:rsidRPr="008F31B2">
        <w:rPr>
          <w:rFonts w:hint="eastAsia"/>
          <w:rtl/>
        </w:rPr>
        <w:t>נכונה</w:t>
      </w:r>
      <w:r w:rsidRPr="008F31B2">
        <w:rPr>
          <w:rtl/>
        </w:rPr>
        <w:t xml:space="preserve"> </w:t>
      </w:r>
      <w:r w:rsidRPr="008F31B2">
        <w:rPr>
          <w:rFonts w:hint="eastAsia"/>
          <w:rtl/>
        </w:rPr>
        <w:t>בכל</w:t>
      </w:r>
      <w:r w:rsidRPr="008F31B2">
        <w:rPr>
          <w:rtl/>
        </w:rPr>
        <w:t xml:space="preserve"> </w:t>
      </w:r>
      <w:r w:rsidRPr="008F31B2">
        <w:rPr>
          <w:rFonts w:hint="eastAsia"/>
          <w:rtl/>
        </w:rPr>
        <w:t>מקרה</w:t>
      </w:r>
      <w:r w:rsidRPr="008F31B2">
        <w:rPr>
          <w:rtl/>
        </w:rPr>
        <w:t xml:space="preserve"> </w:t>
      </w:r>
      <w:r w:rsidRPr="008F31B2">
        <w:rPr>
          <w:rFonts w:hint="eastAsia"/>
          <w:rtl/>
        </w:rPr>
        <w:t>ולא</w:t>
      </w:r>
      <w:r w:rsidRPr="008F31B2">
        <w:rPr>
          <w:rtl/>
        </w:rPr>
        <w:t xml:space="preserve"> "</w:t>
      </w:r>
      <w:r w:rsidRPr="008F31B2">
        <w:rPr>
          <w:rFonts w:hint="eastAsia"/>
          <w:rtl/>
        </w:rPr>
        <w:t>בכל</w:t>
      </w:r>
      <w:r w:rsidRPr="008F31B2">
        <w:rPr>
          <w:rtl/>
        </w:rPr>
        <w:t xml:space="preserve"> </w:t>
      </w:r>
      <w:r w:rsidRPr="008F31B2">
        <w:rPr>
          <w:rFonts w:hint="eastAsia"/>
          <w:rtl/>
        </w:rPr>
        <w:t>מחיר</w:t>
      </w:r>
      <w:r w:rsidRPr="008F31B2">
        <w:rPr>
          <w:rtl/>
        </w:rPr>
        <w:t xml:space="preserve">", </w:t>
      </w:r>
      <w:r w:rsidRPr="008F31B2">
        <w:rPr>
          <w:rFonts w:hint="eastAsia"/>
          <w:rtl/>
        </w:rPr>
        <w:t>ומכאן</w:t>
      </w:r>
      <w:r w:rsidRPr="008F31B2">
        <w:rPr>
          <w:rtl/>
        </w:rPr>
        <w:t xml:space="preserve"> </w:t>
      </w:r>
      <w:r w:rsidRPr="008F31B2">
        <w:rPr>
          <w:rFonts w:hint="eastAsia"/>
          <w:rtl/>
        </w:rPr>
        <w:t>הצורך</w:t>
      </w:r>
      <w:r w:rsidRPr="008F31B2">
        <w:rPr>
          <w:rtl/>
        </w:rPr>
        <w:t xml:space="preserve"> </w:t>
      </w:r>
      <w:r w:rsidRPr="008F31B2">
        <w:rPr>
          <w:rFonts w:hint="eastAsia"/>
          <w:rtl/>
        </w:rPr>
        <w:t>בבחינה</w:t>
      </w:r>
      <w:r w:rsidRPr="008F31B2">
        <w:rPr>
          <w:rtl/>
        </w:rPr>
        <w:t xml:space="preserve">, </w:t>
      </w:r>
      <w:r w:rsidRPr="008F31B2">
        <w:rPr>
          <w:rFonts w:hint="eastAsia"/>
          <w:rtl/>
        </w:rPr>
        <w:t>בדיקה</w:t>
      </w:r>
      <w:r w:rsidRPr="008F31B2">
        <w:rPr>
          <w:rtl/>
        </w:rPr>
        <w:t xml:space="preserve"> </w:t>
      </w:r>
      <w:r w:rsidRPr="008F31B2">
        <w:rPr>
          <w:rFonts w:hint="eastAsia"/>
          <w:rtl/>
        </w:rPr>
        <w:t>ושקלול</w:t>
      </w:r>
      <w:r w:rsidRPr="008F31B2">
        <w:rPr>
          <w:rtl/>
        </w:rPr>
        <w:t xml:space="preserve"> </w:t>
      </w:r>
      <w:r w:rsidRPr="008F31B2">
        <w:rPr>
          <w:rFonts w:hint="eastAsia"/>
          <w:rtl/>
        </w:rPr>
        <w:t>זהירים</w:t>
      </w:r>
      <w:r w:rsidRPr="008F31B2">
        <w:rPr>
          <w:rtl/>
        </w:rPr>
        <w:t xml:space="preserve"> </w:t>
      </w:r>
      <w:r w:rsidRPr="008F31B2">
        <w:rPr>
          <w:rFonts w:hint="eastAsia"/>
          <w:rtl/>
        </w:rPr>
        <w:t>ואחראיים</w:t>
      </w:r>
      <w:r w:rsidRPr="008F31B2">
        <w:rPr>
          <w:rtl/>
        </w:rPr>
        <w:t xml:space="preserve"> - </w:t>
      </w:r>
      <w:r w:rsidRPr="008F31B2">
        <w:rPr>
          <w:rFonts w:hint="eastAsia"/>
          <w:rtl/>
        </w:rPr>
        <w:t>הן</w:t>
      </w:r>
      <w:r w:rsidRPr="008F31B2">
        <w:rPr>
          <w:rtl/>
        </w:rPr>
        <w:t xml:space="preserve"> </w:t>
      </w:r>
      <w:r w:rsidRPr="008F31B2">
        <w:rPr>
          <w:rFonts w:hint="eastAsia"/>
          <w:rtl/>
        </w:rPr>
        <w:t>מצד</w:t>
      </w:r>
      <w:r w:rsidRPr="008F31B2">
        <w:rPr>
          <w:rtl/>
        </w:rPr>
        <w:t xml:space="preserve"> </w:t>
      </w:r>
      <w:r w:rsidRPr="008F31B2">
        <w:rPr>
          <w:rFonts w:hint="eastAsia"/>
          <w:rtl/>
        </w:rPr>
        <w:t>הצדדים</w:t>
      </w:r>
      <w:r w:rsidRPr="008F31B2">
        <w:rPr>
          <w:rtl/>
        </w:rPr>
        <w:t xml:space="preserve">, </w:t>
      </w:r>
      <w:r w:rsidRPr="008F31B2">
        <w:rPr>
          <w:rFonts w:hint="eastAsia"/>
          <w:rtl/>
        </w:rPr>
        <w:t>הן</w:t>
      </w:r>
      <w:r w:rsidRPr="008F31B2">
        <w:rPr>
          <w:rtl/>
        </w:rPr>
        <w:t xml:space="preserve"> </w:t>
      </w:r>
      <w:r w:rsidRPr="008F31B2">
        <w:rPr>
          <w:rFonts w:hint="eastAsia"/>
          <w:rtl/>
        </w:rPr>
        <w:t>מצד</w:t>
      </w:r>
      <w:r w:rsidRPr="008F31B2">
        <w:rPr>
          <w:rtl/>
        </w:rPr>
        <w:t xml:space="preserve"> </w:t>
      </w:r>
      <w:r w:rsidRPr="008F31B2">
        <w:rPr>
          <w:rFonts w:hint="eastAsia"/>
          <w:rtl/>
        </w:rPr>
        <w:t>בית</w:t>
      </w:r>
      <w:r w:rsidRPr="008F31B2">
        <w:rPr>
          <w:rtl/>
        </w:rPr>
        <w:t xml:space="preserve"> </w:t>
      </w:r>
      <w:r w:rsidRPr="008F31B2">
        <w:rPr>
          <w:rFonts w:hint="eastAsia"/>
          <w:rtl/>
        </w:rPr>
        <w:t>המשפט</w:t>
      </w:r>
      <w:r w:rsidRPr="008F31B2">
        <w:rPr>
          <w:rtl/>
        </w:rPr>
        <w:t xml:space="preserve"> </w:t>
      </w:r>
      <w:r w:rsidRPr="008F31B2">
        <w:rPr>
          <w:rFonts w:hint="eastAsia"/>
          <w:rtl/>
        </w:rPr>
        <w:t>שלאישורו</w:t>
      </w:r>
      <w:r w:rsidRPr="008F31B2">
        <w:rPr>
          <w:rtl/>
        </w:rPr>
        <w:t xml:space="preserve"> </w:t>
      </w:r>
      <w:r w:rsidRPr="008F31B2">
        <w:rPr>
          <w:rFonts w:hint="eastAsia"/>
          <w:rtl/>
        </w:rPr>
        <w:t>מובא</w:t>
      </w:r>
      <w:r w:rsidRPr="008F31B2">
        <w:rPr>
          <w:rtl/>
        </w:rPr>
        <w:t xml:space="preserve"> </w:t>
      </w:r>
      <w:r w:rsidRPr="008F31B2">
        <w:rPr>
          <w:rFonts w:hint="eastAsia"/>
          <w:rtl/>
        </w:rPr>
        <w:t>ההסדר</w:t>
      </w:r>
      <w:r w:rsidRPr="008F31B2">
        <w:rPr>
          <w:rtl/>
        </w:rPr>
        <w:t xml:space="preserve">. </w:t>
      </w:r>
      <w:r>
        <w:rPr>
          <w:rFonts w:hint="cs"/>
          <w:rtl/>
        </w:rPr>
        <w:t xml:space="preserve"> </w:t>
      </w:r>
    </w:p>
    <w:p w14:paraId="38A1BD19" w14:textId="77777777" w:rsidR="00DF7BD3" w:rsidRDefault="00DF7BD3" w:rsidP="00DF7BD3">
      <w:pPr>
        <w:spacing w:line="360" w:lineRule="auto"/>
        <w:ind w:left="567" w:hanging="567"/>
        <w:rPr>
          <w:rtl/>
        </w:rPr>
      </w:pPr>
    </w:p>
    <w:p w14:paraId="2FE041EC" w14:textId="77777777" w:rsidR="00DF7BD3" w:rsidRDefault="00DF7BD3" w:rsidP="00DF7BD3">
      <w:pPr>
        <w:spacing w:line="360" w:lineRule="auto"/>
        <w:ind w:left="567" w:hanging="567"/>
        <w:jc w:val="both"/>
        <w:rPr>
          <w:rtl/>
        </w:rPr>
      </w:pPr>
      <w:r>
        <w:rPr>
          <w:rtl/>
        </w:rPr>
        <w:tab/>
      </w:r>
      <w:r>
        <w:rPr>
          <w:rFonts w:hint="cs"/>
          <w:rtl/>
        </w:rPr>
        <w:t>הפסיקה התוותה את אמות המידה על פיהן יבחן בית המשפט הסדר טיעון המוצג לפניו ובכללן סיכויי הרשעתו של הנאשם אלמלא ההסדר. נקבע כי "על אף שבית המשפט איננו פטור מלבחון בעצמו את שיקולי הענישה, הרי שלא ימהר להתערב בעונש שהוסכם בין הצדדים, בוודאי כאשר מדובר בהסדר 'סגור' אשר איננו קובע מתחם מסוים אלא עונש מוגדר ומסויים. התערבות זו שמורה למצבים חריגים ביותר" (</w:t>
      </w:r>
      <w:hyperlink r:id="rId31" w:history="1">
        <w:r w:rsidR="008270B8" w:rsidRPr="008270B8">
          <w:rPr>
            <w:rStyle w:val="Hyperlink"/>
            <w:rFonts w:hint="eastAsia"/>
            <w:rtl/>
          </w:rPr>
          <w:t>ע</w:t>
        </w:r>
        <w:r w:rsidR="008270B8" w:rsidRPr="008270B8">
          <w:rPr>
            <w:rStyle w:val="Hyperlink"/>
            <w:rtl/>
          </w:rPr>
          <w:t>"פ 5845/14</w:t>
        </w:r>
      </w:hyperlink>
      <w:r>
        <w:rPr>
          <w:rFonts w:hint="cs"/>
          <w:rtl/>
        </w:rPr>
        <w:t xml:space="preserve"> </w:t>
      </w:r>
      <w:r>
        <w:rPr>
          <w:rFonts w:hint="cs"/>
          <w:b/>
          <w:bCs/>
          <w:rtl/>
        </w:rPr>
        <w:t>אסט נ' מדינת ישראל</w:t>
      </w:r>
      <w:r>
        <w:rPr>
          <w:rFonts w:hint="cs"/>
          <w:rtl/>
        </w:rPr>
        <w:t xml:space="preserve"> (20.4.2016) וראו גם: </w:t>
      </w:r>
      <w:hyperlink r:id="rId32" w:history="1">
        <w:r w:rsidR="008270B8" w:rsidRPr="008270B8">
          <w:rPr>
            <w:rStyle w:val="Hyperlink"/>
            <w:rFonts w:hint="eastAsia"/>
            <w:rtl/>
          </w:rPr>
          <w:t>ע</w:t>
        </w:r>
        <w:r w:rsidR="008270B8" w:rsidRPr="008270B8">
          <w:rPr>
            <w:rStyle w:val="Hyperlink"/>
            <w:rtl/>
          </w:rPr>
          <w:t>"פ 5310/12</w:t>
        </w:r>
      </w:hyperlink>
      <w:r>
        <w:rPr>
          <w:rFonts w:hint="cs"/>
          <w:rtl/>
        </w:rPr>
        <w:t xml:space="preserve"> </w:t>
      </w:r>
      <w:r>
        <w:rPr>
          <w:rFonts w:hint="cs"/>
          <w:b/>
          <w:bCs/>
          <w:rtl/>
        </w:rPr>
        <w:t>פלוני נ' מדינת ישראל</w:t>
      </w:r>
      <w:r>
        <w:rPr>
          <w:rFonts w:hint="cs"/>
          <w:rtl/>
        </w:rPr>
        <w:t xml:space="preserve"> (9.9.2012)). </w:t>
      </w:r>
    </w:p>
    <w:p w14:paraId="494DCC68" w14:textId="77777777" w:rsidR="00DF7BD3" w:rsidRDefault="00DF7BD3" w:rsidP="00DF7BD3">
      <w:pPr>
        <w:spacing w:line="360" w:lineRule="auto"/>
        <w:ind w:left="567" w:hanging="567"/>
        <w:rPr>
          <w:rtl/>
        </w:rPr>
      </w:pPr>
    </w:p>
    <w:p w14:paraId="48A78B2C" w14:textId="77777777" w:rsidR="00DF7BD3" w:rsidRDefault="00DF7BD3" w:rsidP="00DF7BD3">
      <w:pPr>
        <w:spacing w:line="360" w:lineRule="auto"/>
        <w:ind w:left="567" w:hanging="567"/>
        <w:jc w:val="both"/>
        <w:rPr>
          <w:rtl/>
        </w:rPr>
      </w:pPr>
      <w:r>
        <w:rPr>
          <w:rtl/>
        </w:rPr>
        <w:tab/>
      </w:r>
      <w:r>
        <w:rPr>
          <w:rFonts w:hint="cs"/>
          <w:rtl/>
        </w:rPr>
        <w:t xml:space="preserve">הלכה היא כי לרשויות התביעה מסור שיקול דעת רחב בכל הנוגע לנקיטת הליכים פליליים, לרבות החלטה על הסדר טיעון ובית המשפט יימנע על פי רוב להתערב בהחלטותיהן של רשויות אלה, למעט במקרים חריגים. </w:t>
      </w:r>
    </w:p>
    <w:p w14:paraId="5E92E535" w14:textId="77777777" w:rsidR="00DF7BD3" w:rsidRDefault="00DF7BD3" w:rsidP="00DF7BD3">
      <w:pPr>
        <w:spacing w:line="360" w:lineRule="auto"/>
        <w:ind w:left="567" w:hanging="567"/>
        <w:jc w:val="both"/>
        <w:rPr>
          <w:rtl/>
        </w:rPr>
      </w:pPr>
    </w:p>
    <w:p w14:paraId="4470145F" w14:textId="77777777" w:rsidR="00DF7BD3" w:rsidRDefault="00DF7BD3" w:rsidP="00DF7BD3">
      <w:pPr>
        <w:spacing w:line="360" w:lineRule="auto"/>
        <w:ind w:left="567"/>
        <w:jc w:val="both"/>
        <w:rPr>
          <w:rtl/>
        </w:rPr>
      </w:pPr>
      <w:r>
        <w:rPr>
          <w:rFonts w:hint="cs"/>
          <w:rtl/>
        </w:rPr>
        <w:t>יפים לעניין זה דברי בית המשפט ב</w:t>
      </w:r>
      <w:hyperlink r:id="rId33" w:history="1">
        <w:r w:rsidR="008270B8" w:rsidRPr="008270B8">
          <w:rPr>
            <w:rStyle w:val="Hyperlink"/>
            <w:rFonts w:hint="eastAsia"/>
            <w:rtl/>
          </w:rPr>
          <w:t>בג</w:t>
        </w:r>
        <w:r w:rsidR="008270B8" w:rsidRPr="008270B8">
          <w:rPr>
            <w:rStyle w:val="Hyperlink"/>
            <w:rtl/>
          </w:rPr>
          <w:t>"ץ 6711/16</w:t>
        </w:r>
      </w:hyperlink>
      <w:r>
        <w:rPr>
          <w:rFonts w:hint="cs"/>
          <w:rtl/>
        </w:rPr>
        <w:t xml:space="preserve"> </w:t>
      </w:r>
      <w:r>
        <w:rPr>
          <w:rFonts w:hint="cs"/>
          <w:b/>
          <w:bCs/>
          <w:rtl/>
        </w:rPr>
        <w:t>מנשרוב נ' פרקליטות מחוז תל אביב</w:t>
      </w:r>
      <w:r>
        <w:rPr>
          <w:rFonts w:hint="cs"/>
          <w:rtl/>
        </w:rPr>
        <w:t xml:space="preserve"> (9.11.2016) שם נקבע כי:</w:t>
      </w:r>
    </w:p>
    <w:p w14:paraId="1ACA4C7E" w14:textId="77777777" w:rsidR="00DF7BD3" w:rsidRDefault="00DF7BD3" w:rsidP="00DF7BD3">
      <w:pPr>
        <w:spacing w:line="360" w:lineRule="auto"/>
        <w:ind w:left="567" w:hanging="567"/>
        <w:rPr>
          <w:rtl/>
        </w:rPr>
      </w:pPr>
    </w:p>
    <w:p w14:paraId="5DE5384A" w14:textId="77777777" w:rsidR="00DF7BD3" w:rsidRPr="00BF0DD2" w:rsidRDefault="00DF7BD3" w:rsidP="00DF7BD3">
      <w:pPr>
        <w:pStyle w:val="Quote"/>
        <w:rPr>
          <w:rtl/>
        </w:rPr>
      </w:pPr>
      <w:r w:rsidRPr="00BF0DD2">
        <w:rPr>
          <w:rFonts w:hint="cs"/>
          <w:rtl/>
        </w:rPr>
        <w:t>"</w:t>
      </w:r>
      <w:r w:rsidRPr="00BF0DD2">
        <w:rPr>
          <w:rtl/>
        </w:rPr>
        <w:t xml:space="preserve">הלכה ידועה היא מימים ימימה, עליה חזר בית משפט זה פעמים רבות, כי לרשויות התביעה מסור שיקול דעת רחב ביותר בכל הנוגע לנקיטת הליכים פליליים - בין החלטה על העמדה לדין ובין החלטה על סגירת תיק, מחוסר ראיות או בהעדר ענין לציבור - כמו גם באשר לניהול ההליך הפלילי, לרבות החלטה על הסדר טיעון. בית משפט זה אינו מחליף את שיקול דעתן של רשויות התביעה בשיקול דעתו-שלו, ולא ייטה להתערב בשיקול דעת זה אלא במקרים חריגים של החלטה משיקולים זרים או החלטה הלוקה בחוסר סבירות קיצוני או בעיוות מהותי. הלכה זו כוחה יפה לכל שלביו ומרכיביו של ההליך הפלילי (ראו למשל: </w:t>
      </w:r>
      <w:hyperlink r:id="rId34" w:history="1">
        <w:r w:rsidR="008270B8" w:rsidRPr="008270B8">
          <w:rPr>
            <w:rStyle w:val="Hyperlink"/>
            <w:rtl/>
          </w:rPr>
          <w:t>בג"ץ 1019/15</w:t>
        </w:r>
      </w:hyperlink>
      <w:r w:rsidRPr="00BF0DD2">
        <w:rPr>
          <w:rtl/>
        </w:rPr>
        <w:t xml:space="preserve"> פלוני נ' פרקליטות מחוז תל אביב [פורסם בנבו] (14.7.2015); </w:t>
      </w:r>
      <w:hyperlink r:id="rId35" w:history="1">
        <w:r w:rsidR="008270B8" w:rsidRPr="008270B8">
          <w:rPr>
            <w:rStyle w:val="Hyperlink"/>
            <w:rtl/>
          </w:rPr>
          <w:t>בג"ץ 1844/14</w:t>
        </w:r>
      </w:hyperlink>
      <w:r w:rsidRPr="00BF0DD2">
        <w:rPr>
          <w:rtl/>
        </w:rPr>
        <w:t xml:space="preserve"> התנועה למען איכות השלטון נ' פרקליט המדינה [פורסם בנבו] (25.3.2014), להלן: ענין התנועה לאיכות השלטון; </w:t>
      </w:r>
      <w:hyperlink r:id="rId36" w:history="1">
        <w:r w:rsidR="008270B8" w:rsidRPr="008270B8">
          <w:rPr>
            <w:rStyle w:val="Hyperlink"/>
            <w:rtl/>
          </w:rPr>
          <w:t>בג"ץ 2652/15</w:t>
        </w:r>
      </w:hyperlink>
      <w:r w:rsidRPr="00BF0DD2">
        <w:rPr>
          <w:rtl/>
        </w:rPr>
        <w:t xml:space="preserve"> מנדלבליט נ' היועץ המשפטי לממשלה [פורסם בנבו] (17.5.2015); </w:t>
      </w:r>
      <w:hyperlink r:id="rId37" w:history="1">
        <w:r w:rsidR="008270B8" w:rsidRPr="008270B8">
          <w:rPr>
            <w:rStyle w:val="Hyperlink"/>
            <w:rtl/>
          </w:rPr>
          <w:t>בג"ץ 626/14</w:t>
        </w:r>
      </w:hyperlink>
      <w:r w:rsidRPr="00BF0DD2">
        <w:rPr>
          <w:rtl/>
        </w:rPr>
        <w:t xml:space="preserve"> רויטמן נ' מדינת ישראל [פורסם בנבו] (14.1.2015); </w:t>
      </w:r>
      <w:hyperlink r:id="rId38" w:history="1">
        <w:r w:rsidR="008270B8" w:rsidRPr="008270B8">
          <w:rPr>
            <w:rStyle w:val="Hyperlink"/>
            <w:rtl/>
          </w:rPr>
          <w:t>בג"ץ 8150/13</w:t>
        </w:r>
      </w:hyperlink>
      <w:r w:rsidRPr="00BF0DD2">
        <w:rPr>
          <w:rtl/>
        </w:rPr>
        <w:t xml:space="preserve"> כרסנטי נ' פרקליטות המדינה [פורסם בנבו] (6.8.2014); </w:t>
      </w:r>
      <w:hyperlink r:id="rId39" w:history="1">
        <w:r w:rsidR="008270B8" w:rsidRPr="008270B8">
          <w:rPr>
            <w:rStyle w:val="Hyperlink"/>
            <w:rtl/>
          </w:rPr>
          <w:t>בג"ץ 4395/12</w:t>
        </w:r>
      </w:hyperlink>
      <w:r w:rsidRPr="00BF0DD2">
        <w:rPr>
          <w:rtl/>
        </w:rPr>
        <w:t xml:space="preserve"> כהן נ' פרקליטות מחוז מרכז [פורסם בנבו] (15.11.2012); </w:t>
      </w:r>
      <w:hyperlink r:id="rId40" w:history="1">
        <w:r w:rsidR="008270B8" w:rsidRPr="008270B8">
          <w:rPr>
            <w:rStyle w:val="Hyperlink"/>
            <w:rtl/>
          </w:rPr>
          <w:t>בג"ץ 9733/11</w:t>
        </w:r>
      </w:hyperlink>
      <w:r w:rsidRPr="00BF0DD2">
        <w:rPr>
          <w:rtl/>
        </w:rPr>
        <w:t xml:space="preserve"> ח"כ בן ארי נ' היועץ המשפטי לממשלה [פורסם בנבו] (23.12.13); </w:t>
      </w:r>
      <w:hyperlink r:id="rId41" w:history="1">
        <w:r w:rsidR="008270B8" w:rsidRPr="008270B8">
          <w:rPr>
            <w:rStyle w:val="Hyperlink"/>
            <w:rtl/>
          </w:rPr>
          <w:t>בג"ץ 11221/05</w:t>
        </w:r>
      </w:hyperlink>
      <w:r w:rsidRPr="00BF0DD2">
        <w:rPr>
          <w:rtl/>
        </w:rPr>
        <w:t xml:space="preserve"> נאסר נ' היועץ המשפטי לממשלה [פורסם בנבו] (19.4.2007); </w:t>
      </w:r>
      <w:r w:rsidRPr="008270B8">
        <w:rPr>
          <w:color w:val="000000"/>
          <w:rtl/>
        </w:rPr>
        <w:t>בג"ץ 8722/05</w:t>
      </w:r>
      <w:r w:rsidRPr="00BF0DD2">
        <w:rPr>
          <w:rtl/>
        </w:rPr>
        <w:t xml:space="preserve">‏ ‏קיקיס נ' הרמטכ"ל, [פורסם בנבו] (23.2.2006); </w:t>
      </w:r>
      <w:hyperlink r:id="rId42" w:history="1">
        <w:r w:rsidR="008270B8" w:rsidRPr="008270B8">
          <w:rPr>
            <w:rStyle w:val="Hyperlink"/>
            <w:rtl/>
          </w:rPr>
          <w:t>בג"ץ 8643/04</w:t>
        </w:r>
      </w:hyperlink>
      <w:r w:rsidRPr="00BF0DD2">
        <w:rPr>
          <w:rtl/>
        </w:rPr>
        <w:t xml:space="preserve"> אורן נ' משטרת ישראל [פורסם בנבו] (22.12.2004); </w:t>
      </w:r>
      <w:bookmarkStart w:id="8" w:name="Text1"/>
      <w:r w:rsidR="008270B8" w:rsidRPr="008270B8">
        <w:rPr>
          <w:color w:val="0000FF"/>
          <w:u w:val="single"/>
          <w:rtl/>
        </w:rPr>
        <w:fldChar w:fldCharType="begin"/>
      </w:r>
      <w:r w:rsidR="008270B8" w:rsidRPr="008270B8">
        <w:rPr>
          <w:color w:val="0000FF"/>
          <w:u w:val="single"/>
          <w:rtl/>
        </w:rPr>
        <w:instrText xml:space="preserve"> </w:instrText>
      </w:r>
      <w:r w:rsidR="008270B8" w:rsidRPr="008270B8">
        <w:rPr>
          <w:color w:val="0000FF"/>
          <w:u w:val="single"/>
        </w:rPr>
        <w:instrText>HYPERLINK</w:instrText>
      </w:r>
      <w:r w:rsidR="008270B8" w:rsidRPr="008270B8">
        <w:rPr>
          <w:color w:val="0000FF"/>
          <w:u w:val="single"/>
          <w:rtl/>
        </w:rPr>
        <w:instrText xml:space="preserve"> "</w:instrText>
      </w:r>
      <w:r w:rsidR="008270B8" w:rsidRPr="008270B8">
        <w:rPr>
          <w:color w:val="0000FF"/>
          <w:u w:val="single"/>
        </w:rPr>
        <w:instrText>http://www.nevo.co.il/case/6085751</w:instrText>
      </w:r>
      <w:r w:rsidR="008270B8" w:rsidRPr="008270B8">
        <w:rPr>
          <w:color w:val="0000FF"/>
          <w:u w:val="single"/>
          <w:rtl/>
        </w:rPr>
        <w:instrText xml:space="preserve">" </w:instrText>
      </w:r>
      <w:r w:rsidR="008270B8" w:rsidRPr="008270B8">
        <w:rPr>
          <w:color w:val="0000FF"/>
          <w:u w:val="single"/>
        </w:rPr>
      </w:r>
      <w:r w:rsidR="008270B8" w:rsidRPr="008270B8">
        <w:rPr>
          <w:color w:val="0000FF"/>
          <w:u w:val="single"/>
          <w:rtl/>
        </w:rPr>
        <w:fldChar w:fldCharType="separate"/>
      </w:r>
      <w:r w:rsidR="008270B8" w:rsidRPr="008270B8">
        <w:rPr>
          <w:rStyle w:val="Hyperlink"/>
          <w:rtl/>
        </w:rPr>
        <w:t>בג"ץ 6841/06</w:t>
      </w:r>
      <w:r w:rsidR="008270B8" w:rsidRPr="008270B8">
        <w:rPr>
          <w:color w:val="0000FF"/>
          <w:u w:val="single"/>
          <w:rtl/>
        </w:rPr>
        <w:fldChar w:fldCharType="end"/>
      </w:r>
      <w:r w:rsidRPr="00BF0DD2">
        <w:rPr>
          <w:rtl/>
        </w:rPr>
        <w:t xml:space="preserve"> </w:t>
      </w:r>
      <w:bookmarkEnd w:id="8"/>
      <w:r w:rsidRPr="00BF0DD2">
        <w:rPr>
          <w:rtl/>
        </w:rPr>
        <w:t xml:space="preserve">עזבון כהן נ' בית המשפט העליון [פורסם בנבו] (14.6.2007); </w:t>
      </w:r>
      <w:hyperlink r:id="rId43" w:history="1">
        <w:r w:rsidR="008270B8" w:rsidRPr="008270B8">
          <w:rPr>
            <w:rStyle w:val="Hyperlink"/>
            <w:rtl/>
          </w:rPr>
          <w:t>בג"ץ 4550/94</w:t>
        </w:r>
      </w:hyperlink>
      <w:r w:rsidRPr="008270B8">
        <w:rPr>
          <w:color w:val="000000"/>
          <w:rtl/>
        </w:rPr>
        <w:t xml:space="preserve"> אישה נ' היועץ המשפטי לממשלה, פ''ד מט</w:t>
      </w:r>
      <w:r w:rsidRPr="00BF0DD2">
        <w:rPr>
          <w:rtl/>
        </w:rPr>
        <w:t>(5) 859 (1995), ועוד רבים זולתם)</w:t>
      </w:r>
      <w:r w:rsidRPr="00BF0DD2">
        <w:rPr>
          <w:rFonts w:hint="cs"/>
          <w:rtl/>
        </w:rPr>
        <w:t>"</w:t>
      </w:r>
      <w:r w:rsidRPr="00BF0DD2">
        <w:rPr>
          <w:rtl/>
        </w:rPr>
        <w:t>.</w:t>
      </w:r>
    </w:p>
    <w:p w14:paraId="3DAD69C4" w14:textId="77777777" w:rsidR="00DF7BD3" w:rsidRPr="00BF0DD2" w:rsidRDefault="00DF7BD3" w:rsidP="00DF7BD3">
      <w:pPr>
        <w:spacing w:line="360" w:lineRule="auto"/>
        <w:ind w:left="567" w:hanging="567"/>
        <w:rPr>
          <w:rtl/>
        </w:rPr>
      </w:pPr>
    </w:p>
    <w:p w14:paraId="40BF59D9" w14:textId="77777777" w:rsidR="00DF7BD3" w:rsidRDefault="00DF7BD3" w:rsidP="00DF7BD3">
      <w:pPr>
        <w:spacing w:line="360" w:lineRule="auto"/>
        <w:ind w:left="567" w:hanging="567"/>
        <w:jc w:val="both"/>
        <w:rPr>
          <w:rtl/>
        </w:rPr>
      </w:pPr>
      <w:r w:rsidRPr="00BF0DD2">
        <w:rPr>
          <w:rFonts w:hint="cs"/>
          <w:rtl/>
        </w:rPr>
        <w:t>13.</w:t>
      </w:r>
      <w:r w:rsidRPr="00BF0DD2">
        <w:rPr>
          <w:rFonts w:hint="cs"/>
          <w:rtl/>
        </w:rPr>
        <w:tab/>
        <w:t>על יס</w:t>
      </w:r>
      <w:r>
        <w:rPr>
          <w:rFonts w:hint="cs"/>
          <w:rtl/>
        </w:rPr>
        <w:t xml:space="preserve">וד מקבץ האמור, לא ראיתי, כאמור, לדחות את ההסדר. לנוכח רכיב המאסר בפועל הנוטה לקולא, ראיתי לקבוע פיצוי משמעותי למשפחת המנוח. </w:t>
      </w:r>
    </w:p>
    <w:p w14:paraId="07E6A4EA" w14:textId="77777777" w:rsidR="00DF7BD3" w:rsidRDefault="00DF7BD3" w:rsidP="00DF7BD3">
      <w:pPr>
        <w:spacing w:line="360" w:lineRule="auto"/>
        <w:ind w:left="567" w:hanging="567"/>
        <w:rPr>
          <w:rtl/>
        </w:rPr>
      </w:pPr>
    </w:p>
    <w:p w14:paraId="365158A2" w14:textId="77777777" w:rsidR="00DF7BD3" w:rsidRDefault="00DF7BD3" w:rsidP="00DF7BD3">
      <w:pPr>
        <w:spacing w:line="360" w:lineRule="auto"/>
        <w:ind w:left="567" w:hanging="567"/>
        <w:rPr>
          <w:rtl/>
        </w:rPr>
      </w:pPr>
    </w:p>
    <w:p w14:paraId="69C21E75" w14:textId="77777777" w:rsidR="00DF7BD3" w:rsidRDefault="00DF7BD3" w:rsidP="00DF7BD3">
      <w:pPr>
        <w:spacing w:line="360" w:lineRule="auto"/>
        <w:ind w:left="567" w:hanging="567"/>
        <w:rPr>
          <w:rtl/>
        </w:rPr>
      </w:pPr>
    </w:p>
    <w:p w14:paraId="57176603" w14:textId="77777777" w:rsidR="00DF7BD3" w:rsidRDefault="00DF7BD3" w:rsidP="00DF7BD3">
      <w:pPr>
        <w:spacing w:line="360" w:lineRule="auto"/>
        <w:ind w:left="567" w:hanging="567"/>
        <w:rPr>
          <w:rtl/>
        </w:rPr>
      </w:pPr>
    </w:p>
    <w:p w14:paraId="37B1766E" w14:textId="77777777" w:rsidR="00DF7BD3" w:rsidRDefault="00DF7BD3" w:rsidP="00DF7BD3">
      <w:pPr>
        <w:spacing w:line="360" w:lineRule="auto"/>
        <w:ind w:left="567" w:hanging="567"/>
        <w:rPr>
          <w:rtl/>
        </w:rPr>
      </w:pPr>
    </w:p>
    <w:p w14:paraId="2E191EAC" w14:textId="77777777" w:rsidR="00DF7BD3" w:rsidRDefault="00DF7BD3" w:rsidP="00DF7BD3">
      <w:pPr>
        <w:spacing w:line="360" w:lineRule="auto"/>
        <w:ind w:left="567" w:hanging="567"/>
        <w:rPr>
          <w:rtl/>
        </w:rPr>
      </w:pPr>
    </w:p>
    <w:p w14:paraId="14BA759E" w14:textId="77777777" w:rsidR="00DF7BD3" w:rsidRDefault="00DF7BD3" w:rsidP="00DF7BD3">
      <w:pPr>
        <w:spacing w:line="360" w:lineRule="auto"/>
        <w:ind w:left="567" w:hanging="567"/>
        <w:rPr>
          <w:rtl/>
        </w:rPr>
      </w:pPr>
    </w:p>
    <w:p w14:paraId="503EECAA" w14:textId="77777777" w:rsidR="00DF7BD3" w:rsidRDefault="00DF7BD3" w:rsidP="00DF7BD3">
      <w:pPr>
        <w:spacing w:line="360" w:lineRule="auto"/>
        <w:ind w:left="567" w:hanging="567"/>
        <w:rPr>
          <w:rtl/>
        </w:rPr>
      </w:pPr>
      <w:r>
        <w:rPr>
          <w:rFonts w:hint="cs"/>
          <w:rtl/>
        </w:rPr>
        <w:t>14.</w:t>
      </w:r>
      <w:r>
        <w:rPr>
          <w:rFonts w:hint="cs"/>
          <w:rtl/>
        </w:rPr>
        <w:tab/>
        <w:t>לפיכך, אני גוזר על הנאשם את העונשים הבאים:</w:t>
      </w:r>
    </w:p>
    <w:p w14:paraId="190A0D6D" w14:textId="77777777" w:rsidR="00DF7BD3" w:rsidRDefault="00DF7BD3" w:rsidP="00DF7BD3">
      <w:pPr>
        <w:spacing w:line="360" w:lineRule="auto"/>
        <w:ind w:left="567" w:hanging="567"/>
        <w:rPr>
          <w:rtl/>
        </w:rPr>
      </w:pPr>
    </w:p>
    <w:p w14:paraId="31B1D601" w14:textId="77777777" w:rsidR="00DF7BD3" w:rsidRDefault="00DF7BD3" w:rsidP="00DF7BD3">
      <w:pPr>
        <w:spacing w:line="360" w:lineRule="auto"/>
        <w:ind w:left="1134" w:hanging="567"/>
        <w:jc w:val="both"/>
        <w:rPr>
          <w:rtl/>
        </w:rPr>
      </w:pPr>
      <w:r>
        <w:rPr>
          <w:rFonts w:hint="cs"/>
          <w:rtl/>
        </w:rPr>
        <w:t>א.</w:t>
      </w:r>
      <w:r>
        <w:rPr>
          <w:rFonts w:hint="cs"/>
          <w:rtl/>
        </w:rPr>
        <w:tab/>
        <w:t>4 שנות מאסר בפועל בניכוי ימי מעצרו בתיק זה מיום 30.6.15 ועד 1.2.16 ומיום 17.1.17 ועד היום.</w:t>
      </w:r>
    </w:p>
    <w:p w14:paraId="0E6BC22D" w14:textId="77777777" w:rsidR="00DF7BD3" w:rsidRDefault="00DF7BD3" w:rsidP="00DF7BD3">
      <w:pPr>
        <w:spacing w:line="360" w:lineRule="auto"/>
        <w:ind w:left="567" w:hanging="567"/>
      </w:pPr>
    </w:p>
    <w:p w14:paraId="5704FBB5" w14:textId="77777777" w:rsidR="00DF7BD3" w:rsidRDefault="00DF7BD3" w:rsidP="00DF7BD3">
      <w:pPr>
        <w:spacing w:line="360" w:lineRule="auto"/>
        <w:ind w:left="1134" w:hanging="567"/>
        <w:jc w:val="both"/>
        <w:rPr>
          <w:rtl/>
        </w:rPr>
      </w:pPr>
      <w:r>
        <w:rPr>
          <w:rFonts w:hint="cs"/>
          <w:rtl/>
        </w:rPr>
        <w:t>ב.</w:t>
      </w:r>
      <w:r>
        <w:rPr>
          <w:rFonts w:hint="cs"/>
          <w:rtl/>
        </w:rPr>
        <w:tab/>
        <w:t>אני מורה על הפעלת המאסר המותנה בן 12 חודשים שהוטל על הנאשם בתיק</w:t>
      </w:r>
      <w:r>
        <w:rPr>
          <w:rtl/>
        </w:rPr>
        <w:br/>
      </w:r>
      <w:hyperlink r:id="rId44" w:history="1">
        <w:r w:rsidR="00A57E5F" w:rsidRPr="00A57E5F">
          <w:rPr>
            <w:color w:val="0000FF"/>
            <w:u w:val="single"/>
            <w:rtl/>
          </w:rPr>
          <w:t xml:space="preserve">18216-08-12 </w:t>
        </w:r>
      </w:hyperlink>
      <w:r>
        <w:rPr>
          <w:rFonts w:hint="cs"/>
          <w:rtl/>
        </w:rPr>
        <w:t xml:space="preserve"> בבית המשפט המחוזי בחיפה, באופן שמחצית התקופה תהיה בחופף ומחציתה האחרת במצטבר לעונש שהוטל בגין תיק זה. בסה"כ ירצה הנאשם מאסר בפועל לתקופה של 4.5 שנים בניכוי ימי מעצרו בתיק זה.</w:t>
      </w:r>
    </w:p>
    <w:p w14:paraId="753933E7" w14:textId="77777777" w:rsidR="00DF7BD3" w:rsidRDefault="00DF7BD3" w:rsidP="00DF7BD3">
      <w:pPr>
        <w:spacing w:line="360" w:lineRule="auto"/>
        <w:ind w:left="1134" w:hanging="567"/>
        <w:jc w:val="both"/>
        <w:rPr>
          <w:rtl/>
        </w:rPr>
      </w:pPr>
    </w:p>
    <w:p w14:paraId="2E892D5D" w14:textId="77777777" w:rsidR="00DF7BD3" w:rsidRDefault="00DF7BD3" w:rsidP="00DF7BD3">
      <w:pPr>
        <w:spacing w:line="360" w:lineRule="auto"/>
        <w:ind w:left="1134" w:hanging="567"/>
        <w:jc w:val="both"/>
        <w:rPr>
          <w:rtl/>
        </w:rPr>
      </w:pPr>
      <w:r>
        <w:rPr>
          <w:rFonts w:hint="cs"/>
          <w:rtl/>
        </w:rPr>
        <w:t>ג.</w:t>
      </w:r>
      <w:r>
        <w:rPr>
          <w:rFonts w:hint="cs"/>
          <w:rtl/>
        </w:rPr>
        <w:tab/>
        <w:t>12 חודשי מאסר על תנאי לבל יעבור משך שלוש שנים ממועד שחרורו עבירת אלימות מסוג פשע ויורשע בגינה.</w:t>
      </w:r>
    </w:p>
    <w:p w14:paraId="5F9E19C8" w14:textId="77777777" w:rsidR="00DF7BD3" w:rsidRDefault="00DF7BD3" w:rsidP="00DF7BD3">
      <w:pPr>
        <w:spacing w:line="360" w:lineRule="auto"/>
        <w:ind w:left="1134" w:hanging="567"/>
        <w:jc w:val="both"/>
        <w:rPr>
          <w:rtl/>
        </w:rPr>
      </w:pPr>
    </w:p>
    <w:p w14:paraId="4F4FF50F" w14:textId="77777777" w:rsidR="00DF7BD3" w:rsidRDefault="00DF7BD3" w:rsidP="00DF7BD3">
      <w:pPr>
        <w:spacing w:line="360" w:lineRule="auto"/>
        <w:ind w:left="1134" w:hanging="567"/>
        <w:jc w:val="both"/>
        <w:rPr>
          <w:rtl/>
        </w:rPr>
      </w:pPr>
      <w:r>
        <w:rPr>
          <w:rFonts w:hint="cs"/>
          <w:rtl/>
        </w:rPr>
        <w:t>ד.</w:t>
      </w:r>
      <w:r>
        <w:rPr>
          <w:rFonts w:hint="cs"/>
          <w:rtl/>
        </w:rPr>
        <w:tab/>
        <w:t>פיצוי למשפחת המנוח (אלמנתו וילדיו) בסך 60,000 ₪ שישולם תוך 90 יום מהיום.</w:t>
      </w:r>
    </w:p>
    <w:p w14:paraId="49790D66" w14:textId="77777777" w:rsidR="00DF7BD3" w:rsidRDefault="00DF7BD3" w:rsidP="00DF7BD3">
      <w:pPr>
        <w:spacing w:line="360" w:lineRule="auto"/>
        <w:ind w:left="1134" w:hanging="1134"/>
        <w:rPr>
          <w:rtl/>
        </w:rPr>
      </w:pPr>
    </w:p>
    <w:p w14:paraId="4403F0CC" w14:textId="77777777" w:rsidR="00DF7BD3" w:rsidRPr="00942604" w:rsidRDefault="00DF7BD3" w:rsidP="00DF7BD3">
      <w:pPr>
        <w:spacing w:line="360" w:lineRule="auto"/>
        <w:ind w:left="1134" w:hanging="1134"/>
        <w:rPr>
          <w:u w:val="single"/>
          <w:rtl/>
        </w:rPr>
      </w:pPr>
      <w:r w:rsidRPr="00942604">
        <w:rPr>
          <w:rFonts w:hint="cs"/>
          <w:u w:val="single"/>
          <w:rtl/>
        </w:rPr>
        <w:t>זכות ערעור לבית המשפט העליון תוך 45 יום.</w:t>
      </w:r>
    </w:p>
    <w:p w14:paraId="6639ADC8" w14:textId="77777777" w:rsidR="00DF7BD3" w:rsidRPr="00B05847" w:rsidRDefault="00DF7BD3" w:rsidP="00DF7BD3">
      <w:pPr>
        <w:spacing w:line="360" w:lineRule="auto"/>
        <w:rPr>
          <w:rtl/>
        </w:rPr>
      </w:pPr>
    </w:p>
    <w:p w14:paraId="4DCCAC2B" w14:textId="77777777" w:rsidR="00DF7BD3" w:rsidRPr="008270B8" w:rsidRDefault="008270B8" w:rsidP="00DF7BD3">
      <w:pPr>
        <w:spacing w:line="360" w:lineRule="auto"/>
        <w:rPr>
          <w:color w:val="FFFFFF"/>
          <w:sz w:val="2"/>
          <w:szCs w:val="2"/>
          <w:rtl/>
        </w:rPr>
      </w:pPr>
      <w:r w:rsidRPr="008270B8">
        <w:rPr>
          <w:color w:val="FFFFFF"/>
          <w:sz w:val="2"/>
          <w:szCs w:val="2"/>
          <w:rtl/>
        </w:rPr>
        <w:t>5129371</w:t>
      </w:r>
    </w:p>
    <w:p w14:paraId="3FF5D7A5" w14:textId="77777777" w:rsidR="00DF7BD3" w:rsidRDefault="008270B8" w:rsidP="00DF7BD3">
      <w:pPr>
        <w:spacing w:line="360" w:lineRule="auto"/>
        <w:rPr>
          <w:rFonts w:cs="FrankRuehl"/>
          <w:sz w:val="28"/>
          <w:szCs w:val="28"/>
          <w:rtl/>
        </w:rPr>
      </w:pPr>
      <w:r w:rsidRPr="008270B8">
        <w:rPr>
          <w:rFonts w:ascii="Arial" w:hAnsi="Arial"/>
          <w:color w:val="FFFFFF"/>
          <w:sz w:val="2"/>
          <w:szCs w:val="2"/>
          <w:rtl/>
        </w:rPr>
        <w:t>54678313</w:t>
      </w:r>
      <w:r>
        <w:rPr>
          <w:rFonts w:ascii="Arial" w:hAnsi="Arial"/>
          <w:rtl/>
        </w:rPr>
        <w:t xml:space="preserve">ניתן היום,  ח' אייר תשע"ז, 04 מאי 2017, בנוכחות הצדדים. </w:t>
      </w:r>
    </w:p>
    <w:p w14:paraId="555EAF9B" w14:textId="77777777" w:rsidR="00DF7BD3" w:rsidRDefault="00DF7BD3" w:rsidP="00DF7BD3">
      <w:pPr>
        <w:spacing w:line="360" w:lineRule="auto"/>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C839EE8" w14:textId="77777777" w:rsidR="00DF7BD3" w:rsidRDefault="00DF7BD3" w:rsidP="00DF7BD3">
      <w:pPr>
        <w:spacing w:line="360" w:lineRule="auto"/>
        <w:jc w:val="center"/>
        <w:rPr>
          <w:rFonts w:ascii="Arial" w:hAnsi="Arial" w:cs="FrankRuehl"/>
          <w:sz w:val="28"/>
          <w:szCs w:val="28"/>
          <w:rtl/>
        </w:rPr>
      </w:pPr>
    </w:p>
    <w:p w14:paraId="5073FCB4" w14:textId="77777777" w:rsidR="008270B8" w:rsidRDefault="008270B8" w:rsidP="008270B8">
      <w:pPr>
        <w:rPr>
          <w:rtl/>
        </w:rPr>
      </w:pPr>
    </w:p>
    <w:p w14:paraId="0CB257BE" w14:textId="77777777" w:rsidR="008270B8" w:rsidRDefault="008270B8" w:rsidP="008270B8">
      <w:pPr>
        <w:jc w:val="center"/>
        <w:rPr>
          <w:color w:val="0000FF"/>
          <w:u w:val="single"/>
          <w:rtl/>
        </w:rPr>
      </w:pPr>
      <w:hyperlink r:id="rId45" w:history="1">
        <w:r>
          <w:rPr>
            <w:rStyle w:val="Hyperlink"/>
            <w:rtl/>
          </w:rPr>
          <w:t>בעניין עריכה ושינויים במסמכי פסיקה, חקיקה ועוד באתר נבו – הקש כאן</w:t>
        </w:r>
      </w:hyperlink>
      <w:r w:rsidR="00A57E5F">
        <w:rPr>
          <w:rFonts w:hint="cs"/>
          <w:color w:val="0000FF"/>
          <w:u w:val="single"/>
          <w:rtl/>
        </w:rPr>
        <w:t xml:space="preserve"> </w:t>
      </w:r>
    </w:p>
    <w:p w14:paraId="30DCB90A" w14:textId="77777777" w:rsidR="00BB2403" w:rsidRPr="00BB2403" w:rsidRDefault="00BB2403" w:rsidP="00BB2403">
      <w:pPr>
        <w:keepNext/>
        <w:rPr>
          <w:rFonts w:ascii="David" w:hAnsi="David"/>
          <w:color w:val="000000"/>
          <w:sz w:val="22"/>
          <w:szCs w:val="22"/>
          <w:rtl/>
        </w:rPr>
      </w:pPr>
    </w:p>
    <w:p w14:paraId="1EB38422" w14:textId="77777777" w:rsidR="00BB2403" w:rsidRPr="00BB2403" w:rsidRDefault="00BB2403" w:rsidP="00BB2403">
      <w:pPr>
        <w:keepNext/>
        <w:rPr>
          <w:rFonts w:ascii="David" w:hAnsi="David"/>
          <w:color w:val="000000"/>
          <w:sz w:val="22"/>
          <w:szCs w:val="22"/>
          <w:rtl/>
        </w:rPr>
      </w:pPr>
      <w:r w:rsidRPr="00BB2403">
        <w:rPr>
          <w:rFonts w:ascii="David" w:hAnsi="David"/>
          <w:color w:val="000000"/>
          <w:sz w:val="22"/>
          <w:szCs w:val="22"/>
          <w:rtl/>
        </w:rPr>
        <w:t>אמיר טובי 54678313-/</w:t>
      </w:r>
    </w:p>
    <w:p w14:paraId="67E0DB79" w14:textId="77777777" w:rsidR="00DF27D7" w:rsidRPr="008270B8" w:rsidRDefault="00BB2403" w:rsidP="00BB2403">
      <w:pPr>
        <w:rPr>
          <w:color w:val="0000FF"/>
          <w:u w:val="single"/>
        </w:rPr>
      </w:pPr>
      <w:r w:rsidRPr="00BB2403">
        <w:rPr>
          <w:color w:val="000000"/>
          <w:u w:val="single"/>
          <w:rtl/>
        </w:rPr>
        <w:t>נוסח מסמך זה כפוף לשינויי ניסוח ועריכה</w:t>
      </w:r>
    </w:p>
    <w:sectPr w:rsidR="00DF27D7" w:rsidRPr="008270B8" w:rsidSect="00BB2403">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EFCF1" w14:textId="77777777" w:rsidR="005A3A8F" w:rsidRDefault="005A3A8F">
      <w:r>
        <w:separator/>
      </w:r>
    </w:p>
  </w:endnote>
  <w:endnote w:type="continuationSeparator" w:id="0">
    <w:p w14:paraId="5ED98439" w14:textId="77777777" w:rsidR="005A3A8F" w:rsidRDefault="005A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B233C" w14:textId="77777777" w:rsidR="00BB2403" w:rsidRDefault="00BB2403" w:rsidP="00BB240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A373E3" w14:textId="77777777" w:rsidR="008270B8" w:rsidRPr="00BB2403" w:rsidRDefault="00BB2403" w:rsidP="00BB2403">
    <w:pPr>
      <w:pStyle w:val="a5"/>
      <w:pBdr>
        <w:top w:val="single" w:sz="4" w:space="1" w:color="auto"/>
        <w:between w:val="single" w:sz="4" w:space="0" w:color="auto"/>
      </w:pBdr>
      <w:spacing w:after="60"/>
      <w:jc w:val="center"/>
      <w:rPr>
        <w:rFonts w:ascii="FrankRuehl" w:hAnsi="FrankRuehl" w:cs="FrankRuehl"/>
        <w:color w:val="000000"/>
      </w:rPr>
    </w:pPr>
    <w:r w:rsidRPr="00BB240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936E4" w14:textId="77777777" w:rsidR="00BB2403" w:rsidRDefault="00BB2403" w:rsidP="00BB240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2E8C">
      <w:rPr>
        <w:rFonts w:ascii="FrankRuehl" w:hAnsi="FrankRuehl" w:cs="FrankRuehl"/>
        <w:noProof/>
        <w:rtl/>
      </w:rPr>
      <w:t>1</w:t>
    </w:r>
    <w:r>
      <w:rPr>
        <w:rFonts w:ascii="FrankRuehl" w:hAnsi="FrankRuehl" w:cs="FrankRuehl"/>
        <w:rtl/>
      </w:rPr>
      <w:fldChar w:fldCharType="end"/>
    </w:r>
  </w:p>
  <w:p w14:paraId="35BB8466" w14:textId="77777777" w:rsidR="008270B8" w:rsidRPr="00BB2403" w:rsidRDefault="00BB2403" w:rsidP="00BB2403">
    <w:pPr>
      <w:pStyle w:val="a5"/>
      <w:pBdr>
        <w:top w:val="single" w:sz="4" w:space="1" w:color="auto"/>
        <w:between w:val="single" w:sz="4" w:space="0" w:color="auto"/>
      </w:pBdr>
      <w:spacing w:after="60"/>
      <w:jc w:val="center"/>
      <w:rPr>
        <w:rFonts w:ascii="FrankRuehl" w:hAnsi="FrankRuehl" w:cs="FrankRuehl"/>
        <w:color w:val="000000"/>
      </w:rPr>
    </w:pPr>
    <w:r w:rsidRPr="00BB2403">
      <w:rPr>
        <w:rFonts w:ascii="FrankRuehl" w:hAnsi="FrankRuehl" w:cs="FrankRuehl"/>
        <w:color w:val="000000"/>
      </w:rPr>
      <w:pict w14:anchorId="5C6F6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54FFC" w14:textId="77777777" w:rsidR="005A3A8F" w:rsidRDefault="005A3A8F">
      <w:r>
        <w:separator/>
      </w:r>
    </w:p>
  </w:footnote>
  <w:footnote w:type="continuationSeparator" w:id="0">
    <w:p w14:paraId="2E55A5F0" w14:textId="77777777" w:rsidR="005A3A8F" w:rsidRDefault="005A3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1E9F3" w14:textId="77777777" w:rsidR="008270B8" w:rsidRPr="00BB2403" w:rsidRDefault="00BB2403" w:rsidP="00BB240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53084-08-15</w:t>
    </w:r>
    <w:r>
      <w:rPr>
        <w:rFonts w:ascii="David" w:hAnsi="David"/>
        <w:color w:val="000000"/>
        <w:sz w:val="22"/>
        <w:szCs w:val="22"/>
        <w:rtl/>
      </w:rPr>
      <w:tab/>
      <w:t xml:space="preserve"> מדינת ישראל נ' עלי יאסין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44230" w14:textId="77777777" w:rsidR="008270B8" w:rsidRPr="00BB2403" w:rsidRDefault="00BB2403" w:rsidP="00BB240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53084-08-15</w:t>
    </w:r>
    <w:r>
      <w:rPr>
        <w:rFonts w:ascii="David" w:hAnsi="David"/>
        <w:color w:val="000000"/>
        <w:sz w:val="22"/>
        <w:szCs w:val="22"/>
        <w:rtl/>
      </w:rPr>
      <w:tab/>
      <w:t xml:space="preserve"> מדינת ישראל נ' עלי יאסין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7BD3"/>
    <w:rsid w:val="00366B35"/>
    <w:rsid w:val="003C797D"/>
    <w:rsid w:val="005A3A8F"/>
    <w:rsid w:val="008270B8"/>
    <w:rsid w:val="009A0592"/>
    <w:rsid w:val="009A227D"/>
    <w:rsid w:val="00A371D1"/>
    <w:rsid w:val="00A57E5F"/>
    <w:rsid w:val="00BB0D7E"/>
    <w:rsid w:val="00BB2403"/>
    <w:rsid w:val="00C92E8C"/>
    <w:rsid w:val="00DF27D7"/>
    <w:rsid w:val="00DF7B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FA5F501"/>
  <w15:chartTrackingRefBased/>
  <w15:docId w15:val="{85796A56-E90B-4470-9132-26499E224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7BD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DF7BD3"/>
    <w:pPr>
      <w:tabs>
        <w:tab w:val="center" w:pos="4153"/>
        <w:tab w:val="right" w:pos="8306"/>
      </w:tabs>
    </w:pPr>
  </w:style>
  <w:style w:type="paragraph" w:styleId="a5">
    <w:name w:val="footer"/>
    <w:basedOn w:val="a"/>
    <w:rsid w:val="00DF7BD3"/>
    <w:pPr>
      <w:tabs>
        <w:tab w:val="center" w:pos="4153"/>
        <w:tab w:val="right" w:pos="8306"/>
      </w:tabs>
    </w:pPr>
  </w:style>
  <w:style w:type="character" w:styleId="a6">
    <w:name w:val="page number"/>
    <w:basedOn w:val="a0"/>
    <w:rsid w:val="00DF7BD3"/>
  </w:style>
  <w:style w:type="paragraph" w:customStyle="1" w:styleId="12">
    <w:name w:val="רגיל + ‏12 נק'"/>
    <w:aliases w:val="מיושר לשני הצדדים,מרווח בין שורות:  שורה וחצי"/>
    <w:basedOn w:val="a"/>
    <w:rsid w:val="00DF7BD3"/>
    <w:rPr>
      <w:b/>
      <w:bCs/>
      <w:u w:val="single"/>
    </w:rPr>
  </w:style>
  <w:style w:type="character" w:customStyle="1" w:styleId="TimesNewRomanTimesNewRoman">
    <w:name w:val="סגנון (לטיני) Times New Roman (עברית ושפות אחרות) Times New Roman..."/>
    <w:rsid w:val="00DF7BD3"/>
    <w:rPr>
      <w:rFonts w:ascii="Times New Roman" w:hAnsi="Times New Roman" w:cs="David" w:hint="default"/>
      <w:b/>
      <w:bCs/>
      <w:sz w:val="26"/>
      <w:szCs w:val="26"/>
    </w:rPr>
  </w:style>
  <w:style w:type="character" w:customStyle="1" w:styleId="a4">
    <w:name w:val="כותרת עליונה תו"/>
    <w:link w:val="a3"/>
    <w:rsid w:val="00DF7BD3"/>
    <w:rPr>
      <w:rFonts w:cs="David"/>
      <w:sz w:val="24"/>
      <w:szCs w:val="24"/>
      <w:lang w:val="en-US" w:eastAsia="en-US" w:bidi="he-IL"/>
    </w:rPr>
  </w:style>
  <w:style w:type="paragraph" w:customStyle="1" w:styleId="Quote">
    <w:name w:val="Quote"/>
    <w:basedOn w:val="a"/>
    <w:link w:val="QuoteChar"/>
    <w:autoRedefine/>
    <w:rsid w:val="00DF7BD3"/>
    <w:pPr>
      <w:tabs>
        <w:tab w:val="left" w:pos="567"/>
        <w:tab w:val="left" w:pos="1134"/>
        <w:tab w:val="left" w:pos="1701"/>
      </w:tabs>
      <w:spacing w:line="360" w:lineRule="auto"/>
      <w:ind w:left="1134" w:right="1134"/>
      <w:jc w:val="both"/>
    </w:pPr>
  </w:style>
  <w:style w:type="character" w:customStyle="1" w:styleId="QuoteChar">
    <w:name w:val="Quote Char"/>
    <w:link w:val="Quote"/>
    <w:rsid w:val="00DF7BD3"/>
    <w:rPr>
      <w:rFonts w:cs="David"/>
      <w:sz w:val="24"/>
      <w:szCs w:val="24"/>
      <w:lang w:val="en-US" w:eastAsia="en-US" w:bidi="he-IL"/>
    </w:rPr>
  </w:style>
  <w:style w:type="character" w:styleId="Hyperlink">
    <w:name w:val="Hyperlink"/>
    <w:rsid w:val="00DF7B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8"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6102366" TargetMode="External"/><Relationship Id="rId39" Type="http://schemas.openxmlformats.org/officeDocument/2006/relationships/hyperlink" Target="http://www.nevo.co.il/case/5587407" TargetMode="External"/><Relationship Id="rId21" Type="http://schemas.openxmlformats.org/officeDocument/2006/relationships/hyperlink" Target="http://www.nevo.co.il/law/70301/452" TargetMode="External"/><Relationship Id="rId34" Type="http://schemas.openxmlformats.org/officeDocument/2006/relationships/hyperlink" Target="http://www.nevo.co.il/case/20086003" TargetMode="External"/><Relationship Id="rId42" Type="http://schemas.openxmlformats.org/officeDocument/2006/relationships/hyperlink" Target="http://www.nevo.co.il/case/6134408"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31" TargetMode="External"/><Relationship Id="rId29" Type="http://schemas.openxmlformats.org/officeDocument/2006/relationships/hyperlink" Target="http://www.nevo.co.il/case/18654019" TargetMode="External"/><Relationship Id="rId11" Type="http://schemas.openxmlformats.org/officeDocument/2006/relationships/hyperlink" Target="http://www.nevo.co.il/law/70301/244" TargetMode="External"/><Relationship Id="rId24" Type="http://schemas.openxmlformats.org/officeDocument/2006/relationships/hyperlink" Target="http://www.nevo.co.il/law/70301/279" TargetMode="External"/><Relationship Id="rId32" Type="http://schemas.openxmlformats.org/officeDocument/2006/relationships/hyperlink" Target="http://www.nevo.co.il/case/6246245" TargetMode="External"/><Relationship Id="rId37" Type="http://schemas.openxmlformats.org/officeDocument/2006/relationships/hyperlink" Target="http://www.nevo.co.il/case/11270389" TargetMode="External"/><Relationship Id="rId40" Type="http://schemas.openxmlformats.org/officeDocument/2006/relationships/hyperlink" Target="http://www.nevo.co.il/case/5614353"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298" TargetMode="External"/><Relationship Id="rId23" Type="http://schemas.openxmlformats.org/officeDocument/2006/relationships/hyperlink" Target="http://www.nevo.co.il/law/70301/244" TargetMode="External"/><Relationship Id="rId28" Type="http://schemas.openxmlformats.org/officeDocument/2006/relationships/hyperlink" Target="http://www.nevo.co.il/case/13022252" TargetMode="External"/><Relationship Id="rId36" Type="http://schemas.openxmlformats.org/officeDocument/2006/relationships/hyperlink" Target="http://www.nevo.co.il/case/20201040" TargetMode="External"/><Relationship Id="rId49"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law/70301/44.b" TargetMode="External"/><Relationship Id="rId31" Type="http://schemas.openxmlformats.org/officeDocument/2006/relationships/hyperlink" Target="http://www.nevo.co.il/case/17948120" TargetMode="External"/><Relationship Id="rId44" Type="http://schemas.openxmlformats.org/officeDocument/2006/relationships/hyperlink" Target="http://www.nevo.co.il/case/4786229" TargetMode="External"/><Relationship Id="rId4" Type="http://schemas.openxmlformats.org/officeDocument/2006/relationships/footnotes" Target="footnotes.xml"/><Relationship Id="rId9" Type="http://schemas.openxmlformats.org/officeDocument/2006/relationships/hyperlink" Target="http://www.nevo.co.il/law/70301/44.b" TargetMode="External"/><Relationship Id="rId14" Type="http://schemas.openxmlformats.org/officeDocument/2006/relationships/hyperlink" Target="http://www.nevo.co.il/law/70301/452" TargetMode="External"/><Relationship Id="rId22" Type="http://schemas.openxmlformats.org/officeDocument/2006/relationships/hyperlink" Target="http://www.nevo.co.il/law/70301/29" TargetMode="External"/><Relationship Id="rId27" Type="http://schemas.openxmlformats.org/officeDocument/2006/relationships/hyperlink" Target="http://www.nevo.co.il/case/5699762" TargetMode="External"/><Relationship Id="rId30" Type="http://schemas.openxmlformats.org/officeDocument/2006/relationships/hyperlink" Target="http://www.nevo.co.il/case/487312" TargetMode="External"/><Relationship Id="rId35" Type="http://schemas.openxmlformats.org/officeDocument/2006/relationships/hyperlink" Target="http://www.nevo.co.il/case/13045124" TargetMode="External"/><Relationship Id="rId43" Type="http://schemas.openxmlformats.org/officeDocument/2006/relationships/hyperlink" Target="http://www.nevo.co.il/case/17923625" TargetMode="External"/><Relationship Id="rId48" Type="http://schemas.openxmlformats.org/officeDocument/2006/relationships/footer" Target="footer1.xml"/><Relationship Id="rId8" Type="http://schemas.openxmlformats.org/officeDocument/2006/relationships/hyperlink" Target="http://www.nevo.co.il/law/70301/31"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279"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030667" TargetMode="External"/><Relationship Id="rId33" Type="http://schemas.openxmlformats.org/officeDocument/2006/relationships/hyperlink" Target="http://www.nevo.co.il/case/21478673" TargetMode="External"/><Relationship Id="rId38" Type="http://schemas.openxmlformats.org/officeDocument/2006/relationships/hyperlink" Target="http://www.nevo.co.il/case/10490432" TargetMode="External"/><Relationship Id="rId46" Type="http://schemas.openxmlformats.org/officeDocument/2006/relationships/header" Target="header1.xml"/><Relationship Id="rId20" Type="http://schemas.openxmlformats.org/officeDocument/2006/relationships/hyperlink" Target="http://www.nevo.co.il/law/70301/29" TargetMode="External"/><Relationship Id="rId41" Type="http://schemas.openxmlformats.org/officeDocument/2006/relationships/hyperlink" Target="http://www.nevo.co.il/case/5946916"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2334</Words>
  <Characters>11675</Characters>
  <Application>Microsoft Office Word</Application>
  <DocSecurity>0</DocSecurity>
  <Lines>97</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13982</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3604599</vt:i4>
      </vt:variant>
      <vt:variant>
        <vt:i4>117</vt:i4>
      </vt:variant>
      <vt:variant>
        <vt:i4>0</vt:i4>
      </vt:variant>
      <vt:variant>
        <vt:i4>5</vt:i4>
      </vt:variant>
      <vt:variant>
        <vt:lpwstr>http://www.nevo.co.il/case/4786229</vt:lpwstr>
      </vt:variant>
      <vt:variant>
        <vt:lpwstr/>
      </vt:variant>
      <vt:variant>
        <vt:i4>3735671</vt:i4>
      </vt:variant>
      <vt:variant>
        <vt:i4>114</vt:i4>
      </vt:variant>
      <vt:variant>
        <vt:i4>0</vt:i4>
      </vt:variant>
      <vt:variant>
        <vt:i4>5</vt:i4>
      </vt:variant>
      <vt:variant>
        <vt:lpwstr>http://www.nevo.co.il/case/17923625</vt:lpwstr>
      </vt:variant>
      <vt:variant>
        <vt:lpwstr/>
      </vt:variant>
      <vt:variant>
        <vt:i4>3670132</vt:i4>
      </vt:variant>
      <vt:variant>
        <vt:i4>111</vt:i4>
      </vt:variant>
      <vt:variant>
        <vt:i4>0</vt:i4>
      </vt:variant>
      <vt:variant>
        <vt:i4>5</vt:i4>
      </vt:variant>
      <vt:variant>
        <vt:lpwstr>http://www.nevo.co.il/case/6085751</vt:lpwstr>
      </vt:variant>
      <vt:variant>
        <vt:lpwstr/>
      </vt:variant>
      <vt:variant>
        <vt:i4>3735665</vt:i4>
      </vt:variant>
      <vt:variant>
        <vt:i4>108</vt:i4>
      </vt:variant>
      <vt:variant>
        <vt:i4>0</vt:i4>
      </vt:variant>
      <vt:variant>
        <vt:i4>5</vt:i4>
      </vt:variant>
      <vt:variant>
        <vt:lpwstr>http://www.nevo.co.il/case/6134408</vt:lpwstr>
      </vt:variant>
      <vt:variant>
        <vt:lpwstr/>
      </vt:variant>
      <vt:variant>
        <vt:i4>4063354</vt:i4>
      </vt:variant>
      <vt:variant>
        <vt:i4>105</vt:i4>
      </vt:variant>
      <vt:variant>
        <vt:i4>0</vt:i4>
      </vt:variant>
      <vt:variant>
        <vt:i4>5</vt:i4>
      </vt:variant>
      <vt:variant>
        <vt:lpwstr>http://www.nevo.co.il/case/5946916</vt:lpwstr>
      </vt:variant>
      <vt:variant>
        <vt:lpwstr/>
      </vt:variant>
      <vt:variant>
        <vt:i4>3407987</vt:i4>
      </vt:variant>
      <vt:variant>
        <vt:i4>102</vt:i4>
      </vt:variant>
      <vt:variant>
        <vt:i4>0</vt:i4>
      </vt:variant>
      <vt:variant>
        <vt:i4>5</vt:i4>
      </vt:variant>
      <vt:variant>
        <vt:lpwstr>http://www.nevo.co.il/case/5614353</vt:lpwstr>
      </vt:variant>
      <vt:variant>
        <vt:lpwstr/>
      </vt:variant>
      <vt:variant>
        <vt:i4>4063350</vt:i4>
      </vt:variant>
      <vt:variant>
        <vt:i4>99</vt:i4>
      </vt:variant>
      <vt:variant>
        <vt:i4>0</vt:i4>
      </vt:variant>
      <vt:variant>
        <vt:i4>5</vt:i4>
      </vt:variant>
      <vt:variant>
        <vt:lpwstr>http://www.nevo.co.il/case/5587407</vt:lpwstr>
      </vt:variant>
      <vt:variant>
        <vt:lpwstr/>
      </vt:variant>
      <vt:variant>
        <vt:i4>3539065</vt:i4>
      </vt:variant>
      <vt:variant>
        <vt:i4>96</vt:i4>
      </vt:variant>
      <vt:variant>
        <vt:i4>0</vt:i4>
      </vt:variant>
      <vt:variant>
        <vt:i4>5</vt:i4>
      </vt:variant>
      <vt:variant>
        <vt:lpwstr>http://www.nevo.co.il/case/10490432</vt:lpwstr>
      </vt:variant>
      <vt:variant>
        <vt:lpwstr/>
      </vt:variant>
      <vt:variant>
        <vt:i4>3866737</vt:i4>
      </vt:variant>
      <vt:variant>
        <vt:i4>93</vt:i4>
      </vt:variant>
      <vt:variant>
        <vt:i4>0</vt:i4>
      </vt:variant>
      <vt:variant>
        <vt:i4>5</vt:i4>
      </vt:variant>
      <vt:variant>
        <vt:lpwstr>http://www.nevo.co.il/case/11270389</vt:lpwstr>
      </vt:variant>
      <vt:variant>
        <vt:lpwstr/>
      </vt:variant>
      <vt:variant>
        <vt:i4>3473524</vt:i4>
      </vt:variant>
      <vt:variant>
        <vt:i4>90</vt:i4>
      </vt:variant>
      <vt:variant>
        <vt:i4>0</vt:i4>
      </vt:variant>
      <vt:variant>
        <vt:i4>5</vt:i4>
      </vt:variant>
      <vt:variant>
        <vt:lpwstr>http://www.nevo.co.il/case/20201040</vt:lpwstr>
      </vt:variant>
      <vt:variant>
        <vt:lpwstr/>
      </vt:variant>
      <vt:variant>
        <vt:i4>3539058</vt:i4>
      </vt:variant>
      <vt:variant>
        <vt:i4>87</vt:i4>
      </vt:variant>
      <vt:variant>
        <vt:i4>0</vt:i4>
      </vt:variant>
      <vt:variant>
        <vt:i4>5</vt:i4>
      </vt:variant>
      <vt:variant>
        <vt:lpwstr>http://www.nevo.co.il/case/13045124</vt:lpwstr>
      </vt:variant>
      <vt:variant>
        <vt:lpwstr/>
      </vt:variant>
      <vt:variant>
        <vt:i4>3407996</vt:i4>
      </vt:variant>
      <vt:variant>
        <vt:i4>84</vt:i4>
      </vt:variant>
      <vt:variant>
        <vt:i4>0</vt:i4>
      </vt:variant>
      <vt:variant>
        <vt:i4>5</vt:i4>
      </vt:variant>
      <vt:variant>
        <vt:lpwstr>http://www.nevo.co.il/case/20086003</vt:lpwstr>
      </vt:variant>
      <vt:variant>
        <vt:lpwstr/>
      </vt:variant>
      <vt:variant>
        <vt:i4>3735668</vt:i4>
      </vt:variant>
      <vt:variant>
        <vt:i4>81</vt:i4>
      </vt:variant>
      <vt:variant>
        <vt:i4>0</vt:i4>
      </vt:variant>
      <vt:variant>
        <vt:i4>5</vt:i4>
      </vt:variant>
      <vt:variant>
        <vt:lpwstr>http://www.nevo.co.il/case/21478673</vt:lpwstr>
      </vt:variant>
      <vt:variant>
        <vt:lpwstr/>
      </vt:variant>
      <vt:variant>
        <vt:i4>3473524</vt:i4>
      </vt:variant>
      <vt:variant>
        <vt:i4>78</vt:i4>
      </vt:variant>
      <vt:variant>
        <vt:i4>0</vt:i4>
      </vt:variant>
      <vt:variant>
        <vt:i4>5</vt:i4>
      </vt:variant>
      <vt:variant>
        <vt:lpwstr>http://www.nevo.co.il/case/6246245</vt:lpwstr>
      </vt:variant>
      <vt:variant>
        <vt:lpwstr/>
      </vt:variant>
      <vt:variant>
        <vt:i4>3276918</vt:i4>
      </vt:variant>
      <vt:variant>
        <vt:i4>75</vt:i4>
      </vt:variant>
      <vt:variant>
        <vt:i4>0</vt:i4>
      </vt:variant>
      <vt:variant>
        <vt:i4>5</vt:i4>
      </vt:variant>
      <vt:variant>
        <vt:lpwstr>http://www.nevo.co.il/case/17948120</vt:lpwstr>
      </vt:variant>
      <vt:variant>
        <vt:lpwstr/>
      </vt:variant>
      <vt:variant>
        <vt:i4>131151</vt:i4>
      </vt:variant>
      <vt:variant>
        <vt:i4>72</vt:i4>
      </vt:variant>
      <vt:variant>
        <vt:i4>0</vt:i4>
      </vt:variant>
      <vt:variant>
        <vt:i4>5</vt:i4>
      </vt:variant>
      <vt:variant>
        <vt:lpwstr>http://www.nevo.co.il/case/487312</vt:lpwstr>
      </vt:variant>
      <vt:variant>
        <vt:lpwstr/>
      </vt:variant>
      <vt:variant>
        <vt:i4>3276921</vt:i4>
      </vt:variant>
      <vt:variant>
        <vt:i4>69</vt:i4>
      </vt:variant>
      <vt:variant>
        <vt:i4>0</vt:i4>
      </vt:variant>
      <vt:variant>
        <vt:i4>5</vt:i4>
      </vt:variant>
      <vt:variant>
        <vt:lpwstr>http://www.nevo.co.il/case/18654019</vt:lpwstr>
      </vt:variant>
      <vt:variant>
        <vt:lpwstr/>
      </vt:variant>
      <vt:variant>
        <vt:i4>3539063</vt:i4>
      </vt:variant>
      <vt:variant>
        <vt:i4>66</vt:i4>
      </vt:variant>
      <vt:variant>
        <vt:i4>0</vt:i4>
      </vt:variant>
      <vt:variant>
        <vt:i4>5</vt:i4>
      </vt:variant>
      <vt:variant>
        <vt:lpwstr>http://www.nevo.co.il/case/13022252</vt:lpwstr>
      </vt:variant>
      <vt:variant>
        <vt:lpwstr/>
      </vt:variant>
      <vt:variant>
        <vt:i4>3735677</vt:i4>
      </vt:variant>
      <vt:variant>
        <vt:i4>63</vt:i4>
      </vt:variant>
      <vt:variant>
        <vt:i4>0</vt:i4>
      </vt:variant>
      <vt:variant>
        <vt:i4>5</vt:i4>
      </vt:variant>
      <vt:variant>
        <vt:lpwstr>http://www.nevo.co.il/case/5699762</vt:lpwstr>
      </vt:variant>
      <vt:variant>
        <vt:lpwstr/>
      </vt:variant>
      <vt:variant>
        <vt:i4>3342449</vt:i4>
      </vt:variant>
      <vt:variant>
        <vt:i4>60</vt:i4>
      </vt:variant>
      <vt:variant>
        <vt:i4>0</vt:i4>
      </vt:variant>
      <vt:variant>
        <vt:i4>5</vt:i4>
      </vt:variant>
      <vt:variant>
        <vt:lpwstr>http://www.nevo.co.il/case/6102366</vt:lpwstr>
      </vt:variant>
      <vt:variant>
        <vt:lpwstr/>
      </vt:variant>
      <vt:variant>
        <vt:i4>3407986</vt:i4>
      </vt:variant>
      <vt:variant>
        <vt:i4>57</vt:i4>
      </vt:variant>
      <vt:variant>
        <vt:i4>0</vt:i4>
      </vt:variant>
      <vt:variant>
        <vt:i4>5</vt:i4>
      </vt:variant>
      <vt:variant>
        <vt:lpwstr>http://www.nevo.co.il/case/6030667</vt:lpwstr>
      </vt:variant>
      <vt:variant>
        <vt:lpwstr/>
      </vt:variant>
      <vt:variant>
        <vt:i4>6422631</vt:i4>
      </vt:variant>
      <vt:variant>
        <vt:i4>54</vt:i4>
      </vt:variant>
      <vt:variant>
        <vt:i4>0</vt:i4>
      </vt:variant>
      <vt:variant>
        <vt:i4>5</vt:i4>
      </vt:variant>
      <vt:variant>
        <vt:lpwstr>http://www.nevo.co.il/law/70301/279</vt:lpwstr>
      </vt:variant>
      <vt:variant>
        <vt:lpwstr/>
      </vt:variant>
      <vt:variant>
        <vt:i4>6357095</vt:i4>
      </vt:variant>
      <vt:variant>
        <vt:i4>51</vt:i4>
      </vt:variant>
      <vt:variant>
        <vt:i4>0</vt:i4>
      </vt:variant>
      <vt:variant>
        <vt:i4>5</vt:i4>
      </vt:variant>
      <vt:variant>
        <vt:lpwstr>http://www.nevo.co.il/law/70301/244</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6291553</vt:i4>
      </vt:variant>
      <vt:variant>
        <vt:i4>45</vt:i4>
      </vt:variant>
      <vt:variant>
        <vt:i4>0</vt:i4>
      </vt:variant>
      <vt:variant>
        <vt:i4>5</vt:i4>
      </vt:variant>
      <vt:variant>
        <vt:lpwstr>http://www.nevo.co.il/law/70301/452</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196687</vt:i4>
      </vt:variant>
      <vt:variant>
        <vt:i4>39</vt:i4>
      </vt:variant>
      <vt:variant>
        <vt:i4>0</vt:i4>
      </vt:variant>
      <vt:variant>
        <vt:i4>5</vt:i4>
      </vt:variant>
      <vt:variant>
        <vt:lpwstr>http://www.nevo.co.il/law/70301/44.b</vt:lpwstr>
      </vt:variant>
      <vt:variant>
        <vt:lpwstr/>
      </vt:variant>
      <vt:variant>
        <vt:i4>5177424</vt:i4>
      </vt:variant>
      <vt:variant>
        <vt:i4>36</vt:i4>
      </vt:variant>
      <vt:variant>
        <vt:i4>0</vt:i4>
      </vt:variant>
      <vt:variant>
        <vt:i4>5</vt:i4>
      </vt:variant>
      <vt:variant>
        <vt:lpwstr>http://www.nevo.co.il/law/70301/144.a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7077991</vt:i4>
      </vt:variant>
      <vt:variant>
        <vt:i4>27</vt:i4>
      </vt:variant>
      <vt:variant>
        <vt:i4>0</vt:i4>
      </vt:variant>
      <vt:variant>
        <vt:i4>5</vt:i4>
      </vt:variant>
      <vt:variant>
        <vt:lpwstr>http://www.nevo.co.il/law/70301/298</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7077991</vt:i4>
      </vt:variant>
      <vt:variant>
        <vt:i4>21</vt:i4>
      </vt:variant>
      <vt:variant>
        <vt:i4>0</vt:i4>
      </vt:variant>
      <vt:variant>
        <vt:i4>5</vt:i4>
      </vt:variant>
      <vt:variant>
        <vt:lpwstr>http://www.nevo.co.il/law/70301/298</vt:lpwstr>
      </vt:variant>
      <vt:variant>
        <vt:lpwstr/>
      </vt:variant>
      <vt:variant>
        <vt:i4>6422631</vt:i4>
      </vt:variant>
      <vt:variant>
        <vt:i4>18</vt:i4>
      </vt:variant>
      <vt:variant>
        <vt:i4>0</vt:i4>
      </vt:variant>
      <vt:variant>
        <vt:i4>5</vt:i4>
      </vt:variant>
      <vt:variant>
        <vt:lpwstr>http://www.nevo.co.il/law/70301/279</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196687</vt:i4>
      </vt:variant>
      <vt:variant>
        <vt:i4>9</vt:i4>
      </vt:variant>
      <vt:variant>
        <vt:i4>0</vt:i4>
      </vt:variant>
      <vt:variant>
        <vt:i4>5</vt:i4>
      </vt:variant>
      <vt:variant>
        <vt:lpwstr>http://www.nevo.co.il/law/70301/44.b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2025-01-19T16:04:00Z</dcterms:created>
  <dcterms:modified xsi:type="dcterms:W3CDTF">2025-01-19T16:04:00Z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53084</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עלי יאסין</vt:lpwstr>
  </property>
  <property fmtid="{D5CDD505-2E9C-101B-9397-08002B2CF9AE}" pid="10" name="LAWYER">
    <vt:lpwstr>ענת שטיינשניד ;משה מרוז ;משה פלמור</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20170504</vt:lpwstr>
  </property>
  <property fmtid="{D5CDD505-2E9C-101B-9397-08002B2CF9AE}" pid="14" name="TYPE_N_DATE">
    <vt:lpwstr>39020170504</vt:lpwstr>
  </property>
  <property fmtid="{D5CDD505-2E9C-101B-9397-08002B2CF9AE}" pid="15" name="WORDNUMPAGES">
    <vt:lpwstr>7</vt:lpwstr>
  </property>
  <property fmtid="{D5CDD505-2E9C-101B-9397-08002B2CF9AE}" pid="16" name="TYPE_ABS_DATE">
    <vt:lpwstr>390020170504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6030667;6102366;5699762;13022252;18654019;487312;17948120;6246245;21478673;20086003;13045124;20201040;11270389;10490432;5587407;5614353;5946916;6134408;6085751;17923625;4786229</vt:lpwstr>
  </property>
  <property fmtid="{D5CDD505-2E9C-101B-9397-08002B2CF9AE}" pid="36" name="LAWLISTTMP1">
    <vt:lpwstr>70301/298;031;144.a;044.b;029:2;452;244;279</vt:lpwstr>
  </property>
</Properties>
</file>