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394"/>
        <w:gridCol w:w="4111"/>
      </w:tblGrid>
      <w:tr w:rsidR="00A70AB5" w:rsidRPr="00DF2BC8" w14:paraId="51273899" w14:textId="77777777" w:rsidTr="00DF2BC8">
        <w:trPr>
          <w:trHeight w:hRule="exact" w:val="418"/>
          <w:jc w:val="center"/>
        </w:trPr>
        <w:tc>
          <w:tcPr>
            <w:tcW w:w="8505" w:type="dxa"/>
            <w:gridSpan w:val="2"/>
          </w:tcPr>
          <w:p w14:paraId="0AE6BE82" w14:textId="77777777" w:rsidR="00A70AB5" w:rsidRPr="00DF2BC8" w:rsidRDefault="00A70AB5" w:rsidP="00DF2BC8">
            <w:pPr>
              <w:pStyle w:val="a3"/>
              <w:jc w:val="center"/>
              <w:rPr>
                <w:rFonts w:ascii="Tahoma" w:hAnsi="Tahoma" w:cs="Tahoma"/>
                <w:color w:val="000080"/>
                <w:rtl/>
              </w:rPr>
            </w:pPr>
            <w:r w:rsidRPr="00DF2BC8">
              <w:rPr>
                <w:rFonts w:ascii="Tahoma" w:hAnsi="Tahoma" w:cs="Tahoma"/>
                <w:b/>
                <w:bCs/>
                <w:color w:val="000080"/>
                <w:rtl/>
              </w:rPr>
              <w:t>בית המשפט המחוזי בירושלים</w:t>
            </w:r>
          </w:p>
        </w:tc>
      </w:tr>
      <w:tr w:rsidR="00A70AB5" w:rsidRPr="00DF2BC8" w14:paraId="50B680D7" w14:textId="77777777" w:rsidTr="00DF2BC8">
        <w:trPr>
          <w:trHeight w:val="290"/>
          <w:jc w:val="center"/>
        </w:trPr>
        <w:tc>
          <w:tcPr>
            <w:tcW w:w="4394" w:type="dxa"/>
          </w:tcPr>
          <w:p w14:paraId="68B32856" w14:textId="77777777" w:rsidR="00A70AB5" w:rsidRPr="00DF2BC8" w:rsidRDefault="00A70AB5" w:rsidP="00DF2BC8">
            <w:pPr>
              <w:rPr>
                <w:sz w:val="28"/>
                <w:szCs w:val="28"/>
                <w:rtl/>
              </w:rPr>
            </w:pPr>
            <w:r w:rsidRPr="00DF2BC8">
              <w:rPr>
                <w:rFonts w:hint="cs"/>
                <w:sz w:val="28"/>
                <w:szCs w:val="28"/>
                <w:rtl/>
              </w:rPr>
              <w:t>לפני כב' השופט אהרן פרקש, נשיא</w:t>
            </w:r>
          </w:p>
          <w:p w14:paraId="3C1F5484" w14:textId="77777777" w:rsidR="00A70AB5" w:rsidRPr="00DF2BC8" w:rsidRDefault="00A70AB5" w:rsidP="00DF2BC8">
            <w:pPr>
              <w:pStyle w:val="a3"/>
              <w:rPr>
                <w:sz w:val="26"/>
                <w:szCs w:val="26"/>
                <w:rtl/>
              </w:rPr>
            </w:pPr>
          </w:p>
        </w:tc>
        <w:tc>
          <w:tcPr>
            <w:tcW w:w="4111" w:type="dxa"/>
          </w:tcPr>
          <w:p w14:paraId="18FA2DAA" w14:textId="77777777" w:rsidR="00A70AB5" w:rsidRPr="00DF2BC8" w:rsidRDefault="00A70AB5" w:rsidP="00DF2BC8">
            <w:pPr>
              <w:pStyle w:val="a3"/>
              <w:rPr>
                <w:sz w:val="26"/>
                <w:szCs w:val="26"/>
                <w:rtl/>
              </w:rPr>
            </w:pPr>
            <w:r w:rsidRPr="00DF2BC8">
              <w:rPr>
                <w:sz w:val="26"/>
                <w:szCs w:val="26"/>
                <w:rtl/>
              </w:rPr>
              <w:t>ת"פ</w:t>
            </w:r>
            <w:r w:rsidRPr="00DF2BC8">
              <w:rPr>
                <w:rFonts w:hint="cs"/>
                <w:sz w:val="26"/>
                <w:szCs w:val="26"/>
                <w:rtl/>
              </w:rPr>
              <w:t xml:space="preserve"> </w:t>
            </w:r>
            <w:r w:rsidRPr="00DF2BC8">
              <w:rPr>
                <w:sz w:val="26"/>
                <w:szCs w:val="26"/>
                <w:rtl/>
              </w:rPr>
              <w:t>273-10-15</w:t>
            </w:r>
            <w:r w:rsidRPr="00DF2BC8">
              <w:rPr>
                <w:rFonts w:hint="cs"/>
                <w:sz w:val="26"/>
                <w:szCs w:val="26"/>
                <w:rtl/>
              </w:rPr>
              <w:t xml:space="preserve"> </w:t>
            </w:r>
            <w:r w:rsidRPr="00DF2BC8">
              <w:rPr>
                <w:b/>
                <w:bCs/>
                <w:sz w:val="26"/>
                <w:szCs w:val="26"/>
                <w:rtl/>
              </w:rPr>
              <w:t xml:space="preserve">מדינת ישראל נ' </w:t>
            </w:r>
            <w:r w:rsidRPr="00DF2BC8">
              <w:rPr>
                <w:rFonts w:hint="cs"/>
                <w:b/>
                <w:bCs/>
                <w:sz w:val="26"/>
                <w:szCs w:val="26"/>
                <w:rtl/>
              </w:rPr>
              <w:t>מ</w:t>
            </w:r>
            <w:r w:rsidRPr="00DF2BC8">
              <w:rPr>
                <w:b/>
                <w:bCs/>
                <w:sz w:val="26"/>
                <w:szCs w:val="26"/>
                <w:rtl/>
              </w:rPr>
              <w:t>ורזיק</w:t>
            </w:r>
            <w:r w:rsidRPr="00DF2BC8">
              <w:rPr>
                <w:rFonts w:hint="cs"/>
                <w:b/>
                <w:bCs/>
                <w:sz w:val="26"/>
                <w:szCs w:val="26"/>
                <w:rtl/>
              </w:rPr>
              <w:t xml:space="preserve"> </w:t>
            </w:r>
            <w:r w:rsidRPr="00DF2BC8">
              <w:rPr>
                <w:b/>
                <w:bCs/>
                <w:sz w:val="26"/>
                <w:szCs w:val="26"/>
                <w:rtl/>
              </w:rPr>
              <w:t>(עציר)</w:t>
            </w:r>
          </w:p>
        </w:tc>
      </w:tr>
    </w:tbl>
    <w:p w14:paraId="047986C9" w14:textId="77777777" w:rsidR="00A70AB5" w:rsidRPr="00DF2BC8" w:rsidRDefault="00A70AB5" w:rsidP="00A70AB5">
      <w:pPr>
        <w:pStyle w:val="a3"/>
        <w:rPr>
          <w:rtl/>
        </w:rPr>
      </w:pPr>
      <w:bookmarkStart w:id="0" w:name="LastJudge"/>
      <w:bookmarkEnd w:id="0"/>
      <w:r w:rsidRPr="00DF2BC8">
        <w:rPr>
          <w:rFonts w:hint="cs"/>
          <w:rtl/>
        </w:rPr>
        <w:t xml:space="preserve"> </w:t>
      </w:r>
    </w:p>
    <w:p w14:paraId="453475DB" w14:textId="77777777" w:rsidR="00A70AB5" w:rsidRPr="00DF2BC8" w:rsidRDefault="00A70AB5" w:rsidP="00A70AB5">
      <w:pPr>
        <w:spacing w:after="160" w:line="360" w:lineRule="auto"/>
        <w:jc w:val="both"/>
        <w:rPr>
          <w:rFonts w:ascii="Arial" w:hAnsi="Arial"/>
          <w:sz w:val="26"/>
          <w:szCs w:val="26"/>
          <w:rtl/>
        </w:rPr>
      </w:pPr>
    </w:p>
    <w:tbl>
      <w:tblPr>
        <w:bidiVisual/>
        <w:tblW w:w="8820" w:type="dxa"/>
        <w:jc w:val="center"/>
        <w:tblLook w:val="01E0" w:firstRow="1" w:lastRow="1" w:firstColumn="1" w:lastColumn="1" w:noHBand="0" w:noVBand="0"/>
      </w:tblPr>
      <w:tblGrid>
        <w:gridCol w:w="3083"/>
        <w:gridCol w:w="5737"/>
      </w:tblGrid>
      <w:tr w:rsidR="00A70AB5" w:rsidRPr="00DF2BC8" w14:paraId="4A0CD8FC" w14:textId="77777777" w:rsidTr="00DF2BC8">
        <w:trPr>
          <w:jc w:val="center"/>
        </w:trPr>
        <w:tc>
          <w:tcPr>
            <w:tcW w:w="3083" w:type="dxa"/>
            <w:shd w:val="clear" w:color="auto" w:fill="auto"/>
          </w:tcPr>
          <w:p w14:paraId="089A2C2D" w14:textId="77777777" w:rsidR="00A70AB5" w:rsidRPr="00DF2BC8" w:rsidRDefault="00A70AB5" w:rsidP="00DF2BC8">
            <w:pPr>
              <w:spacing w:line="360" w:lineRule="auto"/>
              <w:jc w:val="both"/>
              <w:rPr>
                <w:rFonts w:ascii="Arial" w:hAnsi="Arial"/>
                <w:b/>
                <w:bCs/>
                <w:sz w:val="26"/>
                <w:szCs w:val="26"/>
              </w:rPr>
            </w:pPr>
            <w:bookmarkStart w:id="1" w:name="FirstAppellant"/>
            <w:r w:rsidRPr="00DF2BC8">
              <w:rPr>
                <w:rFonts w:ascii="Arial" w:hAnsi="Arial" w:hint="cs"/>
                <w:b/>
                <w:bCs/>
                <w:sz w:val="26"/>
                <w:szCs w:val="26"/>
                <w:rtl/>
              </w:rPr>
              <w:t>ה</w:t>
            </w:r>
            <w:r w:rsidRPr="00DF2BC8">
              <w:rPr>
                <w:rFonts w:hint="cs"/>
                <w:sz w:val="26"/>
                <w:szCs w:val="26"/>
                <w:rtl/>
              </w:rPr>
              <w:t>מאשימה</w:t>
            </w:r>
          </w:p>
        </w:tc>
        <w:tc>
          <w:tcPr>
            <w:tcW w:w="5737" w:type="dxa"/>
            <w:shd w:val="clear" w:color="auto" w:fill="auto"/>
          </w:tcPr>
          <w:p w14:paraId="1D9D771E" w14:textId="77777777" w:rsidR="00A70AB5" w:rsidRPr="00DF2BC8" w:rsidRDefault="00A70AB5" w:rsidP="00DF2BC8">
            <w:pPr>
              <w:spacing w:line="360" w:lineRule="auto"/>
              <w:jc w:val="both"/>
              <w:rPr>
                <w:b/>
                <w:bCs/>
                <w:sz w:val="26"/>
                <w:szCs w:val="26"/>
                <w:rtl/>
              </w:rPr>
            </w:pPr>
            <w:r w:rsidRPr="00DF2BC8">
              <w:rPr>
                <w:rFonts w:hint="cs"/>
                <w:sz w:val="26"/>
                <w:szCs w:val="26"/>
                <w:rtl/>
              </w:rPr>
              <w:t>מדינת ישראל</w:t>
            </w:r>
          </w:p>
          <w:p w14:paraId="3CEF794A" w14:textId="77777777" w:rsidR="00A70AB5" w:rsidRPr="00DF2BC8" w:rsidRDefault="00A70AB5" w:rsidP="00DF2BC8">
            <w:pPr>
              <w:spacing w:line="360" w:lineRule="auto"/>
              <w:jc w:val="both"/>
              <w:rPr>
                <w:sz w:val="26"/>
                <w:szCs w:val="26"/>
                <w:rtl/>
              </w:rPr>
            </w:pPr>
            <w:r w:rsidRPr="00DF2BC8">
              <w:rPr>
                <w:rFonts w:hint="cs"/>
                <w:sz w:val="26"/>
                <w:szCs w:val="26"/>
                <w:rtl/>
              </w:rPr>
              <w:t>ע"י עו"ד תמר איבלמן מפרקליטות מחוז ירושלים (פלילי)</w:t>
            </w:r>
          </w:p>
        </w:tc>
      </w:tr>
      <w:bookmarkEnd w:id="1"/>
      <w:tr w:rsidR="00A70AB5" w:rsidRPr="00DF2BC8" w14:paraId="46D32EB7" w14:textId="77777777" w:rsidTr="00DF2BC8">
        <w:trPr>
          <w:jc w:val="center"/>
        </w:trPr>
        <w:tc>
          <w:tcPr>
            <w:tcW w:w="8820" w:type="dxa"/>
            <w:gridSpan w:val="2"/>
            <w:shd w:val="clear" w:color="auto" w:fill="auto"/>
          </w:tcPr>
          <w:p w14:paraId="69ED11DD" w14:textId="77777777" w:rsidR="00A70AB5" w:rsidRPr="00DF2BC8" w:rsidRDefault="00A70AB5" w:rsidP="00DF2BC8">
            <w:pPr>
              <w:spacing w:line="360" w:lineRule="auto"/>
              <w:jc w:val="center"/>
              <w:rPr>
                <w:rFonts w:ascii="Arial" w:hAnsi="Arial"/>
                <w:b/>
                <w:bCs/>
                <w:sz w:val="26"/>
                <w:szCs w:val="26"/>
                <w:rtl/>
              </w:rPr>
            </w:pPr>
            <w:r w:rsidRPr="00DF2BC8">
              <w:rPr>
                <w:rFonts w:ascii="Arial" w:hAnsi="Arial" w:hint="cs"/>
                <w:b/>
                <w:bCs/>
                <w:sz w:val="26"/>
                <w:szCs w:val="26"/>
                <w:rtl/>
              </w:rPr>
              <w:t>נ ג ד</w:t>
            </w:r>
          </w:p>
        </w:tc>
      </w:tr>
      <w:tr w:rsidR="00A70AB5" w:rsidRPr="00DF2BC8" w14:paraId="6B112D0D" w14:textId="77777777" w:rsidTr="00DF2BC8">
        <w:trPr>
          <w:jc w:val="center"/>
        </w:trPr>
        <w:tc>
          <w:tcPr>
            <w:tcW w:w="3083" w:type="dxa"/>
            <w:shd w:val="clear" w:color="auto" w:fill="auto"/>
          </w:tcPr>
          <w:p w14:paraId="2EB3FDBF" w14:textId="77777777" w:rsidR="00A70AB5" w:rsidRPr="00DF2BC8" w:rsidRDefault="00A70AB5" w:rsidP="00DF2BC8">
            <w:pPr>
              <w:spacing w:line="360" w:lineRule="auto"/>
              <w:jc w:val="both"/>
              <w:rPr>
                <w:rFonts w:ascii="Arial" w:hAnsi="Arial"/>
                <w:b/>
                <w:bCs/>
                <w:sz w:val="26"/>
                <w:szCs w:val="26"/>
              </w:rPr>
            </w:pPr>
            <w:bookmarkStart w:id="2" w:name="FirstLawyer"/>
            <w:r w:rsidRPr="00DF2BC8">
              <w:rPr>
                <w:rFonts w:ascii="Arial" w:hAnsi="Arial" w:hint="cs"/>
                <w:b/>
                <w:bCs/>
                <w:sz w:val="26"/>
                <w:szCs w:val="26"/>
                <w:rtl/>
              </w:rPr>
              <w:t>ה</w:t>
            </w:r>
            <w:r w:rsidRPr="00DF2BC8">
              <w:rPr>
                <w:rFonts w:hint="cs"/>
                <w:sz w:val="26"/>
                <w:szCs w:val="26"/>
                <w:rtl/>
              </w:rPr>
              <w:t>נאשם</w:t>
            </w:r>
          </w:p>
        </w:tc>
        <w:tc>
          <w:tcPr>
            <w:tcW w:w="5737" w:type="dxa"/>
            <w:shd w:val="clear" w:color="auto" w:fill="auto"/>
          </w:tcPr>
          <w:p w14:paraId="4A1A4501" w14:textId="77777777" w:rsidR="00A70AB5" w:rsidRPr="00DF2BC8" w:rsidRDefault="00A70AB5" w:rsidP="00DF2BC8">
            <w:pPr>
              <w:spacing w:line="360" w:lineRule="auto"/>
              <w:jc w:val="both"/>
              <w:rPr>
                <w:b/>
                <w:bCs/>
                <w:sz w:val="26"/>
                <w:szCs w:val="26"/>
              </w:rPr>
            </w:pPr>
            <w:r w:rsidRPr="00DF2BC8">
              <w:rPr>
                <w:rFonts w:hint="cs"/>
                <w:sz w:val="26"/>
                <w:szCs w:val="26"/>
                <w:rtl/>
              </w:rPr>
              <w:t>וחיד מורזיק (עציר)</w:t>
            </w:r>
          </w:p>
          <w:p w14:paraId="6CD60F2D" w14:textId="77777777" w:rsidR="00A70AB5" w:rsidRPr="00DF2BC8" w:rsidRDefault="00A70AB5" w:rsidP="00DF2BC8">
            <w:pPr>
              <w:spacing w:line="360" w:lineRule="auto"/>
              <w:jc w:val="both"/>
              <w:rPr>
                <w:sz w:val="26"/>
                <w:szCs w:val="26"/>
                <w:rtl/>
              </w:rPr>
            </w:pPr>
            <w:r w:rsidRPr="00DF2BC8">
              <w:rPr>
                <w:rFonts w:hint="cs"/>
                <w:sz w:val="26"/>
                <w:szCs w:val="26"/>
                <w:rtl/>
              </w:rPr>
              <w:t xml:space="preserve">ע"י ב"כ עו"ד לאה צמל </w:t>
            </w:r>
          </w:p>
        </w:tc>
      </w:tr>
    </w:tbl>
    <w:p w14:paraId="0CFA47BC" w14:textId="77777777" w:rsidR="003704D8" w:rsidRDefault="003704D8" w:rsidP="003704D8">
      <w:pPr>
        <w:spacing w:line="360" w:lineRule="auto"/>
        <w:jc w:val="center"/>
        <w:rPr>
          <w:rFonts w:ascii="Arial" w:hAnsi="Arial"/>
          <w:sz w:val="28"/>
          <w:szCs w:val="28"/>
          <w:rtl/>
        </w:rPr>
      </w:pPr>
      <w:bookmarkStart w:id="3" w:name="LawTable"/>
      <w:bookmarkEnd w:id="2"/>
      <w:bookmarkEnd w:id="3"/>
    </w:p>
    <w:p w14:paraId="789E9C15" w14:textId="77777777" w:rsidR="003704D8" w:rsidRPr="003704D8" w:rsidRDefault="003704D8" w:rsidP="003704D8">
      <w:pPr>
        <w:spacing w:after="120" w:line="240" w:lineRule="exact"/>
        <w:ind w:left="283" w:hanging="283"/>
        <w:jc w:val="both"/>
        <w:rPr>
          <w:rFonts w:ascii="FrankRuehl" w:hAnsi="FrankRuehl" w:cs="FrankRuehl"/>
          <w:rtl/>
        </w:rPr>
      </w:pPr>
    </w:p>
    <w:p w14:paraId="77D6D8F2" w14:textId="77777777" w:rsidR="003704D8" w:rsidRPr="003704D8" w:rsidRDefault="003704D8" w:rsidP="003704D8">
      <w:pPr>
        <w:spacing w:after="120" w:line="240" w:lineRule="exact"/>
        <w:ind w:left="283" w:hanging="283"/>
        <w:jc w:val="both"/>
        <w:rPr>
          <w:rFonts w:ascii="FrankRuehl" w:hAnsi="FrankRuehl" w:cs="FrankRuehl"/>
          <w:rtl/>
        </w:rPr>
      </w:pPr>
      <w:r w:rsidRPr="003704D8">
        <w:rPr>
          <w:rFonts w:ascii="FrankRuehl" w:hAnsi="FrankRuehl" w:cs="FrankRuehl"/>
          <w:rtl/>
        </w:rPr>
        <w:t xml:space="preserve">חקיקה שאוזכרה: </w:t>
      </w:r>
    </w:p>
    <w:p w14:paraId="084DBDEB" w14:textId="77777777" w:rsidR="003704D8" w:rsidRPr="003704D8" w:rsidRDefault="003704D8" w:rsidP="003704D8">
      <w:pPr>
        <w:spacing w:after="120" w:line="240" w:lineRule="exact"/>
        <w:ind w:left="283" w:hanging="283"/>
        <w:jc w:val="both"/>
        <w:rPr>
          <w:rFonts w:ascii="FrankRuehl" w:hAnsi="FrankRuehl" w:cs="FrankRuehl"/>
          <w:rtl/>
        </w:rPr>
      </w:pPr>
      <w:hyperlink r:id="rId7" w:history="1">
        <w:r w:rsidRPr="003704D8">
          <w:rPr>
            <w:rFonts w:ascii="FrankRuehl" w:hAnsi="FrankRuehl" w:cs="FrankRuehl"/>
            <w:color w:val="0000FF"/>
            <w:u w:val="single"/>
            <w:rtl/>
          </w:rPr>
          <w:t>חוק למניעת הסתננות (עבירות ושיפוט), תשי"ד-1954</w:t>
        </w:r>
      </w:hyperlink>
      <w:r w:rsidRPr="003704D8">
        <w:rPr>
          <w:rFonts w:ascii="FrankRuehl" w:hAnsi="FrankRuehl" w:cs="FrankRuehl"/>
          <w:rtl/>
        </w:rPr>
        <w:t xml:space="preserve">: סע'  </w:t>
      </w:r>
      <w:hyperlink r:id="rId8" w:history="1">
        <w:r w:rsidRPr="003704D8">
          <w:rPr>
            <w:rFonts w:ascii="FrankRuehl" w:hAnsi="FrankRuehl" w:cs="FrankRuehl"/>
            <w:color w:val="0000FF"/>
            <w:u w:val="single"/>
            <w:rtl/>
          </w:rPr>
          <w:t>2א</w:t>
        </w:r>
      </w:hyperlink>
    </w:p>
    <w:p w14:paraId="297B998B" w14:textId="77777777" w:rsidR="003704D8" w:rsidRPr="003704D8" w:rsidRDefault="003704D8" w:rsidP="003704D8">
      <w:pPr>
        <w:spacing w:after="120" w:line="240" w:lineRule="exact"/>
        <w:ind w:left="283" w:hanging="283"/>
        <w:jc w:val="both"/>
        <w:rPr>
          <w:rFonts w:ascii="FrankRuehl" w:hAnsi="FrankRuehl" w:cs="FrankRuehl"/>
          <w:rtl/>
        </w:rPr>
      </w:pPr>
      <w:hyperlink r:id="rId9" w:history="1">
        <w:r w:rsidRPr="003704D8">
          <w:rPr>
            <w:rFonts w:ascii="FrankRuehl" w:hAnsi="FrankRuehl" w:cs="FrankRuehl"/>
            <w:color w:val="0000FF"/>
            <w:u w:val="single"/>
            <w:rtl/>
          </w:rPr>
          <w:t>חוק העונשין, תשל"ז-1977</w:t>
        </w:r>
      </w:hyperlink>
      <w:r w:rsidRPr="003704D8">
        <w:rPr>
          <w:rFonts w:ascii="FrankRuehl" w:hAnsi="FrankRuehl" w:cs="FrankRuehl"/>
          <w:rtl/>
        </w:rPr>
        <w:t xml:space="preserve">: סע'  </w:t>
      </w:r>
      <w:hyperlink r:id="rId10" w:history="1">
        <w:r w:rsidRPr="003704D8">
          <w:rPr>
            <w:rFonts w:ascii="FrankRuehl" w:hAnsi="FrankRuehl" w:cs="FrankRuehl"/>
            <w:color w:val="0000FF"/>
            <w:u w:val="single"/>
            <w:rtl/>
          </w:rPr>
          <w:t>25</w:t>
        </w:r>
      </w:hyperlink>
      <w:r w:rsidRPr="003704D8">
        <w:rPr>
          <w:rFonts w:ascii="FrankRuehl" w:hAnsi="FrankRuehl" w:cs="FrankRuehl"/>
          <w:rtl/>
        </w:rPr>
        <w:t xml:space="preserve">, </w:t>
      </w:r>
      <w:hyperlink r:id="rId11" w:history="1">
        <w:r w:rsidRPr="003704D8">
          <w:rPr>
            <w:rFonts w:ascii="FrankRuehl" w:hAnsi="FrankRuehl" w:cs="FrankRuehl"/>
            <w:color w:val="0000FF"/>
            <w:u w:val="single"/>
            <w:rtl/>
          </w:rPr>
          <w:t>29</w:t>
        </w:r>
      </w:hyperlink>
      <w:r w:rsidRPr="003704D8">
        <w:rPr>
          <w:rFonts w:ascii="FrankRuehl" w:hAnsi="FrankRuehl" w:cs="FrankRuehl"/>
          <w:rtl/>
        </w:rPr>
        <w:t xml:space="preserve">, </w:t>
      </w:r>
      <w:hyperlink r:id="rId12" w:history="1">
        <w:r w:rsidRPr="003704D8">
          <w:rPr>
            <w:rFonts w:ascii="FrankRuehl" w:hAnsi="FrankRuehl" w:cs="FrankRuehl"/>
            <w:color w:val="0000FF"/>
            <w:u w:val="single"/>
            <w:rtl/>
          </w:rPr>
          <w:t>40ב</w:t>
        </w:r>
      </w:hyperlink>
      <w:r w:rsidRPr="003704D8">
        <w:rPr>
          <w:rFonts w:ascii="FrankRuehl" w:hAnsi="FrankRuehl" w:cs="FrankRuehl"/>
          <w:rtl/>
        </w:rPr>
        <w:t xml:space="preserve">, </w:t>
      </w:r>
      <w:hyperlink r:id="rId13" w:history="1">
        <w:r w:rsidRPr="003704D8">
          <w:rPr>
            <w:rFonts w:ascii="FrankRuehl" w:hAnsi="FrankRuehl" w:cs="FrankRuehl"/>
            <w:color w:val="0000FF"/>
            <w:u w:val="single"/>
            <w:rtl/>
          </w:rPr>
          <w:t>40ג(א)</w:t>
        </w:r>
      </w:hyperlink>
      <w:r w:rsidRPr="003704D8">
        <w:rPr>
          <w:rFonts w:ascii="FrankRuehl" w:hAnsi="FrankRuehl" w:cs="FrankRuehl"/>
          <w:rtl/>
        </w:rPr>
        <w:t xml:space="preserve">, </w:t>
      </w:r>
      <w:hyperlink r:id="rId14" w:history="1">
        <w:r w:rsidRPr="003704D8">
          <w:rPr>
            <w:rFonts w:ascii="FrankRuehl" w:hAnsi="FrankRuehl" w:cs="FrankRuehl"/>
            <w:color w:val="0000FF"/>
            <w:u w:val="single"/>
            <w:rtl/>
          </w:rPr>
          <w:t>40ט</w:t>
        </w:r>
      </w:hyperlink>
      <w:r w:rsidRPr="003704D8">
        <w:rPr>
          <w:rFonts w:ascii="FrankRuehl" w:hAnsi="FrankRuehl" w:cs="FrankRuehl"/>
          <w:rtl/>
        </w:rPr>
        <w:t xml:space="preserve">, </w:t>
      </w:r>
      <w:hyperlink r:id="rId15" w:history="1">
        <w:r w:rsidRPr="003704D8">
          <w:rPr>
            <w:rFonts w:ascii="FrankRuehl" w:hAnsi="FrankRuehl" w:cs="FrankRuehl"/>
            <w:color w:val="0000FF"/>
            <w:u w:val="single"/>
            <w:rtl/>
          </w:rPr>
          <w:t>144(א)</w:t>
        </w:r>
      </w:hyperlink>
      <w:r w:rsidRPr="003704D8">
        <w:rPr>
          <w:rFonts w:ascii="FrankRuehl" w:hAnsi="FrankRuehl" w:cs="FrankRuehl"/>
          <w:rtl/>
        </w:rPr>
        <w:t xml:space="preserve">, </w:t>
      </w:r>
      <w:hyperlink r:id="rId16" w:history="1">
        <w:r w:rsidRPr="003704D8">
          <w:rPr>
            <w:rFonts w:ascii="FrankRuehl" w:hAnsi="FrankRuehl" w:cs="FrankRuehl"/>
            <w:color w:val="0000FF"/>
            <w:u w:val="single"/>
            <w:rtl/>
          </w:rPr>
          <w:t>152</w:t>
        </w:r>
      </w:hyperlink>
      <w:r w:rsidRPr="003704D8">
        <w:rPr>
          <w:rFonts w:ascii="FrankRuehl" w:hAnsi="FrankRuehl" w:cs="FrankRuehl"/>
          <w:rtl/>
        </w:rPr>
        <w:t xml:space="preserve">, </w:t>
      </w:r>
      <w:hyperlink r:id="rId17" w:history="1">
        <w:r w:rsidRPr="003704D8">
          <w:rPr>
            <w:rFonts w:ascii="FrankRuehl" w:hAnsi="FrankRuehl" w:cs="FrankRuehl"/>
            <w:color w:val="0000FF"/>
            <w:u w:val="single"/>
            <w:rtl/>
          </w:rPr>
          <w:t>274(1)</w:t>
        </w:r>
      </w:hyperlink>
      <w:r w:rsidRPr="003704D8">
        <w:rPr>
          <w:rFonts w:ascii="FrankRuehl" w:hAnsi="FrankRuehl" w:cs="FrankRuehl"/>
          <w:rtl/>
        </w:rPr>
        <w:t xml:space="preserve">, </w:t>
      </w:r>
      <w:hyperlink r:id="rId18" w:history="1">
        <w:r w:rsidRPr="003704D8">
          <w:rPr>
            <w:rFonts w:ascii="FrankRuehl" w:hAnsi="FrankRuehl" w:cs="FrankRuehl"/>
            <w:color w:val="0000FF"/>
            <w:u w:val="single"/>
            <w:rtl/>
          </w:rPr>
          <w:t>וסק (2)</w:t>
        </w:r>
      </w:hyperlink>
      <w:r w:rsidRPr="003704D8">
        <w:rPr>
          <w:rFonts w:ascii="FrankRuehl" w:hAnsi="FrankRuehl" w:cs="FrankRuehl"/>
          <w:rtl/>
        </w:rPr>
        <w:t xml:space="preserve">, </w:t>
      </w:r>
      <w:hyperlink r:id="rId19" w:history="1">
        <w:r w:rsidRPr="003704D8">
          <w:rPr>
            <w:rFonts w:ascii="FrankRuehl" w:hAnsi="FrankRuehl" w:cs="FrankRuehl"/>
            <w:color w:val="0000FF"/>
            <w:u w:val="single"/>
            <w:rtl/>
          </w:rPr>
          <w:t>וסק (3)</w:t>
        </w:r>
      </w:hyperlink>
      <w:r w:rsidRPr="003704D8">
        <w:rPr>
          <w:rFonts w:ascii="FrankRuehl" w:hAnsi="FrankRuehl" w:cs="FrankRuehl"/>
          <w:rtl/>
        </w:rPr>
        <w:t xml:space="preserve">, </w:t>
      </w:r>
      <w:hyperlink r:id="rId20" w:history="1">
        <w:r w:rsidRPr="003704D8">
          <w:rPr>
            <w:rFonts w:ascii="FrankRuehl" w:hAnsi="FrankRuehl" w:cs="FrankRuehl"/>
            <w:color w:val="0000FF"/>
            <w:u w:val="single"/>
            <w:rtl/>
          </w:rPr>
          <w:t>338(א)(3)</w:t>
        </w:r>
      </w:hyperlink>
      <w:r w:rsidRPr="003704D8">
        <w:rPr>
          <w:rFonts w:ascii="FrankRuehl" w:hAnsi="FrankRuehl" w:cs="FrankRuehl"/>
          <w:rtl/>
        </w:rPr>
        <w:t xml:space="preserve">, </w:t>
      </w:r>
      <w:hyperlink r:id="rId21" w:history="1">
        <w:r w:rsidRPr="003704D8">
          <w:rPr>
            <w:rFonts w:ascii="FrankRuehl" w:hAnsi="FrankRuehl" w:cs="FrankRuehl"/>
            <w:color w:val="0000FF"/>
            <w:u w:val="single"/>
            <w:rtl/>
          </w:rPr>
          <w:t>383(א)</w:t>
        </w:r>
      </w:hyperlink>
      <w:r w:rsidRPr="003704D8">
        <w:rPr>
          <w:rFonts w:ascii="FrankRuehl" w:hAnsi="FrankRuehl" w:cs="FrankRuehl"/>
          <w:rtl/>
        </w:rPr>
        <w:t xml:space="preserve">, </w:t>
      </w:r>
      <w:hyperlink r:id="rId22" w:history="1">
        <w:r w:rsidRPr="003704D8">
          <w:rPr>
            <w:rFonts w:ascii="FrankRuehl" w:hAnsi="FrankRuehl" w:cs="FrankRuehl"/>
            <w:color w:val="0000FF"/>
            <w:u w:val="single"/>
            <w:rtl/>
          </w:rPr>
          <w:t>384</w:t>
        </w:r>
      </w:hyperlink>
      <w:r w:rsidRPr="003704D8">
        <w:rPr>
          <w:rFonts w:ascii="FrankRuehl" w:hAnsi="FrankRuehl" w:cs="FrankRuehl"/>
          <w:rtl/>
        </w:rPr>
        <w:t xml:space="preserve">, </w:t>
      </w:r>
      <w:hyperlink r:id="rId23" w:history="1">
        <w:r w:rsidRPr="003704D8">
          <w:rPr>
            <w:rFonts w:ascii="FrankRuehl" w:hAnsi="FrankRuehl" w:cs="FrankRuehl"/>
            <w:color w:val="0000FF"/>
            <w:u w:val="single"/>
            <w:rtl/>
          </w:rPr>
          <w:t>40יא</w:t>
        </w:r>
      </w:hyperlink>
      <w:r w:rsidRPr="003704D8">
        <w:rPr>
          <w:rFonts w:ascii="FrankRuehl" w:hAnsi="FrankRuehl" w:cs="FrankRuehl"/>
          <w:rtl/>
        </w:rPr>
        <w:t xml:space="preserve">, </w:t>
      </w:r>
      <w:hyperlink r:id="rId24" w:history="1">
        <w:r w:rsidRPr="003704D8">
          <w:rPr>
            <w:rFonts w:ascii="FrankRuehl" w:hAnsi="FrankRuehl" w:cs="FrankRuehl"/>
            <w:color w:val="0000FF"/>
            <w:u w:val="single"/>
            <w:rtl/>
          </w:rPr>
          <w:t>40יב</w:t>
        </w:r>
      </w:hyperlink>
      <w:r w:rsidRPr="003704D8">
        <w:rPr>
          <w:rFonts w:ascii="FrankRuehl" w:hAnsi="FrankRuehl" w:cs="FrankRuehl"/>
          <w:rtl/>
        </w:rPr>
        <w:t xml:space="preserve">, </w:t>
      </w:r>
      <w:hyperlink r:id="rId25" w:history="1">
        <w:r w:rsidRPr="003704D8">
          <w:rPr>
            <w:rFonts w:ascii="FrankRuehl" w:hAnsi="FrankRuehl" w:cs="FrankRuehl"/>
            <w:color w:val="0000FF"/>
            <w:u w:val="single"/>
            <w:rtl/>
          </w:rPr>
          <w:t>40יג</w:t>
        </w:r>
      </w:hyperlink>
      <w:r w:rsidRPr="003704D8">
        <w:rPr>
          <w:rFonts w:ascii="FrankRuehl" w:hAnsi="FrankRuehl" w:cs="FrankRuehl"/>
          <w:rtl/>
        </w:rPr>
        <w:t xml:space="preserve">, </w:t>
      </w:r>
      <w:hyperlink r:id="rId26" w:history="1">
        <w:r w:rsidRPr="003704D8">
          <w:rPr>
            <w:rFonts w:ascii="FrankRuehl" w:hAnsi="FrankRuehl" w:cs="FrankRuehl"/>
            <w:color w:val="0000FF"/>
            <w:u w:val="single"/>
            <w:rtl/>
          </w:rPr>
          <w:t>448(4)</w:t>
        </w:r>
      </w:hyperlink>
      <w:r w:rsidRPr="003704D8">
        <w:rPr>
          <w:rFonts w:ascii="FrankRuehl" w:hAnsi="FrankRuehl" w:cs="FrankRuehl"/>
          <w:rtl/>
        </w:rPr>
        <w:t xml:space="preserve">, </w:t>
      </w:r>
      <w:hyperlink r:id="rId27" w:history="1">
        <w:r w:rsidRPr="003704D8">
          <w:rPr>
            <w:rFonts w:ascii="FrankRuehl" w:hAnsi="FrankRuehl" w:cs="FrankRuehl"/>
            <w:color w:val="0000FF"/>
            <w:u w:val="single"/>
            <w:rtl/>
          </w:rPr>
          <w:t>448(א)</w:t>
        </w:r>
      </w:hyperlink>
    </w:p>
    <w:p w14:paraId="05BE33AE" w14:textId="77777777" w:rsidR="003704D8" w:rsidRPr="003704D8" w:rsidRDefault="003704D8" w:rsidP="003704D8">
      <w:pPr>
        <w:spacing w:after="120" w:line="240" w:lineRule="exact"/>
        <w:ind w:left="283" w:hanging="283"/>
        <w:jc w:val="both"/>
        <w:rPr>
          <w:rFonts w:ascii="FrankRuehl" w:hAnsi="FrankRuehl" w:cs="FrankRuehl"/>
          <w:rtl/>
        </w:rPr>
      </w:pPr>
      <w:hyperlink r:id="rId28" w:history="1">
        <w:r w:rsidRPr="003704D8">
          <w:rPr>
            <w:rFonts w:ascii="FrankRuehl" w:hAnsi="FrankRuehl" w:cs="FrankRuehl"/>
            <w:color w:val="0000FF"/>
            <w:u w:val="single"/>
            <w:rtl/>
          </w:rPr>
          <w:t>חוק הנוער (שפיטה, ענישה ודרכי טיפול), תשל"א-1971</w:t>
        </w:r>
      </w:hyperlink>
      <w:r w:rsidRPr="003704D8">
        <w:rPr>
          <w:rFonts w:ascii="FrankRuehl" w:hAnsi="FrankRuehl" w:cs="FrankRuehl"/>
          <w:rtl/>
        </w:rPr>
        <w:t xml:space="preserve">: סע'  </w:t>
      </w:r>
      <w:hyperlink r:id="rId29" w:history="1">
        <w:r w:rsidRPr="003704D8">
          <w:rPr>
            <w:rFonts w:ascii="FrankRuehl" w:hAnsi="FrankRuehl" w:cs="FrankRuehl"/>
            <w:color w:val="0000FF"/>
            <w:u w:val="single"/>
            <w:rtl/>
          </w:rPr>
          <w:t>14</w:t>
        </w:r>
      </w:hyperlink>
    </w:p>
    <w:p w14:paraId="6CD146F1" w14:textId="77777777" w:rsidR="003704D8" w:rsidRPr="003704D8" w:rsidRDefault="003704D8" w:rsidP="003704D8">
      <w:pPr>
        <w:spacing w:after="120" w:line="240" w:lineRule="exact"/>
        <w:ind w:left="283" w:hanging="283"/>
        <w:jc w:val="both"/>
        <w:rPr>
          <w:rFonts w:ascii="FrankRuehl" w:hAnsi="FrankRuehl" w:cs="FrankRuehl"/>
          <w:rtl/>
        </w:rPr>
      </w:pPr>
    </w:p>
    <w:p w14:paraId="339B7640" w14:textId="77777777" w:rsidR="003704D8" w:rsidRPr="003704D8" w:rsidRDefault="003704D8" w:rsidP="003704D8">
      <w:pPr>
        <w:spacing w:line="360" w:lineRule="auto"/>
        <w:jc w:val="center"/>
        <w:rPr>
          <w:rFonts w:ascii="Arial" w:hAnsi="Arial"/>
          <w:sz w:val="28"/>
          <w:szCs w:val="28"/>
          <w:rtl/>
        </w:rPr>
      </w:pPr>
      <w:bookmarkStart w:id="4" w:name="LawTable_End"/>
      <w:bookmarkEnd w:id="4"/>
    </w:p>
    <w:p w14:paraId="6E1441E6" w14:textId="77777777" w:rsidR="003704D8" w:rsidRPr="00DF2BC8" w:rsidRDefault="003704D8" w:rsidP="003704D8">
      <w:pPr>
        <w:spacing w:line="360" w:lineRule="auto"/>
        <w:jc w:val="center"/>
        <w:rPr>
          <w:rFonts w:ascii="Arial" w:hAnsi="Arial"/>
          <w:sz w:val="28"/>
          <w:szCs w:val="28"/>
          <w:rtl/>
        </w:rPr>
      </w:pPr>
    </w:p>
    <w:p w14:paraId="1A310DCB" w14:textId="77777777" w:rsidR="003704D8" w:rsidRPr="00DF2BC8" w:rsidRDefault="003704D8" w:rsidP="003704D8">
      <w:pPr>
        <w:spacing w:line="360" w:lineRule="auto"/>
        <w:jc w:val="center"/>
        <w:rPr>
          <w:rFonts w:ascii="Arial" w:hAnsi="Arial"/>
          <w:b/>
          <w:bCs/>
          <w:sz w:val="28"/>
          <w:szCs w:val="28"/>
          <w:rtl/>
        </w:rPr>
      </w:pPr>
      <w:bookmarkStart w:id="5" w:name="PsakDin"/>
      <w:r w:rsidRPr="00DF2BC8">
        <w:rPr>
          <w:rFonts w:ascii="Arial" w:hAnsi="Arial"/>
          <w:b/>
          <w:bCs/>
          <w:sz w:val="28"/>
          <w:szCs w:val="28"/>
          <w:rtl/>
        </w:rPr>
        <w:t>גזר דין</w:t>
      </w:r>
    </w:p>
    <w:bookmarkEnd w:id="5"/>
    <w:p w14:paraId="66EAD453" w14:textId="77777777" w:rsidR="003704D8" w:rsidRDefault="003704D8" w:rsidP="00A70AB5">
      <w:pPr>
        <w:spacing w:after="160" w:line="360" w:lineRule="auto"/>
        <w:jc w:val="both"/>
        <w:rPr>
          <w:rFonts w:ascii="Arial" w:hAnsi="Arial" w:hint="cs"/>
          <w:sz w:val="26"/>
          <w:szCs w:val="26"/>
          <w:rtl/>
        </w:rPr>
      </w:pPr>
    </w:p>
    <w:p w14:paraId="59E05B1A" w14:textId="77777777" w:rsidR="003704D8" w:rsidRDefault="003704D8" w:rsidP="00A70AB5">
      <w:pPr>
        <w:spacing w:after="160" w:line="360" w:lineRule="auto"/>
        <w:jc w:val="both"/>
        <w:rPr>
          <w:rFonts w:ascii="Arial" w:hAnsi="Arial" w:hint="cs"/>
          <w:sz w:val="26"/>
          <w:szCs w:val="26"/>
          <w:rtl/>
        </w:rPr>
      </w:pPr>
    </w:p>
    <w:p w14:paraId="0F13E451" w14:textId="77777777" w:rsidR="00A70AB5" w:rsidRDefault="00A70AB5" w:rsidP="00A70AB5">
      <w:pPr>
        <w:spacing w:after="160" w:line="360" w:lineRule="auto"/>
        <w:jc w:val="both"/>
        <w:rPr>
          <w:rFonts w:ascii="Arial" w:hAnsi="Arial"/>
          <w:sz w:val="26"/>
          <w:szCs w:val="26"/>
          <w:rtl/>
        </w:rPr>
      </w:pPr>
      <w:r w:rsidRPr="00ED2B21">
        <w:rPr>
          <w:rFonts w:ascii="Arial" w:hAnsi="Arial" w:hint="cs"/>
          <w:sz w:val="26"/>
          <w:szCs w:val="26"/>
          <w:rtl/>
        </w:rPr>
        <w:t xml:space="preserve">ביום 1.5.16 הוגש </w:t>
      </w:r>
      <w:r>
        <w:rPr>
          <w:rFonts w:ascii="Arial" w:hAnsi="Arial" w:hint="cs"/>
          <w:sz w:val="26"/>
          <w:szCs w:val="26"/>
          <w:rtl/>
        </w:rPr>
        <w:t xml:space="preserve">נגד הנאשם </w:t>
      </w:r>
      <w:r w:rsidRPr="00ED2B21">
        <w:rPr>
          <w:rFonts w:ascii="Arial" w:hAnsi="Arial" w:hint="cs"/>
          <w:sz w:val="26"/>
          <w:szCs w:val="26"/>
          <w:rtl/>
        </w:rPr>
        <w:t>כתב אישום מתוקן</w:t>
      </w:r>
      <w:r>
        <w:rPr>
          <w:rFonts w:ascii="Arial" w:hAnsi="Arial" w:hint="cs"/>
          <w:sz w:val="26"/>
          <w:szCs w:val="26"/>
          <w:rtl/>
        </w:rPr>
        <w:t xml:space="preserve">, הכולל שני אישומים. </w:t>
      </w:r>
    </w:p>
    <w:p w14:paraId="092AB22C" w14:textId="77777777" w:rsidR="00A70AB5" w:rsidRPr="00F16E52" w:rsidRDefault="00A70AB5" w:rsidP="00A70AB5">
      <w:pPr>
        <w:spacing w:after="160" w:line="360" w:lineRule="auto"/>
        <w:jc w:val="both"/>
        <w:rPr>
          <w:sz w:val="26"/>
          <w:szCs w:val="26"/>
        </w:rPr>
      </w:pPr>
      <w:r w:rsidRPr="00F16E52">
        <w:rPr>
          <w:rFonts w:ascii="Arial" w:hAnsi="Arial"/>
          <w:sz w:val="26"/>
          <w:szCs w:val="26"/>
          <w:rtl/>
        </w:rPr>
        <w:t>המ</w:t>
      </w:r>
      <w:r>
        <w:rPr>
          <w:rFonts w:ascii="Arial" w:hAnsi="Arial"/>
          <w:sz w:val="26"/>
          <w:szCs w:val="26"/>
          <w:rtl/>
        </w:rPr>
        <w:t>סכת העובדתית</w:t>
      </w:r>
      <w:r w:rsidRPr="00F16E52">
        <w:rPr>
          <w:rFonts w:ascii="Arial" w:hAnsi="Arial"/>
          <w:sz w:val="26"/>
          <w:szCs w:val="26"/>
          <w:rtl/>
        </w:rPr>
        <w:t>, כפי</w:t>
      </w:r>
      <w:r>
        <w:rPr>
          <w:rFonts w:ascii="Arial" w:hAnsi="Arial"/>
          <w:sz w:val="26"/>
          <w:szCs w:val="26"/>
          <w:rtl/>
        </w:rPr>
        <w:t xml:space="preserve"> שפורטה בכתב האישום המתוק</w:t>
      </w:r>
      <w:r>
        <w:rPr>
          <w:rFonts w:ascii="Arial" w:hAnsi="Arial" w:hint="cs"/>
          <w:sz w:val="26"/>
          <w:szCs w:val="26"/>
          <w:rtl/>
        </w:rPr>
        <w:t>ן</w:t>
      </w:r>
      <w:r w:rsidRPr="00F16E52">
        <w:rPr>
          <w:rFonts w:ascii="Arial" w:hAnsi="Arial"/>
          <w:sz w:val="26"/>
          <w:szCs w:val="26"/>
          <w:rtl/>
        </w:rPr>
        <w:t xml:space="preserve"> הינה כ</w:t>
      </w:r>
      <w:r>
        <w:rPr>
          <w:rFonts w:ascii="Arial" w:hAnsi="Arial" w:hint="cs"/>
          <w:sz w:val="26"/>
          <w:szCs w:val="26"/>
          <w:rtl/>
        </w:rPr>
        <w:t>ד</w:t>
      </w:r>
      <w:r w:rsidRPr="00F16E52">
        <w:rPr>
          <w:rFonts w:ascii="Arial" w:hAnsi="Arial"/>
          <w:sz w:val="26"/>
          <w:szCs w:val="26"/>
          <w:rtl/>
        </w:rPr>
        <w:t>ל</w:t>
      </w:r>
      <w:r>
        <w:rPr>
          <w:rFonts w:ascii="Arial" w:hAnsi="Arial" w:hint="cs"/>
          <w:sz w:val="26"/>
          <w:szCs w:val="26"/>
          <w:rtl/>
        </w:rPr>
        <w:t>קמ</w:t>
      </w:r>
      <w:r w:rsidRPr="00F16E52">
        <w:rPr>
          <w:rFonts w:ascii="Arial" w:hAnsi="Arial"/>
          <w:sz w:val="26"/>
          <w:szCs w:val="26"/>
          <w:rtl/>
        </w:rPr>
        <w:t xml:space="preserve">ן: </w:t>
      </w:r>
    </w:p>
    <w:p w14:paraId="4602050C" w14:textId="77777777" w:rsidR="00A70AB5" w:rsidRPr="004364E0" w:rsidRDefault="00A70AB5" w:rsidP="00A70AB5">
      <w:pPr>
        <w:pStyle w:val="ListParagraph"/>
        <w:numPr>
          <w:ilvl w:val="0"/>
          <w:numId w:val="1"/>
        </w:numPr>
        <w:spacing w:after="160" w:line="360" w:lineRule="auto"/>
        <w:ind w:left="283"/>
        <w:contextualSpacing w:val="0"/>
        <w:jc w:val="both"/>
        <w:rPr>
          <w:rFonts w:ascii="Arial" w:hAnsi="Arial"/>
          <w:sz w:val="26"/>
          <w:szCs w:val="26"/>
        </w:rPr>
      </w:pPr>
      <w:r w:rsidRPr="00D65267">
        <w:rPr>
          <w:rFonts w:ascii="Arial" w:hAnsi="Arial" w:hint="cs"/>
          <w:b/>
          <w:bCs/>
          <w:sz w:val="26"/>
          <w:szCs w:val="26"/>
          <w:u w:val="single"/>
          <w:rtl/>
        </w:rPr>
        <w:t>אישום ראשון</w:t>
      </w:r>
      <w:r>
        <w:rPr>
          <w:rFonts w:ascii="Arial" w:hAnsi="Arial" w:hint="cs"/>
          <w:sz w:val="26"/>
          <w:szCs w:val="26"/>
          <w:rtl/>
        </w:rPr>
        <w:t xml:space="preserve">: </w:t>
      </w:r>
      <w:r w:rsidRPr="002478BE">
        <w:rPr>
          <w:rFonts w:hint="cs"/>
          <w:sz w:val="26"/>
          <w:szCs w:val="26"/>
          <w:rtl/>
        </w:rPr>
        <w:t>הנאשם הינו תושב מדינת ישראל ורשום במרשם האוכלוסין שלה. עובר ליום 25.7.15 במועד שאינו ידוע במדויק למאשימה, החליט הנאשם לצאת ללבנון לצורך השתתפותו במחנה צעירים ערבים שאורכו כ</w:t>
      </w:r>
      <w:r>
        <w:rPr>
          <w:rFonts w:hint="cs"/>
          <w:sz w:val="26"/>
          <w:szCs w:val="26"/>
          <w:rtl/>
        </w:rPr>
        <w:t>-</w:t>
      </w:r>
      <w:r w:rsidRPr="002478BE">
        <w:rPr>
          <w:rFonts w:hint="cs"/>
          <w:sz w:val="26"/>
          <w:szCs w:val="26"/>
          <w:rtl/>
        </w:rPr>
        <w:t xml:space="preserve">10 ימים. </w:t>
      </w:r>
    </w:p>
    <w:p w14:paraId="568866A3" w14:textId="77777777" w:rsidR="00A70AB5" w:rsidRPr="00033381" w:rsidRDefault="00A70AB5" w:rsidP="00A70AB5">
      <w:pPr>
        <w:pStyle w:val="ListParagraph"/>
        <w:numPr>
          <w:ilvl w:val="1"/>
          <w:numId w:val="1"/>
        </w:numPr>
        <w:spacing w:after="160" w:line="360" w:lineRule="auto"/>
        <w:ind w:left="708"/>
        <w:contextualSpacing w:val="0"/>
        <w:jc w:val="both"/>
        <w:rPr>
          <w:rFonts w:ascii="Arial" w:hAnsi="Arial"/>
          <w:sz w:val="26"/>
          <w:szCs w:val="26"/>
        </w:rPr>
      </w:pPr>
      <w:r w:rsidRPr="002478BE">
        <w:rPr>
          <w:rFonts w:hint="cs"/>
          <w:sz w:val="26"/>
          <w:szCs w:val="26"/>
          <w:rtl/>
        </w:rPr>
        <w:t xml:space="preserve">בתאריך 25.7.15 בשעה 11:30 לערך יצא הנאשם לירדן דרך מעבר יבשתי </w:t>
      </w:r>
      <w:r>
        <w:rPr>
          <w:sz w:val="26"/>
          <w:szCs w:val="26"/>
          <w:rtl/>
        </w:rPr>
        <w:t>–</w:t>
      </w:r>
      <w:r>
        <w:rPr>
          <w:rFonts w:hint="cs"/>
          <w:sz w:val="26"/>
          <w:szCs w:val="26"/>
          <w:rtl/>
        </w:rPr>
        <w:t xml:space="preserve"> </w:t>
      </w:r>
      <w:r w:rsidRPr="002478BE">
        <w:rPr>
          <w:rFonts w:hint="cs"/>
          <w:sz w:val="26"/>
          <w:szCs w:val="26"/>
          <w:rtl/>
        </w:rPr>
        <w:t>גשר אלנבי. כעבור 3 ימים</w:t>
      </w:r>
      <w:r>
        <w:rPr>
          <w:rFonts w:hint="cs"/>
          <w:sz w:val="26"/>
          <w:szCs w:val="26"/>
          <w:rtl/>
        </w:rPr>
        <w:t>,</w:t>
      </w:r>
      <w:r w:rsidRPr="002478BE">
        <w:rPr>
          <w:rFonts w:hint="cs"/>
          <w:sz w:val="26"/>
          <w:szCs w:val="26"/>
          <w:rtl/>
        </w:rPr>
        <w:t xml:space="preserve"> ביום 28.7.15, במועד שאינו ידוע במדויק למאשימה, טס הנאשם מירדן ללבנון. במהלך השתתפות</w:t>
      </w:r>
      <w:r>
        <w:rPr>
          <w:rFonts w:hint="cs"/>
          <w:sz w:val="26"/>
          <w:szCs w:val="26"/>
          <w:rtl/>
        </w:rPr>
        <w:t>ו</w:t>
      </w:r>
      <w:r w:rsidRPr="002478BE">
        <w:rPr>
          <w:rFonts w:hint="cs"/>
          <w:sz w:val="26"/>
          <w:szCs w:val="26"/>
          <w:rtl/>
        </w:rPr>
        <w:t xml:space="preserve"> במחנה, ביקר הנאשם בפארק מליטה, </w:t>
      </w:r>
      <w:r w:rsidRPr="002478BE">
        <w:rPr>
          <w:rFonts w:hint="cs"/>
          <w:sz w:val="26"/>
          <w:szCs w:val="26"/>
          <w:rtl/>
        </w:rPr>
        <w:lastRenderedPageBreak/>
        <w:t>מוזיאון השייך לארגון החיזבאללה. במוזיאון קיבל הנאשם הסבר על פעולותיו של החיזבאללה במלחמת לבנון בשנת 2006 נגד ישראל, צפה בסרט המתאר את ההיסטוריה של פעולות חיזבאללה נגד ישראל, צ</w:t>
      </w:r>
      <w:r>
        <w:rPr>
          <w:rFonts w:hint="cs"/>
          <w:sz w:val="26"/>
          <w:szCs w:val="26"/>
          <w:rtl/>
        </w:rPr>
        <w:t xml:space="preserve">פה בסרט המתאר את מלחמת לבנון בשנת </w:t>
      </w:r>
      <w:r w:rsidRPr="002478BE">
        <w:rPr>
          <w:rFonts w:hint="cs"/>
          <w:sz w:val="26"/>
          <w:szCs w:val="26"/>
          <w:rtl/>
        </w:rPr>
        <w:t>2006, ראה אמצעי לחימה של חיזבאללה וכן שאריות של טנקים ומסוקים ישראליים, ס</w:t>
      </w:r>
      <w:r>
        <w:rPr>
          <w:rFonts w:hint="cs"/>
          <w:sz w:val="26"/>
          <w:szCs w:val="26"/>
          <w:rtl/>
        </w:rPr>
        <w:t>י</w:t>
      </w:r>
      <w:r w:rsidRPr="002478BE">
        <w:rPr>
          <w:rFonts w:hint="cs"/>
          <w:sz w:val="26"/>
          <w:szCs w:val="26"/>
          <w:rtl/>
        </w:rPr>
        <w:t>יר במנהרה המדגימה את המנהרות דרכ</w:t>
      </w:r>
      <w:r>
        <w:rPr>
          <w:rFonts w:hint="cs"/>
          <w:sz w:val="26"/>
          <w:szCs w:val="26"/>
          <w:rtl/>
        </w:rPr>
        <w:t>ן</w:t>
      </w:r>
      <w:r w:rsidRPr="002478BE">
        <w:rPr>
          <w:rFonts w:hint="cs"/>
          <w:sz w:val="26"/>
          <w:szCs w:val="26"/>
          <w:rtl/>
        </w:rPr>
        <w:t xml:space="preserve"> תקפו אנשי החיזבאללה את ישראל, וכן סייר במיצגים של חדרי לוחמים של חיזבאללה וחדר המיועד לשבי ישראלים. </w:t>
      </w:r>
      <w:r w:rsidRPr="00F045F7">
        <w:rPr>
          <w:rFonts w:hint="cs"/>
          <w:sz w:val="26"/>
          <w:szCs w:val="26"/>
          <w:rtl/>
        </w:rPr>
        <w:t>ביום 8.8.15</w:t>
      </w:r>
      <w:r>
        <w:rPr>
          <w:rFonts w:hint="cs"/>
          <w:sz w:val="26"/>
          <w:szCs w:val="26"/>
          <w:rtl/>
        </w:rPr>
        <w:t>,</w:t>
      </w:r>
      <w:r w:rsidRPr="00F045F7">
        <w:rPr>
          <w:rFonts w:hint="cs"/>
          <w:sz w:val="26"/>
          <w:szCs w:val="26"/>
          <w:rtl/>
        </w:rPr>
        <w:t xml:space="preserve"> עם סיום המחנה, שכר הנאשם חדר בביירות ושהה שם יומיים נוספים. ביום 10.8.15 טס הנאשם מלבנון לירדן</w:t>
      </w:r>
      <w:r>
        <w:rPr>
          <w:rFonts w:hint="cs"/>
          <w:sz w:val="26"/>
          <w:szCs w:val="26"/>
          <w:rtl/>
        </w:rPr>
        <w:t>,</w:t>
      </w:r>
      <w:r w:rsidRPr="00F045F7">
        <w:rPr>
          <w:rFonts w:hint="cs"/>
          <w:sz w:val="26"/>
          <w:szCs w:val="26"/>
          <w:rtl/>
        </w:rPr>
        <w:t xml:space="preserve"> וביום 11.8.15 בשעה 13:00 נכנס הנאשם לישראל דרך מעבר יבשתי גשר אלנבי. </w:t>
      </w:r>
    </w:p>
    <w:p w14:paraId="49D66DC8" w14:textId="77777777" w:rsidR="00A70AB5" w:rsidRPr="00033381" w:rsidRDefault="00A70AB5" w:rsidP="00A70AB5">
      <w:pPr>
        <w:pStyle w:val="ListParagraph"/>
        <w:numPr>
          <w:ilvl w:val="1"/>
          <w:numId w:val="1"/>
        </w:numPr>
        <w:spacing w:after="160" w:line="360" w:lineRule="auto"/>
        <w:ind w:left="708"/>
        <w:contextualSpacing w:val="0"/>
        <w:jc w:val="both"/>
        <w:rPr>
          <w:rFonts w:ascii="Arial" w:hAnsi="Arial"/>
          <w:sz w:val="26"/>
          <w:szCs w:val="26"/>
        </w:rPr>
      </w:pPr>
      <w:bookmarkStart w:id="6" w:name="ABSTRACT_START"/>
      <w:bookmarkEnd w:id="6"/>
      <w:r>
        <w:rPr>
          <w:rFonts w:hint="cs"/>
          <w:sz w:val="26"/>
          <w:szCs w:val="26"/>
          <w:rtl/>
        </w:rPr>
        <w:t xml:space="preserve">על פי האישום, </w:t>
      </w:r>
      <w:r w:rsidRPr="00033381">
        <w:rPr>
          <w:rFonts w:hint="cs"/>
          <w:sz w:val="26"/>
          <w:szCs w:val="26"/>
          <w:rtl/>
        </w:rPr>
        <w:t xml:space="preserve">במעשיו המתוארים לעיל, יצא הנאשם ביודעין ושלא כדין, מישראל ללבנון. </w:t>
      </w:r>
    </w:p>
    <w:p w14:paraId="423E6115" w14:textId="77777777" w:rsidR="00A70AB5" w:rsidRPr="00033381" w:rsidRDefault="00A70AB5" w:rsidP="00A70AB5">
      <w:pPr>
        <w:pStyle w:val="ListParagraph"/>
        <w:numPr>
          <w:ilvl w:val="1"/>
          <w:numId w:val="1"/>
        </w:numPr>
        <w:spacing w:after="160" w:line="360" w:lineRule="auto"/>
        <w:ind w:left="708"/>
        <w:contextualSpacing w:val="0"/>
        <w:jc w:val="both"/>
        <w:rPr>
          <w:rFonts w:ascii="Arial" w:hAnsi="Arial"/>
          <w:sz w:val="26"/>
          <w:szCs w:val="26"/>
        </w:rPr>
      </w:pPr>
      <w:r w:rsidRPr="00033381">
        <w:rPr>
          <w:rFonts w:ascii="Arial" w:hAnsi="Arial" w:hint="cs"/>
          <w:sz w:val="26"/>
          <w:szCs w:val="26"/>
          <w:rtl/>
        </w:rPr>
        <w:t>בגין זאת הו</w:t>
      </w:r>
      <w:r>
        <w:rPr>
          <w:rFonts w:ascii="Arial" w:hAnsi="Arial" w:hint="cs"/>
          <w:sz w:val="26"/>
          <w:szCs w:val="26"/>
          <w:rtl/>
        </w:rPr>
        <w:t>אשם</w:t>
      </w:r>
      <w:r w:rsidRPr="00033381">
        <w:rPr>
          <w:rFonts w:ascii="Arial" w:hAnsi="Arial" w:hint="cs"/>
          <w:sz w:val="26"/>
          <w:szCs w:val="26"/>
          <w:rtl/>
        </w:rPr>
        <w:t xml:space="preserve"> הנאשם ביצי</w:t>
      </w:r>
      <w:r>
        <w:rPr>
          <w:rFonts w:ascii="Arial" w:hAnsi="Arial" w:hint="cs"/>
          <w:sz w:val="26"/>
          <w:szCs w:val="26"/>
          <w:rtl/>
        </w:rPr>
        <w:t xml:space="preserve">אה שלא כדין, עבירה לפי </w:t>
      </w:r>
      <w:hyperlink r:id="rId30" w:history="1">
        <w:r w:rsidR="003704D8" w:rsidRPr="003704D8">
          <w:rPr>
            <w:rFonts w:ascii="Arial" w:hAnsi="Arial"/>
            <w:color w:val="0000FF"/>
            <w:sz w:val="26"/>
            <w:szCs w:val="26"/>
            <w:u w:val="single"/>
            <w:rtl/>
          </w:rPr>
          <w:t>סעיף 2א</w:t>
        </w:r>
      </w:hyperlink>
      <w:r>
        <w:rPr>
          <w:rFonts w:ascii="Arial" w:hAnsi="Arial" w:hint="cs"/>
          <w:sz w:val="26"/>
          <w:szCs w:val="26"/>
          <w:rtl/>
        </w:rPr>
        <w:t xml:space="preserve"> ב</w:t>
      </w:r>
      <w:hyperlink r:id="rId31" w:history="1">
        <w:r w:rsidR="00DF2BC8" w:rsidRPr="00DF2BC8">
          <w:rPr>
            <w:rFonts w:ascii="Arial" w:hAnsi="Arial"/>
            <w:color w:val="0000FF"/>
            <w:sz w:val="26"/>
            <w:szCs w:val="26"/>
            <w:u w:val="single"/>
            <w:rtl/>
          </w:rPr>
          <w:t>חוק למניעת הסתננות (עבירות ושיפוט)</w:t>
        </w:r>
      </w:hyperlink>
      <w:r w:rsidRPr="00033381">
        <w:rPr>
          <w:rFonts w:ascii="Arial" w:hAnsi="Arial" w:hint="cs"/>
          <w:sz w:val="26"/>
          <w:szCs w:val="26"/>
          <w:rtl/>
        </w:rPr>
        <w:t>, תשי"ד-1954.</w:t>
      </w:r>
    </w:p>
    <w:p w14:paraId="6E1F2AC8" w14:textId="77777777" w:rsidR="00A70AB5" w:rsidRDefault="00A70AB5" w:rsidP="00A70AB5">
      <w:pPr>
        <w:pStyle w:val="ListParagraph"/>
        <w:numPr>
          <w:ilvl w:val="0"/>
          <w:numId w:val="1"/>
        </w:numPr>
        <w:spacing w:after="160" w:line="360" w:lineRule="auto"/>
        <w:ind w:left="283"/>
        <w:contextualSpacing w:val="0"/>
        <w:jc w:val="both"/>
        <w:rPr>
          <w:sz w:val="26"/>
          <w:szCs w:val="26"/>
        </w:rPr>
      </w:pPr>
      <w:bookmarkStart w:id="7" w:name="ABSTRACT_END"/>
      <w:bookmarkEnd w:id="7"/>
      <w:r w:rsidRPr="00646DFD">
        <w:rPr>
          <w:rFonts w:hint="cs"/>
          <w:b/>
          <w:bCs/>
          <w:sz w:val="26"/>
          <w:szCs w:val="26"/>
          <w:u w:val="single"/>
          <w:rtl/>
        </w:rPr>
        <w:t>אישום שני</w:t>
      </w:r>
      <w:r w:rsidRPr="00646DFD">
        <w:rPr>
          <w:rFonts w:hint="cs"/>
          <w:sz w:val="26"/>
          <w:szCs w:val="26"/>
          <w:rtl/>
        </w:rPr>
        <w:t>: במהלך השנים 2014 ו</w:t>
      </w:r>
      <w:r>
        <w:rPr>
          <w:rFonts w:hint="cs"/>
          <w:sz w:val="26"/>
          <w:szCs w:val="26"/>
          <w:rtl/>
        </w:rPr>
        <w:t>-</w:t>
      </w:r>
      <w:r w:rsidRPr="00646DFD">
        <w:rPr>
          <w:rFonts w:hint="cs"/>
          <w:sz w:val="26"/>
          <w:szCs w:val="26"/>
          <w:rtl/>
        </w:rPr>
        <w:t>2015</w:t>
      </w:r>
      <w:r>
        <w:rPr>
          <w:rFonts w:hint="cs"/>
          <w:sz w:val="26"/>
          <w:szCs w:val="26"/>
          <w:rtl/>
        </w:rPr>
        <w:t>,</w:t>
      </w:r>
      <w:r w:rsidRPr="00646DFD">
        <w:rPr>
          <w:rFonts w:hint="cs"/>
          <w:sz w:val="26"/>
          <w:szCs w:val="26"/>
          <w:rtl/>
        </w:rPr>
        <w:t xml:space="preserve"> במספר הזדמנויות שונ</w:t>
      </w:r>
      <w:r>
        <w:rPr>
          <w:rFonts w:hint="cs"/>
          <w:sz w:val="26"/>
          <w:szCs w:val="26"/>
          <w:rtl/>
        </w:rPr>
        <w:t>ות, השתתף הנאשם בהתפרעויות שכוונו</w:t>
      </w:r>
      <w:r w:rsidRPr="00646DFD">
        <w:rPr>
          <w:rFonts w:hint="cs"/>
          <w:sz w:val="26"/>
          <w:szCs w:val="26"/>
          <w:rtl/>
        </w:rPr>
        <w:t xml:space="preserve"> נגד כוחות הביטחון, במהלכן יידה אבנים</w:t>
      </w:r>
      <w:r>
        <w:rPr>
          <w:rFonts w:hint="cs"/>
          <w:sz w:val="26"/>
          <w:szCs w:val="26"/>
          <w:rtl/>
        </w:rPr>
        <w:t>,</w:t>
      </w:r>
      <w:r w:rsidRPr="00646DFD">
        <w:rPr>
          <w:rFonts w:hint="cs"/>
          <w:sz w:val="26"/>
          <w:szCs w:val="26"/>
          <w:rtl/>
        </w:rPr>
        <w:t xml:space="preserve"> ירה זיקוקים ויידה בקבוקי תבערה, הכל המפורט להלן:</w:t>
      </w:r>
    </w:p>
    <w:p w14:paraId="3CB937C9" w14:textId="77777777" w:rsidR="00A70AB5" w:rsidRDefault="00A70AB5" w:rsidP="00A70AB5">
      <w:pPr>
        <w:pStyle w:val="ListParagraph"/>
        <w:numPr>
          <w:ilvl w:val="1"/>
          <w:numId w:val="1"/>
        </w:numPr>
        <w:spacing w:after="160" w:line="360" w:lineRule="auto"/>
        <w:ind w:left="708"/>
        <w:contextualSpacing w:val="0"/>
        <w:jc w:val="both"/>
        <w:rPr>
          <w:sz w:val="26"/>
          <w:szCs w:val="26"/>
        </w:rPr>
      </w:pPr>
      <w:r w:rsidRPr="00331FA8">
        <w:rPr>
          <w:rFonts w:hint="cs"/>
          <w:sz w:val="26"/>
          <w:szCs w:val="26"/>
          <w:u w:val="single"/>
          <w:rtl/>
        </w:rPr>
        <w:t>ביום 4.7.14,</w:t>
      </w:r>
      <w:r w:rsidRPr="00646DFD">
        <w:rPr>
          <w:rFonts w:hint="cs"/>
          <w:sz w:val="26"/>
          <w:szCs w:val="26"/>
          <w:rtl/>
        </w:rPr>
        <w:t xml:space="preserve"> יום לוויית מוחמד אבו ח</w:t>
      </w:r>
      <w:r>
        <w:rPr>
          <w:rFonts w:hint="cs"/>
          <w:sz w:val="26"/>
          <w:szCs w:val="26"/>
          <w:rtl/>
        </w:rPr>
        <w:t>'</w:t>
      </w:r>
      <w:r w:rsidRPr="00646DFD">
        <w:rPr>
          <w:rFonts w:hint="cs"/>
          <w:sz w:val="26"/>
          <w:szCs w:val="26"/>
          <w:rtl/>
        </w:rPr>
        <w:t>דיר, בשעות הצהריים בשעה שאינה ידועה במדויק למאשימה, השתתף הנאשם בהתקהלות אסורה יחד עם אנשים נוספים לשם הפרות סדר, באזור הסמוך לאוהל האבלים בשועפט. במהלך ההתפרעות, י</w:t>
      </w:r>
      <w:r>
        <w:rPr>
          <w:rFonts w:hint="cs"/>
          <w:sz w:val="26"/>
          <w:szCs w:val="26"/>
          <w:rtl/>
        </w:rPr>
        <w:t>ידה הנאשם יחד עם פאדי דוויאת ו</w:t>
      </w:r>
      <w:r w:rsidRPr="00646DFD">
        <w:rPr>
          <w:rFonts w:hint="cs"/>
          <w:sz w:val="26"/>
          <w:szCs w:val="26"/>
          <w:rtl/>
        </w:rPr>
        <w:t>פאדי דאהר</w:t>
      </w:r>
      <w:r>
        <w:rPr>
          <w:rFonts w:hint="cs"/>
          <w:sz w:val="26"/>
          <w:szCs w:val="26"/>
          <w:rtl/>
        </w:rPr>
        <w:t>,</w:t>
      </w:r>
      <w:r w:rsidRPr="00646DFD">
        <w:rPr>
          <w:rFonts w:hint="cs"/>
          <w:sz w:val="26"/>
          <w:szCs w:val="26"/>
          <w:rtl/>
        </w:rPr>
        <w:t xml:space="preserve"> בצוותא חדא</w:t>
      </w:r>
      <w:r>
        <w:rPr>
          <w:rFonts w:hint="cs"/>
          <w:sz w:val="26"/>
          <w:szCs w:val="26"/>
          <w:rtl/>
        </w:rPr>
        <w:t>,</w:t>
      </w:r>
      <w:r w:rsidRPr="00646DFD">
        <w:rPr>
          <w:rFonts w:hint="cs"/>
          <w:sz w:val="26"/>
          <w:szCs w:val="26"/>
          <w:rtl/>
        </w:rPr>
        <w:t xml:space="preserve"> 5 בקבוקי תבעירה, לעבר כוחות הביטחון</w:t>
      </w:r>
      <w:r>
        <w:rPr>
          <w:rFonts w:hint="cs"/>
          <w:sz w:val="26"/>
          <w:szCs w:val="26"/>
          <w:rtl/>
        </w:rPr>
        <w:t>,</w:t>
      </w:r>
      <w:r w:rsidRPr="00646DFD">
        <w:rPr>
          <w:rFonts w:hint="cs"/>
          <w:sz w:val="26"/>
          <w:szCs w:val="26"/>
          <w:rtl/>
        </w:rPr>
        <w:t xml:space="preserve"> שעמדו במרחק של כ</w:t>
      </w:r>
      <w:r>
        <w:rPr>
          <w:rFonts w:hint="cs"/>
          <w:sz w:val="26"/>
          <w:szCs w:val="26"/>
          <w:rtl/>
        </w:rPr>
        <w:t>-150 מטר.</w:t>
      </w:r>
      <w:r w:rsidRPr="00646DFD">
        <w:rPr>
          <w:rFonts w:hint="cs"/>
          <w:sz w:val="26"/>
          <w:szCs w:val="26"/>
          <w:rtl/>
        </w:rPr>
        <w:t xml:space="preserve"> כך שהנאשם יידה בקבוק תבערה אחד, פאדי דוויאת יידה 2 בקבוקי תבערה ופא</w:t>
      </w:r>
      <w:r>
        <w:rPr>
          <w:rFonts w:hint="cs"/>
          <w:sz w:val="26"/>
          <w:szCs w:val="26"/>
          <w:rtl/>
        </w:rPr>
        <w:t>ד</w:t>
      </w:r>
      <w:r w:rsidRPr="00646DFD">
        <w:rPr>
          <w:rFonts w:hint="cs"/>
          <w:sz w:val="26"/>
          <w:szCs w:val="26"/>
          <w:rtl/>
        </w:rPr>
        <w:t xml:space="preserve">י מאהר יידה 2 בקבוקי תבערה נוספים. </w:t>
      </w:r>
    </w:p>
    <w:p w14:paraId="289E010C" w14:textId="77777777" w:rsidR="00A70AB5" w:rsidRDefault="00A70AB5" w:rsidP="00A70AB5">
      <w:pPr>
        <w:pStyle w:val="ListParagraph"/>
        <w:spacing w:after="160" w:line="360" w:lineRule="auto"/>
        <w:ind w:left="708"/>
        <w:contextualSpacing w:val="0"/>
        <w:jc w:val="both"/>
        <w:rPr>
          <w:sz w:val="26"/>
          <w:szCs w:val="26"/>
        </w:rPr>
      </w:pPr>
      <w:r w:rsidRPr="00646DFD">
        <w:rPr>
          <w:rFonts w:hint="cs"/>
          <w:sz w:val="26"/>
          <w:szCs w:val="26"/>
          <w:rtl/>
        </w:rPr>
        <w:t>במועד הסמוך ללווייתו של אבו ח</w:t>
      </w:r>
      <w:r>
        <w:rPr>
          <w:rFonts w:hint="cs"/>
          <w:sz w:val="26"/>
          <w:szCs w:val="26"/>
          <w:rtl/>
        </w:rPr>
        <w:t>'</w:t>
      </w:r>
      <w:r w:rsidRPr="00646DFD">
        <w:rPr>
          <w:rFonts w:hint="cs"/>
          <w:sz w:val="26"/>
          <w:szCs w:val="26"/>
          <w:rtl/>
        </w:rPr>
        <w:t>דיר, בשעות אחר הצהריים, השתתף הנאשם בהתקהלות אסורה יחד עם לפחות 3 אנשים נוספים לשם הפרות סדר, באזור הסמוך לאוהל האבלים בשועפט. במהלך ההתפרעות יידה הנאשם אבנים וירה זיקוקים לעבר כוח</w:t>
      </w:r>
      <w:r>
        <w:rPr>
          <w:rFonts w:hint="cs"/>
          <w:sz w:val="26"/>
          <w:szCs w:val="26"/>
          <w:rtl/>
        </w:rPr>
        <w:t>ות הביטחון שעמדו במרחק של 150 מטר</w:t>
      </w:r>
      <w:r w:rsidRPr="00646DFD">
        <w:rPr>
          <w:rFonts w:hint="cs"/>
          <w:sz w:val="26"/>
          <w:szCs w:val="26"/>
          <w:rtl/>
        </w:rPr>
        <w:t xml:space="preserve"> לערך מהנאשם.</w:t>
      </w:r>
    </w:p>
    <w:p w14:paraId="509AF9D5" w14:textId="77777777" w:rsidR="00A70AB5" w:rsidRDefault="00A70AB5" w:rsidP="00A70AB5">
      <w:pPr>
        <w:pStyle w:val="ListParagraph"/>
        <w:numPr>
          <w:ilvl w:val="1"/>
          <w:numId w:val="1"/>
        </w:numPr>
        <w:spacing w:after="160" w:line="360" w:lineRule="auto"/>
        <w:ind w:left="708"/>
        <w:contextualSpacing w:val="0"/>
        <w:jc w:val="both"/>
        <w:rPr>
          <w:sz w:val="26"/>
          <w:szCs w:val="26"/>
        </w:rPr>
      </w:pPr>
      <w:r w:rsidRPr="00331FA8">
        <w:rPr>
          <w:rFonts w:hint="cs"/>
          <w:sz w:val="26"/>
          <w:szCs w:val="26"/>
          <w:u w:val="single"/>
          <w:rtl/>
        </w:rPr>
        <w:t>ביום 24.7.14</w:t>
      </w:r>
      <w:r>
        <w:rPr>
          <w:rFonts w:hint="cs"/>
          <w:sz w:val="26"/>
          <w:szCs w:val="26"/>
          <w:rtl/>
        </w:rPr>
        <w:t>,</w:t>
      </w:r>
      <w:r w:rsidRPr="00646DFD">
        <w:rPr>
          <w:rFonts w:hint="cs"/>
          <w:sz w:val="26"/>
          <w:szCs w:val="26"/>
          <w:rtl/>
        </w:rPr>
        <w:t xml:space="preserve"> המכונה "לילת אל קאדר", בשעה שאינה ידועה במדויק למאשימה, השתתף הנאשם בהתקהלות אסור</w:t>
      </w:r>
      <w:r>
        <w:rPr>
          <w:rFonts w:hint="cs"/>
          <w:sz w:val="26"/>
          <w:szCs w:val="26"/>
          <w:rtl/>
        </w:rPr>
        <w:t>ה יחד עם ע</w:t>
      </w:r>
      <w:r w:rsidRPr="00646DFD">
        <w:rPr>
          <w:rFonts w:hint="cs"/>
          <w:sz w:val="26"/>
          <w:szCs w:val="26"/>
          <w:rtl/>
        </w:rPr>
        <w:t xml:space="preserve">שרות אנשים נוספים לשם הפרות סדר, במתחם הר הבית בירושלים. במהלך ההתפרעות יודו אבנים וזיקוקים לעבר כוחות </w:t>
      </w:r>
      <w:r w:rsidRPr="00646DFD">
        <w:rPr>
          <w:rFonts w:hint="cs"/>
          <w:sz w:val="26"/>
          <w:szCs w:val="26"/>
          <w:rtl/>
        </w:rPr>
        <w:lastRenderedPageBreak/>
        <w:t>הביטחון וכן נפרצה תחנת המשטרה הסמוכה על ידי מתפרעים ששברו והציתו את הציוד במקום. הנאשם נכנס למקום ולקח מתחנת המשטרה מגן השייך למשטרת ישראל, וזאת ללא הסכמה ו</w:t>
      </w:r>
      <w:r>
        <w:rPr>
          <w:rFonts w:hint="cs"/>
          <w:sz w:val="26"/>
          <w:szCs w:val="26"/>
          <w:rtl/>
        </w:rPr>
        <w:t>כשהוא מתכוון לשלול את הדבר מבעלו</w:t>
      </w:r>
      <w:r w:rsidRPr="00646DFD">
        <w:rPr>
          <w:rFonts w:hint="cs"/>
          <w:sz w:val="26"/>
          <w:szCs w:val="26"/>
          <w:rtl/>
        </w:rPr>
        <w:t xml:space="preserve"> שלילת קבע. </w:t>
      </w:r>
    </w:p>
    <w:p w14:paraId="646F3D5D" w14:textId="77777777" w:rsidR="00A70AB5" w:rsidRDefault="00A70AB5" w:rsidP="00A70AB5">
      <w:pPr>
        <w:pStyle w:val="ListParagraph"/>
        <w:numPr>
          <w:ilvl w:val="1"/>
          <w:numId w:val="1"/>
        </w:numPr>
        <w:spacing w:after="160" w:line="360" w:lineRule="auto"/>
        <w:ind w:left="708"/>
        <w:contextualSpacing w:val="0"/>
        <w:jc w:val="both"/>
        <w:rPr>
          <w:sz w:val="26"/>
          <w:szCs w:val="26"/>
        </w:rPr>
      </w:pPr>
      <w:r w:rsidRPr="004B0CAB">
        <w:rPr>
          <w:rFonts w:hint="cs"/>
          <w:sz w:val="26"/>
          <w:szCs w:val="26"/>
          <w:u w:val="single"/>
          <w:rtl/>
        </w:rPr>
        <w:t>ביום 20.5.15,</w:t>
      </w:r>
      <w:r w:rsidRPr="009B4780">
        <w:rPr>
          <w:rFonts w:hint="cs"/>
          <w:sz w:val="26"/>
          <w:szCs w:val="26"/>
          <w:rtl/>
        </w:rPr>
        <w:t xml:space="preserve"> היום בו נורה עמר אבו דהים שביצע פיגוע דריסה בא-טור, בשעה שאינה ידועה במדויק למאשימה, בג'בל מוכבר, השתתף הנאשם בהתקהלות אסורה יחד עם עשרות אנשים נוספים לשם הפרות הסדר</w:t>
      </w:r>
      <w:r>
        <w:rPr>
          <w:rFonts w:hint="cs"/>
          <w:sz w:val="26"/>
          <w:szCs w:val="26"/>
          <w:rtl/>
        </w:rPr>
        <w:t>.</w:t>
      </w:r>
      <w:r w:rsidRPr="009B4780">
        <w:rPr>
          <w:rFonts w:hint="cs"/>
          <w:sz w:val="26"/>
          <w:szCs w:val="26"/>
          <w:rtl/>
        </w:rPr>
        <w:t xml:space="preserve"> במהלך ההתפרעות יידה הנאשם, יחד עם אחרים, אבנים לעבר כוחות הביטחון. </w:t>
      </w:r>
    </w:p>
    <w:p w14:paraId="1A920296" w14:textId="77777777" w:rsidR="00A70AB5" w:rsidRDefault="00A70AB5" w:rsidP="00A70AB5">
      <w:pPr>
        <w:pStyle w:val="ListParagraph"/>
        <w:numPr>
          <w:ilvl w:val="1"/>
          <w:numId w:val="1"/>
        </w:numPr>
        <w:spacing w:after="160" w:line="360" w:lineRule="auto"/>
        <w:ind w:left="708"/>
        <w:contextualSpacing w:val="0"/>
        <w:jc w:val="both"/>
        <w:rPr>
          <w:sz w:val="26"/>
          <w:szCs w:val="26"/>
        </w:rPr>
      </w:pPr>
      <w:r>
        <w:rPr>
          <w:rFonts w:hint="cs"/>
          <w:sz w:val="26"/>
          <w:szCs w:val="26"/>
          <w:rtl/>
        </w:rPr>
        <w:t xml:space="preserve">על פי האמור באישום, </w:t>
      </w:r>
      <w:r w:rsidRPr="009B4780">
        <w:rPr>
          <w:rFonts w:hint="cs"/>
          <w:sz w:val="26"/>
          <w:szCs w:val="26"/>
          <w:rtl/>
        </w:rPr>
        <w:t xml:space="preserve">במעשיו המתוארים לעיל, ניסה הנאשם בצוותא חדא, לשלח אש במזיד בדבר לא לו; החזיק הנאשם נשק בלא רשות על פי דין להחזיקו; ניסה הנאשם </w:t>
      </w:r>
      <w:r>
        <w:rPr>
          <w:rFonts w:hint="cs"/>
          <w:sz w:val="26"/>
          <w:szCs w:val="26"/>
          <w:rtl/>
        </w:rPr>
        <w:t xml:space="preserve">ב-4 </w:t>
      </w:r>
      <w:r w:rsidRPr="009B4780">
        <w:rPr>
          <w:rFonts w:hint="cs"/>
          <w:sz w:val="26"/>
          <w:szCs w:val="26"/>
          <w:rtl/>
        </w:rPr>
        <w:t>הזדמנויות שונות, לתקוף, בצוותא חדא</w:t>
      </w:r>
      <w:r>
        <w:rPr>
          <w:rFonts w:hint="cs"/>
          <w:sz w:val="26"/>
          <w:szCs w:val="26"/>
          <w:rtl/>
        </w:rPr>
        <w:t>,</w:t>
      </w:r>
      <w:r w:rsidRPr="009B4780">
        <w:rPr>
          <w:rFonts w:hint="cs"/>
          <w:sz w:val="26"/>
          <w:szCs w:val="26"/>
          <w:rtl/>
        </w:rPr>
        <w:t xml:space="preserve"> שוטרים בעת מילוי תפקידם כחוק</w:t>
      </w:r>
      <w:r>
        <w:rPr>
          <w:rFonts w:hint="cs"/>
          <w:sz w:val="26"/>
          <w:szCs w:val="26"/>
          <w:rtl/>
        </w:rPr>
        <w:t>,</w:t>
      </w:r>
      <w:r w:rsidRPr="009B4780">
        <w:rPr>
          <w:rFonts w:hint="cs"/>
          <w:sz w:val="26"/>
          <w:szCs w:val="26"/>
          <w:rtl/>
        </w:rPr>
        <w:t xml:space="preserve"> בכוונה להכשיל את השוטרים בתפקידם או למנוע או להפריע אות</w:t>
      </w:r>
      <w:r>
        <w:rPr>
          <w:rFonts w:hint="cs"/>
          <w:sz w:val="26"/>
          <w:szCs w:val="26"/>
          <w:rtl/>
        </w:rPr>
        <w:t>ם מלמלאו, תוך שהוא מזוין בנשק ק</w:t>
      </w:r>
      <w:r w:rsidRPr="009B4780">
        <w:rPr>
          <w:rFonts w:hint="cs"/>
          <w:sz w:val="26"/>
          <w:szCs w:val="26"/>
          <w:rtl/>
        </w:rPr>
        <w:t>ר ובצוותא של יותר משני אנשים; עשה הנאשם</w:t>
      </w:r>
      <w:r>
        <w:rPr>
          <w:rFonts w:hint="cs"/>
          <w:sz w:val="26"/>
          <w:szCs w:val="26"/>
          <w:rtl/>
        </w:rPr>
        <w:t xml:space="preserve"> בצותא חדא, מעשה באש או בחומר נ</w:t>
      </w:r>
      <w:r w:rsidRPr="009B4780">
        <w:rPr>
          <w:rFonts w:hint="cs"/>
          <w:sz w:val="26"/>
          <w:szCs w:val="26"/>
          <w:rtl/>
        </w:rPr>
        <w:t>פיץ בדרך נמהרת או רשלנית שיש בה לסכן חיי אדם או לגרום לו חבלה; השתתף הנאשם ב</w:t>
      </w:r>
      <w:r>
        <w:rPr>
          <w:rFonts w:hint="cs"/>
          <w:sz w:val="26"/>
          <w:szCs w:val="26"/>
          <w:rtl/>
        </w:rPr>
        <w:t>-3</w:t>
      </w:r>
      <w:r w:rsidRPr="009B4780">
        <w:rPr>
          <w:rFonts w:hint="cs"/>
          <w:sz w:val="26"/>
          <w:szCs w:val="26"/>
          <w:rtl/>
        </w:rPr>
        <w:t xml:space="preserve"> הזדמנויות בהתקהלות אסורה</w:t>
      </w:r>
      <w:r>
        <w:rPr>
          <w:rFonts w:hint="cs"/>
          <w:sz w:val="26"/>
          <w:szCs w:val="26"/>
          <w:rtl/>
        </w:rPr>
        <w:t xml:space="preserve"> </w:t>
      </w:r>
      <w:r w:rsidRPr="009B4780">
        <w:rPr>
          <w:rFonts w:hint="cs"/>
          <w:sz w:val="26"/>
          <w:szCs w:val="26"/>
          <w:rtl/>
        </w:rPr>
        <w:t>שהחלו לבצע בה את מטרתה בהפרת השלום, שיש בה להטיל אימה על הציבור; הנאשם נשא ונטל דבר הניתן לה</w:t>
      </w:r>
      <w:r>
        <w:rPr>
          <w:rFonts w:hint="cs"/>
          <w:sz w:val="26"/>
          <w:szCs w:val="26"/>
          <w:rtl/>
        </w:rPr>
        <w:t>י</w:t>
      </w:r>
      <w:r w:rsidRPr="009B4780">
        <w:rPr>
          <w:rFonts w:hint="cs"/>
          <w:sz w:val="26"/>
          <w:szCs w:val="26"/>
          <w:rtl/>
        </w:rPr>
        <w:t>גנב מבלי הסכמת הבעל, כשהוא מתכוון בשעת הנטילה לשלול את הדבר מבעלו של</w:t>
      </w:r>
      <w:r>
        <w:rPr>
          <w:rFonts w:hint="cs"/>
          <w:sz w:val="26"/>
          <w:szCs w:val="26"/>
          <w:rtl/>
        </w:rPr>
        <w:t>י</w:t>
      </w:r>
      <w:r w:rsidRPr="009B4780">
        <w:rPr>
          <w:rFonts w:hint="cs"/>
          <w:sz w:val="26"/>
          <w:szCs w:val="26"/>
          <w:rtl/>
        </w:rPr>
        <w:t xml:space="preserve">לת קבע. כל זאת מתוך מניע לאומני. </w:t>
      </w:r>
    </w:p>
    <w:p w14:paraId="6E79FA3F" w14:textId="77777777" w:rsidR="00A70AB5" w:rsidRDefault="00A70AB5" w:rsidP="00A70AB5">
      <w:pPr>
        <w:pStyle w:val="ListParagraph"/>
        <w:numPr>
          <w:ilvl w:val="1"/>
          <w:numId w:val="1"/>
        </w:numPr>
        <w:spacing w:after="160" w:line="360" w:lineRule="auto"/>
        <w:ind w:left="708"/>
        <w:contextualSpacing w:val="0"/>
        <w:jc w:val="both"/>
        <w:rPr>
          <w:sz w:val="26"/>
          <w:szCs w:val="26"/>
        </w:rPr>
      </w:pPr>
      <w:r w:rsidRPr="00D85F49">
        <w:rPr>
          <w:rFonts w:hint="cs"/>
          <w:sz w:val="26"/>
          <w:szCs w:val="26"/>
          <w:rtl/>
        </w:rPr>
        <w:t>בגין אלו הו</w:t>
      </w:r>
      <w:r>
        <w:rPr>
          <w:rFonts w:hint="cs"/>
          <w:sz w:val="26"/>
          <w:szCs w:val="26"/>
          <w:rtl/>
        </w:rPr>
        <w:t>אשם</w:t>
      </w:r>
      <w:r w:rsidRPr="00D85F49">
        <w:rPr>
          <w:rFonts w:hint="cs"/>
          <w:sz w:val="26"/>
          <w:szCs w:val="26"/>
          <w:rtl/>
        </w:rPr>
        <w:t xml:space="preserve"> הנאשם בניסיון הצתה, עבירה לפי </w:t>
      </w:r>
      <w:hyperlink r:id="rId32" w:history="1">
        <w:r w:rsidR="003704D8" w:rsidRPr="003704D8">
          <w:rPr>
            <w:color w:val="0000FF"/>
            <w:sz w:val="26"/>
            <w:szCs w:val="26"/>
            <w:u w:val="single"/>
            <w:rtl/>
          </w:rPr>
          <w:t>סעיף 448(א)</w:t>
        </w:r>
      </w:hyperlink>
      <w:r w:rsidRPr="00D85F49">
        <w:rPr>
          <w:rFonts w:hint="cs"/>
          <w:sz w:val="26"/>
          <w:szCs w:val="26"/>
          <w:rtl/>
        </w:rPr>
        <w:t xml:space="preserve"> רישא בצירוף </w:t>
      </w:r>
      <w:hyperlink r:id="rId33" w:history="1">
        <w:r w:rsidR="003704D8" w:rsidRPr="003704D8">
          <w:rPr>
            <w:color w:val="0000FF"/>
            <w:sz w:val="26"/>
            <w:szCs w:val="26"/>
            <w:u w:val="single"/>
            <w:rtl/>
          </w:rPr>
          <w:t>סעיף 25</w:t>
        </w:r>
      </w:hyperlink>
      <w:r w:rsidRPr="00D85F49">
        <w:rPr>
          <w:rFonts w:hint="cs"/>
          <w:sz w:val="26"/>
          <w:szCs w:val="26"/>
          <w:rtl/>
        </w:rPr>
        <w:t xml:space="preserve"> </w:t>
      </w:r>
      <w:hyperlink r:id="rId34" w:history="1">
        <w:r w:rsidR="003704D8" w:rsidRPr="003704D8">
          <w:rPr>
            <w:color w:val="0000FF"/>
            <w:sz w:val="26"/>
            <w:szCs w:val="26"/>
            <w:u w:val="single"/>
            <w:rtl/>
          </w:rPr>
          <w:t>וסעיף 29</w:t>
        </w:r>
      </w:hyperlink>
      <w:r w:rsidRPr="00D85F49">
        <w:rPr>
          <w:rFonts w:hint="cs"/>
          <w:sz w:val="26"/>
          <w:szCs w:val="26"/>
          <w:rtl/>
        </w:rPr>
        <w:t xml:space="preserve"> ב</w:t>
      </w:r>
      <w:hyperlink r:id="rId35" w:history="1">
        <w:r w:rsidR="00DF2BC8" w:rsidRPr="00DF2BC8">
          <w:rPr>
            <w:color w:val="0000FF"/>
            <w:sz w:val="26"/>
            <w:szCs w:val="26"/>
            <w:u w:val="single"/>
            <w:rtl/>
          </w:rPr>
          <w:t>חוק העונשין</w:t>
        </w:r>
      </w:hyperlink>
      <w:r>
        <w:rPr>
          <w:rFonts w:hint="cs"/>
          <w:sz w:val="26"/>
          <w:szCs w:val="26"/>
          <w:rtl/>
        </w:rPr>
        <w:t>, התשל"ז-1977 (להלן: "</w:t>
      </w:r>
      <w:r w:rsidRPr="008C2C65">
        <w:rPr>
          <w:rFonts w:hint="cs"/>
          <w:b/>
          <w:bCs/>
          <w:sz w:val="26"/>
          <w:szCs w:val="26"/>
          <w:rtl/>
        </w:rPr>
        <w:t>החוק</w:t>
      </w:r>
      <w:r>
        <w:rPr>
          <w:rFonts w:hint="cs"/>
          <w:sz w:val="26"/>
          <w:szCs w:val="26"/>
          <w:rtl/>
        </w:rPr>
        <w:t>")</w:t>
      </w:r>
      <w:r w:rsidRPr="00D85F49">
        <w:rPr>
          <w:rFonts w:hint="cs"/>
          <w:sz w:val="26"/>
          <w:szCs w:val="26"/>
          <w:rtl/>
        </w:rPr>
        <w:t xml:space="preserve">; החזקת נשק, עבירה לפי </w:t>
      </w:r>
      <w:hyperlink r:id="rId36" w:history="1">
        <w:r w:rsidR="003704D8" w:rsidRPr="003704D8">
          <w:rPr>
            <w:color w:val="0000FF"/>
            <w:sz w:val="26"/>
            <w:szCs w:val="26"/>
            <w:u w:val="single"/>
            <w:rtl/>
          </w:rPr>
          <w:t>סעיף 144(א)</w:t>
        </w:r>
      </w:hyperlink>
      <w:r w:rsidRPr="00D85F49">
        <w:rPr>
          <w:rFonts w:hint="cs"/>
          <w:sz w:val="26"/>
          <w:szCs w:val="26"/>
          <w:rtl/>
        </w:rPr>
        <w:t xml:space="preserve"> רישא בחוק;</w:t>
      </w:r>
      <w:r w:rsidRPr="00D85F49">
        <w:rPr>
          <w:rFonts w:hint="cs"/>
          <w:b/>
          <w:bCs/>
          <w:sz w:val="26"/>
          <w:szCs w:val="26"/>
          <w:rtl/>
        </w:rPr>
        <w:t xml:space="preserve"> </w:t>
      </w:r>
      <w:r w:rsidRPr="00D85F49">
        <w:rPr>
          <w:rFonts w:hint="cs"/>
          <w:sz w:val="26"/>
          <w:szCs w:val="26"/>
          <w:rtl/>
        </w:rPr>
        <w:t>ניס</w:t>
      </w:r>
      <w:r>
        <w:rPr>
          <w:rFonts w:hint="cs"/>
          <w:sz w:val="26"/>
          <w:szCs w:val="26"/>
          <w:rtl/>
        </w:rPr>
        <w:t>י</w:t>
      </w:r>
      <w:r w:rsidRPr="00D85F49">
        <w:rPr>
          <w:rFonts w:hint="cs"/>
          <w:sz w:val="26"/>
          <w:szCs w:val="26"/>
          <w:rtl/>
        </w:rPr>
        <w:t xml:space="preserve">ון לתקיפת שוטר בנסיבות מחמירות, עבירה לפי </w:t>
      </w:r>
      <w:hyperlink r:id="rId37" w:history="1">
        <w:r w:rsidR="003704D8" w:rsidRPr="003704D8">
          <w:rPr>
            <w:color w:val="0000FF"/>
            <w:sz w:val="26"/>
            <w:szCs w:val="26"/>
            <w:u w:val="single"/>
            <w:rtl/>
          </w:rPr>
          <w:t>סעיף 274(1)</w:t>
        </w:r>
      </w:hyperlink>
      <w:r w:rsidRPr="00D85F49">
        <w:rPr>
          <w:rFonts w:hint="cs"/>
          <w:sz w:val="26"/>
          <w:szCs w:val="26"/>
          <w:rtl/>
        </w:rPr>
        <w:t xml:space="preserve"> </w:t>
      </w:r>
      <w:hyperlink r:id="rId38" w:history="1">
        <w:r w:rsidR="003704D8" w:rsidRPr="003704D8">
          <w:rPr>
            <w:rStyle w:val="Hyperlink"/>
            <w:rFonts w:hint="eastAsia"/>
            <w:sz w:val="26"/>
            <w:szCs w:val="26"/>
            <w:rtl/>
          </w:rPr>
          <w:t>וס</w:t>
        </w:r>
        <w:r w:rsidR="003704D8" w:rsidRPr="003704D8">
          <w:rPr>
            <w:rStyle w:val="Hyperlink"/>
            <w:sz w:val="26"/>
            <w:szCs w:val="26"/>
            <w:rtl/>
          </w:rPr>
          <w:t>"ק (2)</w:t>
        </w:r>
      </w:hyperlink>
      <w:r w:rsidRPr="00D85F49">
        <w:rPr>
          <w:rFonts w:hint="cs"/>
          <w:sz w:val="26"/>
          <w:szCs w:val="26"/>
          <w:rtl/>
        </w:rPr>
        <w:t xml:space="preserve"> </w:t>
      </w:r>
      <w:hyperlink r:id="rId39" w:history="1">
        <w:r w:rsidR="003704D8" w:rsidRPr="003704D8">
          <w:rPr>
            <w:rStyle w:val="Hyperlink"/>
            <w:rFonts w:hint="eastAsia"/>
            <w:sz w:val="26"/>
            <w:szCs w:val="26"/>
            <w:rtl/>
          </w:rPr>
          <w:t>וס</w:t>
        </w:r>
        <w:r w:rsidR="003704D8" w:rsidRPr="003704D8">
          <w:rPr>
            <w:rStyle w:val="Hyperlink"/>
            <w:sz w:val="26"/>
            <w:szCs w:val="26"/>
            <w:rtl/>
          </w:rPr>
          <w:t>"ק (3)</w:t>
        </w:r>
      </w:hyperlink>
      <w:r w:rsidRPr="00D85F49">
        <w:rPr>
          <w:rFonts w:hint="cs"/>
          <w:sz w:val="26"/>
          <w:szCs w:val="26"/>
          <w:rtl/>
        </w:rPr>
        <w:t xml:space="preserve"> בצירוף </w:t>
      </w:r>
      <w:hyperlink r:id="rId40" w:history="1">
        <w:r w:rsidR="003704D8" w:rsidRPr="003704D8">
          <w:rPr>
            <w:rStyle w:val="Hyperlink"/>
            <w:rFonts w:hint="eastAsia"/>
            <w:sz w:val="26"/>
            <w:szCs w:val="26"/>
            <w:rtl/>
          </w:rPr>
          <w:t>סעיף</w:t>
        </w:r>
        <w:r w:rsidR="003704D8" w:rsidRPr="003704D8">
          <w:rPr>
            <w:rStyle w:val="Hyperlink"/>
            <w:sz w:val="26"/>
            <w:szCs w:val="26"/>
            <w:rtl/>
          </w:rPr>
          <w:t xml:space="preserve"> 29</w:t>
        </w:r>
      </w:hyperlink>
      <w:r w:rsidRPr="00D85F49">
        <w:rPr>
          <w:rFonts w:hint="cs"/>
          <w:sz w:val="26"/>
          <w:szCs w:val="26"/>
          <w:rtl/>
        </w:rPr>
        <w:t xml:space="preserve"> לחוק (4 עבירות);</w:t>
      </w:r>
      <w:r>
        <w:rPr>
          <w:rFonts w:hint="cs"/>
          <w:b/>
          <w:bCs/>
          <w:sz w:val="26"/>
          <w:szCs w:val="26"/>
          <w:rtl/>
        </w:rPr>
        <w:t xml:space="preserve"> </w:t>
      </w:r>
      <w:r>
        <w:rPr>
          <w:rFonts w:hint="cs"/>
          <w:sz w:val="26"/>
          <w:szCs w:val="26"/>
          <w:rtl/>
        </w:rPr>
        <w:t xml:space="preserve">מעשה פזיזות ורשלנות בחומר נפיץ, עבירה לפי </w:t>
      </w:r>
      <w:hyperlink r:id="rId41" w:history="1">
        <w:r w:rsidR="003704D8" w:rsidRPr="003704D8">
          <w:rPr>
            <w:rStyle w:val="Hyperlink"/>
            <w:rFonts w:hint="eastAsia"/>
            <w:sz w:val="26"/>
            <w:szCs w:val="26"/>
            <w:rtl/>
          </w:rPr>
          <w:t>סעיף</w:t>
        </w:r>
        <w:r w:rsidR="003704D8" w:rsidRPr="003704D8">
          <w:rPr>
            <w:rStyle w:val="Hyperlink"/>
            <w:sz w:val="26"/>
            <w:szCs w:val="26"/>
            <w:rtl/>
          </w:rPr>
          <w:t xml:space="preserve"> 338(א)(3)</w:t>
        </w:r>
      </w:hyperlink>
      <w:r>
        <w:rPr>
          <w:rFonts w:hint="cs"/>
          <w:sz w:val="26"/>
          <w:szCs w:val="26"/>
          <w:rtl/>
        </w:rPr>
        <w:t xml:space="preserve"> בצירוף </w:t>
      </w:r>
      <w:hyperlink r:id="rId42" w:history="1">
        <w:r w:rsidR="003704D8" w:rsidRPr="003704D8">
          <w:rPr>
            <w:rStyle w:val="Hyperlink"/>
            <w:rFonts w:hint="eastAsia"/>
            <w:sz w:val="26"/>
            <w:szCs w:val="26"/>
            <w:rtl/>
          </w:rPr>
          <w:t>סעיף</w:t>
        </w:r>
        <w:r w:rsidR="003704D8" w:rsidRPr="003704D8">
          <w:rPr>
            <w:rStyle w:val="Hyperlink"/>
            <w:sz w:val="26"/>
            <w:szCs w:val="26"/>
            <w:rtl/>
          </w:rPr>
          <w:t xml:space="preserve"> 29</w:t>
        </w:r>
      </w:hyperlink>
      <w:r>
        <w:rPr>
          <w:rFonts w:hint="cs"/>
          <w:sz w:val="26"/>
          <w:szCs w:val="26"/>
          <w:rtl/>
        </w:rPr>
        <w:t xml:space="preserve"> בחוק (2 עבירות); </w:t>
      </w:r>
      <w:r w:rsidRPr="00D85F49">
        <w:rPr>
          <w:rFonts w:hint="cs"/>
          <w:sz w:val="26"/>
          <w:szCs w:val="26"/>
          <w:rtl/>
        </w:rPr>
        <w:t>התפרעות</w:t>
      </w:r>
      <w:r>
        <w:rPr>
          <w:rFonts w:hint="cs"/>
          <w:sz w:val="26"/>
          <w:szCs w:val="26"/>
          <w:rtl/>
        </w:rPr>
        <w:t xml:space="preserve">, </w:t>
      </w:r>
      <w:r w:rsidRPr="00D85F49">
        <w:rPr>
          <w:rFonts w:hint="cs"/>
          <w:sz w:val="26"/>
          <w:szCs w:val="26"/>
          <w:rtl/>
        </w:rPr>
        <w:t xml:space="preserve">עבירה לפי </w:t>
      </w:r>
      <w:hyperlink r:id="rId43" w:history="1">
        <w:r w:rsidR="003704D8" w:rsidRPr="003704D8">
          <w:rPr>
            <w:rStyle w:val="Hyperlink"/>
            <w:rFonts w:hint="eastAsia"/>
            <w:sz w:val="26"/>
            <w:szCs w:val="26"/>
            <w:rtl/>
          </w:rPr>
          <w:t>סעיף</w:t>
        </w:r>
        <w:r w:rsidR="003704D8" w:rsidRPr="003704D8">
          <w:rPr>
            <w:rStyle w:val="Hyperlink"/>
            <w:sz w:val="26"/>
            <w:szCs w:val="26"/>
            <w:rtl/>
          </w:rPr>
          <w:t xml:space="preserve"> 152</w:t>
        </w:r>
      </w:hyperlink>
      <w:r>
        <w:rPr>
          <w:rFonts w:hint="cs"/>
          <w:sz w:val="26"/>
          <w:szCs w:val="26"/>
          <w:rtl/>
        </w:rPr>
        <w:t xml:space="preserve"> בחוק (3 עבירות); </w:t>
      </w:r>
      <w:r w:rsidRPr="00D85F49">
        <w:rPr>
          <w:rFonts w:hint="cs"/>
          <w:sz w:val="26"/>
          <w:szCs w:val="26"/>
          <w:rtl/>
        </w:rPr>
        <w:t>גניבה</w:t>
      </w:r>
      <w:r>
        <w:rPr>
          <w:rFonts w:hint="cs"/>
          <w:sz w:val="26"/>
          <w:szCs w:val="26"/>
          <w:rtl/>
        </w:rPr>
        <w:t xml:space="preserve">, עבירה לפי </w:t>
      </w:r>
      <w:hyperlink r:id="rId44" w:history="1">
        <w:r w:rsidR="003704D8" w:rsidRPr="003704D8">
          <w:rPr>
            <w:rStyle w:val="Hyperlink"/>
            <w:rFonts w:hint="eastAsia"/>
            <w:sz w:val="26"/>
            <w:szCs w:val="26"/>
            <w:rtl/>
          </w:rPr>
          <w:t>סעיף</w:t>
        </w:r>
        <w:r w:rsidR="003704D8" w:rsidRPr="003704D8">
          <w:rPr>
            <w:rStyle w:val="Hyperlink"/>
            <w:sz w:val="26"/>
            <w:szCs w:val="26"/>
            <w:rtl/>
          </w:rPr>
          <w:t xml:space="preserve"> 383(א)</w:t>
        </w:r>
      </w:hyperlink>
      <w:r>
        <w:rPr>
          <w:rFonts w:hint="cs"/>
          <w:sz w:val="26"/>
          <w:szCs w:val="26"/>
          <w:rtl/>
        </w:rPr>
        <w:t xml:space="preserve"> ב</w:t>
      </w:r>
      <w:r w:rsidRPr="00D85F49">
        <w:rPr>
          <w:rFonts w:hint="cs"/>
          <w:sz w:val="26"/>
          <w:szCs w:val="26"/>
          <w:rtl/>
        </w:rPr>
        <w:t xml:space="preserve">חוק. </w:t>
      </w:r>
    </w:p>
    <w:p w14:paraId="58824735" w14:textId="77777777" w:rsidR="00A70AB5" w:rsidRPr="00E74D80" w:rsidRDefault="00A70AB5" w:rsidP="00A70AB5">
      <w:pPr>
        <w:pStyle w:val="ListParagraph"/>
        <w:numPr>
          <w:ilvl w:val="0"/>
          <w:numId w:val="1"/>
        </w:numPr>
        <w:spacing w:after="160" w:line="360" w:lineRule="auto"/>
        <w:ind w:left="283"/>
        <w:contextualSpacing w:val="0"/>
        <w:jc w:val="both"/>
        <w:rPr>
          <w:sz w:val="26"/>
          <w:szCs w:val="26"/>
        </w:rPr>
      </w:pPr>
      <w:r w:rsidRPr="00E74D80">
        <w:rPr>
          <w:rFonts w:hint="cs"/>
          <w:sz w:val="26"/>
          <w:szCs w:val="26"/>
          <w:rtl/>
        </w:rPr>
        <w:t>ביום 1.5.16, במסגרת הסדר טיעון, הורשע הנאשם על יסוד הודאתו, בביצוע העבירות מושא האישום השני, לאמור</w:t>
      </w:r>
      <w:r>
        <w:rPr>
          <w:rFonts w:hint="cs"/>
          <w:sz w:val="26"/>
          <w:szCs w:val="26"/>
          <w:rtl/>
        </w:rPr>
        <w:t xml:space="preserve"> -</w:t>
      </w:r>
      <w:r w:rsidRPr="00E74D80">
        <w:rPr>
          <w:rFonts w:hint="cs"/>
          <w:sz w:val="26"/>
          <w:szCs w:val="26"/>
          <w:rtl/>
        </w:rPr>
        <w:t xml:space="preserve"> בניסיון הצתה; החזקת נשק; ניסיון לתקיפת שוטר בנסיבות מחמירות (4 עבירות); מעשה פזיזות ורשלנות בחומר נפיץ (2 עבירות); התפרעות (3 עבירות); וגניבה.</w:t>
      </w:r>
    </w:p>
    <w:p w14:paraId="18F2B411" w14:textId="77777777" w:rsidR="00A70AB5" w:rsidRPr="00E74D80" w:rsidRDefault="00A70AB5" w:rsidP="00A70AB5">
      <w:pPr>
        <w:pStyle w:val="ListParagraph"/>
        <w:numPr>
          <w:ilvl w:val="0"/>
          <w:numId w:val="1"/>
        </w:numPr>
        <w:spacing w:after="160" w:line="360" w:lineRule="auto"/>
        <w:ind w:left="283"/>
        <w:contextualSpacing w:val="0"/>
        <w:jc w:val="both"/>
        <w:rPr>
          <w:sz w:val="26"/>
          <w:szCs w:val="26"/>
        </w:rPr>
      </w:pPr>
      <w:r w:rsidRPr="00E74D80">
        <w:rPr>
          <w:rFonts w:hint="cs"/>
          <w:sz w:val="26"/>
          <w:szCs w:val="26"/>
          <w:rtl/>
        </w:rPr>
        <w:t>לאישום הראשון טע</w:t>
      </w:r>
      <w:r>
        <w:rPr>
          <w:rFonts w:hint="cs"/>
          <w:sz w:val="26"/>
          <w:szCs w:val="26"/>
          <w:rtl/>
        </w:rPr>
        <w:t>נה ב"כ</w:t>
      </w:r>
      <w:r w:rsidRPr="00E74D80">
        <w:rPr>
          <w:rFonts w:hint="cs"/>
          <w:sz w:val="26"/>
          <w:szCs w:val="26"/>
          <w:rtl/>
        </w:rPr>
        <w:t xml:space="preserve"> הנאשם טענה מקדמית של הגנה מהצדק בגין אכיפה בררנית. טענה זו נדחתה בהחלטה מנומקת מיום 12.9.16. </w:t>
      </w:r>
    </w:p>
    <w:p w14:paraId="31F2B4A9" w14:textId="77777777" w:rsidR="00A70AB5" w:rsidRPr="00E74D80" w:rsidRDefault="00A70AB5" w:rsidP="00A70AB5">
      <w:pPr>
        <w:pStyle w:val="ListParagraph"/>
        <w:numPr>
          <w:ilvl w:val="0"/>
          <w:numId w:val="1"/>
        </w:numPr>
        <w:spacing w:after="160" w:line="360" w:lineRule="auto"/>
        <w:ind w:left="283"/>
        <w:contextualSpacing w:val="0"/>
        <w:jc w:val="both"/>
        <w:rPr>
          <w:rFonts w:ascii="Arial" w:hAnsi="Arial"/>
          <w:sz w:val="26"/>
          <w:szCs w:val="26"/>
        </w:rPr>
      </w:pPr>
      <w:r w:rsidRPr="00E74D80">
        <w:rPr>
          <w:rFonts w:hint="cs"/>
          <w:sz w:val="26"/>
          <w:szCs w:val="26"/>
          <w:rtl/>
        </w:rPr>
        <w:t>ביום 23.11.16, הורשע הנאשם, על יסוד הודאתו, בביצוע העבירה מושא האישום הראשון - יצי</w:t>
      </w:r>
      <w:r>
        <w:rPr>
          <w:rFonts w:hint="cs"/>
          <w:sz w:val="26"/>
          <w:szCs w:val="26"/>
          <w:rtl/>
        </w:rPr>
        <w:t>אה שלא כדין.</w:t>
      </w:r>
    </w:p>
    <w:p w14:paraId="470991FC" w14:textId="77777777" w:rsidR="00A70AB5" w:rsidRPr="00033381" w:rsidRDefault="00A70AB5" w:rsidP="00A70AB5">
      <w:pPr>
        <w:spacing w:line="360" w:lineRule="auto"/>
        <w:jc w:val="both"/>
        <w:rPr>
          <w:b/>
          <w:bCs/>
          <w:sz w:val="26"/>
          <w:szCs w:val="26"/>
          <w:u w:val="single"/>
        </w:rPr>
      </w:pPr>
      <w:r w:rsidRPr="00033381">
        <w:rPr>
          <w:rFonts w:hint="cs"/>
          <w:b/>
          <w:bCs/>
          <w:sz w:val="26"/>
          <w:szCs w:val="26"/>
          <w:u w:val="single"/>
          <w:rtl/>
        </w:rPr>
        <w:t>תסקיר שירות המבחן</w:t>
      </w:r>
      <w:r>
        <w:rPr>
          <w:rFonts w:hint="cs"/>
          <w:b/>
          <w:bCs/>
          <w:sz w:val="26"/>
          <w:szCs w:val="26"/>
          <w:u w:val="single"/>
          <w:rtl/>
        </w:rPr>
        <w:t xml:space="preserve"> (מיום 10.1.17)</w:t>
      </w:r>
    </w:p>
    <w:p w14:paraId="55323B2D" w14:textId="77777777" w:rsidR="00A70AB5" w:rsidRDefault="00A70AB5" w:rsidP="00A70AB5">
      <w:pPr>
        <w:pStyle w:val="ListParagraph"/>
        <w:numPr>
          <w:ilvl w:val="0"/>
          <w:numId w:val="1"/>
        </w:numPr>
        <w:spacing w:after="160" w:line="360" w:lineRule="auto"/>
        <w:ind w:left="283"/>
        <w:contextualSpacing w:val="0"/>
        <w:jc w:val="both"/>
        <w:rPr>
          <w:sz w:val="26"/>
          <w:szCs w:val="26"/>
        </w:rPr>
      </w:pPr>
      <w:r w:rsidRPr="001D1B1B">
        <w:rPr>
          <w:rFonts w:hint="cs"/>
          <w:sz w:val="26"/>
          <w:szCs w:val="26"/>
          <w:rtl/>
        </w:rPr>
        <w:t>הנאשם בן 21</w:t>
      </w:r>
      <w:r>
        <w:rPr>
          <w:rFonts w:hint="cs"/>
          <w:sz w:val="26"/>
          <w:szCs w:val="26"/>
          <w:rtl/>
        </w:rPr>
        <w:t>, תושב ג'בל מוכבר בירושלים, נישא 7 ימים קודם למעצרו. הנאשם נמצא במעצר מזה שנה וארבעה חודשים. עובר למעצר היה סטודנט שנה שלישית למשפטים באוניברסיטת אל-קודס בירושלים ועבד כעובד כללי במתחם "סינמה סיטי" בירושלים במשך שנה. הנאשם החל לעבוד בגיל 18 בעבודות מלצרות מזדמנות במלונות וכסדרן סחורה במרכולים. הנאשם בעל 15 שנות לימוד, השתתף בקורס עיתונאות ובעל תעודת מגיש עזרה ראשונה במגן דוד אדום. בשעות הפנאי התנדב במרכז לימודי פלסטינאי ושימש כחונך ילדים ונוער בנושאי עזרה ראשונה, והעביר שיעורי ריקוד ונגינה על תוף דרבוקה.</w:t>
      </w:r>
    </w:p>
    <w:p w14:paraId="031503E5" w14:textId="77777777" w:rsidR="00A70AB5" w:rsidRDefault="00A70AB5" w:rsidP="00A70AB5">
      <w:pPr>
        <w:pStyle w:val="ListParagraph"/>
        <w:numPr>
          <w:ilvl w:val="0"/>
          <w:numId w:val="1"/>
        </w:numPr>
        <w:spacing w:after="160" w:line="360" w:lineRule="auto"/>
        <w:ind w:left="283"/>
        <w:contextualSpacing w:val="0"/>
        <w:jc w:val="both"/>
        <w:rPr>
          <w:sz w:val="26"/>
          <w:szCs w:val="26"/>
        </w:rPr>
      </w:pPr>
      <w:r>
        <w:rPr>
          <w:rFonts w:hint="cs"/>
          <w:sz w:val="26"/>
          <w:szCs w:val="26"/>
          <w:rtl/>
        </w:rPr>
        <w:t xml:space="preserve">משפחת המוצא של הנאשם מונה אב בעל תואר במחשבים שרכש בירדן, העובד היום כמנהל מרכול בפסגת-זאב בירושלים, ואם מורה בבית ספר בירושלים. להורים 6 ילדים, בגילאים 13 </w:t>
      </w:r>
      <w:r>
        <w:rPr>
          <w:sz w:val="26"/>
          <w:szCs w:val="26"/>
          <w:rtl/>
        </w:rPr>
        <w:t>–</w:t>
      </w:r>
      <w:r>
        <w:rPr>
          <w:rFonts w:hint="cs"/>
          <w:sz w:val="26"/>
          <w:szCs w:val="26"/>
          <w:rtl/>
        </w:rPr>
        <w:t xml:space="preserve"> 22, והוא השני בסדר הילודה. ארבעת הגדולים בעלי השכלה גבוה או סטודנטים במוסדות להשכלה גבוהה. לדבריו, משפחתו חילונית, נורמטיבית, והוא היחיד בעל עבר פלילי, כאשר בין בני משפחתו מערכת יחסים חיובית והם בעלי מצב כלכלי משביע רצון.</w:t>
      </w:r>
    </w:p>
    <w:p w14:paraId="584313CC" w14:textId="77777777" w:rsidR="00A70AB5" w:rsidRDefault="00A70AB5" w:rsidP="00A70AB5">
      <w:pPr>
        <w:pStyle w:val="ListParagraph"/>
        <w:numPr>
          <w:ilvl w:val="0"/>
          <w:numId w:val="1"/>
        </w:numPr>
        <w:spacing w:after="160" w:line="360" w:lineRule="auto"/>
        <w:ind w:left="283"/>
        <w:contextualSpacing w:val="0"/>
        <w:jc w:val="both"/>
        <w:rPr>
          <w:sz w:val="26"/>
          <w:szCs w:val="26"/>
        </w:rPr>
      </w:pPr>
      <w:r>
        <w:rPr>
          <w:rFonts w:hint="cs"/>
          <w:sz w:val="26"/>
          <w:szCs w:val="26"/>
          <w:rtl/>
        </w:rPr>
        <w:t>על פי שירות המבחן, הנאשם הודה בביצוע העבירות ונטל עליהם אחריות מלאה. באשר לעבירת היציאה שלא כדין אמר, כי מדובר היה בטיול מטעם מרכז הלימודי הפלסטינאי בו התנדב ולקח פעילות מגיל צעיר. לדבריו, לא ידע מראש על הביקור המתוכנן בפארק מליטה ועל תוכן סרטוני התעמולה. לאחר שנעצר בגין יציאתו שלא כדין הודה ביוזמתו על מעורבותו בעבירות האחרות. הנאשם טען, כי מאז החל ללמוד באוניברסיטה התחבר לקבוצה דתית בעלת דעות קיצוניות הפעילה מאוד מבחינה פוליטית וכחלק מהתחברותו אליהם לקח חלק בהתפרעויות. לפיו, ההתפרעויות כוונו נגד כוחות הביטחון בעקבות אירועים שאירעו באותה התקופה ובהם מותו של נער שלמד בבית ספרו, ירי במחבל שביצע פיגוע דריסה ו"לילת אל קאדר", שהוא יום קדוש עבור המוסלמים, אז רצה להגיע להר הבית. לטענתו, לא הבין את פוטנציאל הפגיעה שבמעשיו וההשלכות הקשות על חייו אותן הוא חווה כיום. לדבריו, הוריו כעסו מאוד על מעורבותו באירועים המתוארים, ואביו אף בחר שלא לבקרו במשך תקופה ארוכה כאשר שהה במעצר. אביו גם הטיח בו האשמות קשות בשל בחירותיו ומעשיו באירועי העבירות.</w:t>
      </w:r>
    </w:p>
    <w:p w14:paraId="205B6E60" w14:textId="77777777" w:rsidR="00A70AB5" w:rsidRDefault="00A70AB5" w:rsidP="00A70AB5">
      <w:pPr>
        <w:pStyle w:val="ListParagraph"/>
        <w:numPr>
          <w:ilvl w:val="0"/>
          <w:numId w:val="1"/>
        </w:numPr>
        <w:spacing w:after="160" w:line="360" w:lineRule="auto"/>
        <w:ind w:left="283"/>
        <w:contextualSpacing w:val="0"/>
        <w:jc w:val="both"/>
        <w:rPr>
          <w:sz w:val="26"/>
          <w:szCs w:val="26"/>
        </w:rPr>
      </w:pPr>
      <w:r>
        <w:rPr>
          <w:rFonts w:hint="cs"/>
          <w:sz w:val="26"/>
          <w:szCs w:val="26"/>
          <w:rtl/>
        </w:rPr>
        <w:t xml:space="preserve">התרשמות שירות המבחן מהנאשם היא, כי מדובר מצעיר בעל יכולות קוגנטיביות וורבליות טובות אשר נוטל אחריות על ביצוע העבירות ומצר עליהן, בעיקר בשל תגובת אביו, תחושתו כי אכזב אותו והמחירים אותם הוא משלם. לצד זאת, התרשם שירות המבחן ממאפייני אישיות ילדותיים ובלתי בשלים המתאימים לגילו הכרונולוגי, וזהות עצמית בלתי מגובשת. על פי שירות המבחן, הוא בחר להתחבר לחברה שולית ולפעול במסגרתה באופן אלים מבלי לקחת בחשבון את הפגיעה באחרים, כביכול בשם אידיאולוגיה אשר אימץ לעצמו באותה התקופה. הערכת שירות המבחן היתה כי הדבר נעשה כאמצעי להתחברות ושייכות חברתית והשגת תחושת משמעות וערך עצמי. </w:t>
      </w:r>
    </w:p>
    <w:p w14:paraId="6EA62D9E" w14:textId="77777777" w:rsidR="00A70AB5" w:rsidRDefault="00A70AB5" w:rsidP="00A70AB5">
      <w:pPr>
        <w:pStyle w:val="ListParagraph"/>
        <w:numPr>
          <w:ilvl w:val="0"/>
          <w:numId w:val="1"/>
        </w:numPr>
        <w:spacing w:after="160" w:line="360" w:lineRule="auto"/>
        <w:ind w:left="283"/>
        <w:contextualSpacing w:val="0"/>
        <w:jc w:val="both"/>
        <w:rPr>
          <w:sz w:val="26"/>
          <w:szCs w:val="26"/>
        </w:rPr>
      </w:pPr>
      <w:r>
        <w:rPr>
          <w:rFonts w:hint="cs"/>
          <w:sz w:val="26"/>
          <w:szCs w:val="26"/>
          <w:rtl/>
        </w:rPr>
        <w:t>התרשמות השירות היתה, שמדובר בצעיר עם כוחות ומשאבים פנימיים חיוביים לתפקוד תקין, שנמצא בשלב של גיבוש זהותו העצמית וכחלק מאותו תהליך, ביצע את העבירות בתיק הנוכחי. כן ציין שירות המבחן, כי הנאשם נעדר עבר פלילי והתרשמותו היא שהזמן הממושך בו עצור הנאשם, הביקורת המשפחתית הקשה שקיבל בעקבות ביצוע העבירות וההליכים המשפטיים, מהווים גורמים הרתעתיים משמעותיים לביצוע עבירות מסוג זה בעתיד. ברם, שירות המבחן לא התרשם שהנאשם בשל להליך טיפולי, ולטעם השירות הנאשם לא זיהה צורך בעריכת שינוי ובהתגייסות להליך טיפולי לשם כך. לכן לא בא בהמלצה שיקומית בעניינו.</w:t>
      </w:r>
    </w:p>
    <w:p w14:paraId="7830F0F2" w14:textId="77777777" w:rsidR="00A70AB5" w:rsidRPr="00DE388B" w:rsidRDefault="00A70AB5" w:rsidP="00A70AB5">
      <w:pPr>
        <w:spacing w:line="360" w:lineRule="auto"/>
        <w:jc w:val="both"/>
        <w:rPr>
          <w:b/>
          <w:bCs/>
          <w:sz w:val="26"/>
          <w:szCs w:val="26"/>
          <w:u w:val="single"/>
        </w:rPr>
      </w:pPr>
      <w:r>
        <w:rPr>
          <w:rFonts w:hint="cs"/>
          <w:b/>
          <w:bCs/>
          <w:sz w:val="26"/>
          <w:szCs w:val="26"/>
          <w:u w:val="single"/>
          <w:rtl/>
        </w:rPr>
        <w:t xml:space="preserve">עיקרי </w:t>
      </w:r>
      <w:r w:rsidRPr="00DE388B">
        <w:rPr>
          <w:b/>
          <w:bCs/>
          <w:sz w:val="26"/>
          <w:szCs w:val="26"/>
          <w:u w:val="single"/>
          <w:rtl/>
        </w:rPr>
        <w:t xml:space="preserve">הטיעונים לעונש </w:t>
      </w:r>
    </w:p>
    <w:p w14:paraId="08985925" w14:textId="77777777" w:rsidR="00A70AB5" w:rsidRDefault="00A70AB5" w:rsidP="00A70AB5">
      <w:pPr>
        <w:pStyle w:val="ListParagraph"/>
        <w:numPr>
          <w:ilvl w:val="0"/>
          <w:numId w:val="1"/>
        </w:numPr>
        <w:spacing w:after="160" w:line="360" w:lineRule="auto"/>
        <w:ind w:left="283"/>
        <w:contextualSpacing w:val="0"/>
        <w:jc w:val="both"/>
        <w:rPr>
          <w:sz w:val="26"/>
          <w:szCs w:val="26"/>
        </w:rPr>
      </w:pPr>
      <w:r>
        <w:rPr>
          <w:rFonts w:hint="cs"/>
          <w:sz w:val="26"/>
          <w:szCs w:val="26"/>
          <w:rtl/>
        </w:rPr>
        <w:t>ב"כ המאשימה טענה שכתב האישום מכיל מספר רב של אירועים בתאריכים שונים, ושהדבר מלמד על מעורבותו הגדולה של הנאשם במעשים מסוג זה, שכן מדובר בפעילות חוזרת ונשנית, ונגד כוחות הביטחון. עוד הוסיפה, כי לא ניתן לקבל את הסבר הנאשם שיציאתו ללבנון היתה אך ביקור תמים. לטענתה, במהלך שהייתו בלבנון ביקר במוזיאון של חיזבאללה, קיבל הסבר על הארגון, נחשף לאמצעי לחימה וסייר במנהרות תקיפה, כאשר ביקור שכזה תואם את הלך הרוח של צעיר המתעמת עם כוחות הביטחון. משכך, טענה ב"כ המאשימה, כי מתחם העונש ההולם בגין האישום הראשון נע בין 4 לבין 12 חודשי מאסר.</w:t>
      </w:r>
    </w:p>
    <w:p w14:paraId="57A0A334" w14:textId="77777777" w:rsidR="00A70AB5" w:rsidRDefault="00A70AB5" w:rsidP="00A70AB5">
      <w:pPr>
        <w:pStyle w:val="ListParagraph"/>
        <w:numPr>
          <w:ilvl w:val="0"/>
          <w:numId w:val="1"/>
        </w:numPr>
        <w:spacing w:after="160" w:line="360" w:lineRule="auto"/>
        <w:ind w:left="283"/>
        <w:contextualSpacing w:val="0"/>
        <w:jc w:val="both"/>
        <w:rPr>
          <w:sz w:val="26"/>
          <w:szCs w:val="26"/>
        </w:rPr>
      </w:pPr>
      <w:r>
        <w:rPr>
          <w:rFonts w:hint="cs"/>
          <w:sz w:val="26"/>
          <w:szCs w:val="26"/>
          <w:rtl/>
        </w:rPr>
        <w:t xml:space="preserve">באשר לאירועי ההתפרעות ביום 4.7.14 טענה ב"כ המאשימה, כי מדובר במעשים שהם חמורים במיוחד, שכן מדובר ביידוי בקבוקי תבעירה וירי זיקוקים, אותם יש להכין מראש. בגין מעשי היום הזה טענה למתחם עונש שנע בין 3 לבין 6 שנות מאסר. </w:t>
      </w:r>
    </w:p>
    <w:p w14:paraId="48A1D5A9" w14:textId="77777777" w:rsidR="00A70AB5" w:rsidRDefault="00A70AB5" w:rsidP="00A70AB5">
      <w:pPr>
        <w:pStyle w:val="ListParagraph"/>
        <w:spacing w:after="160" w:line="360" w:lineRule="auto"/>
        <w:ind w:left="283"/>
        <w:contextualSpacing w:val="0"/>
        <w:jc w:val="both"/>
        <w:rPr>
          <w:sz w:val="26"/>
          <w:szCs w:val="26"/>
          <w:rtl/>
        </w:rPr>
      </w:pPr>
      <w:r>
        <w:rPr>
          <w:rFonts w:hint="cs"/>
          <w:sz w:val="26"/>
          <w:szCs w:val="26"/>
          <w:rtl/>
        </w:rPr>
        <w:t xml:space="preserve">באשר לאירועי יום 24.7.15 (ההתפרעות בתחנת המשטרה) טענה, כי מדובר בפגיעה קשה בסדר הציבורי ופעילות שדורשת עזות מיוחדת. המתחם הראוי לטעם ב"כ המאשימה בגין זאת נע בין מספר חודשי מאסר למספר שנות מאסר. </w:t>
      </w:r>
    </w:p>
    <w:p w14:paraId="038E9116" w14:textId="77777777" w:rsidR="00A70AB5" w:rsidRDefault="00A70AB5" w:rsidP="00A70AB5">
      <w:pPr>
        <w:pStyle w:val="ListParagraph"/>
        <w:spacing w:after="160" w:line="360" w:lineRule="auto"/>
        <w:ind w:left="283"/>
        <w:contextualSpacing w:val="0"/>
        <w:jc w:val="both"/>
        <w:rPr>
          <w:sz w:val="26"/>
          <w:szCs w:val="26"/>
        </w:rPr>
      </w:pPr>
      <w:r>
        <w:rPr>
          <w:rFonts w:hint="cs"/>
          <w:sz w:val="26"/>
          <w:szCs w:val="26"/>
          <w:rtl/>
        </w:rPr>
        <w:t xml:space="preserve">באשר לאירועי יום 20.5.15, אז יודו אבנים אל עבר כוחות בטחון במהלך התפרעות, נטען, כי מתחם העונש צריך לנוע בין 12 לבין 30 חודשי מאסר. </w:t>
      </w:r>
    </w:p>
    <w:p w14:paraId="0F60A08F" w14:textId="77777777" w:rsidR="00A70AB5" w:rsidRDefault="00A70AB5" w:rsidP="00A70AB5">
      <w:pPr>
        <w:pStyle w:val="ListParagraph"/>
        <w:numPr>
          <w:ilvl w:val="0"/>
          <w:numId w:val="1"/>
        </w:numPr>
        <w:spacing w:after="160" w:line="360" w:lineRule="auto"/>
        <w:ind w:left="283"/>
        <w:contextualSpacing w:val="0"/>
        <w:jc w:val="both"/>
        <w:rPr>
          <w:sz w:val="26"/>
          <w:szCs w:val="26"/>
        </w:rPr>
      </w:pPr>
      <w:r>
        <w:rPr>
          <w:rFonts w:hint="cs"/>
          <w:sz w:val="26"/>
          <w:szCs w:val="26"/>
          <w:rtl/>
        </w:rPr>
        <w:t xml:space="preserve">ב"כ המאשימה טענה, כי מדובר באירועים שונים המחייבים קביעת מתחמי ענישה שונים. כן הוסיפה שהמדיניות כיום היא להחמיר בענישה על עבירות מסוג זה, אשר נעשות על רקע אידיאולוגי, תוך הפרת הסדר הציבורי והשלום ובעיקר כאשר מדובר בירושלים. </w:t>
      </w:r>
    </w:p>
    <w:p w14:paraId="08FC3DD5" w14:textId="77777777" w:rsidR="00A70AB5" w:rsidRDefault="00A70AB5" w:rsidP="00A70AB5">
      <w:pPr>
        <w:pStyle w:val="ListParagraph"/>
        <w:numPr>
          <w:ilvl w:val="0"/>
          <w:numId w:val="1"/>
        </w:numPr>
        <w:spacing w:after="160" w:line="360" w:lineRule="auto"/>
        <w:ind w:left="283"/>
        <w:contextualSpacing w:val="0"/>
        <w:jc w:val="both"/>
        <w:rPr>
          <w:sz w:val="26"/>
          <w:szCs w:val="26"/>
        </w:rPr>
      </w:pPr>
      <w:r>
        <w:rPr>
          <w:rFonts w:hint="cs"/>
          <w:sz w:val="26"/>
          <w:szCs w:val="26"/>
          <w:rtl/>
        </w:rPr>
        <w:t>לאחר התחשבות בהודאת הנאשם והיעדר עבר הפלילי, סברה ב"כ המאשימה, כי יש להטיל עליו עונש מצטבר של 4.5 שנות מאסר.</w:t>
      </w:r>
    </w:p>
    <w:p w14:paraId="4FDCCA7A" w14:textId="77777777" w:rsidR="00A70AB5" w:rsidRDefault="00A70AB5" w:rsidP="00A70AB5">
      <w:pPr>
        <w:pStyle w:val="ListParagraph"/>
        <w:numPr>
          <w:ilvl w:val="0"/>
          <w:numId w:val="1"/>
        </w:numPr>
        <w:spacing w:after="160" w:line="360" w:lineRule="auto"/>
        <w:ind w:left="283"/>
        <w:contextualSpacing w:val="0"/>
        <w:jc w:val="both"/>
        <w:rPr>
          <w:sz w:val="26"/>
          <w:szCs w:val="26"/>
        </w:rPr>
      </w:pPr>
      <w:r>
        <w:rPr>
          <w:rFonts w:hint="cs"/>
          <w:sz w:val="26"/>
          <w:szCs w:val="26"/>
          <w:rtl/>
        </w:rPr>
        <w:t xml:space="preserve">ב"כ הנאשם הדגישה את משפחתו הנורמטיבית של הנאשם, העובדה כי הוא עצמו עבד באופן מסודר ומוקפד במקומות מרכזיים בירושלים, היה סטודנט שנה שלישית למשפטים ואף הקפיד על פעילות התנדבותית. לטענתה, הנאשם אך נסחף להשתתף בהתפרעויות, וזאת כתוצאה מן האווירה החברתית והאירועים שהתרחשו באותה העת ובפרט הרצח של הילד אבו-ח'דיר, אז היה גם הנאשם ילד קטן. לדידה, מדובר היה באירוע מכונן שהוציא אנשים רבים לרחובות, וכך גם את הנאשם. </w:t>
      </w:r>
    </w:p>
    <w:p w14:paraId="645089B4" w14:textId="77777777" w:rsidR="00A70AB5" w:rsidRDefault="00A70AB5" w:rsidP="00A70AB5">
      <w:pPr>
        <w:pStyle w:val="ListParagraph"/>
        <w:numPr>
          <w:ilvl w:val="0"/>
          <w:numId w:val="1"/>
        </w:numPr>
        <w:spacing w:after="160" w:line="360" w:lineRule="auto"/>
        <w:ind w:left="283"/>
        <w:contextualSpacing w:val="0"/>
        <w:jc w:val="both"/>
        <w:rPr>
          <w:sz w:val="26"/>
          <w:szCs w:val="26"/>
        </w:rPr>
      </w:pPr>
      <w:r>
        <w:rPr>
          <w:rFonts w:hint="cs"/>
          <w:sz w:val="26"/>
          <w:szCs w:val="26"/>
          <w:rtl/>
        </w:rPr>
        <w:t xml:space="preserve">באשר לאירוע ביום 4.7.14, טענה, כי מדובר היה בידויי אבנים ממרחק רב, אשר לא היה בו להוות סכנה של ממש. גם באשר לאירועים הבאים טענה ב"כ הנאשם, כי מרשה היה בין המונים והתנהג באופן פרופורציונאלי ומתון. ב"כ הנאשם הבהירה, כי היא אינה טוענת שמרשה לא חטא, אלא שלא היה לו תפקיד של מנהיג, מסית או מוליך, וכי היה רק אחד המשתתפים ופעל בצמצום רב. </w:t>
      </w:r>
    </w:p>
    <w:p w14:paraId="00BFA100" w14:textId="77777777" w:rsidR="00A70AB5" w:rsidRDefault="00A70AB5" w:rsidP="00A70AB5">
      <w:pPr>
        <w:pStyle w:val="ListParagraph"/>
        <w:spacing w:after="160" w:line="360" w:lineRule="auto"/>
        <w:ind w:left="283"/>
        <w:contextualSpacing w:val="0"/>
        <w:jc w:val="both"/>
        <w:rPr>
          <w:sz w:val="26"/>
          <w:szCs w:val="26"/>
        </w:rPr>
      </w:pPr>
      <w:r>
        <w:rPr>
          <w:rFonts w:hint="cs"/>
          <w:sz w:val="26"/>
          <w:szCs w:val="26"/>
          <w:rtl/>
        </w:rPr>
        <w:t>ב"כ הנאשם גם ציינה, כי כאשר נחקר הנאשם במשטרה חקירתו נסובה סביב יציאתו ללבנון, והוא היה זה שנידב את האינפורמציה כי לקח חלק מהתפרעויות בגינן הורשע.</w:t>
      </w:r>
    </w:p>
    <w:p w14:paraId="529031F9" w14:textId="77777777" w:rsidR="00A70AB5" w:rsidRDefault="00A70AB5" w:rsidP="00A70AB5">
      <w:pPr>
        <w:pStyle w:val="ListParagraph"/>
        <w:numPr>
          <w:ilvl w:val="0"/>
          <w:numId w:val="1"/>
        </w:numPr>
        <w:spacing w:after="160" w:line="360" w:lineRule="auto"/>
        <w:ind w:left="283"/>
        <w:contextualSpacing w:val="0"/>
        <w:jc w:val="both"/>
        <w:rPr>
          <w:sz w:val="26"/>
          <w:szCs w:val="26"/>
        </w:rPr>
      </w:pPr>
      <w:r>
        <w:rPr>
          <w:rFonts w:hint="cs"/>
          <w:sz w:val="26"/>
          <w:szCs w:val="26"/>
          <w:rtl/>
        </w:rPr>
        <w:t>באשר לאירועי האישום הראשון, טענה ב"כ הנאשם, כי יציאה מחוץ לישראל מסוג זה היא דבר שבשגרה והייחוד שבו, שבגינו הועמד הנאשם לדין, היה הביקור במוזיאון החיזבאללה, אלא שהביקור לא היה ביוזמת הנאשם.</w:t>
      </w:r>
    </w:p>
    <w:p w14:paraId="00DA0769" w14:textId="77777777" w:rsidR="00A70AB5" w:rsidRDefault="00A70AB5" w:rsidP="00A70AB5">
      <w:pPr>
        <w:pStyle w:val="ListParagraph"/>
        <w:numPr>
          <w:ilvl w:val="0"/>
          <w:numId w:val="1"/>
        </w:numPr>
        <w:spacing w:after="160" w:line="360" w:lineRule="auto"/>
        <w:ind w:left="283"/>
        <w:contextualSpacing w:val="0"/>
        <w:jc w:val="both"/>
        <w:rPr>
          <w:sz w:val="26"/>
          <w:szCs w:val="26"/>
        </w:rPr>
      </w:pPr>
      <w:r>
        <w:rPr>
          <w:rFonts w:hint="cs"/>
          <w:sz w:val="26"/>
          <w:szCs w:val="26"/>
          <w:rtl/>
        </w:rPr>
        <w:t>ב"כ הנאשם הפנתה לתסקיר ולהתרשמותו החיובית של שירות המבחן מהנאשם, העובדה כי הוא בעל משאבים חיוביים תקינים לתפקוד תקין והיעדר עבר פלילי. לדידה, בתסקיר שירות המבחן טמונה בקשה סמויה להסתפק בתקופת המעצר של הנאשם ולא להורות על מאסר נוסף. משכך, ביקשה כי בית המשפט אכן יסתפק במעצר הנאשם וכי לכל היותר יתווסף לזאת קנס.</w:t>
      </w:r>
    </w:p>
    <w:p w14:paraId="475AFFF1" w14:textId="77777777" w:rsidR="00A70AB5" w:rsidRDefault="00A70AB5" w:rsidP="00A70AB5">
      <w:pPr>
        <w:pStyle w:val="ListParagraph"/>
        <w:numPr>
          <w:ilvl w:val="0"/>
          <w:numId w:val="1"/>
        </w:numPr>
        <w:spacing w:after="160" w:line="360" w:lineRule="auto"/>
        <w:ind w:left="283"/>
        <w:contextualSpacing w:val="0"/>
        <w:jc w:val="both"/>
        <w:rPr>
          <w:sz w:val="26"/>
          <w:szCs w:val="26"/>
        </w:rPr>
      </w:pPr>
      <w:r>
        <w:rPr>
          <w:rFonts w:hint="cs"/>
          <w:sz w:val="26"/>
          <w:szCs w:val="26"/>
          <w:rtl/>
        </w:rPr>
        <w:t>ב"כ הצדדים הפנו והגישו פסיקה כתמיכה בטיעוניהם.</w:t>
      </w:r>
    </w:p>
    <w:p w14:paraId="09198E42" w14:textId="77777777" w:rsidR="00A70AB5" w:rsidRDefault="00A70AB5" w:rsidP="00A70AB5">
      <w:pPr>
        <w:pStyle w:val="ListParagraph"/>
        <w:numPr>
          <w:ilvl w:val="0"/>
          <w:numId w:val="1"/>
        </w:numPr>
        <w:spacing w:after="160" w:line="360" w:lineRule="auto"/>
        <w:ind w:left="283"/>
        <w:contextualSpacing w:val="0"/>
        <w:jc w:val="both"/>
        <w:rPr>
          <w:sz w:val="26"/>
          <w:szCs w:val="26"/>
        </w:rPr>
      </w:pPr>
      <w:r>
        <w:rPr>
          <w:rFonts w:hint="cs"/>
          <w:sz w:val="26"/>
          <w:szCs w:val="26"/>
          <w:rtl/>
        </w:rPr>
        <w:t>הנאשם התנצל על מעשיו וטען, כי ביצע את העבירות מתוך חוסר הבנה ותמימות. הנאשם ביקש להשתחרר במהירות האפשרית על מנת שיוכל לחזור ללימודיו ולחייו עם משפחתו.</w:t>
      </w:r>
    </w:p>
    <w:p w14:paraId="3473206A" w14:textId="77777777" w:rsidR="00A70AB5" w:rsidRDefault="00A70AB5" w:rsidP="00A70AB5">
      <w:pPr>
        <w:spacing w:line="360" w:lineRule="auto"/>
        <w:jc w:val="both"/>
        <w:rPr>
          <w:rFonts w:ascii="Arial" w:hAnsi="Arial"/>
          <w:b/>
          <w:bCs/>
          <w:sz w:val="26"/>
          <w:szCs w:val="26"/>
          <w:u w:val="single"/>
          <w:rtl/>
        </w:rPr>
      </w:pPr>
      <w:r w:rsidRPr="0006317B">
        <w:rPr>
          <w:rFonts w:ascii="Arial" w:hAnsi="Arial"/>
          <w:b/>
          <w:bCs/>
          <w:sz w:val="26"/>
          <w:szCs w:val="26"/>
          <w:u w:val="single"/>
          <w:rtl/>
        </w:rPr>
        <w:t>ה</w:t>
      </w:r>
      <w:r>
        <w:rPr>
          <w:rFonts w:ascii="Arial" w:hAnsi="Arial"/>
          <w:b/>
          <w:bCs/>
          <w:sz w:val="26"/>
          <w:szCs w:val="26"/>
          <w:u w:val="single"/>
          <w:rtl/>
        </w:rPr>
        <w:t>בניית שיקול הדעת השיפוטי בענישה</w:t>
      </w:r>
      <w:r w:rsidRPr="0006317B">
        <w:rPr>
          <w:rFonts w:ascii="Arial" w:hAnsi="Arial"/>
          <w:b/>
          <w:bCs/>
          <w:sz w:val="26"/>
          <w:szCs w:val="26"/>
          <w:u w:val="single"/>
          <w:rtl/>
        </w:rPr>
        <w:t xml:space="preserve"> </w:t>
      </w:r>
      <w:r>
        <w:rPr>
          <w:rFonts w:ascii="Arial" w:hAnsi="Arial" w:hint="cs"/>
          <w:b/>
          <w:bCs/>
          <w:sz w:val="26"/>
          <w:szCs w:val="26"/>
          <w:u w:val="single"/>
          <w:rtl/>
        </w:rPr>
        <w:t>(</w:t>
      </w:r>
      <w:r w:rsidRPr="0006317B">
        <w:rPr>
          <w:rFonts w:ascii="Arial" w:hAnsi="Arial"/>
          <w:b/>
          <w:bCs/>
          <w:sz w:val="26"/>
          <w:szCs w:val="26"/>
          <w:u w:val="single"/>
          <w:rtl/>
        </w:rPr>
        <w:t>תיקון 113 לחוק</w:t>
      </w:r>
      <w:r>
        <w:rPr>
          <w:rFonts w:ascii="Arial" w:hAnsi="Arial" w:hint="cs"/>
          <w:b/>
          <w:bCs/>
          <w:sz w:val="26"/>
          <w:szCs w:val="26"/>
          <w:u w:val="single"/>
          <w:rtl/>
        </w:rPr>
        <w:t>)</w:t>
      </w:r>
    </w:p>
    <w:p w14:paraId="3FAF6351" w14:textId="77777777" w:rsidR="00A70AB5" w:rsidRPr="0006317B" w:rsidRDefault="00A70AB5" w:rsidP="00A70AB5">
      <w:pPr>
        <w:spacing w:line="360" w:lineRule="auto"/>
        <w:jc w:val="both"/>
        <w:rPr>
          <w:rFonts w:ascii="Arial" w:hAnsi="Arial"/>
          <w:b/>
          <w:bCs/>
          <w:sz w:val="26"/>
          <w:szCs w:val="26"/>
          <w:rtl/>
        </w:rPr>
      </w:pPr>
      <w:r>
        <w:rPr>
          <w:rFonts w:ascii="Arial" w:hAnsi="Arial"/>
          <w:b/>
          <w:bCs/>
          <w:sz w:val="26"/>
          <w:szCs w:val="26"/>
          <w:rtl/>
        </w:rPr>
        <w:t>אירוע אחד או יותר</w:t>
      </w:r>
    </w:p>
    <w:p w14:paraId="4681E7FA" w14:textId="77777777" w:rsidR="00A70AB5" w:rsidRDefault="003704D8" w:rsidP="00A70AB5">
      <w:pPr>
        <w:pStyle w:val="ListParagraph"/>
        <w:numPr>
          <w:ilvl w:val="0"/>
          <w:numId w:val="1"/>
        </w:numPr>
        <w:spacing w:after="160" w:line="360" w:lineRule="auto"/>
        <w:ind w:left="283"/>
        <w:contextualSpacing w:val="0"/>
        <w:jc w:val="both"/>
        <w:rPr>
          <w:sz w:val="26"/>
          <w:szCs w:val="26"/>
        </w:rPr>
      </w:pPr>
      <w:hyperlink r:id="rId45" w:history="1">
        <w:r w:rsidRPr="003704D8">
          <w:rPr>
            <w:rStyle w:val="Hyperlink"/>
            <w:sz w:val="26"/>
            <w:szCs w:val="26"/>
            <w:rtl/>
          </w:rPr>
          <w:t>סעיף 40יג</w:t>
        </w:r>
      </w:hyperlink>
      <w:r w:rsidR="00A70AB5" w:rsidRPr="00A26681">
        <w:rPr>
          <w:sz w:val="26"/>
          <w:szCs w:val="26"/>
          <w:rtl/>
        </w:rPr>
        <w:t xml:space="preserve"> בחוק קובע כי אם הרשיע בית המשפט נאשם בכמה עבירות המהוות אירוע אחד, יקבע מתחם עונש הולם לאירוע כולו, ואם הרשיע אותו בכמה עבירות המהוות כמה</w:t>
      </w:r>
      <w:r w:rsidR="00A70AB5">
        <w:rPr>
          <w:sz w:val="26"/>
          <w:szCs w:val="26"/>
          <w:rtl/>
        </w:rPr>
        <w:t xml:space="preserve"> אירועים, יקבע מתחם עונש הולם ל</w:t>
      </w:r>
      <w:r w:rsidR="00A70AB5">
        <w:rPr>
          <w:rFonts w:hint="cs"/>
          <w:sz w:val="26"/>
          <w:szCs w:val="26"/>
          <w:rtl/>
        </w:rPr>
        <w:t>כ</w:t>
      </w:r>
      <w:r w:rsidR="00A70AB5">
        <w:rPr>
          <w:sz w:val="26"/>
          <w:szCs w:val="26"/>
          <w:rtl/>
        </w:rPr>
        <w:t xml:space="preserve">ל אירוע בנפרד. </w:t>
      </w:r>
    </w:p>
    <w:p w14:paraId="00AD3B97" w14:textId="77777777" w:rsidR="00A70AB5" w:rsidRPr="002C3920" w:rsidRDefault="00A70AB5" w:rsidP="00A70AB5">
      <w:pPr>
        <w:pStyle w:val="ListParagraph"/>
        <w:numPr>
          <w:ilvl w:val="0"/>
          <w:numId w:val="1"/>
        </w:numPr>
        <w:spacing w:after="160" w:line="360" w:lineRule="auto"/>
        <w:ind w:left="283"/>
        <w:contextualSpacing w:val="0"/>
        <w:jc w:val="both"/>
        <w:rPr>
          <w:sz w:val="26"/>
          <w:szCs w:val="26"/>
        </w:rPr>
      </w:pPr>
      <w:r w:rsidRPr="00A26681">
        <w:rPr>
          <w:sz w:val="26"/>
          <w:szCs w:val="26"/>
          <w:rtl/>
        </w:rPr>
        <w:t>כידוע, ב</w:t>
      </w:r>
      <w:hyperlink r:id="rId46" w:history="1">
        <w:r w:rsidR="00DF2BC8" w:rsidRPr="00DF2BC8">
          <w:rPr>
            <w:color w:val="0000FF"/>
            <w:sz w:val="26"/>
            <w:szCs w:val="26"/>
            <w:u w:val="single"/>
            <w:rtl/>
          </w:rPr>
          <w:t>ע"פ 4910/13</w:t>
        </w:r>
      </w:hyperlink>
      <w:r w:rsidRPr="00A26681">
        <w:rPr>
          <w:sz w:val="26"/>
          <w:szCs w:val="26"/>
          <w:rtl/>
        </w:rPr>
        <w:t xml:space="preserve"> </w:t>
      </w:r>
      <w:r w:rsidRPr="00A26681">
        <w:rPr>
          <w:b/>
          <w:bCs/>
          <w:sz w:val="26"/>
          <w:szCs w:val="26"/>
          <w:rtl/>
        </w:rPr>
        <w:t xml:space="preserve">ג'אבר נ' מדינת ישראל </w:t>
      </w:r>
      <w:r w:rsidRPr="00A26681">
        <w:rPr>
          <w:sz w:val="26"/>
          <w:szCs w:val="26"/>
          <w:rtl/>
        </w:rPr>
        <w:t>(29.10.14) נקבע, כי מספר עבירות שיש ביניהן קשר ענייני הדוק, הנובע (בין השאר) מסמיכות זמנים או משום שמדובר בתכנית עבריינית אחת, יהוו "אירוע אחד" (פסקה 5 בפסק</w:t>
      </w:r>
      <w:r>
        <w:rPr>
          <w:sz w:val="26"/>
          <w:szCs w:val="26"/>
          <w:rtl/>
        </w:rPr>
        <w:t xml:space="preserve"> דינה של כב' השופט ד' ברק ארז; </w:t>
      </w:r>
      <w:r w:rsidRPr="00A26681">
        <w:rPr>
          <w:sz w:val="26"/>
          <w:szCs w:val="26"/>
          <w:rtl/>
        </w:rPr>
        <w:t xml:space="preserve">ראו גם </w:t>
      </w:r>
      <w:hyperlink r:id="rId47" w:history="1">
        <w:r w:rsidR="00DF2BC8" w:rsidRPr="00DF2BC8">
          <w:rPr>
            <w:color w:val="0000FF"/>
            <w:sz w:val="26"/>
            <w:szCs w:val="26"/>
            <w:u w:val="single"/>
            <w:rtl/>
          </w:rPr>
          <w:t>ע"פ 5668/13</w:t>
        </w:r>
      </w:hyperlink>
      <w:r w:rsidRPr="002C3920">
        <w:rPr>
          <w:b/>
          <w:bCs/>
          <w:sz w:val="26"/>
          <w:szCs w:val="26"/>
          <w:rtl/>
        </w:rPr>
        <w:t xml:space="preserve"> מזרחי נ' מדינת ישראל</w:t>
      </w:r>
      <w:r w:rsidRPr="002C3920">
        <w:rPr>
          <w:sz w:val="26"/>
          <w:szCs w:val="26"/>
          <w:rtl/>
        </w:rPr>
        <w:t xml:space="preserve"> (17.3.16) (להלן: "</w:t>
      </w:r>
      <w:r w:rsidRPr="002C3920">
        <w:rPr>
          <w:b/>
          <w:bCs/>
          <w:sz w:val="26"/>
          <w:szCs w:val="26"/>
          <w:rtl/>
        </w:rPr>
        <w:t>עניין מזרחי</w:t>
      </w:r>
      <w:r w:rsidRPr="002C3920">
        <w:rPr>
          <w:sz w:val="26"/>
          <w:szCs w:val="26"/>
          <w:rtl/>
        </w:rPr>
        <w:t>"), פסקה 26 בפסק דינו של כב' השופט נ' סולברג). אציין</w:t>
      </w:r>
      <w:r>
        <w:rPr>
          <w:rFonts w:hint="cs"/>
          <w:sz w:val="26"/>
          <w:szCs w:val="26"/>
          <w:rtl/>
        </w:rPr>
        <w:t>,</w:t>
      </w:r>
      <w:r w:rsidRPr="002C3920">
        <w:rPr>
          <w:sz w:val="26"/>
          <w:szCs w:val="26"/>
          <w:rtl/>
        </w:rPr>
        <w:t xml:space="preserve"> כי </w:t>
      </w:r>
      <w:r>
        <w:rPr>
          <w:rFonts w:hint="cs"/>
          <w:sz w:val="26"/>
          <w:szCs w:val="26"/>
          <w:rtl/>
        </w:rPr>
        <w:t>הוב</w:t>
      </w:r>
      <w:r w:rsidRPr="002C3920">
        <w:rPr>
          <w:sz w:val="26"/>
          <w:szCs w:val="26"/>
          <w:rtl/>
        </w:rPr>
        <w:t xml:space="preserve">עה </w:t>
      </w:r>
      <w:r>
        <w:rPr>
          <w:rFonts w:hint="cs"/>
          <w:sz w:val="26"/>
          <w:szCs w:val="26"/>
          <w:rtl/>
        </w:rPr>
        <w:t>ה</w:t>
      </w:r>
      <w:r w:rsidRPr="002C3920">
        <w:rPr>
          <w:sz w:val="26"/>
          <w:szCs w:val="26"/>
          <w:rtl/>
        </w:rPr>
        <w:t>דעה שמבחן זה רחב ו</w:t>
      </w:r>
      <w:r>
        <w:rPr>
          <w:sz w:val="26"/>
          <w:szCs w:val="26"/>
          <w:rtl/>
        </w:rPr>
        <w:t>מאגד במסגרת אחת מעשים שונים ו</w:t>
      </w:r>
      <w:r>
        <w:rPr>
          <w:rFonts w:hint="cs"/>
          <w:sz w:val="26"/>
          <w:szCs w:val="26"/>
          <w:rtl/>
        </w:rPr>
        <w:t xml:space="preserve">כי יש </w:t>
      </w:r>
      <w:r w:rsidRPr="002C3920">
        <w:rPr>
          <w:sz w:val="26"/>
          <w:szCs w:val="26"/>
          <w:rtl/>
        </w:rPr>
        <w:t xml:space="preserve">ליתן למונח </w:t>
      </w:r>
      <w:r>
        <w:rPr>
          <w:rFonts w:hint="cs"/>
          <w:sz w:val="26"/>
          <w:szCs w:val="26"/>
          <w:rtl/>
        </w:rPr>
        <w:t>"</w:t>
      </w:r>
      <w:r w:rsidRPr="002C3920">
        <w:rPr>
          <w:sz w:val="26"/>
          <w:szCs w:val="26"/>
          <w:rtl/>
        </w:rPr>
        <w:t>אירוע</w:t>
      </w:r>
      <w:r>
        <w:rPr>
          <w:rFonts w:hint="cs"/>
          <w:sz w:val="26"/>
          <w:szCs w:val="26"/>
          <w:rtl/>
        </w:rPr>
        <w:t>"</w:t>
      </w:r>
      <w:r w:rsidRPr="002C3920">
        <w:rPr>
          <w:sz w:val="26"/>
          <w:szCs w:val="26"/>
          <w:rtl/>
        </w:rPr>
        <w:t xml:space="preserve"> הגדרה שונה ומצומצמת יותר (שם, פסקה 27 בפסק דינו של כב' השופט סולברג; וראו גם </w:t>
      </w:r>
      <w:hyperlink r:id="rId48" w:history="1">
        <w:r w:rsidR="00DF2BC8" w:rsidRPr="00DF2BC8">
          <w:rPr>
            <w:color w:val="0000FF"/>
            <w:sz w:val="26"/>
            <w:szCs w:val="26"/>
            <w:u w:val="single"/>
            <w:rtl/>
          </w:rPr>
          <w:t>דנ"פ 2999/16</w:t>
        </w:r>
      </w:hyperlink>
      <w:r w:rsidRPr="002C3920">
        <w:rPr>
          <w:sz w:val="26"/>
          <w:szCs w:val="26"/>
          <w:rtl/>
        </w:rPr>
        <w:t xml:space="preserve"> </w:t>
      </w:r>
      <w:r w:rsidRPr="002C3920">
        <w:rPr>
          <w:b/>
          <w:bCs/>
          <w:sz w:val="26"/>
          <w:szCs w:val="26"/>
          <w:rtl/>
        </w:rPr>
        <w:t xml:space="preserve">מזרחי נ' מדינת ישראל </w:t>
      </w:r>
      <w:r w:rsidRPr="002C3920">
        <w:rPr>
          <w:sz w:val="26"/>
          <w:szCs w:val="26"/>
          <w:rtl/>
        </w:rPr>
        <w:t>(22.5.16), פסקה י).</w:t>
      </w:r>
    </w:p>
    <w:p w14:paraId="10D3B433" w14:textId="77777777" w:rsidR="00A70AB5" w:rsidRPr="002C3920" w:rsidRDefault="00A70AB5" w:rsidP="00A70AB5">
      <w:pPr>
        <w:pStyle w:val="ListParagraph"/>
        <w:numPr>
          <w:ilvl w:val="0"/>
          <w:numId w:val="1"/>
        </w:numPr>
        <w:spacing w:after="160" w:line="360" w:lineRule="auto"/>
        <w:ind w:left="283"/>
        <w:contextualSpacing w:val="0"/>
        <w:jc w:val="both"/>
        <w:rPr>
          <w:rFonts w:ascii="Arial" w:hAnsi="Arial"/>
          <w:b/>
          <w:bCs/>
          <w:sz w:val="26"/>
          <w:szCs w:val="26"/>
        </w:rPr>
      </w:pPr>
      <w:r w:rsidRPr="002C3920">
        <w:rPr>
          <w:rFonts w:ascii="Arial" w:hAnsi="Arial" w:hint="cs"/>
          <w:sz w:val="26"/>
          <w:szCs w:val="26"/>
          <w:rtl/>
        </w:rPr>
        <w:t>סבורני, שיש לבחון את מעשי האישום הראשון ומעשי האישום השני כאירועים נפרדים, וכי הדבר ברור מאליו. קשה יותר היא השאלה האם ניתן לראות במעשים הנכללים בגדרי האישום השני כאירוע אחד או שמא מדובר באירועים שונים? במקום אחר כבר הבעתי דעתי, כי התפרעויות כגון דא מהוות, ככלל, אירועים נפרדים (</w:t>
      </w:r>
      <w:hyperlink r:id="rId49" w:history="1">
        <w:r w:rsidR="00DF2BC8" w:rsidRPr="00DF2BC8">
          <w:rPr>
            <w:rFonts w:ascii="Arial" w:hAnsi="Arial"/>
            <w:color w:val="0000FF"/>
            <w:sz w:val="26"/>
            <w:szCs w:val="26"/>
            <w:u w:val="single"/>
            <w:rtl/>
          </w:rPr>
          <w:t>ת"פ (מחוזי י-ם) 609-12-15</w:t>
        </w:r>
      </w:hyperlink>
      <w:r w:rsidRPr="002C3920">
        <w:rPr>
          <w:rFonts w:ascii="Arial" w:hAnsi="Arial" w:hint="cs"/>
          <w:sz w:val="26"/>
          <w:szCs w:val="26"/>
          <w:rtl/>
        </w:rPr>
        <w:t xml:space="preserve"> </w:t>
      </w:r>
      <w:r w:rsidRPr="002C3920">
        <w:rPr>
          <w:rFonts w:ascii="Arial" w:hAnsi="Arial" w:hint="cs"/>
          <w:b/>
          <w:bCs/>
          <w:sz w:val="26"/>
          <w:szCs w:val="26"/>
          <w:rtl/>
        </w:rPr>
        <w:t>מדינת ישראל נ' דנדיס</w:t>
      </w:r>
      <w:r w:rsidRPr="002C3920">
        <w:rPr>
          <w:rFonts w:ascii="Arial" w:hAnsi="Arial" w:hint="cs"/>
          <w:sz w:val="26"/>
          <w:szCs w:val="26"/>
          <w:rtl/>
        </w:rPr>
        <w:t xml:space="preserve"> (22.9.16), פסקה 19). כמובן</w:t>
      </w:r>
      <w:r>
        <w:rPr>
          <w:rFonts w:ascii="Arial" w:hAnsi="Arial" w:hint="cs"/>
          <w:sz w:val="26"/>
          <w:szCs w:val="26"/>
          <w:rtl/>
        </w:rPr>
        <w:t>,</w:t>
      </w:r>
      <w:r w:rsidRPr="002C3920">
        <w:rPr>
          <w:rFonts w:ascii="Arial" w:hAnsi="Arial" w:hint="cs"/>
          <w:sz w:val="26"/>
          <w:szCs w:val="26"/>
          <w:rtl/>
        </w:rPr>
        <w:t xml:space="preserve"> שניתן למצוא חוט אידיאולוגי מקשר בין ההתפרעויות. אך דווקא הטענה כי מדובר בהתפרעות ספונטנית </w:t>
      </w:r>
      <w:r w:rsidRPr="002C3920">
        <w:rPr>
          <w:rFonts w:ascii="Arial" w:hAnsi="Arial"/>
          <w:sz w:val="26"/>
          <w:szCs w:val="26"/>
          <w:rtl/>
        </w:rPr>
        <w:t>–</w:t>
      </w:r>
      <w:r w:rsidRPr="002C3920">
        <w:rPr>
          <w:rFonts w:ascii="Arial" w:hAnsi="Arial" w:hint="cs"/>
          <w:sz w:val="26"/>
          <w:szCs w:val="26"/>
          <w:rtl/>
        </w:rPr>
        <w:t xml:space="preserve"> מעין להט של הרגע </w:t>
      </w:r>
      <w:r w:rsidRPr="002C3920">
        <w:rPr>
          <w:rFonts w:ascii="Arial" w:hAnsi="Arial"/>
          <w:sz w:val="26"/>
          <w:szCs w:val="26"/>
          <w:rtl/>
        </w:rPr>
        <w:t>–</w:t>
      </w:r>
      <w:r w:rsidRPr="002C3920">
        <w:rPr>
          <w:rFonts w:ascii="Arial" w:hAnsi="Arial" w:hint="cs"/>
          <w:sz w:val="26"/>
          <w:szCs w:val="26"/>
          <w:rtl/>
        </w:rPr>
        <w:t xml:space="preserve"> מלמדת כי כל התפרעות עומדת בפני עצמה ואינה חוליה בשרשרת מעשים שיש בהם להוות אירוע אחד. עם זאת, אני נכון לקבל כי נוכח סמיכות הזמני</w:t>
      </w:r>
      <w:r>
        <w:rPr>
          <w:rFonts w:ascii="Arial" w:hAnsi="Arial" w:hint="cs"/>
          <w:sz w:val="26"/>
          <w:szCs w:val="26"/>
          <w:rtl/>
        </w:rPr>
        <w:t xml:space="preserve">ם בין המעשים שבוצעו ביום 4.7.14, במועד סמוך אליו </w:t>
      </w:r>
      <w:r w:rsidRPr="002C3920">
        <w:rPr>
          <w:rFonts w:ascii="Arial" w:hAnsi="Arial" w:hint="cs"/>
          <w:sz w:val="26"/>
          <w:szCs w:val="26"/>
          <w:rtl/>
        </w:rPr>
        <w:t xml:space="preserve">וביום 24.7.14, וזמן לא רב לאחר שבוצע </w:t>
      </w:r>
      <w:r>
        <w:rPr>
          <w:rFonts w:ascii="Arial" w:hAnsi="Arial" w:hint="cs"/>
          <w:sz w:val="26"/>
          <w:szCs w:val="26"/>
          <w:rtl/>
        </w:rPr>
        <w:t>ה</w:t>
      </w:r>
      <w:r w:rsidRPr="002C3920">
        <w:rPr>
          <w:rFonts w:ascii="Arial" w:hAnsi="Arial" w:hint="cs"/>
          <w:sz w:val="26"/>
          <w:szCs w:val="26"/>
          <w:rtl/>
        </w:rPr>
        <w:t>רצח</w:t>
      </w:r>
      <w:r>
        <w:rPr>
          <w:rFonts w:ascii="Arial" w:hAnsi="Arial" w:hint="cs"/>
          <w:sz w:val="26"/>
          <w:szCs w:val="26"/>
          <w:rtl/>
        </w:rPr>
        <w:t xml:space="preserve"> המזעזע של</w:t>
      </w:r>
      <w:r w:rsidRPr="002C3920">
        <w:rPr>
          <w:rFonts w:ascii="Arial" w:hAnsi="Arial" w:hint="cs"/>
          <w:sz w:val="26"/>
          <w:szCs w:val="26"/>
          <w:rtl/>
        </w:rPr>
        <w:t xml:space="preserve"> הילד אבו ח'דיר</w:t>
      </w:r>
      <w:r>
        <w:rPr>
          <w:rFonts w:ascii="Arial" w:hAnsi="Arial" w:hint="cs"/>
          <w:sz w:val="26"/>
          <w:szCs w:val="26"/>
          <w:rtl/>
        </w:rPr>
        <w:t xml:space="preserve">, </w:t>
      </w:r>
      <w:r w:rsidRPr="002C3920">
        <w:rPr>
          <w:rFonts w:ascii="Arial" w:hAnsi="Arial" w:hint="cs"/>
          <w:sz w:val="26"/>
          <w:szCs w:val="26"/>
          <w:rtl/>
        </w:rPr>
        <w:t>ניתן לראות במעשים אלו</w:t>
      </w:r>
      <w:r>
        <w:rPr>
          <w:rFonts w:ascii="Arial" w:hAnsi="Arial" w:hint="cs"/>
          <w:sz w:val="26"/>
          <w:szCs w:val="26"/>
          <w:rtl/>
        </w:rPr>
        <w:t xml:space="preserve"> כחלקים מאותה התלהטות שהביאה לשרשרת של</w:t>
      </w:r>
      <w:r w:rsidRPr="002C3920">
        <w:rPr>
          <w:rFonts w:ascii="Arial" w:hAnsi="Arial" w:hint="cs"/>
          <w:sz w:val="26"/>
          <w:szCs w:val="26"/>
          <w:rtl/>
        </w:rPr>
        <w:t xml:space="preserve"> התפרעויות. </w:t>
      </w:r>
    </w:p>
    <w:p w14:paraId="24B4BFAD" w14:textId="77777777" w:rsidR="00A70AB5" w:rsidRDefault="00A70AB5" w:rsidP="00A70AB5">
      <w:pPr>
        <w:pStyle w:val="ListParagraph"/>
        <w:numPr>
          <w:ilvl w:val="0"/>
          <w:numId w:val="1"/>
        </w:numPr>
        <w:spacing w:after="160" w:line="360" w:lineRule="auto"/>
        <w:ind w:left="283"/>
        <w:contextualSpacing w:val="0"/>
        <w:jc w:val="both"/>
        <w:rPr>
          <w:rFonts w:ascii="Arial" w:hAnsi="Arial"/>
          <w:sz w:val="26"/>
          <w:szCs w:val="26"/>
        </w:rPr>
      </w:pPr>
      <w:r w:rsidRPr="00EB1A88">
        <w:rPr>
          <w:rFonts w:ascii="Arial" w:hAnsi="Arial" w:hint="cs"/>
          <w:sz w:val="26"/>
          <w:szCs w:val="26"/>
          <w:rtl/>
        </w:rPr>
        <w:t>משכך אני קובע</w:t>
      </w:r>
      <w:r>
        <w:rPr>
          <w:rFonts w:ascii="Arial" w:hAnsi="Arial" w:hint="cs"/>
          <w:sz w:val="26"/>
          <w:szCs w:val="26"/>
          <w:rtl/>
        </w:rPr>
        <w:t>,</w:t>
      </w:r>
      <w:r w:rsidRPr="00EB1A88">
        <w:rPr>
          <w:rFonts w:ascii="Arial" w:hAnsi="Arial" w:hint="cs"/>
          <w:sz w:val="26"/>
          <w:szCs w:val="26"/>
          <w:rtl/>
        </w:rPr>
        <w:t xml:space="preserve"> כי</w:t>
      </w:r>
      <w:r>
        <w:rPr>
          <w:rFonts w:ascii="Arial" w:hAnsi="Arial" w:hint="cs"/>
          <w:sz w:val="26"/>
          <w:szCs w:val="26"/>
          <w:rtl/>
        </w:rPr>
        <w:t xml:space="preserve"> המעשים המתוארים ב</w:t>
      </w:r>
      <w:r w:rsidRPr="00EB1A88">
        <w:rPr>
          <w:rFonts w:ascii="Arial" w:hAnsi="Arial" w:hint="cs"/>
          <w:sz w:val="26"/>
          <w:szCs w:val="26"/>
          <w:rtl/>
        </w:rPr>
        <w:t>אישום הראשון</w:t>
      </w:r>
      <w:r>
        <w:rPr>
          <w:rFonts w:ascii="Arial" w:hAnsi="Arial" w:hint="cs"/>
          <w:sz w:val="26"/>
          <w:szCs w:val="26"/>
          <w:rtl/>
        </w:rPr>
        <w:t>, מהווים אירוע אחד, המעשים מושא האישום השני שבוצעו בחודש יולי 2014 מהווים אירוע שני, והמעשים שבוצעו ביום 20.5.15 מהווים אירוע שלישי. הווה אומר, המדובר בשלושה אירועים</w:t>
      </w:r>
      <w:r w:rsidRPr="00EB1A88">
        <w:rPr>
          <w:rFonts w:ascii="Arial" w:hAnsi="Arial" w:hint="cs"/>
          <w:sz w:val="26"/>
          <w:szCs w:val="26"/>
          <w:rtl/>
        </w:rPr>
        <w:t>.</w:t>
      </w:r>
    </w:p>
    <w:p w14:paraId="452A2933" w14:textId="77777777" w:rsidR="00A70AB5" w:rsidRPr="00A26681" w:rsidRDefault="00A70AB5" w:rsidP="00A70AB5">
      <w:pPr>
        <w:spacing w:line="360" w:lineRule="auto"/>
        <w:jc w:val="both"/>
        <w:rPr>
          <w:rFonts w:ascii="Arial" w:hAnsi="Arial"/>
          <w:b/>
          <w:bCs/>
          <w:sz w:val="26"/>
          <w:szCs w:val="26"/>
        </w:rPr>
      </w:pPr>
      <w:r w:rsidRPr="00A26681">
        <w:rPr>
          <w:rFonts w:ascii="Arial" w:hAnsi="Arial"/>
          <w:b/>
          <w:bCs/>
          <w:sz w:val="26"/>
          <w:szCs w:val="26"/>
          <w:rtl/>
        </w:rPr>
        <w:t>מתחם העונש</w:t>
      </w:r>
    </w:p>
    <w:p w14:paraId="7D7B6772" w14:textId="77777777" w:rsidR="00A70AB5" w:rsidRPr="002E528D" w:rsidRDefault="00A70AB5" w:rsidP="00A70AB5">
      <w:pPr>
        <w:pStyle w:val="ListParagraph"/>
        <w:numPr>
          <w:ilvl w:val="0"/>
          <w:numId w:val="1"/>
        </w:numPr>
        <w:spacing w:after="160" w:line="360" w:lineRule="auto"/>
        <w:ind w:left="283"/>
        <w:contextualSpacing w:val="0"/>
        <w:jc w:val="both"/>
        <w:rPr>
          <w:rFonts w:ascii="Arial" w:hAnsi="Arial"/>
          <w:sz w:val="26"/>
          <w:szCs w:val="26"/>
        </w:rPr>
      </w:pPr>
      <w:r w:rsidRPr="002E528D">
        <w:rPr>
          <w:rFonts w:ascii="Arial" w:hAnsi="Arial"/>
          <w:sz w:val="26"/>
          <w:szCs w:val="26"/>
          <w:rtl/>
        </w:rPr>
        <w:t xml:space="preserve"> </w:t>
      </w:r>
      <w:hyperlink r:id="rId50" w:history="1">
        <w:r w:rsidR="003704D8" w:rsidRPr="003704D8">
          <w:rPr>
            <w:rStyle w:val="Hyperlink"/>
            <w:rFonts w:ascii="Arial" w:hAnsi="Arial"/>
            <w:sz w:val="26"/>
            <w:szCs w:val="26"/>
            <w:rtl/>
          </w:rPr>
          <w:t>בסעיף 40ג(א)</w:t>
        </w:r>
      </w:hyperlink>
      <w:r w:rsidRPr="002E528D">
        <w:rPr>
          <w:rFonts w:ascii="Arial" w:hAnsi="Arial"/>
          <w:sz w:val="26"/>
          <w:szCs w:val="26"/>
          <w:rtl/>
        </w:rPr>
        <w:t xml:space="preserve"> בחוק נאמר, כי "</w:t>
      </w:r>
      <w:r w:rsidRPr="002E528D">
        <w:rPr>
          <w:rFonts w:ascii="Arial" w:hAnsi="Arial"/>
          <w:b/>
          <w:bCs/>
          <w:sz w:val="26"/>
          <w:szCs w:val="26"/>
          <w:rtl/>
        </w:rPr>
        <w:t>בית המשפט יקבע מתחם עונש הולם למעשה העבירה שביצע הנאשם בהתאם לעיקרון המנחה, ולשם כך יתחשב בערך החברתי שנפגע מביצוע העבירה, במידת הפגיעה בו, במדיניות הענישה הנהוגה ובנסיבות הקשורות בביצוע העבירה כאמור בסעיף 40ט</w:t>
      </w:r>
      <w:r w:rsidRPr="002E528D">
        <w:rPr>
          <w:rFonts w:ascii="Arial" w:hAnsi="Arial"/>
          <w:sz w:val="26"/>
          <w:szCs w:val="26"/>
          <w:rtl/>
        </w:rPr>
        <w:t xml:space="preserve">". </w:t>
      </w:r>
      <w:hyperlink r:id="rId51" w:history="1">
        <w:r w:rsidR="003704D8" w:rsidRPr="003704D8">
          <w:rPr>
            <w:rStyle w:val="Hyperlink"/>
            <w:rFonts w:ascii="Arial" w:hAnsi="Arial"/>
            <w:sz w:val="26"/>
            <w:szCs w:val="26"/>
            <w:rtl/>
          </w:rPr>
          <w:t>בסעיף 40ב</w:t>
        </w:r>
      </w:hyperlink>
      <w:r w:rsidRPr="002E528D">
        <w:rPr>
          <w:rFonts w:ascii="Arial" w:hAnsi="Arial"/>
          <w:sz w:val="26"/>
          <w:szCs w:val="26"/>
          <w:rtl/>
        </w:rPr>
        <w:t xml:space="preserve"> בחוק נאמר, כי "</w:t>
      </w:r>
      <w:r w:rsidRPr="002E528D">
        <w:rPr>
          <w:rFonts w:ascii="Arial" w:hAnsi="Arial"/>
          <w:b/>
          <w:bCs/>
          <w:sz w:val="26"/>
          <w:szCs w:val="26"/>
          <w:rtl/>
        </w:rPr>
        <w:t xml:space="preserve">העיקרון המנחה בענישה הוא קיומו של יחס הולם בין חומרת מעשה העבירה בנסיבותיו ומידת אשמו של הנאשם ובין </w:t>
      </w:r>
      <w:r w:rsidRPr="00CE4F17">
        <w:rPr>
          <w:rFonts w:ascii="Arial" w:hAnsi="Arial"/>
          <w:b/>
          <w:bCs/>
          <w:sz w:val="26"/>
          <w:szCs w:val="26"/>
          <w:rtl/>
        </w:rPr>
        <w:t>סוג ומידת העונש המוטל עליו</w:t>
      </w:r>
      <w:r w:rsidRPr="002E528D">
        <w:rPr>
          <w:rFonts w:ascii="Arial" w:hAnsi="Arial"/>
          <w:sz w:val="26"/>
          <w:szCs w:val="26"/>
          <w:rtl/>
        </w:rPr>
        <w:t>".</w:t>
      </w:r>
    </w:p>
    <w:p w14:paraId="023C87BD" w14:textId="77777777" w:rsidR="00A70AB5" w:rsidRDefault="00A70AB5" w:rsidP="00A70AB5">
      <w:pPr>
        <w:pStyle w:val="ListParagraph"/>
        <w:numPr>
          <w:ilvl w:val="0"/>
          <w:numId w:val="1"/>
        </w:numPr>
        <w:spacing w:after="160" w:line="360" w:lineRule="auto"/>
        <w:ind w:left="283"/>
        <w:contextualSpacing w:val="0"/>
        <w:jc w:val="both"/>
        <w:rPr>
          <w:rFonts w:ascii="Arial" w:hAnsi="Arial"/>
          <w:sz w:val="26"/>
          <w:szCs w:val="26"/>
        </w:rPr>
      </w:pPr>
      <w:r w:rsidRPr="002E528D">
        <w:rPr>
          <w:rFonts w:ascii="Arial" w:hAnsi="Arial"/>
          <w:sz w:val="26"/>
          <w:szCs w:val="26"/>
          <w:rtl/>
        </w:rPr>
        <w:t>בית המשפט העליון מצא לנכון להדגיש, כי עקרון ההלימה מביא בחשבון את חומרת מעשה העבירה בנסיבותיו ואת מידת אשמו של הנאשם. קרי, יש להתחשב לא רק בסוג העבירה שבוצעה, אלא גם בנסיבות שבהן בוצעה ובמידת אשמו של הנאשם בביצועה. בקביעת המתחם יובאו רק השיקולים הקשורים בעבירה, בעוד שנסיבותיו האישיות של הנאשם מובאות בחשבון אך במניין השיקולים בקביעת העונש המתאים בתוך מתחם הענישה. עוד ציין בית המשפט, כי אומנם המחוקק לא התייחס להיקפו הרצוי של מתחם הענישה, אך ברור כי מתחם רחב מאוד לא ישרת את תכליתו של תיקון 113 (</w:t>
      </w:r>
      <w:hyperlink r:id="rId52" w:history="1">
        <w:r w:rsidR="00DF2BC8" w:rsidRPr="00DF2BC8">
          <w:rPr>
            <w:rFonts w:ascii="Arial" w:hAnsi="Arial"/>
            <w:color w:val="0000FF"/>
            <w:sz w:val="26"/>
            <w:szCs w:val="26"/>
            <w:u w:val="single"/>
            <w:rtl/>
          </w:rPr>
          <w:t>ע"פ 8641/12</w:t>
        </w:r>
      </w:hyperlink>
      <w:r>
        <w:rPr>
          <w:rFonts w:ascii="Arial" w:hAnsi="Arial"/>
          <w:b/>
          <w:bCs/>
          <w:sz w:val="26"/>
          <w:szCs w:val="26"/>
          <w:rtl/>
        </w:rPr>
        <w:t xml:space="preserve"> </w:t>
      </w:r>
      <w:r w:rsidRPr="002E528D">
        <w:rPr>
          <w:rFonts w:ascii="Arial" w:hAnsi="Arial"/>
          <w:b/>
          <w:bCs/>
          <w:sz w:val="26"/>
          <w:szCs w:val="26"/>
          <w:rtl/>
        </w:rPr>
        <w:t>סעד נ' מדינת ישראל</w:t>
      </w:r>
      <w:r w:rsidRPr="002E528D">
        <w:rPr>
          <w:rFonts w:ascii="Arial" w:hAnsi="Arial"/>
          <w:sz w:val="26"/>
          <w:szCs w:val="26"/>
          <w:rtl/>
        </w:rPr>
        <w:t xml:space="preserve"> (5.8.13), פסקאות 23</w:t>
      </w:r>
      <w:r>
        <w:rPr>
          <w:rFonts w:ascii="Arial" w:hAnsi="Arial"/>
          <w:sz w:val="26"/>
          <w:szCs w:val="26"/>
          <w:rtl/>
        </w:rPr>
        <w:t xml:space="preserve"> – </w:t>
      </w:r>
      <w:r w:rsidRPr="002E528D">
        <w:rPr>
          <w:rFonts w:ascii="Arial" w:hAnsi="Arial"/>
          <w:sz w:val="26"/>
          <w:szCs w:val="26"/>
          <w:rtl/>
        </w:rPr>
        <w:t xml:space="preserve">24). כן הדגיש בית המשפט, כי הנסיבות הקשורות לביצוע העבירה הנבחנות בעת קביעת מתחם הענישה (כמפורט </w:t>
      </w:r>
      <w:hyperlink r:id="rId53" w:history="1">
        <w:r w:rsidR="003704D8" w:rsidRPr="003704D8">
          <w:rPr>
            <w:rStyle w:val="Hyperlink"/>
            <w:rFonts w:ascii="Arial" w:hAnsi="Arial"/>
            <w:sz w:val="26"/>
            <w:szCs w:val="26"/>
            <w:rtl/>
          </w:rPr>
          <w:t>בסעיף 40ט</w:t>
        </w:r>
      </w:hyperlink>
      <w:r w:rsidRPr="002E528D">
        <w:rPr>
          <w:rFonts w:ascii="Arial" w:hAnsi="Arial"/>
          <w:sz w:val="26"/>
          <w:szCs w:val="26"/>
          <w:rtl/>
        </w:rPr>
        <w:t xml:space="preserve"> לחוק) והנסיבות שאינן קשורות לביצוע העבירה, הנבחנות בגזירת העונש (כמפורט </w:t>
      </w:r>
      <w:hyperlink r:id="rId54" w:history="1">
        <w:r w:rsidR="003704D8" w:rsidRPr="003704D8">
          <w:rPr>
            <w:rStyle w:val="Hyperlink"/>
            <w:rFonts w:ascii="Arial" w:hAnsi="Arial"/>
            <w:sz w:val="26"/>
            <w:szCs w:val="26"/>
            <w:rtl/>
          </w:rPr>
          <w:t>בסעיף 40יא</w:t>
        </w:r>
      </w:hyperlink>
      <w:r w:rsidRPr="002E528D">
        <w:rPr>
          <w:rFonts w:ascii="Arial" w:hAnsi="Arial"/>
          <w:sz w:val="26"/>
          <w:szCs w:val="26"/>
          <w:rtl/>
        </w:rPr>
        <w:t xml:space="preserve"> לחוק), אינן רשימה סגורה, ואין בנסיבות שציין המחוקק שאותן פרט במפורש כדי לגרוע מסמכותו של בית המשפט לשקול נסיבות נוספות (</w:t>
      </w:r>
      <w:hyperlink r:id="rId55" w:history="1">
        <w:r w:rsidR="003704D8" w:rsidRPr="003704D8">
          <w:rPr>
            <w:rStyle w:val="Hyperlink"/>
            <w:rFonts w:ascii="Arial" w:hAnsi="Arial"/>
            <w:sz w:val="26"/>
            <w:szCs w:val="26"/>
            <w:rtl/>
          </w:rPr>
          <w:t>סעיף 40יב</w:t>
        </w:r>
      </w:hyperlink>
      <w:r w:rsidRPr="002E528D">
        <w:rPr>
          <w:rFonts w:ascii="Arial" w:hAnsi="Arial"/>
          <w:sz w:val="26"/>
          <w:szCs w:val="26"/>
          <w:rtl/>
        </w:rPr>
        <w:t xml:space="preserve"> לחוק) (שם, שם). </w:t>
      </w:r>
    </w:p>
    <w:p w14:paraId="673012EF" w14:textId="77777777" w:rsidR="00A70AB5" w:rsidRDefault="00A70AB5" w:rsidP="00A70AB5">
      <w:pPr>
        <w:pStyle w:val="ListParagraph"/>
        <w:numPr>
          <w:ilvl w:val="0"/>
          <w:numId w:val="1"/>
        </w:numPr>
        <w:spacing w:after="160" w:line="360" w:lineRule="auto"/>
        <w:ind w:left="283"/>
        <w:contextualSpacing w:val="0"/>
        <w:jc w:val="both"/>
        <w:rPr>
          <w:rFonts w:ascii="Arial" w:hAnsi="Arial"/>
          <w:sz w:val="26"/>
          <w:szCs w:val="26"/>
        </w:rPr>
      </w:pPr>
      <w:r>
        <w:rPr>
          <w:rFonts w:ascii="Arial" w:hAnsi="Arial" w:hint="cs"/>
          <w:sz w:val="26"/>
          <w:szCs w:val="26"/>
          <w:rtl/>
        </w:rPr>
        <w:t xml:space="preserve">לפיכך, </w:t>
      </w:r>
      <w:r w:rsidRPr="00CE4F17">
        <w:rPr>
          <w:rFonts w:ascii="Arial" w:hAnsi="Arial"/>
          <w:sz w:val="26"/>
          <w:szCs w:val="26"/>
          <w:rtl/>
        </w:rPr>
        <w:t>על פי ההלכה הנוהגת, עתה עליי להידרש לשלוש אמות מידה: (1) הערך החברתי שנפגע מביצוע העבירה ומידת הפגיעה בו; (2) מדיניות הענישה הנהוגה; ו-(3) הנסיבות הקשורות בביצוע העבירה (</w:t>
      </w:r>
      <w:r w:rsidRPr="00CE4F17">
        <w:rPr>
          <w:rFonts w:ascii="Arial" w:hAnsi="Arial"/>
          <w:b/>
          <w:bCs/>
          <w:sz w:val="26"/>
          <w:szCs w:val="26"/>
          <w:rtl/>
        </w:rPr>
        <w:t>עניין מזרחי</w:t>
      </w:r>
      <w:r w:rsidRPr="00CE4F17">
        <w:rPr>
          <w:rFonts w:ascii="Arial" w:hAnsi="Arial"/>
          <w:sz w:val="26"/>
          <w:szCs w:val="26"/>
          <w:rtl/>
        </w:rPr>
        <w:t>, פסקה 32 בפסק דינו של כב' השופט נ' סולברג).</w:t>
      </w:r>
    </w:p>
    <w:p w14:paraId="3A533A49" w14:textId="77777777" w:rsidR="00A70AB5" w:rsidRPr="00CE4F17" w:rsidRDefault="00A70AB5" w:rsidP="00A70AB5">
      <w:pPr>
        <w:pStyle w:val="ListParagraph"/>
        <w:numPr>
          <w:ilvl w:val="0"/>
          <w:numId w:val="1"/>
        </w:numPr>
        <w:spacing w:after="160" w:line="360" w:lineRule="auto"/>
        <w:ind w:left="283"/>
        <w:contextualSpacing w:val="0"/>
        <w:jc w:val="both"/>
        <w:rPr>
          <w:rFonts w:ascii="Arial" w:hAnsi="Arial"/>
          <w:sz w:val="26"/>
          <w:szCs w:val="26"/>
        </w:rPr>
      </w:pPr>
      <w:r w:rsidRPr="00CE4F17">
        <w:rPr>
          <w:rFonts w:ascii="Arial" w:hAnsi="Arial"/>
          <w:sz w:val="26"/>
          <w:szCs w:val="26"/>
          <w:rtl/>
        </w:rPr>
        <w:t>אשר ל</w:t>
      </w:r>
      <w:r w:rsidRPr="00CE4F17">
        <w:rPr>
          <w:rFonts w:ascii="Arial" w:hAnsi="Arial"/>
          <w:b/>
          <w:bCs/>
          <w:sz w:val="26"/>
          <w:szCs w:val="26"/>
          <w:rtl/>
        </w:rPr>
        <w:t>ערכים המוגנים</w:t>
      </w:r>
      <w:r w:rsidRPr="00CE4F17">
        <w:rPr>
          <w:rFonts w:ascii="Arial" w:hAnsi="Arial"/>
          <w:sz w:val="26"/>
          <w:szCs w:val="26"/>
          <w:rtl/>
        </w:rPr>
        <w:t xml:space="preserve"> בבסיס העבירות בהן עסקינן – אתייחס בהמשך לערך המוגן בכל עבירה ועבירה, אך ככלל, </w:t>
      </w:r>
      <w:r>
        <w:rPr>
          <w:rFonts w:ascii="Arial" w:hAnsi="Arial" w:hint="cs"/>
          <w:sz w:val="26"/>
          <w:szCs w:val="26"/>
          <w:rtl/>
        </w:rPr>
        <w:t>דומה שמעשיו של הנאשם כולם בוצעו כהתרסה נגד גופי המדינה והביטחון ומתוך רצון לפגוע בסדרי הממשל.</w:t>
      </w:r>
    </w:p>
    <w:p w14:paraId="25EFDCBC" w14:textId="77777777" w:rsidR="00A70AB5" w:rsidRDefault="00A70AB5" w:rsidP="00A70AB5">
      <w:pPr>
        <w:pStyle w:val="ListParagraph"/>
        <w:numPr>
          <w:ilvl w:val="1"/>
          <w:numId w:val="1"/>
        </w:numPr>
        <w:spacing w:after="160" w:line="360" w:lineRule="auto"/>
        <w:ind w:hanging="512"/>
        <w:contextualSpacing w:val="0"/>
        <w:jc w:val="both"/>
        <w:rPr>
          <w:rFonts w:ascii="Arial" w:hAnsi="Arial"/>
          <w:sz w:val="26"/>
          <w:szCs w:val="26"/>
        </w:rPr>
      </w:pPr>
      <w:r>
        <w:rPr>
          <w:rFonts w:ascii="Arial" w:hAnsi="Arial" w:hint="cs"/>
          <w:sz w:val="26"/>
          <w:szCs w:val="26"/>
          <w:rtl/>
        </w:rPr>
        <w:t>הערך המוגן בעבירת יציאה שלא כדין</w:t>
      </w:r>
      <w:r w:rsidRPr="00033381">
        <w:rPr>
          <w:rFonts w:ascii="Arial" w:hAnsi="Arial" w:hint="cs"/>
          <w:sz w:val="26"/>
          <w:szCs w:val="26"/>
          <w:rtl/>
        </w:rPr>
        <w:t xml:space="preserve"> </w:t>
      </w:r>
      <w:r>
        <w:rPr>
          <w:rFonts w:ascii="Arial" w:hAnsi="Arial" w:hint="cs"/>
          <w:sz w:val="26"/>
          <w:szCs w:val="26"/>
          <w:rtl/>
        </w:rPr>
        <w:t>(</w:t>
      </w:r>
      <w:r w:rsidRPr="00033381">
        <w:rPr>
          <w:rFonts w:ascii="Arial" w:hAnsi="Arial" w:hint="cs"/>
          <w:sz w:val="26"/>
          <w:szCs w:val="26"/>
          <w:rtl/>
        </w:rPr>
        <w:t xml:space="preserve">עבירה לפי </w:t>
      </w:r>
      <w:hyperlink r:id="rId56" w:history="1">
        <w:r w:rsidR="003704D8" w:rsidRPr="003704D8">
          <w:rPr>
            <w:rStyle w:val="Hyperlink"/>
            <w:rFonts w:ascii="Arial" w:hAnsi="Arial" w:hint="eastAsia"/>
            <w:sz w:val="26"/>
            <w:szCs w:val="26"/>
            <w:rtl/>
          </w:rPr>
          <w:t>סעיף</w:t>
        </w:r>
        <w:r w:rsidR="003704D8" w:rsidRPr="003704D8">
          <w:rPr>
            <w:rStyle w:val="Hyperlink"/>
            <w:rFonts w:ascii="Arial" w:hAnsi="Arial"/>
            <w:sz w:val="26"/>
            <w:szCs w:val="26"/>
            <w:rtl/>
          </w:rPr>
          <w:t xml:space="preserve"> 2א</w:t>
        </w:r>
      </w:hyperlink>
      <w:r w:rsidRPr="00033381">
        <w:rPr>
          <w:rFonts w:ascii="Arial" w:hAnsi="Arial" w:hint="cs"/>
          <w:sz w:val="26"/>
          <w:szCs w:val="26"/>
          <w:rtl/>
        </w:rPr>
        <w:t xml:space="preserve"> ל</w:t>
      </w:r>
      <w:hyperlink r:id="rId57" w:history="1">
        <w:r w:rsidR="00DF2BC8" w:rsidRPr="00DF2BC8">
          <w:rPr>
            <w:rFonts w:ascii="Arial" w:hAnsi="Arial"/>
            <w:color w:val="0000FF"/>
            <w:sz w:val="26"/>
            <w:szCs w:val="26"/>
            <w:u w:val="single"/>
            <w:rtl/>
          </w:rPr>
          <w:t>חוק למניעת הסתננות (עבירות ושיפוט)</w:t>
        </w:r>
      </w:hyperlink>
      <w:r w:rsidRPr="00033381">
        <w:rPr>
          <w:rFonts w:ascii="Arial" w:hAnsi="Arial" w:hint="cs"/>
          <w:sz w:val="26"/>
          <w:szCs w:val="26"/>
          <w:rtl/>
        </w:rPr>
        <w:t>, תשי"ד-1954</w:t>
      </w:r>
      <w:r>
        <w:rPr>
          <w:rFonts w:ascii="Arial" w:hAnsi="Arial" w:hint="cs"/>
          <w:sz w:val="26"/>
          <w:szCs w:val="26"/>
          <w:rtl/>
        </w:rPr>
        <w:t>) הנו פגיעה בסדרי המשפט והשלטון הטומנת בחובה פוטנציאל לפגיעה בביטחון המדינה. העונש הקבוע לצד עבירה זו הוא ארבע שנות מאסר, או קנס כפי שנקבע שם.</w:t>
      </w:r>
    </w:p>
    <w:p w14:paraId="7DF3E672" w14:textId="77777777" w:rsidR="00A70AB5" w:rsidRDefault="00A70AB5" w:rsidP="00A70AB5">
      <w:pPr>
        <w:pStyle w:val="ListParagraph"/>
        <w:numPr>
          <w:ilvl w:val="1"/>
          <w:numId w:val="1"/>
        </w:numPr>
        <w:spacing w:after="160" w:line="360" w:lineRule="auto"/>
        <w:ind w:hanging="512"/>
        <w:contextualSpacing w:val="0"/>
        <w:jc w:val="both"/>
        <w:rPr>
          <w:rFonts w:ascii="Arial" w:hAnsi="Arial"/>
          <w:sz w:val="26"/>
          <w:szCs w:val="26"/>
        </w:rPr>
      </w:pPr>
      <w:r w:rsidRPr="00B57259">
        <w:rPr>
          <w:rFonts w:ascii="Arial" w:hAnsi="Arial" w:hint="cs"/>
          <w:sz w:val="26"/>
          <w:szCs w:val="26"/>
          <w:rtl/>
        </w:rPr>
        <w:t xml:space="preserve">הערך המוגן בעבירת ניסיון הצתה (עבירה לפי </w:t>
      </w:r>
      <w:hyperlink r:id="rId58" w:history="1">
        <w:r w:rsidR="003704D8" w:rsidRPr="003704D8">
          <w:rPr>
            <w:rStyle w:val="Hyperlink"/>
            <w:rFonts w:ascii="Arial" w:hAnsi="Arial" w:hint="eastAsia"/>
            <w:sz w:val="26"/>
            <w:szCs w:val="26"/>
            <w:rtl/>
          </w:rPr>
          <w:t>סעיף</w:t>
        </w:r>
        <w:r w:rsidR="003704D8" w:rsidRPr="003704D8">
          <w:rPr>
            <w:rStyle w:val="Hyperlink"/>
            <w:rFonts w:ascii="Arial" w:hAnsi="Arial"/>
            <w:sz w:val="26"/>
            <w:szCs w:val="26"/>
            <w:rtl/>
          </w:rPr>
          <w:t xml:space="preserve"> 448(א)</w:t>
        </w:r>
      </w:hyperlink>
      <w:r w:rsidRPr="00B57259">
        <w:rPr>
          <w:rFonts w:ascii="Arial" w:hAnsi="Arial" w:hint="cs"/>
          <w:sz w:val="26"/>
          <w:szCs w:val="26"/>
          <w:rtl/>
        </w:rPr>
        <w:t xml:space="preserve"> רישא בצירוף </w:t>
      </w:r>
      <w:hyperlink r:id="rId59" w:history="1">
        <w:r w:rsidR="003704D8" w:rsidRPr="003704D8">
          <w:rPr>
            <w:rStyle w:val="Hyperlink"/>
            <w:rFonts w:ascii="Arial" w:hAnsi="Arial" w:hint="eastAsia"/>
            <w:sz w:val="26"/>
            <w:szCs w:val="26"/>
            <w:rtl/>
          </w:rPr>
          <w:t>סעיף</w:t>
        </w:r>
        <w:r w:rsidR="003704D8" w:rsidRPr="003704D8">
          <w:rPr>
            <w:rStyle w:val="Hyperlink"/>
            <w:rFonts w:ascii="Arial" w:hAnsi="Arial"/>
            <w:sz w:val="26"/>
            <w:szCs w:val="26"/>
            <w:rtl/>
          </w:rPr>
          <w:t xml:space="preserve"> 25</w:t>
        </w:r>
      </w:hyperlink>
      <w:r w:rsidRPr="00B57259">
        <w:rPr>
          <w:rFonts w:ascii="Arial" w:hAnsi="Arial" w:hint="cs"/>
          <w:sz w:val="26"/>
          <w:szCs w:val="26"/>
          <w:rtl/>
        </w:rPr>
        <w:t xml:space="preserve"> </w:t>
      </w:r>
      <w:hyperlink r:id="rId60" w:history="1">
        <w:r w:rsidR="003704D8" w:rsidRPr="003704D8">
          <w:rPr>
            <w:rStyle w:val="Hyperlink"/>
            <w:rFonts w:ascii="Arial" w:hAnsi="Arial" w:hint="eastAsia"/>
            <w:sz w:val="26"/>
            <w:szCs w:val="26"/>
            <w:rtl/>
          </w:rPr>
          <w:t>וסעיף</w:t>
        </w:r>
        <w:r w:rsidR="003704D8" w:rsidRPr="003704D8">
          <w:rPr>
            <w:rStyle w:val="Hyperlink"/>
            <w:rFonts w:ascii="Arial" w:hAnsi="Arial"/>
            <w:sz w:val="26"/>
            <w:szCs w:val="26"/>
            <w:rtl/>
          </w:rPr>
          <w:t xml:space="preserve"> 29</w:t>
        </w:r>
      </w:hyperlink>
      <w:r w:rsidRPr="00B57259">
        <w:rPr>
          <w:rFonts w:ascii="Arial" w:hAnsi="Arial" w:hint="cs"/>
          <w:sz w:val="26"/>
          <w:szCs w:val="26"/>
          <w:rtl/>
        </w:rPr>
        <w:t xml:space="preserve"> בחוק) הוא</w:t>
      </w:r>
      <w:r w:rsidRPr="00B57259">
        <w:rPr>
          <w:rFonts w:ascii="Arial" w:hAnsi="Arial"/>
          <w:sz w:val="26"/>
          <w:szCs w:val="26"/>
          <w:rtl/>
        </w:rPr>
        <w:t xml:space="preserve"> השמירה על הרכוש, ושלמות הנפש והגוף (</w:t>
      </w:r>
      <w:hyperlink r:id="rId61" w:history="1">
        <w:r w:rsidR="00DF2BC8" w:rsidRPr="00DF2BC8">
          <w:rPr>
            <w:rFonts w:ascii="Arial" w:hAnsi="Arial"/>
            <w:color w:val="0000FF"/>
            <w:sz w:val="26"/>
            <w:szCs w:val="26"/>
            <w:u w:val="single"/>
            <w:rtl/>
          </w:rPr>
          <w:t>ע"פ 5376/15</w:t>
        </w:r>
      </w:hyperlink>
      <w:r w:rsidRPr="00B57259">
        <w:rPr>
          <w:rFonts w:ascii="Arial" w:hAnsi="Arial"/>
          <w:sz w:val="26"/>
          <w:szCs w:val="26"/>
          <w:rtl/>
        </w:rPr>
        <w:t xml:space="preserve"> </w:t>
      </w:r>
      <w:r w:rsidRPr="00B57259">
        <w:rPr>
          <w:rFonts w:ascii="Arial" w:hAnsi="Arial"/>
          <w:b/>
          <w:bCs/>
          <w:sz w:val="26"/>
          <w:szCs w:val="26"/>
          <w:rtl/>
        </w:rPr>
        <w:t>נסים ביטון נ' מדינת ישראל</w:t>
      </w:r>
      <w:r w:rsidRPr="00B57259">
        <w:rPr>
          <w:rFonts w:ascii="Arial" w:hAnsi="Arial"/>
          <w:sz w:val="26"/>
          <w:szCs w:val="26"/>
          <w:rtl/>
        </w:rPr>
        <w:t xml:space="preserve"> (11.2.16), פסקה 18). העונש הנקוב </w:t>
      </w:r>
      <w:hyperlink r:id="rId62" w:history="1">
        <w:r w:rsidR="003704D8" w:rsidRPr="003704D8">
          <w:rPr>
            <w:rStyle w:val="Hyperlink"/>
            <w:rFonts w:ascii="Arial" w:hAnsi="Arial"/>
            <w:sz w:val="26"/>
            <w:szCs w:val="26"/>
            <w:rtl/>
          </w:rPr>
          <w:t>בסעיף 448(4)</w:t>
        </w:r>
      </w:hyperlink>
      <w:r w:rsidRPr="00B57259">
        <w:rPr>
          <w:rFonts w:ascii="Arial" w:hAnsi="Arial"/>
          <w:sz w:val="26"/>
          <w:szCs w:val="26"/>
          <w:rtl/>
        </w:rPr>
        <w:t xml:space="preserve"> רישא </w:t>
      </w:r>
      <w:r>
        <w:rPr>
          <w:rFonts w:ascii="Arial" w:hAnsi="Arial" w:hint="cs"/>
          <w:sz w:val="26"/>
          <w:szCs w:val="26"/>
          <w:rtl/>
        </w:rPr>
        <w:t xml:space="preserve">לחוק </w:t>
      </w:r>
      <w:r w:rsidRPr="00B57259">
        <w:rPr>
          <w:rFonts w:ascii="Arial" w:hAnsi="Arial"/>
          <w:sz w:val="26"/>
          <w:szCs w:val="26"/>
          <w:rtl/>
        </w:rPr>
        <w:t>הנו 15 שנות מאסר.</w:t>
      </w:r>
    </w:p>
    <w:p w14:paraId="10DC8E91" w14:textId="77777777" w:rsidR="00A70AB5" w:rsidRDefault="00A70AB5" w:rsidP="00A70AB5">
      <w:pPr>
        <w:pStyle w:val="ListParagraph"/>
        <w:numPr>
          <w:ilvl w:val="1"/>
          <w:numId w:val="1"/>
        </w:numPr>
        <w:spacing w:after="160" w:line="360" w:lineRule="auto"/>
        <w:ind w:hanging="512"/>
        <w:contextualSpacing w:val="0"/>
        <w:jc w:val="both"/>
        <w:rPr>
          <w:rFonts w:ascii="Arial" w:hAnsi="Arial"/>
          <w:sz w:val="26"/>
          <w:szCs w:val="26"/>
        </w:rPr>
      </w:pPr>
      <w:r w:rsidRPr="00E007D5">
        <w:rPr>
          <w:rFonts w:ascii="Arial" w:hAnsi="Arial" w:hint="cs"/>
          <w:sz w:val="26"/>
          <w:szCs w:val="26"/>
          <w:rtl/>
        </w:rPr>
        <w:t xml:space="preserve">הערך המוגן בעבירת החזקת נשק (עבירה לפי </w:t>
      </w:r>
      <w:hyperlink r:id="rId63" w:history="1">
        <w:r w:rsidR="003704D8" w:rsidRPr="003704D8">
          <w:rPr>
            <w:rStyle w:val="Hyperlink"/>
            <w:rFonts w:ascii="Arial" w:hAnsi="Arial" w:hint="eastAsia"/>
            <w:sz w:val="26"/>
            <w:szCs w:val="26"/>
            <w:rtl/>
          </w:rPr>
          <w:t>סעיף</w:t>
        </w:r>
        <w:r w:rsidR="003704D8" w:rsidRPr="003704D8">
          <w:rPr>
            <w:rStyle w:val="Hyperlink"/>
            <w:rFonts w:ascii="Arial" w:hAnsi="Arial"/>
            <w:sz w:val="26"/>
            <w:szCs w:val="26"/>
            <w:rtl/>
          </w:rPr>
          <w:t xml:space="preserve"> 144(א)</w:t>
        </w:r>
      </w:hyperlink>
      <w:r w:rsidRPr="00E007D5">
        <w:rPr>
          <w:rFonts w:ascii="Arial" w:hAnsi="Arial" w:hint="cs"/>
          <w:sz w:val="26"/>
          <w:szCs w:val="26"/>
          <w:rtl/>
        </w:rPr>
        <w:t xml:space="preserve"> רישא בחוק)</w:t>
      </w:r>
      <w:r>
        <w:rPr>
          <w:rFonts w:ascii="Arial" w:hAnsi="Arial" w:hint="cs"/>
          <w:sz w:val="26"/>
          <w:szCs w:val="26"/>
          <w:rtl/>
        </w:rPr>
        <w:t xml:space="preserve"> </w:t>
      </w:r>
      <w:r w:rsidRPr="00E007D5">
        <w:rPr>
          <w:rFonts w:ascii="Arial" w:hAnsi="Arial" w:hint="cs"/>
          <w:sz w:val="26"/>
          <w:szCs w:val="26"/>
          <w:rtl/>
        </w:rPr>
        <w:t>ה</w:t>
      </w:r>
      <w:r>
        <w:rPr>
          <w:rFonts w:ascii="Arial" w:hAnsi="Arial" w:hint="cs"/>
          <w:sz w:val="26"/>
          <w:szCs w:val="26"/>
          <w:rtl/>
        </w:rPr>
        <w:t>וא</w:t>
      </w:r>
      <w:r w:rsidRPr="00E007D5">
        <w:rPr>
          <w:rFonts w:ascii="Arial" w:hAnsi="Arial" w:hint="cs"/>
          <w:sz w:val="26"/>
          <w:szCs w:val="26"/>
          <w:rtl/>
        </w:rPr>
        <w:t xml:space="preserve"> שמירה על בטחון הציבור.</w:t>
      </w:r>
      <w:r>
        <w:rPr>
          <w:rFonts w:ascii="Arial" w:hAnsi="Arial" w:hint="cs"/>
          <w:sz w:val="26"/>
          <w:szCs w:val="26"/>
          <w:rtl/>
        </w:rPr>
        <w:t xml:space="preserve"> העונש הקבוע לצד עבירה זו הנו שבע שנות מאסר.</w:t>
      </w:r>
    </w:p>
    <w:p w14:paraId="7855FA8F" w14:textId="77777777" w:rsidR="00A70AB5" w:rsidRDefault="00A70AB5" w:rsidP="00A70AB5">
      <w:pPr>
        <w:pStyle w:val="ListParagraph"/>
        <w:numPr>
          <w:ilvl w:val="1"/>
          <w:numId w:val="1"/>
        </w:numPr>
        <w:spacing w:after="160" w:line="360" w:lineRule="auto"/>
        <w:ind w:hanging="512"/>
        <w:contextualSpacing w:val="0"/>
        <w:jc w:val="both"/>
        <w:rPr>
          <w:rFonts w:ascii="Arial" w:hAnsi="Arial"/>
          <w:sz w:val="26"/>
          <w:szCs w:val="26"/>
        </w:rPr>
      </w:pPr>
      <w:r>
        <w:rPr>
          <w:rFonts w:ascii="Arial" w:hAnsi="Arial" w:hint="cs"/>
          <w:sz w:val="26"/>
          <w:szCs w:val="26"/>
          <w:rtl/>
        </w:rPr>
        <w:t>הערך המוגן על ידי העבירה "</w:t>
      </w:r>
      <w:r w:rsidRPr="00E007D5">
        <w:rPr>
          <w:rFonts w:ascii="Arial" w:hAnsi="Arial" w:hint="cs"/>
          <w:sz w:val="26"/>
          <w:szCs w:val="26"/>
          <w:rtl/>
        </w:rPr>
        <w:t xml:space="preserve">ניסיון תקיפת שוטר בנסיבות מחמירות" (עבירה לפי </w:t>
      </w:r>
      <w:hyperlink r:id="rId64" w:history="1">
        <w:r w:rsidR="003704D8" w:rsidRPr="003704D8">
          <w:rPr>
            <w:rStyle w:val="Hyperlink"/>
            <w:rFonts w:ascii="Arial" w:hAnsi="Arial" w:hint="eastAsia"/>
            <w:sz w:val="26"/>
            <w:szCs w:val="26"/>
            <w:rtl/>
          </w:rPr>
          <w:t>סעיף</w:t>
        </w:r>
        <w:r w:rsidR="003704D8" w:rsidRPr="003704D8">
          <w:rPr>
            <w:rStyle w:val="Hyperlink"/>
            <w:rFonts w:ascii="Arial" w:hAnsi="Arial"/>
            <w:sz w:val="26"/>
            <w:szCs w:val="26"/>
            <w:rtl/>
          </w:rPr>
          <w:t xml:space="preserve"> 274(1)</w:t>
        </w:r>
      </w:hyperlink>
      <w:r w:rsidRPr="00E007D5">
        <w:rPr>
          <w:rFonts w:ascii="Arial" w:hAnsi="Arial" w:hint="cs"/>
          <w:sz w:val="26"/>
          <w:szCs w:val="26"/>
          <w:rtl/>
        </w:rPr>
        <w:t xml:space="preserve"> </w:t>
      </w:r>
      <w:hyperlink r:id="rId65" w:history="1">
        <w:r w:rsidR="003704D8" w:rsidRPr="003704D8">
          <w:rPr>
            <w:rFonts w:ascii="Arial" w:hAnsi="Arial"/>
            <w:color w:val="0000FF"/>
            <w:sz w:val="26"/>
            <w:szCs w:val="26"/>
            <w:u w:val="single"/>
            <w:rtl/>
          </w:rPr>
          <w:t>וס"ק (2)</w:t>
        </w:r>
      </w:hyperlink>
      <w:r w:rsidRPr="00E007D5">
        <w:rPr>
          <w:rFonts w:ascii="Arial" w:hAnsi="Arial" w:hint="cs"/>
          <w:sz w:val="26"/>
          <w:szCs w:val="26"/>
          <w:rtl/>
        </w:rPr>
        <w:t xml:space="preserve"> </w:t>
      </w:r>
      <w:hyperlink r:id="rId66" w:history="1">
        <w:r w:rsidR="003704D8" w:rsidRPr="003704D8">
          <w:rPr>
            <w:rFonts w:ascii="Arial" w:hAnsi="Arial"/>
            <w:color w:val="0000FF"/>
            <w:sz w:val="26"/>
            <w:szCs w:val="26"/>
            <w:u w:val="single"/>
            <w:rtl/>
          </w:rPr>
          <w:t>וס"ק (3)</w:t>
        </w:r>
      </w:hyperlink>
      <w:r w:rsidRPr="00E007D5">
        <w:rPr>
          <w:rFonts w:ascii="Arial" w:hAnsi="Arial" w:hint="cs"/>
          <w:sz w:val="26"/>
          <w:szCs w:val="26"/>
          <w:rtl/>
        </w:rPr>
        <w:t xml:space="preserve"> בצירוף </w:t>
      </w:r>
      <w:hyperlink r:id="rId67" w:history="1">
        <w:r w:rsidR="003704D8" w:rsidRPr="003704D8">
          <w:rPr>
            <w:rFonts w:ascii="Arial" w:hAnsi="Arial"/>
            <w:color w:val="0000FF"/>
            <w:sz w:val="26"/>
            <w:szCs w:val="26"/>
            <w:u w:val="single"/>
            <w:rtl/>
          </w:rPr>
          <w:t>סעיף 29</w:t>
        </w:r>
      </w:hyperlink>
      <w:r w:rsidRPr="00E007D5">
        <w:rPr>
          <w:rFonts w:ascii="Arial" w:hAnsi="Arial" w:hint="cs"/>
          <w:sz w:val="26"/>
          <w:szCs w:val="26"/>
          <w:rtl/>
        </w:rPr>
        <w:t xml:space="preserve"> בחוק), </w:t>
      </w:r>
      <w:r w:rsidRPr="00E007D5">
        <w:rPr>
          <w:rFonts w:ascii="Arial" w:hAnsi="Arial"/>
          <w:sz w:val="26"/>
          <w:szCs w:val="26"/>
          <w:rtl/>
        </w:rPr>
        <w:t>הנו השמירה על הסדר הציבורי ואכיפת החוק כמו גם שמירה על שלומם של המשרתים בכוחות הביטחון (</w:t>
      </w:r>
      <w:hyperlink r:id="rId68" w:history="1">
        <w:r w:rsidR="00DF2BC8" w:rsidRPr="00DF2BC8">
          <w:rPr>
            <w:rFonts w:ascii="Arial" w:hAnsi="Arial"/>
            <w:color w:val="0000FF"/>
            <w:sz w:val="26"/>
            <w:szCs w:val="26"/>
            <w:u w:val="single"/>
            <w:rtl/>
          </w:rPr>
          <w:t>עפ"ג (מחוזי י-ם) 50469-07-15</w:t>
        </w:r>
      </w:hyperlink>
      <w:r w:rsidRPr="00E007D5">
        <w:rPr>
          <w:rFonts w:ascii="Arial" w:hAnsi="Arial"/>
          <w:sz w:val="26"/>
          <w:szCs w:val="26"/>
          <w:rtl/>
        </w:rPr>
        <w:t xml:space="preserve"> </w:t>
      </w:r>
      <w:r w:rsidRPr="00E007D5">
        <w:rPr>
          <w:rFonts w:ascii="Arial" w:hAnsi="Arial"/>
          <w:b/>
          <w:bCs/>
          <w:sz w:val="26"/>
          <w:szCs w:val="26"/>
          <w:rtl/>
        </w:rPr>
        <w:t>באסל מחמוד נ' מדינת ישראל</w:t>
      </w:r>
      <w:r w:rsidRPr="00E007D5">
        <w:rPr>
          <w:rFonts w:ascii="Arial" w:hAnsi="Arial"/>
          <w:sz w:val="26"/>
          <w:szCs w:val="26"/>
          <w:rtl/>
        </w:rPr>
        <w:t xml:space="preserve"> (3.11.15), פסקה 9). לעבירה זו קבוע עונש מינימום של </w:t>
      </w:r>
      <w:r>
        <w:rPr>
          <w:rFonts w:ascii="Arial" w:hAnsi="Arial" w:hint="cs"/>
          <w:sz w:val="26"/>
          <w:szCs w:val="26"/>
          <w:rtl/>
        </w:rPr>
        <w:t>שלושה</w:t>
      </w:r>
      <w:r w:rsidRPr="00E007D5">
        <w:rPr>
          <w:rFonts w:ascii="Arial" w:hAnsi="Arial"/>
          <w:sz w:val="26"/>
          <w:szCs w:val="26"/>
          <w:rtl/>
        </w:rPr>
        <w:t xml:space="preserve"> חודשי מאסר ועונש מקסימלי של </w:t>
      </w:r>
      <w:r>
        <w:rPr>
          <w:rFonts w:ascii="Arial" w:hAnsi="Arial" w:hint="cs"/>
          <w:sz w:val="26"/>
          <w:szCs w:val="26"/>
          <w:rtl/>
        </w:rPr>
        <w:t>חמש</w:t>
      </w:r>
      <w:r w:rsidRPr="00E007D5">
        <w:rPr>
          <w:rFonts w:ascii="Arial" w:hAnsi="Arial"/>
          <w:sz w:val="26"/>
          <w:szCs w:val="26"/>
          <w:rtl/>
        </w:rPr>
        <w:t xml:space="preserve"> שנות מאסר.</w:t>
      </w:r>
    </w:p>
    <w:p w14:paraId="157A2E65" w14:textId="77777777" w:rsidR="00A70AB5" w:rsidRDefault="00A70AB5" w:rsidP="00A70AB5">
      <w:pPr>
        <w:pStyle w:val="ListParagraph"/>
        <w:numPr>
          <w:ilvl w:val="1"/>
          <w:numId w:val="1"/>
        </w:numPr>
        <w:spacing w:after="160" w:line="360" w:lineRule="auto"/>
        <w:ind w:hanging="512"/>
        <w:contextualSpacing w:val="0"/>
        <w:jc w:val="both"/>
        <w:rPr>
          <w:rFonts w:ascii="Arial" w:hAnsi="Arial"/>
          <w:sz w:val="26"/>
          <w:szCs w:val="26"/>
        </w:rPr>
      </w:pPr>
      <w:r>
        <w:rPr>
          <w:rFonts w:ascii="Arial" w:hAnsi="Arial" w:hint="cs"/>
          <w:sz w:val="26"/>
          <w:szCs w:val="26"/>
          <w:rtl/>
        </w:rPr>
        <w:t xml:space="preserve">הערך המוגן על ידי עבירת </w:t>
      </w:r>
      <w:r w:rsidRPr="000E3DA4">
        <w:rPr>
          <w:rFonts w:ascii="Arial" w:hAnsi="Arial" w:hint="cs"/>
          <w:sz w:val="26"/>
          <w:szCs w:val="26"/>
          <w:rtl/>
        </w:rPr>
        <w:t xml:space="preserve">מעשה פזיזות </w:t>
      </w:r>
      <w:r>
        <w:rPr>
          <w:rFonts w:ascii="Arial" w:hAnsi="Arial" w:hint="cs"/>
          <w:sz w:val="26"/>
          <w:szCs w:val="26"/>
          <w:rtl/>
        </w:rPr>
        <w:t>ורשלנות בחומר נפיץ</w:t>
      </w:r>
      <w:r w:rsidRPr="000E3DA4">
        <w:rPr>
          <w:rFonts w:ascii="Arial" w:hAnsi="Arial" w:hint="cs"/>
          <w:sz w:val="26"/>
          <w:szCs w:val="26"/>
          <w:rtl/>
        </w:rPr>
        <w:t xml:space="preserve"> </w:t>
      </w:r>
      <w:r>
        <w:rPr>
          <w:rFonts w:ascii="Arial" w:hAnsi="Arial" w:hint="cs"/>
          <w:sz w:val="26"/>
          <w:szCs w:val="26"/>
          <w:rtl/>
        </w:rPr>
        <w:t>(</w:t>
      </w:r>
      <w:r w:rsidRPr="000E3DA4">
        <w:rPr>
          <w:rFonts w:ascii="Arial" w:hAnsi="Arial" w:hint="cs"/>
          <w:sz w:val="26"/>
          <w:szCs w:val="26"/>
          <w:rtl/>
        </w:rPr>
        <w:t xml:space="preserve">עבירה לפי </w:t>
      </w:r>
      <w:hyperlink r:id="rId69" w:history="1">
        <w:r w:rsidR="003704D8" w:rsidRPr="003704D8">
          <w:rPr>
            <w:rFonts w:ascii="Arial" w:hAnsi="Arial"/>
            <w:color w:val="0000FF"/>
            <w:sz w:val="26"/>
            <w:szCs w:val="26"/>
            <w:u w:val="single"/>
            <w:rtl/>
          </w:rPr>
          <w:t>סעיף 338(א)(3)</w:t>
        </w:r>
      </w:hyperlink>
      <w:r w:rsidRPr="000E3DA4">
        <w:rPr>
          <w:rFonts w:ascii="Arial" w:hAnsi="Arial" w:hint="cs"/>
          <w:sz w:val="26"/>
          <w:szCs w:val="26"/>
          <w:rtl/>
        </w:rPr>
        <w:t xml:space="preserve"> בצירוף </w:t>
      </w:r>
      <w:hyperlink r:id="rId70" w:history="1">
        <w:r w:rsidR="003704D8" w:rsidRPr="003704D8">
          <w:rPr>
            <w:rFonts w:ascii="Arial" w:hAnsi="Arial"/>
            <w:color w:val="0000FF"/>
            <w:sz w:val="26"/>
            <w:szCs w:val="26"/>
            <w:u w:val="single"/>
            <w:rtl/>
          </w:rPr>
          <w:t>סעיף 29</w:t>
        </w:r>
      </w:hyperlink>
      <w:r w:rsidRPr="000E3DA4">
        <w:rPr>
          <w:rFonts w:ascii="Arial" w:hAnsi="Arial" w:hint="cs"/>
          <w:sz w:val="26"/>
          <w:szCs w:val="26"/>
          <w:rtl/>
        </w:rPr>
        <w:t xml:space="preserve"> בחוק</w:t>
      </w:r>
      <w:r>
        <w:rPr>
          <w:rFonts w:ascii="Arial" w:hAnsi="Arial" w:hint="cs"/>
          <w:sz w:val="26"/>
          <w:szCs w:val="26"/>
          <w:rtl/>
        </w:rPr>
        <w:t>),</w:t>
      </w:r>
      <w:r w:rsidRPr="000E3DA4">
        <w:rPr>
          <w:rFonts w:ascii="Arial" w:hAnsi="Arial" w:hint="cs"/>
          <w:sz w:val="26"/>
          <w:szCs w:val="26"/>
          <w:rtl/>
        </w:rPr>
        <w:t xml:space="preserve"> </w:t>
      </w:r>
      <w:r>
        <w:rPr>
          <w:rFonts w:ascii="Arial" w:hAnsi="Arial" w:hint="cs"/>
          <w:sz w:val="26"/>
          <w:szCs w:val="26"/>
          <w:rtl/>
        </w:rPr>
        <w:t>וכעולה מלשון העבירה, הוא שמירה על שלמות הגוף והנפש. העונש הקבוע לצד עבירה זו - שלוש שנות מאסר.</w:t>
      </w:r>
    </w:p>
    <w:p w14:paraId="0B52A8A5" w14:textId="77777777" w:rsidR="00A70AB5" w:rsidRPr="00B90AB2" w:rsidRDefault="00A70AB5" w:rsidP="00A70AB5">
      <w:pPr>
        <w:pStyle w:val="ListParagraph"/>
        <w:numPr>
          <w:ilvl w:val="1"/>
          <w:numId w:val="1"/>
        </w:numPr>
        <w:spacing w:after="160" w:line="360" w:lineRule="auto"/>
        <w:ind w:hanging="512"/>
        <w:contextualSpacing w:val="0"/>
        <w:jc w:val="both"/>
        <w:rPr>
          <w:rFonts w:ascii="Arial" w:hAnsi="Arial"/>
          <w:sz w:val="26"/>
          <w:szCs w:val="26"/>
        </w:rPr>
      </w:pPr>
      <w:r w:rsidRPr="00B90AB2">
        <w:rPr>
          <w:rFonts w:ascii="Arial" w:hAnsi="Arial" w:hint="cs"/>
          <w:sz w:val="26"/>
          <w:szCs w:val="26"/>
          <w:rtl/>
        </w:rPr>
        <w:t xml:space="preserve">הערך המוגן בעבירת התפרעות (עבירה לפי </w:t>
      </w:r>
      <w:hyperlink r:id="rId71" w:history="1">
        <w:r w:rsidR="003704D8" w:rsidRPr="003704D8">
          <w:rPr>
            <w:rFonts w:ascii="Arial" w:hAnsi="Arial"/>
            <w:color w:val="0000FF"/>
            <w:sz w:val="26"/>
            <w:szCs w:val="26"/>
            <w:u w:val="single"/>
            <w:rtl/>
          </w:rPr>
          <w:t>סעיף 152</w:t>
        </w:r>
      </w:hyperlink>
      <w:r w:rsidRPr="00B90AB2">
        <w:rPr>
          <w:rFonts w:ascii="Arial" w:hAnsi="Arial" w:hint="cs"/>
          <w:sz w:val="26"/>
          <w:szCs w:val="26"/>
          <w:rtl/>
        </w:rPr>
        <w:t xml:space="preserve"> בחוק) </w:t>
      </w:r>
      <w:r w:rsidRPr="00B90AB2">
        <w:rPr>
          <w:rFonts w:ascii="Arial" w:hAnsi="Arial"/>
          <w:sz w:val="26"/>
          <w:szCs w:val="26"/>
          <w:rtl/>
        </w:rPr>
        <w:t>הוא שלום הציבור</w:t>
      </w:r>
      <w:r w:rsidRPr="00B90AB2">
        <w:rPr>
          <w:rFonts w:ascii="Arial" w:hAnsi="Arial" w:hint="cs"/>
          <w:sz w:val="26"/>
          <w:szCs w:val="26"/>
          <w:rtl/>
        </w:rPr>
        <w:t xml:space="preserve"> (</w:t>
      </w:r>
      <w:hyperlink r:id="rId72" w:history="1">
        <w:r w:rsidR="00DF2BC8" w:rsidRPr="00DF2BC8">
          <w:rPr>
            <w:rFonts w:ascii="Arial" w:hAnsi="Arial"/>
            <w:color w:val="0000FF"/>
            <w:sz w:val="26"/>
            <w:szCs w:val="26"/>
            <w:u w:val="single"/>
            <w:rtl/>
          </w:rPr>
          <w:t>ת"פ (מחוזי י-ם) 31334-11-15</w:t>
        </w:r>
      </w:hyperlink>
      <w:r w:rsidRPr="00B90AB2">
        <w:rPr>
          <w:rFonts w:ascii="Arial" w:hAnsi="Arial" w:hint="cs"/>
          <w:sz w:val="26"/>
          <w:szCs w:val="26"/>
          <w:rtl/>
        </w:rPr>
        <w:t xml:space="preserve"> </w:t>
      </w:r>
      <w:r w:rsidRPr="00B90AB2">
        <w:rPr>
          <w:rFonts w:ascii="Arial" w:hAnsi="Arial" w:hint="cs"/>
          <w:b/>
          <w:bCs/>
          <w:sz w:val="26"/>
          <w:szCs w:val="26"/>
          <w:rtl/>
        </w:rPr>
        <w:t>מדינת ישראל נ' דארי</w:t>
      </w:r>
      <w:r w:rsidRPr="00B90AB2">
        <w:rPr>
          <w:rFonts w:ascii="Arial" w:hAnsi="Arial" w:hint="cs"/>
          <w:sz w:val="26"/>
          <w:szCs w:val="26"/>
          <w:rtl/>
        </w:rPr>
        <w:t xml:space="preserve"> (15.12.16), פסקה 29).</w:t>
      </w:r>
      <w:r w:rsidRPr="00B90AB2">
        <w:rPr>
          <w:rFonts w:ascii="Arial" w:hAnsi="Arial"/>
          <w:sz w:val="26"/>
          <w:szCs w:val="26"/>
          <w:rtl/>
        </w:rPr>
        <w:t xml:space="preserve"> העונש הקבוע לצד עבירה זו </w:t>
      </w:r>
      <w:r>
        <w:rPr>
          <w:rFonts w:ascii="Arial" w:hAnsi="Arial" w:hint="cs"/>
          <w:sz w:val="26"/>
          <w:szCs w:val="26"/>
          <w:rtl/>
        </w:rPr>
        <w:t>-</w:t>
      </w:r>
      <w:r w:rsidRPr="00B90AB2">
        <w:rPr>
          <w:rFonts w:ascii="Arial" w:hAnsi="Arial"/>
          <w:sz w:val="26"/>
          <w:szCs w:val="26"/>
          <w:rtl/>
        </w:rPr>
        <w:t xml:space="preserve"> </w:t>
      </w:r>
      <w:r w:rsidRPr="00B90AB2">
        <w:rPr>
          <w:rFonts w:ascii="Arial" w:hAnsi="Arial" w:hint="cs"/>
          <w:sz w:val="26"/>
          <w:szCs w:val="26"/>
          <w:rtl/>
        </w:rPr>
        <w:t>שנתיים</w:t>
      </w:r>
      <w:r w:rsidRPr="00B90AB2">
        <w:rPr>
          <w:rFonts w:ascii="Arial" w:hAnsi="Arial"/>
          <w:sz w:val="26"/>
          <w:szCs w:val="26"/>
          <w:rtl/>
        </w:rPr>
        <w:t xml:space="preserve"> מאסר</w:t>
      </w:r>
      <w:r>
        <w:rPr>
          <w:rFonts w:ascii="Arial" w:hAnsi="Arial" w:hint="cs"/>
          <w:sz w:val="26"/>
          <w:szCs w:val="26"/>
          <w:rtl/>
        </w:rPr>
        <w:t>.</w:t>
      </w:r>
      <w:r w:rsidRPr="00B90AB2">
        <w:rPr>
          <w:rFonts w:ascii="Arial" w:hAnsi="Arial" w:hint="cs"/>
          <w:sz w:val="26"/>
          <w:szCs w:val="26"/>
          <w:rtl/>
        </w:rPr>
        <w:t xml:space="preserve"> </w:t>
      </w:r>
    </w:p>
    <w:p w14:paraId="7D1C6E25" w14:textId="77777777" w:rsidR="00A70AB5" w:rsidRDefault="00A70AB5" w:rsidP="00A70AB5">
      <w:pPr>
        <w:pStyle w:val="ListParagraph"/>
        <w:numPr>
          <w:ilvl w:val="1"/>
          <w:numId w:val="1"/>
        </w:numPr>
        <w:spacing w:after="160" w:line="360" w:lineRule="auto"/>
        <w:ind w:hanging="512"/>
        <w:contextualSpacing w:val="0"/>
        <w:jc w:val="both"/>
        <w:rPr>
          <w:rFonts w:ascii="Arial" w:hAnsi="Arial"/>
          <w:sz w:val="26"/>
          <w:szCs w:val="26"/>
        </w:rPr>
      </w:pPr>
      <w:r>
        <w:rPr>
          <w:rFonts w:ascii="Arial" w:hAnsi="Arial" w:hint="cs"/>
          <w:sz w:val="26"/>
          <w:szCs w:val="26"/>
          <w:rtl/>
        </w:rPr>
        <w:t>הערך המוגן על ידי עבירת הגניבה</w:t>
      </w:r>
      <w:r w:rsidRPr="001B3F84">
        <w:rPr>
          <w:rFonts w:ascii="Arial" w:hAnsi="Arial" w:hint="cs"/>
          <w:sz w:val="26"/>
          <w:szCs w:val="26"/>
          <w:rtl/>
        </w:rPr>
        <w:t xml:space="preserve"> </w:t>
      </w:r>
      <w:r>
        <w:rPr>
          <w:rFonts w:ascii="Arial" w:hAnsi="Arial" w:hint="cs"/>
          <w:sz w:val="26"/>
          <w:szCs w:val="26"/>
          <w:rtl/>
        </w:rPr>
        <w:t>(</w:t>
      </w:r>
      <w:r w:rsidRPr="001B3F84">
        <w:rPr>
          <w:rFonts w:ascii="Arial" w:hAnsi="Arial" w:hint="cs"/>
          <w:sz w:val="26"/>
          <w:szCs w:val="26"/>
          <w:rtl/>
        </w:rPr>
        <w:t xml:space="preserve">עבירה לפי </w:t>
      </w:r>
      <w:hyperlink r:id="rId73" w:history="1">
        <w:r w:rsidR="003704D8" w:rsidRPr="003704D8">
          <w:rPr>
            <w:rFonts w:ascii="Arial" w:hAnsi="Arial"/>
            <w:color w:val="0000FF"/>
            <w:sz w:val="26"/>
            <w:szCs w:val="26"/>
            <w:u w:val="single"/>
            <w:rtl/>
          </w:rPr>
          <w:t>סעיף 383(א)</w:t>
        </w:r>
      </w:hyperlink>
      <w:r w:rsidRPr="001B3F84">
        <w:rPr>
          <w:rFonts w:ascii="Arial" w:hAnsi="Arial" w:hint="cs"/>
          <w:sz w:val="26"/>
          <w:szCs w:val="26"/>
          <w:rtl/>
        </w:rPr>
        <w:t xml:space="preserve"> בחוק</w:t>
      </w:r>
      <w:r>
        <w:rPr>
          <w:rFonts w:ascii="Arial" w:hAnsi="Arial" w:hint="cs"/>
          <w:sz w:val="26"/>
          <w:szCs w:val="26"/>
          <w:rtl/>
        </w:rPr>
        <w:t>) הוא זכות הקניין של בעל הזכות ברכושו (</w:t>
      </w:r>
      <w:hyperlink r:id="rId74" w:history="1">
        <w:r w:rsidR="00DF2BC8" w:rsidRPr="00DF2BC8">
          <w:rPr>
            <w:rFonts w:ascii="Arial" w:hAnsi="Arial"/>
            <w:color w:val="0000FF"/>
            <w:sz w:val="26"/>
            <w:szCs w:val="26"/>
            <w:u w:val="single"/>
            <w:rtl/>
          </w:rPr>
          <w:t>ע"פ 7085/93 נג'אר נ' מדינת ישראל, פ"ד נא</w:t>
        </w:r>
      </w:hyperlink>
      <w:r>
        <w:rPr>
          <w:rFonts w:ascii="Arial" w:hAnsi="Arial" w:hint="cs"/>
          <w:sz w:val="26"/>
          <w:szCs w:val="26"/>
          <w:rtl/>
        </w:rPr>
        <w:t xml:space="preserve">(4) 221, עמ' 225 (1997)). העונש בגין גניבה קבוע </w:t>
      </w:r>
      <w:hyperlink r:id="rId75" w:history="1">
        <w:r w:rsidR="003704D8" w:rsidRPr="003704D8">
          <w:rPr>
            <w:rFonts w:ascii="Arial" w:hAnsi="Arial"/>
            <w:color w:val="0000FF"/>
            <w:sz w:val="26"/>
            <w:szCs w:val="26"/>
            <w:u w:val="single"/>
            <w:rtl/>
          </w:rPr>
          <w:t>בסעיף 384</w:t>
        </w:r>
      </w:hyperlink>
      <w:r>
        <w:rPr>
          <w:rFonts w:ascii="Arial" w:hAnsi="Arial" w:hint="cs"/>
          <w:sz w:val="26"/>
          <w:szCs w:val="26"/>
          <w:rtl/>
        </w:rPr>
        <w:t xml:space="preserve"> - מאסר שלוש שנים.</w:t>
      </w:r>
    </w:p>
    <w:p w14:paraId="46BA8816" w14:textId="77777777" w:rsidR="00A70AB5" w:rsidRDefault="00A70AB5" w:rsidP="00A70AB5">
      <w:pPr>
        <w:pStyle w:val="ListParagraph"/>
        <w:numPr>
          <w:ilvl w:val="0"/>
          <w:numId w:val="1"/>
        </w:numPr>
        <w:spacing w:after="160" w:line="360" w:lineRule="auto"/>
        <w:ind w:left="283"/>
        <w:contextualSpacing w:val="0"/>
        <w:jc w:val="both"/>
        <w:rPr>
          <w:rFonts w:ascii="Arial" w:hAnsi="Arial"/>
          <w:sz w:val="26"/>
          <w:szCs w:val="26"/>
        </w:rPr>
      </w:pPr>
      <w:r w:rsidRPr="0060260C">
        <w:rPr>
          <w:rFonts w:ascii="Arial" w:hAnsi="Arial"/>
          <w:sz w:val="26"/>
          <w:szCs w:val="26"/>
          <w:rtl/>
        </w:rPr>
        <w:t xml:space="preserve">אשר </w:t>
      </w:r>
      <w:r w:rsidRPr="009D6281">
        <w:rPr>
          <w:rFonts w:ascii="Arial" w:hAnsi="Arial"/>
          <w:b/>
          <w:bCs/>
          <w:sz w:val="26"/>
          <w:szCs w:val="26"/>
          <w:rtl/>
        </w:rPr>
        <w:t>למדיניות הענישה הנהוגה</w:t>
      </w:r>
      <w:r w:rsidRPr="0060260C">
        <w:rPr>
          <w:rFonts w:ascii="Arial" w:hAnsi="Arial"/>
          <w:sz w:val="26"/>
          <w:szCs w:val="26"/>
          <w:rtl/>
        </w:rPr>
        <w:t xml:space="preserve">  -</w:t>
      </w:r>
      <w:r>
        <w:rPr>
          <w:rFonts w:ascii="Arial" w:hAnsi="Arial"/>
          <w:sz w:val="26"/>
          <w:szCs w:val="26"/>
          <w:rtl/>
        </w:rPr>
        <w:t xml:space="preserve"> </w:t>
      </w:r>
    </w:p>
    <w:p w14:paraId="7D039D90" w14:textId="77777777" w:rsidR="00A70AB5" w:rsidRDefault="00A70AB5" w:rsidP="00A70AB5">
      <w:pPr>
        <w:pStyle w:val="ListParagraph"/>
        <w:numPr>
          <w:ilvl w:val="1"/>
          <w:numId w:val="1"/>
        </w:numPr>
        <w:spacing w:after="160" w:line="360" w:lineRule="auto"/>
        <w:ind w:hanging="512"/>
        <w:contextualSpacing w:val="0"/>
        <w:jc w:val="both"/>
        <w:rPr>
          <w:rFonts w:ascii="Arial" w:hAnsi="Arial"/>
          <w:sz w:val="26"/>
          <w:szCs w:val="26"/>
        </w:rPr>
      </w:pPr>
      <w:r>
        <w:rPr>
          <w:rFonts w:ascii="Arial" w:hAnsi="Arial" w:hint="cs"/>
          <w:sz w:val="26"/>
          <w:szCs w:val="26"/>
          <w:rtl/>
        </w:rPr>
        <w:t>ב</w:t>
      </w:r>
      <w:hyperlink r:id="rId76" w:history="1">
        <w:r w:rsidR="00DF2BC8" w:rsidRPr="00DF2BC8">
          <w:rPr>
            <w:rFonts w:ascii="Arial" w:hAnsi="Arial"/>
            <w:color w:val="0000FF"/>
            <w:sz w:val="26"/>
            <w:szCs w:val="26"/>
            <w:u w:val="single"/>
            <w:rtl/>
          </w:rPr>
          <w:t>ע"פ 5300/16</w:t>
        </w:r>
      </w:hyperlink>
      <w:r>
        <w:rPr>
          <w:rFonts w:ascii="Arial" w:hAnsi="Arial" w:hint="cs"/>
          <w:sz w:val="26"/>
          <w:szCs w:val="26"/>
          <w:rtl/>
        </w:rPr>
        <w:t xml:space="preserve"> </w:t>
      </w:r>
      <w:r w:rsidRPr="004933E7">
        <w:rPr>
          <w:rFonts w:ascii="Arial" w:hAnsi="Arial" w:hint="cs"/>
          <w:b/>
          <w:bCs/>
          <w:sz w:val="26"/>
          <w:szCs w:val="26"/>
          <w:rtl/>
        </w:rPr>
        <w:t>מדינת ישראל נ' נגאר</w:t>
      </w:r>
      <w:r>
        <w:rPr>
          <w:rFonts w:ascii="Arial" w:hAnsi="Arial" w:hint="cs"/>
          <w:sz w:val="26"/>
          <w:szCs w:val="26"/>
          <w:rtl/>
        </w:rPr>
        <w:t xml:space="preserve"> (8.1.17) נדון ערעור המדינה על קולת עונשו של נאשם, שהורשע על יסוד הודאתו בשלוש עבירות של ניסיון תקיפת שוטר בנסיבות מחמירות, ייצור נשק, שתי עבירות של נשיאת נשק, שתי עבירות של חבלה בכוונה מחמירה, יידוי אבן לעבר כלי תחבורה והתפרעות, ואשר נגזרו עליו 30 חודשי מאסר בפועל. העבירות בוצעו במהלך חמישה אירועים (שנכללו בחמישה אישומים), ובהם הושלכו אבנים ובקבוקי תבערה אל עבר כוחות הביטחון. אציין, כי במהלך הערעור ביקשה המדינה להשמיט מכתב האישום את אחד מחמשת האישומים, משום שמדובר היה בעבירות שבוצעו עת היה הנאשם קטין, ולא ניתן אישור היועץ המשפטי לממשלה, כנדרש </w:t>
      </w:r>
      <w:hyperlink r:id="rId77" w:history="1">
        <w:r w:rsidR="003704D8" w:rsidRPr="003704D8">
          <w:rPr>
            <w:rFonts w:ascii="Arial" w:hAnsi="Arial"/>
            <w:color w:val="0000FF"/>
            <w:sz w:val="26"/>
            <w:szCs w:val="26"/>
            <w:u w:val="single"/>
            <w:rtl/>
          </w:rPr>
          <w:t>בסעיף 14</w:t>
        </w:r>
      </w:hyperlink>
      <w:r>
        <w:rPr>
          <w:rFonts w:ascii="Arial" w:hAnsi="Arial" w:hint="cs"/>
          <w:sz w:val="26"/>
          <w:szCs w:val="26"/>
          <w:rtl/>
        </w:rPr>
        <w:t xml:space="preserve"> ב</w:t>
      </w:r>
      <w:hyperlink r:id="rId78" w:history="1">
        <w:r w:rsidR="00DF2BC8" w:rsidRPr="00DF2BC8">
          <w:rPr>
            <w:rFonts w:ascii="Arial" w:hAnsi="Arial"/>
            <w:color w:val="0000FF"/>
            <w:sz w:val="26"/>
            <w:szCs w:val="26"/>
            <w:u w:val="single"/>
            <w:rtl/>
          </w:rPr>
          <w:t>חוק הנוער (שפיטה, ענישה ודרכי טיפול)</w:t>
        </w:r>
      </w:hyperlink>
      <w:r>
        <w:rPr>
          <w:rFonts w:ascii="Arial" w:hAnsi="Arial" w:hint="cs"/>
          <w:sz w:val="26"/>
          <w:szCs w:val="26"/>
          <w:rtl/>
        </w:rPr>
        <w:t xml:space="preserve">, התשל"א-1971. ברם, המדינה סברה כי שאר האישומים מצדיקים החמרה בענישה. בית המשפט העליון הסכים, בציינו, כי המדיניות הנהוגה היא של החמרה בענישה בעבירות מסוג זה. בית המשפט העליון גזר על הנאשם </w:t>
      </w:r>
      <w:r w:rsidRPr="00463F6C">
        <w:rPr>
          <w:rFonts w:ascii="Arial" w:hAnsi="Arial" w:hint="cs"/>
          <w:b/>
          <w:bCs/>
          <w:sz w:val="26"/>
          <w:szCs w:val="26"/>
          <w:rtl/>
        </w:rPr>
        <w:t>40 חודשי מאסר בפועל</w:t>
      </w:r>
      <w:r>
        <w:rPr>
          <w:rFonts w:ascii="Arial" w:hAnsi="Arial" w:hint="cs"/>
          <w:sz w:val="26"/>
          <w:szCs w:val="26"/>
          <w:rtl/>
        </w:rPr>
        <w:t>, והוסיף כי בכך גם לא מיצה עמו את הדין.</w:t>
      </w:r>
    </w:p>
    <w:p w14:paraId="0EC09AE5" w14:textId="77777777" w:rsidR="00A70AB5" w:rsidRDefault="00A70AB5" w:rsidP="00A70AB5">
      <w:pPr>
        <w:pStyle w:val="ListParagraph"/>
        <w:numPr>
          <w:ilvl w:val="1"/>
          <w:numId w:val="1"/>
        </w:numPr>
        <w:spacing w:after="160" w:line="360" w:lineRule="auto"/>
        <w:ind w:hanging="512"/>
        <w:contextualSpacing w:val="0"/>
        <w:jc w:val="both"/>
        <w:rPr>
          <w:rFonts w:ascii="Arial" w:hAnsi="Arial"/>
          <w:sz w:val="26"/>
          <w:szCs w:val="26"/>
        </w:rPr>
      </w:pPr>
      <w:r w:rsidRPr="00B83D0D">
        <w:rPr>
          <w:rFonts w:ascii="Arial" w:hAnsi="Arial" w:hint="cs"/>
          <w:sz w:val="26"/>
          <w:szCs w:val="26"/>
          <w:rtl/>
        </w:rPr>
        <w:t>ב</w:t>
      </w:r>
      <w:hyperlink r:id="rId79" w:history="1">
        <w:r w:rsidR="00DF2BC8" w:rsidRPr="00DF2BC8">
          <w:rPr>
            <w:rFonts w:ascii="Arial" w:hAnsi="Arial"/>
            <w:color w:val="0000FF"/>
            <w:sz w:val="26"/>
            <w:szCs w:val="26"/>
            <w:u w:val="single"/>
            <w:rtl/>
          </w:rPr>
          <w:t>ע"פ 3572/16</w:t>
        </w:r>
      </w:hyperlink>
      <w:r w:rsidRPr="00B83D0D">
        <w:rPr>
          <w:rFonts w:ascii="Arial" w:hAnsi="Arial" w:hint="cs"/>
          <w:sz w:val="26"/>
          <w:szCs w:val="26"/>
          <w:rtl/>
        </w:rPr>
        <w:t xml:space="preserve"> </w:t>
      </w:r>
      <w:r w:rsidRPr="00920F78">
        <w:rPr>
          <w:rFonts w:ascii="Arial" w:hAnsi="Arial" w:hint="cs"/>
          <w:b/>
          <w:bCs/>
          <w:sz w:val="26"/>
          <w:szCs w:val="26"/>
          <w:rtl/>
        </w:rPr>
        <w:t>פלוני נ' מדינת ישראל</w:t>
      </w:r>
      <w:r w:rsidRPr="00B83D0D">
        <w:rPr>
          <w:rFonts w:ascii="Arial" w:hAnsi="Arial" w:hint="cs"/>
          <w:sz w:val="26"/>
          <w:szCs w:val="26"/>
          <w:rtl/>
        </w:rPr>
        <w:t xml:space="preserve"> </w:t>
      </w:r>
      <w:r>
        <w:rPr>
          <w:rFonts w:ascii="Arial" w:hAnsi="Arial" w:hint="cs"/>
          <w:sz w:val="26"/>
          <w:szCs w:val="26"/>
          <w:rtl/>
        </w:rPr>
        <w:t xml:space="preserve">(3.1.17) </w:t>
      </w:r>
      <w:r w:rsidRPr="00B83D0D">
        <w:rPr>
          <w:rFonts w:ascii="Arial" w:hAnsi="Arial" w:hint="cs"/>
          <w:sz w:val="26"/>
          <w:szCs w:val="26"/>
          <w:rtl/>
        </w:rPr>
        <w:t>נדחה ערעור על פסק דין בעניינו של קטין על גבול הבגירות</w:t>
      </w:r>
      <w:r>
        <w:rPr>
          <w:rFonts w:ascii="Arial" w:hAnsi="Arial" w:hint="cs"/>
          <w:sz w:val="26"/>
          <w:szCs w:val="26"/>
          <w:rtl/>
        </w:rPr>
        <w:t>,</w:t>
      </w:r>
      <w:r w:rsidRPr="00B83D0D">
        <w:rPr>
          <w:rFonts w:ascii="Arial" w:hAnsi="Arial" w:hint="cs"/>
          <w:sz w:val="26"/>
          <w:szCs w:val="26"/>
          <w:rtl/>
        </w:rPr>
        <w:t xml:space="preserve"> שהשתתף בשתי התפרעויות</w:t>
      </w:r>
      <w:r>
        <w:rPr>
          <w:rFonts w:ascii="Arial" w:hAnsi="Arial" w:hint="cs"/>
          <w:sz w:val="26"/>
          <w:szCs w:val="26"/>
          <w:rtl/>
        </w:rPr>
        <w:t>.</w:t>
      </w:r>
      <w:r w:rsidRPr="00B83D0D">
        <w:rPr>
          <w:rFonts w:ascii="Arial" w:hAnsi="Arial" w:hint="cs"/>
          <w:sz w:val="26"/>
          <w:szCs w:val="26"/>
          <w:rtl/>
        </w:rPr>
        <w:t xml:space="preserve"> באחת</w:t>
      </w:r>
      <w:r>
        <w:rPr>
          <w:rFonts w:ascii="Arial" w:hAnsi="Arial" w:hint="cs"/>
          <w:sz w:val="26"/>
          <w:szCs w:val="26"/>
          <w:rtl/>
        </w:rPr>
        <w:t xml:space="preserve">, יידה אבנים, </w:t>
      </w:r>
      <w:r w:rsidRPr="00B83D0D">
        <w:rPr>
          <w:rFonts w:ascii="Arial" w:hAnsi="Arial" w:hint="cs"/>
          <w:sz w:val="26"/>
          <w:szCs w:val="26"/>
          <w:rtl/>
        </w:rPr>
        <w:t>בשניה</w:t>
      </w:r>
      <w:r>
        <w:rPr>
          <w:rFonts w:ascii="Arial" w:hAnsi="Arial" w:hint="cs"/>
          <w:sz w:val="26"/>
          <w:szCs w:val="26"/>
          <w:rtl/>
        </w:rPr>
        <w:t>,</w:t>
      </w:r>
      <w:r w:rsidRPr="00B83D0D">
        <w:rPr>
          <w:rFonts w:ascii="Arial" w:hAnsi="Arial" w:hint="cs"/>
          <w:sz w:val="26"/>
          <w:szCs w:val="26"/>
          <w:rtl/>
        </w:rPr>
        <w:t xml:space="preserve"> זרק בקבוק תבערה</w:t>
      </w:r>
      <w:r>
        <w:rPr>
          <w:rFonts w:ascii="Arial" w:hAnsi="Arial" w:hint="cs"/>
          <w:sz w:val="26"/>
          <w:szCs w:val="26"/>
          <w:rtl/>
        </w:rPr>
        <w:t xml:space="preserve"> ובשתיהן מדובר היה בפעולה שכוונה</w:t>
      </w:r>
      <w:r w:rsidRPr="00B83D0D">
        <w:rPr>
          <w:rFonts w:ascii="Arial" w:hAnsi="Arial" w:hint="cs"/>
          <w:sz w:val="26"/>
          <w:szCs w:val="26"/>
          <w:rtl/>
        </w:rPr>
        <w:t xml:space="preserve"> </w:t>
      </w:r>
      <w:r>
        <w:rPr>
          <w:rFonts w:ascii="Arial" w:hAnsi="Arial" w:hint="cs"/>
          <w:sz w:val="26"/>
          <w:szCs w:val="26"/>
          <w:rtl/>
        </w:rPr>
        <w:t>נגד</w:t>
      </w:r>
      <w:r w:rsidRPr="00B83D0D">
        <w:rPr>
          <w:rFonts w:ascii="Arial" w:hAnsi="Arial" w:hint="cs"/>
          <w:sz w:val="26"/>
          <w:szCs w:val="26"/>
          <w:rtl/>
        </w:rPr>
        <w:t xml:space="preserve"> כוחות הב</w:t>
      </w:r>
      <w:r>
        <w:rPr>
          <w:rFonts w:ascii="Arial" w:hAnsi="Arial" w:hint="cs"/>
          <w:sz w:val="26"/>
          <w:szCs w:val="26"/>
          <w:rtl/>
        </w:rPr>
        <w:t>י</w:t>
      </w:r>
      <w:r w:rsidRPr="00B83D0D">
        <w:rPr>
          <w:rFonts w:ascii="Arial" w:hAnsi="Arial" w:hint="cs"/>
          <w:sz w:val="26"/>
          <w:szCs w:val="26"/>
          <w:rtl/>
        </w:rPr>
        <w:t xml:space="preserve">טחון. בגדרי ההתפרעות השניה </w:t>
      </w:r>
      <w:r>
        <w:rPr>
          <w:rFonts w:ascii="Arial" w:hAnsi="Arial" w:hint="cs"/>
          <w:sz w:val="26"/>
          <w:szCs w:val="26"/>
          <w:rtl/>
        </w:rPr>
        <w:t xml:space="preserve">גם נגרם נזק לג'יפ משטרתי, </w:t>
      </w:r>
      <w:r w:rsidRPr="00B83D0D">
        <w:rPr>
          <w:rFonts w:ascii="Arial" w:hAnsi="Arial" w:hint="cs"/>
          <w:sz w:val="26"/>
          <w:szCs w:val="26"/>
          <w:rtl/>
        </w:rPr>
        <w:t>ש</w:t>
      </w:r>
      <w:r>
        <w:rPr>
          <w:rFonts w:ascii="Arial" w:hAnsi="Arial" w:hint="cs"/>
          <w:sz w:val="26"/>
          <w:szCs w:val="26"/>
          <w:rtl/>
        </w:rPr>
        <w:t>י</w:t>
      </w:r>
      <w:r w:rsidRPr="00B83D0D">
        <w:rPr>
          <w:rFonts w:ascii="Arial" w:hAnsi="Arial" w:hint="cs"/>
          <w:sz w:val="26"/>
          <w:szCs w:val="26"/>
          <w:rtl/>
        </w:rPr>
        <w:t xml:space="preserve">משתו הוצתה וחדר אליו עשן. המערער הורשע בביצוע עבירות של חבלה מחמירה, התפרעות ושתי עבירות של ניסיון לתקיפת שוטר בנסיבות מחמירות. על המערער נגזר מאסר של </w:t>
      </w:r>
      <w:r w:rsidRPr="00D454BE">
        <w:rPr>
          <w:rFonts w:ascii="Arial" w:hAnsi="Arial" w:hint="cs"/>
          <w:b/>
          <w:bCs/>
          <w:sz w:val="26"/>
          <w:szCs w:val="26"/>
          <w:rtl/>
        </w:rPr>
        <w:t>4 שנות מאסר בפועל</w:t>
      </w:r>
      <w:r w:rsidRPr="00B83D0D">
        <w:rPr>
          <w:rFonts w:ascii="Arial" w:hAnsi="Arial" w:hint="cs"/>
          <w:sz w:val="26"/>
          <w:szCs w:val="26"/>
          <w:rtl/>
        </w:rPr>
        <w:t>. עת דן בית המשפט העליון בערעור על חומרת העונש, הדגיש את עברו המכביד של המערער, שעמד שלוש פעמים לדין, בעבירות ניסיון לתקיפת שוטר, נשיאת נשק שלא כדין, הצתה ועוד</w:t>
      </w:r>
      <w:r>
        <w:rPr>
          <w:rFonts w:ascii="Arial" w:hAnsi="Arial" w:hint="cs"/>
          <w:sz w:val="26"/>
          <w:szCs w:val="26"/>
          <w:rtl/>
        </w:rPr>
        <w:t>,</w:t>
      </w:r>
      <w:r w:rsidRPr="00B83D0D">
        <w:rPr>
          <w:rFonts w:ascii="Arial" w:hAnsi="Arial" w:hint="cs"/>
          <w:sz w:val="26"/>
          <w:szCs w:val="26"/>
          <w:rtl/>
        </w:rPr>
        <w:t xml:space="preserve"> </w:t>
      </w:r>
      <w:r>
        <w:rPr>
          <w:rFonts w:ascii="Arial" w:hAnsi="Arial" w:hint="cs"/>
          <w:sz w:val="26"/>
          <w:szCs w:val="26"/>
          <w:rtl/>
        </w:rPr>
        <w:t>כאשר בגין</w:t>
      </w:r>
      <w:r w:rsidRPr="00B83D0D">
        <w:rPr>
          <w:rFonts w:ascii="Arial" w:hAnsi="Arial" w:hint="cs"/>
          <w:sz w:val="26"/>
          <w:szCs w:val="26"/>
          <w:rtl/>
        </w:rPr>
        <w:t xml:space="preserve"> </w:t>
      </w:r>
      <w:r>
        <w:rPr>
          <w:rFonts w:ascii="Arial" w:hAnsi="Arial" w:hint="cs"/>
          <w:sz w:val="26"/>
          <w:szCs w:val="26"/>
          <w:rtl/>
        </w:rPr>
        <w:t>אלו ריצה</w:t>
      </w:r>
      <w:r w:rsidRPr="00B83D0D">
        <w:rPr>
          <w:rFonts w:ascii="Arial" w:hAnsi="Arial" w:hint="cs"/>
          <w:sz w:val="26"/>
          <w:szCs w:val="26"/>
          <w:rtl/>
        </w:rPr>
        <w:t xml:space="preserve"> 21 חודשי מאסר</w:t>
      </w:r>
      <w:r>
        <w:rPr>
          <w:rFonts w:ascii="Arial" w:hAnsi="Arial" w:hint="cs"/>
          <w:sz w:val="26"/>
          <w:szCs w:val="26"/>
          <w:rtl/>
        </w:rPr>
        <w:t>, וסמוך לאחר</w:t>
      </w:r>
      <w:r w:rsidRPr="00B83D0D">
        <w:rPr>
          <w:rFonts w:ascii="Arial" w:hAnsi="Arial" w:hint="cs"/>
          <w:sz w:val="26"/>
          <w:szCs w:val="26"/>
          <w:rtl/>
        </w:rPr>
        <w:t xml:space="preserve"> סיום העונש חזר לסורו. משכך, ועל אף קטינות המערער (הגבולית) במועד ביצוע העבירות</w:t>
      </w:r>
      <w:r>
        <w:rPr>
          <w:rFonts w:ascii="Arial" w:hAnsi="Arial" w:hint="cs"/>
          <w:sz w:val="26"/>
          <w:szCs w:val="26"/>
          <w:rtl/>
        </w:rPr>
        <w:t xml:space="preserve"> שנדונו </w:t>
      </w:r>
      <w:r>
        <w:rPr>
          <w:rFonts w:ascii="Arial" w:hAnsi="Arial"/>
          <w:sz w:val="26"/>
          <w:szCs w:val="26"/>
          <w:rtl/>
        </w:rPr>
        <w:t>–</w:t>
      </w:r>
      <w:r>
        <w:rPr>
          <w:rFonts w:ascii="Arial" w:hAnsi="Arial" w:hint="cs"/>
          <w:sz w:val="26"/>
          <w:szCs w:val="26"/>
          <w:rtl/>
        </w:rPr>
        <w:t xml:space="preserve"> הערעור נדחה</w:t>
      </w:r>
      <w:r w:rsidRPr="00B83D0D">
        <w:rPr>
          <w:rFonts w:ascii="Arial" w:hAnsi="Arial" w:hint="cs"/>
          <w:sz w:val="26"/>
          <w:szCs w:val="26"/>
          <w:rtl/>
        </w:rPr>
        <w:t>.</w:t>
      </w:r>
    </w:p>
    <w:p w14:paraId="0E030728" w14:textId="77777777" w:rsidR="00A70AB5" w:rsidRPr="005F324A" w:rsidRDefault="00A70AB5" w:rsidP="00A70AB5">
      <w:pPr>
        <w:pStyle w:val="ListParagraph"/>
        <w:numPr>
          <w:ilvl w:val="1"/>
          <w:numId w:val="1"/>
        </w:numPr>
        <w:spacing w:after="160" w:line="360" w:lineRule="auto"/>
        <w:ind w:hanging="512"/>
        <w:contextualSpacing w:val="0"/>
        <w:jc w:val="both"/>
        <w:rPr>
          <w:rFonts w:ascii="Arial" w:hAnsi="Arial"/>
          <w:sz w:val="26"/>
          <w:szCs w:val="26"/>
        </w:rPr>
      </w:pPr>
      <w:r>
        <w:rPr>
          <w:rFonts w:ascii="Arial" w:hAnsi="Arial" w:hint="cs"/>
          <w:sz w:val="26"/>
          <w:szCs w:val="26"/>
          <w:rtl/>
        </w:rPr>
        <w:t>ב</w:t>
      </w:r>
      <w:hyperlink r:id="rId80" w:history="1">
        <w:r w:rsidR="00DF2BC8" w:rsidRPr="00DF2BC8">
          <w:rPr>
            <w:rFonts w:ascii="Arial" w:hAnsi="Arial"/>
            <w:color w:val="0000FF"/>
            <w:sz w:val="26"/>
            <w:szCs w:val="26"/>
            <w:u w:val="single"/>
            <w:rtl/>
          </w:rPr>
          <w:t>ע"פ 8333/15</w:t>
        </w:r>
      </w:hyperlink>
      <w:r w:rsidRPr="00EE4BC2">
        <w:rPr>
          <w:rFonts w:ascii="Arial" w:hAnsi="Arial" w:hint="cs"/>
          <w:b/>
          <w:bCs/>
          <w:sz w:val="26"/>
          <w:szCs w:val="26"/>
          <w:rtl/>
        </w:rPr>
        <w:t xml:space="preserve"> מדינת ישראל נ' חאלדי</w:t>
      </w:r>
      <w:r>
        <w:rPr>
          <w:rFonts w:ascii="Arial" w:hAnsi="Arial" w:hint="cs"/>
          <w:sz w:val="26"/>
          <w:szCs w:val="26"/>
          <w:rtl/>
        </w:rPr>
        <w:t xml:space="preserve"> (23.8.16) נדון ערעורם של הצדדים בעניינו של נאשם, שהורשע </w:t>
      </w:r>
      <w:r w:rsidRPr="008425CB">
        <w:rPr>
          <w:rFonts w:ascii="Arial" w:hAnsi="Arial"/>
          <w:sz w:val="26"/>
          <w:szCs w:val="26"/>
          <w:rtl/>
        </w:rPr>
        <w:t>בעבירות</w:t>
      </w:r>
      <w:r w:rsidRPr="008425CB">
        <w:rPr>
          <w:rFonts w:ascii="Arial" w:hAnsi="Arial"/>
          <w:sz w:val="26"/>
          <w:szCs w:val="26"/>
        </w:rPr>
        <w:t xml:space="preserve"> </w:t>
      </w:r>
      <w:r w:rsidRPr="008425CB">
        <w:rPr>
          <w:rFonts w:ascii="Arial" w:hAnsi="Arial"/>
          <w:sz w:val="26"/>
          <w:szCs w:val="26"/>
          <w:rtl/>
        </w:rPr>
        <w:t>של</w:t>
      </w:r>
      <w:r w:rsidRPr="008425CB">
        <w:rPr>
          <w:rFonts w:ascii="Arial" w:hAnsi="Arial"/>
          <w:sz w:val="26"/>
          <w:szCs w:val="26"/>
        </w:rPr>
        <w:t xml:space="preserve"> </w:t>
      </w:r>
      <w:r w:rsidRPr="008425CB">
        <w:rPr>
          <w:rFonts w:ascii="Arial" w:hAnsi="Arial"/>
          <w:sz w:val="26"/>
          <w:szCs w:val="26"/>
          <w:rtl/>
        </w:rPr>
        <w:t>מגע</w:t>
      </w:r>
      <w:r w:rsidRPr="008425CB">
        <w:rPr>
          <w:rFonts w:ascii="Arial" w:hAnsi="Arial"/>
          <w:sz w:val="26"/>
          <w:szCs w:val="26"/>
        </w:rPr>
        <w:t xml:space="preserve"> </w:t>
      </w:r>
      <w:r w:rsidRPr="008425CB">
        <w:rPr>
          <w:rFonts w:ascii="Arial" w:hAnsi="Arial"/>
          <w:sz w:val="26"/>
          <w:szCs w:val="26"/>
          <w:rtl/>
        </w:rPr>
        <w:t>עם</w:t>
      </w:r>
      <w:r w:rsidRPr="008425CB">
        <w:rPr>
          <w:rFonts w:ascii="Arial" w:hAnsi="Arial"/>
          <w:sz w:val="26"/>
          <w:szCs w:val="26"/>
        </w:rPr>
        <w:t xml:space="preserve"> </w:t>
      </w:r>
      <w:r w:rsidRPr="008425CB">
        <w:rPr>
          <w:rFonts w:ascii="Arial" w:hAnsi="Arial"/>
          <w:sz w:val="26"/>
          <w:szCs w:val="26"/>
          <w:rtl/>
        </w:rPr>
        <w:t>סוכן</w:t>
      </w:r>
      <w:r w:rsidRPr="008425CB">
        <w:rPr>
          <w:rFonts w:ascii="Arial" w:hAnsi="Arial"/>
          <w:sz w:val="26"/>
          <w:szCs w:val="26"/>
        </w:rPr>
        <w:t xml:space="preserve"> </w:t>
      </w:r>
      <w:r w:rsidRPr="008425CB">
        <w:rPr>
          <w:rFonts w:ascii="Arial" w:hAnsi="Arial"/>
          <w:sz w:val="26"/>
          <w:szCs w:val="26"/>
          <w:rtl/>
        </w:rPr>
        <w:t>חוץ</w:t>
      </w:r>
      <w:r w:rsidRPr="008425CB">
        <w:rPr>
          <w:rFonts w:ascii="Arial" w:hAnsi="Arial"/>
          <w:sz w:val="26"/>
          <w:szCs w:val="26"/>
        </w:rPr>
        <w:t xml:space="preserve"> </w:t>
      </w:r>
      <w:r w:rsidRPr="008425CB">
        <w:rPr>
          <w:rFonts w:ascii="Arial" w:hAnsi="Arial"/>
          <w:sz w:val="26"/>
          <w:szCs w:val="26"/>
          <w:rtl/>
        </w:rPr>
        <w:t>ואימונים</w:t>
      </w:r>
      <w:r w:rsidRPr="008425CB">
        <w:rPr>
          <w:rFonts w:ascii="Arial" w:hAnsi="Arial"/>
          <w:sz w:val="26"/>
          <w:szCs w:val="26"/>
        </w:rPr>
        <w:t xml:space="preserve"> </w:t>
      </w:r>
      <w:r w:rsidRPr="008425CB">
        <w:rPr>
          <w:rFonts w:ascii="Arial" w:hAnsi="Arial"/>
          <w:sz w:val="26"/>
          <w:szCs w:val="26"/>
          <w:rtl/>
        </w:rPr>
        <w:t>צבאיים</w:t>
      </w:r>
      <w:r w:rsidRPr="008425CB">
        <w:rPr>
          <w:rFonts w:ascii="Arial" w:hAnsi="Arial"/>
          <w:sz w:val="26"/>
          <w:szCs w:val="26"/>
        </w:rPr>
        <w:t xml:space="preserve"> </w:t>
      </w:r>
      <w:r w:rsidRPr="008425CB">
        <w:rPr>
          <w:rFonts w:ascii="Arial" w:hAnsi="Arial"/>
          <w:sz w:val="26"/>
          <w:szCs w:val="26"/>
          <w:rtl/>
        </w:rPr>
        <w:t>אסורים</w:t>
      </w:r>
      <w:r w:rsidRPr="008425CB">
        <w:rPr>
          <w:rFonts w:ascii="Arial" w:hAnsi="Arial" w:hint="cs"/>
          <w:sz w:val="26"/>
          <w:szCs w:val="26"/>
          <w:rtl/>
        </w:rPr>
        <w:t>,</w:t>
      </w:r>
      <w:r w:rsidRPr="008425CB">
        <w:rPr>
          <w:rFonts w:ascii="Arial" w:hAnsi="Arial"/>
          <w:sz w:val="26"/>
          <w:szCs w:val="26"/>
        </w:rPr>
        <w:t xml:space="preserve"> </w:t>
      </w:r>
      <w:r w:rsidRPr="008425CB">
        <w:rPr>
          <w:rFonts w:ascii="Arial" w:hAnsi="Arial"/>
          <w:sz w:val="26"/>
          <w:szCs w:val="26"/>
          <w:rtl/>
        </w:rPr>
        <w:t>חברות</w:t>
      </w:r>
      <w:r w:rsidRPr="008425CB">
        <w:rPr>
          <w:rFonts w:ascii="Arial" w:hAnsi="Arial"/>
          <w:sz w:val="26"/>
          <w:szCs w:val="26"/>
        </w:rPr>
        <w:t xml:space="preserve"> </w:t>
      </w:r>
      <w:r w:rsidRPr="008425CB">
        <w:rPr>
          <w:rFonts w:ascii="Arial" w:hAnsi="Arial"/>
          <w:sz w:val="26"/>
          <w:szCs w:val="26"/>
          <w:rtl/>
        </w:rPr>
        <w:t>ופעילות</w:t>
      </w:r>
      <w:r w:rsidRPr="008425CB">
        <w:rPr>
          <w:rFonts w:ascii="Arial" w:hAnsi="Arial"/>
          <w:sz w:val="26"/>
          <w:szCs w:val="26"/>
        </w:rPr>
        <w:t xml:space="preserve"> </w:t>
      </w:r>
      <w:r w:rsidRPr="008425CB">
        <w:rPr>
          <w:rFonts w:ascii="Arial" w:hAnsi="Arial"/>
          <w:sz w:val="26"/>
          <w:szCs w:val="26"/>
          <w:rtl/>
        </w:rPr>
        <w:t>בהתאחדות</w:t>
      </w:r>
      <w:r w:rsidRPr="008425CB">
        <w:rPr>
          <w:rFonts w:ascii="Arial" w:hAnsi="Arial"/>
          <w:sz w:val="26"/>
          <w:szCs w:val="26"/>
        </w:rPr>
        <w:t xml:space="preserve"> </w:t>
      </w:r>
      <w:r w:rsidRPr="008425CB">
        <w:rPr>
          <w:rFonts w:ascii="Arial" w:hAnsi="Arial"/>
          <w:sz w:val="26"/>
          <w:szCs w:val="26"/>
          <w:rtl/>
        </w:rPr>
        <w:t>בלתי</w:t>
      </w:r>
      <w:r w:rsidRPr="008425CB">
        <w:rPr>
          <w:rFonts w:ascii="Arial" w:hAnsi="Arial"/>
          <w:sz w:val="26"/>
          <w:szCs w:val="26"/>
        </w:rPr>
        <w:t xml:space="preserve"> </w:t>
      </w:r>
      <w:r w:rsidRPr="008425CB">
        <w:rPr>
          <w:rFonts w:ascii="Arial" w:hAnsi="Arial"/>
          <w:sz w:val="26"/>
          <w:szCs w:val="26"/>
          <w:rtl/>
        </w:rPr>
        <w:t>מותרת</w:t>
      </w:r>
      <w:r w:rsidRPr="008425CB">
        <w:rPr>
          <w:rFonts w:ascii="Arial" w:hAnsi="Arial" w:hint="cs"/>
          <w:sz w:val="26"/>
          <w:szCs w:val="26"/>
          <w:rtl/>
        </w:rPr>
        <w:t xml:space="preserve">, </w:t>
      </w:r>
      <w:r w:rsidRPr="008425CB">
        <w:rPr>
          <w:rFonts w:ascii="Arial" w:hAnsi="Arial"/>
          <w:sz w:val="26"/>
          <w:szCs w:val="26"/>
          <w:rtl/>
        </w:rPr>
        <w:t>יציאה</w:t>
      </w:r>
      <w:r w:rsidRPr="008425CB">
        <w:rPr>
          <w:rFonts w:ascii="Arial" w:hAnsi="Arial"/>
          <w:sz w:val="26"/>
          <w:szCs w:val="26"/>
        </w:rPr>
        <w:t xml:space="preserve"> </w:t>
      </w:r>
      <w:r w:rsidRPr="008425CB">
        <w:rPr>
          <w:rFonts w:ascii="Arial" w:hAnsi="Arial"/>
          <w:sz w:val="26"/>
          <w:szCs w:val="26"/>
          <w:rtl/>
        </w:rPr>
        <w:t>מהארץ</w:t>
      </w:r>
      <w:r w:rsidRPr="008425CB">
        <w:rPr>
          <w:rFonts w:ascii="Arial" w:hAnsi="Arial"/>
          <w:sz w:val="26"/>
          <w:szCs w:val="26"/>
        </w:rPr>
        <w:t xml:space="preserve"> </w:t>
      </w:r>
      <w:r w:rsidRPr="008425CB">
        <w:rPr>
          <w:rFonts w:ascii="Arial" w:hAnsi="Arial"/>
          <w:sz w:val="26"/>
          <w:szCs w:val="26"/>
          <w:rtl/>
        </w:rPr>
        <w:t>שלא</w:t>
      </w:r>
      <w:r w:rsidRPr="008425CB">
        <w:rPr>
          <w:rFonts w:ascii="Arial" w:hAnsi="Arial"/>
          <w:sz w:val="26"/>
          <w:szCs w:val="26"/>
        </w:rPr>
        <w:t xml:space="preserve"> </w:t>
      </w:r>
      <w:r w:rsidRPr="008425CB">
        <w:rPr>
          <w:rFonts w:ascii="Arial" w:hAnsi="Arial"/>
          <w:sz w:val="26"/>
          <w:szCs w:val="26"/>
          <w:rtl/>
        </w:rPr>
        <w:t>כדין</w:t>
      </w:r>
      <w:r w:rsidRPr="008425CB">
        <w:rPr>
          <w:rFonts w:ascii="Arial" w:hAnsi="Arial" w:hint="cs"/>
          <w:sz w:val="26"/>
          <w:szCs w:val="26"/>
          <w:rtl/>
        </w:rPr>
        <w:t xml:space="preserve"> </w:t>
      </w:r>
      <w:r w:rsidRPr="008425CB">
        <w:rPr>
          <w:rFonts w:ascii="Arial" w:hAnsi="Arial"/>
          <w:sz w:val="26"/>
          <w:szCs w:val="26"/>
          <w:rtl/>
        </w:rPr>
        <w:t>ופעולה</w:t>
      </w:r>
      <w:r w:rsidRPr="008425CB">
        <w:rPr>
          <w:rFonts w:ascii="Arial" w:hAnsi="Arial"/>
          <w:sz w:val="26"/>
          <w:szCs w:val="26"/>
        </w:rPr>
        <w:t xml:space="preserve"> </w:t>
      </w:r>
      <w:r w:rsidRPr="008425CB">
        <w:rPr>
          <w:rFonts w:ascii="Arial" w:hAnsi="Arial"/>
          <w:sz w:val="26"/>
          <w:szCs w:val="26"/>
          <w:rtl/>
        </w:rPr>
        <w:t>ברכוש</w:t>
      </w:r>
      <w:r w:rsidRPr="008425CB">
        <w:rPr>
          <w:rFonts w:ascii="Arial" w:hAnsi="Arial"/>
          <w:sz w:val="26"/>
          <w:szCs w:val="26"/>
        </w:rPr>
        <w:t xml:space="preserve"> </w:t>
      </w:r>
      <w:r w:rsidRPr="008425CB">
        <w:rPr>
          <w:rFonts w:ascii="Arial" w:hAnsi="Arial"/>
          <w:sz w:val="26"/>
          <w:szCs w:val="26"/>
          <w:rtl/>
        </w:rPr>
        <w:t>טרור</w:t>
      </w:r>
      <w:r>
        <w:rPr>
          <w:rFonts w:ascii="Arial" w:hAnsi="Arial" w:hint="cs"/>
          <w:sz w:val="26"/>
          <w:szCs w:val="26"/>
          <w:rtl/>
        </w:rPr>
        <w:t>. באותו עניין הנאשם (והמערער) יצא לסוריה, הצטרף אל שורות דאע"ש, המשיך לעיראק ולחם שם במסגרת ארגון הטרור, ולאחר שנפצע שב לארץ.</w:t>
      </w:r>
      <w:r w:rsidRPr="008425CB">
        <w:rPr>
          <w:rFonts w:ascii="Arial" w:hAnsi="Arial" w:hint="cs"/>
          <w:sz w:val="26"/>
          <w:szCs w:val="26"/>
          <w:rtl/>
        </w:rPr>
        <w:t xml:space="preserve"> </w:t>
      </w:r>
      <w:r>
        <w:rPr>
          <w:rFonts w:ascii="Arial" w:hAnsi="Arial" w:hint="cs"/>
          <w:sz w:val="26"/>
          <w:szCs w:val="26"/>
          <w:rtl/>
        </w:rPr>
        <w:t>על הנאשם גזר בית המשפט המחוזי</w:t>
      </w:r>
      <w:r w:rsidRPr="008425CB">
        <w:rPr>
          <w:rFonts w:ascii="Arial" w:hAnsi="Arial" w:hint="cs"/>
          <w:sz w:val="26"/>
          <w:szCs w:val="26"/>
          <w:rtl/>
        </w:rPr>
        <w:t xml:space="preserve"> </w:t>
      </w:r>
      <w:r w:rsidRPr="00D454BE">
        <w:rPr>
          <w:rFonts w:ascii="Arial" w:hAnsi="Arial" w:hint="cs"/>
          <w:b/>
          <w:bCs/>
          <w:sz w:val="26"/>
          <w:szCs w:val="26"/>
          <w:rtl/>
        </w:rPr>
        <w:t>42 חודשי מאסר בפועל</w:t>
      </w:r>
      <w:r w:rsidRPr="008425CB">
        <w:rPr>
          <w:rFonts w:ascii="Arial" w:hAnsi="Arial" w:hint="cs"/>
          <w:sz w:val="26"/>
          <w:szCs w:val="26"/>
          <w:rtl/>
        </w:rPr>
        <w:t>.</w:t>
      </w:r>
      <w:r>
        <w:rPr>
          <w:rFonts w:ascii="Arial" w:hAnsi="Arial" w:hint="cs"/>
          <w:sz w:val="26"/>
          <w:szCs w:val="26"/>
          <w:rtl/>
        </w:rPr>
        <w:t xml:space="preserve"> בית המשפט העליון דחה את הערעורים.</w:t>
      </w:r>
    </w:p>
    <w:p w14:paraId="25363358" w14:textId="77777777" w:rsidR="00A70AB5" w:rsidRDefault="00A70AB5" w:rsidP="00A70AB5">
      <w:pPr>
        <w:pStyle w:val="ListParagraph"/>
        <w:numPr>
          <w:ilvl w:val="1"/>
          <w:numId w:val="1"/>
        </w:numPr>
        <w:spacing w:after="160" w:line="360" w:lineRule="auto"/>
        <w:ind w:hanging="512"/>
        <w:contextualSpacing w:val="0"/>
        <w:jc w:val="both"/>
        <w:rPr>
          <w:rFonts w:ascii="Arial" w:hAnsi="Arial"/>
          <w:sz w:val="26"/>
          <w:szCs w:val="26"/>
        </w:rPr>
      </w:pPr>
      <w:r>
        <w:rPr>
          <w:rFonts w:ascii="Arial" w:hAnsi="Arial" w:hint="cs"/>
          <w:sz w:val="26"/>
          <w:szCs w:val="26"/>
          <w:rtl/>
        </w:rPr>
        <w:t>ב</w:t>
      </w:r>
      <w:hyperlink r:id="rId81" w:history="1">
        <w:r w:rsidR="00DF2BC8" w:rsidRPr="00DF2BC8">
          <w:rPr>
            <w:rFonts w:ascii="Arial" w:hAnsi="Arial"/>
            <w:color w:val="0000FF"/>
            <w:sz w:val="26"/>
            <w:szCs w:val="26"/>
            <w:u w:val="single"/>
            <w:rtl/>
          </w:rPr>
          <w:t>רע"פ 5809/14</w:t>
        </w:r>
      </w:hyperlink>
      <w:r>
        <w:rPr>
          <w:rFonts w:ascii="Arial" w:hAnsi="Arial" w:hint="cs"/>
          <w:sz w:val="26"/>
          <w:szCs w:val="26"/>
          <w:rtl/>
        </w:rPr>
        <w:t xml:space="preserve"> </w:t>
      </w:r>
      <w:r w:rsidRPr="00EE4BC2">
        <w:rPr>
          <w:rFonts w:ascii="Arial" w:hAnsi="Arial" w:hint="cs"/>
          <w:b/>
          <w:bCs/>
          <w:sz w:val="26"/>
          <w:szCs w:val="26"/>
          <w:rtl/>
        </w:rPr>
        <w:t>מזרחי נ' מדינת ישראל</w:t>
      </w:r>
      <w:r>
        <w:rPr>
          <w:rFonts w:ascii="Arial" w:hAnsi="Arial" w:hint="cs"/>
          <w:sz w:val="26"/>
          <w:szCs w:val="26"/>
          <w:rtl/>
        </w:rPr>
        <w:t xml:space="preserve"> (25.11.14) נדחתה בקשת רשות הערעור של המבקש שבית המשפט המחוזי (בערעור על בית משפט השלום) החמיר בעונשו, עקב יציאה שלא כדין לאיראן, וגזר עליו </w:t>
      </w:r>
      <w:r w:rsidRPr="00D454BE">
        <w:rPr>
          <w:rFonts w:ascii="Arial" w:hAnsi="Arial" w:hint="cs"/>
          <w:b/>
          <w:bCs/>
          <w:sz w:val="26"/>
          <w:szCs w:val="26"/>
          <w:rtl/>
        </w:rPr>
        <w:t>6 חודשי מאסר בפועל לריצוי באמצעות עבודות שירות</w:t>
      </w:r>
      <w:r>
        <w:rPr>
          <w:rFonts w:ascii="Arial" w:hAnsi="Arial" w:hint="cs"/>
          <w:sz w:val="26"/>
          <w:szCs w:val="26"/>
          <w:rtl/>
        </w:rPr>
        <w:t>. יצוין כי המבקש יצא את הארץ לצורך מכירת רכוש משפחתו.</w:t>
      </w:r>
    </w:p>
    <w:p w14:paraId="2B5C7815" w14:textId="77777777" w:rsidR="00A70AB5" w:rsidRDefault="00A70AB5" w:rsidP="00A70AB5">
      <w:pPr>
        <w:pStyle w:val="ListParagraph"/>
        <w:numPr>
          <w:ilvl w:val="1"/>
          <w:numId w:val="1"/>
        </w:numPr>
        <w:spacing w:after="160" w:line="360" w:lineRule="auto"/>
        <w:ind w:hanging="512"/>
        <w:contextualSpacing w:val="0"/>
        <w:jc w:val="both"/>
        <w:rPr>
          <w:rFonts w:ascii="Arial" w:hAnsi="Arial"/>
          <w:sz w:val="26"/>
          <w:szCs w:val="26"/>
        </w:rPr>
      </w:pPr>
      <w:r>
        <w:rPr>
          <w:rFonts w:ascii="Arial" w:hAnsi="Arial" w:hint="cs"/>
          <w:sz w:val="26"/>
          <w:szCs w:val="26"/>
          <w:rtl/>
        </w:rPr>
        <w:t>ב</w:t>
      </w:r>
      <w:hyperlink r:id="rId82" w:history="1">
        <w:r w:rsidR="00DF2BC8" w:rsidRPr="00DF2BC8">
          <w:rPr>
            <w:rFonts w:ascii="Arial" w:hAnsi="Arial"/>
            <w:color w:val="0000FF"/>
            <w:sz w:val="26"/>
            <w:szCs w:val="26"/>
            <w:u w:val="single"/>
            <w:rtl/>
          </w:rPr>
          <w:t>ת"פ (שלום י-ם) 23942-06-16</w:t>
        </w:r>
      </w:hyperlink>
      <w:r>
        <w:rPr>
          <w:rFonts w:ascii="Arial" w:hAnsi="Arial" w:hint="cs"/>
          <w:sz w:val="26"/>
          <w:szCs w:val="26"/>
          <w:rtl/>
        </w:rPr>
        <w:t xml:space="preserve"> </w:t>
      </w:r>
      <w:r w:rsidRPr="000621EF">
        <w:rPr>
          <w:rFonts w:ascii="Arial" w:hAnsi="Arial" w:hint="cs"/>
          <w:b/>
          <w:bCs/>
          <w:sz w:val="26"/>
          <w:szCs w:val="26"/>
          <w:rtl/>
        </w:rPr>
        <w:t>מדינת ישראל נ' אלספדי</w:t>
      </w:r>
      <w:r>
        <w:rPr>
          <w:rFonts w:ascii="Arial" w:hAnsi="Arial" w:hint="cs"/>
          <w:sz w:val="26"/>
          <w:szCs w:val="26"/>
          <w:rtl/>
        </w:rPr>
        <w:t xml:space="preserve"> (27.10.16), שנדון בפני  השופטת ח' מ' לומפ, יצא הנאשם שלא כדין ללבנון. מתחם העונש שנקבע שם נע בין חודש לעשרה חודשי מאסר, ועל הנאשם נגזר </w:t>
      </w:r>
      <w:r w:rsidRPr="00D454BE">
        <w:rPr>
          <w:rFonts w:ascii="Arial" w:hAnsi="Arial" w:hint="cs"/>
          <w:b/>
          <w:bCs/>
          <w:sz w:val="26"/>
          <w:szCs w:val="26"/>
          <w:rtl/>
        </w:rPr>
        <w:t>מאסר בפועל של שלושה חודשים</w:t>
      </w:r>
      <w:r>
        <w:rPr>
          <w:rFonts w:ascii="Arial" w:hAnsi="Arial" w:hint="cs"/>
          <w:sz w:val="26"/>
          <w:szCs w:val="26"/>
          <w:rtl/>
        </w:rPr>
        <w:t xml:space="preserve">. </w:t>
      </w:r>
    </w:p>
    <w:p w14:paraId="1577918D" w14:textId="77777777" w:rsidR="00A70AB5" w:rsidRPr="00B83D0D" w:rsidRDefault="00A70AB5" w:rsidP="00A70AB5">
      <w:pPr>
        <w:pStyle w:val="ListParagraph"/>
        <w:numPr>
          <w:ilvl w:val="1"/>
          <w:numId w:val="1"/>
        </w:numPr>
        <w:spacing w:after="160" w:line="360" w:lineRule="auto"/>
        <w:ind w:hanging="512"/>
        <w:contextualSpacing w:val="0"/>
        <w:jc w:val="both"/>
        <w:rPr>
          <w:rFonts w:ascii="Arial" w:hAnsi="Arial"/>
          <w:sz w:val="26"/>
          <w:szCs w:val="26"/>
          <w:rtl/>
        </w:rPr>
      </w:pPr>
      <w:r>
        <w:rPr>
          <w:rFonts w:ascii="Arial" w:hAnsi="Arial" w:hint="cs"/>
          <w:sz w:val="26"/>
          <w:szCs w:val="26"/>
          <w:rtl/>
        </w:rPr>
        <w:t>ב</w:t>
      </w:r>
      <w:hyperlink r:id="rId83" w:history="1">
        <w:r w:rsidR="00DF2BC8" w:rsidRPr="00DF2BC8">
          <w:rPr>
            <w:rFonts w:ascii="Arial" w:hAnsi="Arial"/>
            <w:color w:val="0000FF"/>
            <w:sz w:val="26"/>
            <w:szCs w:val="26"/>
            <w:u w:val="single"/>
            <w:rtl/>
          </w:rPr>
          <w:t>ת"פ (שלום י-ם) 51510-07-14</w:t>
        </w:r>
      </w:hyperlink>
      <w:r>
        <w:rPr>
          <w:rFonts w:ascii="Arial" w:hAnsi="Arial" w:hint="cs"/>
          <w:sz w:val="26"/>
          <w:szCs w:val="26"/>
          <w:rtl/>
        </w:rPr>
        <w:t xml:space="preserve"> </w:t>
      </w:r>
      <w:r w:rsidRPr="00EE4BC2">
        <w:rPr>
          <w:rFonts w:ascii="Arial" w:hAnsi="Arial" w:hint="cs"/>
          <w:b/>
          <w:bCs/>
          <w:sz w:val="26"/>
          <w:szCs w:val="26"/>
          <w:rtl/>
        </w:rPr>
        <w:t>מדינת ישראל נ' אבו חדיר</w:t>
      </w:r>
      <w:r>
        <w:rPr>
          <w:rFonts w:ascii="Arial" w:hAnsi="Arial" w:hint="cs"/>
          <w:sz w:val="26"/>
          <w:szCs w:val="26"/>
          <w:rtl/>
        </w:rPr>
        <w:t xml:space="preserve"> (2.11.14) הורשע נאשם בהסדר טיעון סגור, בעבירות של התפרעות וניסיון לתקיפת שוטר בנסיבות מחמירות. אלו בוצעו במהלך התפרעות, בה נטל חלק הנאשם. אז העביר כוורת זיקוקים לאחר, שעשה בה שימוש נגד כוחות הביטחון. על הנאשם נגזרו </w:t>
      </w:r>
      <w:r w:rsidRPr="00D454BE">
        <w:rPr>
          <w:rFonts w:ascii="Arial" w:hAnsi="Arial" w:hint="cs"/>
          <w:b/>
          <w:bCs/>
          <w:sz w:val="26"/>
          <w:szCs w:val="26"/>
          <w:rtl/>
        </w:rPr>
        <w:t>8 חודשי מאסר בפועל</w:t>
      </w:r>
      <w:r>
        <w:rPr>
          <w:rFonts w:ascii="Arial" w:hAnsi="Arial" w:hint="cs"/>
          <w:sz w:val="26"/>
          <w:szCs w:val="26"/>
          <w:rtl/>
        </w:rPr>
        <w:t xml:space="preserve">. </w:t>
      </w:r>
    </w:p>
    <w:p w14:paraId="2717927C" w14:textId="77777777" w:rsidR="00A70AB5" w:rsidRDefault="00A70AB5" w:rsidP="00A70AB5">
      <w:pPr>
        <w:pStyle w:val="ListParagraph"/>
        <w:numPr>
          <w:ilvl w:val="0"/>
          <w:numId w:val="1"/>
        </w:numPr>
        <w:spacing w:after="160" w:line="360" w:lineRule="auto"/>
        <w:ind w:left="283"/>
        <w:contextualSpacing w:val="0"/>
        <w:jc w:val="both"/>
        <w:rPr>
          <w:rFonts w:ascii="Arial" w:hAnsi="Arial"/>
          <w:sz w:val="26"/>
          <w:szCs w:val="26"/>
        </w:rPr>
      </w:pPr>
      <w:r>
        <w:rPr>
          <w:rFonts w:ascii="Arial" w:hAnsi="Arial" w:hint="cs"/>
          <w:sz w:val="26"/>
          <w:szCs w:val="26"/>
          <w:rtl/>
        </w:rPr>
        <w:t>עתה אגש ל</w:t>
      </w:r>
      <w:r w:rsidRPr="009E1619">
        <w:rPr>
          <w:rFonts w:ascii="Arial" w:hAnsi="Arial" w:hint="cs"/>
          <w:b/>
          <w:bCs/>
          <w:sz w:val="26"/>
          <w:szCs w:val="26"/>
          <w:rtl/>
        </w:rPr>
        <w:t>נסיבות הקשורות בביצוע העבירה</w:t>
      </w:r>
      <w:r>
        <w:rPr>
          <w:rFonts w:ascii="Arial" w:hAnsi="Arial" w:hint="cs"/>
          <w:sz w:val="26"/>
          <w:szCs w:val="26"/>
          <w:rtl/>
        </w:rPr>
        <w:t>.</w:t>
      </w:r>
    </w:p>
    <w:p w14:paraId="4E5B64BB" w14:textId="77777777" w:rsidR="00A70AB5" w:rsidRDefault="00A70AB5" w:rsidP="00A70AB5">
      <w:pPr>
        <w:pStyle w:val="ListParagraph"/>
        <w:numPr>
          <w:ilvl w:val="1"/>
          <w:numId w:val="1"/>
        </w:numPr>
        <w:spacing w:after="160" w:line="360" w:lineRule="auto"/>
        <w:ind w:hanging="512"/>
        <w:contextualSpacing w:val="0"/>
        <w:jc w:val="both"/>
        <w:rPr>
          <w:rFonts w:ascii="Arial" w:hAnsi="Arial"/>
          <w:sz w:val="26"/>
          <w:szCs w:val="26"/>
        </w:rPr>
      </w:pPr>
      <w:r w:rsidRPr="009E1619">
        <w:rPr>
          <w:rFonts w:ascii="Arial" w:hAnsi="Arial" w:hint="cs"/>
          <w:b/>
          <w:bCs/>
          <w:sz w:val="26"/>
          <w:szCs w:val="26"/>
          <w:rtl/>
        </w:rPr>
        <w:t>התכנון שקדם לעבירה</w:t>
      </w:r>
      <w:r w:rsidRPr="009E1619">
        <w:rPr>
          <w:rFonts w:ascii="Arial" w:hAnsi="Arial" w:hint="cs"/>
          <w:sz w:val="26"/>
          <w:szCs w:val="26"/>
          <w:rtl/>
        </w:rPr>
        <w:t xml:space="preserve"> </w:t>
      </w:r>
      <w:r w:rsidRPr="009E1619">
        <w:rPr>
          <w:rFonts w:ascii="Arial" w:hAnsi="Arial"/>
          <w:sz w:val="26"/>
          <w:szCs w:val="26"/>
          <w:rtl/>
        </w:rPr>
        <w:t>–</w:t>
      </w:r>
      <w:r w:rsidRPr="009E1619">
        <w:rPr>
          <w:rFonts w:ascii="Arial" w:hAnsi="Arial" w:hint="cs"/>
          <w:sz w:val="26"/>
          <w:szCs w:val="26"/>
          <w:rtl/>
        </w:rPr>
        <w:t xml:space="preserve"> כאשר עסקינן בטיול המאורגן ללבנון, אין ספק בדבר תכנון העבירה</w:t>
      </w:r>
      <w:r>
        <w:rPr>
          <w:rFonts w:ascii="Arial" w:hAnsi="Arial" w:hint="cs"/>
          <w:sz w:val="26"/>
          <w:szCs w:val="26"/>
          <w:rtl/>
        </w:rPr>
        <w:t xml:space="preserve"> ואין בידי לקבל את הטענה שהנאשם לא ידע כי הקבוצה תגיע למוזיאון. ביקור במוזיאון שכזה תואם את הלך רוח הנאשם באותה התקופה, כמתואר בתסקיר</w:t>
      </w:r>
      <w:r w:rsidRPr="009E1619">
        <w:rPr>
          <w:rFonts w:ascii="Arial" w:hAnsi="Arial" w:hint="cs"/>
          <w:sz w:val="26"/>
          <w:szCs w:val="26"/>
          <w:rtl/>
        </w:rPr>
        <w:t xml:space="preserve">. </w:t>
      </w:r>
      <w:r>
        <w:rPr>
          <w:rFonts w:ascii="Arial" w:hAnsi="Arial" w:hint="cs"/>
          <w:sz w:val="26"/>
          <w:szCs w:val="26"/>
          <w:rtl/>
        </w:rPr>
        <w:t>באשר לאירועי</w:t>
      </w:r>
      <w:r w:rsidRPr="009E1619">
        <w:rPr>
          <w:rFonts w:ascii="Arial" w:hAnsi="Arial" w:hint="cs"/>
          <w:sz w:val="26"/>
          <w:szCs w:val="26"/>
          <w:rtl/>
        </w:rPr>
        <w:t xml:space="preserve"> הא</w:t>
      </w:r>
      <w:r>
        <w:rPr>
          <w:rFonts w:ascii="Arial" w:hAnsi="Arial" w:hint="cs"/>
          <w:sz w:val="26"/>
          <w:szCs w:val="26"/>
          <w:rtl/>
        </w:rPr>
        <w:t xml:space="preserve">ישום השני </w:t>
      </w:r>
      <w:r>
        <w:rPr>
          <w:rFonts w:ascii="Arial" w:hAnsi="Arial"/>
          <w:sz w:val="26"/>
          <w:szCs w:val="26"/>
          <w:rtl/>
        </w:rPr>
        <w:t>–</w:t>
      </w:r>
      <w:r w:rsidRPr="009E1619">
        <w:rPr>
          <w:rFonts w:ascii="Arial" w:hAnsi="Arial" w:hint="cs"/>
          <w:sz w:val="26"/>
          <w:szCs w:val="26"/>
          <w:rtl/>
        </w:rPr>
        <w:t xml:space="preserve"> לא מיוחסות לנאשם פעול</w:t>
      </w:r>
      <w:r>
        <w:rPr>
          <w:rFonts w:ascii="Arial" w:hAnsi="Arial" w:hint="cs"/>
          <w:sz w:val="26"/>
          <w:szCs w:val="26"/>
          <w:rtl/>
        </w:rPr>
        <w:t xml:space="preserve">ות הכנה להתפרעויות, רכישת הזיקוקים או </w:t>
      </w:r>
      <w:r w:rsidRPr="009E1619">
        <w:rPr>
          <w:rFonts w:ascii="Arial" w:hAnsi="Arial" w:hint="cs"/>
          <w:sz w:val="26"/>
          <w:szCs w:val="26"/>
          <w:rtl/>
        </w:rPr>
        <w:t xml:space="preserve">ייצור בקבוקי התבערה, ומשכך, אפשר לקבל </w:t>
      </w:r>
      <w:r>
        <w:rPr>
          <w:rFonts w:ascii="Arial" w:hAnsi="Arial" w:hint="cs"/>
          <w:sz w:val="26"/>
          <w:szCs w:val="26"/>
          <w:rtl/>
        </w:rPr>
        <w:t xml:space="preserve">הטענה </w:t>
      </w:r>
      <w:r w:rsidRPr="009E1619">
        <w:rPr>
          <w:rFonts w:ascii="Arial" w:hAnsi="Arial" w:hint="cs"/>
          <w:sz w:val="26"/>
          <w:szCs w:val="26"/>
          <w:rtl/>
        </w:rPr>
        <w:t xml:space="preserve">כי אך הצטרף להתפרעויות וייתכן כי קיבל מאחר את </w:t>
      </w:r>
      <w:r>
        <w:rPr>
          <w:rFonts w:ascii="Arial" w:hAnsi="Arial" w:hint="cs"/>
          <w:sz w:val="26"/>
          <w:szCs w:val="26"/>
          <w:rtl/>
        </w:rPr>
        <w:t>הנשק בו עשה שימוש</w:t>
      </w:r>
      <w:r w:rsidRPr="009E1619">
        <w:rPr>
          <w:rFonts w:ascii="Arial" w:hAnsi="Arial" w:hint="cs"/>
          <w:sz w:val="26"/>
          <w:szCs w:val="26"/>
          <w:rtl/>
        </w:rPr>
        <w:t>.</w:t>
      </w:r>
    </w:p>
    <w:p w14:paraId="233430ED" w14:textId="77777777" w:rsidR="00A70AB5" w:rsidRDefault="00A70AB5" w:rsidP="00A70AB5">
      <w:pPr>
        <w:pStyle w:val="ListParagraph"/>
        <w:numPr>
          <w:ilvl w:val="1"/>
          <w:numId w:val="1"/>
        </w:numPr>
        <w:spacing w:after="160" w:line="360" w:lineRule="auto"/>
        <w:ind w:hanging="512"/>
        <w:contextualSpacing w:val="0"/>
        <w:jc w:val="both"/>
        <w:rPr>
          <w:rFonts w:ascii="Arial" w:hAnsi="Arial"/>
          <w:sz w:val="26"/>
          <w:szCs w:val="26"/>
        </w:rPr>
      </w:pPr>
      <w:r w:rsidRPr="002C20E3">
        <w:rPr>
          <w:rFonts w:ascii="Arial" w:hAnsi="Arial" w:hint="cs"/>
          <w:b/>
          <w:bCs/>
          <w:sz w:val="26"/>
          <w:szCs w:val="26"/>
          <w:rtl/>
        </w:rPr>
        <w:t>חלקו היחסי של הנאשם</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כטענת באת כוחו, לא עולה כי הנאשם היה המוביל או המנהיג של הפעילויות בהן השתתף. עם זאת, מטבע הדברים התפרעויות מורכבות מבודדים רבים, שאינם בהכרח מאורגנים, וכל אחד מהם שזורק אבן, יורה זיקוק או מיידה בקבוק תבערה, יכול לגרום לנזק רב אם ייפגע במטרתו. הנאשם לקח חלק אקטיבי בכל אחת מההתפרעויות, באמצעות יידוי אבנים, בקבוק תבערה וירי זיקוקים, וכאשר נכנס לתחנת המשטרה וגנב ממנה.</w:t>
      </w:r>
    </w:p>
    <w:p w14:paraId="2445C985" w14:textId="77777777" w:rsidR="00A70AB5" w:rsidRPr="001166E9" w:rsidRDefault="00A70AB5" w:rsidP="00A70AB5">
      <w:pPr>
        <w:pStyle w:val="ListParagraph"/>
        <w:numPr>
          <w:ilvl w:val="1"/>
          <w:numId w:val="1"/>
        </w:numPr>
        <w:spacing w:after="160" w:line="360" w:lineRule="auto"/>
        <w:ind w:hanging="512"/>
        <w:contextualSpacing w:val="0"/>
        <w:jc w:val="both"/>
        <w:rPr>
          <w:rFonts w:ascii="Arial" w:hAnsi="Arial"/>
          <w:sz w:val="26"/>
          <w:szCs w:val="26"/>
          <w:rtl/>
        </w:rPr>
      </w:pPr>
      <w:r w:rsidRPr="002C20E3">
        <w:rPr>
          <w:rFonts w:ascii="Arial" w:hAnsi="Arial" w:hint="cs"/>
          <w:b/>
          <w:bCs/>
          <w:sz w:val="26"/>
          <w:szCs w:val="26"/>
          <w:rtl/>
        </w:rPr>
        <w:t>הנזק שנגרם מביצוע העבירה והנזק שיכול היה להיגרם</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הנזק שיכול להיגרם מפגיעת בקבוק תבערה, אבן או זיקוק </w:t>
      </w:r>
      <w:r>
        <w:rPr>
          <w:rFonts w:ascii="Arial" w:hAnsi="Arial"/>
          <w:sz w:val="26"/>
          <w:szCs w:val="26"/>
          <w:rtl/>
        </w:rPr>
        <w:t>–</w:t>
      </w:r>
      <w:r>
        <w:rPr>
          <w:rFonts w:ascii="Arial" w:hAnsi="Arial" w:hint="cs"/>
          <w:sz w:val="26"/>
          <w:szCs w:val="26"/>
          <w:rtl/>
        </w:rPr>
        <w:t xml:space="preserve"> ברור וידוע. עם זאת, יש להתחשב גם בעובדה כי את הבקבוק והזיקוקים שיגר הנאשם ממרחק רב (150 מ') וספק אם היה באפשרותו לפגוע במטרתו. ברם, יש גם להתייחס לעובדה, כי זיקוק ובעיקר בקבוק התבערה הם כלי נשק, שהסכנה שנשקפת מהם אינה רק לכוחות הביטחון, אותם טיווח הנאשם, אלא לכלל הסובבים והרכוש הקרוב. למרבה המזל לא נגרם נזק בפועל.</w:t>
      </w:r>
    </w:p>
    <w:p w14:paraId="2450A97E" w14:textId="77777777" w:rsidR="00A70AB5" w:rsidRDefault="00A70AB5" w:rsidP="00A70AB5">
      <w:pPr>
        <w:pStyle w:val="ListParagraph"/>
        <w:numPr>
          <w:ilvl w:val="0"/>
          <w:numId w:val="1"/>
        </w:numPr>
        <w:spacing w:after="160" w:line="360" w:lineRule="auto"/>
        <w:contextualSpacing w:val="0"/>
        <w:jc w:val="both"/>
        <w:rPr>
          <w:sz w:val="26"/>
          <w:szCs w:val="26"/>
        </w:rPr>
      </w:pPr>
      <w:r>
        <w:rPr>
          <w:rFonts w:hint="cs"/>
          <w:sz w:val="26"/>
          <w:szCs w:val="26"/>
          <w:rtl/>
        </w:rPr>
        <w:t>ממכלול השיקולים, היינו, הערכים החברתיים שנפגעו מביצוע העבירות ועקרון ההלימה בין חומרת המעשים, נסיבותיו של הנאשם ומידת אשמתו, לאחר שעיינתי בפסיקה, ובהתחשב במדיניות הענישה הנוהגת, מצאתי לקבוע את מתחמי הענישה הבאים:</w:t>
      </w:r>
    </w:p>
    <w:p w14:paraId="458306C3" w14:textId="77777777" w:rsidR="00A70AB5" w:rsidRDefault="00A70AB5" w:rsidP="00A70AB5">
      <w:pPr>
        <w:pStyle w:val="ListParagraph"/>
        <w:numPr>
          <w:ilvl w:val="1"/>
          <w:numId w:val="1"/>
        </w:numPr>
        <w:spacing w:after="160" w:line="360" w:lineRule="auto"/>
        <w:ind w:hanging="512"/>
        <w:contextualSpacing w:val="0"/>
        <w:jc w:val="both"/>
        <w:rPr>
          <w:rFonts w:ascii="Arial" w:hAnsi="Arial"/>
          <w:sz w:val="26"/>
          <w:szCs w:val="26"/>
        </w:rPr>
      </w:pPr>
      <w:r w:rsidRPr="00565A82">
        <w:rPr>
          <w:rFonts w:ascii="Arial" w:hAnsi="Arial" w:hint="cs"/>
          <w:sz w:val="26"/>
          <w:szCs w:val="26"/>
          <w:rtl/>
        </w:rPr>
        <w:t xml:space="preserve">מתחם הענישה </w:t>
      </w:r>
      <w:r>
        <w:rPr>
          <w:rFonts w:ascii="Arial" w:hAnsi="Arial" w:hint="cs"/>
          <w:sz w:val="26"/>
          <w:szCs w:val="26"/>
          <w:rtl/>
        </w:rPr>
        <w:t xml:space="preserve">בגין האירוע כאמור באישום הראשון </w:t>
      </w:r>
      <w:r>
        <w:rPr>
          <w:rFonts w:ascii="Arial" w:hAnsi="Arial"/>
          <w:sz w:val="26"/>
          <w:szCs w:val="26"/>
          <w:rtl/>
        </w:rPr>
        <w:t>–</w:t>
      </w:r>
      <w:r>
        <w:rPr>
          <w:rFonts w:ascii="Arial" w:hAnsi="Arial" w:hint="cs"/>
          <w:sz w:val="26"/>
          <w:szCs w:val="26"/>
          <w:rtl/>
        </w:rPr>
        <w:t xml:space="preserve"> מאסר בפועל של </w:t>
      </w:r>
      <w:r w:rsidRPr="00EC2FC7">
        <w:rPr>
          <w:rFonts w:ascii="Arial" w:hAnsi="Arial" w:hint="cs"/>
          <w:b/>
          <w:bCs/>
          <w:sz w:val="26"/>
          <w:szCs w:val="26"/>
          <w:rtl/>
        </w:rPr>
        <w:t>חודש</w:t>
      </w:r>
      <w:r>
        <w:rPr>
          <w:rFonts w:ascii="Arial" w:hAnsi="Arial" w:hint="cs"/>
          <w:sz w:val="26"/>
          <w:szCs w:val="26"/>
          <w:rtl/>
        </w:rPr>
        <w:t xml:space="preserve"> עד מאסר בפועל של </w:t>
      </w:r>
      <w:r w:rsidRPr="00EC2FC7">
        <w:rPr>
          <w:rFonts w:ascii="Arial" w:hAnsi="Arial" w:hint="cs"/>
          <w:b/>
          <w:bCs/>
          <w:sz w:val="26"/>
          <w:szCs w:val="26"/>
          <w:rtl/>
        </w:rPr>
        <w:t>עשרה חודשים</w:t>
      </w:r>
      <w:r>
        <w:rPr>
          <w:rFonts w:ascii="Arial" w:hAnsi="Arial" w:hint="cs"/>
          <w:sz w:val="26"/>
          <w:szCs w:val="26"/>
          <w:rtl/>
        </w:rPr>
        <w:t xml:space="preserve">, </w:t>
      </w:r>
      <w:r w:rsidRPr="00BF2A54">
        <w:rPr>
          <w:rFonts w:ascii="Arial" w:hAnsi="Arial" w:hint="cs"/>
          <w:b/>
          <w:bCs/>
          <w:sz w:val="26"/>
          <w:szCs w:val="26"/>
          <w:rtl/>
        </w:rPr>
        <w:t>ומאסר על תנאי</w:t>
      </w:r>
      <w:r>
        <w:rPr>
          <w:rFonts w:ascii="Arial" w:hAnsi="Arial" w:hint="cs"/>
          <w:sz w:val="26"/>
          <w:szCs w:val="26"/>
          <w:rtl/>
        </w:rPr>
        <w:t xml:space="preserve">. </w:t>
      </w:r>
    </w:p>
    <w:p w14:paraId="4EA74553" w14:textId="77777777" w:rsidR="00A70AB5" w:rsidRDefault="00A70AB5" w:rsidP="00A70AB5">
      <w:pPr>
        <w:pStyle w:val="ListParagraph"/>
        <w:numPr>
          <w:ilvl w:val="1"/>
          <w:numId w:val="1"/>
        </w:numPr>
        <w:spacing w:after="160" w:line="360" w:lineRule="auto"/>
        <w:ind w:hanging="512"/>
        <w:contextualSpacing w:val="0"/>
        <w:jc w:val="both"/>
        <w:rPr>
          <w:rFonts w:ascii="Arial" w:hAnsi="Arial"/>
          <w:sz w:val="26"/>
          <w:szCs w:val="26"/>
        </w:rPr>
      </w:pPr>
      <w:r>
        <w:rPr>
          <w:rFonts w:ascii="Arial" w:hAnsi="Arial" w:hint="cs"/>
          <w:sz w:val="26"/>
          <w:szCs w:val="26"/>
          <w:rtl/>
        </w:rPr>
        <w:t xml:space="preserve">מתחם העונש בגין האירועים בחודש יולי 2014, כמפורט באישום השני - </w:t>
      </w:r>
      <w:r w:rsidRPr="008A5BF9">
        <w:rPr>
          <w:rFonts w:ascii="Arial" w:hAnsi="Arial" w:hint="cs"/>
          <w:b/>
          <w:bCs/>
          <w:sz w:val="26"/>
          <w:szCs w:val="26"/>
          <w:rtl/>
        </w:rPr>
        <w:t>24 חודשי</w:t>
      </w:r>
      <w:r>
        <w:rPr>
          <w:rFonts w:ascii="Arial" w:hAnsi="Arial" w:hint="cs"/>
          <w:b/>
          <w:bCs/>
          <w:sz w:val="26"/>
          <w:szCs w:val="26"/>
          <w:rtl/>
        </w:rPr>
        <w:t>ם של</w:t>
      </w:r>
      <w:r w:rsidRPr="008A5BF9">
        <w:rPr>
          <w:rFonts w:ascii="Arial" w:hAnsi="Arial" w:hint="cs"/>
          <w:b/>
          <w:bCs/>
          <w:sz w:val="26"/>
          <w:szCs w:val="26"/>
          <w:rtl/>
        </w:rPr>
        <w:t xml:space="preserve"> מאסר בפועל </w:t>
      </w:r>
      <w:r>
        <w:rPr>
          <w:rFonts w:ascii="Arial" w:hAnsi="Arial" w:hint="cs"/>
          <w:sz w:val="26"/>
          <w:szCs w:val="26"/>
          <w:rtl/>
        </w:rPr>
        <w:t xml:space="preserve">עד </w:t>
      </w:r>
      <w:r w:rsidRPr="008A5BF9">
        <w:rPr>
          <w:rFonts w:ascii="Arial" w:hAnsi="Arial" w:hint="cs"/>
          <w:b/>
          <w:bCs/>
          <w:sz w:val="26"/>
          <w:szCs w:val="26"/>
          <w:rtl/>
        </w:rPr>
        <w:t>48 חודשי</w:t>
      </w:r>
      <w:r>
        <w:rPr>
          <w:rFonts w:ascii="Arial" w:hAnsi="Arial" w:hint="cs"/>
          <w:b/>
          <w:bCs/>
          <w:sz w:val="26"/>
          <w:szCs w:val="26"/>
          <w:rtl/>
        </w:rPr>
        <w:t xml:space="preserve">ם של </w:t>
      </w:r>
      <w:r w:rsidRPr="008A5BF9">
        <w:rPr>
          <w:rFonts w:ascii="Arial" w:hAnsi="Arial" w:hint="cs"/>
          <w:b/>
          <w:bCs/>
          <w:sz w:val="26"/>
          <w:szCs w:val="26"/>
          <w:rtl/>
        </w:rPr>
        <w:t xml:space="preserve"> מאסר בפועל</w:t>
      </w:r>
      <w:r>
        <w:rPr>
          <w:rFonts w:ascii="Arial" w:hAnsi="Arial" w:hint="cs"/>
          <w:sz w:val="26"/>
          <w:szCs w:val="26"/>
          <w:rtl/>
        </w:rPr>
        <w:t xml:space="preserve">, </w:t>
      </w:r>
      <w:r w:rsidRPr="00BF2A54">
        <w:rPr>
          <w:rFonts w:ascii="Arial" w:hAnsi="Arial" w:hint="cs"/>
          <w:b/>
          <w:bCs/>
          <w:sz w:val="26"/>
          <w:szCs w:val="26"/>
          <w:rtl/>
        </w:rPr>
        <w:t>ומאסר על תנאי</w:t>
      </w:r>
      <w:r>
        <w:rPr>
          <w:rFonts w:ascii="Arial" w:hAnsi="Arial" w:hint="cs"/>
          <w:sz w:val="26"/>
          <w:szCs w:val="26"/>
          <w:rtl/>
        </w:rPr>
        <w:t>.</w:t>
      </w:r>
    </w:p>
    <w:p w14:paraId="021B5CDE" w14:textId="77777777" w:rsidR="00A70AB5" w:rsidRPr="00565A82" w:rsidRDefault="00A70AB5" w:rsidP="00A70AB5">
      <w:pPr>
        <w:pStyle w:val="ListParagraph"/>
        <w:numPr>
          <w:ilvl w:val="1"/>
          <w:numId w:val="1"/>
        </w:numPr>
        <w:spacing w:after="160" w:line="360" w:lineRule="auto"/>
        <w:ind w:hanging="512"/>
        <w:contextualSpacing w:val="0"/>
        <w:jc w:val="both"/>
        <w:rPr>
          <w:rFonts w:ascii="Arial" w:hAnsi="Arial"/>
          <w:sz w:val="26"/>
          <w:szCs w:val="26"/>
          <w:rtl/>
        </w:rPr>
      </w:pPr>
      <w:r>
        <w:rPr>
          <w:rFonts w:ascii="Arial" w:hAnsi="Arial" w:hint="cs"/>
          <w:sz w:val="26"/>
          <w:szCs w:val="26"/>
          <w:rtl/>
        </w:rPr>
        <w:t xml:space="preserve">מתחם העונש בגין האירוע שהתרחש במאי 2015, כאמור באישום השני - </w:t>
      </w:r>
      <w:r w:rsidRPr="008A5BF9">
        <w:rPr>
          <w:rFonts w:ascii="Arial" w:hAnsi="Arial" w:hint="cs"/>
          <w:b/>
          <w:bCs/>
          <w:sz w:val="26"/>
          <w:szCs w:val="26"/>
          <w:rtl/>
        </w:rPr>
        <w:t>10 חודשי</w:t>
      </w:r>
      <w:r>
        <w:rPr>
          <w:rFonts w:ascii="Arial" w:hAnsi="Arial" w:hint="cs"/>
          <w:b/>
          <w:bCs/>
          <w:sz w:val="26"/>
          <w:szCs w:val="26"/>
          <w:rtl/>
        </w:rPr>
        <w:t>ם של</w:t>
      </w:r>
      <w:r w:rsidRPr="008A5BF9">
        <w:rPr>
          <w:rFonts w:ascii="Arial" w:hAnsi="Arial" w:hint="cs"/>
          <w:b/>
          <w:bCs/>
          <w:sz w:val="26"/>
          <w:szCs w:val="26"/>
          <w:rtl/>
        </w:rPr>
        <w:t xml:space="preserve"> מאסר בפועל</w:t>
      </w:r>
      <w:r>
        <w:rPr>
          <w:rFonts w:ascii="Arial" w:hAnsi="Arial" w:hint="cs"/>
          <w:sz w:val="26"/>
          <w:szCs w:val="26"/>
          <w:rtl/>
        </w:rPr>
        <w:t xml:space="preserve"> עד </w:t>
      </w:r>
      <w:r w:rsidRPr="008A5BF9">
        <w:rPr>
          <w:rFonts w:ascii="Arial" w:hAnsi="Arial" w:hint="cs"/>
          <w:b/>
          <w:bCs/>
          <w:sz w:val="26"/>
          <w:szCs w:val="26"/>
          <w:rtl/>
        </w:rPr>
        <w:t>20 חודשי</w:t>
      </w:r>
      <w:r>
        <w:rPr>
          <w:rFonts w:ascii="Arial" w:hAnsi="Arial" w:hint="cs"/>
          <w:b/>
          <w:bCs/>
          <w:sz w:val="26"/>
          <w:szCs w:val="26"/>
          <w:rtl/>
        </w:rPr>
        <w:t>ם של</w:t>
      </w:r>
      <w:r w:rsidRPr="008A5BF9">
        <w:rPr>
          <w:rFonts w:ascii="Arial" w:hAnsi="Arial" w:hint="cs"/>
          <w:b/>
          <w:bCs/>
          <w:sz w:val="26"/>
          <w:szCs w:val="26"/>
          <w:rtl/>
        </w:rPr>
        <w:t xml:space="preserve"> מאסר בפועל</w:t>
      </w:r>
      <w:r>
        <w:rPr>
          <w:rFonts w:ascii="Arial" w:hAnsi="Arial" w:hint="cs"/>
          <w:b/>
          <w:bCs/>
          <w:sz w:val="26"/>
          <w:szCs w:val="26"/>
          <w:rtl/>
        </w:rPr>
        <w:t xml:space="preserve"> ומאסר על תנאי</w:t>
      </w:r>
      <w:r>
        <w:rPr>
          <w:rFonts w:ascii="Arial" w:hAnsi="Arial" w:hint="cs"/>
          <w:sz w:val="26"/>
          <w:szCs w:val="26"/>
          <w:rtl/>
        </w:rPr>
        <w:t xml:space="preserve">.  </w:t>
      </w:r>
    </w:p>
    <w:p w14:paraId="6EC670B6" w14:textId="77777777" w:rsidR="00A70AB5" w:rsidRDefault="00A70AB5" w:rsidP="00A70AB5">
      <w:pPr>
        <w:pStyle w:val="ListParagraph"/>
        <w:numPr>
          <w:ilvl w:val="0"/>
          <w:numId w:val="1"/>
        </w:numPr>
        <w:spacing w:after="160" w:line="360" w:lineRule="auto"/>
        <w:contextualSpacing w:val="0"/>
        <w:jc w:val="both"/>
        <w:rPr>
          <w:sz w:val="26"/>
          <w:szCs w:val="26"/>
        </w:rPr>
      </w:pPr>
      <w:r>
        <w:rPr>
          <w:rFonts w:hint="cs"/>
          <w:sz w:val="26"/>
          <w:szCs w:val="26"/>
          <w:rtl/>
        </w:rPr>
        <w:t>כאמור, עת גוזרים את עונשו של הנאשם בתוך המתחם, יש להתחשב ב</w:t>
      </w:r>
      <w:r>
        <w:rPr>
          <w:rFonts w:hint="cs"/>
          <w:b/>
          <w:bCs/>
          <w:sz w:val="26"/>
          <w:szCs w:val="26"/>
          <w:rtl/>
        </w:rPr>
        <w:t>נסיבות שאינן קשורות לביצוע העבירה</w:t>
      </w:r>
      <w:r>
        <w:rPr>
          <w:rFonts w:hint="cs"/>
          <w:sz w:val="26"/>
          <w:szCs w:val="26"/>
          <w:rtl/>
        </w:rPr>
        <w:t xml:space="preserve">. השיקולים הרלוונטיים מנויים </w:t>
      </w:r>
      <w:hyperlink r:id="rId84" w:history="1">
        <w:r w:rsidR="003704D8" w:rsidRPr="003704D8">
          <w:rPr>
            <w:color w:val="0000FF"/>
            <w:sz w:val="26"/>
            <w:szCs w:val="26"/>
            <w:u w:val="single"/>
            <w:rtl/>
          </w:rPr>
          <w:t>בסעיף 40יא</w:t>
        </w:r>
      </w:hyperlink>
      <w:r>
        <w:rPr>
          <w:rFonts w:hint="cs"/>
          <w:sz w:val="26"/>
          <w:szCs w:val="26"/>
          <w:rtl/>
        </w:rPr>
        <w:t xml:space="preserve"> לחוק, כדלקמן: </w:t>
      </w:r>
    </w:p>
    <w:p w14:paraId="4DDEDB92" w14:textId="77777777" w:rsidR="00A70AB5" w:rsidRDefault="00A70AB5" w:rsidP="00A70AB5">
      <w:pPr>
        <w:pStyle w:val="ListParagraph"/>
        <w:numPr>
          <w:ilvl w:val="1"/>
          <w:numId w:val="1"/>
        </w:numPr>
        <w:spacing w:after="160" w:line="360" w:lineRule="auto"/>
        <w:ind w:hanging="512"/>
        <w:contextualSpacing w:val="0"/>
        <w:jc w:val="both"/>
        <w:rPr>
          <w:sz w:val="26"/>
          <w:szCs w:val="26"/>
        </w:rPr>
      </w:pPr>
      <w:r w:rsidRPr="00BD7F8F">
        <w:rPr>
          <w:rFonts w:hint="cs"/>
          <w:b/>
          <w:bCs/>
          <w:sz w:val="26"/>
          <w:szCs w:val="26"/>
          <w:rtl/>
        </w:rPr>
        <w:t>הנזקים שנגרמו לנאשם מביצוע העבירה ומהרשעתו</w:t>
      </w:r>
      <w:r>
        <w:rPr>
          <w:rFonts w:hint="cs"/>
          <w:sz w:val="26"/>
          <w:szCs w:val="26"/>
          <w:rtl/>
        </w:rPr>
        <w:t xml:space="preserve"> </w:t>
      </w:r>
      <w:r>
        <w:rPr>
          <w:sz w:val="26"/>
          <w:szCs w:val="26"/>
          <w:rtl/>
        </w:rPr>
        <w:t>–</w:t>
      </w:r>
      <w:r>
        <w:rPr>
          <w:rFonts w:hint="cs"/>
          <w:sz w:val="26"/>
          <w:szCs w:val="26"/>
          <w:rtl/>
        </w:rPr>
        <w:t xml:space="preserve"> עת נעצר, היה הנאשם סטודנט למשפטים. אף אם יוכל לסיים את לימודיו לאחר צאתו מן הכלא, דומה שהרשעתו תשפיע על יכולתו להתקבל ללשכת עורכי הדין בארץ ישראל, וככל הנראה גם על יכולתו לעבוד כעורך דין על פי הדין המוחל על ידי הרשות הפלסטינאית.</w:t>
      </w:r>
    </w:p>
    <w:p w14:paraId="799A5EB4" w14:textId="77777777" w:rsidR="00A70AB5" w:rsidRDefault="00A70AB5" w:rsidP="00A70AB5">
      <w:pPr>
        <w:pStyle w:val="ListParagraph"/>
        <w:numPr>
          <w:ilvl w:val="1"/>
          <w:numId w:val="1"/>
        </w:numPr>
        <w:spacing w:after="160" w:line="360" w:lineRule="auto"/>
        <w:ind w:hanging="512"/>
        <w:contextualSpacing w:val="0"/>
        <w:jc w:val="both"/>
        <w:rPr>
          <w:sz w:val="26"/>
          <w:szCs w:val="26"/>
        </w:rPr>
      </w:pPr>
      <w:r w:rsidRPr="00BD7F8F">
        <w:rPr>
          <w:rFonts w:hint="cs"/>
          <w:b/>
          <w:bCs/>
          <w:sz w:val="26"/>
          <w:szCs w:val="26"/>
          <w:rtl/>
        </w:rPr>
        <w:t>נטילת אחריות ושיתוף פעולה עם רשויות החוק</w:t>
      </w:r>
      <w:r w:rsidRPr="00B17791">
        <w:rPr>
          <w:rFonts w:hint="cs"/>
          <w:sz w:val="26"/>
          <w:szCs w:val="26"/>
          <w:rtl/>
        </w:rPr>
        <w:t xml:space="preserve"> </w:t>
      </w:r>
      <w:r w:rsidRPr="00B17791">
        <w:rPr>
          <w:sz w:val="26"/>
          <w:szCs w:val="26"/>
          <w:rtl/>
        </w:rPr>
        <w:t>–</w:t>
      </w:r>
      <w:r>
        <w:rPr>
          <w:rFonts w:hint="cs"/>
          <w:sz w:val="26"/>
          <w:szCs w:val="26"/>
          <w:rtl/>
        </w:rPr>
        <w:t xml:space="preserve"> ככל הנראה לול</w:t>
      </w:r>
      <w:r w:rsidRPr="00B17791">
        <w:rPr>
          <w:rFonts w:hint="cs"/>
          <w:sz w:val="26"/>
          <w:szCs w:val="26"/>
          <w:rtl/>
        </w:rPr>
        <w:t>א היה הנאשם מודה בעבירותיו מושא האישום השני, עת נחקר על מעשיו בגדרי האישום ה</w:t>
      </w:r>
      <w:r>
        <w:rPr>
          <w:rFonts w:hint="cs"/>
          <w:sz w:val="26"/>
          <w:szCs w:val="26"/>
          <w:rtl/>
        </w:rPr>
        <w:t>ראשון</w:t>
      </w:r>
      <w:r w:rsidRPr="00B17791">
        <w:rPr>
          <w:rFonts w:hint="cs"/>
          <w:sz w:val="26"/>
          <w:szCs w:val="26"/>
          <w:rtl/>
        </w:rPr>
        <w:t>, לא היה מוע</w:t>
      </w:r>
      <w:r>
        <w:rPr>
          <w:rFonts w:hint="cs"/>
          <w:sz w:val="26"/>
          <w:szCs w:val="26"/>
          <w:rtl/>
        </w:rPr>
        <w:t>מד עליהן</w:t>
      </w:r>
      <w:r w:rsidRPr="00B17791">
        <w:rPr>
          <w:rFonts w:hint="cs"/>
          <w:sz w:val="26"/>
          <w:szCs w:val="26"/>
          <w:rtl/>
        </w:rPr>
        <w:t xml:space="preserve"> לדין. כן הודה הנאשם באישום השני, מיד בתחילת ההליך, ו</w:t>
      </w:r>
      <w:r>
        <w:rPr>
          <w:rFonts w:hint="cs"/>
          <w:sz w:val="26"/>
          <w:szCs w:val="26"/>
          <w:rtl/>
        </w:rPr>
        <w:t xml:space="preserve">זמן לא רב לאחר </w:t>
      </w:r>
      <w:r w:rsidRPr="00B17791">
        <w:rPr>
          <w:rFonts w:hint="cs"/>
          <w:sz w:val="26"/>
          <w:szCs w:val="26"/>
          <w:rtl/>
        </w:rPr>
        <w:t>שנדחתה טענת הסף</w:t>
      </w:r>
      <w:r>
        <w:rPr>
          <w:rFonts w:hint="cs"/>
          <w:sz w:val="26"/>
          <w:szCs w:val="26"/>
          <w:rtl/>
        </w:rPr>
        <w:t xml:space="preserve"> שלו</w:t>
      </w:r>
      <w:r w:rsidRPr="00B17791">
        <w:rPr>
          <w:rFonts w:hint="cs"/>
          <w:sz w:val="26"/>
          <w:szCs w:val="26"/>
          <w:rtl/>
        </w:rPr>
        <w:t xml:space="preserve"> באשר לאישום הראשון, הודה גם בו.</w:t>
      </w:r>
    </w:p>
    <w:p w14:paraId="32302A75" w14:textId="77777777" w:rsidR="00A70AB5" w:rsidRDefault="00A70AB5" w:rsidP="00A70AB5">
      <w:pPr>
        <w:pStyle w:val="ListParagraph"/>
        <w:numPr>
          <w:ilvl w:val="1"/>
          <w:numId w:val="1"/>
        </w:numPr>
        <w:spacing w:after="160" w:line="360" w:lineRule="auto"/>
        <w:ind w:hanging="512"/>
        <w:contextualSpacing w:val="0"/>
        <w:jc w:val="both"/>
        <w:rPr>
          <w:sz w:val="26"/>
          <w:szCs w:val="26"/>
        </w:rPr>
      </w:pPr>
      <w:r w:rsidRPr="00BD7F8F">
        <w:rPr>
          <w:rFonts w:hint="cs"/>
          <w:b/>
          <w:bCs/>
          <w:sz w:val="26"/>
          <w:szCs w:val="26"/>
          <w:rtl/>
        </w:rPr>
        <w:t>התנהגותו החיובית של הנאשם ותרומתו לחברה</w:t>
      </w:r>
      <w:r>
        <w:rPr>
          <w:rFonts w:hint="cs"/>
          <w:sz w:val="26"/>
          <w:szCs w:val="26"/>
          <w:rtl/>
        </w:rPr>
        <w:t xml:space="preserve"> </w:t>
      </w:r>
      <w:r>
        <w:rPr>
          <w:sz w:val="26"/>
          <w:szCs w:val="26"/>
          <w:rtl/>
        </w:rPr>
        <w:t>–</w:t>
      </w:r>
      <w:r>
        <w:rPr>
          <w:rFonts w:hint="cs"/>
          <w:sz w:val="26"/>
          <w:szCs w:val="26"/>
          <w:rtl/>
        </w:rPr>
        <w:t xml:space="preserve"> עד למעצרו בגין המעשים נשוא כתב האישום, דומה כי הנאשם חי חיים נורמטיביים, הקפיד על תעסוקה קבועה, היה בעיצומם של לימודיו האוניברסיטאיים, החל בהקמת משפחה, ולקח חלק חיובי בחיי קהילתו.</w:t>
      </w:r>
    </w:p>
    <w:p w14:paraId="7CD9A923" w14:textId="77777777" w:rsidR="00A70AB5" w:rsidRPr="00BD7F8F" w:rsidRDefault="00A70AB5" w:rsidP="00A70AB5">
      <w:pPr>
        <w:pStyle w:val="ListParagraph"/>
        <w:numPr>
          <w:ilvl w:val="1"/>
          <w:numId w:val="1"/>
        </w:numPr>
        <w:spacing w:after="160" w:line="360" w:lineRule="auto"/>
        <w:ind w:hanging="512"/>
        <w:contextualSpacing w:val="0"/>
        <w:jc w:val="both"/>
        <w:rPr>
          <w:sz w:val="26"/>
          <w:szCs w:val="26"/>
          <w:rtl/>
        </w:rPr>
      </w:pPr>
      <w:r w:rsidRPr="00BD7F8F">
        <w:rPr>
          <w:rFonts w:hint="cs"/>
          <w:b/>
          <w:bCs/>
          <w:sz w:val="26"/>
          <w:szCs w:val="26"/>
          <w:rtl/>
        </w:rPr>
        <w:t>הנאשם נעדר עבר פלילי</w:t>
      </w:r>
      <w:r>
        <w:rPr>
          <w:rFonts w:hint="cs"/>
          <w:sz w:val="26"/>
          <w:szCs w:val="26"/>
          <w:rtl/>
        </w:rPr>
        <w:t>.</w:t>
      </w:r>
    </w:p>
    <w:p w14:paraId="453A8D5D" w14:textId="77777777" w:rsidR="00A70AB5" w:rsidRPr="00BD7F8F" w:rsidRDefault="00A70AB5" w:rsidP="00A70AB5">
      <w:pPr>
        <w:spacing w:line="360" w:lineRule="auto"/>
        <w:jc w:val="both"/>
        <w:rPr>
          <w:rFonts w:ascii="Arial" w:hAnsi="Arial"/>
          <w:b/>
          <w:bCs/>
          <w:sz w:val="26"/>
          <w:szCs w:val="26"/>
          <w:u w:val="single"/>
        </w:rPr>
      </w:pPr>
      <w:r w:rsidRPr="00BD7F8F">
        <w:rPr>
          <w:rFonts w:ascii="Arial" w:hAnsi="Arial" w:hint="cs"/>
          <w:b/>
          <w:bCs/>
          <w:sz w:val="26"/>
          <w:szCs w:val="26"/>
          <w:u w:val="single"/>
          <w:rtl/>
        </w:rPr>
        <w:t>העונש</w:t>
      </w:r>
    </w:p>
    <w:p w14:paraId="724E071E" w14:textId="77777777" w:rsidR="00A70AB5" w:rsidRPr="00101691" w:rsidRDefault="00A70AB5" w:rsidP="00A70AB5">
      <w:pPr>
        <w:pStyle w:val="ListParagraph"/>
        <w:numPr>
          <w:ilvl w:val="0"/>
          <w:numId w:val="1"/>
        </w:numPr>
        <w:spacing w:after="160" w:line="360" w:lineRule="auto"/>
        <w:ind w:left="283"/>
        <w:contextualSpacing w:val="0"/>
        <w:jc w:val="both"/>
        <w:rPr>
          <w:rFonts w:ascii="Arial" w:hAnsi="Arial"/>
          <w:sz w:val="26"/>
          <w:szCs w:val="26"/>
        </w:rPr>
      </w:pPr>
      <w:r>
        <w:rPr>
          <w:rFonts w:hint="cs"/>
          <w:sz w:val="26"/>
          <w:szCs w:val="26"/>
          <w:rtl/>
        </w:rPr>
        <w:t>הנאשם בא ממשפחה נורמטיבית, בעל עבר נורמטיבי, נישא מספר ימים עובר למעצרו ונדמה כי עתידו המבטיח היה לפניו</w:t>
      </w:r>
      <w:r w:rsidRPr="00BD7F8F">
        <w:rPr>
          <w:rFonts w:hint="cs"/>
          <w:sz w:val="26"/>
          <w:szCs w:val="26"/>
          <w:rtl/>
        </w:rPr>
        <w:t xml:space="preserve">. </w:t>
      </w:r>
      <w:r>
        <w:rPr>
          <w:rFonts w:hint="cs"/>
          <w:sz w:val="26"/>
          <w:szCs w:val="26"/>
          <w:rtl/>
        </w:rPr>
        <w:t>עם זאת, ממעשיו של הנאשם עולה מניע אידיאולוגי לאומני ומסוכן</w:t>
      </w:r>
      <w:r w:rsidRPr="00BD7F8F">
        <w:rPr>
          <w:rFonts w:hint="cs"/>
          <w:sz w:val="26"/>
          <w:szCs w:val="26"/>
          <w:rtl/>
        </w:rPr>
        <w:t>.</w:t>
      </w:r>
      <w:r>
        <w:rPr>
          <w:rFonts w:hint="cs"/>
          <w:sz w:val="26"/>
          <w:szCs w:val="26"/>
          <w:rtl/>
        </w:rPr>
        <w:t xml:space="preserve"> כזכור, התרשמות שירות המבחן היתה, כי הנאשם </w:t>
      </w:r>
      <w:r w:rsidRPr="008F05C3">
        <w:rPr>
          <w:rFonts w:hint="cs"/>
          <w:sz w:val="26"/>
          <w:szCs w:val="26"/>
          <w:rtl/>
        </w:rPr>
        <w:t>בחר להתחבר לחברה שולית ולפעול במסגרתה באופן אלים מבלי לקחת בחשבון את הפגיעה באחרים</w:t>
      </w:r>
      <w:r>
        <w:rPr>
          <w:rFonts w:hint="cs"/>
          <w:sz w:val="26"/>
          <w:szCs w:val="26"/>
          <w:rtl/>
        </w:rPr>
        <w:t xml:space="preserve">. </w:t>
      </w:r>
      <w:r w:rsidRPr="00101691">
        <w:rPr>
          <w:rFonts w:hint="cs"/>
          <w:sz w:val="26"/>
          <w:szCs w:val="26"/>
          <w:rtl/>
        </w:rPr>
        <w:t xml:space="preserve">משכך, לא ניתן לראות ביציאתו מהארץ, כיציאה תמימה לטיול מאורגן, </w:t>
      </w:r>
      <w:r>
        <w:rPr>
          <w:rFonts w:hint="cs"/>
          <w:sz w:val="26"/>
          <w:szCs w:val="26"/>
          <w:rtl/>
        </w:rPr>
        <w:t>אלא מדובר בסיור</w:t>
      </w:r>
      <w:r w:rsidRPr="00101691">
        <w:rPr>
          <w:rFonts w:hint="cs"/>
          <w:sz w:val="26"/>
          <w:szCs w:val="26"/>
          <w:rtl/>
        </w:rPr>
        <w:t xml:space="preserve"> שבבסיסו אותה האידיאולוגיה הלוחמנית שמתדלקת רבות מההתפרעויות שמניצות ברחבי הארץ, ובירושלים בפרט. </w:t>
      </w:r>
    </w:p>
    <w:p w14:paraId="3673FE0A" w14:textId="77777777" w:rsidR="00A70AB5" w:rsidRPr="00FF547C" w:rsidRDefault="00A70AB5" w:rsidP="00A70AB5">
      <w:pPr>
        <w:pStyle w:val="ListParagraph"/>
        <w:numPr>
          <w:ilvl w:val="0"/>
          <w:numId w:val="1"/>
        </w:numPr>
        <w:spacing w:after="160" w:line="360" w:lineRule="auto"/>
        <w:contextualSpacing w:val="0"/>
        <w:jc w:val="both"/>
        <w:rPr>
          <w:b/>
          <w:bCs/>
          <w:sz w:val="26"/>
          <w:szCs w:val="26"/>
        </w:rPr>
      </w:pPr>
      <w:r>
        <w:rPr>
          <w:rFonts w:hint="cs"/>
          <w:sz w:val="26"/>
          <w:szCs w:val="26"/>
          <w:rtl/>
        </w:rPr>
        <w:t>תוך שקלול הנתונים האמורים, העקרונות והשיקולים מכוח תיקון 113, כמו גם השיקול של הרתעת הנאשם והרתעת אחרים, ולאחר שהתחשבתי בהודאת הנאשם, עברו הנורמטיבי, ומתוך התקווה כי ישוב לדרך הישר בעתיד, אני גוזר עליו בגין כלל האירועים:</w:t>
      </w:r>
    </w:p>
    <w:p w14:paraId="1AE58E17" w14:textId="77777777" w:rsidR="00A70AB5" w:rsidRPr="00A348E4" w:rsidRDefault="00A70AB5" w:rsidP="00A70AB5">
      <w:pPr>
        <w:pStyle w:val="ListParagraph"/>
        <w:numPr>
          <w:ilvl w:val="1"/>
          <w:numId w:val="1"/>
        </w:numPr>
        <w:spacing w:after="160" w:line="360" w:lineRule="auto"/>
        <w:ind w:hanging="512"/>
        <w:contextualSpacing w:val="0"/>
        <w:jc w:val="both"/>
        <w:rPr>
          <w:b/>
          <w:bCs/>
          <w:sz w:val="26"/>
          <w:szCs w:val="26"/>
        </w:rPr>
      </w:pPr>
      <w:r>
        <w:rPr>
          <w:rFonts w:hint="cs"/>
          <w:sz w:val="26"/>
          <w:szCs w:val="26"/>
          <w:rtl/>
        </w:rPr>
        <w:t>בגין האירוע הראשון (יציאה של כדין מן הארץ)</w:t>
      </w:r>
      <w:r>
        <w:rPr>
          <w:rFonts w:hint="cs"/>
          <w:b/>
          <w:bCs/>
          <w:sz w:val="26"/>
          <w:szCs w:val="26"/>
          <w:rtl/>
        </w:rPr>
        <w:t xml:space="preserve"> </w:t>
      </w:r>
      <w:r>
        <w:rPr>
          <w:b/>
          <w:bCs/>
          <w:sz w:val="26"/>
          <w:szCs w:val="26"/>
          <w:rtl/>
        </w:rPr>
        <w:t>–</w:t>
      </w:r>
      <w:r>
        <w:rPr>
          <w:rFonts w:hint="cs"/>
          <w:b/>
          <w:bCs/>
          <w:sz w:val="26"/>
          <w:szCs w:val="26"/>
          <w:rtl/>
        </w:rPr>
        <w:t xml:space="preserve"> חמישה (5) חודשים של מאסר בפועל. </w:t>
      </w:r>
      <w:r>
        <w:rPr>
          <w:rFonts w:ascii="Arial" w:hAnsi="Arial" w:hint="cs"/>
          <w:sz w:val="26"/>
          <w:szCs w:val="26"/>
          <w:rtl/>
        </w:rPr>
        <w:t>מאחר שמדובר ביציאה ממניעים שאינם כשרים, בגדרה השתתף הנאשם בסיור בחסות ארגון לוחם, שהסב ומסב נזק רב לישראל, אני סבור גם שאין מקום במקרה כגון זה להורות על מאסר בפועל שיבוצע בעבודות שירות.</w:t>
      </w:r>
    </w:p>
    <w:p w14:paraId="7388D4A1" w14:textId="77777777" w:rsidR="00A70AB5" w:rsidRPr="009301D4" w:rsidRDefault="00A70AB5" w:rsidP="00A70AB5">
      <w:pPr>
        <w:pStyle w:val="ListParagraph"/>
        <w:spacing w:after="160" w:line="360" w:lineRule="auto"/>
        <w:ind w:left="795"/>
        <w:contextualSpacing w:val="0"/>
        <w:jc w:val="both"/>
        <w:rPr>
          <w:b/>
          <w:bCs/>
          <w:sz w:val="26"/>
          <w:szCs w:val="26"/>
        </w:rPr>
      </w:pPr>
      <w:r>
        <w:rPr>
          <w:rFonts w:hint="cs"/>
          <w:sz w:val="26"/>
          <w:szCs w:val="26"/>
          <w:rtl/>
        </w:rPr>
        <w:t xml:space="preserve">בגין האירועים השני והשלישי (שהתרחשו בחודש יולי 2014 ובחודש מאי 2015) </w:t>
      </w:r>
      <w:r>
        <w:rPr>
          <w:rFonts w:hint="cs"/>
          <w:b/>
          <w:bCs/>
          <w:sz w:val="26"/>
          <w:szCs w:val="26"/>
          <w:rtl/>
        </w:rPr>
        <w:t>ארבעים</w:t>
      </w:r>
      <w:r w:rsidRPr="009301D4">
        <w:rPr>
          <w:rFonts w:hint="cs"/>
          <w:b/>
          <w:bCs/>
          <w:sz w:val="26"/>
          <w:szCs w:val="26"/>
          <w:rtl/>
        </w:rPr>
        <w:t xml:space="preserve"> ושלושה (</w:t>
      </w:r>
      <w:r>
        <w:rPr>
          <w:rFonts w:hint="cs"/>
          <w:b/>
          <w:bCs/>
          <w:sz w:val="26"/>
          <w:szCs w:val="26"/>
          <w:rtl/>
        </w:rPr>
        <w:t>4</w:t>
      </w:r>
      <w:r w:rsidRPr="009301D4">
        <w:rPr>
          <w:rFonts w:hint="cs"/>
          <w:b/>
          <w:bCs/>
          <w:sz w:val="26"/>
          <w:szCs w:val="26"/>
          <w:rtl/>
        </w:rPr>
        <w:t>3) חודשי</w:t>
      </w:r>
      <w:r>
        <w:rPr>
          <w:rFonts w:hint="cs"/>
          <w:b/>
          <w:bCs/>
          <w:sz w:val="26"/>
          <w:szCs w:val="26"/>
          <w:rtl/>
        </w:rPr>
        <w:t>ם של</w:t>
      </w:r>
      <w:r w:rsidRPr="009301D4">
        <w:rPr>
          <w:rFonts w:hint="cs"/>
          <w:b/>
          <w:bCs/>
          <w:sz w:val="26"/>
          <w:szCs w:val="26"/>
          <w:rtl/>
        </w:rPr>
        <w:t xml:space="preserve"> מאסר בפועל</w:t>
      </w:r>
      <w:r>
        <w:rPr>
          <w:rFonts w:hint="cs"/>
          <w:sz w:val="26"/>
          <w:szCs w:val="26"/>
          <w:rtl/>
        </w:rPr>
        <w:t>;</w:t>
      </w:r>
    </w:p>
    <w:p w14:paraId="6352213E" w14:textId="77777777" w:rsidR="00A70AB5" w:rsidRDefault="00A70AB5" w:rsidP="00A70AB5">
      <w:pPr>
        <w:pStyle w:val="ListParagraph"/>
        <w:spacing w:after="160" w:line="360" w:lineRule="auto"/>
        <w:ind w:left="795"/>
        <w:contextualSpacing w:val="0"/>
        <w:jc w:val="both"/>
        <w:rPr>
          <w:sz w:val="26"/>
          <w:szCs w:val="26"/>
          <w:rtl/>
        </w:rPr>
      </w:pPr>
      <w:r w:rsidRPr="009301D4">
        <w:rPr>
          <w:rFonts w:hint="cs"/>
          <w:b/>
          <w:bCs/>
          <w:sz w:val="26"/>
          <w:szCs w:val="26"/>
          <w:rtl/>
        </w:rPr>
        <w:t xml:space="preserve">עונשי המאסר האמורים ירוצו במצטבר </w:t>
      </w:r>
      <w:r w:rsidRPr="009301D4">
        <w:rPr>
          <w:b/>
          <w:bCs/>
          <w:sz w:val="26"/>
          <w:szCs w:val="26"/>
          <w:rtl/>
        </w:rPr>
        <w:t>–</w:t>
      </w:r>
      <w:r w:rsidRPr="009301D4">
        <w:rPr>
          <w:rFonts w:hint="cs"/>
          <w:b/>
          <w:bCs/>
          <w:sz w:val="26"/>
          <w:szCs w:val="26"/>
          <w:rtl/>
        </w:rPr>
        <w:t xml:space="preserve"> היינו, אני גוזר על הנאשם</w:t>
      </w:r>
      <w:r>
        <w:rPr>
          <w:rFonts w:hint="cs"/>
          <w:b/>
          <w:bCs/>
          <w:sz w:val="26"/>
          <w:szCs w:val="26"/>
          <w:rtl/>
        </w:rPr>
        <w:t>, בגין כלל האירועים שבכתב האישום,</w:t>
      </w:r>
      <w:r w:rsidRPr="009301D4">
        <w:rPr>
          <w:rFonts w:hint="cs"/>
          <w:b/>
          <w:bCs/>
          <w:sz w:val="26"/>
          <w:szCs w:val="26"/>
          <w:rtl/>
        </w:rPr>
        <w:t xml:space="preserve"> ארבעים ושמונה (48) חודשי</w:t>
      </w:r>
      <w:r>
        <w:rPr>
          <w:rFonts w:hint="cs"/>
          <w:b/>
          <w:bCs/>
          <w:sz w:val="26"/>
          <w:szCs w:val="26"/>
          <w:rtl/>
        </w:rPr>
        <w:t>ם של</w:t>
      </w:r>
      <w:r w:rsidRPr="009301D4">
        <w:rPr>
          <w:rFonts w:hint="cs"/>
          <w:b/>
          <w:bCs/>
          <w:sz w:val="26"/>
          <w:szCs w:val="26"/>
          <w:rtl/>
        </w:rPr>
        <w:t xml:space="preserve"> מאסר בפועל</w:t>
      </w:r>
      <w:r>
        <w:rPr>
          <w:rFonts w:hint="cs"/>
          <w:sz w:val="26"/>
          <w:szCs w:val="26"/>
          <w:rtl/>
        </w:rPr>
        <w:t xml:space="preserve">. </w:t>
      </w:r>
    </w:p>
    <w:p w14:paraId="60D231FF" w14:textId="77777777" w:rsidR="00A70AB5" w:rsidRPr="008D683E" w:rsidRDefault="00A70AB5" w:rsidP="00A70AB5">
      <w:pPr>
        <w:pStyle w:val="ListParagraph"/>
        <w:spacing w:after="160" w:line="360" w:lineRule="auto"/>
        <w:ind w:left="795"/>
        <w:contextualSpacing w:val="0"/>
        <w:jc w:val="both"/>
        <w:rPr>
          <w:b/>
          <w:bCs/>
          <w:sz w:val="26"/>
          <w:szCs w:val="26"/>
        </w:rPr>
      </w:pPr>
      <w:r>
        <w:rPr>
          <w:rFonts w:hint="cs"/>
          <w:sz w:val="26"/>
          <w:szCs w:val="26"/>
          <w:rtl/>
        </w:rPr>
        <w:t>מאסרו של הנאשם יחל להימנות מעת מעצרו ביום 31.8.15</w:t>
      </w:r>
      <w:r>
        <w:rPr>
          <w:rFonts w:hint="cs"/>
          <w:b/>
          <w:bCs/>
          <w:sz w:val="26"/>
          <w:szCs w:val="26"/>
          <w:rtl/>
        </w:rPr>
        <w:t>;</w:t>
      </w:r>
    </w:p>
    <w:p w14:paraId="7AD4E1BE" w14:textId="77777777" w:rsidR="00A70AB5" w:rsidRPr="008D683E" w:rsidRDefault="00A70AB5" w:rsidP="00A70AB5">
      <w:pPr>
        <w:pStyle w:val="ListParagraph"/>
        <w:numPr>
          <w:ilvl w:val="1"/>
          <w:numId w:val="1"/>
        </w:numPr>
        <w:spacing w:after="160" w:line="360" w:lineRule="auto"/>
        <w:ind w:hanging="512"/>
        <w:contextualSpacing w:val="0"/>
        <w:jc w:val="both"/>
        <w:rPr>
          <w:sz w:val="26"/>
          <w:szCs w:val="26"/>
          <w:rtl/>
        </w:rPr>
      </w:pPr>
      <w:r w:rsidRPr="008D683E">
        <w:rPr>
          <w:rFonts w:hint="cs"/>
          <w:sz w:val="26"/>
          <w:szCs w:val="26"/>
          <w:rtl/>
        </w:rPr>
        <w:t>מאסר על תנאי של שישה (6) חודשים, והתנאי הוא ש</w:t>
      </w:r>
      <w:r>
        <w:rPr>
          <w:rFonts w:hint="cs"/>
          <w:sz w:val="26"/>
          <w:szCs w:val="26"/>
          <w:rtl/>
        </w:rPr>
        <w:t xml:space="preserve">הנאשם </w:t>
      </w:r>
      <w:r w:rsidRPr="008D683E">
        <w:rPr>
          <w:rFonts w:hint="cs"/>
          <w:sz w:val="26"/>
          <w:szCs w:val="26"/>
          <w:rtl/>
        </w:rPr>
        <w:t>לא יעבור עביר</w:t>
      </w:r>
      <w:r>
        <w:rPr>
          <w:rFonts w:hint="cs"/>
          <w:sz w:val="26"/>
          <w:szCs w:val="26"/>
          <w:rtl/>
        </w:rPr>
        <w:t>ה של יציאה מהארץ שלא כדין במשך שלוש שנים מיום שחרורו ממאסרו</w:t>
      </w:r>
      <w:r w:rsidRPr="008D683E">
        <w:rPr>
          <w:rFonts w:hint="cs"/>
          <w:sz w:val="26"/>
          <w:szCs w:val="26"/>
          <w:rtl/>
        </w:rPr>
        <w:t>.</w:t>
      </w:r>
    </w:p>
    <w:p w14:paraId="53E53B9F" w14:textId="77777777" w:rsidR="00A70AB5" w:rsidRDefault="00A70AB5" w:rsidP="00A70AB5">
      <w:pPr>
        <w:pStyle w:val="ListParagraph"/>
        <w:numPr>
          <w:ilvl w:val="1"/>
          <w:numId w:val="1"/>
        </w:numPr>
        <w:spacing w:after="160" w:line="360" w:lineRule="auto"/>
        <w:ind w:hanging="512"/>
        <w:contextualSpacing w:val="0"/>
        <w:jc w:val="both"/>
        <w:rPr>
          <w:b/>
          <w:bCs/>
          <w:sz w:val="26"/>
          <w:szCs w:val="26"/>
        </w:rPr>
      </w:pPr>
      <w:r>
        <w:rPr>
          <w:rFonts w:hint="cs"/>
          <w:sz w:val="26"/>
          <w:szCs w:val="26"/>
          <w:rtl/>
        </w:rPr>
        <w:t>מאסר על תנאי של שניים עשר (12) חודשים, והתנאי הוא שהנאשם לא יעבור איזו מהעבירות מושא האישום השני במשך שלוש (3) שנים מיום שחרורו ממאסרו;</w:t>
      </w:r>
    </w:p>
    <w:p w14:paraId="1C2D1782" w14:textId="77777777" w:rsidR="00A70AB5" w:rsidRDefault="00A70AB5" w:rsidP="00A70AB5">
      <w:pPr>
        <w:pStyle w:val="ListParagraph"/>
        <w:spacing w:after="160" w:line="360" w:lineRule="auto"/>
        <w:ind w:left="795"/>
        <w:contextualSpacing w:val="0"/>
        <w:jc w:val="both"/>
        <w:rPr>
          <w:b/>
          <w:bCs/>
          <w:sz w:val="26"/>
          <w:szCs w:val="26"/>
        </w:rPr>
      </w:pPr>
    </w:p>
    <w:p w14:paraId="08EB9A6A" w14:textId="77777777" w:rsidR="00A70AB5" w:rsidRDefault="00A70AB5" w:rsidP="00A70AB5">
      <w:pPr>
        <w:spacing w:after="160" w:line="360" w:lineRule="auto"/>
        <w:jc w:val="both"/>
        <w:rPr>
          <w:b/>
          <w:bCs/>
          <w:sz w:val="26"/>
          <w:szCs w:val="26"/>
          <w:rtl/>
        </w:rPr>
      </w:pPr>
      <w:r w:rsidRPr="006876FD">
        <w:rPr>
          <w:rFonts w:hint="cs"/>
          <w:b/>
          <w:bCs/>
          <w:sz w:val="26"/>
          <w:szCs w:val="26"/>
          <w:rtl/>
        </w:rPr>
        <w:t>זכות ערעור תוך 45 י</w:t>
      </w:r>
      <w:r>
        <w:rPr>
          <w:rFonts w:hint="cs"/>
          <w:b/>
          <w:bCs/>
          <w:sz w:val="26"/>
          <w:szCs w:val="26"/>
          <w:rtl/>
        </w:rPr>
        <w:t>מי</w:t>
      </w:r>
      <w:r w:rsidRPr="006876FD">
        <w:rPr>
          <w:rFonts w:hint="cs"/>
          <w:b/>
          <w:bCs/>
          <w:sz w:val="26"/>
          <w:szCs w:val="26"/>
          <w:rtl/>
        </w:rPr>
        <w:t xml:space="preserve">ם </w:t>
      </w:r>
      <w:r>
        <w:rPr>
          <w:rFonts w:hint="cs"/>
          <w:b/>
          <w:bCs/>
          <w:sz w:val="26"/>
          <w:szCs w:val="26"/>
          <w:rtl/>
        </w:rPr>
        <w:t xml:space="preserve">מהיום </w:t>
      </w:r>
      <w:r w:rsidRPr="006876FD">
        <w:rPr>
          <w:rFonts w:hint="cs"/>
          <w:b/>
          <w:bCs/>
          <w:sz w:val="26"/>
          <w:szCs w:val="26"/>
          <w:rtl/>
        </w:rPr>
        <w:t>לבית המשפט העליון.</w:t>
      </w:r>
    </w:p>
    <w:p w14:paraId="518F9339" w14:textId="77777777" w:rsidR="00A70AB5" w:rsidRDefault="00A70AB5" w:rsidP="00A70AB5">
      <w:pPr>
        <w:spacing w:after="160" w:line="360" w:lineRule="auto"/>
        <w:jc w:val="both"/>
        <w:rPr>
          <w:rFonts w:ascii="Arial" w:hAnsi="Arial"/>
          <w:b/>
          <w:bCs/>
          <w:sz w:val="26"/>
          <w:szCs w:val="26"/>
          <w:rtl/>
        </w:rPr>
      </w:pPr>
      <w:r w:rsidRPr="006876FD">
        <w:rPr>
          <w:rFonts w:hint="cs"/>
          <w:b/>
          <w:bCs/>
          <w:sz w:val="26"/>
          <w:szCs w:val="26"/>
          <w:rtl/>
        </w:rPr>
        <w:t>יש להעביר עותק מגזר הדין לשירות המבחן.</w:t>
      </w:r>
    </w:p>
    <w:p w14:paraId="0C0FCCD3" w14:textId="77777777" w:rsidR="00A70AB5" w:rsidRPr="006876FD" w:rsidRDefault="00A70AB5" w:rsidP="00A70AB5">
      <w:pPr>
        <w:spacing w:after="160" w:line="360" w:lineRule="auto"/>
        <w:jc w:val="both"/>
        <w:rPr>
          <w:rFonts w:ascii="Arial" w:hAnsi="Arial"/>
          <w:b/>
          <w:bCs/>
          <w:sz w:val="26"/>
          <w:szCs w:val="26"/>
          <w:rtl/>
        </w:rPr>
      </w:pPr>
    </w:p>
    <w:p w14:paraId="55316955" w14:textId="77777777" w:rsidR="00A70AB5" w:rsidRDefault="00DF2BC8" w:rsidP="00A70AB5">
      <w:pPr>
        <w:spacing w:line="360" w:lineRule="auto"/>
        <w:jc w:val="both"/>
        <w:rPr>
          <w:sz w:val="26"/>
          <w:szCs w:val="26"/>
          <w:rtl/>
        </w:rPr>
      </w:pPr>
      <w:r>
        <w:rPr>
          <w:rFonts w:ascii="Arial" w:hAnsi="Arial"/>
          <w:sz w:val="26"/>
          <w:szCs w:val="26"/>
          <w:rtl/>
        </w:rPr>
        <w:t xml:space="preserve">ניתן היום,  ג' שבט תשע"ז, 30 ינואר 2017, בנוכחות הנאשם ובאי כוחם הצדדים. </w:t>
      </w:r>
      <w:r w:rsidR="00A70AB5" w:rsidRPr="00ED2B21">
        <w:rPr>
          <w:rFonts w:hint="cs"/>
          <w:sz w:val="26"/>
          <w:szCs w:val="26"/>
          <w:rtl/>
        </w:rPr>
        <w:t xml:space="preserve">   </w:t>
      </w:r>
      <w:r w:rsidR="00A70AB5" w:rsidRPr="00ED2B21">
        <w:rPr>
          <w:rFonts w:hint="cs"/>
          <w:sz w:val="26"/>
          <w:szCs w:val="26"/>
          <w:rtl/>
        </w:rPr>
        <w:tab/>
      </w:r>
      <w:r w:rsidR="00A70AB5" w:rsidRPr="00ED2B21">
        <w:rPr>
          <w:rFonts w:hint="cs"/>
          <w:sz w:val="26"/>
          <w:szCs w:val="26"/>
          <w:rtl/>
        </w:rPr>
        <w:tab/>
      </w:r>
      <w:r w:rsidR="00A70AB5" w:rsidRPr="00ED2B21">
        <w:rPr>
          <w:rFonts w:hint="cs"/>
          <w:sz w:val="26"/>
          <w:szCs w:val="26"/>
          <w:rtl/>
        </w:rPr>
        <w:tab/>
      </w:r>
      <w:r w:rsidR="00A70AB5" w:rsidRPr="00ED2B21">
        <w:rPr>
          <w:rFonts w:hint="cs"/>
          <w:sz w:val="26"/>
          <w:szCs w:val="26"/>
          <w:rtl/>
        </w:rPr>
        <w:tab/>
      </w:r>
    </w:p>
    <w:p w14:paraId="63A2C1EF" w14:textId="77777777" w:rsidR="00A70AB5" w:rsidRPr="00DF2BC8" w:rsidRDefault="00DF2BC8" w:rsidP="00A70AB5">
      <w:pPr>
        <w:rPr>
          <w:color w:val="FFFFFF"/>
          <w:sz w:val="2"/>
          <w:szCs w:val="2"/>
          <w:rtl/>
        </w:rPr>
      </w:pPr>
      <w:r w:rsidRPr="00DF2BC8">
        <w:rPr>
          <w:color w:val="FFFFFF"/>
          <w:sz w:val="2"/>
          <w:szCs w:val="2"/>
          <w:rtl/>
        </w:rPr>
        <w:t>5129371</w:t>
      </w:r>
    </w:p>
    <w:tbl>
      <w:tblPr>
        <w:bidiVisual/>
        <w:tblW w:w="2511" w:type="dxa"/>
        <w:tblInd w:w="6372" w:type="dxa"/>
        <w:tblLook w:val="01E0" w:firstRow="1" w:lastRow="1" w:firstColumn="1" w:lastColumn="1" w:noHBand="0" w:noVBand="0"/>
      </w:tblPr>
      <w:tblGrid>
        <w:gridCol w:w="2511"/>
      </w:tblGrid>
      <w:tr w:rsidR="00A70AB5" w14:paraId="1C4D1D45" w14:textId="77777777" w:rsidTr="00DF2BC8">
        <w:tc>
          <w:tcPr>
            <w:tcW w:w="2511" w:type="dxa"/>
            <w:tcBorders>
              <w:top w:val="nil"/>
              <w:left w:val="nil"/>
              <w:bottom w:val="single" w:sz="4" w:space="0" w:color="auto"/>
              <w:right w:val="nil"/>
            </w:tcBorders>
            <w:shd w:val="clear" w:color="auto" w:fill="auto"/>
            <w:vAlign w:val="center"/>
          </w:tcPr>
          <w:p w14:paraId="75F6E8C7" w14:textId="77777777" w:rsidR="00A70AB5" w:rsidRPr="00DF2BC8" w:rsidRDefault="00DF2BC8" w:rsidP="00DF2BC8">
            <w:pPr>
              <w:jc w:val="center"/>
              <w:rPr>
                <w:rFonts w:ascii="Courier New" w:hAnsi="Courier New"/>
                <w:b/>
                <w:bCs/>
                <w:color w:val="FFFFFF"/>
                <w:sz w:val="2"/>
                <w:szCs w:val="2"/>
              </w:rPr>
            </w:pPr>
            <w:r w:rsidRPr="00DF2BC8">
              <w:rPr>
                <w:rFonts w:ascii="Courier New" w:hAnsi="Courier New"/>
                <w:b/>
                <w:bCs/>
                <w:color w:val="FFFFFF"/>
                <w:sz w:val="2"/>
                <w:szCs w:val="2"/>
                <w:rtl/>
              </w:rPr>
              <w:t>54678313</w:t>
            </w:r>
          </w:p>
        </w:tc>
      </w:tr>
      <w:tr w:rsidR="00A70AB5" w14:paraId="2ADC6B8B" w14:textId="77777777" w:rsidTr="00DF2BC8">
        <w:tc>
          <w:tcPr>
            <w:tcW w:w="2511" w:type="dxa"/>
            <w:tcBorders>
              <w:top w:val="single" w:sz="4" w:space="0" w:color="auto"/>
              <w:left w:val="nil"/>
              <w:bottom w:val="nil"/>
              <w:right w:val="nil"/>
            </w:tcBorders>
            <w:shd w:val="clear" w:color="auto" w:fill="auto"/>
            <w:vAlign w:val="center"/>
          </w:tcPr>
          <w:p w14:paraId="5568A706" w14:textId="77777777" w:rsidR="00A70AB5" w:rsidRPr="00071E7C" w:rsidRDefault="00A70AB5" w:rsidP="00DF2BC8">
            <w:pPr>
              <w:spacing w:line="360" w:lineRule="auto"/>
              <w:jc w:val="center"/>
              <w:rPr>
                <w:b/>
                <w:bCs/>
                <w:noProof/>
                <w:rtl/>
              </w:rPr>
            </w:pPr>
            <w:r w:rsidRPr="00071E7C">
              <w:rPr>
                <w:rFonts w:hint="cs"/>
                <w:b/>
                <w:bCs/>
                <w:rtl/>
              </w:rPr>
              <w:t>אהרן פרקש, נשיא</w:t>
            </w:r>
          </w:p>
        </w:tc>
      </w:tr>
    </w:tbl>
    <w:p w14:paraId="65168F95" w14:textId="77777777" w:rsidR="00A70AB5" w:rsidRDefault="00A70AB5" w:rsidP="00A70AB5">
      <w:pPr>
        <w:rPr>
          <w:rtl/>
        </w:rPr>
      </w:pPr>
    </w:p>
    <w:p w14:paraId="2D8F2A09" w14:textId="77777777" w:rsidR="00A70AB5" w:rsidRDefault="00A70AB5" w:rsidP="00A70AB5"/>
    <w:p w14:paraId="684C6C1D" w14:textId="77777777" w:rsidR="00A70AB5" w:rsidRPr="00ED2B21" w:rsidRDefault="00A70AB5" w:rsidP="00A70AB5">
      <w:pPr>
        <w:spacing w:line="360" w:lineRule="auto"/>
        <w:jc w:val="both"/>
      </w:pPr>
      <w:r w:rsidRPr="00ED2B21">
        <w:rPr>
          <w:rFonts w:hint="cs"/>
          <w:sz w:val="26"/>
          <w:szCs w:val="26"/>
          <w:rtl/>
        </w:rPr>
        <w:tab/>
      </w:r>
    </w:p>
    <w:p w14:paraId="56DC945D" w14:textId="77777777" w:rsidR="00A70AB5" w:rsidRPr="00ED2B21" w:rsidRDefault="00A70AB5" w:rsidP="00A70AB5">
      <w:pPr>
        <w:spacing w:line="360" w:lineRule="auto"/>
        <w:jc w:val="both"/>
        <w:rPr>
          <w:rFonts w:ascii="Arial" w:hAnsi="Arial"/>
          <w:sz w:val="26"/>
          <w:szCs w:val="26"/>
          <w:rtl/>
        </w:rPr>
      </w:pPr>
    </w:p>
    <w:p w14:paraId="673488FA" w14:textId="77777777" w:rsidR="00DF2BC8" w:rsidRPr="00DF2BC8" w:rsidRDefault="00DF2BC8" w:rsidP="00DF2BC8">
      <w:pPr>
        <w:keepNext/>
        <w:rPr>
          <w:rFonts w:ascii="David" w:hAnsi="David"/>
          <w:color w:val="000000"/>
          <w:sz w:val="22"/>
          <w:szCs w:val="22"/>
          <w:rtl/>
        </w:rPr>
      </w:pPr>
    </w:p>
    <w:p w14:paraId="6577CCD0" w14:textId="77777777" w:rsidR="00DF2BC8" w:rsidRPr="00DF2BC8" w:rsidRDefault="00DF2BC8" w:rsidP="00DF2BC8">
      <w:pPr>
        <w:keepNext/>
        <w:rPr>
          <w:rFonts w:ascii="David" w:hAnsi="David"/>
          <w:color w:val="000000"/>
          <w:sz w:val="22"/>
          <w:szCs w:val="22"/>
          <w:rtl/>
        </w:rPr>
      </w:pPr>
      <w:r w:rsidRPr="00DF2BC8">
        <w:rPr>
          <w:rFonts w:ascii="David" w:hAnsi="David"/>
          <w:color w:val="000000"/>
          <w:sz w:val="22"/>
          <w:szCs w:val="22"/>
          <w:rtl/>
        </w:rPr>
        <w:t>אהרן פרקש 54678313</w:t>
      </w:r>
    </w:p>
    <w:p w14:paraId="3FF93A47" w14:textId="77777777" w:rsidR="00DF2BC8" w:rsidRDefault="00DF2BC8" w:rsidP="00DF2BC8">
      <w:r w:rsidRPr="00DF2BC8">
        <w:rPr>
          <w:color w:val="000000"/>
          <w:rtl/>
        </w:rPr>
        <w:t>נוסח מסמך זה כפוף לשינויי ניסוח ועריכה</w:t>
      </w:r>
    </w:p>
    <w:p w14:paraId="573D9327" w14:textId="77777777" w:rsidR="00DF2BC8" w:rsidRDefault="00DF2BC8" w:rsidP="00DF2BC8">
      <w:pPr>
        <w:rPr>
          <w:rtl/>
        </w:rPr>
      </w:pPr>
    </w:p>
    <w:p w14:paraId="70432571" w14:textId="77777777" w:rsidR="00DF2BC8" w:rsidRDefault="00DF2BC8" w:rsidP="00DF2BC8">
      <w:pPr>
        <w:jc w:val="center"/>
        <w:rPr>
          <w:color w:val="0000FF"/>
          <w:u w:val="single"/>
        </w:rPr>
      </w:pPr>
      <w:hyperlink r:id="rId85" w:history="1">
        <w:r>
          <w:rPr>
            <w:color w:val="0000FF"/>
            <w:u w:val="single"/>
            <w:rtl/>
          </w:rPr>
          <w:t>בעניין עריכה ושינויים במסמכי פסיקה, חקיקה ועוד באתר נבו – הקש כאן</w:t>
        </w:r>
      </w:hyperlink>
      <w:r w:rsidR="00B37DBF">
        <w:rPr>
          <w:rFonts w:hint="cs"/>
          <w:color w:val="0000FF"/>
          <w:u w:val="single"/>
          <w:rtl/>
        </w:rPr>
        <w:t xml:space="preserve"> </w:t>
      </w:r>
    </w:p>
    <w:p w14:paraId="5B005DEE" w14:textId="77777777" w:rsidR="00B35717" w:rsidRPr="00DF2BC8" w:rsidRDefault="00B35717" w:rsidP="00DF2BC8">
      <w:pPr>
        <w:jc w:val="center"/>
        <w:rPr>
          <w:color w:val="0000FF"/>
          <w:u w:val="single"/>
        </w:rPr>
      </w:pPr>
    </w:p>
    <w:sectPr w:rsidR="00B35717" w:rsidRPr="00DF2BC8" w:rsidSect="00DF2BC8">
      <w:headerReference w:type="even" r:id="rId86"/>
      <w:headerReference w:type="default" r:id="rId87"/>
      <w:footerReference w:type="even" r:id="rId88"/>
      <w:footerReference w:type="default" r:id="rId8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52F9CE" w14:textId="77777777" w:rsidR="002763FC" w:rsidRDefault="002763FC">
      <w:r>
        <w:separator/>
      </w:r>
    </w:p>
  </w:endnote>
  <w:endnote w:type="continuationSeparator" w:id="0">
    <w:p w14:paraId="5CD75192" w14:textId="77777777" w:rsidR="002763FC" w:rsidRDefault="0027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B6224" w14:textId="77777777" w:rsidR="001E7FFA" w:rsidRDefault="001E7FFA" w:rsidP="00DF2BC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690A0CD" w14:textId="77777777" w:rsidR="001E7FFA" w:rsidRPr="00DF2BC8" w:rsidRDefault="001E7FFA" w:rsidP="00DF2BC8">
    <w:pPr>
      <w:pStyle w:val="a4"/>
      <w:pBdr>
        <w:top w:val="single" w:sz="4" w:space="1" w:color="auto"/>
        <w:between w:val="single" w:sz="4" w:space="0" w:color="auto"/>
      </w:pBdr>
      <w:spacing w:after="60"/>
      <w:jc w:val="center"/>
      <w:rPr>
        <w:rFonts w:ascii="FrankRuehl" w:hAnsi="FrankRuehl" w:cs="FrankRuehl"/>
        <w:color w:val="000000"/>
      </w:rPr>
    </w:pPr>
    <w:r w:rsidRPr="00DF2BC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58C48" w14:textId="77777777" w:rsidR="001E7FFA" w:rsidRDefault="001E7FFA" w:rsidP="00DF2BC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2772D">
      <w:rPr>
        <w:rFonts w:ascii="FrankRuehl" w:hAnsi="FrankRuehl" w:cs="FrankRuehl"/>
        <w:noProof/>
        <w:rtl/>
      </w:rPr>
      <w:t>1</w:t>
    </w:r>
    <w:r>
      <w:rPr>
        <w:rFonts w:ascii="FrankRuehl" w:hAnsi="FrankRuehl" w:cs="FrankRuehl"/>
        <w:rtl/>
      </w:rPr>
      <w:fldChar w:fldCharType="end"/>
    </w:r>
  </w:p>
  <w:p w14:paraId="47E36851" w14:textId="77777777" w:rsidR="001E7FFA" w:rsidRPr="00DF2BC8" w:rsidRDefault="001E7FFA" w:rsidP="00DF2BC8">
    <w:pPr>
      <w:pStyle w:val="a4"/>
      <w:pBdr>
        <w:top w:val="single" w:sz="4" w:space="1" w:color="auto"/>
        <w:between w:val="single" w:sz="4" w:space="0" w:color="auto"/>
      </w:pBdr>
      <w:spacing w:after="60"/>
      <w:jc w:val="center"/>
      <w:rPr>
        <w:rFonts w:ascii="FrankRuehl" w:hAnsi="FrankRuehl" w:cs="FrankRuehl"/>
        <w:color w:val="000000"/>
      </w:rPr>
    </w:pPr>
    <w:r w:rsidRPr="00DF2BC8">
      <w:rPr>
        <w:rFonts w:ascii="FrankRuehl" w:hAnsi="FrankRuehl" w:cs="FrankRuehl"/>
        <w:color w:val="000000"/>
      </w:rPr>
      <w:pict w14:anchorId="5A97F3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84A4C" w14:textId="77777777" w:rsidR="002763FC" w:rsidRDefault="002763FC">
      <w:r>
        <w:separator/>
      </w:r>
    </w:p>
  </w:footnote>
  <w:footnote w:type="continuationSeparator" w:id="0">
    <w:p w14:paraId="0582F654" w14:textId="77777777" w:rsidR="002763FC" w:rsidRDefault="00276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8B14E" w14:textId="77777777" w:rsidR="001E7FFA" w:rsidRPr="00DF2BC8" w:rsidRDefault="001E7FFA" w:rsidP="00DF2BC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273-10-15</w:t>
    </w:r>
    <w:r>
      <w:rPr>
        <w:rFonts w:ascii="David" w:hAnsi="David"/>
        <w:color w:val="000000"/>
        <w:sz w:val="22"/>
        <w:szCs w:val="22"/>
        <w:rtl/>
      </w:rPr>
      <w:tab/>
      <w:t xml:space="preserve"> מדינת ישראל נ' וחיד מורזיק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54FDC" w14:textId="77777777" w:rsidR="001E7FFA" w:rsidRPr="00DF2BC8" w:rsidRDefault="001E7FFA" w:rsidP="00DF2BC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273-10-15</w:t>
    </w:r>
    <w:r>
      <w:rPr>
        <w:rFonts w:ascii="David" w:hAnsi="David"/>
        <w:color w:val="000000"/>
        <w:sz w:val="22"/>
        <w:szCs w:val="22"/>
        <w:rtl/>
      </w:rPr>
      <w:tab/>
      <w:t xml:space="preserve"> מדינת ישראל נ' וחיד מורזיק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FA2C40"/>
    <w:multiLevelType w:val="multilevel"/>
    <w:tmpl w:val="D418482E"/>
    <w:lvl w:ilvl="0">
      <w:start w:val="1"/>
      <w:numFmt w:val="decimal"/>
      <w:lvlText w:val="%1."/>
      <w:lvlJc w:val="left"/>
      <w:pPr>
        <w:ind w:left="360" w:hanging="360"/>
      </w:pPr>
      <w:rPr>
        <w:rFonts w:cs="David"/>
        <w:b w:val="0"/>
        <w:bCs w:val="0"/>
        <w:sz w:val="24"/>
        <w:szCs w:val="24"/>
      </w:rPr>
    </w:lvl>
    <w:lvl w:ilvl="1">
      <w:start w:val="1"/>
      <w:numFmt w:val="decimal"/>
      <w:isLgl/>
      <w:lvlText w:val="%1.%2"/>
      <w:lvlJc w:val="left"/>
      <w:pPr>
        <w:ind w:left="795" w:hanging="435"/>
      </w:pPr>
      <w:rPr>
        <w:rFonts w:hint="default"/>
        <w:b w:val="0"/>
        <w:bCs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503008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70AB5"/>
    <w:rsid w:val="00004B4A"/>
    <w:rsid w:val="000258C6"/>
    <w:rsid w:val="00092DB2"/>
    <w:rsid w:val="000A635C"/>
    <w:rsid w:val="000B222D"/>
    <w:rsid w:val="000F3716"/>
    <w:rsid w:val="000F776E"/>
    <w:rsid w:val="001163D9"/>
    <w:rsid w:val="00123268"/>
    <w:rsid w:val="0013605C"/>
    <w:rsid w:val="0015154B"/>
    <w:rsid w:val="0017711A"/>
    <w:rsid w:val="001E7FFA"/>
    <w:rsid w:val="00200CA3"/>
    <w:rsid w:val="00203146"/>
    <w:rsid w:val="002474C9"/>
    <w:rsid w:val="002763FC"/>
    <w:rsid w:val="002B1389"/>
    <w:rsid w:val="002D2C1C"/>
    <w:rsid w:val="002E4BA2"/>
    <w:rsid w:val="00327617"/>
    <w:rsid w:val="003704D8"/>
    <w:rsid w:val="00371D27"/>
    <w:rsid w:val="00374124"/>
    <w:rsid w:val="003C709F"/>
    <w:rsid w:val="003D65D3"/>
    <w:rsid w:val="003E51B4"/>
    <w:rsid w:val="003F02C5"/>
    <w:rsid w:val="004D1A95"/>
    <w:rsid w:val="004D5997"/>
    <w:rsid w:val="00533D5C"/>
    <w:rsid w:val="00551C5E"/>
    <w:rsid w:val="005638FB"/>
    <w:rsid w:val="00582B08"/>
    <w:rsid w:val="005847C1"/>
    <w:rsid w:val="005B4DDE"/>
    <w:rsid w:val="005E305D"/>
    <w:rsid w:val="00671477"/>
    <w:rsid w:val="006D1E81"/>
    <w:rsid w:val="00710EDB"/>
    <w:rsid w:val="007171C2"/>
    <w:rsid w:val="00720984"/>
    <w:rsid w:val="0072772D"/>
    <w:rsid w:val="007900C5"/>
    <w:rsid w:val="007A3B68"/>
    <w:rsid w:val="007D10E0"/>
    <w:rsid w:val="007E62CB"/>
    <w:rsid w:val="008043FC"/>
    <w:rsid w:val="008057C3"/>
    <w:rsid w:val="00860D56"/>
    <w:rsid w:val="008664D5"/>
    <w:rsid w:val="00866CE3"/>
    <w:rsid w:val="00875CAA"/>
    <w:rsid w:val="008760F0"/>
    <w:rsid w:val="008B2C82"/>
    <w:rsid w:val="008D4AF6"/>
    <w:rsid w:val="00901DEA"/>
    <w:rsid w:val="00913EC5"/>
    <w:rsid w:val="00946CA3"/>
    <w:rsid w:val="009A4E50"/>
    <w:rsid w:val="009A720E"/>
    <w:rsid w:val="009B4682"/>
    <w:rsid w:val="00A03304"/>
    <w:rsid w:val="00A24369"/>
    <w:rsid w:val="00A472AB"/>
    <w:rsid w:val="00A52B25"/>
    <w:rsid w:val="00A670F6"/>
    <w:rsid w:val="00A70AB5"/>
    <w:rsid w:val="00A96648"/>
    <w:rsid w:val="00AC4532"/>
    <w:rsid w:val="00AE1669"/>
    <w:rsid w:val="00B07251"/>
    <w:rsid w:val="00B10E9A"/>
    <w:rsid w:val="00B24722"/>
    <w:rsid w:val="00B35717"/>
    <w:rsid w:val="00B37DBF"/>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308EF"/>
    <w:rsid w:val="00D357B5"/>
    <w:rsid w:val="00D40041"/>
    <w:rsid w:val="00D56203"/>
    <w:rsid w:val="00D807AC"/>
    <w:rsid w:val="00DD36BA"/>
    <w:rsid w:val="00DE1662"/>
    <w:rsid w:val="00DF2BC8"/>
    <w:rsid w:val="00E45CCB"/>
    <w:rsid w:val="00E61C95"/>
    <w:rsid w:val="00EA60CD"/>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B568B89"/>
  <w15:chartTrackingRefBased/>
  <w15:docId w15:val="{69E801B5-B3FE-4980-922C-4A392AB1B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70AB5"/>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70AB5"/>
    <w:pPr>
      <w:tabs>
        <w:tab w:val="center" w:pos="4153"/>
        <w:tab w:val="right" w:pos="8306"/>
      </w:tabs>
    </w:pPr>
  </w:style>
  <w:style w:type="paragraph" w:styleId="a4">
    <w:name w:val="footer"/>
    <w:basedOn w:val="a"/>
    <w:rsid w:val="00A70AB5"/>
    <w:pPr>
      <w:tabs>
        <w:tab w:val="center" w:pos="4153"/>
        <w:tab w:val="right" w:pos="8306"/>
      </w:tabs>
    </w:pPr>
  </w:style>
  <w:style w:type="character" w:styleId="a5">
    <w:name w:val="page number"/>
    <w:basedOn w:val="a0"/>
    <w:rsid w:val="00A70AB5"/>
  </w:style>
  <w:style w:type="paragraph" w:customStyle="1" w:styleId="ListParagraph">
    <w:name w:val="List Paragraph"/>
    <w:basedOn w:val="a"/>
    <w:rsid w:val="00A70AB5"/>
    <w:pPr>
      <w:ind w:left="720"/>
      <w:contextualSpacing/>
    </w:pPr>
  </w:style>
  <w:style w:type="character" w:styleId="Hyperlink">
    <w:name w:val="Hyperlink"/>
    <w:rsid w:val="00DF2B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48.4" TargetMode="External"/><Relationship Id="rId21" Type="http://schemas.openxmlformats.org/officeDocument/2006/relationships/hyperlink" Target="http://www.nevo.co.il/law/70301/383.a" TargetMode="External"/><Relationship Id="rId42" Type="http://schemas.openxmlformats.org/officeDocument/2006/relationships/hyperlink" Target="http://www.nevo.co.il/law/70301/29" TargetMode="External"/><Relationship Id="rId47" Type="http://schemas.openxmlformats.org/officeDocument/2006/relationships/hyperlink" Target="http://www.nevo.co.il/case/7958246" TargetMode="External"/><Relationship Id="rId63" Type="http://schemas.openxmlformats.org/officeDocument/2006/relationships/hyperlink" Target="http://www.nevo.co.il/law/70301/144.a" TargetMode="External"/><Relationship Id="rId68" Type="http://schemas.openxmlformats.org/officeDocument/2006/relationships/hyperlink" Target="http://www.nevo.co.il/case/20462970" TargetMode="External"/><Relationship Id="rId84" Type="http://schemas.openxmlformats.org/officeDocument/2006/relationships/hyperlink" Target="http://www.nevo.co.il/law/70301/40ja" TargetMode="External"/><Relationship Id="rId89" Type="http://schemas.openxmlformats.org/officeDocument/2006/relationships/footer" Target="footer2.xml"/><Relationship Id="rId16" Type="http://schemas.openxmlformats.org/officeDocument/2006/relationships/hyperlink" Target="http://www.nevo.co.il/law/70301/152" TargetMode="External"/><Relationship Id="rId11" Type="http://schemas.openxmlformats.org/officeDocument/2006/relationships/hyperlink" Target="http://www.nevo.co.il/law/70301/29" TargetMode="External"/><Relationship Id="rId32" Type="http://schemas.openxmlformats.org/officeDocument/2006/relationships/hyperlink" Target="http://www.nevo.co.il/law/70301/448.a" TargetMode="External"/><Relationship Id="rId37" Type="http://schemas.openxmlformats.org/officeDocument/2006/relationships/hyperlink" Target="http://www.nevo.co.il/law/70301/274.1" TargetMode="External"/><Relationship Id="rId53" Type="http://schemas.openxmlformats.org/officeDocument/2006/relationships/hyperlink" Target="http://www.nevo.co.il/law/70301/40i" TargetMode="External"/><Relationship Id="rId58" Type="http://schemas.openxmlformats.org/officeDocument/2006/relationships/hyperlink" Target="http://www.nevo.co.il/law/70301/448.a" TargetMode="External"/><Relationship Id="rId74" Type="http://schemas.openxmlformats.org/officeDocument/2006/relationships/hyperlink" Target="http://www.nevo.co.il/case/6094936" TargetMode="External"/><Relationship Id="rId79" Type="http://schemas.openxmlformats.org/officeDocument/2006/relationships/hyperlink" Target="http://www.nevo.co.il/case/21709944" TargetMode="Externa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hyperlink" Target="http://www.nevo.co.il/law/70301/40i" TargetMode="External"/><Relationship Id="rId22" Type="http://schemas.openxmlformats.org/officeDocument/2006/relationships/hyperlink" Target="http://www.nevo.co.il/law/70301/384" TargetMode="External"/><Relationship Id="rId27" Type="http://schemas.openxmlformats.org/officeDocument/2006/relationships/hyperlink" Target="http://www.nevo.co.il/law/70301/448.a" TargetMode="External"/><Relationship Id="rId30" Type="http://schemas.openxmlformats.org/officeDocument/2006/relationships/hyperlink" Target="http://www.nevo.co.il/law/72510/2a"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152" TargetMode="External"/><Relationship Id="rId48" Type="http://schemas.openxmlformats.org/officeDocument/2006/relationships/hyperlink" Target="http://www.nevo.co.il/case/21473042" TargetMode="External"/><Relationship Id="rId56" Type="http://schemas.openxmlformats.org/officeDocument/2006/relationships/hyperlink" Target="http://www.nevo.co.il/law/72510/2a" TargetMode="External"/><Relationship Id="rId64" Type="http://schemas.openxmlformats.org/officeDocument/2006/relationships/hyperlink" Target="http://www.nevo.co.il/law/70301/274.1" TargetMode="External"/><Relationship Id="rId69" Type="http://schemas.openxmlformats.org/officeDocument/2006/relationships/hyperlink" Target="http://www.nevo.co.il/law/70301/338.a.3" TargetMode="External"/><Relationship Id="rId77" Type="http://schemas.openxmlformats.org/officeDocument/2006/relationships/hyperlink" Target="http://www.nevo.co.il/law/70348/14" TargetMode="External"/><Relationship Id="rId8" Type="http://schemas.openxmlformats.org/officeDocument/2006/relationships/hyperlink" Target="http://www.nevo.co.il/law/72510/2a" TargetMode="External"/><Relationship Id="rId51" Type="http://schemas.openxmlformats.org/officeDocument/2006/relationships/hyperlink" Target="http://www.nevo.co.il/law/70301/40b" TargetMode="External"/><Relationship Id="rId72" Type="http://schemas.openxmlformats.org/officeDocument/2006/relationships/hyperlink" Target="http://www.nevo.co.il/case/20727295" TargetMode="External"/><Relationship Id="rId80" Type="http://schemas.openxmlformats.org/officeDocument/2006/relationships/hyperlink" Target="http://www.nevo.co.il/case/20784257" TargetMode="External"/><Relationship Id="rId85"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40b" TargetMode="External"/><Relationship Id="rId17" Type="http://schemas.openxmlformats.org/officeDocument/2006/relationships/hyperlink" Target="http://www.nevo.co.il/law/70301/274.1" TargetMode="External"/><Relationship Id="rId25" Type="http://schemas.openxmlformats.org/officeDocument/2006/relationships/hyperlink" Target="http://www.nevo.co.il/law/70301/40jc" TargetMode="External"/><Relationship Id="rId33" Type="http://schemas.openxmlformats.org/officeDocument/2006/relationships/hyperlink" Target="http://www.nevo.co.il/law/70301/25" TargetMode="External"/><Relationship Id="rId38" Type="http://schemas.openxmlformats.org/officeDocument/2006/relationships/hyperlink" Target="http://www.nevo.co.il/law/70301/274.2" TargetMode="External"/><Relationship Id="rId46" Type="http://schemas.openxmlformats.org/officeDocument/2006/relationships/hyperlink" Target="http://www.nevo.co.il/case/13093721" TargetMode="External"/><Relationship Id="rId59" Type="http://schemas.openxmlformats.org/officeDocument/2006/relationships/hyperlink" Target="http://www.nevo.co.il/law/70301/25" TargetMode="External"/><Relationship Id="rId67" Type="http://schemas.openxmlformats.org/officeDocument/2006/relationships/hyperlink" Target="http://www.nevo.co.il/law/70301/29" TargetMode="External"/><Relationship Id="rId20" Type="http://schemas.openxmlformats.org/officeDocument/2006/relationships/hyperlink" Target="http://www.nevo.co.il/law/70301/338.a.3" TargetMode="External"/><Relationship Id="rId41" Type="http://schemas.openxmlformats.org/officeDocument/2006/relationships/hyperlink" Target="http://www.nevo.co.il/law/70301/29" TargetMode="External"/><Relationship Id="rId54" Type="http://schemas.openxmlformats.org/officeDocument/2006/relationships/hyperlink" Target="http://www.nevo.co.il/law/70301/40ja" TargetMode="External"/><Relationship Id="rId62" Type="http://schemas.openxmlformats.org/officeDocument/2006/relationships/hyperlink" Target="http://www.nevo.co.il/law/70301/448.4" TargetMode="External"/><Relationship Id="rId70" Type="http://schemas.openxmlformats.org/officeDocument/2006/relationships/hyperlink" Target="http://www.nevo.co.il/law/70301/29" TargetMode="External"/><Relationship Id="rId75" Type="http://schemas.openxmlformats.org/officeDocument/2006/relationships/hyperlink" Target="http://www.nevo.co.il/law/70301/384" TargetMode="External"/><Relationship Id="rId83" Type="http://schemas.openxmlformats.org/officeDocument/2006/relationships/hyperlink" Target="http://www.nevo.co.il/case/17091075" TargetMode="External"/><Relationship Id="rId88" Type="http://schemas.openxmlformats.org/officeDocument/2006/relationships/footer" Target="footer1.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law/70301/40ja" TargetMode="External"/><Relationship Id="rId28" Type="http://schemas.openxmlformats.org/officeDocument/2006/relationships/hyperlink" Target="http://www.nevo.co.il/law/70348" TargetMode="External"/><Relationship Id="rId36" Type="http://schemas.openxmlformats.org/officeDocument/2006/relationships/hyperlink" Target="http://www.nevo.co.il/law/70301/144.a" TargetMode="External"/><Relationship Id="rId49" Type="http://schemas.openxmlformats.org/officeDocument/2006/relationships/hyperlink" Target="http://www.nevo.co.il/case/20763621" TargetMode="External"/><Relationship Id="rId57" Type="http://schemas.openxmlformats.org/officeDocument/2006/relationships/hyperlink" Target="http://www.nevo.co.il/law/72510" TargetMode="External"/><Relationship Id="rId10" Type="http://schemas.openxmlformats.org/officeDocument/2006/relationships/hyperlink" Target="http://www.nevo.co.il/law/70301/25" TargetMode="External"/><Relationship Id="rId31" Type="http://schemas.openxmlformats.org/officeDocument/2006/relationships/hyperlink" Target="http://www.nevo.co.il/law/72510" TargetMode="External"/><Relationship Id="rId44" Type="http://schemas.openxmlformats.org/officeDocument/2006/relationships/hyperlink" Target="http://www.nevo.co.il/law/70301/383.a" TargetMode="External"/><Relationship Id="rId52" Type="http://schemas.openxmlformats.org/officeDocument/2006/relationships/hyperlink" Target="http://www.nevo.co.il/case/5573417" TargetMode="External"/><Relationship Id="rId60" Type="http://schemas.openxmlformats.org/officeDocument/2006/relationships/hyperlink" Target="http://www.nevo.co.il/law/70301/29" TargetMode="External"/><Relationship Id="rId65" Type="http://schemas.openxmlformats.org/officeDocument/2006/relationships/hyperlink" Target="http://www.nevo.co.il/law/70301/274.2" TargetMode="External"/><Relationship Id="rId73" Type="http://schemas.openxmlformats.org/officeDocument/2006/relationships/hyperlink" Target="http://www.nevo.co.il/law/70301/383.a" TargetMode="External"/><Relationship Id="rId78" Type="http://schemas.openxmlformats.org/officeDocument/2006/relationships/hyperlink" Target="http://www.nevo.co.il/law/70348" TargetMode="External"/><Relationship Id="rId81" Type="http://schemas.openxmlformats.org/officeDocument/2006/relationships/hyperlink" Target="http://www.nevo.co.il/case/17948115" TargetMode="External"/><Relationship Id="rId86"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 TargetMode="External"/><Relationship Id="rId13" Type="http://schemas.openxmlformats.org/officeDocument/2006/relationships/hyperlink" Target="http://www.nevo.co.il/law/70301/40c.a" TargetMode="External"/><Relationship Id="rId18" Type="http://schemas.openxmlformats.org/officeDocument/2006/relationships/hyperlink" Target="http://www.nevo.co.il/law/70301/274.2" TargetMode="External"/><Relationship Id="rId39" Type="http://schemas.openxmlformats.org/officeDocument/2006/relationships/hyperlink" Target="http://www.nevo.co.il/law/70301/274.3" TargetMode="External"/><Relationship Id="rId34" Type="http://schemas.openxmlformats.org/officeDocument/2006/relationships/hyperlink" Target="http://www.nevo.co.il/law/70301/29" TargetMode="External"/><Relationship Id="rId50" Type="http://schemas.openxmlformats.org/officeDocument/2006/relationships/hyperlink" Target="http://www.nevo.co.il/law/70301/40c.a" TargetMode="External"/><Relationship Id="rId55" Type="http://schemas.openxmlformats.org/officeDocument/2006/relationships/hyperlink" Target="http://www.nevo.co.il/law/70301/40jb" TargetMode="External"/><Relationship Id="rId76" Type="http://schemas.openxmlformats.org/officeDocument/2006/relationships/hyperlink" Target="http://www.nevo.co.il/case/21476010" TargetMode="External"/><Relationship Id="rId7" Type="http://schemas.openxmlformats.org/officeDocument/2006/relationships/hyperlink" Target="http://www.nevo.co.il/law/72510" TargetMode="External"/><Relationship Id="rId71" Type="http://schemas.openxmlformats.org/officeDocument/2006/relationships/hyperlink" Target="http://www.nevo.co.il/law/70301/152" TargetMode="External"/><Relationship Id="rId2" Type="http://schemas.openxmlformats.org/officeDocument/2006/relationships/styles" Target="styles.xml"/><Relationship Id="rId29" Type="http://schemas.openxmlformats.org/officeDocument/2006/relationships/hyperlink" Target="http://www.nevo.co.il/law/70348/14" TargetMode="External"/><Relationship Id="rId24" Type="http://schemas.openxmlformats.org/officeDocument/2006/relationships/hyperlink" Target="http://www.nevo.co.il/law/70301/40jb" TargetMode="External"/><Relationship Id="rId40" Type="http://schemas.openxmlformats.org/officeDocument/2006/relationships/hyperlink" Target="http://www.nevo.co.il/law/70301/29" TargetMode="External"/><Relationship Id="rId45" Type="http://schemas.openxmlformats.org/officeDocument/2006/relationships/hyperlink" Target="http://www.nevo.co.il/law/70301/40jc" TargetMode="External"/><Relationship Id="rId66" Type="http://schemas.openxmlformats.org/officeDocument/2006/relationships/hyperlink" Target="http://www.nevo.co.il/law/70301/274.3" TargetMode="External"/><Relationship Id="rId87" Type="http://schemas.openxmlformats.org/officeDocument/2006/relationships/header" Target="header2.xml"/><Relationship Id="rId61" Type="http://schemas.openxmlformats.org/officeDocument/2006/relationships/hyperlink" Target="http://www.nevo.co.il/case/20490021" TargetMode="External"/><Relationship Id="rId82" Type="http://schemas.openxmlformats.org/officeDocument/2006/relationships/hyperlink" Target="http://www.nevo.co.il/case/21929352" TargetMode="External"/><Relationship Id="rId19" Type="http://schemas.openxmlformats.org/officeDocument/2006/relationships/hyperlink" Target="http://www.nevo.co.il/law/70301/274.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4620</Words>
  <Characters>23105</Characters>
  <Application>Microsoft Office Word</Application>
  <DocSecurity>0</DocSecurity>
  <Lines>192</Lines>
  <Paragraphs>55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27670</CharactersWithSpaces>
  <SharedDoc>false</SharedDoc>
  <HLinks>
    <vt:vector size="474" baseType="variant">
      <vt:variant>
        <vt:i4>393283</vt:i4>
      </vt:variant>
      <vt:variant>
        <vt:i4>234</vt:i4>
      </vt:variant>
      <vt:variant>
        <vt:i4>0</vt:i4>
      </vt:variant>
      <vt:variant>
        <vt:i4>5</vt:i4>
      </vt:variant>
      <vt:variant>
        <vt:lpwstr>http://www.nevo.co.il/advertisements/nevo-100.doc</vt:lpwstr>
      </vt:variant>
      <vt:variant>
        <vt:lpwstr/>
      </vt:variant>
      <vt:variant>
        <vt:i4>262155</vt:i4>
      </vt:variant>
      <vt:variant>
        <vt:i4>231</vt:i4>
      </vt:variant>
      <vt:variant>
        <vt:i4>0</vt:i4>
      </vt:variant>
      <vt:variant>
        <vt:i4>5</vt:i4>
      </vt:variant>
      <vt:variant>
        <vt:lpwstr>http://www.nevo.co.il/law/70301/40ja</vt:lpwstr>
      </vt:variant>
      <vt:variant>
        <vt:lpwstr/>
      </vt:variant>
      <vt:variant>
        <vt:i4>3604602</vt:i4>
      </vt:variant>
      <vt:variant>
        <vt:i4>228</vt:i4>
      </vt:variant>
      <vt:variant>
        <vt:i4>0</vt:i4>
      </vt:variant>
      <vt:variant>
        <vt:i4>5</vt:i4>
      </vt:variant>
      <vt:variant>
        <vt:lpwstr>http://www.nevo.co.il/case/17091075</vt:lpwstr>
      </vt:variant>
      <vt:variant>
        <vt:lpwstr/>
      </vt:variant>
      <vt:variant>
        <vt:i4>3604596</vt:i4>
      </vt:variant>
      <vt:variant>
        <vt:i4>225</vt:i4>
      </vt:variant>
      <vt:variant>
        <vt:i4>0</vt:i4>
      </vt:variant>
      <vt:variant>
        <vt:i4>5</vt:i4>
      </vt:variant>
      <vt:variant>
        <vt:lpwstr>http://www.nevo.co.il/case/21929352</vt:lpwstr>
      </vt:variant>
      <vt:variant>
        <vt:lpwstr/>
      </vt:variant>
      <vt:variant>
        <vt:i4>3211382</vt:i4>
      </vt:variant>
      <vt:variant>
        <vt:i4>222</vt:i4>
      </vt:variant>
      <vt:variant>
        <vt:i4>0</vt:i4>
      </vt:variant>
      <vt:variant>
        <vt:i4>5</vt:i4>
      </vt:variant>
      <vt:variant>
        <vt:lpwstr>http://www.nevo.co.il/case/17948115</vt:lpwstr>
      </vt:variant>
      <vt:variant>
        <vt:lpwstr/>
      </vt:variant>
      <vt:variant>
        <vt:i4>3407998</vt:i4>
      </vt:variant>
      <vt:variant>
        <vt:i4>219</vt:i4>
      </vt:variant>
      <vt:variant>
        <vt:i4>0</vt:i4>
      </vt:variant>
      <vt:variant>
        <vt:i4>5</vt:i4>
      </vt:variant>
      <vt:variant>
        <vt:lpwstr>http://www.nevo.co.il/case/20784257</vt:lpwstr>
      </vt:variant>
      <vt:variant>
        <vt:lpwstr/>
      </vt:variant>
      <vt:variant>
        <vt:i4>3670140</vt:i4>
      </vt:variant>
      <vt:variant>
        <vt:i4>216</vt:i4>
      </vt:variant>
      <vt:variant>
        <vt:i4>0</vt:i4>
      </vt:variant>
      <vt:variant>
        <vt:i4>5</vt:i4>
      </vt:variant>
      <vt:variant>
        <vt:lpwstr>http://www.nevo.co.il/case/21709944</vt:lpwstr>
      </vt:variant>
      <vt:variant>
        <vt:lpwstr/>
      </vt:variant>
      <vt:variant>
        <vt:i4>8257636</vt:i4>
      </vt:variant>
      <vt:variant>
        <vt:i4>213</vt:i4>
      </vt:variant>
      <vt:variant>
        <vt:i4>0</vt:i4>
      </vt:variant>
      <vt:variant>
        <vt:i4>5</vt:i4>
      </vt:variant>
      <vt:variant>
        <vt:lpwstr>http://www.nevo.co.il/law/70348</vt:lpwstr>
      </vt:variant>
      <vt:variant>
        <vt:lpwstr/>
      </vt:variant>
      <vt:variant>
        <vt:i4>6619245</vt:i4>
      </vt:variant>
      <vt:variant>
        <vt:i4>210</vt:i4>
      </vt:variant>
      <vt:variant>
        <vt:i4>0</vt:i4>
      </vt:variant>
      <vt:variant>
        <vt:i4>5</vt:i4>
      </vt:variant>
      <vt:variant>
        <vt:lpwstr>http://www.nevo.co.il/law/70348/14</vt:lpwstr>
      </vt:variant>
      <vt:variant>
        <vt:lpwstr/>
      </vt:variant>
      <vt:variant>
        <vt:i4>3211378</vt:i4>
      </vt:variant>
      <vt:variant>
        <vt:i4>207</vt:i4>
      </vt:variant>
      <vt:variant>
        <vt:i4>0</vt:i4>
      </vt:variant>
      <vt:variant>
        <vt:i4>5</vt:i4>
      </vt:variant>
      <vt:variant>
        <vt:lpwstr>http://www.nevo.co.il/case/21476010</vt:lpwstr>
      </vt:variant>
      <vt:variant>
        <vt:lpwstr/>
      </vt:variant>
      <vt:variant>
        <vt:i4>7143526</vt:i4>
      </vt:variant>
      <vt:variant>
        <vt:i4>204</vt:i4>
      </vt:variant>
      <vt:variant>
        <vt:i4>0</vt:i4>
      </vt:variant>
      <vt:variant>
        <vt:i4>5</vt:i4>
      </vt:variant>
      <vt:variant>
        <vt:lpwstr>http://www.nevo.co.il/law/70301/384</vt:lpwstr>
      </vt:variant>
      <vt:variant>
        <vt:lpwstr/>
      </vt:variant>
      <vt:variant>
        <vt:i4>3145843</vt:i4>
      </vt:variant>
      <vt:variant>
        <vt:i4>201</vt:i4>
      </vt:variant>
      <vt:variant>
        <vt:i4>0</vt:i4>
      </vt:variant>
      <vt:variant>
        <vt:i4>5</vt:i4>
      </vt:variant>
      <vt:variant>
        <vt:lpwstr>http://www.nevo.co.il/case/6094936</vt:lpwstr>
      </vt:variant>
      <vt:variant>
        <vt:lpwstr/>
      </vt:variant>
      <vt:variant>
        <vt:i4>4390997</vt:i4>
      </vt:variant>
      <vt:variant>
        <vt:i4>198</vt:i4>
      </vt:variant>
      <vt:variant>
        <vt:i4>0</vt:i4>
      </vt:variant>
      <vt:variant>
        <vt:i4>5</vt:i4>
      </vt:variant>
      <vt:variant>
        <vt:lpwstr>http://www.nevo.co.il/law/70301/383.a</vt:lpwstr>
      </vt:variant>
      <vt:variant>
        <vt:lpwstr/>
      </vt:variant>
      <vt:variant>
        <vt:i4>3866740</vt:i4>
      </vt:variant>
      <vt:variant>
        <vt:i4>195</vt:i4>
      </vt:variant>
      <vt:variant>
        <vt:i4>0</vt:i4>
      </vt:variant>
      <vt:variant>
        <vt:i4>5</vt:i4>
      </vt:variant>
      <vt:variant>
        <vt:lpwstr>http://www.nevo.co.il/case/20727295</vt:lpwstr>
      </vt:variant>
      <vt:variant>
        <vt:lpwstr/>
      </vt:variant>
      <vt:variant>
        <vt:i4>6291556</vt:i4>
      </vt:variant>
      <vt:variant>
        <vt:i4>192</vt:i4>
      </vt:variant>
      <vt:variant>
        <vt:i4>0</vt:i4>
      </vt:variant>
      <vt:variant>
        <vt:i4>5</vt:i4>
      </vt:variant>
      <vt:variant>
        <vt:lpwstr>http://www.nevo.co.il/law/70301/152</vt:lpwstr>
      </vt:variant>
      <vt:variant>
        <vt:lpwstr/>
      </vt:variant>
      <vt:variant>
        <vt:i4>7077991</vt:i4>
      </vt:variant>
      <vt:variant>
        <vt:i4>189</vt:i4>
      </vt:variant>
      <vt:variant>
        <vt:i4>0</vt:i4>
      </vt:variant>
      <vt:variant>
        <vt:i4>5</vt:i4>
      </vt:variant>
      <vt:variant>
        <vt:lpwstr>http://www.nevo.co.il/law/70301/29</vt:lpwstr>
      </vt:variant>
      <vt:variant>
        <vt:lpwstr/>
      </vt:variant>
      <vt:variant>
        <vt:i4>6684735</vt:i4>
      </vt:variant>
      <vt:variant>
        <vt:i4>186</vt:i4>
      </vt:variant>
      <vt:variant>
        <vt:i4>0</vt:i4>
      </vt:variant>
      <vt:variant>
        <vt:i4>5</vt:i4>
      </vt:variant>
      <vt:variant>
        <vt:lpwstr>http://www.nevo.co.il/law/70301/338.a.3</vt:lpwstr>
      </vt:variant>
      <vt:variant>
        <vt:lpwstr/>
      </vt:variant>
      <vt:variant>
        <vt:i4>3342459</vt:i4>
      </vt:variant>
      <vt:variant>
        <vt:i4>183</vt:i4>
      </vt:variant>
      <vt:variant>
        <vt:i4>0</vt:i4>
      </vt:variant>
      <vt:variant>
        <vt:i4>5</vt:i4>
      </vt:variant>
      <vt:variant>
        <vt:lpwstr>http://www.nevo.co.il/case/20462970</vt:lpwstr>
      </vt:variant>
      <vt:variant>
        <vt:lpwstr/>
      </vt:variant>
      <vt:variant>
        <vt:i4>7077991</vt:i4>
      </vt:variant>
      <vt:variant>
        <vt:i4>180</vt:i4>
      </vt:variant>
      <vt:variant>
        <vt:i4>0</vt:i4>
      </vt:variant>
      <vt:variant>
        <vt:i4>5</vt:i4>
      </vt:variant>
      <vt:variant>
        <vt:lpwstr>http://www.nevo.co.il/law/70301/29</vt:lpwstr>
      </vt:variant>
      <vt:variant>
        <vt:lpwstr/>
      </vt:variant>
      <vt:variant>
        <vt:i4>4980819</vt:i4>
      </vt:variant>
      <vt:variant>
        <vt:i4>177</vt:i4>
      </vt:variant>
      <vt:variant>
        <vt:i4>0</vt:i4>
      </vt:variant>
      <vt:variant>
        <vt:i4>5</vt:i4>
      </vt:variant>
      <vt:variant>
        <vt:lpwstr>http://www.nevo.co.il/law/70301/274.3</vt:lpwstr>
      </vt:variant>
      <vt:variant>
        <vt:lpwstr/>
      </vt:variant>
      <vt:variant>
        <vt:i4>4980819</vt:i4>
      </vt:variant>
      <vt:variant>
        <vt:i4>174</vt:i4>
      </vt:variant>
      <vt:variant>
        <vt:i4>0</vt:i4>
      </vt:variant>
      <vt:variant>
        <vt:i4>5</vt:i4>
      </vt:variant>
      <vt:variant>
        <vt:lpwstr>http://www.nevo.co.il/law/70301/274.2</vt:lpwstr>
      </vt:variant>
      <vt:variant>
        <vt:lpwstr/>
      </vt:variant>
      <vt:variant>
        <vt:i4>4980819</vt:i4>
      </vt:variant>
      <vt:variant>
        <vt:i4>171</vt:i4>
      </vt:variant>
      <vt:variant>
        <vt:i4>0</vt:i4>
      </vt:variant>
      <vt:variant>
        <vt:i4>5</vt:i4>
      </vt:variant>
      <vt:variant>
        <vt:lpwstr>http://www.nevo.co.il/law/70301/274.1</vt:lpwstr>
      </vt:variant>
      <vt:variant>
        <vt:lpwstr/>
      </vt:variant>
      <vt:variant>
        <vt:i4>5177424</vt:i4>
      </vt:variant>
      <vt:variant>
        <vt:i4>168</vt:i4>
      </vt:variant>
      <vt:variant>
        <vt:i4>0</vt:i4>
      </vt:variant>
      <vt:variant>
        <vt:i4>5</vt:i4>
      </vt:variant>
      <vt:variant>
        <vt:lpwstr>http://www.nevo.co.il/law/70301/144.a</vt:lpwstr>
      </vt:variant>
      <vt:variant>
        <vt:lpwstr/>
      </vt:variant>
      <vt:variant>
        <vt:i4>5177433</vt:i4>
      </vt:variant>
      <vt:variant>
        <vt:i4>165</vt:i4>
      </vt:variant>
      <vt:variant>
        <vt:i4>0</vt:i4>
      </vt:variant>
      <vt:variant>
        <vt:i4>5</vt:i4>
      </vt:variant>
      <vt:variant>
        <vt:lpwstr>http://www.nevo.co.il/law/70301/448.4</vt:lpwstr>
      </vt:variant>
      <vt:variant>
        <vt:lpwstr/>
      </vt:variant>
      <vt:variant>
        <vt:i4>3407997</vt:i4>
      </vt:variant>
      <vt:variant>
        <vt:i4>162</vt:i4>
      </vt:variant>
      <vt:variant>
        <vt:i4>0</vt:i4>
      </vt:variant>
      <vt:variant>
        <vt:i4>5</vt:i4>
      </vt:variant>
      <vt:variant>
        <vt:lpwstr>http://www.nevo.co.il/case/20490021</vt:lpwstr>
      </vt:variant>
      <vt:variant>
        <vt:lpwstr/>
      </vt:variant>
      <vt:variant>
        <vt:i4>7077991</vt:i4>
      </vt:variant>
      <vt:variant>
        <vt:i4>159</vt:i4>
      </vt:variant>
      <vt:variant>
        <vt:i4>0</vt:i4>
      </vt:variant>
      <vt:variant>
        <vt:i4>5</vt:i4>
      </vt:variant>
      <vt:variant>
        <vt:lpwstr>http://www.nevo.co.il/law/70301/29</vt:lpwstr>
      </vt:variant>
      <vt:variant>
        <vt:lpwstr/>
      </vt:variant>
      <vt:variant>
        <vt:i4>6291559</vt:i4>
      </vt:variant>
      <vt:variant>
        <vt:i4>156</vt:i4>
      </vt:variant>
      <vt:variant>
        <vt:i4>0</vt:i4>
      </vt:variant>
      <vt:variant>
        <vt:i4>5</vt:i4>
      </vt:variant>
      <vt:variant>
        <vt:lpwstr>http://www.nevo.co.il/law/70301/25</vt:lpwstr>
      </vt:variant>
      <vt:variant>
        <vt:lpwstr/>
      </vt:variant>
      <vt:variant>
        <vt:i4>5177433</vt:i4>
      </vt:variant>
      <vt:variant>
        <vt:i4>153</vt:i4>
      </vt:variant>
      <vt:variant>
        <vt:i4>0</vt:i4>
      </vt:variant>
      <vt:variant>
        <vt:i4>5</vt:i4>
      </vt:variant>
      <vt:variant>
        <vt:lpwstr>http://www.nevo.co.il/law/70301/448.a</vt:lpwstr>
      </vt:variant>
      <vt:variant>
        <vt:lpwstr/>
      </vt:variant>
      <vt:variant>
        <vt:i4>7929954</vt:i4>
      </vt:variant>
      <vt:variant>
        <vt:i4>150</vt:i4>
      </vt:variant>
      <vt:variant>
        <vt:i4>0</vt:i4>
      </vt:variant>
      <vt:variant>
        <vt:i4>5</vt:i4>
      </vt:variant>
      <vt:variant>
        <vt:lpwstr>http://www.nevo.co.il/law/72510</vt:lpwstr>
      </vt:variant>
      <vt:variant>
        <vt:lpwstr/>
      </vt:variant>
      <vt:variant>
        <vt:i4>3604576</vt:i4>
      </vt:variant>
      <vt:variant>
        <vt:i4>147</vt:i4>
      </vt:variant>
      <vt:variant>
        <vt:i4>0</vt:i4>
      </vt:variant>
      <vt:variant>
        <vt:i4>5</vt:i4>
      </vt:variant>
      <vt:variant>
        <vt:lpwstr>http://www.nevo.co.il/law/72510/2a</vt:lpwstr>
      </vt:variant>
      <vt:variant>
        <vt:lpwstr/>
      </vt:variant>
      <vt:variant>
        <vt:i4>458763</vt:i4>
      </vt:variant>
      <vt:variant>
        <vt:i4>144</vt:i4>
      </vt:variant>
      <vt:variant>
        <vt:i4>0</vt:i4>
      </vt:variant>
      <vt:variant>
        <vt:i4>5</vt:i4>
      </vt:variant>
      <vt:variant>
        <vt:lpwstr>http://www.nevo.co.il/law/70301/40jb</vt:lpwstr>
      </vt:variant>
      <vt:variant>
        <vt:lpwstr/>
      </vt:variant>
      <vt:variant>
        <vt:i4>262155</vt:i4>
      </vt:variant>
      <vt:variant>
        <vt:i4>141</vt:i4>
      </vt:variant>
      <vt:variant>
        <vt:i4>0</vt:i4>
      </vt:variant>
      <vt:variant>
        <vt:i4>5</vt:i4>
      </vt:variant>
      <vt:variant>
        <vt:lpwstr>http://www.nevo.co.il/law/70301/40ja</vt:lpwstr>
      </vt:variant>
      <vt:variant>
        <vt:lpwstr/>
      </vt:variant>
      <vt:variant>
        <vt:i4>6619233</vt:i4>
      </vt:variant>
      <vt:variant>
        <vt:i4>138</vt:i4>
      </vt:variant>
      <vt:variant>
        <vt:i4>0</vt:i4>
      </vt:variant>
      <vt:variant>
        <vt:i4>5</vt:i4>
      </vt:variant>
      <vt:variant>
        <vt:lpwstr>http://www.nevo.co.il/law/70301/40i</vt:lpwstr>
      </vt:variant>
      <vt:variant>
        <vt:lpwstr/>
      </vt:variant>
      <vt:variant>
        <vt:i4>3211379</vt:i4>
      </vt:variant>
      <vt:variant>
        <vt:i4>135</vt:i4>
      </vt:variant>
      <vt:variant>
        <vt:i4>0</vt:i4>
      </vt:variant>
      <vt:variant>
        <vt:i4>5</vt:i4>
      </vt:variant>
      <vt:variant>
        <vt:lpwstr>http://www.nevo.co.il/case/5573417</vt:lpwstr>
      </vt:variant>
      <vt:variant>
        <vt:lpwstr/>
      </vt:variant>
      <vt:variant>
        <vt:i4>6619233</vt:i4>
      </vt:variant>
      <vt:variant>
        <vt:i4>132</vt:i4>
      </vt:variant>
      <vt:variant>
        <vt:i4>0</vt:i4>
      </vt:variant>
      <vt:variant>
        <vt:i4>5</vt:i4>
      </vt:variant>
      <vt:variant>
        <vt:lpwstr>http://www.nevo.co.il/law/70301/40b</vt:lpwstr>
      </vt:variant>
      <vt:variant>
        <vt:lpwstr/>
      </vt:variant>
      <vt:variant>
        <vt:i4>4915202</vt:i4>
      </vt:variant>
      <vt:variant>
        <vt:i4>129</vt:i4>
      </vt:variant>
      <vt:variant>
        <vt:i4>0</vt:i4>
      </vt:variant>
      <vt:variant>
        <vt:i4>5</vt:i4>
      </vt:variant>
      <vt:variant>
        <vt:lpwstr>http://www.nevo.co.il/law/70301/40c.a</vt:lpwstr>
      </vt:variant>
      <vt:variant>
        <vt:lpwstr/>
      </vt:variant>
      <vt:variant>
        <vt:i4>3407988</vt:i4>
      </vt:variant>
      <vt:variant>
        <vt:i4>126</vt:i4>
      </vt:variant>
      <vt:variant>
        <vt:i4>0</vt:i4>
      </vt:variant>
      <vt:variant>
        <vt:i4>5</vt:i4>
      </vt:variant>
      <vt:variant>
        <vt:lpwstr>http://www.nevo.co.il/case/20763621</vt:lpwstr>
      </vt:variant>
      <vt:variant>
        <vt:lpwstr/>
      </vt:variant>
      <vt:variant>
        <vt:i4>3211378</vt:i4>
      </vt:variant>
      <vt:variant>
        <vt:i4>123</vt:i4>
      </vt:variant>
      <vt:variant>
        <vt:i4>0</vt:i4>
      </vt:variant>
      <vt:variant>
        <vt:i4>5</vt:i4>
      </vt:variant>
      <vt:variant>
        <vt:lpwstr>http://www.nevo.co.il/case/21473042</vt:lpwstr>
      </vt:variant>
      <vt:variant>
        <vt:lpwstr/>
      </vt:variant>
      <vt:variant>
        <vt:i4>3539057</vt:i4>
      </vt:variant>
      <vt:variant>
        <vt:i4>120</vt:i4>
      </vt:variant>
      <vt:variant>
        <vt:i4>0</vt:i4>
      </vt:variant>
      <vt:variant>
        <vt:i4>5</vt:i4>
      </vt:variant>
      <vt:variant>
        <vt:lpwstr>http://www.nevo.co.il/case/7958246</vt:lpwstr>
      </vt:variant>
      <vt:variant>
        <vt:lpwstr/>
      </vt:variant>
      <vt:variant>
        <vt:i4>3145849</vt:i4>
      </vt:variant>
      <vt:variant>
        <vt:i4>117</vt:i4>
      </vt:variant>
      <vt:variant>
        <vt:i4>0</vt:i4>
      </vt:variant>
      <vt:variant>
        <vt:i4>5</vt:i4>
      </vt:variant>
      <vt:variant>
        <vt:lpwstr>http://www.nevo.co.il/case/13093721</vt:lpwstr>
      </vt:variant>
      <vt:variant>
        <vt:lpwstr/>
      </vt:variant>
      <vt:variant>
        <vt:i4>393227</vt:i4>
      </vt:variant>
      <vt:variant>
        <vt:i4>114</vt:i4>
      </vt:variant>
      <vt:variant>
        <vt:i4>0</vt:i4>
      </vt:variant>
      <vt:variant>
        <vt:i4>5</vt:i4>
      </vt:variant>
      <vt:variant>
        <vt:lpwstr>http://www.nevo.co.il/law/70301/40jc</vt:lpwstr>
      </vt:variant>
      <vt:variant>
        <vt:lpwstr/>
      </vt:variant>
      <vt:variant>
        <vt:i4>4390997</vt:i4>
      </vt:variant>
      <vt:variant>
        <vt:i4>111</vt:i4>
      </vt:variant>
      <vt:variant>
        <vt:i4>0</vt:i4>
      </vt:variant>
      <vt:variant>
        <vt:i4>5</vt:i4>
      </vt:variant>
      <vt:variant>
        <vt:lpwstr>http://www.nevo.co.il/law/70301/383.a</vt:lpwstr>
      </vt:variant>
      <vt:variant>
        <vt:lpwstr/>
      </vt:variant>
      <vt:variant>
        <vt:i4>6291556</vt:i4>
      </vt:variant>
      <vt:variant>
        <vt:i4>108</vt:i4>
      </vt:variant>
      <vt:variant>
        <vt:i4>0</vt:i4>
      </vt:variant>
      <vt:variant>
        <vt:i4>5</vt:i4>
      </vt:variant>
      <vt:variant>
        <vt:lpwstr>http://www.nevo.co.il/law/70301/152</vt:lpwstr>
      </vt:variant>
      <vt:variant>
        <vt:lpwstr/>
      </vt:variant>
      <vt:variant>
        <vt:i4>7077991</vt:i4>
      </vt:variant>
      <vt:variant>
        <vt:i4>105</vt:i4>
      </vt:variant>
      <vt:variant>
        <vt:i4>0</vt:i4>
      </vt:variant>
      <vt:variant>
        <vt:i4>5</vt:i4>
      </vt:variant>
      <vt:variant>
        <vt:lpwstr>http://www.nevo.co.il/law/70301/29</vt:lpwstr>
      </vt:variant>
      <vt:variant>
        <vt:lpwstr/>
      </vt:variant>
      <vt:variant>
        <vt:i4>7077991</vt:i4>
      </vt:variant>
      <vt:variant>
        <vt:i4>102</vt:i4>
      </vt:variant>
      <vt:variant>
        <vt:i4>0</vt:i4>
      </vt:variant>
      <vt:variant>
        <vt:i4>5</vt:i4>
      </vt:variant>
      <vt:variant>
        <vt:lpwstr>http://www.nevo.co.il/law/70301/29</vt:lpwstr>
      </vt:variant>
      <vt:variant>
        <vt:lpwstr/>
      </vt:variant>
      <vt:variant>
        <vt:i4>7077991</vt:i4>
      </vt:variant>
      <vt:variant>
        <vt:i4>99</vt:i4>
      </vt:variant>
      <vt:variant>
        <vt:i4>0</vt:i4>
      </vt:variant>
      <vt:variant>
        <vt:i4>5</vt:i4>
      </vt:variant>
      <vt:variant>
        <vt:lpwstr>http://www.nevo.co.il/law/70301/29</vt:lpwstr>
      </vt:variant>
      <vt:variant>
        <vt:lpwstr/>
      </vt:variant>
      <vt:variant>
        <vt:i4>4980819</vt:i4>
      </vt:variant>
      <vt:variant>
        <vt:i4>96</vt:i4>
      </vt:variant>
      <vt:variant>
        <vt:i4>0</vt:i4>
      </vt:variant>
      <vt:variant>
        <vt:i4>5</vt:i4>
      </vt:variant>
      <vt:variant>
        <vt:lpwstr>http://www.nevo.co.il/law/70301/274.3</vt:lpwstr>
      </vt:variant>
      <vt:variant>
        <vt:lpwstr/>
      </vt:variant>
      <vt:variant>
        <vt:i4>4980819</vt:i4>
      </vt:variant>
      <vt:variant>
        <vt:i4>93</vt:i4>
      </vt:variant>
      <vt:variant>
        <vt:i4>0</vt:i4>
      </vt:variant>
      <vt:variant>
        <vt:i4>5</vt:i4>
      </vt:variant>
      <vt:variant>
        <vt:lpwstr>http://www.nevo.co.il/law/70301/274.2</vt:lpwstr>
      </vt:variant>
      <vt:variant>
        <vt:lpwstr/>
      </vt:variant>
      <vt:variant>
        <vt:i4>4980819</vt:i4>
      </vt:variant>
      <vt:variant>
        <vt:i4>90</vt:i4>
      </vt:variant>
      <vt:variant>
        <vt:i4>0</vt:i4>
      </vt:variant>
      <vt:variant>
        <vt:i4>5</vt:i4>
      </vt:variant>
      <vt:variant>
        <vt:lpwstr>http://www.nevo.co.il/law/70301/274.1</vt:lpwstr>
      </vt:variant>
      <vt:variant>
        <vt:lpwstr/>
      </vt:variant>
      <vt:variant>
        <vt:i4>5177424</vt:i4>
      </vt:variant>
      <vt:variant>
        <vt:i4>87</vt:i4>
      </vt:variant>
      <vt:variant>
        <vt:i4>0</vt:i4>
      </vt:variant>
      <vt:variant>
        <vt:i4>5</vt:i4>
      </vt:variant>
      <vt:variant>
        <vt:lpwstr>http://www.nevo.co.il/law/70301/144.a</vt:lpwstr>
      </vt:variant>
      <vt:variant>
        <vt:lpwstr/>
      </vt:variant>
      <vt:variant>
        <vt:i4>7995492</vt:i4>
      </vt:variant>
      <vt:variant>
        <vt:i4>84</vt:i4>
      </vt:variant>
      <vt:variant>
        <vt:i4>0</vt:i4>
      </vt:variant>
      <vt:variant>
        <vt:i4>5</vt:i4>
      </vt:variant>
      <vt:variant>
        <vt:lpwstr>http://www.nevo.co.il/law/70301</vt:lpwstr>
      </vt:variant>
      <vt:variant>
        <vt:lpwstr/>
      </vt:variant>
      <vt:variant>
        <vt:i4>7077991</vt:i4>
      </vt:variant>
      <vt:variant>
        <vt:i4>81</vt:i4>
      </vt:variant>
      <vt:variant>
        <vt:i4>0</vt:i4>
      </vt:variant>
      <vt:variant>
        <vt:i4>5</vt:i4>
      </vt:variant>
      <vt:variant>
        <vt:lpwstr>http://www.nevo.co.il/law/70301/29</vt:lpwstr>
      </vt:variant>
      <vt:variant>
        <vt:lpwstr/>
      </vt:variant>
      <vt:variant>
        <vt:i4>6291559</vt:i4>
      </vt:variant>
      <vt:variant>
        <vt:i4>78</vt:i4>
      </vt:variant>
      <vt:variant>
        <vt:i4>0</vt:i4>
      </vt:variant>
      <vt:variant>
        <vt:i4>5</vt:i4>
      </vt:variant>
      <vt:variant>
        <vt:lpwstr>http://www.nevo.co.il/law/70301/25</vt:lpwstr>
      </vt:variant>
      <vt:variant>
        <vt:lpwstr/>
      </vt:variant>
      <vt:variant>
        <vt:i4>5177433</vt:i4>
      </vt:variant>
      <vt:variant>
        <vt:i4>75</vt:i4>
      </vt:variant>
      <vt:variant>
        <vt:i4>0</vt:i4>
      </vt:variant>
      <vt:variant>
        <vt:i4>5</vt:i4>
      </vt:variant>
      <vt:variant>
        <vt:lpwstr>http://www.nevo.co.il/law/70301/448.a</vt:lpwstr>
      </vt:variant>
      <vt:variant>
        <vt:lpwstr/>
      </vt:variant>
      <vt:variant>
        <vt:i4>7929954</vt:i4>
      </vt:variant>
      <vt:variant>
        <vt:i4>72</vt:i4>
      </vt:variant>
      <vt:variant>
        <vt:i4>0</vt:i4>
      </vt:variant>
      <vt:variant>
        <vt:i4>5</vt:i4>
      </vt:variant>
      <vt:variant>
        <vt:lpwstr>http://www.nevo.co.il/law/72510</vt:lpwstr>
      </vt:variant>
      <vt:variant>
        <vt:lpwstr/>
      </vt:variant>
      <vt:variant>
        <vt:i4>3604576</vt:i4>
      </vt:variant>
      <vt:variant>
        <vt:i4>69</vt:i4>
      </vt:variant>
      <vt:variant>
        <vt:i4>0</vt:i4>
      </vt:variant>
      <vt:variant>
        <vt:i4>5</vt:i4>
      </vt:variant>
      <vt:variant>
        <vt:lpwstr>http://www.nevo.co.il/law/72510/2a</vt:lpwstr>
      </vt:variant>
      <vt:variant>
        <vt:lpwstr/>
      </vt:variant>
      <vt:variant>
        <vt:i4>6619245</vt:i4>
      </vt:variant>
      <vt:variant>
        <vt:i4>66</vt:i4>
      </vt:variant>
      <vt:variant>
        <vt:i4>0</vt:i4>
      </vt:variant>
      <vt:variant>
        <vt:i4>5</vt:i4>
      </vt:variant>
      <vt:variant>
        <vt:lpwstr>http://www.nevo.co.il/law/70348/14</vt:lpwstr>
      </vt:variant>
      <vt:variant>
        <vt:lpwstr/>
      </vt:variant>
      <vt:variant>
        <vt:i4>8257636</vt:i4>
      </vt:variant>
      <vt:variant>
        <vt:i4>63</vt:i4>
      </vt:variant>
      <vt:variant>
        <vt:i4>0</vt:i4>
      </vt:variant>
      <vt:variant>
        <vt:i4>5</vt:i4>
      </vt:variant>
      <vt:variant>
        <vt:lpwstr>http://www.nevo.co.il/law/70348</vt:lpwstr>
      </vt:variant>
      <vt:variant>
        <vt:lpwstr/>
      </vt:variant>
      <vt:variant>
        <vt:i4>5177433</vt:i4>
      </vt:variant>
      <vt:variant>
        <vt:i4>60</vt:i4>
      </vt:variant>
      <vt:variant>
        <vt:i4>0</vt:i4>
      </vt:variant>
      <vt:variant>
        <vt:i4>5</vt:i4>
      </vt:variant>
      <vt:variant>
        <vt:lpwstr>http://www.nevo.co.il/law/70301/448.a</vt:lpwstr>
      </vt:variant>
      <vt:variant>
        <vt:lpwstr/>
      </vt:variant>
      <vt:variant>
        <vt:i4>5177433</vt:i4>
      </vt:variant>
      <vt:variant>
        <vt:i4>57</vt:i4>
      </vt:variant>
      <vt:variant>
        <vt:i4>0</vt:i4>
      </vt:variant>
      <vt:variant>
        <vt:i4>5</vt:i4>
      </vt:variant>
      <vt:variant>
        <vt:lpwstr>http://www.nevo.co.il/law/70301/448.4</vt:lpwstr>
      </vt:variant>
      <vt:variant>
        <vt:lpwstr/>
      </vt:variant>
      <vt:variant>
        <vt:i4>393227</vt:i4>
      </vt:variant>
      <vt:variant>
        <vt:i4>54</vt:i4>
      </vt:variant>
      <vt:variant>
        <vt:i4>0</vt:i4>
      </vt:variant>
      <vt:variant>
        <vt:i4>5</vt:i4>
      </vt:variant>
      <vt:variant>
        <vt:lpwstr>http://www.nevo.co.il/law/70301/40jc</vt:lpwstr>
      </vt:variant>
      <vt:variant>
        <vt:lpwstr/>
      </vt:variant>
      <vt:variant>
        <vt:i4>458763</vt:i4>
      </vt:variant>
      <vt:variant>
        <vt:i4>51</vt:i4>
      </vt:variant>
      <vt:variant>
        <vt:i4>0</vt:i4>
      </vt:variant>
      <vt:variant>
        <vt:i4>5</vt:i4>
      </vt:variant>
      <vt:variant>
        <vt:lpwstr>http://www.nevo.co.il/law/70301/40jb</vt:lpwstr>
      </vt:variant>
      <vt:variant>
        <vt:lpwstr/>
      </vt:variant>
      <vt:variant>
        <vt:i4>262155</vt:i4>
      </vt:variant>
      <vt:variant>
        <vt:i4>48</vt:i4>
      </vt:variant>
      <vt:variant>
        <vt:i4>0</vt:i4>
      </vt:variant>
      <vt:variant>
        <vt:i4>5</vt:i4>
      </vt:variant>
      <vt:variant>
        <vt:lpwstr>http://www.nevo.co.il/law/70301/40ja</vt:lpwstr>
      </vt:variant>
      <vt:variant>
        <vt:lpwstr/>
      </vt:variant>
      <vt:variant>
        <vt:i4>7143526</vt:i4>
      </vt:variant>
      <vt:variant>
        <vt:i4>45</vt:i4>
      </vt:variant>
      <vt:variant>
        <vt:i4>0</vt:i4>
      </vt:variant>
      <vt:variant>
        <vt:i4>5</vt:i4>
      </vt:variant>
      <vt:variant>
        <vt:lpwstr>http://www.nevo.co.il/law/70301/384</vt:lpwstr>
      </vt:variant>
      <vt:variant>
        <vt:lpwstr/>
      </vt:variant>
      <vt:variant>
        <vt:i4>4390997</vt:i4>
      </vt:variant>
      <vt:variant>
        <vt:i4>42</vt:i4>
      </vt:variant>
      <vt:variant>
        <vt:i4>0</vt:i4>
      </vt:variant>
      <vt:variant>
        <vt:i4>5</vt:i4>
      </vt:variant>
      <vt:variant>
        <vt:lpwstr>http://www.nevo.co.il/law/70301/383.a</vt:lpwstr>
      </vt:variant>
      <vt:variant>
        <vt:lpwstr/>
      </vt:variant>
      <vt:variant>
        <vt:i4>6684735</vt:i4>
      </vt:variant>
      <vt:variant>
        <vt:i4>39</vt:i4>
      </vt:variant>
      <vt:variant>
        <vt:i4>0</vt:i4>
      </vt:variant>
      <vt:variant>
        <vt:i4>5</vt:i4>
      </vt:variant>
      <vt:variant>
        <vt:lpwstr>http://www.nevo.co.il/law/70301/338.a.3</vt:lpwstr>
      </vt:variant>
      <vt:variant>
        <vt:lpwstr/>
      </vt:variant>
      <vt:variant>
        <vt:i4>4980819</vt:i4>
      </vt:variant>
      <vt:variant>
        <vt:i4>36</vt:i4>
      </vt:variant>
      <vt:variant>
        <vt:i4>0</vt:i4>
      </vt:variant>
      <vt:variant>
        <vt:i4>5</vt:i4>
      </vt:variant>
      <vt:variant>
        <vt:lpwstr>http://www.nevo.co.il/law/70301/274.3</vt:lpwstr>
      </vt:variant>
      <vt:variant>
        <vt:lpwstr/>
      </vt:variant>
      <vt:variant>
        <vt:i4>4980819</vt:i4>
      </vt:variant>
      <vt:variant>
        <vt:i4>33</vt:i4>
      </vt:variant>
      <vt:variant>
        <vt:i4>0</vt:i4>
      </vt:variant>
      <vt:variant>
        <vt:i4>5</vt:i4>
      </vt:variant>
      <vt:variant>
        <vt:lpwstr>http://www.nevo.co.il/law/70301/274.2</vt:lpwstr>
      </vt:variant>
      <vt:variant>
        <vt:lpwstr/>
      </vt:variant>
      <vt:variant>
        <vt:i4>4980819</vt:i4>
      </vt:variant>
      <vt:variant>
        <vt:i4>30</vt:i4>
      </vt:variant>
      <vt:variant>
        <vt:i4>0</vt:i4>
      </vt:variant>
      <vt:variant>
        <vt:i4>5</vt:i4>
      </vt:variant>
      <vt:variant>
        <vt:lpwstr>http://www.nevo.co.il/law/70301/274.1</vt:lpwstr>
      </vt:variant>
      <vt:variant>
        <vt:lpwstr/>
      </vt:variant>
      <vt:variant>
        <vt:i4>6291556</vt:i4>
      </vt:variant>
      <vt:variant>
        <vt:i4>27</vt:i4>
      </vt:variant>
      <vt:variant>
        <vt:i4>0</vt:i4>
      </vt:variant>
      <vt:variant>
        <vt:i4>5</vt:i4>
      </vt:variant>
      <vt:variant>
        <vt:lpwstr>http://www.nevo.co.il/law/70301/152</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6619233</vt:i4>
      </vt:variant>
      <vt:variant>
        <vt:i4>15</vt:i4>
      </vt:variant>
      <vt:variant>
        <vt:i4>0</vt:i4>
      </vt:variant>
      <vt:variant>
        <vt:i4>5</vt:i4>
      </vt:variant>
      <vt:variant>
        <vt:lpwstr>http://www.nevo.co.il/law/70301/40b</vt:lpwstr>
      </vt:variant>
      <vt:variant>
        <vt:lpwstr/>
      </vt:variant>
      <vt:variant>
        <vt:i4>7077991</vt:i4>
      </vt:variant>
      <vt:variant>
        <vt:i4>12</vt:i4>
      </vt:variant>
      <vt:variant>
        <vt:i4>0</vt:i4>
      </vt:variant>
      <vt:variant>
        <vt:i4>5</vt:i4>
      </vt:variant>
      <vt:variant>
        <vt:lpwstr>http://www.nevo.co.il/law/70301/29</vt:lpwstr>
      </vt:variant>
      <vt:variant>
        <vt:lpwstr/>
      </vt:variant>
      <vt:variant>
        <vt:i4>6291559</vt:i4>
      </vt:variant>
      <vt:variant>
        <vt:i4>9</vt:i4>
      </vt:variant>
      <vt:variant>
        <vt:i4>0</vt:i4>
      </vt:variant>
      <vt:variant>
        <vt:i4>5</vt:i4>
      </vt:variant>
      <vt:variant>
        <vt:lpwstr>http://www.nevo.co.il/law/70301/25</vt:lpwstr>
      </vt:variant>
      <vt:variant>
        <vt:lpwstr/>
      </vt:variant>
      <vt:variant>
        <vt:i4>7995492</vt:i4>
      </vt:variant>
      <vt:variant>
        <vt:i4>6</vt:i4>
      </vt:variant>
      <vt:variant>
        <vt:i4>0</vt:i4>
      </vt:variant>
      <vt:variant>
        <vt:i4>5</vt:i4>
      </vt:variant>
      <vt:variant>
        <vt:lpwstr>http://www.nevo.co.il/law/70301</vt:lpwstr>
      </vt:variant>
      <vt:variant>
        <vt:lpwstr/>
      </vt:variant>
      <vt:variant>
        <vt:i4>3604576</vt:i4>
      </vt:variant>
      <vt:variant>
        <vt:i4>3</vt:i4>
      </vt:variant>
      <vt:variant>
        <vt:i4>0</vt:i4>
      </vt:variant>
      <vt:variant>
        <vt:i4>5</vt:i4>
      </vt:variant>
      <vt:variant>
        <vt:lpwstr>http://www.nevo.co.il/law/72510/2a</vt:lpwstr>
      </vt:variant>
      <vt:variant>
        <vt:lpwstr/>
      </vt:variant>
      <vt:variant>
        <vt:i4>7929954</vt:i4>
      </vt:variant>
      <vt:variant>
        <vt:i4>0</vt:i4>
      </vt:variant>
      <vt:variant>
        <vt:i4>0</vt:i4>
      </vt:variant>
      <vt:variant>
        <vt:i4>5</vt:i4>
      </vt:variant>
      <vt:variant>
        <vt:lpwstr>http://www.nevo.co.il/law/72510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2025-01-19T16:05:00Z</dcterms:created>
  <dcterms:modified xsi:type="dcterms:W3CDTF">2025-01-19T16:05:00Z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273</vt:lpwstr>
  </property>
  <property fmtid="{D5CDD505-2E9C-101B-9397-08002B2CF9AE}" pid="6" name="NEWPARTB">
    <vt:lpwstr>10</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וחיד מורזיק</vt:lpwstr>
  </property>
  <property fmtid="{D5CDD505-2E9C-101B-9397-08002B2CF9AE}" pid="10" name="LAWYER">
    <vt:lpwstr>לאה צמל;תמר איבלמן</vt:lpwstr>
  </property>
  <property fmtid="{D5CDD505-2E9C-101B-9397-08002B2CF9AE}" pid="11" name="JUDGE">
    <vt:lpwstr>אהרן פרקש</vt:lpwstr>
  </property>
  <property fmtid="{D5CDD505-2E9C-101B-9397-08002B2CF9AE}" pid="12" name="CITY">
    <vt:lpwstr>י-ם</vt:lpwstr>
  </property>
  <property fmtid="{D5CDD505-2E9C-101B-9397-08002B2CF9AE}" pid="13" name="DATE">
    <vt:lpwstr>20170130</vt:lpwstr>
  </property>
  <property fmtid="{D5CDD505-2E9C-101B-9397-08002B2CF9AE}" pid="14" name="TYPE_N_DATE">
    <vt:lpwstr>39020170130</vt:lpwstr>
  </property>
  <property fmtid="{D5CDD505-2E9C-101B-9397-08002B2CF9AE}" pid="15" name="CASESLISTTMP1">
    <vt:lpwstr>13093721;7958246;21473042;20763621;5573417;20490021;20462970;20727295;6094936;21476010;21709944;20784257;17948115;21929352;17091075</vt:lpwstr>
  </property>
  <property fmtid="{D5CDD505-2E9C-101B-9397-08002B2CF9AE}" pid="16" name="WORDNUMPAGES">
    <vt:lpwstr>14</vt:lpwstr>
  </property>
  <property fmtid="{D5CDD505-2E9C-101B-9397-08002B2CF9AE}" pid="17" name="TYPE_ABS_DATE">
    <vt:lpwstr>390020170130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72510/002a:2</vt:lpwstr>
  </property>
  <property fmtid="{D5CDD505-2E9C-101B-9397-08002B2CF9AE}" pid="37" name="LAWLISTTMP2">
    <vt:lpwstr>70301/448.a:2;025:2;029:7;144.a:2;274.1:2;274.2:2;274.3:2;152:2;383.a:2;40jc;040c.a;040b;040i;40ja:2;40jb;448.4;338.a.3;384</vt:lpwstr>
  </property>
  <property fmtid="{D5CDD505-2E9C-101B-9397-08002B2CF9AE}" pid="38" name="LAWLISTTMP3">
    <vt:lpwstr>70348/014</vt:lpwstr>
  </property>
</Properties>
</file>