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105"/>
        <w:gridCol w:w="2400"/>
      </w:tblGrid>
      <w:tr w:rsidR="00190E23" w:rsidRPr="00190E23" w14:paraId="31779905" w14:textId="77777777" w:rsidTr="00C4302E">
        <w:trPr>
          <w:trHeight w:hRule="exact" w:val="418"/>
          <w:jc w:val="center"/>
        </w:trPr>
        <w:tc>
          <w:tcPr>
            <w:tcW w:w="8505" w:type="dxa"/>
            <w:gridSpan w:val="2"/>
          </w:tcPr>
          <w:p w14:paraId="4C2E90D8" w14:textId="77777777" w:rsidR="00190E23" w:rsidRPr="00190E23" w:rsidRDefault="00190E23" w:rsidP="00C4302E">
            <w:pPr>
              <w:pStyle w:val="a3"/>
              <w:jc w:val="center"/>
              <w:rPr>
                <w:rFonts w:ascii="Tahoma" w:hAnsi="Tahoma" w:cs="Tahoma"/>
                <w:color w:val="000080"/>
                <w:rtl/>
              </w:rPr>
            </w:pPr>
            <w:bookmarkStart w:id="0" w:name="FirstLawyer"/>
            <w:r w:rsidRPr="00190E23">
              <w:rPr>
                <w:rFonts w:ascii="Tahoma" w:hAnsi="Tahoma" w:cs="Tahoma"/>
                <w:b/>
                <w:bCs/>
                <w:color w:val="000080"/>
                <w:rtl/>
              </w:rPr>
              <w:t>בית המשפט המחוזי בבאר שבע</w:t>
            </w:r>
          </w:p>
        </w:tc>
      </w:tr>
      <w:tr w:rsidR="00190E23" w:rsidRPr="00AD1D7C" w14:paraId="1C977A5D" w14:textId="77777777" w:rsidTr="00AD1D7C">
        <w:trPr>
          <w:trHeight w:val="337"/>
          <w:jc w:val="center"/>
        </w:trPr>
        <w:tc>
          <w:tcPr>
            <w:tcW w:w="6105" w:type="dxa"/>
          </w:tcPr>
          <w:p w14:paraId="54361388" w14:textId="77777777" w:rsidR="00190E23" w:rsidRPr="00AD1D7C" w:rsidRDefault="00190E23" w:rsidP="00AD1D7C">
            <w:pPr>
              <w:spacing w:before="120" w:after="120" w:line="240" w:lineRule="exact"/>
              <w:rPr>
                <w:rFonts w:ascii="David" w:hAnsi="David"/>
                <w:b/>
                <w:bCs/>
                <w:sz w:val="26"/>
                <w:szCs w:val="26"/>
                <w:rtl/>
              </w:rPr>
            </w:pPr>
            <w:r w:rsidRPr="00AD1D7C">
              <w:rPr>
                <w:rFonts w:ascii="David" w:hAnsi="David"/>
                <w:b/>
                <w:bCs/>
                <w:sz w:val="26"/>
                <w:szCs w:val="26"/>
                <w:rtl/>
              </w:rPr>
              <w:t>תפ"ח 63752-10-15 מדינת ישראל נ' אדרי</w:t>
            </w:r>
            <w:r w:rsidR="00AD1D7C">
              <w:rPr>
                <w:rFonts w:ascii="David" w:hAnsi="David" w:hint="cs"/>
                <w:b/>
                <w:bCs/>
                <w:sz w:val="26"/>
                <w:szCs w:val="26"/>
                <w:rtl/>
              </w:rPr>
              <w:t xml:space="preserve"> </w:t>
            </w:r>
            <w:r w:rsidRPr="00AD1D7C">
              <w:rPr>
                <w:rFonts w:ascii="David" w:hAnsi="David"/>
                <w:b/>
                <w:bCs/>
                <w:sz w:val="26"/>
                <w:szCs w:val="26"/>
                <w:rtl/>
              </w:rPr>
              <w:t>(עציר) ואח'</w:t>
            </w:r>
            <w:r w:rsidRPr="00AD1D7C">
              <w:rPr>
                <w:rFonts w:ascii="David" w:hAnsi="David"/>
                <w:b/>
                <w:bCs/>
                <w:sz w:val="26"/>
                <w:szCs w:val="26"/>
                <w:rtl/>
              </w:rPr>
              <w:br/>
            </w:r>
          </w:p>
        </w:tc>
        <w:tc>
          <w:tcPr>
            <w:tcW w:w="2400" w:type="dxa"/>
          </w:tcPr>
          <w:p w14:paraId="39982385" w14:textId="77777777" w:rsidR="00190E23" w:rsidRPr="00AD1D7C" w:rsidRDefault="00190E23" w:rsidP="00AD1D7C">
            <w:pPr>
              <w:pStyle w:val="a3"/>
              <w:spacing w:before="120" w:after="120" w:line="240" w:lineRule="exact"/>
              <w:jc w:val="right"/>
              <w:rPr>
                <w:rFonts w:ascii="David" w:hAnsi="David"/>
                <w:b/>
                <w:bCs/>
                <w:sz w:val="26"/>
                <w:szCs w:val="26"/>
                <w:rtl/>
              </w:rPr>
            </w:pPr>
          </w:p>
        </w:tc>
      </w:tr>
    </w:tbl>
    <w:p w14:paraId="7A3DFB7A" w14:textId="77777777" w:rsidR="00190E23" w:rsidRPr="00AD1D7C" w:rsidRDefault="00190E23" w:rsidP="00AD1D7C">
      <w:pPr>
        <w:pStyle w:val="a3"/>
        <w:spacing w:before="120" w:after="120" w:line="240" w:lineRule="exact"/>
        <w:rPr>
          <w:rtl/>
        </w:rPr>
      </w:pPr>
      <w:r w:rsidRPr="00AD1D7C">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190E23" w:rsidRPr="00AD1D7C" w14:paraId="00E3BCEB" w14:textId="77777777" w:rsidTr="00190E23">
        <w:trPr>
          <w:gridAfter w:val="1"/>
          <w:wAfter w:w="84" w:type="dxa"/>
        </w:trPr>
        <w:tc>
          <w:tcPr>
            <w:tcW w:w="8718" w:type="dxa"/>
            <w:gridSpan w:val="2"/>
            <w:shd w:val="clear" w:color="auto" w:fill="auto"/>
          </w:tcPr>
          <w:p w14:paraId="36E57247" w14:textId="77777777" w:rsidR="00190E23" w:rsidRPr="00AD1D7C" w:rsidRDefault="00190E23" w:rsidP="00AD1D7C">
            <w:pPr>
              <w:widowControl w:val="0"/>
              <w:spacing w:before="120" w:after="120" w:line="240" w:lineRule="exact"/>
              <w:rPr>
                <w:rFonts w:ascii="David" w:hAnsi="David"/>
                <w:b/>
                <w:bCs/>
                <w:sz w:val="26"/>
                <w:szCs w:val="26"/>
                <w:rtl/>
              </w:rPr>
            </w:pPr>
            <w:r w:rsidRPr="00AD1D7C">
              <w:rPr>
                <w:rFonts w:ascii="David" w:hAnsi="David"/>
                <w:b/>
                <w:bCs/>
                <w:sz w:val="26"/>
                <w:szCs w:val="26"/>
                <w:rtl/>
              </w:rPr>
              <w:t>בפני: כב' סגן הנשיאה, השופט נתן זלוצ'ובר – אב"ד</w:t>
            </w:r>
          </w:p>
          <w:p w14:paraId="1B5DEA7B" w14:textId="77777777" w:rsidR="00190E23" w:rsidRPr="00AD1D7C" w:rsidRDefault="00190E23" w:rsidP="00AD1D7C">
            <w:pPr>
              <w:widowControl w:val="0"/>
              <w:spacing w:before="120" w:after="120" w:line="240" w:lineRule="exact"/>
              <w:rPr>
                <w:rFonts w:ascii="David" w:hAnsi="David"/>
                <w:b/>
                <w:bCs/>
                <w:sz w:val="26"/>
                <w:szCs w:val="26"/>
                <w:rtl/>
              </w:rPr>
            </w:pPr>
            <w:r w:rsidRPr="00AD1D7C">
              <w:rPr>
                <w:rFonts w:ascii="David" w:hAnsi="David"/>
                <w:b/>
                <w:bCs/>
                <w:sz w:val="26"/>
                <w:szCs w:val="26"/>
                <w:rtl/>
              </w:rPr>
              <w:t xml:space="preserve">          כב' השופטת יעל רז-לוי </w:t>
            </w:r>
          </w:p>
          <w:p w14:paraId="7CF93E9B" w14:textId="77777777" w:rsidR="00190E23" w:rsidRPr="00AD1D7C" w:rsidRDefault="00190E23" w:rsidP="00AD1D7C">
            <w:pPr>
              <w:widowControl w:val="0"/>
              <w:spacing w:before="120" w:after="120" w:line="240" w:lineRule="exact"/>
              <w:rPr>
                <w:rFonts w:ascii="David" w:hAnsi="David"/>
                <w:b/>
                <w:bCs/>
                <w:sz w:val="26"/>
                <w:szCs w:val="26"/>
              </w:rPr>
            </w:pPr>
            <w:r w:rsidRPr="00AD1D7C">
              <w:rPr>
                <w:rFonts w:ascii="David" w:hAnsi="David"/>
                <w:b/>
                <w:bCs/>
                <w:sz w:val="26"/>
                <w:szCs w:val="26"/>
                <w:rtl/>
              </w:rPr>
              <w:t xml:space="preserve">          כב' השופט שלמה פרידלנדר</w:t>
            </w:r>
          </w:p>
        </w:tc>
      </w:tr>
      <w:tr w:rsidR="00190E23" w:rsidRPr="00AD1D7C" w14:paraId="68F6C1C7" w14:textId="77777777" w:rsidTr="00190E23">
        <w:trPr>
          <w:cantSplit/>
          <w:trHeight w:val="724"/>
        </w:trPr>
        <w:tc>
          <w:tcPr>
            <w:tcW w:w="2880" w:type="dxa"/>
            <w:shd w:val="clear" w:color="auto" w:fill="auto"/>
          </w:tcPr>
          <w:p w14:paraId="3BD3398B" w14:textId="77777777" w:rsidR="00190E23" w:rsidRPr="00AD1D7C" w:rsidRDefault="00190E23" w:rsidP="00AD1D7C">
            <w:pPr>
              <w:widowControl w:val="0"/>
              <w:spacing w:before="120" w:after="120" w:line="240" w:lineRule="exact"/>
              <w:ind w:left="26"/>
              <w:rPr>
                <w:rFonts w:ascii="David" w:hAnsi="David"/>
                <w:b/>
                <w:bCs/>
                <w:sz w:val="26"/>
                <w:szCs w:val="26"/>
                <w:rtl/>
              </w:rPr>
            </w:pPr>
            <w:bookmarkStart w:id="1" w:name="FirstAppellant"/>
            <w:bookmarkStart w:id="2" w:name="LastJudge"/>
            <w:bookmarkEnd w:id="2"/>
            <w:r w:rsidRPr="00AD1D7C">
              <w:rPr>
                <w:rFonts w:ascii="David" w:hAnsi="David"/>
                <w:b/>
                <w:bCs/>
                <w:sz w:val="26"/>
                <w:szCs w:val="26"/>
                <w:rtl/>
              </w:rPr>
              <w:t>המאשימה</w:t>
            </w:r>
          </w:p>
        </w:tc>
        <w:tc>
          <w:tcPr>
            <w:tcW w:w="5922" w:type="dxa"/>
            <w:gridSpan w:val="2"/>
            <w:shd w:val="clear" w:color="auto" w:fill="auto"/>
          </w:tcPr>
          <w:p w14:paraId="31536FDA" w14:textId="77777777" w:rsidR="00190E23" w:rsidRPr="00AD1D7C" w:rsidRDefault="00190E23" w:rsidP="00AD1D7C">
            <w:pPr>
              <w:widowControl w:val="0"/>
              <w:spacing w:before="120" w:after="120" w:line="240" w:lineRule="exact"/>
              <w:rPr>
                <w:rFonts w:ascii="David" w:hAnsi="David"/>
                <w:b/>
                <w:bCs/>
                <w:sz w:val="26"/>
                <w:szCs w:val="26"/>
                <w:rtl/>
              </w:rPr>
            </w:pPr>
            <w:r w:rsidRPr="00AD1D7C">
              <w:rPr>
                <w:rFonts w:ascii="David" w:hAnsi="David"/>
                <w:b/>
                <w:bCs/>
                <w:sz w:val="26"/>
                <w:szCs w:val="26"/>
                <w:rtl/>
              </w:rPr>
              <w:t>מדינת ישראל</w:t>
            </w:r>
            <w:r w:rsidRPr="00AD1D7C">
              <w:rPr>
                <w:rFonts w:ascii="David" w:hAnsi="David"/>
                <w:b/>
                <w:bCs/>
                <w:sz w:val="26"/>
                <w:szCs w:val="26"/>
                <w:rtl/>
              </w:rPr>
              <w:br/>
              <w:t>ע"י עוה"ד יריב צרי ואסף בר יוסף – פמ"ד פלילי</w:t>
            </w:r>
          </w:p>
        </w:tc>
      </w:tr>
      <w:bookmarkEnd w:id="1"/>
      <w:tr w:rsidR="00190E23" w:rsidRPr="00AD1D7C" w14:paraId="6928F769" w14:textId="77777777" w:rsidTr="00190E23">
        <w:tc>
          <w:tcPr>
            <w:tcW w:w="8802" w:type="dxa"/>
            <w:gridSpan w:val="3"/>
            <w:shd w:val="clear" w:color="auto" w:fill="auto"/>
            <w:vAlign w:val="center"/>
          </w:tcPr>
          <w:p w14:paraId="5D74E95A" w14:textId="77777777" w:rsidR="00190E23" w:rsidRPr="00AD1D7C" w:rsidRDefault="00190E23" w:rsidP="00AD1D7C">
            <w:pPr>
              <w:widowControl w:val="0"/>
              <w:spacing w:before="240" w:after="240" w:line="240" w:lineRule="exact"/>
              <w:jc w:val="center"/>
              <w:rPr>
                <w:rFonts w:ascii="David" w:hAnsi="David" w:hint="cs"/>
                <w:b/>
                <w:bCs/>
                <w:sz w:val="26"/>
                <w:szCs w:val="26"/>
                <w:rtl/>
              </w:rPr>
            </w:pPr>
            <w:r w:rsidRPr="00AD1D7C">
              <w:rPr>
                <w:rFonts w:ascii="David" w:hAnsi="David"/>
                <w:b/>
                <w:bCs/>
                <w:sz w:val="26"/>
                <w:szCs w:val="26"/>
                <w:rtl/>
              </w:rPr>
              <w:t>נגד</w:t>
            </w:r>
          </w:p>
        </w:tc>
      </w:tr>
      <w:tr w:rsidR="00190E23" w:rsidRPr="00AD1D7C" w14:paraId="72B845B4" w14:textId="77777777" w:rsidTr="00190E23">
        <w:tc>
          <w:tcPr>
            <w:tcW w:w="2880" w:type="dxa"/>
            <w:shd w:val="clear" w:color="auto" w:fill="auto"/>
          </w:tcPr>
          <w:p w14:paraId="63A86F8D" w14:textId="77777777" w:rsidR="00190E23" w:rsidRPr="00AD1D7C" w:rsidRDefault="00190E23" w:rsidP="00AD1D7C">
            <w:pPr>
              <w:widowControl w:val="0"/>
              <w:spacing w:before="120" w:after="120" w:line="240" w:lineRule="exact"/>
              <w:ind w:left="26"/>
              <w:rPr>
                <w:rFonts w:ascii="David" w:hAnsi="David"/>
                <w:b/>
                <w:bCs/>
                <w:sz w:val="26"/>
                <w:szCs w:val="26"/>
              </w:rPr>
            </w:pPr>
            <w:r w:rsidRPr="00AD1D7C">
              <w:rPr>
                <w:rFonts w:ascii="David" w:hAnsi="David"/>
                <w:b/>
                <w:bCs/>
                <w:sz w:val="26"/>
                <w:szCs w:val="26"/>
                <w:rtl/>
              </w:rPr>
              <w:t>הנאשמים</w:t>
            </w:r>
          </w:p>
        </w:tc>
        <w:tc>
          <w:tcPr>
            <w:tcW w:w="5922" w:type="dxa"/>
            <w:gridSpan w:val="2"/>
            <w:shd w:val="clear" w:color="auto" w:fill="auto"/>
          </w:tcPr>
          <w:p w14:paraId="4FCC7074" w14:textId="77777777" w:rsidR="00190E23" w:rsidRPr="00AD1D7C" w:rsidRDefault="00190E23" w:rsidP="00AD1D7C">
            <w:pPr>
              <w:widowControl w:val="0"/>
              <w:spacing w:before="120" w:after="120" w:line="240" w:lineRule="exact"/>
              <w:rPr>
                <w:rFonts w:ascii="David" w:hAnsi="David"/>
                <w:b/>
                <w:bCs/>
                <w:sz w:val="26"/>
                <w:szCs w:val="26"/>
                <w:rtl/>
              </w:rPr>
            </w:pPr>
            <w:r w:rsidRPr="00AD1D7C">
              <w:rPr>
                <w:rFonts w:ascii="David" w:hAnsi="David"/>
                <w:b/>
                <w:bCs/>
                <w:sz w:val="26"/>
                <w:szCs w:val="26"/>
              </w:rPr>
              <w:t>.1</w:t>
            </w:r>
            <w:r w:rsidRPr="00AD1D7C">
              <w:rPr>
                <w:rFonts w:ascii="David" w:hAnsi="David"/>
                <w:b/>
                <w:bCs/>
                <w:sz w:val="26"/>
                <w:szCs w:val="26"/>
                <w:rtl/>
              </w:rPr>
              <w:t xml:space="preserve"> יוסף חיים אדרי – נדון  </w:t>
            </w:r>
          </w:p>
          <w:p w14:paraId="7102F21F" w14:textId="77777777" w:rsidR="00190E23" w:rsidRPr="00AD1D7C" w:rsidRDefault="00190E23" w:rsidP="00AD1D7C">
            <w:pPr>
              <w:widowControl w:val="0"/>
              <w:spacing w:before="120" w:after="120" w:line="240" w:lineRule="exact"/>
              <w:rPr>
                <w:rFonts w:ascii="David" w:hAnsi="David"/>
                <w:b/>
                <w:bCs/>
                <w:sz w:val="26"/>
                <w:szCs w:val="26"/>
                <w:rtl/>
              </w:rPr>
            </w:pPr>
            <w:r w:rsidRPr="00AD1D7C">
              <w:rPr>
                <w:rFonts w:ascii="David" w:hAnsi="David"/>
                <w:b/>
                <w:bCs/>
                <w:sz w:val="26"/>
                <w:szCs w:val="26"/>
              </w:rPr>
              <w:t>.2</w:t>
            </w:r>
            <w:r w:rsidRPr="00AD1D7C">
              <w:rPr>
                <w:rFonts w:ascii="David" w:hAnsi="David"/>
                <w:b/>
                <w:bCs/>
                <w:sz w:val="26"/>
                <w:szCs w:val="26"/>
                <w:rtl/>
              </w:rPr>
              <w:t xml:space="preserve"> שי אונדרה וורו – נדון </w:t>
            </w:r>
          </w:p>
          <w:p w14:paraId="190F8341" w14:textId="77777777" w:rsidR="00190E23" w:rsidRPr="00AD1D7C" w:rsidRDefault="00190E23" w:rsidP="00AD1D7C">
            <w:pPr>
              <w:widowControl w:val="0"/>
              <w:spacing w:before="120" w:after="120" w:line="240" w:lineRule="exact"/>
              <w:rPr>
                <w:rFonts w:ascii="David" w:hAnsi="David"/>
                <w:b/>
                <w:bCs/>
                <w:sz w:val="26"/>
                <w:szCs w:val="26"/>
                <w:rtl/>
              </w:rPr>
            </w:pPr>
            <w:r w:rsidRPr="00AD1D7C">
              <w:rPr>
                <w:rFonts w:ascii="David" w:hAnsi="David"/>
                <w:b/>
                <w:bCs/>
                <w:sz w:val="26"/>
                <w:szCs w:val="26"/>
              </w:rPr>
              <w:t>.3</w:t>
            </w:r>
            <w:r w:rsidRPr="00AD1D7C">
              <w:rPr>
                <w:rFonts w:ascii="David" w:hAnsi="David"/>
                <w:b/>
                <w:bCs/>
                <w:sz w:val="26"/>
                <w:szCs w:val="26"/>
                <w:rtl/>
              </w:rPr>
              <w:t xml:space="preserve"> אברהם זהבי – נדון </w:t>
            </w:r>
          </w:p>
          <w:p w14:paraId="032B0EFD" w14:textId="77777777" w:rsidR="00190E23" w:rsidRPr="00AD1D7C" w:rsidRDefault="00190E23" w:rsidP="00AD1D7C">
            <w:pPr>
              <w:widowControl w:val="0"/>
              <w:spacing w:before="120" w:after="120" w:line="240" w:lineRule="exact"/>
              <w:rPr>
                <w:rFonts w:ascii="David" w:hAnsi="David"/>
                <w:b/>
                <w:bCs/>
                <w:sz w:val="26"/>
                <w:szCs w:val="26"/>
                <w:rtl/>
              </w:rPr>
            </w:pPr>
            <w:r w:rsidRPr="00AD1D7C">
              <w:rPr>
                <w:rFonts w:ascii="David" w:hAnsi="David"/>
                <w:b/>
                <w:bCs/>
                <w:sz w:val="26"/>
                <w:szCs w:val="26"/>
              </w:rPr>
              <w:t>.4</w:t>
            </w:r>
            <w:r w:rsidRPr="00AD1D7C">
              <w:rPr>
                <w:rFonts w:ascii="David" w:hAnsi="David"/>
                <w:b/>
                <w:bCs/>
                <w:sz w:val="26"/>
                <w:szCs w:val="26"/>
                <w:rtl/>
              </w:rPr>
              <w:t xml:space="preserve"> אדי יהודה (עציר) </w:t>
            </w:r>
          </w:p>
          <w:p w14:paraId="25EAA022" w14:textId="77777777" w:rsidR="00190E23" w:rsidRPr="00AD1D7C" w:rsidRDefault="00190E23" w:rsidP="00AD1D7C">
            <w:pPr>
              <w:widowControl w:val="0"/>
              <w:spacing w:before="120" w:after="120" w:line="240" w:lineRule="exact"/>
              <w:rPr>
                <w:rFonts w:ascii="David" w:hAnsi="David"/>
                <w:b/>
                <w:bCs/>
                <w:sz w:val="26"/>
                <w:szCs w:val="26"/>
                <w:rtl/>
              </w:rPr>
            </w:pPr>
            <w:r w:rsidRPr="00AD1D7C">
              <w:rPr>
                <w:rFonts w:ascii="David" w:hAnsi="David"/>
                <w:b/>
                <w:bCs/>
                <w:sz w:val="26"/>
                <w:szCs w:val="26"/>
                <w:rtl/>
              </w:rPr>
              <w:t xml:space="preserve">ע"י עו"ד אהרון רוזה ואסף שלם </w:t>
            </w:r>
          </w:p>
          <w:p w14:paraId="350DEFE0" w14:textId="77777777" w:rsidR="00190E23" w:rsidRPr="00AD1D7C" w:rsidRDefault="00190E23" w:rsidP="00AD1D7C">
            <w:pPr>
              <w:widowControl w:val="0"/>
              <w:spacing w:before="120" w:after="120" w:line="240" w:lineRule="exact"/>
              <w:rPr>
                <w:rFonts w:ascii="David" w:hAnsi="David" w:hint="cs"/>
                <w:b/>
                <w:bCs/>
                <w:sz w:val="26"/>
                <w:szCs w:val="26"/>
                <w:rtl/>
              </w:rPr>
            </w:pPr>
            <w:r w:rsidRPr="00AD1D7C">
              <w:rPr>
                <w:rFonts w:ascii="David" w:hAnsi="David"/>
                <w:b/>
                <w:bCs/>
                <w:sz w:val="26"/>
                <w:szCs w:val="26"/>
                <w:rtl/>
              </w:rPr>
              <w:t xml:space="preserve">5. שניר ואזנה – נדון </w:t>
            </w:r>
          </w:p>
        </w:tc>
      </w:tr>
    </w:tbl>
    <w:p w14:paraId="225708B9" w14:textId="77777777" w:rsidR="00AD1D7C" w:rsidRPr="00AD1D7C" w:rsidRDefault="00AD1D7C" w:rsidP="00AD1D7C">
      <w:pPr>
        <w:spacing w:before="120" w:after="120" w:line="240" w:lineRule="exact"/>
        <w:ind w:left="283" w:hanging="283"/>
        <w:jc w:val="both"/>
        <w:rPr>
          <w:rFonts w:ascii="FrankRuehl" w:hAnsi="FrankRuehl" w:cs="FrankRuehl"/>
          <w:rtl/>
        </w:rPr>
      </w:pPr>
      <w:bookmarkStart w:id="3" w:name="LawTable"/>
      <w:bookmarkEnd w:id="3"/>
    </w:p>
    <w:p w14:paraId="7FF65E45" w14:textId="77777777" w:rsidR="00AD1D7C" w:rsidRPr="00AD1D7C" w:rsidRDefault="00AD1D7C" w:rsidP="00AD1D7C">
      <w:pPr>
        <w:spacing w:before="120" w:after="120" w:line="240" w:lineRule="exact"/>
        <w:ind w:left="283" w:hanging="283"/>
        <w:jc w:val="both"/>
        <w:rPr>
          <w:rFonts w:ascii="FrankRuehl" w:hAnsi="FrankRuehl" w:cs="FrankRuehl"/>
          <w:rtl/>
        </w:rPr>
      </w:pPr>
      <w:r w:rsidRPr="00AD1D7C">
        <w:rPr>
          <w:rFonts w:ascii="FrankRuehl" w:hAnsi="FrankRuehl" w:cs="FrankRuehl"/>
          <w:rtl/>
        </w:rPr>
        <w:t xml:space="preserve">חקיקה שאוזכרה: </w:t>
      </w:r>
    </w:p>
    <w:p w14:paraId="298B7EB2" w14:textId="77777777" w:rsidR="00AD1D7C" w:rsidRPr="00AD1D7C" w:rsidRDefault="00AD1D7C" w:rsidP="00AD1D7C">
      <w:pPr>
        <w:spacing w:before="120" w:after="120" w:line="240" w:lineRule="exact"/>
        <w:ind w:left="283" w:hanging="283"/>
        <w:jc w:val="both"/>
        <w:rPr>
          <w:rFonts w:ascii="FrankRuehl" w:hAnsi="FrankRuehl" w:cs="FrankRuehl"/>
          <w:color w:val="0000FF"/>
          <w:rtl/>
        </w:rPr>
      </w:pPr>
      <w:hyperlink r:id="rId8" w:history="1">
        <w:r w:rsidRPr="00AD1D7C">
          <w:rPr>
            <w:rStyle w:val="Hyperlink"/>
            <w:rFonts w:ascii="FrankRuehl" w:hAnsi="FrankRuehl" w:cs="FrankRuehl"/>
            <w:u w:val="none"/>
            <w:rtl/>
          </w:rPr>
          <w:t>חוק העונשין, תשל"ז-1977</w:t>
        </w:r>
      </w:hyperlink>
      <w:r w:rsidRPr="00AD1D7C">
        <w:rPr>
          <w:rFonts w:ascii="FrankRuehl" w:hAnsi="FrankRuehl" w:cs="FrankRuehl"/>
          <w:color w:val="0000FF"/>
          <w:rtl/>
        </w:rPr>
        <w:t xml:space="preserve">: סע'  </w:t>
      </w:r>
      <w:hyperlink r:id="rId9" w:history="1">
        <w:r w:rsidRPr="00AD1D7C">
          <w:rPr>
            <w:rStyle w:val="Hyperlink"/>
            <w:rFonts w:ascii="FrankRuehl" w:hAnsi="FrankRuehl" w:cs="FrankRuehl"/>
            <w:u w:val="none"/>
          </w:rPr>
          <w:t>31</w:t>
        </w:r>
      </w:hyperlink>
      <w:r w:rsidRPr="00AD1D7C">
        <w:rPr>
          <w:rFonts w:ascii="FrankRuehl" w:hAnsi="FrankRuehl" w:cs="FrankRuehl"/>
          <w:color w:val="0000FF"/>
          <w:rtl/>
        </w:rPr>
        <w:t xml:space="preserve">, </w:t>
      </w:r>
      <w:hyperlink r:id="rId10" w:history="1">
        <w:r w:rsidRPr="00AD1D7C">
          <w:rPr>
            <w:rStyle w:val="Hyperlink"/>
            <w:rFonts w:ascii="FrankRuehl" w:hAnsi="FrankRuehl" w:cs="FrankRuehl"/>
            <w:u w:val="none"/>
          </w:rPr>
          <w:t>32</w:t>
        </w:r>
      </w:hyperlink>
      <w:r w:rsidRPr="00AD1D7C">
        <w:rPr>
          <w:rFonts w:ascii="FrankRuehl" w:hAnsi="FrankRuehl" w:cs="FrankRuehl"/>
          <w:color w:val="0000FF"/>
          <w:rtl/>
        </w:rPr>
        <w:t xml:space="preserve">(1), </w:t>
      </w:r>
      <w:hyperlink r:id="rId11" w:history="1">
        <w:r w:rsidRPr="00AD1D7C">
          <w:rPr>
            <w:rStyle w:val="Hyperlink"/>
            <w:rFonts w:ascii="FrankRuehl" w:hAnsi="FrankRuehl" w:cs="FrankRuehl"/>
            <w:u w:val="none"/>
          </w:rPr>
          <w:t>40</w:t>
        </w:r>
      </w:hyperlink>
      <w:r w:rsidRPr="00AD1D7C">
        <w:rPr>
          <w:rFonts w:ascii="FrankRuehl" w:hAnsi="FrankRuehl" w:cs="FrankRuehl"/>
          <w:color w:val="0000FF"/>
          <w:rtl/>
        </w:rPr>
        <w:t xml:space="preserve">(יא)(6))., </w:t>
      </w:r>
      <w:hyperlink r:id="rId12" w:history="1">
        <w:r w:rsidRPr="00AD1D7C">
          <w:rPr>
            <w:rStyle w:val="Hyperlink"/>
            <w:rFonts w:ascii="FrankRuehl" w:hAnsi="FrankRuehl" w:cs="FrankRuehl"/>
            <w:u w:val="none"/>
          </w:rPr>
          <w:t>40</w:t>
        </w:r>
        <w:r w:rsidRPr="00AD1D7C">
          <w:rPr>
            <w:rStyle w:val="Hyperlink"/>
            <w:rFonts w:ascii="FrankRuehl" w:hAnsi="FrankRuehl" w:cs="FrankRuehl"/>
            <w:u w:val="none"/>
            <w:rtl/>
          </w:rPr>
          <w:t>ב</w:t>
        </w:r>
      </w:hyperlink>
      <w:r w:rsidRPr="00AD1D7C">
        <w:rPr>
          <w:rFonts w:ascii="FrankRuehl" w:hAnsi="FrankRuehl" w:cs="FrankRuehl"/>
          <w:color w:val="0000FF"/>
          <w:rtl/>
        </w:rPr>
        <w:t xml:space="preserve">, </w:t>
      </w:r>
      <w:hyperlink r:id="rId13" w:history="1">
        <w:r w:rsidRPr="00AD1D7C">
          <w:rPr>
            <w:rStyle w:val="Hyperlink"/>
            <w:rFonts w:ascii="FrankRuehl" w:hAnsi="FrankRuehl" w:cs="FrankRuehl"/>
            <w:u w:val="none"/>
          </w:rPr>
          <w:t>40</w:t>
        </w:r>
        <w:r w:rsidRPr="00AD1D7C">
          <w:rPr>
            <w:rStyle w:val="Hyperlink"/>
            <w:rFonts w:ascii="FrankRuehl" w:hAnsi="FrankRuehl" w:cs="FrankRuehl"/>
            <w:u w:val="none"/>
            <w:rtl/>
          </w:rPr>
          <w:t>ג</w:t>
        </w:r>
      </w:hyperlink>
      <w:r w:rsidRPr="00AD1D7C">
        <w:rPr>
          <w:rFonts w:ascii="FrankRuehl" w:hAnsi="FrankRuehl" w:cs="FrankRuehl"/>
          <w:color w:val="0000FF"/>
          <w:rtl/>
        </w:rPr>
        <w:t xml:space="preserve">, </w:t>
      </w:r>
      <w:hyperlink r:id="rId14" w:history="1">
        <w:r w:rsidRPr="00AD1D7C">
          <w:rPr>
            <w:rStyle w:val="Hyperlink"/>
            <w:rFonts w:ascii="FrankRuehl" w:hAnsi="FrankRuehl" w:cs="FrankRuehl"/>
            <w:u w:val="none"/>
          </w:rPr>
          <w:t>40</w:t>
        </w:r>
        <w:r w:rsidRPr="00AD1D7C">
          <w:rPr>
            <w:rStyle w:val="Hyperlink"/>
            <w:rFonts w:ascii="FrankRuehl" w:hAnsi="FrankRuehl" w:cs="FrankRuehl"/>
            <w:u w:val="none"/>
            <w:rtl/>
          </w:rPr>
          <w:t>ו</w:t>
        </w:r>
      </w:hyperlink>
      <w:r w:rsidRPr="00AD1D7C">
        <w:rPr>
          <w:rFonts w:ascii="FrankRuehl" w:hAnsi="FrankRuehl" w:cs="FrankRuehl"/>
          <w:color w:val="0000FF"/>
          <w:rtl/>
        </w:rPr>
        <w:t xml:space="preserve">, </w:t>
      </w:r>
      <w:hyperlink r:id="rId15" w:history="1">
        <w:r w:rsidRPr="00AD1D7C">
          <w:rPr>
            <w:rStyle w:val="Hyperlink"/>
            <w:rFonts w:ascii="FrankRuehl" w:hAnsi="FrankRuehl" w:cs="FrankRuehl"/>
            <w:u w:val="none"/>
          </w:rPr>
          <w:t>40</w:t>
        </w:r>
        <w:r w:rsidRPr="00AD1D7C">
          <w:rPr>
            <w:rStyle w:val="Hyperlink"/>
            <w:rFonts w:ascii="FrankRuehl" w:hAnsi="FrankRuehl" w:cs="FrankRuehl"/>
            <w:u w:val="none"/>
            <w:rtl/>
          </w:rPr>
          <w:t>ז</w:t>
        </w:r>
      </w:hyperlink>
      <w:r w:rsidRPr="00AD1D7C">
        <w:rPr>
          <w:rFonts w:ascii="FrankRuehl" w:hAnsi="FrankRuehl" w:cs="FrankRuehl"/>
          <w:color w:val="0000FF"/>
          <w:rtl/>
        </w:rPr>
        <w:t xml:space="preserve">, </w:t>
      </w:r>
      <w:hyperlink r:id="rId16" w:history="1">
        <w:r w:rsidRPr="00AD1D7C">
          <w:rPr>
            <w:rStyle w:val="Hyperlink"/>
            <w:rFonts w:ascii="FrankRuehl" w:hAnsi="FrankRuehl" w:cs="FrankRuehl"/>
            <w:u w:val="none"/>
          </w:rPr>
          <w:t>40</w:t>
        </w:r>
        <w:r w:rsidRPr="00AD1D7C">
          <w:rPr>
            <w:rStyle w:val="Hyperlink"/>
            <w:rFonts w:ascii="FrankRuehl" w:hAnsi="FrankRuehl" w:cs="FrankRuehl"/>
            <w:u w:val="none"/>
            <w:rtl/>
          </w:rPr>
          <w:t>ט</w:t>
        </w:r>
      </w:hyperlink>
      <w:r w:rsidRPr="00AD1D7C">
        <w:rPr>
          <w:rFonts w:ascii="FrankRuehl" w:hAnsi="FrankRuehl" w:cs="FrankRuehl"/>
          <w:color w:val="0000FF"/>
          <w:rtl/>
        </w:rPr>
        <w:t xml:space="preserve">, </w:t>
      </w:r>
      <w:hyperlink r:id="rId17" w:history="1">
        <w:r w:rsidRPr="00AD1D7C">
          <w:rPr>
            <w:rStyle w:val="Hyperlink"/>
            <w:rFonts w:ascii="FrankRuehl" w:hAnsi="FrankRuehl" w:cs="FrankRuehl"/>
            <w:u w:val="none"/>
          </w:rPr>
          <w:t>77</w:t>
        </w:r>
      </w:hyperlink>
      <w:r w:rsidRPr="00AD1D7C">
        <w:rPr>
          <w:rFonts w:ascii="FrankRuehl" w:hAnsi="FrankRuehl" w:cs="FrankRuehl"/>
          <w:color w:val="0000FF"/>
          <w:rtl/>
        </w:rPr>
        <w:t xml:space="preserve">, </w:t>
      </w:r>
      <w:hyperlink r:id="rId18" w:history="1">
        <w:r w:rsidRPr="00AD1D7C">
          <w:rPr>
            <w:rStyle w:val="Hyperlink"/>
            <w:rFonts w:ascii="FrankRuehl" w:hAnsi="FrankRuehl" w:cs="FrankRuehl"/>
            <w:u w:val="none"/>
          </w:rPr>
          <w:t>144</w:t>
        </w:r>
      </w:hyperlink>
      <w:r w:rsidRPr="00AD1D7C">
        <w:rPr>
          <w:rFonts w:ascii="FrankRuehl" w:hAnsi="FrankRuehl" w:cs="FrankRuehl"/>
          <w:color w:val="0000FF"/>
          <w:rtl/>
        </w:rPr>
        <w:t xml:space="preserve">(ב), </w:t>
      </w:r>
      <w:hyperlink r:id="rId19" w:history="1">
        <w:r w:rsidRPr="00AD1D7C">
          <w:rPr>
            <w:rStyle w:val="Hyperlink"/>
            <w:rFonts w:ascii="FrankRuehl" w:hAnsi="FrankRuehl" w:cs="FrankRuehl"/>
            <w:u w:val="none"/>
          </w:rPr>
          <w:t>144</w:t>
        </w:r>
      </w:hyperlink>
      <w:r w:rsidRPr="00AD1D7C">
        <w:rPr>
          <w:rFonts w:ascii="FrankRuehl" w:hAnsi="FrankRuehl" w:cs="FrankRuehl"/>
          <w:color w:val="0000FF"/>
          <w:rtl/>
        </w:rPr>
        <w:t xml:space="preserve">(ב2), </w:t>
      </w:r>
      <w:hyperlink r:id="rId20" w:history="1">
        <w:r w:rsidRPr="00AD1D7C">
          <w:rPr>
            <w:rStyle w:val="Hyperlink"/>
            <w:rFonts w:ascii="FrankRuehl" w:hAnsi="FrankRuehl" w:cs="FrankRuehl"/>
            <w:u w:val="none"/>
          </w:rPr>
          <w:t>300</w:t>
        </w:r>
      </w:hyperlink>
      <w:r w:rsidRPr="00AD1D7C">
        <w:rPr>
          <w:rFonts w:ascii="FrankRuehl" w:hAnsi="FrankRuehl" w:cs="FrankRuehl"/>
          <w:color w:val="0000FF"/>
          <w:rtl/>
        </w:rPr>
        <w:t xml:space="preserve">(א)(2), </w:t>
      </w:r>
      <w:hyperlink r:id="rId21" w:history="1">
        <w:r w:rsidRPr="00AD1D7C">
          <w:rPr>
            <w:rStyle w:val="Hyperlink"/>
            <w:rFonts w:ascii="FrankRuehl" w:hAnsi="FrankRuehl" w:cs="FrankRuehl"/>
            <w:u w:val="none"/>
          </w:rPr>
          <w:t>305</w:t>
        </w:r>
      </w:hyperlink>
      <w:r w:rsidRPr="00AD1D7C">
        <w:rPr>
          <w:rFonts w:ascii="FrankRuehl" w:hAnsi="FrankRuehl" w:cs="FrankRuehl"/>
          <w:color w:val="0000FF"/>
          <w:rtl/>
        </w:rPr>
        <w:t xml:space="preserve">(1), </w:t>
      </w:r>
      <w:hyperlink r:id="rId22" w:history="1">
        <w:r w:rsidRPr="00AD1D7C">
          <w:rPr>
            <w:rStyle w:val="Hyperlink"/>
            <w:rFonts w:ascii="FrankRuehl" w:hAnsi="FrankRuehl" w:cs="FrankRuehl"/>
            <w:u w:val="none"/>
          </w:rPr>
          <w:t>499</w:t>
        </w:r>
      </w:hyperlink>
      <w:r w:rsidRPr="00AD1D7C">
        <w:rPr>
          <w:rFonts w:ascii="FrankRuehl" w:hAnsi="FrankRuehl" w:cs="FrankRuehl"/>
          <w:color w:val="0000FF"/>
          <w:rtl/>
        </w:rPr>
        <w:t>(א)(1)</w:t>
      </w:r>
    </w:p>
    <w:p w14:paraId="67882F6E" w14:textId="77777777" w:rsidR="00AD1D7C" w:rsidRPr="00AD1D7C" w:rsidRDefault="00AD1D7C" w:rsidP="00AD1D7C">
      <w:pPr>
        <w:spacing w:before="120" w:after="120" w:line="240" w:lineRule="exact"/>
        <w:ind w:left="283" w:hanging="283"/>
        <w:jc w:val="both"/>
        <w:rPr>
          <w:rFonts w:ascii="FrankRuehl" w:hAnsi="FrankRuehl" w:cs="FrankRuehl"/>
          <w:color w:val="0000FF"/>
          <w:rtl/>
        </w:rPr>
      </w:pPr>
      <w:hyperlink r:id="rId23" w:history="1">
        <w:r w:rsidRPr="00AD1D7C">
          <w:rPr>
            <w:rStyle w:val="Hyperlink"/>
            <w:rFonts w:ascii="FrankRuehl" w:hAnsi="FrankRuehl" w:cs="FrankRuehl"/>
            <w:u w:val="none"/>
            <w:rtl/>
          </w:rPr>
          <w:t>חוק-יסוד: כבוד האדם וחירותו</w:t>
        </w:r>
      </w:hyperlink>
      <w:r w:rsidRPr="00AD1D7C">
        <w:rPr>
          <w:rFonts w:ascii="FrankRuehl" w:hAnsi="FrankRuehl" w:cs="FrankRuehl"/>
          <w:color w:val="0000FF"/>
          <w:rtl/>
        </w:rPr>
        <w:t xml:space="preserve">: סע'  </w:t>
      </w:r>
      <w:hyperlink r:id="rId24" w:history="1">
        <w:r w:rsidRPr="00AD1D7C">
          <w:rPr>
            <w:rStyle w:val="Hyperlink"/>
            <w:rFonts w:ascii="FrankRuehl" w:hAnsi="FrankRuehl" w:cs="FrankRuehl"/>
            <w:u w:val="none"/>
          </w:rPr>
          <w:t>1</w:t>
        </w:r>
      </w:hyperlink>
    </w:p>
    <w:p w14:paraId="6E9074B6" w14:textId="77777777" w:rsidR="00190E23" w:rsidRDefault="00190E23" w:rsidP="00AD1D7C">
      <w:pPr>
        <w:rPr>
          <w:rFonts w:hint="cs"/>
          <w:rtl/>
        </w:rPr>
      </w:pPr>
      <w:bookmarkStart w:id="4" w:name="LawTable_End"/>
      <w:bookmarkEnd w:id="4"/>
    </w:p>
    <w:p w14:paraId="36DA5D95" w14:textId="77777777" w:rsidR="00AD1D7C" w:rsidRDefault="00AD1D7C" w:rsidP="00AD1D7C">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7244F385" w14:textId="77777777" w:rsidR="00AD1D7C" w:rsidRPr="00AD1D7C" w:rsidRDefault="00AD1D7C" w:rsidP="00AD1D7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D1D7C">
        <w:rPr>
          <w:rFonts w:cs="FrankRuehl"/>
          <w:szCs w:val="26"/>
          <w:rtl/>
        </w:rPr>
        <w:t xml:space="preserve">16 שנות מאסר נגזרו על </w:t>
      </w:r>
      <w:r w:rsidRPr="00AD1D7C">
        <w:rPr>
          <w:rFonts w:cs="FrankRuehl" w:hint="cs"/>
          <w:szCs w:val="26"/>
          <w:rtl/>
        </w:rPr>
        <w:t>הנאשם 4</w:t>
      </w:r>
      <w:r w:rsidRPr="00AD1D7C">
        <w:rPr>
          <w:rFonts w:cs="FrankRuehl"/>
          <w:szCs w:val="26"/>
          <w:rtl/>
        </w:rPr>
        <w:t>, שהורשע בסיוע לרצח, ייצור והובלת נשק וקשירת קשר לפשע באירוע פיצוץ רכב</w:t>
      </w:r>
      <w:r w:rsidRPr="00AD1D7C">
        <w:rPr>
          <w:rFonts w:cs="FrankRuehl" w:hint="cs"/>
          <w:szCs w:val="26"/>
          <w:rtl/>
        </w:rPr>
        <w:t>.</w:t>
      </w:r>
    </w:p>
    <w:p w14:paraId="5A3F1FB7" w14:textId="77777777" w:rsidR="00AD1D7C" w:rsidRDefault="00AD1D7C" w:rsidP="00AD1D7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סיוע</w:t>
      </w:r>
    </w:p>
    <w:p w14:paraId="42B0869F" w14:textId="77777777" w:rsidR="00AD1D7C" w:rsidRDefault="00AD1D7C" w:rsidP="00AD1D7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מתחם הענישה</w:t>
      </w:r>
    </w:p>
    <w:p w14:paraId="0929651F" w14:textId="77777777" w:rsidR="00AD1D7C" w:rsidRDefault="00AD1D7C" w:rsidP="00AD1D7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מסייע למול מבצע עקרי‏</w:t>
      </w:r>
    </w:p>
    <w:p w14:paraId="14190432" w14:textId="77777777" w:rsidR="00AD1D7C" w:rsidRDefault="00AD1D7C" w:rsidP="00AD1D7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פיגוע פלילי</w:t>
      </w:r>
    </w:p>
    <w:p w14:paraId="1EC2B2E8" w14:textId="77777777" w:rsidR="00AD1D7C" w:rsidRDefault="00AD1D7C" w:rsidP="00AD1D7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פיצויים והוצאות – פיצויו של מי שניזוק על-ידי העבירה</w:t>
      </w:r>
    </w:p>
    <w:p w14:paraId="2E561F5C" w14:textId="77777777" w:rsidR="00AD1D7C" w:rsidRDefault="00AD1D7C" w:rsidP="00AD1D7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8FDE54A" w14:textId="77777777" w:rsidR="00AD1D7C" w:rsidRPr="00AD1D7C" w:rsidRDefault="00AD1D7C" w:rsidP="00AD1D7C">
      <w:pPr>
        <w:pBdr>
          <w:top w:val="single" w:sz="4" w:space="1" w:color="auto"/>
          <w:bottom w:val="single" w:sz="4" w:space="1" w:color="auto"/>
        </w:pBdr>
        <w:spacing w:after="120" w:line="320" w:lineRule="exact"/>
        <w:jc w:val="both"/>
        <w:rPr>
          <w:rFonts w:cs="FrankRuehl"/>
          <w:szCs w:val="26"/>
          <w:rtl/>
        </w:rPr>
      </w:pPr>
      <w:r w:rsidRPr="00AD1D7C">
        <w:rPr>
          <w:rFonts w:cs="FrankRuehl"/>
          <w:szCs w:val="26"/>
          <w:rtl/>
        </w:rPr>
        <w:lastRenderedPageBreak/>
        <w:t>הנאשם נותן את הדין בגין ביצוע עבירות של סיוע לרצח וסיוע לשני ניסיונות רצח, תוך קשירת קשר עם אחרים, וכן בגין עבירות נשק (ייצור נשק) הנוגעות להכנת מטען חבלה תקין, ועבירות של הובלה ונשיאת נשק</w:t>
      </w:r>
      <w:r w:rsidRPr="00AD1D7C">
        <w:rPr>
          <w:rFonts w:cs="FrankRuehl" w:hint="cs"/>
          <w:szCs w:val="26"/>
          <w:rtl/>
        </w:rPr>
        <w:t>.</w:t>
      </w:r>
    </w:p>
    <w:p w14:paraId="7F520BB0" w14:textId="77777777" w:rsidR="00AD1D7C" w:rsidRPr="00AD1D7C" w:rsidRDefault="00AD1D7C" w:rsidP="00AD1D7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9976DE8" w14:textId="77777777" w:rsidR="00AD1D7C" w:rsidRPr="00AD1D7C" w:rsidRDefault="00AD1D7C" w:rsidP="00AD1D7C">
      <w:pPr>
        <w:pBdr>
          <w:top w:val="single" w:sz="4" w:space="1" w:color="auto"/>
          <w:bottom w:val="single" w:sz="4" w:space="1" w:color="auto"/>
        </w:pBdr>
        <w:spacing w:after="120" w:line="320" w:lineRule="exact"/>
        <w:jc w:val="both"/>
        <w:rPr>
          <w:rFonts w:cs="FrankRuehl"/>
          <w:szCs w:val="26"/>
          <w:rtl/>
        </w:rPr>
      </w:pPr>
      <w:r w:rsidRPr="00AD1D7C">
        <w:rPr>
          <w:rFonts w:cs="FrankRuehl" w:hint="cs"/>
          <w:szCs w:val="26"/>
          <w:rtl/>
        </w:rPr>
        <w:t>בית המשפט פסק כלהלן:</w:t>
      </w:r>
    </w:p>
    <w:p w14:paraId="11600047" w14:textId="77777777" w:rsidR="00AD1D7C" w:rsidRPr="00AD1D7C" w:rsidRDefault="00AD1D7C" w:rsidP="00AD1D7C">
      <w:pPr>
        <w:pBdr>
          <w:top w:val="single" w:sz="4" w:space="1" w:color="auto"/>
          <w:bottom w:val="single" w:sz="4" w:space="1" w:color="auto"/>
        </w:pBdr>
        <w:spacing w:after="120" w:line="320" w:lineRule="exact"/>
        <w:jc w:val="both"/>
        <w:rPr>
          <w:rFonts w:cs="FrankRuehl"/>
          <w:szCs w:val="26"/>
          <w:rtl/>
        </w:rPr>
      </w:pPr>
      <w:r w:rsidRPr="00AD1D7C">
        <w:rPr>
          <w:rFonts w:cs="FrankRuehl"/>
          <w:szCs w:val="26"/>
          <w:rtl/>
        </w:rPr>
        <w:t xml:space="preserve">לאור מידת הפגיעה בערכים המוגנים, ובשים לב לכך שהנאשם הוא שסייע באופן מהותי לביצוע רצח ופציעת נוספים, מעשיו של הנאשם הם בעלי פן של חומרה יתרה ומוגברת. </w:t>
      </w:r>
    </w:p>
    <w:p w14:paraId="2AF7509A" w14:textId="77777777" w:rsidR="00AD1D7C" w:rsidRPr="00AD1D7C" w:rsidRDefault="00AD1D7C" w:rsidP="00AD1D7C">
      <w:pPr>
        <w:pBdr>
          <w:top w:val="single" w:sz="4" w:space="1" w:color="auto"/>
          <w:bottom w:val="single" w:sz="4" w:space="1" w:color="auto"/>
        </w:pBdr>
        <w:spacing w:after="120" w:line="320" w:lineRule="exact"/>
        <w:jc w:val="both"/>
        <w:rPr>
          <w:rFonts w:cs="FrankRuehl"/>
          <w:szCs w:val="26"/>
          <w:rtl/>
        </w:rPr>
      </w:pPr>
      <w:r w:rsidRPr="00AD1D7C">
        <w:rPr>
          <w:rFonts w:cs="FrankRuehl"/>
          <w:szCs w:val="26"/>
          <w:rtl/>
        </w:rPr>
        <w:t xml:space="preserve">בחינת עניינו של הנאשם, מלמדת כי </w:t>
      </w:r>
      <w:r w:rsidRPr="00AD1D7C">
        <w:rPr>
          <w:rFonts w:cs="FrankRuehl" w:hint="cs"/>
          <w:szCs w:val="26"/>
          <w:rtl/>
        </w:rPr>
        <w:t xml:space="preserve">אין להקיש מהעונשים שהושתו על הנאשמים האחרים במסגרת הסדר הטיעון שכן </w:t>
      </w:r>
      <w:r w:rsidRPr="00AD1D7C">
        <w:rPr>
          <w:rFonts w:cs="FrankRuehl"/>
          <w:szCs w:val="26"/>
          <w:rtl/>
        </w:rPr>
        <w:t>אף שיקול מכל השיקולים שעמדו בבסיס הסדר הטיעון והעונש המקל יותר אליו הגיעו הצדדים בהסדר</w:t>
      </w:r>
      <w:r w:rsidRPr="00AD1D7C">
        <w:rPr>
          <w:rFonts w:cs="FrankRuehl" w:hint="cs"/>
          <w:szCs w:val="26"/>
          <w:rtl/>
        </w:rPr>
        <w:t xml:space="preserve"> הטיעון ביחס לנאשמים האחרים</w:t>
      </w:r>
      <w:r w:rsidRPr="00AD1D7C">
        <w:rPr>
          <w:rFonts w:cs="FrankRuehl"/>
          <w:szCs w:val="26"/>
          <w:rtl/>
        </w:rPr>
        <w:t>, אינו חל בעניינו של הנאשם היום.</w:t>
      </w:r>
    </w:p>
    <w:p w14:paraId="6CDBEF3F" w14:textId="77777777" w:rsidR="00AD1D7C" w:rsidRPr="00AD1D7C" w:rsidRDefault="00AD1D7C" w:rsidP="00AD1D7C">
      <w:pPr>
        <w:pBdr>
          <w:top w:val="single" w:sz="4" w:space="1" w:color="auto"/>
          <w:bottom w:val="single" w:sz="4" w:space="1" w:color="auto"/>
        </w:pBdr>
        <w:spacing w:after="120" w:line="320" w:lineRule="exact"/>
        <w:jc w:val="both"/>
        <w:rPr>
          <w:rFonts w:cs="FrankRuehl"/>
          <w:szCs w:val="26"/>
          <w:rtl/>
        </w:rPr>
      </w:pPr>
      <w:r w:rsidRPr="00AD1D7C">
        <w:rPr>
          <w:rFonts w:cs="FrankRuehl" w:hint="cs"/>
          <w:szCs w:val="26"/>
          <w:rtl/>
        </w:rPr>
        <w:t xml:space="preserve">יש </w:t>
      </w:r>
      <w:r w:rsidRPr="00AD1D7C">
        <w:rPr>
          <w:rFonts w:cs="FrankRuehl"/>
          <w:szCs w:val="26"/>
          <w:rtl/>
        </w:rPr>
        <w:t>לגזור את עונשו של הנאשם בהתאם לעקרונות שנקבעו בתיקון 113 ל</w:t>
      </w:r>
      <w:hyperlink r:id="rId25" w:history="1">
        <w:r w:rsidRPr="00AD1D7C">
          <w:rPr>
            <w:rFonts w:cs="FrankRuehl"/>
            <w:szCs w:val="26"/>
            <w:rtl/>
          </w:rPr>
          <w:t>חוק העונשין</w:t>
        </w:r>
      </w:hyperlink>
      <w:r w:rsidRPr="00AD1D7C">
        <w:rPr>
          <w:rFonts w:cs="FrankRuehl"/>
          <w:szCs w:val="26"/>
          <w:rtl/>
        </w:rPr>
        <w:t xml:space="preserve"> – על פי העובדות שנקבעו בהכרעת הדין על ידי</w:t>
      </w:r>
      <w:r w:rsidRPr="00AD1D7C">
        <w:rPr>
          <w:rFonts w:cs="FrankRuehl" w:hint="cs"/>
          <w:szCs w:val="26"/>
          <w:rtl/>
        </w:rPr>
        <w:t xml:space="preserve"> בית המשפט</w:t>
      </w:r>
      <w:r w:rsidRPr="00AD1D7C">
        <w:rPr>
          <w:rFonts w:cs="FrankRuehl"/>
          <w:szCs w:val="26"/>
          <w:rtl/>
        </w:rPr>
        <w:t xml:space="preserve"> אשר היא המשקפת את הכרעת</w:t>
      </w:r>
      <w:r w:rsidRPr="00AD1D7C">
        <w:rPr>
          <w:rFonts w:cs="FrankRuehl" w:hint="cs"/>
          <w:szCs w:val="26"/>
          <w:rtl/>
        </w:rPr>
        <w:t xml:space="preserve"> בית המשפט</w:t>
      </w:r>
      <w:r w:rsidRPr="00AD1D7C">
        <w:rPr>
          <w:rFonts w:cs="FrankRuehl"/>
          <w:szCs w:val="26"/>
          <w:rtl/>
        </w:rPr>
        <w:t xml:space="preserve"> ביחס למעשיו של הנאשם. במצב זה, הכרעת הדין היא-היא משקפת את המצב הראייתי בתוצאה אליה הגיע בית משפט קמא, וגזירת העונש תיעשה על פי ממצאי הכרעת הדין. שונים הדברים כאשר הסדר הטיעון נגזר מקשיים ראייתיים ובין היתר מהערכות סיכון-סיכוי של כל צד.</w:t>
      </w:r>
    </w:p>
    <w:p w14:paraId="4C7632C8" w14:textId="77777777" w:rsidR="00AD1D7C" w:rsidRPr="00AD1D7C" w:rsidRDefault="00AD1D7C" w:rsidP="00AD1D7C">
      <w:pPr>
        <w:pBdr>
          <w:top w:val="single" w:sz="4" w:space="1" w:color="auto"/>
          <w:bottom w:val="single" w:sz="4" w:space="1" w:color="auto"/>
        </w:pBdr>
        <w:spacing w:after="120" w:line="320" w:lineRule="exact"/>
        <w:jc w:val="both"/>
        <w:rPr>
          <w:rFonts w:cs="FrankRuehl"/>
          <w:szCs w:val="26"/>
          <w:rtl/>
        </w:rPr>
      </w:pPr>
      <w:r w:rsidRPr="00AD1D7C">
        <w:rPr>
          <w:rFonts w:cs="FrankRuehl" w:hint="eastAsia"/>
          <w:szCs w:val="26"/>
          <w:rtl/>
        </w:rPr>
        <w:t>בשים</w:t>
      </w:r>
      <w:r w:rsidRPr="00AD1D7C">
        <w:rPr>
          <w:rFonts w:cs="FrankRuehl"/>
          <w:szCs w:val="26"/>
          <w:rtl/>
        </w:rPr>
        <w:t xml:space="preserve"> </w:t>
      </w:r>
      <w:r w:rsidRPr="00AD1D7C">
        <w:rPr>
          <w:rFonts w:cs="FrankRuehl" w:hint="eastAsia"/>
          <w:szCs w:val="26"/>
          <w:rtl/>
        </w:rPr>
        <w:t>לב</w:t>
      </w:r>
      <w:r w:rsidRPr="00AD1D7C">
        <w:rPr>
          <w:rFonts w:cs="FrankRuehl"/>
          <w:szCs w:val="26"/>
          <w:rtl/>
        </w:rPr>
        <w:t xml:space="preserve"> </w:t>
      </w:r>
      <w:r w:rsidRPr="00AD1D7C">
        <w:rPr>
          <w:rFonts w:cs="FrankRuehl" w:hint="eastAsia"/>
          <w:szCs w:val="26"/>
          <w:rtl/>
        </w:rPr>
        <w:t>לנסיבות</w:t>
      </w:r>
      <w:r w:rsidRPr="00AD1D7C">
        <w:rPr>
          <w:rFonts w:cs="FrankRuehl"/>
          <w:szCs w:val="26"/>
          <w:rtl/>
        </w:rPr>
        <w:t xml:space="preserve"> </w:t>
      </w:r>
      <w:r w:rsidRPr="00AD1D7C">
        <w:rPr>
          <w:rFonts w:cs="FrankRuehl" w:hint="eastAsia"/>
          <w:szCs w:val="26"/>
          <w:rtl/>
        </w:rPr>
        <w:t>ביצוע</w:t>
      </w:r>
      <w:r w:rsidRPr="00AD1D7C">
        <w:rPr>
          <w:rFonts w:cs="FrankRuehl"/>
          <w:szCs w:val="26"/>
          <w:rtl/>
        </w:rPr>
        <w:t xml:space="preserve"> </w:t>
      </w:r>
      <w:r w:rsidRPr="00AD1D7C">
        <w:rPr>
          <w:rFonts w:cs="FrankRuehl" w:hint="eastAsia"/>
          <w:szCs w:val="26"/>
          <w:rtl/>
        </w:rPr>
        <w:t>העבירות</w:t>
      </w:r>
      <w:r w:rsidRPr="00AD1D7C">
        <w:rPr>
          <w:rFonts w:cs="FrankRuehl"/>
          <w:szCs w:val="26"/>
          <w:rtl/>
        </w:rPr>
        <w:t xml:space="preserve">, </w:t>
      </w:r>
      <w:r w:rsidRPr="00AD1D7C">
        <w:rPr>
          <w:rFonts w:cs="FrankRuehl" w:hint="eastAsia"/>
          <w:szCs w:val="26"/>
          <w:rtl/>
        </w:rPr>
        <w:t>בהתחשב</w:t>
      </w:r>
      <w:r w:rsidRPr="00AD1D7C">
        <w:rPr>
          <w:rFonts w:cs="FrankRuehl"/>
          <w:szCs w:val="26"/>
          <w:rtl/>
        </w:rPr>
        <w:t xml:space="preserve"> </w:t>
      </w:r>
      <w:r w:rsidRPr="00AD1D7C">
        <w:rPr>
          <w:rFonts w:cs="FrankRuehl" w:hint="eastAsia"/>
          <w:szCs w:val="26"/>
          <w:rtl/>
        </w:rPr>
        <w:t>במידת</w:t>
      </w:r>
      <w:r w:rsidRPr="00AD1D7C">
        <w:rPr>
          <w:rFonts w:cs="FrankRuehl"/>
          <w:szCs w:val="26"/>
          <w:rtl/>
        </w:rPr>
        <w:t xml:space="preserve"> </w:t>
      </w:r>
      <w:r w:rsidRPr="00AD1D7C">
        <w:rPr>
          <w:rFonts w:cs="FrankRuehl" w:hint="eastAsia"/>
          <w:szCs w:val="26"/>
          <w:rtl/>
        </w:rPr>
        <w:t>הפגיעה</w:t>
      </w:r>
      <w:r w:rsidRPr="00AD1D7C">
        <w:rPr>
          <w:rFonts w:cs="FrankRuehl"/>
          <w:szCs w:val="26"/>
          <w:rtl/>
        </w:rPr>
        <w:t xml:space="preserve"> </w:t>
      </w:r>
      <w:r w:rsidRPr="00AD1D7C">
        <w:rPr>
          <w:rFonts w:cs="FrankRuehl" w:hint="eastAsia"/>
          <w:szCs w:val="26"/>
          <w:rtl/>
        </w:rPr>
        <w:t>של</w:t>
      </w:r>
      <w:r w:rsidRPr="00AD1D7C">
        <w:rPr>
          <w:rFonts w:cs="FrankRuehl"/>
          <w:szCs w:val="26"/>
          <w:rtl/>
        </w:rPr>
        <w:t xml:space="preserve"> </w:t>
      </w:r>
      <w:r w:rsidRPr="00AD1D7C">
        <w:rPr>
          <w:rFonts w:cs="FrankRuehl" w:hint="eastAsia"/>
          <w:szCs w:val="26"/>
          <w:rtl/>
        </w:rPr>
        <w:t>הנאשם</w:t>
      </w:r>
      <w:r w:rsidRPr="00AD1D7C">
        <w:rPr>
          <w:rFonts w:cs="FrankRuehl"/>
          <w:szCs w:val="26"/>
          <w:rtl/>
        </w:rPr>
        <w:t xml:space="preserve"> </w:t>
      </w:r>
      <w:r w:rsidRPr="00AD1D7C">
        <w:rPr>
          <w:rFonts w:cs="FrankRuehl" w:hint="eastAsia"/>
          <w:szCs w:val="26"/>
          <w:rtl/>
        </w:rPr>
        <w:t>בערכים</w:t>
      </w:r>
      <w:r w:rsidRPr="00AD1D7C">
        <w:rPr>
          <w:rFonts w:cs="FrankRuehl"/>
          <w:szCs w:val="26"/>
          <w:rtl/>
        </w:rPr>
        <w:t xml:space="preserve"> </w:t>
      </w:r>
      <w:r w:rsidRPr="00AD1D7C">
        <w:rPr>
          <w:rFonts w:cs="FrankRuehl" w:hint="eastAsia"/>
          <w:szCs w:val="26"/>
          <w:rtl/>
        </w:rPr>
        <w:t>החברתיים</w:t>
      </w:r>
      <w:r w:rsidRPr="00AD1D7C">
        <w:rPr>
          <w:rFonts w:cs="FrankRuehl"/>
          <w:szCs w:val="26"/>
          <w:rtl/>
        </w:rPr>
        <w:t xml:space="preserve">, </w:t>
      </w:r>
      <w:r w:rsidRPr="00AD1D7C">
        <w:rPr>
          <w:rFonts w:cs="FrankRuehl" w:hint="eastAsia"/>
          <w:szCs w:val="26"/>
          <w:rtl/>
        </w:rPr>
        <w:t>ולאור</w:t>
      </w:r>
      <w:r w:rsidRPr="00AD1D7C">
        <w:rPr>
          <w:rFonts w:cs="FrankRuehl"/>
          <w:szCs w:val="26"/>
          <w:rtl/>
        </w:rPr>
        <w:t xml:space="preserve"> </w:t>
      </w:r>
      <w:r w:rsidRPr="00AD1D7C">
        <w:rPr>
          <w:rFonts w:cs="FrankRuehl" w:hint="eastAsia"/>
          <w:szCs w:val="26"/>
          <w:rtl/>
        </w:rPr>
        <w:t>מדיניות</w:t>
      </w:r>
      <w:r w:rsidRPr="00AD1D7C">
        <w:rPr>
          <w:rFonts w:cs="FrankRuehl"/>
          <w:szCs w:val="26"/>
          <w:rtl/>
        </w:rPr>
        <w:t xml:space="preserve"> </w:t>
      </w:r>
      <w:r w:rsidRPr="00AD1D7C">
        <w:rPr>
          <w:rFonts w:cs="FrankRuehl" w:hint="eastAsia"/>
          <w:szCs w:val="26"/>
          <w:rtl/>
        </w:rPr>
        <w:t>הענישה</w:t>
      </w:r>
      <w:r w:rsidRPr="00AD1D7C">
        <w:rPr>
          <w:rFonts w:cs="FrankRuehl"/>
          <w:szCs w:val="26"/>
          <w:rtl/>
        </w:rPr>
        <w:t xml:space="preserve"> </w:t>
      </w:r>
      <w:r w:rsidRPr="00AD1D7C">
        <w:rPr>
          <w:rFonts w:cs="FrankRuehl" w:hint="eastAsia"/>
          <w:szCs w:val="26"/>
          <w:rtl/>
        </w:rPr>
        <w:t>הנהוגה</w:t>
      </w:r>
      <w:r w:rsidRPr="00AD1D7C">
        <w:rPr>
          <w:rFonts w:cs="FrankRuehl"/>
          <w:szCs w:val="26"/>
          <w:rtl/>
        </w:rPr>
        <w:t xml:space="preserve">, </w:t>
      </w:r>
      <w:r w:rsidRPr="00AD1D7C">
        <w:rPr>
          <w:rFonts w:cs="FrankRuehl" w:hint="cs"/>
          <w:szCs w:val="26"/>
          <w:rtl/>
        </w:rPr>
        <w:t>יש</w:t>
      </w:r>
      <w:r w:rsidRPr="00AD1D7C">
        <w:rPr>
          <w:rFonts w:cs="FrankRuehl"/>
          <w:szCs w:val="26"/>
          <w:rtl/>
        </w:rPr>
        <w:t xml:space="preserve"> </w:t>
      </w:r>
      <w:r w:rsidRPr="00AD1D7C">
        <w:rPr>
          <w:rFonts w:cs="FrankRuehl" w:hint="eastAsia"/>
          <w:szCs w:val="26"/>
          <w:rtl/>
        </w:rPr>
        <w:t>לקבוע</w:t>
      </w:r>
      <w:r w:rsidRPr="00AD1D7C">
        <w:rPr>
          <w:rFonts w:cs="FrankRuehl"/>
          <w:szCs w:val="26"/>
          <w:rtl/>
        </w:rPr>
        <w:t xml:space="preserve"> </w:t>
      </w:r>
      <w:r w:rsidRPr="00AD1D7C">
        <w:rPr>
          <w:rFonts w:cs="FrankRuehl" w:hint="eastAsia"/>
          <w:szCs w:val="26"/>
          <w:rtl/>
        </w:rPr>
        <w:t>את</w:t>
      </w:r>
      <w:r w:rsidRPr="00AD1D7C">
        <w:rPr>
          <w:rFonts w:cs="FrankRuehl"/>
          <w:szCs w:val="26"/>
          <w:rtl/>
        </w:rPr>
        <w:t xml:space="preserve"> </w:t>
      </w:r>
      <w:r w:rsidRPr="00AD1D7C">
        <w:rPr>
          <w:rFonts w:cs="FrankRuehl" w:hint="eastAsia"/>
          <w:szCs w:val="26"/>
          <w:rtl/>
        </w:rPr>
        <w:t>מתחם</w:t>
      </w:r>
      <w:r w:rsidRPr="00AD1D7C">
        <w:rPr>
          <w:rFonts w:cs="FrankRuehl"/>
          <w:szCs w:val="26"/>
          <w:rtl/>
        </w:rPr>
        <w:t xml:space="preserve"> </w:t>
      </w:r>
      <w:r w:rsidRPr="00AD1D7C">
        <w:rPr>
          <w:rFonts w:cs="FrankRuehl" w:hint="eastAsia"/>
          <w:szCs w:val="26"/>
          <w:rtl/>
        </w:rPr>
        <w:t>העונש</w:t>
      </w:r>
      <w:r w:rsidRPr="00AD1D7C">
        <w:rPr>
          <w:rFonts w:cs="FrankRuehl"/>
          <w:szCs w:val="26"/>
          <w:rtl/>
        </w:rPr>
        <w:t xml:space="preserve"> </w:t>
      </w:r>
      <w:r w:rsidRPr="00AD1D7C">
        <w:rPr>
          <w:rFonts w:cs="FrankRuehl" w:hint="eastAsia"/>
          <w:szCs w:val="26"/>
          <w:rtl/>
        </w:rPr>
        <w:t>ההולם</w:t>
      </w:r>
      <w:r w:rsidRPr="00AD1D7C">
        <w:rPr>
          <w:rFonts w:cs="FrankRuehl"/>
          <w:szCs w:val="26"/>
          <w:rtl/>
        </w:rPr>
        <w:t xml:space="preserve"> </w:t>
      </w:r>
      <w:r w:rsidRPr="00AD1D7C">
        <w:rPr>
          <w:rFonts w:cs="FrankRuehl" w:hint="eastAsia"/>
          <w:szCs w:val="26"/>
          <w:rtl/>
        </w:rPr>
        <w:t>בין</w:t>
      </w:r>
      <w:r w:rsidRPr="00AD1D7C">
        <w:rPr>
          <w:rFonts w:cs="FrankRuehl"/>
          <w:szCs w:val="26"/>
          <w:rtl/>
        </w:rPr>
        <w:t xml:space="preserve"> 14 </w:t>
      </w:r>
      <w:r w:rsidRPr="00AD1D7C">
        <w:rPr>
          <w:rFonts w:cs="FrankRuehl" w:hint="eastAsia"/>
          <w:szCs w:val="26"/>
          <w:rtl/>
        </w:rPr>
        <w:t>לבין</w:t>
      </w:r>
      <w:r w:rsidRPr="00AD1D7C">
        <w:rPr>
          <w:rFonts w:cs="FrankRuehl"/>
          <w:szCs w:val="26"/>
          <w:rtl/>
        </w:rPr>
        <w:t xml:space="preserve"> 17 </w:t>
      </w:r>
      <w:r w:rsidRPr="00AD1D7C">
        <w:rPr>
          <w:rFonts w:cs="FrankRuehl" w:hint="eastAsia"/>
          <w:szCs w:val="26"/>
          <w:rtl/>
        </w:rPr>
        <w:t>שנות</w:t>
      </w:r>
      <w:r w:rsidRPr="00AD1D7C">
        <w:rPr>
          <w:rFonts w:cs="FrankRuehl"/>
          <w:szCs w:val="26"/>
          <w:rtl/>
        </w:rPr>
        <w:t xml:space="preserve"> </w:t>
      </w:r>
      <w:r w:rsidRPr="00AD1D7C">
        <w:rPr>
          <w:rFonts w:cs="FrankRuehl" w:hint="eastAsia"/>
          <w:szCs w:val="26"/>
          <w:rtl/>
        </w:rPr>
        <w:t>מאסר</w:t>
      </w:r>
      <w:r w:rsidRPr="00AD1D7C">
        <w:rPr>
          <w:rFonts w:cs="FrankRuehl"/>
          <w:szCs w:val="26"/>
          <w:rtl/>
        </w:rPr>
        <w:t xml:space="preserve">, </w:t>
      </w:r>
      <w:r w:rsidRPr="00AD1D7C">
        <w:rPr>
          <w:rFonts w:cs="FrankRuehl" w:hint="eastAsia"/>
          <w:szCs w:val="26"/>
          <w:rtl/>
        </w:rPr>
        <w:t>לצד</w:t>
      </w:r>
      <w:r w:rsidRPr="00AD1D7C">
        <w:rPr>
          <w:rFonts w:cs="FrankRuehl"/>
          <w:szCs w:val="26"/>
          <w:rtl/>
        </w:rPr>
        <w:t xml:space="preserve"> </w:t>
      </w:r>
      <w:r w:rsidRPr="00AD1D7C">
        <w:rPr>
          <w:rFonts w:cs="FrankRuehl" w:hint="eastAsia"/>
          <w:szCs w:val="26"/>
          <w:rtl/>
        </w:rPr>
        <w:t>מאסר</w:t>
      </w:r>
      <w:r w:rsidRPr="00AD1D7C">
        <w:rPr>
          <w:rFonts w:cs="FrankRuehl"/>
          <w:szCs w:val="26"/>
          <w:rtl/>
        </w:rPr>
        <w:t xml:space="preserve"> </w:t>
      </w:r>
      <w:r w:rsidRPr="00AD1D7C">
        <w:rPr>
          <w:rFonts w:cs="FrankRuehl" w:hint="eastAsia"/>
          <w:szCs w:val="26"/>
          <w:rtl/>
        </w:rPr>
        <w:t>ממושך</w:t>
      </w:r>
      <w:r w:rsidRPr="00AD1D7C">
        <w:rPr>
          <w:rFonts w:cs="FrankRuehl"/>
          <w:szCs w:val="26"/>
          <w:rtl/>
        </w:rPr>
        <w:t xml:space="preserve"> </w:t>
      </w:r>
      <w:r w:rsidRPr="00AD1D7C">
        <w:rPr>
          <w:rFonts w:cs="FrankRuehl" w:hint="eastAsia"/>
          <w:szCs w:val="26"/>
          <w:rtl/>
        </w:rPr>
        <w:t>על</w:t>
      </w:r>
      <w:r w:rsidRPr="00AD1D7C">
        <w:rPr>
          <w:rFonts w:cs="FrankRuehl"/>
          <w:szCs w:val="26"/>
          <w:rtl/>
        </w:rPr>
        <w:t xml:space="preserve"> </w:t>
      </w:r>
      <w:r w:rsidRPr="00AD1D7C">
        <w:rPr>
          <w:rFonts w:cs="FrankRuehl" w:hint="eastAsia"/>
          <w:szCs w:val="26"/>
          <w:rtl/>
        </w:rPr>
        <w:t>תנאי</w:t>
      </w:r>
      <w:r w:rsidRPr="00AD1D7C">
        <w:rPr>
          <w:rFonts w:cs="FrankRuehl"/>
          <w:szCs w:val="26"/>
          <w:rtl/>
        </w:rPr>
        <w:t xml:space="preserve"> </w:t>
      </w:r>
      <w:r w:rsidRPr="00AD1D7C">
        <w:rPr>
          <w:rFonts w:cs="FrankRuehl" w:hint="eastAsia"/>
          <w:szCs w:val="26"/>
          <w:rtl/>
        </w:rPr>
        <w:t>ופיצוי</w:t>
      </w:r>
      <w:r>
        <w:rPr>
          <w:rFonts w:cs="FrankRuehl"/>
          <w:szCs w:val="26"/>
          <w:rtl/>
        </w:rPr>
        <w:t xml:space="preserve"> </w:t>
      </w:r>
      <w:r w:rsidRPr="00AD1D7C">
        <w:rPr>
          <w:rFonts w:cs="FrankRuehl" w:hint="eastAsia"/>
          <w:szCs w:val="26"/>
          <w:rtl/>
        </w:rPr>
        <w:t>למשפחת</w:t>
      </w:r>
      <w:r w:rsidRPr="00AD1D7C">
        <w:rPr>
          <w:rFonts w:cs="FrankRuehl"/>
          <w:szCs w:val="26"/>
          <w:rtl/>
        </w:rPr>
        <w:t xml:space="preserve"> </w:t>
      </w:r>
      <w:r w:rsidRPr="00AD1D7C">
        <w:rPr>
          <w:rFonts w:cs="FrankRuehl" w:hint="eastAsia"/>
          <w:szCs w:val="26"/>
          <w:rtl/>
        </w:rPr>
        <w:t>המנוח</w:t>
      </w:r>
      <w:r w:rsidRPr="00AD1D7C">
        <w:rPr>
          <w:rFonts w:cs="FrankRuehl"/>
          <w:szCs w:val="26"/>
          <w:rtl/>
        </w:rPr>
        <w:t xml:space="preserve">. </w:t>
      </w:r>
    </w:p>
    <w:p w14:paraId="6D86F5E6" w14:textId="77777777" w:rsidR="00AD1D7C" w:rsidRPr="00AD1D7C" w:rsidRDefault="00AD1D7C" w:rsidP="00AD1D7C">
      <w:pPr>
        <w:pBdr>
          <w:top w:val="single" w:sz="4" w:space="1" w:color="auto"/>
          <w:bottom w:val="single" w:sz="4" w:space="1" w:color="auto"/>
        </w:pBdr>
        <w:spacing w:after="120" w:line="320" w:lineRule="exact"/>
        <w:jc w:val="both"/>
        <w:rPr>
          <w:rFonts w:cs="FrankRuehl"/>
          <w:szCs w:val="26"/>
          <w:rtl/>
        </w:rPr>
      </w:pPr>
      <w:r w:rsidRPr="00AD1D7C">
        <w:rPr>
          <w:rFonts w:cs="FrankRuehl" w:hint="eastAsia"/>
          <w:szCs w:val="26"/>
          <w:rtl/>
        </w:rPr>
        <w:t>נוכח</w:t>
      </w:r>
      <w:r w:rsidRPr="00AD1D7C">
        <w:rPr>
          <w:rFonts w:cs="FrankRuehl"/>
          <w:szCs w:val="26"/>
          <w:rtl/>
        </w:rPr>
        <w:t xml:space="preserve"> </w:t>
      </w:r>
      <w:r w:rsidRPr="00AD1D7C">
        <w:rPr>
          <w:rFonts w:cs="FrankRuehl" w:hint="eastAsia"/>
          <w:szCs w:val="26"/>
          <w:rtl/>
        </w:rPr>
        <w:t>הנזק</w:t>
      </w:r>
      <w:r w:rsidRPr="00AD1D7C">
        <w:rPr>
          <w:rFonts w:cs="FrankRuehl"/>
          <w:szCs w:val="26"/>
          <w:rtl/>
        </w:rPr>
        <w:t xml:space="preserve"> </w:t>
      </w:r>
      <w:r w:rsidRPr="00AD1D7C">
        <w:rPr>
          <w:rFonts w:cs="FrankRuehl" w:hint="eastAsia"/>
          <w:szCs w:val="26"/>
          <w:rtl/>
        </w:rPr>
        <w:t>הרב</w:t>
      </w:r>
      <w:r w:rsidRPr="00AD1D7C">
        <w:rPr>
          <w:rFonts w:cs="FrankRuehl"/>
          <w:szCs w:val="26"/>
          <w:rtl/>
        </w:rPr>
        <w:t xml:space="preserve"> </w:t>
      </w:r>
      <w:r w:rsidRPr="00AD1D7C">
        <w:rPr>
          <w:rFonts w:cs="FrankRuehl" w:hint="eastAsia"/>
          <w:szCs w:val="26"/>
          <w:rtl/>
        </w:rPr>
        <w:t>אשר</w:t>
      </w:r>
      <w:r w:rsidRPr="00AD1D7C">
        <w:rPr>
          <w:rFonts w:cs="FrankRuehl"/>
          <w:szCs w:val="26"/>
          <w:rtl/>
        </w:rPr>
        <w:t xml:space="preserve"> </w:t>
      </w:r>
      <w:r w:rsidRPr="00AD1D7C">
        <w:rPr>
          <w:rFonts w:cs="FrankRuehl" w:hint="eastAsia"/>
          <w:szCs w:val="26"/>
          <w:rtl/>
        </w:rPr>
        <w:t>נגרם</w:t>
      </w:r>
      <w:r w:rsidRPr="00AD1D7C">
        <w:rPr>
          <w:rFonts w:cs="FrankRuehl"/>
          <w:szCs w:val="26"/>
          <w:rtl/>
        </w:rPr>
        <w:t xml:space="preserve"> </w:t>
      </w:r>
      <w:r w:rsidRPr="00AD1D7C">
        <w:rPr>
          <w:rFonts w:cs="FrankRuehl" w:hint="eastAsia"/>
          <w:szCs w:val="26"/>
          <w:rtl/>
        </w:rPr>
        <w:t>למשפחת</w:t>
      </w:r>
      <w:r w:rsidRPr="00AD1D7C">
        <w:rPr>
          <w:rFonts w:cs="FrankRuehl"/>
          <w:szCs w:val="26"/>
          <w:rtl/>
        </w:rPr>
        <w:t xml:space="preserve"> </w:t>
      </w:r>
      <w:r w:rsidRPr="00AD1D7C">
        <w:rPr>
          <w:rFonts w:cs="FrankRuehl" w:hint="eastAsia"/>
          <w:szCs w:val="26"/>
          <w:rtl/>
        </w:rPr>
        <w:t>המנוח</w:t>
      </w:r>
      <w:r w:rsidRPr="00AD1D7C">
        <w:rPr>
          <w:rFonts w:cs="FrankRuehl"/>
          <w:szCs w:val="26"/>
          <w:rtl/>
        </w:rPr>
        <w:t xml:space="preserve">, </w:t>
      </w:r>
      <w:r w:rsidRPr="00AD1D7C">
        <w:rPr>
          <w:rFonts w:cs="FrankRuehl" w:hint="eastAsia"/>
          <w:szCs w:val="26"/>
          <w:rtl/>
        </w:rPr>
        <w:t>וכאשר</w:t>
      </w:r>
      <w:r w:rsidRPr="00AD1D7C">
        <w:rPr>
          <w:rFonts w:cs="FrankRuehl"/>
          <w:szCs w:val="26"/>
          <w:rtl/>
        </w:rPr>
        <w:t xml:space="preserve"> </w:t>
      </w:r>
      <w:r w:rsidRPr="00AD1D7C">
        <w:rPr>
          <w:rFonts w:cs="FrankRuehl" w:hint="eastAsia"/>
          <w:szCs w:val="26"/>
          <w:rtl/>
        </w:rPr>
        <w:t>מצבו</w:t>
      </w:r>
      <w:r w:rsidRPr="00AD1D7C">
        <w:rPr>
          <w:rFonts w:cs="FrankRuehl"/>
          <w:szCs w:val="26"/>
          <w:rtl/>
        </w:rPr>
        <w:t xml:space="preserve"> </w:t>
      </w:r>
      <w:r w:rsidRPr="00AD1D7C">
        <w:rPr>
          <w:rFonts w:cs="FrankRuehl" w:hint="eastAsia"/>
          <w:szCs w:val="26"/>
          <w:rtl/>
        </w:rPr>
        <w:t>הכלכלי</w:t>
      </w:r>
      <w:r w:rsidRPr="00AD1D7C">
        <w:rPr>
          <w:rFonts w:cs="FrankRuehl"/>
          <w:szCs w:val="26"/>
          <w:rtl/>
        </w:rPr>
        <w:t xml:space="preserve"> </w:t>
      </w:r>
      <w:r w:rsidRPr="00AD1D7C">
        <w:rPr>
          <w:rFonts w:cs="FrankRuehl" w:hint="eastAsia"/>
          <w:szCs w:val="26"/>
          <w:rtl/>
        </w:rPr>
        <w:t>של</w:t>
      </w:r>
      <w:r w:rsidRPr="00AD1D7C">
        <w:rPr>
          <w:rFonts w:cs="FrankRuehl"/>
          <w:szCs w:val="26"/>
          <w:rtl/>
        </w:rPr>
        <w:t xml:space="preserve"> </w:t>
      </w:r>
      <w:r w:rsidRPr="00AD1D7C">
        <w:rPr>
          <w:rFonts w:cs="FrankRuehl" w:hint="eastAsia"/>
          <w:szCs w:val="26"/>
          <w:rtl/>
        </w:rPr>
        <w:t>הנאשם</w:t>
      </w:r>
      <w:r w:rsidRPr="00AD1D7C">
        <w:rPr>
          <w:rFonts w:cs="FrankRuehl"/>
          <w:szCs w:val="26"/>
          <w:rtl/>
        </w:rPr>
        <w:t xml:space="preserve"> </w:t>
      </w:r>
      <w:r w:rsidRPr="00AD1D7C">
        <w:rPr>
          <w:rFonts w:cs="FrankRuehl" w:hint="eastAsia"/>
          <w:szCs w:val="26"/>
          <w:rtl/>
        </w:rPr>
        <w:t>אינו</w:t>
      </w:r>
      <w:r w:rsidRPr="00AD1D7C">
        <w:rPr>
          <w:rFonts w:cs="FrankRuehl"/>
          <w:szCs w:val="26"/>
          <w:rtl/>
        </w:rPr>
        <w:t xml:space="preserve"> </w:t>
      </w:r>
      <w:r w:rsidRPr="00AD1D7C">
        <w:rPr>
          <w:rFonts w:cs="FrankRuehl" w:hint="eastAsia"/>
          <w:szCs w:val="26"/>
          <w:rtl/>
        </w:rPr>
        <w:t>מהווה</w:t>
      </w:r>
      <w:r w:rsidRPr="00AD1D7C">
        <w:rPr>
          <w:rFonts w:cs="FrankRuehl"/>
          <w:szCs w:val="26"/>
          <w:rtl/>
        </w:rPr>
        <w:t xml:space="preserve"> </w:t>
      </w:r>
      <w:r w:rsidRPr="00AD1D7C">
        <w:rPr>
          <w:rFonts w:cs="FrankRuehl" w:hint="eastAsia"/>
          <w:szCs w:val="26"/>
          <w:rtl/>
        </w:rPr>
        <w:t>שיקול</w:t>
      </w:r>
      <w:r w:rsidRPr="00AD1D7C">
        <w:rPr>
          <w:rFonts w:cs="FrankRuehl"/>
          <w:szCs w:val="26"/>
          <w:rtl/>
        </w:rPr>
        <w:t xml:space="preserve"> </w:t>
      </w:r>
      <w:r w:rsidRPr="00AD1D7C">
        <w:rPr>
          <w:rFonts w:cs="FrankRuehl" w:hint="eastAsia"/>
          <w:szCs w:val="26"/>
          <w:rtl/>
        </w:rPr>
        <w:t>לאומדן</w:t>
      </w:r>
      <w:r w:rsidRPr="00AD1D7C">
        <w:rPr>
          <w:rFonts w:cs="FrankRuehl"/>
          <w:szCs w:val="26"/>
          <w:rtl/>
        </w:rPr>
        <w:t xml:space="preserve"> </w:t>
      </w:r>
      <w:r w:rsidRPr="00AD1D7C">
        <w:rPr>
          <w:rFonts w:cs="FrankRuehl" w:hint="eastAsia"/>
          <w:szCs w:val="26"/>
          <w:rtl/>
        </w:rPr>
        <w:t>הפיצוי</w:t>
      </w:r>
      <w:r w:rsidRPr="00AD1D7C">
        <w:rPr>
          <w:rFonts w:cs="FrankRuehl"/>
          <w:szCs w:val="26"/>
          <w:rtl/>
        </w:rPr>
        <w:t xml:space="preserve">, </w:t>
      </w:r>
      <w:r w:rsidRPr="00AD1D7C">
        <w:rPr>
          <w:rFonts w:cs="FrankRuehl" w:hint="eastAsia"/>
          <w:szCs w:val="26"/>
          <w:rtl/>
        </w:rPr>
        <w:t>יש</w:t>
      </w:r>
      <w:r w:rsidRPr="00AD1D7C">
        <w:rPr>
          <w:rFonts w:cs="FrankRuehl"/>
          <w:szCs w:val="26"/>
          <w:rtl/>
        </w:rPr>
        <w:t xml:space="preserve"> </w:t>
      </w:r>
      <w:r w:rsidRPr="00AD1D7C">
        <w:rPr>
          <w:rFonts w:cs="FrankRuehl" w:hint="eastAsia"/>
          <w:szCs w:val="26"/>
          <w:rtl/>
        </w:rPr>
        <w:t>להשית</w:t>
      </w:r>
      <w:r w:rsidRPr="00AD1D7C">
        <w:rPr>
          <w:rFonts w:cs="FrankRuehl"/>
          <w:szCs w:val="26"/>
          <w:rtl/>
        </w:rPr>
        <w:t xml:space="preserve"> </w:t>
      </w:r>
      <w:r w:rsidRPr="00AD1D7C">
        <w:rPr>
          <w:rFonts w:cs="FrankRuehl" w:hint="eastAsia"/>
          <w:szCs w:val="26"/>
          <w:rtl/>
        </w:rPr>
        <w:t>על</w:t>
      </w:r>
      <w:r w:rsidRPr="00AD1D7C">
        <w:rPr>
          <w:rFonts w:cs="FrankRuehl"/>
          <w:szCs w:val="26"/>
          <w:rtl/>
        </w:rPr>
        <w:t xml:space="preserve"> </w:t>
      </w:r>
      <w:r w:rsidRPr="00AD1D7C">
        <w:rPr>
          <w:rFonts w:cs="FrankRuehl" w:hint="eastAsia"/>
          <w:szCs w:val="26"/>
          <w:rtl/>
        </w:rPr>
        <w:t>הנאשם</w:t>
      </w:r>
      <w:r w:rsidRPr="00AD1D7C">
        <w:rPr>
          <w:rFonts w:cs="FrankRuehl"/>
          <w:szCs w:val="26"/>
          <w:rtl/>
        </w:rPr>
        <w:t xml:space="preserve"> </w:t>
      </w:r>
      <w:r w:rsidRPr="00AD1D7C">
        <w:rPr>
          <w:rFonts w:cs="FrankRuehl" w:hint="eastAsia"/>
          <w:szCs w:val="26"/>
          <w:rtl/>
        </w:rPr>
        <w:t>פיצוי</w:t>
      </w:r>
      <w:r w:rsidRPr="00AD1D7C">
        <w:rPr>
          <w:rFonts w:cs="FrankRuehl"/>
          <w:szCs w:val="26"/>
          <w:rtl/>
        </w:rPr>
        <w:t xml:space="preserve"> </w:t>
      </w:r>
      <w:r w:rsidRPr="00AD1D7C">
        <w:rPr>
          <w:rFonts w:cs="FrankRuehl" w:hint="eastAsia"/>
          <w:szCs w:val="26"/>
          <w:rtl/>
        </w:rPr>
        <w:t>משמעותי</w:t>
      </w:r>
      <w:r w:rsidRPr="00AD1D7C">
        <w:rPr>
          <w:rFonts w:cs="FrankRuehl"/>
          <w:szCs w:val="26"/>
          <w:rtl/>
        </w:rPr>
        <w:t xml:space="preserve"> </w:t>
      </w:r>
      <w:r w:rsidRPr="00AD1D7C">
        <w:rPr>
          <w:rFonts w:cs="FrankRuehl" w:hint="eastAsia"/>
          <w:szCs w:val="26"/>
          <w:rtl/>
        </w:rPr>
        <w:t>בסך</w:t>
      </w:r>
      <w:r w:rsidRPr="00AD1D7C">
        <w:rPr>
          <w:rFonts w:cs="FrankRuehl"/>
          <w:szCs w:val="26"/>
          <w:rtl/>
        </w:rPr>
        <w:t xml:space="preserve"> 150,000 </w:t>
      </w:r>
      <w:r w:rsidRPr="00AD1D7C">
        <w:rPr>
          <w:rFonts w:cs="FrankRuehl" w:hint="eastAsia"/>
          <w:szCs w:val="26"/>
          <w:rtl/>
        </w:rPr>
        <w:t>₪</w:t>
      </w:r>
      <w:r w:rsidRPr="00AD1D7C">
        <w:rPr>
          <w:rFonts w:cs="FrankRuehl"/>
          <w:szCs w:val="26"/>
          <w:rtl/>
        </w:rPr>
        <w:t>.</w:t>
      </w:r>
    </w:p>
    <w:p w14:paraId="6D947130" w14:textId="77777777" w:rsidR="00AD1D7C" w:rsidRDefault="00AD1D7C" w:rsidP="00AD1D7C">
      <w:pPr>
        <w:rPr>
          <w:rFonts w:hint="cs"/>
          <w:rtl/>
        </w:rPr>
      </w:pPr>
      <w:bookmarkStart w:id="6" w:name="ABSTRACT_END"/>
      <w:bookmarkEnd w:id="6"/>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8"/>
      </w:tblGrid>
      <w:tr w:rsidR="00190E23" w:rsidRPr="00190E23" w14:paraId="5D8A900D" w14:textId="77777777" w:rsidTr="00190E23">
        <w:trPr>
          <w:trHeight w:val="355"/>
          <w:jc w:val="center"/>
        </w:trPr>
        <w:tc>
          <w:tcPr>
            <w:tcW w:w="8848" w:type="dxa"/>
            <w:tcBorders>
              <w:top w:val="nil"/>
              <w:left w:val="nil"/>
              <w:bottom w:val="nil"/>
              <w:right w:val="nil"/>
            </w:tcBorders>
            <w:shd w:val="clear" w:color="auto" w:fill="auto"/>
          </w:tcPr>
          <w:p w14:paraId="72C7295B" w14:textId="77777777" w:rsidR="00190E23" w:rsidRPr="00190E23" w:rsidRDefault="00190E23" w:rsidP="00190E23">
            <w:pPr>
              <w:widowControl w:val="0"/>
              <w:spacing w:line="360" w:lineRule="auto"/>
              <w:jc w:val="center"/>
              <w:rPr>
                <w:rFonts w:ascii="David" w:hAnsi="David"/>
                <w:bCs/>
                <w:sz w:val="32"/>
                <w:szCs w:val="32"/>
                <w:rtl/>
              </w:rPr>
            </w:pPr>
            <w:bookmarkStart w:id="7" w:name="PsakDin" w:colFirst="0" w:colLast="0"/>
            <w:bookmarkEnd w:id="0"/>
            <w:r w:rsidRPr="00190E23">
              <w:rPr>
                <w:rFonts w:ascii="David" w:hAnsi="David"/>
                <w:b/>
                <w:bCs/>
                <w:sz w:val="32"/>
                <w:szCs w:val="32"/>
                <w:rtl/>
              </w:rPr>
              <w:t>גזר דין</w:t>
            </w:r>
          </w:p>
        </w:tc>
      </w:tr>
    </w:tbl>
    <w:bookmarkEnd w:id="7"/>
    <w:p w14:paraId="27C536A3" w14:textId="77777777" w:rsidR="0037227B" w:rsidRPr="0037227B" w:rsidRDefault="0037227B" w:rsidP="006D2178">
      <w:pPr>
        <w:widowControl w:val="0"/>
        <w:spacing w:line="360" w:lineRule="auto"/>
        <w:jc w:val="both"/>
        <w:rPr>
          <w:rFonts w:ascii="David" w:hAnsi="David"/>
          <w:b/>
          <w:bCs/>
          <w:u w:val="single"/>
          <w:rtl/>
        </w:rPr>
      </w:pPr>
      <w:r w:rsidRPr="0037227B">
        <w:rPr>
          <w:rFonts w:ascii="David" w:hAnsi="David"/>
          <w:b/>
          <w:bCs/>
          <w:u w:val="single"/>
          <w:rtl/>
        </w:rPr>
        <w:t>השופטת י. רז-לוי:</w:t>
      </w:r>
    </w:p>
    <w:p w14:paraId="53CDE4FA" w14:textId="77777777" w:rsidR="0037227B" w:rsidRPr="0037227B" w:rsidRDefault="0037227B" w:rsidP="006D2178">
      <w:pPr>
        <w:widowControl w:val="0"/>
        <w:spacing w:before="240" w:line="360" w:lineRule="auto"/>
        <w:jc w:val="both"/>
        <w:rPr>
          <w:rFonts w:ascii="David" w:hAnsi="David"/>
          <w:u w:val="single"/>
          <w:rtl/>
        </w:rPr>
      </w:pPr>
      <w:r w:rsidRPr="0037227B">
        <w:rPr>
          <w:rFonts w:ascii="David" w:hAnsi="David"/>
          <w:u w:val="single"/>
          <w:rtl/>
        </w:rPr>
        <w:t xml:space="preserve">הקדמה והשתלשלות העניינים בהליך זה </w:t>
      </w:r>
    </w:p>
    <w:p w14:paraId="1CD63BE4"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ביום 02.07.2020 הורשע הנאשם, לאחר ניהול הוכחות, בעבירות של </w:t>
      </w:r>
      <w:r w:rsidRPr="0037227B">
        <w:rPr>
          <w:rFonts w:ascii="David" w:hAnsi="David"/>
          <w:b/>
          <w:bCs/>
          <w:rtl/>
        </w:rPr>
        <w:t>קשירת קשר לפשע</w:t>
      </w:r>
      <w:r w:rsidRPr="0037227B">
        <w:rPr>
          <w:rFonts w:ascii="David" w:hAnsi="David"/>
          <w:rtl/>
        </w:rPr>
        <w:t xml:space="preserve"> – עבירה לפי </w:t>
      </w:r>
      <w:hyperlink r:id="rId26" w:history="1">
        <w:r w:rsidR="00922B79" w:rsidRPr="00922B79">
          <w:rPr>
            <w:rStyle w:val="Hyperlink"/>
            <w:rFonts w:ascii="David" w:hAnsi="David"/>
            <w:rtl/>
          </w:rPr>
          <w:t>סעיף 499(א)(1)</w:t>
        </w:r>
      </w:hyperlink>
      <w:r w:rsidRPr="0037227B">
        <w:rPr>
          <w:rFonts w:ascii="David" w:hAnsi="David"/>
          <w:rtl/>
        </w:rPr>
        <w:t xml:space="preserve"> ל</w:t>
      </w:r>
      <w:hyperlink r:id="rId27" w:history="1">
        <w:r w:rsidR="00190E23" w:rsidRPr="00190E23">
          <w:rPr>
            <w:rFonts w:ascii="David" w:hAnsi="David"/>
            <w:color w:val="0000FF"/>
            <w:u w:val="single"/>
            <w:rtl/>
          </w:rPr>
          <w:t>חוק העונשין</w:t>
        </w:r>
      </w:hyperlink>
      <w:r w:rsidRPr="0037227B">
        <w:rPr>
          <w:rFonts w:ascii="David" w:hAnsi="David"/>
          <w:rtl/>
        </w:rPr>
        <w:t xml:space="preserve">; </w:t>
      </w:r>
      <w:r w:rsidRPr="0037227B">
        <w:rPr>
          <w:rFonts w:ascii="David" w:hAnsi="David"/>
          <w:b/>
          <w:bCs/>
          <w:rtl/>
        </w:rPr>
        <w:t>סיוע לרצח</w:t>
      </w:r>
      <w:r w:rsidRPr="0037227B">
        <w:rPr>
          <w:rFonts w:ascii="David" w:hAnsi="David"/>
          <w:rtl/>
        </w:rPr>
        <w:t xml:space="preserve"> – עבירה לפי </w:t>
      </w:r>
      <w:hyperlink r:id="rId28" w:history="1">
        <w:r w:rsidR="00922B79" w:rsidRPr="00922B79">
          <w:rPr>
            <w:rStyle w:val="Hyperlink"/>
            <w:rFonts w:ascii="David" w:hAnsi="David"/>
            <w:rtl/>
          </w:rPr>
          <w:t>סעיף 31</w:t>
        </w:r>
      </w:hyperlink>
      <w:r w:rsidRPr="0037227B">
        <w:rPr>
          <w:rFonts w:ascii="David" w:hAnsi="David"/>
          <w:rtl/>
        </w:rPr>
        <w:t xml:space="preserve"> + </w:t>
      </w:r>
      <w:hyperlink r:id="rId29" w:history="1">
        <w:r w:rsidR="00922B79" w:rsidRPr="00922B79">
          <w:rPr>
            <w:rStyle w:val="Hyperlink"/>
            <w:rFonts w:ascii="David" w:hAnsi="David"/>
            <w:rtl/>
          </w:rPr>
          <w:t>32(1)</w:t>
        </w:r>
      </w:hyperlink>
      <w:r w:rsidRPr="0037227B">
        <w:rPr>
          <w:rFonts w:ascii="David" w:hAnsi="David"/>
          <w:rtl/>
        </w:rPr>
        <w:t xml:space="preserve"> בנוגע לעבירה לפי </w:t>
      </w:r>
      <w:hyperlink r:id="rId30" w:history="1">
        <w:r w:rsidR="00922B79" w:rsidRPr="00922B79">
          <w:rPr>
            <w:rStyle w:val="Hyperlink"/>
            <w:rFonts w:ascii="David" w:hAnsi="David"/>
            <w:rtl/>
          </w:rPr>
          <w:t>סעיף 300(א)(2)</w:t>
        </w:r>
      </w:hyperlink>
      <w:r w:rsidRPr="0037227B">
        <w:rPr>
          <w:rFonts w:ascii="David" w:hAnsi="David"/>
          <w:rtl/>
        </w:rPr>
        <w:t xml:space="preserve"> לחוק העונשין; </w:t>
      </w:r>
      <w:r w:rsidRPr="0037227B">
        <w:rPr>
          <w:rFonts w:ascii="David" w:hAnsi="David"/>
          <w:b/>
          <w:bCs/>
          <w:rtl/>
        </w:rPr>
        <w:t>שתי עבירות של סיוע לניסיון לרצח</w:t>
      </w:r>
      <w:r w:rsidRPr="0037227B">
        <w:rPr>
          <w:rFonts w:ascii="David" w:hAnsi="David"/>
          <w:rtl/>
        </w:rPr>
        <w:t xml:space="preserve"> – עבירות לפי </w:t>
      </w:r>
      <w:hyperlink r:id="rId31" w:history="1">
        <w:r w:rsidR="00922B79" w:rsidRPr="00922B79">
          <w:rPr>
            <w:rStyle w:val="Hyperlink"/>
            <w:rFonts w:ascii="David" w:hAnsi="David"/>
            <w:rtl/>
          </w:rPr>
          <w:t>סעיף 31</w:t>
        </w:r>
      </w:hyperlink>
      <w:r w:rsidRPr="0037227B">
        <w:rPr>
          <w:rFonts w:ascii="David" w:hAnsi="David"/>
          <w:rtl/>
        </w:rPr>
        <w:t xml:space="preserve"> </w:t>
      </w:r>
      <w:r w:rsidR="00F63C45">
        <w:rPr>
          <w:rFonts w:ascii="David" w:hAnsi="David" w:hint="cs"/>
          <w:rtl/>
        </w:rPr>
        <w:t xml:space="preserve">לחוק העונשין </w:t>
      </w:r>
      <w:r w:rsidRPr="0037227B">
        <w:rPr>
          <w:rFonts w:ascii="David" w:hAnsi="David"/>
          <w:rtl/>
        </w:rPr>
        <w:t xml:space="preserve">בנוגע לעבירה לפי </w:t>
      </w:r>
      <w:hyperlink r:id="rId32" w:history="1">
        <w:r w:rsidR="00922B79" w:rsidRPr="00922B79">
          <w:rPr>
            <w:rStyle w:val="Hyperlink"/>
            <w:rFonts w:ascii="David" w:hAnsi="David"/>
            <w:rtl/>
          </w:rPr>
          <w:t>סעיף 305(1)</w:t>
        </w:r>
      </w:hyperlink>
      <w:r w:rsidRPr="0037227B">
        <w:rPr>
          <w:rFonts w:ascii="David" w:hAnsi="David"/>
          <w:rtl/>
        </w:rPr>
        <w:t xml:space="preserve"> לחוק העונשין; </w:t>
      </w:r>
      <w:r w:rsidRPr="0037227B">
        <w:rPr>
          <w:rFonts w:ascii="David" w:hAnsi="David"/>
          <w:b/>
          <w:bCs/>
          <w:rtl/>
        </w:rPr>
        <w:t>עבירות נשק (ייצור נשק)</w:t>
      </w:r>
      <w:r w:rsidRPr="0037227B">
        <w:rPr>
          <w:rFonts w:ascii="David" w:hAnsi="David"/>
          <w:rtl/>
        </w:rPr>
        <w:t xml:space="preserve">, לפי </w:t>
      </w:r>
      <w:hyperlink r:id="rId33" w:history="1">
        <w:r w:rsidR="00922B79" w:rsidRPr="00922B79">
          <w:rPr>
            <w:rStyle w:val="Hyperlink"/>
            <w:rFonts w:ascii="David" w:hAnsi="David"/>
            <w:rtl/>
          </w:rPr>
          <w:t>סעיף 144(ב2)</w:t>
        </w:r>
      </w:hyperlink>
      <w:r w:rsidRPr="0037227B">
        <w:rPr>
          <w:rFonts w:ascii="David" w:hAnsi="David"/>
          <w:rtl/>
        </w:rPr>
        <w:t xml:space="preserve"> לחוק העונשין; </w:t>
      </w:r>
      <w:r w:rsidRPr="0037227B">
        <w:rPr>
          <w:rFonts w:ascii="David" w:hAnsi="David"/>
          <w:b/>
          <w:bCs/>
          <w:rtl/>
        </w:rPr>
        <w:t>ועבירות נשק (הובלת נשק)</w:t>
      </w:r>
      <w:r w:rsidRPr="0037227B">
        <w:rPr>
          <w:rFonts w:ascii="David" w:hAnsi="David"/>
          <w:rtl/>
        </w:rPr>
        <w:t xml:space="preserve">, לפי </w:t>
      </w:r>
      <w:hyperlink r:id="rId34" w:history="1">
        <w:r w:rsidR="00922B79" w:rsidRPr="00922B79">
          <w:rPr>
            <w:rStyle w:val="Hyperlink"/>
            <w:rFonts w:ascii="David" w:hAnsi="David"/>
            <w:rtl/>
          </w:rPr>
          <w:t>סעיף 144(ב)</w:t>
        </w:r>
      </w:hyperlink>
      <w:r w:rsidRPr="0037227B">
        <w:rPr>
          <w:rFonts w:ascii="David" w:hAnsi="David"/>
          <w:rtl/>
        </w:rPr>
        <w:t xml:space="preserve"> רישא לחוק הנ"ל. </w:t>
      </w:r>
    </w:p>
    <w:p w14:paraId="61C450F9" w14:textId="77777777" w:rsidR="0037227B" w:rsidRPr="0037227B" w:rsidRDefault="0037227B" w:rsidP="00F63C45">
      <w:pPr>
        <w:widowControl w:val="0"/>
        <w:spacing w:before="240" w:after="240" w:line="360" w:lineRule="auto"/>
        <w:jc w:val="both"/>
        <w:rPr>
          <w:rFonts w:ascii="David" w:hAnsi="David"/>
          <w:rtl/>
        </w:rPr>
      </w:pPr>
      <w:r w:rsidRPr="0037227B">
        <w:rPr>
          <w:rFonts w:ascii="David" w:hAnsi="David"/>
          <w:rtl/>
        </w:rPr>
        <w:t xml:space="preserve">נציין כבר עתה כי עוד ביום 29.01.2018 ניתנה הכרעת דין בעניינו של הנאשם וארבעה נאשמים נוספים, לאחר שנכרת הסדר טיעון עם כל הנאשמים בתיק במסגרתו הנאשם הודה בעבירות של קשירת קשר לפשע, סיוע לרצח, עבירות נשק (ייצור נשק) וחבלה ופציעה בנסיבות מחמירות. </w:t>
      </w:r>
      <w:r w:rsidRPr="0037227B">
        <w:rPr>
          <w:rFonts w:ascii="David" w:hAnsi="David"/>
          <w:rtl/>
        </w:rPr>
        <w:lastRenderedPageBreak/>
        <w:t>במסגרת הסדר הטיעון הוסכם, כי הצדדים יעתרו במשותף להטיל על הנאשם עונש של 12 שנות מאסר בפועל; כאשר גם ביחס ליתר הנאשמים ההסדר כלל הסכמות עונשיות. ביחס לנאשם 1 (להלן: "</w:t>
      </w:r>
      <w:r w:rsidRPr="0037227B">
        <w:rPr>
          <w:rFonts w:ascii="David" w:hAnsi="David"/>
          <w:b/>
          <w:bCs/>
          <w:rtl/>
        </w:rPr>
        <w:t>אדרי</w:t>
      </w:r>
      <w:r w:rsidRPr="0037227B">
        <w:rPr>
          <w:rFonts w:ascii="David" w:hAnsi="David"/>
          <w:rtl/>
        </w:rPr>
        <w:t>") אשר הורשע בעבירה של סיוע לחבלה מחמירה - נידון ל- 7 שנות מאסר, הנאשמים 2 ו- 3 הודו והורשעו בעבירות של קשירת קשר לפשע, סיוע לרצח וחבלה ופציעה בנסיבות מחמירות, כאשר נאשם 2 (להלן: "</w:t>
      </w:r>
      <w:r w:rsidRPr="0037227B">
        <w:rPr>
          <w:rFonts w:ascii="David" w:hAnsi="David"/>
          <w:b/>
          <w:bCs/>
          <w:rtl/>
        </w:rPr>
        <w:t>וורו</w:t>
      </w:r>
      <w:r w:rsidRPr="0037227B">
        <w:rPr>
          <w:rFonts w:ascii="David" w:hAnsi="David"/>
          <w:rtl/>
        </w:rPr>
        <w:t>") נידון ל- 16.5 שנות מאסר, ונאשם 3 (להלן: "</w:t>
      </w:r>
      <w:r w:rsidRPr="0037227B">
        <w:rPr>
          <w:rFonts w:ascii="David" w:hAnsi="David"/>
          <w:b/>
          <w:bCs/>
          <w:rtl/>
        </w:rPr>
        <w:t>זהבי</w:t>
      </w:r>
      <w:r w:rsidRPr="0037227B">
        <w:rPr>
          <w:rFonts w:ascii="David" w:hAnsi="David"/>
          <w:rtl/>
        </w:rPr>
        <w:t>") נידון ל- 10.5 שנות מאסר. נאשם 5 (להלן: "</w:t>
      </w:r>
      <w:r w:rsidRPr="0037227B">
        <w:rPr>
          <w:rFonts w:ascii="David" w:hAnsi="David"/>
          <w:b/>
          <w:bCs/>
          <w:rtl/>
        </w:rPr>
        <w:t>שניר</w:t>
      </w:r>
      <w:r w:rsidRPr="0037227B">
        <w:rPr>
          <w:rFonts w:ascii="David" w:hAnsi="David"/>
          <w:rtl/>
        </w:rPr>
        <w:t xml:space="preserve">") </w:t>
      </w:r>
      <w:r w:rsidR="00547911">
        <w:rPr>
          <w:rFonts w:ascii="David" w:hAnsi="David" w:hint="cs"/>
          <w:rtl/>
        </w:rPr>
        <w:t xml:space="preserve">- </w:t>
      </w:r>
      <w:r w:rsidRPr="0037227B">
        <w:rPr>
          <w:rFonts w:ascii="David" w:hAnsi="David"/>
          <w:rtl/>
        </w:rPr>
        <w:t xml:space="preserve">בעניינו הוגש כתב אישום בנפרד ובמסגרת הסדר הטיעון תיקו צורף לתיק זה </w:t>
      </w:r>
      <w:r w:rsidR="00547911">
        <w:rPr>
          <w:rFonts w:ascii="David" w:hAnsi="David" w:hint="cs"/>
          <w:rtl/>
        </w:rPr>
        <w:t>ו</w:t>
      </w:r>
      <w:r w:rsidRPr="0037227B">
        <w:rPr>
          <w:rFonts w:ascii="David" w:hAnsi="David"/>
          <w:rtl/>
        </w:rPr>
        <w:t>הורשע בעבירה של רצח</w:t>
      </w:r>
      <w:r w:rsidR="00547911">
        <w:rPr>
          <w:rFonts w:ascii="David" w:hAnsi="David" w:hint="cs"/>
          <w:rtl/>
        </w:rPr>
        <w:t>,</w:t>
      </w:r>
      <w:r w:rsidRPr="0037227B">
        <w:rPr>
          <w:rFonts w:ascii="David" w:hAnsi="David"/>
          <w:rtl/>
        </w:rPr>
        <w:t xml:space="preserve"> ובעבירות נוספות של קשירת קשר לפשע וחבלה ופציעה בנסיבות מחמירות ועבירות נשק</w:t>
      </w:r>
      <w:r w:rsidR="00547911">
        <w:rPr>
          <w:rFonts w:ascii="David" w:hAnsi="David" w:hint="cs"/>
          <w:rtl/>
        </w:rPr>
        <w:t>,</w:t>
      </w:r>
      <w:r w:rsidRPr="0037227B">
        <w:rPr>
          <w:rFonts w:ascii="David" w:hAnsi="David"/>
          <w:rtl/>
        </w:rPr>
        <w:t xml:space="preserve"> ונידון למאסר עולם. </w:t>
      </w:r>
    </w:p>
    <w:p w14:paraId="436354AC"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בחלוף כארבעה חודשים הנאשם לפנינו ביקש לחזור בו מהודאתו. ביום 09.07.2018 התרנו לעשות כן ומכאן המשיך משפטו להתנהל; ובסופו של דבר הוא הורשע לאחר ניהול הוכחות בעבירות שצוינו לעיל. </w:t>
      </w:r>
    </w:p>
    <w:p w14:paraId="54B419C2"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u w:val="single"/>
          <w:rtl/>
        </w:rPr>
        <w:t>תמצית העובדות הרלוונטיות כפי שנקבעו בהכרעת הדין</w:t>
      </w:r>
    </w:p>
    <w:p w14:paraId="1C4D0810"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כעולה מהכרעת הדין וכפי שתואר בכתב האישום המתוקן, בין יוסי אדרי, לבין אחר בשם דוד קריחלי, (להלן: "</w:t>
      </w:r>
      <w:r w:rsidRPr="0037227B">
        <w:rPr>
          <w:rFonts w:ascii="David" w:hAnsi="David"/>
          <w:b/>
          <w:bCs/>
          <w:rtl/>
        </w:rPr>
        <w:t>דטו</w:t>
      </w:r>
      <w:r w:rsidRPr="0037227B">
        <w:rPr>
          <w:rFonts w:ascii="David" w:hAnsi="David"/>
          <w:rtl/>
        </w:rPr>
        <w:t>") נתגלע סכסוך, אשר התפתח באופן שאדרי קשר קשר עם אחרים וביניהם עד המדינה והנאשמים זהבי ווורו כדי שיגרמו למותם של אנשים המזוהים עם דטו אשר כונו ביחד "קבוצת הגרוזינים". אותם קושרים ניסו להשיג מטעני חבלה או אמצעים אחרים שישמשו אותם לבצע פגיעות בקבוצת ה</w:t>
      </w:r>
      <w:r w:rsidR="00547911">
        <w:rPr>
          <w:rFonts w:ascii="David" w:hAnsi="David" w:hint="cs"/>
          <w:rtl/>
        </w:rPr>
        <w:t>"</w:t>
      </w:r>
      <w:r w:rsidRPr="0037227B">
        <w:rPr>
          <w:rFonts w:ascii="David" w:hAnsi="David"/>
          <w:rtl/>
        </w:rPr>
        <w:t>גרוזינים</w:t>
      </w:r>
      <w:r w:rsidR="00547911">
        <w:rPr>
          <w:rFonts w:ascii="David" w:hAnsi="David" w:hint="cs"/>
          <w:rtl/>
        </w:rPr>
        <w:t>"</w:t>
      </w:r>
      <w:r w:rsidRPr="0037227B">
        <w:rPr>
          <w:rFonts w:ascii="David" w:hAnsi="David"/>
          <w:rtl/>
        </w:rPr>
        <w:t xml:space="preserve">. </w:t>
      </w:r>
    </w:p>
    <w:p w14:paraId="523B0675" w14:textId="77777777" w:rsidR="0037227B" w:rsidRPr="0037227B" w:rsidRDefault="0037227B" w:rsidP="00F63C45">
      <w:pPr>
        <w:widowControl w:val="0"/>
        <w:spacing w:before="240" w:after="240" w:line="360" w:lineRule="auto"/>
        <w:jc w:val="both"/>
        <w:rPr>
          <w:rFonts w:ascii="David" w:hAnsi="David"/>
          <w:rtl/>
        </w:rPr>
      </w:pPr>
      <w:r w:rsidRPr="0037227B">
        <w:rPr>
          <w:rFonts w:ascii="David" w:hAnsi="David"/>
          <w:rtl/>
        </w:rPr>
        <w:t>לאחר שמטען חבלה מסוים שהשיגו הנאשמים האחרים לא היה תקין והם לא הצליחו להפעילו, הם פנו אל הנאשם וצרפו אותו לקשר על מנת שיסייע להם לתקנו או ימציא להם מטען חבלה חדש. נקבע כי הנאשמים האחרים פנו לנאשם שלפנינו מאחר שהוא היה ידוע כמי שהוא בעל ידע וניסיון בתחום החבלה, וככזה שיכול "לספק את הסחורה". עוד קבענו בהכרעת הדין, כי הנאשם ידע שמטען חבלה שהוא התבקש לתקן או להכין במסגרת אותו קשר עם האחרים, מיועד לפגוע במי מ</w:t>
      </w:r>
      <w:r w:rsidR="00547911">
        <w:rPr>
          <w:rFonts w:ascii="David" w:hAnsi="David" w:hint="cs"/>
          <w:rtl/>
        </w:rPr>
        <w:t>"</w:t>
      </w:r>
      <w:r w:rsidRPr="0037227B">
        <w:rPr>
          <w:rFonts w:ascii="David" w:hAnsi="David"/>
          <w:rtl/>
        </w:rPr>
        <w:t>קבוצת הגרוזינים</w:t>
      </w:r>
      <w:r w:rsidR="00547911">
        <w:rPr>
          <w:rFonts w:ascii="David" w:hAnsi="David" w:hint="cs"/>
          <w:rtl/>
        </w:rPr>
        <w:t>"</w:t>
      </w:r>
      <w:r w:rsidRPr="0037227B">
        <w:rPr>
          <w:rFonts w:ascii="David" w:hAnsi="David"/>
          <w:rtl/>
        </w:rPr>
        <w:t xml:space="preserve"> וכי המדובר במטען שמיועד לגרום למותם של מי מהם</w:t>
      </w:r>
      <w:r w:rsidR="00F63C45">
        <w:rPr>
          <w:rFonts w:ascii="David" w:hAnsi="David" w:hint="cs"/>
          <w:rtl/>
        </w:rPr>
        <w:t>;</w:t>
      </w:r>
      <w:r w:rsidRPr="0037227B">
        <w:rPr>
          <w:rFonts w:ascii="David" w:hAnsi="David"/>
          <w:rtl/>
        </w:rPr>
        <w:t xml:space="preserve"> ובהתאם עליו להכין או לתקן את מטען החבלה התקול שהאחרים מסרו לו, באופן שיהא זה מטען חבלה תקין שעל פי טיבו ומהותו יכול לגרום למותו של אדם. </w:t>
      </w:r>
    </w:p>
    <w:p w14:paraId="3D739CA2" w14:textId="77777777" w:rsidR="0037227B" w:rsidRPr="0037227B" w:rsidRDefault="0037227B" w:rsidP="00547911">
      <w:pPr>
        <w:widowControl w:val="0"/>
        <w:spacing w:before="240" w:after="240" w:line="360" w:lineRule="auto"/>
        <w:jc w:val="both"/>
        <w:rPr>
          <w:rFonts w:ascii="David" w:hAnsi="David"/>
          <w:rtl/>
        </w:rPr>
      </w:pPr>
      <w:r w:rsidRPr="0037227B">
        <w:rPr>
          <w:rFonts w:ascii="David" w:hAnsi="David"/>
          <w:rtl/>
        </w:rPr>
        <w:t xml:space="preserve">ואכן הנאשם, לאחר שקיבל לידיו את מטען החבלה כדי שיבדוק ויתקן אותו, החזיר לנאשמים מטען חבלה תקין ומוכן אשר מיועד להמית, ואף הסביר לוורו ולעד המדינה כיצד להפעיל את מטען החבלה; בהמשך אף הניח אותו במקום מסוים ממנו הוא נאסף על ידי שניר, כדי שלא יאסף על ידם ישירות ממנו. </w:t>
      </w:r>
    </w:p>
    <w:p w14:paraId="174CBC6F" w14:textId="77777777" w:rsidR="0037227B" w:rsidRPr="0037227B" w:rsidRDefault="0037227B" w:rsidP="00547911">
      <w:pPr>
        <w:widowControl w:val="0"/>
        <w:spacing w:before="240" w:after="240" w:line="360" w:lineRule="auto"/>
        <w:jc w:val="both"/>
        <w:rPr>
          <w:rFonts w:ascii="David" w:hAnsi="David"/>
          <w:rtl/>
        </w:rPr>
      </w:pPr>
      <w:r w:rsidRPr="0037227B">
        <w:rPr>
          <w:rFonts w:ascii="David" w:hAnsi="David"/>
          <w:rtl/>
        </w:rPr>
        <w:t>בהמשך לאמור ביום 03.11.2014 לאחר ששניר, עד המדינה ווורו איתרו את רכב ה-</w:t>
      </w:r>
      <w:r w:rsidRPr="0037227B">
        <w:rPr>
          <w:rFonts w:ascii="David" w:hAnsi="David"/>
        </w:rPr>
        <w:t>BMW</w:t>
      </w:r>
      <w:r w:rsidRPr="0037227B">
        <w:rPr>
          <w:rFonts w:ascii="David" w:hAnsi="David"/>
          <w:rtl/>
        </w:rPr>
        <w:t xml:space="preserve"> של דודו בוטרשוילי שהיה מזוהה עם דטו, הוטמן המטען שמסר הנאשם ברכב ה- </w:t>
      </w:r>
      <w:r w:rsidRPr="0037227B">
        <w:rPr>
          <w:rFonts w:ascii="David" w:hAnsi="David"/>
        </w:rPr>
        <w:t>BMW</w:t>
      </w:r>
      <w:r w:rsidRPr="0037227B">
        <w:rPr>
          <w:rFonts w:ascii="David" w:hAnsi="David"/>
          <w:rtl/>
        </w:rPr>
        <w:t>. למחרת ביום 04.11.2014, לאחר שאותר רכב ה-</w:t>
      </w:r>
      <w:r w:rsidRPr="0037227B">
        <w:rPr>
          <w:rFonts w:ascii="David" w:hAnsi="David"/>
        </w:rPr>
        <w:t>BMW</w:t>
      </w:r>
      <w:r w:rsidRPr="0037227B">
        <w:rPr>
          <w:rFonts w:ascii="David" w:hAnsi="David"/>
          <w:rtl/>
        </w:rPr>
        <w:t xml:space="preserve"> בשעות הערב, במקום מסוים באשדוד, נסעו שניר ווורו על אופנוע גנוב כדי לפוצץ את רכבו של דודו. זהבי, שהיה אמור לצאת אתם ולנהוג ברכב מילוט, בסופו של דבר לא יצא עמם. בהמשך נסעו וורו ושניר על אותו אופנוע גנוב, הגיעו סמוך לרכבו של דודו, המתינו לעליית "הגרוזינים" לרכב, ובסמוך לתחילת נסיעתו – הופעל על ידם מטען החבלה. כך נגרם פיצוץ ברכב, אשר גרם למותו של מנשה מאור המנוח ולפציעתם של יוסי קריחלי ודודו בוטרשוילי. </w:t>
      </w:r>
    </w:p>
    <w:p w14:paraId="75E5B009" w14:textId="77777777" w:rsidR="0037227B" w:rsidRPr="0037227B" w:rsidRDefault="0037227B" w:rsidP="00E0380C">
      <w:pPr>
        <w:widowControl w:val="0"/>
        <w:spacing w:before="240" w:after="240" w:line="360" w:lineRule="auto"/>
        <w:jc w:val="both"/>
        <w:rPr>
          <w:rFonts w:ascii="David" w:hAnsi="David"/>
          <w:rtl/>
        </w:rPr>
      </w:pPr>
      <w:r w:rsidRPr="0037227B">
        <w:rPr>
          <w:rFonts w:ascii="David" w:hAnsi="David"/>
          <w:rtl/>
        </w:rPr>
        <w:t xml:space="preserve">הנאשם הואשם בגין מעשים אלו בעבירות של רצח,  קשירת קשר לפשע, שתי עבירות של ניסיון רצח ועבירות נשק – ייצור והובלה. בהכרעת הדין מצאנו בסופו של דבר לזכות את הנאשם מחמת הספק מעבירת הרצח שיוחסה לו ומשתי העבירות של ניסיון רצח, זאת בשל ספק שנותר ביחס לשאלה האם הנאשם בא בגדר </w:t>
      </w:r>
      <w:r w:rsidR="00E0380C">
        <w:rPr>
          <w:rFonts w:ascii="David" w:hAnsi="David" w:hint="cs"/>
          <w:rtl/>
        </w:rPr>
        <w:t>ה</w:t>
      </w:r>
      <w:r w:rsidRPr="0037227B">
        <w:rPr>
          <w:rFonts w:ascii="David" w:hAnsi="David"/>
          <w:rtl/>
        </w:rPr>
        <w:t>מבצעים בצוותא</w:t>
      </w:r>
      <w:r w:rsidR="00E0380C">
        <w:rPr>
          <w:rFonts w:ascii="David" w:hAnsi="David" w:hint="cs"/>
          <w:rtl/>
        </w:rPr>
        <w:t xml:space="preserve"> של עבירות אלו</w:t>
      </w:r>
      <w:r w:rsidRPr="0037227B">
        <w:rPr>
          <w:rFonts w:ascii="David" w:hAnsi="David"/>
          <w:rtl/>
        </w:rPr>
        <w:t xml:space="preserve">. </w:t>
      </w:r>
    </w:p>
    <w:p w14:paraId="079F2E94"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בהכרעת הדין קבענו באשר לעבירות הרצח וניסיון הרצח שיוחסו לו, כי הנאשם היה מודע לנסיבות ויכול היה לצפות את התוצאה הקטלנית וזאת במישור הרציונלי, אם כי במישור האמוציונלי, למצער, נותר בנו ספק שלא הוסר, האם הנאשם חפץ ממש בתוצאה הקטלנית. לצד זאת קבענו, כי הנאשם ידע כי מטרת המטען היא פגיעה במי מקבוצת הגרוזינים, וזאת ממש בסמוך לפני פיצוץ המטען. עוד קבענו כי הנאשם ייצר את מטען החבלה באופן המסוגל לקטול אדם והוא אף היה מעוניין שמטען החבלה שסיפק לאחרים יפעל כדבעי ויהיה תקין ו"איכותי". </w:t>
      </w:r>
    </w:p>
    <w:p w14:paraId="00CA8710" w14:textId="77777777" w:rsidR="0037227B" w:rsidRDefault="00E0380C" w:rsidP="00E0380C">
      <w:pPr>
        <w:widowControl w:val="0"/>
        <w:spacing w:before="240" w:after="240" w:line="360" w:lineRule="auto"/>
        <w:jc w:val="both"/>
        <w:rPr>
          <w:rFonts w:ascii="David" w:hAnsi="David"/>
          <w:rtl/>
        </w:rPr>
      </w:pPr>
      <w:r>
        <w:rPr>
          <w:rFonts w:ascii="David" w:hAnsi="David" w:hint="cs"/>
          <w:rtl/>
        </w:rPr>
        <w:t xml:space="preserve">עוד </w:t>
      </w:r>
      <w:r w:rsidR="0037227B" w:rsidRPr="0037227B">
        <w:rPr>
          <w:rFonts w:ascii="David" w:hAnsi="David"/>
          <w:rtl/>
        </w:rPr>
        <w:t>ציינו בהכרעת הדין</w:t>
      </w:r>
      <w:r>
        <w:rPr>
          <w:rFonts w:ascii="David" w:hAnsi="David" w:hint="cs"/>
          <w:rtl/>
        </w:rPr>
        <w:t>,</w:t>
      </w:r>
      <w:r w:rsidR="0037227B" w:rsidRPr="0037227B">
        <w:rPr>
          <w:rFonts w:ascii="David" w:hAnsi="David"/>
          <w:rtl/>
        </w:rPr>
        <w:t xml:space="preserve"> כי בהכנת המטען הנאשם עשה את חלקו בקשר שנקשר עם האחרים - אספקת מטען תקין שיכול להמית אדם; כי עניין זה הינו, מבחינתו, "מלאכתו אומנותו", שכן הנאשמים האחרים לא ידעו לבצע את אותה מלאכה ולכן פנו אליו; וכי אותה "מלאכה" של הנאשם היא אשר </w:t>
      </w:r>
      <w:r>
        <w:rPr>
          <w:rFonts w:ascii="David" w:hAnsi="David" w:hint="cs"/>
          <w:rtl/>
        </w:rPr>
        <w:t>סייעה ל</w:t>
      </w:r>
      <w:r w:rsidR="0037227B" w:rsidRPr="0037227B">
        <w:rPr>
          <w:rFonts w:ascii="David" w:hAnsi="David"/>
          <w:rtl/>
        </w:rPr>
        <w:t>הביא לתוצאה של קטילת המנוח ופציעת השניים האחרים (ראו עמ' 116 – 117 להכרעת הדין).</w:t>
      </w:r>
    </w:p>
    <w:p w14:paraId="74AC1320" w14:textId="77777777" w:rsidR="00E0380C" w:rsidRPr="0037227B" w:rsidRDefault="00E0380C" w:rsidP="00E0380C">
      <w:pPr>
        <w:widowControl w:val="0"/>
        <w:spacing w:before="240" w:after="240" w:line="360" w:lineRule="auto"/>
        <w:jc w:val="both"/>
        <w:rPr>
          <w:rFonts w:ascii="David" w:hAnsi="David"/>
          <w:rtl/>
        </w:rPr>
      </w:pPr>
      <w:r w:rsidRPr="0037227B">
        <w:rPr>
          <w:rFonts w:ascii="David" w:hAnsi="David"/>
          <w:rtl/>
        </w:rPr>
        <w:t xml:space="preserve">מכאן הורשע הנאשם בסיוע לעבירת הרצח ובסיוע לשתי עבירות ניסיון רצח, וכן בעבירות הנוספות שיוחסו לו – קשירת קשר לפשע ועבירות נשק (הן ייצור נשק והן הובלת נשק). </w:t>
      </w:r>
    </w:p>
    <w:p w14:paraId="0866BA2D" w14:textId="77777777" w:rsidR="0037227B" w:rsidRPr="0037227B" w:rsidRDefault="0037227B" w:rsidP="00E0380C">
      <w:pPr>
        <w:widowControl w:val="0"/>
        <w:spacing w:before="240" w:after="240" w:line="360" w:lineRule="auto"/>
        <w:jc w:val="both"/>
        <w:rPr>
          <w:rFonts w:ascii="David" w:hAnsi="David"/>
          <w:rtl/>
        </w:rPr>
      </w:pPr>
      <w:r w:rsidRPr="0037227B">
        <w:rPr>
          <w:rFonts w:ascii="David" w:hAnsi="David"/>
          <w:rtl/>
        </w:rPr>
        <w:t xml:space="preserve">הודגש שהנאשם אינו מסייע "קלאסי" שכן תרומתו </w:t>
      </w:r>
      <w:r w:rsidR="00E0380C">
        <w:rPr>
          <w:rFonts w:ascii="David" w:hAnsi="David" w:hint="cs"/>
          <w:rtl/>
        </w:rPr>
        <w:t xml:space="preserve">אינה </w:t>
      </w:r>
      <w:r w:rsidRPr="0037227B">
        <w:rPr>
          <w:rFonts w:ascii="David" w:hAnsi="David"/>
          <w:rtl/>
        </w:rPr>
        <w:t xml:space="preserve">מתבטאת </w:t>
      </w:r>
      <w:r w:rsidR="00E0380C">
        <w:rPr>
          <w:rFonts w:ascii="David" w:hAnsi="David" w:hint="cs"/>
          <w:rtl/>
        </w:rPr>
        <w:t xml:space="preserve">רק </w:t>
      </w:r>
      <w:r w:rsidRPr="0037227B">
        <w:rPr>
          <w:rFonts w:ascii="David" w:hAnsi="David"/>
          <w:rtl/>
        </w:rPr>
        <w:t>בסיוע חיצוני לאספקת אמצעים בביצוע עבירה, מעורבותו אינה נקודתית</w:t>
      </w:r>
      <w:r w:rsidR="00E0380C">
        <w:rPr>
          <w:rFonts w:ascii="David" w:hAnsi="David" w:hint="cs"/>
          <w:rtl/>
        </w:rPr>
        <w:t>,</w:t>
      </w:r>
      <w:r w:rsidRPr="0037227B">
        <w:rPr>
          <w:rFonts w:ascii="David" w:hAnsi="David"/>
          <w:rtl/>
        </w:rPr>
        <w:t xml:space="preserve"> הוא מצוי בסוד העניינים ומקיים קשר עם שאר הקושרים על פני תקופה לא קצרה</w:t>
      </w:r>
      <w:r w:rsidR="00E0380C">
        <w:rPr>
          <w:rFonts w:ascii="David" w:hAnsi="David" w:hint="cs"/>
          <w:rtl/>
        </w:rPr>
        <w:t>.</w:t>
      </w:r>
      <w:r w:rsidRPr="0037227B">
        <w:rPr>
          <w:rFonts w:ascii="David" w:hAnsi="David"/>
          <w:rtl/>
        </w:rPr>
        <w:t xml:space="preserve"> אף מעורבותו עם יתר הנאשמים לא הייתה על בסיס חד פעמי, כשהנאשם  היה בקשר עם עד המדינה ועוד הרבה יותר עם נאשם 2 – וורו – כמעט על בסיס יומיומי. </w:t>
      </w:r>
    </w:p>
    <w:p w14:paraId="6800FFA0" w14:textId="77777777" w:rsidR="0037227B" w:rsidRPr="0037227B" w:rsidRDefault="0037227B" w:rsidP="00F63C45">
      <w:pPr>
        <w:widowControl w:val="0"/>
        <w:spacing w:before="240" w:after="240" w:line="360" w:lineRule="auto"/>
        <w:jc w:val="both"/>
        <w:rPr>
          <w:rFonts w:ascii="David" w:hAnsi="David"/>
          <w:rtl/>
        </w:rPr>
      </w:pPr>
      <w:r w:rsidRPr="0037227B">
        <w:rPr>
          <w:rFonts w:ascii="David" w:hAnsi="David"/>
          <w:rtl/>
        </w:rPr>
        <w:t>לצד זאת קבענו, כי לא הוכח ברמה הנדרשת חפץ של הנאשם בתוצאה, וכי הגם שהנאשם מצוי על ספו של המעגל הפנימי של המבצעים בצוותא</w:t>
      </w:r>
      <w:r w:rsidR="00E0380C">
        <w:rPr>
          <w:rFonts w:ascii="David" w:hAnsi="David" w:hint="cs"/>
          <w:rtl/>
        </w:rPr>
        <w:t xml:space="preserve">, הוא </w:t>
      </w:r>
      <w:r w:rsidRPr="0037227B">
        <w:rPr>
          <w:rFonts w:ascii="David" w:hAnsi="David"/>
          <w:rtl/>
        </w:rPr>
        <w:t xml:space="preserve">לא </w:t>
      </w:r>
      <w:r w:rsidR="00E0380C">
        <w:rPr>
          <w:rFonts w:ascii="David" w:hAnsi="David" w:hint="cs"/>
          <w:rtl/>
        </w:rPr>
        <w:t xml:space="preserve">מצוי </w:t>
      </w:r>
      <w:r w:rsidRPr="0037227B">
        <w:rPr>
          <w:rFonts w:ascii="David" w:hAnsi="David"/>
          <w:rtl/>
        </w:rPr>
        <w:t xml:space="preserve">בתוכו, </w:t>
      </w:r>
      <w:r w:rsidR="00E0380C">
        <w:rPr>
          <w:rFonts w:ascii="David" w:hAnsi="David" w:hint="cs"/>
          <w:rtl/>
        </w:rPr>
        <w:t>שכן</w:t>
      </w:r>
      <w:r w:rsidRPr="0037227B">
        <w:rPr>
          <w:rFonts w:ascii="David" w:hAnsi="David"/>
          <w:rtl/>
        </w:rPr>
        <w:t xml:space="preserve"> עדיין מתקיים ריחוק מסוים בין מעשיו ביצור ואספקת המטען, לבין מעשה הרצח וניסיון רצח שאירעו בשלב מאוחר יותר. </w:t>
      </w:r>
      <w:r w:rsidR="00E0380C">
        <w:rPr>
          <w:rFonts w:ascii="David" w:hAnsi="David" w:hint="cs"/>
          <w:rtl/>
        </w:rPr>
        <w:t xml:space="preserve">כמו כן הנאשם </w:t>
      </w:r>
      <w:r w:rsidRPr="0037227B">
        <w:rPr>
          <w:rFonts w:ascii="David" w:hAnsi="David"/>
          <w:rtl/>
        </w:rPr>
        <w:t>לא היה מצוי בפרטי התכנון עצמו ולא לקח חלק בה</w:t>
      </w:r>
      <w:r w:rsidR="00E0380C">
        <w:rPr>
          <w:rFonts w:ascii="David" w:hAnsi="David" w:hint="cs"/>
          <w:rtl/>
        </w:rPr>
        <w:t>ט</w:t>
      </w:r>
      <w:r w:rsidRPr="0037227B">
        <w:rPr>
          <w:rFonts w:ascii="David" w:hAnsi="David"/>
          <w:rtl/>
        </w:rPr>
        <w:t>מנת מטען החבלה או בפעולות שנעשו קודם לכן בחיפוש מי מקבוצת הגרוזינים (ראו עמ' 119 – 123 להכרעת הדין).</w:t>
      </w:r>
    </w:p>
    <w:p w14:paraId="095B8E92" w14:textId="77777777" w:rsidR="0037227B" w:rsidRPr="0037227B" w:rsidRDefault="0037227B" w:rsidP="00F63C45">
      <w:pPr>
        <w:widowControl w:val="0"/>
        <w:spacing w:before="240" w:after="240" w:line="360" w:lineRule="auto"/>
        <w:jc w:val="both"/>
        <w:rPr>
          <w:rFonts w:ascii="David" w:hAnsi="David"/>
          <w:rtl/>
        </w:rPr>
      </w:pPr>
      <w:r w:rsidRPr="0037227B">
        <w:rPr>
          <w:rFonts w:ascii="David" w:hAnsi="David"/>
          <w:rtl/>
        </w:rPr>
        <w:t>עוד יצוין, כי כתב האישום הנפרד שהוגש כנגד הנאשם לאחר שחזר בו מהודאתו, כלל גם חלק כללי שהתייחס לכך שכחודש לאחר האירועים מושא תיק זה נעצר הנאשם כשבידיו מטען חבלה שהורכב משתי לבנות חבלה צה"ליות שהיו עטופות בסרט דביק שחור, נפץ חשמלי צה"לי תקני, מצבר ושלט של רכב להפעלת המטען</w:t>
      </w:r>
      <w:r w:rsidR="00D62BAC">
        <w:rPr>
          <w:rFonts w:ascii="David" w:hAnsi="David" w:hint="cs"/>
          <w:rtl/>
        </w:rPr>
        <w:t>;</w:t>
      </w:r>
      <w:r w:rsidRPr="0037227B">
        <w:rPr>
          <w:rFonts w:ascii="David" w:hAnsi="David"/>
          <w:rtl/>
        </w:rPr>
        <w:t xml:space="preserve"> </w:t>
      </w:r>
      <w:r w:rsidR="00D62BAC">
        <w:rPr>
          <w:rFonts w:ascii="David" w:hAnsi="David" w:hint="cs"/>
          <w:rtl/>
        </w:rPr>
        <w:t xml:space="preserve">ובגין כך </w:t>
      </w:r>
      <w:r w:rsidRPr="0037227B">
        <w:rPr>
          <w:rFonts w:ascii="David" w:hAnsi="David"/>
          <w:rtl/>
        </w:rPr>
        <w:t xml:space="preserve">הוגש נגדו בסמוך </w:t>
      </w:r>
      <w:r w:rsidR="00D62BAC">
        <w:rPr>
          <w:rFonts w:ascii="David" w:hAnsi="David" w:hint="cs"/>
          <w:rtl/>
        </w:rPr>
        <w:t xml:space="preserve">בחודש דצמבר 2014 </w:t>
      </w:r>
      <w:r w:rsidRPr="0037227B">
        <w:rPr>
          <w:rFonts w:ascii="David" w:hAnsi="David"/>
          <w:rtl/>
        </w:rPr>
        <w:t>כתב אישום (</w:t>
      </w:r>
      <w:hyperlink r:id="rId35" w:history="1">
        <w:r w:rsidR="00190E23" w:rsidRPr="00190E23">
          <w:rPr>
            <w:rFonts w:ascii="David" w:hAnsi="David"/>
            <w:color w:val="0000FF"/>
            <w:u w:val="single"/>
            <w:rtl/>
          </w:rPr>
          <w:t>ת"פ</w:t>
        </w:r>
        <w:r w:rsidR="00190E23" w:rsidRPr="00190E23">
          <w:rPr>
            <w:rFonts w:ascii="David" w:hAnsi="David"/>
            <w:color w:val="0000FF"/>
            <w:u w:val="single"/>
            <w:rtl/>
          </w:rPr>
          <w:t xml:space="preserve"> </w:t>
        </w:r>
        <w:r w:rsidR="00190E23" w:rsidRPr="00190E23">
          <w:rPr>
            <w:rFonts w:ascii="David" w:hAnsi="David"/>
            <w:color w:val="0000FF"/>
            <w:u w:val="single"/>
            <w:rtl/>
          </w:rPr>
          <w:t>56232-12-14</w:t>
        </w:r>
      </w:hyperlink>
      <w:r w:rsidRPr="0037227B">
        <w:rPr>
          <w:rFonts w:ascii="David" w:hAnsi="David"/>
          <w:rtl/>
        </w:rPr>
        <w:t xml:space="preserve"> </w:t>
      </w:r>
      <w:r w:rsidR="00AD1D7C" w:rsidRPr="00AD1D7C">
        <w:rPr>
          <w:sz w:val="22"/>
          <w:rtl/>
        </w:rPr>
        <w:t xml:space="preserve">[פורסם בנבו] </w:t>
      </w:r>
      <w:r w:rsidRPr="0037227B">
        <w:rPr>
          <w:rFonts w:ascii="David" w:hAnsi="David"/>
          <w:rtl/>
        </w:rPr>
        <w:t>של בית משפט זה). ב</w:t>
      </w:r>
      <w:r w:rsidR="00F63C45">
        <w:rPr>
          <w:rFonts w:ascii="David" w:hAnsi="David" w:hint="cs"/>
          <w:rtl/>
        </w:rPr>
        <w:t>יחס לאמור</w:t>
      </w:r>
      <w:r w:rsidRPr="0037227B">
        <w:rPr>
          <w:rFonts w:ascii="David" w:hAnsi="David"/>
          <w:rtl/>
        </w:rPr>
        <w:t xml:space="preserve"> הנאשם הודה והורשע במסגרת הסדר טיעון עוד בחודש יולי 2015, בעבירות נשק הנוגעות לאותו מטען חבלה ואף נידון לעונש מאסר בפועל לשלוש שנים. </w:t>
      </w:r>
      <w:r w:rsidR="00D62BAC">
        <w:rPr>
          <w:rFonts w:ascii="David" w:hAnsi="David" w:hint="cs"/>
          <w:rtl/>
        </w:rPr>
        <w:t xml:space="preserve">ויודגש, </w:t>
      </w:r>
      <w:r w:rsidRPr="0037227B">
        <w:rPr>
          <w:rFonts w:ascii="David" w:hAnsi="David"/>
          <w:rtl/>
        </w:rPr>
        <w:t xml:space="preserve">כל </w:t>
      </w:r>
      <w:r w:rsidR="00D62BAC">
        <w:rPr>
          <w:rFonts w:ascii="David" w:hAnsi="David" w:hint="cs"/>
          <w:rtl/>
        </w:rPr>
        <w:t>האמור</w:t>
      </w:r>
      <w:r w:rsidRPr="0037227B">
        <w:rPr>
          <w:rFonts w:ascii="David" w:hAnsi="David"/>
          <w:rtl/>
        </w:rPr>
        <w:t xml:space="preserve"> אירע עוד בטרם הגשת כתב האישום בתיק זה, שהוגש רק בחלוף חמישה חודשים נוספים, שכן רק אז התגבש המסד הראייתי שנאסף בין היתר על ידי עד המדינה, אשר החל בקשר עם המשטרה רק כ-8 חודשים אחרי האירועים שבענייננו. מכאן עולה, כי הנאשם כחודש בלבד לאחר פיצוץ מטען החבלה בענייננו, סיפק לאותם עבריינים</w:t>
      </w:r>
      <w:r w:rsidR="00D62BAC">
        <w:rPr>
          <w:rFonts w:ascii="David" w:hAnsi="David" w:hint="cs"/>
          <w:rtl/>
        </w:rPr>
        <w:t xml:space="preserve"> </w:t>
      </w:r>
      <w:r w:rsidRPr="0037227B">
        <w:rPr>
          <w:rFonts w:ascii="David" w:hAnsi="David"/>
          <w:rtl/>
        </w:rPr>
        <w:t xml:space="preserve">– נאשמים 2 ו 3 – מטען חבלה נוסף, </w:t>
      </w:r>
      <w:r w:rsidR="00D62BAC">
        <w:rPr>
          <w:rFonts w:ascii="David" w:hAnsi="David" w:hint="cs"/>
          <w:rtl/>
        </w:rPr>
        <w:t>וגם שם היה מדובר ב</w:t>
      </w:r>
      <w:r w:rsidRPr="0037227B">
        <w:rPr>
          <w:rFonts w:ascii="David" w:hAnsi="David"/>
          <w:rtl/>
        </w:rPr>
        <w:t xml:space="preserve">מטען שמסוגל להרוג – כעולה מחוות דעת </w:t>
      </w:r>
      <w:r w:rsidR="00D62BAC">
        <w:rPr>
          <w:rFonts w:ascii="David" w:hAnsi="David" w:hint="cs"/>
          <w:rtl/>
        </w:rPr>
        <w:t xml:space="preserve">המומחה </w:t>
      </w:r>
      <w:r w:rsidRPr="0037227B">
        <w:rPr>
          <w:rFonts w:ascii="David" w:hAnsi="David"/>
          <w:rtl/>
        </w:rPr>
        <w:t>שהוגשה בפנינו (ת/52).</w:t>
      </w:r>
    </w:p>
    <w:p w14:paraId="18792AAB" w14:textId="77777777" w:rsidR="0037227B" w:rsidRPr="0037227B" w:rsidRDefault="0037227B" w:rsidP="00D62BAC">
      <w:pPr>
        <w:widowControl w:val="0"/>
        <w:spacing w:before="240" w:after="240" w:line="360" w:lineRule="auto"/>
        <w:jc w:val="both"/>
        <w:rPr>
          <w:rFonts w:ascii="David" w:hAnsi="David"/>
          <w:rtl/>
        </w:rPr>
      </w:pPr>
      <w:r w:rsidRPr="0037227B">
        <w:rPr>
          <w:rFonts w:ascii="David" w:hAnsi="David"/>
          <w:rtl/>
        </w:rPr>
        <w:t xml:space="preserve">לאחר מתן הכרעת הדין והרשעת הנאשם, ביקשה התביעה להורות על הגשת תסקיר נפגע עבירה ביחס למשפחת המנוח מנשה מאור, זאת הגם שטרם גזירת דינם של הנאשמים האחרים כבר התקבל תסקיר </w:t>
      </w:r>
      <w:r w:rsidR="00D62BAC">
        <w:rPr>
          <w:rFonts w:ascii="David" w:hAnsi="David" w:hint="cs"/>
          <w:rtl/>
        </w:rPr>
        <w:t>אודות משפחת המנוח</w:t>
      </w:r>
      <w:r w:rsidRPr="0037227B">
        <w:rPr>
          <w:rFonts w:ascii="David" w:hAnsi="David"/>
          <w:rtl/>
        </w:rPr>
        <w:t xml:space="preserve">. הבקשה הוסברה בכך שחלף זמן מה מאז הגשת התסקיר הקודם ומצבה של משפחת המנוח ובנותיו רק הורע </w:t>
      </w:r>
      <w:r w:rsidR="00D62BAC">
        <w:rPr>
          <w:rFonts w:ascii="David" w:hAnsi="David" w:hint="cs"/>
          <w:rtl/>
        </w:rPr>
        <w:t>ו</w:t>
      </w:r>
      <w:r w:rsidRPr="0037227B">
        <w:rPr>
          <w:rFonts w:ascii="David" w:hAnsi="David"/>
          <w:rtl/>
        </w:rPr>
        <w:t xml:space="preserve">לאחר שקילת הדברים הורינו על הגשת תסקיר מעודכן. </w:t>
      </w:r>
    </w:p>
    <w:p w14:paraId="7B669B5D" w14:textId="77777777" w:rsidR="0037227B" w:rsidRPr="0037227B" w:rsidRDefault="0037227B" w:rsidP="006D2178">
      <w:pPr>
        <w:widowControl w:val="0"/>
        <w:spacing w:before="240" w:after="240" w:line="360" w:lineRule="auto"/>
        <w:jc w:val="both"/>
        <w:rPr>
          <w:rFonts w:ascii="David" w:hAnsi="David"/>
          <w:u w:val="single"/>
          <w:rtl/>
        </w:rPr>
      </w:pPr>
      <w:r w:rsidRPr="0037227B">
        <w:rPr>
          <w:rFonts w:ascii="David" w:hAnsi="David"/>
          <w:u w:val="single"/>
          <w:rtl/>
        </w:rPr>
        <w:t xml:space="preserve">תסקיר נפגעי העבירה </w:t>
      </w:r>
    </w:p>
    <w:p w14:paraId="2A63364C"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בתיק זה הוגשו שני תסקירי נפגע ביחס למשפחת המנוח – הראשון הוגש ביום 21.6.2019 לאחר הודאת יתר הנאשמים וטרם נגזר דינם, והשני – מיום 15.11.2020.</w:t>
      </w:r>
    </w:p>
    <w:p w14:paraId="3B26D0A9" w14:textId="77777777" w:rsidR="0037227B" w:rsidRPr="0037227B" w:rsidRDefault="0037227B" w:rsidP="00D62BAC">
      <w:pPr>
        <w:widowControl w:val="0"/>
        <w:spacing w:before="240" w:after="240" w:line="360" w:lineRule="auto"/>
        <w:jc w:val="both"/>
        <w:rPr>
          <w:rFonts w:ascii="David" w:hAnsi="David"/>
          <w:rtl/>
        </w:rPr>
      </w:pPr>
      <w:r w:rsidRPr="0037227B">
        <w:rPr>
          <w:rFonts w:ascii="David" w:hAnsi="David"/>
          <w:rtl/>
        </w:rPr>
        <w:t xml:space="preserve">מקרא שני התסקירים מעלה תמונה קשה ביותר אשר מתגלית ביתר שאת בתסקיר השני, בכל הנוגע למצבה של משפחת המנוח – הן הוריו, והן ארבע בנותיו ואלמנתו. מותו של המנוח היה שבר נוראי בחיי הוריו, ממנו לא התאוששו עד היום, ומהלך חייהם התקין נקטע באופן אכזרי. מאז המפגש הקודם עם עורכות התסקיר מצבה של אם המנוח רק החמיר, הן מבחינה רפואית והן מבחינות רבות אחרות. האם סיפרה על הקשר הקרוב עם בנה המנוח אשר מתואר על ידה "כיהלום שבכתר". אפשרות מותו אינה נתפסת ופתאומיות המוות והמחשבה שהתרחש ללא סיבה מטלטלת את נפשה. מיום הרצח היא מלאה חרדה, כל דבר נראה לה מסוכן ומפחיד וקיימות נקודות זמן קשות במיוחד כמו חגים. האם סיפרה כי למעשה מאז מותו, היא שוהה בבית ברוב שעות היום ומתבוננת בתמונות של המנוח. אביו של המנוח לא שיתף פעולה עם עורכי התסקיר, אך האם סיפרה שמיד עם קבלת הבשורה הקשה, הוא התמוטט ומאז הוא למעשה מסרב לקבל את העובדה שבנו מת </w:t>
      </w:r>
      <w:r w:rsidR="00D62BAC">
        <w:rPr>
          <w:rFonts w:ascii="David" w:hAnsi="David" w:hint="cs"/>
          <w:rtl/>
        </w:rPr>
        <w:t>ו</w:t>
      </w:r>
      <w:r w:rsidRPr="0037227B">
        <w:rPr>
          <w:rFonts w:ascii="David" w:hAnsi="David"/>
          <w:rtl/>
        </w:rPr>
        <w:t xml:space="preserve">מסרב להגיע לאזכרות או ליום השנה. </w:t>
      </w:r>
      <w:r w:rsidR="00D62BAC">
        <w:rPr>
          <w:rFonts w:ascii="David" w:hAnsi="David" w:hint="cs"/>
          <w:rtl/>
        </w:rPr>
        <w:t>צוין כי</w:t>
      </w:r>
      <w:r w:rsidRPr="0037227B">
        <w:rPr>
          <w:rFonts w:ascii="David" w:hAnsi="David"/>
          <w:rtl/>
        </w:rPr>
        <w:t xml:space="preserve"> המנוח היה זה שאיחד את כל בני המשפחה ומאז מותו איש לא לקח את מקומו והמשפחה נותרה עם חלל גדול, שרק הולך וגדל עם הזמן. </w:t>
      </w:r>
    </w:p>
    <w:p w14:paraId="5B1FAF12"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למנוח שלוש בנות מנישואיו הראשונים ובת קטנה שנולדה בסמוך לאחר מותו והיום היא כבת 6, שכן בעת הירצחו בת זוגו היתה הרה. התסקיר מתייחס לכל אחת מהבנות: הגדולה היום בת 17, ומצבה הרגשי והכללי קשה מאוד וחוסר האב שהיה דומיננטי מאוד בחייה מורגש ומועצם. לגבי הבת השנייה שכיום בת 12.5, מתוארת התדרדרות במצבה מבחינה רגשית, התנהגותית ולימודית. צוין שמאז התסקיר הקודם ההתדרדרות רק החמירה, היא שולבה במסגרות חוץ ביתיות ומצבה הכללי קשה ביותר (הכל כמפורט בעמ' 5 לתסקיר האחרון). אמו של המנוח מתארת שהיה לבת קשר חזק עם אביה המנוח והיעלמותו באחת מחייה היא שגרמה להתדרדרות הקשה אצלה. </w:t>
      </w:r>
    </w:p>
    <w:p w14:paraId="698C30E9" w14:textId="77777777" w:rsidR="0037227B" w:rsidRPr="0037227B" w:rsidRDefault="0037227B" w:rsidP="00D62BAC">
      <w:pPr>
        <w:widowControl w:val="0"/>
        <w:spacing w:before="240" w:after="240" w:line="360" w:lineRule="auto"/>
        <w:jc w:val="both"/>
        <w:rPr>
          <w:rFonts w:ascii="David" w:hAnsi="David"/>
          <w:rtl/>
        </w:rPr>
      </w:pPr>
      <w:r w:rsidRPr="0037227B">
        <w:rPr>
          <w:rFonts w:ascii="David" w:hAnsi="David"/>
          <w:rtl/>
        </w:rPr>
        <w:t>עורכי התסקיר שוחחו גם עם אלמנתו של המנוח אשר התאלמנה כשהיא בת 22 ובהריון מתקדם עם בתם שנולדה ממש בסמוך לרצח. אלמנתו של המנוח תיארה אותו כאדם מיוחד וכבן זוג אהוב ואוהב שלא החסיר ממנה דבר, וכי המפגש שלה עימו היה הדבר הטוב ביותר שקרה בחייה. ה</w:t>
      </w:r>
      <w:r w:rsidR="00D62BAC">
        <w:rPr>
          <w:rFonts w:ascii="David" w:hAnsi="David" w:hint="cs"/>
          <w:rtl/>
        </w:rPr>
        <w:t>מנוח</w:t>
      </w:r>
      <w:r w:rsidRPr="0037227B">
        <w:rPr>
          <w:rFonts w:ascii="David" w:hAnsi="David"/>
          <w:rtl/>
        </w:rPr>
        <w:t xml:space="preserve"> היה בשבילה הכל ולאחר מותו היא ובתה נותרו לבד בעולם. לפני הרצח הייתה מאושרת ואחריו היא נותרה לבדה להתמודד עם כל הבעיות, ובכלל זה גידול הבת שרק נולדה ומשבר כלכלי שרק החמיר. כל אלו גרמו לקשיים כלכליים ונפשיים כאחד (הקשיים מתוארים בהרחבה בתסקיר בעמ' 7 ו- 8). </w:t>
      </w:r>
    </w:p>
    <w:p w14:paraId="423D3FA6"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באשר לבת הקטנה, אף לגביה מתוארים קשיים לא מבוטלים ולהערכת האם מצבה קשור להתדרדרות הכללית שארעה לאחר הרצח ואבדן דמות האב.</w:t>
      </w:r>
    </w:p>
    <w:p w14:paraId="42BF9773"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עבור ארבע בנותיו הקטינות משמעויות הרצח הינן הרות גורל מעצם היותן בשלבי צמיחה וגיבוש זהות, ויש לצפות כי בהמשך חייהן נזקי הרצח ימשיכו לבוא לידי ביטוי באופנים שונים. אירוע האלימות הקיצוני והרצח ניפץ את הצורך הבסיסי של ארבעת בנותיו להגנה וביטחון תוך אבדן דמות האב. </w:t>
      </w:r>
    </w:p>
    <w:p w14:paraId="4B21EFF1" w14:textId="77777777" w:rsidR="0037227B" w:rsidRPr="0037227B" w:rsidRDefault="0037227B" w:rsidP="00D62BAC">
      <w:pPr>
        <w:widowControl w:val="0"/>
        <w:spacing w:before="240" w:after="240" w:line="360" w:lineRule="auto"/>
        <w:jc w:val="both"/>
        <w:rPr>
          <w:rFonts w:ascii="David" w:hAnsi="David"/>
          <w:rtl/>
        </w:rPr>
      </w:pPr>
      <w:r w:rsidRPr="0037227B">
        <w:rPr>
          <w:rFonts w:ascii="David" w:hAnsi="David"/>
          <w:rtl/>
        </w:rPr>
        <w:t>עוד הודגש כי בנותיו של המנוח לא היו מוכרות לרשויות הרווחה לפני הרצח, וההתדרדרות במצבן החלה רק לאחר מותו של המנוח</w:t>
      </w:r>
      <w:r w:rsidR="00D62BAC">
        <w:rPr>
          <w:rFonts w:ascii="David" w:hAnsi="David" w:hint="cs"/>
          <w:rtl/>
        </w:rPr>
        <w:t>,</w:t>
      </w:r>
      <w:r w:rsidRPr="0037227B">
        <w:rPr>
          <w:rFonts w:ascii="David" w:hAnsi="David"/>
          <w:rtl/>
        </w:rPr>
        <w:t xml:space="preserve"> והדבר נכון במיוחד ביחס לבנות הגדולות. </w:t>
      </w:r>
    </w:p>
    <w:p w14:paraId="6FFED03B"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באשר להליך הפלילי, בני המשפחה הביעו אכזבה מהסדר הטיעון, העונש הלא מידתי לדעתם ואי העברת כספי הפיצויים שנפסקו להם. לכך הצטרפה חזרתו של הנאשם כאן מהסדר הטיעון, מה שיצר מבחינתם שנתיים נוספים של חיים לצד דיונים משפטיים ותסכול רב לאור המגע המחודש עם הכאב והטראומה. </w:t>
      </w:r>
    </w:p>
    <w:p w14:paraId="1D8765EA" w14:textId="77777777" w:rsidR="0037227B" w:rsidRPr="0037227B" w:rsidRDefault="0037227B" w:rsidP="00F63C45">
      <w:pPr>
        <w:widowControl w:val="0"/>
        <w:spacing w:before="240" w:after="240" w:line="360" w:lineRule="auto"/>
        <w:jc w:val="both"/>
        <w:rPr>
          <w:rFonts w:ascii="David" w:hAnsi="David"/>
          <w:rtl/>
        </w:rPr>
      </w:pPr>
      <w:r w:rsidRPr="0037227B">
        <w:rPr>
          <w:rFonts w:ascii="David" w:hAnsi="David"/>
          <w:rtl/>
        </w:rPr>
        <w:t xml:space="preserve">הוטעם, כי מדובר במקרה בו בני המשפחה עוברים תהליך אבל, אך זהו אבל "מורכב" – מצב בו האבל לא הופך להיות פחות אינטנסיבי או סתגלני עם הזמן, אלא ממשיך להיות חלק מרכזי בחיי האדם האבל לאורך זמן. מצבם זה של הורי המנוח מציב אותם בסיכון גבוה להחמרה בריאותית ונפשית </w:t>
      </w:r>
      <w:r w:rsidR="00D62BAC">
        <w:rPr>
          <w:rFonts w:ascii="David" w:hAnsi="David" w:hint="cs"/>
          <w:rtl/>
        </w:rPr>
        <w:t>ו</w:t>
      </w:r>
      <w:r w:rsidRPr="0037227B">
        <w:rPr>
          <w:rFonts w:ascii="David" w:hAnsi="David"/>
          <w:rtl/>
        </w:rPr>
        <w:t xml:space="preserve">ירידה חמורה בתפקוד. חווית האבל אצל הוריו כמו קפאה ואינה מורחקת או מעובדת. אל אלו מצטרפת תחושת חוסר האונים שחשים בני המשפחה אל מול ההליכים המשפטיים, התסכול ביחס להסדר הטיעון, וחוסר היכולת של מערכות האכיפה לאכוף את תשלום הפיצויים שנפסקו למשפחה. </w:t>
      </w:r>
    </w:p>
    <w:p w14:paraId="6E5D8CDC"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צוין כי המשפחה התקשתה לזעוק את זעקתה מול עורכי התסקיר ודווקא משום כך, זעקתם העזה צריכה להישמע. </w:t>
      </w:r>
    </w:p>
    <w:p w14:paraId="15F1BF5F" w14:textId="77777777" w:rsidR="0037227B" w:rsidRPr="0037227B" w:rsidRDefault="0037227B" w:rsidP="00D44C41">
      <w:pPr>
        <w:widowControl w:val="0"/>
        <w:spacing w:before="240" w:after="240" w:line="360" w:lineRule="auto"/>
        <w:jc w:val="both"/>
        <w:rPr>
          <w:rFonts w:ascii="David" w:hAnsi="David"/>
          <w:rtl/>
        </w:rPr>
      </w:pPr>
      <w:r w:rsidRPr="0037227B">
        <w:rPr>
          <w:rFonts w:ascii="David" w:hAnsi="David"/>
          <w:rtl/>
        </w:rPr>
        <w:t xml:space="preserve">לסיום הודגש כי מספר שנים לאחר הרצח, ניתן לראות את ההשלכות הרות הגורל והדרמטיות על כל אחד מבני המשפחה בנפרד ועל כולם יחד, וכי חייהם אינם אותם חיים, הנזק עצום והכאב אינו מרפה; מדובר בהשפעה על כל מישורי החיים; וכי סיום ההליך המשפטי עשוי לאפשר להם להתחיל בשיקום חייהם לאחר הטראומה הקשה והאובדן שחוו. </w:t>
      </w:r>
    </w:p>
    <w:p w14:paraId="76476544" w14:textId="77777777" w:rsidR="0037227B" w:rsidRPr="0037227B" w:rsidRDefault="0037227B" w:rsidP="006D2178">
      <w:pPr>
        <w:widowControl w:val="0"/>
        <w:spacing w:before="240" w:after="240" w:line="360" w:lineRule="auto"/>
        <w:jc w:val="both"/>
        <w:rPr>
          <w:rFonts w:ascii="David" w:hAnsi="David"/>
          <w:u w:val="single"/>
          <w:rtl/>
        </w:rPr>
      </w:pPr>
      <w:r w:rsidRPr="0037227B">
        <w:rPr>
          <w:rFonts w:ascii="David" w:hAnsi="David"/>
          <w:u w:val="single"/>
          <w:rtl/>
        </w:rPr>
        <w:t>הראיות והטיעונים לעונש</w:t>
      </w:r>
    </w:p>
    <w:p w14:paraId="2C04E607" w14:textId="77777777" w:rsidR="0037227B" w:rsidRPr="0037227B" w:rsidRDefault="0037227B" w:rsidP="00D44C41">
      <w:pPr>
        <w:widowControl w:val="0"/>
        <w:spacing w:before="240" w:after="240" w:line="360" w:lineRule="auto"/>
        <w:jc w:val="both"/>
        <w:rPr>
          <w:rFonts w:ascii="David" w:hAnsi="David"/>
          <w:rtl/>
        </w:rPr>
      </w:pPr>
      <w:r w:rsidRPr="0037227B">
        <w:rPr>
          <w:rFonts w:ascii="David" w:hAnsi="David"/>
          <w:b/>
          <w:bCs/>
          <w:rtl/>
        </w:rPr>
        <w:t>התביעה הגישה במסגרת הראיות לעונש</w:t>
      </w:r>
      <w:r w:rsidRPr="0037227B">
        <w:rPr>
          <w:rFonts w:ascii="David" w:hAnsi="David"/>
          <w:rtl/>
        </w:rPr>
        <w:t xml:space="preserve"> את גיליון ההרשעות הקודמות של הנאשם הכולל הרשעות עוד החל משנת 2009 – אז ריצה הנאשם עונש מאסר בפועל לתקופה של 19 חודשים בגין עבירות של קשירת קשר לפשע ומתן אמצעים לביצוע פשע. בשנת 2010 הושת על הנאשם מאסר בפועל, ובשנת 2013 נידון הנאשם לעונש מאסר בפועל של מספר חודשים לאחר שהורשע בעבירה של גניבה שביצע ביחד עם אחר מתוך מפעל  משם נגנב שנאי שהועמס על הטרקטור בו נהג הנאשם (גזר הדין של תיק זה – </w:t>
      </w:r>
      <w:hyperlink r:id="rId36" w:history="1">
        <w:r w:rsidR="00190E23" w:rsidRPr="00190E23">
          <w:rPr>
            <w:rFonts w:ascii="David" w:hAnsi="David"/>
            <w:color w:val="0000FF"/>
            <w:u w:val="single"/>
            <w:rtl/>
          </w:rPr>
          <w:t>ת"פ 303</w:t>
        </w:r>
        <w:r w:rsidR="00190E23" w:rsidRPr="00190E23">
          <w:rPr>
            <w:rFonts w:ascii="David" w:hAnsi="David"/>
            <w:color w:val="0000FF"/>
            <w:u w:val="single"/>
            <w:rtl/>
          </w:rPr>
          <w:t>9</w:t>
        </w:r>
        <w:r w:rsidR="00190E23" w:rsidRPr="00190E23">
          <w:rPr>
            <w:rFonts w:ascii="David" w:hAnsi="David"/>
            <w:color w:val="0000FF"/>
            <w:u w:val="single"/>
            <w:rtl/>
          </w:rPr>
          <w:t>8-04-11</w:t>
        </w:r>
      </w:hyperlink>
      <w:r w:rsidRPr="0037227B">
        <w:rPr>
          <w:rFonts w:ascii="David" w:hAnsi="David"/>
          <w:rtl/>
        </w:rPr>
        <w:t xml:space="preserve"> </w:t>
      </w:r>
      <w:r w:rsidR="00AD1D7C" w:rsidRPr="00AD1D7C">
        <w:rPr>
          <w:sz w:val="22"/>
          <w:rtl/>
        </w:rPr>
        <w:t xml:space="preserve">[פורסם בנבו] </w:t>
      </w:r>
      <w:r w:rsidRPr="0037227B">
        <w:rPr>
          <w:rFonts w:ascii="David" w:hAnsi="David"/>
          <w:rtl/>
        </w:rPr>
        <w:t xml:space="preserve">של בית משפט שלום באשקלון – הוגש </w:t>
      </w:r>
      <w:r w:rsidR="00D44C41">
        <w:rPr>
          <w:rFonts w:ascii="David" w:hAnsi="David" w:hint="cs"/>
          <w:rtl/>
        </w:rPr>
        <w:t>לנו במסגרת הראיות לעונש</w:t>
      </w:r>
      <w:r w:rsidRPr="0037227B">
        <w:rPr>
          <w:rFonts w:ascii="David" w:hAnsi="David"/>
          <w:rtl/>
        </w:rPr>
        <w:t>).</w:t>
      </w:r>
    </w:p>
    <w:p w14:paraId="52F96BFD"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כן הוגש גזר הדין בתיק ה</w:t>
      </w:r>
      <w:r w:rsidR="00D44C41">
        <w:rPr>
          <w:rFonts w:ascii="David" w:hAnsi="David" w:hint="cs"/>
          <w:rtl/>
        </w:rPr>
        <w:t>"</w:t>
      </w:r>
      <w:r w:rsidRPr="0037227B">
        <w:rPr>
          <w:rFonts w:ascii="David" w:hAnsi="David"/>
          <w:rtl/>
        </w:rPr>
        <w:t>מטען הנוסף</w:t>
      </w:r>
      <w:r w:rsidR="00D44C41">
        <w:rPr>
          <w:rFonts w:ascii="David" w:hAnsi="David" w:hint="cs"/>
          <w:rtl/>
        </w:rPr>
        <w:t>"</w:t>
      </w:r>
      <w:r w:rsidRPr="0037227B">
        <w:rPr>
          <w:rFonts w:ascii="David" w:hAnsi="David"/>
          <w:rtl/>
        </w:rPr>
        <w:t xml:space="preserve"> – </w:t>
      </w:r>
      <w:hyperlink r:id="rId37" w:history="1">
        <w:r w:rsidR="00190E23" w:rsidRPr="00190E23">
          <w:rPr>
            <w:rFonts w:ascii="David" w:hAnsi="David"/>
            <w:color w:val="0000FF"/>
            <w:u w:val="single"/>
            <w:rtl/>
          </w:rPr>
          <w:t>ת"פ 562</w:t>
        </w:r>
        <w:r w:rsidR="00190E23" w:rsidRPr="00190E23">
          <w:rPr>
            <w:rFonts w:ascii="David" w:hAnsi="David"/>
            <w:color w:val="0000FF"/>
            <w:u w:val="single"/>
            <w:rtl/>
          </w:rPr>
          <w:t>3</w:t>
        </w:r>
        <w:r w:rsidR="00190E23" w:rsidRPr="00190E23">
          <w:rPr>
            <w:rFonts w:ascii="David" w:hAnsi="David"/>
            <w:color w:val="0000FF"/>
            <w:u w:val="single"/>
            <w:rtl/>
          </w:rPr>
          <w:t>2-12-14</w:t>
        </w:r>
      </w:hyperlink>
      <w:r w:rsidRPr="0037227B">
        <w:rPr>
          <w:rFonts w:ascii="David" w:hAnsi="David"/>
          <w:rtl/>
        </w:rPr>
        <w:t xml:space="preserve"> </w:t>
      </w:r>
      <w:r w:rsidR="00AD1D7C" w:rsidRPr="00AD1D7C">
        <w:rPr>
          <w:sz w:val="22"/>
          <w:rtl/>
        </w:rPr>
        <w:t xml:space="preserve">[פורסם בנבו] </w:t>
      </w:r>
      <w:r w:rsidRPr="0037227B">
        <w:rPr>
          <w:rFonts w:ascii="David" w:hAnsi="David"/>
          <w:rtl/>
        </w:rPr>
        <w:t xml:space="preserve">של בית משפט זה – בו נידון הנאשם </w:t>
      </w:r>
      <w:r w:rsidR="00F63C45">
        <w:rPr>
          <w:rFonts w:ascii="David" w:hAnsi="David" w:hint="cs"/>
          <w:rtl/>
        </w:rPr>
        <w:t xml:space="preserve">כאמור </w:t>
      </w:r>
      <w:r w:rsidRPr="0037227B">
        <w:rPr>
          <w:rFonts w:ascii="David" w:hAnsi="David"/>
          <w:rtl/>
        </w:rPr>
        <w:t xml:space="preserve">למאסר בפועל של 3 שנים בגין עבירות נשק הנוגעות אף הן ליצור מטען חבלה. </w:t>
      </w:r>
    </w:p>
    <w:p w14:paraId="45B0B3C2" w14:textId="77777777" w:rsidR="0037227B" w:rsidRPr="0037227B" w:rsidRDefault="0037227B" w:rsidP="00D44C41">
      <w:pPr>
        <w:widowControl w:val="0"/>
        <w:spacing w:before="240" w:after="240" w:line="360" w:lineRule="auto"/>
        <w:jc w:val="both"/>
        <w:rPr>
          <w:rFonts w:ascii="David" w:hAnsi="David"/>
          <w:rtl/>
        </w:rPr>
      </w:pPr>
      <w:r w:rsidRPr="0037227B">
        <w:rPr>
          <w:rFonts w:ascii="David" w:hAnsi="David"/>
          <w:b/>
          <w:bCs/>
          <w:rtl/>
        </w:rPr>
        <w:t xml:space="preserve">מטעם ההגנה </w:t>
      </w:r>
      <w:r w:rsidRPr="0037227B">
        <w:rPr>
          <w:rFonts w:ascii="David" w:hAnsi="David"/>
          <w:rtl/>
        </w:rPr>
        <w:t>הוגש מכתב של אחותו של הנאשם</w:t>
      </w:r>
      <w:r w:rsidR="00D44C41">
        <w:rPr>
          <w:rFonts w:ascii="David" w:hAnsi="David" w:hint="cs"/>
          <w:rtl/>
        </w:rPr>
        <w:t>.</w:t>
      </w:r>
      <w:r w:rsidRPr="0037227B">
        <w:rPr>
          <w:rFonts w:ascii="David" w:hAnsi="David"/>
          <w:rtl/>
        </w:rPr>
        <w:t xml:space="preserve"> </w:t>
      </w:r>
      <w:r w:rsidR="00D44C41">
        <w:rPr>
          <w:rFonts w:ascii="David" w:hAnsi="David" w:hint="cs"/>
          <w:rtl/>
        </w:rPr>
        <w:t>במכתבה סיפרה,</w:t>
      </w:r>
      <w:r w:rsidRPr="0037227B">
        <w:rPr>
          <w:rFonts w:ascii="David" w:hAnsi="David"/>
          <w:rtl/>
        </w:rPr>
        <w:t xml:space="preserve"> כי היא אחת מבין שלוש אחיותיו של הנאשם והוא קשור </w:t>
      </w:r>
      <w:r w:rsidR="00D44C41">
        <w:rPr>
          <w:rFonts w:ascii="David" w:hAnsi="David" w:hint="cs"/>
          <w:rtl/>
        </w:rPr>
        <w:t xml:space="preserve">באופן מיוחד </w:t>
      </w:r>
      <w:r w:rsidRPr="0037227B">
        <w:rPr>
          <w:rFonts w:ascii="David" w:hAnsi="David"/>
          <w:rtl/>
        </w:rPr>
        <w:t xml:space="preserve">אליה; וכי הנאשם והיא עברו דברים לא פשוטים בחייהם, הוא נתן את כל כולו למענן, עבד בעבודות שונות כדי לכלכל אותן ועשה הכל כדי להוציאן ממעגל החיים הקשה בו הן חיות. עוד ציינה, כי הנאשם ניסה למצוא פרנסה בעסקים כדי לכלכל אותן ואת משפחתו, אך בסופו של דבר בחר ללכת בדרך אחרת עליה הוא מצר. </w:t>
      </w:r>
    </w:p>
    <w:p w14:paraId="26ECF411"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לדבריה מאסרו האחרון גרם לו לשינוי קיצוני לטובה ולתפנית חיובית בחייו, הוא התחבר לדת בצורה חזקה וכיום הוא אדם אחר שדואג למשפחתו ולילדיו ומנסה להסביר להם ללכת בדרך הישר. מכאן ביקשה האחות מבית המשפט לתת לנאשם הזדמנות לפתוח בחיים חדשים, לאור השינוי שהוא עשה וההשפעה הקשה על משפחתו וילדיו, מעצם עובדת היותו בכלא במשך שנים. </w:t>
      </w:r>
    </w:p>
    <w:p w14:paraId="6B5BFACD"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עוד הוגש מכתב של רב אשר לנאשם קשר עמו, בו סיפר על התיקון שעשה הנאשם וכי היום הנאשם אדם אחר לגמרי ולכן לא יהא זה צודק לשפוט את האדם שהיה, אלא יש לשפוט את האדם החדש – הנאשם לאחר אותו תיקון. </w:t>
      </w:r>
    </w:p>
    <w:p w14:paraId="42B18761" w14:textId="77777777" w:rsidR="0037227B" w:rsidRPr="0037227B" w:rsidRDefault="0037227B" w:rsidP="00182606">
      <w:pPr>
        <w:widowControl w:val="0"/>
        <w:spacing w:before="240" w:after="240" w:line="360" w:lineRule="auto"/>
        <w:jc w:val="both"/>
        <w:rPr>
          <w:rFonts w:ascii="David" w:hAnsi="David"/>
          <w:rtl/>
        </w:rPr>
      </w:pPr>
      <w:r w:rsidRPr="0037227B">
        <w:rPr>
          <w:rFonts w:ascii="David" w:hAnsi="David"/>
          <w:b/>
          <w:bCs/>
          <w:rtl/>
        </w:rPr>
        <w:t>ב"כ המדינה פתח את טיעוניו</w:t>
      </w:r>
      <w:r w:rsidRPr="0037227B">
        <w:rPr>
          <w:rFonts w:ascii="David" w:hAnsi="David"/>
          <w:rtl/>
        </w:rPr>
        <w:t xml:space="preserve"> לעונש</w:t>
      </w:r>
      <w:r w:rsidR="00182606">
        <w:rPr>
          <w:rFonts w:ascii="David" w:hAnsi="David" w:hint="cs"/>
          <w:rtl/>
        </w:rPr>
        <w:t xml:space="preserve"> </w:t>
      </w:r>
      <w:r w:rsidRPr="0037227B">
        <w:rPr>
          <w:rFonts w:ascii="David" w:hAnsi="David"/>
          <w:rtl/>
        </w:rPr>
        <w:t xml:space="preserve">בהתייחסות להסדר הטיעון אליו הגיעו הצדדים ביחס לכלל הנאשמים ובכלל זה הנאשם. הודגש שכתב האישום הוגש כנגד הנאשם וארבעה אחרים בעבירת רצח מנשה מאור וניסיון רציחתם של שניים האחרים באמצעות פיצוץ רכב ע"י מטען חבלה, וכי הראיה המרכזית הייתה עדות עד המדינה. במסגרת הסדר הטיעון הגיעו הצדדים להסכמה לפיה יגזרו על הנאשם 13 שנות מאסר ובהמשך הסכימו על הפחתה ל-12 שנות מאסר. הוטעם כי הנאשם בחר לחזור בו מן ההסדר ובית משפט אפשר לו לעשות כן, למרות התנגדות התביעה; וכי  לא ניתן לבצע השוואה בין עונש שנגזר במסגרת הסדר טיעון לבין עונש שיש לגזור ביחס לנאשם לאחר ניהול הוכחות. </w:t>
      </w:r>
    </w:p>
    <w:p w14:paraId="2FA36649" w14:textId="77777777" w:rsidR="0037227B" w:rsidRPr="0037227B" w:rsidRDefault="0037227B" w:rsidP="00182606">
      <w:pPr>
        <w:widowControl w:val="0"/>
        <w:spacing w:before="240" w:after="240" w:line="360" w:lineRule="auto"/>
        <w:jc w:val="both"/>
        <w:rPr>
          <w:rFonts w:ascii="David" w:hAnsi="David"/>
          <w:rtl/>
        </w:rPr>
      </w:pPr>
      <w:r w:rsidRPr="0037227B">
        <w:rPr>
          <w:rFonts w:ascii="David" w:hAnsi="David"/>
          <w:rtl/>
        </w:rPr>
        <w:t xml:space="preserve">ביחס לעונשים עליהם הוסכם בהסדר הטיעון הודגש, כי המאשימה לא הייתה מסכימה להסדר הטיעון כפי שהוסכם ביחס לנאשם עצמו ולעונש שהיא הסכימה להסתפק בו ביחס לנאשם, אלמלא היה מדובר בהסדר כולל, </w:t>
      </w:r>
      <w:r w:rsidR="00182606">
        <w:rPr>
          <w:rFonts w:ascii="David" w:hAnsi="David" w:hint="cs"/>
          <w:rtl/>
        </w:rPr>
        <w:t>ש</w:t>
      </w:r>
      <w:r w:rsidRPr="0037227B">
        <w:rPr>
          <w:rFonts w:ascii="David" w:hAnsi="David"/>
          <w:rtl/>
        </w:rPr>
        <w:t xml:space="preserve">נערך עם כל חמשת הנאשמים בפרשה; וכי עניין זה הוא מהותי. ב"כ המאשימה ציין, כי דבריו מתייחסים לטענה שהוא צופה שההגנה תעלה, ביחס לכך שיש מקום להשוות בין מעשיו של הנאשם כאן למעשי הנאשמים האחרים ולהקיש מהעונש שנגזר עליהם בהסדר הטיעון, לעונש שיש לגזור על הנאשם. </w:t>
      </w:r>
    </w:p>
    <w:p w14:paraId="2A97D464" w14:textId="77777777" w:rsidR="0037227B" w:rsidRPr="0037227B" w:rsidRDefault="0037227B" w:rsidP="00182606">
      <w:pPr>
        <w:widowControl w:val="0"/>
        <w:spacing w:before="240" w:after="240" w:line="360" w:lineRule="auto"/>
        <w:jc w:val="both"/>
        <w:rPr>
          <w:rFonts w:ascii="David" w:hAnsi="David"/>
          <w:rtl/>
        </w:rPr>
      </w:pPr>
      <w:r w:rsidRPr="0037227B">
        <w:rPr>
          <w:rFonts w:ascii="David" w:hAnsi="David"/>
          <w:rtl/>
        </w:rPr>
        <w:t>ב"כ המאשימה הפנה לקביעות שונות שנקבעו בהכרעת הדין ביחס לחלקו המהותי של הנאשם בפרשה. כך שנקבע שהנאשם אינו המסייע הקלאסי, כי הנאשם לקח חלק בתכנון ביצור המטען, הפעלתו ובסיוע לאותו רצח וניסיונות הרצח</w:t>
      </w:r>
      <w:r w:rsidR="00182606">
        <w:rPr>
          <w:rFonts w:ascii="David" w:hAnsi="David" w:hint="cs"/>
          <w:rtl/>
        </w:rPr>
        <w:t>;</w:t>
      </w:r>
      <w:r w:rsidRPr="0037227B">
        <w:rPr>
          <w:rFonts w:ascii="David" w:hAnsi="David"/>
          <w:rtl/>
        </w:rPr>
        <w:t xml:space="preserve"> </w:t>
      </w:r>
      <w:r w:rsidR="00182606">
        <w:rPr>
          <w:rFonts w:ascii="David" w:hAnsi="David" w:hint="cs"/>
          <w:rtl/>
        </w:rPr>
        <w:t>ו</w:t>
      </w:r>
      <w:r w:rsidRPr="0037227B">
        <w:rPr>
          <w:rFonts w:ascii="David" w:hAnsi="David"/>
          <w:rtl/>
        </w:rPr>
        <w:t xml:space="preserve">בכך שקיבל מטען תקול, ייצר מטען חדש ואף הסביר לשותפים כיצד להפעילו. לא בכדי כונה הנאשם כ"מהנדס" וכי ניתן לקבוע כי הוא עסק, בין היתר, באספקה ויצור מטעני חבלה לכל דורש. משאלו הם פני הדברים וכאשר מדובר בנאשם שזהו התיק השלישי שלו שעניינו מטעני חבלה ועולם מטעני החבלה לא זר לו וזה עיסוקו, מצב זה מחייב הרתעה אישית ברמה גבוהה. עוד הודגש, כי בחינת הרכיבים המנויים </w:t>
      </w:r>
      <w:hyperlink r:id="rId38" w:history="1">
        <w:r w:rsidR="00922B79" w:rsidRPr="00922B79">
          <w:rPr>
            <w:rStyle w:val="Hyperlink"/>
            <w:rFonts w:ascii="David" w:hAnsi="David"/>
            <w:rtl/>
          </w:rPr>
          <w:t>בסעיף 40ט</w:t>
        </w:r>
      </w:hyperlink>
      <w:r w:rsidRPr="0037227B">
        <w:rPr>
          <w:rFonts w:ascii="David" w:hAnsi="David"/>
          <w:rtl/>
        </w:rPr>
        <w:t xml:space="preserve"> ל</w:t>
      </w:r>
      <w:hyperlink r:id="rId39" w:history="1">
        <w:r w:rsidR="00190E23" w:rsidRPr="00190E23">
          <w:rPr>
            <w:rFonts w:ascii="David" w:hAnsi="David"/>
            <w:color w:val="0000FF"/>
            <w:u w:val="single"/>
            <w:rtl/>
          </w:rPr>
          <w:t>חוק העונשין</w:t>
        </w:r>
      </w:hyperlink>
      <w:r w:rsidRPr="0037227B">
        <w:rPr>
          <w:rFonts w:ascii="David" w:hAnsi="David"/>
          <w:rtl/>
        </w:rPr>
        <w:t xml:space="preserve"> בקביעת המתחם מלמדת כי אין אף רכיב הפועל לטובת הנאשם. </w:t>
      </w:r>
    </w:p>
    <w:p w14:paraId="1DBBB9F3"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באשר לקביעת המתחם בהתאם למדיניות הענישה הנוהגת הפנתה המאשימה למספר פסקי דין אליהם נידרש בהמשך. </w:t>
      </w:r>
    </w:p>
    <w:p w14:paraId="45D96CE7"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המאשימה הפנתה אף לתסקיר נפגע העבירה בהתייחס למשפחת המנוח ולתמונה הקשה שעולה ממנו וביקשה לפסוק פיצוי נוסף – הפיצוי המקסימלי בסך 258,000 ₪. </w:t>
      </w:r>
    </w:p>
    <w:p w14:paraId="4133BAA7"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נוכח האמור ביקשה המאשימה לקבוע מתחם של 15 – 20 שנות מאסר ולהשית על הנאשם עונש ברף הגבוה של המתחם – 20 שנות מאסר. </w:t>
      </w:r>
    </w:p>
    <w:p w14:paraId="788C5F3F" w14:textId="77777777" w:rsidR="00182606" w:rsidRDefault="0037227B" w:rsidP="00182606">
      <w:pPr>
        <w:widowControl w:val="0"/>
        <w:spacing w:before="240" w:after="240" w:line="360" w:lineRule="auto"/>
        <w:jc w:val="both"/>
        <w:rPr>
          <w:rFonts w:ascii="David" w:hAnsi="David"/>
          <w:rtl/>
        </w:rPr>
      </w:pPr>
      <w:r w:rsidRPr="0037227B">
        <w:rPr>
          <w:rFonts w:ascii="David" w:hAnsi="David"/>
          <w:b/>
          <w:bCs/>
          <w:rtl/>
        </w:rPr>
        <w:t>ב"כ הנאשם הדגיש</w:t>
      </w:r>
      <w:r w:rsidR="00182606">
        <w:rPr>
          <w:rFonts w:ascii="David" w:hAnsi="David" w:hint="cs"/>
          <w:b/>
          <w:bCs/>
          <w:rtl/>
        </w:rPr>
        <w:t xml:space="preserve"> </w:t>
      </w:r>
      <w:r w:rsidRPr="0037227B">
        <w:rPr>
          <w:rFonts w:ascii="David" w:hAnsi="David"/>
          <w:b/>
          <w:bCs/>
          <w:rtl/>
        </w:rPr>
        <w:t>מנגד</w:t>
      </w:r>
      <w:r w:rsidRPr="0037227B">
        <w:rPr>
          <w:rFonts w:ascii="David" w:hAnsi="David"/>
          <w:rtl/>
        </w:rPr>
        <w:t xml:space="preserve">, כי הוא רואה את הדברים בצורה שונה לגמרי. לשיטתו, הגם שבהכרעת הדין הורשע הנאשם בסיוע לרצח, הרי שלאור הקביעות שנקבעו בה, מצבו שונה מאוד לעומת הנאשמים האחרים. כך, לדוגמה, וורו וזהבי היו שותפים לתכנון המוקדם, הם אלו שחיפשו את הרכב, ערכו את תכנית הפעולה בכוח, והיה להם אינטרס ברור לממש את הרצח. אף עומק מעורבותם היה רב יותר. </w:t>
      </w:r>
    </w:p>
    <w:p w14:paraId="3C2EF823" w14:textId="77777777" w:rsidR="0037227B" w:rsidRPr="0037227B" w:rsidRDefault="0037227B" w:rsidP="00182606">
      <w:pPr>
        <w:widowControl w:val="0"/>
        <w:spacing w:before="240" w:after="240" w:line="360" w:lineRule="auto"/>
        <w:jc w:val="both"/>
        <w:rPr>
          <w:rFonts w:ascii="David" w:hAnsi="David"/>
          <w:rtl/>
        </w:rPr>
      </w:pPr>
      <w:r w:rsidRPr="0037227B">
        <w:rPr>
          <w:rFonts w:ascii="David" w:hAnsi="David"/>
          <w:rtl/>
        </w:rPr>
        <w:t xml:space="preserve">בנוסף הם, לעומת הנאשם, היו מעורבים לאחר הרצח וקיבלו תמורה מסוימת בגינו, אם בצורת כסף לרכישת בגדים ואם בצורה של בילוי באילת שמומן ע"י נאשם 1 לאחר הרצח. </w:t>
      </w:r>
    </w:p>
    <w:p w14:paraId="70F2211E"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עוד הודגש, כי המדינה לא ציינה מעולם שבבסיס ההסדר עמד קושי ראייתי. על כן יש מקום להשוות את עניינו של הנאשם לחלקם ולעונשים שהושתו על הנאשמים האחרים ויש מקום להשוואה בין העונשים שהושתו בהסדר הטיעון על האחרים לעונשו של הנאשם; וכי קבלת עתירת המדינה המבקשת להתעלם מהעונשים שהושתו בהסדר הטיעון יוצרת מצב לא ראוי ולא סביר.</w:t>
      </w:r>
    </w:p>
    <w:p w14:paraId="13ED63E7"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התוצאה המתחייבת מהאמור היא  שעונשו של הנאשם שבפנינו צריך להיות נמוך בצורה משמעותית מעונשם של הנאשמים האחרים (בעיקר כאשר לא מדובר בהסדר טיעון שגובש בשל קושי ראייתי); ומקל בהרבה מהעונש שהושת הן על וורו והן על זהבי.</w:t>
      </w:r>
    </w:p>
    <w:p w14:paraId="151E4CE4" w14:textId="77777777" w:rsidR="0037227B" w:rsidRPr="0037227B" w:rsidRDefault="0037227B" w:rsidP="00182606">
      <w:pPr>
        <w:widowControl w:val="0"/>
        <w:spacing w:before="240" w:after="240" w:line="360" w:lineRule="auto"/>
        <w:jc w:val="both"/>
        <w:rPr>
          <w:rFonts w:ascii="David" w:hAnsi="David"/>
          <w:rtl/>
        </w:rPr>
      </w:pPr>
      <w:r w:rsidRPr="0037227B">
        <w:rPr>
          <w:rFonts w:ascii="David" w:hAnsi="David"/>
          <w:rtl/>
        </w:rPr>
        <w:t xml:space="preserve">עוד הטעים הסניגור, כי העבירות של ייצור והובלה של המטען מתלכדות עם העבירה של סיוע לרצח ועל כן יש לגזור על הנאשם עונש אחד בגין כלל העבירות, שכן אותם מעשים הגיעו להרשעה בכל העבירות. בעניין זה הודגש כי אין לזקוף לחובתו של הנאשם את העובדה ש"העז" לנהל משפט, במיוחד כאשר אף בית המשפט קבע שלא היה לו חפץ בתוצאה. נוכח כל אלו עונשו צריך להיות נחות בצורה משמעותית מעונשו של הנאשם זהבי שנידון ל- 10 שנות מאסר. </w:t>
      </w:r>
      <w:r w:rsidR="00182606">
        <w:rPr>
          <w:rFonts w:ascii="David" w:hAnsi="David" w:hint="cs"/>
          <w:rtl/>
        </w:rPr>
        <w:t xml:space="preserve">הסנגור הוסיף וציין כי בהתאם לקביעות שנקבעו בהכרעת הדין מצבו של הנאשם מקל יותר והעובדות "מרוככות" מה יותר מאלו שצוינו במסגרת הסדר הטיעון בכלל, ובפרט בהשוואה לאחרים וגם עניין זה מלמד שעונשו צריך להיות פחות מזה שהוסכם בהסדר הטיעון ואפילו מזה של זהבי. </w:t>
      </w:r>
    </w:p>
    <w:p w14:paraId="4678949B"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לסיום הודגשו הנסיבות האישיות של הנאשם והמכתבים של אחותו ושל הרב שמלווה אותו והשינוי המשמעותי שחל בנאשם ששינה את דרכיו ועוסק בלימוד תורה, וכי יש לפתוח לנאשם צוהר לניסיון לטיפול כדי שיוכל לשוב לחיק משפחתו ולאפשר לו לחוות גם את גידול ילדיו. </w:t>
      </w:r>
    </w:p>
    <w:p w14:paraId="1AE9C69E"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הנאשם נשאל אם הוא רוצה לומר דברים לעונש והוא הניד בראשו לשלילה.</w:t>
      </w:r>
    </w:p>
    <w:p w14:paraId="157559BE" w14:textId="77777777" w:rsidR="0037227B" w:rsidRPr="0037227B" w:rsidRDefault="0037227B" w:rsidP="006D2178">
      <w:pPr>
        <w:widowControl w:val="0"/>
        <w:spacing w:before="240" w:after="240" w:line="360" w:lineRule="auto"/>
        <w:jc w:val="both"/>
        <w:rPr>
          <w:rFonts w:ascii="David" w:hAnsi="David"/>
          <w:b/>
          <w:bCs/>
          <w:sz w:val="26"/>
          <w:szCs w:val="26"/>
          <w:u w:val="single"/>
          <w:rtl/>
        </w:rPr>
      </w:pPr>
      <w:r w:rsidRPr="0037227B">
        <w:rPr>
          <w:rFonts w:ascii="David" w:hAnsi="David"/>
          <w:b/>
          <w:bCs/>
          <w:sz w:val="26"/>
          <w:szCs w:val="26"/>
          <w:u w:val="single"/>
          <w:rtl/>
        </w:rPr>
        <w:t>דיון</w:t>
      </w:r>
    </w:p>
    <w:p w14:paraId="5200864B" w14:textId="77777777" w:rsidR="00182606" w:rsidRDefault="0037227B" w:rsidP="00182606">
      <w:pPr>
        <w:widowControl w:val="0"/>
        <w:spacing w:before="240" w:after="240" w:line="360" w:lineRule="auto"/>
        <w:jc w:val="both"/>
        <w:rPr>
          <w:rFonts w:ascii="David" w:hAnsi="David"/>
          <w:u w:val="single"/>
          <w:rtl/>
        </w:rPr>
      </w:pPr>
      <w:r w:rsidRPr="0037227B">
        <w:rPr>
          <w:rFonts w:ascii="David" w:hAnsi="David"/>
          <w:rtl/>
        </w:rPr>
        <w:t>הנאשם כבן 44 שנים, נותן היום את הדין בגין ביצוע עבירות של סיוע לרצח וסיוע לשני ניסיונות רצח, תוך קשירת קשר עם אחרים, וכן בגין עבירות נשק (ייצור נשק) הנוגעות להכנת מטען חבלה תקין, ועבירות של הובלה ונשיאת נשק</w:t>
      </w:r>
      <w:r w:rsidR="00182606">
        <w:rPr>
          <w:rFonts w:ascii="David" w:hAnsi="David" w:hint="cs"/>
          <w:rtl/>
        </w:rPr>
        <w:t>.</w:t>
      </w:r>
      <w:bookmarkStart w:id="8" w:name="_Ref422991532"/>
    </w:p>
    <w:p w14:paraId="792CD4E4" w14:textId="77777777" w:rsidR="0037227B" w:rsidRPr="0037227B" w:rsidRDefault="0037227B" w:rsidP="00182606">
      <w:pPr>
        <w:widowControl w:val="0"/>
        <w:spacing w:before="240" w:after="240" w:line="360" w:lineRule="auto"/>
        <w:jc w:val="both"/>
        <w:rPr>
          <w:rFonts w:ascii="David" w:hAnsi="David"/>
          <w:u w:val="single"/>
          <w:rtl/>
        </w:rPr>
      </w:pPr>
      <w:r w:rsidRPr="0037227B">
        <w:rPr>
          <w:rFonts w:ascii="David" w:hAnsi="David"/>
          <w:u w:val="single"/>
          <w:rtl/>
        </w:rPr>
        <w:t xml:space="preserve">מתחם העונש ההולם </w:t>
      </w:r>
    </w:p>
    <w:p w14:paraId="47F03360" w14:textId="77777777" w:rsidR="0037227B" w:rsidRPr="0037227B" w:rsidRDefault="0037227B" w:rsidP="006D2178">
      <w:pPr>
        <w:widowControl w:val="0"/>
        <w:spacing w:before="240" w:after="240" w:line="360" w:lineRule="auto"/>
        <w:jc w:val="both"/>
        <w:rPr>
          <w:rFonts w:ascii="David" w:hAnsi="David"/>
          <w:rtl/>
        </w:rPr>
      </w:pPr>
      <w:r w:rsidRPr="00AA720B">
        <w:rPr>
          <w:rFonts w:ascii="Calibri" w:hAnsi="Calibri" w:hint="eastAsia"/>
          <w:rtl/>
        </w:rPr>
        <w:t>העיקרון</w:t>
      </w:r>
      <w:r w:rsidRPr="00AA720B">
        <w:rPr>
          <w:rFonts w:ascii="Calibri" w:hAnsi="Calibri"/>
          <w:rtl/>
        </w:rPr>
        <w:t xml:space="preserve"> </w:t>
      </w:r>
      <w:r w:rsidRPr="00AA720B">
        <w:rPr>
          <w:rFonts w:ascii="Calibri" w:hAnsi="Calibri" w:hint="eastAsia"/>
          <w:rtl/>
        </w:rPr>
        <w:t>המנחה</w:t>
      </w:r>
      <w:r w:rsidRPr="00AA720B">
        <w:rPr>
          <w:rFonts w:ascii="Calibri" w:hAnsi="Calibri"/>
          <w:rtl/>
        </w:rPr>
        <w:t xml:space="preserve"> </w:t>
      </w:r>
      <w:r w:rsidRPr="00AA720B">
        <w:rPr>
          <w:rFonts w:ascii="Calibri" w:hAnsi="Calibri" w:hint="eastAsia"/>
          <w:rtl/>
        </w:rPr>
        <w:t>בהתאם</w:t>
      </w:r>
      <w:r w:rsidRPr="00AA720B">
        <w:rPr>
          <w:rFonts w:ascii="Calibri" w:hAnsi="Calibri"/>
          <w:rtl/>
        </w:rPr>
        <w:t xml:space="preserve"> </w:t>
      </w:r>
      <w:r w:rsidRPr="00AA720B">
        <w:rPr>
          <w:rFonts w:ascii="Calibri" w:hAnsi="Calibri" w:hint="eastAsia"/>
          <w:rtl/>
        </w:rPr>
        <w:t>לתיקון</w:t>
      </w:r>
      <w:r w:rsidRPr="00AA720B">
        <w:rPr>
          <w:rFonts w:ascii="Calibri" w:hAnsi="Calibri"/>
          <w:rtl/>
        </w:rPr>
        <w:t xml:space="preserve"> 113 </w:t>
      </w:r>
      <w:r w:rsidRPr="00AA720B">
        <w:rPr>
          <w:rFonts w:ascii="Calibri" w:hAnsi="Calibri" w:hint="eastAsia"/>
          <w:rtl/>
        </w:rPr>
        <w:t>ל</w:t>
      </w:r>
      <w:hyperlink r:id="rId40" w:history="1">
        <w:r w:rsidR="00190E23" w:rsidRPr="00190E23">
          <w:rPr>
            <w:rFonts w:ascii="Calibri" w:hAnsi="Calibri" w:hint="eastAsia"/>
            <w:color w:val="0000FF"/>
            <w:u w:val="single"/>
            <w:rtl/>
          </w:rPr>
          <w:t>חוק</w:t>
        </w:r>
        <w:r w:rsidR="00190E23" w:rsidRPr="00190E23">
          <w:rPr>
            <w:rFonts w:ascii="Calibri" w:hAnsi="Calibri"/>
            <w:color w:val="0000FF"/>
            <w:u w:val="single"/>
            <w:rtl/>
          </w:rPr>
          <w:t xml:space="preserve"> </w:t>
        </w:r>
        <w:r w:rsidR="00190E23" w:rsidRPr="00190E23">
          <w:rPr>
            <w:rFonts w:ascii="Calibri" w:hAnsi="Calibri" w:hint="eastAsia"/>
            <w:color w:val="0000FF"/>
            <w:u w:val="single"/>
            <w:rtl/>
          </w:rPr>
          <w:t>העונשין</w:t>
        </w:r>
      </w:hyperlink>
      <w:r w:rsidRPr="00AA720B">
        <w:rPr>
          <w:rFonts w:ascii="Calibri" w:hAnsi="Calibri"/>
          <w:rtl/>
        </w:rPr>
        <w:t xml:space="preserve"> </w:t>
      </w:r>
      <w:r w:rsidRPr="00AA720B">
        <w:rPr>
          <w:rFonts w:ascii="Calibri" w:hAnsi="Calibri" w:hint="eastAsia"/>
          <w:rtl/>
        </w:rPr>
        <w:t>הינו</w:t>
      </w:r>
      <w:r w:rsidRPr="00AA720B">
        <w:rPr>
          <w:rFonts w:ascii="Calibri" w:hAnsi="Calibri"/>
          <w:rtl/>
        </w:rPr>
        <w:t xml:space="preserve"> "</w:t>
      </w:r>
      <w:r w:rsidRPr="00AA720B">
        <w:rPr>
          <w:rFonts w:ascii="Calibri" w:hAnsi="Calibri" w:hint="eastAsia"/>
          <w:rtl/>
        </w:rPr>
        <w:t>עקרון</w:t>
      </w:r>
      <w:r w:rsidRPr="00AA720B">
        <w:rPr>
          <w:rFonts w:ascii="Calibri" w:hAnsi="Calibri"/>
          <w:rtl/>
        </w:rPr>
        <w:t xml:space="preserve"> </w:t>
      </w:r>
      <w:r w:rsidRPr="00AA720B">
        <w:rPr>
          <w:rFonts w:ascii="Calibri" w:hAnsi="Calibri" w:hint="eastAsia"/>
          <w:rtl/>
        </w:rPr>
        <w:t>ההלימה</w:t>
      </w:r>
      <w:r w:rsidRPr="00AA720B">
        <w:rPr>
          <w:rFonts w:ascii="Calibri" w:hAnsi="Calibri"/>
          <w:rtl/>
        </w:rPr>
        <w:t xml:space="preserve">". </w:t>
      </w:r>
      <w:r w:rsidRPr="00AA720B">
        <w:rPr>
          <w:rFonts w:ascii="Calibri" w:hAnsi="Calibri" w:hint="eastAsia"/>
          <w:rtl/>
        </w:rPr>
        <w:t>כך</w:t>
      </w:r>
      <w:r w:rsidRPr="00AA720B">
        <w:rPr>
          <w:rFonts w:ascii="Calibri" w:hAnsi="Calibri"/>
          <w:rtl/>
        </w:rPr>
        <w:t xml:space="preserve"> </w:t>
      </w:r>
      <w:r w:rsidRPr="00AA720B">
        <w:rPr>
          <w:rFonts w:ascii="Calibri" w:hAnsi="Calibri" w:hint="eastAsia"/>
          <w:rtl/>
        </w:rPr>
        <w:t>מורה</w:t>
      </w:r>
      <w:r w:rsidRPr="00AA720B">
        <w:rPr>
          <w:rFonts w:ascii="Calibri" w:hAnsi="Calibri"/>
          <w:rtl/>
        </w:rPr>
        <w:t xml:space="preserve"> </w:t>
      </w:r>
      <w:hyperlink r:id="rId41" w:history="1">
        <w:r w:rsidR="00922B79" w:rsidRPr="00922B79">
          <w:rPr>
            <w:rStyle w:val="Hyperlink"/>
            <w:rFonts w:ascii="David" w:hAnsi="David"/>
            <w:rtl/>
          </w:rPr>
          <w:t>סעיף 40ג</w:t>
        </w:r>
      </w:hyperlink>
      <w:r w:rsidRPr="0037227B">
        <w:rPr>
          <w:rFonts w:ascii="David" w:hAnsi="David"/>
          <w:rtl/>
        </w:rPr>
        <w:t xml:space="preserve"> ב</w:t>
      </w:r>
      <w:hyperlink r:id="rId42" w:history="1">
        <w:r w:rsidR="00190E23" w:rsidRPr="00190E23">
          <w:rPr>
            <w:rFonts w:ascii="David" w:hAnsi="David"/>
            <w:b/>
            <w:bCs/>
            <w:color w:val="0000FF"/>
            <w:u w:val="single"/>
            <w:rtl/>
          </w:rPr>
          <w:t>חוק העונשין</w:t>
        </w:r>
      </w:hyperlink>
      <w:r w:rsidRPr="0037227B">
        <w:rPr>
          <w:rFonts w:ascii="David" w:hAnsi="David"/>
          <w:rtl/>
        </w:rPr>
        <w:t xml:space="preserve"> כי יש לקבוע </w:t>
      </w:r>
      <w:r w:rsidRPr="0037227B">
        <w:rPr>
          <w:rFonts w:ascii="David" w:hAnsi="David"/>
          <w:b/>
          <w:bCs/>
          <w:rtl/>
        </w:rPr>
        <w:t>"מתחם עונש הולם למעשה העבירה שביצע הנאשם בהתאם לעיקרון המנחה"</w:t>
      </w:r>
      <w:r w:rsidRPr="0037227B">
        <w:rPr>
          <w:rFonts w:ascii="David" w:hAnsi="David"/>
          <w:rtl/>
        </w:rPr>
        <w:t xml:space="preserve">, שהוא, כאמור </w:t>
      </w:r>
      <w:hyperlink r:id="rId43" w:history="1">
        <w:r w:rsidR="00922B79" w:rsidRPr="00922B79">
          <w:rPr>
            <w:rStyle w:val="Hyperlink"/>
            <w:rFonts w:ascii="David" w:hAnsi="David"/>
            <w:rtl/>
          </w:rPr>
          <w:t>בסעיף 40ב</w:t>
        </w:r>
      </w:hyperlink>
      <w:r w:rsidRPr="0037227B">
        <w:rPr>
          <w:rFonts w:ascii="David" w:hAnsi="David"/>
          <w:rtl/>
        </w:rPr>
        <w:t xml:space="preserve">, </w:t>
      </w:r>
      <w:r w:rsidRPr="0037227B">
        <w:rPr>
          <w:rFonts w:ascii="David" w:hAnsi="David"/>
          <w:b/>
          <w:bCs/>
          <w:rtl/>
        </w:rPr>
        <w:t>"קיומו של יחס הולם בין חומרת מעשה העבירה בנסיבותיו ומידת אשמו של הנאשם ובין סוג ומידת העונש המוטל עליו"</w:t>
      </w:r>
      <w:r w:rsidRPr="0037227B">
        <w:rPr>
          <w:rFonts w:ascii="David" w:hAnsi="David"/>
          <w:rtl/>
        </w:rPr>
        <w:t xml:space="preserve">. </w:t>
      </w:r>
    </w:p>
    <w:p w14:paraId="64EFD026" w14:textId="77777777" w:rsidR="0037227B" w:rsidRPr="0037227B" w:rsidRDefault="00922B79" w:rsidP="006D2178">
      <w:pPr>
        <w:widowControl w:val="0"/>
        <w:spacing w:before="240" w:after="240" w:line="360" w:lineRule="auto"/>
        <w:jc w:val="both"/>
        <w:rPr>
          <w:rFonts w:ascii="David" w:hAnsi="David"/>
          <w:rtl/>
        </w:rPr>
      </w:pPr>
      <w:hyperlink r:id="rId44" w:history="1">
        <w:r w:rsidRPr="00922B79">
          <w:rPr>
            <w:rStyle w:val="Hyperlink"/>
            <w:rFonts w:ascii="David" w:hAnsi="David"/>
            <w:rtl/>
          </w:rPr>
          <w:t>סעיף 40ג</w:t>
        </w:r>
      </w:hyperlink>
      <w:r w:rsidR="0037227B" w:rsidRPr="0037227B">
        <w:rPr>
          <w:rFonts w:ascii="David" w:hAnsi="David"/>
          <w:rtl/>
        </w:rPr>
        <w:t xml:space="preserve"> ממשיך ומורה כי בקביעת המתחם יש להתחשב </w:t>
      </w:r>
      <w:r w:rsidR="0037227B" w:rsidRPr="0037227B">
        <w:rPr>
          <w:rFonts w:ascii="David" w:hAnsi="David"/>
          <w:b/>
          <w:bCs/>
          <w:rtl/>
        </w:rPr>
        <w:t>"בערך החברתי שנפגע מביצוע העבירה, במידת הפגיעה בו, במדיניות הענישה הנהוגה ובנסיבות הקשורות בביצוע העבירה כאמור בסעיף 40ט".</w:t>
      </w:r>
      <w:r w:rsidR="0037227B" w:rsidRPr="0037227B">
        <w:rPr>
          <w:rFonts w:ascii="David" w:hAnsi="David"/>
          <w:rtl/>
        </w:rPr>
        <w:t xml:space="preserve"> </w:t>
      </w:r>
      <w:bookmarkEnd w:id="8"/>
    </w:p>
    <w:p w14:paraId="5F113FAF" w14:textId="77777777" w:rsidR="0037227B" w:rsidRPr="0037227B" w:rsidRDefault="0037227B" w:rsidP="00724291">
      <w:pPr>
        <w:widowControl w:val="0"/>
        <w:spacing w:before="240" w:after="240" w:line="360" w:lineRule="auto"/>
        <w:jc w:val="both"/>
        <w:rPr>
          <w:rFonts w:ascii="David" w:hAnsi="David"/>
          <w:rtl/>
        </w:rPr>
      </w:pPr>
      <w:r w:rsidRPr="0037227B">
        <w:rPr>
          <w:rFonts w:ascii="David" w:hAnsi="David"/>
          <w:rtl/>
        </w:rPr>
        <w:t xml:space="preserve">העבירות בהן הורשע הנאשם ומעשיו מתאפיינים בחומרה יתרה. הן בשל האופן בו נעשו, הן בשל הפגיעה הקשה בערכים המוגנים ובראש ובראשונה בערך של קדושת החיים, והן בשל כך שהנאשם הוא שעומד מאחורי אותו מטען חבלה בו נעשה שימוש בפיצוץ הרכב, בו נרצח מנשה מאור המנוח ונפצעו שניים נוספים. חומרה </w:t>
      </w:r>
      <w:r w:rsidR="00724291">
        <w:rPr>
          <w:rFonts w:ascii="David" w:hAnsi="David" w:hint="cs"/>
          <w:rtl/>
        </w:rPr>
        <w:t xml:space="preserve">יתרה </w:t>
      </w:r>
      <w:r w:rsidRPr="0037227B">
        <w:rPr>
          <w:rFonts w:ascii="David" w:hAnsi="David"/>
          <w:rtl/>
        </w:rPr>
        <w:t xml:space="preserve">יש אף בכך שאותו </w:t>
      </w:r>
      <w:r w:rsidR="00724291">
        <w:rPr>
          <w:rFonts w:ascii="David" w:hAnsi="David" w:hint="cs"/>
          <w:rtl/>
        </w:rPr>
        <w:t>"</w:t>
      </w:r>
      <w:r w:rsidRPr="0037227B">
        <w:rPr>
          <w:rFonts w:ascii="David" w:hAnsi="David"/>
          <w:rtl/>
        </w:rPr>
        <w:t>נשק</w:t>
      </w:r>
      <w:r w:rsidR="00724291">
        <w:rPr>
          <w:rFonts w:ascii="David" w:hAnsi="David" w:hint="cs"/>
          <w:rtl/>
        </w:rPr>
        <w:t>"</w:t>
      </w:r>
      <w:r w:rsidRPr="0037227B">
        <w:rPr>
          <w:rFonts w:ascii="David" w:hAnsi="David"/>
          <w:rtl/>
        </w:rPr>
        <w:t xml:space="preserve"> שהנאשם הורשע בייצורו והובלתו הינו מטען חבלה שמיועד לגרום למותו של אדם, וכאשר מטרת ייצורו הינו לפגיעה באחרים, באופן לא מובחן:</w:t>
      </w:r>
    </w:p>
    <w:p w14:paraId="33C4FC69" w14:textId="77777777" w:rsidR="0037227B" w:rsidRPr="0037227B" w:rsidRDefault="0037227B" w:rsidP="006D2178">
      <w:pPr>
        <w:widowControl w:val="0"/>
        <w:spacing w:before="240" w:after="240" w:line="360" w:lineRule="auto"/>
        <w:ind w:left="651" w:right="709"/>
        <w:jc w:val="both"/>
        <w:rPr>
          <w:rFonts w:ascii="David" w:hAnsi="David"/>
          <w:rtl/>
        </w:rPr>
      </w:pPr>
      <w:r w:rsidRPr="0037227B">
        <w:rPr>
          <w:rFonts w:ascii="David" w:hAnsi="David"/>
          <w:rtl/>
        </w:rPr>
        <w:t>"</w:t>
      </w:r>
      <w:r w:rsidRPr="0037227B">
        <w:rPr>
          <w:rFonts w:ascii="David" w:hAnsi="David"/>
          <w:b/>
          <w:bCs/>
          <w:rtl/>
        </w:rPr>
        <w:t>בית משפט זה כבר עמד על החומרה היתרה הנודעת לתופעה זו של פיגועים פליליים, שלעתים אף גובים קורבנות בנפש מקרב אזרחים תמימים אשר נקלעו שלא בטובתם לזירת הפיגוע. כך, נקבע ב</w:t>
      </w:r>
      <w:hyperlink r:id="rId45" w:history="1">
        <w:r w:rsidR="00190E23" w:rsidRPr="00190E23">
          <w:rPr>
            <w:rFonts w:ascii="David" w:hAnsi="David"/>
            <w:b/>
            <w:bCs/>
            <w:color w:val="0000FF"/>
            <w:u w:val="single"/>
            <w:rtl/>
          </w:rPr>
          <w:t>ע"פ 6210/13</w:t>
        </w:r>
      </w:hyperlink>
      <w:r w:rsidRPr="0037227B">
        <w:rPr>
          <w:rFonts w:ascii="David" w:hAnsi="David"/>
          <w:b/>
          <w:bCs/>
          <w:rtl/>
        </w:rPr>
        <w:t xml:space="preserve"> גונן נ' מדינת ישראל [פורסם בנבו] (14.11.2013) כי "מידת הרחמים צריכה להיות מופנית יותר אל הציבור הרחב, מאשר כלפי המערער ואחרים שכמותו, שמסכנים חיי אדם בצורה שכזו" (שם, פסקה 7)."</w:t>
      </w:r>
      <w:r w:rsidRPr="0037227B">
        <w:rPr>
          <w:rFonts w:ascii="David" w:hAnsi="David"/>
          <w:rtl/>
        </w:rPr>
        <w:t xml:space="preserve"> [</w:t>
      </w:r>
      <w:hyperlink r:id="rId46" w:history="1">
        <w:r w:rsidR="00190E23" w:rsidRPr="00190E23">
          <w:rPr>
            <w:rFonts w:ascii="David" w:hAnsi="David"/>
            <w:color w:val="0000FF"/>
            <w:u w:val="single"/>
            <w:rtl/>
          </w:rPr>
          <w:t>ע"פ 2413/17</w:t>
        </w:r>
      </w:hyperlink>
      <w:r w:rsidRPr="0037227B">
        <w:rPr>
          <w:rFonts w:ascii="David" w:hAnsi="David"/>
          <w:rtl/>
        </w:rPr>
        <w:t xml:space="preserve"> </w:t>
      </w:r>
      <w:r w:rsidRPr="0037227B">
        <w:rPr>
          <w:rFonts w:ascii="David" w:hAnsi="David"/>
          <w:b/>
          <w:bCs/>
          <w:rtl/>
        </w:rPr>
        <w:t>ירין גרנובסקי נ' מדינת ישראל</w:t>
      </w:r>
      <w:r w:rsidRPr="0037227B">
        <w:rPr>
          <w:rFonts w:ascii="David" w:hAnsi="David"/>
          <w:rtl/>
        </w:rPr>
        <w:t xml:space="preserve"> </w:t>
      </w:r>
      <w:r w:rsidR="00AD1D7C" w:rsidRPr="00AD1D7C">
        <w:rPr>
          <w:sz w:val="22"/>
          <w:rtl/>
        </w:rPr>
        <w:t xml:space="preserve">[פורסם בנבו] </w:t>
      </w:r>
      <w:r w:rsidRPr="0037227B">
        <w:rPr>
          <w:rFonts w:ascii="David" w:hAnsi="David"/>
          <w:rtl/>
        </w:rPr>
        <w:t>(16.11.2017)]</w:t>
      </w:r>
    </w:p>
    <w:p w14:paraId="271407D6"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הערך של קדושת החיים הינו הערך הנעלה ביותר: "</w:t>
      </w:r>
      <w:r w:rsidRPr="0037227B">
        <w:rPr>
          <w:rFonts w:ascii="David" w:hAnsi="David"/>
          <w:b/>
          <w:bCs/>
          <w:rtl/>
        </w:rPr>
        <w:t>לקדושת חיי האדם, מטבעה, שמור מקום בשורה הראשונה של ערכי כל חברה אנושית, וישראל בכלל זה; שאם אין חיים, חברה מנין.</w:t>
      </w:r>
      <w:r w:rsidRPr="0037227B">
        <w:rPr>
          <w:rFonts w:ascii="David" w:hAnsi="David"/>
          <w:rtl/>
        </w:rPr>
        <w:t xml:space="preserve">" קדושת חיי אדם זכה למעמד של עקרון יסוד </w:t>
      </w:r>
      <w:hyperlink r:id="rId47" w:history="1">
        <w:r w:rsidR="00922B79" w:rsidRPr="00922B79">
          <w:rPr>
            <w:rStyle w:val="Hyperlink"/>
            <w:rFonts w:ascii="David" w:hAnsi="David"/>
            <w:rtl/>
          </w:rPr>
          <w:t>בסעיף 1</w:t>
        </w:r>
      </w:hyperlink>
      <w:r w:rsidRPr="0037227B">
        <w:rPr>
          <w:rFonts w:ascii="David" w:hAnsi="David"/>
          <w:rtl/>
        </w:rPr>
        <w:t xml:space="preserve"> ל</w:t>
      </w:r>
      <w:hyperlink r:id="rId48" w:history="1">
        <w:r w:rsidR="00190E23" w:rsidRPr="00190E23">
          <w:rPr>
            <w:rFonts w:ascii="David" w:hAnsi="David"/>
            <w:color w:val="0000FF"/>
            <w:u w:val="single"/>
            <w:rtl/>
          </w:rPr>
          <w:t>חוק יסוד: כבוד האדם וחירותו</w:t>
        </w:r>
      </w:hyperlink>
      <w:r w:rsidRPr="0037227B">
        <w:rPr>
          <w:rFonts w:ascii="David" w:hAnsi="David"/>
          <w:rtl/>
        </w:rPr>
        <w:t xml:space="preserve"> – "</w:t>
      </w:r>
      <w:r w:rsidRPr="0037227B">
        <w:rPr>
          <w:rFonts w:ascii="David" w:hAnsi="David"/>
          <w:b/>
          <w:bCs/>
          <w:rtl/>
        </w:rPr>
        <w:t xml:space="preserve">זכויות היסוד של האדם בישראל מושתתות על ההכרה בערך האדם, </w:t>
      </w:r>
      <w:r w:rsidRPr="0037227B">
        <w:rPr>
          <w:rFonts w:ascii="David" w:hAnsi="David"/>
          <w:b/>
          <w:bCs/>
          <w:u w:val="single"/>
          <w:rtl/>
        </w:rPr>
        <w:t>בקדושת חייו</w:t>
      </w:r>
      <w:r w:rsidRPr="0037227B">
        <w:rPr>
          <w:rFonts w:ascii="David" w:hAnsi="David"/>
          <w:b/>
          <w:bCs/>
          <w:rtl/>
        </w:rPr>
        <w:t xml:space="preserve"> ובהיותו בן-חורין, והן יכובדו ברוח העקרונות שבהכרזה על הקמת מדינת ישראל</w:t>
      </w:r>
      <w:r w:rsidRPr="0037227B">
        <w:rPr>
          <w:rFonts w:ascii="David" w:hAnsi="David"/>
          <w:rtl/>
        </w:rPr>
        <w:t xml:space="preserve">" (ראו </w:t>
      </w:r>
      <w:hyperlink r:id="rId49" w:history="1">
        <w:r w:rsidR="00190E23" w:rsidRPr="00190E23">
          <w:rPr>
            <w:rFonts w:ascii="David" w:hAnsi="David"/>
            <w:color w:val="0000FF"/>
            <w:u w:val="single"/>
            <w:rtl/>
          </w:rPr>
          <w:t>ע"פ 7637/05</w:t>
        </w:r>
      </w:hyperlink>
      <w:r w:rsidRPr="0037227B">
        <w:rPr>
          <w:rFonts w:ascii="David" w:hAnsi="David"/>
          <w:rtl/>
        </w:rPr>
        <w:t xml:space="preserve"> </w:t>
      </w:r>
      <w:r w:rsidRPr="0037227B">
        <w:rPr>
          <w:rFonts w:ascii="David" w:hAnsi="David"/>
          <w:b/>
          <w:bCs/>
          <w:rtl/>
        </w:rPr>
        <w:t>שלמה יוסף נ' מדינת ישראל</w:t>
      </w:r>
      <w:r w:rsidRPr="0037227B">
        <w:rPr>
          <w:rFonts w:ascii="David" w:hAnsi="David"/>
          <w:rtl/>
        </w:rPr>
        <w:t xml:space="preserve"> </w:t>
      </w:r>
      <w:r w:rsidR="00AD1D7C" w:rsidRPr="00AD1D7C">
        <w:rPr>
          <w:sz w:val="22"/>
          <w:rtl/>
        </w:rPr>
        <w:t xml:space="preserve">[פורסם בנבו] </w:t>
      </w:r>
      <w:r w:rsidRPr="0037227B">
        <w:rPr>
          <w:rFonts w:ascii="David" w:hAnsi="David"/>
          <w:rtl/>
        </w:rPr>
        <w:t>(05.07.2007)  - שם נאמרו הדברים בהקשר של עבירת הריגה).</w:t>
      </w:r>
    </w:p>
    <w:p w14:paraId="467D5F5A" w14:textId="77777777" w:rsidR="0037227B" w:rsidRPr="0037227B" w:rsidRDefault="0037227B" w:rsidP="00724291">
      <w:pPr>
        <w:widowControl w:val="0"/>
        <w:spacing w:before="240" w:after="240" w:line="360" w:lineRule="auto"/>
        <w:jc w:val="both"/>
        <w:rPr>
          <w:rFonts w:ascii="David" w:hAnsi="David"/>
          <w:rtl/>
        </w:rPr>
      </w:pPr>
      <w:r w:rsidRPr="0037227B">
        <w:rPr>
          <w:rFonts w:ascii="David" w:hAnsi="David"/>
          <w:rtl/>
        </w:rPr>
        <w:t xml:space="preserve">הנאשם במעשיו פגע אף בביטחון האישי ובסדר הציבורי, שכן המשמעות של אספקת מטען חבלה שמיועד להיות מוטמן ברכב אשר עתיד להתפוצץ במרחב ציבורי, היא כי פיצוץ המטען עלול לפגוע לא רק בקבוצה העבריינית היריבה </w:t>
      </w:r>
      <w:r w:rsidR="00724291">
        <w:rPr>
          <w:rFonts w:ascii="David" w:hAnsi="David" w:hint="cs"/>
          <w:rtl/>
        </w:rPr>
        <w:t xml:space="preserve">לכאורה, </w:t>
      </w:r>
      <w:r w:rsidRPr="0037227B">
        <w:rPr>
          <w:rFonts w:ascii="David" w:hAnsi="David"/>
          <w:rtl/>
        </w:rPr>
        <w:t xml:space="preserve">אלא לפגוע גם באופן אקראי בכל מי שאיתרע מזלו ויהיה מצוי בקרבת מקום, משל מדובר בפיגוע טרור – אלא שכאן מדובר בפיגוע על רקע פלילי. </w:t>
      </w:r>
    </w:p>
    <w:p w14:paraId="52BFEBE4" w14:textId="77777777" w:rsidR="0037227B" w:rsidRPr="0037227B" w:rsidRDefault="0037227B" w:rsidP="006D2178">
      <w:pPr>
        <w:widowControl w:val="0"/>
        <w:spacing w:before="240" w:after="240" w:line="360" w:lineRule="auto"/>
        <w:jc w:val="both"/>
        <w:rPr>
          <w:rFonts w:ascii="David" w:hAnsi="David"/>
          <w:b/>
          <w:bCs/>
          <w:u w:val="single"/>
          <w:rtl/>
        </w:rPr>
      </w:pPr>
      <w:r w:rsidRPr="0037227B">
        <w:rPr>
          <w:rFonts w:ascii="David" w:hAnsi="David"/>
          <w:b/>
          <w:bCs/>
          <w:u w:val="single"/>
          <w:rtl/>
        </w:rPr>
        <w:t>הנסיבות הקשורות בביצוע העבירה</w:t>
      </w:r>
    </w:p>
    <w:p w14:paraId="27C96EC2" w14:textId="77777777" w:rsidR="0037227B" w:rsidRPr="0037227B" w:rsidRDefault="00922B79" w:rsidP="006D2178">
      <w:pPr>
        <w:widowControl w:val="0"/>
        <w:spacing w:before="240" w:after="240" w:line="360" w:lineRule="auto"/>
        <w:jc w:val="both"/>
        <w:rPr>
          <w:rFonts w:ascii="David" w:hAnsi="David"/>
          <w:rtl/>
        </w:rPr>
      </w:pPr>
      <w:hyperlink r:id="rId50" w:history="1">
        <w:r w:rsidRPr="00922B79">
          <w:rPr>
            <w:rStyle w:val="Hyperlink"/>
            <w:rFonts w:ascii="David" w:hAnsi="David"/>
            <w:rtl/>
          </w:rPr>
          <w:t>בסעיף 40ט</w:t>
        </w:r>
      </w:hyperlink>
      <w:r w:rsidR="0037227B" w:rsidRPr="0037227B">
        <w:rPr>
          <w:rFonts w:ascii="David" w:hAnsi="David"/>
          <w:rtl/>
        </w:rPr>
        <w:t xml:space="preserve"> ל</w:t>
      </w:r>
      <w:hyperlink r:id="rId51" w:history="1">
        <w:r w:rsidR="00190E23" w:rsidRPr="00190E23">
          <w:rPr>
            <w:rFonts w:ascii="David" w:hAnsi="David"/>
            <w:color w:val="0000FF"/>
            <w:u w:val="single"/>
            <w:rtl/>
          </w:rPr>
          <w:t>חוק העונשין</w:t>
        </w:r>
      </w:hyperlink>
      <w:r w:rsidR="0037227B" w:rsidRPr="0037227B">
        <w:rPr>
          <w:rFonts w:ascii="David" w:hAnsi="David"/>
          <w:rtl/>
        </w:rPr>
        <w:t xml:space="preserve"> מנויות הנסיבות הקשורות בביצוע העבירה אשר בהן יש להתחשב בבוא בית המשפט לקבוע את מתחם העונש ההולם, ובכלל זה מידת התכנון של המעשה, שיעור חלקו של הנאשם, הנזק הצפוי מביצוע העבירה והנזק הנגרם ממנה, הסיבות שהביאו את הנאשם לבצע את העבירה, יכולת ההבנה של הנאשם, יכולתו להימנע מהמעשה, מצוקתו הנפשית, גבוליות האחריות הפלילית, דרגת האכזריות והניצול לרעה של המעמד כלפי הנפגע.</w:t>
      </w:r>
    </w:p>
    <w:p w14:paraId="75AAD5A6" w14:textId="77777777" w:rsidR="0037227B" w:rsidRPr="0037227B" w:rsidRDefault="0037227B" w:rsidP="00F63C45">
      <w:pPr>
        <w:widowControl w:val="0"/>
        <w:spacing w:before="240" w:after="240" w:line="360" w:lineRule="auto"/>
        <w:jc w:val="both"/>
        <w:rPr>
          <w:rFonts w:ascii="David" w:hAnsi="David"/>
          <w:rtl/>
        </w:rPr>
      </w:pPr>
      <w:r w:rsidRPr="0037227B">
        <w:rPr>
          <w:rFonts w:ascii="David" w:hAnsi="David"/>
          <w:u w:val="single"/>
          <w:rtl/>
        </w:rPr>
        <w:t>באשר לחלקו של הנאשם בביצוע העבירה</w:t>
      </w:r>
      <w:r w:rsidRPr="0037227B">
        <w:rPr>
          <w:rFonts w:ascii="David" w:hAnsi="David"/>
          <w:rtl/>
        </w:rPr>
        <w:t xml:space="preserve"> הרי בחינת נסיבות המעשים מגלה שחלקו של הנאשם אינו מבוטל כלל ועיקר. שכן הנאשם הוא אשר סיפק את מטען החבלה כשהוא תקין, מקום בו הקושרים האחרים לא הצליחו לתקנו ולא הצליחו להשיג מטען חבלה לביצוע אותו פיצוץ ופגיעה שחפצו לבצע. הנאשם מהווה אפוא</w:t>
      </w:r>
      <w:r w:rsidR="00F60F2B">
        <w:rPr>
          <w:rFonts w:ascii="David" w:hAnsi="David" w:hint="cs"/>
          <w:rtl/>
        </w:rPr>
        <w:t xml:space="preserve"> </w:t>
      </w:r>
      <w:r w:rsidRPr="0037227B">
        <w:rPr>
          <w:rFonts w:ascii="David" w:hAnsi="David"/>
          <w:rtl/>
        </w:rPr>
        <w:t>חוליה ממשית שבלעדיה התוכנית העבריינית של אותם קושרים לפגוע במי מקבוצה "הגרוזינים" ולגרום למותם, לא הייתה יכולה לצאת לפועל. על כן מעשיו של הנאשם יש בהם תרומה ממשית לביצוע הרצח</w:t>
      </w:r>
      <w:r w:rsidR="00F63C45">
        <w:rPr>
          <w:rFonts w:ascii="David" w:hAnsi="David" w:hint="cs"/>
          <w:rtl/>
        </w:rPr>
        <w:t>; ו</w:t>
      </w:r>
      <w:r w:rsidRPr="0037227B">
        <w:rPr>
          <w:rFonts w:ascii="David" w:hAnsi="David"/>
          <w:rtl/>
        </w:rPr>
        <w:t xml:space="preserve">כפי שציינו בהכרעת הדין הנאשם במעשיו ובתרומתו המשמעותית לביצוע הרצח </w:t>
      </w:r>
      <w:r w:rsidR="00F60F2B">
        <w:rPr>
          <w:rFonts w:ascii="David" w:hAnsi="David" w:hint="cs"/>
          <w:rtl/>
        </w:rPr>
        <w:t>ו</w:t>
      </w:r>
      <w:r w:rsidRPr="0037227B">
        <w:rPr>
          <w:rFonts w:ascii="David" w:hAnsi="David"/>
          <w:rtl/>
        </w:rPr>
        <w:t>היה מצוי על סיפו של המעגל הפנימי של מבצעי העבירה. בהקשר זה יפים הדברים שנאמרו ב</w:t>
      </w:r>
      <w:hyperlink r:id="rId52" w:history="1">
        <w:r w:rsidR="00190E23" w:rsidRPr="00190E23">
          <w:rPr>
            <w:rFonts w:ascii="David" w:hAnsi="David"/>
            <w:color w:val="0000FF"/>
            <w:u w:val="single"/>
            <w:rtl/>
          </w:rPr>
          <w:t>ע"פ 5812/14</w:t>
        </w:r>
      </w:hyperlink>
      <w:r w:rsidRPr="0037227B">
        <w:rPr>
          <w:rFonts w:ascii="David" w:hAnsi="David"/>
          <w:rtl/>
        </w:rPr>
        <w:t xml:space="preserve"> </w:t>
      </w:r>
      <w:r w:rsidRPr="0037227B">
        <w:rPr>
          <w:rFonts w:ascii="David" w:hAnsi="David"/>
          <w:b/>
          <w:bCs/>
          <w:rtl/>
        </w:rPr>
        <w:t>אולגה גורליק נ' מדינת ישראל</w:t>
      </w:r>
      <w:r w:rsidRPr="0037227B">
        <w:rPr>
          <w:rFonts w:ascii="David" w:hAnsi="David"/>
          <w:rtl/>
        </w:rPr>
        <w:t xml:space="preserve"> </w:t>
      </w:r>
      <w:r w:rsidR="00AD1D7C" w:rsidRPr="00AD1D7C">
        <w:rPr>
          <w:sz w:val="22"/>
          <w:rtl/>
        </w:rPr>
        <w:t xml:space="preserve">[פורסם בנבו] </w:t>
      </w:r>
      <w:r w:rsidRPr="0037227B">
        <w:rPr>
          <w:rFonts w:ascii="David" w:hAnsi="David"/>
          <w:rtl/>
        </w:rPr>
        <w:t>(29.11.2015):</w:t>
      </w:r>
    </w:p>
    <w:p w14:paraId="35D344F4" w14:textId="77777777" w:rsidR="0037227B" w:rsidRPr="0037227B" w:rsidRDefault="0037227B" w:rsidP="006D2178">
      <w:pPr>
        <w:widowControl w:val="0"/>
        <w:spacing w:before="240" w:after="240" w:line="360" w:lineRule="auto"/>
        <w:ind w:left="567" w:right="567"/>
        <w:jc w:val="both"/>
        <w:rPr>
          <w:rFonts w:ascii="David" w:hAnsi="David"/>
          <w:b/>
          <w:bCs/>
          <w:rtl/>
        </w:rPr>
      </w:pPr>
      <w:r w:rsidRPr="0037227B">
        <w:rPr>
          <w:rFonts w:ascii="David" w:hAnsi="David"/>
          <w:b/>
          <w:bCs/>
          <w:rtl/>
        </w:rPr>
        <w:t>"עבירת הסיוע לרצח, בה הורשעה המערערת על-פי הודאתה, כוללת רצף של "סוגי סיוע" למיניהם, הנעים על ציר של מעורבות משתנה. ככל שמעורבות המסייע רבה יותר, וככל שמעשיו תרמו תרומה ממשית לרצח ואפשרו את מימושו, העונש שיוטל עליו יהיה חמור יותר. בהקשר זה יוער, כי ב"קצה" העליון של ציר המעורבות האמור מצוי קו הגבול המבחין בין "המסייע לעבירה" לבין "המבצע בצוותא"."</w:t>
      </w:r>
    </w:p>
    <w:p w14:paraId="05092407" w14:textId="77777777" w:rsidR="0037227B" w:rsidRPr="0037227B" w:rsidRDefault="0037227B" w:rsidP="00F63C45">
      <w:pPr>
        <w:widowControl w:val="0"/>
        <w:spacing w:before="240" w:after="240" w:line="360" w:lineRule="auto"/>
        <w:jc w:val="both"/>
        <w:rPr>
          <w:rFonts w:ascii="David" w:hAnsi="David"/>
          <w:rtl/>
        </w:rPr>
      </w:pPr>
      <w:r w:rsidRPr="0037227B">
        <w:rPr>
          <w:rFonts w:ascii="David" w:hAnsi="David"/>
          <w:u w:val="single"/>
          <w:rtl/>
        </w:rPr>
        <w:t>באשר לתכנון בביצוע העבירה</w:t>
      </w:r>
      <w:r w:rsidRPr="0037227B">
        <w:rPr>
          <w:rFonts w:ascii="David" w:hAnsi="David"/>
          <w:rtl/>
        </w:rPr>
        <w:t xml:space="preserve"> קבענו</w:t>
      </w:r>
      <w:r w:rsidR="00F60F2B">
        <w:rPr>
          <w:rFonts w:ascii="David" w:hAnsi="David" w:hint="cs"/>
          <w:rtl/>
        </w:rPr>
        <w:t>,</w:t>
      </w:r>
      <w:r w:rsidRPr="0037227B">
        <w:rPr>
          <w:rFonts w:ascii="David" w:hAnsi="David"/>
          <w:rtl/>
        </w:rPr>
        <w:t xml:space="preserve"> כי הנאשם לא היה מצוי בפרטי התכנון המדויק באשר לאופן בו יבוצע הרצח. לצד זאת יש לזכור כי מדובר במעשה מתוכנן שהנאשם ידע על כך שהוא הולך להתבצע. על כן גם אם הנאשם לא נטל חלק בתכנון הפרטני באשר לאופן בו תבוצע הטמנת המטען והפגיעה בחברי הקבוצה היריבה, ובשל כך קבענו שהוא לא נמצא בתוך המעגל הפנימי של המבצעים בצוותא, הרי עדיין הוא </w:t>
      </w:r>
      <w:r w:rsidR="00F60F2B">
        <w:rPr>
          <w:rFonts w:ascii="David" w:hAnsi="David" w:hint="cs"/>
          <w:rtl/>
        </w:rPr>
        <w:t xml:space="preserve">סייע לרצח </w:t>
      </w:r>
      <w:r w:rsidR="00F60F2B">
        <w:rPr>
          <w:rFonts w:ascii="David" w:hAnsi="David"/>
          <w:rtl/>
        </w:rPr>
        <w:t>–</w:t>
      </w:r>
      <w:r w:rsidR="00F60F2B">
        <w:rPr>
          <w:rFonts w:ascii="David" w:hAnsi="David" w:hint="cs"/>
          <w:rtl/>
        </w:rPr>
        <w:t xml:space="preserve"> </w:t>
      </w:r>
      <w:r w:rsidRPr="0037227B">
        <w:rPr>
          <w:rFonts w:ascii="David" w:hAnsi="David"/>
          <w:rtl/>
        </w:rPr>
        <w:t>מעשה</w:t>
      </w:r>
      <w:r w:rsidR="00F60F2B">
        <w:rPr>
          <w:rFonts w:ascii="David" w:hAnsi="David" w:hint="cs"/>
          <w:rtl/>
        </w:rPr>
        <w:t xml:space="preserve"> </w:t>
      </w:r>
      <w:r w:rsidRPr="0037227B">
        <w:rPr>
          <w:rFonts w:ascii="David" w:hAnsi="David"/>
          <w:rtl/>
        </w:rPr>
        <w:t>מתוכנן מראש, ו</w:t>
      </w:r>
      <w:r w:rsidR="00F60F2B">
        <w:rPr>
          <w:rFonts w:ascii="David" w:hAnsi="David" w:hint="cs"/>
          <w:rtl/>
        </w:rPr>
        <w:t>נטל חלק</w:t>
      </w:r>
      <w:r w:rsidRPr="0037227B">
        <w:rPr>
          <w:rFonts w:ascii="David" w:hAnsi="David"/>
          <w:rtl/>
        </w:rPr>
        <w:t xml:space="preserve"> </w:t>
      </w:r>
      <w:r w:rsidR="00F60F2B">
        <w:rPr>
          <w:rFonts w:ascii="David" w:hAnsi="David" w:hint="cs"/>
          <w:rtl/>
        </w:rPr>
        <w:t>ב</w:t>
      </w:r>
      <w:r w:rsidRPr="0037227B">
        <w:rPr>
          <w:rFonts w:ascii="David" w:hAnsi="David"/>
          <w:rtl/>
        </w:rPr>
        <w:t xml:space="preserve">קשר </w:t>
      </w:r>
      <w:r w:rsidR="00F60F2B">
        <w:rPr>
          <w:rFonts w:ascii="David" w:hAnsi="David" w:hint="cs"/>
          <w:rtl/>
        </w:rPr>
        <w:t xml:space="preserve">אשר </w:t>
      </w:r>
      <w:r w:rsidRPr="0037227B">
        <w:rPr>
          <w:rFonts w:ascii="David" w:hAnsi="David"/>
          <w:rtl/>
        </w:rPr>
        <w:t>במסגרתו היה צורך להשיג מטען חבלה תקין שיכול להרוג</w:t>
      </w:r>
      <w:r w:rsidR="00F60F2B">
        <w:rPr>
          <w:rFonts w:ascii="David" w:hAnsi="David" w:hint="cs"/>
          <w:rtl/>
        </w:rPr>
        <w:t>;</w:t>
      </w:r>
      <w:r w:rsidRPr="0037227B">
        <w:rPr>
          <w:rFonts w:ascii="David" w:hAnsi="David"/>
          <w:rtl/>
        </w:rPr>
        <w:t xml:space="preserve"> והנאשם הוא שדאג לכך, מראש ובאופן מתוכנן, והכל כדי לפגוע במי מקבוצת "הגרוזינים". ביחס לכך, כפי שקבענו בהכרעת הדין וכעולה מחומר הראיות שהונח בפנינו, הנאשם היה בקשר עם הנאשמים האחרים והיווה עבורם כתובת לתיקון או הכנה של מטען חבלה</w:t>
      </w:r>
      <w:r w:rsidR="00F60F2B">
        <w:rPr>
          <w:rFonts w:ascii="David" w:hAnsi="David" w:hint="cs"/>
          <w:rtl/>
        </w:rPr>
        <w:t>,</w:t>
      </w:r>
      <w:r w:rsidRPr="0037227B">
        <w:rPr>
          <w:rFonts w:ascii="David" w:hAnsi="David"/>
          <w:rtl/>
        </w:rPr>
        <w:t xml:space="preserve"> הם פנו אליו לאחר שמטען חבלה שקיבלו מאחרים היה תקול</w:t>
      </w:r>
      <w:r w:rsidR="00F60F2B">
        <w:rPr>
          <w:rFonts w:ascii="David" w:hAnsi="David" w:hint="cs"/>
          <w:rtl/>
        </w:rPr>
        <w:t>,</w:t>
      </w:r>
      <w:r w:rsidRPr="0037227B">
        <w:rPr>
          <w:rFonts w:ascii="David" w:hAnsi="David"/>
          <w:rtl/>
        </w:rPr>
        <w:t xml:space="preserve"> וניסיונות שנעשו על ידם לתקנו נכשלו. </w:t>
      </w:r>
    </w:p>
    <w:p w14:paraId="4AB7DCC9" w14:textId="77777777" w:rsidR="0037227B" w:rsidRPr="0037227B" w:rsidRDefault="0037227B" w:rsidP="00F60F2B">
      <w:pPr>
        <w:widowControl w:val="0"/>
        <w:spacing w:before="240" w:after="240" w:line="360" w:lineRule="auto"/>
        <w:jc w:val="both"/>
        <w:rPr>
          <w:rFonts w:ascii="David" w:hAnsi="David"/>
          <w:rtl/>
        </w:rPr>
      </w:pPr>
      <w:r w:rsidRPr="0037227B">
        <w:rPr>
          <w:rFonts w:ascii="David" w:hAnsi="David"/>
          <w:rtl/>
        </w:rPr>
        <w:t xml:space="preserve">כפי שפורט בהרחבה בהכרעת הדין, הנאשם מוזכר בראיות שונות כמי שהיה ביכולתו לספק לנאשמים האחרים מטען חבלה לבקשתם, ואף היה מוכן לכך. כך לדוגמא מצאנו במסגרת השיחות שנקלטו בהאזנות הסתר, בדירת המסתור בה שהה עד המדינה ושוחח רבות עם שניר ואזנה (נאשם 5), כי בשלב בו עד המדינה, שניר ואחרים פועלים להשגת מטעני חבלה להוצאת פעולות שונות ומתקשים בכך, הם מזכירים - בהקשר של הקושי בהשגת מטען חבלה </w:t>
      </w:r>
      <w:r w:rsidR="00F60F2B">
        <w:rPr>
          <w:rFonts w:ascii="David" w:hAnsi="David"/>
          <w:rtl/>
        </w:rPr>
        <w:t>–</w:t>
      </w:r>
      <w:r w:rsidRPr="0037227B">
        <w:rPr>
          <w:rFonts w:ascii="David" w:hAnsi="David"/>
          <w:rtl/>
        </w:rPr>
        <w:t xml:space="preserve"> את</w:t>
      </w:r>
      <w:r w:rsidR="00F60F2B">
        <w:rPr>
          <w:rFonts w:ascii="David" w:hAnsi="David" w:hint="cs"/>
          <w:rtl/>
        </w:rPr>
        <w:t xml:space="preserve"> </w:t>
      </w:r>
      <w:r w:rsidRPr="0037227B">
        <w:rPr>
          <w:rFonts w:ascii="David" w:hAnsi="David"/>
          <w:rtl/>
        </w:rPr>
        <w:t>הנאשם</w:t>
      </w:r>
      <w:r w:rsidR="00F60F2B">
        <w:rPr>
          <w:rFonts w:ascii="David" w:hAnsi="David" w:hint="cs"/>
          <w:rtl/>
        </w:rPr>
        <w:t xml:space="preserve">; </w:t>
      </w:r>
      <w:r w:rsidRPr="0037227B">
        <w:rPr>
          <w:rFonts w:ascii="David" w:hAnsi="David"/>
          <w:rtl/>
        </w:rPr>
        <w:t>ואף מוסיפים ומציינים כי אם הנאשם היה בחוץ (מחוץ לכלא בו שהה באותה עת בשל תיק המטען הנוסף)</w:t>
      </w:r>
      <w:r w:rsidR="00F60F2B">
        <w:rPr>
          <w:rFonts w:ascii="David" w:hAnsi="David" w:hint="cs"/>
          <w:rtl/>
        </w:rPr>
        <w:t>,</w:t>
      </w:r>
      <w:r w:rsidRPr="0037227B">
        <w:rPr>
          <w:rFonts w:ascii="David" w:hAnsi="David"/>
          <w:rtl/>
        </w:rPr>
        <w:t xml:space="preserve"> הוא היה מסדר את הדברים </w:t>
      </w:r>
      <w:r w:rsidR="00F60F2B">
        <w:rPr>
          <w:rFonts w:ascii="David" w:hAnsi="David" w:hint="cs"/>
          <w:rtl/>
        </w:rPr>
        <w:t xml:space="preserve">(השגת מטען חבלה </w:t>
      </w:r>
      <w:r w:rsidR="00F60F2B">
        <w:rPr>
          <w:rFonts w:ascii="David" w:hAnsi="David"/>
          <w:rtl/>
        </w:rPr>
        <w:t>–</w:t>
      </w:r>
      <w:r w:rsidR="00F60F2B">
        <w:rPr>
          <w:rFonts w:ascii="David" w:hAnsi="David" w:hint="cs"/>
          <w:rtl/>
        </w:rPr>
        <w:t xml:space="preserve"> י.ר.ל.) </w:t>
      </w:r>
      <w:r w:rsidRPr="0037227B">
        <w:rPr>
          <w:rFonts w:ascii="David" w:hAnsi="David"/>
          <w:rtl/>
        </w:rPr>
        <w:t xml:space="preserve">"בשנייה" (ראו התייחסות לאמור בעמ' 55 – 56 להכרעת הדין). </w:t>
      </w:r>
    </w:p>
    <w:p w14:paraId="0A9DE65C" w14:textId="77777777" w:rsidR="0037227B" w:rsidRPr="0037227B" w:rsidRDefault="0037227B" w:rsidP="00B35DA4">
      <w:pPr>
        <w:widowControl w:val="0"/>
        <w:spacing w:before="240" w:after="240" w:line="360" w:lineRule="auto"/>
        <w:jc w:val="both"/>
        <w:rPr>
          <w:rFonts w:ascii="David" w:hAnsi="David"/>
          <w:rtl/>
        </w:rPr>
      </w:pPr>
      <w:r w:rsidRPr="0037227B">
        <w:rPr>
          <w:rFonts w:ascii="David" w:hAnsi="David"/>
          <w:rtl/>
        </w:rPr>
        <w:t xml:space="preserve">עוד קבענו, כי הנאשם ידע באופן ברור שהמטען מיועד לפגיעה במי מקבוצת "הגרוזינים". מכאן שהנאשם סייע לקושרים האחרים באספקת מטען חבלה גדול ומשמעותי אשר ביכולתו להרוג אדם, ובידיעה שייעשה בו שימוש כדי לפגוע ולהרוג במי מאותה קבוצה יריבה.   </w:t>
      </w:r>
    </w:p>
    <w:p w14:paraId="669B1B01" w14:textId="77777777" w:rsidR="0037227B" w:rsidRPr="0037227B" w:rsidRDefault="0037227B" w:rsidP="00F60F2B">
      <w:pPr>
        <w:widowControl w:val="0"/>
        <w:spacing w:before="240" w:after="240" w:line="360" w:lineRule="auto"/>
        <w:jc w:val="both"/>
        <w:rPr>
          <w:rFonts w:ascii="David" w:hAnsi="David"/>
          <w:rtl/>
        </w:rPr>
      </w:pPr>
      <w:r w:rsidRPr="0037227B">
        <w:rPr>
          <w:rFonts w:ascii="David" w:hAnsi="David"/>
          <w:u w:val="single"/>
          <w:rtl/>
        </w:rPr>
        <w:t>באשר לנזק שהיה צפוי להיגרם מביצוע העבירות ולפוטנציאל הפגיעה הרחב</w:t>
      </w:r>
      <w:r w:rsidRPr="0037227B">
        <w:rPr>
          <w:rFonts w:ascii="David" w:hAnsi="David"/>
          <w:rtl/>
        </w:rPr>
        <w:t xml:space="preserve"> – הנאשם אינו מספק לאחרים סכין שפגיעתו יכולה להיות גם מצומצמת, אלא מספק להם מטען חבלה תקין תוך ידיעה שמטען זה ישמש לפיצוץ ברכב או באופן אחר דומה, ושיש למטען פוטנציאל לפגיעה בגוף ונפש ולהרס רב. </w:t>
      </w:r>
      <w:r w:rsidR="00F60F2B">
        <w:rPr>
          <w:rFonts w:ascii="David" w:hAnsi="David" w:hint="cs"/>
          <w:rtl/>
        </w:rPr>
        <w:t>למעשה</w:t>
      </w:r>
      <w:r w:rsidRPr="0037227B">
        <w:rPr>
          <w:rFonts w:ascii="David" w:hAnsi="David"/>
          <w:rtl/>
        </w:rPr>
        <w:t xml:space="preserve"> באופן שניתן לכנותו </w:t>
      </w:r>
      <w:r w:rsidR="00F60F2B">
        <w:rPr>
          <w:rFonts w:ascii="David" w:hAnsi="David" w:hint="cs"/>
          <w:rtl/>
        </w:rPr>
        <w:t xml:space="preserve">כמעט </w:t>
      </w:r>
      <w:r w:rsidRPr="0037227B">
        <w:rPr>
          <w:rFonts w:ascii="David" w:hAnsi="David"/>
          <w:rtl/>
        </w:rPr>
        <w:t xml:space="preserve">מקרי, אותו פיצוץ לא גרם להריגת אנשים נוספים שהיו ברכב, אלא רק לפציעתם. יתרה מכך, מן הראיות עולה כי הנאשם לא חקר בדבר, לא ביקש או תהה היכן ואיפה יעשה במטען שימוש, </w:t>
      </w:r>
      <w:r w:rsidR="00F60F2B">
        <w:rPr>
          <w:rFonts w:ascii="David" w:hAnsi="David" w:hint="cs"/>
          <w:rtl/>
        </w:rPr>
        <w:t>זאת הגם ש</w:t>
      </w:r>
      <w:r w:rsidRPr="0037227B">
        <w:rPr>
          <w:rFonts w:ascii="David" w:hAnsi="David"/>
          <w:rtl/>
        </w:rPr>
        <w:t>היה מודע בבירור לתכנון, גם אם לא לפרטיו, לפגוע במי מקבוצת ה</w:t>
      </w:r>
      <w:r w:rsidR="00F63C45">
        <w:rPr>
          <w:rFonts w:ascii="David" w:hAnsi="David" w:hint="cs"/>
          <w:rtl/>
        </w:rPr>
        <w:t>"</w:t>
      </w:r>
      <w:r w:rsidRPr="0037227B">
        <w:rPr>
          <w:rFonts w:ascii="David" w:hAnsi="David"/>
          <w:rtl/>
        </w:rPr>
        <w:t>גרוזינים</w:t>
      </w:r>
      <w:r w:rsidR="00F63C45">
        <w:rPr>
          <w:rFonts w:ascii="David" w:hAnsi="David" w:hint="cs"/>
          <w:rtl/>
        </w:rPr>
        <w:t>"</w:t>
      </w:r>
      <w:r w:rsidRPr="0037227B">
        <w:rPr>
          <w:rFonts w:ascii="David" w:hAnsi="David"/>
          <w:rtl/>
        </w:rPr>
        <w:t xml:space="preserve">. </w:t>
      </w:r>
    </w:p>
    <w:p w14:paraId="6767EF6B" w14:textId="77777777" w:rsidR="0037227B" w:rsidRPr="0037227B" w:rsidRDefault="0037227B" w:rsidP="00F60F2B">
      <w:pPr>
        <w:widowControl w:val="0"/>
        <w:spacing w:before="240" w:after="240" w:line="360" w:lineRule="auto"/>
        <w:jc w:val="both"/>
        <w:rPr>
          <w:rFonts w:ascii="David" w:hAnsi="David"/>
          <w:rtl/>
        </w:rPr>
      </w:pPr>
      <w:r w:rsidRPr="0037227B">
        <w:rPr>
          <w:rFonts w:ascii="David" w:hAnsi="David"/>
          <w:rtl/>
        </w:rPr>
        <w:t xml:space="preserve">ניתן ללמוד על כך שהנאשם ידע כי המטען יכול בעת שיתפוצץ, לפגוע באנשים רבים - מפעולותיו של הנאשם עצמו; ובמיוחד מאותה אזהרה שהזהיר הנאשם אדם בשם שלומי אלמקייס, כאשר פגש אותו באקראי ממש בערב שלפני פיצוץ המטען. הנאשם אמר לאותו שלומי, כי הוא נמצא הרבה עם גיסו והחברים שלו דודו, יוסי קריחלי וראמז (אנשים שהיו מזוהים עם קבוצת "הגרוזינים"); והזהירו כי לא כדאי לו לשבת איתם שכן </w:t>
      </w:r>
      <w:r w:rsidRPr="00B31861">
        <w:rPr>
          <w:rFonts w:ascii="David" w:hAnsi="David"/>
          <w:b/>
          <w:bCs/>
          <w:rtl/>
        </w:rPr>
        <w:t>הם הולכים להיפגע</w:t>
      </w:r>
      <w:r w:rsidRPr="00B31861">
        <w:rPr>
          <w:rFonts w:ascii="David" w:hAnsi="David"/>
          <w:rtl/>
        </w:rPr>
        <w:t xml:space="preserve">. </w:t>
      </w:r>
    </w:p>
    <w:p w14:paraId="1958D7F4" w14:textId="77777777" w:rsidR="0037227B" w:rsidRPr="0037227B" w:rsidRDefault="0037227B" w:rsidP="00F63C45">
      <w:pPr>
        <w:widowControl w:val="0"/>
        <w:spacing w:before="240" w:after="240" w:line="360" w:lineRule="auto"/>
        <w:jc w:val="both"/>
        <w:rPr>
          <w:rFonts w:ascii="David" w:hAnsi="David"/>
          <w:rtl/>
        </w:rPr>
      </w:pPr>
      <w:r w:rsidRPr="0037227B">
        <w:rPr>
          <w:rFonts w:ascii="David" w:hAnsi="David"/>
          <w:rtl/>
        </w:rPr>
        <w:t xml:space="preserve">לכן הנסיבה המנויה </w:t>
      </w:r>
      <w:hyperlink r:id="rId53" w:history="1">
        <w:r w:rsidR="00922B79" w:rsidRPr="00922B79">
          <w:rPr>
            <w:rStyle w:val="Hyperlink"/>
            <w:rFonts w:ascii="David" w:hAnsi="David"/>
            <w:rtl/>
          </w:rPr>
          <w:t>בסעיף 40ט</w:t>
        </w:r>
      </w:hyperlink>
      <w:r w:rsidRPr="0037227B">
        <w:rPr>
          <w:rFonts w:ascii="David" w:hAnsi="David"/>
          <w:rtl/>
        </w:rPr>
        <w:t xml:space="preserve"> לחוק, באשר לנזק הצפוי מביצוע העבירה, מתקיימת כאן במלוא עוצמתה, בשל הנזק הצפוי מפיצוץ מטען חבלה</w:t>
      </w:r>
      <w:r w:rsidR="00F63C45">
        <w:rPr>
          <w:rFonts w:ascii="David" w:hAnsi="David" w:hint="cs"/>
          <w:rtl/>
        </w:rPr>
        <w:t>.</w:t>
      </w:r>
    </w:p>
    <w:p w14:paraId="00617DB1" w14:textId="77777777" w:rsidR="0037227B" w:rsidRPr="0037227B" w:rsidRDefault="0037227B" w:rsidP="00B31861">
      <w:pPr>
        <w:widowControl w:val="0"/>
        <w:spacing w:before="240" w:after="240" w:line="360" w:lineRule="auto"/>
        <w:jc w:val="both"/>
        <w:rPr>
          <w:rFonts w:ascii="David" w:hAnsi="David"/>
          <w:rtl/>
        </w:rPr>
      </w:pPr>
      <w:r w:rsidRPr="0037227B">
        <w:rPr>
          <w:rFonts w:ascii="David" w:hAnsi="David"/>
          <w:u w:val="single"/>
          <w:rtl/>
        </w:rPr>
        <w:t>אשר לנזק שנגרם מביצוע העבירה</w:t>
      </w:r>
      <w:r w:rsidRPr="0037227B">
        <w:rPr>
          <w:rFonts w:ascii="David" w:hAnsi="David"/>
          <w:rtl/>
        </w:rPr>
        <w:t xml:space="preserve">, כפי שפורט לעיל הנזק שנגרם למשפחתו של המנוח בכל המישורים הינו כבד מאוד. משפחתו של המנוח – הוריו, ואף בנותיו מתקשים להתמודד עם האובדן וחווים קשיים רבים מספר מישורים; וכך גם אלמנתו אשר הייתה הרה בעת הירצחו של המנוח. מעבר לכך צוין הקושי מעצם הימשכות ניהולו של ההליך, לאחר שאפשרנו לנאשם לחזור בו מהודייתו וההליך נפתח מחדש, ותסכולה של המשפחה מכך.  </w:t>
      </w:r>
      <w:r w:rsidR="00B31861">
        <w:rPr>
          <w:rFonts w:ascii="David" w:hAnsi="David" w:hint="cs"/>
          <w:rtl/>
        </w:rPr>
        <w:t xml:space="preserve">ובנוסף נפצעו כתוצאה מהפיצוץ עוד שניים מיושבי הרכב. </w:t>
      </w:r>
    </w:p>
    <w:p w14:paraId="371F9ECE" w14:textId="77777777" w:rsidR="0037227B" w:rsidRPr="0037227B" w:rsidRDefault="0037227B" w:rsidP="00B31861">
      <w:pPr>
        <w:widowControl w:val="0"/>
        <w:spacing w:before="240" w:after="240" w:line="360" w:lineRule="auto"/>
        <w:jc w:val="both"/>
        <w:rPr>
          <w:rFonts w:ascii="David" w:hAnsi="David"/>
          <w:rtl/>
        </w:rPr>
      </w:pPr>
      <w:r w:rsidRPr="0037227B">
        <w:rPr>
          <w:rFonts w:ascii="David" w:hAnsi="David"/>
          <w:u w:val="single"/>
          <w:rtl/>
        </w:rPr>
        <w:t>באשר לסיבות שהביאו את הנאשם לבצע את העבירה</w:t>
      </w:r>
      <w:r w:rsidRPr="0037227B">
        <w:rPr>
          <w:rFonts w:ascii="David" w:hAnsi="David"/>
          <w:rtl/>
        </w:rPr>
        <w:t xml:space="preserve"> הרי אלו לא הובררו עד תום, אם כי צוין על ידינו בהכרעת הדין כי גם על פי עדות עד המדינה</w:t>
      </w:r>
      <w:r w:rsidR="00B31861">
        <w:rPr>
          <w:rFonts w:ascii="David" w:hAnsi="David" w:hint="cs"/>
          <w:rtl/>
        </w:rPr>
        <w:t>,</w:t>
      </w:r>
      <w:r w:rsidRPr="0037227B">
        <w:rPr>
          <w:rFonts w:ascii="David" w:hAnsi="David"/>
          <w:rtl/>
        </w:rPr>
        <w:t xml:space="preserve"> אין ראיה שהנאשם קיבל תמורה כספית עבור מטען החבלה. עניין זה </w:t>
      </w:r>
      <w:r w:rsidR="00B31861">
        <w:rPr>
          <w:rFonts w:ascii="David" w:hAnsi="David" w:hint="cs"/>
          <w:rtl/>
        </w:rPr>
        <w:t>יכול ל</w:t>
      </w:r>
      <w:r w:rsidRPr="0037227B">
        <w:rPr>
          <w:rFonts w:ascii="David" w:hAnsi="David"/>
          <w:rtl/>
        </w:rPr>
        <w:t>למד אף הוא על כך שלנאשם היו קשרים ענפים עם מי מהנאשמים האחרים, ו</w:t>
      </w:r>
      <w:r w:rsidR="00F63C45">
        <w:rPr>
          <w:rFonts w:ascii="David" w:hAnsi="David" w:hint="cs"/>
          <w:rtl/>
        </w:rPr>
        <w:t>כי יוכל ו</w:t>
      </w:r>
      <w:r w:rsidRPr="0037227B">
        <w:rPr>
          <w:rFonts w:ascii="David" w:hAnsi="David"/>
          <w:rtl/>
        </w:rPr>
        <w:t xml:space="preserve">הסיבות שלו לביצוע העבירה, קשורות </w:t>
      </w:r>
      <w:r w:rsidR="00B31861">
        <w:rPr>
          <w:rFonts w:ascii="David" w:hAnsi="David" w:hint="cs"/>
          <w:rtl/>
        </w:rPr>
        <w:t xml:space="preserve">גם </w:t>
      </w:r>
      <w:r w:rsidRPr="0037227B">
        <w:rPr>
          <w:rFonts w:ascii="David" w:hAnsi="David"/>
          <w:rtl/>
        </w:rPr>
        <w:t xml:space="preserve">להמשך היחסים בינו לבין הנאשמים האחרים. האמור עולה אף מכך שהנאשם סיפק להם מטען חבלה נוסף חודש בלבד לאחר מכן, </w:t>
      </w:r>
      <w:r w:rsidR="00B31861">
        <w:rPr>
          <w:rFonts w:ascii="David" w:hAnsi="David" w:hint="cs"/>
          <w:rtl/>
        </w:rPr>
        <w:t>לאור</w:t>
      </w:r>
      <w:r w:rsidRPr="0037227B">
        <w:rPr>
          <w:rFonts w:ascii="David" w:hAnsi="David"/>
          <w:rtl/>
        </w:rPr>
        <w:t xml:space="preserve"> היחסים המתמשכים בינו לבין האחרים. לכן גם אם לא הוכח שהנאשם חפץ בעצמו באופן ממשי במותם של מי מקבוצת ה</w:t>
      </w:r>
      <w:r w:rsidR="00B31861">
        <w:rPr>
          <w:rFonts w:ascii="David" w:hAnsi="David" w:hint="cs"/>
          <w:rtl/>
        </w:rPr>
        <w:t>"</w:t>
      </w:r>
      <w:r w:rsidRPr="0037227B">
        <w:rPr>
          <w:rFonts w:ascii="David" w:hAnsi="David"/>
          <w:rtl/>
        </w:rPr>
        <w:t>גרוזינים</w:t>
      </w:r>
      <w:r w:rsidR="00B31861">
        <w:rPr>
          <w:rFonts w:ascii="David" w:hAnsi="David" w:hint="cs"/>
          <w:rtl/>
        </w:rPr>
        <w:t>"</w:t>
      </w:r>
      <w:r w:rsidRPr="0037227B">
        <w:rPr>
          <w:rFonts w:ascii="David" w:hAnsi="David"/>
          <w:rtl/>
        </w:rPr>
        <w:t>, וגם אם לא היה לו סכסוך עימם, עדיין הנאשם היה מעורב עם אחרים שלהם היה את אותו חפץ בתוצאה, ושיתף עימם פעולה בעניין זה. זאת תוך שחלקו התבטא בסיוע ממשי לגרימת אותה תוצאה– אספקת מטען חבלה שמטרתו לפגוע ולקטול.</w:t>
      </w:r>
    </w:p>
    <w:p w14:paraId="531C24D2" w14:textId="77777777" w:rsidR="0037227B" w:rsidRPr="0037227B" w:rsidRDefault="0037227B" w:rsidP="00B31861">
      <w:pPr>
        <w:widowControl w:val="0"/>
        <w:spacing w:before="240" w:after="240" w:line="360" w:lineRule="auto"/>
        <w:jc w:val="both"/>
        <w:rPr>
          <w:rFonts w:ascii="David" w:hAnsi="David"/>
          <w:rtl/>
        </w:rPr>
      </w:pPr>
      <w:r w:rsidRPr="0037227B">
        <w:rPr>
          <w:rFonts w:ascii="David" w:hAnsi="David"/>
          <w:rtl/>
        </w:rPr>
        <w:t xml:space="preserve">נוכח כל המקובץ, לאור מידת הפגיעה בערכים המוגנים, ובשים לב לכך שהנאשם הוא שסייע באופן מהותי לביצוע רצח ופציעת נוספים, מעשיו של הנאשם הם בעלי פן של חומרה יתרה ומוגברת. </w:t>
      </w:r>
    </w:p>
    <w:p w14:paraId="79BD684C" w14:textId="77777777" w:rsidR="0037227B" w:rsidRPr="00AA720B" w:rsidRDefault="0037227B" w:rsidP="006D2178">
      <w:pPr>
        <w:widowControl w:val="0"/>
        <w:spacing w:before="240" w:after="240" w:line="360" w:lineRule="auto"/>
        <w:jc w:val="both"/>
        <w:rPr>
          <w:rFonts w:ascii="Calibri" w:hAnsi="Calibri"/>
          <w:b/>
          <w:bCs/>
          <w:rtl/>
        </w:rPr>
      </w:pPr>
      <w:r w:rsidRPr="0037227B">
        <w:rPr>
          <w:rFonts w:ascii="David" w:hAnsi="David"/>
          <w:u w:val="single"/>
          <w:rtl/>
        </w:rPr>
        <w:t>אשר למדיניות הענישה</w:t>
      </w:r>
      <w:r w:rsidRPr="0037227B">
        <w:rPr>
          <w:rFonts w:ascii="David" w:hAnsi="David"/>
          <w:rtl/>
        </w:rPr>
        <w:t xml:space="preserve">, יש לזכור כי אין מקרה אחד דומה למשנהו וכי מקרה זה הינו ייחודי בנסיבותיו אף לאור הרשעת הנאשם בעבר בעבירות דומות, כפי שצוין בהרחבה לעיל. </w:t>
      </w:r>
    </w:p>
    <w:p w14:paraId="72572DE8" w14:textId="77777777" w:rsidR="0037227B" w:rsidRPr="00AA720B" w:rsidRDefault="0037227B" w:rsidP="00BB50D1">
      <w:pPr>
        <w:widowControl w:val="0"/>
        <w:spacing w:before="240" w:after="240" w:line="360" w:lineRule="auto"/>
        <w:jc w:val="both"/>
        <w:rPr>
          <w:rFonts w:ascii="Calibri" w:hAnsi="Calibri"/>
          <w:rtl/>
        </w:rPr>
      </w:pPr>
      <w:r w:rsidRPr="00AA720B">
        <w:rPr>
          <w:rFonts w:ascii="Calibri" w:hAnsi="Calibri" w:hint="eastAsia"/>
          <w:rtl/>
        </w:rPr>
        <w:t>המאשימה</w:t>
      </w:r>
      <w:r w:rsidRPr="00AA720B">
        <w:rPr>
          <w:rFonts w:ascii="Calibri" w:hAnsi="Calibri"/>
          <w:rtl/>
        </w:rPr>
        <w:t xml:space="preserve"> </w:t>
      </w:r>
      <w:r w:rsidRPr="00AA720B">
        <w:rPr>
          <w:rFonts w:ascii="Calibri" w:hAnsi="Calibri" w:hint="eastAsia"/>
          <w:rtl/>
        </w:rPr>
        <w:t>מצידה</w:t>
      </w:r>
      <w:r w:rsidRPr="00AA720B">
        <w:rPr>
          <w:rFonts w:ascii="Calibri" w:hAnsi="Calibri"/>
          <w:rtl/>
        </w:rPr>
        <w:t xml:space="preserve"> </w:t>
      </w:r>
      <w:r w:rsidRPr="00AA720B">
        <w:rPr>
          <w:rFonts w:ascii="Calibri" w:hAnsi="Calibri" w:hint="eastAsia"/>
          <w:rtl/>
        </w:rPr>
        <w:t>הגישה</w:t>
      </w:r>
      <w:r w:rsidRPr="00AA720B">
        <w:rPr>
          <w:rFonts w:ascii="Calibri" w:hAnsi="Calibri"/>
          <w:rtl/>
        </w:rPr>
        <w:t xml:space="preserve"> </w:t>
      </w:r>
      <w:r w:rsidRPr="00AA720B">
        <w:rPr>
          <w:rFonts w:ascii="Calibri" w:hAnsi="Calibri" w:hint="eastAsia"/>
          <w:rtl/>
        </w:rPr>
        <w:t>מספר</w:t>
      </w:r>
      <w:r w:rsidRPr="00AA720B">
        <w:rPr>
          <w:rFonts w:ascii="Calibri" w:hAnsi="Calibri"/>
          <w:rtl/>
        </w:rPr>
        <w:t xml:space="preserve"> </w:t>
      </w:r>
      <w:r w:rsidRPr="00AA720B">
        <w:rPr>
          <w:rFonts w:ascii="Calibri" w:hAnsi="Calibri" w:hint="eastAsia"/>
          <w:rtl/>
        </w:rPr>
        <w:t>פסקי</w:t>
      </w:r>
      <w:r w:rsidRPr="00AA720B">
        <w:rPr>
          <w:rFonts w:ascii="Calibri" w:hAnsi="Calibri"/>
          <w:rtl/>
        </w:rPr>
        <w:t xml:space="preserve"> </w:t>
      </w:r>
      <w:r w:rsidRPr="00AA720B">
        <w:rPr>
          <w:rFonts w:ascii="Calibri" w:hAnsi="Calibri" w:hint="eastAsia"/>
          <w:rtl/>
        </w:rPr>
        <w:t>דין</w:t>
      </w:r>
      <w:r w:rsidRPr="00AA720B">
        <w:rPr>
          <w:rFonts w:ascii="Calibri" w:hAnsi="Calibri"/>
          <w:rtl/>
        </w:rPr>
        <w:t xml:space="preserve"> </w:t>
      </w:r>
      <w:r w:rsidRPr="00AA720B">
        <w:rPr>
          <w:rFonts w:ascii="Calibri" w:hAnsi="Calibri" w:hint="eastAsia"/>
          <w:rtl/>
        </w:rPr>
        <w:t>מהם</w:t>
      </w:r>
      <w:r w:rsidRPr="00AA720B">
        <w:rPr>
          <w:rFonts w:ascii="Calibri" w:hAnsi="Calibri"/>
          <w:rtl/>
        </w:rPr>
        <w:t xml:space="preserve"> </w:t>
      </w:r>
      <w:r w:rsidRPr="00AA720B">
        <w:rPr>
          <w:rFonts w:ascii="Calibri" w:hAnsi="Calibri" w:hint="eastAsia"/>
          <w:rtl/>
        </w:rPr>
        <w:t>לשיטתה</w:t>
      </w:r>
      <w:r w:rsidRPr="00AA720B">
        <w:rPr>
          <w:rFonts w:ascii="Calibri" w:hAnsi="Calibri"/>
          <w:rtl/>
        </w:rPr>
        <w:t xml:space="preserve"> </w:t>
      </w:r>
      <w:r w:rsidRPr="00AA720B">
        <w:rPr>
          <w:rFonts w:ascii="Calibri" w:hAnsi="Calibri" w:hint="eastAsia"/>
          <w:rtl/>
        </w:rPr>
        <w:t>יש</w:t>
      </w:r>
      <w:r w:rsidRPr="00AA720B">
        <w:rPr>
          <w:rFonts w:ascii="Calibri" w:hAnsi="Calibri"/>
          <w:rtl/>
        </w:rPr>
        <w:t xml:space="preserve"> </w:t>
      </w:r>
      <w:r w:rsidRPr="00AA720B">
        <w:rPr>
          <w:rFonts w:ascii="Calibri" w:hAnsi="Calibri" w:hint="eastAsia"/>
          <w:rtl/>
        </w:rPr>
        <w:t>כדי</w:t>
      </w:r>
      <w:r w:rsidRPr="00AA720B">
        <w:rPr>
          <w:rFonts w:ascii="Calibri" w:hAnsi="Calibri"/>
          <w:rtl/>
        </w:rPr>
        <w:t xml:space="preserve"> </w:t>
      </w:r>
      <w:r w:rsidRPr="00AA720B">
        <w:rPr>
          <w:rFonts w:ascii="Calibri" w:hAnsi="Calibri" w:hint="eastAsia"/>
          <w:rtl/>
        </w:rPr>
        <w:t>ללמד</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העונש</w:t>
      </w:r>
      <w:r w:rsidRPr="00AA720B">
        <w:rPr>
          <w:rFonts w:ascii="Calibri" w:hAnsi="Calibri"/>
          <w:rtl/>
        </w:rPr>
        <w:t xml:space="preserve"> </w:t>
      </w:r>
      <w:r w:rsidRPr="00AA720B">
        <w:rPr>
          <w:rFonts w:ascii="Calibri" w:hAnsi="Calibri" w:hint="eastAsia"/>
          <w:rtl/>
        </w:rPr>
        <w:t>הראוי</w:t>
      </w:r>
      <w:r w:rsidRPr="00AA720B">
        <w:rPr>
          <w:rFonts w:ascii="Calibri" w:hAnsi="Calibri"/>
          <w:rtl/>
        </w:rPr>
        <w:t xml:space="preserve"> </w:t>
      </w:r>
      <w:r w:rsidRPr="00AA720B">
        <w:rPr>
          <w:rFonts w:ascii="Calibri" w:hAnsi="Calibri" w:hint="eastAsia"/>
          <w:rtl/>
        </w:rPr>
        <w:t>לנאשם</w:t>
      </w:r>
      <w:r w:rsidRPr="00AA720B">
        <w:rPr>
          <w:rFonts w:ascii="Calibri" w:hAnsi="Calibri"/>
          <w:rtl/>
        </w:rPr>
        <w:t xml:space="preserve">. </w:t>
      </w:r>
      <w:r w:rsidRPr="00AA720B">
        <w:rPr>
          <w:rFonts w:ascii="Calibri" w:hAnsi="Calibri" w:hint="eastAsia"/>
          <w:rtl/>
        </w:rPr>
        <w:t>כך</w:t>
      </w:r>
      <w:r w:rsidRPr="00AA720B">
        <w:rPr>
          <w:rFonts w:ascii="Calibri" w:hAnsi="Calibri"/>
          <w:rtl/>
        </w:rPr>
        <w:t xml:space="preserve"> </w:t>
      </w:r>
      <w:r w:rsidRPr="00AA720B">
        <w:rPr>
          <w:rFonts w:ascii="Calibri" w:hAnsi="Calibri" w:hint="eastAsia"/>
          <w:rtl/>
        </w:rPr>
        <w:t>הפנתה</w:t>
      </w:r>
      <w:r w:rsidRPr="00AA720B">
        <w:rPr>
          <w:rFonts w:ascii="Calibri" w:hAnsi="Calibri"/>
          <w:rtl/>
        </w:rPr>
        <w:t xml:space="preserve"> </w:t>
      </w:r>
      <w:r w:rsidRPr="00AA720B">
        <w:rPr>
          <w:rFonts w:ascii="Calibri" w:hAnsi="Calibri" w:hint="eastAsia"/>
          <w:rtl/>
        </w:rPr>
        <w:t>ל</w:t>
      </w:r>
      <w:hyperlink r:id="rId54" w:history="1">
        <w:r w:rsidR="00AD1D7C" w:rsidRPr="00AD1D7C">
          <w:rPr>
            <w:rStyle w:val="Hyperlink"/>
            <w:rFonts w:ascii="Calibri" w:hAnsi="Calibri" w:hint="eastAsia"/>
            <w:rtl/>
          </w:rPr>
          <w:t>תפ</w:t>
        </w:r>
        <w:r w:rsidR="00AD1D7C" w:rsidRPr="00AD1D7C">
          <w:rPr>
            <w:rStyle w:val="Hyperlink"/>
            <w:rFonts w:ascii="Calibri" w:hAnsi="Calibri"/>
            <w:rtl/>
          </w:rPr>
          <w:t>"</w:t>
        </w:r>
        <w:r w:rsidR="00AD1D7C" w:rsidRPr="00AD1D7C">
          <w:rPr>
            <w:rStyle w:val="Hyperlink"/>
            <w:rFonts w:ascii="Calibri" w:hAnsi="Calibri" w:hint="eastAsia"/>
            <w:rtl/>
          </w:rPr>
          <w:t>ח</w:t>
        </w:r>
        <w:r w:rsidR="00AD1D7C" w:rsidRPr="00AD1D7C">
          <w:rPr>
            <w:rStyle w:val="Hyperlink"/>
            <w:rFonts w:ascii="Calibri" w:hAnsi="Calibri"/>
            <w:rtl/>
          </w:rPr>
          <w:t xml:space="preserve"> (</w:t>
        </w:r>
        <w:r w:rsidR="00AD1D7C" w:rsidRPr="00AD1D7C">
          <w:rPr>
            <w:rStyle w:val="Hyperlink"/>
            <w:rFonts w:ascii="Calibri" w:hAnsi="Calibri" w:hint="eastAsia"/>
            <w:rtl/>
          </w:rPr>
          <w:t>ת</w:t>
        </w:r>
        <w:r w:rsidR="00AD1D7C" w:rsidRPr="00AD1D7C">
          <w:rPr>
            <w:rStyle w:val="Hyperlink"/>
            <w:rFonts w:ascii="Calibri" w:hAnsi="Calibri"/>
            <w:rtl/>
          </w:rPr>
          <w:t>"</w:t>
        </w:r>
        <w:r w:rsidR="00AD1D7C" w:rsidRPr="00AD1D7C">
          <w:rPr>
            <w:rStyle w:val="Hyperlink"/>
            <w:rFonts w:ascii="Calibri" w:hAnsi="Calibri" w:hint="eastAsia"/>
            <w:rtl/>
          </w:rPr>
          <w:t>א</w:t>
        </w:r>
        <w:r w:rsidR="00AD1D7C" w:rsidRPr="00AD1D7C">
          <w:rPr>
            <w:rStyle w:val="Hyperlink"/>
            <w:rFonts w:ascii="Calibri" w:hAnsi="Calibri"/>
            <w:rtl/>
          </w:rPr>
          <w:t>) 1167/02</w:t>
        </w:r>
      </w:hyperlink>
      <w:r w:rsidRPr="00AA720B">
        <w:rPr>
          <w:rFonts w:ascii="Calibri" w:hAnsi="Calibri"/>
          <w:rtl/>
        </w:rPr>
        <w:t xml:space="preserve"> </w:t>
      </w:r>
      <w:r w:rsidRPr="00AA720B">
        <w:rPr>
          <w:rFonts w:ascii="Calibri" w:hAnsi="Calibri" w:hint="eastAsia"/>
          <w:b/>
          <w:bCs/>
          <w:rtl/>
        </w:rPr>
        <w:t>מדינת</w:t>
      </w:r>
      <w:r w:rsidRPr="00AA720B">
        <w:rPr>
          <w:rFonts w:ascii="Calibri" w:hAnsi="Calibri"/>
          <w:b/>
          <w:bCs/>
          <w:rtl/>
        </w:rPr>
        <w:t xml:space="preserve"> </w:t>
      </w:r>
      <w:r w:rsidRPr="00AA720B">
        <w:rPr>
          <w:rFonts w:ascii="Calibri" w:hAnsi="Calibri" w:hint="eastAsia"/>
          <w:b/>
          <w:bCs/>
          <w:rtl/>
        </w:rPr>
        <w:t>ישראל</w:t>
      </w:r>
      <w:r w:rsidRPr="00AA720B">
        <w:rPr>
          <w:rFonts w:ascii="Calibri" w:hAnsi="Calibri"/>
          <w:b/>
          <w:bCs/>
          <w:rtl/>
        </w:rPr>
        <w:t xml:space="preserve"> </w:t>
      </w:r>
      <w:r w:rsidRPr="00AA720B">
        <w:rPr>
          <w:rFonts w:ascii="Calibri" w:hAnsi="Calibri" w:hint="eastAsia"/>
          <w:b/>
          <w:bCs/>
          <w:rtl/>
        </w:rPr>
        <w:t>נ</w:t>
      </w:r>
      <w:r w:rsidRPr="00AA720B">
        <w:rPr>
          <w:rFonts w:ascii="Calibri" w:hAnsi="Calibri"/>
          <w:b/>
          <w:bCs/>
          <w:rtl/>
        </w:rPr>
        <w:t xml:space="preserve">' </w:t>
      </w:r>
      <w:r w:rsidRPr="00AA720B">
        <w:rPr>
          <w:rFonts w:ascii="Calibri" w:hAnsi="Calibri" w:hint="eastAsia"/>
          <w:b/>
          <w:bCs/>
          <w:rtl/>
        </w:rPr>
        <w:t>יחיא</w:t>
      </w:r>
      <w:r w:rsidRPr="00AA720B">
        <w:rPr>
          <w:rFonts w:ascii="Calibri" w:hAnsi="Calibri"/>
          <w:b/>
          <w:bCs/>
          <w:rtl/>
        </w:rPr>
        <w:t xml:space="preserve"> </w:t>
      </w:r>
      <w:r w:rsidRPr="00AA720B">
        <w:rPr>
          <w:rFonts w:ascii="Calibri" w:hAnsi="Calibri" w:hint="eastAsia"/>
          <w:b/>
          <w:bCs/>
          <w:rtl/>
        </w:rPr>
        <w:t>תורכ</w:t>
      </w:r>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rtl/>
        </w:rPr>
        <w:t>(</w:t>
      </w:r>
      <w:r w:rsidRPr="00AA720B">
        <w:rPr>
          <w:rFonts w:ascii="Calibri" w:hAnsi="Calibri" w:hint="eastAsia"/>
          <w:rtl/>
        </w:rPr>
        <w:t>מיום</w:t>
      </w:r>
      <w:r w:rsidRPr="00AA720B">
        <w:rPr>
          <w:rFonts w:ascii="Calibri" w:hAnsi="Calibri"/>
          <w:rtl/>
        </w:rPr>
        <w:t xml:space="preserve"> 22.05.2011).</w:t>
      </w:r>
      <w:r w:rsidR="002926B7" w:rsidRPr="00AA720B">
        <w:rPr>
          <w:rFonts w:ascii="Calibri" w:hAnsi="Calibri" w:hint="cs"/>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הורשע</w:t>
      </w:r>
      <w:r w:rsidRPr="00AA720B">
        <w:rPr>
          <w:rFonts w:ascii="Calibri" w:hAnsi="Calibri"/>
          <w:rtl/>
        </w:rPr>
        <w:t xml:space="preserve"> </w:t>
      </w:r>
      <w:r w:rsidRPr="00AA720B">
        <w:rPr>
          <w:rFonts w:ascii="Calibri" w:hAnsi="Calibri" w:hint="eastAsia"/>
          <w:rtl/>
        </w:rPr>
        <w:t>במסגרת</w:t>
      </w:r>
      <w:r w:rsidRPr="00AA720B">
        <w:rPr>
          <w:rFonts w:ascii="Calibri" w:hAnsi="Calibri"/>
          <w:rtl/>
        </w:rPr>
        <w:t xml:space="preserve"> </w:t>
      </w:r>
      <w:r w:rsidRPr="00AA720B">
        <w:rPr>
          <w:rFonts w:ascii="Calibri" w:hAnsi="Calibri" w:hint="eastAsia"/>
          <w:rtl/>
        </w:rPr>
        <w:t>הסדר</w:t>
      </w:r>
      <w:r w:rsidRPr="00AA720B">
        <w:rPr>
          <w:rFonts w:ascii="Calibri" w:hAnsi="Calibri"/>
          <w:rtl/>
        </w:rPr>
        <w:t xml:space="preserve"> </w:t>
      </w:r>
      <w:r w:rsidRPr="00AA720B">
        <w:rPr>
          <w:rFonts w:ascii="Calibri" w:hAnsi="Calibri" w:hint="eastAsia"/>
          <w:rtl/>
        </w:rPr>
        <w:t>טיעון</w:t>
      </w:r>
      <w:r w:rsidRPr="00AA720B">
        <w:rPr>
          <w:rFonts w:ascii="Calibri" w:hAnsi="Calibri"/>
          <w:rtl/>
        </w:rPr>
        <w:t xml:space="preserve"> </w:t>
      </w:r>
      <w:r w:rsidRPr="00AA720B">
        <w:rPr>
          <w:rFonts w:ascii="Calibri" w:hAnsi="Calibri" w:hint="eastAsia"/>
          <w:rtl/>
        </w:rPr>
        <w:t>בעבירות</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סיוע</w:t>
      </w:r>
      <w:r w:rsidRPr="00AA720B">
        <w:rPr>
          <w:rFonts w:ascii="Calibri" w:hAnsi="Calibri"/>
          <w:rtl/>
        </w:rPr>
        <w:t xml:space="preserve"> </w:t>
      </w:r>
      <w:r w:rsidRPr="00AA720B">
        <w:rPr>
          <w:rFonts w:ascii="Calibri" w:hAnsi="Calibri" w:hint="eastAsia"/>
          <w:rtl/>
        </w:rPr>
        <w:t>לרצח</w:t>
      </w:r>
      <w:r w:rsidRPr="00AA720B">
        <w:rPr>
          <w:rFonts w:ascii="Calibri" w:hAnsi="Calibri"/>
          <w:rtl/>
        </w:rPr>
        <w:t xml:space="preserve">; </w:t>
      </w:r>
      <w:r w:rsidRPr="00AA720B">
        <w:rPr>
          <w:rFonts w:ascii="Calibri" w:hAnsi="Calibri" w:hint="eastAsia"/>
          <w:rtl/>
        </w:rPr>
        <w:t>סיוע</w:t>
      </w:r>
      <w:r w:rsidRPr="00AA720B">
        <w:rPr>
          <w:rFonts w:ascii="Calibri" w:hAnsi="Calibri"/>
          <w:rtl/>
        </w:rPr>
        <w:t xml:space="preserve"> </w:t>
      </w:r>
      <w:r w:rsidRPr="00AA720B">
        <w:rPr>
          <w:rFonts w:ascii="Calibri" w:hAnsi="Calibri" w:hint="eastAsia"/>
          <w:rtl/>
        </w:rPr>
        <w:t>לניסיון</w:t>
      </w:r>
      <w:r w:rsidRPr="00AA720B">
        <w:rPr>
          <w:rFonts w:ascii="Calibri" w:hAnsi="Calibri"/>
          <w:rtl/>
        </w:rPr>
        <w:t xml:space="preserve"> </w:t>
      </w:r>
      <w:r w:rsidRPr="00AA720B">
        <w:rPr>
          <w:rFonts w:ascii="Calibri" w:hAnsi="Calibri" w:hint="eastAsia"/>
          <w:rtl/>
        </w:rPr>
        <w:t>רצח</w:t>
      </w:r>
      <w:r w:rsidRPr="00AA720B">
        <w:rPr>
          <w:rFonts w:ascii="Calibri" w:hAnsi="Calibri"/>
          <w:rtl/>
        </w:rPr>
        <w:t xml:space="preserve"> </w:t>
      </w:r>
      <w:r w:rsidRPr="00AA720B">
        <w:rPr>
          <w:rFonts w:ascii="Calibri" w:hAnsi="Calibri" w:hint="eastAsia"/>
          <w:rtl/>
        </w:rPr>
        <w:t>וסיוע</w:t>
      </w:r>
      <w:r w:rsidRPr="00AA720B">
        <w:rPr>
          <w:rFonts w:ascii="Calibri" w:hAnsi="Calibri"/>
          <w:rtl/>
        </w:rPr>
        <w:t xml:space="preserve"> </w:t>
      </w:r>
      <w:r w:rsidRPr="00AA720B">
        <w:rPr>
          <w:rFonts w:ascii="Calibri" w:hAnsi="Calibri" w:hint="eastAsia"/>
          <w:rtl/>
        </w:rPr>
        <w:t>להיזק</w:t>
      </w:r>
      <w:r w:rsidRPr="00AA720B">
        <w:rPr>
          <w:rFonts w:ascii="Calibri" w:hAnsi="Calibri"/>
          <w:rtl/>
        </w:rPr>
        <w:t xml:space="preserve"> </w:t>
      </w:r>
      <w:r w:rsidRPr="00AA720B">
        <w:rPr>
          <w:rFonts w:ascii="Calibri" w:hAnsi="Calibri" w:hint="eastAsia"/>
          <w:rtl/>
        </w:rPr>
        <w:t>בחומר</w:t>
      </w:r>
      <w:r w:rsidRPr="00AA720B">
        <w:rPr>
          <w:rFonts w:ascii="Calibri" w:hAnsi="Calibri"/>
          <w:rtl/>
        </w:rPr>
        <w:t xml:space="preserve"> </w:t>
      </w:r>
      <w:r w:rsidRPr="00AA720B">
        <w:rPr>
          <w:rFonts w:ascii="Calibri" w:hAnsi="Calibri" w:hint="eastAsia"/>
          <w:rtl/>
        </w:rPr>
        <w:t>נפיץ</w:t>
      </w:r>
      <w:r w:rsidR="002926B7" w:rsidRPr="00AA720B">
        <w:rPr>
          <w:rFonts w:ascii="Calibri" w:hAnsi="Calibri" w:hint="cs"/>
          <w:rtl/>
        </w:rPr>
        <w:t>,</w:t>
      </w:r>
      <w:r w:rsidRPr="00AA720B">
        <w:rPr>
          <w:rFonts w:ascii="Calibri" w:hAnsi="Calibri"/>
          <w:rtl/>
        </w:rPr>
        <w:t xml:space="preserve"> </w:t>
      </w:r>
      <w:r w:rsidRPr="00AA720B">
        <w:rPr>
          <w:rFonts w:ascii="Calibri" w:hAnsi="Calibri" w:hint="eastAsia"/>
          <w:rtl/>
        </w:rPr>
        <w:t>וכן</w:t>
      </w:r>
      <w:r w:rsidRPr="00AA720B">
        <w:rPr>
          <w:rFonts w:ascii="Calibri" w:hAnsi="Calibri"/>
          <w:rtl/>
        </w:rPr>
        <w:t xml:space="preserve"> </w:t>
      </w:r>
      <w:r w:rsidR="002926B7" w:rsidRPr="00AA720B">
        <w:rPr>
          <w:rFonts w:ascii="Calibri" w:hAnsi="Calibri" w:hint="cs"/>
          <w:rtl/>
        </w:rPr>
        <w:t>צורף תיק נוסף</w:t>
      </w:r>
      <w:r w:rsidRPr="00AA720B">
        <w:rPr>
          <w:rFonts w:ascii="Calibri" w:hAnsi="Calibri"/>
          <w:rtl/>
        </w:rPr>
        <w:t xml:space="preserve"> </w:t>
      </w:r>
      <w:r w:rsidRPr="00AA720B">
        <w:rPr>
          <w:rFonts w:ascii="Calibri" w:hAnsi="Calibri" w:hint="eastAsia"/>
          <w:rtl/>
        </w:rPr>
        <w:t>בו</w:t>
      </w:r>
      <w:r w:rsidRPr="00AA720B">
        <w:rPr>
          <w:rFonts w:ascii="Calibri" w:hAnsi="Calibri"/>
          <w:rtl/>
        </w:rPr>
        <w:t xml:space="preserve"> </w:t>
      </w:r>
      <w:r w:rsidRPr="00AA720B">
        <w:rPr>
          <w:rFonts w:ascii="Calibri" w:hAnsi="Calibri" w:hint="eastAsia"/>
          <w:rtl/>
        </w:rPr>
        <w:t>הורשע</w:t>
      </w:r>
      <w:r w:rsidRPr="00AA720B">
        <w:rPr>
          <w:rFonts w:ascii="Calibri" w:hAnsi="Calibri"/>
          <w:rtl/>
        </w:rPr>
        <w:t xml:space="preserve"> </w:t>
      </w:r>
      <w:r w:rsidRPr="00AA720B">
        <w:rPr>
          <w:rFonts w:ascii="Calibri" w:hAnsi="Calibri" w:hint="eastAsia"/>
          <w:rtl/>
        </w:rPr>
        <w:t>בעבירה</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קשירת</w:t>
      </w:r>
      <w:r w:rsidRPr="00AA720B">
        <w:rPr>
          <w:rFonts w:ascii="Calibri" w:hAnsi="Calibri"/>
          <w:rtl/>
        </w:rPr>
        <w:t xml:space="preserve"> </w:t>
      </w:r>
      <w:r w:rsidRPr="00AA720B">
        <w:rPr>
          <w:rFonts w:ascii="Calibri" w:hAnsi="Calibri" w:hint="eastAsia"/>
          <w:rtl/>
        </w:rPr>
        <w:t>קשר</w:t>
      </w:r>
      <w:r w:rsidRPr="00AA720B">
        <w:rPr>
          <w:rFonts w:ascii="Calibri" w:hAnsi="Calibri"/>
          <w:rtl/>
        </w:rPr>
        <w:t xml:space="preserve"> </w:t>
      </w:r>
      <w:r w:rsidRPr="00AA720B">
        <w:rPr>
          <w:rFonts w:ascii="Calibri" w:hAnsi="Calibri" w:hint="eastAsia"/>
          <w:rtl/>
        </w:rPr>
        <w:t>לסחר</w:t>
      </w:r>
      <w:r w:rsidRPr="00AA720B">
        <w:rPr>
          <w:rFonts w:ascii="Calibri" w:hAnsi="Calibri"/>
          <w:rtl/>
        </w:rPr>
        <w:t xml:space="preserve"> </w:t>
      </w:r>
      <w:r w:rsidRPr="00AA720B">
        <w:rPr>
          <w:rFonts w:ascii="Calibri" w:hAnsi="Calibri" w:hint="eastAsia"/>
          <w:rtl/>
        </w:rPr>
        <w:t>בנשק</w:t>
      </w:r>
      <w:r w:rsidRPr="00AA720B">
        <w:rPr>
          <w:rFonts w:ascii="Calibri" w:hAnsi="Calibri"/>
          <w:rtl/>
        </w:rPr>
        <w:t xml:space="preserve">. </w:t>
      </w:r>
      <w:r w:rsidRPr="00AA720B">
        <w:rPr>
          <w:rFonts w:ascii="Calibri" w:hAnsi="Calibri" w:hint="eastAsia"/>
          <w:rtl/>
        </w:rPr>
        <w:t>המדובר</w:t>
      </w:r>
      <w:r w:rsidRPr="00AA720B">
        <w:rPr>
          <w:rFonts w:ascii="Calibri" w:hAnsi="Calibri"/>
          <w:rtl/>
        </w:rPr>
        <w:t xml:space="preserve"> </w:t>
      </w:r>
      <w:r w:rsidRPr="00AA720B">
        <w:rPr>
          <w:rFonts w:ascii="Calibri" w:hAnsi="Calibri" w:hint="eastAsia"/>
          <w:rtl/>
        </w:rPr>
        <w:t>במקרה</w:t>
      </w:r>
      <w:r w:rsidRPr="00AA720B">
        <w:rPr>
          <w:rFonts w:ascii="Calibri" w:hAnsi="Calibri"/>
          <w:rtl/>
        </w:rPr>
        <w:t xml:space="preserve"> </w:t>
      </w:r>
      <w:r w:rsidRPr="00AA720B">
        <w:rPr>
          <w:rFonts w:ascii="Calibri" w:hAnsi="Calibri" w:hint="eastAsia"/>
          <w:rtl/>
        </w:rPr>
        <w:t>בו</w:t>
      </w:r>
      <w:r w:rsidRPr="00AA720B">
        <w:rPr>
          <w:rFonts w:ascii="Calibri" w:hAnsi="Calibri"/>
          <w:rtl/>
        </w:rPr>
        <w:t xml:space="preserve"> </w:t>
      </w:r>
      <w:r w:rsidRPr="00AA720B">
        <w:rPr>
          <w:rFonts w:ascii="Calibri" w:hAnsi="Calibri" w:hint="eastAsia"/>
          <w:rtl/>
        </w:rPr>
        <w:t>פוצץ</w:t>
      </w:r>
      <w:r w:rsidRPr="00AA720B">
        <w:rPr>
          <w:rFonts w:ascii="Calibri" w:hAnsi="Calibri"/>
          <w:rtl/>
        </w:rPr>
        <w:t xml:space="preserve"> </w:t>
      </w:r>
      <w:r w:rsidRPr="00AA720B">
        <w:rPr>
          <w:rFonts w:ascii="Calibri" w:hAnsi="Calibri" w:hint="eastAsia"/>
          <w:rtl/>
        </w:rPr>
        <w:t>רכבו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אשר</w:t>
      </w:r>
      <w:r w:rsidRPr="00AA720B">
        <w:rPr>
          <w:rFonts w:ascii="Calibri" w:hAnsi="Calibri"/>
          <w:rtl/>
        </w:rPr>
        <w:t xml:space="preserve"> </w:t>
      </w:r>
      <w:r w:rsidRPr="00AA720B">
        <w:rPr>
          <w:rFonts w:ascii="Calibri" w:hAnsi="Calibri" w:hint="eastAsia"/>
          <w:rtl/>
        </w:rPr>
        <w:t>אילוז</w:t>
      </w:r>
      <w:r w:rsidRPr="00AA720B">
        <w:rPr>
          <w:rFonts w:ascii="Calibri" w:hAnsi="Calibri"/>
          <w:rtl/>
        </w:rPr>
        <w:t xml:space="preserve"> </w:t>
      </w:r>
      <w:r w:rsidRPr="00AA720B">
        <w:rPr>
          <w:rFonts w:ascii="Calibri" w:hAnsi="Calibri" w:hint="eastAsia"/>
          <w:rtl/>
        </w:rPr>
        <w:t>אשר</w:t>
      </w:r>
      <w:r w:rsidRPr="00AA720B">
        <w:rPr>
          <w:rFonts w:ascii="Calibri" w:hAnsi="Calibri"/>
          <w:rtl/>
        </w:rPr>
        <w:t xml:space="preserve"> </w:t>
      </w:r>
      <w:r w:rsidRPr="00AA720B">
        <w:rPr>
          <w:rFonts w:ascii="Calibri" w:hAnsi="Calibri" w:hint="eastAsia"/>
          <w:rtl/>
        </w:rPr>
        <w:t>גרם</w:t>
      </w:r>
      <w:r w:rsidRPr="00AA720B">
        <w:rPr>
          <w:rFonts w:ascii="Calibri" w:hAnsi="Calibri"/>
          <w:rtl/>
        </w:rPr>
        <w:t xml:space="preserve"> </w:t>
      </w:r>
      <w:r w:rsidRPr="00AA720B">
        <w:rPr>
          <w:rFonts w:ascii="Calibri" w:hAnsi="Calibri" w:hint="eastAsia"/>
          <w:rtl/>
        </w:rPr>
        <w:t>לפציעתו</w:t>
      </w:r>
      <w:r w:rsidRPr="00AA720B">
        <w:rPr>
          <w:rFonts w:ascii="Calibri" w:hAnsi="Calibri"/>
          <w:rtl/>
        </w:rPr>
        <w:t xml:space="preserve"> </w:t>
      </w:r>
      <w:r w:rsidRPr="00AA720B">
        <w:rPr>
          <w:rFonts w:ascii="Calibri" w:hAnsi="Calibri" w:hint="eastAsia"/>
          <w:rtl/>
        </w:rPr>
        <w:t>הקשה</w:t>
      </w:r>
      <w:r w:rsidRPr="00AA720B">
        <w:rPr>
          <w:rFonts w:ascii="Calibri" w:hAnsi="Calibri"/>
          <w:rtl/>
        </w:rPr>
        <w:t xml:space="preserve"> </w:t>
      </w:r>
      <w:r w:rsidRPr="00AA720B">
        <w:rPr>
          <w:rFonts w:ascii="Calibri" w:hAnsi="Calibri" w:hint="eastAsia"/>
          <w:rtl/>
        </w:rPr>
        <w:t>ולמות</w:t>
      </w:r>
      <w:r w:rsidRPr="00AA720B">
        <w:rPr>
          <w:rFonts w:ascii="Calibri" w:hAnsi="Calibri"/>
          <w:rtl/>
        </w:rPr>
        <w:t xml:space="preserve"> </w:t>
      </w:r>
      <w:r w:rsidRPr="00AA720B">
        <w:rPr>
          <w:rFonts w:ascii="Calibri" w:hAnsi="Calibri" w:hint="eastAsia"/>
          <w:rtl/>
        </w:rPr>
        <w:t>בנו</w:t>
      </w:r>
      <w:r w:rsidRPr="00AA720B">
        <w:rPr>
          <w:rFonts w:ascii="Calibri" w:hAnsi="Calibri"/>
          <w:rtl/>
        </w:rPr>
        <w:t xml:space="preserve"> </w:t>
      </w:r>
      <w:r w:rsidRPr="00AA720B">
        <w:rPr>
          <w:rFonts w:ascii="Calibri" w:hAnsi="Calibri" w:hint="eastAsia"/>
          <w:rtl/>
        </w:rPr>
        <w:t>בן</w:t>
      </w:r>
      <w:r w:rsidRPr="00AA720B">
        <w:rPr>
          <w:rFonts w:ascii="Calibri" w:hAnsi="Calibri"/>
          <w:rtl/>
        </w:rPr>
        <w:t xml:space="preserve"> </w:t>
      </w:r>
      <w:r w:rsidRPr="00AA720B">
        <w:rPr>
          <w:rFonts w:ascii="Calibri" w:hAnsi="Calibri" w:hint="eastAsia"/>
          <w:rtl/>
        </w:rPr>
        <w:t>השלוש</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הודה</w:t>
      </w:r>
      <w:r w:rsidRPr="00AA720B">
        <w:rPr>
          <w:rFonts w:ascii="Calibri" w:hAnsi="Calibri"/>
          <w:rtl/>
        </w:rPr>
        <w:t xml:space="preserve"> </w:t>
      </w:r>
      <w:r w:rsidRPr="00AA720B">
        <w:rPr>
          <w:rFonts w:ascii="Calibri" w:hAnsi="Calibri" w:hint="eastAsia"/>
          <w:rtl/>
        </w:rPr>
        <w:t>בחלקו</w:t>
      </w:r>
      <w:r w:rsidRPr="00AA720B">
        <w:rPr>
          <w:rFonts w:ascii="Calibri" w:hAnsi="Calibri"/>
          <w:rtl/>
        </w:rPr>
        <w:t xml:space="preserve"> </w:t>
      </w:r>
      <w:r w:rsidRPr="00AA720B">
        <w:rPr>
          <w:rFonts w:ascii="Calibri" w:hAnsi="Calibri" w:hint="eastAsia"/>
          <w:rtl/>
        </w:rPr>
        <w:t>בהכנת</w:t>
      </w:r>
      <w:r w:rsidRPr="00AA720B">
        <w:rPr>
          <w:rFonts w:ascii="Calibri" w:hAnsi="Calibri"/>
          <w:rtl/>
        </w:rPr>
        <w:t xml:space="preserve"> </w:t>
      </w:r>
      <w:r w:rsidRPr="00AA720B">
        <w:rPr>
          <w:rFonts w:ascii="Calibri" w:hAnsi="Calibri" w:hint="eastAsia"/>
          <w:rtl/>
        </w:rPr>
        <w:t>המטען</w:t>
      </w:r>
      <w:r w:rsidRPr="00AA720B">
        <w:rPr>
          <w:rFonts w:ascii="Calibri" w:hAnsi="Calibri"/>
          <w:rtl/>
        </w:rPr>
        <w:t xml:space="preserve"> </w:t>
      </w:r>
      <w:r w:rsidRPr="00AA720B">
        <w:rPr>
          <w:rFonts w:ascii="Calibri" w:hAnsi="Calibri" w:hint="eastAsia"/>
          <w:rtl/>
        </w:rPr>
        <w:t>כאשר</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הניח</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מטען</w:t>
      </w:r>
      <w:r w:rsidRPr="00AA720B">
        <w:rPr>
          <w:rFonts w:ascii="Calibri" w:hAnsi="Calibri"/>
          <w:rtl/>
        </w:rPr>
        <w:t xml:space="preserve"> </w:t>
      </w:r>
      <w:r w:rsidRPr="00AA720B">
        <w:rPr>
          <w:rFonts w:ascii="Calibri" w:hAnsi="Calibri" w:hint="eastAsia"/>
          <w:rtl/>
        </w:rPr>
        <w:t>החבלה</w:t>
      </w:r>
      <w:r w:rsidRPr="00AA720B">
        <w:rPr>
          <w:rFonts w:ascii="Calibri" w:hAnsi="Calibri"/>
          <w:rtl/>
        </w:rPr>
        <w:t xml:space="preserve"> </w:t>
      </w:r>
      <w:r w:rsidR="00BB50D1" w:rsidRPr="00AA720B">
        <w:rPr>
          <w:rFonts w:ascii="Calibri" w:hAnsi="Calibri" w:hint="cs"/>
          <w:rtl/>
        </w:rPr>
        <w:t>ו</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גזר</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15 </w:t>
      </w:r>
      <w:r w:rsidRPr="00AA720B">
        <w:rPr>
          <w:rFonts w:ascii="Calibri" w:hAnsi="Calibri" w:hint="eastAsia"/>
          <w:rtl/>
        </w:rPr>
        <w:t>שנות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בפועל</w:t>
      </w:r>
      <w:r w:rsidRPr="00AA720B">
        <w:rPr>
          <w:rFonts w:ascii="Calibri" w:hAnsi="Calibri"/>
          <w:rtl/>
        </w:rPr>
        <w:t xml:space="preserve">. </w:t>
      </w:r>
      <w:r w:rsidRPr="00AA720B">
        <w:rPr>
          <w:rFonts w:ascii="Calibri" w:hAnsi="Calibri" w:hint="eastAsia"/>
          <w:rtl/>
        </w:rPr>
        <w:t>יש</w:t>
      </w:r>
      <w:r w:rsidRPr="00AA720B">
        <w:rPr>
          <w:rFonts w:ascii="Calibri" w:hAnsi="Calibri"/>
          <w:rtl/>
        </w:rPr>
        <w:t xml:space="preserve"> </w:t>
      </w:r>
      <w:r w:rsidRPr="00AA720B">
        <w:rPr>
          <w:rFonts w:ascii="Calibri" w:hAnsi="Calibri" w:hint="eastAsia"/>
          <w:rtl/>
        </w:rPr>
        <w:t>לזכור</w:t>
      </w:r>
      <w:r w:rsidRPr="00AA720B">
        <w:rPr>
          <w:rFonts w:ascii="Calibri" w:hAnsi="Calibri"/>
          <w:rtl/>
        </w:rPr>
        <w:t xml:space="preserve"> </w:t>
      </w:r>
      <w:r w:rsidRPr="00AA720B">
        <w:rPr>
          <w:rFonts w:ascii="Calibri" w:hAnsi="Calibri" w:hint="eastAsia"/>
          <w:rtl/>
        </w:rPr>
        <w:t>שבשונה</w:t>
      </w:r>
      <w:r w:rsidRPr="00AA720B">
        <w:rPr>
          <w:rFonts w:ascii="Calibri" w:hAnsi="Calibri"/>
          <w:rtl/>
        </w:rPr>
        <w:t xml:space="preserve"> </w:t>
      </w:r>
      <w:r w:rsidRPr="00AA720B">
        <w:rPr>
          <w:rFonts w:ascii="Calibri" w:hAnsi="Calibri" w:hint="eastAsia"/>
          <w:rtl/>
        </w:rPr>
        <w:t>מענייננו</w:t>
      </w:r>
      <w:r w:rsidRPr="00AA720B">
        <w:rPr>
          <w:rFonts w:ascii="Calibri" w:hAnsi="Calibri"/>
          <w:rtl/>
        </w:rPr>
        <w:t xml:space="preserve"> </w:t>
      </w:r>
      <w:r w:rsidRPr="00AA720B">
        <w:rPr>
          <w:rFonts w:ascii="Calibri" w:hAnsi="Calibri" w:hint="eastAsia"/>
          <w:rtl/>
        </w:rPr>
        <w:t>מדובר</w:t>
      </w:r>
      <w:r w:rsidRPr="00AA720B">
        <w:rPr>
          <w:rFonts w:ascii="Calibri" w:hAnsi="Calibri"/>
          <w:rtl/>
        </w:rPr>
        <w:t xml:space="preserve"> </w:t>
      </w:r>
      <w:r w:rsidRPr="00AA720B">
        <w:rPr>
          <w:rFonts w:ascii="Calibri" w:hAnsi="Calibri" w:hint="eastAsia"/>
          <w:rtl/>
        </w:rPr>
        <w:t>במי</w:t>
      </w:r>
      <w:r w:rsidRPr="00AA720B">
        <w:rPr>
          <w:rFonts w:ascii="Calibri" w:hAnsi="Calibri"/>
          <w:rtl/>
        </w:rPr>
        <w:t xml:space="preserve"> </w:t>
      </w:r>
      <w:r w:rsidRPr="00AA720B">
        <w:rPr>
          <w:rFonts w:ascii="Calibri" w:hAnsi="Calibri" w:hint="eastAsia"/>
          <w:rtl/>
        </w:rPr>
        <w:t>שגזר</w:t>
      </w:r>
      <w:r w:rsidRPr="00AA720B">
        <w:rPr>
          <w:rFonts w:ascii="Calibri" w:hAnsi="Calibri"/>
          <w:rtl/>
        </w:rPr>
        <w:t xml:space="preserve"> </w:t>
      </w:r>
      <w:r w:rsidRPr="00AA720B">
        <w:rPr>
          <w:rFonts w:ascii="Calibri" w:hAnsi="Calibri" w:hint="eastAsia"/>
          <w:rtl/>
        </w:rPr>
        <w:t>דינו</w:t>
      </w:r>
      <w:r w:rsidRPr="00AA720B">
        <w:rPr>
          <w:rFonts w:ascii="Calibri" w:hAnsi="Calibri"/>
          <w:rtl/>
        </w:rPr>
        <w:t xml:space="preserve"> </w:t>
      </w:r>
      <w:r w:rsidRPr="00AA720B">
        <w:rPr>
          <w:rFonts w:ascii="Calibri" w:hAnsi="Calibri" w:hint="eastAsia"/>
          <w:rtl/>
        </w:rPr>
        <w:t>נ</w:t>
      </w:r>
      <w:r w:rsidR="00BB50D1" w:rsidRPr="00AA720B">
        <w:rPr>
          <w:rFonts w:ascii="Calibri" w:hAnsi="Calibri" w:hint="cs"/>
          <w:rtl/>
        </w:rPr>
        <w:t>יתן</w:t>
      </w:r>
      <w:r w:rsidRPr="00AA720B">
        <w:rPr>
          <w:rFonts w:ascii="Calibri" w:hAnsi="Calibri"/>
          <w:rtl/>
        </w:rPr>
        <w:t xml:space="preserve"> </w:t>
      </w:r>
      <w:r w:rsidRPr="00AA720B">
        <w:rPr>
          <w:rFonts w:ascii="Calibri" w:hAnsi="Calibri" w:hint="eastAsia"/>
          <w:rtl/>
        </w:rPr>
        <w:t>במסגרת</w:t>
      </w:r>
      <w:r w:rsidRPr="00AA720B">
        <w:rPr>
          <w:rFonts w:ascii="Calibri" w:hAnsi="Calibri"/>
          <w:rtl/>
        </w:rPr>
        <w:t xml:space="preserve"> </w:t>
      </w:r>
      <w:r w:rsidRPr="00AA720B">
        <w:rPr>
          <w:rFonts w:ascii="Calibri" w:hAnsi="Calibri" w:hint="eastAsia"/>
          <w:rtl/>
        </w:rPr>
        <w:t>הסדר</w:t>
      </w:r>
      <w:r w:rsidRPr="00AA720B">
        <w:rPr>
          <w:rFonts w:ascii="Calibri" w:hAnsi="Calibri"/>
          <w:rtl/>
        </w:rPr>
        <w:t xml:space="preserve"> </w:t>
      </w:r>
      <w:r w:rsidRPr="00AA720B">
        <w:rPr>
          <w:rFonts w:ascii="Calibri" w:hAnsi="Calibri" w:hint="eastAsia"/>
          <w:rtl/>
        </w:rPr>
        <w:t>טיעון</w:t>
      </w:r>
      <w:r w:rsidR="00F63C45" w:rsidRPr="00AA720B">
        <w:rPr>
          <w:rFonts w:ascii="Calibri" w:hAnsi="Calibri" w:hint="cs"/>
          <w:rtl/>
        </w:rPr>
        <w:t>,</w:t>
      </w:r>
      <w:r w:rsidRPr="00AA720B">
        <w:rPr>
          <w:rFonts w:ascii="Calibri" w:hAnsi="Calibri"/>
          <w:rtl/>
        </w:rPr>
        <w:t xml:space="preserve"> </w:t>
      </w:r>
      <w:r w:rsidRPr="00AA720B">
        <w:rPr>
          <w:rFonts w:ascii="Calibri" w:hAnsi="Calibri" w:hint="eastAsia"/>
          <w:rtl/>
        </w:rPr>
        <w:t>כאשר</w:t>
      </w:r>
      <w:r w:rsidRPr="00AA720B">
        <w:rPr>
          <w:rFonts w:ascii="Calibri" w:hAnsi="Calibri"/>
          <w:rtl/>
        </w:rPr>
        <w:t xml:space="preserve"> </w:t>
      </w:r>
      <w:r w:rsidRPr="00AA720B">
        <w:rPr>
          <w:rFonts w:ascii="Calibri" w:hAnsi="Calibri" w:hint="eastAsia"/>
          <w:rtl/>
        </w:rPr>
        <w:t>בענייננו</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בחר</w:t>
      </w:r>
      <w:r w:rsidRPr="00AA720B">
        <w:rPr>
          <w:rFonts w:ascii="Calibri" w:hAnsi="Calibri"/>
          <w:rtl/>
        </w:rPr>
        <w:t xml:space="preserve"> </w:t>
      </w:r>
      <w:r w:rsidRPr="00AA720B">
        <w:rPr>
          <w:rFonts w:ascii="Calibri" w:hAnsi="Calibri" w:hint="eastAsia"/>
          <w:rtl/>
        </w:rPr>
        <w:t>לנהל</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ההליך</w:t>
      </w:r>
      <w:r w:rsidRPr="00AA720B">
        <w:rPr>
          <w:rFonts w:ascii="Calibri" w:hAnsi="Calibri"/>
          <w:rtl/>
        </w:rPr>
        <w:t xml:space="preserve"> </w:t>
      </w:r>
      <w:r w:rsidRPr="00AA720B">
        <w:rPr>
          <w:rFonts w:ascii="Calibri" w:hAnsi="Calibri" w:hint="eastAsia"/>
          <w:rtl/>
        </w:rPr>
        <w:t>ולחזור</w:t>
      </w:r>
      <w:r w:rsidRPr="00AA720B">
        <w:rPr>
          <w:rFonts w:ascii="Calibri" w:hAnsi="Calibri"/>
          <w:rtl/>
        </w:rPr>
        <w:t xml:space="preserve"> </w:t>
      </w:r>
      <w:r w:rsidRPr="00AA720B">
        <w:rPr>
          <w:rFonts w:ascii="Calibri" w:hAnsi="Calibri" w:hint="eastAsia"/>
          <w:rtl/>
        </w:rPr>
        <w:t>בו</w:t>
      </w:r>
      <w:r w:rsidRPr="00AA720B">
        <w:rPr>
          <w:rFonts w:ascii="Calibri" w:hAnsi="Calibri"/>
          <w:rtl/>
        </w:rPr>
        <w:t xml:space="preserve"> </w:t>
      </w:r>
      <w:r w:rsidRPr="00AA720B">
        <w:rPr>
          <w:rFonts w:ascii="Calibri" w:hAnsi="Calibri" w:hint="eastAsia"/>
          <w:rtl/>
        </w:rPr>
        <w:t>מהסדר</w:t>
      </w:r>
      <w:r w:rsidRPr="00AA720B">
        <w:rPr>
          <w:rFonts w:ascii="Calibri" w:hAnsi="Calibri"/>
          <w:rtl/>
        </w:rPr>
        <w:t xml:space="preserve"> </w:t>
      </w:r>
      <w:r w:rsidRPr="00AA720B">
        <w:rPr>
          <w:rFonts w:ascii="Calibri" w:hAnsi="Calibri" w:hint="eastAsia"/>
          <w:rtl/>
        </w:rPr>
        <w:t>הטיעון</w:t>
      </w:r>
      <w:r w:rsidRPr="00AA720B">
        <w:rPr>
          <w:rFonts w:ascii="Calibri" w:hAnsi="Calibri"/>
          <w:rtl/>
        </w:rPr>
        <w:t xml:space="preserve"> </w:t>
      </w:r>
      <w:r w:rsidRPr="00AA720B">
        <w:rPr>
          <w:rFonts w:ascii="Calibri" w:hAnsi="Calibri" w:hint="eastAsia"/>
          <w:rtl/>
        </w:rPr>
        <w:t>שנכרת</w:t>
      </w:r>
      <w:r w:rsidRPr="00AA720B">
        <w:rPr>
          <w:rFonts w:ascii="Calibri" w:hAnsi="Calibri"/>
          <w:rtl/>
        </w:rPr>
        <w:t xml:space="preserve"> </w:t>
      </w:r>
      <w:r w:rsidRPr="00AA720B">
        <w:rPr>
          <w:rFonts w:ascii="Calibri" w:hAnsi="Calibri" w:hint="eastAsia"/>
          <w:rtl/>
        </w:rPr>
        <w:t>עימו</w:t>
      </w:r>
      <w:r w:rsidRPr="00AA720B">
        <w:rPr>
          <w:rFonts w:ascii="Calibri" w:hAnsi="Calibri"/>
          <w:rtl/>
        </w:rPr>
        <w:t xml:space="preserve">. </w:t>
      </w:r>
    </w:p>
    <w:p w14:paraId="158918B1" w14:textId="77777777" w:rsidR="0037227B" w:rsidRPr="00AA720B" w:rsidRDefault="0037227B" w:rsidP="00F63C45">
      <w:pPr>
        <w:widowControl w:val="0"/>
        <w:spacing w:before="240" w:after="240" w:line="360" w:lineRule="auto"/>
        <w:jc w:val="both"/>
        <w:rPr>
          <w:rFonts w:ascii="Calibri" w:hAnsi="Calibri"/>
          <w:rtl/>
        </w:rPr>
      </w:pPr>
      <w:r w:rsidRPr="00AA720B">
        <w:rPr>
          <w:rFonts w:ascii="Calibri" w:hAnsi="Calibri" w:hint="eastAsia"/>
          <w:rtl/>
        </w:rPr>
        <w:t>ב</w:t>
      </w:r>
      <w:hyperlink r:id="rId55" w:history="1">
        <w:r w:rsidR="00190E23" w:rsidRPr="00190E23">
          <w:rPr>
            <w:rFonts w:ascii="Calibri" w:hAnsi="Calibri" w:hint="eastAsia"/>
            <w:color w:val="0000FF"/>
            <w:u w:val="single"/>
            <w:rtl/>
          </w:rPr>
          <w:t>ע</w:t>
        </w:r>
        <w:r w:rsidR="00190E23" w:rsidRPr="00190E23">
          <w:rPr>
            <w:rFonts w:ascii="Calibri" w:hAnsi="Calibri"/>
            <w:color w:val="0000FF"/>
            <w:u w:val="single"/>
            <w:rtl/>
          </w:rPr>
          <w:t>"</w:t>
        </w:r>
        <w:r w:rsidR="00190E23" w:rsidRPr="00190E23">
          <w:rPr>
            <w:rFonts w:ascii="Calibri" w:hAnsi="Calibri" w:hint="eastAsia"/>
            <w:color w:val="0000FF"/>
            <w:u w:val="single"/>
            <w:rtl/>
          </w:rPr>
          <w:t>פ</w:t>
        </w:r>
        <w:r w:rsidR="00190E23" w:rsidRPr="00190E23">
          <w:rPr>
            <w:rFonts w:ascii="Calibri" w:hAnsi="Calibri"/>
            <w:color w:val="0000FF"/>
            <w:u w:val="single"/>
            <w:rtl/>
          </w:rPr>
          <w:t xml:space="preserve"> 5812/14</w:t>
        </w:r>
      </w:hyperlink>
      <w:r w:rsidRPr="00AA720B">
        <w:rPr>
          <w:rFonts w:ascii="Calibri" w:hAnsi="Calibri"/>
          <w:rtl/>
        </w:rPr>
        <w:t xml:space="preserve"> </w:t>
      </w:r>
      <w:r w:rsidRPr="00AA720B">
        <w:rPr>
          <w:rFonts w:ascii="Calibri" w:hAnsi="Calibri" w:hint="eastAsia"/>
          <w:b/>
          <w:bCs/>
          <w:rtl/>
        </w:rPr>
        <w:t>אולגה</w:t>
      </w:r>
      <w:r w:rsidRPr="00AA720B">
        <w:rPr>
          <w:rFonts w:ascii="Calibri" w:hAnsi="Calibri"/>
          <w:b/>
          <w:bCs/>
          <w:rtl/>
        </w:rPr>
        <w:t xml:space="preserve"> </w:t>
      </w:r>
      <w:r w:rsidRPr="00AA720B">
        <w:rPr>
          <w:rFonts w:ascii="Calibri" w:hAnsi="Calibri" w:hint="eastAsia"/>
          <w:b/>
          <w:bCs/>
          <w:rtl/>
        </w:rPr>
        <w:t>גורליק</w:t>
      </w:r>
      <w:r w:rsidRPr="00AA720B">
        <w:rPr>
          <w:rFonts w:ascii="Calibri" w:hAnsi="Calibri"/>
          <w:b/>
          <w:bCs/>
          <w:rtl/>
        </w:rPr>
        <w:t xml:space="preserve"> </w:t>
      </w:r>
      <w:r w:rsidRPr="00AA720B">
        <w:rPr>
          <w:rFonts w:ascii="Calibri" w:hAnsi="Calibri" w:hint="eastAsia"/>
          <w:b/>
          <w:bCs/>
          <w:rtl/>
        </w:rPr>
        <w:t>נ</w:t>
      </w:r>
      <w:r w:rsidRPr="00AA720B">
        <w:rPr>
          <w:rFonts w:ascii="Calibri" w:hAnsi="Calibri"/>
          <w:b/>
          <w:bCs/>
          <w:rtl/>
        </w:rPr>
        <w:t xml:space="preserve">' </w:t>
      </w:r>
      <w:r w:rsidRPr="00AA720B">
        <w:rPr>
          <w:rFonts w:ascii="Calibri" w:hAnsi="Calibri" w:hint="eastAsia"/>
          <w:b/>
          <w:bCs/>
          <w:rtl/>
        </w:rPr>
        <w:t>מדינת</w:t>
      </w:r>
      <w:r w:rsidRPr="00AA720B">
        <w:rPr>
          <w:rFonts w:ascii="Calibri" w:hAnsi="Calibri"/>
          <w:b/>
          <w:bCs/>
          <w:rtl/>
        </w:rPr>
        <w:t xml:space="preserve"> </w:t>
      </w:r>
      <w:r w:rsidRPr="00AA720B">
        <w:rPr>
          <w:rFonts w:ascii="Calibri" w:hAnsi="Calibri" w:hint="eastAsia"/>
          <w:b/>
          <w:bCs/>
          <w:rtl/>
        </w:rPr>
        <w:t>ישראל</w:t>
      </w:r>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rtl/>
        </w:rPr>
        <w:t xml:space="preserve">(29.11.2015), </w:t>
      </w:r>
      <w:r w:rsidRPr="00AA720B">
        <w:rPr>
          <w:rFonts w:ascii="Calibri" w:hAnsi="Calibri" w:hint="eastAsia"/>
          <w:rtl/>
        </w:rPr>
        <w:t>המערערת</w:t>
      </w:r>
      <w:r w:rsidRPr="00AA720B">
        <w:rPr>
          <w:rFonts w:ascii="Calibri" w:hAnsi="Calibri"/>
          <w:rtl/>
        </w:rPr>
        <w:t xml:space="preserve"> </w:t>
      </w:r>
      <w:r w:rsidRPr="00AA720B">
        <w:rPr>
          <w:rFonts w:ascii="Calibri" w:hAnsi="Calibri" w:hint="eastAsia"/>
          <w:rtl/>
        </w:rPr>
        <w:t>הורשעה</w:t>
      </w:r>
      <w:r w:rsidRPr="00AA720B">
        <w:rPr>
          <w:rFonts w:ascii="Calibri" w:hAnsi="Calibri"/>
          <w:rtl/>
        </w:rPr>
        <w:t xml:space="preserve"> (</w:t>
      </w:r>
      <w:r w:rsidRPr="00AA720B">
        <w:rPr>
          <w:rFonts w:ascii="Calibri" w:hAnsi="Calibri" w:hint="eastAsia"/>
          <w:rtl/>
        </w:rPr>
        <w:t>בביהמ</w:t>
      </w:r>
      <w:r w:rsidRPr="00AA720B">
        <w:rPr>
          <w:rFonts w:ascii="Calibri" w:hAnsi="Calibri"/>
          <w:rtl/>
        </w:rPr>
        <w:t>"</w:t>
      </w:r>
      <w:r w:rsidRPr="00AA720B">
        <w:rPr>
          <w:rFonts w:ascii="Calibri" w:hAnsi="Calibri" w:hint="eastAsia"/>
          <w:rtl/>
        </w:rPr>
        <w:t>ש</w:t>
      </w:r>
      <w:r w:rsidRPr="00AA720B">
        <w:rPr>
          <w:rFonts w:ascii="Calibri" w:hAnsi="Calibri"/>
          <w:rtl/>
        </w:rPr>
        <w:t xml:space="preserve"> </w:t>
      </w:r>
      <w:r w:rsidRPr="00AA720B">
        <w:rPr>
          <w:rFonts w:ascii="Calibri" w:hAnsi="Calibri" w:hint="eastAsia"/>
          <w:rtl/>
        </w:rPr>
        <w:t>המחוזי</w:t>
      </w:r>
      <w:r w:rsidRPr="00AA720B">
        <w:rPr>
          <w:rFonts w:ascii="Calibri" w:hAnsi="Calibri"/>
          <w:rtl/>
        </w:rPr>
        <w:t xml:space="preserve"> </w:t>
      </w:r>
      <w:r w:rsidRPr="00AA720B">
        <w:rPr>
          <w:rFonts w:ascii="Calibri" w:hAnsi="Calibri" w:hint="eastAsia"/>
          <w:rtl/>
        </w:rPr>
        <w:t>ב</w:t>
      </w:r>
      <w:hyperlink r:id="rId56" w:history="1">
        <w:r w:rsidR="00190E23" w:rsidRPr="00190E23">
          <w:rPr>
            <w:rFonts w:ascii="Calibri" w:hAnsi="Calibri" w:hint="eastAsia"/>
            <w:color w:val="0000FF"/>
            <w:u w:val="single"/>
            <w:rtl/>
          </w:rPr>
          <w:t>פ</w:t>
        </w:r>
        <w:r w:rsidR="00190E23" w:rsidRPr="00190E23">
          <w:rPr>
            <w:rFonts w:ascii="Calibri" w:hAnsi="Calibri"/>
            <w:color w:val="0000FF"/>
            <w:u w:val="single"/>
            <w:rtl/>
          </w:rPr>
          <w:t>"</w:t>
        </w:r>
        <w:r w:rsidR="00190E23" w:rsidRPr="00190E23">
          <w:rPr>
            <w:rFonts w:ascii="Calibri" w:hAnsi="Calibri" w:hint="eastAsia"/>
            <w:color w:val="0000FF"/>
            <w:u w:val="single"/>
            <w:rtl/>
          </w:rPr>
          <w:t>ח</w:t>
        </w:r>
        <w:r w:rsidR="00190E23" w:rsidRPr="00190E23">
          <w:rPr>
            <w:rFonts w:ascii="Calibri" w:hAnsi="Calibri"/>
            <w:color w:val="0000FF"/>
            <w:u w:val="single"/>
            <w:rtl/>
          </w:rPr>
          <w:t xml:space="preserve"> 44738-05-13</w:t>
        </w:r>
      </w:hyperlink>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hint="eastAsia"/>
          <w:rtl/>
        </w:rPr>
        <w:t>במסגרת</w:t>
      </w:r>
      <w:r w:rsidRPr="00AA720B">
        <w:rPr>
          <w:rFonts w:ascii="Calibri" w:hAnsi="Calibri"/>
          <w:rtl/>
        </w:rPr>
        <w:t xml:space="preserve"> </w:t>
      </w:r>
      <w:r w:rsidRPr="00AA720B">
        <w:rPr>
          <w:rFonts w:ascii="Calibri" w:hAnsi="Calibri" w:hint="eastAsia"/>
          <w:rtl/>
        </w:rPr>
        <w:t>הסדר</w:t>
      </w:r>
      <w:r w:rsidRPr="00AA720B">
        <w:rPr>
          <w:rFonts w:ascii="Calibri" w:hAnsi="Calibri"/>
          <w:rtl/>
        </w:rPr>
        <w:t xml:space="preserve"> </w:t>
      </w:r>
      <w:r w:rsidRPr="00AA720B">
        <w:rPr>
          <w:rFonts w:ascii="Calibri" w:hAnsi="Calibri" w:hint="eastAsia"/>
          <w:rtl/>
        </w:rPr>
        <w:t>טיעון</w:t>
      </w:r>
      <w:r w:rsidRPr="00AA720B">
        <w:rPr>
          <w:rFonts w:ascii="Calibri" w:hAnsi="Calibri"/>
          <w:rtl/>
        </w:rPr>
        <w:t xml:space="preserve"> </w:t>
      </w:r>
      <w:r w:rsidRPr="00AA720B">
        <w:rPr>
          <w:rFonts w:ascii="Calibri" w:hAnsi="Calibri" w:hint="eastAsia"/>
          <w:rtl/>
        </w:rPr>
        <w:t>בעבירה</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סיוע</w:t>
      </w:r>
      <w:r w:rsidRPr="00AA720B">
        <w:rPr>
          <w:rFonts w:ascii="Calibri" w:hAnsi="Calibri"/>
          <w:rtl/>
        </w:rPr>
        <w:t xml:space="preserve"> </w:t>
      </w:r>
      <w:r w:rsidRPr="00AA720B">
        <w:rPr>
          <w:rFonts w:ascii="Calibri" w:hAnsi="Calibri" w:hint="eastAsia"/>
          <w:rtl/>
        </w:rPr>
        <w:t>לרצח</w:t>
      </w:r>
      <w:r w:rsidRPr="00AA720B">
        <w:rPr>
          <w:rFonts w:ascii="Calibri" w:hAnsi="Calibri"/>
          <w:rtl/>
        </w:rPr>
        <w:t xml:space="preserve"> </w:t>
      </w:r>
      <w:r w:rsidRPr="00AA720B">
        <w:rPr>
          <w:rFonts w:ascii="Calibri" w:hAnsi="Calibri" w:hint="eastAsia"/>
          <w:rtl/>
        </w:rPr>
        <w:t>בכך</w:t>
      </w:r>
      <w:r w:rsidRPr="00AA720B">
        <w:rPr>
          <w:rFonts w:ascii="Calibri" w:hAnsi="Calibri"/>
          <w:rtl/>
        </w:rPr>
        <w:t xml:space="preserve"> </w:t>
      </w:r>
      <w:r w:rsidRPr="00AA720B">
        <w:rPr>
          <w:rFonts w:ascii="Calibri" w:hAnsi="Calibri" w:hint="eastAsia"/>
          <w:rtl/>
        </w:rPr>
        <w:t>שסייעה</w:t>
      </w:r>
      <w:r w:rsidRPr="00AA720B">
        <w:rPr>
          <w:rFonts w:ascii="Calibri" w:hAnsi="Calibri"/>
          <w:rtl/>
        </w:rPr>
        <w:t xml:space="preserve"> </w:t>
      </w:r>
      <w:r w:rsidRPr="00AA720B">
        <w:rPr>
          <w:rFonts w:ascii="Calibri" w:hAnsi="Calibri" w:hint="eastAsia"/>
          <w:rtl/>
        </w:rPr>
        <w:t>לבן</w:t>
      </w:r>
      <w:r w:rsidRPr="00AA720B">
        <w:rPr>
          <w:rFonts w:ascii="Calibri" w:hAnsi="Calibri"/>
          <w:rtl/>
        </w:rPr>
        <w:t xml:space="preserve"> </w:t>
      </w:r>
      <w:r w:rsidRPr="00AA720B">
        <w:rPr>
          <w:rFonts w:ascii="Calibri" w:hAnsi="Calibri" w:hint="eastAsia"/>
          <w:rtl/>
        </w:rPr>
        <w:t>זוגה</w:t>
      </w:r>
      <w:r w:rsidRPr="00AA720B">
        <w:rPr>
          <w:rFonts w:ascii="Calibri" w:hAnsi="Calibri"/>
          <w:rtl/>
        </w:rPr>
        <w:t xml:space="preserve"> </w:t>
      </w:r>
      <w:r w:rsidRPr="00AA720B">
        <w:rPr>
          <w:rFonts w:ascii="Calibri" w:hAnsi="Calibri" w:hint="eastAsia"/>
          <w:rtl/>
        </w:rPr>
        <w:t>ברצח</w:t>
      </w:r>
      <w:r w:rsidRPr="00AA720B">
        <w:rPr>
          <w:rFonts w:ascii="Calibri" w:hAnsi="Calibri"/>
          <w:rtl/>
        </w:rPr>
        <w:t xml:space="preserve">. </w:t>
      </w:r>
      <w:r w:rsidRPr="00AA720B">
        <w:rPr>
          <w:rFonts w:ascii="Calibri" w:hAnsi="Calibri" w:hint="eastAsia"/>
          <w:rtl/>
        </w:rPr>
        <w:t>המערערת</w:t>
      </w:r>
      <w:r w:rsidRPr="00AA720B">
        <w:rPr>
          <w:rFonts w:ascii="Calibri" w:hAnsi="Calibri"/>
          <w:rtl/>
        </w:rPr>
        <w:t xml:space="preserve"> </w:t>
      </w:r>
      <w:r w:rsidRPr="00AA720B">
        <w:rPr>
          <w:rFonts w:ascii="Calibri" w:hAnsi="Calibri" w:hint="eastAsia"/>
          <w:rtl/>
        </w:rPr>
        <w:t>ידעה</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החלטתו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בן</w:t>
      </w:r>
      <w:r w:rsidRPr="00AA720B">
        <w:rPr>
          <w:rFonts w:ascii="Calibri" w:hAnsi="Calibri"/>
          <w:rtl/>
        </w:rPr>
        <w:t xml:space="preserve"> </w:t>
      </w:r>
      <w:r w:rsidRPr="00AA720B">
        <w:rPr>
          <w:rFonts w:ascii="Calibri" w:hAnsi="Calibri" w:hint="eastAsia"/>
          <w:rtl/>
        </w:rPr>
        <w:t>זוגה</w:t>
      </w:r>
      <w:r w:rsidRPr="00AA720B">
        <w:rPr>
          <w:rFonts w:ascii="Calibri" w:hAnsi="Calibri"/>
          <w:rtl/>
        </w:rPr>
        <w:t xml:space="preserve"> </w:t>
      </w:r>
      <w:r w:rsidRPr="00AA720B">
        <w:rPr>
          <w:rFonts w:ascii="Calibri" w:hAnsi="Calibri" w:hint="eastAsia"/>
          <w:rtl/>
        </w:rPr>
        <w:t>להרוג</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המנוח</w:t>
      </w:r>
      <w:r w:rsidRPr="00AA720B">
        <w:rPr>
          <w:rFonts w:ascii="Calibri" w:hAnsi="Calibri"/>
          <w:rtl/>
        </w:rPr>
        <w:t xml:space="preserve"> </w:t>
      </w:r>
      <w:r w:rsidRPr="00AA720B">
        <w:rPr>
          <w:rFonts w:ascii="Calibri" w:hAnsi="Calibri" w:hint="eastAsia"/>
          <w:rtl/>
        </w:rPr>
        <w:t>והסכימה</w:t>
      </w:r>
      <w:r w:rsidRPr="00AA720B">
        <w:rPr>
          <w:rFonts w:ascii="Calibri" w:hAnsi="Calibri"/>
          <w:rtl/>
        </w:rPr>
        <w:t xml:space="preserve"> </w:t>
      </w:r>
      <w:r w:rsidRPr="00AA720B">
        <w:rPr>
          <w:rFonts w:ascii="Calibri" w:hAnsi="Calibri" w:hint="eastAsia"/>
          <w:rtl/>
        </w:rPr>
        <w:t>לסייע</w:t>
      </w:r>
      <w:r w:rsidRPr="00AA720B">
        <w:rPr>
          <w:rFonts w:ascii="Calibri" w:hAnsi="Calibri"/>
          <w:rtl/>
        </w:rPr>
        <w:t xml:space="preserve"> </w:t>
      </w:r>
      <w:r w:rsidRPr="00AA720B">
        <w:rPr>
          <w:rFonts w:ascii="Calibri" w:hAnsi="Calibri" w:hint="eastAsia"/>
          <w:rtl/>
        </w:rPr>
        <w:t>לו</w:t>
      </w:r>
      <w:r w:rsidRPr="00AA720B">
        <w:rPr>
          <w:rFonts w:ascii="Calibri" w:hAnsi="Calibri"/>
          <w:rtl/>
        </w:rPr>
        <w:t xml:space="preserve"> </w:t>
      </w:r>
      <w:r w:rsidRPr="00AA720B">
        <w:rPr>
          <w:rFonts w:ascii="Calibri" w:hAnsi="Calibri" w:hint="eastAsia"/>
          <w:rtl/>
        </w:rPr>
        <w:t>בכך</w:t>
      </w:r>
      <w:r w:rsidRPr="00AA720B">
        <w:rPr>
          <w:rFonts w:ascii="Calibri" w:hAnsi="Calibri"/>
          <w:rtl/>
        </w:rPr>
        <w:t xml:space="preserve">. </w:t>
      </w:r>
      <w:r w:rsidRPr="00AA720B">
        <w:rPr>
          <w:rFonts w:ascii="Calibri" w:hAnsi="Calibri" w:hint="eastAsia"/>
          <w:rtl/>
        </w:rPr>
        <w:t>המערערת</w:t>
      </w:r>
      <w:r w:rsidRPr="00AA720B">
        <w:rPr>
          <w:rFonts w:ascii="Calibri" w:hAnsi="Calibri"/>
          <w:rtl/>
        </w:rPr>
        <w:t xml:space="preserve"> </w:t>
      </w:r>
      <w:r w:rsidRPr="00AA720B">
        <w:rPr>
          <w:rFonts w:ascii="Calibri" w:hAnsi="Calibri" w:hint="eastAsia"/>
          <w:rtl/>
        </w:rPr>
        <w:t>הייתה</w:t>
      </w:r>
      <w:r w:rsidRPr="00AA720B">
        <w:rPr>
          <w:rFonts w:ascii="Calibri" w:hAnsi="Calibri"/>
          <w:rtl/>
        </w:rPr>
        <w:t xml:space="preserve"> </w:t>
      </w:r>
      <w:r w:rsidRPr="00AA720B">
        <w:rPr>
          <w:rFonts w:ascii="Calibri" w:hAnsi="Calibri" w:hint="eastAsia"/>
          <w:rtl/>
        </w:rPr>
        <w:t>שותפה</w:t>
      </w:r>
      <w:r w:rsidRPr="00AA720B">
        <w:rPr>
          <w:rFonts w:ascii="Calibri" w:hAnsi="Calibri"/>
          <w:rtl/>
        </w:rPr>
        <w:t xml:space="preserve"> </w:t>
      </w:r>
      <w:r w:rsidRPr="00AA720B">
        <w:rPr>
          <w:rFonts w:ascii="Calibri" w:hAnsi="Calibri" w:hint="eastAsia"/>
          <w:rtl/>
        </w:rPr>
        <w:t>לתכנון</w:t>
      </w:r>
      <w:r w:rsidRPr="00AA720B">
        <w:rPr>
          <w:rFonts w:ascii="Calibri" w:hAnsi="Calibri"/>
          <w:rtl/>
        </w:rPr>
        <w:t xml:space="preserve"> </w:t>
      </w:r>
      <w:r w:rsidRPr="00AA720B">
        <w:rPr>
          <w:rFonts w:ascii="Calibri" w:hAnsi="Calibri" w:hint="eastAsia"/>
          <w:rtl/>
        </w:rPr>
        <w:t>הרצח</w:t>
      </w:r>
      <w:r w:rsidRPr="00AA720B">
        <w:rPr>
          <w:rFonts w:ascii="Calibri" w:hAnsi="Calibri"/>
          <w:rtl/>
        </w:rPr>
        <w:t xml:space="preserve"> </w:t>
      </w:r>
      <w:r w:rsidRPr="00AA720B">
        <w:rPr>
          <w:rFonts w:ascii="Calibri" w:hAnsi="Calibri" w:hint="eastAsia"/>
          <w:rtl/>
        </w:rPr>
        <w:t>ולתכנון</w:t>
      </w:r>
      <w:r w:rsidRPr="00AA720B">
        <w:rPr>
          <w:rFonts w:ascii="Calibri" w:hAnsi="Calibri"/>
          <w:rtl/>
        </w:rPr>
        <w:t xml:space="preserve"> </w:t>
      </w:r>
      <w:r w:rsidRPr="00AA720B">
        <w:rPr>
          <w:rFonts w:ascii="Calibri" w:hAnsi="Calibri" w:hint="eastAsia"/>
          <w:rtl/>
        </w:rPr>
        <w:t>כיצד</w:t>
      </w:r>
      <w:r w:rsidRPr="00AA720B">
        <w:rPr>
          <w:rFonts w:ascii="Calibri" w:hAnsi="Calibri"/>
          <w:rtl/>
        </w:rPr>
        <w:t xml:space="preserve"> </w:t>
      </w:r>
      <w:r w:rsidRPr="00AA720B">
        <w:rPr>
          <w:rFonts w:ascii="Calibri" w:hAnsi="Calibri" w:hint="eastAsia"/>
          <w:rtl/>
        </w:rPr>
        <w:t>להתמודד</w:t>
      </w:r>
      <w:r w:rsidRPr="00AA720B">
        <w:rPr>
          <w:rFonts w:ascii="Calibri" w:hAnsi="Calibri"/>
          <w:rtl/>
        </w:rPr>
        <w:t xml:space="preserve"> </w:t>
      </w:r>
      <w:r w:rsidRPr="00AA720B">
        <w:rPr>
          <w:rFonts w:ascii="Calibri" w:hAnsi="Calibri" w:hint="eastAsia"/>
          <w:rtl/>
        </w:rPr>
        <w:t>עם</w:t>
      </w:r>
      <w:r w:rsidRPr="00AA720B">
        <w:rPr>
          <w:rFonts w:ascii="Calibri" w:hAnsi="Calibri"/>
          <w:rtl/>
        </w:rPr>
        <w:t xml:space="preserve"> </w:t>
      </w:r>
      <w:r w:rsidRPr="00AA720B">
        <w:rPr>
          <w:rFonts w:ascii="Calibri" w:hAnsi="Calibri" w:hint="eastAsia"/>
          <w:rtl/>
        </w:rPr>
        <w:t>חקירת</w:t>
      </w:r>
      <w:r w:rsidRPr="00AA720B">
        <w:rPr>
          <w:rFonts w:ascii="Calibri" w:hAnsi="Calibri"/>
          <w:rtl/>
        </w:rPr>
        <w:t xml:space="preserve"> </w:t>
      </w:r>
      <w:r w:rsidRPr="00AA720B">
        <w:rPr>
          <w:rFonts w:ascii="Calibri" w:hAnsi="Calibri" w:hint="eastAsia"/>
          <w:rtl/>
        </w:rPr>
        <w:t>המשטרה</w:t>
      </w:r>
      <w:r w:rsidRPr="00AA720B">
        <w:rPr>
          <w:rFonts w:ascii="Calibri" w:hAnsi="Calibri"/>
          <w:rtl/>
        </w:rPr>
        <w:t xml:space="preserve">. </w:t>
      </w:r>
      <w:r w:rsidRPr="00AA720B">
        <w:rPr>
          <w:rFonts w:ascii="Calibri" w:hAnsi="Calibri" w:hint="eastAsia"/>
          <w:rtl/>
        </w:rPr>
        <w:t>המערערת</w:t>
      </w:r>
      <w:r w:rsidRPr="00AA720B">
        <w:rPr>
          <w:rFonts w:ascii="Calibri" w:hAnsi="Calibri"/>
          <w:rtl/>
        </w:rPr>
        <w:t xml:space="preserve"> </w:t>
      </w:r>
      <w:r w:rsidRPr="00AA720B">
        <w:rPr>
          <w:rFonts w:ascii="Calibri" w:hAnsi="Calibri" w:hint="eastAsia"/>
          <w:rtl/>
        </w:rPr>
        <w:t>ובן</w:t>
      </w:r>
      <w:r w:rsidRPr="00AA720B">
        <w:rPr>
          <w:rFonts w:ascii="Calibri" w:hAnsi="Calibri"/>
          <w:rtl/>
        </w:rPr>
        <w:t xml:space="preserve"> </w:t>
      </w:r>
      <w:r w:rsidRPr="00AA720B">
        <w:rPr>
          <w:rFonts w:ascii="Calibri" w:hAnsi="Calibri" w:hint="eastAsia"/>
          <w:rtl/>
        </w:rPr>
        <w:t>זוגה</w:t>
      </w:r>
      <w:r w:rsidRPr="00AA720B">
        <w:rPr>
          <w:rFonts w:ascii="Calibri" w:hAnsi="Calibri"/>
          <w:rtl/>
        </w:rPr>
        <w:t xml:space="preserve"> </w:t>
      </w:r>
      <w:r w:rsidRPr="00AA720B">
        <w:rPr>
          <w:rFonts w:ascii="Calibri" w:hAnsi="Calibri" w:hint="eastAsia"/>
          <w:rtl/>
        </w:rPr>
        <w:t>רכשו</w:t>
      </w:r>
      <w:r w:rsidRPr="00AA720B">
        <w:rPr>
          <w:rFonts w:ascii="Calibri" w:hAnsi="Calibri"/>
          <w:rtl/>
        </w:rPr>
        <w:t xml:space="preserve"> </w:t>
      </w:r>
      <w:r w:rsidRPr="00AA720B">
        <w:rPr>
          <w:rFonts w:ascii="Calibri" w:hAnsi="Calibri" w:hint="eastAsia"/>
          <w:rtl/>
        </w:rPr>
        <w:t>יחד</w:t>
      </w:r>
      <w:r w:rsidRPr="00AA720B">
        <w:rPr>
          <w:rFonts w:ascii="Calibri" w:hAnsi="Calibri"/>
          <w:rtl/>
        </w:rPr>
        <w:t xml:space="preserve"> </w:t>
      </w:r>
      <w:r w:rsidRPr="00AA720B">
        <w:rPr>
          <w:rFonts w:ascii="Calibri" w:hAnsi="Calibri" w:hint="eastAsia"/>
          <w:rtl/>
        </w:rPr>
        <w:t>חומר</w:t>
      </w:r>
      <w:r w:rsidRPr="00AA720B">
        <w:rPr>
          <w:rFonts w:ascii="Calibri" w:hAnsi="Calibri"/>
          <w:rtl/>
        </w:rPr>
        <w:t xml:space="preserve"> </w:t>
      </w:r>
      <w:r w:rsidRPr="00AA720B">
        <w:rPr>
          <w:rFonts w:ascii="Calibri" w:hAnsi="Calibri" w:hint="eastAsia"/>
          <w:rtl/>
        </w:rPr>
        <w:t>להמסת</w:t>
      </w:r>
      <w:r w:rsidRPr="00AA720B">
        <w:rPr>
          <w:rFonts w:ascii="Calibri" w:hAnsi="Calibri"/>
          <w:rtl/>
        </w:rPr>
        <w:t xml:space="preserve"> </w:t>
      </w:r>
      <w:r w:rsidRPr="00AA720B">
        <w:rPr>
          <w:rFonts w:ascii="Calibri" w:hAnsi="Calibri" w:hint="eastAsia"/>
          <w:rtl/>
        </w:rPr>
        <w:t>הגופה</w:t>
      </w:r>
      <w:r w:rsidRPr="00AA720B">
        <w:rPr>
          <w:rFonts w:ascii="Calibri" w:hAnsi="Calibri"/>
          <w:rtl/>
        </w:rPr>
        <w:t xml:space="preserve"> </w:t>
      </w:r>
      <w:r w:rsidRPr="00AA720B">
        <w:rPr>
          <w:rFonts w:ascii="Calibri" w:hAnsi="Calibri" w:hint="eastAsia"/>
          <w:rtl/>
        </w:rPr>
        <w:t>לאחר</w:t>
      </w:r>
      <w:r w:rsidRPr="00AA720B">
        <w:rPr>
          <w:rFonts w:ascii="Calibri" w:hAnsi="Calibri"/>
          <w:rtl/>
        </w:rPr>
        <w:t xml:space="preserve"> </w:t>
      </w:r>
      <w:r w:rsidRPr="00AA720B">
        <w:rPr>
          <w:rFonts w:ascii="Calibri" w:hAnsi="Calibri" w:hint="eastAsia"/>
          <w:rtl/>
        </w:rPr>
        <w:t>הרצח</w:t>
      </w:r>
      <w:r w:rsidR="00BB50D1" w:rsidRPr="00AA720B">
        <w:rPr>
          <w:rFonts w:ascii="Calibri" w:hAnsi="Calibri" w:hint="cs"/>
          <w:rtl/>
        </w:rPr>
        <w:t>, והיא</w:t>
      </w:r>
      <w:r w:rsidRPr="00AA720B">
        <w:rPr>
          <w:rFonts w:ascii="Calibri" w:hAnsi="Calibri"/>
          <w:rtl/>
        </w:rPr>
        <w:t xml:space="preserve"> </w:t>
      </w:r>
      <w:r w:rsidRPr="00AA720B">
        <w:rPr>
          <w:rFonts w:ascii="Calibri" w:hAnsi="Calibri" w:hint="eastAsia"/>
          <w:rtl/>
        </w:rPr>
        <w:t>אף</w:t>
      </w:r>
      <w:r w:rsidRPr="00AA720B">
        <w:rPr>
          <w:rFonts w:ascii="Calibri" w:hAnsi="Calibri"/>
          <w:rtl/>
        </w:rPr>
        <w:t xml:space="preserve"> </w:t>
      </w:r>
      <w:r w:rsidRPr="00AA720B">
        <w:rPr>
          <w:rFonts w:ascii="Calibri" w:hAnsi="Calibri" w:hint="eastAsia"/>
          <w:rtl/>
        </w:rPr>
        <w:t>ייעצה</w:t>
      </w:r>
      <w:r w:rsidRPr="00AA720B">
        <w:rPr>
          <w:rFonts w:ascii="Calibri" w:hAnsi="Calibri"/>
          <w:rtl/>
        </w:rPr>
        <w:t xml:space="preserve"> </w:t>
      </w:r>
      <w:r w:rsidRPr="00AA720B">
        <w:rPr>
          <w:rFonts w:ascii="Calibri" w:hAnsi="Calibri" w:hint="eastAsia"/>
          <w:rtl/>
        </w:rPr>
        <w:t>לבן</w:t>
      </w:r>
      <w:r w:rsidRPr="00AA720B">
        <w:rPr>
          <w:rFonts w:ascii="Calibri" w:hAnsi="Calibri"/>
          <w:rtl/>
        </w:rPr>
        <w:t xml:space="preserve"> </w:t>
      </w:r>
      <w:r w:rsidRPr="00AA720B">
        <w:rPr>
          <w:rFonts w:ascii="Calibri" w:hAnsi="Calibri" w:hint="eastAsia"/>
          <w:rtl/>
        </w:rPr>
        <w:t>זוגה</w:t>
      </w:r>
      <w:r w:rsidRPr="00AA720B">
        <w:rPr>
          <w:rFonts w:ascii="Calibri" w:hAnsi="Calibri"/>
          <w:rtl/>
        </w:rPr>
        <w:t xml:space="preserve"> </w:t>
      </w:r>
      <w:r w:rsidRPr="00AA720B">
        <w:rPr>
          <w:rFonts w:ascii="Calibri" w:hAnsi="Calibri" w:hint="eastAsia"/>
          <w:rtl/>
        </w:rPr>
        <w:t>מתי</w:t>
      </w:r>
      <w:r w:rsidRPr="00AA720B">
        <w:rPr>
          <w:rFonts w:ascii="Calibri" w:hAnsi="Calibri"/>
          <w:rtl/>
        </w:rPr>
        <w:t xml:space="preserve"> </w:t>
      </w:r>
      <w:r w:rsidRPr="00AA720B">
        <w:rPr>
          <w:rFonts w:ascii="Calibri" w:hAnsi="Calibri" w:hint="eastAsia"/>
          <w:rtl/>
        </w:rPr>
        <w:t>להגיע</w:t>
      </w:r>
      <w:r w:rsidRPr="00AA720B">
        <w:rPr>
          <w:rFonts w:ascii="Calibri" w:hAnsi="Calibri"/>
          <w:rtl/>
        </w:rPr>
        <w:t xml:space="preserve"> </w:t>
      </w:r>
      <w:r w:rsidRPr="00AA720B">
        <w:rPr>
          <w:rFonts w:ascii="Calibri" w:hAnsi="Calibri" w:hint="eastAsia"/>
          <w:rtl/>
        </w:rPr>
        <w:t>לדירה</w:t>
      </w:r>
      <w:r w:rsidRPr="00AA720B">
        <w:rPr>
          <w:rFonts w:ascii="Calibri" w:hAnsi="Calibri"/>
          <w:rtl/>
        </w:rPr>
        <w:t xml:space="preserve"> </w:t>
      </w:r>
      <w:r w:rsidRPr="00AA720B">
        <w:rPr>
          <w:rFonts w:ascii="Calibri" w:hAnsi="Calibri" w:hint="eastAsia"/>
          <w:rtl/>
        </w:rPr>
        <w:t>בה</w:t>
      </w:r>
      <w:r w:rsidRPr="00AA720B">
        <w:rPr>
          <w:rFonts w:ascii="Calibri" w:hAnsi="Calibri"/>
          <w:rtl/>
        </w:rPr>
        <w:t xml:space="preserve"> </w:t>
      </w:r>
      <w:r w:rsidRPr="00AA720B">
        <w:rPr>
          <w:rFonts w:ascii="Calibri" w:hAnsi="Calibri" w:hint="eastAsia"/>
          <w:rtl/>
        </w:rPr>
        <w:t>רצח</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המנוח</w:t>
      </w:r>
      <w:r w:rsidR="00BB50D1" w:rsidRPr="00AA720B">
        <w:rPr>
          <w:rFonts w:ascii="Calibri" w:hAnsi="Calibri" w:hint="cs"/>
          <w:rtl/>
        </w:rPr>
        <w:t>,</w:t>
      </w:r>
      <w:r w:rsidRPr="00AA720B">
        <w:rPr>
          <w:rFonts w:ascii="Calibri" w:hAnsi="Calibri"/>
          <w:rtl/>
        </w:rPr>
        <w:t xml:space="preserve"> </w:t>
      </w:r>
      <w:r w:rsidR="00BB50D1" w:rsidRPr="00AA720B">
        <w:rPr>
          <w:rFonts w:ascii="Calibri" w:hAnsi="Calibri" w:hint="cs"/>
          <w:rtl/>
        </w:rPr>
        <w:t>ו</w:t>
      </w:r>
      <w:r w:rsidRPr="00AA720B">
        <w:rPr>
          <w:rFonts w:ascii="Calibri" w:hAnsi="Calibri" w:hint="eastAsia"/>
          <w:rtl/>
        </w:rPr>
        <w:t>לאחר</w:t>
      </w:r>
      <w:r w:rsidRPr="00AA720B">
        <w:rPr>
          <w:rFonts w:ascii="Calibri" w:hAnsi="Calibri"/>
          <w:rtl/>
        </w:rPr>
        <w:t xml:space="preserve"> </w:t>
      </w:r>
      <w:r w:rsidRPr="00AA720B">
        <w:rPr>
          <w:rFonts w:ascii="Calibri" w:hAnsi="Calibri" w:hint="eastAsia"/>
          <w:rtl/>
        </w:rPr>
        <w:t>הרצח</w:t>
      </w:r>
      <w:r w:rsidRPr="00AA720B">
        <w:rPr>
          <w:rFonts w:ascii="Calibri" w:hAnsi="Calibri"/>
          <w:rtl/>
        </w:rPr>
        <w:t xml:space="preserve"> </w:t>
      </w:r>
      <w:r w:rsidRPr="00AA720B">
        <w:rPr>
          <w:rFonts w:ascii="Calibri" w:hAnsi="Calibri" w:hint="eastAsia"/>
          <w:rtl/>
        </w:rPr>
        <w:t>סייעה</w:t>
      </w:r>
      <w:r w:rsidRPr="00AA720B">
        <w:rPr>
          <w:rFonts w:ascii="Calibri" w:hAnsi="Calibri"/>
          <w:rtl/>
        </w:rPr>
        <w:t xml:space="preserve"> </w:t>
      </w:r>
      <w:r w:rsidRPr="00AA720B">
        <w:rPr>
          <w:rFonts w:ascii="Calibri" w:hAnsi="Calibri" w:hint="eastAsia"/>
          <w:rtl/>
        </w:rPr>
        <w:t>להיפטר</w:t>
      </w:r>
      <w:r w:rsidRPr="00AA720B">
        <w:rPr>
          <w:rFonts w:ascii="Calibri" w:hAnsi="Calibri"/>
          <w:rtl/>
        </w:rPr>
        <w:t xml:space="preserve"> </w:t>
      </w:r>
      <w:r w:rsidRPr="00AA720B">
        <w:rPr>
          <w:rFonts w:ascii="Calibri" w:hAnsi="Calibri" w:hint="eastAsia"/>
          <w:rtl/>
        </w:rPr>
        <w:t>מהגופה</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המחוזי</w:t>
      </w:r>
      <w:r w:rsidRPr="00AA720B">
        <w:rPr>
          <w:rFonts w:ascii="Calibri" w:hAnsi="Calibri"/>
          <w:rtl/>
        </w:rPr>
        <w:t xml:space="preserve"> </w:t>
      </w:r>
      <w:r w:rsidRPr="00AA720B">
        <w:rPr>
          <w:rFonts w:ascii="Calibri" w:hAnsi="Calibri" w:hint="eastAsia"/>
          <w:rtl/>
        </w:rPr>
        <w:t>קבע</w:t>
      </w:r>
      <w:r w:rsidRPr="00AA720B">
        <w:rPr>
          <w:rFonts w:ascii="Calibri" w:hAnsi="Calibri"/>
          <w:rtl/>
        </w:rPr>
        <w:t xml:space="preserve"> </w:t>
      </w:r>
      <w:r w:rsidRPr="00AA720B">
        <w:rPr>
          <w:rFonts w:ascii="Calibri" w:hAnsi="Calibri" w:hint="eastAsia"/>
          <w:rtl/>
        </w:rPr>
        <w:t>מתחם</w:t>
      </w:r>
      <w:r w:rsidRPr="00AA720B">
        <w:rPr>
          <w:rFonts w:ascii="Calibri" w:hAnsi="Calibri"/>
          <w:rtl/>
        </w:rPr>
        <w:t xml:space="preserve"> </w:t>
      </w:r>
      <w:r w:rsidRPr="00AA720B">
        <w:rPr>
          <w:rFonts w:ascii="Calibri" w:hAnsi="Calibri" w:hint="eastAsia"/>
          <w:rtl/>
        </w:rPr>
        <w:t>שבין</w:t>
      </w:r>
      <w:r w:rsidRPr="00AA720B">
        <w:rPr>
          <w:rFonts w:ascii="Calibri" w:hAnsi="Calibri"/>
          <w:rtl/>
        </w:rPr>
        <w:t xml:space="preserve"> 12 </w:t>
      </w:r>
      <w:r w:rsidRPr="00AA720B">
        <w:rPr>
          <w:rFonts w:ascii="Calibri" w:hAnsi="Calibri" w:hint="eastAsia"/>
          <w:rtl/>
        </w:rPr>
        <w:t>ל</w:t>
      </w:r>
      <w:r w:rsidRPr="00AA720B">
        <w:rPr>
          <w:rFonts w:ascii="Calibri" w:hAnsi="Calibri"/>
          <w:rtl/>
        </w:rPr>
        <w:t xml:space="preserve">-16 </w:t>
      </w:r>
      <w:r w:rsidRPr="00AA720B">
        <w:rPr>
          <w:rFonts w:ascii="Calibri" w:hAnsi="Calibri" w:hint="eastAsia"/>
          <w:rtl/>
        </w:rPr>
        <w:t>שנים</w:t>
      </w:r>
      <w:r w:rsidRPr="00AA720B">
        <w:rPr>
          <w:rFonts w:ascii="Calibri" w:hAnsi="Calibri"/>
          <w:rtl/>
        </w:rPr>
        <w:t xml:space="preserve"> </w:t>
      </w:r>
      <w:r w:rsidRPr="00AA720B">
        <w:rPr>
          <w:rFonts w:ascii="Calibri" w:hAnsi="Calibri" w:hint="eastAsia"/>
          <w:rtl/>
        </w:rPr>
        <w:t>וגזר</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המערערת</w:t>
      </w:r>
      <w:r w:rsidRPr="00AA720B">
        <w:rPr>
          <w:rFonts w:ascii="Calibri" w:hAnsi="Calibri"/>
          <w:rtl/>
        </w:rPr>
        <w:t xml:space="preserve"> </w:t>
      </w:r>
      <w:r w:rsidRPr="00AA720B">
        <w:rPr>
          <w:rFonts w:ascii="Calibri" w:hAnsi="Calibri" w:hint="eastAsia"/>
          <w:rtl/>
        </w:rPr>
        <w:t>עונש</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15 </w:t>
      </w:r>
      <w:r w:rsidRPr="00AA720B">
        <w:rPr>
          <w:rFonts w:ascii="Calibri" w:hAnsi="Calibri" w:hint="eastAsia"/>
          <w:rtl/>
        </w:rPr>
        <w:t>שנות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ובית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הותיר</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העונש</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כנו</w:t>
      </w:r>
      <w:r w:rsidRPr="00AA720B">
        <w:rPr>
          <w:rFonts w:ascii="Calibri" w:hAnsi="Calibri"/>
          <w:rtl/>
        </w:rPr>
        <w:t xml:space="preserve">. </w:t>
      </w:r>
      <w:r w:rsidRPr="00AA720B">
        <w:rPr>
          <w:rFonts w:ascii="Calibri" w:hAnsi="Calibri" w:hint="eastAsia"/>
          <w:rtl/>
        </w:rPr>
        <w:t>אכן</w:t>
      </w:r>
      <w:r w:rsidRPr="00AA720B">
        <w:rPr>
          <w:rFonts w:ascii="Calibri" w:hAnsi="Calibri"/>
          <w:rtl/>
        </w:rPr>
        <w:t xml:space="preserve"> </w:t>
      </w:r>
      <w:r w:rsidRPr="00AA720B">
        <w:rPr>
          <w:rFonts w:ascii="Calibri" w:hAnsi="Calibri" w:hint="eastAsia"/>
          <w:rtl/>
        </w:rPr>
        <w:t>שם</w:t>
      </w:r>
      <w:r w:rsidRPr="00AA720B">
        <w:rPr>
          <w:rFonts w:ascii="Calibri" w:hAnsi="Calibri"/>
          <w:rtl/>
        </w:rPr>
        <w:t xml:space="preserve"> </w:t>
      </w:r>
      <w:r w:rsidRPr="00AA720B">
        <w:rPr>
          <w:rFonts w:ascii="Calibri" w:hAnsi="Calibri" w:hint="eastAsia"/>
          <w:rtl/>
        </w:rPr>
        <w:t>המדובר</w:t>
      </w:r>
      <w:r w:rsidRPr="00AA720B">
        <w:rPr>
          <w:rFonts w:ascii="Calibri" w:hAnsi="Calibri"/>
          <w:rtl/>
        </w:rPr>
        <w:t xml:space="preserve"> </w:t>
      </w:r>
      <w:r w:rsidRPr="00AA720B">
        <w:rPr>
          <w:rFonts w:ascii="Calibri" w:hAnsi="Calibri" w:hint="eastAsia"/>
          <w:rtl/>
        </w:rPr>
        <w:t>במי</w:t>
      </w:r>
      <w:r w:rsidRPr="00AA720B">
        <w:rPr>
          <w:rFonts w:ascii="Calibri" w:hAnsi="Calibri"/>
          <w:rtl/>
        </w:rPr>
        <w:t xml:space="preserve"> </w:t>
      </w:r>
      <w:r w:rsidRPr="00AA720B">
        <w:rPr>
          <w:rFonts w:ascii="Calibri" w:hAnsi="Calibri" w:hint="eastAsia"/>
          <w:rtl/>
        </w:rPr>
        <w:t>שהייתה</w:t>
      </w:r>
      <w:r w:rsidRPr="00AA720B">
        <w:rPr>
          <w:rFonts w:ascii="Calibri" w:hAnsi="Calibri"/>
          <w:rtl/>
        </w:rPr>
        <w:t xml:space="preserve"> </w:t>
      </w:r>
      <w:r w:rsidRPr="00AA720B">
        <w:rPr>
          <w:rFonts w:ascii="Calibri" w:hAnsi="Calibri" w:hint="eastAsia"/>
          <w:rtl/>
        </w:rPr>
        <w:t>שותפה</w:t>
      </w:r>
      <w:r w:rsidRPr="00AA720B">
        <w:rPr>
          <w:rFonts w:ascii="Calibri" w:hAnsi="Calibri"/>
          <w:rtl/>
        </w:rPr>
        <w:t xml:space="preserve"> </w:t>
      </w:r>
      <w:r w:rsidRPr="00AA720B">
        <w:rPr>
          <w:rFonts w:ascii="Calibri" w:hAnsi="Calibri" w:hint="eastAsia"/>
          <w:rtl/>
        </w:rPr>
        <w:t>לתכנון</w:t>
      </w:r>
      <w:r w:rsidRPr="00AA720B">
        <w:rPr>
          <w:rFonts w:ascii="Calibri" w:hAnsi="Calibri"/>
          <w:rtl/>
        </w:rPr>
        <w:t xml:space="preserve"> </w:t>
      </w:r>
      <w:r w:rsidRPr="00AA720B">
        <w:rPr>
          <w:rFonts w:ascii="Calibri" w:hAnsi="Calibri" w:hint="eastAsia"/>
          <w:rtl/>
        </w:rPr>
        <w:t>הרצח</w:t>
      </w:r>
      <w:r w:rsidRPr="00AA720B">
        <w:rPr>
          <w:rFonts w:ascii="Calibri" w:hAnsi="Calibri"/>
          <w:rtl/>
        </w:rPr>
        <w:t xml:space="preserve"> </w:t>
      </w:r>
      <w:r w:rsidRPr="00AA720B">
        <w:rPr>
          <w:rFonts w:ascii="Calibri" w:hAnsi="Calibri" w:hint="eastAsia"/>
          <w:rtl/>
        </w:rPr>
        <w:t>באופן</w:t>
      </w:r>
      <w:r w:rsidRPr="00AA720B">
        <w:rPr>
          <w:rFonts w:ascii="Calibri" w:hAnsi="Calibri"/>
          <w:rtl/>
        </w:rPr>
        <w:t xml:space="preserve"> </w:t>
      </w:r>
      <w:r w:rsidRPr="00AA720B">
        <w:rPr>
          <w:rFonts w:ascii="Calibri" w:hAnsi="Calibri" w:hint="eastAsia"/>
          <w:rtl/>
        </w:rPr>
        <w:t>פרטני</w:t>
      </w:r>
      <w:r w:rsidRPr="00AA720B">
        <w:rPr>
          <w:rFonts w:ascii="Calibri" w:hAnsi="Calibri"/>
          <w:rtl/>
        </w:rPr>
        <w:t xml:space="preserve">. </w:t>
      </w:r>
      <w:r w:rsidRPr="00AA720B">
        <w:rPr>
          <w:rFonts w:ascii="Calibri" w:hAnsi="Calibri" w:hint="eastAsia"/>
          <w:rtl/>
        </w:rPr>
        <w:t>עם</w:t>
      </w:r>
      <w:r w:rsidRPr="00AA720B">
        <w:rPr>
          <w:rFonts w:ascii="Calibri" w:hAnsi="Calibri"/>
          <w:rtl/>
        </w:rPr>
        <w:t xml:space="preserve"> </w:t>
      </w:r>
      <w:r w:rsidRPr="00AA720B">
        <w:rPr>
          <w:rFonts w:ascii="Calibri" w:hAnsi="Calibri" w:hint="eastAsia"/>
          <w:rtl/>
        </w:rPr>
        <w:t>זאת</w:t>
      </w:r>
      <w:r w:rsidRPr="00AA720B">
        <w:rPr>
          <w:rFonts w:ascii="Calibri" w:hAnsi="Calibri"/>
          <w:rtl/>
        </w:rPr>
        <w:t xml:space="preserve">, </w:t>
      </w:r>
      <w:r w:rsidRPr="00AA720B">
        <w:rPr>
          <w:rFonts w:ascii="Calibri" w:hAnsi="Calibri" w:hint="eastAsia"/>
          <w:rtl/>
        </w:rPr>
        <w:t>במקרה</w:t>
      </w:r>
      <w:r w:rsidRPr="00AA720B">
        <w:rPr>
          <w:rFonts w:ascii="Calibri" w:hAnsi="Calibri"/>
          <w:rtl/>
        </w:rPr>
        <w:t xml:space="preserve"> </w:t>
      </w:r>
      <w:r w:rsidRPr="00AA720B">
        <w:rPr>
          <w:rFonts w:ascii="Calibri" w:hAnsi="Calibri" w:hint="eastAsia"/>
          <w:rtl/>
        </w:rPr>
        <w:t>שלנו</w:t>
      </w:r>
      <w:r w:rsidRPr="00AA720B">
        <w:rPr>
          <w:rFonts w:ascii="Calibri" w:hAnsi="Calibri"/>
          <w:rtl/>
        </w:rPr>
        <w:t xml:space="preserve">, </w:t>
      </w:r>
      <w:r w:rsidRPr="00AA720B">
        <w:rPr>
          <w:rFonts w:ascii="Calibri" w:hAnsi="Calibri" w:hint="eastAsia"/>
          <w:rtl/>
        </w:rPr>
        <w:t>לצד</w:t>
      </w:r>
      <w:r w:rsidRPr="00AA720B">
        <w:rPr>
          <w:rFonts w:ascii="Calibri" w:hAnsi="Calibri"/>
          <w:rtl/>
        </w:rPr>
        <w:t xml:space="preserve"> </w:t>
      </w:r>
      <w:r w:rsidRPr="00AA720B">
        <w:rPr>
          <w:rFonts w:ascii="Calibri" w:hAnsi="Calibri" w:hint="eastAsia"/>
          <w:rtl/>
        </w:rPr>
        <w:t>החומרה</w:t>
      </w:r>
      <w:r w:rsidRPr="00AA720B">
        <w:rPr>
          <w:rFonts w:ascii="Calibri" w:hAnsi="Calibri"/>
          <w:rtl/>
        </w:rPr>
        <w:t xml:space="preserve">, </w:t>
      </w:r>
      <w:r w:rsidRPr="00AA720B">
        <w:rPr>
          <w:rFonts w:ascii="Calibri" w:hAnsi="Calibri" w:hint="eastAsia"/>
          <w:rtl/>
        </w:rPr>
        <w:t>מדובר</w:t>
      </w:r>
      <w:r w:rsidRPr="00AA720B">
        <w:rPr>
          <w:rFonts w:ascii="Calibri" w:hAnsi="Calibri"/>
          <w:rtl/>
        </w:rPr>
        <w:t xml:space="preserve"> </w:t>
      </w:r>
      <w:r w:rsidRPr="00AA720B">
        <w:rPr>
          <w:rFonts w:ascii="Calibri" w:hAnsi="Calibri" w:hint="eastAsia"/>
          <w:rtl/>
        </w:rPr>
        <w:t>במי</w:t>
      </w:r>
      <w:r w:rsidRPr="00AA720B">
        <w:rPr>
          <w:rFonts w:ascii="Calibri" w:hAnsi="Calibri"/>
          <w:rtl/>
        </w:rPr>
        <w:t xml:space="preserve"> </w:t>
      </w:r>
      <w:r w:rsidRPr="00AA720B">
        <w:rPr>
          <w:rFonts w:ascii="Calibri" w:hAnsi="Calibri" w:hint="eastAsia"/>
          <w:rtl/>
        </w:rPr>
        <w:t>שסיפק</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האמצעי</w:t>
      </w:r>
      <w:r w:rsidRPr="00AA720B">
        <w:rPr>
          <w:rFonts w:ascii="Calibri" w:hAnsi="Calibri"/>
          <w:rtl/>
        </w:rPr>
        <w:t xml:space="preserve"> </w:t>
      </w:r>
      <w:r w:rsidRPr="00AA720B">
        <w:rPr>
          <w:rFonts w:ascii="Calibri" w:hAnsi="Calibri" w:hint="eastAsia"/>
          <w:rtl/>
        </w:rPr>
        <w:t>לביצוע</w:t>
      </w:r>
      <w:r w:rsidRPr="00AA720B">
        <w:rPr>
          <w:rFonts w:ascii="Calibri" w:hAnsi="Calibri"/>
          <w:rtl/>
        </w:rPr>
        <w:t xml:space="preserve"> </w:t>
      </w:r>
      <w:r w:rsidRPr="00AA720B">
        <w:rPr>
          <w:rFonts w:ascii="Calibri" w:hAnsi="Calibri" w:hint="eastAsia"/>
          <w:rtl/>
        </w:rPr>
        <w:t>הרצח</w:t>
      </w:r>
      <w:r w:rsidRPr="00AA720B">
        <w:rPr>
          <w:rFonts w:ascii="Calibri" w:hAnsi="Calibri"/>
          <w:rtl/>
        </w:rPr>
        <w:t xml:space="preserve"> </w:t>
      </w:r>
      <w:r w:rsidRPr="00AA720B">
        <w:rPr>
          <w:rFonts w:ascii="Calibri" w:hAnsi="Calibri" w:hint="eastAsia"/>
          <w:rtl/>
        </w:rPr>
        <w:t>ונסיונות</w:t>
      </w:r>
      <w:r w:rsidRPr="00AA720B">
        <w:rPr>
          <w:rFonts w:ascii="Calibri" w:hAnsi="Calibri"/>
          <w:rtl/>
        </w:rPr>
        <w:t xml:space="preserve"> </w:t>
      </w:r>
      <w:r w:rsidRPr="00AA720B">
        <w:rPr>
          <w:rFonts w:ascii="Calibri" w:hAnsi="Calibri" w:hint="eastAsia"/>
          <w:rtl/>
        </w:rPr>
        <w:t>הרצח</w:t>
      </w:r>
      <w:r w:rsidRPr="00AA720B">
        <w:rPr>
          <w:rFonts w:ascii="Calibri" w:hAnsi="Calibri"/>
          <w:rtl/>
        </w:rPr>
        <w:t xml:space="preserve"> </w:t>
      </w:r>
      <w:r w:rsidR="00BB50D1" w:rsidRPr="00AA720B">
        <w:rPr>
          <w:rFonts w:ascii="Calibri" w:hAnsi="Calibri" w:hint="cs"/>
          <w:rtl/>
        </w:rPr>
        <w:t xml:space="preserve"> - אמצעי ש</w:t>
      </w:r>
      <w:r w:rsidRPr="00AA720B">
        <w:rPr>
          <w:rFonts w:ascii="Calibri" w:hAnsi="Calibri" w:hint="eastAsia"/>
          <w:rtl/>
        </w:rPr>
        <w:t>בלעדיו</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היה</w:t>
      </w:r>
      <w:r w:rsidRPr="00AA720B">
        <w:rPr>
          <w:rFonts w:ascii="Calibri" w:hAnsi="Calibri"/>
          <w:rtl/>
        </w:rPr>
        <w:t xml:space="preserve"> </w:t>
      </w:r>
      <w:r w:rsidRPr="00AA720B">
        <w:rPr>
          <w:rFonts w:ascii="Calibri" w:hAnsi="Calibri" w:hint="eastAsia"/>
          <w:rtl/>
        </w:rPr>
        <w:t>ניתן</w:t>
      </w:r>
      <w:r w:rsidRPr="00AA720B">
        <w:rPr>
          <w:rFonts w:ascii="Calibri" w:hAnsi="Calibri"/>
          <w:rtl/>
        </w:rPr>
        <w:t xml:space="preserve"> </w:t>
      </w:r>
      <w:r w:rsidRPr="00AA720B">
        <w:rPr>
          <w:rFonts w:ascii="Calibri" w:hAnsi="Calibri" w:hint="eastAsia"/>
          <w:rtl/>
        </w:rPr>
        <w:t>להוציא</w:t>
      </w:r>
      <w:r w:rsidRPr="00AA720B">
        <w:rPr>
          <w:rFonts w:ascii="Calibri" w:hAnsi="Calibri"/>
          <w:rtl/>
        </w:rPr>
        <w:t xml:space="preserve"> </w:t>
      </w:r>
      <w:r w:rsidR="00BB50D1" w:rsidRPr="00AA720B">
        <w:rPr>
          <w:rFonts w:ascii="Calibri" w:hAnsi="Calibri" w:hint="cs"/>
          <w:rtl/>
        </w:rPr>
        <w:t>את אותו פיגוע פלילי מהכוח</w:t>
      </w:r>
      <w:r w:rsidRPr="00AA720B">
        <w:rPr>
          <w:rFonts w:ascii="Calibri" w:hAnsi="Calibri"/>
          <w:rtl/>
        </w:rPr>
        <w:t xml:space="preserve"> </w:t>
      </w:r>
      <w:r w:rsidRPr="00AA720B">
        <w:rPr>
          <w:rFonts w:ascii="Calibri" w:hAnsi="Calibri" w:hint="eastAsia"/>
          <w:rtl/>
        </w:rPr>
        <w:t>אל</w:t>
      </w:r>
      <w:r w:rsidRPr="00AA720B">
        <w:rPr>
          <w:rFonts w:ascii="Calibri" w:hAnsi="Calibri"/>
          <w:rtl/>
        </w:rPr>
        <w:t xml:space="preserve"> </w:t>
      </w:r>
      <w:r w:rsidRPr="00AA720B">
        <w:rPr>
          <w:rFonts w:ascii="Calibri" w:hAnsi="Calibri" w:hint="eastAsia"/>
          <w:rtl/>
        </w:rPr>
        <w:t>הפועל</w:t>
      </w:r>
      <w:r w:rsidRPr="00AA720B">
        <w:rPr>
          <w:rFonts w:ascii="Calibri" w:hAnsi="Calibri"/>
          <w:rtl/>
        </w:rPr>
        <w:t xml:space="preserve">. </w:t>
      </w:r>
      <w:r w:rsidRPr="00AA720B">
        <w:rPr>
          <w:rFonts w:ascii="Calibri" w:hAnsi="Calibri" w:hint="eastAsia"/>
          <w:rtl/>
        </w:rPr>
        <w:t>כמו</w:t>
      </w:r>
      <w:r w:rsidRPr="00AA720B">
        <w:rPr>
          <w:rFonts w:ascii="Calibri" w:hAnsi="Calibri"/>
          <w:rtl/>
        </w:rPr>
        <w:t xml:space="preserve"> </w:t>
      </w:r>
      <w:r w:rsidRPr="00AA720B">
        <w:rPr>
          <w:rFonts w:ascii="Calibri" w:hAnsi="Calibri" w:hint="eastAsia"/>
          <w:rtl/>
        </w:rPr>
        <w:t>כן</w:t>
      </w:r>
      <w:r w:rsidRPr="00AA720B">
        <w:rPr>
          <w:rFonts w:ascii="Calibri" w:hAnsi="Calibri"/>
          <w:rtl/>
        </w:rPr>
        <w:t xml:space="preserve">  </w:t>
      </w:r>
      <w:r w:rsidRPr="00AA720B">
        <w:rPr>
          <w:rFonts w:ascii="Calibri" w:hAnsi="Calibri" w:hint="eastAsia"/>
          <w:rtl/>
        </w:rPr>
        <w:t>שם</w:t>
      </w:r>
      <w:r w:rsidRPr="00AA720B">
        <w:rPr>
          <w:rFonts w:ascii="Calibri" w:hAnsi="Calibri"/>
          <w:rtl/>
        </w:rPr>
        <w:t xml:space="preserve"> </w:t>
      </w:r>
      <w:r w:rsidRPr="00AA720B">
        <w:rPr>
          <w:rFonts w:ascii="Calibri" w:hAnsi="Calibri" w:hint="eastAsia"/>
          <w:rtl/>
        </w:rPr>
        <w:t>דובר</w:t>
      </w:r>
      <w:r w:rsidRPr="00AA720B">
        <w:rPr>
          <w:rFonts w:ascii="Calibri" w:hAnsi="Calibri"/>
          <w:rtl/>
        </w:rPr>
        <w:t xml:space="preserve"> </w:t>
      </w:r>
      <w:r w:rsidRPr="00AA720B">
        <w:rPr>
          <w:rFonts w:ascii="Calibri" w:hAnsi="Calibri" w:hint="eastAsia"/>
          <w:rtl/>
        </w:rPr>
        <w:t>במי</w:t>
      </w:r>
      <w:r w:rsidRPr="00AA720B">
        <w:rPr>
          <w:rFonts w:ascii="Calibri" w:hAnsi="Calibri"/>
          <w:rtl/>
        </w:rPr>
        <w:t xml:space="preserve"> </w:t>
      </w:r>
      <w:r w:rsidRPr="00AA720B">
        <w:rPr>
          <w:rFonts w:ascii="Calibri" w:hAnsi="Calibri" w:hint="eastAsia"/>
          <w:rtl/>
        </w:rPr>
        <w:t>שהודתה</w:t>
      </w:r>
      <w:r w:rsidRPr="00AA720B">
        <w:rPr>
          <w:rFonts w:ascii="Calibri" w:hAnsi="Calibri"/>
          <w:rtl/>
        </w:rPr>
        <w:t xml:space="preserve"> </w:t>
      </w:r>
      <w:r w:rsidRPr="00AA720B">
        <w:rPr>
          <w:rFonts w:ascii="Calibri" w:hAnsi="Calibri" w:hint="eastAsia"/>
          <w:rtl/>
        </w:rPr>
        <w:t>במסגרת</w:t>
      </w:r>
      <w:r w:rsidRPr="00AA720B">
        <w:rPr>
          <w:rFonts w:ascii="Calibri" w:hAnsi="Calibri"/>
          <w:rtl/>
        </w:rPr>
        <w:t xml:space="preserve"> </w:t>
      </w:r>
      <w:r w:rsidRPr="00AA720B">
        <w:rPr>
          <w:rFonts w:ascii="Calibri" w:hAnsi="Calibri" w:hint="eastAsia"/>
          <w:rtl/>
        </w:rPr>
        <w:t>הסדר</w:t>
      </w:r>
      <w:r w:rsidRPr="00AA720B">
        <w:rPr>
          <w:rFonts w:ascii="Calibri" w:hAnsi="Calibri"/>
          <w:rtl/>
        </w:rPr>
        <w:t xml:space="preserve"> </w:t>
      </w:r>
      <w:r w:rsidRPr="00AA720B">
        <w:rPr>
          <w:rFonts w:ascii="Calibri" w:hAnsi="Calibri" w:hint="eastAsia"/>
          <w:rtl/>
        </w:rPr>
        <w:t>טיעון</w:t>
      </w:r>
      <w:r w:rsidRPr="00AA720B">
        <w:rPr>
          <w:rFonts w:ascii="Calibri" w:hAnsi="Calibri"/>
          <w:rtl/>
        </w:rPr>
        <w:t xml:space="preserve"> </w:t>
      </w:r>
      <w:r w:rsidRPr="00AA720B">
        <w:rPr>
          <w:rFonts w:ascii="Calibri" w:hAnsi="Calibri" w:hint="eastAsia"/>
          <w:rtl/>
        </w:rPr>
        <w:t>והיא</w:t>
      </w:r>
      <w:r w:rsidRPr="00AA720B">
        <w:rPr>
          <w:rFonts w:ascii="Calibri" w:hAnsi="Calibri"/>
          <w:rtl/>
        </w:rPr>
        <w:t xml:space="preserve"> </w:t>
      </w:r>
      <w:r w:rsidRPr="00AA720B">
        <w:rPr>
          <w:rFonts w:ascii="Calibri" w:hAnsi="Calibri" w:hint="eastAsia"/>
          <w:rtl/>
        </w:rPr>
        <w:t>נעדרת</w:t>
      </w:r>
      <w:r w:rsidRPr="00AA720B">
        <w:rPr>
          <w:rFonts w:ascii="Calibri" w:hAnsi="Calibri"/>
          <w:rtl/>
        </w:rPr>
        <w:t xml:space="preserve"> </w:t>
      </w:r>
      <w:r w:rsidRPr="00AA720B">
        <w:rPr>
          <w:rFonts w:ascii="Calibri" w:hAnsi="Calibri" w:hint="eastAsia"/>
          <w:rtl/>
        </w:rPr>
        <w:t>כל</w:t>
      </w:r>
      <w:r w:rsidRPr="00AA720B">
        <w:rPr>
          <w:rFonts w:ascii="Calibri" w:hAnsi="Calibri"/>
          <w:rtl/>
        </w:rPr>
        <w:t xml:space="preserve"> </w:t>
      </w:r>
      <w:r w:rsidRPr="00AA720B">
        <w:rPr>
          <w:rFonts w:ascii="Calibri" w:hAnsi="Calibri" w:hint="eastAsia"/>
          <w:rtl/>
        </w:rPr>
        <w:t>עבר</w:t>
      </w:r>
      <w:r w:rsidRPr="00AA720B">
        <w:rPr>
          <w:rFonts w:ascii="Calibri" w:hAnsi="Calibri"/>
          <w:rtl/>
        </w:rPr>
        <w:t xml:space="preserve"> </w:t>
      </w:r>
      <w:r w:rsidRPr="00AA720B">
        <w:rPr>
          <w:rFonts w:ascii="Calibri" w:hAnsi="Calibri" w:hint="eastAsia"/>
          <w:rtl/>
        </w:rPr>
        <w:t>פלילי</w:t>
      </w:r>
      <w:r w:rsidRPr="00AA720B">
        <w:rPr>
          <w:rFonts w:ascii="Calibri" w:hAnsi="Calibri"/>
          <w:rtl/>
        </w:rPr>
        <w:t xml:space="preserve">, </w:t>
      </w:r>
      <w:r w:rsidRPr="00AA720B">
        <w:rPr>
          <w:rFonts w:ascii="Calibri" w:hAnsi="Calibri" w:hint="eastAsia"/>
          <w:rtl/>
        </w:rPr>
        <w:t>ולאחר</w:t>
      </w:r>
      <w:r w:rsidRPr="00AA720B">
        <w:rPr>
          <w:rFonts w:ascii="Calibri" w:hAnsi="Calibri"/>
          <w:rtl/>
        </w:rPr>
        <w:t xml:space="preserve"> </w:t>
      </w:r>
      <w:r w:rsidRPr="00AA720B">
        <w:rPr>
          <w:rFonts w:ascii="Calibri" w:hAnsi="Calibri" w:hint="eastAsia"/>
          <w:rtl/>
        </w:rPr>
        <w:t>שקילת</w:t>
      </w:r>
      <w:r w:rsidRPr="00AA720B">
        <w:rPr>
          <w:rFonts w:ascii="Calibri" w:hAnsi="Calibri"/>
          <w:rtl/>
        </w:rPr>
        <w:t xml:space="preserve"> </w:t>
      </w:r>
      <w:r w:rsidRPr="00AA720B">
        <w:rPr>
          <w:rFonts w:ascii="Calibri" w:hAnsi="Calibri" w:hint="eastAsia"/>
          <w:rtl/>
        </w:rPr>
        <w:t>כל</w:t>
      </w:r>
      <w:r w:rsidRPr="00AA720B">
        <w:rPr>
          <w:rFonts w:ascii="Calibri" w:hAnsi="Calibri"/>
          <w:rtl/>
        </w:rPr>
        <w:t xml:space="preserve"> </w:t>
      </w:r>
      <w:r w:rsidRPr="00AA720B">
        <w:rPr>
          <w:rFonts w:ascii="Calibri" w:hAnsi="Calibri" w:hint="eastAsia"/>
          <w:rtl/>
        </w:rPr>
        <w:t>אלו</w:t>
      </w:r>
      <w:r w:rsidRPr="00AA720B">
        <w:rPr>
          <w:rFonts w:ascii="Calibri" w:hAnsi="Calibri"/>
          <w:rtl/>
        </w:rPr>
        <w:t xml:space="preserve"> </w:t>
      </w:r>
      <w:r w:rsidRPr="00AA720B">
        <w:rPr>
          <w:rFonts w:ascii="Calibri" w:hAnsi="Calibri" w:hint="eastAsia"/>
          <w:rtl/>
        </w:rPr>
        <w:t>הוטלו</w:t>
      </w:r>
      <w:r w:rsidRPr="00AA720B">
        <w:rPr>
          <w:rFonts w:ascii="Calibri" w:hAnsi="Calibri"/>
          <w:rtl/>
        </w:rPr>
        <w:t xml:space="preserve"> </w:t>
      </w:r>
      <w:r w:rsidRPr="00AA720B">
        <w:rPr>
          <w:rFonts w:ascii="Calibri" w:hAnsi="Calibri" w:hint="eastAsia"/>
          <w:rtl/>
        </w:rPr>
        <w:t>עליה</w:t>
      </w:r>
      <w:r w:rsidRPr="00AA720B">
        <w:rPr>
          <w:rFonts w:ascii="Calibri" w:hAnsi="Calibri"/>
          <w:rtl/>
        </w:rPr>
        <w:t xml:space="preserve"> 15 </w:t>
      </w:r>
      <w:r w:rsidRPr="00AA720B">
        <w:rPr>
          <w:rFonts w:ascii="Calibri" w:hAnsi="Calibri" w:hint="eastAsia"/>
          <w:rtl/>
        </w:rPr>
        <w:t>שנות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בפועל</w:t>
      </w:r>
      <w:r w:rsidRPr="00AA720B">
        <w:rPr>
          <w:rFonts w:ascii="Calibri" w:hAnsi="Calibri"/>
          <w:rtl/>
        </w:rPr>
        <w:t xml:space="preserve">, </w:t>
      </w:r>
      <w:r w:rsidRPr="00AA720B">
        <w:rPr>
          <w:rFonts w:ascii="Calibri" w:hAnsi="Calibri" w:hint="eastAsia"/>
          <w:rtl/>
        </w:rPr>
        <w:t>ואילו</w:t>
      </w:r>
      <w:r w:rsidRPr="00AA720B">
        <w:rPr>
          <w:rFonts w:ascii="Calibri" w:hAnsi="Calibri"/>
          <w:rtl/>
        </w:rPr>
        <w:t xml:space="preserve"> </w:t>
      </w:r>
      <w:r w:rsidRPr="00AA720B">
        <w:rPr>
          <w:rFonts w:ascii="Calibri" w:hAnsi="Calibri" w:hint="eastAsia"/>
          <w:rtl/>
        </w:rPr>
        <w:t>כאן</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הודה</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נטל</w:t>
      </w:r>
      <w:r w:rsidRPr="00AA720B">
        <w:rPr>
          <w:rFonts w:ascii="Calibri" w:hAnsi="Calibri"/>
          <w:rtl/>
        </w:rPr>
        <w:t xml:space="preserve"> </w:t>
      </w:r>
      <w:r w:rsidRPr="00AA720B">
        <w:rPr>
          <w:rFonts w:ascii="Calibri" w:hAnsi="Calibri" w:hint="eastAsia"/>
          <w:rtl/>
        </w:rPr>
        <w:t>כל</w:t>
      </w:r>
      <w:r w:rsidRPr="00AA720B">
        <w:rPr>
          <w:rFonts w:ascii="Calibri" w:hAnsi="Calibri"/>
          <w:rtl/>
        </w:rPr>
        <w:t xml:space="preserve"> </w:t>
      </w:r>
      <w:r w:rsidRPr="00AA720B">
        <w:rPr>
          <w:rFonts w:ascii="Calibri" w:hAnsi="Calibri" w:hint="eastAsia"/>
          <w:rtl/>
        </w:rPr>
        <w:t>אחריות</w:t>
      </w:r>
      <w:r w:rsidRPr="00AA720B">
        <w:rPr>
          <w:rFonts w:ascii="Calibri" w:hAnsi="Calibri"/>
          <w:rtl/>
        </w:rPr>
        <w:t xml:space="preserve">, </w:t>
      </w:r>
      <w:r w:rsidRPr="00AA720B">
        <w:rPr>
          <w:rFonts w:ascii="Calibri" w:hAnsi="Calibri" w:hint="eastAsia"/>
          <w:rtl/>
        </w:rPr>
        <w:t>והוא</w:t>
      </w:r>
      <w:r w:rsidRPr="00AA720B">
        <w:rPr>
          <w:rFonts w:ascii="Calibri" w:hAnsi="Calibri"/>
          <w:rtl/>
        </w:rPr>
        <w:t xml:space="preserve"> </w:t>
      </w:r>
      <w:r w:rsidRPr="00AA720B">
        <w:rPr>
          <w:rFonts w:ascii="Calibri" w:hAnsi="Calibri" w:hint="eastAsia"/>
          <w:rtl/>
        </w:rPr>
        <w:t>בעל</w:t>
      </w:r>
      <w:r w:rsidRPr="00AA720B">
        <w:rPr>
          <w:rFonts w:ascii="Calibri" w:hAnsi="Calibri"/>
          <w:rtl/>
        </w:rPr>
        <w:t xml:space="preserve"> </w:t>
      </w:r>
      <w:r w:rsidRPr="00AA720B">
        <w:rPr>
          <w:rFonts w:ascii="Calibri" w:hAnsi="Calibri" w:hint="eastAsia"/>
          <w:rtl/>
        </w:rPr>
        <w:t>עבר</w:t>
      </w:r>
      <w:r w:rsidRPr="00AA720B">
        <w:rPr>
          <w:rFonts w:ascii="Calibri" w:hAnsi="Calibri"/>
          <w:rtl/>
        </w:rPr>
        <w:t xml:space="preserve"> </w:t>
      </w:r>
      <w:r w:rsidRPr="00AA720B">
        <w:rPr>
          <w:rFonts w:ascii="Calibri" w:hAnsi="Calibri" w:hint="eastAsia"/>
          <w:rtl/>
        </w:rPr>
        <w:t>פלילי</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מבוטל</w:t>
      </w:r>
      <w:r w:rsidRPr="00AA720B">
        <w:rPr>
          <w:rFonts w:ascii="Calibri" w:hAnsi="Calibri"/>
          <w:rtl/>
        </w:rPr>
        <w:t xml:space="preserve">, </w:t>
      </w:r>
      <w:r w:rsidRPr="00AA720B">
        <w:rPr>
          <w:rFonts w:ascii="Calibri" w:hAnsi="Calibri" w:hint="eastAsia"/>
          <w:rtl/>
        </w:rPr>
        <w:t>ועוד</w:t>
      </w:r>
      <w:r w:rsidRPr="00AA720B">
        <w:rPr>
          <w:rFonts w:ascii="Calibri" w:hAnsi="Calibri"/>
          <w:rtl/>
        </w:rPr>
        <w:t xml:space="preserve"> </w:t>
      </w:r>
      <w:r w:rsidRPr="00AA720B">
        <w:rPr>
          <w:rFonts w:ascii="Calibri" w:hAnsi="Calibri" w:hint="eastAsia"/>
          <w:rtl/>
        </w:rPr>
        <w:t>בעבירות</w:t>
      </w:r>
      <w:r w:rsidRPr="00AA720B">
        <w:rPr>
          <w:rFonts w:ascii="Calibri" w:hAnsi="Calibri"/>
          <w:rtl/>
        </w:rPr>
        <w:t xml:space="preserve"> </w:t>
      </w:r>
      <w:r w:rsidRPr="00AA720B">
        <w:rPr>
          <w:rFonts w:ascii="Calibri" w:hAnsi="Calibri" w:hint="eastAsia"/>
          <w:rtl/>
        </w:rPr>
        <w:t>דומות</w:t>
      </w:r>
      <w:r w:rsidRPr="00AA720B">
        <w:rPr>
          <w:rFonts w:ascii="Calibri" w:hAnsi="Calibri"/>
          <w:rtl/>
        </w:rPr>
        <w:t xml:space="preserve"> </w:t>
      </w:r>
      <w:r w:rsidRPr="00AA720B">
        <w:rPr>
          <w:rFonts w:ascii="Calibri" w:hAnsi="Calibri" w:hint="eastAsia"/>
          <w:rtl/>
        </w:rPr>
        <w:t>הקשורות</w:t>
      </w:r>
      <w:r w:rsidRPr="00AA720B">
        <w:rPr>
          <w:rFonts w:ascii="Calibri" w:hAnsi="Calibri"/>
          <w:rtl/>
        </w:rPr>
        <w:t xml:space="preserve"> </w:t>
      </w:r>
      <w:r w:rsidRPr="00AA720B">
        <w:rPr>
          <w:rFonts w:ascii="Calibri" w:hAnsi="Calibri" w:hint="eastAsia"/>
          <w:rtl/>
        </w:rPr>
        <w:t>בנשק</w:t>
      </w:r>
      <w:r w:rsidRPr="00AA720B">
        <w:rPr>
          <w:rFonts w:ascii="Calibri" w:hAnsi="Calibri"/>
          <w:rtl/>
        </w:rPr>
        <w:t xml:space="preserve">. </w:t>
      </w:r>
    </w:p>
    <w:p w14:paraId="4784F812" w14:textId="77777777" w:rsidR="0037227B" w:rsidRPr="00AA720B" w:rsidRDefault="0037227B" w:rsidP="006D2178">
      <w:pPr>
        <w:widowControl w:val="0"/>
        <w:spacing w:before="240" w:after="240" w:line="360" w:lineRule="auto"/>
        <w:jc w:val="both"/>
        <w:rPr>
          <w:rFonts w:ascii="Calibri" w:hAnsi="Calibri"/>
          <w:rtl/>
        </w:rPr>
      </w:pPr>
      <w:r w:rsidRPr="00AA720B">
        <w:rPr>
          <w:rFonts w:ascii="Calibri" w:hAnsi="Calibri" w:hint="eastAsia"/>
          <w:rtl/>
        </w:rPr>
        <w:t>כפי</w:t>
      </w:r>
      <w:r w:rsidRPr="00AA720B">
        <w:rPr>
          <w:rFonts w:ascii="Calibri" w:hAnsi="Calibri"/>
          <w:rtl/>
        </w:rPr>
        <w:t xml:space="preserve"> </w:t>
      </w:r>
      <w:r w:rsidRPr="00AA720B">
        <w:rPr>
          <w:rFonts w:ascii="Calibri" w:hAnsi="Calibri" w:hint="eastAsia"/>
          <w:rtl/>
        </w:rPr>
        <w:t>שציינו</w:t>
      </w:r>
      <w:r w:rsidRPr="00AA720B">
        <w:rPr>
          <w:rFonts w:ascii="Calibri" w:hAnsi="Calibri"/>
          <w:rtl/>
        </w:rPr>
        <w:t xml:space="preserve"> </w:t>
      </w:r>
      <w:r w:rsidRPr="00AA720B">
        <w:rPr>
          <w:rFonts w:ascii="Calibri" w:hAnsi="Calibri" w:hint="eastAsia"/>
          <w:rtl/>
        </w:rPr>
        <w:t>לעיל</w:t>
      </w:r>
      <w:r w:rsidRPr="00AA720B">
        <w:rPr>
          <w:rFonts w:ascii="Calibri" w:hAnsi="Calibri"/>
          <w:rtl/>
        </w:rPr>
        <w:t xml:space="preserve">, </w:t>
      </w:r>
      <w:r w:rsidRPr="00AA720B">
        <w:rPr>
          <w:rFonts w:ascii="Calibri" w:hAnsi="Calibri" w:hint="eastAsia"/>
          <w:rtl/>
        </w:rPr>
        <w:t>קיים</w:t>
      </w:r>
      <w:r w:rsidRPr="00AA720B">
        <w:rPr>
          <w:rFonts w:ascii="Calibri" w:hAnsi="Calibri"/>
          <w:rtl/>
        </w:rPr>
        <w:t xml:space="preserve"> </w:t>
      </w:r>
      <w:r w:rsidRPr="00AA720B">
        <w:rPr>
          <w:rFonts w:ascii="Calibri" w:hAnsi="Calibri" w:hint="eastAsia"/>
          <w:rtl/>
        </w:rPr>
        <w:t>מנעד</w:t>
      </w:r>
      <w:r w:rsidRPr="00AA720B">
        <w:rPr>
          <w:rFonts w:ascii="Calibri" w:hAnsi="Calibri"/>
          <w:rtl/>
        </w:rPr>
        <w:t xml:space="preserve"> </w:t>
      </w:r>
      <w:r w:rsidRPr="00AA720B">
        <w:rPr>
          <w:rFonts w:ascii="Calibri" w:hAnsi="Calibri" w:hint="eastAsia"/>
          <w:rtl/>
        </w:rPr>
        <w:t>רחב</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ענישה</w:t>
      </w:r>
      <w:r w:rsidRPr="00AA720B">
        <w:rPr>
          <w:rFonts w:ascii="Calibri" w:hAnsi="Calibri"/>
          <w:rtl/>
        </w:rPr>
        <w:t xml:space="preserve"> </w:t>
      </w:r>
      <w:r w:rsidRPr="00AA720B">
        <w:rPr>
          <w:rFonts w:ascii="Calibri" w:hAnsi="Calibri" w:hint="eastAsia"/>
          <w:rtl/>
        </w:rPr>
        <w:t>בעבירת</w:t>
      </w:r>
      <w:r w:rsidRPr="00AA720B">
        <w:rPr>
          <w:rFonts w:ascii="Calibri" w:hAnsi="Calibri"/>
          <w:rtl/>
        </w:rPr>
        <w:t xml:space="preserve"> </w:t>
      </w:r>
      <w:r w:rsidRPr="00AA720B">
        <w:rPr>
          <w:rFonts w:ascii="Calibri" w:hAnsi="Calibri" w:hint="eastAsia"/>
          <w:rtl/>
        </w:rPr>
        <w:t>הסיוע</w:t>
      </w:r>
      <w:r w:rsidRPr="00AA720B">
        <w:rPr>
          <w:rFonts w:ascii="Calibri" w:hAnsi="Calibri"/>
          <w:rtl/>
        </w:rPr>
        <w:t xml:space="preserve"> </w:t>
      </w:r>
      <w:r w:rsidRPr="00AA720B">
        <w:rPr>
          <w:rFonts w:ascii="Calibri" w:hAnsi="Calibri" w:hint="eastAsia"/>
          <w:rtl/>
        </w:rPr>
        <w:t>לרצח</w:t>
      </w:r>
      <w:r w:rsidRPr="00AA720B">
        <w:rPr>
          <w:rFonts w:ascii="Calibri" w:hAnsi="Calibri"/>
          <w:rtl/>
        </w:rPr>
        <w:t xml:space="preserve"> </w:t>
      </w:r>
      <w:r w:rsidRPr="00AA720B">
        <w:rPr>
          <w:rFonts w:ascii="Calibri" w:hAnsi="Calibri" w:hint="eastAsia"/>
          <w:rtl/>
        </w:rPr>
        <w:t>וזאת</w:t>
      </w:r>
      <w:r w:rsidRPr="00AA720B">
        <w:rPr>
          <w:rFonts w:ascii="Calibri" w:hAnsi="Calibri"/>
          <w:rtl/>
        </w:rPr>
        <w:t xml:space="preserve"> </w:t>
      </w:r>
      <w:r w:rsidRPr="00AA720B">
        <w:rPr>
          <w:rFonts w:ascii="Calibri" w:hAnsi="Calibri" w:hint="eastAsia"/>
          <w:rtl/>
        </w:rPr>
        <w:t>בהתאם</w:t>
      </w:r>
      <w:r w:rsidRPr="00AA720B">
        <w:rPr>
          <w:rFonts w:ascii="Calibri" w:hAnsi="Calibri"/>
          <w:rtl/>
        </w:rPr>
        <w:t xml:space="preserve"> </w:t>
      </w:r>
      <w:r w:rsidRPr="00AA720B">
        <w:rPr>
          <w:rFonts w:ascii="Calibri" w:hAnsi="Calibri" w:hint="eastAsia"/>
          <w:rtl/>
        </w:rPr>
        <w:t>לחלקו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המסייע</w:t>
      </w:r>
      <w:r w:rsidRPr="00AA720B">
        <w:rPr>
          <w:rFonts w:ascii="Calibri" w:hAnsi="Calibri"/>
          <w:rtl/>
        </w:rPr>
        <w:t xml:space="preserve"> </w:t>
      </w:r>
      <w:r w:rsidRPr="00AA720B">
        <w:rPr>
          <w:rFonts w:ascii="Calibri" w:hAnsi="Calibri" w:hint="eastAsia"/>
          <w:rtl/>
        </w:rPr>
        <w:t>וקירבתו</w:t>
      </w:r>
      <w:r w:rsidRPr="00AA720B">
        <w:rPr>
          <w:rFonts w:ascii="Calibri" w:hAnsi="Calibri"/>
          <w:rtl/>
        </w:rPr>
        <w:t xml:space="preserve"> </w:t>
      </w:r>
      <w:r w:rsidRPr="00AA720B">
        <w:rPr>
          <w:rFonts w:ascii="Calibri" w:hAnsi="Calibri" w:hint="eastAsia"/>
          <w:rtl/>
        </w:rPr>
        <w:t>להגדרה</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מבצע</w:t>
      </w:r>
      <w:r w:rsidRPr="00AA720B">
        <w:rPr>
          <w:rFonts w:ascii="Calibri" w:hAnsi="Calibri"/>
          <w:rtl/>
        </w:rPr>
        <w:t xml:space="preserve"> </w:t>
      </w:r>
      <w:r w:rsidRPr="00AA720B">
        <w:rPr>
          <w:rFonts w:ascii="Calibri" w:hAnsi="Calibri" w:hint="eastAsia"/>
          <w:rtl/>
        </w:rPr>
        <w:t>בצוותא</w:t>
      </w:r>
      <w:r w:rsidRPr="00AA720B">
        <w:rPr>
          <w:rFonts w:ascii="Calibri" w:hAnsi="Calibri"/>
          <w:rtl/>
        </w:rPr>
        <w:t xml:space="preserve">, </w:t>
      </w:r>
      <w:r w:rsidRPr="00AA720B">
        <w:rPr>
          <w:rFonts w:ascii="Calibri" w:hAnsi="Calibri" w:hint="eastAsia"/>
          <w:rtl/>
        </w:rPr>
        <w:t>כאשר</w:t>
      </w:r>
      <w:r w:rsidRPr="00AA720B">
        <w:rPr>
          <w:rFonts w:ascii="Calibri" w:hAnsi="Calibri"/>
          <w:rtl/>
        </w:rPr>
        <w:t xml:space="preserve"> </w:t>
      </w:r>
      <w:r w:rsidRPr="00AA720B">
        <w:rPr>
          <w:rFonts w:ascii="Calibri" w:hAnsi="Calibri" w:hint="eastAsia"/>
          <w:rtl/>
        </w:rPr>
        <w:t>בפסיקה</w:t>
      </w:r>
      <w:r w:rsidRPr="00AA720B">
        <w:rPr>
          <w:rFonts w:ascii="Calibri" w:hAnsi="Calibri"/>
          <w:rtl/>
        </w:rPr>
        <w:t xml:space="preserve"> </w:t>
      </w:r>
      <w:r w:rsidRPr="00AA720B">
        <w:rPr>
          <w:rFonts w:ascii="Calibri" w:hAnsi="Calibri" w:hint="eastAsia"/>
          <w:rtl/>
        </w:rPr>
        <w:t>מצאנו</w:t>
      </w:r>
      <w:r w:rsidRPr="00AA720B">
        <w:rPr>
          <w:rFonts w:ascii="Calibri" w:hAnsi="Calibri"/>
          <w:rtl/>
        </w:rPr>
        <w:t xml:space="preserve"> </w:t>
      </w:r>
      <w:r w:rsidRPr="00AA720B">
        <w:rPr>
          <w:rFonts w:ascii="Calibri" w:hAnsi="Calibri" w:hint="eastAsia"/>
          <w:rtl/>
        </w:rPr>
        <w:t>בעיקר</w:t>
      </w:r>
      <w:r w:rsidRPr="00AA720B">
        <w:rPr>
          <w:rFonts w:ascii="Calibri" w:hAnsi="Calibri"/>
          <w:rtl/>
        </w:rPr>
        <w:t xml:space="preserve"> </w:t>
      </w:r>
      <w:r w:rsidRPr="00AA720B">
        <w:rPr>
          <w:rFonts w:ascii="Calibri" w:hAnsi="Calibri" w:hint="eastAsia"/>
          <w:rtl/>
        </w:rPr>
        <w:t>מקרים</w:t>
      </w:r>
      <w:r w:rsidRPr="00AA720B">
        <w:rPr>
          <w:rFonts w:ascii="Calibri" w:hAnsi="Calibri"/>
          <w:rtl/>
        </w:rPr>
        <w:t xml:space="preserve"> </w:t>
      </w:r>
      <w:r w:rsidRPr="00AA720B">
        <w:rPr>
          <w:rFonts w:ascii="Calibri" w:hAnsi="Calibri" w:hint="eastAsia"/>
          <w:rtl/>
        </w:rPr>
        <w:t>בהם</w:t>
      </w:r>
      <w:r w:rsidRPr="00AA720B">
        <w:rPr>
          <w:rFonts w:ascii="Calibri" w:hAnsi="Calibri"/>
          <w:rtl/>
        </w:rPr>
        <w:t xml:space="preserve"> </w:t>
      </w:r>
      <w:r w:rsidRPr="00AA720B">
        <w:rPr>
          <w:rFonts w:ascii="Calibri" w:hAnsi="Calibri" w:hint="eastAsia"/>
          <w:rtl/>
        </w:rPr>
        <w:t>מעורבותו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המסייע</w:t>
      </w:r>
      <w:r w:rsidRPr="00AA720B">
        <w:rPr>
          <w:rFonts w:ascii="Calibri" w:hAnsi="Calibri"/>
          <w:rtl/>
        </w:rPr>
        <w:t xml:space="preserve"> </w:t>
      </w:r>
      <w:r w:rsidRPr="00AA720B">
        <w:rPr>
          <w:rFonts w:ascii="Calibri" w:hAnsi="Calibri" w:hint="eastAsia"/>
          <w:rtl/>
        </w:rPr>
        <w:t>הייתה</w:t>
      </w:r>
      <w:r w:rsidRPr="00AA720B">
        <w:rPr>
          <w:rFonts w:ascii="Calibri" w:hAnsi="Calibri"/>
          <w:rtl/>
        </w:rPr>
        <w:t xml:space="preserve"> </w:t>
      </w:r>
      <w:r w:rsidRPr="00AA720B">
        <w:rPr>
          <w:rFonts w:ascii="Calibri" w:hAnsi="Calibri" w:hint="eastAsia"/>
          <w:rtl/>
        </w:rPr>
        <w:t>פחותה</w:t>
      </w:r>
      <w:r w:rsidRPr="00AA720B">
        <w:rPr>
          <w:rFonts w:ascii="Calibri" w:hAnsi="Calibri"/>
          <w:rtl/>
        </w:rPr>
        <w:t xml:space="preserve"> </w:t>
      </w:r>
      <w:r w:rsidRPr="00AA720B">
        <w:rPr>
          <w:rFonts w:ascii="Calibri" w:hAnsi="Calibri" w:hint="eastAsia"/>
          <w:rtl/>
        </w:rPr>
        <w:t>מזו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בענייננו</w:t>
      </w:r>
      <w:r w:rsidRPr="00AA720B">
        <w:rPr>
          <w:rFonts w:ascii="Calibri" w:hAnsi="Calibri"/>
          <w:rtl/>
        </w:rPr>
        <w:t xml:space="preserve">, </w:t>
      </w:r>
      <w:r w:rsidRPr="00AA720B">
        <w:rPr>
          <w:rFonts w:ascii="Calibri" w:hAnsi="Calibri" w:hint="eastAsia"/>
          <w:rtl/>
        </w:rPr>
        <w:t>ורוב</w:t>
      </w:r>
      <w:r w:rsidRPr="00AA720B">
        <w:rPr>
          <w:rFonts w:ascii="Calibri" w:hAnsi="Calibri"/>
          <w:rtl/>
        </w:rPr>
        <w:t xml:space="preserve"> </w:t>
      </w:r>
      <w:r w:rsidRPr="00AA720B">
        <w:rPr>
          <w:rFonts w:ascii="Calibri" w:hAnsi="Calibri" w:hint="eastAsia"/>
          <w:rtl/>
        </w:rPr>
        <w:t>הפסיקה</w:t>
      </w:r>
      <w:r w:rsidRPr="00AA720B">
        <w:rPr>
          <w:rFonts w:ascii="Calibri" w:hAnsi="Calibri"/>
          <w:rtl/>
        </w:rPr>
        <w:t xml:space="preserve"> </w:t>
      </w:r>
      <w:r w:rsidRPr="00AA720B">
        <w:rPr>
          <w:rFonts w:ascii="Calibri" w:hAnsi="Calibri" w:hint="eastAsia"/>
          <w:rtl/>
        </w:rPr>
        <w:t>מתייחסת</w:t>
      </w:r>
      <w:r w:rsidRPr="00AA720B">
        <w:rPr>
          <w:rFonts w:ascii="Calibri" w:hAnsi="Calibri"/>
          <w:rtl/>
        </w:rPr>
        <w:t xml:space="preserve"> </w:t>
      </w:r>
      <w:r w:rsidRPr="00AA720B">
        <w:rPr>
          <w:rFonts w:ascii="Calibri" w:hAnsi="Calibri" w:hint="eastAsia"/>
          <w:rtl/>
        </w:rPr>
        <w:t>למסייעים</w:t>
      </w:r>
      <w:r w:rsidRPr="00AA720B">
        <w:rPr>
          <w:rFonts w:ascii="Calibri" w:hAnsi="Calibri"/>
          <w:rtl/>
        </w:rPr>
        <w:t xml:space="preserve"> </w:t>
      </w:r>
      <w:r w:rsidRPr="00AA720B">
        <w:rPr>
          <w:rFonts w:ascii="Calibri" w:hAnsi="Calibri" w:hint="eastAsia"/>
          <w:rtl/>
        </w:rPr>
        <w:t>שניתן</w:t>
      </w:r>
      <w:r w:rsidRPr="00AA720B">
        <w:rPr>
          <w:rFonts w:ascii="Calibri" w:hAnsi="Calibri"/>
          <w:rtl/>
        </w:rPr>
        <w:t xml:space="preserve"> </w:t>
      </w:r>
      <w:r w:rsidRPr="00AA720B">
        <w:rPr>
          <w:rFonts w:ascii="Calibri" w:hAnsi="Calibri" w:hint="eastAsia"/>
          <w:rtl/>
        </w:rPr>
        <w:t>לכנותם</w:t>
      </w:r>
      <w:r w:rsidRPr="00AA720B">
        <w:rPr>
          <w:rFonts w:ascii="Calibri" w:hAnsi="Calibri"/>
          <w:rtl/>
        </w:rPr>
        <w:t xml:space="preserve"> </w:t>
      </w:r>
      <w:r w:rsidRPr="00AA720B">
        <w:rPr>
          <w:rFonts w:ascii="Calibri" w:hAnsi="Calibri" w:hint="eastAsia"/>
          <w:rtl/>
        </w:rPr>
        <w:t>מסייעים</w:t>
      </w:r>
      <w:r w:rsidRPr="00AA720B">
        <w:rPr>
          <w:rFonts w:ascii="Calibri" w:hAnsi="Calibri"/>
          <w:rtl/>
        </w:rPr>
        <w:t xml:space="preserve"> "</w:t>
      </w:r>
      <w:r w:rsidRPr="00AA720B">
        <w:rPr>
          <w:rFonts w:ascii="Calibri" w:hAnsi="Calibri" w:hint="eastAsia"/>
          <w:rtl/>
        </w:rPr>
        <w:t>קלאסיים</w:t>
      </w:r>
      <w:r w:rsidRPr="00AA720B">
        <w:rPr>
          <w:rFonts w:ascii="Calibri" w:hAnsi="Calibri"/>
          <w:rtl/>
        </w:rPr>
        <w:t xml:space="preserve">" – </w:t>
      </w:r>
      <w:r w:rsidRPr="00AA720B">
        <w:rPr>
          <w:rFonts w:ascii="Calibri" w:hAnsi="Calibri" w:hint="eastAsia"/>
          <w:rtl/>
        </w:rPr>
        <w:t>בשונה</w:t>
      </w:r>
      <w:r w:rsidRPr="00AA720B">
        <w:rPr>
          <w:rFonts w:ascii="Calibri" w:hAnsi="Calibri"/>
          <w:rtl/>
        </w:rPr>
        <w:t xml:space="preserve"> </w:t>
      </w:r>
      <w:r w:rsidRPr="00AA720B">
        <w:rPr>
          <w:rFonts w:ascii="Calibri" w:hAnsi="Calibri" w:hint="eastAsia"/>
          <w:rtl/>
        </w:rPr>
        <w:t>מן</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כאן</w:t>
      </w:r>
      <w:r w:rsidRPr="00AA720B">
        <w:rPr>
          <w:rFonts w:ascii="Calibri" w:hAnsi="Calibri"/>
          <w:rtl/>
        </w:rPr>
        <w:t xml:space="preserve">. </w:t>
      </w:r>
    </w:p>
    <w:p w14:paraId="532DA61A" w14:textId="77777777" w:rsidR="0037227B" w:rsidRPr="00AA720B" w:rsidRDefault="0037227B" w:rsidP="00A91EC4">
      <w:pPr>
        <w:widowControl w:val="0"/>
        <w:spacing w:before="240" w:after="240" w:line="360" w:lineRule="auto"/>
        <w:jc w:val="both"/>
        <w:rPr>
          <w:rFonts w:ascii="Calibri" w:hAnsi="Calibri"/>
          <w:rtl/>
        </w:rPr>
      </w:pPr>
      <w:r w:rsidRPr="00AA720B">
        <w:rPr>
          <w:rFonts w:ascii="Calibri" w:hAnsi="Calibri" w:hint="eastAsia"/>
          <w:rtl/>
        </w:rPr>
        <w:t>כך</w:t>
      </w:r>
      <w:r w:rsidRPr="00AA720B">
        <w:rPr>
          <w:rFonts w:ascii="Calibri" w:hAnsi="Calibri"/>
          <w:rtl/>
        </w:rPr>
        <w:t xml:space="preserve"> </w:t>
      </w:r>
      <w:r w:rsidRPr="00AA720B">
        <w:rPr>
          <w:rFonts w:ascii="Calibri" w:hAnsi="Calibri" w:hint="eastAsia"/>
          <w:rtl/>
        </w:rPr>
        <w:t>למשל</w:t>
      </w:r>
      <w:r w:rsidRPr="00AA720B">
        <w:rPr>
          <w:rFonts w:ascii="Calibri" w:hAnsi="Calibri"/>
          <w:rtl/>
        </w:rPr>
        <w:t xml:space="preserve"> </w:t>
      </w:r>
      <w:r w:rsidRPr="00AA720B">
        <w:rPr>
          <w:rFonts w:ascii="Calibri" w:hAnsi="Calibri" w:hint="eastAsia"/>
          <w:rtl/>
        </w:rPr>
        <w:t>ב</w:t>
      </w:r>
      <w:hyperlink r:id="rId57" w:history="1">
        <w:r w:rsidR="00190E23" w:rsidRPr="00190E23">
          <w:rPr>
            <w:rFonts w:ascii="Calibri" w:hAnsi="Calibri" w:hint="eastAsia"/>
            <w:color w:val="0000FF"/>
            <w:u w:val="single"/>
            <w:rtl/>
          </w:rPr>
          <w:t>ע</w:t>
        </w:r>
        <w:r w:rsidR="00190E23" w:rsidRPr="00190E23">
          <w:rPr>
            <w:rFonts w:ascii="Calibri" w:hAnsi="Calibri"/>
            <w:color w:val="0000FF"/>
            <w:u w:val="single"/>
            <w:rtl/>
          </w:rPr>
          <w:t>"</w:t>
        </w:r>
        <w:r w:rsidR="00190E23" w:rsidRPr="00190E23">
          <w:rPr>
            <w:rFonts w:ascii="Calibri" w:hAnsi="Calibri" w:hint="eastAsia"/>
            <w:color w:val="0000FF"/>
            <w:u w:val="single"/>
            <w:rtl/>
          </w:rPr>
          <w:t>פ</w:t>
        </w:r>
        <w:r w:rsidR="00190E23" w:rsidRPr="00190E23">
          <w:rPr>
            <w:rFonts w:ascii="Calibri" w:hAnsi="Calibri"/>
            <w:color w:val="0000FF"/>
            <w:u w:val="single"/>
            <w:rtl/>
          </w:rPr>
          <w:t xml:space="preserve"> 6162/16</w:t>
        </w:r>
      </w:hyperlink>
      <w:r w:rsidRPr="00AA720B">
        <w:rPr>
          <w:rFonts w:ascii="Calibri" w:hAnsi="Calibri"/>
          <w:rtl/>
        </w:rPr>
        <w:t xml:space="preserve"> </w:t>
      </w:r>
      <w:r w:rsidRPr="00AA720B">
        <w:rPr>
          <w:rFonts w:ascii="Calibri" w:hAnsi="Calibri" w:hint="eastAsia"/>
          <w:b/>
          <w:bCs/>
          <w:rtl/>
        </w:rPr>
        <w:t>תופיק</w:t>
      </w:r>
      <w:r w:rsidRPr="00AA720B">
        <w:rPr>
          <w:rFonts w:ascii="Calibri" w:hAnsi="Calibri"/>
          <w:b/>
          <w:bCs/>
          <w:rtl/>
        </w:rPr>
        <w:t xml:space="preserve"> </w:t>
      </w:r>
      <w:r w:rsidRPr="00AA720B">
        <w:rPr>
          <w:rFonts w:ascii="Calibri" w:hAnsi="Calibri" w:hint="eastAsia"/>
          <w:b/>
          <w:bCs/>
          <w:rtl/>
        </w:rPr>
        <w:t>דלו</w:t>
      </w:r>
      <w:r w:rsidRPr="00AA720B">
        <w:rPr>
          <w:rFonts w:ascii="Calibri" w:hAnsi="Calibri"/>
          <w:b/>
          <w:bCs/>
          <w:rtl/>
        </w:rPr>
        <w:t xml:space="preserve"> </w:t>
      </w:r>
      <w:r w:rsidRPr="00AA720B">
        <w:rPr>
          <w:rFonts w:ascii="Calibri" w:hAnsi="Calibri" w:hint="eastAsia"/>
          <w:b/>
          <w:bCs/>
          <w:rtl/>
        </w:rPr>
        <w:t>נ</w:t>
      </w:r>
      <w:r w:rsidRPr="00AA720B">
        <w:rPr>
          <w:rFonts w:ascii="Calibri" w:hAnsi="Calibri"/>
          <w:b/>
          <w:bCs/>
          <w:rtl/>
        </w:rPr>
        <w:t xml:space="preserve">' </w:t>
      </w:r>
      <w:r w:rsidRPr="00AA720B">
        <w:rPr>
          <w:rFonts w:ascii="Calibri" w:hAnsi="Calibri" w:hint="eastAsia"/>
          <w:b/>
          <w:bCs/>
          <w:rtl/>
        </w:rPr>
        <w:t>מדינת</w:t>
      </w:r>
      <w:r w:rsidRPr="00AA720B">
        <w:rPr>
          <w:rFonts w:ascii="Calibri" w:hAnsi="Calibri"/>
          <w:b/>
          <w:bCs/>
          <w:rtl/>
        </w:rPr>
        <w:t xml:space="preserve"> </w:t>
      </w:r>
      <w:r w:rsidRPr="00AA720B">
        <w:rPr>
          <w:rFonts w:ascii="Calibri" w:hAnsi="Calibri" w:hint="eastAsia"/>
          <w:b/>
          <w:bCs/>
          <w:rtl/>
        </w:rPr>
        <w:t>ישראל</w:t>
      </w:r>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rtl/>
        </w:rPr>
        <w:t xml:space="preserve">(04.02.2018) - </w:t>
      </w:r>
      <w:r w:rsidRPr="00AA720B">
        <w:rPr>
          <w:rFonts w:ascii="Calibri" w:hAnsi="Calibri" w:hint="eastAsia"/>
          <w:rtl/>
        </w:rPr>
        <w:t>המערער</w:t>
      </w:r>
      <w:r w:rsidRPr="00AA720B">
        <w:rPr>
          <w:rFonts w:ascii="Calibri" w:hAnsi="Calibri"/>
          <w:rtl/>
        </w:rPr>
        <w:t xml:space="preserve"> 1 </w:t>
      </w:r>
      <w:r w:rsidRPr="00AA720B">
        <w:rPr>
          <w:rFonts w:ascii="Calibri" w:hAnsi="Calibri" w:hint="eastAsia"/>
          <w:rtl/>
        </w:rPr>
        <w:t>הורשע</w:t>
      </w:r>
      <w:r w:rsidRPr="00AA720B">
        <w:rPr>
          <w:rFonts w:ascii="Calibri" w:hAnsi="Calibri"/>
          <w:rtl/>
        </w:rPr>
        <w:t xml:space="preserve"> ,</w:t>
      </w:r>
      <w:r w:rsidRPr="00AA720B">
        <w:rPr>
          <w:rFonts w:ascii="Calibri" w:hAnsi="Calibri" w:hint="eastAsia"/>
          <w:rtl/>
        </w:rPr>
        <w:t>לאחר</w:t>
      </w:r>
      <w:r w:rsidRPr="00AA720B">
        <w:rPr>
          <w:rFonts w:ascii="Calibri" w:hAnsi="Calibri"/>
          <w:rtl/>
        </w:rPr>
        <w:t xml:space="preserve"> </w:t>
      </w:r>
      <w:r w:rsidRPr="00AA720B">
        <w:rPr>
          <w:rFonts w:ascii="Calibri" w:hAnsi="Calibri" w:hint="eastAsia"/>
          <w:rtl/>
        </w:rPr>
        <w:t>ניהול</w:t>
      </w:r>
      <w:r w:rsidRPr="00AA720B">
        <w:rPr>
          <w:rFonts w:ascii="Calibri" w:hAnsi="Calibri"/>
          <w:rtl/>
        </w:rPr>
        <w:t xml:space="preserve"> </w:t>
      </w:r>
      <w:r w:rsidRPr="00AA720B">
        <w:rPr>
          <w:rFonts w:ascii="Calibri" w:hAnsi="Calibri" w:hint="eastAsia"/>
          <w:rtl/>
        </w:rPr>
        <w:t>הוכחות</w:t>
      </w:r>
      <w:r w:rsidRPr="00AA720B">
        <w:rPr>
          <w:rFonts w:ascii="Calibri" w:hAnsi="Calibri"/>
          <w:rtl/>
        </w:rPr>
        <w:t xml:space="preserve">, </w:t>
      </w:r>
      <w:r w:rsidRPr="00AA720B">
        <w:rPr>
          <w:rFonts w:ascii="Calibri" w:hAnsi="Calibri" w:hint="eastAsia"/>
          <w:rtl/>
        </w:rPr>
        <w:t>בסיוע</w:t>
      </w:r>
      <w:r w:rsidRPr="00AA720B">
        <w:rPr>
          <w:rFonts w:ascii="Calibri" w:hAnsi="Calibri"/>
          <w:rtl/>
        </w:rPr>
        <w:t xml:space="preserve"> </w:t>
      </w:r>
      <w:r w:rsidRPr="00AA720B">
        <w:rPr>
          <w:rFonts w:ascii="Calibri" w:hAnsi="Calibri" w:hint="eastAsia"/>
          <w:rtl/>
        </w:rPr>
        <w:t>לרצח</w:t>
      </w:r>
      <w:r w:rsidRPr="00AA720B">
        <w:rPr>
          <w:rFonts w:ascii="Calibri" w:hAnsi="Calibri"/>
          <w:rtl/>
        </w:rPr>
        <w:t xml:space="preserve"> </w:t>
      </w:r>
      <w:r w:rsidRPr="00AA720B">
        <w:rPr>
          <w:rFonts w:ascii="Calibri" w:hAnsi="Calibri" w:hint="eastAsia"/>
          <w:rtl/>
        </w:rPr>
        <w:t>לאחר</w:t>
      </w:r>
      <w:r w:rsidRPr="00AA720B">
        <w:rPr>
          <w:rFonts w:ascii="Calibri" w:hAnsi="Calibri"/>
          <w:rtl/>
        </w:rPr>
        <w:t xml:space="preserve"> </w:t>
      </w:r>
      <w:r w:rsidRPr="00AA720B">
        <w:rPr>
          <w:rFonts w:ascii="Calibri" w:hAnsi="Calibri" w:hint="eastAsia"/>
          <w:rtl/>
        </w:rPr>
        <w:t>שסייע</w:t>
      </w:r>
      <w:r w:rsidRPr="00AA720B">
        <w:rPr>
          <w:rFonts w:ascii="Calibri" w:hAnsi="Calibri"/>
          <w:rtl/>
        </w:rPr>
        <w:t xml:space="preserve"> </w:t>
      </w:r>
      <w:r w:rsidRPr="00AA720B">
        <w:rPr>
          <w:rFonts w:ascii="Calibri" w:hAnsi="Calibri" w:hint="eastAsia"/>
          <w:rtl/>
        </w:rPr>
        <w:t>במעקב</w:t>
      </w:r>
      <w:r w:rsidRPr="00AA720B">
        <w:rPr>
          <w:rFonts w:ascii="Calibri" w:hAnsi="Calibri"/>
          <w:rtl/>
        </w:rPr>
        <w:t xml:space="preserve">, </w:t>
      </w:r>
      <w:r w:rsidRPr="00AA720B">
        <w:rPr>
          <w:rFonts w:ascii="Calibri" w:hAnsi="Calibri" w:hint="eastAsia"/>
          <w:rtl/>
        </w:rPr>
        <w:t>צעד</w:t>
      </w:r>
      <w:r w:rsidRPr="00AA720B">
        <w:rPr>
          <w:rFonts w:ascii="Calibri" w:hAnsi="Calibri"/>
          <w:rtl/>
        </w:rPr>
        <w:t xml:space="preserve"> </w:t>
      </w:r>
      <w:r w:rsidRPr="00AA720B">
        <w:rPr>
          <w:rFonts w:ascii="Calibri" w:hAnsi="Calibri" w:hint="eastAsia"/>
          <w:rtl/>
        </w:rPr>
        <w:t>ליד</w:t>
      </w:r>
      <w:r w:rsidRPr="00AA720B">
        <w:rPr>
          <w:rFonts w:ascii="Calibri" w:hAnsi="Calibri"/>
          <w:rtl/>
        </w:rPr>
        <w:t xml:space="preserve"> </w:t>
      </w:r>
      <w:r w:rsidRPr="00AA720B">
        <w:rPr>
          <w:rFonts w:ascii="Calibri" w:hAnsi="Calibri" w:hint="eastAsia"/>
          <w:rtl/>
        </w:rPr>
        <w:t>הרוצח</w:t>
      </w:r>
      <w:r w:rsidRPr="00AA720B">
        <w:rPr>
          <w:rFonts w:ascii="Calibri" w:hAnsi="Calibri"/>
          <w:rtl/>
        </w:rPr>
        <w:t xml:space="preserve"> </w:t>
      </w:r>
      <w:r w:rsidRPr="00AA720B">
        <w:rPr>
          <w:rFonts w:ascii="Calibri" w:hAnsi="Calibri" w:hint="eastAsia"/>
          <w:rtl/>
        </w:rPr>
        <w:t>תצפת</w:t>
      </w:r>
      <w:r w:rsidRPr="00AA720B">
        <w:rPr>
          <w:rFonts w:ascii="Calibri" w:hAnsi="Calibri"/>
          <w:rtl/>
        </w:rPr>
        <w:t xml:space="preserve"> </w:t>
      </w:r>
      <w:r w:rsidRPr="00AA720B">
        <w:rPr>
          <w:rFonts w:ascii="Calibri" w:hAnsi="Calibri" w:hint="eastAsia"/>
          <w:rtl/>
        </w:rPr>
        <w:t>וחיפה</w:t>
      </w:r>
      <w:r w:rsidRPr="00AA720B">
        <w:rPr>
          <w:rFonts w:ascii="Calibri" w:hAnsi="Calibri"/>
          <w:rtl/>
        </w:rPr>
        <w:t xml:space="preserve"> </w:t>
      </w:r>
      <w:r w:rsidRPr="00AA720B">
        <w:rPr>
          <w:rFonts w:ascii="Calibri" w:hAnsi="Calibri" w:hint="eastAsia"/>
          <w:rtl/>
        </w:rPr>
        <w:t>עליו</w:t>
      </w:r>
      <w:r w:rsidRPr="00AA720B">
        <w:rPr>
          <w:rFonts w:ascii="Calibri" w:hAnsi="Calibri"/>
          <w:rtl/>
        </w:rPr>
        <w:t xml:space="preserve"> </w:t>
      </w:r>
      <w:r w:rsidRPr="00AA720B">
        <w:rPr>
          <w:rFonts w:ascii="Calibri" w:hAnsi="Calibri" w:hint="eastAsia"/>
          <w:rtl/>
        </w:rPr>
        <w:t>בעת</w:t>
      </w:r>
      <w:r w:rsidRPr="00AA720B">
        <w:rPr>
          <w:rFonts w:ascii="Calibri" w:hAnsi="Calibri"/>
          <w:rtl/>
        </w:rPr>
        <w:t xml:space="preserve"> </w:t>
      </w:r>
      <w:r w:rsidRPr="00AA720B">
        <w:rPr>
          <w:rFonts w:ascii="Calibri" w:hAnsi="Calibri" w:hint="eastAsia"/>
          <w:rtl/>
        </w:rPr>
        <w:t>ביצוע</w:t>
      </w:r>
      <w:r w:rsidRPr="00AA720B">
        <w:rPr>
          <w:rFonts w:ascii="Calibri" w:hAnsi="Calibri"/>
          <w:rtl/>
        </w:rPr>
        <w:t xml:space="preserve"> </w:t>
      </w:r>
      <w:r w:rsidRPr="00AA720B">
        <w:rPr>
          <w:rFonts w:ascii="Calibri" w:hAnsi="Calibri" w:hint="eastAsia"/>
          <w:rtl/>
        </w:rPr>
        <w:t>הדקירה</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קבע</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מתחם</w:t>
      </w:r>
      <w:r w:rsidRPr="00AA720B">
        <w:rPr>
          <w:rFonts w:ascii="Calibri" w:hAnsi="Calibri"/>
          <w:rtl/>
        </w:rPr>
        <w:t xml:space="preserve"> </w:t>
      </w:r>
      <w:r w:rsidRPr="00AA720B">
        <w:rPr>
          <w:rFonts w:ascii="Calibri" w:hAnsi="Calibri" w:hint="eastAsia"/>
          <w:rtl/>
        </w:rPr>
        <w:t>העונש</w:t>
      </w:r>
      <w:r w:rsidRPr="00AA720B">
        <w:rPr>
          <w:rFonts w:ascii="Calibri" w:hAnsi="Calibri"/>
          <w:rtl/>
        </w:rPr>
        <w:t xml:space="preserve"> </w:t>
      </w:r>
      <w:r w:rsidRPr="00AA720B">
        <w:rPr>
          <w:rFonts w:ascii="Calibri" w:hAnsi="Calibri" w:hint="eastAsia"/>
          <w:rtl/>
        </w:rPr>
        <w:t>ההולם</w:t>
      </w:r>
      <w:r w:rsidRPr="00AA720B">
        <w:rPr>
          <w:rFonts w:ascii="Calibri" w:hAnsi="Calibri"/>
          <w:rtl/>
        </w:rPr>
        <w:t xml:space="preserve"> </w:t>
      </w:r>
      <w:r w:rsidRPr="00AA720B">
        <w:rPr>
          <w:rFonts w:ascii="Calibri" w:hAnsi="Calibri" w:hint="eastAsia"/>
          <w:rtl/>
        </w:rPr>
        <w:t>בנסיבות</w:t>
      </w:r>
      <w:r w:rsidRPr="00AA720B">
        <w:rPr>
          <w:rFonts w:ascii="Calibri" w:hAnsi="Calibri"/>
          <w:rtl/>
        </w:rPr>
        <w:t xml:space="preserve"> </w:t>
      </w:r>
      <w:r w:rsidRPr="00AA720B">
        <w:rPr>
          <w:rFonts w:ascii="Calibri" w:hAnsi="Calibri" w:hint="eastAsia"/>
          <w:rtl/>
        </w:rPr>
        <w:t>אלו</w:t>
      </w:r>
      <w:r w:rsidRPr="00AA720B">
        <w:rPr>
          <w:rFonts w:ascii="Calibri" w:hAnsi="Calibri"/>
          <w:rtl/>
        </w:rPr>
        <w:t xml:space="preserve"> </w:t>
      </w:r>
      <w:r w:rsidRPr="00AA720B">
        <w:rPr>
          <w:rFonts w:ascii="Calibri" w:hAnsi="Calibri" w:hint="eastAsia"/>
          <w:rtl/>
        </w:rPr>
        <w:t>הינו</w:t>
      </w:r>
      <w:r w:rsidRPr="00AA720B">
        <w:rPr>
          <w:rFonts w:ascii="Calibri" w:hAnsi="Calibri"/>
          <w:rtl/>
        </w:rPr>
        <w:t xml:space="preserve"> </w:t>
      </w:r>
      <w:r w:rsidRPr="00AA720B">
        <w:rPr>
          <w:rFonts w:ascii="Calibri" w:hAnsi="Calibri" w:hint="eastAsia"/>
          <w:rtl/>
        </w:rPr>
        <w:t>בין</w:t>
      </w:r>
      <w:r w:rsidRPr="00AA720B">
        <w:rPr>
          <w:rFonts w:ascii="Calibri" w:hAnsi="Calibri"/>
          <w:rtl/>
        </w:rPr>
        <w:t xml:space="preserve"> 9 </w:t>
      </w:r>
      <w:r w:rsidRPr="00AA720B">
        <w:rPr>
          <w:rFonts w:ascii="Calibri" w:hAnsi="Calibri" w:hint="eastAsia"/>
          <w:rtl/>
        </w:rPr>
        <w:t>לבין</w:t>
      </w:r>
      <w:r w:rsidRPr="00AA720B">
        <w:rPr>
          <w:rFonts w:ascii="Calibri" w:hAnsi="Calibri"/>
          <w:rtl/>
        </w:rPr>
        <w:t xml:space="preserve"> 14 </w:t>
      </w:r>
      <w:r w:rsidRPr="00AA720B">
        <w:rPr>
          <w:rFonts w:ascii="Calibri" w:hAnsi="Calibri" w:hint="eastAsia"/>
          <w:rtl/>
        </w:rPr>
        <w:t>שעות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והעמיד</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עונשו</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10.5 </w:t>
      </w:r>
      <w:r w:rsidRPr="00AA720B">
        <w:rPr>
          <w:rFonts w:ascii="Calibri" w:hAnsi="Calibri" w:hint="eastAsia"/>
          <w:rtl/>
        </w:rPr>
        <w:t>שנות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תחת</w:t>
      </w:r>
      <w:r w:rsidRPr="00AA720B">
        <w:rPr>
          <w:rFonts w:ascii="Calibri" w:hAnsi="Calibri"/>
          <w:rtl/>
        </w:rPr>
        <w:t xml:space="preserve"> 8.5 </w:t>
      </w:r>
      <w:r w:rsidRPr="00AA720B">
        <w:rPr>
          <w:rFonts w:ascii="Calibri" w:hAnsi="Calibri" w:hint="eastAsia"/>
          <w:rtl/>
        </w:rPr>
        <w:t>שנות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שנגזרו</w:t>
      </w:r>
      <w:r w:rsidRPr="00AA720B">
        <w:rPr>
          <w:rFonts w:ascii="Calibri" w:hAnsi="Calibri"/>
          <w:rtl/>
        </w:rPr>
        <w:t xml:space="preserve"> </w:t>
      </w:r>
      <w:r w:rsidRPr="00AA720B">
        <w:rPr>
          <w:rFonts w:ascii="Calibri" w:hAnsi="Calibri" w:hint="eastAsia"/>
          <w:rtl/>
        </w:rPr>
        <w:t>עליו</w:t>
      </w:r>
      <w:r w:rsidRPr="00AA720B">
        <w:rPr>
          <w:rFonts w:ascii="Calibri" w:hAnsi="Calibri"/>
          <w:rtl/>
        </w:rPr>
        <w:t xml:space="preserve"> </w:t>
      </w:r>
      <w:r w:rsidRPr="00AA720B">
        <w:rPr>
          <w:rFonts w:ascii="Calibri" w:hAnsi="Calibri" w:hint="eastAsia"/>
          <w:rtl/>
        </w:rPr>
        <w:t>בבית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המחוזי</w:t>
      </w:r>
      <w:r w:rsidRPr="00AA720B">
        <w:rPr>
          <w:rFonts w:ascii="Calibri" w:hAnsi="Calibri"/>
          <w:rtl/>
        </w:rPr>
        <w:t xml:space="preserve">. </w:t>
      </w:r>
      <w:r w:rsidR="00BB50D1" w:rsidRPr="00AA720B">
        <w:rPr>
          <w:rFonts w:ascii="Calibri" w:hAnsi="Calibri" w:hint="cs"/>
          <w:rtl/>
        </w:rPr>
        <w:t xml:space="preserve">נציין כי </w:t>
      </w:r>
      <w:r w:rsidRPr="00AA720B">
        <w:rPr>
          <w:rFonts w:ascii="Calibri" w:hAnsi="Calibri" w:hint="eastAsia"/>
          <w:rtl/>
        </w:rPr>
        <w:t>שם</w:t>
      </w:r>
      <w:r w:rsidRPr="00AA720B">
        <w:rPr>
          <w:rFonts w:ascii="Calibri" w:hAnsi="Calibri"/>
          <w:rtl/>
        </w:rPr>
        <w:t xml:space="preserve"> </w:t>
      </w:r>
      <w:r w:rsidRPr="00AA720B">
        <w:rPr>
          <w:rFonts w:ascii="Calibri" w:hAnsi="Calibri" w:hint="eastAsia"/>
          <w:rtl/>
        </w:rPr>
        <w:t>מדובר</w:t>
      </w:r>
      <w:r w:rsidRPr="00AA720B">
        <w:rPr>
          <w:rFonts w:ascii="Calibri" w:hAnsi="Calibri"/>
          <w:rtl/>
        </w:rPr>
        <w:t xml:space="preserve"> </w:t>
      </w:r>
      <w:r w:rsidRPr="00AA720B">
        <w:rPr>
          <w:rFonts w:ascii="Calibri" w:hAnsi="Calibri" w:hint="eastAsia"/>
          <w:rtl/>
        </w:rPr>
        <w:t>במי</w:t>
      </w:r>
      <w:r w:rsidRPr="00AA720B">
        <w:rPr>
          <w:rFonts w:ascii="Calibri" w:hAnsi="Calibri"/>
          <w:rtl/>
        </w:rPr>
        <w:t xml:space="preserve"> </w:t>
      </w:r>
      <w:r w:rsidRPr="00AA720B">
        <w:rPr>
          <w:rFonts w:ascii="Calibri" w:hAnsi="Calibri" w:hint="eastAsia"/>
          <w:rtl/>
        </w:rPr>
        <w:t>שחלקו</w:t>
      </w:r>
      <w:r w:rsidRPr="00AA720B">
        <w:rPr>
          <w:rFonts w:ascii="Calibri" w:hAnsi="Calibri"/>
          <w:rtl/>
        </w:rPr>
        <w:t xml:space="preserve"> </w:t>
      </w:r>
      <w:r w:rsidRPr="00AA720B">
        <w:rPr>
          <w:rFonts w:ascii="Calibri" w:hAnsi="Calibri" w:hint="eastAsia"/>
          <w:rtl/>
        </w:rPr>
        <w:t>התבטא</w:t>
      </w:r>
      <w:r w:rsidRPr="00AA720B">
        <w:rPr>
          <w:rFonts w:ascii="Calibri" w:hAnsi="Calibri"/>
          <w:rtl/>
        </w:rPr>
        <w:t xml:space="preserve"> </w:t>
      </w:r>
      <w:r w:rsidRPr="00AA720B">
        <w:rPr>
          <w:rFonts w:ascii="Calibri" w:hAnsi="Calibri" w:hint="eastAsia"/>
          <w:rtl/>
        </w:rPr>
        <w:t>בסיוע</w:t>
      </w:r>
      <w:r w:rsidRPr="00AA720B">
        <w:rPr>
          <w:rFonts w:ascii="Calibri" w:hAnsi="Calibri"/>
          <w:rtl/>
        </w:rPr>
        <w:t xml:space="preserve"> </w:t>
      </w:r>
      <w:r w:rsidRPr="00AA720B">
        <w:rPr>
          <w:rFonts w:ascii="Calibri" w:hAnsi="Calibri" w:hint="eastAsia"/>
          <w:rtl/>
        </w:rPr>
        <w:t>נקודתי</w:t>
      </w:r>
      <w:r w:rsidRPr="00AA720B">
        <w:rPr>
          <w:rFonts w:ascii="Calibri" w:hAnsi="Calibri"/>
          <w:rtl/>
        </w:rPr>
        <w:t xml:space="preserve">, </w:t>
      </w:r>
      <w:r w:rsidRPr="00AA720B">
        <w:rPr>
          <w:rFonts w:ascii="Calibri" w:hAnsi="Calibri" w:hint="eastAsia"/>
          <w:rtl/>
        </w:rPr>
        <w:t>וניתן</w:t>
      </w:r>
      <w:r w:rsidRPr="00AA720B">
        <w:rPr>
          <w:rFonts w:ascii="Calibri" w:hAnsi="Calibri"/>
          <w:rtl/>
        </w:rPr>
        <w:t xml:space="preserve"> </w:t>
      </w:r>
      <w:r w:rsidRPr="00AA720B">
        <w:rPr>
          <w:rFonts w:ascii="Calibri" w:hAnsi="Calibri" w:hint="eastAsia"/>
          <w:rtl/>
        </w:rPr>
        <w:t>לומר</w:t>
      </w:r>
      <w:r w:rsidRPr="00AA720B">
        <w:rPr>
          <w:rFonts w:ascii="Calibri" w:hAnsi="Calibri"/>
          <w:rtl/>
        </w:rPr>
        <w:t xml:space="preserve"> </w:t>
      </w:r>
      <w:r w:rsidRPr="00AA720B">
        <w:rPr>
          <w:rFonts w:ascii="Calibri" w:hAnsi="Calibri" w:hint="eastAsia"/>
          <w:rtl/>
        </w:rPr>
        <w:t>שבאותו</w:t>
      </w:r>
      <w:r w:rsidRPr="00AA720B">
        <w:rPr>
          <w:rFonts w:ascii="Calibri" w:hAnsi="Calibri"/>
          <w:rtl/>
        </w:rPr>
        <w:t xml:space="preserve"> </w:t>
      </w:r>
      <w:r w:rsidRPr="00AA720B">
        <w:rPr>
          <w:rFonts w:ascii="Calibri" w:hAnsi="Calibri" w:hint="eastAsia"/>
          <w:rtl/>
        </w:rPr>
        <w:t>מנעד</w:t>
      </w:r>
      <w:r w:rsidRPr="00AA720B">
        <w:rPr>
          <w:rFonts w:ascii="Calibri" w:hAnsi="Calibri"/>
          <w:rtl/>
        </w:rPr>
        <w:t xml:space="preserve"> </w:t>
      </w:r>
      <w:r w:rsidRPr="00AA720B">
        <w:rPr>
          <w:rFonts w:ascii="Calibri" w:hAnsi="Calibri" w:hint="eastAsia"/>
          <w:rtl/>
        </w:rPr>
        <w:t>שבין</w:t>
      </w:r>
      <w:r w:rsidRPr="00AA720B">
        <w:rPr>
          <w:rFonts w:ascii="Calibri" w:hAnsi="Calibri"/>
          <w:rtl/>
        </w:rPr>
        <w:t xml:space="preserve"> </w:t>
      </w:r>
      <w:r w:rsidRPr="00AA720B">
        <w:rPr>
          <w:rFonts w:ascii="Calibri" w:hAnsi="Calibri" w:hint="eastAsia"/>
          <w:rtl/>
        </w:rPr>
        <w:t>המסייע</w:t>
      </w:r>
      <w:r w:rsidRPr="00AA720B">
        <w:rPr>
          <w:rFonts w:ascii="Calibri" w:hAnsi="Calibri"/>
          <w:rtl/>
        </w:rPr>
        <w:t xml:space="preserve"> </w:t>
      </w:r>
      <w:r w:rsidRPr="00AA720B">
        <w:rPr>
          <w:rFonts w:ascii="Calibri" w:hAnsi="Calibri" w:hint="eastAsia"/>
          <w:rtl/>
        </w:rPr>
        <w:t>למבצע</w:t>
      </w:r>
      <w:r w:rsidRPr="00AA720B">
        <w:rPr>
          <w:rFonts w:ascii="Calibri" w:hAnsi="Calibri"/>
          <w:rtl/>
        </w:rPr>
        <w:t xml:space="preserve"> </w:t>
      </w:r>
      <w:r w:rsidRPr="00AA720B">
        <w:rPr>
          <w:rFonts w:ascii="Calibri" w:hAnsi="Calibri" w:hint="eastAsia"/>
          <w:rtl/>
        </w:rPr>
        <w:t>בצוותא</w:t>
      </w:r>
      <w:r w:rsidRPr="00AA720B">
        <w:rPr>
          <w:rFonts w:ascii="Calibri" w:hAnsi="Calibri"/>
          <w:rtl/>
        </w:rPr>
        <w:t xml:space="preserve">, </w:t>
      </w:r>
      <w:r w:rsidRPr="00AA720B">
        <w:rPr>
          <w:rFonts w:ascii="Calibri" w:hAnsi="Calibri" w:hint="eastAsia"/>
          <w:rtl/>
        </w:rPr>
        <w:t>הוא</w:t>
      </w:r>
      <w:r w:rsidRPr="00AA720B">
        <w:rPr>
          <w:rFonts w:ascii="Calibri" w:hAnsi="Calibri"/>
          <w:rtl/>
        </w:rPr>
        <w:t xml:space="preserve"> </w:t>
      </w:r>
      <w:r w:rsidRPr="00AA720B">
        <w:rPr>
          <w:rFonts w:ascii="Calibri" w:hAnsi="Calibri" w:hint="eastAsia"/>
          <w:rtl/>
        </w:rPr>
        <w:t>קרוב</w:t>
      </w:r>
      <w:r w:rsidRPr="00AA720B">
        <w:rPr>
          <w:rFonts w:ascii="Calibri" w:hAnsi="Calibri"/>
          <w:rtl/>
        </w:rPr>
        <w:t xml:space="preserve"> </w:t>
      </w:r>
      <w:r w:rsidR="00BB50D1" w:rsidRPr="00AA720B">
        <w:rPr>
          <w:rFonts w:ascii="Calibri" w:hAnsi="Calibri" w:hint="cs"/>
          <w:rtl/>
        </w:rPr>
        <w:t xml:space="preserve">יותר </w:t>
      </w:r>
      <w:r w:rsidRPr="00AA720B">
        <w:rPr>
          <w:rFonts w:ascii="Calibri" w:hAnsi="Calibri" w:hint="eastAsia"/>
          <w:rtl/>
        </w:rPr>
        <w:t>למסייע</w:t>
      </w:r>
      <w:r w:rsidRPr="00AA720B">
        <w:rPr>
          <w:rFonts w:ascii="Calibri" w:hAnsi="Calibri"/>
          <w:rtl/>
        </w:rPr>
        <w:t xml:space="preserve"> </w:t>
      </w:r>
      <w:r w:rsidRPr="00AA720B">
        <w:rPr>
          <w:rFonts w:ascii="Calibri" w:hAnsi="Calibri" w:hint="eastAsia"/>
          <w:rtl/>
        </w:rPr>
        <w:t>בדרגה</w:t>
      </w:r>
      <w:r w:rsidRPr="00AA720B">
        <w:rPr>
          <w:rFonts w:ascii="Calibri" w:hAnsi="Calibri"/>
          <w:rtl/>
        </w:rPr>
        <w:t xml:space="preserve"> </w:t>
      </w:r>
      <w:r w:rsidRPr="00AA720B">
        <w:rPr>
          <w:rFonts w:ascii="Calibri" w:hAnsi="Calibri" w:hint="eastAsia"/>
          <w:rtl/>
        </w:rPr>
        <w:t>נמוכה</w:t>
      </w:r>
      <w:r w:rsidRPr="00AA720B">
        <w:rPr>
          <w:rFonts w:ascii="Calibri" w:hAnsi="Calibri"/>
          <w:rtl/>
        </w:rPr>
        <w:t xml:space="preserve"> </w:t>
      </w:r>
      <w:r w:rsidRPr="00AA720B">
        <w:rPr>
          <w:rFonts w:ascii="Calibri" w:hAnsi="Calibri" w:hint="eastAsia"/>
          <w:rtl/>
        </w:rPr>
        <w:t>מאשר</w:t>
      </w:r>
      <w:r w:rsidRPr="00AA720B">
        <w:rPr>
          <w:rFonts w:ascii="Calibri" w:hAnsi="Calibri"/>
          <w:rtl/>
        </w:rPr>
        <w:t xml:space="preserve"> </w:t>
      </w:r>
      <w:r w:rsidRPr="00AA720B">
        <w:rPr>
          <w:rFonts w:ascii="Calibri" w:hAnsi="Calibri" w:hint="eastAsia"/>
          <w:rtl/>
        </w:rPr>
        <w:t>למבצע</w:t>
      </w:r>
      <w:r w:rsidRPr="00AA720B">
        <w:rPr>
          <w:rFonts w:ascii="Calibri" w:hAnsi="Calibri"/>
          <w:rtl/>
        </w:rPr>
        <w:t xml:space="preserve"> </w:t>
      </w:r>
      <w:r w:rsidRPr="00AA720B">
        <w:rPr>
          <w:rFonts w:ascii="Calibri" w:hAnsi="Calibri" w:hint="eastAsia"/>
          <w:rtl/>
        </w:rPr>
        <w:t>בצוותא</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כפי</w:t>
      </w:r>
      <w:r w:rsidRPr="00AA720B">
        <w:rPr>
          <w:rFonts w:ascii="Calibri" w:hAnsi="Calibri"/>
          <w:rtl/>
        </w:rPr>
        <w:t xml:space="preserve"> </w:t>
      </w:r>
      <w:r w:rsidR="00BB50D1" w:rsidRPr="00AA720B">
        <w:rPr>
          <w:rFonts w:ascii="Calibri" w:hAnsi="Calibri" w:hint="cs"/>
          <w:rtl/>
        </w:rPr>
        <w:t>הנאשם</w:t>
      </w:r>
      <w:r w:rsidR="00A91EC4" w:rsidRPr="00AA720B">
        <w:rPr>
          <w:rFonts w:ascii="Calibri" w:hAnsi="Calibri" w:hint="cs"/>
          <w:rtl/>
        </w:rPr>
        <w:t>.</w:t>
      </w:r>
      <w:r w:rsidR="00BB50D1" w:rsidRPr="00AA720B">
        <w:rPr>
          <w:rFonts w:ascii="Calibri" w:hAnsi="Calibri" w:hint="cs"/>
          <w:rtl/>
        </w:rPr>
        <w:t xml:space="preserve"> </w:t>
      </w:r>
    </w:p>
    <w:p w14:paraId="194A0BF0" w14:textId="77777777" w:rsidR="0037227B" w:rsidRPr="00AA720B" w:rsidRDefault="0037227B" w:rsidP="004C44BA">
      <w:pPr>
        <w:widowControl w:val="0"/>
        <w:spacing w:before="240" w:after="240" w:line="360" w:lineRule="auto"/>
        <w:jc w:val="both"/>
        <w:rPr>
          <w:rFonts w:ascii="Calibri" w:hAnsi="Calibri"/>
          <w:rtl/>
        </w:rPr>
      </w:pPr>
      <w:r w:rsidRPr="00AA720B">
        <w:rPr>
          <w:rFonts w:ascii="Calibri" w:hAnsi="Calibri" w:hint="eastAsia"/>
          <w:rtl/>
        </w:rPr>
        <w:t>ב</w:t>
      </w:r>
      <w:hyperlink r:id="rId58" w:history="1">
        <w:r w:rsidR="00190E23" w:rsidRPr="00190E23">
          <w:rPr>
            <w:rFonts w:ascii="Calibri" w:hAnsi="Calibri" w:hint="eastAsia"/>
            <w:color w:val="0000FF"/>
            <w:u w:val="single"/>
            <w:rtl/>
          </w:rPr>
          <w:t>ע</w:t>
        </w:r>
        <w:r w:rsidR="00190E23" w:rsidRPr="00190E23">
          <w:rPr>
            <w:rFonts w:ascii="Calibri" w:hAnsi="Calibri"/>
            <w:color w:val="0000FF"/>
            <w:u w:val="single"/>
            <w:rtl/>
          </w:rPr>
          <w:t>"</w:t>
        </w:r>
        <w:r w:rsidR="00190E23" w:rsidRPr="00190E23">
          <w:rPr>
            <w:rFonts w:ascii="Calibri" w:hAnsi="Calibri" w:hint="eastAsia"/>
            <w:color w:val="0000FF"/>
            <w:u w:val="single"/>
            <w:rtl/>
          </w:rPr>
          <w:t>פ</w:t>
        </w:r>
        <w:r w:rsidR="00190E23" w:rsidRPr="00190E23">
          <w:rPr>
            <w:rFonts w:ascii="Calibri" w:hAnsi="Calibri"/>
            <w:color w:val="0000FF"/>
            <w:u w:val="single"/>
            <w:rtl/>
          </w:rPr>
          <w:t xml:space="preserve"> 8074/16</w:t>
        </w:r>
      </w:hyperlink>
      <w:r w:rsidRPr="00AA720B">
        <w:rPr>
          <w:rFonts w:ascii="Calibri" w:hAnsi="Calibri"/>
          <w:rtl/>
        </w:rPr>
        <w:t xml:space="preserve"> </w:t>
      </w:r>
      <w:r w:rsidRPr="00AA720B">
        <w:rPr>
          <w:rFonts w:ascii="Calibri" w:hAnsi="Calibri" w:hint="eastAsia"/>
          <w:b/>
          <w:bCs/>
          <w:rtl/>
        </w:rPr>
        <w:t>יורי</w:t>
      </w:r>
      <w:r w:rsidRPr="00AA720B">
        <w:rPr>
          <w:rFonts w:ascii="Calibri" w:hAnsi="Calibri"/>
          <w:b/>
          <w:bCs/>
          <w:rtl/>
        </w:rPr>
        <w:t xml:space="preserve"> </w:t>
      </w:r>
      <w:r w:rsidRPr="00AA720B">
        <w:rPr>
          <w:rFonts w:ascii="Calibri" w:hAnsi="Calibri" w:hint="eastAsia"/>
          <w:b/>
          <w:bCs/>
          <w:rtl/>
        </w:rPr>
        <w:t>סוליימנוב</w:t>
      </w:r>
      <w:r w:rsidRPr="00AA720B">
        <w:rPr>
          <w:rFonts w:ascii="Calibri" w:hAnsi="Calibri"/>
          <w:b/>
          <w:bCs/>
          <w:rtl/>
        </w:rPr>
        <w:t xml:space="preserve"> </w:t>
      </w:r>
      <w:r w:rsidRPr="00AA720B">
        <w:rPr>
          <w:rFonts w:ascii="Calibri" w:hAnsi="Calibri" w:hint="eastAsia"/>
          <w:b/>
          <w:bCs/>
          <w:rtl/>
        </w:rPr>
        <w:t>נ</w:t>
      </w:r>
      <w:r w:rsidRPr="00AA720B">
        <w:rPr>
          <w:rFonts w:ascii="Calibri" w:hAnsi="Calibri"/>
          <w:b/>
          <w:bCs/>
          <w:rtl/>
        </w:rPr>
        <w:t xml:space="preserve">' </w:t>
      </w:r>
      <w:r w:rsidRPr="00AA720B">
        <w:rPr>
          <w:rFonts w:ascii="Calibri" w:hAnsi="Calibri" w:hint="eastAsia"/>
          <w:b/>
          <w:bCs/>
          <w:rtl/>
        </w:rPr>
        <w:t>מדינת</w:t>
      </w:r>
      <w:r w:rsidRPr="00AA720B">
        <w:rPr>
          <w:rFonts w:ascii="Calibri" w:hAnsi="Calibri"/>
          <w:b/>
          <w:bCs/>
          <w:rtl/>
        </w:rPr>
        <w:t xml:space="preserve"> </w:t>
      </w:r>
      <w:r w:rsidRPr="00AA720B">
        <w:rPr>
          <w:rFonts w:ascii="Calibri" w:hAnsi="Calibri" w:hint="eastAsia"/>
          <w:b/>
          <w:bCs/>
          <w:rtl/>
        </w:rPr>
        <w:t>ישראל</w:t>
      </w:r>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rtl/>
        </w:rPr>
        <w:t xml:space="preserve">(02.04.2020) </w:t>
      </w:r>
      <w:r w:rsidRPr="00AA720B">
        <w:rPr>
          <w:rFonts w:ascii="Calibri" w:hAnsi="Calibri" w:hint="eastAsia"/>
          <w:rtl/>
        </w:rPr>
        <w:t>הפחית</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עונשו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רפי</w:t>
      </w:r>
      <w:r w:rsidRPr="00AA720B">
        <w:rPr>
          <w:rFonts w:ascii="Calibri" w:hAnsi="Calibri"/>
          <w:rtl/>
        </w:rPr>
        <w:t xml:space="preserve"> </w:t>
      </w:r>
      <w:r w:rsidRPr="00AA720B">
        <w:rPr>
          <w:rFonts w:ascii="Calibri" w:hAnsi="Calibri" w:hint="eastAsia"/>
          <w:rtl/>
        </w:rPr>
        <w:t>שלומוב</w:t>
      </w:r>
      <w:r w:rsidRPr="00AA720B">
        <w:rPr>
          <w:rFonts w:ascii="Calibri" w:hAnsi="Calibri"/>
          <w:rtl/>
        </w:rPr>
        <w:t xml:space="preserve"> </w:t>
      </w:r>
      <w:r w:rsidRPr="00AA720B">
        <w:rPr>
          <w:rFonts w:ascii="Calibri" w:hAnsi="Calibri" w:hint="eastAsia"/>
          <w:rtl/>
        </w:rPr>
        <w:t>שהורשע</w:t>
      </w:r>
      <w:r w:rsidRPr="00AA720B">
        <w:rPr>
          <w:rFonts w:ascii="Calibri" w:hAnsi="Calibri"/>
          <w:rtl/>
        </w:rPr>
        <w:t xml:space="preserve"> </w:t>
      </w:r>
      <w:r w:rsidRPr="00AA720B">
        <w:rPr>
          <w:rFonts w:ascii="Calibri" w:hAnsi="Calibri" w:hint="eastAsia"/>
          <w:rtl/>
        </w:rPr>
        <w:t>לאחר</w:t>
      </w:r>
      <w:r w:rsidRPr="00AA720B">
        <w:rPr>
          <w:rFonts w:ascii="Calibri" w:hAnsi="Calibri"/>
          <w:rtl/>
        </w:rPr>
        <w:t xml:space="preserve"> </w:t>
      </w:r>
      <w:r w:rsidRPr="00AA720B">
        <w:rPr>
          <w:rFonts w:ascii="Calibri" w:hAnsi="Calibri" w:hint="eastAsia"/>
          <w:rtl/>
        </w:rPr>
        <w:t>ניהול</w:t>
      </w:r>
      <w:r w:rsidRPr="00AA720B">
        <w:rPr>
          <w:rFonts w:ascii="Calibri" w:hAnsi="Calibri"/>
          <w:rtl/>
        </w:rPr>
        <w:t xml:space="preserve"> </w:t>
      </w:r>
      <w:r w:rsidRPr="00AA720B">
        <w:rPr>
          <w:rFonts w:ascii="Calibri" w:hAnsi="Calibri" w:hint="eastAsia"/>
          <w:rtl/>
        </w:rPr>
        <w:t>הוכחות</w:t>
      </w:r>
      <w:r w:rsidRPr="00AA720B">
        <w:rPr>
          <w:rFonts w:ascii="Calibri" w:hAnsi="Calibri"/>
          <w:rtl/>
        </w:rPr>
        <w:t xml:space="preserve"> </w:t>
      </w:r>
      <w:r w:rsidRPr="00AA720B">
        <w:rPr>
          <w:rFonts w:ascii="Calibri" w:hAnsi="Calibri" w:hint="eastAsia"/>
          <w:rtl/>
        </w:rPr>
        <w:t>בסיוע</w:t>
      </w:r>
      <w:r w:rsidRPr="00AA720B">
        <w:rPr>
          <w:rFonts w:ascii="Calibri" w:hAnsi="Calibri"/>
          <w:rtl/>
        </w:rPr>
        <w:t xml:space="preserve"> </w:t>
      </w:r>
      <w:r w:rsidRPr="00AA720B">
        <w:rPr>
          <w:rFonts w:ascii="Calibri" w:hAnsi="Calibri" w:hint="eastAsia"/>
          <w:rtl/>
        </w:rPr>
        <w:t>לרצח</w:t>
      </w:r>
      <w:r w:rsidRPr="00AA720B">
        <w:rPr>
          <w:rFonts w:ascii="Calibri" w:hAnsi="Calibri"/>
          <w:rtl/>
        </w:rPr>
        <w:t xml:space="preserve"> </w:t>
      </w:r>
      <w:r w:rsidRPr="00AA720B">
        <w:rPr>
          <w:rFonts w:ascii="Calibri" w:hAnsi="Calibri" w:hint="eastAsia"/>
          <w:rtl/>
        </w:rPr>
        <w:t>לאחר</w:t>
      </w:r>
      <w:r w:rsidRPr="00AA720B">
        <w:rPr>
          <w:rFonts w:ascii="Calibri" w:hAnsi="Calibri"/>
          <w:rtl/>
        </w:rPr>
        <w:t xml:space="preserve"> </w:t>
      </w:r>
      <w:r w:rsidRPr="00AA720B">
        <w:rPr>
          <w:rFonts w:ascii="Calibri" w:hAnsi="Calibri" w:hint="eastAsia"/>
          <w:rtl/>
        </w:rPr>
        <w:t>שהסיע</w:t>
      </w:r>
      <w:r w:rsidRPr="00AA720B">
        <w:rPr>
          <w:rFonts w:ascii="Calibri" w:hAnsi="Calibri"/>
          <w:rtl/>
        </w:rPr>
        <w:t xml:space="preserve"> </w:t>
      </w:r>
      <w:r w:rsidRPr="00AA720B">
        <w:rPr>
          <w:rFonts w:ascii="Calibri" w:hAnsi="Calibri" w:hint="eastAsia"/>
          <w:rtl/>
        </w:rPr>
        <w:t>שניים</w:t>
      </w:r>
      <w:r w:rsidRPr="00AA720B">
        <w:rPr>
          <w:rFonts w:ascii="Calibri" w:hAnsi="Calibri"/>
          <w:rtl/>
        </w:rPr>
        <w:t xml:space="preserve"> </w:t>
      </w:r>
      <w:r w:rsidRPr="00AA720B">
        <w:rPr>
          <w:rFonts w:ascii="Calibri" w:hAnsi="Calibri" w:hint="eastAsia"/>
          <w:rtl/>
        </w:rPr>
        <w:t>שהורשעו</w:t>
      </w:r>
      <w:r w:rsidRPr="00AA720B">
        <w:rPr>
          <w:rFonts w:ascii="Calibri" w:hAnsi="Calibri"/>
          <w:rtl/>
        </w:rPr>
        <w:t xml:space="preserve"> </w:t>
      </w:r>
      <w:r w:rsidRPr="00AA720B">
        <w:rPr>
          <w:rFonts w:ascii="Calibri" w:hAnsi="Calibri" w:hint="eastAsia"/>
          <w:rtl/>
        </w:rPr>
        <w:t>ברצח</w:t>
      </w:r>
      <w:r w:rsidRPr="00AA720B">
        <w:rPr>
          <w:rFonts w:ascii="Calibri" w:hAnsi="Calibri"/>
          <w:rtl/>
        </w:rPr>
        <w:t xml:space="preserve"> </w:t>
      </w:r>
      <w:r w:rsidRPr="00AA720B">
        <w:rPr>
          <w:rFonts w:ascii="Calibri" w:hAnsi="Calibri" w:hint="eastAsia"/>
          <w:rtl/>
        </w:rPr>
        <w:t>למקום</w:t>
      </w:r>
      <w:r w:rsidRPr="00AA720B">
        <w:rPr>
          <w:rFonts w:ascii="Calibri" w:hAnsi="Calibri"/>
          <w:rtl/>
        </w:rPr>
        <w:t xml:space="preserve"> </w:t>
      </w:r>
      <w:r w:rsidRPr="00AA720B">
        <w:rPr>
          <w:rFonts w:ascii="Calibri" w:hAnsi="Calibri" w:hint="eastAsia"/>
          <w:rtl/>
        </w:rPr>
        <w:t>ביצוע</w:t>
      </w:r>
      <w:r w:rsidRPr="00AA720B">
        <w:rPr>
          <w:rFonts w:ascii="Calibri" w:hAnsi="Calibri"/>
          <w:rtl/>
        </w:rPr>
        <w:t xml:space="preserve"> </w:t>
      </w:r>
      <w:r w:rsidRPr="00AA720B">
        <w:rPr>
          <w:rFonts w:ascii="Calibri" w:hAnsi="Calibri" w:hint="eastAsia"/>
          <w:rtl/>
        </w:rPr>
        <w:t>הרצח</w:t>
      </w:r>
      <w:r w:rsidR="00BB50D1" w:rsidRPr="00AA720B">
        <w:rPr>
          <w:rFonts w:ascii="Calibri" w:hAnsi="Calibri" w:hint="cs"/>
          <w:rtl/>
        </w:rPr>
        <w:t>,</w:t>
      </w:r>
      <w:r w:rsidRPr="00AA720B">
        <w:rPr>
          <w:rFonts w:ascii="Calibri" w:hAnsi="Calibri"/>
          <w:rtl/>
        </w:rPr>
        <w:t xml:space="preserve"> </w:t>
      </w:r>
      <w:r w:rsidRPr="00AA720B">
        <w:rPr>
          <w:rFonts w:ascii="Calibri" w:hAnsi="Calibri" w:hint="eastAsia"/>
          <w:rtl/>
        </w:rPr>
        <w:t>ביודעו</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מטרתם</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מבצעי</w:t>
      </w:r>
      <w:r w:rsidRPr="00AA720B">
        <w:rPr>
          <w:rFonts w:ascii="Calibri" w:hAnsi="Calibri"/>
          <w:rtl/>
        </w:rPr>
        <w:t xml:space="preserve"> </w:t>
      </w:r>
      <w:r w:rsidRPr="00AA720B">
        <w:rPr>
          <w:rFonts w:ascii="Calibri" w:hAnsi="Calibri" w:hint="eastAsia"/>
          <w:rtl/>
        </w:rPr>
        <w:t>הרצח</w:t>
      </w:r>
      <w:r w:rsidRPr="00AA720B">
        <w:rPr>
          <w:rFonts w:ascii="Calibri" w:hAnsi="Calibri"/>
          <w:rtl/>
        </w:rPr>
        <w:t xml:space="preserve"> </w:t>
      </w:r>
      <w:r w:rsidRPr="00AA720B">
        <w:rPr>
          <w:rFonts w:ascii="Calibri" w:hAnsi="Calibri" w:hint="eastAsia"/>
          <w:rtl/>
        </w:rPr>
        <w:t>להמית</w:t>
      </w:r>
      <w:r w:rsidRPr="00AA720B">
        <w:rPr>
          <w:rFonts w:ascii="Calibri" w:hAnsi="Calibri"/>
          <w:rtl/>
        </w:rPr>
        <w:t xml:space="preserve"> </w:t>
      </w:r>
      <w:r w:rsidRPr="00AA720B">
        <w:rPr>
          <w:rFonts w:ascii="Calibri" w:hAnsi="Calibri" w:hint="eastAsia"/>
          <w:rtl/>
        </w:rPr>
        <w:t>אדם</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קבע</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מתחם</w:t>
      </w:r>
      <w:r w:rsidRPr="00AA720B">
        <w:rPr>
          <w:rFonts w:ascii="Calibri" w:hAnsi="Calibri"/>
          <w:rtl/>
        </w:rPr>
        <w:t xml:space="preserve"> </w:t>
      </w:r>
      <w:r w:rsidRPr="00AA720B">
        <w:rPr>
          <w:rFonts w:ascii="Calibri" w:hAnsi="Calibri" w:hint="eastAsia"/>
          <w:rtl/>
        </w:rPr>
        <w:t>העונש</w:t>
      </w:r>
      <w:r w:rsidRPr="00AA720B">
        <w:rPr>
          <w:rFonts w:ascii="Calibri" w:hAnsi="Calibri"/>
          <w:rtl/>
        </w:rPr>
        <w:t xml:space="preserve"> </w:t>
      </w:r>
      <w:r w:rsidRPr="00AA720B">
        <w:rPr>
          <w:rFonts w:ascii="Calibri" w:hAnsi="Calibri" w:hint="eastAsia"/>
          <w:rtl/>
        </w:rPr>
        <w:t>ההולם</w:t>
      </w:r>
      <w:r w:rsidRPr="00AA720B">
        <w:rPr>
          <w:rFonts w:ascii="Calibri" w:hAnsi="Calibri"/>
          <w:rtl/>
        </w:rPr>
        <w:t xml:space="preserve"> </w:t>
      </w:r>
      <w:r w:rsidRPr="00AA720B">
        <w:rPr>
          <w:rFonts w:ascii="Calibri" w:hAnsi="Calibri" w:hint="eastAsia"/>
          <w:rtl/>
        </w:rPr>
        <w:t>בעניינו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רפי</w:t>
      </w:r>
      <w:r w:rsidRPr="00AA720B">
        <w:rPr>
          <w:rFonts w:ascii="Calibri" w:hAnsi="Calibri"/>
          <w:rtl/>
        </w:rPr>
        <w:t xml:space="preserve"> </w:t>
      </w:r>
      <w:r w:rsidRPr="00AA720B">
        <w:rPr>
          <w:rFonts w:ascii="Calibri" w:hAnsi="Calibri" w:hint="eastAsia"/>
          <w:rtl/>
        </w:rPr>
        <w:t>הינו</w:t>
      </w:r>
      <w:r w:rsidRPr="00AA720B">
        <w:rPr>
          <w:rFonts w:ascii="Calibri" w:hAnsi="Calibri"/>
          <w:rtl/>
        </w:rPr>
        <w:t xml:space="preserve"> </w:t>
      </w:r>
      <w:r w:rsidRPr="00AA720B">
        <w:rPr>
          <w:rFonts w:ascii="Calibri" w:hAnsi="Calibri" w:hint="eastAsia"/>
          <w:rtl/>
        </w:rPr>
        <w:t>בין</w:t>
      </w:r>
      <w:r w:rsidRPr="00AA720B">
        <w:rPr>
          <w:rFonts w:ascii="Calibri" w:hAnsi="Calibri"/>
          <w:rtl/>
        </w:rPr>
        <w:t xml:space="preserve"> 8 </w:t>
      </w:r>
      <w:r w:rsidRPr="00AA720B">
        <w:rPr>
          <w:rFonts w:ascii="Calibri" w:hAnsi="Calibri" w:hint="eastAsia"/>
          <w:rtl/>
        </w:rPr>
        <w:t>ל</w:t>
      </w:r>
      <w:r w:rsidRPr="00AA720B">
        <w:rPr>
          <w:rFonts w:ascii="Calibri" w:hAnsi="Calibri"/>
          <w:rtl/>
        </w:rPr>
        <w:t xml:space="preserve">-13 </w:t>
      </w:r>
      <w:r w:rsidRPr="00AA720B">
        <w:rPr>
          <w:rFonts w:ascii="Calibri" w:hAnsi="Calibri" w:hint="eastAsia"/>
          <w:rtl/>
        </w:rPr>
        <w:t>שנות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ובגדרו</w:t>
      </w:r>
      <w:r w:rsidRPr="00AA720B">
        <w:rPr>
          <w:rFonts w:ascii="Calibri" w:hAnsi="Calibri"/>
          <w:rtl/>
        </w:rPr>
        <w:t xml:space="preserve"> </w:t>
      </w:r>
      <w:r w:rsidRPr="00AA720B">
        <w:rPr>
          <w:rFonts w:ascii="Calibri" w:hAnsi="Calibri" w:hint="eastAsia"/>
          <w:rtl/>
        </w:rPr>
        <w:t>גזר</w:t>
      </w:r>
      <w:r w:rsidRPr="00AA720B">
        <w:rPr>
          <w:rFonts w:ascii="Calibri" w:hAnsi="Calibri"/>
          <w:rtl/>
        </w:rPr>
        <w:t xml:space="preserve"> </w:t>
      </w:r>
      <w:r w:rsidRPr="00AA720B">
        <w:rPr>
          <w:rFonts w:ascii="Calibri" w:hAnsi="Calibri" w:hint="eastAsia"/>
          <w:rtl/>
        </w:rPr>
        <w:t>עליו</w:t>
      </w:r>
      <w:r w:rsidRPr="00AA720B">
        <w:rPr>
          <w:rFonts w:ascii="Calibri" w:hAnsi="Calibri"/>
          <w:rtl/>
        </w:rPr>
        <w:t xml:space="preserve"> </w:t>
      </w:r>
      <w:r w:rsidRPr="00AA720B">
        <w:rPr>
          <w:rFonts w:ascii="Calibri" w:hAnsi="Calibri" w:hint="eastAsia"/>
          <w:rtl/>
        </w:rPr>
        <w:t>עונש</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9 </w:t>
      </w:r>
      <w:r w:rsidRPr="00AA720B">
        <w:rPr>
          <w:rFonts w:ascii="Calibri" w:hAnsi="Calibri" w:hint="eastAsia"/>
          <w:rtl/>
        </w:rPr>
        <w:t>שנות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לריצוי</w:t>
      </w:r>
      <w:r w:rsidRPr="00AA720B">
        <w:rPr>
          <w:rFonts w:ascii="Calibri" w:hAnsi="Calibri"/>
          <w:rtl/>
        </w:rPr>
        <w:t xml:space="preserve"> </w:t>
      </w:r>
      <w:r w:rsidRPr="00AA720B">
        <w:rPr>
          <w:rFonts w:ascii="Calibri" w:hAnsi="Calibri" w:hint="eastAsia"/>
          <w:rtl/>
        </w:rPr>
        <w:t>בפועל</w:t>
      </w:r>
      <w:r w:rsidRPr="00AA720B">
        <w:rPr>
          <w:rFonts w:ascii="Calibri" w:hAnsi="Calibri"/>
          <w:rtl/>
        </w:rPr>
        <w:t xml:space="preserve"> </w:t>
      </w:r>
      <w:r w:rsidRPr="00AA720B">
        <w:rPr>
          <w:rFonts w:ascii="Calibri" w:hAnsi="Calibri" w:hint="eastAsia"/>
          <w:rtl/>
        </w:rPr>
        <w:t>תחת</w:t>
      </w:r>
      <w:r w:rsidRPr="00AA720B">
        <w:rPr>
          <w:rFonts w:ascii="Calibri" w:hAnsi="Calibri"/>
          <w:rtl/>
        </w:rPr>
        <w:t xml:space="preserve"> 13 </w:t>
      </w:r>
      <w:r w:rsidRPr="00AA720B">
        <w:rPr>
          <w:rFonts w:ascii="Calibri" w:hAnsi="Calibri" w:hint="eastAsia"/>
          <w:rtl/>
        </w:rPr>
        <w:t>שנות</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אשר</w:t>
      </w:r>
      <w:r w:rsidRPr="00AA720B">
        <w:rPr>
          <w:rFonts w:ascii="Calibri" w:hAnsi="Calibri"/>
          <w:rtl/>
        </w:rPr>
        <w:t xml:space="preserve"> </w:t>
      </w:r>
      <w:r w:rsidRPr="00AA720B">
        <w:rPr>
          <w:rFonts w:ascii="Calibri" w:hAnsi="Calibri" w:hint="eastAsia"/>
          <w:rtl/>
        </w:rPr>
        <w:t>הושתו</w:t>
      </w:r>
      <w:r w:rsidRPr="00AA720B">
        <w:rPr>
          <w:rFonts w:ascii="Calibri" w:hAnsi="Calibri"/>
          <w:rtl/>
        </w:rPr>
        <w:t xml:space="preserve"> </w:t>
      </w:r>
      <w:r w:rsidRPr="00AA720B">
        <w:rPr>
          <w:rFonts w:ascii="Calibri" w:hAnsi="Calibri" w:hint="eastAsia"/>
          <w:rtl/>
        </w:rPr>
        <w:t>עליו</w:t>
      </w:r>
      <w:r w:rsidRPr="00AA720B">
        <w:rPr>
          <w:rFonts w:ascii="Calibri" w:hAnsi="Calibri"/>
          <w:rtl/>
        </w:rPr>
        <w:t xml:space="preserve"> </w:t>
      </w:r>
      <w:r w:rsidRPr="00AA720B">
        <w:rPr>
          <w:rFonts w:ascii="Calibri" w:hAnsi="Calibri" w:hint="eastAsia"/>
          <w:rtl/>
        </w:rPr>
        <w:t>בבית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המחוזי</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נימק</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קביעתו</w:t>
      </w:r>
      <w:r w:rsidRPr="00AA720B">
        <w:rPr>
          <w:rFonts w:ascii="Calibri" w:hAnsi="Calibri"/>
          <w:rtl/>
        </w:rPr>
        <w:t xml:space="preserve"> </w:t>
      </w:r>
      <w:r w:rsidRPr="00AA720B">
        <w:rPr>
          <w:rFonts w:ascii="Calibri" w:hAnsi="Calibri" w:hint="eastAsia"/>
          <w:rtl/>
        </w:rPr>
        <w:t>במעורבותו</w:t>
      </w:r>
      <w:r w:rsidRPr="00AA720B">
        <w:rPr>
          <w:rFonts w:ascii="Calibri" w:hAnsi="Calibri"/>
          <w:rtl/>
        </w:rPr>
        <w:t xml:space="preserve"> </w:t>
      </w:r>
      <w:r w:rsidRPr="00AA720B">
        <w:rPr>
          <w:rFonts w:ascii="Calibri" w:hAnsi="Calibri" w:hint="eastAsia"/>
          <w:rtl/>
        </w:rPr>
        <w:t>המוגבלת</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אותו</w:t>
      </w:r>
      <w:r w:rsidRPr="00AA720B">
        <w:rPr>
          <w:rFonts w:ascii="Calibri" w:hAnsi="Calibri"/>
          <w:rtl/>
        </w:rPr>
        <w:t xml:space="preserve"> </w:t>
      </w:r>
      <w:r w:rsidRPr="00AA720B">
        <w:rPr>
          <w:rFonts w:ascii="Calibri" w:hAnsi="Calibri" w:hint="eastAsia"/>
          <w:rtl/>
        </w:rPr>
        <w:t>רפי</w:t>
      </w:r>
      <w:r w:rsidRPr="00AA720B">
        <w:rPr>
          <w:rFonts w:ascii="Calibri" w:hAnsi="Calibri"/>
          <w:rtl/>
        </w:rPr>
        <w:t xml:space="preserve"> </w:t>
      </w:r>
      <w:r w:rsidRPr="00AA720B">
        <w:rPr>
          <w:rFonts w:ascii="Calibri" w:hAnsi="Calibri" w:hint="eastAsia"/>
          <w:rtl/>
        </w:rPr>
        <w:t>בביצוע</w:t>
      </w:r>
      <w:r w:rsidRPr="00AA720B">
        <w:rPr>
          <w:rFonts w:ascii="Calibri" w:hAnsi="Calibri"/>
          <w:rtl/>
        </w:rPr>
        <w:t xml:space="preserve"> </w:t>
      </w:r>
      <w:r w:rsidRPr="00AA720B">
        <w:rPr>
          <w:rFonts w:ascii="Calibri" w:hAnsi="Calibri" w:hint="eastAsia"/>
          <w:rtl/>
        </w:rPr>
        <w:t>הרצח</w:t>
      </w:r>
      <w:r w:rsidRPr="00AA720B">
        <w:rPr>
          <w:rFonts w:ascii="Calibri" w:hAnsi="Calibri"/>
          <w:rtl/>
        </w:rPr>
        <w:t xml:space="preserve"> </w:t>
      </w:r>
      <w:r w:rsidRPr="00AA720B">
        <w:rPr>
          <w:rFonts w:ascii="Calibri" w:hAnsi="Calibri" w:hint="eastAsia"/>
          <w:rtl/>
        </w:rPr>
        <w:t>ובכך</w:t>
      </w:r>
      <w:r w:rsidRPr="00AA720B">
        <w:rPr>
          <w:rFonts w:ascii="Calibri" w:hAnsi="Calibri"/>
          <w:rtl/>
        </w:rPr>
        <w:t xml:space="preserve"> </w:t>
      </w:r>
      <w:r w:rsidRPr="00AA720B">
        <w:rPr>
          <w:rFonts w:ascii="Calibri" w:hAnsi="Calibri" w:hint="eastAsia"/>
          <w:rtl/>
        </w:rPr>
        <w:t>שמיקומו</w:t>
      </w:r>
      <w:r w:rsidRPr="00AA720B">
        <w:rPr>
          <w:rFonts w:ascii="Calibri" w:hAnsi="Calibri"/>
          <w:rtl/>
        </w:rPr>
        <w:t xml:space="preserve"> </w:t>
      </w:r>
      <w:r w:rsidRPr="00AA720B">
        <w:rPr>
          <w:rFonts w:ascii="Calibri" w:hAnsi="Calibri" w:hint="eastAsia"/>
          <w:rtl/>
        </w:rPr>
        <w:t>בחלק</w:t>
      </w:r>
      <w:r w:rsidRPr="00AA720B">
        <w:rPr>
          <w:rFonts w:ascii="Calibri" w:hAnsi="Calibri"/>
          <w:rtl/>
        </w:rPr>
        <w:t xml:space="preserve"> </w:t>
      </w:r>
      <w:r w:rsidRPr="00AA720B">
        <w:rPr>
          <w:rFonts w:ascii="Calibri" w:hAnsi="Calibri" w:hint="eastAsia"/>
          <w:rtl/>
        </w:rPr>
        <w:t>התחתון</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מנעד</w:t>
      </w:r>
      <w:r w:rsidRPr="00AA720B">
        <w:rPr>
          <w:rFonts w:ascii="Calibri" w:hAnsi="Calibri"/>
          <w:rtl/>
        </w:rPr>
        <w:t xml:space="preserve"> </w:t>
      </w:r>
      <w:r w:rsidRPr="00AA720B">
        <w:rPr>
          <w:rFonts w:ascii="Calibri" w:hAnsi="Calibri" w:hint="eastAsia"/>
          <w:rtl/>
        </w:rPr>
        <w:t>המסייע</w:t>
      </w:r>
      <w:r w:rsidRPr="00AA720B">
        <w:rPr>
          <w:rFonts w:ascii="Calibri" w:hAnsi="Calibri"/>
          <w:rtl/>
        </w:rPr>
        <w:t xml:space="preserve">. </w:t>
      </w:r>
      <w:r w:rsidR="004C44BA" w:rsidRPr="00AA720B">
        <w:rPr>
          <w:rFonts w:ascii="Calibri" w:hAnsi="Calibri" w:hint="cs"/>
          <w:rtl/>
        </w:rPr>
        <w:t>עוד</w:t>
      </w:r>
      <w:r w:rsidRPr="00AA720B">
        <w:rPr>
          <w:rFonts w:ascii="Calibri" w:hAnsi="Calibri"/>
          <w:rtl/>
        </w:rPr>
        <w:t xml:space="preserve"> </w:t>
      </w:r>
      <w:r w:rsidRPr="00AA720B">
        <w:rPr>
          <w:rFonts w:ascii="Calibri" w:hAnsi="Calibri" w:hint="eastAsia"/>
          <w:rtl/>
        </w:rPr>
        <w:t>צוין</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נסיבותיו</w:t>
      </w:r>
      <w:r w:rsidRPr="00AA720B">
        <w:rPr>
          <w:rFonts w:ascii="Calibri" w:hAnsi="Calibri"/>
          <w:rtl/>
        </w:rPr>
        <w:t xml:space="preserve"> </w:t>
      </w:r>
      <w:r w:rsidRPr="00AA720B">
        <w:rPr>
          <w:rFonts w:ascii="Calibri" w:hAnsi="Calibri" w:hint="eastAsia"/>
          <w:rtl/>
        </w:rPr>
        <w:t>האישיות</w:t>
      </w:r>
      <w:r w:rsidRPr="00AA720B">
        <w:rPr>
          <w:rFonts w:ascii="Calibri" w:hAnsi="Calibri"/>
          <w:rtl/>
        </w:rPr>
        <w:t xml:space="preserve"> (</w:t>
      </w:r>
      <w:r w:rsidRPr="00AA720B">
        <w:rPr>
          <w:rFonts w:ascii="Calibri" w:hAnsi="Calibri" w:hint="eastAsia"/>
          <w:rtl/>
        </w:rPr>
        <w:t>בין</w:t>
      </w:r>
      <w:r w:rsidRPr="00AA720B">
        <w:rPr>
          <w:rFonts w:ascii="Calibri" w:hAnsi="Calibri"/>
          <w:rtl/>
        </w:rPr>
        <w:t xml:space="preserve"> </w:t>
      </w:r>
      <w:r w:rsidRPr="00AA720B">
        <w:rPr>
          <w:rFonts w:ascii="Calibri" w:hAnsi="Calibri" w:hint="eastAsia"/>
          <w:rtl/>
        </w:rPr>
        <w:t>היתר</w:t>
      </w:r>
      <w:r w:rsidRPr="00AA720B">
        <w:rPr>
          <w:rFonts w:ascii="Calibri" w:hAnsi="Calibri"/>
          <w:rtl/>
        </w:rPr>
        <w:t xml:space="preserve"> </w:t>
      </w:r>
      <w:r w:rsidRPr="00AA720B">
        <w:rPr>
          <w:rFonts w:ascii="Calibri" w:hAnsi="Calibri" w:hint="eastAsia"/>
          <w:rtl/>
        </w:rPr>
        <w:t>עבר</w:t>
      </w:r>
      <w:r w:rsidRPr="00AA720B">
        <w:rPr>
          <w:rFonts w:ascii="Calibri" w:hAnsi="Calibri"/>
          <w:rtl/>
        </w:rPr>
        <w:t xml:space="preserve"> </w:t>
      </w:r>
      <w:r w:rsidRPr="00AA720B">
        <w:rPr>
          <w:rFonts w:ascii="Calibri" w:hAnsi="Calibri" w:hint="eastAsia"/>
          <w:rtl/>
        </w:rPr>
        <w:t>פלילי</w:t>
      </w:r>
      <w:r w:rsidRPr="00AA720B">
        <w:rPr>
          <w:rFonts w:ascii="Calibri" w:hAnsi="Calibri"/>
          <w:rtl/>
        </w:rPr>
        <w:t xml:space="preserve"> </w:t>
      </w:r>
      <w:r w:rsidRPr="00AA720B">
        <w:rPr>
          <w:rFonts w:ascii="Calibri" w:hAnsi="Calibri" w:hint="eastAsia"/>
          <w:rtl/>
        </w:rPr>
        <w:t>דל</w:t>
      </w:r>
      <w:r w:rsidRPr="00AA720B">
        <w:rPr>
          <w:rFonts w:ascii="Calibri" w:hAnsi="Calibri"/>
          <w:rtl/>
        </w:rPr>
        <w:t xml:space="preserve">) </w:t>
      </w:r>
      <w:r w:rsidRPr="00AA720B">
        <w:rPr>
          <w:rFonts w:ascii="Calibri" w:hAnsi="Calibri" w:hint="eastAsia"/>
          <w:rtl/>
        </w:rPr>
        <w:t>אין</w:t>
      </w:r>
      <w:r w:rsidRPr="00AA720B">
        <w:rPr>
          <w:rFonts w:ascii="Calibri" w:hAnsi="Calibri"/>
          <w:rtl/>
        </w:rPr>
        <w:t xml:space="preserve"> </w:t>
      </w:r>
      <w:r w:rsidRPr="00AA720B">
        <w:rPr>
          <w:rFonts w:ascii="Calibri" w:hAnsi="Calibri" w:hint="eastAsia"/>
          <w:rtl/>
        </w:rPr>
        <w:t>בהן</w:t>
      </w:r>
      <w:r w:rsidRPr="00AA720B">
        <w:rPr>
          <w:rFonts w:ascii="Calibri" w:hAnsi="Calibri"/>
          <w:rtl/>
        </w:rPr>
        <w:t xml:space="preserve"> </w:t>
      </w:r>
      <w:r w:rsidRPr="00AA720B">
        <w:rPr>
          <w:rFonts w:ascii="Calibri" w:hAnsi="Calibri" w:hint="eastAsia"/>
          <w:rtl/>
        </w:rPr>
        <w:t>כדי</w:t>
      </w:r>
      <w:r w:rsidRPr="00AA720B">
        <w:rPr>
          <w:rFonts w:ascii="Calibri" w:hAnsi="Calibri"/>
          <w:rtl/>
        </w:rPr>
        <w:t xml:space="preserve"> </w:t>
      </w:r>
      <w:r w:rsidRPr="00AA720B">
        <w:rPr>
          <w:rFonts w:ascii="Calibri" w:hAnsi="Calibri" w:hint="eastAsia"/>
          <w:rtl/>
        </w:rPr>
        <w:t>להצדיק</w:t>
      </w:r>
      <w:r w:rsidRPr="00AA720B">
        <w:rPr>
          <w:rFonts w:ascii="Calibri" w:hAnsi="Calibri"/>
          <w:rtl/>
        </w:rPr>
        <w:t xml:space="preserve"> </w:t>
      </w:r>
      <w:r w:rsidRPr="00AA720B">
        <w:rPr>
          <w:rFonts w:ascii="Calibri" w:hAnsi="Calibri" w:hint="eastAsia"/>
          <w:rtl/>
        </w:rPr>
        <w:t>ענישה</w:t>
      </w:r>
      <w:r w:rsidRPr="00AA720B">
        <w:rPr>
          <w:rFonts w:ascii="Calibri" w:hAnsi="Calibri"/>
          <w:rtl/>
        </w:rPr>
        <w:t xml:space="preserve"> </w:t>
      </w:r>
      <w:r w:rsidRPr="00AA720B">
        <w:rPr>
          <w:rFonts w:ascii="Calibri" w:hAnsi="Calibri" w:hint="eastAsia"/>
          <w:rtl/>
        </w:rPr>
        <w:t>בצד</w:t>
      </w:r>
      <w:r w:rsidRPr="00AA720B">
        <w:rPr>
          <w:rFonts w:ascii="Calibri" w:hAnsi="Calibri"/>
          <w:rtl/>
        </w:rPr>
        <w:t xml:space="preserve"> </w:t>
      </w:r>
      <w:r w:rsidRPr="00AA720B">
        <w:rPr>
          <w:rFonts w:ascii="Calibri" w:hAnsi="Calibri" w:hint="eastAsia"/>
          <w:rtl/>
        </w:rPr>
        <w:t>המחמיר</w:t>
      </w:r>
      <w:r w:rsidRPr="00AA720B">
        <w:rPr>
          <w:rFonts w:ascii="Calibri" w:hAnsi="Calibri"/>
          <w:rtl/>
        </w:rPr>
        <w:t xml:space="preserve">. </w:t>
      </w:r>
      <w:r w:rsidRPr="00AA720B">
        <w:rPr>
          <w:rFonts w:ascii="Calibri" w:hAnsi="Calibri" w:hint="eastAsia"/>
          <w:rtl/>
        </w:rPr>
        <w:t>כאן</w:t>
      </w:r>
      <w:r w:rsidRPr="00AA720B">
        <w:rPr>
          <w:rFonts w:ascii="Calibri" w:hAnsi="Calibri"/>
          <w:rtl/>
        </w:rPr>
        <w:t xml:space="preserve">, </w:t>
      </w:r>
      <w:r w:rsidRPr="00AA720B">
        <w:rPr>
          <w:rFonts w:ascii="Calibri" w:hAnsi="Calibri" w:hint="eastAsia"/>
          <w:rtl/>
        </w:rPr>
        <w:t>בשונה</w:t>
      </w:r>
      <w:r w:rsidRPr="00AA720B">
        <w:rPr>
          <w:rFonts w:ascii="Calibri" w:hAnsi="Calibri"/>
          <w:rtl/>
        </w:rPr>
        <w:t xml:space="preserve"> </w:t>
      </w:r>
      <w:r w:rsidRPr="00AA720B">
        <w:rPr>
          <w:rFonts w:ascii="Calibri" w:hAnsi="Calibri" w:hint="eastAsia"/>
          <w:rtl/>
        </w:rPr>
        <w:t>משם</w:t>
      </w:r>
      <w:r w:rsidRPr="00AA720B">
        <w:rPr>
          <w:rFonts w:ascii="Calibri" w:hAnsi="Calibri"/>
          <w:rtl/>
        </w:rPr>
        <w:t xml:space="preserve">, </w:t>
      </w:r>
      <w:r w:rsidRPr="00AA720B">
        <w:rPr>
          <w:rFonts w:ascii="Calibri" w:hAnsi="Calibri" w:hint="eastAsia"/>
          <w:rtl/>
        </w:rPr>
        <w:t>לפנינו</w:t>
      </w:r>
      <w:r w:rsidRPr="00AA720B">
        <w:rPr>
          <w:rFonts w:ascii="Calibri" w:hAnsi="Calibri"/>
          <w:rtl/>
        </w:rPr>
        <w:t xml:space="preserve"> </w:t>
      </w:r>
      <w:r w:rsidRPr="00AA720B">
        <w:rPr>
          <w:rFonts w:ascii="Calibri" w:hAnsi="Calibri" w:hint="eastAsia"/>
          <w:rtl/>
        </w:rPr>
        <w:t>נאשם</w:t>
      </w:r>
      <w:r w:rsidRPr="00AA720B">
        <w:rPr>
          <w:rFonts w:ascii="Calibri" w:hAnsi="Calibri"/>
          <w:rtl/>
        </w:rPr>
        <w:t xml:space="preserve"> </w:t>
      </w:r>
      <w:r w:rsidRPr="00AA720B">
        <w:rPr>
          <w:rFonts w:ascii="Calibri" w:hAnsi="Calibri" w:hint="eastAsia"/>
          <w:rtl/>
        </w:rPr>
        <w:t>בעל</w:t>
      </w:r>
      <w:r w:rsidRPr="00AA720B">
        <w:rPr>
          <w:rFonts w:ascii="Calibri" w:hAnsi="Calibri"/>
          <w:rtl/>
        </w:rPr>
        <w:t xml:space="preserve"> </w:t>
      </w:r>
      <w:r w:rsidRPr="00AA720B">
        <w:rPr>
          <w:rFonts w:ascii="Calibri" w:hAnsi="Calibri" w:hint="eastAsia"/>
          <w:rtl/>
        </w:rPr>
        <w:t>עבר</w:t>
      </w:r>
      <w:r w:rsidRPr="00AA720B">
        <w:rPr>
          <w:rFonts w:ascii="Calibri" w:hAnsi="Calibri"/>
          <w:rtl/>
        </w:rPr>
        <w:t xml:space="preserve"> </w:t>
      </w:r>
      <w:r w:rsidRPr="00AA720B">
        <w:rPr>
          <w:rFonts w:ascii="Calibri" w:hAnsi="Calibri" w:hint="eastAsia"/>
          <w:rtl/>
        </w:rPr>
        <w:t>פלילי</w:t>
      </w:r>
      <w:r w:rsidRPr="00AA720B">
        <w:rPr>
          <w:rFonts w:ascii="Calibri" w:hAnsi="Calibri"/>
          <w:rtl/>
        </w:rPr>
        <w:t xml:space="preserve"> </w:t>
      </w:r>
      <w:r w:rsidRPr="00AA720B">
        <w:rPr>
          <w:rFonts w:ascii="Calibri" w:hAnsi="Calibri" w:hint="eastAsia"/>
          <w:rtl/>
        </w:rPr>
        <w:t>בעבירות</w:t>
      </w:r>
      <w:r w:rsidRPr="00AA720B">
        <w:rPr>
          <w:rFonts w:ascii="Calibri" w:hAnsi="Calibri"/>
          <w:rtl/>
        </w:rPr>
        <w:t xml:space="preserve"> </w:t>
      </w:r>
      <w:r w:rsidRPr="00AA720B">
        <w:rPr>
          <w:rFonts w:ascii="Calibri" w:hAnsi="Calibri" w:hint="eastAsia"/>
          <w:rtl/>
        </w:rPr>
        <w:t>דומות</w:t>
      </w:r>
      <w:r w:rsidRPr="00AA720B">
        <w:rPr>
          <w:rFonts w:ascii="Calibri" w:hAnsi="Calibri"/>
          <w:rtl/>
        </w:rPr>
        <w:t xml:space="preserve">, </w:t>
      </w:r>
      <w:r w:rsidRPr="00AA720B">
        <w:rPr>
          <w:rFonts w:ascii="Calibri" w:hAnsi="Calibri" w:hint="eastAsia"/>
          <w:rtl/>
        </w:rPr>
        <w:t>ואף</w:t>
      </w:r>
      <w:r w:rsidRPr="00AA720B">
        <w:rPr>
          <w:rFonts w:ascii="Calibri" w:hAnsi="Calibri"/>
          <w:rtl/>
        </w:rPr>
        <w:t xml:space="preserve"> </w:t>
      </w:r>
      <w:r w:rsidRPr="00AA720B">
        <w:rPr>
          <w:rFonts w:ascii="Calibri" w:hAnsi="Calibri" w:hint="eastAsia"/>
          <w:rtl/>
        </w:rPr>
        <w:t>כאמור</w:t>
      </w:r>
      <w:r w:rsidRPr="00AA720B">
        <w:rPr>
          <w:rFonts w:ascii="Calibri" w:hAnsi="Calibri"/>
          <w:rtl/>
        </w:rPr>
        <w:t xml:space="preserve"> </w:t>
      </w:r>
      <w:r w:rsidRPr="00AA720B">
        <w:rPr>
          <w:rFonts w:ascii="Calibri" w:hAnsi="Calibri" w:hint="eastAsia"/>
          <w:rtl/>
        </w:rPr>
        <w:t>מעורבותו</w:t>
      </w:r>
      <w:r w:rsidRPr="00AA720B">
        <w:rPr>
          <w:rFonts w:ascii="Calibri" w:hAnsi="Calibri"/>
          <w:rtl/>
        </w:rPr>
        <w:t xml:space="preserve"> </w:t>
      </w:r>
      <w:r w:rsidRPr="00AA720B">
        <w:rPr>
          <w:rFonts w:ascii="Calibri" w:hAnsi="Calibri" w:hint="eastAsia"/>
          <w:rtl/>
        </w:rPr>
        <w:t>יחד</w:t>
      </w:r>
      <w:r w:rsidRPr="00AA720B">
        <w:rPr>
          <w:rFonts w:ascii="Calibri" w:hAnsi="Calibri"/>
          <w:rtl/>
        </w:rPr>
        <w:t xml:space="preserve"> </w:t>
      </w:r>
      <w:r w:rsidRPr="00AA720B">
        <w:rPr>
          <w:rFonts w:ascii="Calibri" w:hAnsi="Calibri" w:hint="eastAsia"/>
          <w:rtl/>
        </w:rPr>
        <w:t>עם</w:t>
      </w:r>
      <w:r w:rsidRPr="00AA720B">
        <w:rPr>
          <w:rFonts w:ascii="Calibri" w:hAnsi="Calibri"/>
          <w:rtl/>
        </w:rPr>
        <w:t xml:space="preserve"> </w:t>
      </w:r>
      <w:r w:rsidRPr="00AA720B">
        <w:rPr>
          <w:rFonts w:ascii="Calibri" w:hAnsi="Calibri" w:hint="eastAsia"/>
          <w:rtl/>
        </w:rPr>
        <w:t>האחרים</w:t>
      </w:r>
      <w:r w:rsidRPr="00AA720B">
        <w:rPr>
          <w:rFonts w:ascii="Calibri" w:hAnsi="Calibri"/>
          <w:rtl/>
        </w:rPr>
        <w:t xml:space="preserve">, </w:t>
      </w:r>
      <w:r w:rsidRPr="00AA720B">
        <w:rPr>
          <w:rFonts w:ascii="Calibri" w:hAnsi="Calibri" w:hint="eastAsia"/>
          <w:rtl/>
        </w:rPr>
        <w:t>הקשר</w:t>
      </w:r>
      <w:r w:rsidRPr="00AA720B">
        <w:rPr>
          <w:rFonts w:ascii="Calibri" w:hAnsi="Calibri"/>
          <w:rtl/>
        </w:rPr>
        <w:t xml:space="preserve"> </w:t>
      </w:r>
      <w:r w:rsidRPr="00AA720B">
        <w:rPr>
          <w:rFonts w:ascii="Calibri" w:hAnsi="Calibri" w:hint="eastAsia"/>
          <w:rtl/>
        </w:rPr>
        <w:t>עמם</w:t>
      </w:r>
      <w:r w:rsidRPr="00AA720B">
        <w:rPr>
          <w:rFonts w:ascii="Calibri" w:hAnsi="Calibri"/>
          <w:rtl/>
        </w:rPr>
        <w:t xml:space="preserve">, </w:t>
      </w:r>
      <w:r w:rsidRPr="00AA720B">
        <w:rPr>
          <w:rFonts w:ascii="Calibri" w:hAnsi="Calibri" w:hint="eastAsia"/>
          <w:rtl/>
        </w:rPr>
        <w:t>וחלקו</w:t>
      </w:r>
      <w:r w:rsidRPr="00AA720B">
        <w:rPr>
          <w:rFonts w:ascii="Calibri" w:hAnsi="Calibri"/>
          <w:rtl/>
        </w:rPr>
        <w:t xml:space="preserve"> </w:t>
      </w:r>
      <w:r w:rsidRPr="00AA720B">
        <w:rPr>
          <w:rFonts w:ascii="Calibri" w:hAnsi="Calibri" w:hint="eastAsia"/>
          <w:rtl/>
        </w:rPr>
        <w:t>בתוך</w:t>
      </w:r>
      <w:r w:rsidRPr="00AA720B">
        <w:rPr>
          <w:rFonts w:ascii="Calibri" w:hAnsi="Calibri"/>
          <w:rtl/>
        </w:rPr>
        <w:t xml:space="preserve"> </w:t>
      </w:r>
      <w:r w:rsidRPr="00AA720B">
        <w:rPr>
          <w:rFonts w:ascii="Calibri" w:hAnsi="Calibri" w:hint="eastAsia"/>
          <w:rtl/>
        </w:rPr>
        <w:t>אותו</w:t>
      </w:r>
      <w:r w:rsidRPr="00AA720B">
        <w:rPr>
          <w:rFonts w:ascii="Calibri" w:hAnsi="Calibri"/>
          <w:rtl/>
        </w:rPr>
        <w:t xml:space="preserve"> </w:t>
      </w:r>
      <w:r w:rsidRPr="00AA720B">
        <w:rPr>
          <w:rFonts w:ascii="Calibri" w:hAnsi="Calibri" w:hint="eastAsia"/>
          <w:rtl/>
        </w:rPr>
        <w:t>קשר</w:t>
      </w:r>
      <w:r w:rsidRPr="00AA720B">
        <w:rPr>
          <w:rFonts w:ascii="Calibri" w:hAnsi="Calibri"/>
          <w:rtl/>
        </w:rPr>
        <w:t xml:space="preserve"> </w:t>
      </w:r>
      <w:r w:rsidRPr="00AA720B">
        <w:rPr>
          <w:rFonts w:ascii="Calibri" w:hAnsi="Calibri" w:hint="eastAsia"/>
          <w:rtl/>
        </w:rPr>
        <w:t>מציבים</w:t>
      </w:r>
      <w:r w:rsidRPr="00AA720B">
        <w:rPr>
          <w:rFonts w:ascii="Calibri" w:hAnsi="Calibri"/>
          <w:rtl/>
        </w:rPr>
        <w:t xml:space="preserve"> </w:t>
      </w:r>
      <w:r w:rsidRPr="00AA720B">
        <w:rPr>
          <w:rFonts w:ascii="Calibri" w:hAnsi="Calibri" w:hint="eastAsia"/>
          <w:rtl/>
        </w:rPr>
        <w:t>אותו</w:t>
      </w:r>
      <w:r w:rsidRPr="00AA720B">
        <w:rPr>
          <w:rFonts w:ascii="Calibri" w:hAnsi="Calibri"/>
          <w:rtl/>
        </w:rPr>
        <w:t xml:space="preserve"> </w:t>
      </w:r>
      <w:r w:rsidRPr="00AA720B">
        <w:rPr>
          <w:rFonts w:ascii="Calibri" w:hAnsi="Calibri" w:hint="eastAsia"/>
          <w:rtl/>
        </w:rPr>
        <w:t>בחלקו</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מנעד</w:t>
      </w:r>
      <w:r w:rsidRPr="00AA720B">
        <w:rPr>
          <w:rFonts w:ascii="Calibri" w:hAnsi="Calibri"/>
          <w:rtl/>
        </w:rPr>
        <w:t xml:space="preserve"> </w:t>
      </w:r>
      <w:r w:rsidRPr="00AA720B">
        <w:rPr>
          <w:rFonts w:ascii="Calibri" w:hAnsi="Calibri" w:hint="eastAsia"/>
          <w:rtl/>
        </w:rPr>
        <w:t>המסייע</w:t>
      </w:r>
      <w:r w:rsidR="004C44BA" w:rsidRPr="00AA720B">
        <w:rPr>
          <w:rFonts w:ascii="Calibri" w:hAnsi="Calibri" w:hint="cs"/>
          <w:rtl/>
        </w:rPr>
        <w:t>ים</w:t>
      </w:r>
      <w:r w:rsidRPr="00AA720B">
        <w:rPr>
          <w:rFonts w:ascii="Calibri" w:hAnsi="Calibri"/>
          <w:rtl/>
        </w:rPr>
        <w:t xml:space="preserve">, </w:t>
      </w:r>
      <w:r w:rsidR="004C44BA" w:rsidRPr="00AA720B">
        <w:rPr>
          <w:rFonts w:ascii="Calibri" w:hAnsi="Calibri" w:hint="cs"/>
          <w:rtl/>
        </w:rPr>
        <w:t>באופן ה</w:t>
      </w:r>
      <w:r w:rsidRPr="00AA720B">
        <w:rPr>
          <w:rFonts w:ascii="Calibri" w:hAnsi="Calibri" w:hint="eastAsia"/>
          <w:rtl/>
        </w:rPr>
        <w:t>נושק</w:t>
      </w:r>
      <w:r w:rsidRPr="00AA720B">
        <w:rPr>
          <w:rFonts w:ascii="Calibri" w:hAnsi="Calibri"/>
          <w:rtl/>
        </w:rPr>
        <w:t xml:space="preserve"> </w:t>
      </w:r>
      <w:r w:rsidRPr="00AA720B">
        <w:rPr>
          <w:rFonts w:ascii="Calibri" w:hAnsi="Calibri" w:hint="eastAsia"/>
          <w:rtl/>
        </w:rPr>
        <w:t>לסיפו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מעגל</w:t>
      </w:r>
      <w:r w:rsidRPr="00AA720B">
        <w:rPr>
          <w:rFonts w:ascii="Calibri" w:hAnsi="Calibri"/>
          <w:rtl/>
        </w:rPr>
        <w:t xml:space="preserve"> </w:t>
      </w:r>
      <w:r w:rsidRPr="00AA720B">
        <w:rPr>
          <w:rFonts w:ascii="Calibri" w:hAnsi="Calibri" w:hint="eastAsia"/>
          <w:rtl/>
        </w:rPr>
        <w:t>המבצעים</w:t>
      </w:r>
      <w:r w:rsidRPr="00AA720B">
        <w:rPr>
          <w:rFonts w:ascii="Calibri" w:hAnsi="Calibri"/>
          <w:rtl/>
        </w:rPr>
        <w:t xml:space="preserve"> </w:t>
      </w:r>
      <w:r w:rsidRPr="00AA720B">
        <w:rPr>
          <w:rFonts w:ascii="Calibri" w:hAnsi="Calibri" w:hint="eastAsia"/>
          <w:rtl/>
        </w:rPr>
        <w:t>בצוותא</w:t>
      </w:r>
      <w:r w:rsidRPr="00AA720B">
        <w:rPr>
          <w:rFonts w:ascii="Calibri" w:hAnsi="Calibri"/>
          <w:rtl/>
        </w:rPr>
        <w:t xml:space="preserve">. </w:t>
      </w:r>
    </w:p>
    <w:p w14:paraId="48B8BD85" w14:textId="77777777" w:rsidR="0037227B" w:rsidRPr="00AA720B" w:rsidRDefault="0037227B" w:rsidP="006D2178">
      <w:pPr>
        <w:widowControl w:val="0"/>
        <w:spacing w:before="240" w:after="240" w:line="360" w:lineRule="auto"/>
        <w:jc w:val="both"/>
        <w:rPr>
          <w:rFonts w:ascii="Calibri" w:hAnsi="Calibri"/>
          <w:b/>
          <w:bCs/>
          <w:u w:val="single"/>
          <w:rtl/>
        </w:rPr>
      </w:pPr>
      <w:r w:rsidRPr="00AA720B">
        <w:rPr>
          <w:rFonts w:ascii="Calibri" w:hAnsi="Calibri" w:hint="eastAsia"/>
          <w:b/>
          <w:bCs/>
          <w:u w:val="single"/>
          <w:rtl/>
        </w:rPr>
        <w:t>סוגיית</w:t>
      </w:r>
      <w:r w:rsidRPr="00AA720B">
        <w:rPr>
          <w:rFonts w:ascii="Calibri" w:hAnsi="Calibri"/>
          <w:b/>
          <w:bCs/>
          <w:u w:val="single"/>
          <w:rtl/>
        </w:rPr>
        <w:t xml:space="preserve"> </w:t>
      </w:r>
      <w:r w:rsidRPr="00AA720B">
        <w:rPr>
          <w:rFonts w:ascii="Calibri" w:hAnsi="Calibri" w:hint="eastAsia"/>
          <w:b/>
          <w:bCs/>
          <w:u w:val="single"/>
          <w:rtl/>
        </w:rPr>
        <w:t>הסדר</w:t>
      </w:r>
      <w:r w:rsidRPr="00AA720B">
        <w:rPr>
          <w:rFonts w:ascii="Calibri" w:hAnsi="Calibri"/>
          <w:b/>
          <w:bCs/>
          <w:u w:val="single"/>
          <w:rtl/>
        </w:rPr>
        <w:t xml:space="preserve"> </w:t>
      </w:r>
      <w:r w:rsidRPr="00AA720B">
        <w:rPr>
          <w:rFonts w:ascii="Calibri" w:hAnsi="Calibri" w:hint="eastAsia"/>
          <w:b/>
          <w:bCs/>
          <w:u w:val="single"/>
          <w:rtl/>
        </w:rPr>
        <w:t>הטיעון</w:t>
      </w:r>
      <w:r w:rsidRPr="00AA720B">
        <w:rPr>
          <w:rFonts w:ascii="Calibri" w:hAnsi="Calibri"/>
          <w:b/>
          <w:bCs/>
          <w:u w:val="single"/>
          <w:rtl/>
        </w:rPr>
        <w:t xml:space="preserve"> </w:t>
      </w:r>
      <w:r w:rsidRPr="00AA720B">
        <w:rPr>
          <w:rFonts w:ascii="Calibri" w:hAnsi="Calibri" w:hint="eastAsia"/>
          <w:b/>
          <w:bCs/>
          <w:u w:val="single"/>
          <w:rtl/>
        </w:rPr>
        <w:t>שנכרת</w:t>
      </w:r>
      <w:r w:rsidRPr="00AA720B">
        <w:rPr>
          <w:rFonts w:ascii="Calibri" w:hAnsi="Calibri"/>
          <w:b/>
          <w:bCs/>
          <w:u w:val="single"/>
          <w:rtl/>
        </w:rPr>
        <w:t xml:space="preserve"> </w:t>
      </w:r>
      <w:r w:rsidRPr="00AA720B">
        <w:rPr>
          <w:rFonts w:ascii="Calibri" w:hAnsi="Calibri" w:hint="eastAsia"/>
          <w:b/>
          <w:bCs/>
          <w:u w:val="single"/>
          <w:rtl/>
        </w:rPr>
        <w:t>עם</w:t>
      </w:r>
      <w:r w:rsidRPr="00AA720B">
        <w:rPr>
          <w:rFonts w:ascii="Calibri" w:hAnsi="Calibri"/>
          <w:b/>
          <w:bCs/>
          <w:u w:val="single"/>
          <w:rtl/>
        </w:rPr>
        <w:t xml:space="preserve"> </w:t>
      </w:r>
      <w:r w:rsidRPr="00AA720B">
        <w:rPr>
          <w:rFonts w:ascii="Calibri" w:hAnsi="Calibri" w:hint="eastAsia"/>
          <w:b/>
          <w:bCs/>
          <w:u w:val="single"/>
          <w:rtl/>
        </w:rPr>
        <w:t>הנאשמים</w:t>
      </w:r>
      <w:r w:rsidRPr="00AA720B">
        <w:rPr>
          <w:rFonts w:ascii="Calibri" w:hAnsi="Calibri"/>
          <w:b/>
          <w:bCs/>
          <w:u w:val="single"/>
          <w:rtl/>
        </w:rPr>
        <w:t xml:space="preserve"> </w:t>
      </w:r>
      <w:r w:rsidRPr="00AA720B">
        <w:rPr>
          <w:rFonts w:ascii="Calibri" w:hAnsi="Calibri" w:hint="eastAsia"/>
          <w:b/>
          <w:bCs/>
          <w:u w:val="single"/>
          <w:rtl/>
        </w:rPr>
        <w:t>האחרים</w:t>
      </w:r>
      <w:r w:rsidRPr="00AA720B">
        <w:rPr>
          <w:rFonts w:ascii="Calibri" w:hAnsi="Calibri"/>
          <w:b/>
          <w:bCs/>
          <w:u w:val="single"/>
          <w:rtl/>
        </w:rPr>
        <w:t xml:space="preserve"> </w:t>
      </w:r>
      <w:r w:rsidRPr="00AA720B">
        <w:rPr>
          <w:rFonts w:ascii="Calibri" w:hAnsi="Calibri" w:hint="eastAsia"/>
          <w:b/>
          <w:bCs/>
          <w:u w:val="single"/>
          <w:rtl/>
        </w:rPr>
        <w:t>והאם</w:t>
      </w:r>
      <w:r w:rsidRPr="00AA720B">
        <w:rPr>
          <w:rFonts w:ascii="Calibri" w:hAnsi="Calibri"/>
          <w:b/>
          <w:bCs/>
          <w:u w:val="single"/>
          <w:rtl/>
        </w:rPr>
        <w:t xml:space="preserve"> </w:t>
      </w:r>
      <w:r w:rsidRPr="00AA720B">
        <w:rPr>
          <w:rFonts w:ascii="Calibri" w:hAnsi="Calibri" w:hint="eastAsia"/>
          <w:b/>
          <w:bCs/>
          <w:u w:val="single"/>
          <w:rtl/>
        </w:rPr>
        <w:t>יש</w:t>
      </w:r>
      <w:r w:rsidRPr="00AA720B">
        <w:rPr>
          <w:rFonts w:ascii="Calibri" w:hAnsi="Calibri"/>
          <w:b/>
          <w:bCs/>
          <w:u w:val="single"/>
          <w:rtl/>
        </w:rPr>
        <w:t xml:space="preserve"> </w:t>
      </w:r>
      <w:r w:rsidRPr="00AA720B">
        <w:rPr>
          <w:rFonts w:ascii="Calibri" w:hAnsi="Calibri" w:hint="eastAsia"/>
          <w:b/>
          <w:bCs/>
          <w:u w:val="single"/>
          <w:rtl/>
        </w:rPr>
        <w:t>לו</w:t>
      </w:r>
      <w:r w:rsidRPr="00AA720B">
        <w:rPr>
          <w:rFonts w:ascii="Calibri" w:hAnsi="Calibri"/>
          <w:b/>
          <w:bCs/>
          <w:u w:val="single"/>
          <w:rtl/>
        </w:rPr>
        <w:t xml:space="preserve"> </w:t>
      </w:r>
      <w:r w:rsidRPr="00AA720B">
        <w:rPr>
          <w:rFonts w:ascii="Calibri" w:hAnsi="Calibri" w:hint="eastAsia"/>
          <w:b/>
          <w:bCs/>
          <w:u w:val="single"/>
          <w:rtl/>
        </w:rPr>
        <w:t>השלכה</w:t>
      </w:r>
      <w:r w:rsidRPr="00AA720B">
        <w:rPr>
          <w:rFonts w:ascii="Calibri" w:hAnsi="Calibri"/>
          <w:b/>
          <w:bCs/>
          <w:u w:val="single"/>
          <w:rtl/>
        </w:rPr>
        <w:t xml:space="preserve"> </w:t>
      </w:r>
      <w:r w:rsidRPr="00AA720B">
        <w:rPr>
          <w:rFonts w:ascii="Calibri" w:hAnsi="Calibri" w:hint="eastAsia"/>
          <w:b/>
          <w:bCs/>
          <w:u w:val="single"/>
          <w:rtl/>
        </w:rPr>
        <w:t>על</w:t>
      </w:r>
      <w:r w:rsidRPr="00AA720B">
        <w:rPr>
          <w:rFonts w:ascii="Calibri" w:hAnsi="Calibri"/>
          <w:b/>
          <w:bCs/>
          <w:u w:val="single"/>
          <w:rtl/>
        </w:rPr>
        <w:t xml:space="preserve"> </w:t>
      </w:r>
      <w:r w:rsidRPr="00AA720B">
        <w:rPr>
          <w:rFonts w:ascii="Calibri" w:hAnsi="Calibri" w:hint="eastAsia"/>
          <w:b/>
          <w:bCs/>
          <w:u w:val="single"/>
          <w:rtl/>
        </w:rPr>
        <w:t>קביעת</w:t>
      </w:r>
      <w:r w:rsidRPr="00AA720B">
        <w:rPr>
          <w:rFonts w:ascii="Calibri" w:hAnsi="Calibri"/>
          <w:b/>
          <w:bCs/>
          <w:u w:val="single"/>
          <w:rtl/>
        </w:rPr>
        <w:t xml:space="preserve"> </w:t>
      </w:r>
      <w:r w:rsidRPr="00AA720B">
        <w:rPr>
          <w:rFonts w:ascii="Calibri" w:hAnsi="Calibri" w:hint="eastAsia"/>
          <w:b/>
          <w:bCs/>
          <w:u w:val="single"/>
          <w:rtl/>
        </w:rPr>
        <w:t>המתחם</w:t>
      </w:r>
      <w:r w:rsidRPr="00AA720B">
        <w:rPr>
          <w:rFonts w:ascii="Calibri" w:hAnsi="Calibri"/>
          <w:b/>
          <w:bCs/>
          <w:u w:val="single"/>
          <w:rtl/>
        </w:rPr>
        <w:t xml:space="preserve"> </w:t>
      </w:r>
    </w:p>
    <w:p w14:paraId="724B6E28" w14:textId="77777777" w:rsidR="0037227B" w:rsidRPr="0037227B" w:rsidRDefault="0037227B" w:rsidP="004C44BA">
      <w:pPr>
        <w:widowControl w:val="0"/>
        <w:spacing w:before="240" w:after="240" w:line="360" w:lineRule="auto"/>
        <w:jc w:val="both"/>
        <w:rPr>
          <w:rFonts w:ascii="David" w:hAnsi="David"/>
          <w:rtl/>
        </w:rPr>
      </w:pPr>
      <w:r w:rsidRPr="0037227B">
        <w:rPr>
          <w:rFonts w:ascii="David" w:hAnsi="David"/>
          <w:rtl/>
        </w:rPr>
        <w:t>כפי שפורט לעיל, הנאשם הודה והורשע תחילה במסגרת הסדר טיעון שנכרת עם כלל הנאשמים</w:t>
      </w:r>
      <w:r w:rsidR="004C44BA">
        <w:rPr>
          <w:rFonts w:ascii="David" w:hAnsi="David" w:hint="cs"/>
          <w:rtl/>
        </w:rPr>
        <w:t>.</w:t>
      </w:r>
      <w:r w:rsidRPr="0037227B">
        <w:rPr>
          <w:rFonts w:ascii="David" w:hAnsi="David"/>
          <w:rtl/>
        </w:rPr>
        <w:t xml:space="preserve"> בשלב מאוחר יותר חזר בו הנאשם מהודאתו וביטלנו את הכרעת הדין המרשיעה </w:t>
      </w:r>
      <w:r w:rsidR="004C44BA">
        <w:rPr>
          <w:rFonts w:ascii="David" w:hAnsi="David" w:hint="cs"/>
          <w:rtl/>
        </w:rPr>
        <w:t xml:space="preserve">שניתנה </w:t>
      </w:r>
      <w:r w:rsidRPr="0037227B">
        <w:rPr>
          <w:rFonts w:ascii="David" w:hAnsi="David"/>
          <w:rtl/>
        </w:rPr>
        <w:t xml:space="preserve">עפ"י הודאתו, והרשעת הנאשם עתה באה לאחר שמיעת ראיות. </w:t>
      </w:r>
    </w:p>
    <w:p w14:paraId="52CDE260"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טרם נפנה לבחינת מתחם העונש ההולם על פי הוראות הדין והפסיקה, אדרש לטענות ההגנה אשר מבקשת ללמוד או להקיש מהעונשים שהושתו על הנאשמים האחרים במסגרת הסדר הטיעון, על עונשו של הנאשם כאן. </w:t>
      </w:r>
    </w:p>
    <w:p w14:paraId="3F7261CE" w14:textId="77777777" w:rsidR="0037227B" w:rsidRPr="0037227B" w:rsidRDefault="0037227B" w:rsidP="004C44BA">
      <w:pPr>
        <w:widowControl w:val="0"/>
        <w:spacing w:before="240" w:after="240" w:line="360" w:lineRule="auto"/>
        <w:jc w:val="both"/>
        <w:rPr>
          <w:rFonts w:ascii="David" w:hAnsi="David"/>
          <w:rtl/>
        </w:rPr>
      </w:pPr>
      <w:r w:rsidRPr="0037227B">
        <w:rPr>
          <w:rFonts w:ascii="David" w:hAnsi="David"/>
          <w:rtl/>
        </w:rPr>
        <w:t xml:space="preserve">לטענת ההגנה על פי הקביעות בהכרעת הדין, חלקו של הנאשם היה פחות אף מזה שתואר בכתב האישום המתוקן בחלק הנוגע אליו, ובכל מקרה מעשיו קלים בהרבה ממעשיו של נאשם </w:t>
      </w:r>
      <w:r w:rsidR="004C44BA">
        <w:rPr>
          <w:rFonts w:ascii="David" w:hAnsi="David" w:hint="cs"/>
          <w:rtl/>
        </w:rPr>
        <w:t xml:space="preserve">2 </w:t>
      </w:r>
      <w:r w:rsidR="004C44BA">
        <w:rPr>
          <w:rFonts w:ascii="David" w:hAnsi="David"/>
          <w:rtl/>
        </w:rPr>
        <w:t>–</w:t>
      </w:r>
      <w:r w:rsidRPr="0037227B">
        <w:rPr>
          <w:rFonts w:ascii="David" w:hAnsi="David"/>
          <w:rtl/>
        </w:rPr>
        <w:t xml:space="preserve"> וורו, שהיה בסוד כל התכנון, השתתף באיתור הרכב ובהטמנת המטען, ואף יצא יחד עם שניר לפוצצו, ונידון ל-</w:t>
      </w:r>
      <w:r w:rsidR="004C44BA">
        <w:rPr>
          <w:rFonts w:ascii="David" w:hAnsi="David" w:hint="cs"/>
          <w:rtl/>
        </w:rPr>
        <w:t xml:space="preserve"> 16</w:t>
      </w:r>
      <w:r w:rsidRPr="0037227B">
        <w:rPr>
          <w:rFonts w:ascii="David" w:hAnsi="David"/>
          <w:rtl/>
        </w:rPr>
        <w:t xml:space="preserve"> שנות מאסר. הודגש עוד כי עונשו של הנאשם צריך להיות קל אף מעונשו של נאשם 3 – זהבי, אשר נידון ל-10.5 שנות מאסר, שאף הוא השתתף באופן פעיל בתכנון ובפעולות שנעשו ביחס להטמנת המטען. הסנגור הטעים, כי אם המדובר היה בהסדר טיעון שנכרת עקב קושי ראייתי, אפשר היה אולי לבסס אבחנה ולא היה מקום להקיש מעניין האחרים לענייננו, אך אין זה המקרה שבפנינו.</w:t>
      </w:r>
    </w:p>
    <w:p w14:paraId="221EE904"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בחנו טענות אלו ואין בידינו לקבלן. </w:t>
      </w:r>
    </w:p>
    <w:p w14:paraId="16DDF561" w14:textId="77777777" w:rsidR="0037227B" w:rsidRPr="0037227B" w:rsidRDefault="00A91EC4" w:rsidP="00A91EC4">
      <w:pPr>
        <w:widowControl w:val="0"/>
        <w:spacing w:before="240" w:after="240" w:line="360" w:lineRule="auto"/>
        <w:jc w:val="both"/>
        <w:rPr>
          <w:rFonts w:ascii="David" w:hAnsi="David"/>
          <w:rtl/>
        </w:rPr>
      </w:pPr>
      <w:r>
        <w:rPr>
          <w:rFonts w:ascii="David" w:hAnsi="David"/>
          <w:rtl/>
        </w:rPr>
        <w:t xml:space="preserve">ראש וראשית נציין, כי בענייננו </w:t>
      </w:r>
      <w:r w:rsidR="0037227B" w:rsidRPr="0037227B">
        <w:rPr>
          <w:rFonts w:ascii="David" w:hAnsi="David"/>
          <w:rtl/>
        </w:rPr>
        <w:t xml:space="preserve">מדובר בסיטואציה ייחודית, אשר כמעט ואין לה התייחסות בפסיקה. אין המדובר במקרה </w:t>
      </w:r>
      <w:r>
        <w:rPr>
          <w:rFonts w:ascii="David" w:hAnsi="David" w:hint="cs"/>
          <w:rtl/>
        </w:rPr>
        <w:t xml:space="preserve">כמו אלו שנדונו בדרך כלל בפסיקה, </w:t>
      </w:r>
      <w:r w:rsidR="0037227B" w:rsidRPr="0037227B">
        <w:rPr>
          <w:rFonts w:ascii="David" w:hAnsi="David"/>
          <w:rtl/>
        </w:rPr>
        <w:t xml:space="preserve">בו </w:t>
      </w:r>
      <w:r>
        <w:rPr>
          <w:rFonts w:ascii="David" w:hAnsi="David" w:hint="cs"/>
          <w:rtl/>
        </w:rPr>
        <w:t>ישנם</w:t>
      </w:r>
      <w:r w:rsidR="0037227B" w:rsidRPr="0037227B">
        <w:rPr>
          <w:rFonts w:ascii="David" w:hAnsi="David"/>
          <w:rtl/>
        </w:rPr>
        <w:t xml:space="preserve"> מספר נאשמים באותה פרשה ועם חלק מהן נכרת הסדר טיעון, לעיתים הסדר הכולל אף הסכמה עונשית, ואילו נאשמים אחרים מבקשים לנהל את משפטם</w:t>
      </w:r>
      <w:r>
        <w:rPr>
          <w:rFonts w:ascii="David" w:hAnsi="David" w:hint="cs"/>
          <w:rtl/>
        </w:rPr>
        <w:t xml:space="preserve">. </w:t>
      </w:r>
      <w:r w:rsidR="0037227B" w:rsidRPr="0037227B">
        <w:rPr>
          <w:rFonts w:ascii="David" w:hAnsi="David"/>
          <w:rtl/>
        </w:rPr>
        <w:t>ואז נשאלת השאלה מה היחס בין העונשים שהוטלו ב</w:t>
      </w:r>
      <w:r w:rsidR="004C44BA">
        <w:rPr>
          <w:rFonts w:ascii="David" w:hAnsi="David" w:hint="cs"/>
          <w:rtl/>
        </w:rPr>
        <w:t xml:space="preserve">מסגרת </w:t>
      </w:r>
      <w:r w:rsidR="0037227B" w:rsidRPr="0037227B">
        <w:rPr>
          <w:rFonts w:ascii="David" w:hAnsi="David"/>
          <w:rtl/>
        </w:rPr>
        <w:t>הסדר הטיעון</w:t>
      </w:r>
      <w:r>
        <w:rPr>
          <w:rFonts w:ascii="David" w:hAnsi="David" w:hint="cs"/>
          <w:rtl/>
        </w:rPr>
        <w:t xml:space="preserve"> על נאשמים אחרים בפרשה</w:t>
      </w:r>
      <w:r w:rsidR="0037227B" w:rsidRPr="0037227B">
        <w:rPr>
          <w:rFonts w:ascii="David" w:hAnsi="David"/>
          <w:rtl/>
        </w:rPr>
        <w:t>, לבין העונש שראוי להטיל על נאשם אחר שלא במסגרת הסדר.</w:t>
      </w:r>
    </w:p>
    <w:p w14:paraId="5C1B432F" w14:textId="77777777" w:rsidR="0037227B" w:rsidRPr="0037227B" w:rsidRDefault="0037227B" w:rsidP="004C44BA">
      <w:pPr>
        <w:widowControl w:val="0"/>
        <w:spacing w:before="240" w:after="240" w:line="360" w:lineRule="auto"/>
        <w:jc w:val="both"/>
        <w:rPr>
          <w:rFonts w:ascii="David" w:hAnsi="David"/>
          <w:rtl/>
        </w:rPr>
      </w:pPr>
      <w:r w:rsidRPr="0037227B">
        <w:rPr>
          <w:rFonts w:ascii="David" w:hAnsi="David"/>
          <w:rtl/>
        </w:rPr>
        <w:t>בענייננו לא מדובר במי שלא נערך עמו הסדר טיעון, אלא במי שנכרת עמו הסדר טיעון</w:t>
      </w:r>
      <w:r w:rsidR="004C44BA">
        <w:rPr>
          <w:rFonts w:ascii="David" w:hAnsi="David" w:hint="cs"/>
          <w:rtl/>
        </w:rPr>
        <w:t xml:space="preserve"> אלא ש</w:t>
      </w:r>
      <w:r w:rsidRPr="0037227B">
        <w:rPr>
          <w:rFonts w:ascii="David" w:hAnsi="David"/>
          <w:rtl/>
        </w:rPr>
        <w:t>הסדר הטיעון בוטל ביוזמתו</w:t>
      </w:r>
      <w:r w:rsidR="004C44BA">
        <w:rPr>
          <w:rFonts w:ascii="David" w:hAnsi="David" w:hint="cs"/>
          <w:rtl/>
        </w:rPr>
        <w:t>.</w:t>
      </w:r>
      <w:r w:rsidRPr="0037227B">
        <w:rPr>
          <w:rFonts w:ascii="David" w:hAnsi="David"/>
          <w:rtl/>
        </w:rPr>
        <w:t xml:space="preserve"> ועתה, לאחר שהורשע לאחר שמיעת ראיות, הוא חוזר ומבקש להשוותו לנאשמים אחרים עימם נכרת הסדר הטיעון. משמע הסדר הטיעון עמו בוטל – אך למעשה, הנאשם מבקש להחיותו ולהשיבו לזירה דרך הנאשמים האחרים- וכך אין כל מקום לעשות. </w:t>
      </w:r>
    </w:p>
    <w:p w14:paraId="1CED3DB7"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שנית, בחינת ההלכות הנוגעות להסדרי טיעון והשלכתם על העונש הראוי, אף היא מובילה למסקנה כי אין להקיש במקרה זה מעונשם של הנאשמים האחרים, על עונשו של הנאשם. </w:t>
      </w:r>
    </w:p>
    <w:p w14:paraId="54654E93"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באופן כללי, באשר להתחשבות בהסדר טיעון, הפסיקה חזרה וציינה, כי </w:t>
      </w:r>
      <w:r w:rsidRPr="0037227B">
        <w:rPr>
          <w:rFonts w:ascii="David" w:hAnsi="David"/>
          <w:b/>
          <w:bCs/>
          <w:rtl/>
        </w:rPr>
        <w:t>"אין להקיש מהסדר טיעון על העונש הראוי"</w:t>
      </w:r>
      <w:r w:rsidRPr="0037227B">
        <w:rPr>
          <w:rFonts w:ascii="David" w:hAnsi="David"/>
          <w:rtl/>
        </w:rPr>
        <w:t xml:space="preserve"> [</w:t>
      </w:r>
      <w:hyperlink r:id="rId59" w:history="1">
        <w:r w:rsidR="00190E23" w:rsidRPr="00190E23">
          <w:rPr>
            <w:rFonts w:ascii="David" w:hAnsi="David"/>
            <w:color w:val="0000FF"/>
            <w:u w:val="single"/>
            <w:rtl/>
          </w:rPr>
          <w:t>ע"פ 5880/14</w:t>
        </w:r>
      </w:hyperlink>
      <w:r w:rsidRPr="0037227B">
        <w:rPr>
          <w:rFonts w:ascii="David" w:hAnsi="David"/>
          <w:rtl/>
        </w:rPr>
        <w:t xml:space="preserve"> </w:t>
      </w:r>
      <w:r w:rsidRPr="0037227B">
        <w:rPr>
          <w:rFonts w:ascii="David" w:hAnsi="David"/>
          <w:b/>
          <w:bCs/>
          <w:rtl/>
        </w:rPr>
        <w:t>טלאל אלקרניאוי נ' מדינת ישראל</w:t>
      </w:r>
      <w:r w:rsidRPr="0037227B">
        <w:rPr>
          <w:rFonts w:ascii="David" w:hAnsi="David"/>
          <w:rtl/>
        </w:rPr>
        <w:t xml:space="preserve"> </w:t>
      </w:r>
      <w:r w:rsidR="00AD1D7C" w:rsidRPr="00AD1D7C">
        <w:rPr>
          <w:sz w:val="22"/>
          <w:rtl/>
        </w:rPr>
        <w:t xml:space="preserve">[פורסם בנבו] </w:t>
      </w:r>
      <w:r w:rsidRPr="0037227B">
        <w:rPr>
          <w:rFonts w:ascii="David" w:hAnsi="David"/>
          <w:rtl/>
        </w:rPr>
        <w:t xml:space="preserve">(01.03.2015)]. על כן אין להקיש מהסדר טיעון של נאשם אחד על רף הענישה של נאשם או נאשמים אחרים, בין היתר, בשל כך שבהסדר טיעון ניתן להביא בחשבון שיקולים במישור הראייתי, וכן שיקולים מערכתיים הנוגעים לצדדים ולבית המשפט, כמו חסכון זמן שיפוטי, סופיות הדיון, חשיבות ההודאה עצמה מול נפגעי העבירה, ושיקולים נוספים. </w:t>
      </w:r>
    </w:p>
    <w:p w14:paraId="4D8446FA"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מסקנה זו הינה פועל יוצא ממהותו ומעמדו של הסדר הטיעון אשר יכול ויחרוג ממתחם הענישה: </w:t>
      </w:r>
      <w:r w:rsidRPr="0037227B">
        <w:rPr>
          <w:rFonts w:ascii="David" w:hAnsi="David"/>
          <w:b/>
          <w:bCs/>
          <w:rtl/>
        </w:rPr>
        <w:t>"מתחם הענישה משקף כאמור קביעה נורמטיבית של בית המשפט באשר לאיזון בין החומרה המושגית של העבירה, החומרה הקונקרטית של העבירה והענישה המקובלת במקרים דומים (ראו: ענין סעד). עם זאת – אין הוא מביא בחשבון את האינטרסים שצויינו לעיל, הבאים בגדר הסדרי טיעון. ואכן משאבי התביעה, רצונו של הנאשם בסיום ההליך בהקדם האפשרי וחששו של נאשם מעונש חמור הינם שיקולים משמעותיים, המשפיעים על טווח הענישה בהסדר טיעון, אך אין הם חלק מקביעת מתחם הענישה ככזה. ב-</w:t>
      </w:r>
      <w:hyperlink r:id="rId60" w:history="1">
        <w:r w:rsidR="00190E23" w:rsidRPr="00190E23">
          <w:rPr>
            <w:rFonts w:ascii="David" w:hAnsi="David"/>
            <w:b/>
            <w:bCs/>
            <w:color w:val="0000FF"/>
            <w:u w:val="single"/>
            <w:rtl/>
          </w:rPr>
          <w:t>ע"פ 1958/98 פלוני נ' מדינת ישראל פ"ד נ"ז</w:t>
        </w:r>
      </w:hyperlink>
      <w:r w:rsidRPr="0037227B">
        <w:rPr>
          <w:rFonts w:ascii="David" w:hAnsi="David"/>
          <w:b/>
          <w:bCs/>
          <w:rtl/>
        </w:rPr>
        <w:t xml:space="preserve"> (1), 577 (2002), שנפסק עוד קודם לתיקון 113 בהרכב מורחב  (להלן – הלכת פלוני) בית המשפט פסק כי גם אם העונש שעליו הוסכם בהסדר הטיעון איננו ראוי לפי מבחן ההלימה – יש עדיין לכבד את ההסדר, אם התביעה ערכה איזון מתאים בין ההקלה שניתנה לנאשם לבין התועלת הציבורית שהיתה כרוכה בעריכת ההסדר"</w:t>
      </w:r>
      <w:r w:rsidRPr="0037227B">
        <w:rPr>
          <w:rFonts w:ascii="David" w:hAnsi="David"/>
          <w:rtl/>
        </w:rPr>
        <w:t xml:space="preserve"> [</w:t>
      </w:r>
      <w:hyperlink r:id="rId61" w:history="1">
        <w:r w:rsidR="00AD1D7C" w:rsidRPr="00AD1D7C">
          <w:rPr>
            <w:rStyle w:val="Hyperlink"/>
            <w:rFonts w:ascii="David" w:hAnsi="David"/>
            <w:rtl/>
          </w:rPr>
          <w:t>ע"פ 512/13</w:t>
        </w:r>
      </w:hyperlink>
      <w:r w:rsidRPr="0037227B">
        <w:rPr>
          <w:rFonts w:ascii="David" w:hAnsi="David"/>
          <w:rtl/>
        </w:rPr>
        <w:t xml:space="preserve"> </w:t>
      </w:r>
      <w:r w:rsidRPr="0037227B">
        <w:rPr>
          <w:rFonts w:ascii="David" w:hAnsi="David"/>
          <w:b/>
          <w:bCs/>
          <w:rtl/>
        </w:rPr>
        <w:t>פלוני נ' מדינת ישראל</w:t>
      </w:r>
      <w:r w:rsidRPr="0037227B">
        <w:rPr>
          <w:rFonts w:ascii="David" w:hAnsi="David"/>
          <w:rtl/>
        </w:rPr>
        <w:t xml:space="preserve"> </w:t>
      </w:r>
      <w:r w:rsidR="00AD1D7C" w:rsidRPr="00AD1D7C">
        <w:rPr>
          <w:sz w:val="22"/>
          <w:rtl/>
        </w:rPr>
        <w:t xml:space="preserve">[פורסם בנבו] </w:t>
      </w:r>
      <w:r w:rsidRPr="0037227B">
        <w:rPr>
          <w:rFonts w:ascii="David" w:hAnsi="David"/>
          <w:rtl/>
        </w:rPr>
        <w:t>(04.12.2013)]</w:t>
      </w:r>
    </w:p>
    <w:p w14:paraId="66A3BC09"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בחינת עניינו של הנאשם לאור ההלכות האמורות, מלמדת כי </w:t>
      </w:r>
      <w:r w:rsidR="004C44BA">
        <w:rPr>
          <w:rFonts w:ascii="David" w:hAnsi="David" w:hint="cs"/>
          <w:rtl/>
        </w:rPr>
        <w:t xml:space="preserve">אין להקיש מהעונשים שהושתו על הנאשמים האחרים במסגרת הסדר הטיעון שכן </w:t>
      </w:r>
      <w:r w:rsidRPr="0037227B">
        <w:rPr>
          <w:rFonts w:ascii="David" w:hAnsi="David"/>
          <w:rtl/>
        </w:rPr>
        <w:t>אף שיקול מכל השיקולים שעמדו בבסיס הסדר הטיעון והעונש המקל יותר אליו הגיעו הצדדים בהסדר</w:t>
      </w:r>
      <w:r w:rsidR="004C44BA">
        <w:rPr>
          <w:rFonts w:ascii="David" w:hAnsi="David" w:hint="cs"/>
          <w:rtl/>
        </w:rPr>
        <w:t xml:space="preserve"> הטיעון ביחס לנאשמים האחרים</w:t>
      </w:r>
      <w:r w:rsidRPr="0037227B">
        <w:rPr>
          <w:rFonts w:ascii="David" w:hAnsi="David"/>
          <w:rtl/>
        </w:rPr>
        <w:t>, אינו חל בעניינו של הנאשם היום.</w:t>
      </w:r>
    </w:p>
    <w:p w14:paraId="32718F98" w14:textId="77777777" w:rsidR="0037227B" w:rsidRDefault="0037227B" w:rsidP="00312B25">
      <w:pPr>
        <w:widowControl w:val="0"/>
        <w:spacing w:before="240" w:after="240" w:line="360" w:lineRule="auto"/>
        <w:jc w:val="both"/>
        <w:rPr>
          <w:rFonts w:ascii="David" w:hAnsi="David"/>
          <w:rtl/>
        </w:rPr>
      </w:pPr>
      <w:r w:rsidRPr="0037227B">
        <w:rPr>
          <w:rFonts w:ascii="David" w:hAnsi="David"/>
          <w:rtl/>
        </w:rPr>
        <w:t xml:space="preserve">נבאר ונפרט האמור. ב"כ המאשימה בטיעוניו </w:t>
      </w:r>
      <w:r w:rsidR="00312B25">
        <w:rPr>
          <w:rFonts w:ascii="David" w:hAnsi="David" w:hint="cs"/>
          <w:rtl/>
        </w:rPr>
        <w:t xml:space="preserve">עוד במועד </w:t>
      </w:r>
      <w:r w:rsidRPr="0037227B">
        <w:rPr>
          <w:rFonts w:ascii="David" w:hAnsi="David"/>
          <w:rtl/>
        </w:rPr>
        <w:t xml:space="preserve">הצגת ההסדר הדגיש, כי השיקול המהותי של התביעה בכריתת הסדר הטיעון היה העובדה שהסדר הטיעון נכרת עם כלל הנאשמים </w:t>
      </w:r>
      <w:r w:rsidR="00312B25">
        <w:rPr>
          <w:rFonts w:ascii="David" w:hAnsi="David" w:hint="cs"/>
          <w:rtl/>
        </w:rPr>
        <w:t xml:space="preserve">בפרשה זו ועל כן </w:t>
      </w:r>
      <w:r w:rsidRPr="0037227B">
        <w:rPr>
          <w:rFonts w:ascii="David" w:hAnsi="David"/>
          <w:rtl/>
        </w:rPr>
        <w:t xml:space="preserve">כריתתו מסיימת למעשה את ההליכים בכל הפרשה – הן ביחס לארבעת הנאשמים בתיק שלפנינו, והן ביחס לנאשם שניר שענייננו נידון בבית משפט זה לפני הרכב אחר. ואכן כאשר נכרת הסדר הטיעון, צורף התיק של שניר לתיק זה, והסדר הטיעון </w:t>
      </w:r>
      <w:r w:rsidR="00312B25">
        <w:rPr>
          <w:rFonts w:ascii="David" w:hAnsi="David" w:hint="cs"/>
          <w:rtl/>
        </w:rPr>
        <w:t>נכרת</w:t>
      </w:r>
      <w:r w:rsidRPr="0037227B">
        <w:rPr>
          <w:rFonts w:ascii="David" w:hAnsi="David"/>
          <w:rtl/>
        </w:rPr>
        <w:t xml:space="preserve"> לגבי כלל הנאשמים כאשר שניר הודה והורשע ברצח.</w:t>
      </w:r>
    </w:p>
    <w:p w14:paraId="499E8A64" w14:textId="77777777" w:rsidR="00312B25" w:rsidRPr="0037227B" w:rsidRDefault="00312B25" w:rsidP="00312B25">
      <w:pPr>
        <w:widowControl w:val="0"/>
        <w:spacing w:before="240" w:after="240" w:line="360" w:lineRule="auto"/>
        <w:jc w:val="both"/>
        <w:rPr>
          <w:rFonts w:ascii="David" w:hAnsi="David"/>
          <w:rtl/>
        </w:rPr>
      </w:pPr>
      <w:r w:rsidRPr="0037227B">
        <w:rPr>
          <w:rFonts w:ascii="David" w:hAnsi="David"/>
          <w:rtl/>
        </w:rPr>
        <w:t xml:space="preserve">הדברים </w:t>
      </w:r>
      <w:r>
        <w:rPr>
          <w:rFonts w:ascii="David" w:hAnsi="David" w:hint="cs"/>
          <w:rtl/>
        </w:rPr>
        <w:t>מצוינים ב</w:t>
      </w:r>
      <w:r w:rsidRPr="0037227B">
        <w:rPr>
          <w:rFonts w:ascii="David" w:hAnsi="David"/>
          <w:rtl/>
        </w:rPr>
        <w:t xml:space="preserve">דברי ב"כ המדינה </w:t>
      </w:r>
      <w:r>
        <w:rPr>
          <w:rFonts w:ascii="David" w:hAnsi="David" w:hint="cs"/>
          <w:rtl/>
        </w:rPr>
        <w:t>בפנינו</w:t>
      </w:r>
      <w:r w:rsidRPr="0037227B">
        <w:rPr>
          <w:rFonts w:ascii="David" w:hAnsi="David"/>
          <w:rtl/>
        </w:rPr>
        <w:t xml:space="preserve"> בדיון מיום 9.7.2018 (שם בעמ' 341), </w:t>
      </w:r>
      <w:r>
        <w:rPr>
          <w:rFonts w:ascii="David" w:hAnsi="David" w:hint="cs"/>
          <w:rtl/>
        </w:rPr>
        <w:t xml:space="preserve">שם הדגיש </w:t>
      </w:r>
      <w:r w:rsidRPr="0037227B">
        <w:rPr>
          <w:rFonts w:ascii="David" w:hAnsi="David"/>
          <w:rtl/>
        </w:rPr>
        <w:t xml:space="preserve">כי עם הסדר הטיעון הם מבקשים לסיים את הפרשייה כולה שכללה הפעלת סוכן וכתבי אישום רבים. </w:t>
      </w:r>
    </w:p>
    <w:p w14:paraId="623005CD"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דברים ברוח זו אף נאמרו לנו במהלך ניהול התיק, כשהצדדים ציינו שמתקיימים ביניהם מגעים לכריתת הסדר טיעון, אך הובהר על ידי התביעה כי הסדר הטיעון לא יסתייע אם לא יהיה מדובר בהסדר כולל ביחס לכל הנאשמים. </w:t>
      </w:r>
    </w:p>
    <w:p w14:paraId="675B83C1" w14:textId="77777777" w:rsidR="0037227B" w:rsidRPr="0037227B" w:rsidRDefault="0037227B" w:rsidP="00312B25">
      <w:pPr>
        <w:widowControl w:val="0"/>
        <w:spacing w:before="240" w:after="240" w:line="360" w:lineRule="auto"/>
        <w:jc w:val="both"/>
        <w:rPr>
          <w:rFonts w:ascii="David" w:hAnsi="David"/>
          <w:rtl/>
        </w:rPr>
      </w:pPr>
      <w:r w:rsidRPr="0037227B">
        <w:rPr>
          <w:rFonts w:ascii="David" w:hAnsi="David"/>
          <w:rtl/>
        </w:rPr>
        <w:t>ברי כי נימוק זה – סיום הפרשה כולה, אשר הוא שיקול לגיטימי שהתביעה רשאית לשקול, אינו חל בענייננו של הנאשם, ונימוק זה שהוביל להקלה בעונשם של הנאשמים האחרים, לא יכול להביא להקלה בעונשו כלל ועיקר</w:t>
      </w:r>
      <w:r w:rsidR="00312B25">
        <w:rPr>
          <w:rFonts w:ascii="David" w:hAnsi="David" w:hint="cs"/>
          <w:rtl/>
        </w:rPr>
        <w:t xml:space="preserve">. זאת כאשר הנאשם הוא שביקש לבטל את </w:t>
      </w:r>
      <w:r w:rsidRPr="0037227B">
        <w:rPr>
          <w:rFonts w:ascii="David" w:hAnsi="David"/>
          <w:rtl/>
        </w:rPr>
        <w:t xml:space="preserve">ההסדר בנוגע אליו, וכאשר ברור שהתביעה כלל לא היתה מסכימה להסדר הטיעון </w:t>
      </w:r>
      <w:r w:rsidR="00312B25">
        <w:rPr>
          <w:rFonts w:ascii="David" w:hAnsi="David" w:hint="cs"/>
          <w:rtl/>
        </w:rPr>
        <w:t>במצב דברים זה</w:t>
      </w:r>
      <w:r w:rsidRPr="0037227B">
        <w:rPr>
          <w:rFonts w:ascii="David" w:hAnsi="David"/>
          <w:rtl/>
        </w:rPr>
        <w:t>. על כן ברור שהנאשם לא יכול לחסות בצל ההסדר שהוא גרם לביטולו.</w:t>
      </w:r>
    </w:p>
    <w:p w14:paraId="3CDA6DBD" w14:textId="77777777" w:rsidR="0037227B" w:rsidRPr="0037227B" w:rsidRDefault="0037227B" w:rsidP="006C6405">
      <w:pPr>
        <w:widowControl w:val="0"/>
        <w:spacing w:before="240" w:after="240" w:line="360" w:lineRule="auto"/>
        <w:jc w:val="both"/>
        <w:rPr>
          <w:rFonts w:ascii="David" w:hAnsi="David"/>
          <w:rtl/>
        </w:rPr>
      </w:pPr>
      <w:r w:rsidRPr="0037227B">
        <w:rPr>
          <w:rFonts w:ascii="David" w:hAnsi="David"/>
          <w:rtl/>
        </w:rPr>
        <w:t>ב"כ המדינה הוסיף ונימק את הסדר הטיעון: "...</w:t>
      </w:r>
      <w:r w:rsidRPr="0037227B">
        <w:rPr>
          <w:rFonts w:ascii="David" w:hAnsi="David"/>
          <w:b/>
          <w:bCs/>
          <w:rtl/>
        </w:rPr>
        <w:t>אנחנו תקוה שקבלתו של ההסדר על ידי בית המשפט תגלם בתוכו חרטה, קבלת אחריות מצד הנאשמים ותסיים את הסכסוך העקוב מדם המתואר בכתב האישום ובאמצעות הסדר זה לא ימשיך אותו סכסוך וזו אחת הסיבות העיקריות לכך שהמדינה הסכימה להסדר</w:t>
      </w:r>
      <w:r w:rsidRPr="0037227B">
        <w:rPr>
          <w:rFonts w:ascii="David" w:hAnsi="David"/>
          <w:rtl/>
        </w:rPr>
        <w:t xml:space="preserve">" (ראו שם בעמ' 341). </w:t>
      </w:r>
    </w:p>
    <w:p w14:paraId="22B0B158" w14:textId="77777777" w:rsidR="0037227B" w:rsidRPr="0037227B" w:rsidRDefault="0037227B" w:rsidP="00312B25">
      <w:pPr>
        <w:widowControl w:val="0"/>
        <w:spacing w:before="240" w:after="240" w:line="360" w:lineRule="auto"/>
        <w:jc w:val="both"/>
        <w:rPr>
          <w:rFonts w:ascii="David" w:hAnsi="David"/>
          <w:rtl/>
        </w:rPr>
      </w:pPr>
      <w:r w:rsidRPr="0037227B">
        <w:rPr>
          <w:rFonts w:ascii="David" w:hAnsi="David"/>
          <w:rtl/>
        </w:rPr>
        <w:t>מכאן ש</w:t>
      </w:r>
      <w:r w:rsidR="00312B25">
        <w:rPr>
          <w:rFonts w:ascii="David" w:hAnsi="David" w:hint="cs"/>
          <w:rtl/>
        </w:rPr>
        <w:t xml:space="preserve">שיקול נוסף </w:t>
      </w:r>
      <w:r w:rsidRPr="0037227B">
        <w:rPr>
          <w:rFonts w:ascii="David" w:hAnsi="David"/>
          <w:rtl/>
        </w:rPr>
        <w:t xml:space="preserve">שעמד בבסיס ההסדר, שכלל תיקון כתב האישום לעבירות קלות יותר לגבי חלק מהנאשמים והסכמות עונשיות לגבי כלל  הנאשמים, חלקן מקלות במובנים מסוימים - היה שהסדר הטיעון יגלם בתוכו חרטה, הכרה במעשים וסיומו של הסכסוך שעמד בבסיס המעשים. </w:t>
      </w:r>
    </w:p>
    <w:p w14:paraId="6F9053F5" w14:textId="77777777" w:rsidR="0037227B" w:rsidRPr="0037227B" w:rsidRDefault="0037227B" w:rsidP="00312B25">
      <w:pPr>
        <w:widowControl w:val="0"/>
        <w:spacing w:before="240" w:after="240" w:line="360" w:lineRule="auto"/>
        <w:jc w:val="both"/>
        <w:rPr>
          <w:rFonts w:ascii="David" w:hAnsi="David"/>
          <w:rtl/>
        </w:rPr>
      </w:pPr>
      <w:r w:rsidRPr="0037227B">
        <w:rPr>
          <w:rFonts w:ascii="David" w:hAnsi="David"/>
          <w:rtl/>
        </w:rPr>
        <w:t xml:space="preserve">ברי כי שיקול זה, המתקיים בעניינם של הנאשמים האחרים שהודו </w:t>
      </w:r>
      <w:r w:rsidR="00A91EC4">
        <w:rPr>
          <w:rFonts w:ascii="David" w:hAnsi="David" w:hint="cs"/>
          <w:rtl/>
        </w:rPr>
        <w:t xml:space="preserve">במסגרת הסדר הטיעון </w:t>
      </w:r>
      <w:r w:rsidRPr="0037227B">
        <w:rPr>
          <w:rFonts w:ascii="David" w:hAnsi="David"/>
          <w:rtl/>
        </w:rPr>
        <w:t>וקבלו אחריות</w:t>
      </w:r>
      <w:r w:rsidR="00A91EC4">
        <w:rPr>
          <w:rFonts w:ascii="David" w:hAnsi="David" w:hint="cs"/>
          <w:rtl/>
        </w:rPr>
        <w:t xml:space="preserve"> על מעשיהם</w:t>
      </w:r>
      <w:r w:rsidRPr="0037227B">
        <w:rPr>
          <w:rFonts w:ascii="David" w:hAnsi="David"/>
          <w:rtl/>
        </w:rPr>
        <w:t>, אינו מתקיים בעניינו של הנאשם ש</w:t>
      </w:r>
      <w:r w:rsidR="00312B25">
        <w:rPr>
          <w:rFonts w:ascii="David" w:hAnsi="David" w:hint="cs"/>
          <w:rtl/>
        </w:rPr>
        <w:t>ל</w:t>
      </w:r>
      <w:r w:rsidRPr="0037227B">
        <w:rPr>
          <w:rFonts w:ascii="David" w:hAnsi="David"/>
          <w:rtl/>
        </w:rPr>
        <w:t>פנינו.</w:t>
      </w:r>
    </w:p>
    <w:p w14:paraId="0EF1D9CA"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שיקולים מסוג זה של רשויות התביעה הינם שיקולים עניינים, לגיטימיים ובעלי תוקף. במיוחד כאשר הסדר הטיעון כלל הודאה של אחד הנאשמים ברצח – ובנוסף משמעותו של ההסדר הייתה סיום ההליכים המשפטיים בשני תיקים מורכבים שמתנהלים לפני שני מותבים שונים, זאת לאור האינטרס הציבורי הכללי ולאור חסכון הזמן השיפוטי המשמעותי בשני התיקים. </w:t>
      </w:r>
    </w:p>
    <w:p w14:paraId="6F3CD08E" w14:textId="77777777" w:rsidR="0037227B" w:rsidRPr="0037227B" w:rsidRDefault="0037227B" w:rsidP="00312B25">
      <w:pPr>
        <w:widowControl w:val="0"/>
        <w:spacing w:before="240" w:after="240" w:line="360" w:lineRule="auto"/>
        <w:jc w:val="both"/>
        <w:rPr>
          <w:rFonts w:ascii="David" w:hAnsi="David"/>
          <w:rtl/>
        </w:rPr>
      </w:pPr>
      <w:r w:rsidRPr="0037227B">
        <w:rPr>
          <w:rFonts w:ascii="David" w:hAnsi="David"/>
          <w:rtl/>
        </w:rPr>
        <w:t xml:space="preserve">ודוק, דברי הסנגור לפיהם שיקול זה כמעט מאוין שכן נשמעו כבר לא מעט ראיות בתיק בשלב בו נכרת הסדר הטיעון, הינו טיעון </w:t>
      </w:r>
      <w:r w:rsidR="00312B25">
        <w:rPr>
          <w:rFonts w:ascii="David" w:hAnsi="David" w:hint="cs"/>
          <w:rtl/>
        </w:rPr>
        <w:t>שקשה לקבלו</w:t>
      </w:r>
      <w:r w:rsidRPr="0037227B">
        <w:rPr>
          <w:rFonts w:ascii="David" w:hAnsi="David"/>
          <w:rtl/>
        </w:rPr>
        <w:t>. הגם שנשמעו לא מעט עדים בתיק טרם כריתת הסדר הטיעון, ממנו חזר בו הנאשם, הרי עדיין הסדר הטיעון נכרת במצב בו טרם נסתיימה הבאת הראיות, הנאשמים לא העידו עדיין וטרם נשמעה כלל פרשת ההגנה. על כן גם במצב זה הסדר הטיעון כרך בחובו חיסכון זמן שיפוטי רב, והיה בו כדי לתרום אף לאינטרס הציבורי הכללי של סיום הליכים משפטיים בזמן מהיר, והדברים נכונים ביתר תוקף כאשר אף משפחת המנוח מצפה לסיום ההליך</w:t>
      </w:r>
      <w:r w:rsidR="00312B25">
        <w:rPr>
          <w:rFonts w:ascii="David" w:hAnsi="David" w:hint="cs"/>
          <w:rtl/>
        </w:rPr>
        <w:t>;</w:t>
      </w:r>
      <w:r w:rsidRPr="0037227B">
        <w:rPr>
          <w:rFonts w:ascii="David" w:hAnsi="David"/>
          <w:rtl/>
        </w:rPr>
        <w:t xml:space="preserve"> </w:t>
      </w:r>
      <w:r w:rsidR="00312B25">
        <w:rPr>
          <w:rFonts w:ascii="David" w:hAnsi="David" w:hint="cs"/>
          <w:rtl/>
        </w:rPr>
        <w:t>ו</w:t>
      </w:r>
      <w:r w:rsidRPr="0037227B">
        <w:rPr>
          <w:rFonts w:ascii="David" w:hAnsi="David"/>
          <w:rtl/>
        </w:rPr>
        <w:t xml:space="preserve">יעידו על האמור הזמן הלא מועט שהיה כרוך בהמשך ניהול ההליך בעניינו של הנאשם, וזאת כשמדובר בנאשם אחד בלבד. </w:t>
      </w:r>
      <w:r w:rsidRPr="0037227B">
        <w:rPr>
          <w:rFonts w:ascii="David" w:hAnsi="David"/>
          <w:b/>
          <w:bCs/>
          <w:rtl/>
        </w:rPr>
        <w:t>מעבר לכך, בשלב בו נכרת הסדר הטיעון לגיטימי כי התביעה תשקול את חסכון</w:t>
      </w:r>
      <w:r w:rsidRPr="0037227B">
        <w:rPr>
          <w:rFonts w:ascii="David" w:hAnsi="David"/>
          <w:rtl/>
        </w:rPr>
        <w:t xml:space="preserve"> </w:t>
      </w:r>
      <w:r w:rsidRPr="0037227B">
        <w:rPr>
          <w:rFonts w:ascii="David" w:hAnsi="David"/>
          <w:b/>
          <w:bCs/>
          <w:rtl/>
        </w:rPr>
        <w:t xml:space="preserve">משאבי התביעה, והנאשם יכול ושוקל את רצונו לסיים את ההליך ואת החשש מעונש חמור יותר. כל אלו הם שיקולים ענייניים הרלוונטיים לזמנם ולמצב בו נכרת הסדר טיעון, אך הם אינם יכולים להיות רלוונטיים לקביעת מתחם הענישה בעניינו של הנאשם שלפנינו, אשר עונשו לא נגזר במסגרת הסדר טיעון, וכאשר הוא שביקש לבטל את הסדר הטיעון ולחזור בו מהודאתו. </w:t>
      </w:r>
    </w:p>
    <w:p w14:paraId="0B19BDF1" w14:textId="77777777" w:rsidR="0037227B" w:rsidRPr="0037227B" w:rsidRDefault="0037227B" w:rsidP="00EF64F5">
      <w:pPr>
        <w:widowControl w:val="0"/>
        <w:spacing w:before="240" w:after="240" w:line="360" w:lineRule="auto"/>
        <w:jc w:val="both"/>
        <w:rPr>
          <w:rFonts w:ascii="David" w:hAnsi="David"/>
          <w:rtl/>
        </w:rPr>
      </w:pPr>
      <w:r w:rsidRPr="0037227B">
        <w:rPr>
          <w:rFonts w:ascii="David" w:hAnsi="David"/>
          <w:rtl/>
        </w:rPr>
        <w:t>זאת ועוד, ב"כ המדינה ציין כי הסדר הטיעון נתן משקל משמעותי לרכיב הפיצוי ולרכיב הקנס, משמע המדינה במסגרת ההסדר נתנה משקל לעובדה שההסדר כלל גם פסיקת פיצוי מוסכם – פיצוי משמעותי למשפחת המנוח. ברי כי אף נימוק זה לא מתקיים בעניינו של הנאשם ש</w:t>
      </w:r>
      <w:r w:rsidR="00EF64F5">
        <w:rPr>
          <w:rFonts w:ascii="David" w:hAnsi="David" w:hint="cs"/>
          <w:rtl/>
        </w:rPr>
        <w:t>ל</w:t>
      </w:r>
      <w:r w:rsidRPr="0037227B">
        <w:rPr>
          <w:rFonts w:ascii="David" w:hAnsi="David"/>
          <w:rtl/>
        </w:rPr>
        <w:t xml:space="preserve">פנינו, כשאין כל הסכמה מצדו לתשלום פיצוי כלשהו, וכאמור אף לא הביע ולו ראשית חרטה או לקיחת אחריות על מעשיו. </w:t>
      </w:r>
    </w:p>
    <w:p w14:paraId="75987ED2" w14:textId="77777777" w:rsidR="0037227B" w:rsidRPr="0037227B" w:rsidRDefault="0037227B" w:rsidP="00A91EC4">
      <w:pPr>
        <w:widowControl w:val="0"/>
        <w:spacing w:before="240" w:after="240" w:line="360" w:lineRule="auto"/>
        <w:jc w:val="both"/>
        <w:rPr>
          <w:rFonts w:ascii="David" w:hAnsi="David"/>
          <w:rtl/>
        </w:rPr>
      </w:pPr>
      <w:r w:rsidRPr="0037227B">
        <w:rPr>
          <w:rFonts w:ascii="David" w:hAnsi="David"/>
          <w:rtl/>
        </w:rPr>
        <w:t xml:space="preserve">בל נשכח כי אותה התחשבות בכל הנימוקים הללו ניתנה אף לנאשם שלפנינו, כאשר לשם כריתת הסדר עם כלל הנאשמים ממש טרם הצגת ההסדר הסופי אף הוסכם על הפחתה נוספת של שנה מתקופת המאסר לה עתרו הצדדים בענייננו (מ-13 שנה ל-12 שנה). </w:t>
      </w:r>
    </w:p>
    <w:p w14:paraId="764627EF"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אין חולק כי זכותו המלאה של הנאשם לנהל את משפטו ולעמוד על חפותו, ובדיוק מתוך אותה זכות ואותה חשיבות של האפשרות לברר את משפטו של מי שזועק לחפותו, אפשרנו לנאשם, למרות התנגדות התביעה, לחזור בו מן ההודאה ומהסדר הטיעון שנכרת עמו. </w:t>
      </w:r>
    </w:p>
    <w:p w14:paraId="7C770085" w14:textId="77777777" w:rsidR="0037227B" w:rsidRPr="0037227B" w:rsidRDefault="0037227B" w:rsidP="00EF64F5">
      <w:pPr>
        <w:widowControl w:val="0"/>
        <w:spacing w:before="240" w:after="240" w:line="360" w:lineRule="auto"/>
        <w:jc w:val="both"/>
        <w:rPr>
          <w:rFonts w:ascii="David" w:hAnsi="David"/>
          <w:rtl/>
        </w:rPr>
      </w:pPr>
      <w:r w:rsidRPr="0037227B">
        <w:rPr>
          <w:rFonts w:ascii="David" w:hAnsi="David"/>
          <w:rtl/>
        </w:rPr>
        <w:t xml:space="preserve">אלא שהנאשם אינו מסתפק בכך, אלא למעשה מבקש היום לאחוז במקל בשתי קצותיו – מחד גיסא להמשיך לנהל את משפטו, לבטל את הסדר הטיעון ולחזור בו מהודאתו, על כל המשמעותיות הקיימות בכך, אף כלפי משפחת המנוח; ומאידך גיסא כאשר הוא מורשע, לאחר סיום בשמיעת הראיות בעבירות חמורות, הוא מבקש לחזור אל אותו הסדר טיעון שהוצע גם לו ולעונשים שנגזרו במסגרתו – ולגזור את עונשו כאילו היה אחד הנאשמים האחרים אשר עונשם נגזר במסגרת הסדר הטיעון.  </w:t>
      </w:r>
    </w:p>
    <w:p w14:paraId="7C5BE287"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 xml:space="preserve">ענייננו דומה באופן מטפורי לכך שבאותה תחנה בה נעצרה הרכבת, במועד כריתת הסדר הטיעון, נכח גם הנאשם והוא אף בחר לעלות על הרכבת. אלא שעתה, לאחר שירד מאותה רכבת על פי בקשתו, תוך שהוא שוקל את כל הסיכונים והסיכויים במצב כזה, הרי מאוחר יותר, כאשר המשמעויות הנובעות מכך אינן נוחות לו, הוא מבקש לחזור ולעלות על אותה רכבת. אלא שאותה רכבת יצאה זה מכבר מן התחנה. נראה כי הגיונם של דברים מוביל למסקנה, כי כל תוצאה אחרת תחטא אף לתחושת הצדק וההגינות. </w:t>
      </w:r>
    </w:p>
    <w:p w14:paraId="6C0E4AC1"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אין בידי</w:t>
      </w:r>
      <w:r w:rsidR="00A91EC4">
        <w:rPr>
          <w:rFonts w:ascii="David" w:hAnsi="David" w:hint="cs"/>
          <w:rtl/>
        </w:rPr>
        <w:t>נו</w:t>
      </w:r>
      <w:r w:rsidRPr="0037227B">
        <w:rPr>
          <w:rFonts w:ascii="David" w:hAnsi="David"/>
          <w:rtl/>
        </w:rPr>
        <w:t xml:space="preserve"> לקבל אף את טענת הסנגור כי בשל כך שלא מדובר בהסדר טיעון שנכרת עקב קושי ראייתי, אין סיבה אמיתית שלא להשוות בין העונשים שהוטלו במסגרת הסדר הטיעון לעונשו של הנאשם. </w:t>
      </w:r>
    </w:p>
    <w:p w14:paraId="7B56B5BC" w14:textId="77777777" w:rsidR="0037227B" w:rsidRPr="0037227B" w:rsidRDefault="0037227B" w:rsidP="00A91EC4">
      <w:pPr>
        <w:widowControl w:val="0"/>
        <w:spacing w:before="240" w:after="240" w:line="360" w:lineRule="auto"/>
        <w:jc w:val="both"/>
        <w:rPr>
          <w:rFonts w:ascii="David" w:hAnsi="David"/>
          <w:rtl/>
        </w:rPr>
      </w:pPr>
      <w:r w:rsidRPr="0037227B">
        <w:rPr>
          <w:rFonts w:ascii="David" w:hAnsi="David"/>
          <w:rtl/>
        </w:rPr>
        <w:t xml:space="preserve">המסד הראייתי נגד כל אחד מהנאשמים בתיק זה אינו זהה, ויעידו על כך אף תיקון כתב האישום והעבירות השונות בהן הורשעו </w:t>
      </w:r>
      <w:r w:rsidR="00A91EC4">
        <w:rPr>
          <w:rFonts w:ascii="David" w:hAnsi="David" w:hint="cs"/>
          <w:rtl/>
        </w:rPr>
        <w:t xml:space="preserve">כל אחד מהנאשמים </w:t>
      </w:r>
      <w:r w:rsidRPr="0037227B">
        <w:rPr>
          <w:rFonts w:ascii="David" w:hAnsi="David"/>
          <w:rtl/>
        </w:rPr>
        <w:t>במסגרת הסדר הטיעון</w:t>
      </w:r>
      <w:r w:rsidR="00A91EC4">
        <w:rPr>
          <w:rFonts w:ascii="David" w:hAnsi="David" w:hint="cs"/>
          <w:rtl/>
        </w:rPr>
        <w:t xml:space="preserve"> והעונשים השונים שהושתו עליהם.</w:t>
      </w:r>
      <w:r w:rsidRPr="0037227B">
        <w:rPr>
          <w:rFonts w:ascii="David" w:hAnsi="David"/>
          <w:rtl/>
        </w:rPr>
        <w:t xml:space="preserve"> הדברים מתקשרים אף לכך שכפי שצוין הראיה המרכזית בתיק הייתה עדות עד המדינה, ומידת ההכרות של עד המדינה עם כל אחד מהנאשמים הייתה שונה – וכך גם הראיות הקיימות לגבי כל אחד מהם. והדברים עולים אף ממקרא מכלול הראיות בתיק זה על ידינו. </w:t>
      </w:r>
    </w:p>
    <w:p w14:paraId="4886F597"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זאת ועוד, העובדה שהתביעה לא ציינה כי מדובר בהסדר טיעון שנכרת עקב קושי ראייתי אינה מבססת את טענת הסנגור כי לא היה קושי ראייתי מסוים, ואף נוגדת חזיתית את טענות ההגנה שנטענו כל העת ביחס לנאשם שלפנינו, על פיהן אין ראיות לקשר בין הנאשם לבין עד המדינה והמעשים (לעומת נאשמים אחרים שעימם היה לעד המדינה קשר הדוק).</w:t>
      </w:r>
    </w:p>
    <w:p w14:paraId="7C888B47"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rtl/>
        </w:rPr>
        <w:t>עוד יוער, כי גם באופן כללי הקשר בין תיקון 113 להסדרי טיעון אינו ברור וטרם הוסדר בחקיקה או בפסיקה. עם זאת, בהקשר זה צוין ב</w:t>
      </w:r>
      <w:hyperlink r:id="rId62" w:history="1">
        <w:r w:rsidR="00190E23" w:rsidRPr="00190E23">
          <w:rPr>
            <w:rFonts w:ascii="David" w:hAnsi="David"/>
            <w:color w:val="0000FF"/>
            <w:u w:val="single"/>
            <w:rtl/>
          </w:rPr>
          <w:t>ע"פ 6943/16</w:t>
        </w:r>
      </w:hyperlink>
      <w:r w:rsidRPr="0037227B">
        <w:rPr>
          <w:rFonts w:ascii="David" w:hAnsi="David"/>
          <w:rtl/>
        </w:rPr>
        <w:t xml:space="preserve"> </w:t>
      </w:r>
      <w:r w:rsidRPr="0037227B">
        <w:rPr>
          <w:rFonts w:ascii="David" w:hAnsi="David"/>
          <w:b/>
          <w:bCs/>
          <w:rtl/>
        </w:rPr>
        <w:t>גנדי גלקין נ' מדינת ישראל</w:t>
      </w:r>
      <w:r w:rsidRPr="0037227B">
        <w:rPr>
          <w:rFonts w:ascii="David" w:hAnsi="David"/>
          <w:rtl/>
        </w:rPr>
        <w:t xml:space="preserve"> (פורסם בנבו, 28.01.2018) כי "</w:t>
      </w:r>
      <w:r w:rsidRPr="0037227B">
        <w:rPr>
          <w:rFonts w:ascii="David" w:hAnsi="David"/>
          <w:b/>
          <w:bCs/>
          <w:rtl/>
        </w:rPr>
        <w:t>העניין של קשיים ראייתיים לא רלוונטי כמובן בתיק שאינו מסתיים בהסדר טיעון, אלא בהכרעת דין מנומקת</w:t>
      </w:r>
      <w:r w:rsidRPr="0037227B">
        <w:rPr>
          <w:rFonts w:ascii="David" w:hAnsi="David"/>
          <w:rtl/>
        </w:rPr>
        <w:t xml:space="preserve">". </w:t>
      </w:r>
    </w:p>
    <w:p w14:paraId="1D541270" w14:textId="77777777" w:rsidR="0037227B" w:rsidRPr="0037227B" w:rsidRDefault="0037227B" w:rsidP="00EF64F5">
      <w:pPr>
        <w:widowControl w:val="0"/>
        <w:spacing w:before="240" w:after="240" w:line="360" w:lineRule="auto"/>
        <w:jc w:val="both"/>
        <w:rPr>
          <w:rFonts w:ascii="David" w:hAnsi="David"/>
          <w:rtl/>
        </w:rPr>
      </w:pPr>
      <w:r w:rsidRPr="0037227B">
        <w:rPr>
          <w:rFonts w:ascii="David" w:hAnsi="David"/>
          <w:rtl/>
        </w:rPr>
        <w:t xml:space="preserve">טענה נוספת של ההגנה הייתה, כי בהתאם לקביעות שנקבעו בהכרעת הדין על ידינו, חלקם של וורו וזהבי גדול מזה של הנאשם, כאשר הם הורשעו בעבירות </w:t>
      </w:r>
      <w:r w:rsidR="00EF64F5">
        <w:rPr>
          <w:rFonts w:ascii="David" w:hAnsi="David" w:hint="cs"/>
          <w:rtl/>
        </w:rPr>
        <w:t xml:space="preserve">דומות </w:t>
      </w:r>
      <w:r w:rsidRPr="0037227B">
        <w:rPr>
          <w:rFonts w:ascii="David" w:hAnsi="David"/>
          <w:rtl/>
        </w:rPr>
        <w:t>אך להם היה חפץ ממשי בתוצאה ומעורבות גדולה יותר</w:t>
      </w:r>
      <w:r w:rsidR="00EF64F5">
        <w:rPr>
          <w:rFonts w:ascii="David" w:hAnsi="David" w:hint="cs"/>
          <w:rtl/>
        </w:rPr>
        <w:t>,</w:t>
      </w:r>
      <w:r w:rsidRPr="0037227B">
        <w:rPr>
          <w:rFonts w:ascii="David" w:hAnsi="David"/>
          <w:rtl/>
        </w:rPr>
        <w:t xml:space="preserve"> ועל כן לא ניתן להתעלם לחלוטין מעונשם של נאשמים אלו </w:t>
      </w:r>
      <w:r w:rsidR="00EF64F5">
        <w:rPr>
          <w:rFonts w:ascii="David" w:hAnsi="David" w:hint="cs"/>
          <w:rtl/>
        </w:rPr>
        <w:t>רק בשל כך</w:t>
      </w:r>
      <w:r w:rsidRPr="0037227B">
        <w:rPr>
          <w:rFonts w:ascii="David" w:hAnsi="David"/>
          <w:rtl/>
        </w:rPr>
        <w:t xml:space="preserve"> שעונשם נקבע במסגרת הסדר טיעון.</w:t>
      </w:r>
    </w:p>
    <w:p w14:paraId="3D541F0A" w14:textId="77777777" w:rsidR="0037227B" w:rsidRPr="0037227B" w:rsidRDefault="0037227B" w:rsidP="00A91EC4">
      <w:pPr>
        <w:widowControl w:val="0"/>
        <w:spacing w:before="240" w:after="240" w:line="360" w:lineRule="auto"/>
        <w:jc w:val="both"/>
        <w:rPr>
          <w:rFonts w:ascii="David" w:hAnsi="David"/>
          <w:rtl/>
        </w:rPr>
      </w:pPr>
      <w:r w:rsidRPr="0037227B">
        <w:rPr>
          <w:rFonts w:ascii="David" w:hAnsi="David"/>
          <w:rtl/>
        </w:rPr>
        <w:t>מעבר לנאמר לעיל באשר לשוני בין מי שנגזר דינו במסגרת הסדר טיעון לבין מי שניהל משפט</w:t>
      </w:r>
      <w:r w:rsidR="00EF64F5">
        <w:rPr>
          <w:rFonts w:ascii="David" w:hAnsi="David" w:hint="cs"/>
          <w:rtl/>
        </w:rPr>
        <w:t xml:space="preserve"> וביתר שאת במקרה זה</w:t>
      </w:r>
      <w:r w:rsidRPr="0037227B">
        <w:rPr>
          <w:rFonts w:ascii="David" w:hAnsi="David"/>
          <w:rtl/>
        </w:rPr>
        <w:t>, הרי אין לקבל את הטענה כי חלקו של הנאשם פחות חמור מחלקם של האחרים – למשל ביחס לחלקו של זהבי – אך בגלל שלא הוכח מעבר לכל ספק סביר, כי הנאשם חפץ בתוצאה של גרימת המוות</w:t>
      </w:r>
      <w:r w:rsidR="00EF64F5">
        <w:rPr>
          <w:rFonts w:ascii="David" w:hAnsi="David" w:hint="cs"/>
          <w:rtl/>
        </w:rPr>
        <w:t>.</w:t>
      </w:r>
      <w:r w:rsidRPr="0037227B">
        <w:rPr>
          <w:rFonts w:ascii="David" w:hAnsi="David"/>
          <w:rtl/>
        </w:rPr>
        <w:t xml:space="preserve"> שכן </w:t>
      </w:r>
      <w:r w:rsidR="00A91EC4">
        <w:rPr>
          <w:rFonts w:ascii="David" w:hAnsi="David" w:hint="cs"/>
          <w:rtl/>
        </w:rPr>
        <w:t xml:space="preserve">הגם שזהבי היה מעורב יותר בתכנון ובחיפוש אחרי "הגרוזינים" לשם הטמנת המטען ופיצוצו, בסופו של דבר </w:t>
      </w:r>
      <w:r w:rsidRPr="0037227B">
        <w:rPr>
          <w:rFonts w:ascii="David" w:hAnsi="David"/>
          <w:rtl/>
        </w:rPr>
        <w:t xml:space="preserve">חלקו ותרומתו לביצוע הפיצוץ ומעשה הרצח </w:t>
      </w:r>
      <w:r w:rsidR="00EF64F5">
        <w:rPr>
          <w:rFonts w:ascii="David" w:hAnsi="David" w:hint="cs"/>
          <w:rtl/>
        </w:rPr>
        <w:t>ניתן לכנותם</w:t>
      </w:r>
      <w:r w:rsidRPr="0037227B">
        <w:rPr>
          <w:rFonts w:ascii="David" w:hAnsi="David"/>
          <w:rtl/>
        </w:rPr>
        <w:t xml:space="preserve"> מינוריים יותר מזה של הנאשם; במיוחד לאחר שזהבי בסופו של דבר לא לקח חלק בפיצוץ המטען, ולא נסע כלל </w:t>
      </w:r>
      <w:r w:rsidR="00EF64F5">
        <w:rPr>
          <w:rFonts w:ascii="David" w:hAnsi="David" w:hint="cs"/>
          <w:rtl/>
        </w:rPr>
        <w:t>עם שניר ווורו לזירה</w:t>
      </w:r>
      <w:r w:rsidRPr="0037227B">
        <w:rPr>
          <w:rFonts w:ascii="David" w:hAnsi="David"/>
          <w:rtl/>
        </w:rPr>
        <w:t xml:space="preserve">. על כן נראה כי תרומתו לביצוע הרצח שבוצע על ידי פיצוץ מטען החבלה, פחותה </w:t>
      </w:r>
      <w:r w:rsidR="00A91EC4">
        <w:rPr>
          <w:rFonts w:ascii="David" w:hAnsi="David" w:hint="cs"/>
          <w:rtl/>
        </w:rPr>
        <w:t xml:space="preserve">באופן ממשי </w:t>
      </w:r>
      <w:r w:rsidRPr="0037227B">
        <w:rPr>
          <w:rFonts w:ascii="David" w:hAnsi="David"/>
          <w:rtl/>
        </w:rPr>
        <w:t xml:space="preserve">מתרומתו של הנאשם, אשר הוא שאפשר לאחרים, עמם קשר, לבצע את הרצח. </w:t>
      </w:r>
    </w:p>
    <w:p w14:paraId="5F379FFE" w14:textId="77777777" w:rsidR="00EF64F5" w:rsidRDefault="0037227B" w:rsidP="006D2178">
      <w:pPr>
        <w:widowControl w:val="0"/>
        <w:spacing w:before="240" w:after="240" w:line="360" w:lineRule="auto"/>
        <w:jc w:val="both"/>
        <w:rPr>
          <w:rFonts w:ascii="David" w:hAnsi="David"/>
          <w:rtl/>
        </w:rPr>
      </w:pPr>
      <w:r w:rsidRPr="0037227B">
        <w:rPr>
          <w:rFonts w:ascii="David" w:hAnsi="David"/>
          <w:rtl/>
        </w:rPr>
        <w:t xml:space="preserve">מעורבותו של הנאשם שלפנינו הינה משמעותית ומהותית, כמי שסיפק את מטען החבלה ואפשר את ביצוע הרצח. </w:t>
      </w:r>
    </w:p>
    <w:p w14:paraId="7401B98C" w14:textId="77777777" w:rsidR="0037227B" w:rsidRPr="0037227B" w:rsidRDefault="00EF64F5" w:rsidP="00EF64F5">
      <w:pPr>
        <w:widowControl w:val="0"/>
        <w:spacing w:before="240" w:after="240" w:line="360" w:lineRule="auto"/>
        <w:jc w:val="both"/>
        <w:rPr>
          <w:rFonts w:ascii="David" w:hAnsi="David"/>
          <w:rtl/>
        </w:rPr>
      </w:pPr>
      <w:r>
        <w:rPr>
          <w:rFonts w:ascii="David" w:hAnsi="David" w:hint="cs"/>
          <w:rtl/>
        </w:rPr>
        <w:t>מכל האמור</w:t>
      </w:r>
      <w:r w:rsidR="0037227B" w:rsidRPr="0037227B">
        <w:rPr>
          <w:rFonts w:ascii="David" w:hAnsi="David"/>
          <w:rtl/>
        </w:rPr>
        <w:t xml:space="preserve"> עלינו לגזור את עונשו של הנאשם בהתאם לעקרונות שנקבעו בתיקון 113 ל</w:t>
      </w:r>
      <w:hyperlink r:id="rId63" w:history="1">
        <w:r w:rsidR="00190E23" w:rsidRPr="00190E23">
          <w:rPr>
            <w:rFonts w:ascii="David" w:hAnsi="David"/>
            <w:color w:val="0000FF"/>
            <w:u w:val="single"/>
            <w:rtl/>
          </w:rPr>
          <w:t>חוק העונשין</w:t>
        </w:r>
      </w:hyperlink>
      <w:r w:rsidR="0037227B" w:rsidRPr="0037227B">
        <w:rPr>
          <w:rFonts w:ascii="David" w:hAnsi="David"/>
          <w:rtl/>
        </w:rPr>
        <w:t xml:space="preserve"> – על פי העובדות שנקבעו בהכרעת הדין על ידינו אשר היא המשקפת את הכרעתנו ביחס למעשיו של הנאשם. יפים לעניין זה הדברים שנאמרו</w:t>
      </w:r>
      <w:r w:rsidR="0037227B" w:rsidRPr="0037227B">
        <w:rPr>
          <w:rFonts w:ascii="David" w:hAnsi="David"/>
          <w:b/>
          <w:bCs/>
          <w:rtl/>
        </w:rPr>
        <w:t xml:space="preserve"> </w:t>
      </w:r>
      <w:r w:rsidR="0037227B" w:rsidRPr="0037227B">
        <w:rPr>
          <w:rFonts w:ascii="David" w:hAnsi="David"/>
          <w:rtl/>
        </w:rPr>
        <w:t>ב</w:t>
      </w:r>
      <w:hyperlink r:id="rId64" w:history="1">
        <w:r w:rsidR="00190E23" w:rsidRPr="00190E23">
          <w:rPr>
            <w:rFonts w:ascii="David" w:hAnsi="David"/>
            <w:color w:val="0000FF"/>
            <w:u w:val="single"/>
            <w:rtl/>
          </w:rPr>
          <w:t>ע"פ 6943/16</w:t>
        </w:r>
      </w:hyperlink>
      <w:r w:rsidR="0037227B" w:rsidRPr="0037227B">
        <w:rPr>
          <w:rFonts w:ascii="David" w:hAnsi="David"/>
          <w:rtl/>
        </w:rPr>
        <w:t xml:space="preserve"> </w:t>
      </w:r>
      <w:r w:rsidR="0037227B" w:rsidRPr="0037227B">
        <w:rPr>
          <w:rFonts w:ascii="David" w:hAnsi="David"/>
          <w:b/>
          <w:bCs/>
          <w:rtl/>
        </w:rPr>
        <w:t xml:space="preserve">גלקין </w:t>
      </w:r>
      <w:r w:rsidR="00AD1D7C" w:rsidRPr="00AD1D7C">
        <w:rPr>
          <w:sz w:val="22"/>
          <w:rtl/>
        </w:rPr>
        <w:t xml:space="preserve">[פורסם בנבו] </w:t>
      </w:r>
      <w:r w:rsidR="0037227B" w:rsidRPr="0037227B">
        <w:rPr>
          <w:rFonts w:ascii="David" w:hAnsi="David"/>
          <w:rtl/>
        </w:rPr>
        <w:t xml:space="preserve">שאוזכר לעיל כי: </w:t>
      </w:r>
      <w:r w:rsidR="0037227B" w:rsidRPr="0037227B">
        <w:rPr>
          <w:rFonts w:ascii="David" w:hAnsi="David"/>
          <w:b/>
          <w:bCs/>
          <w:rtl/>
        </w:rPr>
        <w:t>"במצב זה, הכרעת הדין היא-היא משקפת את המצב הראייתי בתוצאה אליה הגיע בית משפט קמא, וגזירת העונש תיעשה על פי ממצאי הכרעת הדין. שונים הדברים כאשר הסדר הטיעון נגזר מקשיים ראייתיים ובין היתר מהערכות סיכון-סיכוי של כל צד."</w:t>
      </w:r>
    </w:p>
    <w:p w14:paraId="01382DBE" w14:textId="77777777" w:rsidR="0037227B" w:rsidRPr="0037227B" w:rsidRDefault="0037227B" w:rsidP="006D2178">
      <w:pPr>
        <w:widowControl w:val="0"/>
        <w:spacing w:before="240" w:after="240" w:line="360" w:lineRule="auto"/>
        <w:jc w:val="both"/>
        <w:rPr>
          <w:rFonts w:ascii="David" w:hAnsi="David"/>
          <w:u w:val="single"/>
          <w:rtl/>
        </w:rPr>
      </w:pPr>
      <w:r w:rsidRPr="0037227B">
        <w:rPr>
          <w:rFonts w:ascii="David" w:hAnsi="David"/>
          <w:u w:val="single"/>
          <w:rtl/>
        </w:rPr>
        <w:t xml:space="preserve">מתחם העונש ההולם </w:t>
      </w:r>
    </w:p>
    <w:p w14:paraId="633F8B7E" w14:textId="77777777" w:rsidR="0037227B" w:rsidRPr="00AA720B" w:rsidRDefault="0037227B" w:rsidP="006D2178">
      <w:pPr>
        <w:widowControl w:val="0"/>
        <w:spacing w:before="240" w:after="240" w:line="360" w:lineRule="auto"/>
        <w:jc w:val="both"/>
        <w:rPr>
          <w:rFonts w:ascii="Calibri" w:hAnsi="Calibri"/>
          <w:b/>
          <w:bCs/>
          <w:rtl/>
        </w:rPr>
      </w:pPr>
      <w:r w:rsidRPr="00AA720B">
        <w:rPr>
          <w:rFonts w:ascii="Calibri" w:hAnsi="Calibri" w:hint="eastAsia"/>
          <w:b/>
          <w:bCs/>
          <w:rtl/>
        </w:rPr>
        <w:t>בשים</w:t>
      </w:r>
      <w:r w:rsidRPr="00AA720B">
        <w:rPr>
          <w:rFonts w:ascii="Calibri" w:hAnsi="Calibri"/>
          <w:b/>
          <w:bCs/>
          <w:rtl/>
        </w:rPr>
        <w:t xml:space="preserve"> </w:t>
      </w:r>
      <w:r w:rsidRPr="00AA720B">
        <w:rPr>
          <w:rFonts w:ascii="Calibri" w:hAnsi="Calibri" w:hint="eastAsia"/>
          <w:b/>
          <w:bCs/>
          <w:rtl/>
        </w:rPr>
        <w:t>לב</w:t>
      </w:r>
      <w:r w:rsidRPr="00AA720B">
        <w:rPr>
          <w:rFonts w:ascii="Calibri" w:hAnsi="Calibri"/>
          <w:b/>
          <w:bCs/>
          <w:rtl/>
        </w:rPr>
        <w:t xml:space="preserve"> </w:t>
      </w:r>
      <w:r w:rsidRPr="00AA720B">
        <w:rPr>
          <w:rFonts w:ascii="Calibri" w:hAnsi="Calibri" w:hint="eastAsia"/>
          <w:b/>
          <w:bCs/>
          <w:rtl/>
        </w:rPr>
        <w:t>לנסיבות</w:t>
      </w:r>
      <w:r w:rsidRPr="00AA720B">
        <w:rPr>
          <w:rFonts w:ascii="Calibri" w:hAnsi="Calibri"/>
          <w:b/>
          <w:bCs/>
          <w:rtl/>
        </w:rPr>
        <w:t xml:space="preserve"> </w:t>
      </w:r>
      <w:r w:rsidRPr="00AA720B">
        <w:rPr>
          <w:rFonts w:ascii="Calibri" w:hAnsi="Calibri" w:hint="eastAsia"/>
          <w:b/>
          <w:bCs/>
          <w:rtl/>
        </w:rPr>
        <w:t>ביצוע</w:t>
      </w:r>
      <w:r w:rsidRPr="00AA720B">
        <w:rPr>
          <w:rFonts w:ascii="Calibri" w:hAnsi="Calibri"/>
          <w:b/>
          <w:bCs/>
          <w:rtl/>
        </w:rPr>
        <w:t xml:space="preserve"> </w:t>
      </w:r>
      <w:r w:rsidRPr="00AA720B">
        <w:rPr>
          <w:rFonts w:ascii="Calibri" w:hAnsi="Calibri" w:hint="eastAsia"/>
          <w:b/>
          <w:bCs/>
          <w:rtl/>
        </w:rPr>
        <w:t>העבירות</w:t>
      </w:r>
      <w:r w:rsidRPr="00AA720B">
        <w:rPr>
          <w:rFonts w:ascii="Calibri" w:hAnsi="Calibri"/>
          <w:b/>
          <w:bCs/>
          <w:rtl/>
        </w:rPr>
        <w:t xml:space="preserve"> </w:t>
      </w:r>
      <w:r w:rsidRPr="00AA720B">
        <w:rPr>
          <w:rFonts w:ascii="Calibri" w:hAnsi="Calibri" w:hint="eastAsia"/>
          <w:b/>
          <w:bCs/>
          <w:rtl/>
        </w:rPr>
        <w:t>כפי</w:t>
      </w:r>
      <w:r w:rsidRPr="00AA720B">
        <w:rPr>
          <w:rFonts w:ascii="Calibri" w:hAnsi="Calibri"/>
          <w:b/>
          <w:bCs/>
          <w:rtl/>
        </w:rPr>
        <w:t xml:space="preserve"> </w:t>
      </w:r>
      <w:r w:rsidRPr="00AA720B">
        <w:rPr>
          <w:rFonts w:ascii="Calibri" w:hAnsi="Calibri" w:hint="eastAsia"/>
          <w:b/>
          <w:bCs/>
          <w:rtl/>
        </w:rPr>
        <w:t>שפורטו</w:t>
      </w:r>
      <w:r w:rsidRPr="00AA720B">
        <w:rPr>
          <w:rFonts w:ascii="Calibri" w:hAnsi="Calibri"/>
          <w:b/>
          <w:bCs/>
          <w:rtl/>
        </w:rPr>
        <w:t xml:space="preserve"> </w:t>
      </w:r>
      <w:r w:rsidRPr="00AA720B">
        <w:rPr>
          <w:rFonts w:ascii="Calibri" w:hAnsi="Calibri" w:hint="eastAsia"/>
          <w:b/>
          <w:bCs/>
          <w:rtl/>
        </w:rPr>
        <w:t>לעיל</w:t>
      </w:r>
      <w:r w:rsidRPr="00AA720B">
        <w:rPr>
          <w:rFonts w:ascii="Calibri" w:hAnsi="Calibri"/>
          <w:b/>
          <w:bCs/>
          <w:rtl/>
        </w:rPr>
        <w:t xml:space="preserve">, </w:t>
      </w:r>
      <w:r w:rsidRPr="00AA720B">
        <w:rPr>
          <w:rFonts w:ascii="Calibri" w:hAnsi="Calibri" w:hint="eastAsia"/>
          <w:b/>
          <w:bCs/>
          <w:rtl/>
        </w:rPr>
        <w:t>בהתחשב</w:t>
      </w:r>
      <w:r w:rsidRPr="00AA720B">
        <w:rPr>
          <w:rFonts w:ascii="Calibri" w:hAnsi="Calibri"/>
          <w:b/>
          <w:bCs/>
          <w:rtl/>
        </w:rPr>
        <w:t xml:space="preserve"> </w:t>
      </w:r>
      <w:r w:rsidRPr="00AA720B">
        <w:rPr>
          <w:rFonts w:ascii="Calibri" w:hAnsi="Calibri" w:hint="eastAsia"/>
          <w:b/>
          <w:bCs/>
          <w:rtl/>
        </w:rPr>
        <w:t>במידת</w:t>
      </w:r>
      <w:r w:rsidRPr="00AA720B">
        <w:rPr>
          <w:rFonts w:ascii="Calibri" w:hAnsi="Calibri"/>
          <w:b/>
          <w:bCs/>
          <w:rtl/>
        </w:rPr>
        <w:t xml:space="preserve"> </w:t>
      </w:r>
      <w:r w:rsidRPr="00AA720B">
        <w:rPr>
          <w:rFonts w:ascii="Calibri" w:hAnsi="Calibri" w:hint="eastAsia"/>
          <w:b/>
          <w:bCs/>
          <w:rtl/>
        </w:rPr>
        <w:t>הפגיעה</w:t>
      </w:r>
      <w:r w:rsidRPr="00AA720B">
        <w:rPr>
          <w:rFonts w:ascii="Calibri" w:hAnsi="Calibri"/>
          <w:b/>
          <w:bCs/>
          <w:rtl/>
        </w:rPr>
        <w:t xml:space="preserve"> </w:t>
      </w:r>
      <w:r w:rsidRPr="00AA720B">
        <w:rPr>
          <w:rFonts w:ascii="Calibri" w:hAnsi="Calibri" w:hint="eastAsia"/>
          <w:b/>
          <w:bCs/>
          <w:rtl/>
        </w:rPr>
        <w:t>של</w:t>
      </w:r>
      <w:r w:rsidRPr="00AA720B">
        <w:rPr>
          <w:rFonts w:ascii="Calibri" w:hAnsi="Calibri"/>
          <w:b/>
          <w:bCs/>
          <w:rtl/>
        </w:rPr>
        <w:t xml:space="preserve"> </w:t>
      </w:r>
      <w:r w:rsidRPr="00AA720B">
        <w:rPr>
          <w:rFonts w:ascii="Calibri" w:hAnsi="Calibri" w:hint="eastAsia"/>
          <w:b/>
          <w:bCs/>
          <w:rtl/>
        </w:rPr>
        <w:t>הנאשם</w:t>
      </w:r>
      <w:r w:rsidRPr="00AA720B">
        <w:rPr>
          <w:rFonts w:ascii="Calibri" w:hAnsi="Calibri"/>
          <w:b/>
          <w:bCs/>
          <w:rtl/>
        </w:rPr>
        <w:t xml:space="preserve"> </w:t>
      </w:r>
      <w:r w:rsidRPr="00AA720B">
        <w:rPr>
          <w:rFonts w:ascii="Calibri" w:hAnsi="Calibri" w:hint="eastAsia"/>
          <w:b/>
          <w:bCs/>
          <w:rtl/>
        </w:rPr>
        <w:t>בערכים</w:t>
      </w:r>
      <w:r w:rsidRPr="00AA720B">
        <w:rPr>
          <w:rFonts w:ascii="Calibri" w:hAnsi="Calibri"/>
          <w:b/>
          <w:bCs/>
          <w:rtl/>
        </w:rPr>
        <w:t xml:space="preserve"> </w:t>
      </w:r>
      <w:r w:rsidRPr="00AA720B">
        <w:rPr>
          <w:rFonts w:ascii="Calibri" w:hAnsi="Calibri" w:hint="eastAsia"/>
          <w:b/>
          <w:bCs/>
          <w:rtl/>
        </w:rPr>
        <w:t>החברתיים</w:t>
      </w:r>
      <w:r w:rsidRPr="00AA720B">
        <w:rPr>
          <w:rFonts w:ascii="Calibri" w:hAnsi="Calibri"/>
          <w:b/>
          <w:bCs/>
          <w:rtl/>
        </w:rPr>
        <w:t xml:space="preserve">, </w:t>
      </w:r>
      <w:r w:rsidRPr="00AA720B">
        <w:rPr>
          <w:rFonts w:ascii="Calibri" w:hAnsi="Calibri" w:hint="eastAsia"/>
          <w:b/>
          <w:bCs/>
          <w:rtl/>
        </w:rPr>
        <w:t>ולאור</w:t>
      </w:r>
      <w:r w:rsidRPr="00AA720B">
        <w:rPr>
          <w:rFonts w:ascii="Calibri" w:hAnsi="Calibri"/>
          <w:b/>
          <w:bCs/>
          <w:rtl/>
        </w:rPr>
        <w:t xml:space="preserve"> </w:t>
      </w:r>
      <w:r w:rsidRPr="00AA720B">
        <w:rPr>
          <w:rFonts w:ascii="Calibri" w:hAnsi="Calibri" w:hint="eastAsia"/>
          <w:b/>
          <w:bCs/>
          <w:rtl/>
        </w:rPr>
        <w:t>מדיניות</w:t>
      </w:r>
      <w:r w:rsidRPr="00AA720B">
        <w:rPr>
          <w:rFonts w:ascii="Calibri" w:hAnsi="Calibri"/>
          <w:b/>
          <w:bCs/>
          <w:rtl/>
        </w:rPr>
        <w:t xml:space="preserve"> </w:t>
      </w:r>
      <w:r w:rsidRPr="00AA720B">
        <w:rPr>
          <w:rFonts w:ascii="Calibri" w:hAnsi="Calibri" w:hint="eastAsia"/>
          <w:b/>
          <w:bCs/>
          <w:rtl/>
        </w:rPr>
        <w:t>הענישה</w:t>
      </w:r>
      <w:r w:rsidRPr="00AA720B">
        <w:rPr>
          <w:rFonts w:ascii="Calibri" w:hAnsi="Calibri"/>
          <w:b/>
          <w:bCs/>
          <w:rtl/>
        </w:rPr>
        <w:t xml:space="preserve"> </w:t>
      </w:r>
      <w:r w:rsidRPr="00AA720B">
        <w:rPr>
          <w:rFonts w:ascii="Calibri" w:hAnsi="Calibri" w:hint="eastAsia"/>
          <w:b/>
          <w:bCs/>
          <w:rtl/>
        </w:rPr>
        <w:t>הנהוגה</w:t>
      </w:r>
      <w:r w:rsidRPr="00AA720B">
        <w:rPr>
          <w:rFonts w:ascii="Calibri" w:hAnsi="Calibri"/>
          <w:b/>
          <w:bCs/>
          <w:rtl/>
        </w:rPr>
        <w:t xml:space="preserve">, </w:t>
      </w:r>
      <w:r w:rsidRPr="00AA720B">
        <w:rPr>
          <w:rFonts w:ascii="Calibri" w:hAnsi="Calibri" w:hint="eastAsia"/>
          <w:b/>
          <w:bCs/>
          <w:rtl/>
        </w:rPr>
        <w:t>ראינו</w:t>
      </w:r>
      <w:r w:rsidRPr="00AA720B">
        <w:rPr>
          <w:rFonts w:ascii="Calibri" w:hAnsi="Calibri"/>
          <w:b/>
          <w:bCs/>
          <w:rtl/>
        </w:rPr>
        <w:t xml:space="preserve"> </w:t>
      </w:r>
      <w:r w:rsidRPr="00AA720B">
        <w:rPr>
          <w:rFonts w:ascii="Calibri" w:hAnsi="Calibri" w:hint="eastAsia"/>
          <w:b/>
          <w:bCs/>
          <w:rtl/>
        </w:rPr>
        <w:t>לנכון</w:t>
      </w:r>
      <w:r w:rsidRPr="00AA720B">
        <w:rPr>
          <w:rFonts w:ascii="Calibri" w:hAnsi="Calibri"/>
          <w:b/>
          <w:bCs/>
          <w:rtl/>
        </w:rPr>
        <w:t xml:space="preserve"> </w:t>
      </w:r>
      <w:r w:rsidRPr="00AA720B">
        <w:rPr>
          <w:rFonts w:ascii="Calibri" w:hAnsi="Calibri" w:hint="eastAsia"/>
          <w:b/>
          <w:bCs/>
          <w:rtl/>
        </w:rPr>
        <w:t>לקבוע</w:t>
      </w:r>
      <w:r w:rsidRPr="00AA720B">
        <w:rPr>
          <w:rFonts w:ascii="Calibri" w:hAnsi="Calibri"/>
          <w:b/>
          <w:bCs/>
          <w:rtl/>
        </w:rPr>
        <w:t xml:space="preserve"> </w:t>
      </w:r>
      <w:r w:rsidRPr="00AA720B">
        <w:rPr>
          <w:rFonts w:ascii="Calibri" w:hAnsi="Calibri" w:hint="eastAsia"/>
          <w:b/>
          <w:bCs/>
          <w:rtl/>
        </w:rPr>
        <w:t>את</w:t>
      </w:r>
      <w:r w:rsidRPr="00AA720B">
        <w:rPr>
          <w:rFonts w:ascii="Calibri" w:hAnsi="Calibri"/>
          <w:b/>
          <w:bCs/>
          <w:rtl/>
        </w:rPr>
        <w:t xml:space="preserve"> </w:t>
      </w:r>
      <w:r w:rsidRPr="00AA720B">
        <w:rPr>
          <w:rFonts w:ascii="Calibri" w:hAnsi="Calibri" w:hint="eastAsia"/>
          <w:b/>
          <w:bCs/>
          <w:rtl/>
        </w:rPr>
        <w:t>מתחם</w:t>
      </w:r>
      <w:r w:rsidRPr="00AA720B">
        <w:rPr>
          <w:rFonts w:ascii="Calibri" w:hAnsi="Calibri"/>
          <w:b/>
          <w:bCs/>
          <w:rtl/>
        </w:rPr>
        <w:t xml:space="preserve"> </w:t>
      </w:r>
      <w:r w:rsidRPr="00AA720B">
        <w:rPr>
          <w:rFonts w:ascii="Calibri" w:hAnsi="Calibri" w:hint="eastAsia"/>
          <w:b/>
          <w:bCs/>
          <w:rtl/>
        </w:rPr>
        <w:t>העונש</w:t>
      </w:r>
      <w:r w:rsidRPr="00AA720B">
        <w:rPr>
          <w:rFonts w:ascii="Calibri" w:hAnsi="Calibri"/>
          <w:b/>
          <w:bCs/>
          <w:rtl/>
        </w:rPr>
        <w:t xml:space="preserve"> </w:t>
      </w:r>
      <w:r w:rsidRPr="00AA720B">
        <w:rPr>
          <w:rFonts w:ascii="Calibri" w:hAnsi="Calibri" w:hint="eastAsia"/>
          <w:b/>
          <w:bCs/>
          <w:rtl/>
        </w:rPr>
        <w:t>ההולם</w:t>
      </w:r>
      <w:r w:rsidRPr="00AA720B">
        <w:rPr>
          <w:rFonts w:ascii="Calibri" w:hAnsi="Calibri"/>
          <w:b/>
          <w:bCs/>
          <w:rtl/>
        </w:rPr>
        <w:t xml:space="preserve"> </w:t>
      </w:r>
      <w:r w:rsidRPr="00AA720B">
        <w:rPr>
          <w:rFonts w:ascii="Calibri" w:hAnsi="Calibri" w:hint="eastAsia"/>
          <w:b/>
          <w:bCs/>
          <w:rtl/>
        </w:rPr>
        <w:t>בין</w:t>
      </w:r>
      <w:r w:rsidRPr="00AA720B">
        <w:rPr>
          <w:rFonts w:ascii="Calibri" w:hAnsi="Calibri"/>
          <w:b/>
          <w:bCs/>
          <w:rtl/>
        </w:rPr>
        <w:t xml:space="preserve"> 14 </w:t>
      </w:r>
      <w:r w:rsidRPr="00AA720B">
        <w:rPr>
          <w:rFonts w:ascii="Calibri" w:hAnsi="Calibri" w:hint="eastAsia"/>
          <w:b/>
          <w:bCs/>
          <w:rtl/>
        </w:rPr>
        <w:t>לבין</w:t>
      </w:r>
      <w:r w:rsidRPr="00AA720B">
        <w:rPr>
          <w:rFonts w:ascii="Calibri" w:hAnsi="Calibri"/>
          <w:b/>
          <w:bCs/>
          <w:rtl/>
        </w:rPr>
        <w:t xml:space="preserve"> 17 </w:t>
      </w:r>
      <w:r w:rsidRPr="00AA720B">
        <w:rPr>
          <w:rFonts w:ascii="Calibri" w:hAnsi="Calibri" w:hint="eastAsia"/>
          <w:b/>
          <w:bCs/>
          <w:rtl/>
        </w:rPr>
        <w:t>שנות</w:t>
      </w:r>
      <w:r w:rsidRPr="00AA720B">
        <w:rPr>
          <w:rFonts w:ascii="Calibri" w:hAnsi="Calibri"/>
          <w:b/>
          <w:bCs/>
          <w:rtl/>
        </w:rPr>
        <w:t xml:space="preserve"> </w:t>
      </w:r>
      <w:r w:rsidRPr="00AA720B">
        <w:rPr>
          <w:rFonts w:ascii="Calibri" w:hAnsi="Calibri" w:hint="eastAsia"/>
          <w:b/>
          <w:bCs/>
          <w:rtl/>
        </w:rPr>
        <w:t>מאסר</w:t>
      </w:r>
      <w:r w:rsidRPr="00AA720B">
        <w:rPr>
          <w:rFonts w:ascii="Calibri" w:hAnsi="Calibri"/>
          <w:b/>
          <w:bCs/>
          <w:rtl/>
        </w:rPr>
        <w:t xml:space="preserve">, </w:t>
      </w:r>
      <w:r w:rsidRPr="00AA720B">
        <w:rPr>
          <w:rFonts w:ascii="Calibri" w:hAnsi="Calibri" w:hint="eastAsia"/>
          <w:b/>
          <w:bCs/>
          <w:rtl/>
        </w:rPr>
        <w:t>לצד</w:t>
      </w:r>
      <w:r w:rsidRPr="00AA720B">
        <w:rPr>
          <w:rFonts w:ascii="Calibri" w:hAnsi="Calibri"/>
          <w:b/>
          <w:bCs/>
          <w:rtl/>
        </w:rPr>
        <w:t xml:space="preserve"> </w:t>
      </w:r>
      <w:r w:rsidRPr="00AA720B">
        <w:rPr>
          <w:rFonts w:ascii="Calibri" w:hAnsi="Calibri" w:hint="eastAsia"/>
          <w:b/>
          <w:bCs/>
          <w:rtl/>
        </w:rPr>
        <w:t>מאסר</w:t>
      </w:r>
      <w:r w:rsidRPr="00AA720B">
        <w:rPr>
          <w:rFonts w:ascii="Calibri" w:hAnsi="Calibri"/>
          <w:b/>
          <w:bCs/>
          <w:rtl/>
        </w:rPr>
        <w:t xml:space="preserve"> </w:t>
      </w:r>
      <w:r w:rsidRPr="00AA720B">
        <w:rPr>
          <w:rFonts w:ascii="Calibri" w:hAnsi="Calibri" w:hint="eastAsia"/>
          <w:b/>
          <w:bCs/>
          <w:rtl/>
        </w:rPr>
        <w:t>ממושך</w:t>
      </w:r>
      <w:r w:rsidRPr="00AA720B">
        <w:rPr>
          <w:rFonts w:ascii="Calibri" w:hAnsi="Calibri"/>
          <w:b/>
          <w:bCs/>
          <w:rtl/>
        </w:rPr>
        <w:t xml:space="preserve"> </w:t>
      </w:r>
      <w:r w:rsidRPr="00AA720B">
        <w:rPr>
          <w:rFonts w:ascii="Calibri" w:hAnsi="Calibri" w:hint="eastAsia"/>
          <w:b/>
          <w:bCs/>
          <w:rtl/>
        </w:rPr>
        <w:t>על</w:t>
      </w:r>
      <w:r w:rsidRPr="00AA720B">
        <w:rPr>
          <w:rFonts w:ascii="Calibri" w:hAnsi="Calibri"/>
          <w:b/>
          <w:bCs/>
          <w:rtl/>
        </w:rPr>
        <w:t xml:space="preserve"> </w:t>
      </w:r>
      <w:r w:rsidRPr="00AA720B">
        <w:rPr>
          <w:rFonts w:ascii="Calibri" w:hAnsi="Calibri" w:hint="eastAsia"/>
          <w:b/>
          <w:bCs/>
          <w:rtl/>
        </w:rPr>
        <w:t>תנאי</w:t>
      </w:r>
      <w:r w:rsidRPr="00AA720B">
        <w:rPr>
          <w:rFonts w:ascii="Calibri" w:hAnsi="Calibri"/>
          <w:b/>
          <w:bCs/>
          <w:rtl/>
        </w:rPr>
        <w:t xml:space="preserve"> </w:t>
      </w:r>
      <w:r w:rsidRPr="00AA720B">
        <w:rPr>
          <w:rFonts w:ascii="Calibri" w:hAnsi="Calibri" w:hint="eastAsia"/>
          <w:b/>
          <w:bCs/>
          <w:rtl/>
        </w:rPr>
        <w:t>ופיצוי</w:t>
      </w:r>
      <w:r w:rsidRPr="00AA720B">
        <w:rPr>
          <w:rFonts w:ascii="Calibri" w:hAnsi="Calibri"/>
          <w:b/>
          <w:bCs/>
          <w:rtl/>
        </w:rPr>
        <w:t xml:space="preserve">  </w:t>
      </w:r>
      <w:r w:rsidRPr="00AA720B">
        <w:rPr>
          <w:rFonts w:ascii="Calibri" w:hAnsi="Calibri" w:hint="eastAsia"/>
          <w:b/>
          <w:bCs/>
          <w:rtl/>
        </w:rPr>
        <w:t>למשפחת</w:t>
      </w:r>
      <w:r w:rsidRPr="00AA720B">
        <w:rPr>
          <w:rFonts w:ascii="Calibri" w:hAnsi="Calibri"/>
          <w:b/>
          <w:bCs/>
          <w:rtl/>
        </w:rPr>
        <w:t xml:space="preserve"> </w:t>
      </w:r>
      <w:r w:rsidRPr="00AA720B">
        <w:rPr>
          <w:rFonts w:ascii="Calibri" w:hAnsi="Calibri" w:hint="eastAsia"/>
          <w:b/>
          <w:bCs/>
          <w:rtl/>
        </w:rPr>
        <w:t>המנוח</w:t>
      </w:r>
      <w:r w:rsidRPr="00AA720B">
        <w:rPr>
          <w:rFonts w:ascii="Calibri" w:hAnsi="Calibri"/>
          <w:b/>
          <w:bCs/>
          <w:rtl/>
        </w:rPr>
        <w:t xml:space="preserve">. </w:t>
      </w:r>
    </w:p>
    <w:p w14:paraId="17D746D4" w14:textId="77777777" w:rsidR="0037227B" w:rsidRPr="0037227B" w:rsidRDefault="0037227B" w:rsidP="006D2178">
      <w:pPr>
        <w:widowControl w:val="0"/>
        <w:spacing w:before="240" w:after="240" w:line="360" w:lineRule="auto"/>
        <w:jc w:val="both"/>
        <w:rPr>
          <w:rFonts w:ascii="David" w:hAnsi="David"/>
          <w:b/>
          <w:bCs/>
          <w:u w:val="single"/>
          <w:rtl/>
        </w:rPr>
      </w:pPr>
      <w:r w:rsidRPr="0037227B">
        <w:rPr>
          <w:rFonts w:ascii="David" w:hAnsi="David"/>
          <w:b/>
          <w:bCs/>
          <w:u w:val="single"/>
          <w:rtl/>
        </w:rPr>
        <w:t xml:space="preserve">גזירת עונשו של הנאשם בתוך המתחם </w:t>
      </w:r>
    </w:p>
    <w:p w14:paraId="38C50117"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u w:val="single"/>
          <w:rtl/>
        </w:rPr>
        <w:t>בבואנו לקבוע את עונש הנאשם בגדר המתחם שקבענו</w:t>
      </w:r>
      <w:r w:rsidRPr="0037227B">
        <w:rPr>
          <w:rFonts w:ascii="David" w:hAnsi="David"/>
          <w:rtl/>
        </w:rPr>
        <w:t xml:space="preserve">, עלינו להתחשב בנסיבות השונות המנויות בסעיף ובכלל זה הפגיעה של העונש בנאשם ובמשפחתו, נטילת האחריות של הנאשם ומאמציו לחזור למוטב, עברו הפלילי של הנאשם, שיתוף הפעולה של הנאשם עם רשויות החוק, התנהגות חיוביות ותרומה לחברה, וכן נסיבות חיים קשות אשר הייתה להן השפעה על ביצוע העבירה. כן מורה לנו </w:t>
      </w:r>
      <w:hyperlink r:id="rId65" w:history="1">
        <w:r w:rsidR="00922B79" w:rsidRPr="00922B79">
          <w:rPr>
            <w:rStyle w:val="Hyperlink"/>
            <w:rFonts w:ascii="David" w:hAnsi="David"/>
            <w:rtl/>
          </w:rPr>
          <w:t>סעיף 40ו</w:t>
        </w:r>
      </w:hyperlink>
      <w:r w:rsidRPr="0037227B">
        <w:rPr>
          <w:rFonts w:ascii="David" w:hAnsi="David"/>
          <w:rtl/>
        </w:rPr>
        <w:t xml:space="preserve"> ו-</w:t>
      </w:r>
      <w:hyperlink r:id="rId66" w:history="1">
        <w:r w:rsidR="00922B79" w:rsidRPr="00922B79">
          <w:rPr>
            <w:rStyle w:val="Hyperlink"/>
            <w:rFonts w:ascii="David" w:hAnsi="David"/>
            <w:rtl/>
          </w:rPr>
          <w:t>40ז</w:t>
        </w:r>
      </w:hyperlink>
      <w:r w:rsidRPr="0037227B">
        <w:rPr>
          <w:rFonts w:ascii="David" w:hAnsi="David"/>
          <w:rtl/>
        </w:rPr>
        <w:t xml:space="preserve"> לחוק להתחשב בשיקול ההרתעה האישית של הנאשם והרתעת הרבים.</w:t>
      </w:r>
    </w:p>
    <w:p w14:paraId="78C7B388"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u w:val="single"/>
          <w:rtl/>
        </w:rPr>
        <w:t>באשר לעברו הפלילי</w:t>
      </w:r>
      <w:r w:rsidRPr="0037227B">
        <w:rPr>
          <w:rFonts w:ascii="David" w:hAnsi="David"/>
          <w:rtl/>
        </w:rPr>
        <w:t xml:space="preserve">, הרי לנאשם עבר פלילי הכולל מספר הרשעות בעבירות הקשורות בהחזקה, ייצור ונשיאה של נשק שלא כדין, קשירת קשר לפשע ולעוון, גניבה בנסיבות מיוחדות, קשירת קשר לביצוע פשע ומתן אמצעים לביצוע פשע, בגינן נידון לא אחת לעונשי מאסר בפועל, הראשון מביניהם עוד בשנת 2009 בבית המשפט המחוזי בנצרת. בטיעוניו ציין ב"כ המאשימה שהרשעתו של הנאשם בשנת 2001 נוגעת אף היא לכך שהנאשם, יחד עם אחרים, קשר קשר לפוצץ מטען חבלה בפתח עסקו של הנפגע בקרית גת. הנאשם סיפק טלפון נייד ששימש כאמצעי להפעלת מטען החבלה, שאף הופעל. לכך מתווסף תיק אחר שאירע כחודש לאחר פיצוץ המטען מושא הכרעתינו בתיק זה, במסגרתו הנאשם נתפס עם מטען חבלה שעשוי משתי לבנות חבלה צה"ליות ובכוחו להמית. מכל אלו אנו למדים שהנאשם למעשה פיתח מומחיות בעניין זה, וניתן לכנותו רצידיוויסט בסוג זה של מעשים ועבירות.  </w:t>
      </w:r>
    </w:p>
    <w:p w14:paraId="203F62FE"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u w:val="single"/>
          <w:rtl/>
        </w:rPr>
        <w:t>באשר לשיקול של הרתעה אישית וכללית,</w:t>
      </w:r>
      <w:r w:rsidRPr="0037227B">
        <w:rPr>
          <w:rFonts w:ascii="David" w:hAnsi="David"/>
          <w:rtl/>
        </w:rPr>
        <w:t xml:space="preserve"> הרי בהינתן עברו הפלילי של הנאשם, טיבו וטיב מעשיו, יש לתת משקל ממשי הן לשיקול של הרתעה אישית והן לשיקול של הרתעה כללית. נדמה כי בפועל הנאשם, למרות משאלת הלב של בני משפחתו, לא מורתע אף מריצוי עונש מאסר וחוזר ומבצע עבירות חמורות. במקרה זה ישנה חשיבות גם להרתעת הרבים, שכן אותה תופעה של פיגועים פליליים, או "תרבות החיסולים" הנהוגה בין קבוצות עברייניות, הינה תופעה קשה, בבחינת רעה חולה המסכנת גם את כלל הציבור ויש למגרה. </w:t>
      </w:r>
    </w:p>
    <w:p w14:paraId="3AC5640B" w14:textId="77777777" w:rsidR="0037227B" w:rsidRPr="0037227B" w:rsidRDefault="0037227B" w:rsidP="00A91EC4">
      <w:pPr>
        <w:widowControl w:val="0"/>
        <w:spacing w:before="240" w:after="240" w:line="360" w:lineRule="auto"/>
        <w:jc w:val="both"/>
        <w:rPr>
          <w:rFonts w:ascii="David" w:hAnsi="David"/>
          <w:rtl/>
        </w:rPr>
      </w:pPr>
      <w:r w:rsidRPr="0037227B">
        <w:rPr>
          <w:rFonts w:ascii="David" w:hAnsi="David"/>
          <w:u w:val="single"/>
          <w:rtl/>
        </w:rPr>
        <w:t>שיקול נוסף לגזירת עונש מחמיר לנאשם הינו השיקול של הגנה על שלום הציבור והרחקתו של הנאשם מן החברה,</w:t>
      </w:r>
      <w:r w:rsidRPr="0037227B">
        <w:rPr>
          <w:rFonts w:ascii="David" w:hAnsi="David"/>
          <w:rtl/>
        </w:rPr>
        <w:t xml:space="preserve"> נוכח מעשיו של הנאשם ונוכח העובדה כי, כעולה מעברו הפלילי, הנאשם, ולא רק באופן "חד פעמי", מייצר מטען חבלה גדול ומשמעותי אשר ביכולתו להרוג – כפי שהיה בתיק זה</w:t>
      </w:r>
      <w:r w:rsidR="00A91EC4">
        <w:rPr>
          <w:rFonts w:ascii="David" w:hAnsi="David" w:hint="cs"/>
          <w:rtl/>
        </w:rPr>
        <w:t>.</w:t>
      </w:r>
    </w:p>
    <w:p w14:paraId="419BD58F" w14:textId="77777777" w:rsidR="0037227B" w:rsidRPr="0037227B" w:rsidRDefault="0037227B" w:rsidP="006D2178">
      <w:pPr>
        <w:widowControl w:val="0"/>
        <w:spacing w:before="240" w:after="240" w:line="360" w:lineRule="auto"/>
        <w:jc w:val="both"/>
        <w:rPr>
          <w:rFonts w:ascii="David" w:hAnsi="David"/>
          <w:rtl/>
        </w:rPr>
      </w:pPr>
      <w:r w:rsidRPr="0037227B">
        <w:rPr>
          <w:rFonts w:ascii="David" w:hAnsi="David"/>
          <w:u w:val="single"/>
          <w:rtl/>
        </w:rPr>
        <w:t>ביחס לפגיעה בנאשם ובמשפחתו</w:t>
      </w:r>
      <w:r w:rsidRPr="0037227B">
        <w:rPr>
          <w:rFonts w:ascii="David" w:hAnsi="David"/>
          <w:rtl/>
        </w:rPr>
        <w:t xml:space="preserve"> הרי אין ספק כי השתת עונש מאסר ממשי תפגע בנאשם ובמשפחתו. אך נראה כי במקרה זה, אף לאחר שבחנו את מכתבה של אחותו אשר ניכר שנכתב באהבה מעומק ליבה, לא מצאנו כי הפגיעה בנאשם ובמשפחתו רבה או מועצמת יותר מהפגיעה הקיימת, מטבע הדברים, בכל מקרה בו נאשם נידון לעונש מאסר </w:t>
      </w:r>
      <w:r w:rsidR="002E6F99">
        <w:rPr>
          <w:rFonts w:ascii="David" w:hAnsi="David" w:hint="cs"/>
          <w:rtl/>
        </w:rPr>
        <w:t xml:space="preserve">ארוך </w:t>
      </w:r>
      <w:r w:rsidRPr="0037227B">
        <w:rPr>
          <w:rFonts w:ascii="David" w:hAnsi="David"/>
          <w:rtl/>
        </w:rPr>
        <w:t xml:space="preserve">ומורחק </w:t>
      </w:r>
      <w:r w:rsidR="002E6F99">
        <w:rPr>
          <w:rFonts w:ascii="David" w:hAnsi="David" w:hint="cs"/>
          <w:rtl/>
        </w:rPr>
        <w:t xml:space="preserve">לזמן רב </w:t>
      </w:r>
      <w:r w:rsidRPr="0037227B">
        <w:rPr>
          <w:rFonts w:ascii="David" w:hAnsi="David"/>
          <w:rtl/>
        </w:rPr>
        <w:t xml:space="preserve">מהחברה וממשפחתו. </w:t>
      </w:r>
    </w:p>
    <w:p w14:paraId="125CA771" w14:textId="77777777" w:rsidR="0037227B" w:rsidRPr="00AA720B" w:rsidRDefault="0037227B" w:rsidP="002E6F99">
      <w:pPr>
        <w:widowControl w:val="0"/>
        <w:spacing w:before="240" w:after="240" w:line="360" w:lineRule="auto"/>
        <w:jc w:val="both"/>
        <w:rPr>
          <w:rFonts w:ascii="Calibri" w:hAnsi="Calibri"/>
          <w:rtl/>
        </w:rPr>
      </w:pPr>
      <w:r w:rsidRPr="0037227B">
        <w:rPr>
          <w:rFonts w:ascii="David" w:hAnsi="David"/>
          <w:u w:val="single"/>
          <w:rtl/>
        </w:rPr>
        <w:t>באשר לנטילת האחריות של הנאשם</w:t>
      </w:r>
      <w:r w:rsidRPr="0037227B">
        <w:rPr>
          <w:rFonts w:ascii="David" w:hAnsi="David"/>
          <w:rtl/>
        </w:rPr>
        <w:t>, הרי הנאשם לא נטל אחריות על מעשיו ואף חזר בו מהודאתו, מה שהוביל לחידוש ההליך והתמשכותו, ואף לקושי נוסף למשפחת נפגע העבירה</w:t>
      </w:r>
      <w:r w:rsidR="002E6F99">
        <w:rPr>
          <w:rFonts w:ascii="David" w:hAnsi="David" w:hint="cs"/>
          <w:rtl/>
        </w:rPr>
        <w:t>.</w:t>
      </w:r>
      <w:r w:rsidRPr="0037227B">
        <w:rPr>
          <w:rFonts w:ascii="David" w:hAnsi="David"/>
          <w:rtl/>
        </w:rPr>
        <w:t xml:space="preserve"> אף בטיעונים לעונש הנאשם לא ביקש לומר דבר.  </w:t>
      </w:r>
      <w:r w:rsidRPr="00AA720B">
        <w:rPr>
          <w:rFonts w:ascii="Calibri" w:hAnsi="Calibri" w:hint="eastAsia"/>
          <w:rtl/>
        </w:rPr>
        <w:t>אכן</w:t>
      </w:r>
      <w:r w:rsidRPr="00AA720B">
        <w:rPr>
          <w:rFonts w:ascii="Calibri" w:hAnsi="Calibri"/>
          <w:rtl/>
        </w:rPr>
        <w:t xml:space="preserve"> </w:t>
      </w:r>
      <w:r w:rsidRPr="00AA720B">
        <w:rPr>
          <w:rFonts w:ascii="Calibri" w:hAnsi="Calibri" w:hint="eastAsia"/>
          <w:rtl/>
        </w:rPr>
        <w:t>ברי</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כפי</w:t>
      </w:r>
      <w:r w:rsidRPr="00AA720B">
        <w:rPr>
          <w:rFonts w:ascii="Calibri" w:hAnsi="Calibri"/>
          <w:rtl/>
        </w:rPr>
        <w:t xml:space="preserve"> </w:t>
      </w:r>
      <w:r w:rsidRPr="00AA720B">
        <w:rPr>
          <w:rFonts w:ascii="Calibri" w:hAnsi="Calibri" w:hint="eastAsia"/>
          <w:rtl/>
        </w:rPr>
        <w:t>שנאמר</w:t>
      </w:r>
      <w:r w:rsidRPr="00AA720B">
        <w:rPr>
          <w:rFonts w:ascii="Calibri" w:hAnsi="Calibri"/>
          <w:rtl/>
        </w:rPr>
        <w:t xml:space="preserve"> </w:t>
      </w:r>
      <w:r w:rsidRPr="00AA720B">
        <w:rPr>
          <w:rFonts w:ascii="Calibri" w:hAnsi="Calibri" w:hint="eastAsia"/>
          <w:rtl/>
        </w:rPr>
        <w:t>בבירור</w:t>
      </w:r>
      <w:r w:rsidRPr="00AA720B">
        <w:rPr>
          <w:rFonts w:ascii="Calibri" w:hAnsi="Calibri"/>
          <w:rtl/>
        </w:rPr>
        <w:t xml:space="preserve"> </w:t>
      </w:r>
      <w:r w:rsidRPr="00AA720B">
        <w:rPr>
          <w:rFonts w:ascii="Calibri" w:hAnsi="Calibri" w:hint="eastAsia"/>
          <w:rtl/>
        </w:rPr>
        <w:t>בתיקון</w:t>
      </w:r>
      <w:r w:rsidRPr="00AA720B">
        <w:rPr>
          <w:rFonts w:ascii="Calibri" w:hAnsi="Calibri"/>
          <w:rtl/>
        </w:rPr>
        <w:t xml:space="preserve"> 113, </w:t>
      </w:r>
      <w:r w:rsidRPr="00AA720B">
        <w:rPr>
          <w:rFonts w:ascii="Calibri" w:hAnsi="Calibri" w:hint="eastAsia"/>
          <w:rtl/>
        </w:rPr>
        <w:t>כפירה</w:t>
      </w:r>
      <w:r w:rsidRPr="00AA720B">
        <w:rPr>
          <w:rFonts w:ascii="Calibri" w:hAnsi="Calibri"/>
          <w:rtl/>
        </w:rPr>
        <w:t xml:space="preserve"> </w:t>
      </w:r>
      <w:r w:rsidRPr="00AA720B">
        <w:rPr>
          <w:rFonts w:ascii="Calibri" w:hAnsi="Calibri" w:hint="eastAsia"/>
          <w:rtl/>
        </w:rPr>
        <w:t>באשמה</w:t>
      </w:r>
      <w:r w:rsidRPr="00AA720B">
        <w:rPr>
          <w:rFonts w:ascii="Calibri" w:hAnsi="Calibri"/>
          <w:rtl/>
        </w:rPr>
        <w:t xml:space="preserve"> </w:t>
      </w:r>
      <w:r w:rsidRPr="00AA720B">
        <w:rPr>
          <w:rFonts w:ascii="Calibri" w:hAnsi="Calibri" w:hint="eastAsia"/>
          <w:rtl/>
        </w:rPr>
        <w:t>וניהול</w:t>
      </w:r>
      <w:r w:rsidRPr="00AA720B">
        <w:rPr>
          <w:rFonts w:ascii="Calibri" w:hAnsi="Calibri"/>
          <w:rtl/>
        </w:rPr>
        <w:t xml:space="preserve"> </w:t>
      </w:r>
      <w:r w:rsidRPr="00AA720B">
        <w:rPr>
          <w:rFonts w:ascii="Calibri" w:hAnsi="Calibri" w:hint="eastAsia"/>
          <w:rtl/>
        </w:rPr>
        <w:t>משפט</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ישמשו</w:t>
      </w:r>
      <w:r w:rsidRPr="00AA720B">
        <w:rPr>
          <w:rFonts w:ascii="Calibri" w:hAnsi="Calibri"/>
          <w:rtl/>
        </w:rPr>
        <w:t xml:space="preserve"> </w:t>
      </w:r>
      <w:r w:rsidRPr="00AA720B">
        <w:rPr>
          <w:rFonts w:ascii="Calibri" w:hAnsi="Calibri" w:hint="eastAsia"/>
          <w:rtl/>
        </w:rPr>
        <w:t>לחובתו</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hyperlink r:id="rId67" w:history="1">
        <w:r w:rsidR="00922B79" w:rsidRPr="00922B79">
          <w:rPr>
            <w:rStyle w:val="Hyperlink"/>
            <w:rFonts w:ascii="Calibri" w:hAnsi="Calibri" w:hint="eastAsia"/>
            <w:rtl/>
          </w:rPr>
          <w:t>סעיף</w:t>
        </w:r>
        <w:r w:rsidR="00922B79" w:rsidRPr="00922B79">
          <w:rPr>
            <w:rStyle w:val="Hyperlink"/>
            <w:rFonts w:ascii="Calibri" w:hAnsi="Calibri"/>
            <w:rtl/>
          </w:rPr>
          <w:t xml:space="preserve"> 40(</w:t>
        </w:r>
        <w:r w:rsidR="00922B79" w:rsidRPr="00922B79">
          <w:rPr>
            <w:rStyle w:val="Hyperlink"/>
            <w:rFonts w:ascii="Calibri" w:hAnsi="Calibri" w:hint="eastAsia"/>
            <w:rtl/>
          </w:rPr>
          <w:t>יא</w:t>
        </w:r>
        <w:r w:rsidR="00922B79" w:rsidRPr="00922B79">
          <w:rPr>
            <w:rStyle w:val="Hyperlink"/>
            <w:rFonts w:ascii="Calibri" w:hAnsi="Calibri"/>
            <w:rtl/>
          </w:rPr>
          <w:t>)(6)).</w:t>
        </w:r>
      </w:hyperlink>
      <w:r w:rsidRPr="00AA720B">
        <w:rPr>
          <w:rFonts w:ascii="Calibri" w:hAnsi="Calibri"/>
          <w:rtl/>
        </w:rPr>
        <w:t xml:space="preserve"> </w:t>
      </w:r>
      <w:r w:rsidRPr="00AA720B">
        <w:rPr>
          <w:rFonts w:ascii="Calibri" w:hAnsi="Calibri" w:hint="eastAsia"/>
          <w:rtl/>
        </w:rPr>
        <w:t>עם</w:t>
      </w:r>
      <w:r w:rsidRPr="00AA720B">
        <w:rPr>
          <w:rFonts w:ascii="Calibri" w:hAnsi="Calibri"/>
          <w:rtl/>
        </w:rPr>
        <w:t xml:space="preserve"> </w:t>
      </w:r>
      <w:r w:rsidRPr="00AA720B">
        <w:rPr>
          <w:rFonts w:ascii="Calibri" w:hAnsi="Calibri" w:hint="eastAsia"/>
          <w:rtl/>
        </w:rPr>
        <w:t>זאת</w:t>
      </w:r>
      <w:r w:rsidRPr="00AA720B">
        <w:rPr>
          <w:rFonts w:ascii="Calibri" w:hAnsi="Calibri"/>
          <w:rtl/>
        </w:rPr>
        <w:t xml:space="preserve">, </w:t>
      </w:r>
      <w:r w:rsidRPr="00AA720B">
        <w:rPr>
          <w:rFonts w:ascii="Calibri" w:hAnsi="Calibri" w:hint="eastAsia"/>
          <w:rtl/>
        </w:rPr>
        <w:t>נאשם</w:t>
      </w:r>
      <w:r w:rsidRPr="00AA720B">
        <w:rPr>
          <w:rFonts w:ascii="Calibri" w:hAnsi="Calibri"/>
          <w:rtl/>
        </w:rPr>
        <w:t xml:space="preserve"> </w:t>
      </w:r>
      <w:r w:rsidRPr="00AA720B">
        <w:rPr>
          <w:rFonts w:ascii="Calibri" w:hAnsi="Calibri" w:hint="eastAsia"/>
          <w:rtl/>
        </w:rPr>
        <w:t>שלא</w:t>
      </w:r>
      <w:r w:rsidRPr="00AA720B">
        <w:rPr>
          <w:rFonts w:ascii="Calibri" w:hAnsi="Calibri"/>
          <w:rtl/>
        </w:rPr>
        <w:t xml:space="preserve"> </w:t>
      </w:r>
      <w:r w:rsidRPr="00AA720B">
        <w:rPr>
          <w:rFonts w:ascii="Calibri" w:hAnsi="Calibri" w:hint="eastAsia"/>
          <w:rtl/>
        </w:rPr>
        <w:t>הפנים</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חומרת</w:t>
      </w:r>
      <w:r w:rsidRPr="00AA720B">
        <w:rPr>
          <w:rFonts w:ascii="Calibri" w:hAnsi="Calibri"/>
          <w:rtl/>
        </w:rPr>
        <w:t xml:space="preserve"> </w:t>
      </w:r>
      <w:r w:rsidRPr="00AA720B">
        <w:rPr>
          <w:rFonts w:ascii="Calibri" w:hAnsi="Calibri" w:hint="eastAsia"/>
          <w:rtl/>
        </w:rPr>
        <w:t>מעשיו</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נטל</w:t>
      </w:r>
      <w:r w:rsidRPr="00AA720B">
        <w:rPr>
          <w:rFonts w:ascii="Calibri" w:hAnsi="Calibri"/>
          <w:rtl/>
        </w:rPr>
        <w:t xml:space="preserve"> </w:t>
      </w:r>
      <w:r w:rsidRPr="00AA720B">
        <w:rPr>
          <w:rFonts w:ascii="Calibri" w:hAnsi="Calibri" w:hint="eastAsia"/>
          <w:rtl/>
        </w:rPr>
        <w:t>אחריות</w:t>
      </w:r>
      <w:r w:rsidRPr="00AA720B">
        <w:rPr>
          <w:rFonts w:ascii="Calibri" w:hAnsi="Calibri"/>
          <w:rtl/>
        </w:rPr>
        <w:t xml:space="preserve"> </w:t>
      </w:r>
      <w:r w:rsidRPr="00AA720B">
        <w:rPr>
          <w:rFonts w:ascii="Calibri" w:hAnsi="Calibri" w:hint="eastAsia"/>
          <w:rtl/>
        </w:rPr>
        <w:t>עליהם</w:t>
      </w:r>
      <w:r w:rsidRPr="00AA720B">
        <w:rPr>
          <w:rFonts w:ascii="Calibri" w:hAnsi="Calibri"/>
          <w:rtl/>
        </w:rPr>
        <w:t xml:space="preserve"> </w:t>
      </w:r>
      <w:r w:rsidRPr="00AA720B">
        <w:rPr>
          <w:rFonts w:ascii="Calibri" w:hAnsi="Calibri" w:hint="eastAsia"/>
          <w:rtl/>
        </w:rPr>
        <w:t>ולא</w:t>
      </w:r>
      <w:r w:rsidRPr="00AA720B">
        <w:rPr>
          <w:rFonts w:ascii="Calibri" w:hAnsi="Calibri"/>
          <w:rtl/>
        </w:rPr>
        <w:t xml:space="preserve"> </w:t>
      </w:r>
      <w:r w:rsidRPr="00AA720B">
        <w:rPr>
          <w:rFonts w:ascii="Calibri" w:hAnsi="Calibri" w:hint="eastAsia"/>
          <w:rtl/>
        </w:rPr>
        <w:t>הביע</w:t>
      </w:r>
      <w:r w:rsidRPr="00AA720B">
        <w:rPr>
          <w:rFonts w:ascii="Calibri" w:hAnsi="Calibri"/>
          <w:rtl/>
        </w:rPr>
        <w:t xml:space="preserve"> </w:t>
      </w:r>
      <w:r w:rsidRPr="00AA720B">
        <w:rPr>
          <w:rFonts w:ascii="Calibri" w:hAnsi="Calibri" w:hint="eastAsia"/>
          <w:rtl/>
        </w:rPr>
        <w:t>חרטה</w:t>
      </w:r>
      <w:r w:rsidRPr="00AA720B">
        <w:rPr>
          <w:rFonts w:ascii="Calibri" w:hAnsi="Calibri"/>
          <w:rtl/>
        </w:rPr>
        <w:t xml:space="preserve"> </w:t>
      </w:r>
      <w:r w:rsidRPr="00AA720B">
        <w:rPr>
          <w:rFonts w:ascii="Calibri" w:hAnsi="Calibri" w:hint="eastAsia"/>
          <w:rtl/>
        </w:rPr>
        <w:t>עליהם</w:t>
      </w:r>
      <w:r w:rsidRPr="00AA720B">
        <w:rPr>
          <w:rFonts w:ascii="Calibri" w:hAnsi="Calibri"/>
          <w:rtl/>
        </w:rPr>
        <w:t xml:space="preserve"> – </w:t>
      </w:r>
      <w:r w:rsidRPr="00AA720B">
        <w:rPr>
          <w:rFonts w:ascii="Calibri" w:hAnsi="Calibri" w:hint="eastAsia"/>
          <w:rtl/>
        </w:rPr>
        <w:t>אינו</w:t>
      </w:r>
      <w:r w:rsidRPr="00AA720B">
        <w:rPr>
          <w:rFonts w:ascii="Calibri" w:hAnsi="Calibri"/>
          <w:rtl/>
        </w:rPr>
        <w:t xml:space="preserve"> </w:t>
      </w:r>
      <w:r w:rsidRPr="00AA720B">
        <w:rPr>
          <w:rFonts w:ascii="Calibri" w:hAnsi="Calibri" w:hint="eastAsia"/>
          <w:rtl/>
        </w:rPr>
        <w:t>ראוי</w:t>
      </w:r>
      <w:r w:rsidRPr="00AA720B">
        <w:rPr>
          <w:rFonts w:ascii="Calibri" w:hAnsi="Calibri"/>
          <w:rtl/>
        </w:rPr>
        <w:t xml:space="preserve"> </w:t>
      </w:r>
      <w:r w:rsidRPr="00AA720B">
        <w:rPr>
          <w:rFonts w:ascii="Calibri" w:hAnsi="Calibri" w:hint="eastAsia"/>
          <w:rtl/>
        </w:rPr>
        <w:t>להתחשבות</w:t>
      </w:r>
      <w:r w:rsidRPr="00AA720B">
        <w:rPr>
          <w:rFonts w:ascii="Calibri" w:hAnsi="Calibri"/>
          <w:rtl/>
        </w:rPr>
        <w:t xml:space="preserve"> </w:t>
      </w:r>
      <w:r w:rsidRPr="00AA720B">
        <w:rPr>
          <w:rFonts w:ascii="Calibri" w:hAnsi="Calibri" w:hint="eastAsia"/>
          <w:rtl/>
        </w:rPr>
        <w:t>כמי</w:t>
      </w:r>
      <w:r w:rsidRPr="00AA720B">
        <w:rPr>
          <w:rFonts w:ascii="Calibri" w:hAnsi="Calibri"/>
          <w:rtl/>
        </w:rPr>
        <w:t xml:space="preserve"> </w:t>
      </w:r>
      <w:r w:rsidRPr="00AA720B">
        <w:rPr>
          <w:rFonts w:ascii="Calibri" w:hAnsi="Calibri" w:hint="eastAsia"/>
          <w:rtl/>
        </w:rPr>
        <w:t>שהודה</w:t>
      </w:r>
      <w:r w:rsidRPr="00AA720B">
        <w:rPr>
          <w:rFonts w:ascii="Calibri" w:hAnsi="Calibri"/>
          <w:rtl/>
        </w:rPr>
        <w:t xml:space="preserve">, </w:t>
      </w:r>
      <w:r w:rsidRPr="00AA720B">
        <w:rPr>
          <w:rFonts w:ascii="Calibri" w:hAnsi="Calibri" w:hint="eastAsia"/>
          <w:rtl/>
        </w:rPr>
        <w:t>הכיר</w:t>
      </w:r>
      <w:r w:rsidRPr="00AA720B">
        <w:rPr>
          <w:rFonts w:ascii="Calibri" w:hAnsi="Calibri"/>
          <w:rtl/>
        </w:rPr>
        <w:t xml:space="preserve"> </w:t>
      </w:r>
      <w:r w:rsidRPr="00AA720B">
        <w:rPr>
          <w:rFonts w:ascii="Calibri" w:hAnsi="Calibri" w:hint="eastAsia"/>
          <w:rtl/>
        </w:rPr>
        <w:t>באחריותו</w:t>
      </w:r>
      <w:r w:rsidRPr="00AA720B">
        <w:rPr>
          <w:rFonts w:ascii="Calibri" w:hAnsi="Calibri"/>
          <w:rtl/>
        </w:rPr>
        <w:t xml:space="preserve"> </w:t>
      </w:r>
      <w:r w:rsidRPr="00AA720B">
        <w:rPr>
          <w:rFonts w:ascii="Calibri" w:hAnsi="Calibri" w:hint="eastAsia"/>
          <w:rtl/>
        </w:rPr>
        <w:t>והתחרט</w:t>
      </w:r>
      <w:r w:rsidRPr="00AA720B">
        <w:rPr>
          <w:rFonts w:ascii="Calibri" w:hAnsi="Calibri"/>
          <w:rtl/>
        </w:rPr>
        <w:t xml:space="preserve"> [</w:t>
      </w:r>
      <w:r w:rsidRPr="00AA720B">
        <w:rPr>
          <w:rFonts w:ascii="Calibri" w:hAnsi="Calibri" w:hint="eastAsia"/>
          <w:rtl/>
        </w:rPr>
        <w:t>ראו</w:t>
      </w:r>
      <w:r w:rsidRPr="00AA720B">
        <w:rPr>
          <w:rFonts w:ascii="Calibri" w:hAnsi="Calibri"/>
          <w:rtl/>
        </w:rPr>
        <w:t xml:space="preserve">: </w:t>
      </w:r>
      <w:hyperlink r:id="rId68" w:history="1">
        <w:r w:rsidR="00190E23" w:rsidRPr="00190E23">
          <w:rPr>
            <w:rFonts w:ascii="Calibri" w:hAnsi="Calibri" w:hint="eastAsia"/>
            <w:color w:val="0000FF"/>
            <w:u w:val="single"/>
            <w:rtl/>
          </w:rPr>
          <w:t>ע</w:t>
        </w:r>
        <w:r w:rsidR="00190E23" w:rsidRPr="00190E23">
          <w:rPr>
            <w:rFonts w:ascii="Calibri" w:hAnsi="Calibri"/>
            <w:color w:val="0000FF"/>
            <w:u w:val="single"/>
            <w:rtl/>
          </w:rPr>
          <w:t>"</w:t>
        </w:r>
        <w:r w:rsidR="00190E23" w:rsidRPr="00190E23">
          <w:rPr>
            <w:rFonts w:ascii="Calibri" w:hAnsi="Calibri" w:hint="eastAsia"/>
            <w:color w:val="0000FF"/>
            <w:u w:val="single"/>
            <w:rtl/>
          </w:rPr>
          <w:t>פ</w:t>
        </w:r>
        <w:r w:rsidR="00190E23" w:rsidRPr="00190E23">
          <w:rPr>
            <w:rFonts w:ascii="Calibri" w:hAnsi="Calibri"/>
            <w:color w:val="0000FF"/>
            <w:u w:val="single"/>
            <w:rtl/>
          </w:rPr>
          <w:t xml:space="preserve"> 7211/13</w:t>
        </w:r>
      </w:hyperlink>
      <w:r w:rsidRPr="00AA720B">
        <w:rPr>
          <w:rFonts w:ascii="Calibri" w:hAnsi="Calibri"/>
          <w:rtl/>
        </w:rPr>
        <w:t xml:space="preserve"> </w:t>
      </w:r>
      <w:r w:rsidRPr="00AA720B">
        <w:rPr>
          <w:rFonts w:ascii="Calibri" w:hAnsi="Calibri" w:hint="eastAsia"/>
          <w:b/>
          <w:bCs/>
          <w:rtl/>
        </w:rPr>
        <w:t>פלוני</w:t>
      </w:r>
      <w:r w:rsidRPr="00AA720B">
        <w:rPr>
          <w:rFonts w:ascii="Calibri" w:hAnsi="Calibri"/>
          <w:b/>
          <w:bCs/>
          <w:rtl/>
        </w:rPr>
        <w:t xml:space="preserve"> </w:t>
      </w:r>
      <w:r w:rsidRPr="00AA720B">
        <w:rPr>
          <w:rFonts w:ascii="Calibri" w:hAnsi="Calibri" w:hint="eastAsia"/>
          <w:b/>
          <w:bCs/>
          <w:rtl/>
        </w:rPr>
        <w:t>נ</w:t>
      </w:r>
      <w:r w:rsidRPr="00AA720B">
        <w:rPr>
          <w:rFonts w:ascii="Calibri" w:hAnsi="Calibri"/>
          <w:b/>
          <w:bCs/>
          <w:rtl/>
        </w:rPr>
        <w:t xml:space="preserve">' </w:t>
      </w:r>
      <w:r w:rsidRPr="00AA720B">
        <w:rPr>
          <w:rFonts w:ascii="Calibri" w:hAnsi="Calibri" w:hint="eastAsia"/>
          <w:b/>
          <w:bCs/>
          <w:rtl/>
        </w:rPr>
        <w:t>מדינת</w:t>
      </w:r>
      <w:r w:rsidRPr="00AA720B">
        <w:rPr>
          <w:rFonts w:ascii="Calibri" w:hAnsi="Calibri"/>
          <w:b/>
          <w:bCs/>
          <w:rtl/>
        </w:rPr>
        <w:t xml:space="preserve"> </w:t>
      </w:r>
      <w:r w:rsidRPr="00AA720B">
        <w:rPr>
          <w:rFonts w:ascii="Calibri" w:hAnsi="Calibri" w:hint="eastAsia"/>
          <w:b/>
          <w:bCs/>
          <w:rtl/>
        </w:rPr>
        <w:t>ישראל</w:t>
      </w:r>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rtl/>
        </w:rPr>
        <w:t xml:space="preserve">(13.12.2015)]. </w:t>
      </w:r>
    </w:p>
    <w:p w14:paraId="07906163" w14:textId="77777777" w:rsidR="0037227B" w:rsidRPr="0037227B" w:rsidRDefault="0037227B" w:rsidP="006D2178">
      <w:pPr>
        <w:widowControl w:val="0"/>
        <w:spacing w:before="240" w:after="240" w:line="360" w:lineRule="auto"/>
        <w:rPr>
          <w:rFonts w:ascii="David" w:hAnsi="David"/>
          <w:rtl/>
        </w:rPr>
      </w:pPr>
      <w:r w:rsidRPr="00AA720B">
        <w:rPr>
          <w:rFonts w:ascii="Calibri" w:hAnsi="Calibri" w:hint="eastAsia"/>
          <w:rtl/>
        </w:rPr>
        <w:t>ניתן</w:t>
      </w:r>
      <w:r w:rsidRPr="00AA720B">
        <w:rPr>
          <w:rFonts w:ascii="Calibri" w:hAnsi="Calibri"/>
          <w:rtl/>
        </w:rPr>
        <w:t xml:space="preserve"> </w:t>
      </w:r>
      <w:r w:rsidRPr="00AA720B">
        <w:rPr>
          <w:rFonts w:ascii="Calibri" w:hAnsi="Calibri" w:hint="eastAsia"/>
          <w:rtl/>
        </w:rPr>
        <w:t>אף</w:t>
      </w:r>
      <w:r w:rsidRPr="00AA720B">
        <w:rPr>
          <w:rFonts w:ascii="Calibri" w:hAnsi="Calibri"/>
          <w:rtl/>
        </w:rPr>
        <w:t xml:space="preserve"> </w:t>
      </w:r>
      <w:r w:rsidRPr="00AA720B">
        <w:rPr>
          <w:rFonts w:ascii="Calibri" w:hAnsi="Calibri" w:hint="eastAsia"/>
          <w:rtl/>
        </w:rPr>
        <w:t>להזכיר</w:t>
      </w:r>
      <w:r w:rsidRPr="00AA720B">
        <w:rPr>
          <w:rFonts w:ascii="Calibri" w:hAnsi="Calibri"/>
          <w:rtl/>
        </w:rPr>
        <w:t xml:space="preserve"> </w:t>
      </w:r>
      <w:r w:rsidR="006D2178">
        <w:rPr>
          <w:rFonts w:ascii="David" w:hAnsi="David"/>
          <w:rtl/>
        </w:rPr>
        <w:t>את הדברים שנפסקו ב</w:t>
      </w:r>
      <w:hyperlink r:id="rId69" w:history="1">
        <w:r w:rsidR="00AD1D7C" w:rsidRPr="00AD1D7C">
          <w:rPr>
            <w:rStyle w:val="Hyperlink"/>
            <w:rFonts w:ascii="David" w:hAnsi="David"/>
            <w:rtl/>
          </w:rPr>
          <w:t>ע"פ 3849/05</w:t>
        </w:r>
      </w:hyperlink>
      <w:r w:rsidRPr="00AA720B">
        <w:rPr>
          <w:rFonts w:ascii="Calibri" w:hAnsi="Calibri" w:cs="Arial"/>
          <w:sz w:val="20"/>
          <w:szCs w:val="20"/>
          <w:rtl/>
        </w:rPr>
        <w:t xml:space="preserve"> </w:t>
      </w:r>
      <w:r w:rsidRPr="0037227B">
        <w:rPr>
          <w:rFonts w:ascii="David" w:hAnsi="David"/>
          <w:b/>
          <w:bCs/>
          <w:rtl/>
        </w:rPr>
        <w:t>דוד תורג'מן נגד מדינת ישראל</w:t>
      </w:r>
      <w:r w:rsidRPr="00AA720B">
        <w:rPr>
          <w:rFonts w:ascii="Calibri" w:hAnsi="Calibri" w:cs="Arial"/>
          <w:sz w:val="20"/>
          <w:szCs w:val="20"/>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006D2178" w:rsidRPr="006D2178">
        <w:rPr>
          <w:rFonts w:ascii="David" w:hAnsi="David" w:hint="cs"/>
          <w:rtl/>
        </w:rPr>
        <w:t>(23.06.2005)</w:t>
      </w:r>
      <w:r w:rsidRPr="0037227B">
        <w:rPr>
          <w:rFonts w:ascii="David" w:hAnsi="David"/>
          <w:rtl/>
        </w:rPr>
        <w:t>:</w:t>
      </w:r>
    </w:p>
    <w:p w14:paraId="48F4C371" w14:textId="77777777" w:rsidR="0037227B" w:rsidRPr="0037227B" w:rsidRDefault="0037227B" w:rsidP="006D2178">
      <w:pPr>
        <w:widowControl w:val="0"/>
        <w:spacing w:before="240" w:after="240" w:line="360" w:lineRule="auto"/>
        <w:ind w:left="567" w:right="567"/>
        <w:jc w:val="both"/>
        <w:rPr>
          <w:rFonts w:ascii="David" w:hAnsi="David"/>
          <w:rtl/>
        </w:rPr>
      </w:pPr>
      <w:r w:rsidRPr="00AA720B">
        <w:rPr>
          <w:rFonts w:ascii="Calibri" w:hAnsi="Calibri" w:cs="Arial"/>
          <w:sz w:val="22"/>
          <w:szCs w:val="22"/>
          <w:rtl/>
        </w:rPr>
        <w:t>"</w:t>
      </w:r>
      <w:r w:rsidRPr="0037227B">
        <w:rPr>
          <w:rFonts w:ascii="David" w:hAnsi="David"/>
          <w:b/>
          <w:bCs/>
          <w:rtl/>
        </w:rPr>
        <w:t>לנאשם זכות יסוד ובלתי מעורערת לנהל את הגנתו כפי הבנתו. זכות זו הנה חלק בלתי נפרד מאגד הזכויות העומדות לנאשם בפלילים.. ברי, כי מימושה של זכות זו אינו עומד - ואינו יכול לעמוד - לנאשמים לרועץ. ברם, עת עושה בית-משפט במלאכת קביעת העונש, רשאי גם רשאי הוא להביא בחשבון, במניין שיקוליו, שיקולים דוגמת חיסכון בזמן שיפוטי, נטילת אחריות על המעשה והבעת חרטה... ואוסיף עוד זאת – בענייננו שלנו, נסיבות נוספות נזקפות לחובת הנאשם, כגון התרשמותו הקשה של בית-משפט השלום מהמבקש, והאופן בו בחר לנהג עצמו במהלך משפטו, וכן תסקיר המבחן שהוגש בעניינו, ממנו עולה כי הוא עודו מסרב ליטול אחריות על מעשיו, ומכחיש את ביצוע העבירות בהן הורשע."</w:t>
      </w:r>
      <w:r w:rsidRPr="0037227B">
        <w:rPr>
          <w:rFonts w:ascii="David" w:hAnsi="David"/>
          <w:rtl/>
        </w:rPr>
        <w:t xml:space="preserve"> </w:t>
      </w:r>
    </w:p>
    <w:p w14:paraId="70FAB3E5" w14:textId="77777777" w:rsidR="0037227B" w:rsidRPr="0037227B" w:rsidRDefault="0037227B" w:rsidP="002E6F99">
      <w:pPr>
        <w:widowControl w:val="0"/>
        <w:spacing w:before="240" w:after="240" w:line="360" w:lineRule="auto"/>
        <w:jc w:val="both"/>
        <w:rPr>
          <w:rFonts w:ascii="David" w:hAnsi="David"/>
          <w:rtl/>
        </w:rPr>
      </w:pPr>
      <w:r w:rsidRPr="0037227B">
        <w:rPr>
          <w:rFonts w:ascii="David" w:hAnsi="David"/>
          <w:rtl/>
        </w:rPr>
        <w:t>הגם שמדובר בדברים שנכתבו טרם תיקון 113 עדיין הרציונל שם תקף</w:t>
      </w:r>
      <w:r w:rsidR="002E6F99">
        <w:rPr>
          <w:rFonts w:ascii="David" w:hAnsi="David" w:hint="cs"/>
          <w:rtl/>
        </w:rPr>
        <w:t xml:space="preserve"> במובן מסוים, שכן ברי כי</w:t>
      </w:r>
      <w:r w:rsidRPr="0037227B">
        <w:rPr>
          <w:rFonts w:ascii="David" w:hAnsi="David"/>
          <w:rtl/>
        </w:rPr>
        <w:t xml:space="preserve"> לו היה המשפט נגמר בהודאת הנאשם</w:t>
      </w:r>
      <w:r w:rsidR="002E6F99">
        <w:rPr>
          <w:rFonts w:ascii="David" w:hAnsi="David" w:hint="cs"/>
          <w:rtl/>
        </w:rPr>
        <w:t xml:space="preserve"> </w:t>
      </w:r>
      <w:r w:rsidRPr="0037227B">
        <w:rPr>
          <w:rFonts w:ascii="David" w:hAnsi="David"/>
          <w:rtl/>
        </w:rPr>
        <w:t xml:space="preserve">לא הייתה ניתנת לנו ההזדמנות להתרשם ממנו. משהעיד, והתרשמותנו ממנו במהלך עדותו הייתה שלא סיפר על הדברים כהוויתם; הציג מצג שקרי בדבר חוסר מעורבותו בנוגע מטען החבלה, וכי הוא אדם תמים שאחרים הדביקו לו על לא עוול בכפו שם של מומחה לייצור מטעני חבלה; בעוד שהראיות מובילות למסקנה אחרת וזאת בלשון המעטה - ודאי שהתרשמות זו לא תפעל לטובתו. </w:t>
      </w:r>
    </w:p>
    <w:p w14:paraId="5CD43CF8" w14:textId="77777777" w:rsidR="0037227B" w:rsidRPr="0037227B" w:rsidRDefault="0037227B" w:rsidP="002E6F99">
      <w:pPr>
        <w:widowControl w:val="0"/>
        <w:tabs>
          <w:tab w:val="left" w:pos="800"/>
        </w:tabs>
        <w:overflowPunct w:val="0"/>
        <w:autoSpaceDE w:val="0"/>
        <w:autoSpaceDN w:val="0"/>
        <w:adjustRightInd w:val="0"/>
        <w:spacing w:before="240" w:after="240" w:line="360" w:lineRule="auto"/>
        <w:jc w:val="both"/>
        <w:rPr>
          <w:rFonts w:ascii="David" w:hAnsi="David"/>
          <w:rtl/>
        </w:rPr>
      </w:pPr>
      <w:r w:rsidRPr="0037227B">
        <w:rPr>
          <w:rFonts w:ascii="David" w:hAnsi="David"/>
          <w:u w:val="single"/>
          <w:rtl/>
        </w:rPr>
        <w:t>באשר למאמציו של הנאשם לחזור למוטב</w:t>
      </w:r>
      <w:r w:rsidRPr="0037227B">
        <w:rPr>
          <w:rFonts w:ascii="David" w:hAnsi="David"/>
          <w:rtl/>
        </w:rPr>
        <w:t xml:space="preserve"> ולתיקון שהנאשם עושה בין כותלי הכלא על פי דברי בא כוחו, והדברים באו לידי ביטוי אף במכתבו של</w:t>
      </w:r>
      <w:r w:rsidR="00B35DA4">
        <w:rPr>
          <w:rFonts w:ascii="David" w:hAnsi="David" w:hint="cs"/>
          <w:rtl/>
        </w:rPr>
        <w:t xml:space="preserve"> הרב</w:t>
      </w:r>
      <w:r w:rsidRPr="0037227B">
        <w:rPr>
          <w:rFonts w:ascii="David" w:hAnsi="David"/>
          <w:rtl/>
        </w:rPr>
        <w:t xml:space="preserve"> יובל כהן ש</w:t>
      </w:r>
      <w:r w:rsidR="00B35DA4">
        <w:rPr>
          <w:rFonts w:ascii="David" w:hAnsi="David" w:hint="cs"/>
          <w:rtl/>
        </w:rPr>
        <w:t xml:space="preserve">סיפר על כך שהוא </w:t>
      </w:r>
      <w:r w:rsidRPr="0037227B">
        <w:rPr>
          <w:rFonts w:ascii="David" w:hAnsi="David"/>
          <w:rtl/>
        </w:rPr>
        <w:t>מלווה את הנאשם</w:t>
      </w:r>
      <w:r w:rsidR="00B35DA4">
        <w:rPr>
          <w:rFonts w:ascii="David" w:hAnsi="David" w:hint="cs"/>
          <w:rtl/>
        </w:rPr>
        <w:t xml:space="preserve"> מזה זמן, </w:t>
      </w:r>
      <w:r w:rsidRPr="0037227B">
        <w:rPr>
          <w:rFonts w:ascii="David" w:hAnsi="David"/>
          <w:rtl/>
        </w:rPr>
        <w:t xml:space="preserve">הנאשם שעומד לפנינו אינו אותו אדם, גם פנימית וגם חיצונית; ולו הנאשם היה חובש כיפה רק לצורך המשפט – השינוי </w:t>
      </w:r>
      <w:r w:rsidR="00B35DA4">
        <w:rPr>
          <w:rFonts w:ascii="David" w:hAnsi="David" w:hint="cs"/>
          <w:rtl/>
        </w:rPr>
        <w:t xml:space="preserve">הכה מהותי שחל בו </w:t>
      </w:r>
      <w:r w:rsidRPr="0037227B">
        <w:rPr>
          <w:rFonts w:ascii="David" w:hAnsi="David"/>
          <w:rtl/>
        </w:rPr>
        <w:t xml:space="preserve">לא היה מחזיק מעמד. מבלי לגרוע דבר ממה שציין </w:t>
      </w:r>
      <w:r w:rsidR="00B35DA4">
        <w:rPr>
          <w:rFonts w:ascii="David" w:hAnsi="David" w:hint="cs"/>
          <w:rtl/>
        </w:rPr>
        <w:t>הרב</w:t>
      </w:r>
      <w:r w:rsidRPr="0037227B">
        <w:rPr>
          <w:rFonts w:ascii="David" w:hAnsi="David"/>
          <w:rtl/>
        </w:rPr>
        <w:t xml:space="preserve"> כהן במכתבו, הרי אין בידינו לקבל את דבריו </w:t>
      </w:r>
      <w:r w:rsidR="00B35DA4">
        <w:rPr>
          <w:rFonts w:ascii="David" w:hAnsi="David" w:hint="cs"/>
          <w:rtl/>
        </w:rPr>
        <w:t xml:space="preserve">לפיהם </w:t>
      </w:r>
      <w:r w:rsidRPr="0037227B">
        <w:rPr>
          <w:rFonts w:ascii="David" w:hAnsi="David"/>
          <w:rtl/>
        </w:rPr>
        <w:t xml:space="preserve">לדון </w:t>
      </w:r>
      <w:r w:rsidR="002E6F99">
        <w:rPr>
          <w:rFonts w:ascii="David" w:hAnsi="David" w:hint="cs"/>
          <w:rtl/>
        </w:rPr>
        <w:t xml:space="preserve">היום </w:t>
      </w:r>
      <w:r w:rsidRPr="0037227B">
        <w:rPr>
          <w:rFonts w:ascii="David" w:hAnsi="David"/>
          <w:rtl/>
        </w:rPr>
        <w:t>את הנאשם על מה שעשה "מישהו אחר", כביכול, יהיה בבחינת עוול</w:t>
      </w:r>
      <w:r w:rsidR="00B35DA4">
        <w:rPr>
          <w:rFonts w:ascii="David" w:hAnsi="David" w:hint="cs"/>
          <w:rtl/>
        </w:rPr>
        <w:t>.</w:t>
      </w:r>
      <w:r w:rsidRPr="0037227B">
        <w:rPr>
          <w:rFonts w:ascii="David" w:hAnsi="David"/>
          <w:rtl/>
        </w:rPr>
        <w:t xml:space="preserve"> הנאשם הוא שהורשע בביצוע המעשים </w:t>
      </w:r>
      <w:r w:rsidR="00B35DA4">
        <w:rPr>
          <w:rFonts w:ascii="David" w:hAnsi="David"/>
          <w:rtl/>
        </w:rPr>
        <w:t>–</w:t>
      </w:r>
      <w:r w:rsidR="00B35DA4">
        <w:rPr>
          <w:rFonts w:ascii="David" w:hAnsi="David" w:hint="cs"/>
          <w:rtl/>
        </w:rPr>
        <w:t xml:space="preserve"> הוא </w:t>
      </w:r>
      <w:r w:rsidRPr="0037227B">
        <w:rPr>
          <w:rFonts w:ascii="David" w:hAnsi="David"/>
          <w:rtl/>
        </w:rPr>
        <w:t xml:space="preserve">ולא אחר. </w:t>
      </w:r>
      <w:r w:rsidR="00B35DA4">
        <w:rPr>
          <w:rFonts w:ascii="David" w:hAnsi="David" w:hint="cs"/>
          <w:rtl/>
        </w:rPr>
        <w:t xml:space="preserve">בנוסף, </w:t>
      </w:r>
      <w:r w:rsidRPr="0037227B">
        <w:rPr>
          <w:rFonts w:ascii="David" w:hAnsi="David"/>
          <w:rtl/>
        </w:rPr>
        <w:t>לבד מדברי סנגורו ו</w:t>
      </w:r>
      <w:r w:rsidR="00B35DA4">
        <w:rPr>
          <w:rFonts w:ascii="David" w:hAnsi="David" w:hint="cs"/>
          <w:rtl/>
        </w:rPr>
        <w:t>הרב</w:t>
      </w:r>
      <w:r w:rsidRPr="0037227B">
        <w:rPr>
          <w:rFonts w:ascii="David" w:hAnsi="David"/>
          <w:rtl/>
        </w:rPr>
        <w:t xml:space="preserve"> כהן</w:t>
      </w:r>
      <w:r w:rsidR="00B35DA4">
        <w:rPr>
          <w:rFonts w:ascii="David" w:hAnsi="David" w:hint="cs"/>
          <w:rtl/>
        </w:rPr>
        <w:t xml:space="preserve">, והעובדה </w:t>
      </w:r>
      <w:r w:rsidRPr="0037227B">
        <w:rPr>
          <w:rFonts w:ascii="David" w:hAnsi="David"/>
          <w:rtl/>
        </w:rPr>
        <w:t xml:space="preserve">שהנאשם התחזק מבחינה דתית, דבר שהיה ניכר אף בדיונים בפנינו, לא ניתן לומר כי ישנן ראיות לכך שהנאשם </w:t>
      </w:r>
      <w:r w:rsidR="00B35DA4">
        <w:rPr>
          <w:rFonts w:ascii="David" w:hAnsi="David" w:hint="cs"/>
          <w:rtl/>
        </w:rPr>
        <w:t xml:space="preserve"> </w:t>
      </w:r>
      <w:r w:rsidRPr="0037227B">
        <w:rPr>
          <w:rFonts w:ascii="David" w:hAnsi="David"/>
          <w:rtl/>
        </w:rPr>
        <w:t xml:space="preserve">עושה מאמץ לחזור למוטב, או כי מדובר במי שעשה שינוי עד שאינו אותו אדם. </w:t>
      </w:r>
    </w:p>
    <w:p w14:paraId="5533DBC5" w14:textId="77777777" w:rsidR="00B35DA4" w:rsidRDefault="00B35DA4" w:rsidP="00B35DA4">
      <w:pPr>
        <w:widowControl w:val="0"/>
        <w:spacing w:before="240" w:after="240" w:line="360" w:lineRule="auto"/>
        <w:jc w:val="both"/>
        <w:rPr>
          <w:rFonts w:ascii="David" w:hAnsi="David"/>
          <w:rtl/>
        </w:rPr>
      </w:pPr>
      <w:r>
        <w:rPr>
          <w:rFonts w:ascii="David" w:hAnsi="David" w:hint="cs"/>
          <w:rtl/>
        </w:rPr>
        <w:t xml:space="preserve">ביחס לדברי </w:t>
      </w:r>
      <w:r w:rsidR="0037227B" w:rsidRPr="0037227B">
        <w:rPr>
          <w:rFonts w:ascii="David" w:hAnsi="David"/>
          <w:rtl/>
        </w:rPr>
        <w:t>אחותו באשר</w:t>
      </w:r>
      <w:r>
        <w:rPr>
          <w:rFonts w:ascii="David" w:hAnsi="David" w:hint="cs"/>
          <w:rtl/>
        </w:rPr>
        <w:t xml:space="preserve"> לתמיכתו באחיותיו ובמשפחתו במשך השנים, הרי גם היא מתייחסת לדרך בה בחר </w:t>
      </w:r>
      <w:r>
        <w:rPr>
          <w:rFonts w:ascii="David" w:hAnsi="David"/>
          <w:rtl/>
        </w:rPr>
        <w:t>–</w:t>
      </w:r>
      <w:r>
        <w:rPr>
          <w:rFonts w:ascii="David" w:hAnsi="David" w:hint="cs"/>
          <w:rtl/>
        </w:rPr>
        <w:t xml:space="preserve"> הדרך העבריינית במשך זמן לא מועט. דבריה כי </w:t>
      </w:r>
      <w:r w:rsidR="0037227B" w:rsidRPr="0037227B">
        <w:rPr>
          <w:rFonts w:ascii="David" w:hAnsi="David"/>
          <w:rtl/>
        </w:rPr>
        <w:t>הוא מתקשר</w:t>
      </w:r>
      <w:r>
        <w:rPr>
          <w:rFonts w:ascii="David" w:hAnsi="David" w:hint="cs"/>
          <w:rtl/>
        </w:rPr>
        <w:t xml:space="preserve"> </w:t>
      </w:r>
      <w:r w:rsidR="0037227B" w:rsidRPr="0037227B">
        <w:rPr>
          <w:rFonts w:ascii="David" w:hAnsi="David"/>
          <w:rtl/>
        </w:rPr>
        <w:t>למשפחתו מתוך מכותלי הכלא, משוחח עם אחייניו, מביע עניין בהם ומסביר להם שעולם הפשע אינו כדאי, גם אם הם נכונים</w:t>
      </w:r>
      <w:r>
        <w:rPr>
          <w:rFonts w:ascii="David" w:hAnsi="David" w:hint="cs"/>
          <w:rtl/>
        </w:rPr>
        <w:t xml:space="preserve"> ויש לשמוח עליהם</w:t>
      </w:r>
      <w:r w:rsidR="0037227B" w:rsidRPr="0037227B">
        <w:rPr>
          <w:rFonts w:ascii="David" w:hAnsi="David"/>
          <w:rtl/>
        </w:rPr>
        <w:t>, אין בהם כדי לבסס חזרה למוטב</w:t>
      </w:r>
      <w:r>
        <w:rPr>
          <w:rFonts w:ascii="David" w:hAnsi="David" w:hint="cs"/>
          <w:rtl/>
        </w:rPr>
        <w:t xml:space="preserve">, או כדי להשפיע על אופן גזירת עונשו. </w:t>
      </w:r>
    </w:p>
    <w:p w14:paraId="41830110" w14:textId="77777777" w:rsidR="0037227B" w:rsidRPr="0037227B" w:rsidRDefault="00B35DA4" w:rsidP="00B35DA4">
      <w:pPr>
        <w:widowControl w:val="0"/>
        <w:spacing w:before="240" w:after="240" w:line="360" w:lineRule="auto"/>
        <w:jc w:val="both"/>
        <w:rPr>
          <w:rFonts w:ascii="David" w:hAnsi="David"/>
          <w:rtl/>
        </w:rPr>
      </w:pPr>
      <w:r>
        <w:rPr>
          <w:rFonts w:ascii="David" w:hAnsi="David" w:hint="cs"/>
          <w:rtl/>
        </w:rPr>
        <w:t xml:space="preserve">יתרה מכך, </w:t>
      </w:r>
      <w:r w:rsidR="0037227B" w:rsidRPr="0037227B">
        <w:rPr>
          <w:rFonts w:ascii="David" w:hAnsi="David"/>
          <w:rtl/>
        </w:rPr>
        <w:t>לא הונח בפנינו כל מסמך מהכלא, שם שוהה הנאשם כבר במשך מספר שנים (לאור מאסרו בתיק המטען הנוסף ובהמשך מעצרו בתיק זה), ביחס להיותו של הנאשם תומך בא</w:t>
      </w:r>
      <w:r>
        <w:rPr>
          <w:rFonts w:ascii="David" w:hAnsi="David" w:hint="cs"/>
          <w:rtl/>
        </w:rPr>
        <w:t>סירים א</w:t>
      </w:r>
      <w:r w:rsidR="0037227B" w:rsidRPr="0037227B">
        <w:rPr>
          <w:rFonts w:ascii="David" w:hAnsi="David"/>
          <w:rtl/>
        </w:rPr>
        <w:t>חרים, או כי הנאשם השתלב בקבוצות טיפוליות, או קבוצות חינוך. אין בפנינו תיעוד כ</w:t>
      </w:r>
      <w:r>
        <w:rPr>
          <w:rFonts w:ascii="David" w:hAnsi="David" w:hint="cs"/>
          <w:rtl/>
        </w:rPr>
        <w:t xml:space="preserve">זה מגורם כלשהו </w:t>
      </w:r>
      <w:r>
        <w:rPr>
          <w:rFonts w:ascii="David" w:hAnsi="David"/>
          <w:rtl/>
        </w:rPr>
        <w:t>–</w:t>
      </w:r>
      <w:r>
        <w:rPr>
          <w:rFonts w:ascii="David" w:hAnsi="David" w:hint="cs"/>
          <w:rtl/>
        </w:rPr>
        <w:t xml:space="preserve"> לא מקצין האסירים ולא מהעובד הסוציאלי בכלא, ואין כל אינדיקציה ממשית </w:t>
      </w:r>
      <w:r w:rsidR="0037227B" w:rsidRPr="0037227B">
        <w:rPr>
          <w:rFonts w:ascii="David" w:hAnsi="David"/>
          <w:rtl/>
        </w:rPr>
        <w:t xml:space="preserve">על אותו שינוי של 180 מעלות, כפי שנאמר במכתבו של הרב; ואף </w:t>
      </w:r>
      <w:r>
        <w:rPr>
          <w:rFonts w:ascii="David" w:hAnsi="David" w:hint="cs"/>
          <w:rtl/>
        </w:rPr>
        <w:t xml:space="preserve">לא התבקשה </w:t>
      </w:r>
      <w:r w:rsidR="0037227B" w:rsidRPr="0037227B">
        <w:rPr>
          <w:rFonts w:ascii="David" w:hAnsi="David"/>
          <w:rtl/>
        </w:rPr>
        <w:t>תסקיר של שירות המבחן בעניינו של הנאשם</w:t>
      </w:r>
      <w:r>
        <w:rPr>
          <w:rFonts w:ascii="David" w:hAnsi="David" w:hint="cs"/>
          <w:rtl/>
        </w:rPr>
        <w:t>.</w:t>
      </w:r>
    </w:p>
    <w:p w14:paraId="59CC9D40" w14:textId="77777777" w:rsidR="0037227B" w:rsidRPr="0037227B" w:rsidRDefault="0037227B" w:rsidP="00A91EC4">
      <w:pPr>
        <w:widowControl w:val="0"/>
        <w:spacing w:before="240" w:after="240" w:line="360" w:lineRule="auto"/>
        <w:jc w:val="both"/>
        <w:rPr>
          <w:rFonts w:ascii="David" w:hAnsi="David"/>
          <w:rtl/>
        </w:rPr>
      </w:pPr>
      <w:r w:rsidRPr="0037227B">
        <w:rPr>
          <w:rFonts w:ascii="David" w:hAnsi="David"/>
          <w:rtl/>
        </w:rPr>
        <w:t xml:space="preserve">מעבר לכך, הנאשם נותן את הדין ראש וראשית על מעשים ועבירות קשות וחמורות שנעשו על ידו, וגם אם ערך </w:t>
      </w:r>
      <w:r w:rsidR="00A91EC4">
        <w:rPr>
          <w:rFonts w:ascii="David" w:hAnsi="David" w:hint="cs"/>
          <w:rtl/>
        </w:rPr>
        <w:t>ת</w:t>
      </w:r>
      <w:r w:rsidRPr="0037227B">
        <w:rPr>
          <w:rFonts w:ascii="David" w:hAnsi="David"/>
          <w:rtl/>
        </w:rPr>
        <w:t>יקו בינו לבינו, אין בכך כדי להשליך באופן מהותי על</w:t>
      </w:r>
      <w:r w:rsidR="00B35DA4">
        <w:rPr>
          <w:rFonts w:ascii="David" w:hAnsi="David" w:hint="cs"/>
          <w:rtl/>
        </w:rPr>
        <w:t xml:space="preserve"> </w:t>
      </w:r>
      <w:r w:rsidRPr="0037227B">
        <w:rPr>
          <w:rFonts w:ascii="David" w:hAnsi="David"/>
          <w:rtl/>
        </w:rPr>
        <w:t xml:space="preserve">הענישה </w:t>
      </w:r>
      <w:r w:rsidR="00B35DA4">
        <w:rPr>
          <w:rFonts w:ascii="David" w:hAnsi="David" w:hint="cs"/>
          <w:rtl/>
        </w:rPr>
        <w:t xml:space="preserve">הראויה </w:t>
      </w:r>
      <w:r w:rsidRPr="0037227B">
        <w:rPr>
          <w:rFonts w:ascii="David" w:hAnsi="David"/>
          <w:rtl/>
        </w:rPr>
        <w:t xml:space="preserve">בתיק זה, והדברים מקבלים משנה תוקף משלא ניכרים ולו ניצנים של אותו תיקון, בהתייחסותו לעבירות. </w:t>
      </w:r>
    </w:p>
    <w:p w14:paraId="19B9834F" w14:textId="77777777" w:rsidR="0037227B" w:rsidRPr="0037227B" w:rsidRDefault="0037227B" w:rsidP="00B35DA4">
      <w:pPr>
        <w:widowControl w:val="0"/>
        <w:spacing w:before="240" w:after="240" w:line="360" w:lineRule="auto"/>
        <w:jc w:val="both"/>
        <w:rPr>
          <w:rFonts w:ascii="David" w:hAnsi="David"/>
          <w:rtl/>
        </w:rPr>
      </w:pPr>
      <w:r w:rsidRPr="0037227B">
        <w:rPr>
          <w:rFonts w:ascii="David" w:hAnsi="David"/>
          <w:rtl/>
        </w:rPr>
        <w:t>למעלה מן הצורך נציין כי גם לפי המשפט העברי, תשובה – עם כל מעלתה – אינה פוטרת מעונש ב"בית דין של מטה"[נחום רקובר, "</w:t>
      </w:r>
      <w:r w:rsidRPr="00B35DA4">
        <w:rPr>
          <w:rFonts w:ascii="David" w:hAnsi="David"/>
          <w:b/>
          <w:bCs/>
          <w:rtl/>
        </w:rPr>
        <w:t>התשובה והענישה הפלילית</w:t>
      </w:r>
      <w:r w:rsidRPr="0037227B">
        <w:rPr>
          <w:rFonts w:ascii="David" w:hAnsi="David"/>
          <w:rtl/>
        </w:rPr>
        <w:t>", גיליון לפרשת השבוע "ניצבים-וילך" תשס"ו, מס' 265, בהוצאת המחלקה למשפט עברי במשרד המשפטים והמרכז האקדמי שערי מדע ומשפט, בעריכת אביעד הכהן ומיכאל ויגודה].</w:t>
      </w:r>
    </w:p>
    <w:p w14:paraId="7CEF261E" w14:textId="77777777" w:rsidR="00A91EC4" w:rsidRPr="00AA720B" w:rsidRDefault="00A91EC4" w:rsidP="006D2178">
      <w:pPr>
        <w:widowControl w:val="0"/>
        <w:spacing w:before="240" w:after="240" w:line="360" w:lineRule="auto"/>
        <w:jc w:val="both"/>
        <w:rPr>
          <w:rFonts w:ascii="Calibri" w:hAnsi="Calibri"/>
          <w:b/>
          <w:bCs/>
          <w:u w:val="single"/>
          <w:rtl/>
        </w:rPr>
      </w:pPr>
    </w:p>
    <w:p w14:paraId="7D96447B" w14:textId="77777777" w:rsidR="0037227B" w:rsidRPr="00AA720B" w:rsidRDefault="0037227B" w:rsidP="006D2178">
      <w:pPr>
        <w:widowControl w:val="0"/>
        <w:spacing w:before="240" w:after="240" w:line="360" w:lineRule="auto"/>
        <w:jc w:val="both"/>
        <w:rPr>
          <w:rFonts w:ascii="Calibri" w:hAnsi="Calibri"/>
          <w:b/>
          <w:bCs/>
          <w:u w:val="single"/>
          <w:rtl/>
        </w:rPr>
      </w:pPr>
      <w:r w:rsidRPr="00AA720B">
        <w:rPr>
          <w:rFonts w:ascii="Calibri" w:hAnsi="Calibri" w:hint="eastAsia"/>
          <w:b/>
          <w:bCs/>
          <w:u w:val="single"/>
          <w:rtl/>
        </w:rPr>
        <w:t>הפיצוי</w:t>
      </w:r>
    </w:p>
    <w:p w14:paraId="08CE1EFE" w14:textId="77777777" w:rsidR="0037227B" w:rsidRPr="00AA720B" w:rsidRDefault="00922B79" w:rsidP="006D2178">
      <w:pPr>
        <w:widowControl w:val="0"/>
        <w:spacing w:before="240" w:after="240" w:line="360" w:lineRule="auto"/>
        <w:jc w:val="both"/>
        <w:rPr>
          <w:rFonts w:ascii="Calibri" w:hAnsi="Calibri"/>
          <w:rtl/>
        </w:rPr>
      </w:pPr>
      <w:hyperlink r:id="rId70" w:history="1">
        <w:r w:rsidRPr="00922B79">
          <w:rPr>
            <w:rStyle w:val="Hyperlink"/>
            <w:rFonts w:ascii="Calibri" w:hAnsi="Calibri" w:hint="eastAsia"/>
            <w:rtl/>
          </w:rPr>
          <w:t>סעיף</w:t>
        </w:r>
        <w:r w:rsidRPr="00922B79">
          <w:rPr>
            <w:rStyle w:val="Hyperlink"/>
            <w:rFonts w:ascii="Calibri" w:hAnsi="Calibri"/>
            <w:rtl/>
          </w:rPr>
          <w:t xml:space="preserve"> 77</w:t>
        </w:r>
      </w:hyperlink>
      <w:r w:rsidR="0037227B" w:rsidRPr="00AA720B">
        <w:rPr>
          <w:rFonts w:ascii="Calibri" w:hAnsi="Calibri"/>
          <w:rtl/>
        </w:rPr>
        <w:t xml:space="preserve"> </w:t>
      </w:r>
      <w:r w:rsidR="0037227B" w:rsidRPr="00AA720B">
        <w:rPr>
          <w:rFonts w:ascii="Calibri" w:hAnsi="Calibri" w:hint="eastAsia"/>
          <w:rtl/>
        </w:rPr>
        <w:t>ל</w:t>
      </w:r>
      <w:hyperlink r:id="rId71" w:history="1">
        <w:r w:rsidR="00190E23" w:rsidRPr="00190E23">
          <w:rPr>
            <w:rFonts w:ascii="Calibri" w:hAnsi="Calibri" w:hint="eastAsia"/>
            <w:color w:val="0000FF"/>
            <w:u w:val="single"/>
            <w:rtl/>
          </w:rPr>
          <w:t>חוק</w:t>
        </w:r>
        <w:r w:rsidR="00190E23" w:rsidRPr="00190E23">
          <w:rPr>
            <w:rFonts w:ascii="Calibri" w:hAnsi="Calibri"/>
            <w:color w:val="0000FF"/>
            <w:u w:val="single"/>
            <w:rtl/>
          </w:rPr>
          <w:t xml:space="preserve"> </w:t>
        </w:r>
        <w:r w:rsidR="00190E23" w:rsidRPr="00190E23">
          <w:rPr>
            <w:rFonts w:ascii="Calibri" w:hAnsi="Calibri" w:hint="eastAsia"/>
            <w:color w:val="0000FF"/>
            <w:u w:val="single"/>
            <w:rtl/>
          </w:rPr>
          <w:t>העונשין</w:t>
        </w:r>
      </w:hyperlink>
      <w:r w:rsidR="0037227B" w:rsidRPr="00AA720B">
        <w:rPr>
          <w:rFonts w:ascii="Calibri" w:hAnsi="Calibri"/>
          <w:rtl/>
        </w:rPr>
        <w:t xml:space="preserve"> </w:t>
      </w:r>
      <w:r w:rsidR="0037227B" w:rsidRPr="00AA720B">
        <w:rPr>
          <w:rFonts w:ascii="Calibri" w:hAnsi="Calibri" w:hint="eastAsia"/>
          <w:rtl/>
        </w:rPr>
        <w:t>קובע</w:t>
      </w:r>
      <w:r w:rsidR="0037227B" w:rsidRPr="00AA720B">
        <w:rPr>
          <w:rFonts w:ascii="Calibri" w:hAnsi="Calibri"/>
          <w:rtl/>
        </w:rPr>
        <w:t xml:space="preserve">: </w:t>
      </w:r>
    </w:p>
    <w:p w14:paraId="6687B6EF" w14:textId="77777777" w:rsidR="0037227B" w:rsidRPr="00AA720B" w:rsidRDefault="0037227B" w:rsidP="006D2178">
      <w:pPr>
        <w:widowControl w:val="0"/>
        <w:spacing w:before="240" w:after="240" w:line="360" w:lineRule="auto"/>
        <w:ind w:left="567" w:right="567"/>
        <w:jc w:val="both"/>
        <w:rPr>
          <w:rFonts w:ascii="Calibri" w:hAnsi="Calibri"/>
          <w:b/>
          <w:bCs/>
          <w:rtl/>
        </w:rPr>
      </w:pPr>
      <w:r w:rsidRPr="00AA720B">
        <w:rPr>
          <w:rFonts w:ascii="Calibri" w:hAnsi="Calibri"/>
          <w:b/>
          <w:bCs/>
          <w:rtl/>
        </w:rPr>
        <w:t>77.  (</w:t>
      </w:r>
      <w:r w:rsidRPr="00AA720B">
        <w:rPr>
          <w:rFonts w:ascii="Calibri" w:hAnsi="Calibri" w:hint="eastAsia"/>
          <w:b/>
          <w:bCs/>
          <w:rtl/>
        </w:rPr>
        <w:t>א</w:t>
      </w:r>
      <w:r w:rsidRPr="00AA720B">
        <w:rPr>
          <w:rFonts w:ascii="Calibri" w:hAnsi="Calibri"/>
          <w:b/>
          <w:bCs/>
          <w:rtl/>
        </w:rPr>
        <w:t xml:space="preserve">)  </w:t>
      </w:r>
      <w:r w:rsidRPr="00AA720B">
        <w:rPr>
          <w:rFonts w:ascii="Calibri" w:hAnsi="Calibri" w:hint="eastAsia"/>
          <w:b/>
          <w:bCs/>
          <w:rtl/>
        </w:rPr>
        <w:t>הורשע</w:t>
      </w:r>
      <w:r w:rsidRPr="00AA720B">
        <w:rPr>
          <w:rFonts w:ascii="Calibri" w:hAnsi="Calibri"/>
          <w:b/>
          <w:bCs/>
          <w:rtl/>
        </w:rPr>
        <w:t xml:space="preserve"> </w:t>
      </w:r>
      <w:r w:rsidRPr="00AA720B">
        <w:rPr>
          <w:rFonts w:ascii="Calibri" w:hAnsi="Calibri" w:hint="eastAsia"/>
          <w:b/>
          <w:bCs/>
          <w:rtl/>
        </w:rPr>
        <w:t>אדם</w:t>
      </w:r>
      <w:r w:rsidRPr="00AA720B">
        <w:rPr>
          <w:rFonts w:ascii="Calibri" w:hAnsi="Calibri"/>
          <w:b/>
          <w:bCs/>
          <w:rtl/>
        </w:rPr>
        <w:t xml:space="preserve">, </w:t>
      </w:r>
      <w:r w:rsidRPr="00AA720B">
        <w:rPr>
          <w:rFonts w:ascii="Calibri" w:hAnsi="Calibri" w:hint="eastAsia"/>
          <w:b/>
          <w:bCs/>
          <w:rtl/>
        </w:rPr>
        <w:t>רשאי</w:t>
      </w:r>
      <w:r w:rsidRPr="00AA720B">
        <w:rPr>
          <w:rFonts w:ascii="Calibri" w:hAnsi="Calibri"/>
          <w:b/>
          <w:bCs/>
          <w:rtl/>
        </w:rPr>
        <w:t xml:space="preserve"> </w:t>
      </w:r>
      <w:r w:rsidRPr="00AA720B">
        <w:rPr>
          <w:rFonts w:ascii="Calibri" w:hAnsi="Calibri" w:hint="eastAsia"/>
          <w:b/>
          <w:bCs/>
          <w:rtl/>
        </w:rPr>
        <w:t>בית</w:t>
      </w:r>
      <w:r w:rsidRPr="00AA720B">
        <w:rPr>
          <w:rFonts w:ascii="Calibri" w:hAnsi="Calibri"/>
          <w:b/>
          <w:bCs/>
          <w:rtl/>
        </w:rPr>
        <w:t xml:space="preserve"> </w:t>
      </w:r>
      <w:r w:rsidRPr="00AA720B">
        <w:rPr>
          <w:rFonts w:ascii="Calibri" w:hAnsi="Calibri" w:hint="eastAsia"/>
          <w:b/>
          <w:bCs/>
          <w:rtl/>
        </w:rPr>
        <w:t>המשפט</w:t>
      </w:r>
      <w:r w:rsidRPr="00AA720B">
        <w:rPr>
          <w:rFonts w:ascii="Calibri" w:hAnsi="Calibri"/>
          <w:b/>
          <w:bCs/>
          <w:rtl/>
        </w:rPr>
        <w:t xml:space="preserve"> </w:t>
      </w:r>
      <w:r w:rsidRPr="00AA720B">
        <w:rPr>
          <w:rFonts w:ascii="Calibri" w:hAnsi="Calibri" w:hint="eastAsia"/>
          <w:b/>
          <w:bCs/>
          <w:rtl/>
        </w:rPr>
        <w:t>לחייבו</w:t>
      </w:r>
      <w:r w:rsidRPr="00AA720B">
        <w:rPr>
          <w:rFonts w:ascii="Calibri" w:hAnsi="Calibri"/>
          <w:b/>
          <w:bCs/>
          <w:rtl/>
        </w:rPr>
        <w:t xml:space="preserve">, </w:t>
      </w:r>
      <w:r w:rsidRPr="00AA720B">
        <w:rPr>
          <w:rFonts w:ascii="Calibri" w:hAnsi="Calibri" w:hint="eastAsia"/>
          <w:b/>
          <w:bCs/>
          <w:rtl/>
        </w:rPr>
        <w:t>בשל</w:t>
      </w:r>
      <w:r w:rsidRPr="00AA720B">
        <w:rPr>
          <w:rFonts w:ascii="Calibri" w:hAnsi="Calibri"/>
          <w:b/>
          <w:bCs/>
          <w:rtl/>
        </w:rPr>
        <w:t xml:space="preserve"> </w:t>
      </w:r>
      <w:r w:rsidRPr="00AA720B">
        <w:rPr>
          <w:rFonts w:ascii="Calibri" w:hAnsi="Calibri" w:hint="eastAsia"/>
          <w:b/>
          <w:bCs/>
          <w:rtl/>
        </w:rPr>
        <w:t>כל</w:t>
      </w:r>
      <w:r w:rsidRPr="00AA720B">
        <w:rPr>
          <w:rFonts w:ascii="Calibri" w:hAnsi="Calibri"/>
          <w:b/>
          <w:bCs/>
          <w:rtl/>
        </w:rPr>
        <w:t xml:space="preserve"> </w:t>
      </w:r>
      <w:r w:rsidRPr="00AA720B">
        <w:rPr>
          <w:rFonts w:ascii="Calibri" w:hAnsi="Calibri" w:hint="eastAsia"/>
          <w:b/>
          <w:bCs/>
          <w:rtl/>
        </w:rPr>
        <w:t>אחת</w:t>
      </w:r>
      <w:r w:rsidRPr="00AA720B">
        <w:rPr>
          <w:rFonts w:ascii="Calibri" w:hAnsi="Calibri"/>
          <w:b/>
          <w:bCs/>
          <w:rtl/>
        </w:rPr>
        <w:t xml:space="preserve"> </w:t>
      </w:r>
      <w:r w:rsidRPr="00AA720B">
        <w:rPr>
          <w:rFonts w:ascii="Calibri" w:hAnsi="Calibri" w:hint="eastAsia"/>
          <w:b/>
          <w:bCs/>
          <w:rtl/>
        </w:rPr>
        <w:t>מן</w:t>
      </w:r>
      <w:r w:rsidRPr="00AA720B">
        <w:rPr>
          <w:rFonts w:ascii="Calibri" w:hAnsi="Calibri"/>
          <w:b/>
          <w:bCs/>
          <w:rtl/>
        </w:rPr>
        <w:t xml:space="preserve"> </w:t>
      </w:r>
      <w:r w:rsidRPr="00AA720B">
        <w:rPr>
          <w:rFonts w:ascii="Calibri" w:hAnsi="Calibri" w:hint="eastAsia"/>
          <w:b/>
          <w:bCs/>
          <w:rtl/>
        </w:rPr>
        <w:t>העבירות</w:t>
      </w:r>
      <w:r w:rsidRPr="00AA720B">
        <w:rPr>
          <w:rFonts w:ascii="Calibri" w:hAnsi="Calibri"/>
          <w:b/>
          <w:bCs/>
          <w:rtl/>
        </w:rPr>
        <w:t xml:space="preserve"> </w:t>
      </w:r>
      <w:r w:rsidRPr="00AA720B">
        <w:rPr>
          <w:rFonts w:ascii="Calibri" w:hAnsi="Calibri" w:hint="eastAsia"/>
          <w:b/>
          <w:bCs/>
          <w:rtl/>
        </w:rPr>
        <w:t>שהורשע</w:t>
      </w:r>
      <w:r w:rsidRPr="00AA720B">
        <w:rPr>
          <w:rFonts w:ascii="Calibri" w:hAnsi="Calibri"/>
          <w:b/>
          <w:bCs/>
          <w:rtl/>
        </w:rPr>
        <w:t xml:space="preserve"> </w:t>
      </w:r>
      <w:r w:rsidRPr="00AA720B">
        <w:rPr>
          <w:rFonts w:ascii="Calibri" w:hAnsi="Calibri" w:hint="eastAsia"/>
          <w:b/>
          <w:bCs/>
          <w:rtl/>
        </w:rPr>
        <w:t>בהן</w:t>
      </w:r>
      <w:r w:rsidRPr="00AA720B">
        <w:rPr>
          <w:rFonts w:ascii="Calibri" w:hAnsi="Calibri"/>
          <w:b/>
          <w:bCs/>
          <w:rtl/>
        </w:rPr>
        <w:t xml:space="preserve">, </w:t>
      </w:r>
      <w:r w:rsidRPr="00AA720B">
        <w:rPr>
          <w:rFonts w:ascii="Calibri" w:hAnsi="Calibri" w:hint="eastAsia"/>
          <w:b/>
          <w:bCs/>
          <w:rtl/>
        </w:rPr>
        <w:t>לשלם</w:t>
      </w:r>
      <w:r w:rsidRPr="00AA720B">
        <w:rPr>
          <w:rFonts w:ascii="Calibri" w:hAnsi="Calibri"/>
          <w:b/>
          <w:bCs/>
          <w:rtl/>
        </w:rPr>
        <w:t xml:space="preserve"> </w:t>
      </w:r>
      <w:r w:rsidRPr="00AA720B">
        <w:rPr>
          <w:rFonts w:ascii="Calibri" w:hAnsi="Calibri" w:hint="eastAsia"/>
          <w:b/>
          <w:bCs/>
          <w:rtl/>
        </w:rPr>
        <w:t>לאדם</w:t>
      </w:r>
      <w:r w:rsidRPr="00AA720B">
        <w:rPr>
          <w:rFonts w:ascii="Calibri" w:hAnsi="Calibri"/>
          <w:b/>
          <w:bCs/>
          <w:rtl/>
        </w:rPr>
        <w:t xml:space="preserve"> </w:t>
      </w:r>
      <w:r w:rsidRPr="00AA720B">
        <w:rPr>
          <w:rFonts w:ascii="Calibri" w:hAnsi="Calibri" w:hint="eastAsia"/>
          <w:b/>
          <w:bCs/>
          <w:rtl/>
        </w:rPr>
        <w:t>שניזוק</w:t>
      </w:r>
      <w:r w:rsidRPr="00AA720B">
        <w:rPr>
          <w:rFonts w:ascii="Calibri" w:hAnsi="Calibri"/>
          <w:b/>
          <w:bCs/>
          <w:rtl/>
        </w:rPr>
        <w:t xml:space="preserve"> </w:t>
      </w:r>
      <w:r w:rsidRPr="00AA720B">
        <w:rPr>
          <w:rFonts w:ascii="Calibri" w:hAnsi="Calibri" w:hint="eastAsia"/>
          <w:b/>
          <w:bCs/>
          <w:rtl/>
        </w:rPr>
        <w:t>על</w:t>
      </w:r>
      <w:r w:rsidRPr="00AA720B">
        <w:rPr>
          <w:rFonts w:ascii="Calibri" w:hAnsi="Calibri"/>
          <w:b/>
          <w:bCs/>
          <w:rtl/>
        </w:rPr>
        <w:t xml:space="preserve"> </w:t>
      </w:r>
      <w:r w:rsidRPr="00AA720B">
        <w:rPr>
          <w:rFonts w:ascii="Calibri" w:hAnsi="Calibri" w:hint="eastAsia"/>
          <w:b/>
          <w:bCs/>
          <w:rtl/>
        </w:rPr>
        <w:t>ידי</w:t>
      </w:r>
      <w:r w:rsidRPr="00AA720B">
        <w:rPr>
          <w:rFonts w:ascii="Calibri" w:hAnsi="Calibri"/>
          <w:b/>
          <w:bCs/>
          <w:rtl/>
        </w:rPr>
        <w:t xml:space="preserve"> </w:t>
      </w:r>
      <w:r w:rsidRPr="00AA720B">
        <w:rPr>
          <w:rFonts w:ascii="Calibri" w:hAnsi="Calibri" w:hint="eastAsia"/>
          <w:b/>
          <w:bCs/>
          <w:rtl/>
        </w:rPr>
        <w:t>העבירה</w:t>
      </w:r>
      <w:r w:rsidRPr="00AA720B">
        <w:rPr>
          <w:rFonts w:ascii="Calibri" w:hAnsi="Calibri"/>
          <w:b/>
          <w:bCs/>
          <w:rtl/>
        </w:rPr>
        <w:t xml:space="preserve"> </w:t>
      </w:r>
      <w:r w:rsidRPr="00AA720B">
        <w:rPr>
          <w:rFonts w:ascii="Calibri" w:hAnsi="Calibri" w:hint="eastAsia"/>
          <w:b/>
          <w:bCs/>
          <w:rtl/>
        </w:rPr>
        <w:t>סכום</w:t>
      </w:r>
      <w:r w:rsidRPr="00AA720B">
        <w:rPr>
          <w:rFonts w:ascii="Calibri" w:hAnsi="Calibri"/>
          <w:b/>
          <w:bCs/>
          <w:rtl/>
        </w:rPr>
        <w:t xml:space="preserve"> </w:t>
      </w:r>
      <w:r w:rsidRPr="00AA720B">
        <w:rPr>
          <w:rFonts w:ascii="Calibri" w:hAnsi="Calibri" w:hint="eastAsia"/>
          <w:b/>
          <w:bCs/>
          <w:rtl/>
        </w:rPr>
        <w:t>שלא</w:t>
      </w:r>
      <w:r w:rsidRPr="00AA720B">
        <w:rPr>
          <w:rFonts w:ascii="Calibri" w:hAnsi="Calibri"/>
          <w:b/>
          <w:bCs/>
          <w:rtl/>
        </w:rPr>
        <w:t xml:space="preserve"> </w:t>
      </w:r>
      <w:r w:rsidRPr="00AA720B">
        <w:rPr>
          <w:rFonts w:ascii="Calibri" w:hAnsi="Calibri" w:hint="eastAsia"/>
          <w:b/>
          <w:bCs/>
          <w:rtl/>
        </w:rPr>
        <w:t>יעלה</w:t>
      </w:r>
      <w:r w:rsidRPr="00AA720B">
        <w:rPr>
          <w:rFonts w:ascii="Calibri" w:hAnsi="Calibri"/>
          <w:b/>
          <w:bCs/>
          <w:rtl/>
        </w:rPr>
        <w:t xml:space="preserve"> </w:t>
      </w:r>
      <w:r w:rsidRPr="00AA720B">
        <w:rPr>
          <w:rFonts w:ascii="Calibri" w:hAnsi="Calibri" w:hint="eastAsia"/>
          <w:b/>
          <w:bCs/>
          <w:rtl/>
        </w:rPr>
        <w:t>על</w:t>
      </w:r>
      <w:r w:rsidRPr="00AA720B">
        <w:rPr>
          <w:rFonts w:ascii="Calibri" w:hAnsi="Calibri"/>
          <w:b/>
          <w:bCs/>
          <w:rtl/>
        </w:rPr>
        <w:t xml:space="preserve"> 258,000 </w:t>
      </w:r>
      <w:r w:rsidRPr="00AA720B">
        <w:rPr>
          <w:rFonts w:ascii="Calibri" w:hAnsi="Calibri" w:hint="eastAsia"/>
          <w:b/>
          <w:bCs/>
          <w:rtl/>
        </w:rPr>
        <w:t>שקלים</w:t>
      </w:r>
      <w:r w:rsidRPr="00AA720B">
        <w:rPr>
          <w:rFonts w:ascii="Calibri" w:hAnsi="Calibri"/>
          <w:b/>
          <w:bCs/>
          <w:rtl/>
        </w:rPr>
        <w:t xml:space="preserve"> </w:t>
      </w:r>
      <w:r w:rsidRPr="00AA720B">
        <w:rPr>
          <w:rFonts w:ascii="Calibri" w:hAnsi="Calibri" w:hint="eastAsia"/>
          <w:b/>
          <w:bCs/>
          <w:rtl/>
        </w:rPr>
        <w:t>חדשים</w:t>
      </w:r>
      <w:r w:rsidRPr="00AA720B">
        <w:rPr>
          <w:rFonts w:ascii="Calibri" w:hAnsi="Calibri"/>
          <w:b/>
          <w:bCs/>
          <w:rtl/>
        </w:rPr>
        <w:t xml:space="preserve"> </w:t>
      </w:r>
      <w:r w:rsidRPr="00AA720B">
        <w:rPr>
          <w:rFonts w:ascii="Calibri" w:hAnsi="Calibri" w:hint="eastAsia"/>
          <w:b/>
          <w:bCs/>
          <w:rtl/>
        </w:rPr>
        <w:t>לפיצוי</w:t>
      </w:r>
      <w:r w:rsidRPr="00AA720B">
        <w:rPr>
          <w:rFonts w:ascii="Calibri" w:hAnsi="Calibri"/>
          <w:b/>
          <w:bCs/>
          <w:rtl/>
        </w:rPr>
        <w:t xml:space="preserve"> </w:t>
      </w:r>
      <w:r w:rsidRPr="00AA720B">
        <w:rPr>
          <w:rFonts w:ascii="Calibri" w:hAnsi="Calibri" w:hint="eastAsia"/>
          <w:b/>
          <w:bCs/>
          <w:rtl/>
        </w:rPr>
        <w:t>הנזק</w:t>
      </w:r>
      <w:r w:rsidRPr="00AA720B">
        <w:rPr>
          <w:rFonts w:ascii="Calibri" w:hAnsi="Calibri"/>
          <w:b/>
          <w:bCs/>
          <w:rtl/>
        </w:rPr>
        <w:t xml:space="preserve"> </w:t>
      </w:r>
      <w:r w:rsidRPr="00AA720B">
        <w:rPr>
          <w:rFonts w:ascii="Calibri" w:hAnsi="Calibri" w:hint="eastAsia"/>
          <w:b/>
          <w:bCs/>
          <w:rtl/>
        </w:rPr>
        <w:t>או</w:t>
      </w:r>
      <w:r w:rsidRPr="00AA720B">
        <w:rPr>
          <w:rFonts w:ascii="Calibri" w:hAnsi="Calibri"/>
          <w:b/>
          <w:bCs/>
          <w:rtl/>
        </w:rPr>
        <w:t xml:space="preserve"> </w:t>
      </w:r>
      <w:r w:rsidRPr="00AA720B">
        <w:rPr>
          <w:rFonts w:ascii="Calibri" w:hAnsi="Calibri" w:hint="eastAsia"/>
          <w:b/>
          <w:bCs/>
          <w:rtl/>
        </w:rPr>
        <w:t>הסבל</w:t>
      </w:r>
      <w:r w:rsidRPr="00AA720B">
        <w:rPr>
          <w:rFonts w:ascii="Calibri" w:hAnsi="Calibri"/>
          <w:b/>
          <w:bCs/>
          <w:rtl/>
        </w:rPr>
        <w:t xml:space="preserve"> </w:t>
      </w:r>
      <w:r w:rsidRPr="00AA720B">
        <w:rPr>
          <w:rFonts w:ascii="Calibri" w:hAnsi="Calibri" w:hint="eastAsia"/>
          <w:b/>
          <w:bCs/>
          <w:rtl/>
        </w:rPr>
        <w:t>שנגרם</w:t>
      </w:r>
      <w:r w:rsidRPr="00AA720B">
        <w:rPr>
          <w:rFonts w:ascii="Calibri" w:hAnsi="Calibri"/>
          <w:b/>
          <w:bCs/>
          <w:rtl/>
        </w:rPr>
        <w:t xml:space="preserve"> </w:t>
      </w:r>
      <w:r w:rsidRPr="00AA720B">
        <w:rPr>
          <w:rFonts w:ascii="Calibri" w:hAnsi="Calibri" w:hint="eastAsia"/>
          <w:b/>
          <w:bCs/>
          <w:rtl/>
        </w:rPr>
        <w:t>לו</w:t>
      </w:r>
      <w:r w:rsidRPr="00AA720B">
        <w:rPr>
          <w:rFonts w:ascii="Calibri" w:hAnsi="Calibri"/>
          <w:b/>
          <w:bCs/>
          <w:rtl/>
        </w:rPr>
        <w:t>.</w:t>
      </w:r>
    </w:p>
    <w:p w14:paraId="7F81E5A8" w14:textId="77777777" w:rsidR="0037227B" w:rsidRPr="00AA720B" w:rsidRDefault="0037227B" w:rsidP="006D2178">
      <w:pPr>
        <w:widowControl w:val="0"/>
        <w:spacing w:before="240" w:after="240" w:line="360" w:lineRule="auto"/>
        <w:ind w:left="567" w:right="567"/>
        <w:jc w:val="both"/>
        <w:rPr>
          <w:rFonts w:ascii="Calibri" w:hAnsi="Calibri"/>
          <w:b/>
          <w:bCs/>
          <w:rtl/>
        </w:rPr>
      </w:pPr>
      <w:r w:rsidRPr="00AA720B">
        <w:rPr>
          <w:rFonts w:ascii="Calibri" w:hAnsi="Calibri"/>
          <w:b/>
          <w:bCs/>
          <w:rtl/>
        </w:rPr>
        <w:t>(</w:t>
      </w:r>
      <w:r w:rsidRPr="00AA720B">
        <w:rPr>
          <w:rFonts w:ascii="Calibri" w:hAnsi="Calibri" w:hint="eastAsia"/>
          <w:b/>
          <w:bCs/>
          <w:rtl/>
        </w:rPr>
        <w:t>ב</w:t>
      </w:r>
      <w:r w:rsidRPr="00AA720B">
        <w:rPr>
          <w:rFonts w:ascii="Calibri" w:hAnsi="Calibri"/>
          <w:b/>
          <w:bCs/>
          <w:rtl/>
        </w:rPr>
        <w:t xml:space="preserve">)  </w:t>
      </w:r>
      <w:r w:rsidRPr="00AA720B">
        <w:rPr>
          <w:rFonts w:ascii="Calibri" w:hAnsi="Calibri" w:hint="eastAsia"/>
          <w:b/>
          <w:bCs/>
          <w:rtl/>
        </w:rPr>
        <w:t>קביעת</w:t>
      </w:r>
      <w:r w:rsidRPr="00AA720B">
        <w:rPr>
          <w:rFonts w:ascii="Calibri" w:hAnsi="Calibri"/>
          <w:b/>
          <w:bCs/>
          <w:rtl/>
        </w:rPr>
        <w:t xml:space="preserve"> </w:t>
      </w:r>
      <w:r w:rsidRPr="00AA720B">
        <w:rPr>
          <w:rFonts w:ascii="Calibri" w:hAnsi="Calibri" w:hint="eastAsia"/>
          <w:b/>
          <w:bCs/>
          <w:rtl/>
        </w:rPr>
        <w:t>הפיצויים</w:t>
      </w:r>
      <w:r w:rsidRPr="00AA720B">
        <w:rPr>
          <w:rFonts w:ascii="Calibri" w:hAnsi="Calibri"/>
          <w:b/>
          <w:bCs/>
          <w:rtl/>
        </w:rPr>
        <w:t xml:space="preserve"> </w:t>
      </w:r>
      <w:r w:rsidRPr="00AA720B">
        <w:rPr>
          <w:rFonts w:ascii="Calibri" w:hAnsi="Calibri" w:hint="eastAsia"/>
          <w:b/>
          <w:bCs/>
          <w:rtl/>
        </w:rPr>
        <w:t>לפי</w:t>
      </w:r>
      <w:r w:rsidRPr="00AA720B">
        <w:rPr>
          <w:rFonts w:ascii="Calibri" w:hAnsi="Calibri"/>
          <w:b/>
          <w:bCs/>
          <w:rtl/>
        </w:rPr>
        <w:t xml:space="preserve"> </w:t>
      </w:r>
      <w:r w:rsidRPr="00AA720B">
        <w:rPr>
          <w:rFonts w:ascii="Calibri" w:hAnsi="Calibri" w:hint="eastAsia"/>
          <w:b/>
          <w:bCs/>
          <w:rtl/>
        </w:rPr>
        <w:t>סעיף</w:t>
      </w:r>
      <w:r w:rsidRPr="00AA720B">
        <w:rPr>
          <w:rFonts w:ascii="Calibri" w:hAnsi="Calibri"/>
          <w:b/>
          <w:bCs/>
          <w:rtl/>
        </w:rPr>
        <w:t xml:space="preserve"> </w:t>
      </w:r>
      <w:r w:rsidRPr="00AA720B">
        <w:rPr>
          <w:rFonts w:ascii="Calibri" w:hAnsi="Calibri" w:hint="eastAsia"/>
          <w:b/>
          <w:bCs/>
          <w:rtl/>
        </w:rPr>
        <w:t>זה</w:t>
      </w:r>
      <w:r w:rsidRPr="00AA720B">
        <w:rPr>
          <w:rFonts w:ascii="Calibri" w:hAnsi="Calibri"/>
          <w:b/>
          <w:bCs/>
          <w:rtl/>
        </w:rPr>
        <w:t xml:space="preserve"> </w:t>
      </w:r>
      <w:r w:rsidRPr="00AA720B">
        <w:rPr>
          <w:rFonts w:ascii="Calibri" w:hAnsi="Calibri" w:hint="eastAsia"/>
          <w:b/>
          <w:bCs/>
          <w:rtl/>
        </w:rPr>
        <w:t>תהא</w:t>
      </w:r>
      <w:r w:rsidRPr="00AA720B">
        <w:rPr>
          <w:rFonts w:ascii="Calibri" w:hAnsi="Calibri"/>
          <w:b/>
          <w:bCs/>
          <w:rtl/>
        </w:rPr>
        <w:t xml:space="preserve"> </w:t>
      </w:r>
      <w:r w:rsidRPr="00AA720B">
        <w:rPr>
          <w:rFonts w:ascii="Calibri" w:hAnsi="Calibri" w:hint="eastAsia"/>
          <w:b/>
          <w:bCs/>
          <w:rtl/>
        </w:rPr>
        <w:t>לפי</w:t>
      </w:r>
      <w:r w:rsidRPr="00AA720B">
        <w:rPr>
          <w:rFonts w:ascii="Calibri" w:hAnsi="Calibri"/>
          <w:b/>
          <w:bCs/>
          <w:rtl/>
        </w:rPr>
        <w:t xml:space="preserve"> </w:t>
      </w:r>
      <w:r w:rsidRPr="00AA720B">
        <w:rPr>
          <w:rFonts w:ascii="Calibri" w:hAnsi="Calibri" w:hint="eastAsia"/>
          <w:b/>
          <w:bCs/>
          <w:rtl/>
        </w:rPr>
        <w:t>ערך</w:t>
      </w:r>
      <w:r w:rsidRPr="00AA720B">
        <w:rPr>
          <w:rFonts w:ascii="Calibri" w:hAnsi="Calibri"/>
          <w:b/>
          <w:bCs/>
          <w:rtl/>
        </w:rPr>
        <w:t xml:space="preserve"> </w:t>
      </w:r>
      <w:r w:rsidRPr="00AA720B">
        <w:rPr>
          <w:rFonts w:ascii="Calibri" w:hAnsi="Calibri" w:hint="eastAsia"/>
          <w:b/>
          <w:bCs/>
          <w:rtl/>
        </w:rPr>
        <w:t>הנזק</w:t>
      </w:r>
      <w:r w:rsidRPr="00AA720B">
        <w:rPr>
          <w:rFonts w:ascii="Calibri" w:hAnsi="Calibri"/>
          <w:b/>
          <w:bCs/>
          <w:rtl/>
        </w:rPr>
        <w:t xml:space="preserve"> </w:t>
      </w:r>
      <w:r w:rsidRPr="00AA720B">
        <w:rPr>
          <w:rFonts w:ascii="Calibri" w:hAnsi="Calibri" w:hint="eastAsia"/>
          <w:b/>
          <w:bCs/>
          <w:rtl/>
        </w:rPr>
        <w:t>או</w:t>
      </w:r>
      <w:r w:rsidRPr="00AA720B">
        <w:rPr>
          <w:rFonts w:ascii="Calibri" w:hAnsi="Calibri"/>
          <w:b/>
          <w:bCs/>
          <w:rtl/>
        </w:rPr>
        <w:t xml:space="preserve"> </w:t>
      </w:r>
      <w:r w:rsidRPr="00AA720B">
        <w:rPr>
          <w:rFonts w:ascii="Calibri" w:hAnsi="Calibri" w:hint="eastAsia"/>
          <w:b/>
          <w:bCs/>
          <w:rtl/>
        </w:rPr>
        <w:t>הסבל</w:t>
      </w:r>
      <w:r w:rsidRPr="00AA720B">
        <w:rPr>
          <w:rFonts w:ascii="Calibri" w:hAnsi="Calibri"/>
          <w:b/>
          <w:bCs/>
          <w:rtl/>
        </w:rPr>
        <w:t xml:space="preserve"> </w:t>
      </w:r>
      <w:r w:rsidRPr="00AA720B">
        <w:rPr>
          <w:rFonts w:ascii="Calibri" w:hAnsi="Calibri" w:hint="eastAsia"/>
          <w:b/>
          <w:bCs/>
          <w:rtl/>
        </w:rPr>
        <w:t>שנגרמו</w:t>
      </w:r>
      <w:r w:rsidRPr="00AA720B">
        <w:rPr>
          <w:rFonts w:ascii="Calibri" w:hAnsi="Calibri"/>
          <w:b/>
          <w:bCs/>
          <w:rtl/>
        </w:rPr>
        <w:t xml:space="preserve">, </w:t>
      </w:r>
      <w:r w:rsidRPr="00AA720B">
        <w:rPr>
          <w:rFonts w:ascii="Calibri" w:hAnsi="Calibri" w:hint="eastAsia"/>
          <w:b/>
          <w:bCs/>
          <w:rtl/>
        </w:rPr>
        <w:t>ביום</w:t>
      </w:r>
      <w:r w:rsidRPr="00AA720B">
        <w:rPr>
          <w:rFonts w:ascii="Calibri" w:hAnsi="Calibri"/>
          <w:b/>
          <w:bCs/>
          <w:rtl/>
        </w:rPr>
        <w:t xml:space="preserve"> </w:t>
      </w:r>
      <w:r w:rsidRPr="00AA720B">
        <w:rPr>
          <w:rFonts w:ascii="Calibri" w:hAnsi="Calibri" w:hint="eastAsia"/>
          <w:b/>
          <w:bCs/>
          <w:rtl/>
        </w:rPr>
        <w:t>ביצוע</w:t>
      </w:r>
      <w:r w:rsidRPr="00AA720B">
        <w:rPr>
          <w:rFonts w:ascii="Calibri" w:hAnsi="Calibri"/>
          <w:b/>
          <w:bCs/>
          <w:rtl/>
        </w:rPr>
        <w:t xml:space="preserve"> </w:t>
      </w:r>
      <w:r w:rsidRPr="00AA720B">
        <w:rPr>
          <w:rFonts w:ascii="Calibri" w:hAnsi="Calibri" w:hint="eastAsia"/>
          <w:b/>
          <w:bCs/>
          <w:rtl/>
        </w:rPr>
        <w:t>העבירה</w:t>
      </w:r>
      <w:r w:rsidRPr="00AA720B">
        <w:rPr>
          <w:rFonts w:ascii="Calibri" w:hAnsi="Calibri"/>
          <w:b/>
          <w:bCs/>
          <w:rtl/>
        </w:rPr>
        <w:t xml:space="preserve"> </w:t>
      </w:r>
      <w:r w:rsidRPr="00AA720B">
        <w:rPr>
          <w:rFonts w:ascii="Calibri" w:hAnsi="Calibri" w:hint="eastAsia"/>
          <w:b/>
          <w:bCs/>
          <w:rtl/>
        </w:rPr>
        <w:t>או</w:t>
      </w:r>
      <w:r w:rsidRPr="00AA720B">
        <w:rPr>
          <w:rFonts w:ascii="Calibri" w:hAnsi="Calibri"/>
          <w:b/>
          <w:bCs/>
          <w:rtl/>
        </w:rPr>
        <w:t xml:space="preserve"> </w:t>
      </w:r>
      <w:r w:rsidRPr="00AA720B">
        <w:rPr>
          <w:rFonts w:ascii="Calibri" w:hAnsi="Calibri" w:hint="eastAsia"/>
          <w:b/>
          <w:bCs/>
          <w:rtl/>
        </w:rPr>
        <w:t>ביום</w:t>
      </w:r>
      <w:r w:rsidRPr="00AA720B">
        <w:rPr>
          <w:rFonts w:ascii="Calibri" w:hAnsi="Calibri"/>
          <w:b/>
          <w:bCs/>
          <w:rtl/>
        </w:rPr>
        <w:t xml:space="preserve"> </w:t>
      </w:r>
      <w:r w:rsidRPr="00AA720B">
        <w:rPr>
          <w:rFonts w:ascii="Calibri" w:hAnsi="Calibri" w:hint="eastAsia"/>
          <w:b/>
          <w:bCs/>
          <w:rtl/>
        </w:rPr>
        <w:t>מתן</w:t>
      </w:r>
      <w:r w:rsidRPr="00AA720B">
        <w:rPr>
          <w:rFonts w:ascii="Calibri" w:hAnsi="Calibri"/>
          <w:b/>
          <w:bCs/>
          <w:rtl/>
        </w:rPr>
        <w:t xml:space="preserve"> </w:t>
      </w:r>
      <w:r w:rsidRPr="00AA720B">
        <w:rPr>
          <w:rFonts w:ascii="Calibri" w:hAnsi="Calibri" w:hint="eastAsia"/>
          <w:b/>
          <w:bCs/>
          <w:rtl/>
        </w:rPr>
        <w:t>ההחלטה</w:t>
      </w:r>
      <w:r w:rsidRPr="00AA720B">
        <w:rPr>
          <w:rFonts w:ascii="Calibri" w:hAnsi="Calibri"/>
          <w:b/>
          <w:bCs/>
          <w:rtl/>
        </w:rPr>
        <w:t xml:space="preserve"> </w:t>
      </w:r>
      <w:r w:rsidRPr="00AA720B">
        <w:rPr>
          <w:rFonts w:ascii="Calibri" w:hAnsi="Calibri" w:hint="eastAsia"/>
          <w:b/>
          <w:bCs/>
          <w:rtl/>
        </w:rPr>
        <w:t>על</w:t>
      </w:r>
      <w:r w:rsidRPr="00AA720B">
        <w:rPr>
          <w:rFonts w:ascii="Calibri" w:hAnsi="Calibri"/>
          <w:b/>
          <w:bCs/>
          <w:rtl/>
        </w:rPr>
        <w:t xml:space="preserve"> </w:t>
      </w:r>
      <w:r w:rsidRPr="00AA720B">
        <w:rPr>
          <w:rFonts w:ascii="Calibri" w:hAnsi="Calibri" w:hint="eastAsia"/>
          <w:b/>
          <w:bCs/>
          <w:rtl/>
        </w:rPr>
        <w:t>הפיצויים</w:t>
      </w:r>
      <w:r w:rsidRPr="00AA720B">
        <w:rPr>
          <w:rFonts w:ascii="Calibri" w:hAnsi="Calibri"/>
          <w:b/>
          <w:bCs/>
          <w:rtl/>
        </w:rPr>
        <w:t xml:space="preserve">, </w:t>
      </w:r>
      <w:r w:rsidRPr="00AA720B">
        <w:rPr>
          <w:rFonts w:ascii="Calibri" w:hAnsi="Calibri" w:hint="eastAsia"/>
          <w:b/>
          <w:bCs/>
          <w:rtl/>
        </w:rPr>
        <w:t>הכל</w:t>
      </w:r>
      <w:r w:rsidRPr="00AA720B">
        <w:rPr>
          <w:rFonts w:ascii="Calibri" w:hAnsi="Calibri"/>
          <w:b/>
          <w:bCs/>
          <w:rtl/>
        </w:rPr>
        <w:t xml:space="preserve"> </w:t>
      </w:r>
      <w:r w:rsidRPr="00AA720B">
        <w:rPr>
          <w:rFonts w:ascii="Calibri" w:hAnsi="Calibri" w:hint="eastAsia"/>
          <w:b/>
          <w:bCs/>
          <w:rtl/>
        </w:rPr>
        <w:t>לפי</w:t>
      </w:r>
      <w:r w:rsidRPr="00AA720B">
        <w:rPr>
          <w:rFonts w:ascii="Calibri" w:hAnsi="Calibri"/>
          <w:b/>
          <w:bCs/>
          <w:rtl/>
        </w:rPr>
        <w:t xml:space="preserve"> </w:t>
      </w:r>
      <w:r w:rsidRPr="00AA720B">
        <w:rPr>
          <w:rFonts w:ascii="Calibri" w:hAnsi="Calibri" w:hint="eastAsia"/>
          <w:b/>
          <w:bCs/>
          <w:rtl/>
        </w:rPr>
        <w:t>הגדול</w:t>
      </w:r>
      <w:r w:rsidRPr="00AA720B">
        <w:rPr>
          <w:rFonts w:ascii="Calibri" w:hAnsi="Calibri"/>
          <w:b/>
          <w:bCs/>
          <w:rtl/>
        </w:rPr>
        <w:t xml:space="preserve"> </w:t>
      </w:r>
      <w:r w:rsidRPr="00AA720B">
        <w:rPr>
          <w:rFonts w:ascii="Calibri" w:hAnsi="Calibri" w:hint="eastAsia"/>
          <w:b/>
          <w:bCs/>
          <w:rtl/>
        </w:rPr>
        <w:t>יותר</w:t>
      </w:r>
      <w:r w:rsidRPr="00AA720B">
        <w:rPr>
          <w:rFonts w:ascii="Calibri" w:hAnsi="Calibri"/>
          <w:b/>
          <w:bCs/>
          <w:rtl/>
        </w:rPr>
        <w:t>.</w:t>
      </w:r>
    </w:p>
    <w:p w14:paraId="35546162" w14:textId="77777777" w:rsidR="0037227B" w:rsidRPr="00AA720B" w:rsidRDefault="0037227B" w:rsidP="006D2178">
      <w:pPr>
        <w:widowControl w:val="0"/>
        <w:spacing w:before="240" w:after="240" w:line="360" w:lineRule="auto"/>
        <w:jc w:val="both"/>
        <w:rPr>
          <w:rFonts w:ascii="Calibri" w:hAnsi="Calibri"/>
          <w:rtl/>
        </w:rPr>
      </w:pPr>
      <w:r w:rsidRPr="00AA720B">
        <w:rPr>
          <w:rFonts w:ascii="Calibri" w:hAnsi="Calibri" w:hint="eastAsia"/>
          <w:rtl/>
        </w:rPr>
        <w:t>בעניין</w:t>
      </w:r>
      <w:r w:rsidRPr="00AA720B">
        <w:rPr>
          <w:rFonts w:ascii="Calibri" w:hAnsi="Calibri"/>
          <w:rtl/>
        </w:rPr>
        <w:t xml:space="preserve"> </w:t>
      </w:r>
      <w:hyperlink r:id="rId72" w:history="1">
        <w:r w:rsidR="00190E23" w:rsidRPr="00190E23">
          <w:rPr>
            <w:rFonts w:ascii="Calibri" w:hAnsi="Calibri" w:hint="eastAsia"/>
            <w:color w:val="0000FF"/>
            <w:u w:val="single"/>
            <w:rtl/>
          </w:rPr>
          <w:t>דנ</w:t>
        </w:r>
        <w:r w:rsidR="00190E23" w:rsidRPr="00190E23">
          <w:rPr>
            <w:rFonts w:ascii="Calibri" w:hAnsi="Calibri"/>
            <w:color w:val="0000FF"/>
            <w:u w:val="single"/>
            <w:rtl/>
          </w:rPr>
          <w:t>"</w:t>
        </w:r>
        <w:r w:rsidR="00190E23" w:rsidRPr="00190E23">
          <w:rPr>
            <w:rFonts w:ascii="Calibri" w:hAnsi="Calibri" w:hint="eastAsia"/>
            <w:color w:val="0000FF"/>
            <w:u w:val="single"/>
            <w:rtl/>
          </w:rPr>
          <w:t>פ</w:t>
        </w:r>
        <w:r w:rsidR="00190E23" w:rsidRPr="00190E23">
          <w:rPr>
            <w:rFonts w:ascii="Calibri" w:hAnsi="Calibri"/>
            <w:color w:val="0000FF"/>
            <w:u w:val="single"/>
            <w:rtl/>
          </w:rPr>
          <w:t xml:space="preserve"> 5625/16</w:t>
        </w:r>
      </w:hyperlink>
      <w:r w:rsidRPr="00AA720B">
        <w:rPr>
          <w:rFonts w:ascii="Calibri" w:hAnsi="Calibri"/>
          <w:rtl/>
        </w:rPr>
        <w:t xml:space="preserve"> </w:t>
      </w:r>
      <w:r w:rsidRPr="00AA720B">
        <w:rPr>
          <w:rFonts w:ascii="Calibri" w:hAnsi="Calibri" w:hint="eastAsia"/>
          <w:b/>
          <w:bCs/>
          <w:rtl/>
        </w:rPr>
        <w:t>אסרף</w:t>
      </w:r>
      <w:r w:rsidRPr="00AA720B">
        <w:rPr>
          <w:rFonts w:ascii="Calibri" w:hAnsi="Calibri"/>
          <w:b/>
          <w:bCs/>
          <w:rtl/>
        </w:rPr>
        <w:t xml:space="preserve"> </w:t>
      </w:r>
      <w:r w:rsidRPr="00AA720B">
        <w:rPr>
          <w:rFonts w:ascii="Calibri" w:hAnsi="Calibri" w:hint="eastAsia"/>
          <w:b/>
          <w:bCs/>
          <w:rtl/>
        </w:rPr>
        <w:t>קארין</w:t>
      </w:r>
      <w:r w:rsidRPr="00AA720B">
        <w:rPr>
          <w:rFonts w:ascii="Calibri" w:hAnsi="Calibri"/>
          <w:b/>
          <w:bCs/>
          <w:rtl/>
        </w:rPr>
        <w:t xml:space="preserve"> </w:t>
      </w:r>
      <w:r w:rsidRPr="00AA720B">
        <w:rPr>
          <w:rFonts w:ascii="Calibri" w:hAnsi="Calibri" w:hint="eastAsia"/>
          <w:b/>
          <w:bCs/>
          <w:rtl/>
        </w:rPr>
        <w:t>נ</w:t>
      </w:r>
      <w:r w:rsidRPr="00AA720B">
        <w:rPr>
          <w:rFonts w:ascii="Calibri" w:hAnsi="Calibri"/>
          <w:b/>
          <w:bCs/>
          <w:rtl/>
        </w:rPr>
        <w:t xml:space="preserve">' </w:t>
      </w:r>
      <w:r w:rsidRPr="00AA720B">
        <w:rPr>
          <w:rFonts w:ascii="Calibri" w:hAnsi="Calibri" w:hint="eastAsia"/>
          <w:b/>
          <w:bCs/>
          <w:rtl/>
        </w:rPr>
        <w:t>אבנר</w:t>
      </w:r>
      <w:r w:rsidRPr="00AA720B">
        <w:rPr>
          <w:rFonts w:ascii="Calibri" w:hAnsi="Calibri"/>
          <w:b/>
          <w:bCs/>
          <w:rtl/>
        </w:rPr>
        <w:t xml:space="preserve"> </w:t>
      </w:r>
      <w:r w:rsidRPr="00AA720B">
        <w:rPr>
          <w:rFonts w:ascii="Calibri" w:hAnsi="Calibri" w:hint="eastAsia"/>
          <w:b/>
          <w:bCs/>
          <w:rtl/>
        </w:rPr>
        <w:t>טווק</w:t>
      </w:r>
      <w:r w:rsidRPr="00AA720B">
        <w:rPr>
          <w:rFonts w:ascii="Calibri" w:hAnsi="Calibri"/>
          <w:b/>
          <w:bCs/>
          <w:rtl/>
        </w:rPr>
        <w:t xml:space="preserve"> </w:t>
      </w:r>
      <w:r w:rsidRPr="00AA720B">
        <w:rPr>
          <w:rFonts w:ascii="Calibri" w:hAnsi="Calibri" w:hint="eastAsia"/>
          <w:b/>
          <w:bCs/>
          <w:rtl/>
        </w:rPr>
        <w:t>בוקובזה</w:t>
      </w:r>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rtl/>
        </w:rPr>
        <w:t>(13.9.2017) (</w:t>
      </w:r>
      <w:r w:rsidRPr="00AA720B">
        <w:rPr>
          <w:rFonts w:ascii="Calibri" w:hAnsi="Calibri" w:hint="eastAsia"/>
          <w:rtl/>
        </w:rPr>
        <w:t>להלן</w:t>
      </w:r>
      <w:r w:rsidRPr="00AA720B">
        <w:rPr>
          <w:rFonts w:ascii="Calibri" w:hAnsi="Calibri"/>
          <w:rtl/>
        </w:rPr>
        <w:t>: "</w:t>
      </w:r>
      <w:r w:rsidRPr="00AA720B">
        <w:rPr>
          <w:rFonts w:ascii="Calibri" w:hAnsi="Calibri" w:hint="eastAsia"/>
          <w:b/>
          <w:bCs/>
          <w:rtl/>
        </w:rPr>
        <w:t>הלכת</w:t>
      </w:r>
      <w:r w:rsidRPr="00AA720B">
        <w:rPr>
          <w:rFonts w:ascii="Calibri" w:hAnsi="Calibri"/>
          <w:b/>
          <w:bCs/>
          <w:rtl/>
        </w:rPr>
        <w:t xml:space="preserve"> </w:t>
      </w:r>
      <w:r w:rsidRPr="00AA720B">
        <w:rPr>
          <w:rFonts w:ascii="Calibri" w:hAnsi="Calibri" w:hint="eastAsia"/>
          <w:b/>
          <w:bCs/>
          <w:rtl/>
        </w:rPr>
        <w:t>טווק</w:t>
      </w:r>
      <w:r w:rsidRPr="00AA720B">
        <w:rPr>
          <w:rFonts w:ascii="Calibri" w:hAnsi="Calibri"/>
          <w:rtl/>
        </w:rPr>
        <w:t xml:space="preserve">")  </w:t>
      </w:r>
      <w:r w:rsidRPr="00AA720B">
        <w:rPr>
          <w:rFonts w:ascii="Calibri" w:hAnsi="Calibri" w:hint="eastAsia"/>
          <w:rtl/>
        </w:rPr>
        <w:t>קבע</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בדעת</w:t>
      </w:r>
      <w:r w:rsidRPr="00AA720B">
        <w:rPr>
          <w:rFonts w:ascii="Calibri" w:hAnsi="Calibri"/>
          <w:rtl/>
        </w:rPr>
        <w:t xml:space="preserve"> </w:t>
      </w:r>
      <w:r w:rsidRPr="00AA720B">
        <w:rPr>
          <w:rFonts w:ascii="Calibri" w:hAnsi="Calibri" w:hint="eastAsia"/>
          <w:rtl/>
        </w:rPr>
        <w:t>רוב</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סכום</w:t>
      </w:r>
      <w:r w:rsidRPr="00AA720B">
        <w:rPr>
          <w:rFonts w:ascii="Calibri" w:hAnsi="Calibri"/>
          <w:rtl/>
        </w:rPr>
        <w:t xml:space="preserve"> </w:t>
      </w:r>
      <w:r w:rsidRPr="00AA720B">
        <w:rPr>
          <w:rFonts w:ascii="Calibri" w:hAnsi="Calibri" w:hint="eastAsia"/>
          <w:rtl/>
        </w:rPr>
        <w:t>הפיצוי</w:t>
      </w:r>
      <w:r w:rsidRPr="00AA720B">
        <w:rPr>
          <w:rFonts w:ascii="Calibri" w:hAnsi="Calibri"/>
          <w:rtl/>
        </w:rPr>
        <w:t xml:space="preserve"> </w:t>
      </w:r>
      <w:r w:rsidRPr="00AA720B">
        <w:rPr>
          <w:rFonts w:ascii="Calibri" w:hAnsi="Calibri" w:hint="eastAsia"/>
          <w:rtl/>
        </w:rPr>
        <w:t>הכולל</w:t>
      </w:r>
      <w:r w:rsidRPr="00AA720B">
        <w:rPr>
          <w:rFonts w:ascii="Calibri" w:hAnsi="Calibri"/>
          <w:rtl/>
        </w:rPr>
        <w:t xml:space="preserve"> </w:t>
      </w:r>
      <w:r w:rsidRPr="00AA720B">
        <w:rPr>
          <w:rFonts w:ascii="Calibri" w:hAnsi="Calibri" w:hint="eastAsia"/>
          <w:rtl/>
        </w:rPr>
        <w:t>שניזוקים</w:t>
      </w:r>
      <w:r w:rsidRPr="00AA720B">
        <w:rPr>
          <w:rFonts w:ascii="Calibri" w:hAnsi="Calibri"/>
          <w:rtl/>
        </w:rPr>
        <w:t xml:space="preserve"> </w:t>
      </w:r>
      <w:r w:rsidRPr="00AA720B">
        <w:rPr>
          <w:rFonts w:ascii="Calibri" w:hAnsi="Calibri" w:hint="eastAsia"/>
          <w:rtl/>
        </w:rPr>
        <w:t>זכאים</w:t>
      </w:r>
      <w:r w:rsidRPr="00AA720B">
        <w:rPr>
          <w:rFonts w:ascii="Calibri" w:hAnsi="Calibri"/>
          <w:rtl/>
        </w:rPr>
        <w:t xml:space="preserve"> </w:t>
      </w:r>
      <w:r w:rsidRPr="00AA720B">
        <w:rPr>
          <w:rFonts w:ascii="Calibri" w:hAnsi="Calibri" w:hint="eastAsia"/>
          <w:rtl/>
        </w:rPr>
        <w:t>לקבל</w:t>
      </w:r>
      <w:r w:rsidRPr="00AA720B">
        <w:rPr>
          <w:rFonts w:ascii="Calibri" w:hAnsi="Calibri"/>
          <w:rtl/>
        </w:rPr>
        <w:t xml:space="preserve"> </w:t>
      </w:r>
      <w:r w:rsidRPr="00AA720B">
        <w:rPr>
          <w:rFonts w:ascii="Calibri" w:hAnsi="Calibri" w:hint="eastAsia"/>
          <w:rtl/>
        </w:rPr>
        <w:t>יחד</w:t>
      </w:r>
      <w:r w:rsidRPr="00AA720B">
        <w:rPr>
          <w:rFonts w:ascii="Calibri" w:hAnsi="Calibri"/>
          <w:rtl/>
        </w:rPr>
        <w:t xml:space="preserve"> </w:t>
      </w:r>
      <w:r w:rsidRPr="00AA720B">
        <w:rPr>
          <w:rFonts w:ascii="Calibri" w:hAnsi="Calibri" w:hint="eastAsia"/>
          <w:rtl/>
        </w:rPr>
        <w:t>מנאשם</w:t>
      </w:r>
      <w:r w:rsidRPr="00AA720B">
        <w:rPr>
          <w:rFonts w:ascii="Calibri" w:hAnsi="Calibri"/>
          <w:rtl/>
        </w:rPr>
        <w:t xml:space="preserve"> </w:t>
      </w:r>
      <w:r w:rsidRPr="00AA720B">
        <w:rPr>
          <w:rFonts w:ascii="Calibri" w:hAnsi="Calibri" w:hint="eastAsia"/>
          <w:rtl/>
        </w:rPr>
        <w:t>לא</w:t>
      </w:r>
      <w:r w:rsidRPr="00AA720B">
        <w:rPr>
          <w:rFonts w:ascii="Calibri" w:hAnsi="Calibri"/>
          <w:rtl/>
        </w:rPr>
        <w:t xml:space="preserve"> </w:t>
      </w:r>
      <w:r w:rsidRPr="00AA720B">
        <w:rPr>
          <w:rFonts w:ascii="Calibri" w:hAnsi="Calibri" w:hint="eastAsia"/>
          <w:rtl/>
        </w:rPr>
        <w:t>יעלה</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התקרה</w:t>
      </w:r>
      <w:r w:rsidRPr="00AA720B">
        <w:rPr>
          <w:rFonts w:ascii="Calibri" w:hAnsi="Calibri"/>
          <w:rtl/>
        </w:rPr>
        <w:t xml:space="preserve"> </w:t>
      </w:r>
      <w:r w:rsidRPr="00AA720B">
        <w:rPr>
          <w:rFonts w:ascii="Calibri" w:hAnsi="Calibri" w:hint="eastAsia"/>
          <w:rtl/>
        </w:rPr>
        <w:t>המקסימלית</w:t>
      </w:r>
      <w:r w:rsidRPr="00AA720B">
        <w:rPr>
          <w:rFonts w:ascii="Calibri" w:hAnsi="Calibri"/>
          <w:rtl/>
        </w:rPr>
        <w:t xml:space="preserve"> </w:t>
      </w:r>
      <w:r w:rsidRPr="00AA720B">
        <w:rPr>
          <w:rFonts w:ascii="Calibri" w:hAnsi="Calibri" w:hint="eastAsia"/>
          <w:rtl/>
        </w:rPr>
        <w:t>הקבועה</w:t>
      </w:r>
      <w:r w:rsidRPr="00AA720B">
        <w:rPr>
          <w:rFonts w:ascii="Calibri" w:hAnsi="Calibri"/>
          <w:rtl/>
        </w:rPr>
        <w:t xml:space="preserve"> </w:t>
      </w:r>
      <w:r w:rsidRPr="00AA720B">
        <w:rPr>
          <w:rFonts w:ascii="Calibri" w:hAnsi="Calibri" w:hint="eastAsia"/>
          <w:rtl/>
        </w:rPr>
        <w:t>בחוק</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דן</w:t>
      </w:r>
      <w:r w:rsidRPr="00AA720B">
        <w:rPr>
          <w:rFonts w:ascii="Calibri" w:hAnsi="Calibri"/>
          <w:rtl/>
        </w:rPr>
        <w:t xml:space="preserve"> </w:t>
      </w:r>
      <w:r w:rsidRPr="00AA720B">
        <w:rPr>
          <w:rFonts w:ascii="Calibri" w:hAnsi="Calibri" w:hint="eastAsia"/>
          <w:rtl/>
        </w:rPr>
        <w:t>שוב</w:t>
      </w:r>
      <w:r w:rsidRPr="00AA720B">
        <w:rPr>
          <w:rFonts w:ascii="Calibri" w:hAnsi="Calibri"/>
          <w:rtl/>
        </w:rPr>
        <w:t xml:space="preserve"> </w:t>
      </w:r>
      <w:r w:rsidRPr="00AA720B">
        <w:rPr>
          <w:rFonts w:ascii="Calibri" w:hAnsi="Calibri" w:hint="eastAsia"/>
          <w:rtl/>
        </w:rPr>
        <w:t>בשאלת</w:t>
      </w:r>
      <w:r w:rsidRPr="00AA720B">
        <w:rPr>
          <w:rFonts w:ascii="Calibri" w:hAnsi="Calibri"/>
          <w:rtl/>
        </w:rPr>
        <w:t xml:space="preserve"> </w:t>
      </w:r>
      <w:r w:rsidRPr="00AA720B">
        <w:rPr>
          <w:rFonts w:ascii="Calibri" w:hAnsi="Calibri" w:hint="eastAsia"/>
          <w:rtl/>
        </w:rPr>
        <w:t>הפיצוי</w:t>
      </w:r>
      <w:r w:rsidRPr="00AA720B">
        <w:rPr>
          <w:rFonts w:ascii="Calibri" w:hAnsi="Calibri"/>
          <w:rtl/>
        </w:rPr>
        <w:t xml:space="preserve"> </w:t>
      </w:r>
      <w:r w:rsidRPr="00AA720B">
        <w:rPr>
          <w:rFonts w:ascii="Calibri" w:hAnsi="Calibri" w:hint="eastAsia"/>
          <w:rtl/>
        </w:rPr>
        <w:t>המקסימלי</w:t>
      </w:r>
      <w:r w:rsidRPr="00AA720B">
        <w:rPr>
          <w:rFonts w:ascii="Calibri" w:hAnsi="Calibri"/>
          <w:rtl/>
        </w:rPr>
        <w:t xml:space="preserve"> </w:t>
      </w:r>
      <w:r w:rsidRPr="00AA720B">
        <w:rPr>
          <w:rFonts w:ascii="Calibri" w:hAnsi="Calibri" w:hint="eastAsia"/>
          <w:rtl/>
        </w:rPr>
        <w:t>בעניין</w:t>
      </w:r>
      <w:r w:rsidRPr="00AA720B">
        <w:rPr>
          <w:rFonts w:ascii="Calibri" w:hAnsi="Calibri"/>
          <w:rtl/>
        </w:rPr>
        <w:t xml:space="preserve"> </w:t>
      </w:r>
      <w:r w:rsidRPr="00AA720B">
        <w:rPr>
          <w:rFonts w:ascii="Calibri" w:hAnsi="Calibri" w:hint="eastAsia"/>
          <w:rtl/>
        </w:rPr>
        <w:t>אחר</w:t>
      </w:r>
      <w:r w:rsidRPr="00AA720B">
        <w:rPr>
          <w:rFonts w:ascii="Calibri" w:hAnsi="Calibri"/>
          <w:rtl/>
        </w:rPr>
        <w:t xml:space="preserve"> </w:t>
      </w:r>
      <w:r w:rsidRPr="00AA720B">
        <w:rPr>
          <w:rFonts w:ascii="Calibri" w:hAnsi="Calibri" w:hint="eastAsia"/>
          <w:rtl/>
        </w:rPr>
        <w:t>מאוחר</w:t>
      </w:r>
      <w:r w:rsidRPr="00AA720B">
        <w:rPr>
          <w:rFonts w:ascii="Calibri" w:hAnsi="Calibri"/>
          <w:rtl/>
        </w:rPr>
        <w:t xml:space="preserve"> </w:t>
      </w:r>
      <w:r w:rsidRPr="00AA720B">
        <w:rPr>
          <w:rFonts w:ascii="Calibri" w:hAnsi="Calibri" w:hint="eastAsia"/>
          <w:rtl/>
        </w:rPr>
        <w:t>יותר</w:t>
      </w:r>
      <w:r w:rsidRPr="00AA720B">
        <w:rPr>
          <w:rFonts w:ascii="Calibri" w:hAnsi="Calibri"/>
          <w:rtl/>
        </w:rPr>
        <w:t xml:space="preserve"> – </w:t>
      </w:r>
      <w:hyperlink r:id="rId73" w:history="1">
        <w:r w:rsidR="00190E23" w:rsidRPr="00190E23">
          <w:rPr>
            <w:rFonts w:ascii="Calibri" w:hAnsi="Calibri" w:hint="eastAsia"/>
            <w:color w:val="0000FF"/>
            <w:u w:val="single"/>
            <w:rtl/>
          </w:rPr>
          <w:t>ע</w:t>
        </w:r>
        <w:r w:rsidR="00190E23" w:rsidRPr="00190E23">
          <w:rPr>
            <w:rFonts w:ascii="Calibri" w:hAnsi="Calibri"/>
            <w:color w:val="0000FF"/>
            <w:u w:val="single"/>
            <w:rtl/>
          </w:rPr>
          <w:t>"</w:t>
        </w:r>
        <w:r w:rsidR="00190E23" w:rsidRPr="00190E23">
          <w:rPr>
            <w:rFonts w:ascii="Calibri" w:hAnsi="Calibri" w:hint="eastAsia"/>
            <w:color w:val="0000FF"/>
            <w:u w:val="single"/>
            <w:rtl/>
          </w:rPr>
          <w:t>פ</w:t>
        </w:r>
        <w:r w:rsidR="00190E23" w:rsidRPr="00190E23">
          <w:rPr>
            <w:rFonts w:ascii="Calibri" w:hAnsi="Calibri"/>
            <w:color w:val="0000FF"/>
            <w:u w:val="single"/>
            <w:rtl/>
          </w:rPr>
          <w:t xml:space="preserve"> 8074/16</w:t>
        </w:r>
      </w:hyperlink>
      <w:r w:rsidRPr="00AA720B">
        <w:rPr>
          <w:rFonts w:ascii="Calibri" w:hAnsi="Calibri"/>
          <w:rtl/>
        </w:rPr>
        <w:t xml:space="preserve"> </w:t>
      </w:r>
      <w:r w:rsidRPr="00AA720B">
        <w:rPr>
          <w:rFonts w:ascii="Calibri" w:hAnsi="Calibri" w:hint="eastAsia"/>
          <w:b/>
          <w:bCs/>
          <w:rtl/>
        </w:rPr>
        <w:t>יורי</w:t>
      </w:r>
      <w:r w:rsidRPr="00AA720B">
        <w:rPr>
          <w:rFonts w:ascii="Calibri" w:hAnsi="Calibri"/>
          <w:b/>
          <w:bCs/>
          <w:rtl/>
        </w:rPr>
        <w:t xml:space="preserve"> </w:t>
      </w:r>
      <w:r w:rsidRPr="00AA720B">
        <w:rPr>
          <w:rFonts w:ascii="Calibri" w:hAnsi="Calibri" w:hint="eastAsia"/>
          <w:b/>
          <w:bCs/>
          <w:rtl/>
        </w:rPr>
        <w:t>סוליימנוב</w:t>
      </w:r>
      <w:r w:rsidRPr="00AA720B">
        <w:rPr>
          <w:rFonts w:ascii="Calibri" w:hAnsi="Calibri"/>
          <w:b/>
          <w:bCs/>
          <w:rtl/>
        </w:rPr>
        <w:t xml:space="preserve"> </w:t>
      </w:r>
      <w:r w:rsidRPr="00AA720B">
        <w:rPr>
          <w:rFonts w:ascii="Calibri" w:hAnsi="Calibri" w:hint="eastAsia"/>
          <w:b/>
          <w:bCs/>
          <w:rtl/>
        </w:rPr>
        <w:t>נ</w:t>
      </w:r>
      <w:r w:rsidRPr="00AA720B">
        <w:rPr>
          <w:rFonts w:ascii="Calibri" w:hAnsi="Calibri"/>
          <w:b/>
          <w:bCs/>
          <w:rtl/>
        </w:rPr>
        <w:t xml:space="preserve">' </w:t>
      </w:r>
      <w:r w:rsidRPr="00AA720B">
        <w:rPr>
          <w:rFonts w:ascii="Calibri" w:hAnsi="Calibri" w:hint="eastAsia"/>
          <w:b/>
          <w:bCs/>
          <w:rtl/>
        </w:rPr>
        <w:t>מדינת</w:t>
      </w:r>
      <w:r w:rsidRPr="00AA720B">
        <w:rPr>
          <w:rFonts w:ascii="Calibri" w:hAnsi="Calibri"/>
          <w:b/>
          <w:bCs/>
          <w:rtl/>
        </w:rPr>
        <w:t xml:space="preserve"> </w:t>
      </w:r>
      <w:r w:rsidRPr="00AA720B">
        <w:rPr>
          <w:rFonts w:ascii="Calibri" w:hAnsi="Calibri" w:hint="eastAsia"/>
          <w:b/>
          <w:bCs/>
          <w:rtl/>
        </w:rPr>
        <w:t>ישראל</w:t>
      </w:r>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rtl/>
        </w:rPr>
        <w:t>(2.4.2020) (</w:t>
      </w:r>
      <w:r w:rsidRPr="00AA720B">
        <w:rPr>
          <w:rFonts w:ascii="Calibri" w:hAnsi="Calibri" w:hint="eastAsia"/>
          <w:rtl/>
        </w:rPr>
        <w:t>להלן</w:t>
      </w:r>
      <w:r w:rsidRPr="00AA720B">
        <w:rPr>
          <w:rFonts w:ascii="Calibri" w:hAnsi="Calibri"/>
          <w:rtl/>
        </w:rPr>
        <w:t>: "</w:t>
      </w:r>
      <w:r w:rsidRPr="00AA720B">
        <w:rPr>
          <w:rFonts w:ascii="Calibri" w:hAnsi="Calibri" w:hint="eastAsia"/>
          <w:b/>
          <w:bCs/>
          <w:rtl/>
        </w:rPr>
        <w:t>הלכת</w:t>
      </w:r>
      <w:r w:rsidRPr="00AA720B">
        <w:rPr>
          <w:rFonts w:ascii="Calibri" w:hAnsi="Calibri"/>
          <w:b/>
          <w:bCs/>
          <w:rtl/>
        </w:rPr>
        <w:t xml:space="preserve"> </w:t>
      </w:r>
      <w:r w:rsidRPr="00AA720B">
        <w:rPr>
          <w:rFonts w:ascii="Calibri" w:hAnsi="Calibri" w:hint="eastAsia"/>
          <w:b/>
          <w:bCs/>
          <w:rtl/>
        </w:rPr>
        <w:t>סוליימנוב</w:t>
      </w:r>
      <w:r w:rsidRPr="00AA720B">
        <w:rPr>
          <w:rFonts w:ascii="Calibri" w:hAnsi="Calibri"/>
          <w:rtl/>
        </w:rPr>
        <w:t xml:space="preserve">"). </w:t>
      </w:r>
      <w:r w:rsidRPr="00AA720B">
        <w:rPr>
          <w:rFonts w:ascii="Calibri" w:hAnsi="Calibri" w:hint="eastAsia"/>
          <w:rtl/>
        </w:rPr>
        <w:t>שם</w:t>
      </w:r>
      <w:r w:rsidRPr="00AA720B">
        <w:rPr>
          <w:rFonts w:ascii="Calibri" w:hAnsi="Calibri"/>
          <w:rtl/>
        </w:rPr>
        <w:t xml:space="preserve"> </w:t>
      </w:r>
      <w:r w:rsidRPr="00AA720B">
        <w:rPr>
          <w:rFonts w:ascii="Calibri" w:hAnsi="Calibri" w:hint="eastAsia"/>
          <w:rtl/>
        </w:rPr>
        <w:t>חידד</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הדברים</w:t>
      </w:r>
      <w:r w:rsidRPr="00AA720B">
        <w:rPr>
          <w:rFonts w:ascii="Calibri" w:hAnsi="Calibri"/>
          <w:rtl/>
        </w:rPr>
        <w:t xml:space="preserve"> </w:t>
      </w:r>
      <w:r w:rsidRPr="00AA720B">
        <w:rPr>
          <w:rFonts w:ascii="Calibri" w:hAnsi="Calibri" w:hint="eastAsia"/>
          <w:rtl/>
        </w:rPr>
        <w:t>והבהיר</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ההלכה</w:t>
      </w:r>
      <w:r w:rsidRPr="00AA720B">
        <w:rPr>
          <w:rFonts w:ascii="Calibri" w:hAnsi="Calibri"/>
          <w:rtl/>
        </w:rPr>
        <w:t xml:space="preserve"> </w:t>
      </w:r>
      <w:r w:rsidRPr="00AA720B">
        <w:rPr>
          <w:rFonts w:ascii="Calibri" w:hAnsi="Calibri" w:hint="eastAsia"/>
          <w:rtl/>
        </w:rPr>
        <w:t>שנקבעה</w:t>
      </w:r>
      <w:r w:rsidRPr="00AA720B">
        <w:rPr>
          <w:rFonts w:ascii="Calibri" w:hAnsi="Calibri"/>
          <w:rtl/>
        </w:rPr>
        <w:t xml:space="preserve"> </w:t>
      </w:r>
      <w:r w:rsidRPr="00AA720B">
        <w:rPr>
          <w:rFonts w:ascii="Calibri" w:hAnsi="Calibri" w:hint="eastAsia"/>
          <w:rtl/>
        </w:rPr>
        <w:t>בטווק</w:t>
      </w:r>
      <w:r w:rsidRPr="00AA720B">
        <w:rPr>
          <w:rFonts w:ascii="Calibri" w:hAnsi="Calibri"/>
          <w:rtl/>
        </w:rPr>
        <w:t xml:space="preserve"> </w:t>
      </w:r>
      <w:r w:rsidRPr="00AA720B">
        <w:rPr>
          <w:rFonts w:ascii="Calibri" w:hAnsi="Calibri" w:hint="eastAsia"/>
          <w:rtl/>
        </w:rPr>
        <w:t>מתייחסת</w:t>
      </w:r>
      <w:r w:rsidRPr="00AA720B">
        <w:rPr>
          <w:rFonts w:ascii="Calibri" w:hAnsi="Calibri"/>
          <w:rtl/>
        </w:rPr>
        <w:t xml:space="preserve"> </w:t>
      </w:r>
      <w:r w:rsidRPr="00AA720B">
        <w:rPr>
          <w:rFonts w:ascii="Calibri" w:hAnsi="Calibri" w:hint="eastAsia"/>
          <w:rtl/>
        </w:rPr>
        <w:t>למקרה</w:t>
      </w:r>
      <w:r w:rsidRPr="00AA720B">
        <w:rPr>
          <w:rFonts w:ascii="Calibri" w:hAnsi="Calibri"/>
          <w:rtl/>
        </w:rPr>
        <w:t xml:space="preserve"> </w:t>
      </w:r>
      <w:r w:rsidRPr="00AA720B">
        <w:rPr>
          <w:rFonts w:ascii="Calibri" w:hAnsi="Calibri" w:hint="eastAsia"/>
          <w:rtl/>
        </w:rPr>
        <w:t>בו</w:t>
      </w:r>
      <w:r w:rsidRPr="00AA720B">
        <w:rPr>
          <w:rFonts w:ascii="Calibri" w:hAnsi="Calibri"/>
          <w:rtl/>
        </w:rPr>
        <w:t xml:space="preserve"> </w:t>
      </w:r>
      <w:r w:rsidRPr="00AA720B">
        <w:rPr>
          <w:rFonts w:ascii="Calibri" w:hAnsi="Calibri" w:hint="eastAsia"/>
          <w:rtl/>
        </w:rPr>
        <w:t>מדובר</w:t>
      </w:r>
      <w:r w:rsidRPr="00AA720B">
        <w:rPr>
          <w:rFonts w:ascii="Calibri" w:hAnsi="Calibri"/>
          <w:rtl/>
        </w:rPr>
        <w:t xml:space="preserve"> </w:t>
      </w:r>
      <w:r w:rsidRPr="00AA720B">
        <w:rPr>
          <w:rFonts w:ascii="Calibri" w:hAnsi="Calibri" w:hint="eastAsia"/>
          <w:rtl/>
        </w:rPr>
        <w:t>בנאשם</w:t>
      </w:r>
      <w:r w:rsidRPr="00AA720B">
        <w:rPr>
          <w:rFonts w:ascii="Calibri" w:hAnsi="Calibri"/>
          <w:rtl/>
        </w:rPr>
        <w:t xml:space="preserve"> </w:t>
      </w:r>
      <w:r w:rsidRPr="00AA720B">
        <w:rPr>
          <w:rFonts w:ascii="Calibri" w:hAnsi="Calibri" w:hint="eastAsia"/>
          <w:rtl/>
        </w:rPr>
        <w:t>אחד</w:t>
      </w:r>
      <w:r w:rsidRPr="00AA720B">
        <w:rPr>
          <w:rFonts w:ascii="Calibri" w:hAnsi="Calibri"/>
          <w:rtl/>
        </w:rPr>
        <w:t xml:space="preserve"> </w:t>
      </w:r>
      <w:r w:rsidRPr="00AA720B">
        <w:rPr>
          <w:rFonts w:ascii="Calibri" w:hAnsi="Calibri" w:hint="eastAsia"/>
          <w:rtl/>
        </w:rPr>
        <w:t>כאשר</w:t>
      </w:r>
      <w:r w:rsidRPr="00AA720B">
        <w:rPr>
          <w:rFonts w:ascii="Calibri" w:hAnsi="Calibri"/>
          <w:rtl/>
        </w:rPr>
        <w:t xml:space="preserve"> </w:t>
      </w:r>
      <w:r w:rsidRPr="00AA720B">
        <w:rPr>
          <w:rFonts w:ascii="Calibri" w:hAnsi="Calibri" w:hint="eastAsia"/>
          <w:rtl/>
        </w:rPr>
        <w:t>ישנם</w:t>
      </w:r>
      <w:r w:rsidRPr="00AA720B">
        <w:rPr>
          <w:rFonts w:ascii="Calibri" w:hAnsi="Calibri"/>
          <w:rtl/>
        </w:rPr>
        <w:t xml:space="preserve"> </w:t>
      </w:r>
      <w:r w:rsidRPr="00AA720B">
        <w:rPr>
          <w:rFonts w:ascii="Calibri" w:hAnsi="Calibri" w:hint="eastAsia"/>
          <w:rtl/>
        </w:rPr>
        <w:t>מספר</w:t>
      </w:r>
      <w:r w:rsidRPr="00AA720B">
        <w:rPr>
          <w:rFonts w:ascii="Calibri" w:hAnsi="Calibri"/>
          <w:rtl/>
        </w:rPr>
        <w:t xml:space="preserve"> </w:t>
      </w:r>
      <w:r w:rsidRPr="00AA720B">
        <w:rPr>
          <w:rFonts w:ascii="Calibri" w:hAnsi="Calibri" w:hint="eastAsia"/>
          <w:rtl/>
        </w:rPr>
        <w:t>ניזוקים</w:t>
      </w:r>
      <w:r w:rsidRPr="00AA720B">
        <w:rPr>
          <w:rFonts w:ascii="Calibri" w:hAnsi="Calibri"/>
          <w:rtl/>
        </w:rPr>
        <w:t xml:space="preserve"> </w:t>
      </w:r>
      <w:r w:rsidRPr="00AA720B">
        <w:rPr>
          <w:rFonts w:ascii="Calibri" w:hAnsi="Calibri" w:hint="eastAsia"/>
          <w:rtl/>
        </w:rPr>
        <w:t>מן</w:t>
      </w:r>
      <w:r w:rsidRPr="00AA720B">
        <w:rPr>
          <w:rFonts w:ascii="Calibri" w:hAnsi="Calibri"/>
          <w:rtl/>
        </w:rPr>
        <w:t xml:space="preserve"> </w:t>
      </w:r>
      <w:r w:rsidRPr="00AA720B">
        <w:rPr>
          <w:rFonts w:ascii="Calibri" w:hAnsi="Calibri" w:hint="eastAsia"/>
          <w:rtl/>
        </w:rPr>
        <w:t>העבירה</w:t>
      </w:r>
      <w:r w:rsidRPr="00AA720B">
        <w:rPr>
          <w:rFonts w:ascii="Calibri" w:hAnsi="Calibri"/>
          <w:rtl/>
        </w:rPr>
        <w:t xml:space="preserve">. </w:t>
      </w:r>
      <w:r w:rsidRPr="00AA720B">
        <w:rPr>
          <w:rFonts w:ascii="Calibri" w:hAnsi="Calibri" w:hint="eastAsia"/>
          <w:rtl/>
        </w:rPr>
        <w:t>אולם</w:t>
      </w:r>
      <w:r w:rsidRPr="00AA720B">
        <w:rPr>
          <w:rFonts w:ascii="Calibri" w:hAnsi="Calibri"/>
          <w:rtl/>
        </w:rPr>
        <w:t xml:space="preserve">, </w:t>
      </w:r>
      <w:r w:rsidRPr="00AA720B">
        <w:rPr>
          <w:rFonts w:ascii="Calibri" w:hAnsi="Calibri" w:hint="eastAsia"/>
          <w:rtl/>
        </w:rPr>
        <w:t>פס</w:t>
      </w:r>
      <w:r w:rsidRPr="00AA720B">
        <w:rPr>
          <w:rFonts w:ascii="Calibri" w:hAnsi="Calibri"/>
          <w:rtl/>
        </w:rPr>
        <w:t>"</w:t>
      </w:r>
      <w:r w:rsidRPr="00AA720B">
        <w:rPr>
          <w:rFonts w:ascii="Calibri" w:hAnsi="Calibri" w:hint="eastAsia"/>
          <w:rtl/>
        </w:rPr>
        <w:t>ד</w:t>
      </w:r>
      <w:r w:rsidRPr="00AA720B">
        <w:rPr>
          <w:rFonts w:ascii="Calibri" w:hAnsi="Calibri"/>
          <w:rtl/>
        </w:rPr>
        <w:t xml:space="preserve"> </w:t>
      </w:r>
      <w:r w:rsidRPr="00AA720B">
        <w:rPr>
          <w:rFonts w:ascii="Calibri" w:hAnsi="Calibri" w:hint="eastAsia"/>
          <w:rtl/>
        </w:rPr>
        <w:t>טווק</w:t>
      </w:r>
      <w:r w:rsidRPr="00AA720B">
        <w:rPr>
          <w:rFonts w:ascii="Calibri" w:hAnsi="Calibri"/>
          <w:rtl/>
        </w:rPr>
        <w:t xml:space="preserve"> </w:t>
      </w:r>
      <w:r w:rsidRPr="00AA720B">
        <w:rPr>
          <w:rFonts w:ascii="Calibri" w:hAnsi="Calibri" w:hint="eastAsia"/>
          <w:rtl/>
        </w:rPr>
        <w:t>אינו</w:t>
      </w:r>
      <w:r w:rsidRPr="00AA720B">
        <w:rPr>
          <w:rFonts w:ascii="Calibri" w:hAnsi="Calibri"/>
          <w:rtl/>
        </w:rPr>
        <w:t xml:space="preserve"> </w:t>
      </w:r>
      <w:r w:rsidRPr="00AA720B">
        <w:rPr>
          <w:rFonts w:ascii="Calibri" w:hAnsi="Calibri" w:hint="eastAsia"/>
          <w:rtl/>
        </w:rPr>
        <w:t>מתייחס</w:t>
      </w:r>
      <w:r w:rsidRPr="00AA720B">
        <w:rPr>
          <w:rFonts w:ascii="Calibri" w:hAnsi="Calibri"/>
          <w:rtl/>
        </w:rPr>
        <w:t xml:space="preserve"> </w:t>
      </w:r>
      <w:r w:rsidRPr="00AA720B">
        <w:rPr>
          <w:rFonts w:ascii="Calibri" w:hAnsi="Calibri" w:hint="eastAsia"/>
          <w:rtl/>
        </w:rPr>
        <w:t>למקרה</w:t>
      </w:r>
      <w:r w:rsidRPr="00AA720B">
        <w:rPr>
          <w:rFonts w:ascii="Calibri" w:hAnsi="Calibri"/>
          <w:rtl/>
        </w:rPr>
        <w:t xml:space="preserve"> </w:t>
      </w:r>
      <w:r w:rsidRPr="00AA720B">
        <w:rPr>
          <w:rFonts w:ascii="Calibri" w:hAnsi="Calibri" w:hint="eastAsia"/>
          <w:rtl/>
        </w:rPr>
        <w:t>בו</w:t>
      </w:r>
      <w:r w:rsidRPr="00AA720B">
        <w:rPr>
          <w:rFonts w:ascii="Calibri" w:hAnsi="Calibri"/>
          <w:rtl/>
        </w:rPr>
        <w:t xml:space="preserve"> </w:t>
      </w:r>
      <w:r w:rsidRPr="00AA720B">
        <w:rPr>
          <w:rFonts w:ascii="Calibri" w:hAnsi="Calibri" w:hint="eastAsia"/>
          <w:rtl/>
        </w:rPr>
        <w:t>קיים</w:t>
      </w:r>
      <w:r w:rsidRPr="00AA720B">
        <w:rPr>
          <w:rFonts w:ascii="Calibri" w:hAnsi="Calibri"/>
          <w:rtl/>
        </w:rPr>
        <w:t xml:space="preserve"> </w:t>
      </w:r>
      <w:r w:rsidRPr="00AA720B">
        <w:rPr>
          <w:rFonts w:ascii="Calibri" w:hAnsi="Calibri" w:hint="eastAsia"/>
          <w:rtl/>
        </w:rPr>
        <w:t>ריבוי</w:t>
      </w:r>
      <w:r w:rsidRPr="00AA720B">
        <w:rPr>
          <w:rFonts w:ascii="Calibri" w:hAnsi="Calibri"/>
          <w:rtl/>
        </w:rPr>
        <w:t xml:space="preserve"> </w:t>
      </w:r>
      <w:r w:rsidRPr="00AA720B">
        <w:rPr>
          <w:rFonts w:ascii="Calibri" w:hAnsi="Calibri" w:hint="eastAsia"/>
          <w:rtl/>
        </w:rPr>
        <w:t>נאשמים</w:t>
      </w:r>
      <w:r w:rsidRPr="00AA720B">
        <w:rPr>
          <w:rFonts w:ascii="Calibri" w:hAnsi="Calibri"/>
          <w:rtl/>
        </w:rPr>
        <w:t xml:space="preserve">: </w:t>
      </w:r>
    </w:p>
    <w:p w14:paraId="0128B01E" w14:textId="77777777" w:rsidR="0037227B" w:rsidRPr="00AA720B" w:rsidRDefault="0037227B" w:rsidP="006D2178">
      <w:pPr>
        <w:widowControl w:val="0"/>
        <w:spacing w:before="240" w:after="240" w:line="360" w:lineRule="auto"/>
        <w:ind w:left="567" w:right="567"/>
        <w:jc w:val="both"/>
        <w:rPr>
          <w:rFonts w:ascii="Calibri" w:hAnsi="Calibri"/>
          <w:b/>
          <w:bCs/>
          <w:rtl/>
        </w:rPr>
      </w:pPr>
      <w:r w:rsidRPr="00AA720B">
        <w:rPr>
          <w:rFonts w:ascii="Calibri" w:hAnsi="Calibri"/>
          <w:b/>
          <w:bCs/>
          <w:rtl/>
        </w:rPr>
        <w:t>"</w:t>
      </w:r>
      <w:r w:rsidRPr="00AA720B">
        <w:rPr>
          <w:rFonts w:ascii="Calibri" w:hAnsi="Calibri" w:hint="eastAsia"/>
          <w:b/>
          <w:bCs/>
          <w:rtl/>
        </w:rPr>
        <w:t>הלכת</w:t>
      </w:r>
      <w:r w:rsidRPr="00AA720B">
        <w:rPr>
          <w:rFonts w:ascii="Calibri" w:hAnsi="Calibri"/>
          <w:b/>
          <w:bCs/>
          <w:rtl/>
        </w:rPr>
        <w:t xml:space="preserve"> </w:t>
      </w:r>
      <w:r w:rsidRPr="00AA720B">
        <w:rPr>
          <w:rFonts w:ascii="Calibri" w:hAnsi="Calibri" w:hint="eastAsia"/>
          <w:b/>
          <w:bCs/>
          <w:rtl/>
        </w:rPr>
        <w:t>טווק</w:t>
      </w:r>
      <w:r w:rsidRPr="00AA720B">
        <w:rPr>
          <w:rFonts w:ascii="Calibri" w:hAnsi="Calibri"/>
          <w:b/>
          <w:bCs/>
          <w:rtl/>
        </w:rPr>
        <w:t xml:space="preserve"> </w:t>
      </w:r>
      <w:r w:rsidRPr="00AA720B">
        <w:rPr>
          <w:rFonts w:ascii="Calibri" w:hAnsi="Calibri" w:hint="eastAsia"/>
          <w:b/>
          <w:bCs/>
          <w:rtl/>
        </w:rPr>
        <w:t>עוסקת</w:t>
      </w:r>
      <w:r w:rsidRPr="00AA720B">
        <w:rPr>
          <w:rFonts w:ascii="Calibri" w:hAnsi="Calibri"/>
          <w:b/>
          <w:bCs/>
          <w:rtl/>
        </w:rPr>
        <w:t xml:space="preserve"> </w:t>
      </w:r>
      <w:r w:rsidRPr="00AA720B">
        <w:rPr>
          <w:rFonts w:ascii="Calibri" w:hAnsi="Calibri" w:hint="eastAsia"/>
          <w:b/>
          <w:bCs/>
          <w:rtl/>
        </w:rPr>
        <w:t>בשאלת</w:t>
      </w:r>
      <w:r w:rsidRPr="00AA720B">
        <w:rPr>
          <w:rFonts w:ascii="Calibri" w:hAnsi="Calibri"/>
          <w:b/>
          <w:bCs/>
          <w:rtl/>
        </w:rPr>
        <w:t xml:space="preserve"> </w:t>
      </w:r>
      <w:r w:rsidRPr="00AA720B">
        <w:rPr>
          <w:rFonts w:ascii="Calibri" w:hAnsi="Calibri" w:hint="eastAsia"/>
          <w:b/>
          <w:bCs/>
          <w:rtl/>
        </w:rPr>
        <w:t>גובה</w:t>
      </w:r>
      <w:r w:rsidRPr="00AA720B">
        <w:rPr>
          <w:rFonts w:ascii="Calibri" w:hAnsi="Calibri"/>
          <w:b/>
          <w:bCs/>
          <w:rtl/>
        </w:rPr>
        <w:t xml:space="preserve"> </w:t>
      </w:r>
      <w:r w:rsidRPr="00AA720B">
        <w:rPr>
          <w:rFonts w:ascii="Calibri" w:hAnsi="Calibri" w:hint="eastAsia"/>
          <w:b/>
          <w:bCs/>
          <w:rtl/>
        </w:rPr>
        <w:t>הפיצוי</w:t>
      </w:r>
      <w:r w:rsidRPr="00AA720B">
        <w:rPr>
          <w:rFonts w:ascii="Calibri" w:hAnsi="Calibri"/>
          <w:b/>
          <w:bCs/>
          <w:rtl/>
        </w:rPr>
        <w:t xml:space="preserve"> </w:t>
      </w:r>
      <w:r w:rsidRPr="00AA720B">
        <w:rPr>
          <w:rFonts w:ascii="Calibri" w:hAnsi="Calibri" w:hint="eastAsia"/>
          <w:b/>
          <w:bCs/>
          <w:rtl/>
        </w:rPr>
        <w:t>במקרה</w:t>
      </w:r>
      <w:r w:rsidRPr="00AA720B">
        <w:rPr>
          <w:rFonts w:ascii="Calibri" w:hAnsi="Calibri"/>
          <w:b/>
          <w:bCs/>
          <w:rtl/>
        </w:rPr>
        <w:t xml:space="preserve"> </w:t>
      </w:r>
      <w:r w:rsidRPr="00AA720B">
        <w:rPr>
          <w:rFonts w:ascii="Calibri" w:hAnsi="Calibri" w:hint="eastAsia"/>
          <w:b/>
          <w:bCs/>
          <w:rtl/>
        </w:rPr>
        <w:t>של</w:t>
      </w:r>
      <w:r w:rsidRPr="00AA720B">
        <w:rPr>
          <w:rFonts w:ascii="Calibri" w:hAnsi="Calibri"/>
          <w:b/>
          <w:bCs/>
          <w:rtl/>
        </w:rPr>
        <w:t xml:space="preserve"> </w:t>
      </w:r>
      <w:r w:rsidRPr="00AA720B">
        <w:rPr>
          <w:rFonts w:ascii="Calibri" w:hAnsi="Calibri" w:hint="eastAsia"/>
          <w:b/>
          <w:bCs/>
          <w:rtl/>
        </w:rPr>
        <w:t>ריבוי</w:t>
      </w:r>
      <w:r w:rsidRPr="00AA720B">
        <w:rPr>
          <w:rFonts w:ascii="Calibri" w:hAnsi="Calibri"/>
          <w:b/>
          <w:bCs/>
          <w:rtl/>
        </w:rPr>
        <w:t xml:space="preserve"> </w:t>
      </w:r>
      <w:r w:rsidRPr="00AA720B">
        <w:rPr>
          <w:rFonts w:ascii="Calibri" w:hAnsi="Calibri" w:hint="eastAsia"/>
          <w:b/>
          <w:bCs/>
          <w:rtl/>
        </w:rPr>
        <w:t>נפגעים</w:t>
      </w:r>
      <w:r w:rsidRPr="00AA720B">
        <w:rPr>
          <w:rFonts w:ascii="Calibri" w:hAnsi="Calibri"/>
          <w:b/>
          <w:bCs/>
          <w:rtl/>
        </w:rPr>
        <w:t xml:space="preserve"> </w:t>
      </w:r>
      <w:r w:rsidRPr="00AA720B">
        <w:rPr>
          <w:rFonts w:ascii="Calibri" w:hAnsi="Calibri" w:hint="eastAsia"/>
          <w:b/>
          <w:bCs/>
          <w:rtl/>
        </w:rPr>
        <w:t>בשל</w:t>
      </w:r>
      <w:r w:rsidRPr="00AA720B">
        <w:rPr>
          <w:rFonts w:ascii="Calibri" w:hAnsi="Calibri"/>
          <w:b/>
          <w:bCs/>
          <w:rtl/>
        </w:rPr>
        <w:t xml:space="preserve"> </w:t>
      </w:r>
      <w:r w:rsidRPr="00AA720B">
        <w:rPr>
          <w:rFonts w:ascii="Calibri" w:hAnsi="Calibri" w:hint="eastAsia"/>
          <w:b/>
          <w:bCs/>
          <w:rtl/>
        </w:rPr>
        <w:t>מעשה</w:t>
      </w:r>
      <w:r w:rsidRPr="00AA720B">
        <w:rPr>
          <w:rFonts w:ascii="Calibri" w:hAnsi="Calibri"/>
          <w:b/>
          <w:bCs/>
          <w:rtl/>
        </w:rPr>
        <w:t xml:space="preserve"> </w:t>
      </w:r>
      <w:r w:rsidRPr="00AA720B">
        <w:rPr>
          <w:rFonts w:ascii="Calibri" w:hAnsi="Calibri" w:hint="eastAsia"/>
          <w:b/>
          <w:bCs/>
          <w:rtl/>
        </w:rPr>
        <w:t>של</w:t>
      </w:r>
      <w:r w:rsidRPr="00AA720B">
        <w:rPr>
          <w:rFonts w:ascii="Calibri" w:hAnsi="Calibri"/>
          <w:b/>
          <w:bCs/>
          <w:rtl/>
        </w:rPr>
        <w:t xml:space="preserve"> </w:t>
      </w:r>
      <w:r w:rsidRPr="00AA720B">
        <w:rPr>
          <w:rFonts w:ascii="Calibri" w:hAnsi="Calibri" w:hint="eastAsia"/>
          <w:b/>
          <w:bCs/>
          <w:rtl/>
        </w:rPr>
        <w:t>נאשם</w:t>
      </w:r>
      <w:r w:rsidRPr="00AA720B">
        <w:rPr>
          <w:rFonts w:ascii="Calibri" w:hAnsi="Calibri"/>
          <w:b/>
          <w:bCs/>
          <w:rtl/>
        </w:rPr>
        <w:t xml:space="preserve"> </w:t>
      </w:r>
      <w:r w:rsidRPr="00AA720B">
        <w:rPr>
          <w:rFonts w:ascii="Calibri" w:hAnsi="Calibri" w:hint="eastAsia"/>
          <w:b/>
          <w:bCs/>
          <w:rtl/>
        </w:rPr>
        <w:t>אחד</w:t>
      </w:r>
      <w:r w:rsidRPr="00AA720B">
        <w:rPr>
          <w:rFonts w:ascii="Calibri" w:hAnsi="Calibri"/>
          <w:b/>
          <w:bCs/>
          <w:rtl/>
        </w:rPr>
        <w:t xml:space="preserve">. </w:t>
      </w:r>
      <w:r w:rsidRPr="00AA720B">
        <w:rPr>
          <w:rFonts w:ascii="Calibri" w:hAnsi="Calibri" w:hint="eastAsia"/>
          <w:b/>
          <w:bCs/>
          <w:rtl/>
        </w:rPr>
        <w:t>בעניין</w:t>
      </w:r>
      <w:r w:rsidRPr="00AA720B">
        <w:rPr>
          <w:rFonts w:ascii="Calibri" w:hAnsi="Calibri"/>
          <w:b/>
          <w:bCs/>
          <w:rtl/>
        </w:rPr>
        <w:t xml:space="preserve"> </w:t>
      </w:r>
      <w:r w:rsidRPr="00AA720B">
        <w:rPr>
          <w:rFonts w:ascii="Calibri" w:hAnsi="Calibri" w:hint="eastAsia"/>
          <w:b/>
          <w:bCs/>
          <w:rtl/>
        </w:rPr>
        <w:t>זה</w:t>
      </w:r>
      <w:r w:rsidRPr="00AA720B">
        <w:rPr>
          <w:rFonts w:ascii="Calibri" w:hAnsi="Calibri"/>
          <w:b/>
          <w:bCs/>
          <w:rtl/>
        </w:rPr>
        <w:t xml:space="preserve"> </w:t>
      </w:r>
      <w:r w:rsidRPr="00AA720B">
        <w:rPr>
          <w:rFonts w:ascii="Calibri" w:hAnsi="Calibri" w:hint="eastAsia"/>
          <w:b/>
          <w:bCs/>
          <w:rtl/>
        </w:rPr>
        <w:t>נקבע</w:t>
      </w:r>
      <w:r w:rsidRPr="00AA720B">
        <w:rPr>
          <w:rFonts w:ascii="Calibri" w:hAnsi="Calibri"/>
          <w:b/>
          <w:bCs/>
          <w:rtl/>
        </w:rPr>
        <w:t xml:space="preserve"> </w:t>
      </w:r>
      <w:r w:rsidRPr="00AA720B">
        <w:rPr>
          <w:rFonts w:ascii="Calibri" w:hAnsi="Calibri" w:hint="eastAsia"/>
          <w:b/>
          <w:bCs/>
          <w:rtl/>
        </w:rPr>
        <w:t>כי</w:t>
      </w:r>
      <w:r w:rsidRPr="00AA720B">
        <w:rPr>
          <w:rFonts w:ascii="Calibri" w:hAnsi="Calibri"/>
          <w:b/>
          <w:bCs/>
          <w:rtl/>
        </w:rPr>
        <w:t xml:space="preserve"> </w:t>
      </w:r>
      <w:r w:rsidRPr="00AA720B">
        <w:rPr>
          <w:rFonts w:ascii="Calibri" w:hAnsi="Calibri" w:hint="eastAsia"/>
          <w:b/>
          <w:bCs/>
          <w:rtl/>
        </w:rPr>
        <w:t>סכום</w:t>
      </w:r>
      <w:r w:rsidRPr="00AA720B">
        <w:rPr>
          <w:rFonts w:ascii="Calibri" w:hAnsi="Calibri"/>
          <w:b/>
          <w:bCs/>
          <w:rtl/>
        </w:rPr>
        <w:t xml:space="preserve"> </w:t>
      </w:r>
      <w:r w:rsidRPr="00AA720B">
        <w:rPr>
          <w:rFonts w:ascii="Calibri" w:hAnsi="Calibri" w:hint="eastAsia"/>
          <w:b/>
          <w:bCs/>
          <w:rtl/>
        </w:rPr>
        <w:t>הפיצוי</w:t>
      </w:r>
      <w:r w:rsidRPr="00AA720B">
        <w:rPr>
          <w:rFonts w:ascii="Calibri" w:hAnsi="Calibri"/>
          <w:b/>
          <w:bCs/>
          <w:rtl/>
        </w:rPr>
        <w:t xml:space="preserve"> </w:t>
      </w:r>
      <w:r w:rsidRPr="00AA720B">
        <w:rPr>
          <w:rFonts w:ascii="Calibri" w:hAnsi="Calibri" w:hint="eastAsia"/>
          <w:b/>
          <w:bCs/>
          <w:rtl/>
        </w:rPr>
        <w:t>שיוטל</w:t>
      </w:r>
      <w:r w:rsidRPr="00AA720B">
        <w:rPr>
          <w:rFonts w:ascii="Calibri" w:hAnsi="Calibri"/>
          <w:b/>
          <w:bCs/>
          <w:rtl/>
        </w:rPr>
        <w:t xml:space="preserve"> </w:t>
      </w:r>
      <w:r w:rsidRPr="00AA720B">
        <w:rPr>
          <w:rFonts w:ascii="Calibri" w:hAnsi="Calibri" w:hint="eastAsia"/>
          <w:b/>
          <w:bCs/>
          <w:rtl/>
        </w:rPr>
        <w:t>על</w:t>
      </w:r>
      <w:r w:rsidRPr="00AA720B">
        <w:rPr>
          <w:rFonts w:ascii="Calibri" w:hAnsi="Calibri"/>
          <w:b/>
          <w:bCs/>
          <w:rtl/>
        </w:rPr>
        <w:t xml:space="preserve"> </w:t>
      </w:r>
      <w:r w:rsidRPr="00AA720B">
        <w:rPr>
          <w:rFonts w:ascii="Calibri" w:hAnsi="Calibri" w:hint="eastAsia"/>
          <w:b/>
          <w:bCs/>
          <w:rtl/>
        </w:rPr>
        <w:t>הנאשם</w:t>
      </w:r>
      <w:r w:rsidRPr="00AA720B">
        <w:rPr>
          <w:rFonts w:ascii="Calibri" w:hAnsi="Calibri"/>
          <w:b/>
          <w:bCs/>
          <w:rtl/>
        </w:rPr>
        <w:t xml:space="preserve"> </w:t>
      </w:r>
      <w:r w:rsidRPr="00AA720B">
        <w:rPr>
          <w:rFonts w:ascii="Calibri" w:hAnsi="Calibri" w:hint="eastAsia"/>
          <w:b/>
          <w:bCs/>
          <w:rtl/>
        </w:rPr>
        <w:t>לא</w:t>
      </w:r>
      <w:r w:rsidRPr="00AA720B">
        <w:rPr>
          <w:rFonts w:ascii="Calibri" w:hAnsi="Calibri"/>
          <w:b/>
          <w:bCs/>
          <w:rtl/>
        </w:rPr>
        <w:t xml:space="preserve"> </w:t>
      </w:r>
      <w:r w:rsidRPr="00AA720B">
        <w:rPr>
          <w:rFonts w:ascii="Calibri" w:hAnsi="Calibri" w:hint="eastAsia"/>
          <w:b/>
          <w:bCs/>
          <w:rtl/>
        </w:rPr>
        <w:t>יעלה</w:t>
      </w:r>
      <w:r w:rsidRPr="00AA720B">
        <w:rPr>
          <w:rFonts w:ascii="Calibri" w:hAnsi="Calibri"/>
          <w:b/>
          <w:bCs/>
          <w:rtl/>
        </w:rPr>
        <w:t xml:space="preserve"> </w:t>
      </w:r>
      <w:r w:rsidRPr="00AA720B">
        <w:rPr>
          <w:rFonts w:ascii="Calibri" w:hAnsi="Calibri" w:hint="eastAsia"/>
          <w:b/>
          <w:bCs/>
          <w:rtl/>
        </w:rPr>
        <w:t>על</w:t>
      </w:r>
      <w:r w:rsidRPr="00AA720B">
        <w:rPr>
          <w:rFonts w:ascii="Calibri" w:hAnsi="Calibri"/>
          <w:b/>
          <w:bCs/>
          <w:rtl/>
        </w:rPr>
        <w:t xml:space="preserve"> </w:t>
      </w:r>
      <w:r w:rsidRPr="00AA720B">
        <w:rPr>
          <w:rFonts w:ascii="Calibri" w:hAnsi="Calibri" w:hint="eastAsia"/>
          <w:b/>
          <w:bCs/>
          <w:rtl/>
        </w:rPr>
        <w:t>סכום</w:t>
      </w:r>
      <w:r w:rsidRPr="00AA720B">
        <w:rPr>
          <w:rFonts w:ascii="Calibri" w:hAnsi="Calibri"/>
          <w:b/>
          <w:bCs/>
          <w:rtl/>
        </w:rPr>
        <w:t xml:space="preserve"> </w:t>
      </w:r>
      <w:r w:rsidRPr="00AA720B">
        <w:rPr>
          <w:rFonts w:ascii="Calibri" w:hAnsi="Calibri" w:hint="eastAsia"/>
          <w:b/>
          <w:bCs/>
          <w:rtl/>
        </w:rPr>
        <w:t>הפיצוי</w:t>
      </w:r>
      <w:r w:rsidRPr="00AA720B">
        <w:rPr>
          <w:rFonts w:ascii="Calibri" w:hAnsi="Calibri"/>
          <w:b/>
          <w:bCs/>
          <w:rtl/>
        </w:rPr>
        <w:t xml:space="preserve"> </w:t>
      </w:r>
      <w:r w:rsidRPr="00AA720B">
        <w:rPr>
          <w:rFonts w:ascii="Calibri" w:hAnsi="Calibri" w:hint="eastAsia"/>
          <w:b/>
          <w:bCs/>
          <w:rtl/>
        </w:rPr>
        <w:t>המקסימלי</w:t>
      </w:r>
      <w:r w:rsidRPr="00AA720B">
        <w:rPr>
          <w:rFonts w:ascii="Calibri" w:hAnsi="Calibri"/>
          <w:b/>
          <w:bCs/>
          <w:rtl/>
        </w:rPr>
        <w:t xml:space="preserve"> </w:t>
      </w:r>
      <w:r w:rsidRPr="00AA720B">
        <w:rPr>
          <w:rFonts w:ascii="Calibri" w:hAnsi="Calibri" w:hint="eastAsia"/>
          <w:b/>
          <w:bCs/>
          <w:rtl/>
        </w:rPr>
        <w:t>הקבוע</w:t>
      </w:r>
      <w:r w:rsidRPr="00AA720B">
        <w:rPr>
          <w:rFonts w:ascii="Calibri" w:hAnsi="Calibri"/>
          <w:b/>
          <w:bCs/>
          <w:rtl/>
        </w:rPr>
        <w:t xml:space="preserve"> </w:t>
      </w:r>
      <w:r w:rsidRPr="00AA720B">
        <w:rPr>
          <w:rFonts w:ascii="Calibri" w:hAnsi="Calibri" w:hint="eastAsia"/>
          <w:b/>
          <w:bCs/>
          <w:rtl/>
        </w:rPr>
        <w:t>בחוק</w:t>
      </w:r>
      <w:r w:rsidRPr="00AA720B">
        <w:rPr>
          <w:rFonts w:ascii="Calibri" w:hAnsi="Calibri"/>
          <w:b/>
          <w:bCs/>
          <w:rtl/>
        </w:rPr>
        <w:t xml:space="preserve">, </w:t>
      </w:r>
      <w:r w:rsidRPr="00AA720B">
        <w:rPr>
          <w:rFonts w:ascii="Calibri" w:hAnsi="Calibri" w:hint="eastAsia"/>
          <w:b/>
          <w:bCs/>
          <w:rtl/>
        </w:rPr>
        <w:t>אף</w:t>
      </w:r>
      <w:r w:rsidRPr="00AA720B">
        <w:rPr>
          <w:rFonts w:ascii="Calibri" w:hAnsi="Calibri"/>
          <w:b/>
          <w:bCs/>
          <w:rtl/>
        </w:rPr>
        <w:t xml:space="preserve"> </w:t>
      </w:r>
      <w:r w:rsidRPr="00AA720B">
        <w:rPr>
          <w:rFonts w:ascii="Calibri" w:hAnsi="Calibri" w:hint="eastAsia"/>
          <w:b/>
          <w:bCs/>
          <w:rtl/>
        </w:rPr>
        <w:t>כאשר</w:t>
      </w:r>
      <w:r w:rsidRPr="00AA720B">
        <w:rPr>
          <w:rFonts w:ascii="Calibri" w:hAnsi="Calibri"/>
          <w:b/>
          <w:bCs/>
          <w:rtl/>
        </w:rPr>
        <w:t xml:space="preserve"> </w:t>
      </w:r>
      <w:r w:rsidRPr="00AA720B">
        <w:rPr>
          <w:rFonts w:ascii="Calibri" w:hAnsi="Calibri" w:hint="eastAsia"/>
          <w:b/>
          <w:bCs/>
          <w:rtl/>
        </w:rPr>
        <w:t>מעשי</w:t>
      </w:r>
      <w:r w:rsidRPr="00AA720B">
        <w:rPr>
          <w:rFonts w:ascii="Calibri" w:hAnsi="Calibri"/>
          <w:b/>
          <w:bCs/>
          <w:rtl/>
        </w:rPr>
        <w:t xml:space="preserve"> </w:t>
      </w:r>
      <w:r w:rsidRPr="00AA720B">
        <w:rPr>
          <w:rFonts w:ascii="Calibri" w:hAnsi="Calibri" w:hint="eastAsia"/>
          <w:b/>
          <w:bCs/>
          <w:rtl/>
        </w:rPr>
        <w:t>הנאשם</w:t>
      </w:r>
      <w:r w:rsidRPr="00AA720B">
        <w:rPr>
          <w:rFonts w:ascii="Calibri" w:hAnsi="Calibri"/>
          <w:b/>
          <w:bCs/>
          <w:rtl/>
        </w:rPr>
        <w:t xml:space="preserve"> </w:t>
      </w:r>
      <w:r w:rsidRPr="00AA720B">
        <w:rPr>
          <w:rFonts w:ascii="Calibri" w:hAnsi="Calibri" w:hint="eastAsia"/>
          <w:b/>
          <w:bCs/>
          <w:rtl/>
        </w:rPr>
        <w:t>פגעו</w:t>
      </w:r>
      <w:r w:rsidRPr="00AA720B">
        <w:rPr>
          <w:rFonts w:ascii="Calibri" w:hAnsi="Calibri"/>
          <w:b/>
          <w:bCs/>
          <w:rtl/>
        </w:rPr>
        <w:t xml:space="preserve"> </w:t>
      </w:r>
      <w:r w:rsidRPr="00AA720B">
        <w:rPr>
          <w:rFonts w:ascii="Calibri" w:hAnsi="Calibri" w:hint="eastAsia"/>
          <w:b/>
          <w:bCs/>
          <w:rtl/>
        </w:rPr>
        <w:t>ביותר</w:t>
      </w:r>
      <w:r w:rsidRPr="00AA720B">
        <w:rPr>
          <w:rFonts w:ascii="Calibri" w:hAnsi="Calibri"/>
          <w:b/>
          <w:bCs/>
          <w:rtl/>
        </w:rPr>
        <w:t xml:space="preserve"> </w:t>
      </w:r>
      <w:r w:rsidRPr="00AA720B">
        <w:rPr>
          <w:rFonts w:ascii="Calibri" w:hAnsi="Calibri" w:hint="eastAsia"/>
          <w:b/>
          <w:bCs/>
          <w:rtl/>
        </w:rPr>
        <w:t>מנפגע</w:t>
      </w:r>
      <w:r w:rsidRPr="00AA720B">
        <w:rPr>
          <w:rFonts w:ascii="Calibri" w:hAnsi="Calibri"/>
          <w:b/>
          <w:bCs/>
          <w:rtl/>
        </w:rPr>
        <w:t xml:space="preserve"> </w:t>
      </w:r>
      <w:r w:rsidRPr="00AA720B">
        <w:rPr>
          <w:rFonts w:ascii="Calibri" w:hAnsi="Calibri" w:hint="eastAsia"/>
          <w:b/>
          <w:bCs/>
          <w:rtl/>
        </w:rPr>
        <w:t>עבירה</w:t>
      </w:r>
      <w:r w:rsidRPr="00AA720B">
        <w:rPr>
          <w:rFonts w:ascii="Calibri" w:hAnsi="Calibri"/>
          <w:b/>
          <w:bCs/>
          <w:rtl/>
        </w:rPr>
        <w:t xml:space="preserve"> </w:t>
      </w:r>
      <w:r w:rsidRPr="00AA720B">
        <w:rPr>
          <w:rFonts w:ascii="Calibri" w:hAnsi="Calibri" w:hint="eastAsia"/>
          <w:b/>
          <w:bCs/>
          <w:rtl/>
        </w:rPr>
        <w:t>אחד</w:t>
      </w:r>
      <w:r w:rsidRPr="00AA720B">
        <w:rPr>
          <w:rFonts w:ascii="Calibri" w:hAnsi="Calibri"/>
          <w:b/>
          <w:bCs/>
          <w:rtl/>
        </w:rPr>
        <w:t xml:space="preserve">. </w:t>
      </w:r>
      <w:r w:rsidRPr="00AA720B">
        <w:rPr>
          <w:rFonts w:ascii="Calibri" w:hAnsi="Calibri" w:hint="eastAsia"/>
          <w:b/>
          <w:bCs/>
          <w:rtl/>
        </w:rPr>
        <w:t>הלכה</w:t>
      </w:r>
      <w:r w:rsidRPr="00AA720B">
        <w:rPr>
          <w:rFonts w:ascii="Calibri" w:hAnsi="Calibri"/>
          <w:b/>
          <w:bCs/>
          <w:rtl/>
        </w:rPr>
        <w:t xml:space="preserve"> </w:t>
      </w:r>
      <w:r w:rsidRPr="00AA720B">
        <w:rPr>
          <w:rFonts w:ascii="Calibri" w:hAnsi="Calibri" w:hint="eastAsia"/>
          <w:b/>
          <w:bCs/>
          <w:rtl/>
        </w:rPr>
        <w:t>זו</w:t>
      </w:r>
      <w:r w:rsidRPr="00AA720B">
        <w:rPr>
          <w:rFonts w:ascii="Calibri" w:hAnsi="Calibri"/>
          <w:b/>
          <w:bCs/>
          <w:rtl/>
        </w:rPr>
        <w:t xml:space="preserve"> </w:t>
      </w:r>
      <w:r w:rsidRPr="00AA720B">
        <w:rPr>
          <w:rFonts w:ascii="Calibri" w:hAnsi="Calibri" w:hint="eastAsia"/>
          <w:b/>
          <w:bCs/>
          <w:rtl/>
        </w:rPr>
        <w:t>אינה</w:t>
      </w:r>
      <w:r w:rsidRPr="00AA720B">
        <w:rPr>
          <w:rFonts w:ascii="Calibri" w:hAnsi="Calibri"/>
          <w:b/>
          <w:bCs/>
          <w:rtl/>
        </w:rPr>
        <w:t xml:space="preserve"> </w:t>
      </w:r>
      <w:r w:rsidRPr="00AA720B">
        <w:rPr>
          <w:rFonts w:ascii="Calibri" w:hAnsi="Calibri" w:hint="eastAsia"/>
          <w:b/>
          <w:bCs/>
          <w:rtl/>
        </w:rPr>
        <w:t>עוסקת</w:t>
      </w:r>
      <w:r w:rsidRPr="00AA720B">
        <w:rPr>
          <w:rFonts w:ascii="Calibri" w:hAnsi="Calibri"/>
          <w:b/>
          <w:bCs/>
          <w:rtl/>
        </w:rPr>
        <w:t xml:space="preserve"> </w:t>
      </w:r>
      <w:r w:rsidRPr="00AA720B">
        <w:rPr>
          <w:rFonts w:ascii="Calibri" w:hAnsi="Calibri" w:hint="eastAsia"/>
          <w:b/>
          <w:bCs/>
          <w:rtl/>
        </w:rPr>
        <w:t>בשאלת</w:t>
      </w:r>
      <w:r w:rsidRPr="00AA720B">
        <w:rPr>
          <w:rFonts w:ascii="Calibri" w:hAnsi="Calibri"/>
          <w:b/>
          <w:bCs/>
          <w:rtl/>
        </w:rPr>
        <w:t xml:space="preserve"> </w:t>
      </w:r>
      <w:r w:rsidRPr="00AA720B">
        <w:rPr>
          <w:rFonts w:ascii="Calibri" w:hAnsi="Calibri" w:hint="eastAsia"/>
          <w:b/>
          <w:bCs/>
          <w:rtl/>
        </w:rPr>
        <w:t>גובה</w:t>
      </w:r>
      <w:r w:rsidRPr="00AA720B">
        <w:rPr>
          <w:rFonts w:ascii="Calibri" w:hAnsi="Calibri"/>
          <w:b/>
          <w:bCs/>
          <w:rtl/>
        </w:rPr>
        <w:t xml:space="preserve"> </w:t>
      </w:r>
      <w:r w:rsidRPr="00AA720B">
        <w:rPr>
          <w:rFonts w:ascii="Calibri" w:hAnsi="Calibri" w:hint="eastAsia"/>
          <w:b/>
          <w:bCs/>
          <w:rtl/>
        </w:rPr>
        <w:t>הפיצוי</w:t>
      </w:r>
      <w:r w:rsidRPr="00AA720B">
        <w:rPr>
          <w:rFonts w:ascii="Calibri" w:hAnsi="Calibri"/>
          <w:b/>
          <w:bCs/>
          <w:rtl/>
        </w:rPr>
        <w:t xml:space="preserve"> </w:t>
      </w:r>
      <w:r w:rsidRPr="00AA720B">
        <w:rPr>
          <w:rFonts w:ascii="Calibri" w:hAnsi="Calibri" w:hint="eastAsia"/>
          <w:b/>
          <w:bCs/>
          <w:rtl/>
        </w:rPr>
        <w:t>מקום</w:t>
      </w:r>
      <w:r w:rsidRPr="00AA720B">
        <w:rPr>
          <w:rFonts w:ascii="Calibri" w:hAnsi="Calibri"/>
          <w:b/>
          <w:bCs/>
          <w:rtl/>
        </w:rPr>
        <w:t xml:space="preserve"> </w:t>
      </w:r>
      <w:r w:rsidRPr="00AA720B">
        <w:rPr>
          <w:rFonts w:ascii="Calibri" w:hAnsi="Calibri" w:hint="eastAsia"/>
          <w:b/>
          <w:bCs/>
          <w:rtl/>
        </w:rPr>
        <w:t>בו</w:t>
      </w:r>
      <w:r w:rsidRPr="00AA720B">
        <w:rPr>
          <w:rFonts w:ascii="Calibri" w:hAnsi="Calibri"/>
          <w:b/>
          <w:bCs/>
          <w:rtl/>
        </w:rPr>
        <w:t xml:space="preserve"> </w:t>
      </w:r>
      <w:r w:rsidRPr="00AA720B">
        <w:rPr>
          <w:rFonts w:ascii="Calibri" w:hAnsi="Calibri" w:hint="eastAsia"/>
          <w:b/>
          <w:bCs/>
          <w:rtl/>
        </w:rPr>
        <w:t>יש</w:t>
      </w:r>
      <w:r w:rsidRPr="00AA720B">
        <w:rPr>
          <w:rFonts w:ascii="Calibri" w:hAnsi="Calibri"/>
          <w:b/>
          <w:bCs/>
          <w:rtl/>
        </w:rPr>
        <w:t xml:space="preserve"> </w:t>
      </w:r>
      <w:r w:rsidRPr="00AA720B">
        <w:rPr>
          <w:rFonts w:ascii="Calibri" w:hAnsi="Calibri" w:hint="eastAsia"/>
          <w:b/>
          <w:bCs/>
          <w:rtl/>
        </w:rPr>
        <w:t>ריבוי</w:t>
      </w:r>
      <w:r w:rsidRPr="00AA720B">
        <w:rPr>
          <w:rFonts w:ascii="Calibri" w:hAnsi="Calibri"/>
          <w:b/>
          <w:bCs/>
          <w:rtl/>
        </w:rPr>
        <w:t xml:space="preserve"> </w:t>
      </w:r>
      <w:r w:rsidRPr="00AA720B">
        <w:rPr>
          <w:rFonts w:ascii="Calibri" w:hAnsi="Calibri" w:hint="eastAsia"/>
          <w:b/>
          <w:bCs/>
          <w:rtl/>
        </w:rPr>
        <w:t>נאשמים</w:t>
      </w:r>
      <w:r w:rsidRPr="00AA720B">
        <w:rPr>
          <w:rFonts w:ascii="Calibri" w:hAnsi="Calibri"/>
          <w:b/>
          <w:bCs/>
          <w:rtl/>
        </w:rPr>
        <w:t xml:space="preserve">, </w:t>
      </w:r>
      <w:r w:rsidRPr="00AA720B">
        <w:rPr>
          <w:rFonts w:ascii="Calibri" w:hAnsi="Calibri" w:hint="eastAsia"/>
          <w:b/>
          <w:bCs/>
          <w:rtl/>
        </w:rPr>
        <w:t>ואין</w:t>
      </w:r>
      <w:r w:rsidRPr="00AA720B">
        <w:rPr>
          <w:rFonts w:ascii="Calibri" w:hAnsi="Calibri"/>
          <w:b/>
          <w:bCs/>
          <w:rtl/>
        </w:rPr>
        <w:t xml:space="preserve"> </w:t>
      </w:r>
      <w:r w:rsidRPr="00AA720B">
        <w:rPr>
          <w:rFonts w:ascii="Calibri" w:hAnsi="Calibri" w:hint="eastAsia"/>
          <w:b/>
          <w:bCs/>
          <w:rtl/>
        </w:rPr>
        <w:t>כל</w:t>
      </w:r>
      <w:r w:rsidRPr="00AA720B">
        <w:rPr>
          <w:rFonts w:ascii="Calibri" w:hAnsi="Calibri"/>
          <w:b/>
          <w:bCs/>
          <w:rtl/>
        </w:rPr>
        <w:t xml:space="preserve"> </w:t>
      </w:r>
      <w:r w:rsidRPr="00AA720B">
        <w:rPr>
          <w:rFonts w:ascii="Calibri" w:hAnsi="Calibri" w:hint="eastAsia"/>
          <w:b/>
          <w:bCs/>
          <w:rtl/>
        </w:rPr>
        <w:t>מקום</w:t>
      </w:r>
      <w:r w:rsidRPr="00AA720B">
        <w:rPr>
          <w:rFonts w:ascii="Calibri" w:hAnsi="Calibri"/>
          <w:b/>
          <w:bCs/>
          <w:rtl/>
        </w:rPr>
        <w:t xml:space="preserve"> </w:t>
      </w:r>
      <w:r w:rsidRPr="00AA720B">
        <w:rPr>
          <w:rFonts w:ascii="Calibri" w:hAnsi="Calibri" w:hint="eastAsia"/>
          <w:b/>
          <w:bCs/>
          <w:rtl/>
        </w:rPr>
        <w:t>לגזור</w:t>
      </w:r>
      <w:r w:rsidRPr="00AA720B">
        <w:rPr>
          <w:rFonts w:ascii="Calibri" w:hAnsi="Calibri"/>
          <w:b/>
          <w:bCs/>
          <w:rtl/>
        </w:rPr>
        <w:t xml:space="preserve"> </w:t>
      </w:r>
      <w:r w:rsidRPr="00AA720B">
        <w:rPr>
          <w:rFonts w:ascii="Calibri" w:hAnsi="Calibri" w:hint="eastAsia"/>
          <w:b/>
          <w:bCs/>
          <w:rtl/>
        </w:rPr>
        <w:t>גזירה</w:t>
      </w:r>
      <w:r w:rsidRPr="00AA720B">
        <w:rPr>
          <w:rFonts w:ascii="Calibri" w:hAnsi="Calibri"/>
          <w:b/>
          <w:bCs/>
          <w:rtl/>
        </w:rPr>
        <w:t xml:space="preserve"> </w:t>
      </w:r>
      <w:r w:rsidRPr="00AA720B">
        <w:rPr>
          <w:rFonts w:ascii="Calibri" w:hAnsi="Calibri" w:hint="eastAsia"/>
          <w:b/>
          <w:bCs/>
          <w:rtl/>
        </w:rPr>
        <w:t>שווה</w:t>
      </w:r>
      <w:r w:rsidRPr="00AA720B">
        <w:rPr>
          <w:rFonts w:ascii="Calibri" w:hAnsi="Calibri"/>
          <w:b/>
          <w:bCs/>
          <w:rtl/>
        </w:rPr>
        <w:t xml:space="preserve"> </w:t>
      </w:r>
      <w:r w:rsidRPr="00AA720B">
        <w:rPr>
          <w:rFonts w:ascii="Calibri" w:hAnsi="Calibri" w:hint="eastAsia"/>
          <w:b/>
          <w:bCs/>
          <w:rtl/>
        </w:rPr>
        <w:t>למצב</w:t>
      </w:r>
      <w:r w:rsidRPr="00AA720B">
        <w:rPr>
          <w:rFonts w:ascii="Calibri" w:hAnsi="Calibri"/>
          <w:b/>
          <w:bCs/>
          <w:rtl/>
        </w:rPr>
        <w:t xml:space="preserve"> </w:t>
      </w:r>
      <w:r w:rsidRPr="00AA720B">
        <w:rPr>
          <w:rFonts w:ascii="Calibri" w:hAnsi="Calibri" w:hint="eastAsia"/>
          <w:b/>
          <w:bCs/>
          <w:rtl/>
        </w:rPr>
        <w:t>בו</w:t>
      </w:r>
      <w:r w:rsidRPr="00AA720B">
        <w:rPr>
          <w:rFonts w:ascii="Calibri" w:hAnsi="Calibri"/>
          <w:b/>
          <w:bCs/>
          <w:rtl/>
        </w:rPr>
        <w:t xml:space="preserve"> </w:t>
      </w:r>
      <w:r w:rsidRPr="00AA720B">
        <w:rPr>
          <w:rFonts w:ascii="Calibri" w:hAnsi="Calibri" w:hint="eastAsia"/>
          <w:b/>
          <w:bCs/>
          <w:rtl/>
        </w:rPr>
        <w:t>מספר</w:t>
      </w:r>
      <w:r w:rsidRPr="00AA720B">
        <w:rPr>
          <w:rFonts w:ascii="Calibri" w:hAnsi="Calibri"/>
          <w:b/>
          <w:bCs/>
          <w:rtl/>
        </w:rPr>
        <w:t xml:space="preserve"> </w:t>
      </w:r>
      <w:r w:rsidRPr="00AA720B">
        <w:rPr>
          <w:rFonts w:ascii="Calibri" w:hAnsi="Calibri" w:hint="eastAsia"/>
          <w:b/>
          <w:bCs/>
          <w:rtl/>
        </w:rPr>
        <w:t>נאשמים</w:t>
      </w:r>
      <w:r w:rsidRPr="00AA720B">
        <w:rPr>
          <w:rFonts w:ascii="Calibri" w:hAnsi="Calibri"/>
          <w:b/>
          <w:bCs/>
          <w:rtl/>
        </w:rPr>
        <w:t xml:space="preserve"> </w:t>
      </w:r>
      <w:r w:rsidRPr="00AA720B">
        <w:rPr>
          <w:rFonts w:ascii="Calibri" w:hAnsi="Calibri" w:hint="eastAsia"/>
          <w:b/>
          <w:bCs/>
          <w:rtl/>
        </w:rPr>
        <w:t>מורשעים</w:t>
      </w:r>
      <w:r w:rsidRPr="00AA720B">
        <w:rPr>
          <w:rFonts w:ascii="Calibri" w:hAnsi="Calibri"/>
          <w:b/>
          <w:bCs/>
          <w:rtl/>
        </w:rPr>
        <w:t xml:space="preserve"> </w:t>
      </w:r>
      <w:r w:rsidRPr="00AA720B">
        <w:rPr>
          <w:rFonts w:ascii="Calibri" w:hAnsi="Calibri" w:hint="eastAsia"/>
          <w:b/>
          <w:bCs/>
          <w:rtl/>
        </w:rPr>
        <w:t>בגין</w:t>
      </w:r>
      <w:r w:rsidRPr="00AA720B">
        <w:rPr>
          <w:rFonts w:ascii="Calibri" w:hAnsi="Calibri"/>
          <w:b/>
          <w:bCs/>
          <w:rtl/>
        </w:rPr>
        <w:t xml:space="preserve"> </w:t>
      </w:r>
      <w:r w:rsidRPr="00AA720B">
        <w:rPr>
          <w:rFonts w:ascii="Calibri" w:hAnsi="Calibri" w:hint="eastAsia"/>
          <w:b/>
          <w:bCs/>
          <w:rtl/>
        </w:rPr>
        <w:t>אותו</w:t>
      </w:r>
      <w:r w:rsidRPr="00AA720B">
        <w:rPr>
          <w:rFonts w:ascii="Calibri" w:hAnsi="Calibri"/>
          <w:b/>
          <w:bCs/>
          <w:rtl/>
        </w:rPr>
        <w:t xml:space="preserve"> </w:t>
      </w:r>
      <w:r w:rsidRPr="00AA720B">
        <w:rPr>
          <w:rFonts w:ascii="Calibri" w:hAnsi="Calibri" w:hint="eastAsia"/>
          <w:b/>
          <w:bCs/>
          <w:rtl/>
        </w:rPr>
        <w:t>מעשה</w:t>
      </w:r>
      <w:r w:rsidRPr="00AA720B">
        <w:rPr>
          <w:rFonts w:ascii="Calibri" w:hAnsi="Calibri"/>
          <w:b/>
          <w:bCs/>
          <w:rtl/>
        </w:rPr>
        <w:t xml:space="preserve"> </w:t>
      </w:r>
      <w:r w:rsidRPr="00AA720B">
        <w:rPr>
          <w:rFonts w:ascii="Calibri" w:hAnsi="Calibri" w:hint="eastAsia"/>
          <w:b/>
          <w:bCs/>
          <w:rtl/>
        </w:rPr>
        <w:t>עבירה</w:t>
      </w:r>
      <w:r w:rsidRPr="00AA720B">
        <w:rPr>
          <w:rFonts w:ascii="Calibri" w:hAnsi="Calibri"/>
          <w:b/>
          <w:bCs/>
          <w:rtl/>
        </w:rPr>
        <w:t xml:space="preserve"> </w:t>
      </w:r>
      <w:r w:rsidRPr="00AA720B">
        <w:rPr>
          <w:rFonts w:ascii="Calibri" w:hAnsi="Calibri" w:hint="eastAsia"/>
          <w:b/>
          <w:bCs/>
          <w:rtl/>
        </w:rPr>
        <w:t>מבחינת</w:t>
      </w:r>
      <w:r w:rsidRPr="00AA720B">
        <w:rPr>
          <w:rFonts w:ascii="Calibri" w:hAnsi="Calibri"/>
          <w:b/>
          <w:bCs/>
          <w:rtl/>
        </w:rPr>
        <w:t xml:space="preserve"> </w:t>
      </w:r>
      <w:r w:rsidRPr="00AA720B">
        <w:rPr>
          <w:rFonts w:ascii="Calibri" w:hAnsi="Calibri" w:hint="eastAsia"/>
          <w:b/>
          <w:bCs/>
          <w:rtl/>
        </w:rPr>
        <w:t>תכלית</w:t>
      </w:r>
      <w:r w:rsidRPr="00AA720B">
        <w:rPr>
          <w:rFonts w:ascii="Calibri" w:hAnsi="Calibri"/>
          <w:b/>
          <w:bCs/>
          <w:rtl/>
        </w:rPr>
        <w:t xml:space="preserve"> </w:t>
      </w:r>
      <w:r w:rsidRPr="00AA720B">
        <w:rPr>
          <w:rFonts w:ascii="Calibri" w:hAnsi="Calibri" w:hint="eastAsia"/>
          <w:b/>
          <w:bCs/>
          <w:rtl/>
        </w:rPr>
        <w:t>הגבלת</w:t>
      </w:r>
      <w:r w:rsidRPr="00AA720B">
        <w:rPr>
          <w:rFonts w:ascii="Calibri" w:hAnsi="Calibri"/>
          <w:b/>
          <w:bCs/>
          <w:rtl/>
        </w:rPr>
        <w:t xml:space="preserve"> </w:t>
      </w:r>
      <w:r w:rsidRPr="00AA720B">
        <w:rPr>
          <w:rFonts w:ascii="Calibri" w:hAnsi="Calibri" w:hint="eastAsia"/>
          <w:b/>
          <w:bCs/>
          <w:rtl/>
        </w:rPr>
        <w:t>סכום</w:t>
      </w:r>
      <w:r w:rsidRPr="00AA720B">
        <w:rPr>
          <w:rFonts w:ascii="Calibri" w:hAnsi="Calibri"/>
          <w:b/>
          <w:bCs/>
          <w:rtl/>
        </w:rPr>
        <w:t xml:space="preserve"> </w:t>
      </w:r>
      <w:r w:rsidRPr="00AA720B">
        <w:rPr>
          <w:rFonts w:ascii="Calibri" w:hAnsi="Calibri" w:hint="eastAsia"/>
          <w:b/>
          <w:bCs/>
          <w:rtl/>
        </w:rPr>
        <w:t>הפיצוי</w:t>
      </w:r>
      <w:r w:rsidRPr="00AA720B">
        <w:rPr>
          <w:rFonts w:ascii="Calibri" w:hAnsi="Calibri"/>
          <w:b/>
          <w:bCs/>
          <w:rtl/>
        </w:rPr>
        <w:t xml:space="preserve">. </w:t>
      </w:r>
      <w:r w:rsidRPr="00AA720B">
        <w:rPr>
          <w:rFonts w:ascii="Calibri" w:hAnsi="Calibri" w:hint="eastAsia"/>
          <w:b/>
          <w:bCs/>
          <w:rtl/>
        </w:rPr>
        <w:t>מסקנה</w:t>
      </w:r>
      <w:r w:rsidRPr="00AA720B">
        <w:rPr>
          <w:rFonts w:ascii="Calibri" w:hAnsi="Calibri"/>
          <w:b/>
          <w:bCs/>
          <w:rtl/>
        </w:rPr>
        <w:t xml:space="preserve"> </w:t>
      </w:r>
      <w:r w:rsidRPr="00AA720B">
        <w:rPr>
          <w:rFonts w:ascii="Calibri" w:hAnsi="Calibri" w:hint="eastAsia"/>
          <w:b/>
          <w:bCs/>
          <w:rtl/>
        </w:rPr>
        <w:t>זו</w:t>
      </w:r>
      <w:r w:rsidRPr="00AA720B">
        <w:rPr>
          <w:rFonts w:ascii="Calibri" w:hAnsi="Calibri"/>
          <w:b/>
          <w:bCs/>
          <w:rtl/>
        </w:rPr>
        <w:t xml:space="preserve"> </w:t>
      </w:r>
      <w:r w:rsidRPr="00AA720B">
        <w:rPr>
          <w:rFonts w:ascii="Calibri" w:hAnsi="Calibri" w:hint="eastAsia"/>
          <w:b/>
          <w:bCs/>
          <w:rtl/>
        </w:rPr>
        <w:t>עולה</w:t>
      </w:r>
      <w:r w:rsidRPr="00AA720B">
        <w:rPr>
          <w:rFonts w:ascii="Calibri" w:hAnsi="Calibri"/>
          <w:b/>
          <w:bCs/>
          <w:rtl/>
        </w:rPr>
        <w:t xml:space="preserve"> </w:t>
      </w:r>
      <w:r w:rsidRPr="00AA720B">
        <w:rPr>
          <w:rFonts w:ascii="Calibri" w:hAnsi="Calibri" w:hint="eastAsia"/>
          <w:b/>
          <w:bCs/>
          <w:rtl/>
        </w:rPr>
        <w:t>בבירור</w:t>
      </w:r>
      <w:r w:rsidRPr="00AA720B">
        <w:rPr>
          <w:rFonts w:ascii="Calibri" w:hAnsi="Calibri"/>
          <w:b/>
          <w:bCs/>
          <w:rtl/>
        </w:rPr>
        <w:t xml:space="preserve"> </w:t>
      </w:r>
      <w:r w:rsidRPr="00AA720B">
        <w:rPr>
          <w:rFonts w:ascii="Calibri" w:hAnsi="Calibri" w:hint="eastAsia"/>
          <w:b/>
          <w:bCs/>
          <w:rtl/>
        </w:rPr>
        <w:t>גם</w:t>
      </w:r>
      <w:r w:rsidRPr="00AA720B">
        <w:rPr>
          <w:rFonts w:ascii="Calibri" w:hAnsi="Calibri"/>
          <w:b/>
          <w:bCs/>
          <w:rtl/>
        </w:rPr>
        <w:t xml:space="preserve"> </w:t>
      </w:r>
      <w:r w:rsidRPr="00AA720B">
        <w:rPr>
          <w:rFonts w:ascii="Calibri" w:hAnsi="Calibri" w:hint="eastAsia"/>
          <w:b/>
          <w:bCs/>
          <w:rtl/>
        </w:rPr>
        <w:t>מלשון</w:t>
      </w:r>
      <w:r w:rsidRPr="00AA720B">
        <w:rPr>
          <w:rFonts w:ascii="Calibri" w:hAnsi="Calibri"/>
          <w:b/>
          <w:bCs/>
          <w:rtl/>
        </w:rPr>
        <w:t xml:space="preserve"> </w:t>
      </w:r>
      <w:r w:rsidRPr="00AA720B">
        <w:rPr>
          <w:rFonts w:ascii="Calibri" w:hAnsi="Calibri" w:hint="eastAsia"/>
          <w:b/>
          <w:bCs/>
          <w:rtl/>
        </w:rPr>
        <w:t>הוראת</w:t>
      </w:r>
      <w:r w:rsidRPr="00AA720B">
        <w:rPr>
          <w:rFonts w:ascii="Calibri" w:hAnsi="Calibri"/>
          <w:b/>
          <w:bCs/>
          <w:rtl/>
        </w:rPr>
        <w:t xml:space="preserve"> </w:t>
      </w:r>
      <w:r w:rsidRPr="00AA720B">
        <w:rPr>
          <w:rFonts w:ascii="Calibri" w:hAnsi="Calibri" w:hint="eastAsia"/>
          <w:b/>
          <w:bCs/>
          <w:rtl/>
        </w:rPr>
        <w:t>החוק</w:t>
      </w:r>
      <w:r w:rsidRPr="00AA720B">
        <w:rPr>
          <w:rFonts w:ascii="Calibri" w:hAnsi="Calibri"/>
          <w:b/>
          <w:bCs/>
          <w:rtl/>
        </w:rPr>
        <w:t xml:space="preserve"> </w:t>
      </w:r>
      <w:r w:rsidRPr="00AA720B">
        <w:rPr>
          <w:rFonts w:ascii="Calibri" w:hAnsi="Calibri" w:hint="eastAsia"/>
          <w:b/>
          <w:bCs/>
          <w:rtl/>
        </w:rPr>
        <w:t>המסמיכה</w:t>
      </w:r>
      <w:r w:rsidRPr="00AA720B">
        <w:rPr>
          <w:rFonts w:ascii="Calibri" w:hAnsi="Calibri"/>
          <w:b/>
          <w:bCs/>
          <w:rtl/>
        </w:rPr>
        <w:t xml:space="preserve"> </w:t>
      </w:r>
      <w:r w:rsidRPr="00AA720B">
        <w:rPr>
          <w:rFonts w:ascii="Calibri" w:hAnsi="Calibri" w:hint="eastAsia"/>
          <w:b/>
          <w:bCs/>
          <w:rtl/>
        </w:rPr>
        <w:t>את</w:t>
      </w:r>
      <w:r w:rsidRPr="00AA720B">
        <w:rPr>
          <w:rFonts w:ascii="Calibri" w:hAnsi="Calibri"/>
          <w:b/>
          <w:bCs/>
          <w:rtl/>
        </w:rPr>
        <w:t xml:space="preserve"> </w:t>
      </w:r>
      <w:r w:rsidRPr="00AA720B">
        <w:rPr>
          <w:rFonts w:ascii="Calibri" w:hAnsi="Calibri" w:hint="eastAsia"/>
          <w:b/>
          <w:bCs/>
          <w:rtl/>
        </w:rPr>
        <w:t>בית</w:t>
      </w:r>
      <w:r w:rsidRPr="00AA720B">
        <w:rPr>
          <w:rFonts w:ascii="Calibri" w:hAnsi="Calibri"/>
          <w:b/>
          <w:bCs/>
          <w:rtl/>
        </w:rPr>
        <w:t xml:space="preserve"> </w:t>
      </w:r>
      <w:r w:rsidRPr="00AA720B">
        <w:rPr>
          <w:rFonts w:ascii="Calibri" w:hAnsi="Calibri" w:hint="eastAsia"/>
          <w:b/>
          <w:bCs/>
          <w:rtl/>
        </w:rPr>
        <w:t>המשפט</w:t>
      </w:r>
      <w:r w:rsidRPr="00AA720B">
        <w:rPr>
          <w:rFonts w:ascii="Calibri" w:hAnsi="Calibri"/>
          <w:b/>
          <w:bCs/>
          <w:rtl/>
        </w:rPr>
        <w:t xml:space="preserve"> </w:t>
      </w:r>
      <w:r w:rsidRPr="00AA720B">
        <w:rPr>
          <w:rFonts w:ascii="Calibri" w:hAnsi="Calibri" w:hint="eastAsia"/>
          <w:b/>
          <w:bCs/>
          <w:rtl/>
        </w:rPr>
        <w:t>להטיל</w:t>
      </w:r>
      <w:r w:rsidRPr="00AA720B">
        <w:rPr>
          <w:rFonts w:ascii="Calibri" w:hAnsi="Calibri"/>
          <w:b/>
          <w:bCs/>
          <w:rtl/>
        </w:rPr>
        <w:t xml:space="preserve"> </w:t>
      </w:r>
      <w:r w:rsidRPr="00AA720B">
        <w:rPr>
          <w:rFonts w:ascii="Calibri" w:hAnsi="Calibri" w:hint="eastAsia"/>
          <w:b/>
          <w:bCs/>
          <w:rtl/>
        </w:rPr>
        <w:t>חיוב</w:t>
      </w:r>
      <w:r w:rsidRPr="00AA720B">
        <w:rPr>
          <w:rFonts w:ascii="Calibri" w:hAnsi="Calibri"/>
          <w:b/>
          <w:bCs/>
          <w:rtl/>
        </w:rPr>
        <w:t xml:space="preserve"> </w:t>
      </w:r>
      <w:r w:rsidRPr="00AA720B">
        <w:rPr>
          <w:rFonts w:ascii="Calibri" w:hAnsi="Calibri" w:hint="eastAsia"/>
          <w:b/>
          <w:bCs/>
          <w:rtl/>
        </w:rPr>
        <w:t>בפיצויים</w:t>
      </w:r>
      <w:r w:rsidRPr="00AA720B">
        <w:rPr>
          <w:rFonts w:ascii="Calibri" w:hAnsi="Calibri"/>
          <w:b/>
          <w:bCs/>
          <w:rtl/>
        </w:rPr>
        <w:t>....</w:t>
      </w:r>
      <w:r w:rsidRPr="00AA720B">
        <w:rPr>
          <w:rFonts w:ascii="Calibri" w:hAnsi="Calibri" w:hint="eastAsia"/>
          <w:b/>
          <w:bCs/>
          <w:u w:val="single"/>
          <w:rtl/>
        </w:rPr>
        <w:t>החיוב</w:t>
      </w:r>
      <w:r w:rsidRPr="00AA720B">
        <w:rPr>
          <w:rFonts w:ascii="Calibri" w:hAnsi="Calibri"/>
          <w:b/>
          <w:bCs/>
          <w:u w:val="single"/>
          <w:rtl/>
        </w:rPr>
        <w:t xml:space="preserve"> </w:t>
      </w:r>
      <w:r w:rsidRPr="00AA720B">
        <w:rPr>
          <w:rFonts w:ascii="Calibri" w:hAnsi="Calibri" w:hint="eastAsia"/>
          <w:b/>
          <w:bCs/>
          <w:u w:val="single"/>
          <w:rtl/>
        </w:rPr>
        <w:t>בפיצוי</w:t>
      </w:r>
      <w:r w:rsidRPr="00AA720B">
        <w:rPr>
          <w:rFonts w:ascii="Calibri" w:hAnsi="Calibri"/>
          <w:b/>
          <w:bCs/>
          <w:u w:val="single"/>
          <w:rtl/>
        </w:rPr>
        <w:t xml:space="preserve"> </w:t>
      </w:r>
      <w:r w:rsidRPr="00AA720B">
        <w:rPr>
          <w:rFonts w:ascii="Calibri" w:hAnsi="Calibri" w:hint="eastAsia"/>
          <w:b/>
          <w:bCs/>
          <w:u w:val="single"/>
          <w:rtl/>
        </w:rPr>
        <w:t>והמגבלה</w:t>
      </w:r>
      <w:r w:rsidRPr="00AA720B">
        <w:rPr>
          <w:rFonts w:ascii="Calibri" w:hAnsi="Calibri"/>
          <w:b/>
          <w:bCs/>
          <w:u w:val="single"/>
          <w:rtl/>
        </w:rPr>
        <w:t xml:space="preserve"> </w:t>
      </w:r>
      <w:r w:rsidRPr="00AA720B">
        <w:rPr>
          <w:rFonts w:ascii="Calibri" w:hAnsi="Calibri" w:hint="eastAsia"/>
          <w:b/>
          <w:bCs/>
          <w:u w:val="single"/>
          <w:rtl/>
        </w:rPr>
        <w:t>על</w:t>
      </w:r>
      <w:r w:rsidRPr="00AA720B">
        <w:rPr>
          <w:rFonts w:ascii="Calibri" w:hAnsi="Calibri"/>
          <w:b/>
          <w:bCs/>
          <w:u w:val="single"/>
          <w:rtl/>
        </w:rPr>
        <w:t xml:space="preserve"> </w:t>
      </w:r>
      <w:r w:rsidRPr="00AA720B">
        <w:rPr>
          <w:rFonts w:ascii="Calibri" w:hAnsi="Calibri" w:hint="eastAsia"/>
          <w:b/>
          <w:bCs/>
          <w:u w:val="single"/>
          <w:rtl/>
        </w:rPr>
        <w:t>שיעורו</w:t>
      </w:r>
      <w:r w:rsidRPr="00AA720B">
        <w:rPr>
          <w:rFonts w:ascii="Calibri" w:hAnsi="Calibri"/>
          <w:b/>
          <w:bCs/>
          <w:u w:val="single"/>
          <w:rtl/>
        </w:rPr>
        <w:t xml:space="preserve"> </w:t>
      </w:r>
      <w:r w:rsidRPr="00AA720B">
        <w:rPr>
          <w:rFonts w:ascii="Calibri" w:hAnsi="Calibri" w:hint="eastAsia"/>
          <w:b/>
          <w:bCs/>
          <w:u w:val="single"/>
          <w:rtl/>
        </w:rPr>
        <w:t>מתייחסים</w:t>
      </w:r>
      <w:r w:rsidRPr="00AA720B">
        <w:rPr>
          <w:rFonts w:ascii="Calibri" w:hAnsi="Calibri"/>
          <w:b/>
          <w:bCs/>
          <w:u w:val="single"/>
          <w:rtl/>
        </w:rPr>
        <w:t xml:space="preserve"> </w:t>
      </w:r>
      <w:r w:rsidRPr="00AA720B">
        <w:rPr>
          <w:rFonts w:ascii="Calibri" w:hAnsi="Calibri" w:hint="eastAsia"/>
          <w:b/>
          <w:bCs/>
          <w:u w:val="single"/>
          <w:rtl/>
        </w:rPr>
        <w:t>לכל</w:t>
      </w:r>
      <w:r w:rsidRPr="00AA720B">
        <w:rPr>
          <w:rFonts w:ascii="Calibri" w:hAnsi="Calibri"/>
          <w:b/>
          <w:bCs/>
          <w:u w:val="single"/>
          <w:rtl/>
        </w:rPr>
        <w:t xml:space="preserve"> </w:t>
      </w:r>
      <w:r w:rsidRPr="00AA720B">
        <w:rPr>
          <w:rFonts w:ascii="Calibri" w:hAnsi="Calibri" w:hint="eastAsia"/>
          <w:b/>
          <w:bCs/>
          <w:u w:val="single"/>
          <w:rtl/>
        </w:rPr>
        <w:t>אדם</w:t>
      </w:r>
      <w:r w:rsidRPr="00AA720B">
        <w:rPr>
          <w:rFonts w:ascii="Calibri" w:hAnsi="Calibri"/>
          <w:b/>
          <w:bCs/>
          <w:u w:val="single"/>
          <w:rtl/>
        </w:rPr>
        <w:t xml:space="preserve"> </w:t>
      </w:r>
      <w:r w:rsidRPr="00AA720B">
        <w:rPr>
          <w:rFonts w:ascii="Calibri" w:hAnsi="Calibri" w:hint="eastAsia"/>
          <w:b/>
          <w:bCs/>
          <w:u w:val="single"/>
          <w:rtl/>
        </w:rPr>
        <w:t>שהורשע</w:t>
      </w:r>
      <w:r w:rsidRPr="00AA720B">
        <w:rPr>
          <w:rFonts w:ascii="Calibri" w:hAnsi="Calibri"/>
          <w:b/>
          <w:bCs/>
          <w:u w:val="single"/>
          <w:rtl/>
        </w:rPr>
        <w:t xml:space="preserve">. </w:t>
      </w:r>
      <w:r w:rsidRPr="00AA720B">
        <w:rPr>
          <w:rFonts w:ascii="Calibri" w:hAnsi="Calibri" w:hint="eastAsia"/>
          <w:b/>
          <w:bCs/>
          <w:u w:val="single"/>
          <w:rtl/>
        </w:rPr>
        <w:t>לפיכך</w:t>
      </w:r>
      <w:r w:rsidRPr="00AA720B">
        <w:rPr>
          <w:rFonts w:ascii="Calibri" w:hAnsi="Calibri"/>
          <w:b/>
          <w:bCs/>
          <w:u w:val="single"/>
          <w:rtl/>
        </w:rPr>
        <w:t xml:space="preserve"> </w:t>
      </w:r>
      <w:r w:rsidRPr="00AA720B">
        <w:rPr>
          <w:rFonts w:ascii="Calibri" w:hAnsi="Calibri" w:hint="eastAsia"/>
          <w:b/>
          <w:bCs/>
          <w:u w:val="single"/>
          <w:rtl/>
        </w:rPr>
        <w:t>מקום</w:t>
      </w:r>
      <w:r w:rsidRPr="00AA720B">
        <w:rPr>
          <w:rFonts w:ascii="Calibri" w:hAnsi="Calibri"/>
          <w:b/>
          <w:bCs/>
          <w:u w:val="single"/>
          <w:rtl/>
        </w:rPr>
        <w:t xml:space="preserve"> </w:t>
      </w:r>
      <w:r w:rsidRPr="00AA720B">
        <w:rPr>
          <w:rFonts w:ascii="Calibri" w:hAnsi="Calibri" w:hint="eastAsia"/>
          <w:b/>
          <w:bCs/>
          <w:u w:val="single"/>
          <w:rtl/>
        </w:rPr>
        <w:t>בו</w:t>
      </w:r>
      <w:r w:rsidRPr="00AA720B">
        <w:rPr>
          <w:rFonts w:ascii="Calibri" w:hAnsi="Calibri"/>
          <w:b/>
          <w:bCs/>
          <w:u w:val="single"/>
          <w:rtl/>
        </w:rPr>
        <w:t xml:space="preserve"> </w:t>
      </w:r>
      <w:r w:rsidRPr="00AA720B">
        <w:rPr>
          <w:rFonts w:ascii="Calibri" w:hAnsi="Calibri" w:hint="eastAsia"/>
          <w:b/>
          <w:bCs/>
          <w:u w:val="single"/>
          <w:rtl/>
        </w:rPr>
        <w:t>מורשעים</w:t>
      </w:r>
      <w:r w:rsidRPr="00AA720B">
        <w:rPr>
          <w:rFonts w:ascii="Calibri" w:hAnsi="Calibri"/>
          <w:b/>
          <w:bCs/>
          <w:u w:val="single"/>
          <w:rtl/>
        </w:rPr>
        <w:t xml:space="preserve"> </w:t>
      </w:r>
      <w:r w:rsidRPr="00AA720B">
        <w:rPr>
          <w:rFonts w:ascii="Calibri" w:hAnsi="Calibri" w:hint="eastAsia"/>
          <w:b/>
          <w:bCs/>
          <w:u w:val="single"/>
          <w:rtl/>
        </w:rPr>
        <w:t>נאשמים</w:t>
      </w:r>
      <w:r w:rsidRPr="00AA720B">
        <w:rPr>
          <w:rFonts w:ascii="Calibri" w:hAnsi="Calibri"/>
          <w:b/>
          <w:bCs/>
          <w:u w:val="single"/>
          <w:rtl/>
        </w:rPr>
        <w:t xml:space="preserve"> </w:t>
      </w:r>
      <w:r w:rsidRPr="00AA720B">
        <w:rPr>
          <w:rFonts w:ascii="Calibri" w:hAnsi="Calibri" w:hint="eastAsia"/>
          <w:b/>
          <w:bCs/>
          <w:u w:val="single"/>
          <w:rtl/>
        </w:rPr>
        <w:t>אחדים</w:t>
      </w:r>
      <w:r w:rsidRPr="00AA720B">
        <w:rPr>
          <w:rFonts w:ascii="Calibri" w:hAnsi="Calibri"/>
          <w:b/>
          <w:bCs/>
          <w:u w:val="single"/>
          <w:rtl/>
        </w:rPr>
        <w:t xml:space="preserve">, </w:t>
      </w:r>
      <w:r w:rsidRPr="00AA720B">
        <w:rPr>
          <w:rFonts w:ascii="Calibri" w:hAnsi="Calibri" w:hint="eastAsia"/>
          <w:b/>
          <w:bCs/>
          <w:u w:val="single"/>
          <w:rtl/>
        </w:rPr>
        <w:t>גם</w:t>
      </w:r>
      <w:r w:rsidRPr="00AA720B">
        <w:rPr>
          <w:rFonts w:ascii="Calibri" w:hAnsi="Calibri"/>
          <w:b/>
          <w:bCs/>
          <w:u w:val="single"/>
          <w:rtl/>
        </w:rPr>
        <w:t xml:space="preserve"> </w:t>
      </w:r>
      <w:r w:rsidRPr="00AA720B">
        <w:rPr>
          <w:rFonts w:ascii="Calibri" w:hAnsi="Calibri" w:hint="eastAsia"/>
          <w:b/>
          <w:bCs/>
          <w:u w:val="single"/>
          <w:rtl/>
        </w:rPr>
        <w:t>אם</w:t>
      </w:r>
      <w:r w:rsidRPr="00AA720B">
        <w:rPr>
          <w:rFonts w:ascii="Calibri" w:hAnsi="Calibri"/>
          <w:b/>
          <w:bCs/>
          <w:u w:val="single"/>
          <w:rtl/>
        </w:rPr>
        <w:t xml:space="preserve"> </w:t>
      </w:r>
      <w:r w:rsidRPr="00AA720B">
        <w:rPr>
          <w:rFonts w:ascii="Calibri" w:hAnsi="Calibri" w:hint="eastAsia"/>
          <w:b/>
          <w:bCs/>
          <w:u w:val="single"/>
          <w:rtl/>
        </w:rPr>
        <w:t>באותו</w:t>
      </w:r>
      <w:r w:rsidRPr="00AA720B">
        <w:rPr>
          <w:rFonts w:ascii="Calibri" w:hAnsi="Calibri"/>
          <w:b/>
          <w:bCs/>
          <w:u w:val="single"/>
          <w:rtl/>
        </w:rPr>
        <w:t xml:space="preserve"> </w:t>
      </w:r>
      <w:r w:rsidRPr="00AA720B">
        <w:rPr>
          <w:rFonts w:ascii="Calibri" w:hAnsi="Calibri" w:hint="eastAsia"/>
          <w:b/>
          <w:bCs/>
          <w:u w:val="single"/>
          <w:rtl/>
        </w:rPr>
        <w:t>מעשה</w:t>
      </w:r>
      <w:r w:rsidRPr="00AA720B">
        <w:rPr>
          <w:rFonts w:ascii="Calibri" w:hAnsi="Calibri"/>
          <w:b/>
          <w:bCs/>
          <w:u w:val="single"/>
          <w:rtl/>
        </w:rPr>
        <w:t xml:space="preserve"> </w:t>
      </w:r>
      <w:r w:rsidRPr="00AA720B">
        <w:rPr>
          <w:rFonts w:ascii="Calibri" w:hAnsi="Calibri" w:hint="eastAsia"/>
          <w:b/>
          <w:bCs/>
          <w:u w:val="single"/>
          <w:rtl/>
        </w:rPr>
        <w:t>עבירה</w:t>
      </w:r>
      <w:r w:rsidRPr="00AA720B">
        <w:rPr>
          <w:rFonts w:ascii="Calibri" w:hAnsi="Calibri"/>
          <w:b/>
          <w:bCs/>
          <w:u w:val="single"/>
          <w:rtl/>
        </w:rPr>
        <w:t xml:space="preserve">, </w:t>
      </w:r>
      <w:r w:rsidRPr="00AA720B">
        <w:rPr>
          <w:rFonts w:ascii="Calibri" w:hAnsi="Calibri" w:hint="eastAsia"/>
          <w:b/>
          <w:bCs/>
          <w:u w:val="single"/>
          <w:rtl/>
        </w:rPr>
        <w:t>סמכות</w:t>
      </w:r>
      <w:r w:rsidRPr="00AA720B">
        <w:rPr>
          <w:rFonts w:ascii="Calibri" w:hAnsi="Calibri"/>
          <w:b/>
          <w:bCs/>
          <w:u w:val="single"/>
          <w:rtl/>
        </w:rPr>
        <w:t xml:space="preserve"> </w:t>
      </w:r>
      <w:r w:rsidRPr="00AA720B">
        <w:rPr>
          <w:rFonts w:ascii="Calibri" w:hAnsi="Calibri" w:hint="eastAsia"/>
          <w:b/>
          <w:bCs/>
          <w:u w:val="single"/>
          <w:rtl/>
        </w:rPr>
        <w:t>בית</w:t>
      </w:r>
      <w:r w:rsidRPr="00AA720B">
        <w:rPr>
          <w:rFonts w:ascii="Calibri" w:hAnsi="Calibri"/>
          <w:b/>
          <w:bCs/>
          <w:u w:val="single"/>
          <w:rtl/>
        </w:rPr>
        <w:t xml:space="preserve"> </w:t>
      </w:r>
      <w:r w:rsidRPr="00AA720B">
        <w:rPr>
          <w:rFonts w:ascii="Calibri" w:hAnsi="Calibri" w:hint="eastAsia"/>
          <w:b/>
          <w:bCs/>
          <w:u w:val="single"/>
          <w:rtl/>
        </w:rPr>
        <w:t>המשפט</w:t>
      </w:r>
      <w:r w:rsidRPr="00AA720B">
        <w:rPr>
          <w:rFonts w:ascii="Calibri" w:hAnsi="Calibri"/>
          <w:b/>
          <w:bCs/>
          <w:u w:val="single"/>
          <w:rtl/>
        </w:rPr>
        <w:t xml:space="preserve"> </w:t>
      </w:r>
      <w:r w:rsidRPr="00AA720B">
        <w:rPr>
          <w:rFonts w:ascii="Calibri" w:hAnsi="Calibri" w:hint="eastAsia"/>
          <w:b/>
          <w:bCs/>
          <w:u w:val="single"/>
          <w:rtl/>
        </w:rPr>
        <w:t>להטיל</w:t>
      </w:r>
      <w:r w:rsidRPr="00AA720B">
        <w:rPr>
          <w:rFonts w:ascii="Calibri" w:hAnsi="Calibri"/>
          <w:b/>
          <w:bCs/>
          <w:u w:val="single"/>
          <w:rtl/>
        </w:rPr>
        <w:t xml:space="preserve"> </w:t>
      </w:r>
      <w:r w:rsidRPr="00AA720B">
        <w:rPr>
          <w:rFonts w:ascii="Calibri" w:hAnsi="Calibri" w:hint="eastAsia"/>
          <w:b/>
          <w:bCs/>
          <w:u w:val="single"/>
          <w:rtl/>
        </w:rPr>
        <w:t>על</w:t>
      </w:r>
      <w:r w:rsidRPr="00AA720B">
        <w:rPr>
          <w:rFonts w:ascii="Calibri" w:hAnsi="Calibri"/>
          <w:b/>
          <w:bCs/>
          <w:u w:val="single"/>
          <w:rtl/>
        </w:rPr>
        <w:t xml:space="preserve"> </w:t>
      </w:r>
      <w:r w:rsidRPr="00AA720B">
        <w:rPr>
          <w:rFonts w:ascii="Calibri" w:hAnsi="Calibri" w:hint="eastAsia"/>
          <w:b/>
          <w:bCs/>
          <w:u w:val="single"/>
          <w:rtl/>
        </w:rPr>
        <w:t>העבריין</w:t>
      </w:r>
      <w:r w:rsidRPr="00AA720B">
        <w:rPr>
          <w:rFonts w:ascii="Calibri" w:hAnsi="Calibri"/>
          <w:b/>
          <w:bCs/>
          <w:u w:val="single"/>
          <w:rtl/>
        </w:rPr>
        <w:t xml:space="preserve"> </w:t>
      </w:r>
      <w:r w:rsidRPr="00AA720B">
        <w:rPr>
          <w:rFonts w:ascii="Calibri" w:hAnsi="Calibri" w:hint="eastAsia"/>
          <w:b/>
          <w:bCs/>
          <w:u w:val="single"/>
          <w:rtl/>
        </w:rPr>
        <w:t>לפצות</w:t>
      </w:r>
      <w:r w:rsidRPr="00AA720B">
        <w:rPr>
          <w:rFonts w:ascii="Calibri" w:hAnsi="Calibri"/>
          <w:b/>
          <w:bCs/>
          <w:u w:val="single"/>
          <w:rtl/>
        </w:rPr>
        <w:t xml:space="preserve"> </w:t>
      </w:r>
      <w:r w:rsidRPr="00AA720B">
        <w:rPr>
          <w:rFonts w:ascii="Calibri" w:hAnsi="Calibri" w:hint="eastAsia"/>
          <w:b/>
          <w:bCs/>
          <w:u w:val="single"/>
          <w:rtl/>
        </w:rPr>
        <w:t>את</w:t>
      </w:r>
      <w:r w:rsidRPr="00AA720B">
        <w:rPr>
          <w:rFonts w:ascii="Calibri" w:hAnsi="Calibri"/>
          <w:b/>
          <w:bCs/>
          <w:u w:val="single"/>
          <w:rtl/>
        </w:rPr>
        <w:t xml:space="preserve"> </w:t>
      </w:r>
      <w:r w:rsidRPr="00AA720B">
        <w:rPr>
          <w:rFonts w:ascii="Calibri" w:hAnsi="Calibri" w:hint="eastAsia"/>
          <w:b/>
          <w:bCs/>
          <w:u w:val="single"/>
          <w:rtl/>
        </w:rPr>
        <w:t>קורבן</w:t>
      </w:r>
      <w:r w:rsidRPr="00AA720B">
        <w:rPr>
          <w:rFonts w:ascii="Calibri" w:hAnsi="Calibri"/>
          <w:b/>
          <w:bCs/>
          <w:u w:val="single"/>
          <w:rtl/>
        </w:rPr>
        <w:t xml:space="preserve"> </w:t>
      </w:r>
      <w:r w:rsidRPr="00AA720B">
        <w:rPr>
          <w:rFonts w:ascii="Calibri" w:hAnsi="Calibri" w:hint="eastAsia"/>
          <w:b/>
          <w:bCs/>
          <w:u w:val="single"/>
          <w:rtl/>
        </w:rPr>
        <w:t>העבירה</w:t>
      </w:r>
      <w:r w:rsidRPr="00AA720B">
        <w:rPr>
          <w:rFonts w:ascii="Calibri" w:hAnsi="Calibri"/>
          <w:b/>
          <w:bCs/>
          <w:u w:val="single"/>
          <w:rtl/>
        </w:rPr>
        <w:t xml:space="preserve">, </w:t>
      </w:r>
      <w:r w:rsidRPr="00AA720B">
        <w:rPr>
          <w:rFonts w:ascii="Calibri" w:hAnsi="Calibri" w:hint="eastAsia"/>
          <w:b/>
          <w:bCs/>
          <w:u w:val="single"/>
          <w:rtl/>
        </w:rPr>
        <w:t>על</w:t>
      </w:r>
      <w:r w:rsidRPr="00AA720B">
        <w:rPr>
          <w:rFonts w:ascii="Calibri" w:hAnsi="Calibri"/>
          <w:b/>
          <w:bCs/>
          <w:u w:val="single"/>
          <w:rtl/>
        </w:rPr>
        <w:t>-</w:t>
      </w:r>
      <w:r w:rsidRPr="00AA720B">
        <w:rPr>
          <w:rFonts w:ascii="Calibri" w:hAnsi="Calibri" w:hint="eastAsia"/>
          <w:b/>
          <w:bCs/>
          <w:u w:val="single"/>
          <w:rtl/>
        </w:rPr>
        <w:t>פי</w:t>
      </w:r>
      <w:r w:rsidRPr="00AA720B">
        <w:rPr>
          <w:rFonts w:ascii="Calibri" w:hAnsi="Calibri"/>
          <w:b/>
          <w:bCs/>
          <w:u w:val="single"/>
          <w:rtl/>
        </w:rPr>
        <w:t xml:space="preserve"> </w:t>
      </w:r>
      <w:r w:rsidRPr="00AA720B">
        <w:rPr>
          <w:rFonts w:ascii="Calibri" w:hAnsi="Calibri" w:hint="eastAsia"/>
          <w:b/>
          <w:bCs/>
          <w:u w:val="single"/>
          <w:rtl/>
        </w:rPr>
        <w:t>שיקול</w:t>
      </w:r>
      <w:r w:rsidRPr="00AA720B">
        <w:rPr>
          <w:rFonts w:ascii="Calibri" w:hAnsi="Calibri"/>
          <w:b/>
          <w:bCs/>
          <w:u w:val="single"/>
          <w:rtl/>
        </w:rPr>
        <w:t xml:space="preserve"> </w:t>
      </w:r>
      <w:r w:rsidRPr="00AA720B">
        <w:rPr>
          <w:rFonts w:ascii="Calibri" w:hAnsi="Calibri" w:hint="eastAsia"/>
          <w:b/>
          <w:bCs/>
          <w:u w:val="single"/>
          <w:rtl/>
        </w:rPr>
        <w:t>דעתו</w:t>
      </w:r>
      <w:r w:rsidRPr="00AA720B">
        <w:rPr>
          <w:rFonts w:ascii="Calibri" w:hAnsi="Calibri"/>
          <w:b/>
          <w:bCs/>
          <w:u w:val="single"/>
          <w:rtl/>
        </w:rPr>
        <w:t xml:space="preserve">, </w:t>
      </w:r>
      <w:r w:rsidRPr="00AA720B">
        <w:rPr>
          <w:rFonts w:ascii="Calibri" w:hAnsi="Calibri" w:hint="eastAsia"/>
          <w:b/>
          <w:bCs/>
          <w:u w:val="single"/>
          <w:rtl/>
        </w:rPr>
        <w:t>מתייחסת</w:t>
      </w:r>
      <w:r w:rsidRPr="00AA720B">
        <w:rPr>
          <w:rFonts w:ascii="Calibri" w:hAnsi="Calibri"/>
          <w:b/>
          <w:bCs/>
          <w:u w:val="single"/>
          <w:rtl/>
        </w:rPr>
        <w:t xml:space="preserve"> </w:t>
      </w:r>
      <w:r w:rsidRPr="00AA720B">
        <w:rPr>
          <w:rFonts w:ascii="Calibri" w:hAnsi="Calibri" w:hint="eastAsia"/>
          <w:b/>
          <w:bCs/>
          <w:u w:val="single"/>
          <w:rtl/>
        </w:rPr>
        <w:t>לכל</w:t>
      </w:r>
      <w:r w:rsidRPr="00AA720B">
        <w:rPr>
          <w:rFonts w:ascii="Calibri" w:hAnsi="Calibri"/>
          <w:b/>
          <w:bCs/>
          <w:u w:val="single"/>
          <w:rtl/>
        </w:rPr>
        <w:t xml:space="preserve"> </w:t>
      </w:r>
      <w:r w:rsidRPr="00AA720B">
        <w:rPr>
          <w:rFonts w:ascii="Calibri" w:hAnsi="Calibri" w:hint="eastAsia"/>
          <w:b/>
          <w:bCs/>
          <w:u w:val="single"/>
          <w:rtl/>
        </w:rPr>
        <w:t>אדם</w:t>
      </w:r>
      <w:r w:rsidRPr="00AA720B">
        <w:rPr>
          <w:rFonts w:ascii="Calibri" w:hAnsi="Calibri"/>
          <w:b/>
          <w:bCs/>
          <w:u w:val="single"/>
          <w:rtl/>
        </w:rPr>
        <w:t xml:space="preserve"> </w:t>
      </w:r>
      <w:r w:rsidRPr="00AA720B">
        <w:rPr>
          <w:rFonts w:ascii="Calibri" w:hAnsi="Calibri" w:hint="eastAsia"/>
          <w:b/>
          <w:bCs/>
          <w:u w:val="single"/>
          <w:rtl/>
        </w:rPr>
        <w:t>שהורשע</w:t>
      </w:r>
      <w:r w:rsidRPr="00AA720B">
        <w:rPr>
          <w:rFonts w:ascii="Calibri" w:hAnsi="Calibri"/>
          <w:b/>
          <w:bCs/>
          <w:u w:val="single"/>
          <w:rtl/>
        </w:rPr>
        <w:t xml:space="preserve"> </w:t>
      </w:r>
      <w:r w:rsidRPr="00AA720B">
        <w:rPr>
          <w:rFonts w:ascii="Calibri" w:hAnsi="Calibri" w:hint="eastAsia"/>
          <w:b/>
          <w:bCs/>
          <w:u w:val="single"/>
          <w:rtl/>
        </w:rPr>
        <w:t>בעבירה</w:t>
      </w:r>
      <w:r w:rsidRPr="00AA720B">
        <w:rPr>
          <w:rFonts w:ascii="Calibri" w:hAnsi="Calibri"/>
          <w:b/>
          <w:bCs/>
          <w:u w:val="single"/>
          <w:rtl/>
        </w:rPr>
        <w:t xml:space="preserve">, </w:t>
      </w:r>
      <w:r w:rsidRPr="00AA720B">
        <w:rPr>
          <w:rFonts w:ascii="Calibri" w:hAnsi="Calibri" w:hint="eastAsia"/>
          <w:b/>
          <w:bCs/>
          <w:u w:val="single"/>
          <w:rtl/>
        </w:rPr>
        <w:t>כאשר</w:t>
      </w:r>
      <w:r w:rsidRPr="00AA720B">
        <w:rPr>
          <w:rFonts w:ascii="Calibri" w:hAnsi="Calibri"/>
          <w:b/>
          <w:bCs/>
          <w:u w:val="single"/>
          <w:rtl/>
        </w:rPr>
        <w:t xml:space="preserve"> </w:t>
      </w:r>
      <w:r w:rsidRPr="00AA720B">
        <w:rPr>
          <w:rFonts w:ascii="Calibri" w:hAnsi="Calibri" w:hint="eastAsia"/>
          <w:b/>
          <w:bCs/>
          <w:u w:val="single"/>
          <w:rtl/>
        </w:rPr>
        <w:t>לגבי</w:t>
      </w:r>
      <w:r w:rsidRPr="00AA720B">
        <w:rPr>
          <w:rFonts w:ascii="Calibri" w:hAnsi="Calibri"/>
          <w:b/>
          <w:bCs/>
          <w:u w:val="single"/>
          <w:rtl/>
        </w:rPr>
        <w:t xml:space="preserve"> </w:t>
      </w:r>
      <w:r w:rsidRPr="00AA720B">
        <w:rPr>
          <w:rFonts w:ascii="Calibri" w:hAnsi="Calibri" w:hint="eastAsia"/>
          <w:b/>
          <w:bCs/>
          <w:u w:val="single"/>
          <w:rtl/>
        </w:rPr>
        <w:t>כל</w:t>
      </w:r>
      <w:r w:rsidRPr="00AA720B">
        <w:rPr>
          <w:rFonts w:ascii="Calibri" w:hAnsi="Calibri"/>
          <w:b/>
          <w:bCs/>
          <w:u w:val="single"/>
          <w:rtl/>
        </w:rPr>
        <w:t xml:space="preserve"> </w:t>
      </w:r>
      <w:r w:rsidRPr="00AA720B">
        <w:rPr>
          <w:rFonts w:ascii="Calibri" w:hAnsi="Calibri" w:hint="eastAsia"/>
          <w:b/>
          <w:bCs/>
          <w:u w:val="single"/>
          <w:rtl/>
        </w:rPr>
        <w:t>אחד</w:t>
      </w:r>
      <w:r w:rsidRPr="00AA720B">
        <w:rPr>
          <w:rFonts w:ascii="Calibri" w:hAnsi="Calibri"/>
          <w:b/>
          <w:bCs/>
          <w:u w:val="single"/>
          <w:rtl/>
        </w:rPr>
        <w:t xml:space="preserve"> </w:t>
      </w:r>
      <w:r w:rsidRPr="00AA720B">
        <w:rPr>
          <w:rFonts w:ascii="Calibri" w:hAnsi="Calibri" w:hint="eastAsia"/>
          <w:b/>
          <w:bCs/>
          <w:u w:val="single"/>
          <w:rtl/>
        </w:rPr>
        <w:t>מאלה</w:t>
      </w:r>
      <w:r w:rsidRPr="00AA720B">
        <w:rPr>
          <w:rFonts w:ascii="Calibri" w:hAnsi="Calibri"/>
          <w:b/>
          <w:bCs/>
          <w:u w:val="single"/>
          <w:rtl/>
        </w:rPr>
        <w:t xml:space="preserve"> </w:t>
      </w:r>
      <w:r w:rsidRPr="00AA720B">
        <w:rPr>
          <w:rFonts w:ascii="Calibri" w:hAnsi="Calibri" w:hint="eastAsia"/>
          <w:b/>
          <w:bCs/>
          <w:u w:val="single"/>
          <w:rtl/>
        </w:rPr>
        <w:t>קיימת</w:t>
      </w:r>
      <w:r w:rsidRPr="00AA720B">
        <w:rPr>
          <w:rFonts w:ascii="Calibri" w:hAnsi="Calibri"/>
          <w:b/>
          <w:bCs/>
          <w:u w:val="single"/>
          <w:rtl/>
        </w:rPr>
        <w:t xml:space="preserve"> </w:t>
      </w:r>
      <w:r w:rsidRPr="00AA720B">
        <w:rPr>
          <w:rFonts w:ascii="Calibri" w:hAnsi="Calibri" w:hint="eastAsia"/>
          <w:b/>
          <w:bCs/>
          <w:u w:val="single"/>
          <w:rtl/>
        </w:rPr>
        <w:t>ההגבלה</w:t>
      </w:r>
      <w:r w:rsidRPr="00AA720B">
        <w:rPr>
          <w:rFonts w:ascii="Calibri" w:hAnsi="Calibri"/>
          <w:b/>
          <w:bCs/>
          <w:u w:val="single"/>
          <w:rtl/>
        </w:rPr>
        <w:t xml:space="preserve"> </w:t>
      </w:r>
      <w:r w:rsidRPr="00AA720B">
        <w:rPr>
          <w:rFonts w:ascii="Calibri" w:hAnsi="Calibri" w:hint="eastAsia"/>
          <w:b/>
          <w:bCs/>
          <w:u w:val="single"/>
          <w:rtl/>
        </w:rPr>
        <w:t>על</w:t>
      </w:r>
      <w:r w:rsidRPr="00AA720B">
        <w:rPr>
          <w:rFonts w:ascii="Calibri" w:hAnsi="Calibri"/>
          <w:b/>
          <w:bCs/>
          <w:u w:val="single"/>
          <w:rtl/>
        </w:rPr>
        <w:t xml:space="preserve"> </w:t>
      </w:r>
      <w:r w:rsidRPr="00AA720B">
        <w:rPr>
          <w:rFonts w:ascii="Calibri" w:hAnsi="Calibri" w:hint="eastAsia"/>
          <w:b/>
          <w:bCs/>
          <w:u w:val="single"/>
          <w:rtl/>
        </w:rPr>
        <w:t>שיעור</w:t>
      </w:r>
      <w:r w:rsidRPr="00AA720B">
        <w:rPr>
          <w:rFonts w:ascii="Calibri" w:hAnsi="Calibri"/>
          <w:b/>
          <w:bCs/>
          <w:u w:val="single"/>
          <w:rtl/>
        </w:rPr>
        <w:t xml:space="preserve"> </w:t>
      </w:r>
      <w:r w:rsidRPr="00AA720B">
        <w:rPr>
          <w:rFonts w:ascii="Calibri" w:hAnsi="Calibri" w:hint="eastAsia"/>
          <w:b/>
          <w:bCs/>
          <w:u w:val="single"/>
          <w:rtl/>
        </w:rPr>
        <w:t>הפיצוי</w:t>
      </w:r>
      <w:r w:rsidRPr="00AA720B">
        <w:rPr>
          <w:rFonts w:ascii="Calibri" w:hAnsi="Calibri"/>
          <w:b/>
          <w:bCs/>
          <w:u w:val="single"/>
          <w:rtl/>
        </w:rPr>
        <w:t xml:space="preserve"> </w:t>
      </w:r>
      <w:r w:rsidRPr="00AA720B">
        <w:rPr>
          <w:rFonts w:ascii="Calibri" w:hAnsi="Calibri" w:hint="eastAsia"/>
          <w:b/>
          <w:bCs/>
          <w:u w:val="single"/>
          <w:rtl/>
        </w:rPr>
        <w:t>המקסימלי</w:t>
      </w:r>
      <w:r w:rsidRPr="00AA720B">
        <w:rPr>
          <w:rFonts w:ascii="Calibri" w:hAnsi="Calibri"/>
          <w:b/>
          <w:bCs/>
          <w:u w:val="single"/>
          <w:rtl/>
        </w:rPr>
        <w:t xml:space="preserve"> </w:t>
      </w:r>
      <w:r w:rsidRPr="00AA720B">
        <w:rPr>
          <w:rFonts w:ascii="Calibri" w:hAnsi="Calibri" w:hint="eastAsia"/>
          <w:b/>
          <w:bCs/>
          <w:u w:val="single"/>
          <w:rtl/>
        </w:rPr>
        <w:t>הקבוע</w:t>
      </w:r>
      <w:r w:rsidRPr="00AA720B">
        <w:rPr>
          <w:rFonts w:ascii="Calibri" w:hAnsi="Calibri"/>
          <w:b/>
          <w:bCs/>
          <w:u w:val="single"/>
          <w:rtl/>
        </w:rPr>
        <w:t xml:space="preserve"> </w:t>
      </w:r>
      <w:r w:rsidRPr="00AA720B">
        <w:rPr>
          <w:rFonts w:ascii="Calibri" w:hAnsi="Calibri" w:hint="eastAsia"/>
          <w:b/>
          <w:bCs/>
          <w:u w:val="single"/>
          <w:rtl/>
        </w:rPr>
        <w:t>בחוק</w:t>
      </w:r>
      <w:r w:rsidRPr="00AA720B">
        <w:rPr>
          <w:rFonts w:ascii="Calibri" w:hAnsi="Calibri"/>
          <w:b/>
          <w:bCs/>
          <w:rtl/>
        </w:rPr>
        <w:t>".</w:t>
      </w:r>
    </w:p>
    <w:p w14:paraId="10F91544" w14:textId="77777777" w:rsidR="0037227B" w:rsidRPr="00AA720B" w:rsidRDefault="0037227B" w:rsidP="002E6F99">
      <w:pPr>
        <w:widowControl w:val="0"/>
        <w:spacing w:before="240" w:after="240" w:line="360" w:lineRule="auto"/>
        <w:jc w:val="both"/>
        <w:rPr>
          <w:rFonts w:ascii="Calibri" w:hAnsi="Calibri"/>
          <w:rtl/>
        </w:rPr>
      </w:pPr>
      <w:r w:rsidRPr="00AA720B">
        <w:rPr>
          <w:rFonts w:ascii="Calibri" w:hAnsi="Calibri" w:hint="eastAsia"/>
          <w:rtl/>
        </w:rPr>
        <w:t>אשר</w:t>
      </w:r>
      <w:r w:rsidRPr="00AA720B">
        <w:rPr>
          <w:rFonts w:ascii="Calibri" w:hAnsi="Calibri"/>
          <w:rtl/>
        </w:rPr>
        <w:t xml:space="preserve"> </w:t>
      </w:r>
      <w:r w:rsidRPr="00AA720B">
        <w:rPr>
          <w:rFonts w:ascii="Calibri" w:hAnsi="Calibri" w:hint="eastAsia"/>
          <w:rtl/>
        </w:rPr>
        <w:t>ל</w:t>
      </w:r>
      <w:hyperlink r:id="rId74" w:history="1">
        <w:r w:rsidR="00190E23" w:rsidRPr="00190E23">
          <w:rPr>
            <w:rFonts w:ascii="Calibri" w:hAnsi="Calibri" w:hint="eastAsia"/>
            <w:color w:val="0000FF"/>
            <w:u w:val="single"/>
            <w:rtl/>
          </w:rPr>
          <w:t>ע</w:t>
        </w:r>
        <w:r w:rsidR="00190E23" w:rsidRPr="00190E23">
          <w:rPr>
            <w:rFonts w:ascii="Calibri" w:hAnsi="Calibri"/>
            <w:color w:val="0000FF"/>
            <w:u w:val="single"/>
            <w:rtl/>
          </w:rPr>
          <w:t>"</w:t>
        </w:r>
        <w:r w:rsidR="00190E23" w:rsidRPr="00190E23">
          <w:rPr>
            <w:rFonts w:ascii="Calibri" w:hAnsi="Calibri" w:hint="eastAsia"/>
            <w:color w:val="0000FF"/>
            <w:u w:val="single"/>
            <w:rtl/>
          </w:rPr>
          <w:t>פ</w:t>
        </w:r>
        <w:r w:rsidR="00190E23" w:rsidRPr="00190E23">
          <w:rPr>
            <w:rFonts w:ascii="Calibri" w:hAnsi="Calibri"/>
            <w:color w:val="0000FF"/>
            <w:u w:val="single"/>
            <w:rtl/>
          </w:rPr>
          <w:t xml:space="preserve"> 2356/17</w:t>
        </w:r>
      </w:hyperlink>
      <w:r w:rsidRPr="00AA720B">
        <w:rPr>
          <w:rFonts w:ascii="Calibri" w:hAnsi="Calibri"/>
          <w:rtl/>
        </w:rPr>
        <w:t xml:space="preserve"> </w:t>
      </w:r>
      <w:r w:rsidRPr="00AA720B">
        <w:rPr>
          <w:rFonts w:ascii="Calibri" w:hAnsi="Calibri" w:hint="eastAsia"/>
          <w:b/>
          <w:bCs/>
          <w:rtl/>
        </w:rPr>
        <w:t>סמיח</w:t>
      </w:r>
      <w:r w:rsidRPr="00AA720B">
        <w:rPr>
          <w:rFonts w:ascii="Calibri" w:hAnsi="Calibri"/>
          <w:b/>
          <w:bCs/>
          <w:rtl/>
        </w:rPr>
        <w:t xml:space="preserve"> </w:t>
      </w:r>
      <w:r w:rsidRPr="00AA720B">
        <w:rPr>
          <w:rFonts w:ascii="Calibri" w:hAnsi="Calibri" w:hint="eastAsia"/>
          <w:b/>
          <w:bCs/>
          <w:rtl/>
        </w:rPr>
        <w:t>רגבי</w:t>
      </w:r>
      <w:r w:rsidRPr="00AA720B">
        <w:rPr>
          <w:rFonts w:ascii="Calibri" w:hAnsi="Calibri"/>
          <w:b/>
          <w:bCs/>
          <w:rtl/>
        </w:rPr>
        <w:t xml:space="preserve"> </w:t>
      </w:r>
      <w:r w:rsidRPr="00AA720B">
        <w:rPr>
          <w:rFonts w:ascii="Calibri" w:hAnsi="Calibri" w:hint="eastAsia"/>
          <w:b/>
          <w:bCs/>
          <w:rtl/>
        </w:rPr>
        <w:t>ואח</w:t>
      </w:r>
      <w:r w:rsidRPr="00AA720B">
        <w:rPr>
          <w:rFonts w:ascii="Calibri" w:hAnsi="Calibri"/>
          <w:b/>
          <w:bCs/>
          <w:rtl/>
        </w:rPr>
        <w:t xml:space="preserve">' </w:t>
      </w:r>
      <w:r w:rsidRPr="00AA720B">
        <w:rPr>
          <w:rFonts w:ascii="Calibri" w:hAnsi="Calibri" w:hint="eastAsia"/>
          <w:b/>
          <w:bCs/>
          <w:rtl/>
        </w:rPr>
        <w:t>נ</w:t>
      </w:r>
      <w:r w:rsidRPr="00AA720B">
        <w:rPr>
          <w:rFonts w:ascii="Calibri" w:hAnsi="Calibri"/>
          <w:b/>
          <w:bCs/>
          <w:rtl/>
        </w:rPr>
        <w:t xml:space="preserve">' </w:t>
      </w:r>
      <w:r w:rsidRPr="00AA720B">
        <w:rPr>
          <w:rFonts w:ascii="Calibri" w:hAnsi="Calibri" w:hint="eastAsia"/>
          <w:b/>
          <w:bCs/>
          <w:rtl/>
        </w:rPr>
        <w:t>מדינת</w:t>
      </w:r>
      <w:r w:rsidRPr="00AA720B">
        <w:rPr>
          <w:rFonts w:ascii="Calibri" w:hAnsi="Calibri"/>
          <w:b/>
          <w:bCs/>
          <w:rtl/>
        </w:rPr>
        <w:t xml:space="preserve"> </w:t>
      </w:r>
      <w:r w:rsidRPr="00AA720B">
        <w:rPr>
          <w:rFonts w:ascii="Calibri" w:hAnsi="Calibri" w:hint="eastAsia"/>
          <w:b/>
          <w:bCs/>
          <w:rtl/>
        </w:rPr>
        <w:t>ישראל</w:t>
      </w:r>
      <w:r w:rsidRPr="00AA720B">
        <w:rPr>
          <w:rFonts w:ascii="Calibri" w:hAnsi="Calibri"/>
          <w:rtl/>
        </w:rPr>
        <w:t xml:space="preserve"> </w:t>
      </w:r>
      <w:r w:rsidR="00AD1D7C" w:rsidRPr="00AD1D7C">
        <w:rPr>
          <w:sz w:val="22"/>
          <w:rtl/>
        </w:rPr>
        <w:t>[</w:t>
      </w:r>
      <w:r w:rsidR="00AD1D7C" w:rsidRPr="00AD1D7C">
        <w:rPr>
          <w:rFonts w:hint="eastAsia"/>
          <w:sz w:val="22"/>
          <w:rtl/>
        </w:rPr>
        <w:t>פורסם</w:t>
      </w:r>
      <w:r w:rsidR="00AD1D7C" w:rsidRPr="00AD1D7C">
        <w:rPr>
          <w:sz w:val="22"/>
          <w:rtl/>
        </w:rPr>
        <w:t xml:space="preserve"> </w:t>
      </w:r>
      <w:r w:rsidR="00AD1D7C" w:rsidRPr="00AD1D7C">
        <w:rPr>
          <w:rFonts w:hint="eastAsia"/>
          <w:sz w:val="22"/>
          <w:rtl/>
        </w:rPr>
        <w:t>בנבו</w:t>
      </w:r>
      <w:r w:rsidR="00AD1D7C" w:rsidRPr="00AD1D7C">
        <w:rPr>
          <w:sz w:val="22"/>
          <w:rtl/>
        </w:rPr>
        <w:t xml:space="preserve">] </w:t>
      </w:r>
      <w:r w:rsidRPr="00AA720B">
        <w:rPr>
          <w:rFonts w:ascii="Calibri" w:hAnsi="Calibri"/>
          <w:rtl/>
        </w:rPr>
        <w:t xml:space="preserve">(29.6.2020) </w:t>
      </w:r>
      <w:r w:rsidRPr="00AA720B">
        <w:rPr>
          <w:rFonts w:ascii="Calibri" w:hAnsi="Calibri" w:hint="eastAsia"/>
          <w:rtl/>
        </w:rPr>
        <w:t>אשר</w:t>
      </w:r>
      <w:r w:rsidRPr="00AA720B">
        <w:rPr>
          <w:rFonts w:ascii="Calibri" w:hAnsi="Calibri"/>
          <w:rtl/>
        </w:rPr>
        <w:t xml:space="preserve"> </w:t>
      </w:r>
      <w:r w:rsidRPr="00AA720B">
        <w:rPr>
          <w:rFonts w:ascii="Calibri" w:hAnsi="Calibri" w:hint="eastAsia"/>
          <w:rtl/>
        </w:rPr>
        <w:t>הובא</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ידי</w:t>
      </w:r>
      <w:r w:rsidRPr="00AA720B">
        <w:rPr>
          <w:rFonts w:ascii="Calibri" w:hAnsi="Calibri"/>
          <w:rtl/>
        </w:rPr>
        <w:t xml:space="preserve"> </w:t>
      </w:r>
      <w:r w:rsidRPr="00AA720B">
        <w:rPr>
          <w:rFonts w:ascii="Calibri" w:hAnsi="Calibri" w:hint="eastAsia"/>
          <w:rtl/>
        </w:rPr>
        <w:t>הסניגור</w:t>
      </w:r>
      <w:r w:rsidRPr="00AA720B">
        <w:rPr>
          <w:rFonts w:ascii="Calibri" w:hAnsi="Calibri"/>
          <w:rtl/>
        </w:rPr>
        <w:t xml:space="preserve">, </w:t>
      </w:r>
      <w:r w:rsidRPr="00AA720B">
        <w:rPr>
          <w:rFonts w:ascii="Calibri" w:hAnsi="Calibri" w:hint="eastAsia"/>
          <w:rtl/>
        </w:rPr>
        <w:t>הרי</w:t>
      </w:r>
      <w:r w:rsidRPr="00AA720B">
        <w:rPr>
          <w:rFonts w:ascii="Calibri" w:hAnsi="Calibri"/>
          <w:rtl/>
        </w:rPr>
        <w:t xml:space="preserve"> </w:t>
      </w:r>
      <w:r w:rsidRPr="00AA720B">
        <w:rPr>
          <w:rFonts w:ascii="Calibri" w:hAnsi="Calibri" w:hint="eastAsia"/>
          <w:rtl/>
        </w:rPr>
        <w:t>שבאותו</w:t>
      </w:r>
      <w:r w:rsidRPr="00AA720B">
        <w:rPr>
          <w:rFonts w:ascii="Calibri" w:hAnsi="Calibri"/>
          <w:rtl/>
        </w:rPr>
        <w:t xml:space="preserve"> </w:t>
      </w:r>
      <w:r w:rsidRPr="00AA720B">
        <w:rPr>
          <w:rFonts w:ascii="Calibri" w:hAnsi="Calibri" w:hint="eastAsia"/>
          <w:rtl/>
        </w:rPr>
        <w:t>עניין</w:t>
      </w:r>
      <w:r w:rsidRPr="00AA720B">
        <w:rPr>
          <w:rFonts w:ascii="Calibri" w:hAnsi="Calibri"/>
          <w:rtl/>
        </w:rPr>
        <w:t xml:space="preserve"> </w:t>
      </w:r>
      <w:r w:rsidRPr="00AA720B">
        <w:rPr>
          <w:rFonts w:ascii="Calibri" w:hAnsi="Calibri" w:hint="eastAsia"/>
          <w:rtl/>
        </w:rPr>
        <w:t>מדובר</w:t>
      </w:r>
      <w:r w:rsidRPr="00AA720B">
        <w:rPr>
          <w:rFonts w:ascii="Calibri" w:hAnsi="Calibri"/>
          <w:rtl/>
        </w:rPr>
        <w:t xml:space="preserve"> </w:t>
      </w:r>
      <w:r w:rsidRPr="00AA720B">
        <w:rPr>
          <w:rFonts w:ascii="Calibri" w:hAnsi="Calibri" w:hint="eastAsia"/>
          <w:rtl/>
        </w:rPr>
        <w:t>גם</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מספר</w:t>
      </w:r>
      <w:r w:rsidRPr="00AA720B">
        <w:rPr>
          <w:rFonts w:ascii="Calibri" w:hAnsi="Calibri"/>
          <w:rtl/>
        </w:rPr>
        <w:t xml:space="preserve"> </w:t>
      </w:r>
      <w:r w:rsidRPr="00AA720B">
        <w:rPr>
          <w:rFonts w:ascii="Calibri" w:hAnsi="Calibri" w:hint="eastAsia"/>
          <w:rtl/>
        </w:rPr>
        <w:t>נאשמים</w:t>
      </w:r>
      <w:r w:rsidRPr="00AA720B">
        <w:rPr>
          <w:rFonts w:ascii="Calibri" w:hAnsi="Calibri"/>
          <w:rtl/>
        </w:rPr>
        <w:t xml:space="preserve">. </w:t>
      </w:r>
      <w:r w:rsidRPr="00AA720B">
        <w:rPr>
          <w:rFonts w:ascii="Calibri" w:hAnsi="Calibri" w:hint="eastAsia"/>
          <w:rtl/>
        </w:rPr>
        <w:t>עם</w:t>
      </w:r>
      <w:r w:rsidRPr="00AA720B">
        <w:rPr>
          <w:rFonts w:ascii="Calibri" w:hAnsi="Calibri"/>
          <w:rtl/>
        </w:rPr>
        <w:t xml:space="preserve"> </w:t>
      </w:r>
      <w:r w:rsidRPr="00AA720B">
        <w:rPr>
          <w:rFonts w:ascii="Calibri" w:hAnsi="Calibri" w:hint="eastAsia"/>
          <w:rtl/>
        </w:rPr>
        <w:t>זאת</w:t>
      </w:r>
      <w:r w:rsidRPr="00AA720B">
        <w:rPr>
          <w:rFonts w:ascii="Calibri" w:hAnsi="Calibri"/>
          <w:rtl/>
        </w:rPr>
        <w:t xml:space="preserve"> </w:t>
      </w:r>
      <w:r w:rsidRPr="00AA720B">
        <w:rPr>
          <w:rFonts w:ascii="Calibri" w:hAnsi="Calibri" w:hint="eastAsia"/>
          <w:rtl/>
        </w:rPr>
        <w:t>קריאת</w:t>
      </w:r>
      <w:r w:rsidRPr="00AA720B">
        <w:rPr>
          <w:rFonts w:ascii="Calibri" w:hAnsi="Calibri"/>
          <w:rtl/>
        </w:rPr>
        <w:t xml:space="preserve"> </w:t>
      </w:r>
      <w:r w:rsidRPr="00AA720B">
        <w:rPr>
          <w:rFonts w:ascii="Calibri" w:hAnsi="Calibri" w:hint="eastAsia"/>
          <w:rtl/>
        </w:rPr>
        <w:t>פסק</w:t>
      </w:r>
      <w:r w:rsidRPr="00AA720B">
        <w:rPr>
          <w:rFonts w:ascii="Calibri" w:hAnsi="Calibri"/>
          <w:rtl/>
        </w:rPr>
        <w:t xml:space="preserve"> </w:t>
      </w:r>
      <w:r w:rsidRPr="00AA720B">
        <w:rPr>
          <w:rFonts w:ascii="Calibri" w:hAnsi="Calibri" w:hint="eastAsia"/>
          <w:rtl/>
        </w:rPr>
        <w:t>הדין</w:t>
      </w:r>
      <w:r w:rsidRPr="00AA720B">
        <w:rPr>
          <w:rFonts w:ascii="Calibri" w:hAnsi="Calibri"/>
          <w:rtl/>
        </w:rPr>
        <w:t xml:space="preserve"> </w:t>
      </w:r>
      <w:r w:rsidRPr="00AA720B">
        <w:rPr>
          <w:rFonts w:ascii="Calibri" w:hAnsi="Calibri" w:hint="eastAsia"/>
          <w:rtl/>
        </w:rPr>
        <w:t>מובילה</w:t>
      </w:r>
      <w:r w:rsidRPr="00AA720B">
        <w:rPr>
          <w:rFonts w:ascii="Calibri" w:hAnsi="Calibri"/>
          <w:rtl/>
        </w:rPr>
        <w:t xml:space="preserve"> </w:t>
      </w:r>
      <w:r w:rsidRPr="00AA720B">
        <w:rPr>
          <w:rFonts w:ascii="Calibri" w:hAnsi="Calibri" w:hint="eastAsia"/>
          <w:rtl/>
        </w:rPr>
        <w:t>לידי</w:t>
      </w:r>
      <w:r w:rsidRPr="00AA720B">
        <w:rPr>
          <w:rFonts w:ascii="Calibri" w:hAnsi="Calibri"/>
          <w:rtl/>
        </w:rPr>
        <w:t xml:space="preserve"> </w:t>
      </w:r>
      <w:r w:rsidRPr="00AA720B">
        <w:rPr>
          <w:rFonts w:ascii="Calibri" w:hAnsi="Calibri" w:hint="eastAsia"/>
          <w:rtl/>
        </w:rPr>
        <w:t>מסקנה</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כב</w:t>
      </w:r>
      <w:r w:rsidRPr="00AA720B">
        <w:rPr>
          <w:rFonts w:ascii="Calibri" w:hAnsi="Calibri"/>
          <w:rtl/>
        </w:rPr>
        <w:t xml:space="preserve">' </w:t>
      </w:r>
      <w:r w:rsidRPr="00AA720B">
        <w:rPr>
          <w:rFonts w:ascii="Calibri" w:hAnsi="Calibri" w:hint="eastAsia"/>
          <w:rtl/>
        </w:rPr>
        <w:t>השופט</w:t>
      </w:r>
      <w:r w:rsidRPr="00AA720B">
        <w:rPr>
          <w:rFonts w:ascii="Calibri" w:hAnsi="Calibri"/>
          <w:rtl/>
        </w:rPr>
        <w:t xml:space="preserve"> </w:t>
      </w:r>
      <w:r w:rsidRPr="00AA720B">
        <w:rPr>
          <w:rFonts w:ascii="Calibri" w:hAnsi="Calibri" w:hint="eastAsia"/>
          <w:rtl/>
        </w:rPr>
        <w:t>עמית</w:t>
      </w:r>
      <w:r w:rsidRPr="00AA720B">
        <w:rPr>
          <w:rFonts w:ascii="Calibri" w:hAnsi="Calibri"/>
          <w:rtl/>
        </w:rPr>
        <w:t xml:space="preserve"> </w:t>
      </w:r>
      <w:r w:rsidRPr="00AA720B">
        <w:rPr>
          <w:rFonts w:ascii="Calibri" w:hAnsi="Calibri" w:hint="eastAsia"/>
          <w:rtl/>
        </w:rPr>
        <w:t>קובע</w:t>
      </w:r>
      <w:r w:rsidRPr="00AA720B">
        <w:rPr>
          <w:rFonts w:ascii="Calibri" w:hAnsi="Calibri"/>
          <w:rtl/>
        </w:rPr>
        <w:t xml:space="preserve"> </w:t>
      </w:r>
      <w:r w:rsidRPr="00AA720B">
        <w:rPr>
          <w:rFonts w:ascii="Calibri" w:hAnsi="Calibri" w:hint="eastAsia"/>
          <w:rtl/>
        </w:rPr>
        <w:t>בחוות</w:t>
      </w:r>
      <w:r w:rsidRPr="00AA720B">
        <w:rPr>
          <w:rFonts w:ascii="Calibri" w:hAnsi="Calibri"/>
          <w:rtl/>
        </w:rPr>
        <w:t xml:space="preserve"> </w:t>
      </w:r>
      <w:r w:rsidRPr="00AA720B">
        <w:rPr>
          <w:rFonts w:ascii="Calibri" w:hAnsi="Calibri" w:hint="eastAsia"/>
          <w:rtl/>
        </w:rPr>
        <w:t>דעתו</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יש</w:t>
      </w:r>
      <w:r w:rsidRPr="00AA720B">
        <w:rPr>
          <w:rFonts w:ascii="Calibri" w:hAnsi="Calibri"/>
          <w:rtl/>
        </w:rPr>
        <w:t xml:space="preserve"> </w:t>
      </w:r>
      <w:r w:rsidRPr="00AA720B">
        <w:rPr>
          <w:rFonts w:ascii="Calibri" w:hAnsi="Calibri" w:hint="eastAsia"/>
          <w:rtl/>
        </w:rPr>
        <w:t>להפחית</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גובה</w:t>
      </w:r>
      <w:r w:rsidRPr="00AA720B">
        <w:rPr>
          <w:rFonts w:ascii="Calibri" w:hAnsi="Calibri"/>
          <w:rtl/>
        </w:rPr>
        <w:t xml:space="preserve"> </w:t>
      </w:r>
      <w:r w:rsidRPr="00AA720B">
        <w:rPr>
          <w:rFonts w:ascii="Calibri" w:hAnsi="Calibri" w:hint="eastAsia"/>
          <w:rtl/>
        </w:rPr>
        <w:t>הפיצוי</w:t>
      </w:r>
      <w:r w:rsidRPr="00AA720B">
        <w:rPr>
          <w:rFonts w:ascii="Calibri" w:hAnsi="Calibri"/>
          <w:rtl/>
        </w:rPr>
        <w:t xml:space="preserve"> </w:t>
      </w:r>
      <w:r w:rsidRPr="00AA720B">
        <w:rPr>
          <w:rFonts w:ascii="Calibri" w:hAnsi="Calibri" w:hint="eastAsia"/>
          <w:rtl/>
        </w:rPr>
        <w:t>הכולל</w:t>
      </w:r>
      <w:r w:rsidRPr="00AA720B">
        <w:rPr>
          <w:rFonts w:ascii="Calibri" w:hAnsi="Calibri"/>
          <w:rtl/>
        </w:rPr>
        <w:t xml:space="preserve"> </w:t>
      </w:r>
      <w:r w:rsidRPr="00AA720B">
        <w:rPr>
          <w:rFonts w:ascii="Calibri" w:hAnsi="Calibri" w:hint="eastAsia"/>
          <w:rtl/>
        </w:rPr>
        <w:t>שישולם</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ידי</w:t>
      </w:r>
      <w:r w:rsidRPr="00AA720B">
        <w:rPr>
          <w:rFonts w:ascii="Calibri" w:hAnsi="Calibri"/>
          <w:rtl/>
        </w:rPr>
        <w:t xml:space="preserve"> </w:t>
      </w:r>
      <w:r w:rsidRPr="00AA720B">
        <w:rPr>
          <w:rFonts w:ascii="Calibri" w:hAnsi="Calibri" w:hint="eastAsia"/>
          <w:rtl/>
        </w:rPr>
        <w:t>המערערים</w:t>
      </w:r>
      <w:r w:rsidRPr="00AA720B">
        <w:rPr>
          <w:rFonts w:ascii="Calibri" w:hAnsi="Calibri"/>
          <w:rtl/>
        </w:rPr>
        <w:t xml:space="preserve"> </w:t>
      </w:r>
      <w:r w:rsidRPr="00AA720B">
        <w:rPr>
          <w:rFonts w:ascii="Calibri" w:hAnsi="Calibri" w:hint="eastAsia"/>
          <w:rtl/>
        </w:rPr>
        <w:t>ביחד</w:t>
      </w:r>
      <w:r w:rsidRPr="00AA720B">
        <w:rPr>
          <w:rFonts w:ascii="Calibri" w:hAnsi="Calibri"/>
          <w:rtl/>
        </w:rPr>
        <w:t xml:space="preserve"> </w:t>
      </w:r>
      <w:r w:rsidRPr="00AA720B">
        <w:rPr>
          <w:rFonts w:ascii="Calibri" w:hAnsi="Calibri" w:hint="eastAsia"/>
          <w:rtl/>
        </w:rPr>
        <w:t>ולחוד</w:t>
      </w:r>
      <w:r w:rsidRPr="00AA720B">
        <w:rPr>
          <w:rFonts w:ascii="Calibri" w:hAnsi="Calibri"/>
          <w:rtl/>
        </w:rPr>
        <w:t xml:space="preserve"> </w:t>
      </w:r>
      <w:r w:rsidRPr="00AA720B">
        <w:rPr>
          <w:rFonts w:ascii="Calibri" w:hAnsi="Calibri" w:hint="eastAsia"/>
          <w:rtl/>
        </w:rPr>
        <w:t>לסך</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200,000 (</w:t>
      </w:r>
      <w:r w:rsidRPr="00AA720B">
        <w:rPr>
          <w:rFonts w:ascii="Calibri" w:hAnsi="Calibri" w:hint="eastAsia"/>
          <w:rtl/>
        </w:rPr>
        <w:t>תחת</w:t>
      </w:r>
      <w:r w:rsidRPr="00AA720B">
        <w:rPr>
          <w:rFonts w:ascii="Calibri" w:hAnsi="Calibri"/>
          <w:rtl/>
        </w:rPr>
        <w:t xml:space="preserve"> 250,00 </w:t>
      </w:r>
      <w:r w:rsidRPr="00AA720B">
        <w:rPr>
          <w:rFonts w:ascii="Calibri" w:hAnsi="Calibri" w:hint="eastAsia"/>
          <w:rtl/>
        </w:rPr>
        <w:t>שנקבעו</w:t>
      </w:r>
      <w:r w:rsidRPr="00AA720B">
        <w:rPr>
          <w:rFonts w:ascii="Calibri" w:hAnsi="Calibri"/>
          <w:rtl/>
        </w:rPr>
        <w:t xml:space="preserve"> </w:t>
      </w:r>
      <w:r w:rsidRPr="00AA720B">
        <w:rPr>
          <w:rFonts w:ascii="Calibri" w:hAnsi="Calibri" w:hint="eastAsia"/>
          <w:rtl/>
        </w:rPr>
        <w:t>עבור</w:t>
      </w:r>
      <w:r w:rsidRPr="00AA720B">
        <w:rPr>
          <w:rFonts w:ascii="Calibri" w:hAnsi="Calibri"/>
          <w:rtl/>
        </w:rPr>
        <w:t xml:space="preserve"> </w:t>
      </w:r>
      <w:r w:rsidRPr="00AA720B">
        <w:rPr>
          <w:rFonts w:ascii="Calibri" w:hAnsi="Calibri" w:hint="eastAsia"/>
          <w:rtl/>
        </w:rPr>
        <w:t>כל</w:t>
      </w:r>
      <w:r w:rsidRPr="00AA720B">
        <w:rPr>
          <w:rFonts w:ascii="Calibri" w:hAnsi="Calibri"/>
          <w:rtl/>
        </w:rPr>
        <w:t xml:space="preserve"> </w:t>
      </w:r>
      <w:r w:rsidRPr="00AA720B">
        <w:rPr>
          <w:rFonts w:ascii="Calibri" w:hAnsi="Calibri" w:hint="eastAsia"/>
          <w:rtl/>
        </w:rPr>
        <w:t>אחד</w:t>
      </w:r>
      <w:r w:rsidRPr="00AA720B">
        <w:rPr>
          <w:rFonts w:ascii="Calibri" w:hAnsi="Calibri"/>
          <w:rtl/>
        </w:rPr>
        <w:t xml:space="preserve"> </w:t>
      </w:r>
      <w:r w:rsidRPr="00AA720B">
        <w:rPr>
          <w:rFonts w:ascii="Calibri" w:hAnsi="Calibri" w:hint="eastAsia"/>
          <w:rtl/>
        </w:rPr>
        <w:t>בבית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המחוזי</w:t>
      </w:r>
      <w:r w:rsidRPr="00AA720B">
        <w:rPr>
          <w:rFonts w:ascii="Calibri" w:hAnsi="Calibri"/>
          <w:rtl/>
        </w:rPr>
        <w:t xml:space="preserve"> </w:t>
      </w:r>
      <w:r w:rsidRPr="00AA720B">
        <w:rPr>
          <w:rFonts w:ascii="Calibri" w:hAnsi="Calibri" w:hint="eastAsia"/>
          <w:rtl/>
        </w:rPr>
        <w:t>זאת</w:t>
      </w:r>
      <w:r w:rsidRPr="00AA720B">
        <w:rPr>
          <w:rFonts w:ascii="Calibri" w:hAnsi="Calibri"/>
          <w:rtl/>
        </w:rPr>
        <w:t xml:space="preserve"> </w:t>
      </w:r>
      <w:r w:rsidRPr="00AA720B">
        <w:rPr>
          <w:rFonts w:ascii="Calibri" w:hAnsi="Calibri" w:hint="eastAsia"/>
          <w:rtl/>
        </w:rPr>
        <w:t>בין</w:t>
      </w:r>
      <w:r w:rsidRPr="00AA720B">
        <w:rPr>
          <w:rFonts w:ascii="Calibri" w:hAnsi="Calibri"/>
          <w:rtl/>
        </w:rPr>
        <w:t xml:space="preserve"> </w:t>
      </w:r>
      <w:r w:rsidRPr="00AA720B">
        <w:rPr>
          <w:rFonts w:ascii="Calibri" w:hAnsi="Calibri" w:hint="eastAsia"/>
          <w:rtl/>
        </w:rPr>
        <w:t>היתר</w:t>
      </w:r>
      <w:r w:rsidRPr="00AA720B">
        <w:rPr>
          <w:rFonts w:ascii="Calibri" w:hAnsi="Calibri"/>
          <w:rtl/>
        </w:rPr>
        <w:t xml:space="preserve"> </w:t>
      </w:r>
      <w:r w:rsidRPr="00AA720B">
        <w:rPr>
          <w:rFonts w:ascii="Calibri" w:hAnsi="Calibri" w:hint="eastAsia"/>
          <w:rtl/>
        </w:rPr>
        <w:t>עקב</w:t>
      </w:r>
      <w:r w:rsidRPr="00AA720B">
        <w:rPr>
          <w:rFonts w:ascii="Calibri" w:hAnsi="Calibri"/>
          <w:rtl/>
        </w:rPr>
        <w:t xml:space="preserve"> </w:t>
      </w:r>
      <w:r w:rsidRPr="00AA720B">
        <w:rPr>
          <w:rFonts w:ascii="Calibri" w:hAnsi="Calibri" w:hint="eastAsia"/>
          <w:rtl/>
        </w:rPr>
        <w:t>מצב</w:t>
      </w:r>
      <w:r w:rsidRPr="00AA720B">
        <w:rPr>
          <w:rFonts w:ascii="Calibri" w:hAnsi="Calibri"/>
          <w:rtl/>
        </w:rPr>
        <w:t xml:space="preserve"> </w:t>
      </w:r>
      <w:r w:rsidRPr="00AA720B">
        <w:rPr>
          <w:rFonts w:ascii="Calibri" w:hAnsi="Calibri" w:hint="eastAsia"/>
          <w:rtl/>
        </w:rPr>
        <w:t>הכלכלי</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המערערת</w:t>
      </w:r>
      <w:r w:rsidRPr="00AA720B">
        <w:rPr>
          <w:rFonts w:ascii="Calibri" w:hAnsi="Calibri"/>
          <w:rtl/>
        </w:rPr>
        <w:t xml:space="preserve">), </w:t>
      </w:r>
      <w:r w:rsidRPr="00AA720B">
        <w:rPr>
          <w:rFonts w:ascii="Calibri" w:hAnsi="Calibri" w:hint="eastAsia"/>
          <w:rtl/>
        </w:rPr>
        <w:t>כאשר</w:t>
      </w:r>
      <w:r w:rsidRPr="00AA720B">
        <w:rPr>
          <w:rFonts w:ascii="Calibri" w:hAnsi="Calibri"/>
          <w:rtl/>
        </w:rPr>
        <w:t xml:space="preserve"> </w:t>
      </w:r>
      <w:r w:rsidRPr="00AA720B">
        <w:rPr>
          <w:rFonts w:ascii="Calibri" w:hAnsi="Calibri" w:hint="eastAsia"/>
          <w:rtl/>
        </w:rPr>
        <w:t>כב</w:t>
      </w:r>
      <w:r w:rsidRPr="00AA720B">
        <w:rPr>
          <w:rFonts w:ascii="Calibri" w:hAnsi="Calibri"/>
          <w:rtl/>
        </w:rPr>
        <w:t xml:space="preserve">' </w:t>
      </w:r>
      <w:r w:rsidRPr="00AA720B">
        <w:rPr>
          <w:rFonts w:ascii="Calibri" w:hAnsi="Calibri" w:hint="eastAsia"/>
          <w:rtl/>
        </w:rPr>
        <w:t>השופטת</w:t>
      </w:r>
      <w:r w:rsidRPr="00AA720B">
        <w:rPr>
          <w:rFonts w:ascii="Calibri" w:hAnsi="Calibri"/>
          <w:rtl/>
        </w:rPr>
        <w:t xml:space="preserve"> </w:t>
      </w:r>
      <w:r w:rsidRPr="00AA720B">
        <w:rPr>
          <w:rFonts w:ascii="Calibri" w:hAnsi="Calibri" w:hint="eastAsia"/>
          <w:rtl/>
        </w:rPr>
        <w:t>דפנה</w:t>
      </w:r>
      <w:r w:rsidRPr="00AA720B">
        <w:rPr>
          <w:rFonts w:ascii="Calibri" w:hAnsi="Calibri"/>
          <w:rtl/>
        </w:rPr>
        <w:t xml:space="preserve"> </w:t>
      </w:r>
      <w:r w:rsidRPr="00AA720B">
        <w:rPr>
          <w:rFonts w:ascii="Calibri" w:hAnsi="Calibri" w:hint="eastAsia"/>
          <w:rtl/>
        </w:rPr>
        <w:t>ברק</w:t>
      </w:r>
      <w:r w:rsidRPr="00AA720B">
        <w:rPr>
          <w:rFonts w:ascii="Calibri" w:hAnsi="Calibri"/>
          <w:rtl/>
        </w:rPr>
        <w:t xml:space="preserve"> </w:t>
      </w:r>
      <w:r w:rsidRPr="00AA720B">
        <w:rPr>
          <w:rFonts w:ascii="Calibri" w:hAnsi="Calibri" w:hint="eastAsia"/>
          <w:rtl/>
        </w:rPr>
        <w:t>ארז</w:t>
      </w:r>
      <w:r w:rsidRPr="00AA720B">
        <w:rPr>
          <w:rFonts w:ascii="Calibri" w:hAnsi="Calibri"/>
          <w:rtl/>
        </w:rPr>
        <w:t xml:space="preserve"> </w:t>
      </w:r>
      <w:r w:rsidRPr="00AA720B">
        <w:rPr>
          <w:rFonts w:ascii="Calibri" w:hAnsi="Calibri" w:hint="eastAsia"/>
          <w:rtl/>
        </w:rPr>
        <w:t>מעירה</w:t>
      </w:r>
      <w:r w:rsidRPr="00AA720B">
        <w:rPr>
          <w:rFonts w:ascii="Calibri" w:hAnsi="Calibri"/>
          <w:rtl/>
        </w:rPr>
        <w:t xml:space="preserve"> </w:t>
      </w:r>
      <w:r w:rsidRPr="00AA720B">
        <w:rPr>
          <w:rFonts w:ascii="Calibri" w:hAnsi="Calibri" w:hint="eastAsia"/>
          <w:rtl/>
        </w:rPr>
        <w:t>לעניין</w:t>
      </w:r>
      <w:r w:rsidRPr="00AA720B">
        <w:rPr>
          <w:rFonts w:ascii="Calibri" w:hAnsi="Calibri"/>
          <w:rtl/>
        </w:rPr>
        <w:t xml:space="preserve"> </w:t>
      </w:r>
      <w:r w:rsidRPr="00AA720B">
        <w:rPr>
          <w:rFonts w:ascii="Calibri" w:hAnsi="Calibri" w:hint="eastAsia"/>
          <w:rtl/>
        </w:rPr>
        <w:t>זה</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הכרעתם</w:t>
      </w:r>
      <w:r w:rsidRPr="00AA720B">
        <w:rPr>
          <w:rFonts w:ascii="Calibri" w:hAnsi="Calibri"/>
          <w:rtl/>
        </w:rPr>
        <w:t xml:space="preserve"> </w:t>
      </w:r>
      <w:r w:rsidRPr="00AA720B">
        <w:rPr>
          <w:rFonts w:ascii="Calibri" w:hAnsi="Calibri" w:hint="eastAsia"/>
          <w:rtl/>
        </w:rPr>
        <w:t>נגזרת</w:t>
      </w:r>
      <w:r w:rsidRPr="00AA720B">
        <w:rPr>
          <w:rFonts w:ascii="Calibri" w:hAnsi="Calibri"/>
          <w:rtl/>
        </w:rPr>
        <w:t xml:space="preserve"> </w:t>
      </w:r>
      <w:r w:rsidRPr="00AA720B">
        <w:rPr>
          <w:rFonts w:ascii="Calibri" w:hAnsi="Calibri" w:hint="eastAsia"/>
          <w:rtl/>
        </w:rPr>
        <w:t>מפסק</w:t>
      </w:r>
      <w:r w:rsidRPr="00AA720B">
        <w:rPr>
          <w:rFonts w:ascii="Calibri" w:hAnsi="Calibri"/>
          <w:rtl/>
        </w:rPr>
        <w:t xml:space="preserve"> </w:t>
      </w:r>
      <w:r w:rsidRPr="00AA720B">
        <w:rPr>
          <w:rFonts w:ascii="Calibri" w:hAnsi="Calibri" w:hint="eastAsia"/>
          <w:rtl/>
        </w:rPr>
        <w:t>דין</w:t>
      </w:r>
      <w:r w:rsidRPr="00AA720B">
        <w:rPr>
          <w:rFonts w:ascii="Calibri" w:hAnsi="Calibri"/>
          <w:rtl/>
        </w:rPr>
        <w:t xml:space="preserve"> </w:t>
      </w:r>
      <w:r w:rsidRPr="00AA720B">
        <w:rPr>
          <w:rFonts w:ascii="Calibri" w:hAnsi="Calibri" w:hint="eastAsia"/>
          <w:rtl/>
        </w:rPr>
        <w:t>טווק</w:t>
      </w:r>
      <w:r w:rsidRPr="00AA720B">
        <w:rPr>
          <w:rFonts w:ascii="Calibri" w:hAnsi="Calibri"/>
          <w:rtl/>
        </w:rPr>
        <w:t xml:space="preserve">, </w:t>
      </w:r>
      <w:r w:rsidRPr="00AA720B">
        <w:rPr>
          <w:rFonts w:ascii="Calibri" w:hAnsi="Calibri" w:hint="eastAsia"/>
          <w:rtl/>
        </w:rPr>
        <w:t>אשר</w:t>
      </w:r>
      <w:r w:rsidRPr="00AA720B">
        <w:rPr>
          <w:rFonts w:ascii="Calibri" w:hAnsi="Calibri"/>
          <w:rtl/>
        </w:rPr>
        <w:t xml:space="preserve"> </w:t>
      </w:r>
      <w:r w:rsidRPr="00AA720B">
        <w:rPr>
          <w:rFonts w:ascii="Calibri" w:hAnsi="Calibri" w:hint="eastAsia"/>
          <w:rtl/>
        </w:rPr>
        <w:t>חלה</w:t>
      </w:r>
      <w:r w:rsidRPr="00AA720B">
        <w:rPr>
          <w:rFonts w:ascii="Calibri" w:hAnsi="Calibri"/>
          <w:rtl/>
        </w:rPr>
        <w:t xml:space="preserve"> </w:t>
      </w:r>
      <w:r w:rsidRPr="00AA720B">
        <w:rPr>
          <w:rFonts w:ascii="Calibri" w:hAnsi="Calibri" w:hint="eastAsia"/>
          <w:rtl/>
        </w:rPr>
        <w:t>גם</w:t>
      </w:r>
      <w:r w:rsidRPr="00AA720B">
        <w:rPr>
          <w:rFonts w:ascii="Calibri" w:hAnsi="Calibri"/>
          <w:rtl/>
        </w:rPr>
        <w:t xml:space="preserve"> </w:t>
      </w:r>
      <w:r w:rsidRPr="00AA720B">
        <w:rPr>
          <w:rFonts w:ascii="Calibri" w:hAnsi="Calibri" w:hint="eastAsia"/>
          <w:rtl/>
        </w:rPr>
        <w:t>במקרה</w:t>
      </w:r>
      <w:r w:rsidRPr="00AA720B">
        <w:rPr>
          <w:rFonts w:ascii="Calibri" w:hAnsi="Calibri"/>
          <w:rtl/>
        </w:rPr>
        <w:t xml:space="preserve"> </w:t>
      </w:r>
      <w:r w:rsidRPr="00AA720B">
        <w:rPr>
          <w:rFonts w:ascii="Calibri" w:hAnsi="Calibri" w:hint="eastAsia"/>
          <w:rtl/>
        </w:rPr>
        <w:t>בו</w:t>
      </w:r>
      <w:r w:rsidRPr="00AA720B">
        <w:rPr>
          <w:rFonts w:ascii="Calibri" w:hAnsi="Calibri"/>
          <w:rtl/>
        </w:rPr>
        <w:t xml:space="preserve"> </w:t>
      </w:r>
      <w:r w:rsidRPr="00AA720B">
        <w:rPr>
          <w:rFonts w:ascii="Calibri" w:hAnsi="Calibri" w:hint="eastAsia"/>
          <w:rtl/>
        </w:rPr>
        <w:t>האחריות</w:t>
      </w:r>
      <w:r w:rsidRPr="00AA720B">
        <w:rPr>
          <w:rFonts w:ascii="Calibri" w:hAnsi="Calibri"/>
          <w:rtl/>
        </w:rPr>
        <w:t xml:space="preserve"> </w:t>
      </w:r>
      <w:r w:rsidRPr="00AA720B">
        <w:rPr>
          <w:rFonts w:ascii="Calibri" w:hAnsi="Calibri" w:hint="eastAsia"/>
          <w:rtl/>
        </w:rPr>
        <w:t>רובצת</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יותר</w:t>
      </w:r>
      <w:r w:rsidRPr="00AA720B">
        <w:rPr>
          <w:rFonts w:ascii="Calibri" w:hAnsi="Calibri"/>
          <w:rtl/>
        </w:rPr>
        <w:t xml:space="preserve"> </w:t>
      </w:r>
      <w:r w:rsidRPr="00AA720B">
        <w:rPr>
          <w:rFonts w:ascii="Calibri" w:hAnsi="Calibri" w:hint="eastAsia"/>
          <w:rtl/>
        </w:rPr>
        <w:t>מנאשם</w:t>
      </w:r>
      <w:r w:rsidRPr="00AA720B">
        <w:rPr>
          <w:rFonts w:ascii="Calibri" w:hAnsi="Calibri"/>
          <w:rtl/>
        </w:rPr>
        <w:t xml:space="preserve"> </w:t>
      </w:r>
      <w:r w:rsidRPr="00AA720B">
        <w:rPr>
          <w:rFonts w:ascii="Calibri" w:hAnsi="Calibri" w:hint="eastAsia"/>
          <w:rtl/>
        </w:rPr>
        <w:t>אחד</w:t>
      </w:r>
      <w:r w:rsidR="002E6F99" w:rsidRPr="00AA720B">
        <w:rPr>
          <w:rFonts w:ascii="Calibri" w:hAnsi="Calibri" w:hint="cs"/>
          <w:rtl/>
        </w:rPr>
        <w:t>,</w:t>
      </w:r>
      <w:r w:rsidRPr="00AA720B">
        <w:rPr>
          <w:rFonts w:ascii="Calibri" w:hAnsi="Calibri"/>
          <w:rtl/>
        </w:rPr>
        <w:t xml:space="preserve"> </w:t>
      </w:r>
      <w:r w:rsidRPr="00AA720B">
        <w:rPr>
          <w:rFonts w:ascii="Calibri" w:hAnsi="Calibri" w:hint="eastAsia"/>
          <w:rtl/>
        </w:rPr>
        <w:t>אולם</w:t>
      </w:r>
      <w:r w:rsidRPr="00AA720B">
        <w:rPr>
          <w:rFonts w:ascii="Calibri" w:hAnsi="Calibri"/>
          <w:rtl/>
        </w:rPr>
        <w:t xml:space="preserve">, </w:t>
      </w:r>
      <w:r w:rsidRPr="00AA720B">
        <w:rPr>
          <w:rFonts w:ascii="Calibri" w:hAnsi="Calibri" w:hint="eastAsia"/>
          <w:rtl/>
        </w:rPr>
        <w:t>יתר</w:t>
      </w:r>
      <w:r w:rsidRPr="00AA720B">
        <w:rPr>
          <w:rFonts w:ascii="Calibri" w:hAnsi="Calibri"/>
          <w:rtl/>
        </w:rPr>
        <w:t xml:space="preserve"> </w:t>
      </w:r>
      <w:r w:rsidRPr="00AA720B">
        <w:rPr>
          <w:rFonts w:ascii="Calibri" w:hAnsi="Calibri" w:hint="eastAsia"/>
          <w:rtl/>
        </w:rPr>
        <w:t>השופטים</w:t>
      </w:r>
      <w:r w:rsidRPr="00AA720B">
        <w:rPr>
          <w:rFonts w:ascii="Calibri" w:hAnsi="Calibri"/>
          <w:rtl/>
        </w:rPr>
        <w:t xml:space="preserve"> </w:t>
      </w:r>
      <w:r w:rsidRPr="00AA720B">
        <w:rPr>
          <w:rFonts w:ascii="Calibri" w:hAnsi="Calibri" w:hint="eastAsia"/>
          <w:rtl/>
        </w:rPr>
        <w:t>אינם</w:t>
      </w:r>
      <w:r w:rsidRPr="00AA720B">
        <w:rPr>
          <w:rFonts w:ascii="Calibri" w:hAnsi="Calibri"/>
          <w:rtl/>
        </w:rPr>
        <w:t xml:space="preserve"> </w:t>
      </w:r>
      <w:r w:rsidRPr="00AA720B">
        <w:rPr>
          <w:rFonts w:ascii="Calibri" w:hAnsi="Calibri" w:hint="eastAsia"/>
          <w:rtl/>
        </w:rPr>
        <w:t>מצטרפים</w:t>
      </w:r>
      <w:r w:rsidRPr="00AA720B">
        <w:rPr>
          <w:rFonts w:ascii="Calibri" w:hAnsi="Calibri"/>
          <w:rtl/>
        </w:rPr>
        <w:t xml:space="preserve"> </w:t>
      </w:r>
      <w:r w:rsidRPr="00AA720B">
        <w:rPr>
          <w:rFonts w:ascii="Calibri" w:hAnsi="Calibri" w:hint="eastAsia"/>
          <w:rtl/>
        </w:rPr>
        <w:t>להערותיה</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כב</w:t>
      </w:r>
      <w:r w:rsidRPr="00AA720B">
        <w:rPr>
          <w:rFonts w:ascii="Calibri" w:hAnsi="Calibri"/>
          <w:rtl/>
        </w:rPr>
        <w:t xml:space="preserve">' </w:t>
      </w:r>
      <w:r w:rsidRPr="00AA720B">
        <w:rPr>
          <w:rFonts w:ascii="Calibri" w:hAnsi="Calibri" w:hint="eastAsia"/>
          <w:rtl/>
        </w:rPr>
        <w:t>השופטת</w:t>
      </w:r>
      <w:r w:rsidRPr="00AA720B">
        <w:rPr>
          <w:rFonts w:ascii="Calibri" w:hAnsi="Calibri"/>
          <w:rtl/>
        </w:rPr>
        <w:t xml:space="preserve"> </w:t>
      </w:r>
      <w:r w:rsidRPr="00AA720B">
        <w:rPr>
          <w:rFonts w:ascii="Calibri" w:hAnsi="Calibri" w:hint="eastAsia"/>
          <w:rtl/>
        </w:rPr>
        <w:t>ברק</w:t>
      </w:r>
      <w:r w:rsidRPr="00AA720B">
        <w:rPr>
          <w:rFonts w:ascii="Calibri" w:hAnsi="Calibri"/>
          <w:rtl/>
        </w:rPr>
        <w:t xml:space="preserve"> </w:t>
      </w:r>
      <w:r w:rsidRPr="00AA720B">
        <w:rPr>
          <w:rFonts w:ascii="Calibri" w:hAnsi="Calibri" w:hint="eastAsia"/>
          <w:rtl/>
        </w:rPr>
        <w:t>ארז</w:t>
      </w:r>
      <w:r w:rsidR="002E6F99" w:rsidRPr="00AA720B">
        <w:rPr>
          <w:rFonts w:ascii="Calibri" w:hAnsi="Calibri" w:hint="cs"/>
          <w:rtl/>
        </w:rPr>
        <w:t>.</w:t>
      </w:r>
      <w:r w:rsidRPr="00AA720B">
        <w:rPr>
          <w:rFonts w:ascii="Calibri" w:hAnsi="Calibri"/>
          <w:rtl/>
        </w:rPr>
        <w:t xml:space="preserve"> </w:t>
      </w:r>
      <w:r w:rsidRPr="00AA720B">
        <w:rPr>
          <w:rFonts w:ascii="Calibri" w:hAnsi="Calibri" w:hint="eastAsia"/>
          <w:rtl/>
        </w:rPr>
        <w:t>ומכאן</w:t>
      </w:r>
      <w:r w:rsidRPr="00AA720B">
        <w:rPr>
          <w:rFonts w:ascii="Calibri" w:hAnsi="Calibri"/>
          <w:rtl/>
        </w:rPr>
        <w:t xml:space="preserve"> </w:t>
      </w:r>
      <w:r w:rsidRPr="00AA720B">
        <w:rPr>
          <w:rFonts w:ascii="Calibri" w:hAnsi="Calibri" w:hint="eastAsia"/>
          <w:rtl/>
        </w:rPr>
        <w:t>שלא</w:t>
      </w:r>
      <w:r w:rsidRPr="00AA720B">
        <w:rPr>
          <w:rFonts w:ascii="Calibri" w:hAnsi="Calibri"/>
          <w:rtl/>
        </w:rPr>
        <w:t xml:space="preserve"> </w:t>
      </w:r>
      <w:r w:rsidRPr="00AA720B">
        <w:rPr>
          <w:rFonts w:ascii="Calibri" w:hAnsi="Calibri" w:hint="eastAsia"/>
          <w:rtl/>
        </w:rPr>
        <w:t>ניתן</w:t>
      </w:r>
      <w:r w:rsidRPr="00AA720B">
        <w:rPr>
          <w:rFonts w:ascii="Calibri" w:hAnsi="Calibri"/>
          <w:rtl/>
        </w:rPr>
        <w:t xml:space="preserve"> </w:t>
      </w:r>
      <w:r w:rsidRPr="00AA720B">
        <w:rPr>
          <w:rFonts w:ascii="Calibri" w:hAnsi="Calibri" w:hint="eastAsia"/>
          <w:rtl/>
        </w:rPr>
        <w:t>לומר</w:t>
      </w:r>
      <w:r w:rsidRPr="00AA720B">
        <w:rPr>
          <w:rFonts w:ascii="Calibri" w:hAnsi="Calibri"/>
          <w:rtl/>
        </w:rPr>
        <w:t xml:space="preserve"> </w:t>
      </w:r>
      <w:r w:rsidRPr="00AA720B">
        <w:rPr>
          <w:rFonts w:ascii="Calibri" w:hAnsi="Calibri" w:hint="eastAsia"/>
          <w:rtl/>
        </w:rPr>
        <w:t>שמדובר</w:t>
      </w:r>
      <w:r w:rsidRPr="00AA720B">
        <w:rPr>
          <w:rFonts w:ascii="Calibri" w:hAnsi="Calibri"/>
          <w:rtl/>
        </w:rPr>
        <w:t xml:space="preserve"> </w:t>
      </w:r>
      <w:r w:rsidRPr="00AA720B">
        <w:rPr>
          <w:rFonts w:ascii="Calibri" w:hAnsi="Calibri" w:hint="eastAsia"/>
          <w:rtl/>
        </w:rPr>
        <w:t>בהלכה</w:t>
      </w:r>
      <w:r w:rsidRPr="00AA720B">
        <w:rPr>
          <w:rFonts w:ascii="Calibri" w:hAnsi="Calibri"/>
          <w:rtl/>
        </w:rPr>
        <w:t xml:space="preserve"> </w:t>
      </w:r>
      <w:r w:rsidRPr="00AA720B">
        <w:rPr>
          <w:rFonts w:ascii="Calibri" w:hAnsi="Calibri" w:hint="eastAsia"/>
          <w:rtl/>
        </w:rPr>
        <w:t>מחייבת</w:t>
      </w:r>
      <w:r w:rsidRPr="00AA720B">
        <w:rPr>
          <w:rFonts w:ascii="Calibri" w:hAnsi="Calibri"/>
          <w:rtl/>
        </w:rPr>
        <w:t xml:space="preserve">, </w:t>
      </w:r>
      <w:r w:rsidRPr="00AA720B">
        <w:rPr>
          <w:rFonts w:ascii="Calibri" w:hAnsi="Calibri" w:hint="eastAsia"/>
          <w:rtl/>
        </w:rPr>
        <w:t>ובוודאי</w:t>
      </w:r>
      <w:r w:rsidRPr="00AA720B">
        <w:rPr>
          <w:rFonts w:ascii="Calibri" w:hAnsi="Calibri"/>
          <w:rtl/>
        </w:rPr>
        <w:t xml:space="preserve"> </w:t>
      </w:r>
      <w:r w:rsidRPr="00AA720B">
        <w:rPr>
          <w:rFonts w:ascii="Calibri" w:hAnsi="Calibri" w:hint="eastAsia"/>
          <w:rtl/>
        </w:rPr>
        <w:t>שאין</w:t>
      </w:r>
      <w:r w:rsidRPr="00AA720B">
        <w:rPr>
          <w:rFonts w:ascii="Calibri" w:hAnsi="Calibri"/>
          <w:rtl/>
        </w:rPr>
        <w:t xml:space="preserve"> </w:t>
      </w:r>
      <w:r w:rsidRPr="00AA720B">
        <w:rPr>
          <w:rFonts w:ascii="Calibri" w:hAnsi="Calibri" w:hint="eastAsia"/>
          <w:rtl/>
        </w:rPr>
        <w:t>באמור</w:t>
      </w:r>
      <w:r w:rsidRPr="00AA720B">
        <w:rPr>
          <w:rFonts w:ascii="Calibri" w:hAnsi="Calibri"/>
          <w:rtl/>
        </w:rPr>
        <w:t xml:space="preserve"> </w:t>
      </w:r>
      <w:r w:rsidR="002E6F99" w:rsidRPr="00AA720B">
        <w:rPr>
          <w:rFonts w:ascii="Calibri" w:hAnsi="Calibri" w:hint="cs"/>
          <w:rtl/>
        </w:rPr>
        <w:t>שם</w:t>
      </w:r>
      <w:r w:rsidRPr="00AA720B">
        <w:rPr>
          <w:rFonts w:ascii="Calibri" w:hAnsi="Calibri"/>
          <w:rtl/>
        </w:rPr>
        <w:t xml:space="preserve">, </w:t>
      </w:r>
      <w:r w:rsidRPr="00AA720B">
        <w:rPr>
          <w:rFonts w:ascii="Calibri" w:hAnsi="Calibri" w:hint="eastAsia"/>
          <w:rtl/>
        </w:rPr>
        <w:t>כדי</w:t>
      </w:r>
      <w:r w:rsidRPr="00AA720B">
        <w:rPr>
          <w:rFonts w:ascii="Calibri" w:hAnsi="Calibri"/>
          <w:rtl/>
        </w:rPr>
        <w:t xml:space="preserve"> </w:t>
      </w:r>
      <w:r w:rsidRPr="00AA720B">
        <w:rPr>
          <w:rFonts w:ascii="Calibri" w:hAnsi="Calibri" w:hint="eastAsia"/>
          <w:rtl/>
        </w:rPr>
        <w:t>לשנות</w:t>
      </w:r>
      <w:r w:rsidRPr="00AA720B">
        <w:rPr>
          <w:rFonts w:ascii="Calibri" w:hAnsi="Calibri"/>
          <w:rtl/>
        </w:rPr>
        <w:t xml:space="preserve"> </w:t>
      </w:r>
      <w:r w:rsidRPr="00AA720B">
        <w:rPr>
          <w:rFonts w:ascii="Calibri" w:hAnsi="Calibri" w:hint="eastAsia"/>
          <w:rtl/>
        </w:rPr>
        <w:t>מן</w:t>
      </w:r>
      <w:r w:rsidRPr="00AA720B">
        <w:rPr>
          <w:rFonts w:ascii="Calibri" w:hAnsi="Calibri"/>
          <w:rtl/>
        </w:rPr>
        <w:t xml:space="preserve"> </w:t>
      </w:r>
      <w:r w:rsidRPr="00AA720B">
        <w:rPr>
          <w:rFonts w:ascii="Calibri" w:hAnsi="Calibri" w:hint="eastAsia"/>
          <w:rtl/>
        </w:rPr>
        <w:t>ההלכה</w:t>
      </w:r>
      <w:r w:rsidRPr="00AA720B">
        <w:rPr>
          <w:rFonts w:ascii="Calibri" w:hAnsi="Calibri"/>
          <w:rtl/>
        </w:rPr>
        <w:t xml:space="preserve"> </w:t>
      </w:r>
      <w:r w:rsidRPr="00AA720B">
        <w:rPr>
          <w:rFonts w:ascii="Calibri" w:hAnsi="Calibri" w:hint="eastAsia"/>
          <w:rtl/>
        </w:rPr>
        <w:t>המפורשת</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שנקבעה</w:t>
      </w:r>
      <w:r w:rsidRPr="00AA720B">
        <w:rPr>
          <w:rFonts w:ascii="Calibri" w:hAnsi="Calibri"/>
          <w:rtl/>
        </w:rPr>
        <w:t xml:space="preserve"> </w:t>
      </w:r>
      <w:r w:rsidRPr="00AA720B">
        <w:rPr>
          <w:rFonts w:ascii="Calibri" w:hAnsi="Calibri" w:hint="eastAsia"/>
          <w:rtl/>
        </w:rPr>
        <w:t>בעניין</w:t>
      </w:r>
      <w:r w:rsidRPr="00AA720B">
        <w:rPr>
          <w:rFonts w:ascii="Calibri" w:hAnsi="Calibri"/>
          <w:rtl/>
        </w:rPr>
        <w:t xml:space="preserve"> </w:t>
      </w:r>
      <w:r w:rsidRPr="00AA720B">
        <w:rPr>
          <w:rFonts w:ascii="Calibri" w:hAnsi="Calibri" w:hint="eastAsia"/>
          <w:rtl/>
        </w:rPr>
        <w:t>סוליימנוב</w:t>
      </w:r>
      <w:r w:rsidRPr="00AA720B">
        <w:rPr>
          <w:rFonts w:ascii="Calibri" w:hAnsi="Calibri"/>
          <w:rtl/>
        </w:rPr>
        <w:t xml:space="preserve">. </w:t>
      </w:r>
    </w:p>
    <w:p w14:paraId="3EB1852E" w14:textId="77777777" w:rsidR="0037227B" w:rsidRPr="00AA720B" w:rsidRDefault="0037227B" w:rsidP="006D2178">
      <w:pPr>
        <w:widowControl w:val="0"/>
        <w:spacing w:before="240" w:after="240" w:line="360" w:lineRule="auto"/>
        <w:jc w:val="both"/>
        <w:rPr>
          <w:rFonts w:ascii="Calibri" w:hAnsi="Calibri"/>
          <w:rtl/>
        </w:rPr>
      </w:pPr>
      <w:r w:rsidRPr="00AA720B">
        <w:rPr>
          <w:rFonts w:ascii="Calibri" w:hAnsi="Calibri" w:hint="eastAsia"/>
          <w:rtl/>
        </w:rPr>
        <w:t>במקרה</w:t>
      </w:r>
      <w:r w:rsidRPr="00AA720B">
        <w:rPr>
          <w:rFonts w:ascii="Calibri" w:hAnsi="Calibri"/>
          <w:rtl/>
        </w:rPr>
        <w:t xml:space="preserve"> </w:t>
      </w:r>
      <w:r w:rsidRPr="00AA720B">
        <w:rPr>
          <w:rFonts w:ascii="Calibri" w:hAnsi="Calibri" w:hint="eastAsia"/>
          <w:rtl/>
        </w:rPr>
        <w:t>זה</w:t>
      </w:r>
      <w:r w:rsidRPr="00AA720B">
        <w:rPr>
          <w:rFonts w:ascii="Calibri" w:hAnsi="Calibri"/>
          <w:rtl/>
        </w:rPr>
        <w:t xml:space="preserve">, </w:t>
      </w:r>
      <w:r w:rsidRPr="00AA720B">
        <w:rPr>
          <w:rFonts w:ascii="Calibri" w:hAnsi="Calibri" w:hint="eastAsia"/>
          <w:rtl/>
        </w:rPr>
        <w:t>נוכח</w:t>
      </w:r>
      <w:r w:rsidRPr="00AA720B">
        <w:rPr>
          <w:rFonts w:ascii="Calibri" w:hAnsi="Calibri"/>
          <w:rtl/>
        </w:rPr>
        <w:t xml:space="preserve"> </w:t>
      </w:r>
      <w:r w:rsidRPr="00AA720B">
        <w:rPr>
          <w:rFonts w:ascii="Calibri" w:hAnsi="Calibri" w:hint="eastAsia"/>
          <w:rtl/>
        </w:rPr>
        <w:t>הנזק</w:t>
      </w:r>
      <w:r w:rsidRPr="00AA720B">
        <w:rPr>
          <w:rFonts w:ascii="Calibri" w:hAnsi="Calibri"/>
          <w:rtl/>
        </w:rPr>
        <w:t xml:space="preserve"> </w:t>
      </w:r>
      <w:r w:rsidRPr="00AA720B">
        <w:rPr>
          <w:rFonts w:ascii="Calibri" w:hAnsi="Calibri" w:hint="eastAsia"/>
          <w:rtl/>
        </w:rPr>
        <w:t>הרב</w:t>
      </w:r>
      <w:r w:rsidRPr="00AA720B">
        <w:rPr>
          <w:rFonts w:ascii="Calibri" w:hAnsi="Calibri"/>
          <w:rtl/>
        </w:rPr>
        <w:t xml:space="preserve"> </w:t>
      </w:r>
      <w:r w:rsidRPr="00AA720B">
        <w:rPr>
          <w:rFonts w:ascii="Calibri" w:hAnsi="Calibri" w:hint="eastAsia"/>
          <w:rtl/>
        </w:rPr>
        <w:t>אשר</w:t>
      </w:r>
      <w:r w:rsidRPr="00AA720B">
        <w:rPr>
          <w:rFonts w:ascii="Calibri" w:hAnsi="Calibri"/>
          <w:rtl/>
        </w:rPr>
        <w:t xml:space="preserve"> </w:t>
      </w:r>
      <w:r w:rsidRPr="00AA720B">
        <w:rPr>
          <w:rFonts w:ascii="Calibri" w:hAnsi="Calibri" w:hint="eastAsia"/>
          <w:rtl/>
        </w:rPr>
        <w:t>נגרם</w:t>
      </w:r>
      <w:r w:rsidRPr="00AA720B">
        <w:rPr>
          <w:rFonts w:ascii="Calibri" w:hAnsi="Calibri"/>
          <w:rtl/>
        </w:rPr>
        <w:t xml:space="preserve"> </w:t>
      </w:r>
      <w:r w:rsidRPr="00AA720B">
        <w:rPr>
          <w:rFonts w:ascii="Calibri" w:hAnsi="Calibri" w:hint="eastAsia"/>
          <w:rtl/>
        </w:rPr>
        <w:t>למשפחת</w:t>
      </w:r>
      <w:r w:rsidRPr="00AA720B">
        <w:rPr>
          <w:rFonts w:ascii="Calibri" w:hAnsi="Calibri"/>
          <w:rtl/>
        </w:rPr>
        <w:t xml:space="preserve"> </w:t>
      </w:r>
      <w:r w:rsidRPr="00AA720B">
        <w:rPr>
          <w:rFonts w:ascii="Calibri" w:hAnsi="Calibri" w:hint="eastAsia"/>
          <w:rtl/>
        </w:rPr>
        <w:t>המנוח</w:t>
      </w:r>
      <w:r w:rsidRPr="00AA720B">
        <w:rPr>
          <w:rFonts w:ascii="Calibri" w:hAnsi="Calibri"/>
          <w:rtl/>
        </w:rPr>
        <w:t xml:space="preserve">, </w:t>
      </w:r>
      <w:r w:rsidRPr="00AA720B">
        <w:rPr>
          <w:rFonts w:ascii="Calibri" w:hAnsi="Calibri" w:hint="eastAsia"/>
          <w:rtl/>
        </w:rPr>
        <w:t>וכאשר</w:t>
      </w:r>
      <w:r w:rsidRPr="00AA720B">
        <w:rPr>
          <w:rFonts w:ascii="Calibri" w:hAnsi="Calibri"/>
          <w:rtl/>
        </w:rPr>
        <w:t xml:space="preserve"> </w:t>
      </w:r>
      <w:r w:rsidRPr="00AA720B">
        <w:rPr>
          <w:rFonts w:ascii="Calibri" w:hAnsi="Calibri" w:hint="eastAsia"/>
          <w:rtl/>
        </w:rPr>
        <w:t>מצבו</w:t>
      </w:r>
      <w:r w:rsidRPr="00AA720B">
        <w:rPr>
          <w:rFonts w:ascii="Calibri" w:hAnsi="Calibri"/>
          <w:rtl/>
        </w:rPr>
        <w:t xml:space="preserve"> </w:t>
      </w:r>
      <w:r w:rsidRPr="00AA720B">
        <w:rPr>
          <w:rFonts w:ascii="Calibri" w:hAnsi="Calibri" w:hint="eastAsia"/>
          <w:rtl/>
        </w:rPr>
        <w:t>הכלכלי</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אינו</w:t>
      </w:r>
      <w:r w:rsidRPr="00AA720B">
        <w:rPr>
          <w:rFonts w:ascii="Calibri" w:hAnsi="Calibri"/>
          <w:rtl/>
        </w:rPr>
        <w:t xml:space="preserve"> </w:t>
      </w:r>
      <w:r w:rsidRPr="00AA720B">
        <w:rPr>
          <w:rFonts w:ascii="Calibri" w:hAnsi="Calibri" w:hint="eastAsia"/>
          <w:rtl/>
        </w:rPr>
        <w:t>מהווה</w:t>
      </w:r>
      <w:r w:rsidRPr="00AA720B">
        <w:rPr>
          <w:rFonts w:ascii="Calibri" w:hAnsi="Calibri"/>
          <w:rtl/>
        </w:rPr>
        <w:t xml:space="preserve"> </w:t>
      </w:r>
      <w:r w:rsidRPr="00AA720B">
        <w:rPr>
          <w:rFonts w:ascii="Calibri" w:hAnsi="Calibri" w:hint="eastAsia"/>
          <w:rtl/>
        </w:rPr>
        <w:t>שיקול</w:t>
      </w:r>
      <w:r w:rsidRPr="00AA720B">
        <w:rPr>
          <w:rFonts w:ascii="Calibri" w:hAnsi="Calibri"/>
          <w:rtl/>
        </w:rPr>
        <w:t xml:space="preserve"> </w:t>
      </w:r>
      <w:r w:rsidRPr="00AA720B">
        <w:rPr>
          <w:rFonts w:ascii="Calibri" w:hAnsi="Calibri" w:hint="eastAsia"/>
          <w:rtl/>
        </w:rPr>
        <w:t>לאומדן</w:t>
      </w:r>
      <w:r w:rsidRPr="00AA720B">
        <w:rPr>
          <w:rFonts w:ascii="Calibri" w:hAnsi="Calibri"/>
          <w:rtl/>
        </w:rPr>
        <w:t xml:space="preserve"> </w:t>
      </w:r>
      <w:r w:rsidRPr="00AA720B">
        <w:rPr>
          <w:rFonts w:ascii="Calibri" w:hAnsi="Calibri" w:hint="eastAsia"/>
          <w:rtl/>
        </w:rPr>
        <w:t>הפיצוי</w:t>
      </w:r>
      <w:r w:rsidRPr="00AA720B">
        <w:rPr>
          <w:rFonts w:ascii="Calibri" w:hAnsi="Calibri"/>
          <w:rtl/>
        </w:rPr>
        <w:t xml:space="preserve">, </w:t>
      </w:r>
      <w:r w:rsidRPr="00AA720B">
        <w:rPr>
          <w:rFonts w:ascii="Calibri" w:hAnsi="Calibri" w:hint="eastAsia"/>
          <w:rtl/>
        </w:rPr>
        <w:t>יש</w:t>
      </w:r>
      <w:r w:rsidRPr="00AA720B">
        <w:rPr>
          <w:rFonts w:ascii="Calibri" w:hAnsi="Calibri"/>
          <w:rtl/>
        </w:rPr>
        <w:t xml:space="preserve"> </w:t>
      </w:r>
      <w:r w:rsidRPr="00AA720B">
        <w:rPr>
          <w:rFonts w:ascii="Calibri" w:hAnsi="Calibri" w:hint="eastAsia"/>
          <w:rtl/>
        </w:rPr>
        <w:t>להשית</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פיצוי</w:t>
      </w:r>
      <w:r w:rsidRPr="00AA720B">
        <w:rPr>
          <w:rFonts w:ascii="Calibri" w:hAnsi="Calibri"/>
          <w:rtl/>
        </w:rPr>
        <w:t xml:space="preserve"> </w:t>
      </w:r>
      <w:r w:rsidRPr="00AA720B">
        <w:rPr>
          <w:rFonts w:ascii="Calibri" w:hAnsi="Calibri" w:hint="eastAsia"/>
          <w:rtl/>
        </w:rPr>
        <w:t>משמעותי</w:t>
      </w:r>
      <w:r w:rsidRPr="00AA720B">
        <w:rPr>
          <w:rFonts w:ascii="Calibri" w:hAnsi="Calibri"/>
          <w:rtl/>
        </w:rPr>
        <w:t xml:space="preserve"> </w:t>
      </w:r>
      <w:r w:rsidRPr="00AA720B">
        <w:rPr>
          <w:rFonts w:ascii="Calibri" w:hAnsi="Calibri" w:hint="eastAsia"/>
          <w:rtl/>
        </w:rPr>
        <w:t>בסך</w:t>
      </w:r>
      <w:r w:rsidRPr="00AA720B">
        <w:rPr>
          <w:rFonts w:ascii="Calibri" w:hAnsi="Calibri"/>
          <w:rtl/>
        </w:rPr>
        <w:t xml:space="preserve"> 150,000 </w:t>
      </w:r>
      <w:r w:rsidRPr="00AA720B">
        <w:rPr>
          <w:rFonts w:ascii="Calibri" w:hAnsi="Calibri" w:hint="eastAsia"/>
          <w:rtl/>
        </w:rPr>
        <w:t>₪</w:t>
      </w:r>
      <w:r w:rsidRPr="00AA720B">
        <w:rPr>
          <w:rFonts w:ascii="Calibri" w:hAnsi="Calibri"/>
          <w:rtl/>
        </w:rPr>
        <w:t>.</w:t>
      </w:r>
    </w:p>
    <w:p w14:paraId="3B4F12E3" w14:textId="77777777" w:rsidR="0037227B" w:rsidRPr="00AA720B" w:rsidRDefault="0037227B" w:rsidP="006D2178">
      <w:pPr>
        <w:widowControl w:val="0"/>
        <w:spacing w:before="240" w:after="240" w:line="360" w:lineRule="auto"/>
        <w:jc w:val="both"/>
        <w:rPr>
          <w:rFonts w:ascii="Calibri" w:hAnsi="Calibri"/>
          <w:rtl/>
        </w:rPr>
      </w:pPr>
      <w:r w:rsidRPr="00AA720B">
        <w:rPr>
          <w:rFonts w:ascii="Calibri" w:hAnsi="Calibri" w:hint="eastAsia"/>
          <w:rtl/>
        </w:rPr>
        <w:t>נוכח</w:t>
      </w:r>
      <w:r w:rsidRPr="00AA720B">
        <w:rPr>
          <w:rFonts w:ascii="Calibri" w:hAnsi="Calibri"/>
          <w:rtl/>
        </w:rPr>
        <w:t xml:space="preserve"> </w:t>
      </w:r>
      <w:r w:rsidRPr="00AA720B">
        <w:rPr>
          <w:rFonts w:ascii="Calibri" w:hAnsi="Calibri" w:hint="eastAsia"/>
          <w:rtl/>
        </w:rPr>
        <w:t>כל</w:t>
      </w:r>
      <w:r w:rsidRPr="00AA720B">
        <w:rPr>
          <w:rFonts w:ascii="Calibri" w:hAnsi="Calibri"/>
          <w:rtl/>
        </w:rPr>
        <w:t xml:space="preserve"> </w:t>
      </w:r>
      <w:r w:rsidRPr="00AA720B">
        <w:rPr>
          <w:rFonts w:ascii="Calibri" w:hAnsi="Calibri" w:hint="eastAsia"/>
          <w:rtl/>
        </w:rPr>
        <w:t>המקובץ</w:t>
      </w:r>
      <w:r w:rsidRPr="00AA720B">
        <w:rPr>
          <w:rFonts w:ascii="Calibri" w:hAnsi="Calibri"/>
          <w:rtl/>
        </w:rPr>
        <w:t xml:space="preserve">, </w:t>
      </w:r>
      <w:r w:rsidRPr="00AA720B">
        <w:rPr>
          <w:rFonts w:ascii="Calibri" w:hAnsi="Calibri" w:hint="eastAsia"/>
          <w:rtl/>
        </w:rPr>
        <w:t>לאחר</w:t>
      </w:r>
      <w:r w:rsidRPr="00AA720B">
        <w:rPr>
          <w:rFonts w:ascii="Calibri" w:hAnsi="Calibri"/>
          <w:rtl/>
        </w:rPr>
        <w:t xml:space="preserve"> </w:t>
      </w:r>
      <w:r w:rsidRPr="00AA720B">
        <w:rPr>
          <w:rFonts w:ascii="Calibri" w:hAnsi="Calibri" w:hint="eastAsia"/>
          <w:rtl/>
        </w:rPr>
        <w:t>ששקלנו</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טיעוני</w:t>
      </w:r>
      <w:r w:rsidRPr="00AA720B">
        <w:rPr>
          <w:rFonts w:ascii="Calibri" w:hAnsi="Calibri"/>
          <w:rtl/>
        </w:rPr>
        <w:t xml:space="preserve"> </w:t>
      </w:r>
      <w:r w:rsidRPr="00AA720B">
        <w:rPr>
          <w:rFonts w:ascii="Calibri" w:hAnsi="Calibri" w:hint="eastAsia"/>
          <w:rtl/>
        </w:rPr>
        <w:t>הצדדים</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מכלול</w:t>
      </w:r>
      <w:r w:rsidRPr="00AA720B">
        <w:rPr>
          <w:rFonts w:ascii="Calibri" w:hAnsi="Calibri"/>
          <w:rtl/>
        </w:rPr>
        <w:t xml:space="preserve"> </w:t>
      </w:r>
      <w:r w:rsidRPr="00AA720B">
        <w:rPr>
          <w:rFonts w:ascii="Calibri" w:hAnsi="Calibri" w:hint="eastAsia"/>
          <w:rtl/>
        </w:rPr>
        <w:t>נסיבות</w:t>
      </w:r>
      <w:r w:rsidRPr="00AA720B">
        <w:rPr>
          <w:rFonts w:ascii="Calibri" w:hAnsi="Calibri"/>
          <w:rtl/>
        </w:rPr>
        <w:t xml:space="preserve"> </w:t>
      </w:r>
      <w:r w:rsidRPr="00AA720B">
        <w:rPr>
          <w:rFonts w:ascii="Calibri" w:hAnsi="Calibri" w:hint="eastAsia"/>
          <w:rtl/>
        </w:rPr>
        <w:t>העניין</w:t>
      </w:r>
      <w:r w:rsidRPr="00AA720B">
        <w:rPr>
          <w:rFonts w:ascii="Calibri" w:hAnsi="Calibri"/>
          <w:rtl/>
        </w:rPr>
        <w:t xml:space="preserve"> </w:t>
      </w:r>
      <w:r w:rsidRPr="00AA720B">
        <w:rPr>
          <w:rFonts w:ascii="Calibri" w:hAnsi="Calibri" w:hint="eastAsia"/>
          <w:rtl/>
        </w:rPr>
        <w:t>ואת</w:t>
      </w:r>
      <w:r w:rsidRPr="00AA720B">
        <w:rPr>
          <w:rFonts w:ascii="Calibri" w:hAnsi="Calibri"/>
          <w:rtl/>
        </w:rPr>
        <w:t xml:space="preserve"> </w:t>
      </w:r>
      <w:r w:rsidRPr="00AA720B">
        <w:rPr>
          <w:rFonts w:ascii="Calibri" w:hAnsi="Calibri" w:hint="eastAsia"/>
          <w:rtl/>
        </w:rPr>
        <w:t>מכלול</w:t>
      </w:r>
      <w:r w:rsidRPr="00AA720B">
        <w:rPr>
          <w:rFonts w:ascii="Calibri" w:hAnsi="Calibri"/>
          <w:rtl/>
        </w:rPr>
        <w:t xml:space="preserve"> </w:t>
      </w:r>
      <w:r w:rsidRPr="00AA720B">
        <w:rPr>
          <w:rFonts w:ascii="Calibri" w:hAnsi="Calibri" w:hint="eastAsia"/>
          <w:rtl/>
        </w:rPr>
        <w:t>השיקולים</w:t>
      </w:r>
      <w:r w:rsidR="008A1184" w:rsidRPr="00AA720B">
        <w:rPr>
          <w:rFonts w:ascii="Calibri" w:hAnsi="Calibri" w:hint="cs"/>
          <w:rtl/>
        </w:rPr>
        <w:t xml:space="preserve"> הנדרשים</w:t>
      </w:r>
      <w:r w:rsidRPr="00AA720B">
        <w:rPr>
          <w:rFonts w:ascii="Calibri" w:hAnsi="Calibri"/>
          <w:rtl/>
        </w:rPr>
        <w:t xml:space="preserve"> </w:t>
      </w:r>
      <w:r w:rsidRPr="00AA720B">
        <w:rPr>
          <w:rFonts w:ascii="Calibri" w:hAnsi="Calibri" w:hint="eastAsia"/>
          <w:rtl/>
        </w:rPr>
        <w:t>אנו</w:t>
      </w:r>
      <w:r w:rsidRPr="00AA720B">
        <w:rPr>
          <w:rFonts w:ascii="Calibri" w:hAnsi="Calibri"/>
          <w:rtl/>
        </w:rPr>
        <w:t xml:space="preserve"> </w:t>
      </w:r>
      <w:r w:rsidRPr="00AA720B">
        <w:rPr>
          <w:rFonts w:ascii="Calibri" w:hAnsi="Calibri" w:hint="eastAsia"/>
          <w:rtl/>
        </w:rPr>
        <w:t>גוזרים</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הנאשם</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העונשים</w:t>
      </w:r>
      <w:r w:rsidRPr="00AA720B">
        <w:rPr>
          <w:rFonts w:ascii="Calibri" w:hAnsi="Calibri"/>
          <w:rtl/>
        </w:rPr>
        <w:t xml:space="preserve"> </w:t>
      </w:r>
      <w:r w:rsidRPr="00AA720B">
        <w:rPr>
          <w:rFonts w:ascii="Calibri" w:hAnsi="Calibri" w:hint="eastAsia"/>
          <w:rtl/>
        </w:rPr>
        <w:t>הבאים</w:t>
      </w:r>
      <w:r w:rsidRPr="00AA720B">
        <w:rPr>
          <w:rFonts w:ascii="Calibri" w:hAnsi="Calibri"/>
          <w:rtl/>
        </w:rPr>
        <w:t>:</w:t>
      </w:r>
    </w:p>
    <w:p w14:paraId="6394501A" w14:textId="77777777" w:rsidR="0037227B" w:rsidRPr="00AA720B" w:rsidRDefault="0037227B" w:rsidP="00A91EC4">
      <w:pPr>
        <w:widowControl w:val="0"/>
        <w:numPr>
          <w:ilvl w:val="1"/>
          <w:numId w:val="5"/>
        </w:numPr>
        <w:spacing w:before="240" w:after="240" w:line="360" w:lineRule="auto"/>
        <w:ind w:left="651" w:hanging="567"/>
        <w:jc w:val="both"/>
        <w:rPr>
          <w:rFonts w:ascii="Calibri" w:hAnsi="Calibri"/>
        </w:rPr>
      </w:pP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בפועל</w:t>
      </w:r>
      <w:r w:rsidRPr="00AA720B">
        <w:rPr>
          <w:rFonts w:ascii="Calibri" w:hAnsi="Calibri"/>
          <w:rtl/>
        </w:rPr>
        <w:t xml:space="preserve"> </w:t>
      </w:r>
      <w:r w:rsidRPr="00AA720B">
        <w:rPr>
          <w:rFonts w:ascii="Calibri" w:hAnsi="Calibri" w:hint="eastAsia"/>
          <w:rtl/>
        </w:rPr>
        <w:t>למשך</w:t>
      </w:r>
      <w:r w:rsidRPr="00AA720B">
        <w:rPr>
          <w:rFonts w:ascii="Calibri" w:hAnsi="Calibri"/>
          <w:rtl/>
        </w:rPr>
        <w:t xml:space="preserve"> 16 </w:t>
      </w:r>
      <w:r w:rsidRPr="00AA720B">
        <w:rPr>
          <w:rFonts w:ascii="Calibri" w:hAnsi="Calibri" w:hint="eastAsia"/>
          <w:rtl/>
        </w:rPr>
        <w:t>שנים</w:t>
      </w:r>
      <w:r w:rsidRPr="00AA720B">
        <w:rPr>
          <w:rFonts w:ascii="Calibri" w:hAnsi="Calibri"/>
          <w:rtl/>
        </w:rPr>
        <w:t xml:space="preserve"> </w:t>
      </w:r>
      <w:r w:rsidRPr="00AA720B">
        <w:rPr>
          <w:rFonts w:ascii="Calibri" w:hAnsi="Calibri" w:hint="eastAsia"/>
          <w:rtl/>
        </w:rPr>
        <w:t>בניכוי</w:t>
      </w:r>
      <w:r w:rsidRPr="00AA720B">
        <w:rPr>
          <w:rFonts w:ascii="Calibri" w:hAnsi="Calibri"/>
          <w:rtl/>
        </w:rPr>
        <w:t xml:space="preserve"> </w:t>
      </w:r>
      <w:r w:rsidRPr="00AA720B">
        <w:rPr>
          <w:rFonts w:ascii="Calibri" w:hAnsi="Calibri" w:hint="eastAsia"/>
          <w:rtl/>
        </w:rPr>
        <w:t>ימי</w:t>
      </w:r>
      <w:r w:rsidRPr="00AA720B">
        <w:rPr>
          <w:rFonts w:ascii="Calibri" w:hAnsi="Calibri"/>
          <w:rtl/>
        </w:rPr>
        <w:t xml:space="preserve"> </w:t>
      </w:r>
      <w:r w:rsidRPr="00AA720B">
        <w:rPr>
          <w:rFonts w:ascii="Calibri" w:hAnsi="Calibri" w:hint="eastAsia"/>
          <w:rtl/>
        </w:rPr>
        <w:t>מעצרו</w:t>
      </w:r>
      <w:r w:rsidRPr="00AA720B">
        <w:rPr>
          <w:rFonts w:ascii="Calibri" w:hAnsi="Calibri"/>
          <w:rtl/>
        </w:rPr>
        <w:t xml:space="preserve"> </w:t>
      </w:r>
      <w:r w:rsidRPr="00AA720B">
        <w:rPr>
          <w:rFonts w:ascii="Calibri" w:hAnsi="Calibri" w:hint="eastAsia"/>
          <w:rtl/>
        </w:rPr>
        <w:t>בתיק</w:t>
      </w:r>
      <w:r w:rsidRPr="00AA720B">
        <w:rPr>
          <w:rFonts w:ascii="Calibri" w:hAnsi="Calibri"/>
          <w:rtl/>
        </w:rPr>
        <w:t xml:space="preserve"> </w:t>
      </w:r>
      <w:r w:rsidRPr="00AA720B">
        <w:rPr>
          <w:rFonts w:ascii="Calibri" w:hAnsi="Calibri" w:hint="eastAsia"/>
          <w:rtl/>
        </w:rPr>
        <w:t>זה</w:t>
      </w:r>
      <w:r w:rsidR="00F4603D" w:rsidRPr="00AA720B">
        <w:rPr>
          <w:rFonts w:ascii="Calibri" w:hAnsi="Calibri" w:hint="cs"/>
          <w:rtl/>
        </w:rPr>
        <w:t xml:space="preserve">. </w:t>
      </w:r>
      <w:r w:rsidRPr="00AA720B">
        <w:rPr>
          <w:rFonts w:ascii="Calibri" w:hAnsi="Calibri" w:hint="eastAsia"/>
          <w:rtl/>
        </w:rPr>
        <w:t>מובהר</w:t>
      </w:r>
      <w:r w:rsidRPr="00AA720B">
        <w:rPr>
          <w:rFonts w:ascii="Calibri" w:hAnsi="Calibri"/>
          <w:rtl/>
        </w:rPr>
        <w:t xml:space="preserve"> </w:t>
      </w:r>
      <w:r w:rsidRPr="00AA720B">
        <w:rPr>
          <w:rFonts w:ascii="Calibri" w:hAnsi="Calibri" w:hint="eastAsia"/>
          <w:rtl/>
        </w:rPr>
        <w:t>כי</w:t>
      </w:r>
      <w:r w:rsidRPr="00AA720B">
        <w:rPr>
          <w:rFonts w:ascii="Calibri" w:hAnsi="Calibri"/>
          <w:rtl/>
        </w:rPr>
        <w:t xml:space="preserve"> </w:t>
      </w:r>
      <w:r w:rsidRPr="00AA720B">
        <w:rPr>
          <w:rFonts w:ascii="Calibri" w:hAnsi="Calibri" w:hint="eastAsia"/>
          <w:rtl/>
        </w:rPr>
        <w:t>עונש</w:t>
      </w:r>
      <w:r w:rsidRPr="00AA720B">
        <w:rPr>
          <w:rFonts w:ascii="Calibri" w:hAnsi="Calibri"/>
          <w:rtl/>
        </w:rPr>
        <w:t xml:space="preserve"> </w:t>
      </w:r>
      <w:r w:rsidRPr="00AA720B">
        <w:rPr>
          <w:rFonts w:ascii="Calibri" w:hAnsi="Calibri" w:hint="eastAsia"/>
          <w:rtl/>
        </w:rPr>
        <w:t>המאסר</w:t>
      </w:r>
      <w:r w:rsidRPr="00AA720B">
        <w:rPr>
          <w:rFonts w:ascii="Calibri" w:hAnsi="Calibri"/>
          <w:rtl/>
        </w:rPr>
        <w:t xml:space="preserve"> </w:t>
      </w:r>
      <w:r w:rsidRPr="00AA720B">
        <w:rPr>
          <w:rFonts w:ascii="Calibri" w:hAnsi="Calibri" w:hint="eastAsia"/>
          <w:rtl/>
        </w:rPr>
        <w:t>שהושת</w:t>
      </w:r>
      <w:r w:rsidRPr="00AA720B">
        <w:rPr>
          <w:rFonts w:ascii="Calibri" w:hAnsi="Calibri"/>
          <w:rtl/>
        </w:rPr>
        <w:t xml:space="preserve"> </w:t>
      </w:r>
      <w:r w:rsidR="00F4603D" w:rsidRPr="00AA720B">
        <w:rPr>
          <w:rFonts w:ascii="Calibri" w:hAnsi="Calibri" w:hint="cs"/>
          <w:rtl/>
        </w:rPr>
        <w:t xml:space="preserve">עתה </w:t>
      </w:r>
      <w:r w:rsidRPr="00AA720B">
        <w:rPr>
          <w:rFonts w:ascii="Calibri" w:hAnsi="Calibri" w:hint="eastAsia"/>
          <w:rtl/>
        </w:rPr>
        <w:t>ה</w:t>
      </w:r>
      <w:r w:rsidR="00F4603D" w:rsidRPr="00AA720B">
        <w:rPr>
          <w:rFonts w:ascii="Calibri" w:hAnsi="Calibri" w:hint="cs"/>
          <w:rtl/>
        </w:rPr>
        <w:t>וא</w:t>
      </w:r>
      <w:r w:rsidRPr="00AA720B">
        <w:rPr>
          <w:rFonts w:ascii="Calibri" w:hAnsi="Calibri"/>
          <w:rtl/>
        </w:rPr>
        <w:t xml:space="preserve"> </w:t>
      </w:r>
      <w:r w:rsidRPr="00AA720B">
        <w:rPr>
          <w:rFonts w:ascii="Calibri" w:hAnsi="Calibri" w:hint="eastAsia"/>
          <w:rtl/>
        </w:rPr>
        <w:t>במצטבר</w:t>
      </w:r>
      <w:r w:rsidRPr="00AA720B">
        <w:rPr>
          <w:rFonts w:ascii="Calibri" w:hAnsi="Calibri"/>
          <w:rtl/>
        </w:rPr>
        <w:t xml:space="preserve"> </w:t>
      </w:r>
      <w:r w:rsidRPr="00AA720B">
        <w:rPr>
          <w:rFonts w:ascii="Calibri" w:hAnsi="Calibri" w:hint="eastAsia"/>
          <w:rtl/>
        </w:rPr>
        <w:t>לכל</w:t>
      </w:r>
      <w:r w:rsidRPr="00AA720B">
        <w:rPr>
          <w:rFonts w:ascii="Calibri" w:hAnsi="Calibri"/>
          <w:rtl/>
        </w:rPr>
        <w:t xml:space="preserve"> </w:t>
      </w:r>
      <w:r w:rsidRPr="00AA720B">
        <w:rPr>
          <w:rFonts w:ascii="Calibri" w:hAnsi="Calibri" w:hint="eastAsia"/>
          <w:rtl/>
        </w:rPr>
        <w:t>עונש</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אחר</w:t>
      </w:r>
      <w:r w:rsidRPr="00AA720B">
        <w:rPr>
          <w:rFonts w:ascii="Calibri" w:hAnsi="Calibri"/>
          <w:rtl/>
        </w:rPr>
        <w:t xml:space="preserve"> </w:t>
      </w:r>
      <w:r w:rsidRPr="00AA720B">
        <w:rPr>
          <w:rFonts w:ascii="Calibri" w:hAnsi="Calibri" w:hint="eastAsia"/>
          <w:rtl/>
        </w:rPr>
        <w:t>שהנאשם</w:t>
      </w:r>
      <w:r w:rsidRPr="00AA720B">
        <w:rPr>
          <w:rFonts w:ascii="Calibri" w:hAnsi="Calibri"/>
          <w:rtl/>
        </w:rPr>
        <w:t xml:space="preserve"> </w:t>
      </w:r>
      <w:r w:rsidRPr="00AA720B">
        <w:rPr>
          <w:rFonts w:ascii="Calibri" w:hAnsi="Calibri" w:hint="eastAsia"/>
          <w:rtl/>
        </w:rPr>
        <w:t>ריצה</w:t>
      </w:r>
      <w:r w:rsidRPr="00AA720B">
        <w:rPr>
          <w:rFonts w:ascii="Calibri" w:hAnsi="Calibri"/>
          <w:rtl/>
        </w:rPr>
        <w:t xml:space="preserve"> </w:t>
      </w:r>
      <w:r w:rsidRPr="00AA720B">
        <w:rPr>
          <w:rFonts w:ascii="Calibri" w:hAnsi="Calibri" w:hint="eastAsia"/>
          <w:rtl/>
        </w:rPr>
        <w:t>בתוך</w:t>
      </w:r>
      <w:r w:rsidRPr="00AA720B">
        <w:rPr>
          <w:rFonts w:ascii="Calibri" w:hAnsi="Calibri"/>
          <w:rtl/>
        </w:rPr>
        <w:t xml:space="preserve"> </w:t>
      </w:r>
      <w:r w:rsidRPr="00AA720B">
        <w:rPr>
          <w:rFonts w:ascii="Calibri" w:hAnsi="Calibri" w:hint="eastAsia"/>
          <w:rtl/>
        </w:rPr>
        <w:t>תקופת</w:t>
      </w:r>
      <w:r w:rsidRPr="00AA720B">
        <w:rPr>
          <w:rFonts w:ascii="Calibri" w:hAnsi="Calibri"/>
          <w:rtl/>
        </w:rPr>
        <w:t xml:space="preserve"> </w:t>
      </w:r>
      <w:r w:rsidRPr="00AA720B">
        <w:rPr>
          <w:rFonts w:ascii="Calibri" w:hAnsi="Calibri" w:hint="eastAsia"/>
          <w:rtl/>
        </w:rPr>
        <w:t>מעצרו</w:t>
      </w:r>
      <w:r w:rsidRPr="00AA720B">
        <w:rPr>
          <w:rFonts w:ascii="Calibri" w:hAnsi="Calibri"/>
          <w:rtl/>
        </w:rPr>
        <w:t xml:space="preserve"> </w:t>
      </w:r>
      <w:r w:rsidRPr="00AA720B">
        <w:rPr>
          <w:rFonts w:ascii="Calibri" w:hAnsi="Calibri" w:hint="eastAsia"/>
          <w:rtl/>
        </w:rPr>
        <w:t>בתיק</w:t>
      </w:r>
      <w:r w:rsidRPr="00AA720B">
        <w:rPr>
          <w:rFonts w:ascii="Calibri" w:hAnsi="Calibri"/>
          <w:rtl/>
        </w:rPr>
        <w:t xml:space="preserve"> </w:t>
      </w:r>
      <w:r w:rsidRPr="00AA720B">
        <w:rPr>
          <w:rFonts w:ascii="Calibri" w:hAnsi="Calibri" w:hint="eastAsia"/>
          <w:rtl/>
        </w:rPr>
        <w:t>זה</w:t>
      </w:r>
      <w:r w:rsidR="00F4603D" w:rsidRPr="00AA720B">
        <w:rPr>
          <w:rFonts w:ascii="Calibri" w:hAnsi="Calibri" w:hint="cs"/>
          <w:rtl/>
        </w:rPr>
        <w:t xml:space="preserve"> (על פי מסמך שהוגש לנו הנאשם ריצה עונש מאסר אחר של 3 שנים מיום 15.12.2014 </w:t>
      </w:r>
      <w:r w:rsidR="00F4603D" w:rsidRPr="00AA720B">
        <w:rPr>
          <w:rFonts w:ascii="Calibri" w:hAnsi="Calibri"/>
          <w:rtl/>
        </w:rPr>
        <w:t>–</w:t>
      </w:r>
      <w:r w:rsidR="00F4603D" w:rsidRPr="00AA720B">
        <w:rPr>
          <w:rFonts w:ascii="Calibri" w:hAnsi="Calibri" w:hint="cs"/>
          <w:rtl/>
        </w:rPr>
        <w:t xml:space="preserve"> 14.12.2017);</w:t>
      </w:r>
      <w:r w:rsidR="00F4603D" w:rsidRPr="00AA720B">
        <w:rPr>
          <w:rFonts w:ascii="Calibri" w:hAnsi="Calibri"/>
          <w:rtl/>
        </w:rPr>
        <w:t xml:space="preserve"> </w:t>
      </w:r>
      <w:r w:rsidR="00F4603D" w:rsidRPr="00AA720B">
        <w:rPr>
          <w:rFonts w:ascii="Calibri" w:hAnsi="Calibri" w:hint="cs"/>
          <w:rtl/>
        </w:rPr>
        <w:t>ומכאן ימי מעצרו בתיק זה ימנו מיום 14.12.2017.</w:t>
      </w:r>
    </w:p>
    <w:p w14:paraId="4BD1D3C8" w14:textId="77777777" w:rsidR="0037227B" w:rsidRPr="00AA720B" w:rsidRDefault="0037227B" w:rsidP="006D2178">
      <w:pPr>
        <w:widowControl w:val="0"/>
        <w:numPr>
          <w:ilvl w:val="1"/>
          <w:numId w:val="5"/>
        </w:numPr>
        <w:spacing w:before="240" w:after="240" w:line="360" w:lineRule="auto"/>
        <w:ind w:left="651" w:hanging="567"/>
        <w:jc w:val="both"/>
        <w:rPr>
          <w:rFonts w:ascii="Calibri" w:hAnsi="Calibri"/>
        </w:rPr>
      </w:pPr>
      <w:r w:rsidRPr="00AA720B">
        <w:rPr>
          <w:rFonts w:ascii="Calibri" w:hAnsi="Calibri"/>
          <w:rtl/>
        </w:rPr>
        <w:t xml:space="preserve">24 </w:t>
      </w:r>
      <w:r w:rsidRPr="00AA720B">
        <w:rPr>
          <w:rFonts w:ascii="Calibri" w:hAnsi="Calibri" w:hint="eastAsia"/>
          <w:rtl/>
        </w:rPr>
        <w:t>חודשי</w:t>
      </w:r>
      <w:r w:rsidRPr="00AA720B">
        <w:rPr>
          <w:rFonts w:ascii="Calibri" w:hAnsi="Calibri"/>
          <w:rtl/>
        </w:rPr>
        <w:t xml:space="preserve"> </w:t>
      </w:r>
      <w:r w:rsidRPr="00AA720B">
        <w:rPr>
          <w:rFonts w:ascii="Calibri" w:hAnsi="Calibri" w:hint="eastAsia"/>
          <w:rtl/>
        </w:rPr>
        <w:t>מאסר</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תנאי</w:t>
      </w:r>
      <w:r w:rsidRPr="00AA720B">
        <w:rPr>
          <w:rFonts w:ascii="Calibri" w:hAnsi="Calibri"/>
          <w:rtl/>
        </w:rPr>
        <w:t xml:space="preserve">, </w:t>
      </w:r>
      <w:r w:rsidRPr="00AA720B">
        <w:rPr>
          <w:rFonts w:ascii="Calibri" w:hAnsi="Calibri" w:hint="eastAsia"/>
          <w:rtl/>
        </w:rPr>
        <w:t>לתקופה</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3 </w:t>
      </w:r>
      <w:r w:rsidRPr="00AA720B">
        <w:rPr>
          <w:rFonts w:ascii="Calibri" w:hAnsi="Calibri" w:hint="eastAsia"/>
          <w:rtl/>
        </w:rPr>
        <w:t>שנים</w:t>
      </w:r>
      <w:r w:rsidRPr="00AA720B">
        <w:rPr>
          <w:rFonts w:ascii="Calibri" w:hAnsi="Calibri"/>
          <w:rtl/>
        </w:rPr>
        <w:t xml:space="preserve"> </w:t>
      </w:r>
      <w:r w:rsidRPr="00AA720B">
        <w:rPr>
          <w:rFonts w:ascii="Calibri" w:hAnsi="Calibri" w:hint="eastAsia"/>
          <w:rtl/>
        </w:rPr>
        <w:t>מיום</w:t>
      </w:r>
      <w:r w:rsidRPr="00AA720B">
        <w:rPr>
          <w:rFonts w:ascii="Calibri" w:hAnsi="Calibri"/>
          <w:rtl/>
        </w:rPr>
        <w:t xml:space="preserve"> </w:t>
      </w:r>
      <w:r w:rsidRPr="00AA720B">
        <w:rPr>
          <w:rFonts w:ascii="Calibri" w:hAnsi="Calibri" w:hint="eastAsia"/>
          <w:rtl/>
        </w:rPr>
        <w:t>שחרורו</w:t>
      </w:r>
      <w:r w:rsidRPr="00AA720B">
        <w:rPr>
          <w:rFonts w:ascii="Calibri" w:hAnsi="Calibri"/>
          <w:rtl/>
        </w:rPr>
        <w:t xml:space="preserve"> </w:t>
      </w:r>
      <w:r w:rsidRPr="00AA720B">
        <w:rPr>
          <w:rFonts w:ascii="Calibri" w:hAnsi="Calibri" w:hint="eastAsia"/>
          <w:rtl/>
        </w:rPr>
        <w:t>ממאסר</w:t>
      </w:r>
      <w:r w:rsidRPr="00AA720B">
        <w:rPr>
          <w:rFonts w:ascii="Calibri" w:hAnsi="Calibri"/>
          <w:rtl/>
        </w:rPr>
        <w:t xml:space="preserve">, </w:t>
      </w:r>
      <w:r w:rsidRPr="00AA720B">
        <w:rPr>
          <w:rFonts w:ascii="Calibri" w:hAnsi="Calibri" w:hint="eastAsia"/>
          <w:rtl/>
        </w:rPr>
        <w:t>אם</w:t>
      </w:r>
      <w:r w:rsidRPr="00AA720B">
        <w:rPr>
          <w:rFonts w:ascii="Calibri" w:hAnsi="Calibri"/>
          <w:rtl/>
        </w:rPr>
        <w:t xml:space="preserve"> </w:t>
      </w:r>
      <w:r w:rsidRPr="00AA720B">
        <w:rPr>
          <w:rFonts w:ascii="Calibri" w:hAnsi="Calibri" w:hint="eastAsia"/>
          <w:rtl/>
        </w:rPr>
        <w:t>יעבור</w:t>
      </w:r>
      <w:r w:rsidRPr="00AA720B">
        <w:rPr>
          <w:rFonts w:ascii="Calibri" w:hAnsi="Calibri"/>
          <w:rtl/>
        </w:rPr>
        <w:t xml:space="preserve"> </w:t>
      </w:r>
      <w:r w:rsidRPr="00AA720B">
        <w:rPr>
          <w:rFonts w:ascii="Calibri" w:hAnsi="Calibri" w:hint="eastAsia"/>
          <w:rtl/>
        </w:rPr>
        <w:t>בתקופה</w:t>
      </w:r>
      <w:r w:rsidRPr="00AA720B">
        <w:rPr>
          <w:rFonts w:ascii="Calibri" w:hAnsi="Calibri"/>
          <w:rtl/>
        </w:rPr>
        <w:t xml:space="preserve"> </w:t>
      </w:r>
      <w:r w:rsidRPr="00AA720B">
        <w:rPr>
          <w:rFonts w:ascii="Calibri" w:hAnsi="Calibri" w:hint="eastAsia"/>
          <w:rtl/>
        </w:rPr>
        <w:t>זו</w:t>
      </w:r>
      <w:r w:rsidRPr="00AA720B">
        <w:rPr>
          <w:rFonts w:ascii="Calibri" w:hAnsi="Calibri"/>
          <w:rtl/>
        </w:rPr>
        <w:t xml:space="preserve"> </w:t>
      </w:r>
      <w:r w:rsidRPr="00AA720B">
        <w:rPr>
          <w:rFonts w:ascii="Calibri" w:hAnsi="Calibri" w:hint="eastAsia"/>
          <w:rtl/>
        </w:rPr>
        <w:t>עבירה</w:t>
      </w:r>
      <w:r w:rsidRPr="00AA720B">
        <w:rPr>
          <w:rFonts w:ascii="Calibri" w:hAnsi="Calibri"/>
          <w:rtl/>
        </w:rPr>
        <w:t xml:space="preserve"> </w:t>
      </w:r>
      <w:r w:rsidRPr="00AA720B">
        <w:rPr>
          <w:rFonts w:ascii="Calibri" w:hAnsi="Calibri" w:hint="eastAsia"/>
          <w:rtl/>
        </w:rPr>
        <w:t>מן</w:t>
      </w:r>
      <w:r w:rsidRPr="00AA720B">
        <w:rPr>
          <w:rFonts w:ascii="Calibri" w:hAnsi="Calibri"/>
          <w:rtl/>
        </w:rPr>
        <w:t xml:space="preserve"> </w:t>
      </w:r>
      <w:r w:rsidRPr="00AA720B">
        <w:rPr>
          <w:rFonts w:ascii="Calibri" w:hAnsi="Calibri" w:hint="eastAsia"/>
          <w:rtl/>
        </w:rPr>
        <w:t>העבירות</w:t>
      </w:r>
      <w:r w:rsidRPr="00AA720B">
        <w:rPr>
          <w:rFonts w:ascii="Calibri" w:hAnsi="Calibri"/>
          <w:rtl/>
        </w:rPr>
        <w:t xml:space="preserve"> </w:t>
      </w:r>
      <w:r w:rsidRPr="00AA720B">
        <w:rPr>
          <w:rFonts w:ascii="Calibri" w:hAnsi="Calibri" w:hint="eastAsia"/>
          <w:rtl/>
        </w:rPr>
        <w:t>בהן</w:t>
      </w:r>
      <w:r w:rsidRPr="00AA720B">
        <w:rPr>
          <w:rFonts w:ascii="Calibri" w:hAnsi="Calibri"/>
          <w:rtl/>
        </w:rPr>
        <w:t xml:space="preserve"> </w:t>
      </w:r>
      <w:r w:rsidRPr="00AA720B">
        <w:rPr>
          <w:rFonts w:ascii="Calibri" w:hAnsi="Calibri" w:hint="eastAsia"/>
          <w:rtl/>
        </w:rPr>
        <w:t>הורשע</w:t>
      </w:r>
      <w:r w:rsidRPr="00AA720B">
        <w:rPr>
          <w:rFonts w:ascii="Calibri" w:hAnsi="Calibri"/>
          <w:rtl/>
        </w:rPr>
        <w:t xml:space="preserve"> </w:t>
      </w:r>
      <w:r w:rsidRPr="00AA720B">
        <w:rPr>
          <w:rFonts w:ascii="Calibri" w:hAnsi="Calibri" w:hint="eastAsia"/>
          <w:rtl/>
        </w:rPr>
        <w:t>או</w:t>
      </w:r>
      <w:r w:rsidRPr="00AA720B">
        <w:rPr>
          <w:rFonts w:ascii="Calibri" w:hAnsi="Calibri"/>
          <w:rtl/>
        </w:rPr>
        <w:t xml:space="preserve"> </w:t>
      </w:r>
      <w:r w:rsidRPr="00AA720B">
        <w:rPr>
          <w:rFonts w:ascii="Calibri" w:hAnsi="Calibri" w:hint="eastAsia"/>
          <w:rtl/>
        </w:rPr>
        <w:t>כל</w:t>
      </w:r>
      <w:r w:rsidRPr="00AA720B">
        <w:rPr>
          <w:rFonts w:ascii="Calibri" w:hAnsi="Calibri"/>
          <w:rtl/>
        </w:rPr>
        <w:t xml:space="preserve"> </w:t>
      </w:r>
      <w:r w:rsidRPr="00AA720B">
        <w:rPr>
          <w:rFonts w:ascii="Calibri" w:hAnsi="Calibri" w:hint="eastAsia"/>
          <w:rtl/>
        </w:rPr>
        <w:t>עבירת</w:t>
      </w:r>
      <w:r w:rsidRPr="00AA720B">
        <w:rPr>
          <w:rFonts w:ascii="Calibri" w:hAnsi="Calibri"/>
          <w:rtl/>
        </w:rPr>
        <w:t xml:space="preserve"> </w:t>
      </w:r>
      <w:r w:rsidRPr="00AA720B">
        <w:rPr>
          <w:rFonts w:ascii="Calibri" w:hAnsi="Calibri" w:hint="eastAsia"/>
          <w:rtl/>
        </w:rPr>
        <w:t>אלימות</w:t>
      </w:r>
      <w:r w:rsidRPr="00AA720B">
        <w:rPr>
          <w:rFonts w:ascii="Calibri" w:hAnsi="Calibri"/>
          <w:rtl/>
        </w:rPr>
        <w:t xml:space="preserve"> </w:t>
      </w:r>
      <w:r w:rsidRPr="00AA720B">
        <w:rPr>
          <w:rFonts w:ascii="Calibri" w:hAnsi="Calibri" w:hint="eastAsia"/>
          <w:rtl/>
        </w:rPr>
        <w:t>או</w:t>
      </w:r>
      <w:r w:rsidRPr="00AA720B">
        <w:rPr>
          <w:rFonts w:ascii="Calibri" w:hAnsi="Calibri"/>
          <w:rtl/>
        </w:rPr>
        <w:t xml:space="preserve"> </w:t>
      </w:r>
      <w:r w:rsidRPr="00AA720B">
        <w:rPr>
          <w:rFonts w:ascii="Calibri" w:hAnsi="Calibri" w:hint="eastAsia"/>
          <w:rtl/>
        </w:rPr>
        <w:t>נשק</w:t>
      </w:r>
      <w:r w:rsidRPr="00AA720B">
        <w:rPr>
          <w:rFonts w:ascii="Calibri" w:hAnsi="Calibri"/>
          <w:rtl/>
        </w:rPr>
        <w:t xml:space="preserve"> </w:t>
      </w:r>
      <w:r w:rsidRPr="00AA720B">
        <w:rPr>
          <w:rFonts w:ascii="Calibri" w:hAnsi="Calibri" w:hint="eastAsia"/>
          <w:rtl/>
        </w:rPr>
        <w:t>שהיא</w:t>
      </w:r>
      <w:r w:rsidRPr="00AA720B">
        <w:rPr>
          <w:rFonts w:ascii="Calibri" w:hAnsi="Calibri"/>
          <w:rtl/>
        </w:rPr>
        <w:t xml:space="preserve"> </w:t>
      </w:r>
      <w:r w:rsidRPr="00AA720B">
        <w:rPr>
          <w:rFonts w:ascii="Calibri" w:hAnsi="Calibri" w:hint="eastAsia"/>
          <w:rtl/>
        </w:rPr>
        <w:t>פשע</w:t>
      </w:r>
      <w:r w:rsidRPr="00AA720B">
        <w:rPr>
          <w:rFonts w:ascii="Calibri" w:hAnsi="Calibri"/>
          <w:rtl/>
        </w:rPr>
        <w:t xml:space="preserve">. </w:t>
      </w:r>
    </w:p>
    <w:p w14:paraId="4BB66D6E" w14:textId="77777777" w:rsidR="0037227B" w:rsidRPr="00AA720B" w:rsidRDefault="0037227B" w:rsidP="00A91EC4">
      <w:pPr>
        <w:widowControl w:val="0"/>
        <w:numPr>
          <w:ilvl w:val="1"/>
          <w:numId w:val="5"/>
        </w:numPr>
        <w:spacing w:before="240" w:after="240" w:line="360" w:lineRule="auto"/>
        <w:ind w:left="651" w:hanging="567"/>
        <w:jc w:val="both"/>
        <w:rPr>
          <w:rFonts w:ascii="Calibri" w:hAnsi="Calibri"/>
          <w:rtl/>
        </w:rPr>
      </w:pPr>
      <w:r w:rsidRPr="00AA720B">
        <w:rPr>
          <w:rFonts w:ascii="Calibri" w:hAnsi="Calibri" w:hint="eastAsia"/>
          <w:rtl/>
        </w:rPr>
        <w:t>פיצוי</w:t>
      </w:r>
      <w:r w:rsidRPr="00AA720B">
        <w:rPr>
          <w:rFonts w:ascii="Calibri" w:hAnsi="Calibri"/>
          <w:rtl/>
        </w:rPr>
        <w:t xml:space="preserve"> </w:t>
      </w:r>
      <w:r w:rsidRPr="00AA720B">
        <w:rPr>
          <w:rFonts w:ascii="Calibri" w:hAnsi="Calibri" w:hint="eastAsia"/>
          <w:rtl/>
        </w:rPr>
        <w:t>למשפחת</w:t>
      </w:r>
      <w:r w:rsidRPr="00AA720B">
        <w:rPr>
          <w:rFonts w:ascii="Calibri" w:hAnsi="Calibri"/>
          <w:rtl/>
        </w:rPr>
        <w:t xml:space="preserve"> </w:t>
      </w:r>
      <w:r w:rsidRPr="00AA720B">
        <w:rPr>
          <w:rFonts w:ascii="Calibri" w:hAnsi="Calibri" w:hint="eastAsia"/>
          <w:rtl/>
        </w:rPr>
        <w:t>ה</w:t>
      </w:r>
      <w:r w:rsidR="00F4603D" w:rsidRPr="00AA720B">
        <w:rPr>
          <w:rFonts w:ascii="Calibri" w:hAnsi="Calibri" w:hint="cs"/>
          <w:rtl/>
        </w:rPr>
        <w:t>מנוח</w:t>
      </w:r>
      <w:r w:rsidRPr="00AA720B">
        <w:rPr>
          <w:rFonts w:ascii="Calibri" w:hAnsi="Calibri"/>
          <w:rtl/>
        </w:rPr>
        <w:t xml:space="preserve"> </w:t>
      </w:r>
      <w:r w:rsidRPr="00AA720B">
        <w:rPr>
          <w:rFonts w:ascii="Calibri" w:hAnsi="Calibri" w:hint="eastAsia"/>
          <w:rtl/>
        </w:rPr>
        <w:t>בסך</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150,000 </w:t>
      </w:r>
      <w:r w:rsidRPr="00AA720B">
        <w:rPr>
          <w:rFonts w:ascii="Calibri" w:hAnsi="Calibri" w:hint="eastAsia"/>
          <w:rtl/>
        </w:rPr>
        <w:t>₪</w:t>
      </w:r>
      <w:r w:rsidRPr="00AA720B">
        <w:rPr>
          <w:rFonts w:ascii="Calibri" w:hAnsi="Calibri"/>
          <w:rtl/>
        </w:rPr>
        <w:t xml:space="preserve">. </w:t>
      </w:r>
      <w:r w:rsidRPr="00AA720B">
        <w:rPr>
          <w:rFonts w:ascii="Calibri" w:hAnsi="Calibri" w:hint="eastAsia"/>
          <w:rtl/>
        </w:rPr>
        <w:t>הפיצוי</w:t>
      </w:r>
      <w:r w:rsidRPr="00AA720B">
        <w:rPr>
          <w:rFonts w:ascii="Calibri" w:hAnsi="Calibri"/>
          <w:rtl/>
        </w:rPr>
        <w:t xml:space="preserve"> </w:t>
      </w:r>
      <w:r w:rsidRPr="00AA720B">
        <w:rPr>
          <w:rFonts w:ascii="Calibri" w:hAnsi="Calibri" w:hint="eastAsia"/>
          <w:rtl/>
        </w:rPr>
        <w:t>יועבר</w:t>
      </w:r>
      <w:r w:rsidRPr="00AA720B">
        <w:rPr>
          <w:rFonts w:ascii="Calibri" w:hAnsi="Calibri"/>
          <w:rtl/>
        </w:rPr>
        <w:t xml:space="preserve"> </w:t>
      </w:r>
      <w:r w:rsidRPr="00AA720B">
        <w:rPr>
          <w:rFonts w:ascii="Calibri" w:hAnsi="Calibri" w:hint="eastAsia"/>
          <w:rtl/>
        </w:rPr>
        <w:t>ל</w:t>
      </w:r>
      <w:r w:rsidR="00F4603D" w:rsidRPr="00AA720B">
        <w:rPr>
          <w:rFonts w:ascii="Calibri" w:hAnsi="Calibri" w:hint="cs"/>
          <w:rtl/>
        </w:rPr>
        <w:t xml:space="preserve">משפחת המנוח - </w:t>
      </w:r>
      <w:r w:rsidRPr="00AA720B">
        <w:rPr>
          <w:rFonts w:ascii="Calibri" w:hAnsi="Calibri" w:hint="eastAsia"/>
          <w:rtl/>
        </w:rPr>
        <w:t>נפגעי</w:t>
      </w:r>
      <w:r w:rsidRPr="00AA720B">
        <w:rPr>
          <w:rFonts w:ascii="Calibri" w:hAnsi="Calibri"/>
          <w:rtl/>
        </w:rPr>
        <w:t xml:space="preserve"> </w:t>
      </w:r>
      <w:r w:rsidRPr="00AA720B">
        <w:rPr>
          <w:rFonts w:ascii="Calibri" w:hAnsi="Calibri" w:hint="eastAsia"/>
          <w:rtl/>
        </w:rPr>
        <w:t>העבירה</w:t>
      </w:r>
      <w:r w:rsidRPr="00AA720B">
        <w:rPr>
          <w:rFonts w:ascii="Calibri" w:hAnsi="Calibri"/>
          <w:rtl/>
        </w:rPr>
        <w:t xml:space="preserve">, </w:t>
      </w:r>
      <w:r w:rsidRPr="00AA720B">
        <w:rPr>
          <w:rFonts w:ascii="Calibri" w:hAnsi="Calibri" w:hint="eastAsia"/>
          <w:rtl/>
        </w:rPr>
        <w:t>כאשר</w:t>
      </w:r>
      <w:r w:rsidRPr="00AA720B">
        <w:rPr>
          <w:rFonts w:ascii="Calibri" w:hAnsi="Calibri"/>
          <w:rtl/>
        </w:rPr>
        <w:t xml:space="preserve"> </w:t>
      </w:r>
      <w:r w:rsidRPr="00AA720B">
        <w:rPr>
          <w:rFonts w:ascii="Calibri" w:hAnsi="Calibri" w:hint="eastAsia"/>
          <w:rtl/>
        </w:rPr>
        <w:t>על</w:t>
      </w:r>
      <w:r w:rsidRPr="00AA720B">
        <w:rPr>
          <w:rFonts w:ascii="Calibri" w:hAnsi="Calibri"/>
          <w:rtl/>
        </w:rPr>
        <w:t xml:space="preserve"> </w:t>
      </w:r>
      <w:r w:rsidRPr="00AA720B">
        <w:rPr>
          <w:rFonts w:ascii="Calibri" w:hAnsi="Calibri" w:hint="eastAsia"/>
          <w:rtl/>
        </w:rPr>
        <w:t>פי</w:t>
      </w:r>
      <w:r w:rsidRPr="00AA720B">
        <w:rPr>
          <w:rFonts w:ascii="Calibri" w:hAnsi="Calibri"/>
          <w:rtl/>
        </w:rPr>
        <w:t xml:space="preserve"> </w:t>
      </w:r>
      <w:r w:rsidRPr="00AA720B">
        <w:rPr>
          <w:rFonts w:ascii="Calibri" w:hAnsi="Calibri" w:hint="eastAsia"/>
          <w:rtl/>
        </w:rPr>
        <w:t>הפרטים</w:t>
      </w:r>
      <w:r w:rsidRPr="00AA720B">
        <w:rPr>
          <w:rFonts w:ascii="Calibri" w:hAnsi="Calibri"/>
          <w:rtl/>
        </w:rPr>
        <w:t xml:space="preserve"> </w:t>
      </w:r>
      <w:r w:rsidRPr="00AA720B">
        <w:rPr>
          <w:rFonts w:ascii="Calibri" w:hAnsi="Calibri" w:hint="eastAsia"/>
          <w:rtl/>
        </w:rPr>
        <w:t>שנמסרו</w:t>
      </w:r>
      <w:r w:rsidRPr="00AA720B">
        <w:rPr>
          <w:rFonts w:ascii="Calibri" w:hAnsi="Calibri"/>
          <w:rtl/>
        </w:rPr>
        <w:t xml:space="preserve"> </w:t>
      </w:r>
      <w:r w:rsidRPr="00AA720B">
        <w:rPr>
          <w:rFonts w:ascii="Calibri" w:hAnsi="Calibri" w:hint="eastAsia"/>
          <w:rtl/>
        </w:rPr>
        <w:t>ב</w:t>
      </w:r>
      <w:r w:rsidR="00F4603D" w:rsidRPr="00AA720B">
        <w:rPr>
          <w:rFonts w:ascii="Calibri" w:hAnsi="Calibri" w:hint="cs"/>
          <w:rtl/>
        </w:rPr>
        <w:t xml:space="preserve">עניינם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הנאשמים</w:t>
      </w:r>
      <w:r w:rsidRPr="00AA720B">
        <w:rPr>
          <w:rFonts w:ascii="Calibri" w:hAnsi="Calibri"/>
          <w:rtl/>
        </w:rPr>
        <w:t xml:space="preserve"> </w:t>
      </w:r>
      <w:r w:rsidRPr="00AA720B">
        <w:rPr>
          <w:rFonts w:ascii="Calibri" w:hAnsi="Calibri" w:hint="eastAsia"/>
          <w:rtl/>
        </w:rPr>
        <w:t>האחרים</w:t>
      </w:r>
      <w:r w:rsidRPr="00AA720B">
        <w:rPr>
          <w:rFonts w:ascii="Calibri" w:hAnsi="Calibri"/>
          <w:rtl/>
        </w:rPr>
        <w:t xml:space="preserve">, </w:t>
      </w:r>
      <w:r w:rsidRPr="00AA720B">
        <w:rPr>
          <w:rFonts w:ascii="Calibri" w:hAnsi="Calibri" w:hint="eastAsia"/>
          <w:rtl/>
        </w:rPr>
        <w:t>בתוך</w:t>
      </w:r>
      <w:r w:rsidRPr="00AA720B">
        <w:rPr>
          <w:rFonts w:ascii="Calibri" w:hAnsi="Calibri"/>
          <w:rtl/>
        </w:rPr>
        <w:t xml:space="preserve"> </w:t>
      </w:r>
      <w:r w:rsidRPr="00AA720B">
        <w:rPr>
          <w:rFonts w:ascii="Calibri" w:hAnsi="Calibri" w:hint="eastAsia"/>
          <w:rtl/>
        </w:rPr>
        <w:t>נפגעי</w:t>
      </w:r>
      <w:r w:rsidRPr="00AA720B">
        <w:rPr>
          <w:rFonts w:ascii="Calibri" w:hAnsi="Calibri"/>
          <w:rtl/>
        </w:rPr>
        <w:t xml:space="preserve"> </w:t>
      </w:r>
      <w:r w:rsidRPr="00AA720B">
        <w:rPr>
          <w:rFonts w:ascii="Calibri" w:hAnsi="Calibri" w:hint="eastAsia"/>
          <w:rtl/>
        </w:rPr>
        <w:t>העבירה</w:t>
      </w:r>
      <w:r w:rsidRPr="00AA720B">
        <w:rPr>
          <w:rFonts w:ascii="Calibri" w:hAnsi="Calibri"/>
          <w:rtl/>
        </w:rPr>
        <w:t xml:space="preserve"> </w:t>
      </w:r>
      <w:r w:rsidRPr="00AA720B">
        <w:rPr>
          <w:rFonts w:ascii="Calibri" w:hAnsi="Calibri" w:hint="eastAsia"/>
          <w:rtl/>
        </w:rPr>
        <w:t>נכללות</w:t>
      </w:r>
      <w:r w:rsidRPr="00AA720B">
        <w:rPr>
          <w:rFonts w:ascii="Calibri" w:hAnsi="Calibri"/>
          <w:rtl/>
        </w:rPr>
        <w:t xml:space="preserve"> </w:t>
      </w:r>
      <w:r w:rsidRPr="00AA720B">
        <w:rPr>
          <w:rFonts w:ascii="Calibri" w:hAnsi="Calibri" w:hint="eastAsia"/>
          <w:rtl/>
        </w:rPr>
        <w:t>גם</w:t>
      </w:r>
      <w:r w:rsidRPr="00AA720B">
        <w:rPr>
          <w:rFonts w:ascii="Calibri" w:hAnsi="Calibri"/>
          <w:rtl/>
        </w:rPr>
        <w:t xml:space="preserve"> </w:t>
      </w:r>
      <w:r w:rsidRPr="00AA720B">
        <w:rPr>
          <w:rFonts w:ascii="Calibri" w:hAnsi="Calibri" w:hint="eastAsia"/>
          <w:rtl/>
        </w:rPr>
        <w:t>כל</w:t>
      </w:r>
      <w:r w:rsidRPr="00AA720B">
        <w:rPr>
          <w:rFonts w:ascii="Calibri" w:hAnsi="Calibri"/>
          <w:rtl/>
        </w:rPr>
        <w:t xml:space="preserve"> </w:t>
      </w:r>
      <w:r w:rsidRPr="00AA720B">
        <w:rPr>
          <w:rFonts w:ascii="Calibri" w:hAnsi="Calibri" w:hint="eastAsia"/>
          <w:rtl/>
        </w:rPr>
        <w:t>בנותיו</w:t>
      </w:r>
      <w:r w:rsidRPr="00AA720B">
        <w:rPr>
          <w:rFonts w:ascii="Calibri" w:hAnsi="Calibri"/>
          <w:rtl/>
        </w:rPr>
        <w:t xml:space="preserve"> </w:t>
      </w:r>
      <w:r w:rsidRPr="00AA720B">
        <w:rPr>
          <w:rFonts w:ascii="Calibri" w:hAnsi="Calibri" w:hint="eastAsia"/>
          <w:rtl/>
        </w:rPr>
        <w:t>הקטינות</w:t>
      </w:r>
      <w:r w:rsidRPr="00AA720B">
        <w:rPr>
          <w:rFonts w:ascii="Calibri" w:hAnsi="Calibri"/>
          <w:rtl/>
        </w:rPr>
        <w:t xml:space="preserve"> </w:t>
      </w:r>
      <w:r w:rsidRPr="00AA720B">
        <w:rPr>
          <w:rFonts w:ascii="Calibri" w:hAnsi="Calibri" w:hint="eastAsia"/>
          <w:rtl/>
        </w:rPr>
        <w:t>של</w:t>
      </w:r>
      <w:r w:rsidRPr="00AA720B">
        <w:rPr>
          <w:rFonts w:ascii="Calibri" w:hAnsi="Calibri"/>
          <w:rtl/>
        </w:rPr>
        <w:t xml:space="preserve"> </w:t>
      </w:r>
      <w:r w:rsidRPr="00AA720B">
        <w:rPr>
          <w:rFonts w:ascii="Calibri" w:hAnsi="Calibri" w:hint="eastAsia"/>
          <w:rtl/>
        </w:rPr>
        <w:t>המנוח</w:t>
      </w:r>
      <w:r w:rsidRPr="00AA720B">
        <w:rPr>
          <w:rFonts w:ascii="Calibri" w:hAnsi="Calibri"/>
          <w:rtl/>
        </w:rPr>
        <w:t xml:space="preserve">. </w:t>
      </w:r>
      <w:r w:rsidRPr="00AA720B">
        <w:rPr>
          <w:rFonts w:ascii="Calibri" w:hAnsi="Calibri" w:hint="eastAsia"/>
          <w:rtl/>
        </w:rPr>
        <w:t>פרטי</w:t>
      </w:r>
      <w:r w:rsidRPr="00AA720B">
        <w:rPr>
          <w:rFonts w:ascii="Calibri" w:hAnsi="Calibri"/>
          <w:rtl/>
        </w:rPr>
        <w:t xml:space="preserve"> </w:t>
      </w:r>
      <w:r w:rsidRPr="00AA720B">
        <w:rPr>
          <w:rFonts w:ascii="Calibri" w:hAnsi="Calibri" w:hint="eastAsia"/>
          <w:rtl/>
        </w:rPr>
        <w:t>הבנות</w:t>
      </w:r>
      <w:r w:rsidRPr="00AA720B">
        <w:rPr>
          <w:rFonts w:ascii="Calibri" w:hAnsi="Calibri"/>
          <w:rtl/>
        </w:rPr>
        <w:t xml:space="preserve"> </w:t>
      </w:r>
      <w:r w:rsidRPr="00AA720B">
        <w:rPr>
          <w:rFonts w:ascii="Calibri" w:hAnsi="Calibri" w:hint="eastAsia"/>
          <w:rtl/>
        </w:rPr>
        <w:t>הקטינות</w:t>
      </w:r>
      <w:r w:rsidRPr="00AA720B">
        <w:rPr>
          <w:rFonts w:ascii="Calibri" w:hAnsi="Calibri"/>
          <w:rtl/>
        </w:rPr>
        <w:t xml:space="preserve"> </w:t>
      </w:r>
      <w:r w:rsidRPr="00AA720B">
        <w:rPr>
          <w:rFonts w:ascii="Calibri" w:hAnsi="Calibri" w:hint="eastAsia"/>
          <w:rtl/>
        </w:rPr>
        <w:t>ימסרו</w:t>
      </w:r>
      <w:r w:rsidRPr="00AA720B">
        <w:rPr>
          <w:rFonts w:ascii="Calibri" w:hAnsi="Calibri"/>
          <w:rtl/>
        </w:rPr>
        <w:t xml:space="preserve"> </w:t>
      </w:r>
      <w:r w:rsidRPr="00AA720B">
        <w:rPr>
          <w:rFonts w:ascii="Calibri" w:hAnsi="Calibri" w:hint="eastAsia"/>
          <w:rtl/>
        </w:rPr>
        <w:t>ע</w:t>
      </w:r>
      <w:r w:rsidRPr="00AA720B">
        <w:rPr>
          <w:rFonts w:ascii="Calibri" w:hAnsi="Calibri"/>
          <w:rtl/>
        </w:rPr>
        <w:t>"</w:t>
      </w:r>
      <w:r w:rsidRPr="00AA720B">
        <w:rPr>
          <w:rFonts w:ascii="Calibri" w:hAnsi="Calibri" w:hint="eastAsia"/>
          <w:rtl/>
        </w:rPr>
        <w:t>י</w:t>
      </w:r>
      <w:r w:rsidRPr="00AA720B">
        <w:rPr>
          <w:rFonts w:ascii="Calibri" w:hAnsi="Calibri"/>
          <w:rtl/>
        </w:rPr>
        <w:t xml:space="preserve"> </w:t>
      </w:r>
      <w:r w:rsidRPr="00AA720B">
        <w:rPr>
          <w:rFonts w:ascii="Calibri" w:hAnsi="Calibri" w:hint="eastAsia"/>
          <w:rtl/>
        </w:rPr>
        <w:t>התביעה</w:t>
      </w:r>
      <w:r w:rsidRPr="00AA720B">
        <w:rPr>
          <w:rFonts w:ascii="Calibri" w:hAnsi="Calibri"/>
          <w:rtl/>
        </w:rPr>
        <w:t xml:space="preserve"> </w:t>
      </w:r>
      <w:r w:rsidRPr="00AA720B">
        <w:rPr>
          <w:rFonts w:ascii="Calibri" w:hAnsi="Calibri" w:hint="eastAsia"/>
          <w:rtl/>
        </w:rPr>
        <w:t>למזכירות</w:t>
      </w:r>
      <w:r w:rsidRPr="00AA720B">
        <w:rPr>
          <w:rFonts w:ascii="Calibri" w:hAnsi="Calibri"/>
          <w:rtl/>
        </w:rPr>
        <w:t xml:space="preserve"> </w:t>
      </w:r>
      <w:r w:rsidRPr="00AA720B">
        <w:rPr>
          <w:rFonts w:ascii="Calibri" w:hAnsi="Calibri" w:hint="eastAsia"/>
          <w:rtl/>
        </w:rPr>
        <w:t>בתוך</w:t>
      </w:r>
      <w:r w:rsidRPr="00AA720B">
        <w:rPr>
          <w:rFonts w:ascii="Calibri" w:hAnsi="Calibri"/>
          <w:rtl/>
        </w:rPr>
        <w:t xml:space="preserve"> 7 </w:t>
      </w:r>
      <w:r w:rsidRPr="00AA720B">
        <w:rPr>
          <w:rFonts w:ascii="Calibri" w:hAnsi="Calibri" w:hint="eastAsia"/>
          <w:rtl/>
        </w:rPr>
        <w:t>ימים</w:t>
      </w:r>
      <w:r w:rsidRPr="00AA720B">
        <w:rPr>
          <w:rFonts w:ascii="Calibri" w:hAnsi="Calibri"/>
          <w:rtl/>
        </w:rPr>
        <w:t xml:space="preserve"> </w:t>
      </w:r>
      <w:r w:rsidRPr="00AA720B">
        <w:rPr>
          <w:rFonts w:ascii="Calibri" w:hAnsi="Calibri" w:hint="eastAsia"/>
          <w:rtl/>
        </w:rPr>
        <w:t>ובמידת</w:t>
      </w:r>
      <w:r w:rsidRPr="00AA720B">
        <w:rPr>
          <w:rFonts w:ascii="Calibri" w:hAnsi="Calibri"/>
          <w:rtl/>
        </w:rPr>
        <w:t xml:space="preserve"> </w:t>
      </w:r>
      <w:r w:rsidRPr="00AA720B">
        <w:rPr>
          <w:rFonts w:ascii="Calibri" w:hAnsi="Calibri" w:hint="eastAsia"/>
          <w:rtl/>
        </w:rPr>
        <w:t>הצורך</w:t>
      </w:r>
      <w:r w:rsidRPr="00AA720B">
        <w:rPr>
          <w:rFonts w:ascii="Calibri" w:hAnsi="Calibri"/>
          <w:rtl/>
        </w:rPr>
        <w:t xml:space="preserve"> </w:t>
      </w:r>
      <w:r w:rsidRPr="00AA720B">
        <w:rPr>
          <w:rFonts w:ascii="Calibri" w:hAnsi="Calibri" w:hint="eastAsia"/>
          <w:rtl/>
        </w:rPr>
        <w:t>ניתן</w:t>
      </w:r>
      <w:r w:rsidRPr="00AA720B">
        <w:rPr>
          <w:rFonts w:ascii="Calibri" w:hAnsi="Calibri"/>
          <w:rtl/>
        </w:rPr>
        <w:t xml:space="preserve"> </w:t>
      </w:r>
      <w:r w:rsidRPr="00AA720B">
        <w:rPr>
          <w:rFonts w:ascii="Calibri" w:hAnsi="Calibri" w:hint="eastAsia"/>
          <w:rtl/>
        </w:rPr>
        <w:t>החלטה</w:t>
      </w:r>
      <w:r w:rsidRPr="00AA720B">
        <w:rPr>
          <w:rFonts w:ascii="Calibri" w:hAnsi="Calibri"/>
          <w:rtl/>
        </w:rPr>
        <w:t xml:space="preserve"> </w:t>
      </w:r>
      <w:r w:rsidRPr="00AA720B">
        <w:rPr>
          <w:rFonts w:ascii="Calibri" w:hAnsi="Calibri" w:hint="eastAsia"/>
          <w:rtl/>
        </w:rPr>
        <w:t>מתאימה</w:t>
      </w:r>
      <w:r w:rsidRPr="00AA720B">
        <w:rPr>
          <w:rFonts w:ascii="Calibri" w:hAnsi="Calibri"/>
          <w:rtl/>
        </w:rPr>
        <w:t xml:space="preserve"> </w:t>
      </w:r>
      <w:r w:rsidRPr="00AA720B">
        <w:rPr>
          <w:rFonts w:ascii="Calibri" w:hAnsi="Calibri" w:hint="eastAsia"/>
          <w:rtl/>
        </w:rPr>
        <w:t>בהמשך</w:t>
      </w:r>
      <w:r w:rsidRPr="00AA720B">
        <w:rPr>
          <w:rFonts w:ascii="Calibri" w:hAnsi="Calibri"/>
          <w:rtl/>
        </w:rPr>
        <w:t xml:space="preserve"> </w:t>
      </w:r>
      <w:r w:rsidRPr="00AA720B">
        <w:rPr>
          <w:rFonts w:ascii="Calibri" w:hAnsi="Calibri" w:hint="eastAsia"/>
          <w:rtl/>
        </w:rPr>
        <w:t>לגזר</w:t>
      </w:r>
      <w:r w:rsidRPr="00AA720B">
        <w:rPr>
          <w:rFonts w:ascii="Calibri" w:hAnsi="Calibri"/>
          <w:rtl/>
        </w:rPr>
        <w:t xml:space="preserve"> </w:t>
      </w:r>
      <w:r w:rsidRPr="00AA720B">
        <w:rPr>
          <w:rFonts w:ascii="Calibri" w:hAnsi="Calibri" w:hint="eastAsia"/>
          <w:rtl/>
        </w:rPr>
        <w:t>הדין</w:t>
      </w:r>
      <w:r w:rsidRPr="00AA720B">
        <w:rPr>
          <w:rFonts w:ascii="Calibri" w:hAnsi="Calibri"/>
          <w:rtl/>
        </w:rPr>
        <w:t xml:space="preserve"> </w:t>
      </w:r>
      <w:r w:rsidRPr="00AA720B">
        <w:rPr>
          <w:rFonts w:ascii="Calibri" w:hAnsi="Calibri" w:hint="eastAsia"/>
          <w:rtl/>
        </w:rPr>
        <w:t>שתכלול</w:t>
      </w:r>
      <w:r w:rsidRPr="00AA720B">
        <w:rPr>
          <w:rFonts w:ascii="Calibri" w:hAnsi="Calibri"/>
          <w:rtl/>
        </w:rPr>
        <w:t xml:space="preserve"> </w:t>
      </w:r>
      <w:r w:rsidRPr="00AA720B">
        <w:rPr>
          <w:rFonts w:ascii="Calibri" w:hAnsi="Calibri" w:hint="eastAsia"/>
          <w:rtl/>
        </w:rPr>
        <w:t>את</w:t>
      </w:r>
      <w:r w:rsidRPr="00AA720B">
        <w:rPr>
          <w:rFonts w:ascii="Calibri" w:hAnsi="Calibri"/>
          <w:rtl/>
        </w:rPr>
        <w:t xml:space="preserve"> </w:t>
      </w:r>
      <w:r w:rsidRPr="00AA720B">
        <w:rPr>
          <w:rFonts w:ascii="Calibri" w:hAnsi="Calibri" w:hint="eastAsia"/>
          <w:rtl/>
        </w:rPr>
        <w:t>פרטי</w:t>
      </w:r>
      <w:r w:rsidRPr="00AA720B">
        <w:rPr>
          <w:rFonts w:ascii="Calibri" w:hAnsi="Calibri"/>
          <w:rtl/>
        </w:rPr>
        <w:t xml:space="preserve"> </w:t>
      </w:r>
      <w:r w:rsidRPr="00AA720B">
        <w:rPr>
          <w:rFonts w:ascii="Calibri" w:hAnsi="Calibri" w:hint="eastAsia"/>
          <w:rtl/>
        </w:rPr>
        <w:t>הקטינות</w:t>
      </w:r>
      <w:r w:rsidRPr="00AA720B">
        <w:rPr>
          <w:rFonts w:ascii="Calibri" w:hAnsi="Calibri"/>
          <w:rtl/>
        </w:rPr>
        <w:t xml:space="preserve"> </w:t>
      </w:r>
      <w:r w:rsidRPr="00AA720B">
        <w:rPr>
          <w:rFonts w:ascii="Calibri" w:hAnsi="Calibri" w:hint="eastAsia"/>
          <w:rtl/>
        </w:rPr>
        <w:t>באופן</w:t>
      </w:r>
      <w:r w:rsidRPr="00AA720B">
        <w:rPr>
          <w:rFonts w:ascii="Calibri" w:hAnsi="Calibri"/>
          <w:rtl/>
        </w:rPr>
        <w:t xml:space="preserve"> </w:t>
      </w:r>
      <w:r w:rsidRPr="00AA720B">
        <w:rPr>
          <w:rFonts w:ascii="Calibri" w:hAnsi="Calibri" w:hint="eastAsia"/>
          <w:rtl/>
        </w:rPr>
        <w:t>חסוי</w:t>
      </w:r>
      <w:r w:rsidRPr="00AA720B">
        <w:rPr>
          <w:rFonts w:ascii="Calibri" w:hAnsi="Calibri"/>
          <w:rtl/>
        </w:rPr>
        <w:t>.</w:t>
      </w:r>
    </w:p>
    <w:p w14:paraId="309103A2" w14:textId="77777777" w:rsidR="0037227B" w:rsidRPr="00AA720B" w:rsidRDefault="0037227B" w:rsidP="006D2178">
      <w:pPr>
        <w:widowControl w:val="0"/>
        <w:spacing w:before="240" w:after="240" w:line="360" w:lineRule="auto"/>
        <w:jc w:val="both"/>
        <w:rPr>
          <w:rFonts w:ascii="Calibri" w:hAnsi="Calibri"/>
          <w:rtl/>
        </w:rPr>
      </w:pPr>
      <w:r w:rsidRPr="00AA720B">
        <w:rPr>
          <w:rFonts w:ascii="Calibri" w:hAnsi="Calibri" w:hint="eastAsia"/>
          <w:rtl/>
        </w:rPr>
        <w:t>זכות</w:t>
      </w:r>
      <w:r w:rsidRPr="00AA720B">
        <w:rPr>
          <w:rFonts w:ascii="Calibri" w:hAnsi="Calibri"/>
          <w:rtl/>
        </w:rPr>
        <w:t xml:space="preserve"> </w:t>
      </w:r>
      <w:r w:rsidRPr="00AA720B">
        <w:rPr>
          <w:rFonts w:ascii="Calibri" w:hAnsi="Calibri" w:hint="eastAsia"/>
          <w:rtl/>
        </w:rPr>
        <w:t>ערעור</w:t>
      </w:r>
      <w:r w:rsidRPr="00AA720B">
        <w:rPr>
          <w:rFonts w:ascii="Calibri" w:hAnsi="Calibri"/>
          <w:rtl/>
        </w:rPr>
        <w:t xml:space="preserve"> </w:t>
      </w:r>
      <w:r w:rsidRPr="00AA720B">
        <w:rPr>
          <w:rFonts w:ascii="Calibri" w:hAnsi="Calibri" w:hint="eastAsia"/>
          <w:rtl/>
        </w:rPr>
        <w:t>לבית</w:t>
      </w:r>
      <w:r w:rsidRPr="00AA720B">
        <w:rPr>
          <w:rFonts w:ascii="Calibri" w:hAnsi="Calibri"/>
          <w:rtl/>
        </w:rPr>
        <w:t xml:space="preserve"> </w:t>
      </w:r>
      <w:r w:rsidRPr="00AA720B">
        <w:rPr>
          <w:rFonts w:ascii="Calibri" w:hAnsi="Calibri" w:hint="eastAsia"/>
          <w:rtl/>
        </w:rPr>
        <w:t>המשפט</w:t>
      </w:r>
      <w:r w:rsidRPr="00AA720B">
        <w:rPr>
          <w:rFonts w:ascii="Calibri" w:hAnsi="Calibri"/>
          <w:rtl/>
        </w:rPr>
        <w:t xml:space="preserve"> </w:t>
      </w:r>
      <w:r w:rsidRPr="00AA720B">
        <w:rPr>
          <w:rFonts w:ascii="Calibri" w:hAnsi="Calibri" w:hint="eastAsia"/>
          <w:rtl/>
        </w:rPr>
        <w:t>העליון</w:t>
      </w:r>
      <w:r w:rsidRPr="00AA720B">
        <w:rPr>
          <w:rFonts w:ascii="Calibri" w:hAnsi="Calibri"/>
          <w:rtl/>
        </w:rPr>
        <w:t xml:space="preserve"> </w:t>
      </w:r>
      <w:r w:rsidRPr="00AA720B">
        <w:rPr>
          <w:rFonts w:ascii="Calibri" w:hAnsi="Calibri" w:hint="eastAsia"/>
          <w:rtl/>
        </w:rPr>
        <w:t>בתוך</w:t>
      </w:r>
      <w:r w:rsidRPr="00AA720B">
        <w:rPr>
          <w:rFonts w:ascii="Calibri" w:hAnsi="Calibri"/>
          <w:rtl/>
        </w:rPr>
        <w:t xml:space="preserve"> 45 </w:t>
      </w:r>
      <w:r w:rsidRPr="00AA720B">
        <w:rPr>
          <w:rFonts w:ascii="Calibri" w:hAnsi="Calibri" w:hint="eastAsia"/>
          <w:rtl/>
        </w:rPr>
        <w:t>ימים</w:t>
      </w:r>
      <w:r w:rsidRPr="00AA720B">
        <w:rPr>
          <w:rFonts w:ascii="Calibri" w:hAnsi="Calibri"/>
          <w:rtl/>
        </w:rPr>
        <w:t xml:space="preserve">. </w:t>
      </w:r>
    </w:p>
    <w:p w14:paraId="46451C31" w14:textId="77777777" w:rsidR="006D2178" w:rsidRPr="00AD1D7C" w:rsidRDefault="00190E23" w:rsidP="00A91EC4">
      <w:pPr>
        <w:widowControl w:val="0"/>
        <w:spacing w:before="240" w:after="240" w:line="360" w:lineRule="auto"/>
        <w:rPr>
          <w:b/>
          <w:bCs/>
          <w:rtl/>
        </w:rPr>
      </w:pPr>
      <w:bookmarkStart w:id="9" w:name="Nitan"/>
      <w:r w:rsidRPr="00AD1D7C">
        <w:rPr>
          <w:rFonts w:ascii="Arial" w:hAnsi="Arial"/>
          <w:b/>
          <w:bCs/>
          <w:color w:val="FFFFFF"/>
          <w:sz w:val="2"/>
          <w:szCs w:val="2"/>
          <w:rtl/>
        </w:rPr>
        <w:t>5129371</w:t>
      </w:r>
      <w:r w:rsidRPr="00AD1D7C">
        <w:rPr>
          <w:rFonts w:ascii="Arial" w:hAnsi="Arial"/>
          <w:b/>
          <w:bCs/>
          <w:rtl/>
        </w:rPr>
        <w:t xml:space="preserve">ניתן היום,  ח' טבת תשפ"א, 23 דצמבר 2020, במעמד הצדדים. </w:t>
      </w:r>
      <w:bookmarkEnd w:id="9"/>
    </w:p>
    <w:tbl>
      <w:tblPr>
        <w:bidiVisual/>
        <w:tblW w:w="0" w:type="auto"/>
        <w:tblLook w:val="01E0" w:firstRow="1" w:lastRow="1" w:firstColumn="1" w:lastColumn="1" w:noHBand="0" w:noVBand="0"/>
      </w:tblPr>
      <w:tblGrid>
        <w:gridCol w:w="2866"/>
        <w:gridCol w:w="235"/>
        <w:gridCol w:w="2376"/>
        <w:gridCol w:w="296"/>
        <w:gridCol w:w="2732"/>
      </w:tblGrid>
      <w:tr w:rsidR="00190E23" w14:paraId="4E0ACFD8" w14:textId="77777777" w:rsidTr="00C4302E">
        <w:tc>
          <w:tcPr>
            <w:tcW w:w="2866" w:type="dxa"/>
            <w:tcBorders>
              <w:top w:val="nil"/>
              <w:left w:val="nil"/>
              <w:bottom w:val="single" w:sz="4" w:space="0" w:color="auto"/>
              <w:right w:val="nil"/>
            </w:tcBorders>
            <w:shd w:val="clear" w:color="auto" w:fill="auto"/>
            <w:vAlign w:val="center"/>
          </w:tcPr>
          <w:p w14:paraId="6457626F" w14:textId="77777777" w:rsidR="00190E23" w:rsidRPr="00190E23" w:rsidRDefault="00190E23" w:rsidP="00C4302E">
            <w:pPr>
              <w:widowControl w:val="0"/>
              <w:jc w:val="center"/>
              <w:rPr>
                <w:rFonts w:ascii="Courier New" w:hAnsi="Courier New"/>
                <w:b/>
                <w:bCs/>
                <w:color w:val="FFFFFF"/>
                <w:sz w:val="2"/>
                <w:szCs w:val="2"/>
              </w:rPr>
            </w:pPr>
            <w:r w:rsidRPr="00190E23">
              <w:rPr>
                <w:rFonts w:ascii="Courier New" w:hAnsi="Courier New"/>
                <w:b/>
                <w:bCs/>
                <w:color w:val="FFFFFF"/>
                <w:sz w:val="2"/>
                <w:szCs w:val="2"/>
                <w:rtl/>
              </w:rPr>
              <w:t>54678313</w:t>
            </w:r>
          </w:p>
        </w:tc>
        <w:tc>
          <w:tcPr>
            <w:tcW w:w="235" w:type="dxa"/>
            <w:shd w:val="clear" w:color="auto" w:fill="auto"/>
            <w:vAlign w:val="center"/>
          </w:tcPr>
          <w:p w14:paraId="076825FA" w14:textId="77777777" w:rsidR="00190E23" w:rsidRPr="00AA720B" w:rsidRDefault="00190E23" w:rsidP="00C4302E">
            <w:pPr>
              <w:widowControl w:val="0"/>
              <w:jc w:val="center"/>
              <w:rPr>
                <w:rFonts w:ascii="Courier New" w:hAnsi="Courier New"/>
                <w:b/>
                <w:bCs/>
              </w:rPr>
            </w:pPr>
          </w:p>
        </w:tc>
        <w:tc>
          <w:tcPr>
            <w:tcW w:w="2376" w:type="dxa"/>
            <w:tcBorders>
              <w:top w:val="nil"/>
              <w:left w:val="nil"/>
              <w:bottom w:val="single" w:sz="4" w:space="0" w:color="auto"/>
              <w:right w:val="nil"/>
            </w:tcBorders>
            <w:shd w:val="clear" w:color="auto" w:fill="auto"/>
            <w:vAlign w:val="center"/>
          </w:tcPr>
          <w:p w14:paraId="41859FA4" w14:textId="77777777" w:rsidR="00190E23" w:rsidRPr="00AA720B" w:rsidRDefault="00190E23" w:rsidP="00C4302E">
            <w:pPr>
              <w:widowControl w:val="0"/>
              <w:jc w:val="center"/>
              <w:rPr>
                <w:rFonts w:ascii="Courier New" w:hAnsi="Courier New"/>
                <w:b/>
                <w:bCs/>
                <w:sz w:val="20"/>
                <w:szCs w:val="20"/>
              </w:rPr>
            </w:pPr>
          </w:p>
        </w:tc>
        <w:tc>
          <w:tcPr>
            <w:tcW w:w="296" w:type="dxa"/>
            <w:shd w:val="clear" w:color="auto" w:fill="auto"/>
            <w:vAlign w:val="center"/>
          </w:tcPr>
          <w:p w14:paraId="3E4A3CC8" w14:textId="77777777" w:rsidR="00190E23" w:rsidRPr="00AA720B" w:rsidRDefault="00190E23" w:rsidP="00C4302E">
            <w:pPr>
              <w:widowControl w:val="0"/>
              <w:jc w:val="center"/>
              <w:rPr>
                <w:rFonts w:ascii="Courier New" w:hAnsi="Courier New"/>
                <w:b/>
                <w:bCs/>
              </w:rPr>
            </w:pPr>
          </w:p>
        </w:tc>
        <w:tc>
          <w:tcPr>
            <w:tcW w:w="2732" w:type="dxa"/>
            <w:tcBorders>
              <w:top w:val="nil"/>
              <w:left w:val="nil"/>
              <w:bottom w:val="single" w:sz="4" w:space="0" w:color="auto"/>
              <w:right w:val="nil"/>
            </w:tcBorders>
            <w:shd w:val="clear" w:color="auto" w:fill="auto"/>
            <w:vAlign w:val="center"/>
          </w:tcPr>
          <w:p w14:paraId="410A9534" w14:textId="77777777" w:rsidR="00190E23" w:rsidRPr="00AA720B" w:rsidRDefault="00190E23" w:rsidP="00C4302E">
            <w:pPr>
              <w:widowControl w:val="0"/>
              <w:jc w:val="center"/>
              <w:rPr>
                <w:rFonts w:ascii="Courier New" w:hAnsi="Courier New"/>
                <w:b/>
                <w:bCs/>
                <w:sz w:val="20"/>
                <w:szCs w:val="20"/>
              </w:rPr>
            </w:pPr>
          </w:p>
        </w:tc>
      </w:tr>
      <w:tr w:rsidR="00190E23" w14:paraId="55A715BC" w14:textId="77777777" w:rsidTr="00C4302E">
        <w:tc>
          <w:tcPr>
            <w:tcW w:w="2866" w:type="dxa"/>
            <w:tcBorders>
              <w:top w:val="single" w:sz="4" w:space="0" w:color="auto"/>
              <w:left w:val="nil"/>
              <w:bottom w:val="nil"/>
              <w:right w:val="nil"/>
            </w:tcBorders>
            <w:shd w:val="clear" w:color="auto" w:fill="auto"/>
            <w:vAlign w:val="bottom"/>
          </w:tcPr>
          <w:p w14:paraId="0FD47726" w14:textId="77777777" w:rsidR="00190E23" w:rsidRPr="00AA720B" w:rsidRDefault="00190E23" w:rsidP="00C4302E">
            <w:pPr>
              <w:widowControl w:val="0"/>
              <w:jc w:val="center"/>
              <w:rPr>
                <w:rFonts w:ascii="Courier New" w:hAnsi="Courier New"/>
                <w:b/>
                <w:bCs/>
              </w:rPr>
            </w:pPr>
            <w:r w:rsidRPr="00AA720B">
              <w:rPr>
                <w:rFonts w:ascii="Courier New" w:hAnsi="Courier New" w:hint="cs"/>
                <w:b/>
                <w:bCs/>
                <w:rtl/>
              </w:rPr>
              <w:t>נתן זלוצובר, שופט אב"ד</w:t>
            </w:r>
          </w:p>
          <w:p w14:paraId="64EBB2F0" w14:textId="77777777" w:rsidR="00190E23" w:rsidRPr="00AA720B" w:rsidRDefault="00190E23" w:rsidP="00C4302E">
            <w:pPr>
              <w:widowControl w:val="0"/>
              <w:jc w:val="center"/>
              <w:rPr>
                <w:rFonts w:ascii="Courier New" w:hAnsi="Courier New"/>
                <w:b/>
                <w:bCs/>
              </w:rPr>
            </w:pPr>
            <w:r w:rsidRPr="00AA720B">
              <w:rPr>
                <w:rFonts w:ascii="Courier New" w:hAnsi="Courier New" w:hint="cs"/>
                <w:b/>
                <w:bCs/>
                <w:rtl/>
              </w:rPr>
              <w:t>סגן הנשיאה</w:t>
            </w:r>
          </w:p>
        </w:tc>
        <w:tc>
          <w:tcPr>
            <w:tcW w:w="235" w:type="dxa"/>
            <w:shd w:val="clear" w:color="auto" w:fill="auto"/>
            <w:vAlign w:val="bottom"/>
          </w:tcPr>
          <w:p w14:paraId="413C7BA0" w14:textId="77777777" w:rsidR="00190E23" w:rsidRPr="00AA720B" w:rsidRDefault="00190E23" w:rsidP="00C4302E">
            <w:pPr>
              <w:widowControl w:val="0"/>
              <w:jc w:val="center"/>
              <w:rPr>
                <w:rFonts w:ascii="Courier New" w:hAnsi="Courier New"/>
                <w:b/>
                <w:bCs/>
              </w:rPr>
            </w:pPr>
          </w:p>
        </w:tc>
        <w:tc>
          <w:tcPr>
            <w:tcW w:w="2376" w:type="dxa"/>
            <w:tcBorders>
              <w:top w:val="single" w:sz="4" w:space="0" w:color="auto"/>
              <w:left w:val="nil"/>
              <w:bottom w:val="nil"/>
              <w:right w:val="nil"/>
            </w:tcBorders>
            <w:shd w:val="clear" w:color="auto" w:fill="auto"/>
          </w:tcPr>
          <w:p w14:paraId="485F8C2E" w14:textId="77777777" w:rsidR="00190E23" w:rsidRPr="00AA720B" w:rsidRDefault="00190E23" w:rsidP="00C4302E">
            <w:pPr>
              <w:widowControl w:val="0"/>
              <w:jc w:val="center"/>
              <w:rPr>
                <w:rFonts w:ascii="Courier New" w:hAnsi="Courier New"/>
                <w:b/>
                <w:bCs/>
                <w:rtl/>
              </w:rPr>
            </w:pPr>
            <w:r w:rsidRPr="00AA720B">
              <w:rPr>
                <w:rFonts w:ascii="Courier New" w:hAnsi="Courier New" w:hint="cs"/>
                <w:b/>
                <w:bCs/>
                <w:rtl/>
              </w:rPr>
              <w:t>יעל רז לוי, שופטת</w:t>
            </w:r>
          </w:p>
        </w:tc>
        <w:tc>
          <w:tcPr>
            <w:tcW w:w="296" w:type="dxa"/>
            <w:shd w:val="clear" w:color="auto" w:fill="auto"/>
          </w:tcPr>
          <w:p w14:paraId="14919F80" w14:textId="77777777" w:rsidR="00190E23" w:rsidRPr="00AA720B" w:rsidRDefault="00190E23" w:rsidP="00C4302E">
            <w:pPr>
              <w:widowControl w:val="0"/>
              <w:jc w:val="center"/>
              <w:rPr>
                <w:rFonts w:ascii="Courier New" w:hAnsi="Courier New"/>
                <w:b/>
                <w:bCs/>
              </w:rPr>
            </w:pPr>
          </w:p>
        </w:tc>
        <w:tc>
          <w:tcPr>
            <w:tcW w:w="2732" w:type="dxa"/>
            <w:tcBorders>
              <w:top w:val="single" w:sz="4" w:space="0" w:color="auto"/>
              <w:left w:val="nil"/>
              <w:bottom w:val="nil"/>
              <w:right w:val="nil"/>
            </w:tcBorders>
            <w:shd w:val="clear" w:color="auto" w:fill="auto"/>
          </w:tcPr>
          <w:p w14:paraId="31A09C5C" w14:textId="77777777" w:rsidR="00922B79" w:rsidRDefault="00190E23" w:rsidP="00C4302E">
            <w:pPr>
              <w:widowControl w:val="0"/>
              <w:jc w:val="center"/>
              <w:rPr>
                <w:rFonts w:ascii="Courier New" w:hAnsi="Courier New"/>
                <w:b/>
                <w:bCs/>
                <w:rtl/>
              </w:rPr>
            </w:pPr>
            <w:r w:rsidRPr="00AA720B">
              <w:rPr>
                <w:rFonts w:ascii="Courier New" w:hAnsi="Courier New" w:hint="cs"/>
                <w:b/>
                <w:bCs/>
                <w:rtl/>
              </w:rPr>
              <w:t>שלמה פרידלנדר, שופט</w:t>
            </w:r>
          </w:p>
          <w:p w14:paraId="799B4B5D" w14:textId="77777777" w:rsidR="00190E23" w:rsidRPr="00AA720B" w:rsidRDefault="00190E23" w:rsidP="00C4302E">
            <w:pPr>
              <w:widowControl w:val="0"/>
              <w:jc w:val="center"/>
              <w:rPr>
                <w:rFonts w:ascii="Courier New" w:hAnsi="Courier New"/>
                <w:b/>
                <w:bCs/>
              </w:rPr>
            </w:pPr>
          </w:p>
        </w:tc>
      </w:tr>
    </w:tbl>
    <w:p w14:paraId="05F9BD52" w14:textId="77777777" w:rsidR="00190E23" w:rsidRPr="00922B79" w:rsidRDefault="00922B79" w:rsidP="00190E23">
      <w:pPr>
        <w:keepNext/>
        <w:spacing w:line="360" w:lineRule="auto"/>
        <w:rPr>
          <w:rFonts w:ascii="David" w:hAnsi="David"/>
          <w:color w:val="FFFFFF"/>
          <w:sz w:val="2"/>
          <w:szCs w:val="2"/>
          <w:rtl/>
        </w:rPr>
      </w:pPr>
      <w:r w:rsidRPr="00922B79">
        <w:rPr>
          <w:rFonts w:ascii="David" w:hAnsi="David"/>
          <w:color w:val="FFFFFF"/>
          <w:sz w:val="2"/>
          <w:szCs w:val="2"/>
          <w:rtl/>
        </w:rPr>
        <w:t>5129371</w:t>
      </w:r>
    </w:p>
    <w:p w14:paraId="58E0951B" w14:textId="77777777" w:rsidR="00190E23" w:rsidRDefault="00190E23" w:rsidP="00190E23">
      <w:pPr>
        <w:widowControl w:val="0"/>
        <w:spacing w:before="240" w:after="240" w:line="360" w:lineRule="auto"/>
        <w:rPr>
          <w:rtl/>
        </w:rPr>
      </w:pPr>
    </w:p>
    <w:p w14:paraId="3AC50DFE" w14:textId="77777777" w:rsidR="00190E23" w:rsidRDefault="00190E23" w:rsidP="00190E23">
      <w:pPr>
        <w:widowControl w:val="0"/>
        <w:spacing w:before="240" w:after="240" w:line="360" w:lineRule="auto"/>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34B6934E" w14:textId="77777777" w:rsidR="00922B79" w:rsidRPr="00922B79" w:rsidRDefault="00922B79" w:rsidP="00922B79">
      <w:pPr>
        <w:keepNext/>
        <w:spacing w:line="360" w:lineRule="auto"/>
        <w:rPr>
          <w:rFonts w:ascii="David" w:hAnsi="David"/>
          <w:color w:val="000000"/>
          <w:sz w:val="22"/>
          <w:szCs w:val="22"/>
          <w:rtl/>
        </w:rPr>
      </w:pPr>
    </w:p>
    <w:p w14:paraId="5B3DDC7E" w14:textId="77777777" w:rsidR="00922B79" w:rsidRPr="00922B79" w:rsidRDefault="00922B79" w:rsidP="00922B79">
      <w:pPr>
        <w:keepNext/>
        <w:spacing w:line="360" w:lineRule="auto"/>
        <w:rPr>
          <w:rFonts w:ascii="David" w:hAnsi="David"/>
          <w:color w:val="000000"/>
          <w:sz w:val="22"/>
          <w:szCs w:val="22"/>
          <w:rtl/>
        </w:rPr>
      </w:pPr>
      <w:r w:rsidRPr="00922B79">
        <w:rPr>
          <w:rFonts w:ascii="David" w:hAnsi="David"/>
          <w:color w:val="000000"/>
          <w:sz w:val="22"/>
          <w:szCs w:val="22"/>
          <w:rtl/>
        </w:rPr>
        <w:t>נתן זלוצ'ובר 54678313-/</w:t>
      </w:r>
    </w:p>
    <w:p w14:paraId="6F40C0B6" w14:textId="77777777" w:rsidR="00190E23" w:rsidRPr="00190E23" w:rsidRDefault="00922B79" w:rsidP="00922B79">
      <w:pPr>
        <w:widowControl w:val="0"/>
        <w:spacing w:before="240" w:after="240" w:line="360" w:lineRule="auto"/>
        <w:rPr>
          <w:color w:val="0000FF"/>
          <w:u w:val="single"/>
        </w:rPr>
      </w:pPr>
      <w:r w:rsidRPr="00922B79">
        <w:rPr>
          <w:color w:val="000000"/>
          <w:u w:val="single"/>
          <w:rtl/>
        </w:rPr>
        <w:t>נוסח מסמך זה כפוף לשינויי ניסוח ועריכה</w:t>
      </w:r>
    </w:p>
    <w:sectPr w:rsidR="00190E23" w:rsidRPr="00190E23" w:rsidSect="00922B79">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C41B0" w14:textId="77777777" w:rsidR="00146A5C" w:rsidRDefault="00146A5C">
      <w:r>
        <w:separator/>
      </w:r>
    </w:p>
  </w:endnote>
  <w:endnote w:type="continuationSeparator" w:id="0">
    <w:p w14:paraId="185B1C98" w14:textId="77777777" w:rsidR="00146A5C" w:rsidRDefault="00146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A3401" w14:textId="77777777" w:rsidR="00922B79" w:rsidRDefault="00922B79" w:rsidP="00922B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49FEF4" w14:textId="77777777" w:rsidR="00BD67E7" w:rsidRPr="00922B79" w:rsidRDefault="00922B79" w:rsidP="00922B79">
    <w:pPr>
      <w:pStyle w:val="a5"/>
      <w:pBdr>
        <w:top w:val="single" w:sz="4" w:space="1" w:color="auto"/>
        <w:between w:val="single" w:sz="4" w:space="0" w:color="auto"/>
      </w:pBdr>
      <w:spacing w:after="60"/>
      <w:jc w:val="center"/>
      <w:rPr>
        <w:rFonts w:ascii="FrankRuehl" w:hAnsi="FrankRuehl" w:cs="FrankRuehl"/>
        <w:color w:val="000000"/>
      </w:rPr>
    </w:pPr>
    <w:r w:rsidRPr="00922B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0C8AC" w14:textId="77777777" w:rsidR="00922B79" w:rsidRDefault="00922B79" w:rsidP="00922B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21B4">
      <w:rPr>
        <w:rFonts w:ascii="FrankRuehl" w:hAnsi="FrankRuehl" w:cs="FrankRuehl"/>
        <w:noProof/>
        <w:rtl/>
      </w:rPr>
      <w:t>1</w:t>
    </w:r>
    <w:r>
      <w:rPr>
        <w:rFonts w:ascii="FrankRuehl" w:hAnsi="FrankRuehl" w:cs="FrankRuehl"/>
        <w:rtl/>
      </w:rPr>
      <w:fldChar w:fldCharType="end"/>
    </w:r>
  </w:p>
  <w:p w14:paraId="132F2902" w14:textId="77777777" w:rsidR="00BD67E7" w:rsidRPr="00922B79" w:rsidRDefault="00922B79" w:rsidP="00922B79">
    <w:pPr>
      <w:pStyle w:val="a5"/>
      <w:pBdr>
        <w:top w:val="single" w:sz="4" w:space="1" w:color="auto"/>
        <w:between w:val="single" w:sz="4" w:space="0" w:color="auto"/>
      </w:pBdr>
      <w:spacing w:after="60"/>
      <w:jc w:val="center"/>
      <w:rPr>
        <w:rFonts w:ascii="FrankRuehl" w:hAnsi="FrankRuehl" w:cs="FrankRuehl"/>
        <w:color w:val="000000"/>
      </w:rPr>
    </w:pPr>
    <w:r w:rsidRPr="00922B79">
      <w:rPr>
        <w:rFonts w:ascii="FrankRuehl" w:hAnsi="FrankRuehl" w:cs="FrankRuehl"/>
        <w:color w:val="000000"/>
      </w:rPr>
      <w:pict w14:anchorId="4621C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EA197" w14:textId="77777777" w:rsidR="00146A5C" w:rsidRDefault="00146A5C">
      <w:r>
        <w:separator/>
      </w:r>
    </w:p>
  </w:footnote>
  <w:footnote w:type="continuationSeparator" w:id="0">
    <w:p w14:paraId="0C6D8F62" w14:textId="77777777" w:rsidR="00146A5C" w:rsidRDefault="00146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87017" w14:textId="77777777" w:rsidR="00190E23" w:rsidRPr="00922B79" w:rsidRDefault="00922B79" w:rsidP="00922B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63752-10-15</w:t>
    </w:r>
    <w:r>
      <w:rPr>
        <w:rFonts w:ascii="David" w:hAnsi="David"/>
        <w:color w:val="000000"/>
        <w:sz w:val="22"/>
        <w:szCs w:val="22"/>
        <w:rtl/>
      </w:rPr>
      <w:tab/>
      <w:t xml:space="preserve"> מדינת ישראל נ' יוסף חיים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35712" w14:textId="77777777" w:rsidR="00507694" w:rsidRPr="00922B79" w:rsidRDefault="00922B79" w:rsidP="00922B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63752-10-15</w:t>
    </w:r>
    <w:r>
      <w:rPr>
        <w:rFonts w:ascii="David" w:hAnsi="David"/>
        <w:color w:val="000000"/>
        <w:sz w:val="22"/>
        <w:szCs w:val="22"/>
        <w:rtl/>
      </w:rPr>
      <w:tab/>
      <w:t xml:space="preserve"> מדינת ישראל נ' יוסף חיים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C1F74"/>
    <w:multiLevelType w:val="hybridMultilevel"/>
    <w:tmpl w:val="9DCAD854"/>
    <w:lvl w:ilvl="0" w:tplc="4E14DD72">
      <w:start w:val="1"/>
      <w:numFmt w:val="decimal"/>
      <w:lvlText w:val="%1."/>
      <w:lvlJc w:val="left"/>
      <w:pPr>
        <w:ind w:left="720" w:hanging="360"/>
      </w:pPr>
      <w:rPr>
        <w:rFonts w:cs="Times New Roman"/>
      </w:rPr>
    </w:lvl>
    <w:lvl w:ilvl="1" w:tplc="17DA4DAE" w:tentative="1">
      <w:start w:val="1"/>
      <w:numFmt w:val="lowerLetter"/>
      <w:lvlText w:val="%2."/>
      <w:lvlJc w:val="left"/>
      <w:pPr>
        <w:ind w:left="1440" w:hanging="360"/>
      </w:pPr>
      <w:rPr>
        <w:rFonts w:cs="Times New Roman"/>
      </w:rPr>
    </w:lvl>
    <w:lvl w:ilvl="2" w:tplc="69CE7DD0" w:tentative="1">
      <w:start w:val="1"/>
      <w:numFmt w:val="lowerRoman"/>
      <w:lvlText w:val="%3."/>
      <w:lvlJc w:val="right"/>
      <w:pPr>
        <w:ind w:left="2160" w:hanging="180"/>
      </w:pPr>
      <w:rPr>
        <w:rFonts w:cs="Times New Roman"/>
      </w:rPr>
    </w:lvl>
    <w:lvl w:ilvl="3" w:tplc="2EBEBE6E" w:tentative="1">
      <w:start w:val="1"/>
      <w:numFmt w:val="decimal"/>
      <w:lvlText w:val="%4."/>
      <w:lvlJc w:val="left"/>
      <w:pPr>
        <w:ind w:left="2880" w:hanging="360"/>
      </w:pPr>
      <w:rPr>
        <w:rFonts w:cs="Times New Roman"/>
      </w:rPr>
    </w:lvl>
    <w:lvl w:ilvl="4" w:tplc="2984F306" w:tentative="1">
      <w:start w:val="1"/>
      <w:numFmt w:val="lowerLetter"/>
      <w:lvlText w:val="%5."/>
      <w:lvlJc w:val="left"/>
      <w:pPr>
        <w:ind w:left="3600" w:hanging="360"/>
      </w:pPr>
      <w:rPr>
        <w:rFonts w:cs="Times New Roman"/>
      </w:rPr>
    </w:lvl>
    <w:lvl w:ilvl="5" w:tplc="AE0C71BA" w:tentative="1">
      <w:start w:val="1"/>
      <w:numFmt w:val="lowerRoman"/>
      <w:lvlText w:val="%6."/>
      <w:lvlJc w:val="right"/>
      <w:pPr>
        <w:ind w:left="4320" w:hanging="180"/>
      </w:pPr>
      <w:rPr>
        <w:rFonts w:cs="Times New Roman"/>
      </w:rPr>
    </w:lvl>
    <w:lvl w:ilvl="6" w:tplc="69962028" w:tentative="1">
      <w:start w:val="1"/>
      <w:numFmt w:val="decimal"/>
      <w:lvlText w:val="%7."/>
      <w:lvlJc w:val="left"/>
      <w:pPr>
        <w:ind w:left="5040" w:hanging="360"/>
      </w:pPr>
      <w:rPr>
        <w:rFonts w:cs="Times New Roman"/>
      </w:rPr>
    </w:lvl>
    <w:lvl w:ilvl="7" w:tplc="E40C527C" w:tentative="1">
      <w:start w:val="1"/>
      <w:numFmt w:val="lowerLetter"/>
      <w:lvlText w:val="%8."/>
      <w:lvlJc w:val="left"/>
      <w:pPr>
        <w:ind w:left="5760" w:hanging="360"/>
      </w:pPr>
      <w:rPr>
        <w:rFonts w:cs="Times New Roman"/>
      </w:rPr>
    </w:lvl>
    <w:lvl w:ilvl="8" w:tplc="F992E68A"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383DFC"/>
    <w:multiLevelType w:val="hybridMultilevel"/>
    <w:tmpl w:val="B6DED9CC"/>
    <w:lvl w:ilvl="0" w:tplc="C0865C94">
      <w:start w:val="1"/>
      <w:numFmt w:val="hebrew1"/>
      <w:lvlText w:val="%1."/>
      <w:lvlJc w:val="left"/>
      <w:pPr>
        <w:ind w:left="720" w:hanging="360"/>
      </w:pPr>
      <w:rPr>
        <w:rFonts w:cs="Times New Roman" w:hint="default"/>
      </w:rPr>
    </w:lvl>
    <w:lvl w:ilvl="1" w:tplc="1D5CD14A" w:tentative="1">
      <w:start w:val="1"/>
      <w:numFmt w:val="lowerLetter"/>
      <w:lvlText w:val="%2."/>
      <w:lvlJc w:val="left"/>
      <w:pPr>
        <w:ind w:left="1440" w:hanging="360"/>
      </w:pPr>
      <w:rPr>
        <w:rFonts w:cs="Times New Roman"/>
      </w:rPr>
    </w:lvl>
    <w:lvl w:ilvl="2" w:tplc="BCA8E8E4" w:tentative="1">
      <w:start w:val="1"/>
      <w:numFmt w:val="lowerRoman"/>
      <w:lvlText w:val="%3."/>
      <w:lvlJc w:val="right"/>
      <w:pPr>
        <w:ind w:left="2160" w:hanging="180"/>
      </w:pPr>
      <w:rPr>
        <w:rFonts w:cs="Times New Roman"/>
      </w:rPr>
    </w:lvl>
    <w:lvl w:ilvl="3" w:tplc="F11A183C" w:tentative="1">
      <w:start w:val="1"/>
      <w:numFmt w:val="decimal"/>
      <w:lvlText w:val="%4."/>
      <w:lvlJc w:val="left"/>
      <w:pPr>
        <w:ind w:left="2880" w:hanging="360"/>
      </w:pPr>
      <w:rPr>
        <w:rFonts w:cs="Times New Roman"/>
      </w:rPr>
    </w:lvl>
    <w:lvl w:ilvl="4" w:tplc="23F27F84" w:tentative="1">
      <w:start w:val="1"/>
      <w:numFmt w:val="lowerLetter"/>
      <w:lvlText w:val="%5."/>
      <w:lvlJc w:val="left"/>
      <w:pPr>
        <w:ind w:left="3600" w:hanging="360"/>
      </w:pPr>
      <w:rPr>
        <w:rFonts w:cs="Times New Roman"/>
      </w:rPr>
    </w:lvl>
    <w:lvl w:ilvl="5" w:tplc="4BC05F66" w:tentative="1">
      <w:start w:val="1"/>
      <w:numFmt w:val="lowerRoman"/>
      <w:lvlText w:val="%6."/>
      <w:lvlJc w:val="right"/>
      <w:pPr>
        <w:ind w:left="4320" w:hanging="180"/>
      </w:pPr>
      <w:rPr>
        <w:rFonts w:cs="Times New Roman"/>
      </w:rPr>
    </w:lvl>
    <w:lvl w:ilvl="6" w:tplc="4D0C4F9E" w:tentative="1">
      <w:start w:val="1"/>
      <w:numFmt w:val="decimal"/>
      <w:lvlText w:val="%7."/>
      <w:lvlJc w:val="left"/>
      <w:pPr>
        <w:ind w:left="5040" w:hanging="360"/>
      </w:pPr>
      <w:rPr>
        <w:rFonts w:cs="Times New Roman"/>
      </w:rPr>
    </w:lvl>
    <w:lvl w:ilvl="7" w:tplc="D6109DEA" w:tentative="1">
      <w:start w:val="1"/>
      <w:numFmt w:val="lowerLetter"/>
      <w:lvlText w:val="%8."/>
      <w:lvlJc w:val="left"/>
      <w:pPr>
        <w:ind w:left="5760" w:hanging="360"/>
      </w:pPr>
      <w:rPr>
        <w:rFonts w:cs="Times New Roman"/>
      </w:rPr>
    </w:lvl>
    <w:lvl w:ilvl="8" w:tplc="80D62DC2" w:tentative="1">
      <w:start w:val="1"/>
      <w:numFmt w:val="lowerRoman"/>
      <w:lvlText w:val="%9."/>
      <w:lvlJc w:val="right"/>
      <w:pPr>
        <w:ind w:left="6480" w:hanging="180"/>
      </w:pPr>
      <w:rPr>
        <w:rFonts w:cs="Times New Roman"/>
      </w:rPr>
    </w:lvl>
  </w:abstractNum>
  <w:abstractNum w:abstractNumId="3" w15:restartNumberingAfterBreak="0">
    <w:nsid w:val="1E7C2709"/>
    <w:multiLevelType w:val="hybridMultilevel"/>
    <w:tmpl w:val="C45E023E"/>
    <w:lvl w:ilvl="0" w:tplc="86F4CE82">
      <w:start w:val="1"/>
      <w:numFmt w:val="decimal"/>
      <w:suff w:val="space"/>
      <w:lvlText w:val="%1."/>
      <w:lvlJc w:val="left"/>
      <w:rPr>
        <w:rFonts w:cs="Times New Roman" w:hint="default"/>
      </w:rPr>
    </w:lvl>
    <w:lvl w:ilvl="1" w:tplc="0FACBE8C" w:tentative="1">
      <w:start w:val="1"/>
      <w:numFmt w:val="lowerLetter"/>
      <w:lvlText w:val="%2."/>
      <w:lvlJc w:val="left"/>
      <w:pPr>
        <w:ind w:left="1440" w:hanging="360"/>
      </w:pPr>
      <w:rPr>
        <w:rFonts w:cs="Times New Roman"/>
      </w:rPr>
    </w:lvl>
    <w:lvl w:ilvl="2" w:tplc="7B56FD46" w:tentative="1">
      <w:start w:val="1"/>
      <w:numFmt w:val="lowerRoman"/>
      <w:lvlText w:val="%3."/>
      <w:lvlJc w:val="right"/>
      <w:pPr>
        <w:ind w:left="2160" w:hanging="180"/>
      </w:pPr>
      <w:rPr>
        <w:rFonts w:cs="Times New Roman"/>
      </w:rPr>
    </w:lvl>
    <w:lvl w:ilvl="3" w:tplc="06DED6F6" w:tentative="1">
      <w:start w:val="1"/>
      <w:numFmt w:val="decimal"/>
      <w:lvlText w:val="%4."/>
      <w:lvlJc w:val="left"/>
      <w:pPr>
        <w:ind w:left="2880" w:hanging="360"/>
      </w:pPr>
      <w:rPr>
        <w:rFonts w:cs="Times New Roman"/>
      </w:rPr>
    </w:lvl>
    <w:lvl w:ilvl="4" w:tplc="52169586" w:tentative="1">
      <w:start w:val="1"/>
      <w:numFmt w:val="lowerLetter"/>
      <w:lvlText w:val="%5."/>
      <w:lvlJc w:val="left"/>
      <w:pPr>
        <w:ind w:left="3600" w:hanging="360"/>
      </w:pPr>
      <w:rPr>
        <w:rFonts w:cs="Times New Roman"/>
      </w:rPr>
    </w:lvl>
    <w:lvl w:ilvl="5" w:tplc="BA76D402" w:tentative="1">
      <w:start w:val="1"/>
      <w:numFmt w:val="lowerRoman"/>
      <w:lvlText w:val="%6."/>
      <w:lvlJc w:val="right"/>
      <w:pPr>
        <w:ind w:left="4320" w:hanging="180"/>
      </w:pPr>
      <w:rPr>
        <w:rFonts w:cs="Times New Roman"/>
      </w:rPr>
    </w:lvl>
    <w:lvl w:ilvl="6" w:tplc="051A1DF4" w:tentative="1">
      <w:start w:val="1"/>
      <w:numFmt w:val="decimal"/>
      <w:lvlText w:val="%7."/>
      <w:lvlJc w:val="left"/>
      <w:pPr>
        <w:ind w:left="5040" w:hanging="360"/>
      </w:pPr>
      <w:rPr>
        <w:rFonts w:cs="Times New Roman"/>
      </w:rPr>
    </w:lvl>
    <w:lvl w:ilvl="7" w:tplc="7EDAE92A" w:tentative="1">
      <w:start w:val="1"/>
      <w:numFmt w:val="lowerLetter"/>
      <w:lvlText w:val="%8."/>
      <w:lvlJc w:val="left"/>
      <w:pPr>
        <w:ind w:left="5760" w:hanging="360"/>
      </w:pPr>
      <w:rPr>
        <w:rFonts w:cs="Times New Roman"/>
      </w:rPr>
    </w:lvl>
    <w:lvl w:ilvl="8" w:tplc="A0A8C5E2" w:tentative="1">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184553"/>
    <w:multiLevelType w:val="hybridMultilevel"/>
    <w:tmpl w:val="D7B01070"/>
    <w:lvl w:ilvl="0" w:tplc="8B3E546E">
      <w:start w:val="1"/>
      <w:numFmt w:val="hebrew1"/>
      <w:lvlText w:val="%1."/>
      <w:lvlJc w:val="left"/>
      <w:pPr>
        <w:ind w:left="720" w:hanging="360"/>
      </w:pPr>
      <w:rPr>
        <w:rFonts w:cs="Times New Roman" w:hint="default"/>
      </w:rPr>
    </w:lvl>
    <w:lvl w:ilvl="1" w:tplc="75F80B90" w:tentative="1">
      <w:start w:val="1"/>
      <w:numFmt w:val="lowerLetter"/>
      <w:lvlText w:val="%2."/>
      <w:lvlJc w:val="left"/>
      <w:pPr>
        <w:ind w:left="1440" w:hanging="360"/>
      </w:pPr>
      <w:rPr>
        <w:rFonts w:cs="Times New Roman"/>
      </w:rPr>
    </w:lvl>
    <w:lvl w:ilvl="2" w:tplc="FABEDBB0" w:tentative="1">
      <w:start w:val="1"/>
      <w:numFmt w:val="lowerRoman"/>
      <w:lvlText w:val="%3."/>
      <w:lvlJc w:val="right"/>
      <w:pPr>
        <w:ind w:left="2160" w:hanging="180"/>
      </w:pPr>
      <w:rPr>
        <w:rFonts w:cs="Times New Roman"/>
      </w:rPr>
    </w:lvl>
    <w:lvl w:ilvl="3" w:tplc="72FEE012" w:tentative="1">
      <w:start w:val="1"/>
      <w:numFmt w:val="decimal"/>
      <w:lvlText w:val="%4."/>
      <w:lvlJc w:val="left"/>
      <w:pPr>
        <w:ind w:left="2880" w:hanging="360"/>
      </w:pPr>
      <w:rPr>
        <w:rFonts w:cs="Times New Roman"/>
      </w:rPr>
    </w:lvl>
    <w:lvl w:ilvl="4" w:tplc="C03A04DC" w:tentative="1">
      <w:start w:val="1"/>
      <w:numFmt w:val="lowerLetter"/>
      <w:lvlText w:val="%5."/>
      <w:lvlJc w:val="left"/>
      <w:pPr>
        <w:ind w:left="3600" w:hanging="360"/>
      </w:pPr>
      <w:rPr>
        <w:rFonts w:cs="Times New Roman"/>
      </w:rPr>
    </w:lvl>
    <w:lvl w:ilvl="5" w:tplc="E0F81196" w:tentative="1">
      <w:start w:val="1"/>
      <w:numFmt w:val="lowerRoman"/>
      <w:lvlText w:val="%6."/>
      <w:lvlJc w:val="right"/>
      <w:pPr>
        <w:ind w:left="4320" w:hanging="180"/>
      </w:pPr>
      <w:rPr>
        <w:rFonts w:cs="Times New Roman"/>
      </w:rPr>
    </w:lvl>
    <w:lvl w:ilvl="6" w:tplc="2F1ED74E" w:tentative="1">
      <w:start w:val="1"/>
      <w:numFmt w:val="decimal"/>
      <w:lvlText w:val="%7."/>
      <w:lvlJc w:val="left"/>
      <w:pPr>
        <w:ind w:left="5040" w:hanging="360"/>
      </w:pPr>
      <w:rPr>
        <w:rFonts w:cs="Times New Roman"/>
      </w:rPr>
    </w:lvl>
    <w:lvl w:ilvl="7" w:tplc="7512D5F0" w:tentative="1">
      <w:start w:val="1"/>
      <w:numFmt w:val="lowerLetter"/>
      <w:lvlText w:val="%8."/>
      <w:lvlJc w:val="left"/>
      <w:pPr>
        <w:ind w:left="5760" w:hanging="360"/>
      </w:pPr>
      <w:rPr>
        <w:rFonts w:cs="Times New Roman"/>
      </w:rPr>
    </w:lvl>
    <w:lvl w:ilvl="8" w:tplc="FF1204C0" w:tentative="1">
      <w:start w:val="1"/>
      <w:numFmt w:val="lowerRoman"/>
      <w:lvlText w:val="%9."/>
      <w:lvlJc w:val="right"/>
      <w:pPr>
        <w:ind w:left="6480" w:hanging="180"/>
      </w:pPr>
      <w:rPr>
        <w:rFonts w:cs="Times New Roman"/>
      </w:rPr>
    </w:lvl>
  </w:abstractNum>
  <w:abstractNum w:abstractNumId="6" w15:restartNumberingAfterBreak="0">
    <w:nsid w:val="74A70DA8"/>
    <w:multiLevelType w:val="hybridMultilevel"/>
    <w:tmpl w:val="9844F844"/>
    <w:lvl w:ilvl="0" w:tplc="84901DBC">
      <w:start w:val="1"/>
      <w:numFmt w:val="decimal"/>
      <w:suff w:val="space"/>
      <w:lvlText w:val="%1."/>
      <w:lvlJc w:val="left"/>
      <w:pPr>
        <w:ind w:left="142"/>
      </w:pPr>
      <w:rPr>
        <w:rFonts w:cs="Times New Roman" w:hint="default"/>
        <w:b w:val="0"/>
        <w:bCs w:val="0"/>
      </w:rPr>
    </w:lvl>
    <w:lvl w:ilvl="1" w:tplc="233876E6">
      <w:start w:val="1"/>
      <w:numFmt w:val="hebrew1"/>
      <w:lvlText w:val="%2."/>
      <w:lvlJc w:val="left"/>
      <w:pPr>
        <w:ind w:left="1440" w:hanging="360"/>
      </w:pPr>
      <w:rPr>
        <w:rFonts w:cs="David"/>
      </w:rPr>
    </w:lvl>
    <w:lvl w:ilvl="2" w:tplc="E48C4D32" w:tentative="1">
      <w:start w:val="1"/>
      <w:numFmt w:val="lowerRoman"/>
      <w:lvlText w:val="%3."/>
      <w:lvlJc w:val="right"/>
      <w:pPr>
        <w:ind w:left="2160" w:hanging="180"/>
      </w:pPr>
      <w:rPr>
        <w:rFonts w:cs="Times New Roman"/>
      </w:rPr>
    </w:lvl>
    <w:lvl w:ilvl="3" w:tplc="F9109F3E" w:tentative="1">
      <w:start w:val="1"/>
      <w:numFmt w:val="decimal"/>
      <w:lvlText w:val="%4."/>
      <w:lvlJc w:val="left"/>
      <w:pPr>
        <w:ind w:left="2880" w:hanging="360"/>
      </w:pPr>
      <w:rPr>
        <w:rFonts w:cs="Times New Roman"/>
      </w:rPr>
    </w:lvl>
    <w:lvl w:ilvl="4" w:tplc="81587644" w:tentative="1">
      <w:start w:val="1"/>
      <w:numFmt w:val="lowerLetter"/>
      <w:lvlText w:val="%5."/>
      <w:lvlJc w:val="left"/>
      <w:pPr>
        <w:ind w:left="3600" w:hanging="360"/>
      </w:pPr>
      <w:rPr>
        <w:rFonts w:cs="Times New Roman"/>
      </w:rPr>
    </w:lvl>
    <w:lvl w:ilvl="5" w:tplc="72B06092" w:tentative="1">
      <w:start w:val="1"/>
      <w:numFmt w:val="lowerRoman"/>
      <w:lvlText w:val="%6."/>
      <w:lvlJc w:val="right"/>
      <w:pPr>
        <w:ind w:left="4320" w:hanging="180"/>
      </w:pPr>
      <w:rPr>
        <w:rFonts w:cs="Times New Roman"/>
      </w:rPr>
    </w:lvl>
    <w:lvl w:ilvl="6" w:tplc="3DC87E28" w:tentative="1">
      <w:start w:val="1"/>
      <w:numFmt w:val="decimal"/>
      <w:lvlText w:val="%7."/>
      <w:lvlJc w:val="left"/>
      <w:pPr>
        <w:ind w:left="5040" w:hanging="360"/>
      </w:pPr>
      <w:rPr>
        <w:rFonts w:cs="Times New Roman"/>
      </w:rPr>
    </w:lvl>
    <w:lvl w:ilvl="7" w:tplc="5E50910C" w:tentative="1">
      <w:start w:val="1"/>
      <w:numFmt w:val="lowerLetter"/>
      <w:lvlText w:val="%8."/>
      <w:lvlJc w:val="left"/>
      <w:pPr>
        <w:ind w:left="5760" w:hanging="360"/>
      </w:pPr>
      <w:rPr>
        <w:rFonts w:cs="Times New Roman"/>
      </w:rPr>
    </w:lvl>
    <w:lvl w:ilvl="8" w:tplc="06429416" w:tentative="1">
      <w:start w:val="1"/>
      <w:numFmt w:val="lowerRoman"/>
      <w:lvlText w:val="%9."/>
      <w:lvlJc w:val="right"/>
      <w:pPr>
        <w:ind w:left="6480" w:hanging="180"/>
      </w:pPr>
      <w:rPr>
        <w:rFonts w:cs="Times New Roman"/>
      </w:rPr>
    </w:lvl>
  </w:abstractNum>
  <w:num w:numId="1" w16cid:durableId="1852648160">
    <w:abstractNumId w:val="4"/>
  </w:num>
  <w:num w:numId="2" w16cid:durableId="29310506">
    <w:abstractNumId w:val="1"/>
  </w:num>
  <w:num w:numId="3" w16cid:durableId="376009953">
    <w:abstractNumId w:val="0"/>
  </w:num>
  <w:num w:numId="4" w16cid:durableId="649676056">
    <w:abstractNumId w:val="3"/>
  </w:num>
  <w:num w:numId="5" w16cid:durableId="1786071953">
    <w:abstractNumId w:val="6"/>
  </w:num>
  <w:num w:numId="6" w16cid:durableId="749815929">
    <w:abstractNumId w:val="2"/>
  </w:num>
  <w:num w:numId="7" w16cid:durableId="2059161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3108962"/>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3108962&amp;lt;/CaseID&amp;gt;_x000d__x000a_        &amp;lt;CaseMonth&amp;gt;10&amp;lt;/CaseMonth&amp;gt;_x000d__x000a_        &amp;lt;CaseYear&amp;gt;2015&amp;lt;/CaseYear&amp;gt;_x000d__x000a_        &amp;lt;CaseNumber&amp;gt;63752&amp;lt;/CaseNumber&amp;gt;_x000d__x000a_        &amp;lt;NumeratorGroupID&amp;gt;1&amp;lt;/NumeratorGroupID&amp;gt;_x000d__x000a_        &amp;lt;CaseName&amp;gt;מדינת ישראל נ&amp;#39; אדרי(עציר) ואח&amp;#39;&amp;lt;/CaseName&amp;gt;_x000d__x000a_        &amp;lt;CourtID&amp;gt;16&amp;lt;/CourtID&amp;gt;_x000d__x000a_        &amp;lt;CaseTypeID&amp;gt;10077&amp;lt;/CaseTypeID&amp;gt;_x000d__x000a_        &amp;lt;CaseJudgeName&amp;gt;נתן זלוצ&amp;#39;ובר&amp;lt;/CaseJudgeName&amp;gt;_x000d__x000a_        &amp;lt;CaseLinkTypeID&amp;gt;1&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3752-10-15&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IsUnpaidFeeExist&amp;gt;false&amp;lt;/IsUnpaidFeeExist&amp;gt;_x000d__x000a_        &amp;lt;CaseNextDeterminingTask&amp;gt;258&amp;lt;/CaseNextDeterminingTask&amp;gt;_x000d__x000a_        &amp;lt;CaseOpenDate&amp;gt;2015-10-30T10:59:00+02:00&amp;lt;/CaseOpenDate&amp;gt;_x000d__x000a_        &amp;lt;PleaTypeID&amp;gt;8&amp;lt;/PleaTypeID&amp;gt;_x000d__x000a_        &amp;lt;CourtLevelID&amp;gt;2&amp;lt;/CourtLevelID&amp;gt;_x000d__x000a_        &amp;lt;CaseJudgeFirstName&amp;gt;נתן&amp;lt;/CaseJudgeFirstName&amp;gt;_x000d__x000a_        &amp;lt;CaseJudgeLastName&amp;gt;זלוצ&amp;#39;ובר&amp;lt;/CaseJudgeLastName&amp;gt;_x000d__x000a_        &amp;lt;JudicalPersonID&amp;gt;069810760@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תאריך 21-12-2020 נשלחה לצדדים בנט ובדוא&amp;quot;ל רשום.&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true&amp;lt;/IsDebitExist&amp;gt;_x000d__x000a_        &amp;lt;IsExistSeizure&amp;gt;false&amp;lt;/IsExistSeizure&amp;gt;_x000d__x000a_        &amp;lt;IsExemptionExistInCase&amp;gt;false&amp;lt;/IsExemptionExistInCase&amp;gt;_x000d__x000a_        &amp;lt;IsDebitTransferedInCase&amp;gt;tru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3108962&amp;lt;/CaseID&amp;gt;_x000d__x000a_        &amp;lt;CaseMonth&amp;gt;10&amp;lt;/CaseMonth&amp;gt;_x000d__x000a_        &amp;lt;CaseYear&amp;gt;2015&amp;lt;/CaseYear&amp;gt;_x000d__x000a_        &amp;lt;CaseNumber&amp;gt;63752&amp;lt;/CaseNumber&amp;gt;_x000d__x000a_        &amp;lt;NumeratorGroupID&amp;gt;1&amp;lt;/NumeratorGroupID&amp;gt;_x000d__x000a_        &amp;lt;CaseName&amp;gt;מדינת ישראל נ&amp;#39; אדרי(עציר) ואח&amp;#39;&amp;lt;/CaseName&amp;gt;_x000d__x000a_        &amp;lt;CourtID&amp;gt;16&amp;lt;/CourtID&amp;gt;_x000d__x000a_        &amp;lt;CaseTypeID&amp;gt;10077&amp;lt;/CaseTypeID&amp;gt;_x000d__x000a_        &amp;lt;CaseJudgeName&amp;gt;נתן זלוצ&amp;#39;ובר&amp;lt;/CaseJudgeName&amp;gt;_x000d__x000a_        &amp;lt;CaseLinkTypeID&amp;gt;1&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3752-10-15&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258&amp;lt;/CaseNextDeterminingTask&amp;gt;_x000d__x000a_        &amp;lt;CaseOpenDate&amp;gt;2015-10-30T10:59:00+02:00&amp;lt;/CaseOpenDate&amp;gt;_x000d__x000a_        &amp;lt;PleaTypeID&amp;gt;8&amp;lt;/PleaTypeID&amp;gt;_x000d__x000a_        &amp;lt;CourtLevelID&amp;gt;2&amp;lt;/CourtLevelID&amp;gt;_x000d__x000a_        &amp;lt;CaseJudgeFirstName&amp;gt;נתן&amp;lt;/CaseJudgeFirstName&amp;gt;_x000d__x000a_        &amp;lt;CaseJudgeLastName&amp;gt;זלוצ&amp;#39;ובר&amp;lt;/CaseJudgeLastName&amp;gt;_x000d__x000a_        &amp;lt;JudicalPersonID&amp;gt;069810760@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תאריך 21-12-2020 נשלחה לצדדים בנט ובדוא&amp;quot;ל רשום.&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28844383&amp;lt;/DecisionID&amp;gt;_x000d__x000a_        &amp;lt;DecisionName&amp;gt;גזר דין  שניתנה ע&amp;quot;י  יעל רז-לוי&amp;lt;/DecisionName&amp;gt;_x000d__x000a_        &amp;lt;DecisionStatusID&amp;gt;1&amp;lt;/DecisionStatusID&amp;gt;_x000d__x000a_        &amp;lt;DecisionStatusChangeDate&amp;gt;2020-12-23T11:58:22.647+02:00&amp;lt;/DecisionStatusChangeDate&amp;gt;_x000d__x000a_        &amp;lt;DecisionSignatureDate&amp;gt;2020-12-21T14:15:28.37+02:00&amp;lt;/DecisionSignatureDate&amp;gt;_x000d__x000a_        &amp;lt;DecisionSignatureUserID&amp;gt;013017884@GOV.IL&amp;lt;/DecisionSignatureUserID&amp;gt;_x000d__x000a_        &amp;lt;DecisionCreateDate&amp;gt;2020-12-21T14:15:42.817+02:00&amp;lt;/DecisionCreateDate&amp;gt;_x000d__x000a_        &amp;lt;DecisionChangeDate&amp;gt;2020-12-23T11:58:22.85+02:00&amp;lt;/DecisionChangeDate&amp;gt;_x000d__x000a_        &amp;lt;DecisionChangeUserID&amp;gt;01301788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332719506&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1301788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13017884@GOV.IL&amp;lt;/DecisionCreationUserID&amp;gt;_x000d__x000a_        &amp;lt;DecisionDisplayName&amp;gt;גזר דין  שניתנה ע&amp;quot;י  יעל רז-לוי&amp;lt;/DecisionDisplayName&amp;gt;_x000d__x000a_        &amp;lt;IsScanned&amp;gt;false&amp;lt;/IsScanned&amp;gt;_x000d__x000a_        &amp;lt;DecisionSignatureUserName&amp;gt;יעל רז-לוי&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dt_Decision&amp;gt;_x000d__x000a_      &amp;lt;dt_DecisionCase diffgr:id=&amp;quot;dt_DecisionCase1&amp;quot; msdata:rowOrder=&amp;quot;0&amp;quot;&amp;gt;_x000d__x000a_        &amp;lt;DecisionID&amp;gt;128844383&amp;lt;/DecisionID&amp;gt;_x000d__x000a_        &amp;lt;CaseID&amp;gt;73108982&amp;lt;/CaseID&amp;gt;_x000d__x000a_        &amp;lt;IsOriginal&amp;gt;false&amp;lt;/IsOriginal&amp;gt;_x000d__x000a_        &amp;lt;IsDeleted&amp;gt;false&amp;lt;/IsDeleted&amp;gt;_x000d__x000a_        &amp;lt;CaseLinkTypeID&amp;gt;1&amp;lt;/CaseLinkTypeID&amp;gt;_x000d__x000a_        &amp;lt;CaseName&amp;gt;מדינת ישראל נ&amp;#39; ואזנה(עציר) ואח&amp;#39;&amp;lt;/CaseName&amp;gt;_x000d__x000a_        &amp;lt;CaseDisplayIdentifier&amp;gt;63772-10-15 תפ&amp;quot;ח&amp;lt;/CaseDisplayIdentifier&amp;gt;_x000d__x000a_      &amp;lt;/dt_DecisionCase&amp;gt;_x000d__x000a_      &amp;lt;dt_DecisionCase diffgr:id=&amp;quot;dt_DecisionCase2&amp;quot; msdata:rowOrder=&amp;quot;1&amp;quot;&amp;gt;_x000d__x000a_        &amp;lt;DecisionID&amp;gt;128844383&amp;lt;/DecisionID&amp;gt;_x000d__x000a_        &amp;lt;CaseID&amp;gt;73108962&amp;lt;/CaseID&amp;gt;_x000d__x000a_        &amp;lt;IsOriginal&amp;gt;true&amp;lt;/IsOriginal&amp;gt;_x000d__x000a_        &amp;lt;IsDeleted&amp;gt;false&amp;lt;/IsDeleted&amp;gt;_x000d__x000a_        &amp;lt;CaseLinkTypeID&amp;gt;1&amp;lt;/CaseLinkTypeID&amp;gt;_x000d__x000a_        &amp;lt;CaseName&amp;gt;מדינת ישראל נ&amp;#39; אדרי(עציר) ואח&amp;#39;&amp;lt;/CaseName&amp;gt;_x000d__x000a_        &amp;lt;CaseDisplayIdentifier&amp;gt;63752-10-15 תפ&amp;quot;ח&amp;lt;/CaseDisplayIdentifier&amp;gt;_x000d__x000a_      &amp;lt;/dt_DecisionCase&amp;gt;_x000d__x000a_      &amp;lt;dt_DecisionJudgePanel diffgr:id=&amp;quot;dt_DecisionJudgePanel1&amp;quot; msdata:rowOrder=&amp;quot;0&amp;quot;&amp;gt;_x000d__x000a_        &amp;lt;DecisionID&amp;gt;128844383&amp;lt;/DecisionID&amp;gt;_x000d__x000a_        &amp;lt;JudgeID&amp;gt;069810760@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28844383&amp;lt;/DecisionID&amp;gt;_x000d__x000a_        &amp;lt;JudgeID&amp;gt;013017884@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28844383&amp;lt;/DecisionID&amp;gt;_x000d__x000a_        &amp;lt;JudgeID&amp;gt;057099871@GOV.IL&amp;lt;/JudgeID&amp;gt;_x000d__x000a_        &amp;lt;OrdinalNumber&amp;gt;3&amp;lt;/OrdinalNumber&amp;gt;_x000d__x000a_      &amp;lt;/dt_DecisionJudgePanel&amp;gt;_x000d__x000a_    &amp;lt;/DecisionDS&amp;gt;_x000d__x000a_  &amp;lt;/diffgr:diffgram&amp;gt;_x000d__x000a_&amp;lt;/DecisionDS&amp;gt;"/>
    <w:docVar w:name="DecisionID" w:val="128844383"/>
    <w:docVar w:name="docID" w:val="332719506"/>
    <w:docVar w:name="judgeUPN" w:val="013017884@GOV.IL"/>
    <w:docVar w:name="MyInfo" w:val="This document was extracted from Nevo's site"/>
    <w:docVar w:name="NGCS.TemplateCaseInterestID" w:val="-1"/>
    <w:docVar w:name="NGCS.TemplateCaseTypeID" w:val="10077"/>
    <w:docVar w:name="NGCS.TemplateCourtID" w:val="16"/>
    <w:docVar w:name="NGCS.TemplateProceedingID" w:val="2"/>
    <w:docVar w:name="noteDocID" w:val="332719506"/>
    <w:docVar w:name="WordClientAssemblyName" w:val="NGCS.Decision.ClientWordBL"/>
    <w:docVar w:name="WordClientClassName" w:val="NGCS.Decision.ClientWordBL.JudgePanelSignDecisionClient"/>
  </w:docVars>
  <w:rsids>
    <w:rsidRoot w:val="00507694"/>
    <w:rsid w:val="00031F8A"/>
    <w:rsid w:val="00044E96"/>
    <w:rsid w:val="00052973"/>
    <w:rsid w:val="00054FC4"/>
    <w:rsid w:val="0006726A"/>
    <w:rsid w:val="0009693D"/>
    <w:rsid w:val="00100577"/>
    <w:rsid w:val="00146A5C"/>
    <w:rsid w:val="00182606"/>
    <w:rsid w:val="00190E23"/>
    <w:rsid w:val="001F503D"/>
    <w:rsid w:val="00212125"/>
    <w:rsid w:val="00213285"/>
    <w:rsid w:val="002926B7"/>
    <w:rsid w:val="002D6C61"/>
    <w:rsid w:val="002E6F99"/>
    <w:rsid w:val="003121B4"/>
    <w:rsid w:val="00312B25"/>
    <w:rsid w:val="00367565"/>
    <w:rsid w:val="0037227B"/>
    <w:rsid w:val="0039416F"/>
    <w:rsid w:val="003E0C9F"/>
    <w:rsid w:val="004215DC"/>
    <w:rsid w:val="00494D01"/>
    <w:rsid w:val="004C44BA"/>
    <w:rsid w:val="00507694"/>
    <w:rsid w:val="00547911"/>
    <w:rsid w:val="00550703"/>
    <w:rsid w:val="005A2476"/>
    <w:rsid w:val="005C7B0B"/>
    <w:rsid w:val="005E5529"/>
    <w:rsid w:val="00683ABD"/>
    <w:rsid w:val="00684E84"/>
    <w:rsid w:val="006C2095"/>
    <w:rsid w:val="006C6405"/>
    <w:rsid w:val="006D2178"/>
    <w:rsid w:val="006D66F5"/>
    <w:rsid w:val="006E71A1"/>
    <w:rsid w:val="00724291"/>
    <w:rsid w:val="00757983"/>
    <w:rsid w:val="007D5049"/>
    <w:rsid w:val="00821F29"/>
    <w:rsid w:val="00832D73"/>
    <w:rsid w:val="008819B4"/>
    <w:rsid w:val="008A1184"/>
    <w:rsid w:val="00922B79"/>
    <w:rsid w:val="0094022C"/>
    <w:rsid w:val="009E35A7"/>
    <w:rsid w:val="009E49A1"/>
    <w:rsid w:val="009F504D"/>
    <w:rsid w:val="00A504C4"/>
    <w:rsid w:val="00A91EC4"/>
    <w:rsid w:val="00AA720B"/>
    <w:rsid w:val="00AB353E"/>
    <w:rsid w:val="00AD1D7C"/>
    <w:rsid w:val="00B05847"/>
    <w:rsid w:val="00B20322"/>
    <w:rsid w:val="00B22E0A"/>
    <w:rsid w:val="00B31861"/>
    <w:rsid w:val="00B35DA4"/>
    <w:rsid w:val="00BB50D1"/>
    <w:rsid w:val="00BD67E7"/>
    <w:rsid w:val="00BE0015"/>
    <w:rsid w:val="00C02463"/>
    <w:rsid w:val="00C4302E"/>
    <w:rsid w:val="00C55E62"/>
    <w:rsid w:val="00C572E8"/>
    <w:rsid w:val="00CB56C5"/>
    <w:rsid w:val="00D202F4"/>
    <w:rsid w:val="00D3203D"/>
    <w:rsid w:val="00D44C41"/>
    <w:rsid w:val="00D603E9"/>
    <w:rsid w:val="00D62BAC"/>
    <w:rsid w:val="00D84A3B"/>
    <w:rsid w:val="00DD45F0"/>
    <w:rsid w:val="00E0380C"/>
    <w:rsid w:val="00E45D82"/>
    <w:rsid w:val="00E70F9C"/>
    <w:rsid w:val="00ED120F"/>
    <w:rsid w:val="00EF64F5"/>
    <w:rsid w:val="00F24084"/>
    <w:rsid w:val="00F43249"/>
    <w:rsid w:val="00F4603D"/>
    <w:rsid w:val="00F60F2B"/>
    <w:rsid w:val="00F63C45"/>
    <w:rsid w:val="00F75AFC"/>
    <w:rsid w:val="00F92B7D"/>
    <w:rsid w:val="00FD7B3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F04625"/>
  <w15:chartTrackingRefBased/>
  <w15:docId w15:val="{290C37CD-F960-482C-B49A-82CF1917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A7B41"/>
    <w:pPr>
      <w:tabs>
        <w:tab w:val="center" w:pos="4153"/>
        <w:tab w:val="right" w:pos="8306"/>
      </w:tabs>
    </w:pPr>
  </w:style>
  <w:style w:type="paragraph" w:styleId="a5">
    <w:name w:val="footer"/>
    <w:basedOn w:val="a"/>
    <w:link w:val="a6"/>
    <w:uiPriority w:val="99"/>
    <w:rsid w:val="003A7B41"/>
    <w:pPr>
      <w:tabs>
        <w:tab w:val="center" w:pos="4153"/>
        <w:tab w:val="right" w:pos="8306"/>
      </w:tabs>
    </w:pPr>
  </w:style>
  <w:style w:type="character" w:styleId="a7">
    <w:name w:val="annotation reference"/>
    <w:uiPriority w:val="99"/>
    <w:semiHidden/>
    <w:rsid w:val="003A7B41"/>
    <w:rPr>
      <w:sz w:val="16"/>
      <w:szCs w:val="16"/>
    </w:rPr>
  </w:style>
  <w:style w:type="paragraph" w:styleId="a8">
    <w:name w:val="annotation text"/>
    <w:basedOn w:val="a"/>
    <w:link w:val="10"/>
    <w:uiPriority w:val="99"/>
    <w:semiHidden/>
    <w:rsid w:val="003A7B41"/>
    <w:rPr>
      <w:rFonts w:cs="Times New Roman"/>
      <w:lang w:eastAsia="he-IL"/>
    </w:rPr>
  </w:style>
  <w:style w:type="paragraph" w:styleId="a9">
    <w:name w:val="Balloon Text"/>
    <w:basedOn w:val="a"/>
    <w:link w:val="aa"/>
    <w:uiPriority w:val="99"/>
    <w:semiHidden/>
    <w:rsid w:val="003A7B41"/>
    <w:rPr>
      <w:rFonts w:ascii="Tahoma" w:hAnsi="Tahoma" w:cs="Tahoma"/>
      <w:sz w:val="16"/>
      <w:szCs w:val="16"/>
    </w:rPr>
  </w:style>
  <w:style w:type="table" w:styleId="ab">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BD67E7"/>
  </w:style>
  <w:style w:type="character" w:customStyle="1" w:styleId="a4">
    <w:name w:val="כותרת עליונה תו"/>
    <w:link w:val="a3"/>
    <w:uiPriority w:val="99"/>
    <w:locked/>
    <w:rsid w:val="0037227B"/>
    <w:rPr>
      <w:rFonts w:cs="David"/>
      <w:sz w:val="24"/>
      <w:szCs w:val="24"/>
    </w:rPr>
  </w:style>
  <w:style w:type="character" w:customStyle="1" w:styleId="a6">
    <w:name w:val="כותרת תחתונה תו"/>
    <w:link w:val="a5"/>
    <w:uiPriority w:val="99"/>
    <w:locked/>
    <w:rsid w:val="0037227B"/>
    <w:rPr>
      <w:rFonts w:cs="David"/>
      <w:sz w:val="24"/>
      <w:szCs w:val="24"/>
    </w:rPr>
  </w:style>
  <w:style w:type="character" w:customStyle="1" w:styleId="aa">
    <w:name w:val="טקסט בלונים תו"/>
    <w:link w:val="a9"/>
    <w:uiPriority w:val="99"/>
    <w:semiHidden/>
    <w:locked/>
    <w:rsid w:val="0037227B"/>
    <w:rPr>
      <w:rFonts w:ascii="Tahoma" w:hAnsi="Tahoma" w:cs="Tahoma"/>
      <w:sz w:val="16"/>
      <w:szCs w:val="16"/>
    </w:rPr>
  </w:style>
  <w:style w:type="paragraph" w:styleId="ad">
    <w:name w:val="List Paragraph"/>
    <w:basedOn w:val="a"/>
    <w:uiPriority w:val="34"/>
    <w:qFormat/>
    <w:rsid w:val="0037227B"/>
    <w:pPr>
      <w:spacing w:before="160" w:after="120" w:line="360" w:lineRule="auto"/>
      <w:ind w:left="720"/>
      <w:contextualSpacing/>
      <w:jc w:val="both"/>
    </w:pPr>
    <w:rPr>
      <w:rFonts w:ascii="Calibri" w:hAnsi="Calibri" w:cs="Arial"/>
      <w:sz w:val="22"/>
      <w:szCs w:val="22"/>
    </w:rPr>
  </w:style>
  <w:style w:type="character" w:customStyle="1" w:styleId="ae">
    <w:name w:val="טקסט הערה תו"/>
    <w:uiPriority w:val="99"/>
    <w:semiHidden/>
    <w:locked/>
    <w:rsid w:val="0037227B"/>
    <w:rPr>
      <w:rFonts w:cs="Times New Roman"/>
      <w:sz w:val="20"/>
      <w:szCs w:val="20"/>
    </w:rPr>
  </w:style>
  <w:style w:type="paragraph" w:styleId="af">
    <w:name w:val="annotation subject"/>
    <w:basedOn w:val="a8"/>
    <w:next w:val="a8"/>
    <w:link w:val="af0"/>
    <w:uiPriority w:val="99"/>
    <w:semiHidden/>
    <w:unhideWhenUsed/>
    <w:rsid w:val="0037227B"/>
    <w:pPr>
      <w:spacing w:after="160"/>
    </w:pPr>
    <w:rPr>
      <w:rFonts w:ascii="Calibri" w:hAnsi="Calibri" w:cs="Arial"/>
      <w:b/>
      <w:bCs/>
      <w:sz w:val="20"/>
      <w:szCs w:val="20"/>
      <w:lang w:eastAsia="en-US"/>
    </w:rPr>
  </w:style>
  <w:style w:type="character" w:customStyle="1" w:styleId="10">
    <w:name w:val="טקסט הערה תו1"/>
    <w:link w:val="a8"/>
    <w:uiPriority w:val="99"/>
    <w:semiHidden/>
    <w:rsid w:val="0037227B"/>
    <w:rPr>
      <w:sz w:val="24"/>
      <w:szCs w:val="24"/>
      <w:lang w:eastAsia="he-IL"/>
    </w:rPr>
  </w:style>
  <w:style w:type="character" w:customStyle="1" w:styleId="af0">
    <w:name w:val="נושא הערה תו"/>
    <w:link w:val="af"/>
    <w:uiPriority w:val="99"/>
    <w:semiHidden/>
    <w:rsid w:val="0037227B"/>
    <w:rPr>
      <w:rFonts w:ascii="Calibri" w:hAnsi="Calibri" w:cs="Arial"/>
      <w:b/>
      <w:bCs/>
      <w:sz w:val="24"/>
      <w:szCs w:val="24"/>
      <w:lang w:eastAsia="he-IL"/>
    </w:rPr>
  </w:style>
  <w:style w:type="character" w:styleId="Hyperlink">
    <w:name w:val="Hyperlink"/>
    <w:uiPriority w:val="99"/>
    <w:unhideWhenUsed/>
    <w:rsid w:val="0037227B"/>
    <w:rPr>
      <w:rFonts w:ascii="Times New Roman" w:hAnsi="Times New Roman"/>
      <w:color w:val="0000FF"/>
      <w:u w:val="single"/>
    </w:rPr>
  </w:style>
  <w:style w:type="paragraph" w:customStyle="1" w:styleId="Ruller4">
    <w:name w:val="Ruller4"/>
    <w:basedOn w:val="a"/>
    <w:rsid w:val="0037227B"/>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99.a.1" TargetMode="External"/><Relationship Id="rId21" Type="http://schemas.openxmlformats.org/officeDocument/2006/relationships/hyperlink" Target="http://www.nevo.co.il/law/70301/305.1"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2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10442984" TargetMode="External"/><Relationship Id="rId16" Type="http://schemas.openxmlformats.org/officeDocument/2006/relationships/hyperlink" Target="http://www.nevo.co.il/law/70301/40i" TargetMode="External"/><Relationship Id="rId11" Type="http://schemas.openxmlformats.org/officeDocument/2006/relationships/hyperlink" Target="http://www.nevo.co.il/law/70301/40.ja.6" TargetMode="External"/><Relationship Id="rId32" Type="http://schemas.openxmlformats.org/officeDocument/2006/relationships/hyperlink" Target="http://www.nevo.co.il/law/70301/305.1" TargetMode="External"/><Relationship Id="rId37" Type="http://schemas.openxmlformats.org/officeDocument/2006/relationships/hyperlink" Target="http://www.nevo.co.il/case/18762911" TargetMode="External"/><Relationship Id="rId53" Type="http://schemas.openxmlformats.org/officeDocument/2006/relationships/hyperlink" Target="http://www.nevo.co.il/law/70301/40i" TargetMode="External"/><Relationship Id="rId58" Type="http://schemas.openxmlformats.org/officeDocument/2006/relationships/hyperlink" Target="http://www.nevo.co.il/case/21506844" TargetMode="External"/><Relationship Id="rId74" Type="http://schemas.openxmlformats.org/officeDocument/2006/relationships/hyperlink" Target="http://www.nevo.co.il/case/22401476"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www.nevo.co.il/case/5569233" TargetMode="External"/><Relationship Id="rId19" Type="http://schemas.openxmlformats.org/officeDocument/2006/relationships/hyperlink" Target="http://www.nevo.co.il/law/70301/144.b2" TargetMode="External"/><Relationship Id="rId14" Type="http://schemas.openxmlformats.org/officeDocument/2006/relationships/hyperlink" Target="http://www.nevo.co.il/law/70301/40f"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00.a.2" TargetMode="External"/><Relationship Id="rId35" Type="http://schemas.openxmlformats.org/officeDocument/2006/relationships/hyperlink" Target="http://www.nevo.co.il/case/18762911" TargetMode="External"/><Relationship Id="rId43" Type="http://schemas.openxmlformats.org/officeDocument/2006/relationships/hyperlink" Target="http://www.nevo.co.il/law/70301/40b" TargetMode="External"/><Relationship Id="rId48" Type="http://schemas.openxmlformats.org/officeDocument/2006/relationships/hyperlink" Target="http://www.nevo.co.il/law/70320" TargetMode="External"/><Relationship Id="rId56" Type="http://schemas.openxmlformats.org/officeDocument/2006/relationships/hyperlink" Target="http://www.nevo.co.il/case/7858365" TargetMode="External"/><Relationship Id="rId64" Type="http://schemas.openxmlformats.org/officeDocument/2006/relationships/hyperlink" Target="http://www.nevo.co.il/case/21479019" TargetMode="External"/><Relationship Id="rId69" Type="http://schemas.openxmlformats.org/officeDocument/2006/relationships/hyperlink" Target="http://www.nevo.co.il/case/5919787" TargetMode="External"/><Relationship Id="rId77"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21477594"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evo.co.il/law/70301/40b" TargetMode="External"/><Relationship Id="rId17" Type="http://schemas.openxmlformats.org/officeDocument/2006/relationships/hyperlink" Target="http://www.nevo.co.il/law/70301/77"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law/70301/40i" TargetMode="External"/><Relationship Id="rId46" Type="http://schemas.openxmlformats.org/officeDocument/2006/relationships/hyperlink" Target="http://www.nevo.co.il/case/22495713" TargetMode="External"/><Relationship Id="rId59" Type="http://schemas.openxmlformats.org/officeDocument/2006/relationships/hyperlink" Target="http://www.nevo.co.il/case/17948112" TargetMode="External"/><Relationship Id="rId67" Type="http://schemas.openxmlformats.org/officeDocument/2006/relationships/hyperlink" Target="http://www.nevo.co.il/law/70301/40.ja.6" TargetMode="External"/><Relationship Id="rId20" Type="http://schemas.openxmlformats.org/officeDocument/2006/relationships/hyperlink" Target="http://www.nevo.co.il/law/70301/300.a.2" TargetMode="External"/><Relationship Id="rId41" Type="http://schemas.openxmlformats.org/officeDocument/2006/relationships/hyperlink" Target="http://www.nevo.co.il/law/70301/40c" TargetMode="External"/><Relationship Id="rId54" Type="http://schemas.openxmlformats.org/officeDocument/2006/relationships/hyperlink" Target="http://www.nevo.co.il/case/2377599" TargetMode="External"/><Relationship Id="rId62" Type="http://schemas.openxmlformats.org/officeDocument/2006/relationships/hyperlink" Target="http://www.nevo.co.il/case/21479019" TargetMode="External"/><Relationship Id="rId70" Type="http://schemas.openxmlformats.org/officeDocument/2006/relationships/hyperlink" Target="http://www.nevo.co.il/law/70301/77" TargetMode="External"/><Relationship Id="rId75"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g" TargetMode="External"/><Relationship Id="rId23" Type="http://schemas.openxmlformats.org/officeDocument/2006/relationships/hyperlink" Target="http://www.nevo.co.il/law/70320" TargetMode="External"/><Relationship Id="rId28" Type="http://schemas.openxmlformats.org/officeDocument/2006/relationships/hyperlink" Target="http://www.nevo.co.il/law/70301/31" TargetMode="External"/><Relationship Id="rId36" Type="http://schemas.openxmlformats.org/officeDocument/2006/relationships/hyperlink" Target="http://www.nevo.co.il/case/2830169" TargetMode="External"/><Relationship Id="rId49" Type="http://schemas.openxmlformats.org/officeDocument/2006/relationships/hyperlink" Target="http://www.nevo.co.il/case/6002494" TargetMode="External"/><Relationship Id="rId57" Type="http://schemas.openxmlformats.org/officeDocument/2006/relationships/hyperlink" Target="http://www.nevo.co.il/case/21477661" TargetMode="External"/><Relationship Id="rId10" Type="http://schemas.openxmlformats.org/officeDocument/2006/relationships/hyperlink" Target="http://www.nevo.co.il/law/70301/32.1" TargetMode="External"/><Relationship Id="rId31" Type="http://schemas.openxmlformats.org/officeDocument/2006/relationships/hyperlink" Target="http://www.nevo.co.il/law/70301/31" TargetMode="External"/><Relationship Id="rId44" Type="http://schemas.openxmlformats.org/officeDocument/2006/relationships/hyperlink" Target="http://www.nevo.co.il/law/70301/40c" TargetMode="External"/><Relationship Id="rId52" Type="http://schemas.openxmlformats.org/officeDocument/2006/relationships/hyperlink" Target="http://www.nevo.co.il/case/17948129" TargetMode="External"/><Relationship Id="rId60" Type="http://schemas.openxmlformats.org/officeDocument/2006/relationships/hyperlink" Target="http://www.nevo.co.il/case/161892" TargetMode="External"/><Relationship Id="rId65" Type="http://schemas.openxmlformats.org/officeDocument/2006/relationships/hyperlink" Target="http://www.nevo.co.il/law/70301/40f" TargetMode="External"/><Relationship Id="rId73" Type="http://schemas.openxmlformats.org/officeDocument/2006/relationships/hyperlink" Target="http://www.nevo.co.il/case/21506844"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31" TargetMode="External"/><Relationship Id="rId13" Type="http://schemas.openxmlformats.org/officeDocument/2006/relationships/hyperlink" Target="http://www.nevo.co.il/law/70301/40c"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law/70301/40i" TargetMode="External"/><Relationship Id="rId55" Type="http://schemas.openxmlformats.org/officeDocument/2006/relationships/hyperlink" Target="http://www.nevo.co.il/case/17948129"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nevo.co.il/law/70301" TargetMode="External"/><Relationship Id="rId2" Type="http://schemas.openxmlformats.org/officeDocument/2006/relationships/numbering" Target="numbering.xml"/><Relationship Id="rId29" Type="http://schemas.openxmlformats.org/officeDocument/2006/relationships/hyperlink" Target="http://www.nevo.co.il/law/70301/32.1" TargetMode="External"/><Relationship Id="rId24" Type="http://schemas.openxmlformats.org/officeDocument/2006/relationships/hyperlink" Target="http://www.nevo.co.il/law/7032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0485614" TargetMode="External"/><Relationship Id="rId66" Type="http://schemas.openxmlformats.org/officeDocument/2006/relationships/hyperlink" Target="http://www.nevo.co.il/law/70301/40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9045</Words>
  <Characters>45225</Characters>
  <Application>Microsoft Office Word</Application>
  <DocSecurity>0</DocSecurity>
  <Lines>376</Lines>
  <Paragraphs>108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54162</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3145842</vt:i4>
      </vt:variant>
      <vt:variant>
        <vt:i4>198</vt:i4>
      </vt:variant>
      <vt:variant>
        <vt:i4>0</vt:i4>
      </vt:variant>
      <vt:variant>
        <vt:i4>5</vt:i4>
      </vt:variant>
      <vt:variant>
        <vt:lpwstr>http://www.nevo.co.il/case/22401476</vt:lpwstr>
      </vt:variant>
      <vt:variant>
        <vt:lpwstr/>
      </vt:variant>
      <vt:variant>
        <vt:i4>3473533</vt:i4>
      </vt:variant>
      <vt:variant>
        <vt:i4>195</vt:i4>
      </vt:variant>
      <vt:variant>
        <vt:i4>0</vt:i4>
      </vt:variant>
      <vt:variant>
        <vt:i4>5</vt:i4>
      </vt:variant>
      <vt:variant>
        <vt:lpwstr>http://www.nevo.co.il/case/21506844</vt:lpwstr>
      </vt:variant>
      <vt:variant>
        <vt:lpwstr/>
      </vt:variant>
      <vt:variant>
        <vt:i4>3670135</vt:i4>
      </vt:variant>
      <vt:variant>
        <vt:i4>192</vt:i4>
      </vt:variant>
      <vt:variant>
        <vt:i4>0</vt:i4>
      </vt:variant>
      <vt:variant>
        <vt:i4>5</vt:i4>
      </vt:variant>
      <vt:variant>
        <vt:lpwstr>http://www.nevo.co.il/case/21477594</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6422626</vt:i4>
      </vt:variant>
      <vt:variant>
        <vt:i4>186</vt:i4>
      </vt:variant>
      <vt:variant>
        <vt:i4>0</vt:i4>
      </vt:variant>
      <vt:variant>
        <vt:i4>5</vt:i4>
      </vt:variant>
      <vt:variant>
        <vt:lpwstr>http://www.nevo.co.il/law/70301/77</vt:lpwstr>
      </vt:variant>
      <vt:variant>
        <vt:lpwstr/>
      </vt:variant>
      <vt:variant>
        <vt:i4>3407996</vt:i4>
      </vt:variant>
      <vt:variant>
        <vt:i4>183</vt:i4>
      </vt:variant>
      <vt:variant>
        <vt:i4>0</vt:i4>
      </vt:variant>
      <vt:variant>
        <vt:i4>5</vt:i4>
      </vt:variant>
      <vt:variant>
        <vt:lpwstr>http://www.nevo.co.il/case/5919787</vt:lpwstr>
      </vt:variant>
      <vt:variant>
        <vt:lpwstr/>
      </vt:variant>
      <vt:variant>
        <vt:i4>4128889</vt:i4>
      </vt:variant>
      <vt:variant>
        <vt:i4>180</vt:i4>
      </vt:variant>
      <vt:variant>
        <vt:i4>0</vt:i4>
      </vt:variant>
      <vt:variant>
        <vt:i4>5</vt:i4>
      </vt:variant>
      <vt:variant>
        <vt:lpwstr>http://www.nevo.co.il/case/10442984</vt:lpwstr>
      </vt:variant>
      <vt:variant>
        <vt:lpwstr/>
      </vt:variant>
      <vt:variant>
        <vt:i4>2162734</vt:i4>
      </vt:variant>
      <vt:variant>
        <vt:i4>177</vt:i4>
      </vt:variant>
      <vt:variant>
        <vt:i4>0</vt:i4>
      </vt:variant>
      <vt:variant>
        <vt:i4>5</vt:i4>
      </vt:variant>
      <vt:variant>
        <vt:lpwstr>http://www.nevo.co.il/law/70301/40.ja.6</vt:lpwstr>
      </vt:variant>
      <vt:variant>
        <vt:lpwstr/>
      </vt:variant>
      <vt:variant>
        <vt:i4>6619233</vt:i4>
      </vt:variant>
      <vt:variant>
        <vt:i4>174</vt:i4>
      </vt:variant>
      <vt:variant>
        <vt:i4>0</vt:i4>
      </vt:variant>
      <vt:variant>
        <vt:i4>5</vt:i4>
      </vt:variant>
      <vt:variant>
        <vt:lpwstr>http://www.nevo.co.il/law/70301/40g</vt:lpwstr>
      </vt:variant>
      <vt:variant>
        <vt:lpwstr/>
      </vt:variant>
      <vt:variant>
        <vt:i4>6619233</vt:i4>
      </vt:variant>
      <vt:variant>
        <vt:i4>171</vt:i4>
      </vt:variant>
      <vt:variant>
        <vt:i4>0</vt:i4>
      </vt:variant>
      <vt:variant>
        <vt:i4>5</vt:i4>
      </vt:variant>
      <vt:variant>
        <vt:lpwstr>http://www.nevo.co.il/law/70301/40f</vt:lpwstr>
      </vt:variant>
      <vt:variant>
        <vt:lpwstr/>
      </vt:variant>
      <vt:variant>
        <vt:i4>4063346</vt:i4>
      </vt:variant>
      <vt:variant>
        <vt:i4>168</vt:i4>
      </vt:variant>
      <vt:variant>
        <vt:i4>0</vt:i4>
      </vt:variant>
      <vt:variant>
        <vt:i4>5</vt:i4>
      </vt:variant>
      <vt:variant>
        <vt:lpwstr>http://www.nevo.co.il/case/21479019</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4063346</vt:i4>
      </vt:variant>
      <vt:variant>
        <vt:i4>162</vt:i4>
      </vt:variant>
      <vt:variant>
        <vt:i4>0</vt:i4>
      </vt:variant>
      <vt:variant>
        <vt:i4>5</vt:i4>
      </vt:variant>
      <vt:variant>
        <vt:lpwstr>http://www.nevo.co.il/case/21479019</vt:lpwstr>
      </vt:variant>
      <vt:variant>
        <vt:lpwstr/>
      </vt:variant>
      <vt:variant>
        <vt:i4>3276923</vt:i4>
      </vt:variant>
      <vt:variant>
        <vt:i4>159</vt:i4>
      </vt:variant>
      <vt:variant>
        <vt:i4>0</vt:i4>
      </vt:variant>
      <vt:variant>
        <vt:i4>5</vt:i4>
      </vt:variant>
      <vt:variant>
        <vt:lpwstr>http://www.nevo.co.il/case/5569233</vt:lpwstr>
      </vt:variant>
      <vt:variant>
        <vt:lpwstr/>
      </vt:variant>
      <vt:variant>
        <vt:i4>589898</vt:i4>
      </vt:variant>
      <vt:variant>
        <vt:i4>156</vt:i4>
      </vt:variant>
      <vt:variant>
        <vt:i4>0</vt:i4>
      </vt:variant>
      <vt:variant>
        <vt:i4>5</vt:i4>
      </vt:variant>
      <vt:variant>
        <vt:lpwstr>http://www.nevo.co.il/case/161892</vt:lpwstr>
      </vt:variant>
      <vt:variant>
        <vt:lpwstr/>
      </vt:variant>
      <vt:variant>
        <vt:i4>3211382</vt:i4>
      </vt:variant>
      <vt:variant>
        <vt:i4>153</vt:i4>
      </vt:variant>
      <vt:variant>
        <vt:i4>0</vt:i4>
      </vt:variant>
      <vt:variant>
        <vt:i4>5</vt:i4>
      </vt:variant>
      <vt:variant>
        <vt:lpwstr>http://www.nevo.co.il/case/17948112</vt:lpwstr>
      </vt:variant>
      <vt:variant>
        <vt:lpwstr/>
      </vt:variant>
      <vt:variant>
        <vt:i4>3473533</vt:i4>
      </vt:variant>
      <vt:variant>
        <vt:i4>150</vt:i4>
      </vt:variant>
      <vt:variant>
        <vt:i4>0</vt:i4>
      </vt:variant>
      <vt:variant>
        <vt:i4>5</vt:i4>
      </vt:variant>
      <vt:variant>
        <vt:lpwstr>http://www.nevo.co.il/case/21506844</vt:lpwstr>
      </vt:variant>
      <vt:variant>
        <vt:lpwstr/>
      </vt:variant>
      <vt:variant>
        <vt:i4>3604596</vt:i4>
      </vt:variant>
      <vt:variant>
        <vt:i4>147</vt:i4>
      </vt:variant>
      <vt:variant>
        <vt:i4>0</vt:i4>
      </vt:variant>
      <vt:variant>
        <vt:i4>5</vt:i4>
      </vt:variant>
      <vt:variant>
        <vt:lpwstr>http://www.nevo.co.il/case/21477661</vt:lpwstr>
      </vt:variant>
      <vt:variant>
        <vt:lpwstr/>
      </vt:variant>
      <vt:variant>
        <vt:i4>3407986</vt:i4>
      </vt:variant>
      <vt:variant>
        <vt:i4>144</vt:i4>
      </vt:variant>
      <vt:variant>
        <vt:i4>0</vt:i4>
      </vt:variant>
      <vt:variant>
        <vt:i4>5</vt:i4>
      </vt:variant>
      <vt:variant>
        <vt:lpwstr>http://www.nevo.co.il/case/7858365</vt:lpwstr>
      </vt:variant>
      <vt:variant>
        <vt:lpwstr/>
      </vt:variant>
      <vt:variant>
        <vt:i4>3276918</vt:i4>
      </vt:variant>
      <vt:variant>
        <vt:i4>141</vt:i4>
      </vt:variant>
      <vt:variant>
        <vt:i4>0</vt:i4>
      </vt:variant>
      <vt:variant>
        <vt:i4>5</vt:i4>
      </vt:variant>
      <vt:variant>
        <vt:lpwstr>http://www.nevo.co.il/case/17948129</vt:lpwstr>
      </vt:variant>
      <vt:variant>
        <vt:lpwstr/>
      </vt:variant>
      <vt:variant>
        <vt:i4>3735673</vt:i4>
      </vt:variant>
      <vt:variant>
        <vt:i4>138</vt:i4>
      </vt:variant>
      <vt:variant>
        <vt:i4>0</vt:i4>
      </vt:variant>
      <vt:variant>
        <vt:i4>5</vt:i4>
      </vt:variant>
      <vt:variant>
        <vt:lpwstr>http://www.nevo.co.il/case/2377599</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3276918</vt:i4>
      </vt:variant>
      <vt:variant>
        <vt:i4>132</vt:i4>
      </vt:variant>
      <vt:variant>
        <vt:i4>0</vt:i4>
      </vt:variant>
      <vt:variant>
        <vt:i4>5</vt:i4>
      </vt:variant>
      <vt:variant>
        <vt:lpwstr>http://www.nevo.co.il/case/17948129</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3539071</vt:i4>
      </vt:variant>
      <vt:variant>
        <vt:i4>123</vt:i4>
      </vt:variant>
      <vt:variant>
        <vt:i4>0</vt:i4>
      </vt:variant>
      <vt:variant>
        <vt:i4>5</vt:i4>
      </vt:variant>
      <vt:variant>
        <vt:lpwstr>http://www.nevo.co.il/case/6002494</vt:lpwstr>
      </vt:variant>
      <vt:variant>
        <vt:lpwstr/>
      </vt:variant>
      <vt:variant>
        <vt:i4>7864420</vt:i4>
      </vt:variant>
      <vt:variant>
        <vt:i4>120</vt:i4>
      </vt:variant>
      <vt:variant>
        <vt:i4>0</vt:i4>
      </vt:variant>
      <vt:variant>
        <vt:i4>5</vt:i4>
      </vt:variant>
      <vt:variant>
        <vt:lpwstr>http://www.nevo.co.il/law/70320</vt:lpwstr>
      </vt:variant>
      <vt:variant>
        <vt:lpwstr/>
      </vt:variant>
      <vt:variant>
        <vt:i4>5701716</vt:i4>
      </vt:variant>
      <vt:variant>
        <vt:i4>117</vt:i4>
      </vt:variant>
      <vt:variant>
        <vt:i4>0</vt:i4>
      </vt:variant>
      <vt:variant>
        <vt:i4>5</vt:i4>
      </vt:variant>
      <vt:variant>
        <vt:lpwstr>http://www.nevo.co.il/law/70320/1</vt:lpwstr>
      </vt:variant>
      <vt:variant>
        <vt:lpwstr/>
      </vt:variant>
      <vt:variant>
        <vt:i4>3276920</vt:i4>
      </vt:variant>
      <vt:variant>
        <vt:i4>114</vt:i4>
      </vt:variant>
      <vt:variant>
        <vt:i4>0</vt:i4>
      </vt:variant>
      <vt:variant>
        <vt:i4>5</vt:i4>
      </vt:variant>
      <vt:variant>
        <vt:lpwstr>http://www.nevo.co.il/case/22495713</vt:lpwstr>
      </vt:variant>
      <vt:variant>
        <vt:lpwstr/>
      </vt:variant>
      <vt:variant>
        <vt:i4>3211386</vt:i4>
      </vt:variant>
      <vt:variant>
        <vt:i4>111</vt:i4>
      </vt:variant>
      <vt:variant>
        <vt:i4>0</vt:i4>
      </vt:variant>
      <vt:variant>
        <vt:i4>5</vt:i4>
      </vt:variant>
      <vt:variant>
        <vt:lpwstr>http://www.nevo.co.il/case/10485614</vt:lpwstr>
      </vt:variant>
      <vt:variant>
        <vt:lpwstr/>
      </vt:variant>
      <vt:variant>
        <vt:i4>6619233</vt:i4>
      </vt:variant>
      <vt:variant>
        <vt:i4>108</vt:i4>
      </vt:variant>
      <vt:variant>
        <vt:i4>0</vt:i4>
      </vt:variant>
      <vt:variant>
        <vt:i4>5</vt:i4>
      </vt:variant>
      <vt:variant>
        <vt:lpwstr>http://www.nevo.co.il/law/70301/40c</vt:lpwstr>
      </vt:variant>
      <vt:variant>
        <vt:lpwstr/>
      </vt:variant>
      <vt:variant>
        <vt:i4>6619233</vt:i4>
      </vt:variant>
      <vt:variant>
        <vt:i4>105</vt:i4>
      </vt:variant>
      <vt:variant>
        <vt:i4>0</vt:i4>
      </vt:variant>
      <vt:variant>
        <vt:i4>5</vt:i4>
      </vt:variant>
      <vt:variant>
        <vt:lpwstr>http://www.nevo.co.il/law/70301/40b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http://www.nevo.co.il/law/70301/40c</vt:lpwstr>
      </vt:variant>
      <vt:variant>
        <vt:lpwstr/>
      </vt:variant>
      <vt:variant>
        <vt:i4>7995492</vt:i4>
      </vt:variant>
      <vt:variant>
        <vt:i4>96</vt:i4>
      </vt:variant>
      <vt:variant>
        <vt:i4>0</vt:i4>
      </vt:variant>
      <vt:variant>
        <vt:i4>5</vt:i4>
      </vt:variant>
      <vt:variant>
        <vt:lpwstr>http://www.nevo.co.il/law/70301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3473523</vt:i4>
      </vt:variant>
      <vt:variant>
        <vt:i4>87</vt:i4>
      </vt:variant>
      <vt:variant>
        <vt:i4>0</vt:i4>
      </vt:variant>
      <vt:variant>
        <vt:i4>5</vt:i4>
      </vt:variant>
      <vt:variant>
        <vt:lpwstr>http://www.nevo.co.il/case/18762911</vt:lpwstr>
      </vt:variant>
      <vt:variant>
        <vt:lpwstr/>
      </vt:variant>
      <vt:variant>
        <vt:i4>3735674</vt:i4>
      </vt:variant>
      <vt:variant>
        <vt:i4>84</vt:i4>
      </vt:variant>
      <vt:variant>
        <vt:i4>0</vt:i4>
      </vt:variant>
      <vt:variant>
        <vt:i4>5</vt:i4>
      </vt:variant>
      <vt:variant>
        <vt:lpwstr>http://www.nevo.co.il/case/2830169</vt:lpwstr>
      </vt:variant>
      <vt:variant>
        <vt:lpwstr/>
      </vt:variant>
      <vt:variant>
        <vt:i4>3473523</vt:i4>
      </vt:variant>
      <vt:variant>
        <vt:i4>81</vt:i4>
      </vt:variant>
      <vt:variant>
        <vt:i4>0</vt:i4>
      </vt:variant>
      <vt:variant>
        <vt:i4>5</vt:i4>
      </vt:variant>
      <vt:variant>
        <vt:lpwstr>http://www.nevo.co.il/case/18762911</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8192050</vt:i4>
      </vt:variant>
      <vt:variant>
        <vt:i4>75</vt:i4>
      </vt:variant>
      <vt:variant>
        <vt:i4>0</vt:i4>
      </vt:variant>
      <vt:variant>
        <vt:i4>5</vt:i4>
      </vt:variant>
      <vt:variant>
        <vt:lpwstr>http://www.nevo.co.il/law/70301/144.b2</vt:lpwstr>
      </vt:variant>
      <vt:variant>
        <vt:lpwstr/>
      </vt:variant>
      <vt:variant>
        <vt:i4>4915283</vt:i4>
      </vt:variant>
      <vt:variant>
        <vt:i4>72</vt:i4>
      </vt:variant>
      <vt:variant>
        <vt:i4>0</vt:i4>
      </vt:variant>
      <vt:variant>
        <vt:i4>5</vt:i4>
      </vt:variant>
      <vt:variant>
        <vt:lpwstr>http://www.nevo.co.il/law/70301/305.1</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6619191</vt:i4>
      </vt:variant>
      <vt:variant>
        <vt:i4>66</vt:i4>
      </vt:variant>
      <vt:variant>
        <vt:i4>0</vt:i4>
      </vt:variant>
      <vt:variant>
        <vt:i4>5</vt:i4>
      </vt:variant>
      <vt:variant>
        <vt:lpwstr>http://www.nevo.co.il/law/70301/300.a.2</vt:lpwstr>
      </vt:variant>
      <vt:variant>
        <vt:lpwstr/>
      </vt:variant>
      <vt:variant>
        <vt:i4>5636168</vt:i4>
      </vt:variant>
      <vt:variant>
        <vt:i4>63</vt:i4>
      </vt:variant>
      <vt:variant>
        <vt:i4>0</vt:i4>
      </vt:variant>
      <vt:variant>
        <vt:i4>5</vt:i4>
      </vt:variant>
      <vt:variant>
        <vt:lpwstr>http://www.nevo.co.il/law/70301/32.1</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5701716</vt:i4>
      </vt:variant>
      <vt:variant>
        <vt:i4>48</vt:i4>
      </vt:variant>
      <vt:variant>
        <vt:i4>0</vt:i4>
      </vt:variant>
      <vt:variant>
        <vt:i4>5</vt:i4>
      </vt:variant>
      <vt:variant>
        <vt:lpwstr>http://www.nevo.co.il/law/70320/1</vt:lpwstr>
      </vt:variant>
      <vt:variant>
        <vt:lpwstr/>
      </vt:variant>
      <vt:variant>
        <vt:i4>7864420</vt:i4>
      </vt:variant>
      <vt:variant>
        <vt:i4>45</vt:i4>
      </vt:variant>
      <vt:variant>
        <vt:i4>0</vt:i4>
      </vt:variant>
      <vt:variant>
        <vt:i4>5</vt:i4>
      </vt:variant>
      <vt:variant>
        <vt:lpwstr>http://www.nevo.co.il/law/70320</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4915283</vt:i4>
      </vt:variant>
      <vt:variant>
        <vt:i4>39</vt:i4>
      </vt:variant>
      <vt:variant>
        <vt:i4>0</vt:i4>
      </vt:variant>
      <vt:variant>
        <vt:i4>5</vt:i4>
      </vt:variant>
      <vt:variant>
        <vt:lpwstr>http://www.nevo.co.il/law/70301/305.1</vt:lpwstr>
      </vt:variant>
      <vt:variant>
        <vt:lpwstr/>
      </vt:variant>
      <vt:variant>
        <vt:i4>6619191</vt:i4>
      </vt:variant>
      <vt:variant>
        <vt:i4>36</vt:i4>
      </vt:variant>
      <vt:variant>
        <vt:i4>0</vt:i4>
      </vt:variant>
      <vt:variant>
        <vt:i4>5</vt:i4>
      </vt:variant>
      <vt:variant>
        <vt:lpwstr>http://www.nevo.co.il/law/70301/300.a.2</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6422626</vt:i4>
      </vt:variant>
      <vt:variant>
        <vt:i4>27</vt:i4>
      </vt:variant>
      <vt:variant>
        <vt:i4>0</vt:i4>
      </vt:variant>
      <vt:variant>
        <vt:i4>5</vt:i4>
      </vt:variant>
      <vt:variant>
        <vt:lpwstr>http://www.nevo.co.il/law/70301/77</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2162734</vt:i4>
      </vt:variant>
      <vt:variant>
        <vt:i4>9</vt:i4>
      </vt:variant>
      <vt:variant>
        <vt:i4>0</vt:i4>
      </vt:variant>
      <vt:variant>
        <vt:i4>5</vt:i4>
      </vt:variant>
      <vt:variant>
        <vt:lpwstr>http://www.nevo.co.il/law/70301/40.ja.6</vt:lpwstr>
      </vt:variant>
      <vt:variant>
        <vt:lpwstr/>
      </vt:variant>
      <vt:variant>
        <vt:i4>5636168</vt:i4>
      </vt:variant>
      <vt:variant>
        <vt:i4>6</vt:i4>
      </vt:variant>
      <vt:variant>
        <vt:i4>0</vt:i4>
      </vt:variant>
      <vt:variant>
        <vt:i4>5</vt:i4>
      </vt:variant>
      <vt:variant>
        <vt:lpwstr>http://www.nevo.co.il/law/70301/32.1</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2020-12-22T15:47:00Z</cp:lastPrinted>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63752</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יוסף חיים אדרי;שי אונדרה וורון;אברהם זהבי;אדי יהודה;שניר ואזנה </vt:lpwstr>
  </property>
  <property fmtid="{D5CDD505-2E9C-101B-9397-08002B2CF9AE}" pid="10" name="LAWYER">
    <vt:lpwstr>יריב צרי;אסף בר יוסף;אהרון רוזה;אסף שלם</vt:lpwstr>
  </property>
  <property fmtid="{D5CDD505-2E9C-101B-9397-08002B2CF9AE}" pid="11" name="JUDGE">
    <vt:lpwstr>נתן זלוצ'ובר;יעל רז לוי;שלמה פרידלנדר</vt:lpwstr>
  </property>
  <property fmtid="{D5CDD505-2E9C-101B-9397-08002B2CF9AE}" pid="12" name="CITY">
    <vt:lpwstr>ב"ש</vt:lpwstr>
  </property>
  <property fmtid="{D5CDD505-2E9C-101B-9397-08002B2CF9AE}" pid="13" name="DATE">
    <vt:lpwstr>20201223</vt:lpwstr>
  </property>
  <property fmtid="{D5CDD505-2E9C-101B-9397-08002B2CF9AE}" pid="14" name="TYPE_N_DATE">
    <vt:lpwstr>39020201223</vt:lpwstr>
  </property>
  <property fmtid="{D5CDD505-2E9C-101B-9397-08002B2CF9AE}" pid="15" name="WORDNUMPAGES">
    <vt:lpwstr>24</vt:lpwstr>
  </property>
  <property fmtid="{D5CDD505-2E9C-101B-9397-08002B2CF9AE}" pid="16" name="TYPE_ABS_DATE">
    <vt:lpwstr>390120201223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18762911:2;2830169;10485614;22495713;6002494;17948129:2;2377599;7858365;21477661;21506844:2;17948112;161892;5569233;21479019:2;10442984;5919787;21477594;22401476</vt:lpwstr>
  </property>
  <property fmtid="{D5CDD505-2E9C-101B-9397-08002B2CF9AE}" pid="36" name="LAWLISTTMP1">
    <vt:lpwstr>70301/499.a.1;031:2;032.1;300.a.2;305.1;144.b2;144.b;040i:3;040c:2;040b;040f;040g;040.ja.6;077</vt:lpwstr>
  </property>
  <property fmtid="{D5CDD505-2E9C-101B-9397-08002B2CF9AE}" pid="37" name="LAWLISTTMP2">
    <vt:lpwstr>70320/001</vt:lpwstr>
  </property>
  <property fmtid="{D5CDD505-2E9C-101B-9397-08002B2CF9AE}" pid="38" name="METAKZER">
    <vt:lpwstr>עומרי</vt:lpwstr>
  </property>
  <property fmtid="{D5CDD505-2E9C-101B-9397-08002B2CF9AE}" pid="39" name="NOSE1ID">
    <vt:lpwstr>77;77;77;77;77</vt:lpwstr>
  </property>
  <property fmtid="{D5CDD505-2E9C-101B-9397-08002B2CF9AE}" pid="40" name="NOSE2ID">
    <vt:lpwstr>1446;1446;1446;1446;1447</vt:lpwstr>
  </property>
  <property fmtid="{D5CDD505-2E9C-101B-9397-08002B2CF9AE}" pid="41" name="NOSE3ID">
    <vt:lpwstr>8998;14985;16503;17638;9011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סיוע</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מתחם הענישה</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מדיניות ענישה: מסייע למול מבצע עקרי‏</vt:lpwstr>
  </property>
  <property fmtid="{D5CDD505-2E9C-101B-9397-08002B2CF9AE}" pid="51" name="NOSE14">
    <vt:lpwstr>עונשין</vt:lpwstr>
  </property>
  <property fmtid="{D5CDD505-2E9C-101B-9397-08002B2CF9AE}" pid="52" name="NOSE24">
    <vt:lpwstr>ענישה</vt:lpwstr>
  </property>
  <property fmtid="{D5CDD505-2E9C-101B-9397-08002B2CF9AE}" pid="53" name="NOSE34">
    <vt:lpwstr>מדיניות ענישה: פיגוע פלילי</vt:lpwstr>
  </property>
  <property fmtid="{D5CDD505-2E9C-101B-9397-08002B2CF9AE}" pid="54" name="NOSE15">
    <vt:lpwstr>עונשין</vt:lpwstr>
  </property>
  <property fmtid="{D5CDD505-2E9C-101B-9397-08002B2CF9AE}" pid="55" name="NOSE25">
    <vt:lpwstr>פיצויים והוצאות</vt:lpwstr>
  </property>
  <property fmtid="{D5CDD505-2E9C-101B-9397-08002B2CF9AE}" pid="56" name="NOSE35">
    <vt:lpwstr>פיצויו של מי שניזוק על-ידי העבירה</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20201228</vt:lpwstr>
  </property>
</Properties>
</file>