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E60C5" w:rsidRPr="00093696" w14:paraId="093009C9" w14:textId="77777777" w:rsidTr="008C59BE">
        <w:trPr>
          <w:trHeight w:hRule="exact" w:val="418"/>
          <w:jc w:val="center"/>
        </w:trPr>
        <w:tc>
          <w:tcPr>
            <w:tcW w:w="8721" w:type="dxa"/>
            <w:gridSpan w:val="2"/>
          </w:tcPr>
          <w:p w14:paraId="2E54E05D" w14:textId="77777777" w:rsidR="005E60C5" w:rsidRPr="00093696" w:rsidRDefault="005E60C5" w:rsidP="00093696">
            <w:pPr>
              <w:pStyle w:val="a3"/>
              <w:jc w:val="center"/>
              <w:rPr>
                <w:rFonts w:ascii="Tahoma" w:hAnsi="Tahoma" w:cs="Tahoma"/>
                <w:color w:val="000080"/>
                <w:rtl/>
              </w:rPr>
            </w:pPr>
            <w:bookmarkStart w:id="0" w:name="LastJudge"/>
            <w:r w:rsidRPr="00093696">
              <w:rPr>
                <w:rFonts w:ascii="Tahoma" w:hAnsi="Tahoma" w:cs="Tahoma"/>
                <w:b/>
                <w:bCs/>
                <w:color w:val="000080"/>
                <w:rtl/>
              </w:rPr>
              <w:t>בית המשפט המחוזי מרכז-לוד</w:t>
            </w:r>
          </w:p>
        </w:tc>
      </w:tr>
      <w:tr w:rsidR="005E60C5" w:rsidRPr="00093696" w14:paraId="04601E81" w14:textId="77777777" w:rsidTr="008C59BE">
        <w:trPr>
          <w:trHeight w:val="337"/>
          <w:jc w:val="center"/>
        </w:trPr>
        <w:tc>
          <w:tcPr>
            <w:tcW w:w="5057" w:type="dxa"/>
          </w:tcPr>
          <w:p w14:paraId="12F407C3" w14:textId="77777777" w:rsidR="005E60C5" w:rsidRPr="00093696" w:rsidRDefault="005E60C5" w:rsidP="00093696">
            <w:pPr>
              <w:rPr>
                <w:rFonts w:cs="FrankRuehl"/>
                <w:sz w:val="28"/>
                <w:szCs w:val="28"/>
                <w:rtl/>
              </w:rPr>
            </w:pPr>
            <w:r w:rsidRPr="00093696">
              <w:rPr>
                <w:rFonts w:cs="FrankRuehl"/>
                <w:sz w:val="28"/>
                <w:szCs w:val="28"/>
                <w:rtl/>
              </w:rPr>
              <w:t>ת"פ</w:t>
            </w:r>
            <w:r w:rsidRPr="00093696">
              <w:rPr>
                <w:rFonts w:cs="FrankRuehl" w:hint="cs"/>
                <w:sz w:val="28"/>
                <w:szCs w:val="28"/>
                <w:rtl/>
              </w:rPr>
              <w:t xml:space="preserve"> </w:t>
            </w:r>
            <w:r w:rsidRPr="00093696">
              <w:rPr>
                <w:rFonts w:cs="FrankRuehl"/>
                <w:sz w:val="28"/>
                <w:szCs w:val="28"/>
                <w:rtl/>
              </w:rPr>
              <w:t>12493-11-15</w:t>
            </w:r>
            <w:r w:rsidRPr="00093696">
              <w:rPr>
                <w:rFonts w:cs="FrankRuehl" w:hint="cs"/>
                <w:sz w:val="28"/>
                <w:szCs w:val="28"/>
                <w:rtl/>
              </w:rPr>
              <w:t xml:space="preserve"> </w:t>
            </w:r>
            <w:r w:rsidRPr="00093696">
              <w:rPr>
                <w:rFonts w:cs="FrankRuehl"/>
                <w:sz w:val="28"/>
                <w:szCs w:val="28"/>
                <w:rtl/>
              </w:rPr>
              <w:t>מדינת ישראל נ' דדון(עציר) ואח'</w:t>
            </w:r>
          </w:p>
          <w:p w14:paraId="36DA8FF8" w14:textId="77777777" w:rsidR="005E60C5" w:rsidRPr="00093696" w:rsidRDefault="005E60C5" w:rsidP="00093696">
            <w:pPr>
              <w:pStyle w:val="a3"/>
              <w:rPr>
                <w:rFonts w:cs="FrankRuehl"/>
                <w:sz w:val="28"/>
                <w:szCs w:val="28"/>
                <w:rtl/>
              </w:rPr>
            </w:pPr>
          </w:p>
        </w:tc>
        <w:tc>
          <w:tcPr>
            <w:tcW w:w="3664" w:type="dxa"/>
          </w:tcPr>
          <w:p w14:paraId="79D1E58C" w14:textId="77777777" w:rsidR="005E60C5" w:rsidRPr="00093696" w:rsidRDefault="005E60C5" w:rsidP="00093696">
            <w:pPr>
              <w:pStyle w:val="a3"/>
              <w:jc w:val="right"/>
              <w:rPr>
                <w:rFonts w:cs="FrankRuehl"/>
                <w:sz w:val="28"/>
                <w:szCs w:val="28"/>
                <w:rtl/>
              </w:rPr>
            </w:pPr>
          </w:p>
        </w:tc>
      </w:tr>
    </w:tbl>
    <w:p w14:paraId="767EEB0A" w14:textId="77777777" w:rsidR="005E60C5" w:rsidRPr="00093696" w:rsidRDefault="005E60C5" w:rsidP="005E60C5">
      <w:pPr>
        <w:pStyle w:val="a3"/>
        <w:rPr>
          <w:sz w:val="2"/>
          <w:szCs w:val="2"/>
          <w:rtl/>
        </w:rPr>
      </w:pPr>
      <w:r w:rsidRPr="00093696">
        <w:rPr>
          <w:rFonts w:hint="cs"/>
          <w:rtl/>
        </w:rPr>
        <w:t xml:space="preserve"> </w:t>
      </w:r>
    </w:p>
    <w:p w14:paraId="7E0BD6F7" w14:textId="77777777" w:rsidR="005E60C5" w:rsidRPr="00093696" w:rsidRDefault="005E60C5" w:rsidP="005E60C5">
      <w:pPr>
        <w:spacing w:line="360" w:lineRule="auto"/>
        <w:rPr>
          <w:rFonts w:cs="FrankRuehl"/>
          <w:sz w:val="2"/>
          <w:szCs w:val="2"/>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E60C5" w:rsidRPr="00093696" w14:paraId="700EF6E2" w14:textId="77777777" w:rsidTr="00093696">
        <w:trPr>
          <w:trHeight w:val="295"/>
          <w:jc w:val="center"/>
        </w:trPr>
        <w:tc>
          <w:tcPr>
            <w:tcW w:w="923" w:type="dxa"/>
            <w:tcBorders>
              <w:top w:val="nil"/>
              <w:left w:val="nil"/>
              <w:bottom w:val="nil"/>
              <w:right w:val="nil"/>
            </w:tcBorders>
            <w:shd w:val="clear" w:color="auto" w:fill="auto"/>
          </w:tcPr>
          <w:p w14:paraId="2742B725" w14:textId="77777777" w:rsidR="005E60C5" w:rsidRPr="00093696" w:rsidRDefault="005E60C5" w:rsidP="00093696">
            <w:pPr>
              <w:spacing w:line="360" w:lineRule="auto"/>
              <w:rPr>
                <w:rFonts w:ascii="Arial" w:hAnsi="Arial" w:cs="FrankRuehl"/>
                <w:sz w:val="28"/>
                <w:szCs w:val="28"/>
              </w:rPr>
            </w:pPr>
            <w:r w:rsidRPr="00093696">
              <w:rPr>
                <w:rFonts w:ascii="Arial" w:hAnsi="Arial" w:cs="FrankRuehl" w:hint="cs"/>
                <w:sz w:val="28"/>
                <w:szCs w:val="28"/>
                <w:rtl/>
              </w:rPr>
              <w:t>ב</w:t>
            </w:r>
            <w:r w:rsidRPr="00093696">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578D232" w14:textId="77777777" w:rsidR="005E60C5" w:rsidRPr="00093696" w:rsidRDefault="005E60C5" w:rsidP="00093696">
            <w:pPr>
              <w:spacing w:line="360" w:lineRule="auto"/>
              <w:rPr>
                <w:rFonts w:ascii="Arial" w:hAnsi="Arial" w:cs="FrankRuehl"/>
                <w:b/>
                <w:bCs/>
                <w:sz w:val="28"/>
                <w:szCs w:val="28"/>
                <w:rtl/>
              </w:rPr>
            </w:pPr>
            <w:r w:rsidRPr="00093696">
              <w:rPr>
                <w:rFonts w:ascii="Arial" w:hAnsi="Arial" w:cs="FrankRuehl" w:hint="cs"/>
                <w:b/>
                <w:bCs/>
                <w:sz w:val="28"/>
                <w:szCs w:val="28"/>
                <w:rtl/>
              </w:rPr>
              <w:t>כבוד ה</w:t>
            </w:r>
            <w:r w:rsidRPr="00093696">
              <w:rPr>
                <w:rFonts w:cs="FrankRuehl"/>
                <w:sz w:val="28"/>
                <w:szCs w:val="28"/>
                <w:rtl/>
              </w:rPr>
              <w:t>שופטת</w:t>
            </w:r>
            <w:r w:rsidRPr="00093696">
              <w:rPr>
                <w:rFonts w:ascii="Arial" w:hAnsi="Arial" w:cs="FrankRuehl" w:hint="cs"/>
                <w:b/>
                <w:bCs/>
                <w:sz w:val="28"/>
                <w:szCs w:val="28"/>
                <w:rtl/>
              </w:rPr>
              <w:t xml:space="preserve">  </w:t>
            </w:r>
            <w:r w:rsidRPr="00093696">
              <w:rPr>
                <w:rFonts w:cs="FrankRuehl"/>
                <w:sz w:val="28"/>
                <w:szCs w:val="28"/>
                <w:rtl/>
              </w:rPr>
              <w:t>מיכל ברנט</w:t>
            </w:r>
          </w:p>
          <w:p w14:paraId="47249424" w14:textId="77777777" w:rsidR="005E60C5" w:rsidRPr="00093696" w:rsidRDefault="005E60C5" w:rsidP="00093696">
            <w:pPr>
              <w:spacing w:line="360" w:lineRule="auto"/>
              <w:ind w:firstLine="720"/>
              <w:rPr>
                <w:rFonts w:cs="FrankRuehl"/>
                <w:sz w:val="2"/>
                <w:szCs w:val="2"/>
                <w:rtl/>
              </w:rPr>
            </w:pPr>
          </w:p>
          <w:p w14:paraId="615409F5" w14:textId="77777777" w:rsidR="005E60C5" w:rsidRPr="00093696" w:rsidRDefault="005E60C5" w:rsidP="00093696">
            <w:pPr>
              <w:spacing w:line="360" w:lineRule="auto"/>
              <w:rPr>
                <w:rFonts w:ascii="Arial" w:hAnsi="Arial" w:cs="FrankRuehl"/>
                <w:sz w:val="2"/>
                <w:szCs w:val="2"/>
              </w:rPr>
            </w:pPr>
          </w:p>
        </w:tc>
      </w:tr>
      <w:tr w:rsidR="005E60C5" w:rsidRPr="00093696" w14:paraId="2D09321C" w14:textId="77777777" w:rsidTr="00093696">
        <w:trPr>
          <w:trHeight w:val="295"/>
          <w:jc w:val="center"/>
        </w:trPr>
        <w:tc>
          <w:tcPr>
            <w:tcW w:w="923" w:type="dxa"/>
            <w:tcBorders>
              <w:top w:val="nil"/>
              <w:left w:val="nil"/>
              <w:bottom w:val="nil"/>
              <w:right w:val="nil"/>
            </w:tcBorders>
            <w:shd w:val="clear" w:color="auto" w:fill="auto"/>
          </w:tcPr>
          <w:p w14:paraId="0922381D" w14:textId="77777777" w:rsidR="005E60C5" w:rsidRPr="00093696" w:rsidRDefault="005E60C5" w:rsidP="00093696">
            <w:pPr>
              <w:spacing w:line="360" w:lineRule="auto"/>
              <w:rPr>
                <w:rFonts w:ascii="Arial" w:hAnsi="Arial" w:cs="FrankRuehl"/>
                <w:sz w:val="2"/>
                <w:szCs w:val="2"/>
                <w:rtl/>
              </w:rPr>
            </w:pPr>
          </w:p>
        </w:tc>
        <w:tc>
          <w:tcPr>
            <w:tcW w:w="7897" w:type="dxa"/>
            <w:gridSpan w:val="2"/>
            <w:tcBorders>
              <w:top w:val="nil"/>
              <w:left w:val="nil"/>
              <w:bottom w:val="nil"/>
              <w:right w:val="nil"/>
            </w:tcBorders>
            <w:shd w:val="clear" w:color="auto" w:fill="auto"/>
          </w:tcPr>
          <w:p w14:paraId="00CF5554" w14:textId="77777777" w:rsidR="005E60C5" w:rsidRPr="00093696" w:rsidRDefault="005E60C5" w:rsidP="00093696">
            <w:pPr>
              <w:spacing w:line="360" w:lineRule="auto"/>
              <w:rPr>
                <w:rFonts w:ascii="Arial" w:hAnsi="Arial" w:cs="FrankRuehl"/>
                <w:b/>
                <w:bCs/>
                <w:sz w:val="2"/>
                <w:szCs w:val="2"/>
                <w:rtl/>
              </w:rPr>
            </w:pPr>
          </w:p>
        </w:tc>
      </w:tr>
      <w:tr w:rsidR="005E60C5" w:rsidRPr="00093696" w14:paraId="58C3948D" w14:textId="77777777" w:rsidTr="00093696">
        <w:trPr>
          <w:trHeight w:val="355"/>
          <w:jc w:val="center"/>
        </w:trPr>
        <w:tc>
          <w:tcPr>
            <w:tcW w:w="923" w:type="dxa"/>
            <w:tcBorders>
              <w:top w:val="nil"/>
              <w:left w:val="nil"/>
              <w:bottom w:val="nil"/>
              <w:right w:val="nil"/>
            </w:tcBorders>
            <w:shd w:val="clear" w:color="auto" w:fill="auto"/>
          </w:tcPr>
          <w:p w14:paraId="54D437A9" w14:textId="77777777" w:rsidR="005E60C5" w:rsidRPr="00093696" w:rsidRDefault="005E60C5" w:rsidP="00093696">
            <w:pPr>
              <w:spacing w:line="360" w:lineRule="auto"/>
              <w:rPr>
                <w:rFonts w:ascii="Arial" w:hAnsi="Arial" w:cs="FrankRuehl"/>
                <w:b/>
                <w:bCs/>
                <w:sz w:val="28"/>
                <w:szCs w:val="28"/>
              </w:rPr>
            </w:pPr>
            <w:bookmarkStart w:id="1" w:name="FirstAppellant"/>
            <w:r w:rsidRPr="00093696">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C682B6A" w14:textId="77777777" w:rsidR="005E60C5" w:rsidRPr="00093696" w:rsidRDefault="005E60C5" w:rsidP="00093696">
            <w:pPr>
              <w:spacing w:line="360" w:lineRule="auto"/>
              <w:rPr>
                <w:rFonts w:cs="FrankRuehl"/>
                <w:b/>
                <w:bCs/>
                <w:sz w:val="28"/>
                <w:szCs w:val="28"/>
              </w:rPr>
            </w:pPr>
            <w:r w:rsidRPr="00093696">
              <w:rPr>
                <w:rFonts w:cs="FrankRuehl"/>
                <w:b/>
                <w:bCs/>
                <w:sz w:val="28"/>
                <w:szCs w:val="28"/>
                <w:rtl/>
              </w:rPr>
              <w:t>מדינת ישראל</w:t>
            </w:r>
          </w:p>
        </w:tc>
        <w:tc>
          <w:tcPr>
            <w:tcW w:w="3771" w:type="dxa"/>
            <w:tcBorders>
              <w:top w:val="nil"/>
              <w:left w:val="nil"/>
              <w:bottom w:val="nil"/>
              <w:right w:val="nil"/>
            </w:tcBorders>
            <w:shd w:val="clear" w:color="auto" w:fill="auto"/>
          </w:tcPr>
          <w:p w14:paraId="735681EF" w14:textId="77777777" w:rsidR="005E60C5" w:rsidRPr="00093696" w:rsidRDefault="005E60C5" w:rsidP="00093696">
            <w:pPr>
              <w:spacing w:line="360" w:lineRule="auto"/>
              <w:rPr>
                <w:rFonts w:ascii="Arial" w:hAnsi="Arial" w:cs="FrankRuehl"/>
                <w:b/>
                <w:bCs/>
                <w:sz w:val="12"/>
                <w:szCs w:val="12"/>
              </w:rPr>
            </w:pPr>
          </w:p>
        </w:tc>
      </w:tr>
      <w:bookmarkEnd w:id="1"/>
      <w:tr w:rsidR="005E60C5" w:rsidRPr="00093696" w14:paraId="75287A27" w14:textId="77777777" w:rsidTr="00093696">
        <w:trPr>
          <w:trHeight w:val="355"/>
          <w:jc w:val="center"/>
        </w:trPr>
        <w:tc>
          <w:tcPr>
            <w:tcW w:w="923" w:type="dxa"/>
            <w:tcBorders>
              <w:top w:val="nil"/>
              <w:left w:val="nil"/>
              <w:bottom w:val="nil"/>
              <w:right w:val="nil"/>
            </w:tcBorders>
            <w:shd w:val="clear" w:color="auto" w:fill="auto"/>
          </w:tcPr>
          <w:p w14:paraId="6226C042" w14:textId="77777777" w:rsidR="005E60C5" w:rsidRPr="00093696" w:rsidRDefault="005E60C5" w:rsidP="00093696">
            <w:pPr>
              <w:spacing w:line="360"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03AA986B" w14:textId="77777777" w:rsidR="005E60C5" w:rsidRPr="00093696" w:rsidRDefault="005E60C5" w:rsidP="00093696">
            <w:pPr>
              <w:spacing w:line="360" w:lineRule="auto"/>
              <w:rPr>
                <w:rFonts w:cs="FrankRuehl"/>
                <w:b/>
                <w:bCs/>
                <w:sz w:val="28"/>
                <w:szCs w:val="28"/>
                <w:rtl/>
              </w:rPr>
            </w:pPr>
          </w:p>
        </w:tc>
        <w:tc>
          <w:tcPr>
            <w:tcW w:w="3771" w:type="dxa"/>
            <w:tcBorders>
              <w:top w:val="nil"/>
              <w:left w:val="nil"/>
              <w:bottom w:val="nil"/>
              <w:right w:val="nil"/>
            </w:tcBorders>
            <w:shd w:val="clear" w:color="auto" w:fill="auto"/>
          </w:tcPr>
          <w:p w14:paraId="42A5FEB0" w14:textId="77777777" w:rsidR="005E60C5" w:rsidRPr="00093696" w:rsidRDefault="005E60C5" w:rsidP="00093696">
            <w:pPr>
              <w:spacing w:line="360" w:lineRule="auto"/>
              <w:jc w:val="right"/>
              <w:rPr>
                <w:rFonts w:ascii="Arial" w:hAnsi="Arial" w:cs="FrankRuehl"/>
                <w:b/>
                <w:bCs/>
                <w:sz w:val="28"/>
                <w:szCs w:val="28"/>
                <w:rtl/>
              </w:rPr>
            </w:pPr>
            <w:r w:rsidRPr="00093696">
              <w:rPr>
                <w:rFonts w:ascii="Arial" w:hAnsi="Arial" w:cs="FrankRuehl" w:hint="cs"/>
                <w:b/>
                <w:bCs/>
                <w:sz w:val="28"/>
                <w:szCs w:val="28"/>
                <w:rtl/>
              </w:rPr>
              <w:t>ה</w:t>
            </w:r>
            <w:r w:rsidRPr="00093696">
              <w:rPr>
                <w:rFonts w:cs="FrankRuehl"/>
                <w:b/>
                <w:bCs/>
                <w:sz w:val="28"/>
                <w:szCs w:val="28"/>
                <w:rtl/>
              </w:rPr>
              <w:t>מאשימה</w:t>
            </w:r>
          </w:p>
        </w:tc>
      </w:tr>
      <w:tr w:rsidR="005E60C5" w:rsidRPr="00093696" w14:paraId="3F491A88" w14:textId="77777777" w:rsidTr="00093696">
        <w:trPr>
          <w:trHeight w:val="355"/>
          <w:jc w:val="center"/>
        </w:trPr>
        <w:tc>
          <w:tcPr>
            <w:tcW w:w="923" w:type="dxa"/>
            <w:tcBorders>
              <w:top w:val="nil"/>
              <w:left w:val="nil"/>
              <w:bottom w:val="nil"/>
              <w:right w:val="nil"/>
            </w:tcBorders>
            <w:shd w:val="clear" w:color="auto" w:fill="auto"/>
          </w:tcPr>
          <w:p w14:paraId="2CE330AA" w14:textId="77777777" w:rsidR="005E60C5" w:rsidRPr="00093696" w:rsidRDefault="005E60C5" w:rsidP="00093696">
            <w:pPr>
              <w:spacing w:line="360" w:lineRule="auto"/>
              <w:rPr>
                <w:rFonts w:ascii="Arial" w:hAnsi="Arial" w:cs="FrankRuehl"/>
                <w:b/>
                <w:bCs/>
                <w:sz w:val="2"/>
                <w:szCs w:val="2"/>
                <w:rtl/>
              </w:rPr>
            </w:pPr>
          </w:p>
        </w:tc>
        <w:tc>
          <w:tcPr>
            <w:tcW w:w="7897" w:type="dxa"/>
            <w:gridSpan w:val="2"/>
            <w:tcBorders>
              <w:top w:val="nil"/>
              <w:left w:val="nil"/>
              <w:bottom w:val="nil"/>
              <w:right w:val="nil"/>
            </w:tcBorders>
            <w:shd w:val="clear" w:color="auto" w:fill="auto"/>
          </w:tcPr>
          <w:p w14:paraId="22CEC566" w14:textId="77777777" w:rsidR="005E60C5" w:rsidRPr="00093696" w:rsidRDefault="005E60C5" w:rsidP="00093696">
            <w:pPr>
              <w:spacing w:line="360" w:lineRule="auto"/>
              <w:jc w:val="center"/>
              <w:rPr>
                <w:rFonts w:ascii="Arial" w:hAnsi="Arial" w:cs="FrankRuehl"/>
                <w:b/>
                <w:bCs/>
                <w:sz w:val="2"/>
                <w:szCs w:val="2"/>
                <w:rtl/>
              </w:rPr>
            </w:pPr>
          </w:p>
          <w:p w14:paraId="71779326" w14:textId="77777777" w:rsidR="005E60C5" w:rsidRPr="00093696" w:rsidRDefault="005E60C5" w:rsidP="00093696">
            <w:pPr>
              <w:spacing w:line="360" w:lineRule="auto"/>
              <w:jc w:val="center"/>
              <w:rPr>
                <w:rFonts w:ascii="Arial" w:hAnsi="Arial" w:cs="FrankRuehl"/>
                <w:b/>
                <w:bCs/>
                <w:sz w:val="28"/>
                <w:szCs w:val="28"/>
                <w:rtl/>
              </w:rPr>
            </w:pPr>
            <w:r w:rsidRPr="00093696">
              <w:rPr>
                <w:rFonts w:ascii="Arial" w:hAnsi="Arial" w:cs="FrankRuehl"/>
                <w:b/>
                <w:bCs/>
                <w:sz w:val="28"/>
                <w:szCs w:val="28"/>
                <w:rtl/>
              </w:rPr>
              <w:t>נגד</w:t>
            </w:r>
          </w:p>
          <w:p w14:paraId="13550262" w14:textId="77777777" w:rsidR="005E60C5" w:rsidRPr="00093696" w:rsidRDefault="005E60C5" w:rsidP="00093696">
            <w:pPr>
              <w:spacing w:line="360" w:lineRule="auto"/>
              <w:rPr>
                <w:rFonts w:ascii="Arial" w:hAnsi="Arial" w:cs="FrankRuehl"/>
                <w:b/>
                <w:bCs/>
                <w:sz w:val="2"/>
                <w:szCs w:val="2"/>
              </w:rPr>
            </w:pPr>
          </w:p>
        </w:tc>
      </w:tr>
      <w:tr w:rsidR="005E60C5" w:rsidRPr="00093696" w14:paraId="65CC540A" w14:textId="77777777" w:rsidTr="00093696">
        <w:trPr>
          <w:trHeight w:val="355"/>
          <w:jc w:val="center"/>
        </w:trPr>
        <w:tc>
          <w:tcPr>
            <w:tcW w:w="923" w:type="dxa"/>
            <w:tcBorders>
              <w:top w:val="nil"/>
              <w:left w:val="nil"/>
              <w:bottom w:val="nil"/>
              <w:right w:val="nil"/>
            </w:tcBorders>
            <w:shd w:val="clear" w:color="auto" w:fill="auto"/>
          </w:tcPr>
          <w:p w14:paraId="728B9E55" w14:textId="77777777" w:rsidR="005E60C5" w:rsidRPr="00093696" w:rsidRDefault="005E60C5" w:rsidP="00093696">
            <w:pPr>
              <w:spacing w:line="360"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7146154B" w14:textId="77777777" w:rsidR="005E60C5" w:rsidRPr="00093696" w:rsidRDefault="005E60C5" w:rsidP="00093696">
            <w:pPr>
              <w:spacing w:line="360" w:lineRule="auto"/>
              <w:rPr>
                <w:rFonts w:cs="FrankRuehl"/>
                <w:b/>
                <w:bCs/>
                <w:sz w:val="28"/>
                <w:szCs w:val="28"/>
                <w:rtl/>
              </w:rPr>
            </w:pPr>
            <w:r w:rsidRPr="00093696">
              <w:rPr>
                <w:rFonts w:cs="FrankRuehl"/>
                <w:b/>
                <w:bCs/>
                <w:sz w:val="28"/>
                <w:szCs w:val="28"/>
                <w:rtl/>
              </w:rPr>
              <w:t>1</w:t>
            </w:r>
            <w:r w:rsidRPr="00093696">
              <w:rPr>
                <w:rFonts w:ascii="Arial" w:hAnsi="Arial" w:cs="FrankRuehl" w:hint="cs"/>
                <w:b/>
                <w:bCs/>
                <w:sz w:val="28"/>
                <w:szCs w:val="28"/>
                <w:rtl/>
              </w:rPr>
              <w:t>.</w:t>
            </w:r>
            <w:r w:rsidRPr="00093696">
              <w:rPr>
                <w:rFonts w:cs="FrankRuehl"/>
                <w:b/>
                <w:bCs/>
                <w:sz w:val="28"/>
                <w:szCs w:val="28"/>
                <w:rtl/>
              </w:rPr>
              <w:t>נתנאל דדון (עציר)</w:t>
            </w:r>
          </w:p>
          <w:p w14:paraId="28ABC62C" w14:textId="77777777" w:rsidR="005E60C5" w:rsidRPr="00093696" w:rsidRDefault="005E60C5" w:rsidP="00093696">
            <w:pPr>
              <w:spacing w:line="360" w:lineRule="auto"/>
              <w:rPr>
                <w:rFonts w:cs="FrankRuehl"/>
                <w:b/>
                <w:bCs/>
                <w:sz w:val="28"/>
                <w:szCs w:val="28"/>
                <w:rtl/>
              </w:rPr>
            </w:pPr>
            <w:r w:rsidRPr="00093696">
              <w:rPr>
                <w:rFonts w:cs="FrankRuehl"/>
                <w:b/>
                <w:bCs/>
                <w:sz w:val="28"/>
                <w:szCs w:val="28"/>
                <w:rtl/>
              </w:rPr>
              <w:t>2</w:t>
            </w:r>
            <w:r w:rsidRPr="00093696">
              <w:rPr>
                <w:rFonts w:ascii="Arial" w:hAnsi="Arial" w:cs="FrankRuehl" w:hint="cs"/>
                <w:b/>
                <w:bCs/>
                <w:sz w:val="28"/>
                <w:szCs w:val="28"/>
                <w:rtl/>
              </w:rPr>
              <w:t>.</w:t>
            </w:r>
            <w:r w:rsidRPr="00093696">
              <w:rPr>
                <w:rFonts w:cs="FrankRuehl"/>
                <w:b/>
                <w:bCs/>
                <w:sz w:val="28"/>
                <w:szCs w:val="28"/>
                <w:rtl/>
              </w:rPr>
              <w:t>שלומי מועלם (עצור בפיקוח)</w:t>
            </w:r>
          </w:p>
          <w:p w14:paraId="60DE5D6D" w14:textId="77777777" w:rsidR="005E60C5" w:rsidRPr="00093696" w:rsidRDefault="005E60C5" w:rsidP="00093696">
            <w:pPr>
              <w:spacing w:line="360" w:lineRule="auto"/>
              <w:rPr>
                <w:rFonts w:cs="FrankRuehl"/>
                <w:b/>
                <w:bCs/>
                <w:sz w:val="28"/>
                <w:szCs w:val="28"/>
                <w:rtl/>
              </w:rPr>
            </w:pPr>
            <w:r w:rsidRPr="00093696">
              <w:rPr>
                <w:rFonts w:cs="FrankRuehl"/>
                <w:b/>
                <w:bCs/>
                <w:sz w:val="28"/>
                <w:szCs w:val="28"/>
                <w:rtl/>
              </w:rPr>
              <w:t>3</w:t>
            </w:r>
            <w:r w:rsidRPr="00093696">
              <w:rPr>
                <w:rFonts w:ascii="Arial" w:hAnsi="Arial" w:cs="FrankRuehl" w:hint="cs"/>
                <w:b/>
                <w:bCs/>
                <w:sz w:val="28"/>
                <w:szCs w:val="28"/>
                <w:rtl/>
              </w:rPr>
              <w:t>.</w:t>
            </w:r>
            <w:r w:rsidRPr="00093696">
              <w:rPr>
                <w:rFonts w:cs="FrankRuehl"/>
                <w:b/>
                <w:bCs/>
                <w:sz w:val="28"/>
                <w:szCs w:val="28"/>
                <w:rtl/>
              </w:rPr>
              <w:t>לירן אלחייק (עצור בפיקוח)</w:t>
            </w:r>
          </w:p>
        </w:tc>
        <w:tc>
          <w:tcPr>
            <w:tcW w:w="3771" w:type="dxa"/>
            <w:tcBorders>
              <w:top w:val="nil"/>
              <w:left w:val="nil"/>
              <w:bottom w:val="nil"/>
              <w:right w:val="nil"/>
            </w:tcBorders>
            <w:shd w:val="clear" w:color="auto" w:fill="auto"/>
          </w:tcPr>
          <w:p w14:paraId="4DB2F776" w14:textId="77777777" w:rsidR="005E60C5" w:rsidRPr="00093696" w:rsidRDefault="005E60C5" w:rsidP="00093696">
            <w:pPr>
              <w:bidi w:val="0"/>
              <w:spacing w:line="360" w:lineRule="auto"/>
              <w:jc w:val="right"/>
              <w:rPr>
                <w:rFonts w:ascii="Arial" w:hAnsi="Arial" w:cs="FrankRuehl"/>
                <w:b/>
                <w:bCs/>
                <w:sz w:val="28"/>
                <w:szCs w:val="28"/>
              </w:rPr>
            </w:pPr>
          </w:p>
        </w:tc>
      </w:tr>
      <w:tr w:rsidR="005E60C5" w:rsidRPr="00093696" w14:paraId="596CCEE8" w14:textId="77777777" w:rsidTr="00093696">
        <w:trPr>
          <w:trHeight w:val="355"/>
          <w:jc w:val="center"/>
        </w:trPr>
        <w:tc>
          <w:tcPr>
            <w:tcW w:w="923" w:type="dxa"/>
            <w:tcBorders>
              <w:top w:val="nil"/>
              <w:left w:val="nil"/>
              <w:bottom w:val="nil"/>
              <w:right w:val="nil"/>
            </w:tcBorders>
            <w:shd w:val="clear" w:color="auto" w:fill="auto"/>
          </w:tcPr>
          <w:p w14:paraId="6AC0EC3B" w14:textId="77777777" w:rsidR="005E60C5" w:rsidRPr="00093696" w:rsidRDefault="005E60C5" w:rsidP="00093696">
            <w:pPr>
              <w:spacing w:line="360" w:lineRule="auto"/>
              <w:rPr>
                <w:rFonts w:ascii="Arial" w:hAnsi="Arial" w:cs="FrankRuehl"/>
                <w:b/>
                <w:bCs/>
                <w:sz w:val="28"/>
                <w:szCs w:val="28"/>
                <w:rtl/>
              </w:rPr>
            </w:pPr>
          </w:p>
        </w:tc>
        <w:tc>
          <w:tcPr>
            <w:tcW w:w="4126" w:type="dxa"/>
            <w:tcBorders>
              <w:top w:val="nil"/>
              <w:left w:val="nil"/>
              <w:bottom w:val="nil"/>
              <w:right w:val="nil"/>
            </w:tcBorders>
            <w:shd w:val="clear" w:color="auto" w:fill="auto"/>
          </w:tcPr>
          <w:p w14:paraId="06338328" w14:textId="77777777" w:rsidR="005E60C5" w:rsidRPr="00093696" w:rsidRDefault="005E60C5" w:rsidP="00093696">
            <w:pPr>
              <w:spacing w:line="360" w:lineRule="auto"/>
              <w:rPr>
                <w:rFonts w:cs="FrankRuehl"/>
                <w:b/>
                <w:bCs/>
                <w:sz w:val="12"/>
                <w:szCs w:val="12"/>
                <w:rtl/>
              </w:rPr>
            </w:pPr>
          </w:p>
        </w:tc>
        <w:tc>
          <w:tcPr>
            <w:tcW w:w="3771" w:type="dxa"/>
            <w:tcBorders>
              <w:top w:val="nil"/>
              <w:left w:val="nil"/>
              <w:bottom w:val="nil"/>
              <w:right w:val="nil"/>
            </w:tcBorders>
            <w:shd w:val="clear" w:color="auto" w:fill="auto"/>
          </w:tcPr>
          <w:p w14:paraId="013B4258" w14:textId="77777777" w:rsidR="005E60C5" w:rsidRPr="00093696" w:rsidRDefault="005E60C5" w:rsidP="00093696">
            <w:pPr>
              <w:spacing w:line="360" w:lineRule="auto"/>
              <w:jc w:val="right"/>
              <w:rPr>
                <w:rFonts w:ascii="Arial" w:hAnsi="Arial" w:cs="FrankRuehl"/>
                <w:b/>
                <w:bCs/>
                <w:sz w:val="28"/>
                <w:szCs w:val="28"/>
              </w:rPr>
            </w:pPr>
            <w:r w:rsidRPr="00093696">
              <w:rPr>
                <w:rFonts w:ascii="Arial" w:hAnsi="Arial" w:cs="FrankRuehl" w:hint="cs"/>
                <w:b/>
                <w:bCs/>
                <w:sz w:val="28"/>
                <w:szCs w:val="28"/>
                <w:rtl/>
              </w:rPr>
              <w:t>ה</w:t>
            </w:r>
            <w:r w:rsidRPr="00093696">
              <w:rPr>
                <w:rFonts w:cs="FrankRuehl"/>
                <w:b/>
                <w:bCs/>
                <w:sz w:val="28"/>
                <w:szCs w:val="28"/>
                <w:rtl/>
              </w:rPr>
              <w:t>נאשמים</w:t>
            </w:r>
          </w:p>
        </w:tc>
      </w:tr>
    </w:tbl>
    <w:p w14:paraId="3E4A892D" w14:textId="77777777" w:rsidR="008C59BE" w:rsidRPr="008C59BE" w:rsidRDefault="008C59BE" w:rsidP="008C59BE">
      <w:pPr>
        <w:spacing w:after="120" w:line="240" w:lineRule="exact"/>
        <w:ind w:left="283" w:hanging="283"/>
        <w:rPr>
          <w:rFonts w:ascii="FrankRuehl" w:hAnsi="FrankRuehl" w:cs="FrankRuehl"/>
          <w:sz w:val="24"/>
          <w:szCs w:val="24"/>
          <w:rtl/>
        </w:rPr>
      </w:pPr>
      <w:bookmarkStart w:id="2" w:name="LawTable"/>
      <w:bookmarkEnd w:id="2"/>
      <w:r w:rsidRPr="008C59BE">
        <w:rPr>
          <w:rFonts w:ascii="FrankRuehl" w:hAnsi="FrankRuehl" w:cs="FrankRuehl" w:hint="eastAsia"/>
          <w:sz w:val="24"/>
          <w:szCs w:val="24"/>
          <w:rtl/>
        </w:rPr>
        <w:t>חקיקה</w:t>
      </w:r>
      <w:r w:rsidRPr="008C59BE">
        <w:rPr>
          <w:rFonts w:ascii="FrankRuehl" w:hAnsi="FrankRuehl" w:cs="FrankRuehl"/>
          <w:sz w:val="24"/>
          <w:szCs w:val="24"/>
          <w:rtl/>
        </w:rPr>
        <w:t xml:space="preserve"> </w:t>
      </w:r>
      <w:r w:rsidRPr="008C59BE">
        <w:rPr>
          <w:rFonts w:ascii="FrankRuehl" w:hAnsi="FrankRuehl" w:cs="FrankRuehl" w:hint="eastAsia"/>
          <w:sz w:val="24"/>
          <w:szCs w:val="24"/>
          <w:rtl/>
        </w:rPr>
        <w:t>שאוזכרה</w:t>
      </w:r>
      <w:r w:rsidRPr="008C59BE">
        <w:rPr>
          <w:rFonts w:ascii="FrankRuehl" w:hAnsi="FrankRuehl" w:cs="FrankRuehl"/>
          <w:sz w:val="24"/>
          <w:szCs w:val="24"/>
          <w:rtl/>
        </w:rPr>
        <w:t xml:space="preserve">: </w:t>
      </w:r>
    </w:p>
    <w:p w14:paraId="4C7D620E" w14:textId="77777777" w:rsidR="008C59BE" w:rsidRPr="008C59BE" w:rsidRDefault="008C59BE" w:rsidP="008C59BE">
      <w:pPr>
        <w:spacing w:after="120" w:line="240" w:lineRule="exact"/>
        <w:ind w:left="283" w:hanging="283"/>
        <w:rPr>
          <w:rFonts w:ascii="FrankRuehl" w:hAnsi="FrankRuehl" w:cs="FrankRuehl"/>
          <w:sz w:val="24"/>
          <w:szCs w:val="24"/>
          <w:rtl/>
        </w:rPr>
      </w:pPr>
      <w:hyperlink r:id="rId6" w:history="1">
        <w:r w:rsidRPr="008C59BE">
          <w:rPr>
            <w:rFonts w:ascii="FrankRuehl" w:hAnsi="FrankRuehl" w:cs="FrankRuehl" w:hint="eastAsia"/>
            <w:color w:val="0000FF"/>
            <w:sz w:val="24"/>
            <w:szCs w:val="24"/>
            <w:u w:val="single"/>
            <w:rtl/>
          </w:rPr>
          <w:t>חוק</w:t>
        </w:r>
        <w:r w:rsidRPr="008C59BE">
          <w:rPr>
            <w:rFonts w:ascii="FrankRuehl" w:hAnsi="FrankRuehl" w:cs="FrankRuehl"/>
            <w:color w:val="0000FF"/>
            <w:sz w:val="24"/>
            <w:szCs w:val="24"/>
            <w:u w:val="single"/>
            <w:rtl/>
          </w:rPr>
          <w:t xml:space="preserve"> </w:t>
        </w:r>
        <w:r w:rsidRPr="008C59BE">
          <w:rPr>
            <w:rFonts w:ascii="FrankRuehl" w:hAnsi="FrankRuehl" w:cs="FrankRuehl" w:hint="eastAsia"/>
            <w:color w:val="0000FF"/>
            <w:sz w:val="24"/>
            <w:szCs w:val="24"/>
            <w:u w:val="single"/>
            <w:rtl/>
          </w:rPr>
          <w:t>העונשין</w:t>
        </w:r>
        <w:r w:rsidRPr="008C59BE">
          <w:rPr>
            <w:rFonts w:ascii="FrankRuehl" w:hAnsi="FrankRuehl" w:cs="FrankRuehl"/>
            <w:color w:val="0000FF"/>
            <w:sz w:val="24"/>
            <w:szCs w:val="24"/>
            <w:u w:val="single"/>
            <w:rtl/>
          </w:rPr>
          <w:t xml:space="preserve">, </w:t>
        </w:r>
        <w:r w:rsidRPr="008C59BE">
          <w:rPr>
            <w:rFonts w:ascii="FrankRuehl" w:hAnsi="FrankRuehl" w:cs="FrankRuehl" w:hint="eastAsia"/>
            <w:color w:val="0000FF"/>
            <w:sz w:val="24"/>
            <w:szCs w:val="24"/>
            <w:u w:val="single"/>
            <w:rtl/>
          </w:rPr>
          <w:t>תשל</w:t>
        </w:r>
        <w:r w:rsidRPr="008C59BE">
          <w:rPr>
            <w:rFonts w:ascii="FrankRuehl" w:hAnsi="FrankRuehl" w:cs="FrankRuehl"/>
            <w:color w:val="0000FF"/>
            <w:sz w:val="24"/>
            <w:szCs w:val="24"/>
            <w:u w:val="single"/>
            <w:rtl/>
          </w:rPr>
          <w:t>"</w:t>
        </w:r>
        <w:r w:rsidRPr="008C59BE">
          <w:rPr>
            <w:rFonts w:ascii="FrankRuehl" w:hAnsi="FrankRuehl" w:cs="FrankRuehl" w:hint="eastAsia"/>
            <w:color w:val="0000FF"/>
            <w:sz w:val="24"/>
            <w:szCs w:val="24"/>
            <w:u w:val="single"/>
            <w:rtl/>
          </w:rPr>
          <w:t>ז</w:t>
        </w:r>
        <w:r w:rsidRPr="008C59BE">
          <w:rPr>
            <w:rFonts w:ascii="FrankRuehl" w:hAnsi="FrankRuehl" w:cs="FrankRuehl"/>
            <w:color w:val="0000FF"/>
            <w:sz w:val="24"/>
            <w:szCs w:val="24"/>
            <w:u w:val="single"/>
            <w:rtl/>
          </w:rPr>
          <w:t>-1977</w:t>
        </w:r>
      </w:hyperlink>
      <w:r w:rsidRPr="008C59BE">
        <w:rPr>
          <w:rFonts w:ascii="FrankRuehl" w:hAnsi="FrankRuehl" w:cs="FrankRuehl"/>
          <w:sz w:val="24"/>
          <w:szCs w:val="24"/>
          <w:rtl/>
        </w:rPr>
        <w:t xml:space="preserve">: </w:t>
      </w:r>
      <w:r w:rsidRPr="008C59BE">
        <w:rPr>
          <w:rFonts w:ascii="FrankRuehl" w:hAnsi="FrankRuehl" w:cs="FrankRuehl" w:hint="eastAsia"/>
          <w:sz w:val="24"/>
          <w:szCs w:val="24"/>
          <w:rtl/>
        </w:rPr>
        <w:t>סע</w:t>
      </w:r>
      <w:r w:rsidRPr="008C59BE">
        <w:rPr>
          <w:rFonts w:ascii="FrankRuehl" w:hAnsi="FrankRuehl" w:cs="FrankRuehl"/>
          <w:sz w:val="24"/>
          <w:szCs w:val="24"/>
          <w:rtl/>
        </w:rPr>
        <w:t xml:space="preserve">'  </w:t>
      </w:r>
      <w:hyperlink r:id="rId7" w:history="1">
        <w:r w:rsidRPr="008C59BE">
          <w:rPr>
            <w:rFonts w:ascii="FrankRuehl" w:hAnsi="FrankRuehl" w:cs="FrankRuehl"/>
            <w:color w:val="0000FF"/>
            <w:sz w:val="24"/>
            <w:szCs w:val="24"/>
            <w:u w:val="single"/>
            <w:rtl/>
          </w:rPr>
          <w:t>40</w:t>
        </w:r>
        <w:r w:rsidRPr="008C59BE">
          <w:rPr>
            <w:rFonts w:ascii="FrankRuehl" w:hAnsi="FrankRuehl" w:cs="FrankRuehl" w:hint="eastAsia"/>
            <w:color w:val="0000FF"/>
            <w:sz w:val="24"/>
            <w:szCs w:val="24"/>
            <w:u w:val="single"/>
            <w:rtl/>
          </w:rPr>
          <w:t>ב</w:t>
        </w:r>
      </w:hyperlink>
      <w:r w:rsidRPr="008C59BE">
        <w:rPr>
          <w:rFonts w:ascii="FrankRuehl" w:hAnsi="FrankRuehl" w:cs="FrankRuehl"/>
          <w:sz w:val="24"/>
          <w:szCs w:val="24"/>
          <w:rtl/>
        </w:rPr>
        <w:t xml:space="preserve">, </w:t>
      </w:r>
      <w:hyperlink r:id="rId8" w:history="1">
        <w:r w:rsidRPr="008C59BE">
          <w:rPr>
            <w:rFonts w:ascii="FrankRuehl" w:hAnsi="FrankRuehl" w:cs="FrankRuehl"/>
            <w:color w:val="0000FF"/>
            <w:sz w:val="24"/>
            <w:szCs w:val="24"/>
            <w:u w:val="single"/>
            <w:rtl/>
          </w:rPr>
          <w:t>144</w:t>
        </w:r>
      </w:hyperlink>
      <w:r w:rsidRPr="008C59BE">
        <w:rPr>
          <w:rFonts w:ascii="FrankRuehl" w:hAnsi="FrankRuehl" w:cs="FrankRuehl"/>
          <w:sz w:val="24"/>
          <w:szCs w:val="24"/>
          <w:rtl/>
        </w:rPr>
        <w:t xml:space="preserve">, </w:t>
      </w:r>
      <w:hyperlink r:id="rId9" w:history="1">
        <w:r w:rsidRPr="008C59BE">
          <w:rPr>
            <w:rFonts w:ascii="FrankRuehl" w:hAnsi="FrankRuehl" w:cs="FrankRuehl"/>
            <w:color w:val="0000FF"/>
            <w:sz w:val="24"/>
            <w:szCs w:val="24"/>
            <w:u w:val="single"/>
            <w:rtl/>
          </w:rPr>
          <w:t>144(</w:t>
        </w:r>
        <w:r w:rsidRPr="008C59BE">
          <w:rPr>
            <w:rFonts w:ascii="FrankRuehl" w:hAnsi="FrankRuehl" w:cs="FrankRuehl" w:hint="eastAsia"/>
            <w:color w:val="0000FF"/>
            <w:sz w:val="24"/>
            <w:szCs w:val="24"/>
            <w:u w:val="single"/>
            <w:rtl/>
          </w:rPr>
          <w:t>א</w:t>
        </w:r>
        <w:r w:rsidRPr="008C59BE">
          <w:rPr>
            <w:rFonts w:ascii="FrankRuehl" w:hAnsi="FrankRuehl" w:cs="FrankRuehl"/>
            <w:color w:val="0000FF"/>
            <w:sz w:val="24"/>
            <w:szCs w:val="24"/>
            <w:u w:val="single"/>
            <w:rtl/>
          </w:rPr>
          <w:t>)</w:t>
        </w:r>
      </w:hyperlink>
      <w:r w:rsidRPr="008C59BE">
        <w:rPr>
          <w:rFonts w:ascii="FrankRuehl" w:hAnsi="FrankRuehl" w:cs="FrankRuehl"/>
          <w:sz w:val="24"/>
          <w:szCs w:val="24"/>
          <w:rtl/>
        </w:rPr>
        <w:t xml:space="preserve">, </w:t>
      </w:r>
      <w:hyperlink r:id="rId10" w:history="1">
        <w:r w:rsidRPr="008C59BE">
          <w:rPr>
            <w:rFonts w:ascii="FrankRuehl" w:hAnsi="FrankRuehl" w:cs="FrankRuehl"/>
            <w:color w:val="0000FF"/>
            <w:sz w:val="24"/>
            <w:szCs w:val="24"/>
            <w:u w:val="single"/>
            <w:rtl/>
          </w:rPr>
          <w:t>144(</w:t>
        </w:r>
        <w:r w:rsidRPr="008C59BE">
          <w:rPr>
            <w:rFonts w:ascii="FrankRuehl" w:hAnsi="FrankRuehl" w:cs="FrankRuehl" w:hint="eastAsia"/>
            <w:color w:val="0000FF"/>
            <w:sz w:val="24"/>
            <w:szCs w:val="24"/>
            <w:u w:val="single"/>
            <w:rtl/>
          </w:rPr>
          <w:t>ב</w:t>
        </w:r>
        <w:r w:rsidRPr="008C59BE">
          <w:rPr>
            <w:rFonts w:ascii="FrankRuehl" w:hAnsi="FrankRuehl" w:cs="FrankRuehl"/>
            <w:color w:val="0000FF"/>
            <w:sz w:val="24"/>
            <w:szCs w:val="24"/>
            <w:u w:val="single"/>
            <w:rtl/>
          </w:rPr>
          <w:t>)</w:t>
        </w:r>
      </w:hyperlink>
      <w:r w:rsidRPr="008C59BE">
        <w:rPr>
          <w:rFonts w:ascii="FrankRuehl" w:hAnsi="FrankRuehl" w:cs="FrankRuehl"/>
          <w:sz w:val="24"/>
          <w:szCs w:val="24"/>
          <w:rtl/>
        </w:rPr>
        <w:t xml:space="preserve">, </w:t>
      </w:r>
      <w:hyperlink r:id="rId11" w:history="1">
        <w:r w:rsidRPr="008C59BE">
          <w:rPr>
            <w:rFonts w:ascii="FrankRuehl" w:hAnsi="FrankRuehl" w:cs="FrankRuehl"/>
            <w:color w:val="0000FF"/>
            <w:sz w:val="24"/>
            <w:szCs w:val="24"/>
            <w:u w:val="single"/>
            <w:rtl/>
          </w:rPr>
          <w:t>144(</w:t>
        </w:r>
        <w:r w:rsidRPr="008C59BE">
          <w:rPr>
            <w:rFonts w:ascii="FrankRuehl" w:hAnsi="FrankRuehl" w:cs="FrankRuehl" w:hint="eastAsia"/>
            <w:color w:val="0000FF"/>
            <w:sz w:val="24"/>
            <w:szCs w:val="24"/>
            <w:u w:val="single"/>
            <w:rtl/>
          </w:rPr>
          <w:t>ב</w:t>
        </w:r>
        <w:r w:rsidRPr="008C59BE">
          <w:rPr>
            <w:rFonts w:ascii="FrankRuehl" w:hAnsi="FrankRuehl" w:cs="FrankRuehl"/>
            <w:color w:val="0000FF"/>
            <w:sz w:val="24"/>
            <w:szCs w:val="24"/>
            <w:u w:val="single"/>
            <w:rtl/>
          </w:rPr>
          <w:t>2)</w:t>
        </w:r>
      </w:hyperlink>
      <w:r w:rsidRPr="008C59BE">
        <w:rPr>
          <w:rFonts w:ascii="FrankRuehl" w:hAnsi="FrankRuehl" w:cs="FrankRuehl"/>
          <w:sz w:val="24"/>
          <w:szCs w:val="24"/>
          <w:rtl/>
        </w:rPr>
        <w:t xml:space="preserve">, </w:t>
      </w:r>
      <w:hyperlink r:id="rId12" w:history="1">
        <w:r w:rsidRPr="008C59BE">
          <w:rPr>
            <w:rFonts w:ascii="FrankRuehl" w:hAnsi="FrankRuehl" w:cs="FrankRuehl"/>
            <w:color w:val="0000FF"/>
            <w:sz w:val="24"/>
            <w:szCs w:val="24"/>
            <w:u w:val="single"/>
            <w:rtl/>
          </w:rPr>
          <w:t>244</w:t>
        </w:r>
      </w:hyperlink>
    </w:p>
    <w:p w14:paraId="0127A3B5" w14:textId="77777777" w:rsidR="005E60C5" w:rsidRPr="00093696" w:rsidRDefault="005E60C5" w:rsidP="005E60C5">
      <w:pPr>
        <w:spacing w:line="360" w:lineRule="auto"/>
        <w:rPr>
          <w:rFonts w:cs="FrankRuehl"/>
          <w:b/>
          <w:bCs/>
          <w:sz w:val="2"/>
          <w:szCs w:val="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E60C5" w:rsidRPr="00505FFA" w14:paraId="2A5DEAB8" w14:textId="77777777" w:rsidTr="00093696">
        <w:trPr>
          <w:trHeight w:val="355"/>
          <w:jc w:val="center"/>
        </w:trPr>
        <w:tc>
          <w:tcPr>
            <w:tcW w:w="8820" w:type="dxa"/>
            <w:tcBorders>
              <w:top w:val="nil"/>
              <w:left w:val="nil"/>
              <w:bottom w:val="nil"/>
              <w:right w:val="nil"/>
            </w:tcBorders>
            <w:shd w:val="clear" w:color="auto" w:fill="auto"/>
          </w:tcPr>
          <w:p w14:paraId="68C00A74" w14:textId="77777777" w:rsidR="005E60C5" w:rsidRPr="008C59BE" w:rsidRDefault="00093696" w:rsidP="008C59BE">
            <w:pPr>
              <w:spacing w:line="360" w:lineRule="auto"/>
              <w:jc w:val="center"/>
              <w:rPr>
                <w:rFonts w:ascii="Arial" w:hAnsi="Arial" w:cs="FrankRuehl" w:hint="cs"/>
                <w:b/>
                <w:bCs/>
                <w:sz w:val="28"/>
                <w:szCs w:val="28"/>
                <w:u w:val="single"/>
                <w:rtl/>
              </w:rPr>
            </w:pPr>
            <w:bookmarkStart w:id="3" w:name="PsakDin" w:colFirst="0" w:colLast="0"/>
            <w:bookmarkEnd w:id="0"/>
            <w:r w:rsidRPr="00093696">
              <w:rPr>
                <w:rFonts w:ascii="Arial" w:hAnsi="Arial" w:cs="FrankRuehl"/>
                <w:b/>
                <w:bCs/>
                <w:sz w:val="28"/>
                <w:szCs w:val="28"/>
                <w:u w:val="single"/>
                <w:rtl/>
              </w:rPr>
              <w:t>גזר דין</w:t>
            </w:r>
          </w:p>
        </w:tc>
      </w:tr>
      <w:bookmarkEnd w:id="3"/>
    </w:tbl>
    <w:p w14:paraId="70026D55" w14:textId="77777777" w:rsidR="005E60C5" w:rsidRPr="006A0C45" w:rsidRDefault="005E60C5" w:rsidP="005E60C5">
      <w:pPr>
        <w:spacing w:line="360" w:lineRule="auto"/>
        <w:rPr>
          <w:rFonts w:ascii="Arial" w:hAnsi="Arial" w:cs="FrankRuehl"/>
          <w:sz w:val="2"/>
          <w:szCs w:val="2"/>
          <w:rtl/>
        </w:rPr>
      </w:pPr>
    </w:p>
    <w:p w14:paraId="28294393" w14:textId="77777777" w:rsidR="005E60C5" w:rsidRPr="00675274" w:rsidRDefault="005E60C5" w:rsidP="005E60C5">
      <w:pPr>
        <w:spacing w:line="360" w:lineRule="auto"/>
        <w:rPr>
          <w:rFonts w:ascii="Arial" w:hAnsi="Arial" w:cs="FrankRuehl"/>
          <w:sz w:val="2"/>
          <w:szCs w:val="2"/>
          <w:rtl/>
        </w:rPr>
      </w:pPr>
      <w:bookmarkStart w:id="4" w:name="ABSTRACT_START"/>
      <w:bookmarkEnd w:id="4"/>
    </w:p>
    <w:p w14:paraId="5212353E" w14:textId="77777777" w:rsidR="005E60C5" w:rsidRPr="00675274" w:rsidRDefault="005E60C5" w:rsidP="005E60C5">
      <w:pPr>
        <w:spacing w:line="360" w:lineRule="auto"/>
        <w:rPr>
          <w:rFonts w:cs="FrankRuehl"/>
          <w:sz w:val="28"/>
          <w:szCs w:val="28"/>
          <w:rtl/>
        </w:rPr>
      </w:pPr>
      <w:r w:rsidRPr="00675274">
        <w:rPr>
          <w:rFonts w:cs="FrankRuehl" w:hint="cs"/>
          <w:sz w:val="28"/>
          <w:szCs w:val="28"/>
          <w:rtl/>
        </w:rPr>
        <w:t>הנאשמים הודו במסגרת הסדר טיעון בעובדות כתב האישום המתוקן והורשעו בעבירות הבאות:</w:t>
      </w:r>
    </w:p>
    <w:p w14:paraId="1F91795F" w14:textId="77777777" w:rsidR="005E60C5" w:rsidRPr="00675274" w:rsidRDefault="005E60C5" w:rsidP="005E60C5">
      <w:pPr>
        <w:pStyle w:val="David"/>
        <w:rPr>
          <w:rFonts w:cs="FrankRuehl"/>
          <w:b/>
          <w:bCs/>
          <w:sz w:val="28"/>
          <w:szCs w:val="28"/>
          <w:u w:val="single"/>
          <w:rtl/>
        </w:rPr>
      </w:pPr>
      <w:r w:rsidRPr="00675274">
        <w:rPr>
          <w:rFonts w:cs="FrankRuehl" w:hint="cs"/>
          <w:b/>
          <w:bCs/>
          <w:sz w:val="28"/>
          <w:szCs w:val="28"/>
          <w:u w:val="single"/>
          <w:rtl/>
        </w:rPr>
        <w:t>נאשם 1:</w:t>
      </w:r>
    </w:p>
    <w:p w14:paraId="2AE9EFEE"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 xml:space="preserve">סחר בנשק (ריבוי עבירות), עבירה לפי </w:t>
      </w:r>
      <w:hyperlink r:id="rId13" w:history="1">
        <w:r w:rsidR="008C59BE" w:rsidRPr="008C59BE">
          <w:rPr>
            <w:rFonts w:ascii="David" w:hAnsi="David" w:cs="FrankRuehl"/>
            <w:color w:val="0000FF"/>
            <w:sz w:val="28"/>
            <w:szCs w:val="28"/>
            <w:u w:val="single"/>
            <w:rtl/>
          </w:rPr>
          <w:t>סעיף 144(ב2)</w:t>
        </w:r>
      </w:hyperlink>
      <w:r w:rsidRPr="00675274">
        <w:rPr>
          <w:rFonts w:ascii="David" w:hAnsi="David" w:cs="FrankRuehl" w:hint="cs"/>
          <w:sz w:val="28"/>
          <w:szCs w:val="28"/>
          <w:rtl/>
        </w:rPr>
        <w:t xml:space="preserve"> ל</w:t>
      </w:r>
      <w:hyperlink r:id="rId14" w:history="1">
        <w:r w:rsidR="00093696" w:rsidRPr="00093696">
          <w:rPr>
            <w:rFonts w:ascii="David" w:hAnsi="David" w:cs="FrankRuehl"/>
            <w:color w:val="0000FF"/>
            <w:sz w:val="28"/>
            <w:szCs w:val="28"/>
            <w:u w:val="single"/>
            <w:rtl/>
          </w:rPr>
          <w:t>חוק העונשין</w:t>
        </w:r>
      </w:hyperlink>
      <w:r w:rsidRPr="00675274">
        <w:rPr>
          <w:rFonts w:ascii="David" w:hAnsi="David" w:cs="FrankRuehl" w:hint="cs"/>
          <w:sz w:val="28"/>
          <w:szCs w:val="28"/>
          <w:rtl/>
        </w:rPr>
        <w:t xml:space="preserve"> התשל"ז </w:t>
      </w:r>
      <w:r w:rsidRPr="00675274">
        <w:rPr>
          <w:rFonts w:ascii="David" w:hAnsi="David" w:cs="FrankRuehl"/>
          <w:sz w:val="28"/>
          <w:szCs w:val="28"/>
          <w:rtl/>
        </w:rPr>
        <w:t>–</w:t>
      </w:r>
      <w:r w:rsidRPr="00675274">
        <w:rPr>
          <w:rFonts w:ascii="David" w:hAnsi="David" w:cs="FrankRuehl" w:hint="cs"/>
          <w:sz w:val="28"/>
          <w:szCs w:val="28"/>
          <w:rtl/>
        </w:rPr>
        <w:t xml:space="preserve"> 1977; החזקת נשק (ריבוי עבירות), עבירה לפי </w:t>
      </w:r>
      <w:hyperlink r:id="rId15" w:history="1">
        <w:r w:rsidR="008C59BE" w:rsidRPr="008C59BE">
          <w:rPr>
            <w:rFonts w:ascii="David" w:hAnsi="David" w:cs="FrankRuehl"/>
            <w:color w:val="0000FF"/>
            <w:sz w:val="28"/>
            <w:szCs w:val="28"/>
            <w:u w:val="single"/>
            <w:rtl/>
          </w:rPr>
          <w:t>סעיף 144(א)</w:t>
        </w:r>
      </w:hyperlink>
      <w:r w:rsidRPr="00675274">
        <w:rPr>
          <w:rFonts w:ascii="David" w:hAnsi="David" w:cs="FrankRuehl" w:hint="cs"/>
          <w:sz w:val="28"/>
          <w:szCs w:val="28"/>
          <w:rtl/>
        </w:rPr>
        <w:t xml:space="preserve"> לחוק העונשין. </w:t>
      </w:r>
    </w:p>
    <w:p w14:paraId="6BA63CB3" w14:textId="77777777" w:rsidR="005E60C5" w:rsidRPr="00675274" w:rsidRDefault="005E60C5" w:rsidP="005E60C5">
      <w:pPr>
        <w:pStyle w:val="David"/>
        <w:rPr>
          <w:rFonts w:cs="FrankRuehl"/>
          <w:b/>
          <w:bCs/>
          <w:sz w:val="28"/>
          <w:szCs w:val="28"/>
          <w:u w:val="single"/>
          <w:rtl/>
        </w:rPr>
      </w:pPr>
      <w:r w:rsidRPr="00675274">
        <w:rPr>
          <w:rFonts w:cs="FrankRuehl" w:hint="cs"/>
          <w:b/>
          <w:bCs/>
          <w:sz w:val="28"/>
          <w:szCs w:val="28"/>
          <w:u w:val="single"/>
          <w:rtl/>
        </w:rPr>
        <w:t>נאשם 2:</w:t>
      </w:r>
    </w:p>
    <w:p w14:paraId="6373848E"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lastRenderedPageBreak/>
        <w:t xml:space="preserve">רכישת נשק (ריבוי עבירות), עבירה לפי </w:t>
      </w:r>
      <w:hyperlink r:id="rId16" w:history="1">
        <w:r w:rsidR="008C59BE" w:rsidRPr="008C59BE">
          <w:rPr>
            <w:rFonts w:ascii="David" w:hAnsi="David" w:cs="FrankRuehl"/>
            <w:color w:val="0000FF"/>
            <w:sz w:val="28"/>
            <w:szCs w:val="28"/>
            <w:u w:val="single"/>
            <w:rtl/>
          </w:rPr>
          <w:t>סעיף 144(א)</w:t>
        </w:r>
      </w:hyperlink>
      <w:r w:rsidRPr="00675274">
        <w:rPr>
          <w:rFonts w:ascii="David" w:hAnsi="David" w:cs="FrankRuehl" w:hint="cs"/>
          <w:sz w:val="28"/>
          <w:szCs w:val="28"/>
          <w:rtl/>
        </w:rPr>
        <w:t xml:space="preserve"> ל</w:t>
      </w:r>
      <w:hyperlink r:id="rId17" w:history="1">
        <w:r w:rsidR="00093696" w:rsidRPr="00093696">
          <w:rPr>
            <w:rFonts w:ascii="David" w:hAnsi="David" w:cs="FrankRuehl"/>
            <w:color w:val="0000FF"/>
            <w:sz w:val="28"/>
            <w:szCs w:val="28"/>
            <w:u w:val="single"/>
            <w:rtl/>
          </w:rPr>
          <w:t>חוק העונשין</w:t>
        </w:r>
      </w:hyperlink>
      <w:r w:rsidRPr="00675274">
        <w:rPr>
          <w:rFonts w:ascii="David" w:hAnsi="David" w:cs="FrankRuehl" w:hint="cs"/>
          <w:sz w:val="28"/>
          <w:szCs w:val="28"/>
          <w:rtl/>
        </w:rPr>
        <w:t xml:space="preserve">; שיבוש מהלכי משפט (ריבוי עבירות), עבירה לפי </w:t>
      </w:r>
      <w:hyperlink r:id="rId18" w:history="1">
        <w:r w:rsidR="008C59BE" w:rsidRPr="008C59BE">
          <w:rPr>
            <w:rFonts w:ascii="David" w:hAnsi="David" w:cs="FrankRuehl"/>
            <w:color w:val="0000FF"/>
            <w:sz w:val="28"/>
            <w:szCs w:val="28"/>
            <w:u w:val="single"/>
            <w:rtl/>
          </w:rPr>
          <w:t>סעיף 244</w:t>
        </w:r>
      </w:hyperlink>
      <w:r w:rsidRPr="00675274">
        <w:rPr>
          <w:rFonts w:ascii="David" w:hAnsi="David" w:cs="FrankRuehl" w:hint="cs"/>
          <w:sz w:val="28"/>
          <w:szCs w:val="28"/>
          <w:rtl/>
        </w:rPr>
        <w:t xml:space="preserve"> לחוק העונשין. </w:t>
      </w:r>
    </w:p>
    <w:p w14:paraId="61B11A38" w14:textId="77777777" w:rsidR="005E60C5" w:rsidRPr="00675274" w:rsidRDefault="005E60C5" w:rsidP="005E60C5">
      <w:pPr>
        <w:pStyle w:val="David"/>
        <w:rPr>
          <w:rFonts w:cs="FrankRuehl"/>
          <w:b/>
          <w:bCs/>
          <w:sz w:val="28"/>
          <w:szCs w:val="28"/>
          <w:u w:val="single"/>
          <w:rtl/>
        </w:rPr>
      </w:pPr>
      <w:r w:rsidRPr="00675274">
        <w:rPr>
          <w:rFonts w:cs="FrankRuehl" w:hint="cs"/>
          <w:b/>
          <w:bCs/>
          <w:sz w:val="28"/>
          <w:szCs w:val="28"/>
          <w:u w:val="single"/>
          <w:rtl/>
        </w:rPr>
        <w:t>נאשם 3:</w:t>
      </w:r>
    </w:p>
    <w:p w14:paraId="6247BFFE"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 xml:space="preserve">רכישת נשק, עבירה לפי </w:t>
      </w:r>
      <w:hyperlink r:id="rId19" w:history="1">
        <w:r w:rsidR="008C59BE" w:rsidRPr="008C59BE">
          <w:rPr>
            <w:rFonts w:ascii="David" w:hAnsi="David" w:cs="FrankRuehl"/>
            <w:color w:val="0000FF"/>
            <w:sz w:val="28"/>
            <w:szCs w:val="28"/>
            <w:u w:val="single"/>
            <w:rtl/>
          </w:rPr>
          <w:t>סעיף 144(א)</w:t>
        </w:r>
      </w:hyperlink>
      <w:r w:rsidRPr="00675274">
        <w:rPr>
          <w:rFonts w:ascii="David" w:hAnsi="David" w:cs="FrankRuehl" w:hint="cs"/>
          <w:sz w:val="28"/>
          <w:szCs w:val="28"/>
          <w:rtl/>
        </w:rPr>
        <w:t xml:space="preserve"> ל</w:t>
      </w:r>
      <w:hyperlink r:id="rId20" w:history="1">
        <w:r w:rsidR="00093696" w:rsidRPr="00093696">
          <w:rPr>
            <w:rFonts w:ascii="David" w:hAnsi="David" w:cs="FrankRuehl"/>
            <w:color w:val="0000FF"/>
            <w:sz w:val="28"/>
            <w:szCs w:val="28"/>
            <w:u w:val="single"/>
            <w:rtl/>
          </w:rPr>
          <w:t>חוק העונשין</w:t>
        </w:r>
      </w:hyperlink>
      <w:r w:rsidRPr="00675274">
        <w:rPr>
          <w:rFonts w:ascii="David" w:hAnsi="David" w:cs="FrankRuehl" w:hint="cs"/>
          <w:sz w:val="28"/>
          <w:szCs w:val="28"/>
          <w:rtl/>
        </w:rPr>
        <w:t xml:space="preserve">. </w:t>
      </w:r>
    </w:p>
    <w:p w14:paraId="759D5175" w14:textId="77777777" w:rsidR="005E60C5" w:rsidRPr="00675274" w:rsidRDefault="005E60C5" w:rsidP="005E60C5">
      <w:pPr>
        <w:pStyle w:val="David"/>
        <w:rPr>
          <w:rFonts w:ascii="David" w:hAnsi="David" w:cs="FrankRuehl"/>
          <w:sz w:val="28"/>
          <w:szCs w:val="28"/>
          <w:rtl/>
        </w:rPr>
      </w:pPr>
      <w:bookmarkStart w:id="5" w:name="ABSTRACT_END"/>
      <w:bookmarkEnd w:id="5"/>
      <w:r w:rsidRPr="00675274">
        <w:rPr>
          <w:rFonts w:ascii="David" w:hAnsi="David" w:cs="FrankRuehl" w:hint="cs"/>
          <w:sz w:val="28"/>
          <w:szCs w:val="28"/>
          <w:rtl/>
        </w:rPr>
        <w:t xml:space="preserve">הצדדים הגיעו לידי הסכמה עונשית בכל הנוגע לנאשמים 1 ו  - 3 ולפיה על הנאשם 1 יושת עונש מאסר בן </w:t>
      </w:r>
      <w:r w:rsidRPr="00675274">
        <w:rPr>
          <w:rFonts w:cs="FrankRuehl" w:hint="cs"/>
          <w:sz w:val="28"/>
          <w:szCs w:val="28"/>
          <w:rtl/>
        </w:rPr>
        <w:t>22 חודשים מיום מעצרו ,  24.10.15 ,</w:t>
      </w:r>
      <w:r>
        <w:rPr>
          <w:rFonts w:cs="FrankRuehl" w:hint="cs"/>
          <w:sz w:val="28"/>
          <w:szCs w:val="28"/>
          <w:rtl/>
        </w:rPr>
        <w:t xml:space="preserve">מאסר על תנאי וקנס, </w:t>
      </w:r>
      <w:r w:rsidRPr="00675274">
        <w:rPr>
          <w:rFonts w:cs="FrankRuehl" w:hint="cs"/>
          <w:sz w:val="28"/>
          <w:szCs w:val="28"/>
          <w:rtl/>
        </w:rPr>
        <w:t xml:space="preserve">בעניינו של נאשם 3 הסכימו הצדדים לעונש של 4 חודשי מאסר בעבודות שירות, מאסר על תנאי וקנס. באשר לנאשם 2 </w:t>
      </w:r>
      <w:r w:rsidRPr="00675274">
        <w:rPr>
          <w:rFonts w:cs="FrankRuehl"/>
          <w:sz w:val="28"/>
          <w:szCs w:val="28"/>
          <w:rtl/>
        </w:rPr>
        <w:t>–</w:t>
      </w:r>
      <w:r w:rsidRPr="00675274">
        <w:rPr>
          <w:rFonts w:cs="FrankRuehl" w:hint="cs"/>
          <w:sz w:val="28"/>
          <w:szCs w:val="28"/>
          <w:rtl/>
        </w:rPr>
        <w:t xml:space="preserve"> על פי הסדר הטיעון עתרה התביעה לעונש ראוי של 15 חודשי מאסר בניכוי ימי מעצרו מיום 24.10.15 עד 16.8.16.</w:t>
      </w:r>
    </w:p>
    <w:p w14:paraId="2F4ADBB5"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 xml:space="preserve">על פי עובדות </w:t>
      </w:r>
      <w:r>
        <w:rPr>
          <w:rFonts w:ascii="David" w:hAnsi="David" w:cs="FrankRuehl" w:hint="cs"/>
          <w:sz w:val="28"/>
          <w:szCs w:val="28"/>
          <w:rtl/>
        </w:rPr>
        <w:t>האישום הראשון ב</w:t>
      </w:r>
      <w:r w:rsidRPr="00675274">
        <w:rPr>
          <w:rFonts w:ascii="David" w:hAnsi="David" w:cs="FrankRuehl" w:hint="cs"/>
          <w:sz w:val="28"/>
          <w:szCs w:val="28"/>
          <w:rtl/>
        </w:rPr>
        <w:t>כתב האישום המתוקן, במהלך החודשים אפריל- מאי 2015 , מכר הנאשם 1 לנאשם 2 בביתו של נאשם 2 שבקרני שומרון, רימון גז קולח השייך לכוחות הביטחון (להלן: "רימון הגז").</w:t>
      </w:r>
    </w:p>
    <w:p w14:paraId="65DB7F4D"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נאשם 2 הורה לרון אב-גיא (להלן: "רון") להחביא עבורו את רימון הגז ורון החביאו בחורשה ליד גן ילדים בקרני שומרון (להלן : "החורשה").</w:t>
      </w:r>
    </w:p>
    <w:p w14:paraId="30AF90EE"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 xml:space="preserve">במספר הזדמנויות במועדים שונים מכר הנאשם 1 לנאשם 2 רימוני הלם השייכים לכוחות הביטחון תמורת 200 ₪ או סם מסוכן </w:t>
      </w:r>
      <w:r>
        <w:rPr>
          <w:rFonts w:ascii="David" w:hAnsi="David" w:cs="FrankRuehl" w:hint="cs"/>
          <w:sz w:val="28"/>
          <w:szCs w:val="28"/>
          <w:rtl/>
        </w:rPr>
        <w:t xml:space="preserve">מסוג גראס </w:t>
      </w:r>
      <w:r w:rsidRPr="00675274">
        <w:rPr>
          <w:rFonts w:ascii="David" w:hAnsi="David" w:cs="FrankRuehl" w:hint="cs"/>
          <w:sz w:val="28"/>
          <w:szCs w:val="28"/>
          <w:rtl/>
        </w:rPr>
        <w:t>בשווי זה לרימון.</w:t>
      </w:r>
    </w:p>
    <w:p w14:paraId="5A57B9C6"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לאחר כל עסקה החביא רון את הרימונים בחורשה בהוראתו של נאשם 2.</w:t>
      </w:r>
    </w:p>
    <w:p w14:paraId="727ECD6C"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במועד אחר , בתקופה הרלבנטית, בסמוך לביתו של נאשם 2 בקרני שומרון, מכר נאשם 1 לנאשם 3 רימון הלם השייך לכוחות הביטחון.</w:t>
      </w:r>
    </w:p>
    <w:p w14:paraId="059BA90A"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בהזדמנות נוספת, בתקופה הרלבנטית, מכר נאשם 1 לנאשם 2 שני רימוני הלם השייכים לכוחות הביטחון ובהתאם להוראתו של נאשם 2 החביא רון את רימוני ההלם בחורשה, ליד שכונת מגורים בקרני שומרון.</w:t>
      </w:r>
    </w:p>
    <w:p w14:paraId="3FB0A166"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על פי עובדות האישום השני, במהלך חקירת האירועים שבאישום הראשון, שיבש הנאשם 2 את החקירה בכך שצעק לנאשם 1 ולרון לבל ישתפו פעולה עם החוקרים.</w:t>
      </w:r>
    </w:p>
    <w:p w14:paraId="762CABCE"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lastRenderedPageBreak/>
        <w:t>ביום 28.10.15, בבית המעצר שבבית משפט השלום בפתח תקוה, הורה נאשם 2 לנאשם 1 לומר בחקירתו במשטרה כי הוא חולה, לביים התעלפות ולאיים כי הוא עומד להתאבד, וזאת כדי לשבש חקירתו.</w:t>
      </w:r>
    </w:p>
    <w:p w14:paraId="2AC7F14D"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ביום 29.10.15 במהלך הסעתם של נאשם 2 ורון מבית המעצר לחקירה בתחנת מרחב שומרון, הורה הנאשם 2 לרון כי ישנה את עדותו ויאמר "שלא היה שום דבר".</w:t>
      </w:r>
    </w:p>
    <w:p w14:paraId="5380ED5D" w14:textId="77777777" w:rsidR="005E60C5" w:rsidRPr="00675274" w:rsidRDefault="005E60C5" w:rsidP="005E60C5">
      <w:pPr>
        <w:pStyle w:val="David"/>
        <w:rPr>
          <w:rFonts w:ascii="David" w:hAnsi="David" w:cs="FrankRuehl"/>
          <w:sz w:val="28"/>
          <w:szCs w:val="28"/>
          <w:rtl/>
        </w:rPr>
      </w:pPr>
      <w:r w:rsidRPr="00675274">
        <w:rPr>
          <w:rFonts w:ascii="David" w:hAnsi="David" w:cs="FrankRuehl" w:hint="cs"/>
          <w:sz w:val="28"/>
          <w:szCs w:val="28"/>
          <w:rtl/>
        </w:rPr>
        <w:t>ביום 29.10.15 בעת שהנאשמים נחקרו בתחנת מרחב שומרון, צעק נאשם 2 לנאשם 1 מספר פעמים "תשמור על זכות השתיקה" והורה לו לא לשתף פעולה בחקירתו.</w:t>
      </w:r>
    </w:p>
    <w:p w14:paraId="141EF330" w14:textId="77777777" w:rsidR="005E60C5" w:rsidRDefault="005E60C5" w:rsidP="005E60C5">
      <w:pPr>
        <w:pStyle w:val="David"/>
        <w:rPr>
          <w:rFonts w:ascii="David" w:hAnsi="David" w:cs="FrankRuehl"/>
          <w:b/>
          <w:bCs/>
          <w:sz w:val="28"/>
          <w:szCs w:val="28"/>
          <w:u w:val="single"/>
          <w:rtl/>
        </w:rPr>
      </w:pPr>
      <w:r>
        <w:rPr>
          <w:rFonts w:ascii="David" w:hAnsi="David" w:cs="FrankRuehl" w:hint="cs"/>
          <w:b/>
          <w:bCs/>
          <w:sz w:val="28"/>
          <w:szCs w:val="28"/>
          <w:u w:val="single"/>
          <w:rtl/>
        </w:rPr>
        <w:t>ראיות לעונש:</w:t>
      </w:r>
    </w:p>
    <w:p w14:paraId="02642938" w14:textId="77777777" w:rsidR="005E60C5" w:rsidRDefault="005E60C5" w:rsidP="005E60C5">
      <w:pPr>
        <w:pStyle w:val="David"/>
        <w:rPr>
          <w:rFonts w:ascii="David" w:hAnsi="David" w:cs="FrankRuehl"/>
          <w:sz w:val="28"/>
          <w:szCs w:val="28"/>
          <w:rtl/>
        </w:rPr>
      </w:pPr>
      <w:r>
        <w:rPr>
          <w:rFonts w:ascii="David" w:hAnsi="David" w:cs="FrankRuehl" w:hint="cs"/>
          <w:sz w:val="28"/>
          <w:szCs w:val="28"/>
          <w:rtl/>
        </w:rPr>
        <w:t>לנאשם 1 שתי הרשעות קודמות בגין עבירות רכוש ואלימות, האחת משנת 2013 והשניה משנת 2016.</w:t>
      </w:r>
    </w:p>
    <w:p w14:paraId="578E0656" w14:textId="77777777" w:rsidR="005E60C5" w:rsidRPr="005D0A98" w:rsidRDefault="005E60C5" w:rsidP="005E60C5">
      <w:pPr>
        <w:pStyle w:val="David"/>
        <w:rPr>
          <w:rFonts w:ascii="David" w:hAnsi="David" w:cs="FrankRuehl"/>
          <w:sz w:val="28"/>
          <w:szCs w:val="28"/>
          <w:rtl/>
        </w:rPr>
      </w:pPr>
      <w:r w:rsidRPr="005D0A98">
        <w:rPr>
          <w:rFonts w:ascii="David" w:hAnsi="David" w:cs="FrankRuehl" w:hint="cs"/>
          <w:sz w:val="28"/>
          <w:szCs w:val="28"/>
          <w:rtl/>
        </w:rPr>
        <w:t xml:space="preserve">לנאשם </w:t>
      </w:r>
      <w:r>
        <w:rPr>
          <w:rFonts w:ascii="David" w:hAnsi="David" w:cs="FrankRuehl" w:hint="cs"/>
          <w:sz w:val="28"/>
          <w:szCs w:val="28"/>
          <w:rtl/>
        </w:rPr>
        <w:t>2</w:t>
      </w:r>
      <w:r w:rsidRPr="005D0A98">
        <w:rPr>
          <w:rFonts w:ascii="David" w:hAnsi="David" w:cs="FrankRuehl" w:hint="cs"/>
          <w:sz w:val="28"/>
          <w:szCs w:val="28"/>
          <w:rtl/>
        </w:rPr>
        <w:t xml:space="preserve"> הרשעה </w:t>
      </w:r>
      <w:r>
        <w:rPr>
          <w:rFonts w:ascii="David" w:hAnsi="David" w:cs="FrankRuehl" w:hint="cs"/>
          <w:sz w:val="28"/>
          <w:szCs w:val="28"/>
          <w:rtl/>
        </w:rPr>
        <w:t xml:space="preserve">משנת 2009 בגין עבירות רכוש ועבירת סמים.  </w:t>
      </w:r>
    </w:p>
    <w:p w14:paraId="7E95E589" w14:textId="77777777" w:rsidR="005E60C5" w:rsidRDefault="005E60C5" w:rsidP="005E60C5">
      <w:pPr>
        <w:pStyle w:val="David"/>
        <w:rPr>
          <w:rFonts w:ascii="David" w:hAnsi="David" w:cs="FrankRuehl"/>
          <w:b/>
          <w:bCs/>
          <w:sz w:val="28"/>
          <w:szCs w:val="28"/>
          <w:u w:val="single"/>
          <w:rtl/>
        </w:rPr>
      </w:pPr>
      <w:r>
        <w:rPr>
          <w:rFonts w:ascii="David" w:hAnsi="David" w:cs="FrankRuehl" w:hint="cs"/>
          <w:b/>
          <w:bCs/>
          <w:sz w:val="28"/>
          <w:szCs w:val="28"/>
          <w:u w:val="single"/>
          <w:rtl/>
        </w:rPr>
        <w:t>תסקיר</w:t>
      </w:r>
    </w:p>
    <w:p w14:paraId="5793B6DF" w14:textId="77777777" w:rsidR="005E60C5" w:rsidRDefault="005E60C5" w:rsidP="005E60C5">
      <w:pPr>
        <w:pStyle w:val="David"/>
        <w:rPr>
          <w:rFonts w:ascii="David" w:hAnsi="David" w:cs="FrankRuehl"/>
          <w:sz w:val="28"/>
          <w:szCs w:val="28"/>
          <w:rtl/>
        </w:rPr>
      </w:pPr>
      <w:r w:rsidRPr="00F50169">
        <w:rPr>
          <w:rFonts w:ascii="David" w:hAnsi="David" w:cs="FrankRuehl" w:hint="cs"/>
          <w:sz w:val="28"/>
          <w:szCs w:val="28"/>
          <w:rtl/>
        </w:rPr>
        <w:t xml:space="preserve">בעניינו </w:t>
      </w:r>
      <w:r>
        <w:rPr>
          <w:rFonts w:ascii="David" w:hAnsi="David" w:cs="FrankRuehl" w:hint="cs"/>
          <w:sz w:val="28"/>
          <w:szCs w:val="28"/>
          <w:rtl/>
        </w:rPr>
        <w:t>של נאשם 1 הוגש תסקיר נוכח גילו בעת ביצוע העבירה. שירות המבחן התרשם כי הנאשם גדל ברקע משפחתי מורכב כשלאורך השנים בלטו קשיי הסתגלות והתנהגות בולטים כשהוא השתמש בסמים והתקשה להסתייע בגורמי הטיפול ולפיכך גובשו באישיותו מאפיינים עברייניים.</w:t>
      </w:r>
    </w:p>
    <w:p w14:paraId="58DB7DD3" w14:textId="77777777" w:rsidR="005E60C5" w:rsidRPr="00F50169" w:rsidRDefault="005E60C5" w:rsidP="005E60C5">
      <w:pPr>
        <w:pStyle w:val="David"/>
        <w:rPr>
          <w:rFonts w:ascii="David" w:hAnsi="David" w:cs="FrankRuehl"/>
          <w:sz w:val="28"/>
          <w:szCs w:val="28"/>
          <w:rtl/>
        </w:rPr>
      </w:pPr>
      <w:r>
        <w:rPr>
          <w:rFonts w:ascii="David" w:hAnsi="David" w:cs="FrankRuehl" w:hint="cs"/>
          <w:sz w:val="28"/>
          <w:szCs w:val="28"/>
          <w:rtl/>
        </w:rPr>
        <w:t>לאור אלה, קרי: עברו הפלילי, שימוש בחומרים פסיכו-אקטיביים, העדר ביטוי לנזקקות טיפולית וגורמי תמיכה חלשים, סבר שירות המבחן כי הסיכוי לשיקום בעיתוי הנוכחי מצומצם והסיכון להישנות התנהגות עבריינית משמעותי, לא בא בהמלצה שיקומית והמליץ לכבד את ההסדר.</w:t>
      </w:r>
    </w:p>
    <w:p w14:paraId="7776E84F" w14:textId="77777777" w:rsidR="005E60C5" w:rsidRPr="00675274" w:rsidRDefault="005E60C5" w:rsidP="005E60C5">
      <w:pPr>
        <w:spacing w:line="360" w:lineRule="auto"/>
        <w:rPr>
          <w:rFonts w:cs="FrankRuehl"/>
          <w:b/>
          <w:bCs/>
          <w:sz w:val="28"/>
          <w:szCs w:val="28"/>
          <w:u w:val="single"/>
          <w:rtl/>
        </w:rPr>
      </w:pPr>
      <w:r>
        <w:rPr>
          <w:rFonts w:cs="FrankRuehl" w:hint="cs"/>
          <w:b/>
          <w:bCs/>
          <w:sz w:val="28"/>
          <w:szCs w:val="28"/>
          <w:u w:val="single"/>
          <w:rtl/>
        </w:rPr>
        <w:t>ט</w:t>
      </w:r>
      <w:r w:rsidRPr="00675274">
        <w:rPr>
          <w:rFonts w:cs="FrankRuehl" w:hint="cs"/>
          <w:b/>
          <w:bCs/>
          <w:sz w:val="28"/>
          <w:szCs w:val="28"/>
          <w:u w:val="single"/>
          <w:rtl/>
        </w:rPr>
        <w:t>יעוני ב"כ המאשימה לעונש:</w:t>
      </w:r>
    </w:p>
    <w:p w14:paraId="27BB04AE" w14:textId="77777777" w:rsidR="005E60C5" w:rsidRPr="00675274" w:rsidRDefault="005E60C5" w:rsidP="005E60C5">
      <w:pPr>
        <w:spacing w:line="360" w:lineRule="auto"/>
        <w:rPr>
          <w:rFonts w:cs="FrankRuehl"/>
          <w:sz w:val="28"/>
          <w:szCs w:val="28"/>
          <w:rtl/>
        </w:rPr>
      </w:pPr>
      <w:r w:rsidRPr="00675274">
        <w:rPr>
          <w:rFonts w:cs="FrankRuehl" w:hint="cs"/>
          <w:sz w:val="28"/>
          <w:szCs w:val="28"/>
          <w:rtl/>
        </w:rPr>
        <w:t>הנאשמים ביצעו עבירות נשק מרובות הכרוכות בחומרה יתירה מתוך הסיכון הרב הטמון בשימוש בנשק לפגיעה בגוף ובנפש. יחד עם זאת,  בגיבושו של הסדר הטיעון הזה נלקחו בחשבון מעבר לחומרת העבירות והיקף כמות הרימונים , העובדה שרימוני הלם נמצאים במדרג הנמוך בעבירות הנשק, הנסיבות המיוחדות בתיק זה ובכללן הקשיים הראייתיים ועיקרן עדותו של רון אב-גיא שהעיד כעד עוין לתביעה</w:t>
      </w:r>
      <w:r>
        <w:rPr>
          <w:rFonts w:cs="FrankRuehl" w:hint="cs"/>
          <w:sz w:val="28"/>
          <w:szCs w:val="28"/>
          <w:rtl/>
        </w:rPr>
        <w:t>.</w:t>
      </w:r>
    </w:p>
    <w:p w14:paraId="4CAF42EE" w14:textId="77777777" w:rsidR="005E60C5" w:rsidRPr="00675274" w:rsidRDefault="005E60C5" w:rsidP="005E60C5">
      <w:pPr>
        <w:spacing w:line="360" w:lineRule="auto"/>
        <w:rPr>
          <w:rFonts w:cs="FrankRuehl"/>
          <w:sz w:val="28"/>
          <w:szCs w:val="28"/>
          <w:rtl/>
        </w:rPr>
      </w:pPr>
      <w:r w:rsidRPr="00675274">
        <w:rPr>
          <w:rFonts w:cs="FrankRuehl" w:hint="cs"/>
          <w:sz w:val="28"/>
          <w:szCs w:val="28"/>
          <w:rtl/>
        </w:rPr>
        <w:t xml:space="preserve">בהתאם לתיקון 113 </w:t>
      </w:r>
      <w:hyperlink r:id="rId21" w:history="1">
        <w:r w:rsidR="008C59BE" w:rsidRPr="008C59BE">
          <w:rPr>
            <w:rFonts w:cs="FrankRuehl" w:hint="eastAsia"/>
            <w:color w:val="0000FF"/>
            <w:sz w:val="28"/>
            <w:szCs w:val="28"/>
            <w:u w:val="single"/>
            <w:rtl/>
          </w:rPr>
          <w:t>סעיף</w:t>
        </w:r>
        <w:r w:rsidR="008C59BE" w:rsidRPr="008C59BE">
          <w:rPr>
            <w:rFonts w:cs="FrankRuehl"/>
            <w:color w:val="0000FF"/>
            <w:sz w:val="28"/>
            <w:szCs w:val="28"/>
            <w:u w:val="single"/>
            <w:rtl/>
          </w:rPr>
          <w:t xml:space="preserve"> 40</w:t>
        </w:r>
        <w:r w:rsidR="008C59BE" w:rsidRPr="008C59BE">
          <w:rPr>
            <w:rFonts w:cs="FrankRuehl" w:hint="eastAsia"/>
            <w:color w:val="0000FF"/>
            <w:sz w:val="28"/>
            <w:szCs w:val="28"/>
            <w:u w:val="single"/>
            <w:rtl/>
          </w:rPr>
          <w:t>ב</w:t>
        </w:r>
      </w:hyperlink>
      <w:r>
        <w:rPr>
          <w:rFonts w:cs="FrankRuehl" w:hint="cs"/>
          <w:sz w:val="28"/>
          <w:szCs w:val="28"/>
          <w:rtl/>
        </w:rPr>
        <w:t>,</w:t>
      </w:r>
      <w:r w:rsidRPr="00675274">
        <w:rPr>
          <w:rFonts w:cs="FrankRuehl" w:hint="cs"/>
          <w:sz w:val="28"/>
          <w:szCs w:val="28"/>
          <w:rtl/>
        </w:rPr>
        <w:t xml:space="preserve"> הע</w:t>
      </w:r>
      <w:r>
        <w:rPr>
          <w:rFonts w:cs="FrankRuehl" w:hint="cs"/>
          <w:sz w:val="28"/>
          <w:szCs w:val="28"/>
          <w:rtl/>
        </w:rPr>
        <w:t>י</w:t>
      </w:r>
      <w:r w:rsidRPr="00675274">
        <w:rPr>
          <w:rFonts w:cs="FrankRuehl" w:hint="cs"/>
          <w:sz w:val="28"/>
          <w:szCs w:val="28"/>
          <w:rtl/>
        </w:rPr>
        <w:t xml:space="preserve">קרון המנחה הוא קיומו של יחס הולם בין חומרת מעשה עבירה ונסיבותיו, מידת אשמו של הנאשם וסוג ומידת העונש שמוטל עליו. במקרה זה נעשה איזון בין נסיבות התיק והקשיים הראייתיים, לבין הצורך להחמיר בענישה בעבירות נשק כדי למנוע תופעה מתרחבת זו. עקרון ההלימה אמור לשקף את ריבוי וחומרת העבירות שביצעו הנאשמים. הצורך בגדיעת הקלות של נשק הזמין לכל דורש, הצורך בהרתעה, החזרת אמון הציבור והבטחת בטחונו ומיגור התופעה. </w:t>
      </w:r>
    </w:p>
    <w:p w14:paraId="7AA77561" w14:textId="77777777" w:rsidR="005E60C5" w:rsidRPr="00675274" w:rsidRDefault="005E60C5" w:rsidP="005E60C5">
      <w:pPr>
        <w:spacing w:line="360" w:lineRule="auto"/>
        <w:rPr>
          <w:rFonts w:cs="FrankRuehl"/>
          <w:sz w:val="28"/>
          <w:szCs w:val="28"/>
        </w:rPr>
      </w:pPr>
      <w:r w:rsidRPr="00675274">
        <w:rPr>
          <w:rFonts w:cs="FrankRuehl" w:hint="cs"/>
          <w:sz w:val="28"/>
          <w:szCs w:val="28"/>
          <w:rtl/>
        </w:rPr>
        <w:t xml:space="preserve">הערך החברתי המוגן בעבירות נשק הוא שמירת החיים, שלמות הגוף , הגנה על שלום הציבור ובטחונו. </w:t>
      </w:r>
    </w:p>
    <w:p w14:paraId="054F110A" w14:textId="77777777" w:rsidR="005E60C5" w:rsidRPr="00675274" w:rsidRDefault="005E60C5" w:rsidP="005E60C5">
      <w:pPr>
        <w:spacing w:line="360" w:lineRule="auto"/>
        <w:rPr>
          <w:rFonts w:cs="FrankRuehl"/>
          <w:sz w:val="28"/>
          <w:szCs w:val="28"/>
          <w:rtl/>
        </w:rPr>
      </w:pPr>
      <w:r w:rsidRPr="00675274">
        <w:rPr>
          <w:rFonts w:cs="FrankRuehl" w:hint="cs"/>
          <w:sz w:val="28"/>
          <w:szCs w:val="28"/>
          <w:rtl/>
        </w:rPr>
        <w:t xml:space="preserve">מידת הפגיעה בערכים גבוהה. מדובר במספר מקרים של סחר על פני תקופה ארוכה ופוטנציאל נזק מאוד גדול. כן נלקח בחשבון עברם הפלילי של הנאשמים 1 ו -2 בעוד הנאשם 3 נעדר עבר פלילי. לקולא נלקחו בחשבון הודאותיהם של הנאשמים במסגרת הסדר הטיעון והחיסכון בזמן שיפוטי אף  שההודיה היתה לקראת סוף פרשת התביעה, כמו גם העובדה שכתב האישום רוכך משמעותית.  </w:t>
      </w:r>
    </w:p>
    <w:p w14:paraId="454D576B" w14:textId="77777777" w:rsidR="005E60C5" w:rsidRPr="00675274" w:rsidRDefault="005E60C5" w:rsidP="005E60C5">
      <w:pPr>
        <w:spacing w:line="360" w:lineRule="auto"/>
        <w:rPr>
          <w:rFonts w:cs="FrankRuehl"/>
          <w:sz w:val="28"/>
          <w:szCs w:val="28"/>
          <w:rtl/>
        </w:rPr>
      </w:pPr>
      <w:r w:rsidRPr="00675274">
        <w:rPr>
          <w:rFonts w:cs="FrankRuehl" w:hint="cs"/>
          <w:sz w:val="28"/>
          <w:szCs w:val="28"/>
          <w:rtl/>
        </w:rPr>
        <w:t xml:space="preserve">באשר לנאשם 2 טענה ב"כ המאשימה כי חוו"ד של הממונה על עבודות שירות לא הושלמה בשל מסמכים חסרים. </w:t>
      </w:r>
      <w:r>
        <w:rPr>
          <w:rFonts w:cs="FrankRuehl" w:hint="cs"/>
          <w:sz w:val="28"/>
          <w:szCs w:val="28"/>
          <w:rtl/>
        </w:rPr>
        <w:t xml:space="preserve">יודגש כי בינתיים הושלמה חוות הדעת והנאשם נמצא כשיר לבצע עבודות שירות. </w:t>
      </w:r>
      <w:r w:rsidRPr="00675274">
        <w:rPr>
          <w:rFonts w:cs="FrankRuehl" w:hint="cs"/>
          <w:sz w:val="28"/>
          <w:szCs w:val="28"/>
          <w:rtl/>
        </w:rPr>
        <w:t>בעתירתה לעונש ראוי של 15 חודשי מאסר בפועל נלקחו בחשבון ימי מעצרו במעצר של</w:t>
      </w:r>
      <w:r>
        <w:rPr>
          <w:rFonts w:cs="FrankRuehl" w:hint="cs"/>
          <w:sz w:val="28"/>
          <w:szCs w:val="28"/>
          <w:rtl/>
        </w:rPr>
        <w:t xml:space="preserve"> ממש וימי מעצרו בפיקוח אלקטרוני, העונש הולם לענישת האחרים בפרשה זו והעובדה כי עונש זה תואם את מדיניות הענישה.</w:t>
      </w:r>
      <w:r w:rsidRPr="00675274">
        <w:rPr>
          <w:rFonts w:cs="FrankRuehl" w:hint="cs"/>
          <w:sz w:val="28"/>
          <w:szCs w:val="28"/>
          <w:rtl/>
        </w:rPr>
        <w:t xml:space="preserve"> </w:t>
      </w:r>
      <w:r>
        <w:rPr>
          <w:rFonts w:cs="FrankRuehl" w:hint="cs"/>
          <w:sz w:val="28"/>
          <w:szCs w:val="28"/>
          <w:rtl/>
        </w:rPr>
        <w:t>מכל מקום הוסכם על ידי ב"כ המאשימה כי יש לנכות מתקופת המאסר את ימי מעצרו של הנאשם מאחורי סורג ובריח.</w:t>
      </w:r>
    </w:p>
    <w:p w14:paraId="431F72D8" w14:textId="77777777" w:rsidR="005E60C5" w:rsidRDefault="005E60C5" w:rsidP="005E60C5">
      <w:pPr>
        <w:spacing w:line="360" w:lineRule="auto"/>
        <w:rPr>
          <w:rFonts w:cs="FrankRuehl"/>
          <w:sz w:val="28"/>
          <w:szCs w:val="28"/>
          <w:rtl/>
        </w:rPr>
      </w:pPr>
      <w:r w:rsidRPr="00675274">
        <w:rPr>
          <w:rFonts w:cs="FrankRuehl" w:hint="cs"/>
          <w:sz w:val="28"/>
          <w:szCs w:val="28"/>
          <w:rtl/>
        </w:rPr>
        <w:t>לגבי נאשם 3 עתרה ב"כ המאשימה לכבד את ההסדר.</w:t>
      </w:r>
    </w:p>
    <w:p w14:paraId="2885B38B" w14:textId="77777777" w:rsidR="005E60C5" w:rsidRDefault="005E60C5" w:rsidP="005E60C5">
      <w:pPr>
        <w:spacing w:line="360" w:lineRule="auto"/>
        <w:rPr>
          <w:rFonts w:cs="FrankRuehl"/>
          <w:sz w:val="28"/>
          <w:szCs w:val="28"/>
          <w:rtl/>
        </w:rPr>
      </w:pPr>
      <w:r>
        <w:rPr>
          <w:rFonts w:cs="FrankRuehl" w:hint="cs"/>
          <w:sz w:val="28"/>
          <w:szCs w:val="28"/>
          <w:rtl/>
        </w:rPr>
        <w:t>ב"כ המאשימה הגישה פסיקה התומכת בעמדתה העונשית כמפורט להלן:</w:t>
      </w:r>
    </w:p>
    <w:p w14:paraId="2C45A4A1" w14:textId="77777777" w:rsidR="005E60C5" w:rsidRDefault="005E60C5" w:rsidP="005E60C5">
      <w:pPr>
        <w:spacing w:line="360" w:lineRule="auto"/>
        <w:rPr>
          <w:rFonts w:cs="FrankRuehl"/>
          <w:sz w:val="28"/>
          <w:szCs w:val="28"/>
          <w:rtl/>
        </w:rPr>
      </w:pPr>
      <w:r>
        <w:rPr>
          <w:rFonts w:cs="FrankRuehl" w:hint="cs"/>
          <w:sz w:val="28"/>
          <w:szCs w:val="28"/>
          <w:rtl/>
        </w:rPr>
        <w:t>ב</w:t>
      </w:r>
      <w:hyperlink r:id="rId22" w:history="1">
        <w:r w:rsidR="00093696" w:rsidRPr="00093696">
          <w:rPr>
            <w:rFonts w:cs="FrankRuehl" w:hint="eastAsia"/>
            <w:color w:val="0000FF"/>
            <w:sz w:val="28"/>
            <w:szCs w:val="28"/>
            <w:u w:val="single"/>
            <w:rtl/>
          </w:rPr>
          <w:t>ע</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xml:space="preserve"> 1323/13</w:t>
        </w:r>
      </w:hyperlink>
      <w:r>
        <w:rPr>
          <w:rFonts w:cs="FrankRuehl" w:hint="cs"/>
          <w:sz w:val="28"/>
          <w:szCs w:val="28"/>
          <w:rtl/>
        </w:rPr>
        <w:t xml:space="preserve"> </w:t>
      </w:r>
      <w:r w:rsidRPr="00E37A57">
        <w:rPr>
          <w:rFonts w:cs="FrankRuehl" w:hint="cs"/>
          <w:b/>
          <w:bCs/>
          <w:sz w:val="28"/>
          <w:szCs w:val="28"/>
          <w:rtl/>
        </w:rPr>
        <w:t>חסן נ' מדינת ישראל</w:t>
      </w:r>
      <w:r>
        <w:rPr>
          <w:rFonts w:cs="FrankRuehl" w:hint="cs"/>
          <w:sz w:val="28"/>
          <w:szCs w:val="28"/>
          <w:rtl/>
        </w:rPr>
        <w:t xml:space="preserve"> בו הורשע אחד המערערים בעבירות של החזקת נשק שלא כדין, נשיאת והובלת נשק וסחר בנשק שלא כדין ונדון ל </w:t>
      </w:r>
      <w:r>
        <w:rPr>
          <w:rFonts w:cs="FrankRuehl"/>
          <w:sz w:val="28"/>
          <w:szCs w:val="28"/>
          <w:rtl/>
        </w:rPr>
        <w:t>–</w:t>
      </w:r>
      <w:r>
        <w:rPr>
          <w:rFonts w:cs="FrankRuehl" w:hint="cs"/>
          <w:sz w:val="28"/>
          <w:szCs w:val="28"/>
          <w:rtl/>
        </w:rPr>
        <w:t xml:space="preserve"> 24 חודשי מאסר בפועל.</w:t>
      </w:r>
    </w:p>
    <w:p w14:paraId="06C972C2" w14:textId="77777777" w:rsidR="005E60C5" w:rsidRDefault="005E60C5" w:rsidP="005E60C5">
      <w:pPr>
        <w:spacing w:line="360" w:lineRule="auto"/>
        <w:rPr>
          <w:rFonts w:cs="FrankRuehl"/>
          <w:sz w:val="28"/>
          <w:szCs w:val="28"/>
          <w:rtl/>
        </w:rPr>
      </w:pPr>
      <w:r>
        <w:rPr>
          <w:rFonts w:cs="FrankRuehl" w:hint="cs"/>
          <w:sz w:val="28"/>
          <w:szCs w:val="28"/>
          <w:rtl/>
        </w:rPr>
        <w:t xml:space="preserve">בית המשפט העליון אימץ את המתחם שנקבע על ידי בית המשפט המחוזי ולפיו מתחם הענישה כשעסקינן ברימוני הלם נע בין שנת מאסר לארבע שנות מאסר וציין כי המתחם מחמיר מדי שהרי "ככלות הכל מדובר בסחר בנשק הנמצא באחת הדיוטות הנמוכות שבסולם החומרה". </w:t>
      </w:r>
    </w:p>
    <w:p w14:paraId="79442DC7" w14:textId="77777777" w:rsidR="005E60C5" w:rsidRDefault="005E60C5" w:rsidP="005E60C5">
      <w:pPr>
        <w:spacing w:line="360" w:lineRule="auto"/>
        <w:rPr>
          <w:rFonts w:cs="FrankRuehl"/>
          <w:sz w:val="28"/>
          <w:szCs w:val="28"/>
          <w:rtl/>
        </w:rPr>
      </w:pPr>
      <w:r>
        <w:rPr>
          <w:rFonts w:cs="FrankRuehl" w:hint="cs"/>
          <w:sz w:val="28"/>
          <w:szCs w:val="28"/>
          <w:rtl/>
        </w:rPr>
        <w:t>ב</w:t>
      </w:r>
      <w:hyperlink r:id="rId23" w:history="1">
        <w:r w:rsidR="00093696" w:rsidRPr="00093696">
          <w:rPr>
            <w:rFonts w:cs="FrankRuehl" w:hint="eastAsia"/>
            <w:color w:val="0000FF"/>
            <w:sz w:val="28"/>
            <w:szCs w:val="28"/>
            <w:u w:val="single"/>
            <w:rtl/>
          </w:rPr>
          <w:t>ע</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xml:space="preserve"> 2422/14</w:t>
        </w:r>
      </w:hyperlink>
      <w:r>
        <w:rPr>
          <w:rFonts w:cs="FrankRuehl" w:hint="cs"/>
          <w:sz w:val="28"/>
          <w:szCs w:val="28"/>
          <w:rtl/>
        </w:rPr>
        <w:t xml:space="preserve"> </w:t>
      </w:r>
      <w:r w:rsidRPr="00E37A57">
        <w:rPr>
          <w:rFonts w:cs="FrankRuehl" w:hint="cs"/>
          <w:b/>
          <w:bCs/>
          <w:sz w:val="28"/>
          <w:szCs w:val="28"/>
          <w:rtl/>
        </w:rPr>
        <w:t>ח'דר נ' מדינת ישראל</w:t>
      </w:r>
      <w:r>
        <w:rPr>
          <w:rFonts w:cs="FrankRuehl" w:hint="cs"/>
          <w:sz w:val="28"/>
          <w:szCs w:val="28"/>
          <w:rtl/>
        </w:rPr>
        <w:t xml:space="preserve"> המערער הורשע בסחר בנשק ונדון ל </w:t>
      </w:r>
      <w:r>
        <w:rPr>
          <w:rFonts w:cs="FrankRuehl"/>
          <w:sz w:val="28"/>
          <w:szCs w:val="28"/>
          <w:rtl/>
        </w:rPr>
        <w:t>–</w:t>
      </w:r>
      <w:r>
        <w:rPr>
          <w:rFonts w:cs="FrankRuehl" w:hint="cs"/>
          <w:sz w:val="28"/>
          <w:szCs w:val="28"/>
          <w:rtl/>
        </w:rPr>
        <w:t xml:space="preserve"> 36 חודשי מאסר. דובר באותו מקרה בסחר בנשק מסוג "קרל גוסטב".</w:t>
      </w:r>
    </w:p>
    <w:p w14:paraId="479D1910" w14:textId="77777777" w:rsidR="005E60C5" w:rsidRDefault="005E60C5" w:rsidP="005E60C5">
      <w:pPr>
        <w:spacing w:line="360" w:lineRule="auto"/>
        <w:rPr>
          <w:rFonts w:cs="FrankRuehl"/>
          <w:sz w:val="28"/>
          <w:szCs w:val="28"/>
          <w:rtl/>
        </w:rPr>
      </w:pPr>
      <w:r>
        <w:rPr>
          <w:rFonts w:cs="FrankRuehl" w:hint="cs"/>
          <w:sz w:val="28"/>
          <w:szCs w:val="28"/>
          <w:rtl/>
        </w:rPr>
        <w:t>ב</w:t>
      </w:r>
      <w:hyperlink r:id="rId24" w:history="1">
        <w:r w:rsidR="00093696" w:rsidRPr="00093696">
          <w:rPr>
            <w:rFonts w:cs="FrankRuehl" w:hint="eastAsia"/>
            <w:color w:val="0000FF"/>
            <w:sz w:val="28"/>
            <w:szCs w:val="28"/>
            <w:u w:val="single"/>
            <w:rtl/>
          </w:rPr>
          <w:t>ע</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xml:space="preserve"> 2251/11</w:t>
        </w:r>
      </w:hyperlink>
      <w:r>
        <w:rPr>
          <w:rFonts w:cs="FrankRuehl" w:hint="cs"/>
          <w:sz w:val="28"/>
          <w:szCs w:val="28"/>
          <w:rtl/>
        </w:rPr>
        <w:t xml:space="preserve"> </w:t>
      </w:r>
      <w:r w:rsidRPr="00E37A57">
        <w:rPr>
          <w:rFonts w:cs="FrankRuehl" w:hint="cs"/>
          <w:b/>
          <w:bCs/>
          <w:sz w:val="28"/>
          <w:szCs w:val="28"/>
          <w:rtl/>
        </w:rPr>
        <w:t>נפאע נ' מדינת ישראל</w:t>
      </w:r>
      <w:r>
        <w:rPr>
          <w:rFonts w:cs="FrankRuehl" w:hint="cs"/>
          <w:sz w:val="28"/>
          <w:szCs w:val="28"/>
          <w:rtl/>
        </w:rPr>
        <w:t xml:space="preserve"> הורשע המערער בנשיאת והובלת נשק שלא כדין וסחר בנשק שלא כדין בניגוד לענייננו בו נדון הנאשם בעבירה של רכישת נשק. </w:t>
      </w:r>
    </w:p>
    <w:p w14:paraId="70D758B2" w14:textId="77777777" w:rsidR="005E60C5" w:rsidRDefault="005E60C5" w:rsidP="005E60C5">
      <w:pPr>
        <w:spacing w:line="360" w:lineRule="auto"/>
        <w:rPr>
          <w:rFonts w:cs="FrankRuehl"/>
          <w:sz w:val="28"/>
          <w:szCs w:val="28"/>
          <w:rtl/>
        </w:rPr>
      </w:pPr>
      <w:r>
        <w:rPr>
          <w:rFonts w:cs="FrankRuehl" w:hint="cs"/>
          <w:sz w:val="28"/>
          <w:szCs w:val="28"/>
          <w:rtl/>
        </w:rPr>
        <w:t>ב</w:t>
      </w:r>
      <w:hyperlink r:id="rId25" w:history="1">
        <w:r w:rsidR="00093696" w:rsidRPr="00093696">
          <w:rPr>
            <w:rFonts w:cs="FrankRuehl" w:hint="eastAsia"/>
            <w:color w:val="0000FF"/>
            <w:sz w:val="28"/>
            <w:szCs w:val="28"/>
            <w:u w:val="single"/>
            <w:rtl/>
          </w:rPr>
          <w:t>ע</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xml:space="preserve"> 6371/11</w:t>
        </w:r>
      </w:hyperlink>
      <w:r>
        <w:rPr>
          <w:rFonts w:cs="FrankRuehl" w:hint="cs"/>
          <w:sz w:val="28"/>
          <w:szCs w:val="28"/>
          <w:rtl/>
        </w:rPr>
        <w:t xml:space="preserve"> </w:t>
      </w:r>
      <w:r w:rsidRPr="00E37A57">
        <w:rPr>
          <w:rFonts w:cs="FrankRuehl" w:hint="cs"/>
          <w:b/>
          <w:bCs/>
          <w:sz w:val="28"/>
          <w:szCs w:val="28"/>
          <w:rtl/>
        </w:rPr>
        <w:t>מדינת ישראל נ' הייבי ואח'</w:t>
      </w:r>
      <w:r>
        <w:rPr>
          <w:rFonts w:cs="FrankRuehl" w:hint="cs"/>
          <w:sz w:val="28"/>
          <w:szCs w:val="28"/>
          <w:rtl/>
        </w:rPr>
        <w:t xml:space="preserve"> דובר בריבוי עבירות של סחר בנשק - רכישת אקדחים.</w:t>
      </w:r>
    </w:p>
    <w:p w14:paraId="1072955C" w14:textId="77777777" w:rsidR="005E60C5" w:rsidRDefault="005E60C5" w:rsidP="005E60C5">
      <w:pPr>
        <w:spacing w:line="360" w:lineRule="auto"/>
        <w:rPr>
          <w:rFonts w:cs="FrankRuehl"/>
          <w:sz w:val="28"/>
          <w:szCs w:val="28"/>
          <w:rtl/>
        </w:rPr>
      </w:pPr>
      <w:r>
        <w:rPr>
          <w:rFonts w:cs="FrankRuehl" w:hint="cs"/>
          <w:sz w:val="28"/>
          <w:szCs w:val="28"/>
          <w:rtl/>
        </w:rPr>
        <w:t>ב</w:t>
      </w:r>
      <w:hyperlink r:id="rId26" w:history="1">
        <w:r w:rsidR="00093696" w:rsidRPr="00093696">
          <w:rPr>
            <w:rFonts w:cs="FrankRuehl" w:hint="eastAsia"/>
            <w:color w:val="0000FF"/>
            <w:sz w:val="28"/>
            <w:szCs w:val="28"/>
            <w:u w:val="single"/>
            <w:rtl/>
          </w:rPr>
          <w:t>ע</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xml:space="preserve"> 7386/13</w:t>
        </w:r>
      </w:hyperlink>
      <w:r>
        <w:rPr>
          <w:rFonts w:cs="FrankRuehl" w:hint="cs"/>
          <w:sz w:val="28"/>
          <w:szCs w:val="28"/>
          <w:rtl/>
        </w:rPr>
        <w:t xml:space="preserve"> </w:t>
      </w:r>
      <w:r w:rsidRPr="00E37A57">
        <w:rPr>
          <w:rFonts w:cs="FrankRuehl" w:hint="cs"/>
          <w:b/>
          <w:bCs/>
          <w:sz w:val="28"/>
          <w:szCs w:val="28"/>
          <w:rtl/>
        </w:rPr>
        <w:t>עווד נ' מדינת ישראל</w:t>
      </w:r>
      <w:r>
        <w:rPr>
          <w:rFonts w:cs="FrankRuehl" w:hint="cs"/>
          <w:sz w:val="28"/>
          <w:szCs w:val="28"/>
          <w:rtl/>
        </w:rPr>
        <w:t xml:space="preserve"> המערער הורשע בהחזקת נשק שלא כדין ועסקה אחרת בנשק ונדון ל </w:t>
      </w:r>
      <w:r>
        <w:rPr>
          <w:rFonts w:cs="FrankRuehl"/>
          <w:sz w:val="28"/>
          <w:szCs w:val="28"/>
          <w:rtl/>
        </w:rPr>
        <w:t>–</w:t>
      </w:r>
      <w:r>
        <w:rPr>
          <w:rFonts w:cs="FrankRuehl" w:hint="cs"/>
          <w:sz w:val="28"/>
          <w:szCs w:val="28"/>
          <w:rtl/>
        </w:rPr>
        <w:t xml:space="preserve"> 18 חודשי מאסר. בית המשפט העליון דחה את הערעור.</w:t>
      </w:r>
    </w:p>
    <w:p w14:paraId="16D8A518" w14:textId="77777777" w:rsidR="005E60C5" w:rsidRDefault="00093696" w:rsidP="005E60C5">
      <w:pPr>
        <w:spacing w:line="360" w:lineRule="auto"/>
        <w:rPr>
          <w:rFonts w:cs="FrankRuehl"/>
          <w:sz w:val="28"/>
          <w:szCs w:val="28"/>
          <w:rtl/>
        </w:rPr>
      </w:pPr>
      <w:hyperlink r:id="rId27" w:history="1">
        <w:r w:rsidRPr="00093696">
          <w:rPr>
            <w:rFonts w:cs="FrankRuehl" w:hint="eastAsia"/>
            <w:color w:val="0000FF"/>
            <w:sz w:val="28"/>
            <w:szCs w:val="28"/>
            <w:u w:val="single"/>
            <w:rtl/>
          </w:rPr>
          <w:t>ת</w:t>
        </w:r>
        <w:r w:rsidRPr="00093696">
          <w:rPr>
            <w:rFonts w:cs="FrankRuehl"/>
            <w:color w:val="0000FF"/>
            <w:sz w:val="28"/>
            <w:szCs w:val="28"/>
            <w:u w:val="single"/>
            <w:rtl/>
          </w:rPr>
          <w:t>.</w:t>
        </w:r>
        <w:r w:rsidRPr="00093696">
          <w:rPr>
            <w:rFonts w:cs="FrankRuehl" w:hint="eastAsia"/>
            <w:color w:val="0000FF"/>
            <w:sz w:val="28"/>
            <w:szCs w:val="28"/>
            <w:u w:val="single"/>
            <w:rtl/>
          </w:rPr>
          <w:t>פ</w:t>
        </w:r>
        <w:r w:rsidRPr="00093696">
          <w:rPr>
            <w:rFonts w:cs="FrankRuehl"/>
            <w:color w:val="0000FF"/>
            <w:sz w:val="28"/>
            <w:szCs w:val="28"/>
            <w:u w:val="single"/>
            <w:rtl/>
          </w:rPr>
          <w:t>. 45971-11-13</w:t>
        </w:r>
      </w:hyperlink>
      <w:r w:rsidR="005E60C5">
        <w:rPr>
          <w:rFonts w:cs="FrankRuehl" w:hint="cs"/>
          <w:sz w:val="28"/>
          <w:szCs w:val="28"/>
          <w:rtl/>
        </w:rPr>
        <w:t xml:space="preserve"> (מחוזי מרכז) </w:t>
      </w:r>
      <w:r w:rsidR="005E60C5" w:rsidRPr="00E37A57">
        <w:rPr>
          <w:rFonts w:cs="FrankRuehl" w:hint="cs"/>
          <w:b/>
          <w:bCs/>
          <w:sz w:val="28"/>
          <w:szCs w:val="28"/>
          <w:rtl/>
        </w:rPr>
        <w:t>מדינת ישראל נ' עודה</w:t>
      </w:r>
      <w:r w:rsidR="005E60C5">
        <w:rPr>
          <w:rFonts w:cs="FrankRuehl" w:hint="cs"/>
          <w:sz w:val="28"/>
          <w:szCs w:val="28"/>
          <w:rtl/>
        </w:rPr>
        <w:t xml:space="preserve"> הורשע הנאשם בהובלת נשק בצוותא ושיבוש הליכי משפט ונגזרו עליו 15 חודשי מאסר.</w:t>
      </w:r>
    </w:p>
    <w:p w14:paraId="104245D1" w14:textId="77777777" w:rsidR="005E60C5" w:rsidRPr="00675274" w:rsidRDefault="005E60C5" w:rsidP="005E60C5">
      <w:pPr>
        <w:spacing w:line="360" w:lineRule="auto"/>
        <w:rPr>
          <w:rFonts w:cs="FrankRuehl"/>
          <w:sz w:val="28"/>
          <w:szCs w:val="28"/>
          <w:rtl/>
        </w:rPr>
      </w:pPr>
    </w:p>
    <w:p w14:paraId="597D09F6" w14:textId="77777777" w:rsidR="005E60C5" w:rsidRDefault="005E60C5" w:rsidP="005E60C5">
      <w:pPr>
        <w:spacing w:line="360" w:lineRule="auto"/>
        <w:rPr>
          <w:rFonts w:cs="FrankRuehl"/>
          <w:b/>
          <w:bCs/>
          <w:sz w:val="28"/>
          <w:szCs w:val="28"/>
          <w:u w:val="single"/>
          <w:rtl/>
        </w:rPr>
      </w:pPr>
      <w:r>
        <w:rPr>
          <w:rFonts w:cs="FrankRuehl" w:hint="cs"/>
          <w:b/>
          <w:bCs/>
          <w:sz w:val="28"/>
          <w:szCs w:val="28"/>
          <w:u w:val="single"/>
          <w:rtl/>
        </w:rPr>
        <w:t>טיעוני ב"כ הנאשם 1 לעונש:</w:t>
      </w:r>
    </w:p>
    <w:p w14:paraId="2CF4148F" w14:textId="77777777" w:rsidR="005E60C5" w:rsidRDefault="005E60C5" w:rsidP="005E60C5">
      <w:pPr>
        <w:spacing w:line="360" w:lineRule="auto"/>
        <w:rPr>
          <w:rFonts w:cs="FrankRuehl"/>
          <w:sz w:val="28"/>
          <w:szCs w:val="28"/>
          <w:rtl/>
        </w:rPr>
      </w:pPr>
      <w:r>
        <w:rPr>
          <w:rFonts w:cs="FrankRuehl" w:hint="cs"/>
          <w:sz w:val="28"/>
          <w:szCs w:val="28"/>
          <w:rtl/>
        </w:rPr>
        <w:t>ב"כ הנאשם 1 עתר ל</w:t>
      </w:r>
      <w:r w:rsidRPr="00675274">
        <w:rPr>
          <w:rFonts w:cs="FrankRuehl" w:hint="cs"/>
          <w:sz w:val="28"/>
          <w:szCs w:val="28"/>
          <w:rtl/>
        </w:rPr>
        <w:t xml:space="preserve">כבד את ההסדר. </w:t>
      </w:r>
      <w:r>
        <w:rPr>
          <w:rFonts w:cs="FrankRuehl" w:hint="cs"/>
          <w:sz w:val="28"/>
          <w:szCs w:val="28"/>
          <w:rtl/>
        </w:rPr>
        <w:t xml:space="preserve">לטענתו, </w:t>
      </w:r>
      <w:r w:rsidRPr="00675274">
        <w:rPr>
          <w:rFonts w:cs="FrankRuehl" w:hint="cs"/>
          <w:sz w:val="28"/>
          <w:szCs w:val="28"/>
          <w:rtl/>
        </w:rPr>
        <w:t>כתב האישום</w:t>
      </w:r>
      <w:r>
        <w:rPr>
          <w:rFonts w:cs="FrankRuehl" w:hint="cs"/>
          <w:sz w:val="28"/>
          <w:szCs w:val="28"/>
          <w:rtl/>
        </w:rPr>
        <w:t xml:space="preserve"> תוקן משמעותית.</w:t>
      </w:r>
    </w:p>
    <w:p w14:paraId="2AC584E5" w14:textId="77777777" w:rsidR="005E60C5" w:rsidRPr="00675274" w:rsidRDefault="005E60C5" w:rsidP="005E60C5">
      <w:pPr>
        <w:spacing w:line="360" w:lineRule="auto"/>
        <w:rPr>
          <w:rFonts w:cs="FrankRuehl"/>
          <w:sz w:val="28"/>
          <w:szCs w:val="28"/>
          <w:rtl/>
        </w:rPr>
      </w:pPr>
      <w:r>
        <w:rPr>
          <w:rFonts w:cs="FrankRuehl" w:hint="cs"/>
          <w:sz w:val="28"/>
          <w:szCs w:val="28"/>
          <w:rtl/>
        </w:rPr>
        <w:t>הנאשם 1 בחור צעיר, יליד 95', ביום ביצוע העבירות היה כבן 20 שנים, קרי: בגיר צעיר עם נסיבות חיים</w:t>
      </w:r>
      <w:r w:rsidRPr="00675274">
        <w:rPr>
          <w:rFonts w:cs="FrankRuehl" w:hint="cs"/>
          <w:sz w:val="28"/>
          <w:szCs w:val="28"/>
          <w:rtl/>
        </w:rPr>
        <w:t xml:space="preserve"> לא פשוטות </w:t>
      </w:r>
      <w:r>
        <w:rPr>
          <w:rFonts w:cs="FrankRuehl" w:hint="cs"/>
          <w:sz w:val="28"/>
          <w:szCs w:val="28"/>
          <w:rtl/>
        </w:rPr>
        <w:t>כמתואר</w:t>
      </w:r>
      <w:r w:rsidRPr="00675274">
        <w:rPr>
          <w:rFonts w:cs="FrankRuehl" w:hint="cs"/>
          <w:sz w:val="28"/>
          <w:szCs w:val="28"/>
          <w:rtl/>
        </w:rPr>
        <w:t xml:space="preserve"> בתסקיר. </w:t>
      </w:r>
      <w:r>
        <w:rPr>
          <w:rFonts w:cs="FrankRuehl" w:hint="cs"/>
          <w:sz w:val="28"/>
          <w:szCs w:val="28"/>
          <w:rtl/>
        </w:rPr>
        <w:t>הנאשם ע</w:t>
      </w:r>
      <w:r w:rsidRPr="00675274">
        <w:rPr>
          <w:rFonts w:cs="FrankRuehl" w:hint="cs"/>
          <w:sz w:val="28"/>
          <w:szCs w:val="28"/>
          <w:rtl/>
        </w:rPr>
        <w:t>צור מזה כ</w:t>
      </w:r>
      <w:r>
        <w:rPr>
          <w:rFonts w:cs="FrankRuehl" w:hint="cs"/>
          <w:sz w:val="28"/>
          <w:szCs w:val="28"/>
          <w:rtl/>
        </w:rPr>
        <w:t>-</w:t>
      </w:r>
      <w:r w:rsidRPr="00675274">
        <w:rPr>
          <w:rFonts w:cs="FrankRuehl" w:hint="cs"/>
          <w:sz w:val="28"/>
          <w:szCs w:val="28"/>
          <w:rtl/>
        </w:rPr>
        <w:t xml:space="preserve"> 15 חודשים </w:t>
      </w:r>
      <w:r>
        <w:rPr>
          <w:rFonts w:cs="FrankRuehl" w:hint="cs"/>
          <w:sz w:val="28"/>
          <w:szCs w:val="28"/>
          <w:rtl/>
        </w:rPr>
        <w:t>ו</w:t>
      </w:r>
      <w:r w:rsidRPr="00675274">
        <w:rPr>
          <w:rFonts w:cs="FrankRuehl" w:hint="cs"/>
          <w:sz w:val="28"/>
          <w:szCs w:val="28"/>
          <w:rtl/>
        </w:rPr>
        <w:t xml:space="preserve">תנאי המעצר קשים מתנאי המאסר. </w:t>
      </w:r>
      <w:r>
        <w:rPr>
          <w:rFonts w:cs="FrankRuehl" w:hint="cs"/>
          <w:sz w:val="28"/>
          <w:szCs w:val="28"/>
          <w:rtl/>
        </w:rPr>
        <w:t xml:space="preserve">העבירות </w:t>
      </w:r>
      <w:r w:rsidRPr="00675274">
        <w:rPr>
          <w:rFonts w:cs="FrankRuehl" w:hint="cs"/>
          <w:sz w:val="28"/>
          <w:szCs w:val="28"/>
          <w:rtl/>
        </w:rPr>
        <w:t>התרחשו ב</w:t>
      </w:r>
      <w:r>
        <w:rPr>
          <w:rFonts w:cs="FrankRuehl" w:hint="cs"/>
          <w:sz w:val="28"/>
          <w:szCs w:val="28"/>
          <w:rtl/>
        </w:rPr>
        <w:t xml:space="preserve">חודשים אפריל ומאי 2015, </w:t>
      </w:r>
      <w:r w:rsidRPr="00675274">
        <w:rPr>
          <w:rFonts w:cs="FrankRuehl" w:hint="cs"/>
          <w:sz w:val="28"/>
          <w:szCs w:val="28"/>
          <w:rtl/>
        </w:rPr>
        <w:t>בסופו של יום הרימונים נתפסו והובאו למשטרה כך שלא נגרם כל נזק. אמנם מד</w:t>
      </w:r>
      <w:r>
        <w:rPr>
          <w:rFonts w:cs="FrankRuehl" w:hint="cs"/>
          <w:sz w:val="28"/>
          <w:szCs w:val="28"/>
          <w:rtl/>
        </w:rPr>
        <w:t>ובר</w:t>
      </w:r>
      <w:r w:rsidRPr="00675274">
        <w:rPr>
          <w:rFonts w:cs="FrankRuehl" w:hint="cs"/>
          <w:sz w:val="28"/>
          <w:szCs w:val="28"/>
          <w:rtl/>
        </w:rPr>
        <w:t xml:space="preserve"> בעבירות של סחר בנשק, יחד עם זאת מבחינת המדרג הענישתי</w:t>
      </w:r>
      <w:r>
        <w:rPr>
          <w:rFonts w:cs="FrankRuehl" w:hint="cs"/>
          <w:sz w:val="28"/>
          <w:szCs w:val="28"/>
          <w:rtl/>
        </w:rPr>
        <w:t>,</w:t>
      </w:r>
      <w:r w:rsidRPr="00675274">
        <w:rPr>
          <w:rFonts w:cs="FrankRuehl" w:hint="cs"/>
          <w:sz w:val="28"/>
          <w:szCs w:val="28"/>
          <w:rtl/>
        </w:rPr>
        <w:t xml:space="preserve"> ביהמ"ש העליון קבע מדרג לכל עבירות </w:t>
      </w:r>
      <w:r>
        <w:rPr>
          <w:rFonts w:cs="FrankRuehl" w:hint="cs"/>
          <w:sz w:val="28"/>
          <w:szCs w:val="28"/>
          <w:rtl/>
        </w:rPr>
        <w:t>הסחר בנשק ועבירות הסחר ברימוני הלם הן</w:t>
      </w:r>
      <w:r w:rsidRPr="00675274">
        <w:rPr>
          <w:rFonts w:cs="FrankRuehl" w:hint="cs"/>
          <w:sz w:val="28"/>
          <w:szCs w:val="28"/>
          <w:rtl/>
        </w:rPr>
        <w:t xml:space="preserve"> במדרג הנמוך ביותר של סחר ברימונים. </w:t>
      </w:r>
      <w:r>
        <w:rPr>
          <w:rFonts w:cs="FrankRuehl" w:hint="cs"/>
          <w:sz w:val="28"/>
          <w:szCs w:val="28"/>
          <w:rtl/>
        </w:rPr>
        <w:t xml:space="preserve">כמו כן , באשר לרימון העשן, הוגשה חוו"ד מומחה על פיה </w:t>
      </w:r>
      <w:r w:rsidRPr="00675274">
        <w:rPr>
          <w:rFonts w:cs="FrankRuehl" w:hint="cs"/>
          <w:sz w:val="28"/>
          <w:szCs w:val="28"/>
          <w:rtl/>
        </w:rPr>
        <w:t xml:space="preserve">רימון העשן אינו </w:t>
      </w:r>
      <w:r>
        <w:rPr>
          <w:rFonts w:cs="FrankRuehl" w:hint="cs"/>
          <w:sz w:val="28"/>
          <w:szCs w:val="28"/>
          <w:rtl/>
        </w:rPr>
        <w:t>נשק  כ</w:t>
      </w:r>
      <w:r w:rsidRPr="00675274">
        <w:rPr>
          <w:rFonts w:cs="FrankRuehl" w:hint="cs"/>
          <w:sz w:val="28"/>
          <w:szCs w:val="28"/>
          <w:rtl/>
        </w:rPr>
        <w:t xml:space="preserve">הגדרתו לפי </w:t>
      </w:r>
      <w:hyperlink r:id="rId28" w:history="1">
        <w:r w:rsidR="008C59BE" w:rsidRPr="008C59BE">
          <w:rPr>
            <w:rFonts w:cs="FrankRuehl" w:hint="eastAsia"/>
            <w:color w:val="0000FF"/>
            <w:sz w:val="28"/>
            <w:szCs w:val="28"/>
            <w:u w:val="single"/>
            <w:rtl/>
          </w:rPr>
          <w:t>סעיף</w:t>
        </w:r>
        <w:r w:rsidR="008C59BE" w:rsidRPr="008C59BE">
          <w:rPr>
            <w:rFonts w:cs="FrankRuehl"/>
            <w:color w:val="0000FF"/>
            <w:sz w:val="28"/>
            <w:szCs w:val="28"/>
            <w:u w:val="single"/>
            <w:rtl/>
          </w:rPr>
          <w:t xml:space="preserve"> 144</w:t>
        </w:r>
      </w:hyperlink>
      <w:r w:rsidRPr="00675274">
        <w:rPr>
          <w:rFonts w:cs="FrankRuehl" w:hint="cs"/>
          <w:sz w:val="28"/>
          <w:szCs w:val="28"/>
          <w:rtl/>
        </w:rPr>
        <w:t xml:space="preserve"> לחוק. </w:t>
      </w:r>
      <w:r>
        <w:rPr>
          <w:rFonts w:cs="FrankRuehl" w:hint="cs"/>
          <w:sz w:val="28"/>
          <w:szCs w:val="28"/>
          <w:rtl/>
        </w:rPr>
        <w:t xml:space="preserve">הנאשם </w:t>
      </w:r>
      <w:r w:rsidRPr="00675274">
        <w:rPr>
          <w:rFonts w:cs="FrankRuehl" w:hint="cs"/>
          <w:sz w:val="28"/>
          <w:szCs w:val="28"/>
          <w:rtl/>
        </w:rPr>
        <w:t>נמצא מגי</w:t>
      </w:r>
      <w:r>
        <w:rPr>
          <w:rFonts w:cs="FrankRuehl" w:hint="cs"/>
          <w:sz w:val="28"/>
          <w:szCs w:val="28"/>
          <w:rtl/>
        </w:rPr>
        <w:t xml:space="preserve">ל מאוד צעיר במסגרות חוץ ביתיות ואין לו </w:t>
      </w:r>
      <w:r w:rsidRPr="00675274">
        <w:rPr>
          <w:rFonts w:cs="FrankRuehl" w:hint="cs"/>
          <w:sz w:val="28"/>
          <w:szCs w:val="28"/>
          <w:rtl/>
        </w:rPr>
        <w:t xml:space="preserve">קשר עם אביו. </w:t>
      </w:r>
      <w:r>
        <w:rPr>
          <w:rFonts w:cs="FrankRuehl" w:hint="cs"/>
          <w:sz w:val="28"/>
          <w:szCs w:val="28"/>
          <w:rtl/>
        </w:rPr>
        <w:t>הנאשם הודה ול</w:t>
      </w:r>
      <w:r w:rsidRPr="00675274">
        <w:rPr>
          <w:rFonts w:cs="FrankRuehl" w:hint="cs"/>
          <w:sz w:val="28"/>
          <w:szCs w:val="28"/>
          <w:rtl/>
        </w:rPr>
        <w:t xml:space="preserve">קח אחריות. </w:t>
      </w:r>
      <w:r>
        <w:rPr>
          <w:rFonts w:cs="FrankRuehl" w:hint="cs"/>
          <w:sz w:val="28"/>
          <w:szCs w:val="28"/>
          <w:rtl/>
        </w:rPr>
        <w:t xml:space="preserve">מעצרו הממושך מהווה </w:t>
      </w:r>
      <w:r w:rsidRPr="00675274">
        <w:rPr>
          <w:rFonts w:cs="FrankRuehl" w:hint="cs"/>
          <w:sz w:val="28"/>
          <w:szCs w:val="28"/>
          <w:rtl/>
        </w:rPr>
        <w:t>גור</w:t>
      </w:r>
      <w:r>
        <w:rPr>
          <w:rFonts w:cs="FrankRuehl" w:hint="cs"/>
          <w:sz w:val="28"/>
          <w:szCs w:val="28"/>
          <w:rtl/>
        </w:rPr>
        <w:t xml:space="preserve">ם מרתיע, </w:t>
      </w:r>
      <w:r w:rsidRPr="00675274">
        <w:rPr>
          <w:rFonts w:cs="FrankRuehl" w:hint="cs"/>
          <w:sz w:val="28"/>
          <w:szCs w:val="28"/>
          <w:rtl/>
        </w:rPr>
        <w:t xml:space="preserve">מחדד את הפסול בהתנהגותו ואת רצונו עם שחרורו מהמאסר לפנות ולשקם את חייו הן במישור התעסוקתי והן במישור הכללי. </w:t>
      </w:r>
      <w:r>
        <w:rPr>
          <w:rFonts w:cs="FrankRuehl" w:hint="cs"/>
          <w:sz w:val="28"/>
          <w:szCs w:val="28"/>
          <w:rtl/>
        </w:rPr>
        <w:t xml:space="preserve">ב"כ הנאשם </w:t>
      </w:r>
      <w:r w:rsidRPr="00675274">
        <w:rPr>
          <w:rFonts w:cs="FrankRuehl" w:hint="cs"/>
          <w:sz w:val="28"/>
          <w:szCs w:val="28"/>
          <w:rtl/>
        </w:rPr>
        <w:t xml:space="preserve"> </w:t>
      </w:r>
      <w:r>
        <w:rPr>
          <w:rFonts w:cs="FrankRuehl" w:hint="cs"/>
          <w:sz w:val="28"/>
          <w:szCs w:val="28"/>
          <w:rtl/>
        </w:rPr>
        <w:t xml:space="preserve">ציין כי מדובר </w:t>
      </w:r>
      <w:r w:rsidRPr="00675274">
        <w:rPr>
          <w:rFonts w:cs="FrankRuehl" w:hint="cs"/>
          <w:sz w:val="28"/>
          <w:szCs w:val="28"/>
          <w:rtl/>
        </w:rPr>
        <w:t xml:space="preserve">במאסר ראשון </w:t>
      </w:r>
      <w:r>
        <w:rPr>
          <w:rFonts w:cs="FrankRuehl" w:hint="cs"/>
          <w:sz w:val="28"/>
          <w:szCs w:val="28"/>
          <w:rtl/>
        </w:rPr>
        <w:t>של הנאשם וביקש</w:t>
      </w:r>
      <w:r w:rsidRPr="00675274">
        <w:rPr>
          <w:rFonts w:cs="FrankRuehl" w:hint="cs"/>
          <w:sz w:val="28"/>
          <w:szCs w:val="28"/>
          <w:rtl/>
        </w:rPr>
        <w:t xml:space="preserve"> לכבד את ה</w:t>
      </w:r>
      <w:r>
        <w:rPr>
          <w:rFonts w:cs="FrankRuehl" w:hint="cs"/>
          <w:sz w:val="28"/>
          <w:szCs w:val="28"/>
          <w:rtl/>
        </w:rPr>
        <w:t>הסדר ולהשית עליו את העונש שהוצע ולהשית מאסר מותנה מתון.</w:t>
      </w:r>
    </w:p>
    <w:p w14:paraId="768821F3" w14:textId="77777777" w:rsidR="005E60C5" w:rsidRPr="00675274" w:rsidRDefault="005E60C5" w:rsidP="005E60C5">
      <w:pPr>
        <w:spacing w:line="360" w:lineRule="auto"/>
        <w:rPr>
          <w:rFonts w:cs="FrankRuehl"/>
          <w:sz w:val="28"/>
          <w:szCs w:val="28"/>
          <w:rtl/>
        </w:rPr>
      </w:pPr>
      <w:r>
        <w:rPr>
          <w:rFonts w:cs="FrankRuehl" w:hint="cs"/>
          <w:sz w:val="28"/>
          <w:szCs w:val="28"/>
          <w:rtl/>
        </w:rPr>
        <w:t xml:space="preserve">באשר לקנס, ביקש בא כוחו </w:t>
      </w:r>
      <w:r w:rsidRPr="00675274">
        <w:rPr>
          <w:rFonts w:cs="FrankRuehl" w:hint="cs"/>
          <w:sz w:val="28"/>
          <w:szCs w:val="28"/>
          <w:rtl/>
        </w:rPr>
        <w:t>להסתפק בחתימה על התחייבות</w:t>
      </w:r>
      <w:r>
        <w:rPr>
          <w:rFonts w:cs="FrankRuehl" w:hint="cs"/>
          <w:sz w:val="28"/>
          <w:szCs w:val="28"/>
          <w:rtl/>
        </w:rPr>
        <w:t xml:space="preserve"> שכן השתת קנס במצבו הסוציו אקונומי משמעה המשך מאסר</w:t>
      </w:r>
      <w:r w:rsidRPr="00675274">
        <w:rPr>
          <w:rFonts w:cs="FrankRuehl" w:hint="cs"/>
          <w:sz w:val="28"/>
          <w:szCs w:val="28"/>
          <w:rtl/>
        </w:rPr>
        <w:t xml:space="preserve">. </w:t>
      </w:r>
    </w:p>
    <w:p w14:paraId="5F8B6288" w14:textId="77777777" w:rsidR="005E60C5" w:rsidRPr="00675274" w:rsidRDefault="005E60C5" w:rsidP="005E60C5">
      <w:pPr>
        <w:spacing w:line="360" w:lineRule="auto"/>
        <w:rPr>
          <w:rFonts w:cs="FrankRuehl"/>
          <w:sz w:val="28"/>
          <w:szCs w:val="28"/>
          <w:rtl/>
        </w:rPr>
      </w:pPr>
    </w:p>
    <w:p w14:paraId="014FF3F8" w14:textId="77777777" w:rsidR="005E60C5" w:rsidRPr="00675274" w:rsidRDefault="005E60C5" w:rsidP="005E60C5">
      <w:pPr>
        <w:spacing w:line="360" w:lineRule="auto"/>
        <w:rPr>
          <w:rFonts w:cs="FrankRuehl"/>
          <w:b/>
          <w:bCs/>
          <w:sz w:val="28"/>
          <w:szCs w:val="28"/>
          <w:u w:val="single"/>
          <w:rtl/>
        </w:rPr>
      </w:pPr>
      <w:r>
        <w:rPr>
          <w:rFonts w:cs="FrankRuehl" w:hint="cs"/>
          <w:b/>
          <w:bCs/>
          <w:sz w:val="28"/>
          <w:szCs w:val="28"/>
          <w:u w:val="single"/>
          <w:rtl/>
        </w:rPr>
        <w:t>טיעוני ב"כ הנאשם 3 לעונש:</w:t>
      </w:r>
    </w:p>
    <w:p w14:paraId="734F2E88" w14:textId="77777777" w:rsidR="005E60C5" w:rsidRPr="00675274" w:rsidRDefault="005E60C5" w:rsidP="005E60C5">
      <w:pPr>
        <w:spacing w:line="360" w:lineRule="auto"/>
        <w:rPr>
          <w:rFonts w:cs="FrankRuehl"/>
          <w:sz w:val="28"/>
          <w:szCs w:val="28"/>
          <w:rtl/>
        </w:rPr>
      </w:pPr>
      <w:r>
        <w:rPr>
          <w:rFonts w:cs="FrankRuehl" w:hint="cs"/>
          <w:sz w:val="28"/>
          <w:szCs w:val="28"/>
          <w:rtl/>
        </w:rPr>
        <w:t>ב"כ הנאשם 3 עתר לכבד את הסדר הטיעון ובאשר ל</w:t>
      </w:r>
      <w:r w:rsidRPr="00675274">
        <w:rPr>
          <w:rFonts w:cs="FrankRuehl" w:hint="cs"/>
          <w:sz w:val="28"/>
          <w:szCs w:val="28"/>
          <w:rtl/>
        </w:rPr>
        <w:t>קנס</w:t>
      </w:r>
      <w:r>
        <w:rPr>
          <w:rFonts w:cs="FrankRuehl" w:hint="cs"/>
          <w:sz w:val="28"/>
          <w:szCs w:val="28"/>
          <w:rtl/>
        </w:rPr>
        <w:t xml:space="preserve"> טען כי חלקו של מרשו </w:t>
      </w:r>
      <w:r w:rsidRPr="00675274">
        <w:rPr>
          <w:rFonts w:cs="FrankRuehl" w:hint="cs"/>
          <w:sz w:val="28"/>
          <w:szCs w:val="28"/>
          <w:rtl/>
        </w:rPr>
        <w:t xml:space="preserve">בפרשה פעוט. </w:t>
      </w:r>
      <w:r>
        <w:rPr>
          <w:rFonts w:cs="FrankRuehl" w:hint="cs"/>
          <w:sz w:val="28"/>
          <w:szCs w:val="28"/>
          <w:rtl/>
        </w:rPr>
        <w:t>ה</w:t>
      </w:r>
      <w:r w:rsidRPr="00675274">
        <w:rPr>
          <w:rFonts w:cs="FrankRuehl" w:hint="cs"/>
          <w:sz w:val="28"/>
          <w:szCs w:val="28"/>
          <w:rtl/>
        </w:rPr>
        <w:t xml:space="preserve">נאשם צעיר </w:t>
      </w:r>
      <w:r>
        <w:rPr>
          <w:rFonts w:cs="FrankRuehl" w:hint="cs"/>
          <w:sz w:val="28"/>
          <w:szCs w:val="28"/>
          <w:rtl/>
        </w:rPr>
        <w:t>ו</w:t>
      </w:r>
      <w:r w:rsidRPr="00675274">
        <w:rPr>
          <w:rFonts w:cs="FrankRuehl" w:hint="cs"/>
          <w:sz w:val="28"/>
          <w:szCs w:val="28"/>
          <w:rtl/>
        </w:rPr>
        <w:t xml:space="preserve">עתיד להתחתן עוד כחודש וחצי. </w:t>
      </w:r>
    </w:p>
    <w:p w14:paraId="3FB91583" w14:textId="77777777" w:rsidR="005E60C5" w:rsidRPr="00675274" w:rsidRDefault="005E60C5" w:rsidP="005E60C5">
      <w:pPr>
        <w:spacing w:line="360" w:lineRule="auto"/>
        <w:rPr>
          <w:rFonts w:cs="FrankRuehl"/>
          <w:b/>
          <w:bCs/>
          <w:sz w:val="28"/>
          <w:szCs w:val="28"/>
          <w:u w:val="single"/>
          <w:rtl/>
        </w:rPr>
      </w:pPr>
      <w:r>
        <w:rPr>
          <w:rFonts w:cs="FrankRuehl" w:hint="cs"/>
          <w:b/>
          <w:bCs/>
          <w:sz w:val="28"/>
          <w:szCs w:val="28"/>
          <w:u w:val="single"/>
          <w:rtl/>
        </w:rPr>
        <w:t>טיעוני ב"כ הנאשם 2 לעונש:</w:t>
      </w:r>
    </w:p>
    <w:p w14:paraId="3A7B1C94" w14:textId="77777777" w:rsidR="005E60C5" w:rsidRDefault="005E60C5" w:rsidP="005E60C5">
      <w:pPr>
        <w:spacing w:line="360" w:lineRule="auto"/>
        <w:rPr>
          <w:rFonts w:cs="FrankRuehl"/>
          <w:sz w:val="28"/>
          <w:szCs w:val="28"/>
          <w:rtl/>
        </w:rPr>
      </w:pPr>
      <w:r>
        <w:rPr>
          <w:rFonts w:cs="FrankRuehl" w:hint="cs"/>
          <w:sz w:val="28"/>
          <w:szCs w:val="28"/>
          <w:rtl/>
        </w:rPr>
        <w:t xml:space="preserve">ב"כ הנאשם 3 עתר </w:t>
      </w:r>
      <w:r w:rsidRPr="00675274">
        <w:rPr>
          <w:rFonts w:cs="FrankRuehl" w:hint="cs"/>
          <w:sz w:val="28"/>
          <w:szCs w:val="28"/>
          <w:rtl/>
        </w:rPr>
        <w:t xml:space="preserve">להסתפק בתקופת המעצר הארוכה </w:t>
      </w:r>
      <w:r>
        <w:rPr>
          <w:rFonts w:cs="FrankRuehl" w:hint="cs"/>
          <w:sz w:val="28"/>
          <w:szCs w:val="28"/>
          <w:rtl/>
        </w:rPr>
        <w:t xml:space="preserve">בה שהה הנאשם 2 ובתקופה בה שהה באיזוק </w:t>
      </w:r>
      <w:r w:rsidRPr="00675274">
        <w:rPr>
          <w:rFonts w:cs="FrankRuehl" w:hint="cs"/>
          <w:sz w:val="28"/>
          <w:szCs w:val="28"/>
          <w:rtl/>
        </w:rPr>
        <w:t xml:space="preserve">אלקטרוני. </w:t>
      </w:r>
    </w:p>
    <w:p w14:paraId="20043960" w14:textId="77777777" w:rsidR="005E60C5" w:rsidRPr="00675274" w:rsidRDefault="005E60C5" w:rsidP="005E60C5">
      <w:pPr>
        <w:spacing w:line="360" w:lineRule="auto"/>
        <w:rPr>
          <w:rFonts w:cs="FrankRuehl"/>
          <w:sz w:val="28"/>
          <w:szCs w:val="28"/>
          <w:rtl/>
        </w:rPr>
      </w:pPr>
      <w:r>
        <w:rPr>
          <w:rFonts w:cs="FrankRuehl" w:hint="cs"/>
          <w:sz w:val="28"/>
          <w:szCs w:val="28"/>
          <w:rtl/>
        </w:rPr>
        <w:t>לטענתו, התנהלות המדינה וגורמי החקירה כלפי מרשו היתה לא מוצדקת.</w:t>
      </w:r>
    </w:p>
    <w:p w14:paraId="5D19E905" w14:textId="77777777" w:rsidR="005E60C5" w:rsidRPr="00675274" w:rsidRDefault="005E60C5" w:rsidP="005E60C5">
      <w:pPr>
        <w:spacing w:line="360" w:lineRule="auto"/>
        <w:rPr>
          <w:rFonts w:cs="FrankRuehl"/>
          <w:sz w:val="28"/>
          <w:szCs w:val="28"/>
          <w:rtl/>
        </w:rPr>
      </w:pPr>
      <w:r w:rsidRPr="00675274">
        <w:rPr>
          <w:rFonts w:cs="FrankRuehl" w:hint="cs"/>
          <w:sz w:val="28"/>
          <w:szCs w:val="28"/>
          <w:rtl/>
        </w:rPr>
        <w:t>לא בכדי כתב האישום תוקן בצורה כל כך מהותית</w:t>
      </w:r>
      <w:r>
        <w:rPr>
          <w:rFonts w:cs="FrankRuehl" w:hint="cs"/>
          <w:sz w:val="28"/>
          <w:szCs w:val="28"/>
          <w:rtl/>
        </w:rPr>
        <w:t xml:space="preserve"> שכן </w:t>
      </w:r>
      <w:r w:rsidRPr="00675274">
        <w:rPr>
          <w:rFonts w:cs="FrankRuehl" w:hint="cs"/>
          <w:sz w:val="28"/>
          <w:szCs w:val="28"/>
          <w:rtl/>
        </w:rPr>
        <w:t xml:space="preserve">מצב הראיות מלכתחילה </w:t>
      </w:r>
      <w:r>
        <w:rPr>
          <w:rFonts w:cs="FrankRuehl" w:hint="cs"/>
          <w:sz w:val="28"/>
          <w:szCs w:val="28"/>
          <w:rtl/>
        </w:rPr>
        <w:t xml:space="preserve">היה </w:t>
      </w:r>
      <w:r w:rsidRPr="00675274">
        <w:rPr>
          <w:rFonts w:cs="FrankRuehl" w:hint="cs"/>
          <w:sz w:val="28"/>
          <w:szCs w:val="28"/>
          <w:rtl/>
        </w:rPr>
        <w:t xml:space="preserve">בעיתי ביותר. כתב האישום המקורי נשען ברובו על עדות מאוד בעיתית בנסיבות יוצאות דופן של רון אב גיא. </w:t>
      </w:r>
      <w:r>
        <w:rPr>
          <w:rFonts w:cs="FrankRuehl" w:hint="cs"/>
          <w:sz w:val="28"/>
          <w:szCs w:val="28"/>
          <w:rtl/>
        </w:rPr>
        <w:t xml:space="preserve">בסופו של יום </w:t>
      </w:r>
      <w:r w:rsidRPr="00675274">
        <w:rPr>
          <w:rFonts w:cs="FrankRuehl" w:hint="cs"/>
          <w:sz w:val="28"/>
          <w:szCs w:val="28"/>
          <w:rtl/>
        </w:rPr>
        <w:t>עבירות הסחר</w:t>
      </w:r>
      <w:r>
        <w:rPr>
          <w:rFonts w:cs="FrankRuehl" w:hint="cs"/>
          <w:sz w:val="28"/>
          <w:szCs w:val="28"/>
          <w:rtl/>
        </w:rPr>
        <w:t xml:space="preserve">, הנשיאה והחזקת הנשק בוטלו בכתב האישום המתוקן. באשר לאישום השני, </w:t>
      </w:r>
      <w:r w:rsidRPr="00675274">
        <w:rPr>
          <w:rFonts w:cs="FrankRuehl" w:hint="cs"/>
          <w:sz w:val="28"/>
          <w:szCs w:val="28"/>
          <w:rtl/>
        </w:rPr>
        <w:t xml:space="preserve">לנאשם 2 היו שעות ארוכות עם נאשם 1 ורון אב גיא, בתיק הופעל מדובב, </w:t>
      </w:r>
      <w:r>
        <w:rPr>
          <w:rFonts w:cs="FrankRuehl" w:hint="cs"/>
          <w:sz w:val="28"/>
          <w:szCs w:val="28"/>
          <w:rtl/>
        </w:rPr>
        <w:t>ו</w:t>
      </w:r>
      <w:r w:rsidRPr="00675274">
        <w:rPr>
          <w:rFonts w:cs="FrankRuehl" w:hint="cs"/>
          <w:sz w:val="28"/>
          <w:szCs w:val="28"/>
          <w:rtl/>
        </w:rPr>
        <w:t>אילו חפץ הנאשם 2 לשב</w:t>
      </w:r>
      <w:r>
        <w:rPr>
          <w:rFonts w:cs="FrankRuehl" w:hint="cs"/>
          <w:sz w:val="28"/>
          <w:szCs w:val="28"/>
          <w:rtl/>
        </w:rPr>
        <w:t xml:space="preserve">ש חקירה היו לו שעות ללא שוטרים, </w:t>
      </w:r>
      <w:r w:rsidRPr="00675274">
        <w:rPr>
          <w:rFonts w:cs="FrankRuehl" w:hint="cs"/>
          <w:sz w:val="28"/>
          <w:szCs w:val="28"/>
          <w:rtl/>
        </w:rPr>
        <w:t xml:space="preserve">אנשי נחשון </w:t>
      </w:r>
      <w:r>
        <w:rPr>
          <w:rFonts w:cs="FrankRuehl" w:hint="cs"/>
          <w:sz w:val="28"/>
          <w:szCs w:val="28"/>
          <w:rtl/>
        </w:rPr>
        <w:t xml:space="preserve">או </w:t>
      </w:r>
      <w:r w:rsidRPr="00675274">
        <w:rPr>
          <w:rFonts w:cs="FrankRuehl" w:hint="cs"/>
          <w:sz w:val="28"/>
          <w:szCs w:val="28"/>
          <w:rtl/>
        </w:rPr>
        <w:t xml:space="preserve">עדים של שוטרים חיצוניים. </w:t>
      </w:r>
      <w:r>
        <w:rPr>
          <w:rFonts w:cs="FrankRuehl" w:hint="cs"/>
          <w:sz w:val="28"/>
          <w:szCs w:val="28"/>
          <w:rtl/>
        </w:rPr>
        <w:t>הנאשם הביע בפני אנשי מרות את התסכול והזעם שלו, א</w:t>
      </w:r>
      <w:r w:rsidRPr="00675274">
        <w:rPr>
          <w:rFonts w:cs="FrankRuehl" w:hint="cs"/>
          <w:sz w:val="28"/>
          <w:szCs w:val="28"/>
          <w:rtl/>
        </w:rPr>
        <w:t xml:space="preserve">מר דברים שאין בהם טון מאיים </w:t>
      </w:r>
      <w:r>
        <w:rPr>
          <w:rFonts w:cs="FrankRuehl" w:hint="cs"/>
          <w:sz w:val="28"/>
          <w:szCs w:val="28"/>
          <w:rtl/>
        </w:rPr>
        <w:t>ו</w:t>
      </w:r>
      <w:r w:rsidRPr="00675274">
        <w:rPr>
          <w:rFonts w:cs="FrankRuehl" w:hint="cs"/>
          <w:sz w:val="28"/>
          <w:szCs w:val="28"/>
          <w:rtl/>
        </w:rPr>
        <w:t>אף אחד מהדברים האל</w:t>
      </w:r>
      <w:r>
        <w:rPr>
          <w:rFonts w:cs="FrankRuehl" w:hint="cs"/>
          <w:sz w:val="28"/>
          <w:szCs w:val="28"/>
          <w:rtl/>
        </w:rPr>
        <w:t>ו לא נעשה בפועל. רון אב גיא לא ה</w:t>
      </w:r>
      <w:r w:rsidRPr="00675274">
        <w:rPr>
          <w:rFonts w:cs="FrankRuehl" w:hint="cs"/>
          <w:sz w:val="28"/>
          <w:szCs w:val="28"/>
          <w:rtl/>
        </w:rPr>
        <w:t>פסיק לשקר</w:t>
      </w:r>
      <w:r>
        <w:rPr>
          <w:rFonts w:cs="FrankRuehl" w:hint="cs"/>
          <w:sz w:val="28"/>
          <w:szCs w:val="28"/>
          <w:rtl/>
        </w:rPr>
        <w:t xml:space="preserve">, נתנאל לא התחזה לחולה ולא </w:t>
      </w:r>
      <w:r w:rsidRPr="00675274">
        <w:rPr>
          <w:rFonts w:cs="FrankRuehl" w:hint="cs"/>
          <w:sz w:val="28"/>
          <w:szCs w:val="28"/>
          <w:rtl/>
        </w:rPr>
        <w:t>ש</w:t>
      </w:r>
      <w:r>
        <w:rPr>
          <w:rFonts w:cs="FrankRuehl" w:hint="cs"/>
          <w:sz w:val="28"/>
          <w:szCs w:val="28"/>
          <w:rtl/>
        </w:rPr>
        <w:t>י</w:t>
      </w:r>
      <w:r w:rsidRPr="00675274">
        <w:rPr>
          <w:rFonts w:cs="FrankRuehl" w:hint="cs"/>
          <w:sz w:val="28"/>
          <w:szCs w:val="28"/>
          <w:rtl/>
        </w:rPr>
        <w:t>נה גרס</w:t>
      </w:r>
      <w:r>
        <w:rPr>
          <w:rFonts w:cs="FrankRuehl" w:hint="cs"/>
          <w:sz w:val="28"/>
          <w:szCs w:val="28"/>
          <w:rtl/>
        </w:rPr>
        <w:t>ת</w:t>
      </w:r>
      <w:r w:rsidRPr="00675274">
        <w:rPr>
          <w:rFonts w:cs="FrankRuehl" w:hint="cs"/>
          <w:sz w:val="28"/>
          <w:szCs w:val="28"/>
          <w:rtl/>
        </w:rPr>
        <w:t xml:space="preserve">ו. </w:t>
      </w:r>
      <w:r>
        <w:rPr>
          <w:rFonts w:cs="FrankRuehl" w:hint="cs"/>
          <w:sz w:val="28"/>
          <w:szCs w:val="28"/>
          <w:rtl/>
        </w:rPr>
        <w:t xml:space="preserve">לטענתו, מרשו </w:t>
      </w:r>
      <w:r w:rsidRPr="00675274">
        <w:rPr>
          <w:rFonts w:cs="FrankRuehl" w:hint="cs"/>
          <w:sz w:val="28"/>
          <w:szCs w:val="28"/>
          <w:rtl/>
        </w:rPr>
        <w:t>רכש 4 רימוני הלם, רון אב גיא</w:t>
      </w:r>
      <w:r>
        <w:rPr>
          <w:rFonts w:cs="FrankRuehl" w:hint="cs"/>
          <w:sz w:val="28"/>
          <w:szCs w:val="28"/>
          <w:rtl/>
        </w:rPr>
        <w:t xml:space="preserve"> </w:t>
      </w:r>
      <w:r w:rsidRPr="00675274">
        <w:rPr>
          <w:rFonts w:cs="FrankRuehl" w:hint="cs"/>
          <w:sz w:val="28"/>
          <w:szCs w:val="28"/>
          <w:rtl/>
        </w:rPr>
        <w:t xml:space="preserve">הטמין אותם, </w:t>
      </w:r>
      <w:r>
        <w:rPr>
          <w:rFonts w:cs="FrankRuehl" w:hint="cs"/>
          <w:sz w:val="28"/>
          <w:szCs w:val="28"/>
          <w:rtl/>
        </w:rPr>
        <w:t>ומרשו לא הורשע בהחזקת נשק</w:t>
      </w:r>
      <w:r w:rsidRPr="00675274">
        <w:rPr>
          <w:rFonts w:cs="FrankRuehl" w:hint="cs"/>
          <w:sz w:val="28"/>
          <w:szCs w:val="28"/>
          <w:rtl/>
        </w:rPr>
        <w:t xml:space="preserve">. </w:t>
      </w:r>
      <w:r>
        <w:rPr>
          <w:rFonts w:cs="FrankRuehl" w:hint="cs"/>
          <w:sz w:val="28"/>
          <w:szCs w:val="28"/>
          <w:rtl/>
        </w:rPr>
        <w:t xml:space="preserve">נאשם3 </w:t>
      </w:r>
      <w:r w:rsidRPr="00675274">
        <w:rPr>
          <w:rFonts w:cs="FrankRuehl" w:hint="cs"/>
          <w:sz w:val="28"/>
          <w:szCs w:val="28"/>
          <w:rtl/>
        </w:rPr>
        <w:t xml:space="preserve">רכש רימון אחד. 4 הרימונים של </w:t>
      </w:r>
      <w:r>
        <w:rPr>
          <w:rFonts w:cs="FrankRuehl" w:hint="cs"/>
          <w:sz w:val="28"/>
          <w:szCs w:val="28"/>
          <w:rtl/>
        </w:rPr>
        <w:t xml:space="preserve">מרשו </w:t>
      </w:r>
      <w:r w:rsidRPr="00675274">
        <w:rPr>
          <w:rFonts w:cs="FrankRuehl" w:hint="cs"/>
          <w:sz w:val="28"/>
          <w:szCs w:val="28"/>
          <w:rtl/>
        </w:rPr>
        <w:t>נמצאו</w:t>
      </w:r>
      <w:r>
        <w:rPr>
          <w:rFonts w:cs="FrankRuehl" w:hint="cs"/>
          <w:sz w:val="28"/>
          <w:szCs w:val="28"/>
          <w:rtl/>
        </w:rPr>
        <w:t xml:space="preserve"> והם בידי המשטרה וזהו לא מצב בו לנאשם 2 מגיע עונש שהינו פי ארבעה מעונשו של נאשם 3.</w:t>
      </w:r>
      <w:r w:rsidRPr="00675274">
        <w:rPr>
          <w:rFonts w:cs="FrankRuehl"/>
          <w:sz w:val="28"/>
          <w:szCs w:val="28"/>
          <w:rtl/>
        </w:rPr>
        <w:t xml:space="preserve"> </w:t>
      </w:r>
    </w:p>
    <w:p w14:paraId="460D5A27" w14:textId="77777777" w:rsidR="005E60C5" w:rsidRPr="00675274" w:rsidRDefault="005E60C5" w:rsidP="005E60C5">
      <w:pPr>
        <w:spacing w:line="360" w:lineRule="auto"/>
        <w:rPr>
          <w:rFonts w:cs="FrankRuehl"/>
          <w:sz w:val="28"/>
          <w:szCs w:val="28"/>
          <w:rtl/>
        </w:rPr>
      </w:pPr>
      <w:r>
        <w:rPr>
          <w:rFonts w:cs="FrankRuehl" w:hint="cs"/>
          <w:sz w:val="28"/>
          <w:szCs w:val="28"/>
          <w:rtl/>
        </w:rPr>
        <w:t xml:space="preserve">הנאשם 2 </w:t>
      </w:r>
      <w:r w:rsidRPr="00675274">
        <w:rPr>
          <w:rFonts w:cs="FrankRuehl" w:hint="cs"/>
          <w:sz w:val="28"/>
          <w:szCs w:val="28"/>
          <w:rtl/>
        </w:rPr>
        <w:t>היה עצור 9 חודשים ו-  24 ימים נוספים. הוא ב</w:t>
      </w:r>
      <w:r>
        <w:rPr>
          <w:rFonts w:cs="FrankRuehl" w:hint="cs"/>
          <w:sz w:val="28"/>
          <w:szCs w:val="28"/>
          <w:rtl/>
        </w:rPr>
        <w:t>מעצר באיזוק אלקטרוני למעלה מ-7.5 חודשים בפיקוח אחותו וגיסו דבר שהוביל לקריסת המשפחה.</w:t>
      </w:r>
      <w:r w:rsidRPr="00675274">
        <w:rPr>
          <w:rFonts w:cs="FrankRuehl" w:hint="cs"/>
          <w:sz w:val="28"/>
          <w:szCs w:val="28"/>
          <w:rtl/>
        </w:rPr>
        <w:t xml:space="preserve"> </w:t>
      </w:r>
    </w:p>
    <w:p w14:paraId="0948753F" w14:textId="77777777" w:rsidR="005E60C5" w:rsidRDefault="005E60C5" w:rsidP="005E60C5">
      <w:pPr>
        <w:spacing w:line="360" w:lineRule="auto"/>
        <w:rPr>
          <w:rFonts w:cs="FrankRuehl"/>
          <w:sz w:val="28"/>
          <w:szCs w:val="28"/>
          <w:rtl/>
        </w:rPr>
      </w:pPr>
      <w:r>
        <w:rPr>
          <w:rFonts w:cs="FrankRuehl" w:hint="cs"/>
          <w:sz w:val="28"/>
          <w:szCs w:val="28"/>
          <w:rtl/>
        </w:rPr>
        <w:t xml:space="preserve">ב"כ הנאשם הפנה להלכת </w:t>
      </w:r>
      <w:r w:rsidRPr="00675274">
        <w:rPr>
          <w:rFonts w:cs="FrankRuehl" w:hint="cs"/>
          <w:sz w:val="28"/>
          <w:szCs w:val="28"/>
          <w:rtl/>
        </w:rPr>
        <w:t xml:space="preserve">טחימר </w:t>
      </w:r>
      <w:r>
        <w:rPr>
          <w:rFonts w:cs="FrankRuehl" w:hint="cs"/>
          <w:sz w:val="28"/>
          <w:szCs w:val="28"/>
          <w:rtl/>
        </w:rPr>
        <w:t xml:space="preserve">ולפיה יש </w:t>
      </w:r>
      <w:r w:rsidRPr="00675274">
        <w:rPr>
          <w:rFonts w:cs="FrankRuehl" w:hint="cs"/>
          <w:sz w:val="28"/>
          <w:szCs w:val="28"/>
          <w:rtl/>
        </w:rPr>
        <w:t>להתחשב ב</w:t>
      </w:r>
      <w:r>
        <w:rPr>
          <w:rFonts w:cs="FrankRuehl" w:hint="cs"/>
          <w:sz w:val="28"/>
          <w:szCs w:val="28"/>
          <w:rtl/>
        </w:rPr>
        <w:t>תקופה בה שהה הנאשם ב</w:t>
      </w:r>
      <w:r w:rsidRPr="00675274">
        <w:rPr>
          <w:rFonts w:cs="FrankRuehl" w:hint="cs"/>
          <w:sz w:val="28"/>
          <w:szCs w:val="28"/>
          <w:rtl/>
        </w:rPr>
        <w:t xml:space="preserve">איזוק אלקטרוני. </w:t>
      </w:r>
      <w:r>
        <w:rPr>
          <w:rFonts w:cs="FrankRuehl" w:hint="cs"/>
          <w:sz w:val="28"/>
          <w:szCs w:val="28"/>
          <w:rtl/>
        </w:rPr>
        <w:t>לדעתו גם התחשבות ב</w:t>
      </w:r>
      <w:r w:rsidRPr="00675274">
        <w:rPr>
          <w:rFonts w:cs="FrankRuehl" w:hint="cs"/>
          <w:sz w:val="28"/>
          <w:szCs w:val="28"/>
          <w:rtl/>
        </w:rPr>
        <w:t>מחצית או שליש</w:t>
      </w:r>
      <w:r>
        <w:rPr>
          <w:rFonts w:cs="FrankRuehl" w:hint="cs"/>
          <w:sz w:val="28"/>
          <w:szCs w:val="28"/>
          <w:rtl/>
        </w:rPr>
        <w:t xml:space="preserve"> מתקופת המעצר באיזוק אלקטרוני תגרום לפער של פי שלושה מעונשו של נאשם 3 ולפיכך לטעמו יש להסתפק בתקופת המעצר ולא להשית על הנאשם 2 אף עבודות שירות.</w:t>
      </w:r>
      <w:r w:rsidRPr="00675274">
        <w:rPr>
          <w:rFonts w:cs="FrankRuehl"/>
          <w:sz w:val="28"/>
          <w:szCs w:val="28"/>
          <w:rtl/>
        </w:rPr>
        <w:t xml:space="preserve"> </w:t>
      </w:r>
    </w:p>
    <w:p w14:paraId="3BC694A7" w14:textId="77777777" w:rsidR="005E60C5" w:rsidRDefault="005E60C5" w:rsidP="005E60C5">
      <w:pPr>
        <w:spacing w:line="360" w:lineRule="auto"/>
        <w:rPr>
          <w:rFonts w:cs="FrankRuehl"/>
          <w:sz w:val="28"/>
          <w:szCs w:val="28"/>
          <w:rtl/>
        </w:rPr>
      </w:pPr>
    </w:p>
    <w:p w14:paraId="4C41AF4C" w14:textId="77777777" w:rsidR="005E60C5" w:rsidRDefault="005E60C5" w:rsidP="005E60C5">
      <w:pPr>
        <w:spacing w:line="360" w:lineRule="auto"/>
        <w:rPr>
          <w:rFonts w:cs="FrankRuehl"/>
          <w:sz w:val="28"/>
          <w:szCs w:val="28"/>
          <w:rtl/>
        </w:rPr>
      </w:pPr>
      <w:r>
        <w:rPr>
          <w:rFonts w:cs="FrankRuehl" w:hint="cs"/>
          <w:sz w:val="28"/>
          <w:szCs w:val="28"/>
          <w:rtl/>
        </w:rPr>
        <w:t>לתמיכה בעמדתו העונשית הציג ב"כ הנאשם 2 אסופת פסיקה כמפורט להלן:</w:t>
      </w:r>
    </w:p>
    <w:p w14:paraId="0EEECE47" w14:textId="77777777" w:rsidR="005E60C5" w:rsidRDefault="00093696" w:rsidP="005E60C5">
      <w:pPr>
        <w:spacing w:line="360" w:lineRule="auto"/>
        <w:rPr>
          <w:rFonts w:cs="FrankRuehl"/>
          <w:sz w:val="28"/>
          <w:szCs w:val="28"/>
          <w:rtl/>
        </w:rPr>
      </w:pPr>
      <w:hyperlink r:id="rId29" w:history="1">
        <w:r w:rsidRPr="00093696">
          <w:rPr>
            <w:rFonts w:cs="FrankRuehl" w:hint="eastAsia"/>
            <w:color w:val="0000FF"/>
            <w:sz w:val="28"/>
            <w:szCs w:val="28"/>
            <w:u w:val="single"/>
            <w:rtl/>
          </w:rPr>
          <w:t>ת</w:t>
        </w:r>
        <w:r w:rsidRPr="00093696">
          <w:rPr>
            <w:rFonts w:cs="FrankRuehl"/>
            <w:color w:val="0000FF"/>
            <w:sz w:val="28"/>
            <w:szCs w:val="28"/>
            <w:u w:val="single"/>
            <w:rtl/>
          </w:rPr>
          <w:t>.</w:t>
        </w:r>
        <w:r w:rsidRPr="00093696">
          <w:rPr>
            <w:rFonts w:cs="FrankRuehl" w:hint="eastAsia"/>
            <w:color w:val="0000FF"/>
            <w:sz w:val="28"/>
            <w:szCs w:val="28"/>
            <w:u w:val="single"/>
            <w:rtl/>
          </w:rPr>
          <w:t>פ</w:t>
        </w:r>
        <w:r w:rsidRPr="00093696">
          <w:rPr>
            <w:rFonts w:cs="FrankRuehl"/>
            <w:color w:val="0000FF"/>
            <w:sz w:val="28"/>
            <w:szCs w:val="28"/>
            <w:u w:val="single"/>
            <w:rtl/>
          </w:rPr>
          <w:t>. 265-07-11</w:t>
        </w:r>
      </w:hyperlink>
      <w:r w:rsidR="005E60C5">
        <w:rPr>
          <w:rFonts w:cs="FrankRuehl" w:hint="cs"/>
          <w:sz w:val="28"/>
          <w:szCs w:val="28"/>
          <w:rtl/>
        </w:rPr>
        <w:t xml:space="preserve"> (מחוזי חיפה) </w:t>
      </w:r>
      <w:r w:rsidR="005E60C5" w:rsidRPr="005938E7">
        <w:rPr>
          <w:rFonts w:cs="FrankRuehl" w:hint="cs"/>
          <w:b/>
          <w:bCs/>
          <w:sz w:val="28"/>
          <w:szCs w:val="28"/>
          <w:rtl/>
        </w:rPr>
        <w:t>מדינת ישראל נ' נפתלייב</w:t>
      </w:r>
      <w:r w:rsidR="005E60C5">
        <w:rPr>
          <w:rFonts w:cs="FrankRuehl" w:hint="cs"/>
          <w:sz w:val="28"/>
          <w:szCs w:val="28"/>
          <w:rtl/>
        </w:rPr>
        <w:t xml:space="preserve"> בו הורשע הנאשם בעבירות בנשק לפי </w:t>
      </w:r>
      <w:hyperlink r:id="rId30" w:history="1">
        <w:r w:rsidR="008C59BE" w:rsidRPr="008C59BE">
          <w:rPr>
            <w:rFonts w:cs="FrankRuehl" w:hint="eastAsia"/>
            <w:color w:val="0000FF"/>
            <w:sz w:val="28"/>
            <w:szCs w:val="28"/>
            <w:u w:val="single"/>
            <w:rtl/>
          </w:rPr>
          <w:t>סעיפים</w:t>
        </w:r>
        <w:r w:rsidR="008C59BE" w:rsidRPr="008C59BE">
          <w:rPr>
            <w:rFonts w:cs="FrankRuehl"/>
            <w:color w:val="0000FF"/>
            <w:sz w:val="28"/>
            <w:szCs w:val="28"/>
            <w:u w:val="single"/>
            <w:rtl/>
          </w:rPr>
          <w:t xml:space="preserve"> 144(</w:t>
        </w:r>
        <w:r w:rsidR="008C59BE" w:rsidRPr="008C59BE">
          <w:rPr>
            <w:rFonts w:cs="FrankRuehl" w:hint="eastAsia"/>
            <w:color w:val="0000FF"/>
            <w:sz w:val="28"/>
            <w:szCs w:val="28"/>
            <w:u w:val="single"/>
            <w:rtl/>
          </w:rPr>
          <w:t>א</w:t>
        </w:r>
        <w:r w:rsidR="008C59BE" w:rsidRPr="008C59BE">
          <w:rPr>
            <w:rFonts w:cs="FrankRuehl"/>
            <w:color w:val="0000FF"/>
            <w:sz w:val="28"/>
            <w:szCs w:val="28"/>
            <w:u w:val="single"/>
            <w:rtl/>
          </w:rPr>
          <w:t>)</w:t>
        </w:r>
      </w:hyperlink>
      <w:r w:rsidR="005E60C5">
        <w:rPr>
          <w:rFonts w:cs="FrankRuehl" w:hint="cs"/>
          <w:sz w:val="28"/>
          <w:szCs w:val="28"/>
          <w:rtl/>
        </w:rPr>
        <w:t xml:space="preserve"> רישא ו </w:t>
      </w:r>
      <w:r w:rsidR="005E60C5">
        <w:rPr>
          <w:rFonts w:cs="FrankRuehl"/>
          <w:sz w:val="28"/>
          <w:szCs w:val="28"/>
          <w:rtl/>
        </w:rPr>
        <w:t>–</w:t>
      </w:r>
      <w:r w:rsidR="005E60C5">
        <w:rPr>
          <w:rFonts w:cs="FrankRuehl" w:hint="cs"/>
          <w:sz w:val="28"/>
          <w:szCs w:val="28"/>
          <w:rtl/>
        </w:rPr>
        <w:t xml:space="preserve"> </w:t>
      </w:r>
      <w:hyperlink r:id="rId31" w:history="1">
        <w:r w:rsidR="008C59BE" w:rsidRPr="008C59BE">
          <w:rPr>
            <w:rFonts w:cs="FrankRuehl"/>
            <w:color w:val="0000FF"/>
            <w:sz w:val="28"/>
            <w:szCs w:val="28"/>
            <w:u w:val="single"/>
            <w:rtl/>
          </w:rPr>
          <w:t>144(</w:t>
        </w:r>
        <w:r w:rsidR="008C59BE" w:rsidRPr="008C59BE">
          <w:rPr>
            <w:rFonts w:cs="FrankRuehl" w:hint="eastAsia"/>
            <w:color w:val="0000FF"/>
            <w:sz w:val="28"/>
            <w:szCs w:val="28"/>
            <w:u w:val="single"/>
            <w:rtl/>
          </w:rPr>
          <w:t>ב</w:t>
        </w:r>
        <w:r w:rsidR="008C59BE" w:rsidRPr="008C59BE">
          <w:rPr>
            <w:rFonts w:cs="FrankRuehl"/>
            <w:color w:val="0000FF"/>
            <w:sz w:val="28"/>
            <w:szCs w:val="28"/>
            <w:u w:val="single"/>
            <w:rtl/>
          </w:rPr>
          <w:t>)</w:t>
        </w:r>
      </w:hyperlink>
      <w:r w:rsidR="005E60C5">
        <w:rPr>
          <w:rFonts w:cs="FrankRuehl" w:hint="cs"/>
          <w:sz w:val="28"/>
          <w:szCs w:val="28"/>
          <w:rtl/>
        </w:rPr>
        <w:t xml:space="preserve"> רישא ל</w:t>
      </w:r>
      <w:hyperlink r:id="rId32" w:history="1">
        <w:r w:rsidRPr="00093696">
          <w:rPr>
            <w:rFonts w:cs="FrankRuehl" w:hint="eastAsia"/>
            <w:color w:val="0000FF"/>
            <w:sz w:val="28"/>
            <w:szCs w:val="28"/>
            <w:u w:val="single"/>
            <w:rtl/>
          </w:rPr>
          <w:t>חוק</w:t>
        </w:r>
        <w:r w:rsidRPr="00093696">
          <w:rPr>
            <w:rFonts w:cs="FrankRuehl"/>
            <w:color w:val="0000FF"/>
            <w:sz w:val="28"/>
            <w:szCs w:val="28"/>
            <w:u w:val="single"/>
            <w:rtl/>
          </w:rPr>
          <w:t xml:space="preserve"> </w:t>
        </w:r>
        <w:r w:rsidRPr="00093696">
          <w:rPr>
            <w:rFonts w:cs="FrankRuehl" w:hint="eastAsia"/>
            <w:color w:val="0000FF"/>
            <w:sz w:val="28"/>
            <w:szCs w:val="28"/>
            <w:u w:val="single"/>
            <w:rtl/>
          </w:rPr>
          <w:t>העונשין</w:t>
        </w:r>
      </w:hyperlink>
      <w:r w:rsidR="005E60C5">
        <w:rPr>
          <w:rFonts w:cs="FrankRuehl" w:hint="cs"/>
          <w:sz w:val="28"/>
          <w:szCs w:val="28"/>
          <w:rtl/>
        </w:rPr>
        <w:t xml:space="preserve"> והושתו עליו 400 שעות של"צ וענישה נלוית.</w:t>
      </w:r>
    </w:p>
    <w:p w14:paraId="7A6C4132" w14:textId="77777777" w:rsidR="005E60C5" w:rsidRDefault="005E60C5" w:rsidP="005E60C5">
      <w:pPr>
        <w:spacing w:line="360" w:lineRule="auto"/>
        <w:rPr>
          <w:rFonts w:cs="FrankRuehl"/>
          <w:sz w:val="28"/>
          <w:szCs w:val="28"/>
          <w:rtl/>
        </w:rPr>
      </w:pPr>
      <w:r>
        <w:rPr>
          <w:rFonts w:cs="FrankRuehl" w:hint="cs"/>
          <w:sz w:val="28"/>
          <w:szCs w:val="28"/>
          <w:rtl/>
        </w:rPr>
        <w:t>ב</w:t>
      </w:r>
      <w:hyperlink r:id="rId33" w:history="1">
        <w:r w:rsidR="00093696" w:rsidRPr="00093696">
          <w:rPr>
            <w:rFonts w:cs="FrankRuehl" w:hint="eastAsia"/>
            <w:color w:val="0000FF"/>
            <w:sz w:val="28"/>
            <w:szCs w:val="28"/>
            <w:u w:val="single"/>
            <w:rtl/>
          </w:rPr>
          <w:t>ת</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33495-12-13</w:t>
        </w:r>
      </w:hyperlink>
      <w:r>
        <w:rPr>
          <w:rFonts w:cs="FrankRuehl" w:hint="cs"/>
          <w:sz w:val="28"/>
          <w:szCs w:val="28"/>
          <w:rtl/>
        </w:rPr>
        <w:t xml:space="preserve"> (מחוזי באר שבע) </w:t>
      </w:r>
      <w:r w:rsidRPr="005938E7">
        <w:rPr>
          <w:rFonts w:cs="FrankRuehl" w:hint="cs"/>
          <w:b/>
          <w:bCs/>
          <w:sz w:val="28"/>
          <w:szCs w:val="28"/>
          <w:rtl/>
        </w:rPr>
        <w:t>מדינת ישראל נ' דדשב</w:t>
      </w:r>
      <w:r>
        <w:rPr>
          <w:rFonts w:cs="FrankRuehl" w:hint="cs"/>
          <w:sz w:val="28"/>
          <w:szCs w:val="28"/>
          <w:rtl/>
        </w:rPr>
        <w:t xml:space="preserve"> הורשע הנאשם בעבירות של קשירת קשר לפשע וסיוע לסחר בנשק והושתו עליו 6 חודשי מאסר שירוצו בעבודות שירות.</w:t>
      </w:r>
    </w:p>
    <w:p w14:paraId="260E1F57" w14:textId="77777777" w:rsidR="005E60C5" w:rsidRDefault="005E60C5" w:rsidP="005E60C5">
      <w:pPr>
        <w:spacing w:line="360" w:lineRule="auto"/>
        <w:rPr>
          <w:rFonts w:cs="FrankRuehl"/>
          <w:sz w:val="28"/>
          <w:szCs w:val="28"/>
          <w:rtl/>
        </w:rPr>
      </w:pPr>
      <w:r>
        <w:rPr>
          <w:rFonts w:cs="FrankRuehl" w:hint="cs"/>
          <w:sz w:val="28"/>
          <w:szCs w:val="28"/>
          <w:rtl/>
        </w:rPr>
        <w:t>ב</w:t>
      </w:r>
      <w:hyperlink r:id="rId34" w:history="1">
        <w:r w:rsidR="00093696" w:rsidRPr="00093696">
          <w:rPr>
            <w:rFonts w:cs="FrankRuehl" w:hint="eastAsia"/>
            <w:color w:val="0000FF"/>
            <w:sz w:val="28"/>
            <w:szCs w:val="28"/>
            <w:u w:val="single"/>
            <w:rtl/>
          </w:rPr>
          <w:t>ת</w:t>
        </w:r>
        <w:r w:rsidR="00093696" w:rsidRPr="00093696">
          <w:rPr>
            <w:rFonts w:cs="FrankRuehl"/>
            <w:color w:val="0000FF"/>
            <w:sz w:val="28"/>
            <w:szCs w:val="28"/>
            <w:u w:val="single"/>
            <w:rtl/>
          </w:rPr>
          <w:t>.</w:t>
        </w:r>
        <w:r w:rsidR="00093696" w:rsidRPr="00093696">
          <w:rPr>
            <w:rFonts w:cs="FrankRuehl" w:hint="eastAsia"/>
            <w:color w:val="0000FF"/>
            <w:sz w:val="28"/>
            <w:szCs w:val="28"/>
            <w:u w:val="single"/>
            <w:rtl/>
          </w:rPr>
          <w:t>פ</w:t>
        </w:r>
        <w:r w:rsidR="00093696" w:rsidRPr="00093696">
          <w:rPr>
            <w:rFonts w:cs="FrankRuehl"/>
            <w:color w:val="0000FF"/>
            <w:sz w:val="28"/>
            <w:szCs w:val="28"/>
            <w:u w:val="single"/>
            <w:rtl/>
          </w:rPr>
          <w:t>. 28277-09-15</w:t>
        </w:r>
      </w:hyperlink>
      <w:r>
        <w:rPr>
          <w:rFonts w:cs="FrankRuehl" w:hint="cs"/>
          <w:sz w:val="28"/>
          <w:szCs w:val="28"/>
          <w:rtl/>
        </w:rPr>
        <w:t xml:space="preserve"> (שלום י-ם) </w:t>
      </w:r>
      <w:r w:rsidRPr="005938E7">
        <w:rPr>
          <w:rFonts w:cs="FrankRuehl" w:hint="cs"/>
          <w:b/>
          <w:bCs/>
          <w:sz w:val="28"/>
          <w:szCs w:val="28"/>
          <w:rtl/>
        </w:rPr>
        <w:t>קורנהאוזר נ' מח"ש</w:t>
      </w:r>
      <w:r>
        <w:rPr>
          <w:rFonts w:cs="FrankRuehl" w:hint="cs"/>
          <w:sz w:val="28"/>
          <w:szCs w:val="28"/>
          <w:rtl/>
        </w:rPr>
        <w:t xml:space="preserve"> הורשע הנאשם בעבירות של גניבת רימוני הלם מבסיס בו שירת והחזקתם ונדון ל-6 חודשי מאסר שירוצו בעבודות שירות.</w:t>
      </w:r>
    </w:p>
    <w:p w14:paraId="06D50FF8" w14:textId="77777777" w:rsidR="005E60C5" w:rsidRDefault="005E60C5" w:rsidP="005E60C5">
      <w:pPr>
        <w:pStyle w:val="David"/>
        <w:rPr>
          <w:rFonts w:ascii="David" w:hAnsi="David" w:cs="FrankRuehl"/>
          <w:bCs/>
          <w:sz w:val="28"/>
          <w:szCs w:val="28"/>
          <w:u w:val="double"/>
          <w:rtl/>
        </w:rPr>
      </w:pPr>
      <w:r>
        <w:rPr>
          <w:rFonts w:ascii="David" w:hAnsi="David" w:cs="FrankRuehl" w:hint="cs"/>
          <w:bCs/>
          <w:sz w:val="28"/>
          <w:szCs w:val="28"/>
          <w:u w:val="double"/>
          <w:rtl/>
        </w:rPr>
        <w:t>דיון והכרעה:</w:t>
      </w:r>
    </w:p>
    <w:p w14:paraId="36D25BE2" w14:textId="77777777" w:rsidR="005E60C5" w:rsidRDefault="005E60C5" w:rsidP="005E60C5">
      <w:pPr>
        <w:pStyle w:val="David"/>
        <w:rPr>
          <w:rFonts w:ascii="David" w:hAnsi="David" w:cs="FrankRuehl"/>
          <w:b/>
          <w:sz w:val="28"/>
          <w:szCs w:val="28"/>
          <w:rtl/>
        </w:rPr>
      </w:pPr>
      <w:r>
        <w:rPr>
          <w:rFonts w:ascii="David" w:hAnsi="David" w:cs="FrankRuehl" w:hint="cs"/>
          <w:b/>
          <w:sz w:val="28"/>
          <w:szCs w:val="28"/>
          <w:rtl/>
        </w:rPr>
        <w:t>ב</w:t>
      </w:r>
      <w:hyperlink r:id="rId35" w:history="1">
        <w:r w:rsidR="00093696" w:rsidRPr="00093696">
          <w:rPr>
            <w:rFonts w:ascii="David" w:hAnsi="David" w:cs="FrankRuehl"/>
            <w:b/>
            <w:color w:val="0000FF"/>
            <w:sz w:val="28"/>
            <w:szCs w:val="28"/>
            <w:u w:val="single"/>
            <w:rtl/>
          </w:rPr>
          <w:t>ע"פ 7124/06</w:t>
        </w:r>
      </w:hyperlink>
      <w:r>
        <w:rPr>
          <w:rFonts w:ascii="David" w:hAnsi="David" w:cs="FrankRuehl" w:hint="cs"/>
          <w:b/>
          <w:sz w:val="28"/>
          <w:szCs w:val="28"/>
          <w:rtl/>
        </w:rPr>
        <w:t xml:space="preserve"> קבע בית המשפט העליון כי אינו מתערב בהגדרת רימוני ההלם כנשק אך לצד זאת קבע כי "אך מובן הוא כי דרגת החומרה הנעוצה בהחזקת רימונים כאלה פחותה מדרגת החומרה שבהחזקת רימונים "רגילים". עניין זה נוגע לעונש ולא להרשעה".</w:t>
      </w:r>
    </w:p>
    <w:p w14:paraId="3F1BCF2F" w14:textId="77777777" w:rsidR="005E60C5" w:rsidRDefault="005E60C5" w:rsidP="005E60C5">
      <w:pPr>
        <w:pStyle w:val="David"/>
        <w:rPr>
          <w:rFonts w:ascii="David" w:hAnsi="David" w:cs="FrankRuehl"/>
          <w:b/>
          <w:sz w:val="28"/>
          <w:szCs w:val="28"/>
          <w:rtl/>
        </w:rPr>
      </w:pPr>
      <w:r>
        <w:rPr>
          <w:rFonts w:ascii="David" w:hAnsi="David" w:cs="FrankRuehl" w:hint="cs"/>
          <w:b/>
          <w:sz w:val="28"/>
          <w:szCs w:val="28"/>
          <w:rtl/>
        </w:rPr>
        <w:t>עוד נפסק 1323/13 חסן נ' מדינת ישראל כי:</w:t>
      </w:r>
    </w:p>
    <w:p w14:paraId="28E80F00" w14:textId="77777777" w:rsidR="005E60C5" w:rsidRPr="001816D6" w:rsidRDefault="005E60C5" w:rsidP="005E60C5">
      <w:pPr>
        <w:pStyle w:val="Ruller50"/>
        <w:rPr>
          <w:rFonts w:ascii="Times New Roman" w:hAnsi="Times New Roman"/>
          <w:rtl/>
        </w:rPr>
      </w:pPr>
      <w:r>
        <w:rPr>
          <w:rFonts w:ascii="David" w:hAnsi="David" w:hint="cs"/>
          <w:b/>
          <w:rtl/>
        </w:rPr>
        <w:t>"</w:t>
      </w:r>
      <w:r w:rsidRPr="001816D6">
        <w:rPr>
          <w:rFonts w:ascii="David" w:hAnsi="David" w:hint="cs"/>
          <w:b/>
          <w:rtl/>
        </w:rPr>
        <w:t>אכן מגמת בתי המשפט הינה החמרה בעבירות שעניינן נשק שכן , כפי שנפסק ב</w:t>
      </w:r>
      <w:hyperlink r:id="rId36" w:history="1">
        <w:r w:rsidR="00093696" w:rsidRPr="00093696">
          <w:rPr>
            <w:rFonts w:ascii="David" w:hAnsi="David"/>
            <w:b/>
            <w:color w:val="0000FF"/>
            <w:u w:val="single"/>
            <w:rtl/>
          </w:rPr>
          <w:t>ע"פ 1323/13</w:t>
        </w:r>
      </w:hyperlink>
      <w:r w:rsidRPr="001816D6">
        <w:rPr>
          <w:rFonts w:ascii="David" w:hAnsi="David" w:hint="cs"/>
          <w:b/>
          <w:rtl/>
        </w:rPr>
        <w:t xml:space="preserve"> חסן נ' מדינת ישראל "</w:t>
      </w:r>
      <w:r w:rsidRPr="001816D6">
        <w:rPr>
          <w:rtl/>
        </w:rPr>
        <w:t xml:space="preserve"> "כבר נאמר לא אחת בפסיקתנו כי מידת העונש המוטל בגין עבירות המבוצעות בנשק, מושפעת מפוטנציאל הסיכון הרב הטמון בנשק המוחזק שלא כדין ומהעברתו מיד ליד ללא פיקוח. בבוא בית-המשפט לגזור את הדין בעבירה של החזקה ונשיאה של נשק עליו להתחשב בנסיבות שבהן באה לידי ביטוי החומרה המיוחדת שבעבירה. בין היתר, ייתן בית-המשפט דעתו על סוג הנשק המוחזק שלא כדין, על כמותו, על התכלית שלשמה הוא מוחזק ועל הסכנה המוחשית שיעשה בו שימוש (</w:t>
      </w:r>
      <w:r w:rsidRPr="001816D6">
        <w:rPr>
          <w:rFonts w:ascii="Times New Roman" w:hAnsi="Times New Roman"/>
          <w:rtl/>
        </w:rPr>
        <w:t xml:space="preserve">השוו </w:t>
      </w:r>
      <w:hyperlink r:id="rId37" w:history="1">
        <w:r w:rsidR="00093696" w:rsidRPr="00093696">
          <w:rPr>
            <w:rFonts w:ascii="Times New Roman" w:hAnsi="Times New Roman"/>
            <w:color w:val="0000FF"/>
            <w:u w:val="single"/>
            <w:rtl/>
          </w:rPr>
          <w:t>ב"ש 625/82</w:t>
        </w:r>
      </w:hyperlink>
      <w:r w:rsidRPr="001816D6">
        <w:rPr>
          <w:rFonts w:ascii="Times New Roman" w:hAnsi="Times New Roman"/>
          <w:rtl/>
        </w:rPr>
        <w:t xml:space="preserve"> מחמוד נ' מדינת ישראל [1]).</w:t>
      </w:r>
      <w:r w:rsidRPr="001816D6">
        <w:rPr>
          <w:rtl/>
        </w:rPr>
        <w:t xml:space="preserve"> כאשר מדובר בנשק שעל-פי טיבו אינו מיועד להגנה עצמית, וכל כולו נשק התקפי רב עוצמה אשר השימוש בו יכול להביא להרג ללא הבחנה, יש בעבירת ההחזקה והנשיאה של אותו נשק חומרה מיוחדת.</w:t>
      </w:r>
      <w:r w:rsidRPr="001816D6">
        <w:rPr>
          <w:rFonts w:ascii="Times New Roman" w:hAnsi="Times New Roman"/>
          <w:rtl/>
        </w:rPr>
        <w:t>" (</w:t>
      </w:r>
      <w:r w:rsidRPr="00093696">
        <w:rPr>
          <w:rFonts w:ascii="Times New Roman" w:hAnsi="Times New Roman"/>
          <w:color w:val="000000"/>
          <w:rtl/>
        </w:rPr>
        <w:t>ע"פ 1332/04 פס נ' מדינת ישראל, פ"ד נח</w:t>
      </w:r>
      <w:r w:rsidRPr="001816D6">
        <w:rPr>
          <w:rFonts w:ascii="Times New Roman" w:hAnsi="Times New Roman"/>
          <w:rtl/>
        </w:rPr>
        <w:t xml:space="preserve">(5) 541, 544 (2004); ראו גם: </w:t>
      </w:r>
      <w:hyperlink r:id="rId38" w:history="1">
        <w:r w:rsidR="00093696" w:rsidRPr="00093696">
          <w:rPr>
            <w:rFonts w:ascii="Times New Roman" w:hAnsi="Times New Roman"/>
            <w:color w:val="0000FF"/>
            <w:u w:val="single"/>
            <w:rtl/>
          </w:rPr>
          <w:t>ע"פ 7384/07</w:t>
        </w:r>
      </w:hyperlink>
      <w:r w:rsidRPr="001816D6">
        <w:rPr>
          <w:rFonts w:ascii="Times New Roman" w:hAnsi="Times New Roman"/>
          <w:rtl/>
        </w:rPr>
        <w:t xml:space="preserve"> </w:t>
      </w:r>
      <w:r w:rsidRPr="001816D6">
        <w:rPr>
          <w:rFonts w:ascii="Times New Roman" w:hAnsi="Times New Roman" w:cs="Miriam"/>
          <w:szCs w:val="24"/>
          <w:rtl/>
        </w:rPr>
        <w:t>ליזמי נ' מדינת ישראל</w:t>
      </w:r>
      <w:r w:rsidRPr="001816D6">
        <w:rPr>
          <w:rFonts w:ascii="Times New Roman" w:hAnsi="Times New Roman"/>
          <w:rtl/>
        </w:rPr>
        <w:t xml:space="preserve"> </w:t>
      </w:r>
      <w:r w:rsidRPr="001816D6">
        <w:rPr>
          <w:rFonts w:ascii="Times New Roman" w:hAnsi="Times New Roman" w:cs="David"/>
          <w:spacing w:val="0"/>
          <w:szCs w:val="24"/>
          <w:rtl/>
        </w:rPr>
        <w:t xml:space="preserve">[פורסם בנבו] </w:t>
      </w:r>
      <w:r w:rsidRPr="001816D6">
        <w:rPr>
          <w:rFonts w:ascii="Times New Roman" w:hAnsi="Times New Roman"/>
          <w:rtl/>
        </w:rPr>
        <w:t>(6.3.08))</w:t>
      </w:r>
      <w:r>
        <w:rPr>
          <w:rFonts w:ascii="Times New Roman" w:hAnsi="Times New Roman" w:hint="cs"/>
          <w:rtl/>
        </w:rPr>
        <w:t>”</w:t>
      </w:r>
      <w:r w:rsidRPr="001816D6">
        <w:rPr>
          <w:rFonts w:ascii="Times New Roman" w:hAnsi="Times New Roman"/>
          <w:rtl/>
        </w:rPr>
        <w:t>.</w:t>
      </w:r>
    </w:p>
    <w:p w14:paraId="69942D11" w14:textId="77777777" w:rsidR="005E60C5" w:rsidRDefault="005E60C5" w:rsidP="005E60C5">
      <w:pPr>
        <w:pStyle w:val="David"/>
        <w:rPr>
          <w:rFonts w:ascii="David" w:hAnsi="David" w:cs="FrankRuehl"/>
          <w:b/>
          <w:sz w:val="28"/>
          <w:szCs w:val="28"/>
          <w:rtl/>
        </w:rPr>
      </w:pPr>
      <w:r>
        <w:rPr>
          <w:rFonts w:ascii="David" w:hAnsi="David" w:cs="FrankRuehl" w:hint="cs"/>
          <w:b/>
          <w:sz w:val="28"/>
          <w:szCs w:val="28"/>
          <w:rtl/>
        </w:rPr>
        <w:t>המאשימה הגבילה עצמה בעניינו של נאשם 2 לעונש ראוי של 15 חודשי מאסר בניכוי ימי מעצרו.</w:t>
      </w:r>
    </w:p>
    <w:p w14:paraId="7491DC9C" w14:textId="77777777" w:rsidR="005E60C5" w:rsidRDefault="005E60C5" w:rsidP="005E60C5">
      <w:pPr>
        <w:spacing w:line="360" w:lineRule="auto"/>
        <w:rPr>
          <w:rFonts w:cs="FrankRuehl"/>
          <w:sz w:val="28"/>
          <w:szCs w:val="28"/>
          <w:rtl/>
        </w:rPr>
      </w:pPr>
      <w:r>
        <w:rPr>
          <w:rFonts w:cs="FrankRuehl" w:hint="cs"/>
          <w:sz w:val="28"/>
          <w:szCs w:val="28"/>
          <w:rtl/>
        </w:rPr>
        <w:t xml:space="preserve">הנאשם 2 </w:t>
      </w:r>
      <w:r w:rsidRPr="00675274">
        <w:rPr>
          <w:rFonts w:cs="FrankRuehl" w:hint="cs"/>
          <w:sz w:val="28"/>
          <w:szCs w:val="28"/>
          <w:rtl/>
        </w:rPr>
        <w:t>היה עצור 9 חודשים ו-  24 ימים</w:t>
      </w:r>
      <w:r>
        <w:rPr>
          <w:rFonts w:cs="FrankRuehl" w:hint="cs"/>
          <w:sz w:val="28"/>
          <w:szCs w:val="28"/>
          <w:rtl/>
        </w:rPr>
        <w:t xml:space="preserve"> ו</w:t>
      </w:r>
      <w:r w:rsidRPr="00675274">
        <w:rPr>
          <w:rFonts w:cs="FrankRuehl" w:hint="cs"/>
          <w:sz w:val="28"/>
          <w:szCs w:val="28"/>
          <w:rtl/>
        </w:rPr>
        <w:t>ב</w:t>
      </w:r>
      <w:r>
        <w:rPr>
          <w:rFonts w:cs="FrankRuehl" w:hint="cs"/>
          <w:sz w:val="28"/>
          <w:szCs w:val="28"/>
          <w:rtl/>
        </w:rPr>
        <w:t xml:space="preserve">מעצר באיזוק אלקטרוני למעלה מ-8 </w:t>
      </w:r>
      <w:r w:rsidRPr="00675274">
        <w:rPr>
          <w:rFonts w:cs="FrankRuehl" w:hint="cs"/>
          <w:sz w:val="28"/>
          <w:szCs w:val="28"/>
          <w:rtl/>
        </w:rPr>
        <w:t xml:space="preserve"> חודשים </w:t>
      </w:r>
      <w:r>
        <w:rPr>
          <w:rFonts w:cs="FrankRuehl" w:hint="cs"/>
          <w:sz w:val="28"/>
          <w:szCs w:val="28"/>
          <w:rtl/>
        </w:rPr>
        <w:t>.</w:t>
      </w:r>
    </w:p>
    <w:p w14:paraId="1AC93B0B" w14:textId="77777777" w:rsidR="005E60C5" w:rsidRDefault="005E60C5" w:rsidP="005E60C5">
      <w:pPr>
        <w:spacing w:line="360" w:lineRule="auto"/>
        <w:rPr>
          <w:rFonts w:cs="FrankRuehl"/>
          <w:sz w:val="28"/>
          <w:szCs w:val="28"/>
          <w:rtl/>
        </w:rPr>
      </w:pPr>
      <w:r>
        <w:rPr>
          <w:rFonts w:cs="FrankRuehl" w:hint="cs"/>
          <w:sz w:val="28"/>
          <w:szCs w:val="28"/>
          <w:rtl/>
        </w:rPr>
        <w:t>אף בניכוי תקופת מעצרו, מעצר של ממש, יתרת העונש לריצוי הינה כחמישה חודשים.</w:t>
      </w:r>
    </w:p>
    <w:p w14:paraId="34EADDE7" w14:textId="77777777" w:rsidR="005E60C5" w:rsidRDefault="005E60C5" w:rsidP="005E60C5">
      <w:pPr>
        <w:spacing w:line="360" w:lineRule="auto"/>
        <w:rPr>
          <w:rFonts w:ascii="David" w:hAnsi="David" w:cs="FrankRuehl"/>
          <w:sz w:val="28"/>
          <w:szCs w:val="28"/>
          <w:rtl/>
        </w:rPr>
      </w:pPr>
      <w:r>
        <w:rPr>
          <w:rFonts w:cs="FrankRuehl" w:hint="cs"/>
          <w:sz w:val="28"/>
          <w:szCs w:val="28"/>
          <w:rtl/>
        </w:rPr>
        <w:t xml:space="preserve">בדו"ח ועדת דורנר , </w:t>
      </w:r>
      <w:r>
        <w:rPr>
          <w:rFonts w:ascii="David" w:hAnsi="David" w:cs="FrankRuehl" w:hint="cs"/>
          <w:sz w:val="28"/>
          <w:szCs w:val="28"/>
          <w:rtl/>
        </w:rPr>
        <w:t>הועדה הציבורית לבחינת מדיניות הענישה וטיפול בעבריינים, קיימת המלצה לנסות ולצמצם את המגרעות ההרסניות של המאסר במקרים מתאימים. כאשר יש כוונה להטיל עונש מאסר קצר, תקופה כזו אינה מאפשרת שיקום וטיפול, והטלת עבודות שירות אינה עומדת בניגוד לעקרון ההלימה והמלצות הוועדה.</w:t>
      </w:r>
    </w:p>
    <w:p w14:paraId="314FB6A5" w14:textId="77777777" w:rsidR="005E60C5" w:rsidRDefault="005E60C5" w:rsidP="005E60C5">
      <w:pPr>
        <w:spacing w:line="360" w:lineRule="auto"/>
        <w:rPr>
          <w:rFonts w:ascii="David" w:hAnsi="David" w:cs="FrankRuehl"/>
          <w:sz w:val="28"/>
          <w:szCs w:val="28"/>
          <w:rtl/>
        </w:rPr>
      </w:pPr>
      <w:r>
        <w:rPr>
          <w:rFonts w:ascii="David" w:hAnsi="David" w:cs="FrankRuehl" w:hint="cs"/>
          <w:sz w:val="28"/>
          <w:szCs w:val="28"/>
          <w:rtl/>
        </w:rPr>
        <w:t>יש עוד להדגיש כי בפרשה זו נגזרו על רון אב-גיא 30 חודשי מאסר בפועל על ידי כבוד השופטת עטר ב</w:t>
      </w:r>
      <w:hyperlink r:id="rId39" w:history="1">
        <w:r w:rsidR="00093696" w:rsidRPr="00093696">
          <w:rPr>
            <w:rFonts w:ascii="David" w:hAnsi="David" w:cs="FrankRuehl"/>
            <w:color w:val="0000FF"/>
            <w:sz w:val="28"/>
            <w:szCs w:val="28"/>
            <w:u w:val="single"/>
            <w:rtl/>
          </w:rPr>
          <w:t>תיק פלילי 12587-11-15</w:t>
        </w:r>
      </w:hyperlink>
      <w:r>
        <w:rPr>
          <w:rFonts w:ascii="David" w:hAnsi="David" w:cs="FrankRuehl" w:hint="cs"/>
          <w:sz w:val="28"/>
          <w:szCs w:val="28"/>
          <w:rtl/>
        </w:rPr>
        <w:t>. בערעור שהוגש לבית המשפט העליון הועמד עונשו על כשנה וחמישה חודשים, קרי: 17 חודשים. (</w:t>
      </w:r>
      <w:hyperlink r:id="rId40" w:history="1">
        <w:r w:rsidR="00093696" w:rsidRPr="00093696">
          <w:rPr>
            <w:rFonts w:ascii="David" w:hAnsi="David" w:cs="FrankRuehl"/>
            <w:color w:val="0000FF"/>
            <w:sz w:val="28"/>
            <w:szCs w:val="28"/>
            <w:u w:val="single"/>
            <w:rtl/>
          </w:rPr>
          <w:t>ע.פ. 1805/17</w:t>
        </w:r>
      </w:hyperlink>
      <w:r>
        <w:rPr>
          <w:rFonts w:ascii="David" w:hAnsi="David" w:cs="FrankRuehl" w:hint="cs"/>
          <w:sz w:val="28"/>
          <w:szCs w:val="28"/>
          <w:rtl/>
        </w:rPr>
        <w:t xml:space="preserve"> מיום 5.4.17).</w:t>
      </w:r>
    </w:p>
    <w:p w14:paraId="5A1E959B" w14:textId="77777777" w:rsidR="005E60C5" w:rsidRDefault="005E60C5" w:rsidP="005E60C5">
      <w:pPr>
        <w:spacing w:line="360" w:lineRule="auto"/>
        <w:rPr>
          <w:rFonts w:ascii="David" w:hAnsi="David" w:cs="FrankRuehl"/>
          <w:sz w:val="28"/>
          <w:szCs w:val="28"/>
          <w:rtl/>
        </w:rPr>
      </w:pPr>
      <w:r>
        <w:rPr>
          <w:rFonts w:ascii="David" w:hAnsi="David" w:cs="FrankRuehl" w:hint="cs"/>
          <w:sz w:val="28"/>
          <w:szCs w:val="28"/>
          <w:rtl/>
        </w:rPr>
        <w:t>לאור האמור לעיל, הנני גוזרת על הנאשמים את העונשים הבאים:</w:t>
      </w:r>
    </w:p>
    <w:p w14:paraId="625E47F4" w14:textId="77777777" w:rsidR="005E60C5" w:rsidRPr="00217921" w:rsidRDefault="005E60C5" w:rsidP="005E60C5">
      <w:pPr>
        <w:spacing w:line="360" w:lineRule="auto"/>
        <w:rPr>
          <w:rFonts w:ascii="David" w:hAnsi="David" w:cs="FrankRuehl"/>
          <w:b/>
          <w:bCs/>
          <w:sz w:val="28"/>
          <w:szCs w:val="28"/>
          <w:u w:val="single"/>
          <w:rtl/>
        </w:rPr>
      </w:pPr>
      <w:r>
        <w:rPr>
          <w:rFonts w:ascii="David" w:hAnsi="David" w:cs="FrankRuehl" w:hint="cs"/>
          <w:b/>
          <w:bCs/>
          <w:sz w:val="28"/>
          <w:szCs w:val="28"/>
          <w:u w:val="single"/>
          <w:rtl/>
        </w:rPr>
        <w:t>נאשם 1:</w:t>
      </w:r>
    </w:p>
    <w:p w14:paraId="55FB4404" w14:textId="77777777" w:rsidR="005E60C5" w:rsidRDefault="005E60C5" w:rsidP="005E60C5">
      <w:pPr>
        <w:pStyle w:val="David"/>
        <w:rPr>
          <w:rFonts w:cs="FrankRuehl"/>
          <w:sz w:val="28"/>
          <w:szCs w:val="28"/>
          <w:rtl/>
        </w:rPr>
      </w:pPr>
      <w:r>
        <w:rPr>
          <w:rFonts w:ascii="David" w:hAnsi="David" w:cs="FrankRuehl" w:hint="cs"/>
          <w:sz w:val="28"/>
          <w:szCs w:val="28"/>
          <w:rtl/>
        </w:rPr>
        <w:t>1.</w:t>
      </w:r>
      <w:r>
        <w:rPr>
          <w:rFonts w:ascii="David" w:hAnsi="David" w:cs="FrankRuehl"/>
          <w:sz w:val="28"/>
          <w:szCs w:val="28"/>
          <w:rtl/>
        </w:rPr>
        <w:tab/>
      </w:r>
      <w:r w:rsidRPr="00675274">
        <w:rPr>
          <w:rFonts w:cs="FrankRuehl" w:hint="cs"/>
          <w:sz w:val="28"/>
          <w:szCs w:val="28"/>
          <w:rtl/>
        </w:rPr>
        <w:t>22 חודשי</w:t>
      </w:r>
      <w:r>
        <w:rPr>
          <w:rFonts w:cs="FrankRuehl" w:hint="cs"/>
          <w:sz w:val="28"/>
          <w:szCs w:val="28"/>
          <w:rtl/>
        </w:rPr>
        <w:t xml:space="preserve"> מאסר בפועל שמניינם מיום מעצרו  24.10.15.</w:t>
      </w:r>
    </w:p>
    <w:p w14:paraId="236D2845" w14:textId="77777777" w:rsidR="005E60C5" w:rsidRDefault="005E60C5" w:rsidP="005E60C5">
      <w:pPr>
        <w:pStyle w:val="David"/>
        <w:ind w:left="720" w:hanging="720"/>
        <w:rPr>
          <w:rFonts w:cs="FrankRuehl"/>
          <w:sz w:val="28"/>
          <w:szCs w:val="28"/>
          <w:rtl/>
        </w:rPr>
      </w:pPr>
      <w:r>
        <w:rPr>
          <w:rFonts w:cs="FrankRuehl" w:hint="cs"/>
          <w:sz w:val="28"/>
          <w:szCs w:val="28"/>
          <w:rtl/>
        </w:rPr>
        <w:t>2.</w:t>
      </w:r>
      <w:r>
        <w:rPr>
          <w:rFonts w:cs="FrankRuehl" w:hint="cs"/>
          <w:sz w:val="28"/>
          <w:szCs w:val="28"/>
          <w:rtl/>
        </w:rPr>
        <w:tab/>
        <w:t>9 חודשי מאסר על תנאי והתנאי הוא שתוך שלוש שנים מיום שחרורו ממאסר לא יעבור עבירת נשק.</w:t>
      </w:r>
    </w:p>
    <w:p w14:paraId="2DAE983D" w14:textId="77777777" w:rsidR="005E60C5" w:rsidRDefault="005E60C5" w:rsidP="005E60C5">
      <w:pPr>
        <w:pStyle w:val="David"/>
        <w:rPr>
          <w:rFonts w:cs="FrankRuehl"/>
          <w:sz w:val="28"/>
          <w:szCs w:val="28"/>
          <w:rtl/>
        </w:rPr>
      </w:pPr>
      <w:r>
        <w:rPr>
          <w:rFonts w:cs="FrankRuehl" w:hint="cs"/>
          <w:sz w:val="28"/>
          <w:szCs w:val="28"/>
          <w:rtl/>
        </w:rPr>
        <w:t>3.</w:t>
      </w:r>
      <w:r>
        <w:rPr>
          <w:rFonts w:cs="FrankRuehl" w:hint="cs"/>
          <w:sz w:val="28"/>
          <w:szCs w:val="28"/>
          <w:rtl/>
        </w:rPr>
        <w:tab/>
        <w:t xml:space="preserve">3,000 </w:t>
      </w:r>
      <w:r>
        <w:rPr>
          <w:rFonts w:cs="FrankRuehl" w:hint="eastAsia"/>
          <w:sz w:val="28"/>
          <w:szCs w:val="28"/>
          <w:rtl/>
        </w:rPr>
        <w:t>₪</w:t>
      </w:r>
      <w:r>
        <w:rPr>
          <w:rFonts w:cs="FrankRuehl" w:hint="cs"/>
          <w:sz w:val="28"/>
          <w:szCs w:val="28"/>
          <w:rtl/>
        </w:rPr>
        <w:t xml:space="preserve"> קנס או 30 ימי מאסר תמורתו.</w:t>
      </w:r>
    </w:p>
    <w:p w14:paraId="1E132657" w14:textId="77777777" w:rsidR="005E60C5" w:rsidRPr="00A73F68" w:rsidRDefault="005E60C5" w:rsidP="005E60C5">
      <w:pPr>
        <w:pStyle w:val="David"/>
        <w:rPr>
          <w:rFonts w:cs="FrankRuehl"/>
          <w:sz w:val="12"/>
          <w:szCs w:val="12"/>
          <w:rtl/>
        </w:rPr>
      </w:pPr>
    </w:p>
    <w:p w14:paraId="5FB2AAB3" w14:textId="77777777" w:rsidR="005E60C5" w:rsidRDefault="005E60C5" w:rsidP="005E60C5">
      <w:pPr>
        <w:pStyle w:val="David"/>
        <w:rPr>
          <w:rFonts w:cs="FrankRuehl"/>
          <w:b/>
          <w:bCs/>
          <w:sz w:val="28"/>
          <w:szCs w:val="28"/>
          <w:u w:val="single"/>
          <w:rtl/>
        </w:rPr>
      </w:pPr>
      <w:r>
        <w:rPr>
          <w:rFonts w:cs="FrankRuehl" w:hint="cs"/>
          <w:b/>
          <w:bCs/>
          <w:sz w:val="28"/>
          <w:szCs w:val="28"/>
          <w:u w:val="single"/>
          <w:rtl/>
        </w:rPr>
        <w:t>נאשם 2:</w:t>
      </w:r>
    </w:p>
    <w:p w14:paraId="644B7FB9" w14:textId="77777777" w:rsidR="005E60C5" w:rsidRDefault="005E60C5" w:rsidP="005E60C5">
      <w:pPr>
        <w:pStyle w:val="David"/>
        <w:ind w:left="720" w:hanging="720"/>
        <w:rPr>
          <w:rFonts w:cs="FrankRuehl"/>
          <w:sz w:val="28"/>
          <w:szCs w:val="28"/>
          <w:rtl/>
        </w:rPr>
      </w:pPr>
      <w:r>
        <w:rPr>
          <w:rFonts w:cs="FrankRuehl" w:hint="cs"/>
          <w:sz w:val="28"/>
          <w:szCs w:val="28"/>
          <w:rtl/>
        </w:rPr>
        <w:t>1.</w:t>
      </w:r>
      <w:r>
        <w:rPr>
          <w:rFonts w:cs="FrankRuehl" w:hint="cs"/>
          <w:sz w:val="28"/>
          <w:szCs w:val="28"/>
          <w:rtl/>
        </w:rPr>
        <w:tab/>
        <w:t>5 חודשי מאסר אשר ירוצו בעבודות שירות. הנאשם יתייצב ביום 13.6.17 בשעה 08:00 ביחידת עבודות שירות , מפקדת מחוז המרכז.</w:t>
      </w:r>
    </w:p>
    <w:p w14:paraId="3F6FCF39" w14:textId="77777777" w:rsidR="005E60C5" w:rsidRDefault="005E60C5" w:rsidP="005E60C5">
      <w:pPr>
        <w:pStyle w:val="David"/>
        <w:ind w:left="720" w:hanging="720"/>
        <w:rPr>
          <w:rFonts w:cs="FrankRuehl"/>
          <w:sz w:val="28"/>
          <w:szCs w:val="28"/>
          <w:rtl/>
        </w:rPr>
      </w:pPr>
      <w:r>
        <w:rPr>
          <w:rFonts w:cs="FrankRuehl" w:hint="cs"/>
          <w:sz w:val="28"/>
          <w:szCs w:val="28"/>
          <w:rtl/>
        </w:rPr>
        <w:t>2.</w:t>
      </w:r>
      <w:r>
        <w:rPr>
          <w:rFonts w:cs="FrankRuehl" w:hint="cs"/>
          <w:sz w:val="28"/>
          <w:szCs w:val="28"/>
          <w:rtl/>
        </w:rPr>
        <w:tab/>
        <w:t>7 חודשי מאסר על תנאי והתנאי הוא שתוך שלוש שנים מיום שחרורו ממאסר לא יעבור עבירת נשק.</w:t>
      </w:r>
    </w:p>
    <w:p w14:paraId="3F6D9094" w14:textId="77777777" w:rsidR="005E60C5" w:rsidRDefault="005E60C5" w:rsidP="005E60C5">
      <w:pPr>
        <w:pStyle w:val="David"/>
        <w:rPr>
          <w:rFonts w:cs="FrankRuehl"/>
          <w:sz w:val="28"/>
          <w:szCs w:val="28"/>
          <w:rtl/>
        </w:rPr>
      </w:pPr>
      <w:r>
        <w:rPr>
          <w:rFonts w:cs="FrankRuehl" w:hint="cs"/>
          <w:sz w:val="28"/>
          <w:szCs w:val="28"/>
          <w:rtl/>
        </w:rPr>
        <w:t>3.</w:t>
      </w:r>
      <w:r>
        <w:rPr>
          <w:rFonts w:cs="FrankRuehl"/>
          <w:sz w:val="28"/>
          <w:szCs w:val="28"/>
          <w:rtl/>
        </w:rPr>
        <w:tab/>
      </w:r>
      <w:r>
        <w:rPr>
          <w:rFonts w:cs="FrankRuehl" w:hint="cs"/>
          <w:sz w:val="28"/>
          <w:szCs w:val="28"/>
          <w:rtl/>
        </w:rPr>
        <w:t xml:space="preserve">2,000 </w:t>
      </w:r>
      <w:r>
        <w:rPr>
          <w:rFonts w:cs="FrankRuehl" w:hint="eastAsia"/>
          <w:sz w:val="28"/>
          <w:szCs w:val="28"/>
          <w:rtl/>
        </w:rPr>
        <w:t>₪</w:t>
      </w:r>
      <w:r>
        <w:rPr>
          <w:rFonts w:cs="FrankRuehl" w:hint="cs"/>
          <w:sz w:val="28"/>
          <w:szCs w:val="28"/>
          <w:rtl/>
        </w:rPr>
        <w:t xml:space="preserve"> קנס או 15 ימי מאסר תמורתו.</w:t>
      </w:r>
    </w:p>
    <w:p w14:paraId="6950538E" w14:textId="77777777" w:rsidR="005E60C5" w:rsidRDefault="005E60C5" w:rsidP="005E60C5">
      <w:pPr>
        <w:pStyle w:val="David"/>
        <w:rPr>
          <w:rFonts w:cs="FrankRuehl"/>
          <w:b/>
          <w:bCs/>
          <w:sz w:val="28"/>
          <w:szCs w:val="28"/>
          <w:u w:val="single"/>
          <w:rtl/>
        </w:rPr>
      </w:pPr>
      <w:r>
        <w:rPr>
          <w:rFonts w:cs="FrankRuehl" w:hint="cs"/>
          <w:b/>
          <w:bCs/>
          <w:sz w:val="28"/>
          <w:szCs w:val="28"/>
          <w:u w:val="single"/>
          <w:rtl/>
        </w:rPr>
        <w:t>נאשם 3:</w:t>
      </w:r>
    </w:p>
    <w:p w14:paraId="49A26DF7" w14:textId="77777777" w:rsidR="005E60C5" w:rsidRDefault="005E60C5" w:rsidP="005E60C5">
      <w:pPr>
        <w:pStyle w:val="David"/>
        <w:ind w:left="720" w:hanging="720"/>
        <w:rPr>
          <w:rFonts w:cs="FrankRuehl"/>
          <w:sz w:val="28"/>
          <w:szCs w:val="28"/>
          <w:rtl/>
        </w:rPr>
      </w:pPr>
      <w:r>
        <w:rPr>
          <w:rFonts w:cs="FrankRuehl" w:hint="cs"/>
          <w:sz w:val="28"/>
          <w:szCs w:val="28"/>
          <w:rtl/>
        </w:rPr>
        <w:t>1.</w:t>
      </w:r>
      <w:r>
        <w:rPr>
          <w:rFonts w:cs="FrankRuehl" w:hint="cs"/>
          <w:sz w:val="28"/>
          <w:szCs w:val="28"/>
          <w:rtl/>
        </w:rPr>
        <w:tab/>
        <w:t>4 חודשי מאסר אשר ירוצו בעבודות שירות. הנאשם יתייצב ביום 18.5.17 בשעה 08:00 ביחידת עבודות שירות, מפקדת מחוז המרכז.</w:t>
      </w:r>
    </w:p>
    <w:p w14:paraId="77616E79" w14:textId="77777777" w:rsidR="005E60C5" w:rsidRDefault="005E60C5" w:rsidP="005E60C5">
      <w:pPr>
        <w:pStyle w:val="David"/>
        <w:ind w:left="720" w:hanging="720"/>
        <w:rPr>
          <w:rFonts w:cs="FrankRuehl"/>
          <w:sz w:val="28"/>
          <w:szCs w:val="28"/>
          <w:rtl/>
        </w:rPr>
      </w:pPr>
      <w:r>
        <w:rPr>
          <w:rFonts w:cs="FrankRuehl" w:hint="cs"/>
          <w:sz w:val="28"/>
          <w:szCs w:val="28"/>
          <w:rtl/>
        </w:rPr>
        <w:t>2.</w:t>
      </w:r>
      <w:r>
        <w:rPr>
          <w:rFonts w:cs="FrankRuehl" w:hint="cs"/>
          <w:sz w:val="28"/>
          <w:szCs w:val="28"/>
          <w:rtl/>
        </w:rPr>
        <w:tab/>
        <w:t>3 חודשי מאסר על תנאי והתנאי הוא שתוך שלוש שנים מיום שחרורו ממאסר לא יעבור עבירת נשק.</w:t>
      </w:r>
    </w:p>
    <w:p w14:paraId="6FD81EAD" w14:textId="77777777" w:rsidR="005E60C5" w:rsidRDefault="005E60C5" w:rsidP="005E60C5">
      <w:pPr>
        <w:pStyle w:val="David"/>
        <w:rPr>
          <w:rFonts w:cs="FrankRuehl"/>
          <w:sz w:val="28"/>
          <w:szCs w:val="28"/>
          <w:rtl/>
        </w:rPr>
      </w:pPr>
      <w:r>
        <w:rPr>
          <w:rFonts w:cs="FrankRuehl" w:hint="cs"/>
          <w:sz w:val="28"/>
          <w:szCs w:val="28"/>
          <w:rtl/>
        </w:rPr>
        <w:t>3.</w:t>
      </w:r>
      <w:r>
        <w:rPr>
          <w:rFonts w:cs="FrankRuehl"/>
          <w:sz w:val="28"/>
          <w:szCs w:val="28"/>
          <w:rtl/>
        </w:rPr>
        <w:tab/>
      </w:r>
      <w:r>
        <w:rPr>
          <w:rFonts w:cs="FrankRuehl" w:hint="cs"/>
          <w:sz w:val="28"/>
          <w:szCs w:val="28"/>
          <w:rtl/>
        </w:rPr>
        <w:t xml:space="preserve">1,000 </w:t>
      </w:r>
      <w:r>
        <w:rPr>
          <w:rFonts w:cs="FrankRuehl" w:hint="eastAsia"/>
          <w:sz w:val="28"/>
          <w:szCs w:val="28"/>
          <w:rtl/>
        </w:rPr>
        <w:t>₪</w:t>
      </w:r>
      <w:r>
        <w:rPr>
          <w:rFonts w:cs="FrankRuehl" w:hint="cs"/>
          <w:sz w:val="28"/>
          <w:szCs w:val="28"/>
          <w:rtl/>
        </w:rPr>
        <w:t xml:space="preserve"> קנס או 15 ימי מאסר תמורתו.</w:t>
      </w:r>
    </w:p>
    <w:p w14:paraId="511DC377" w14:textId="77777777" w:rsidR="005E60C5" w:rsidRDefault="005E60C5" w:rsidP="005E60C5">
      <w:pPr>
        <w:pStyle w:val="David"/>
        <w:rPr>
          <w:rFonts w:cs="FrankRuehl"/>
          <w:sz w:val="28"/>
          <w:szCs w:val="28"/>
          <w:rtl/>
        </w:rPr>
      </w:pPr>
    </w:p>
    <w:p w14:paraId="7DE0865E" w14:textId="77777777" w:rsidR="005E60C5" w:rsidRPr="00217921" w:rsidRDefault="005E60C5" w:rsidP="005E60C5">
      <w:pPr>
        <w:pStyle w:val="David"/>
        <w:rPr>
          <w:rFonts w:cs="FrankRuehl"/>
          <w:sz w:val="28"/>
          <w:szCs w:val="28"/>
          <w:rtl/>
        </w:rPr>
      </w:pPr>
      <w:r>
        <w:rPr>
          <w:rFonts w:cs="FrankRuehl" w:hint="cs"/>
          <w:b/>
          <w:bCs/>
          <w:sz w:val="28"/>
          <w:szCs w:val="28"/>
          <w:rtl/>
        </w:rPr>
        <w:t>זכות ערעור לבית המשפט העליון תוך 45 יום מהיום.</w:t>
      </w:r>
      <w:r w:rsidRPr="00217921">
        <w:rPr>
          <w:rFonts w:cs="FrankRuehl"/>
          <w:sz w:val="28"/>
          <w:szCs w:val="28"/>
          <w:rtl/>
        </w:rPr>
        <w:t xml:space="preserve"> </w:t>
      </w:r>
    </w:p>
    <w:p w14:paraId="298FB1B2" w14:textId="77777777" w:rsidR="005E60C5" w:rsidRPr="00675274" w:rsidRDefault="005E60C5" w:rsidP="005E60C5">
      <w:pPr>
        <w:pStyle w:val="David"/>
        <w:rPr>
          <w:rFonts w:ascii="David" w:hAnsi="David" w:cs="FrankRuehl"/>
          <w:sz w:val="28"/>
          <w:szCs w:val="28"/>
          <w:rtl/>
        </w:rPr>
      </w:pPr>
      <w:r w:rsidRPr="00675274">
        <w:rPr>
          <w:rFonts w:ascii="David" w:hAnsi="David" w:cs="FrankRuehl"/>
          <w:sz w:val="28"/>
          <w:szCs w:val="28"/>
          <w:rtl/>
        </w:rPr>
        <w:t>&lt;#5#&gt;</w:t>
      </w:r>
    </w:p>
    <w:p w14:paraId="08A0C2B9" w14:textId="77777777" w:rsidR="005E60C5" w:rsidRPr="00675274" w:rsidRDefault="005E60C5" w:rsidP="005E60C5">
      <w:pPr>
        <w:spacing w:line="360" w:lineRule="auto"/>
        <w:rPr>
          <w:rFonts w:cs="FrankRuehl"/>
          <w:sz w:val="28"/>
          <w:szCs w:val="28"/>
          <w:rtl/>
        </w:rPr>
      </w:pPr>
    </w:p>
    <w:p w14:paraId="1A5AEA82" w14:textId="77777777" w:rsidR="005E60C5" w:rsidRPr="00675274" w:rsidRDefault="00093696" w:rsidP="005E60C5">
      <w:pPr>
        <w:spacing w:line="360" w:lineRule="auto"/>
        <w:rPr>
          <w:rFonts w:ascii="Arial" w:hAnsi="Arial" w:cs="FrankRuehl"/>
          <w:sz w:val="28"/>
          <w:szCs w:val="28"/>
        </w:rPr>
      </w:pPr>
      <w:r w:rsidRPr="00093696">
        <w:rPr>
          <w:rFonts w:ascii="Arial" w:hAnsi="Arial" w:cs="FrankRuehl"/>
          <w:color w:val="FFFFFF"/>
          <w:sz w:val="2"/>
          <w:szCs w:val="2"/>
          <w:rtl/>
        </w:rPr>
        <w:t>5129371</w:t>
      </w:r>
      <w:r>
        <w:rPr>
          <w:rFonts w:ascii="Arial" w:hAnsi="Arial" w:cs="FrankRuehl"/>
          <w:sz w:val="28"/>
          <w:szCs w:val="28"/>
          <w:rtl/>
        </w:rPr>
        <w:t xml:space="preserve">ניתן היום,  כ"ח ניסן תשע"ז, 24 אפריל 2017, במעמד ב"כ המאשימה עו"ד אורלי שרגנהיים, ב"כ </w:t>
      </w:r>
      <w:r w:rsidR="005E60C5">
        <w:rPr>
          <w:rFonts w:ascii="Arial" w:hAnsi="Arial" w:cs="FrankRuehl" w:hint="cs"/>
          <w:sz w:val="28"/>
          <w:szCs w:val="28"/>
          <w:rtl/>
        </w:rPr>
        <w:t>הנאשם 1 עו"ד מירי כהן, הנאשם 1 הובא על ידי שב"ס, הנאשם 2 וב"כ עו"ד אלי מסטרמן והנאשם 3 וב"כ עו"ד מירי כהן בשם עו"ד אסף גונן.</w:t>
      </w:r>
    </w:p>
    <w:p w14:paraId="2CE332A7" w14:textId="77777777" w:rsidR="005E60C5" w:rsidRPr="00093696" w:rsidRDefault="00093696" w:rsidP="005E60C5">
      <w:pPr>
        <w:spacing w:line="360" w:lineRule="auto"/>
        <w:rPr>
          <w:rFonts w:cs="FrankRuehl"/>
          <w:color w:val="FFFFFF"/>
          <w:sz w:val="2"/>
          <w:szCs w:val="2"/>
          <w:rtl/>
        </w:rPr>
      </w:pPr>
      <w:r w:rsidRPr="00093696">
        <w:rPr>
          <w:rFonts w:cs="FrankRuehl"/>
          <w:color w:val="FFFFFF"/>
          <w:sz w:val="2"/>
          <w:szCs w:val="2"/>
          <w:rtl/>
        </w:rPr>
        <w:t>54678313</w:t>
      </w:r>
    </w:p>
    <w:p w14:paraId="231AF7B4" w14:textId="77777777" w:rsidR="005E60C5" w:rsidRPr="00675274" w:rsidRDefault="005E60C5" w:rsidP="005E60C5">
      <w:pPr>
        <w:spacing w:line="360" w:lineRule="auto"/>
        <w:jc w:val="center"/>
      </w:pPr>
      <w:r w:rsidRPr="00675274">
        <w:rPr>
          <w:rFonts w:cs="FrankRuehl" w:hint="cs"/>
          <w:sz w:val="28"/>
          <w:szCs w:val="28"/>
          <w:rtl/>
        </w:rPr>
        <w:t xml:space="preserve">   </w:t>
      </w:r>
      <w:r w:rsidRPr="00675274">
        <w:rPr>
          <w:rFonts w:cs="FrankRuehl" w:hint="cs"/>
          <w:sz w:val="28"/>
          <w:szCs w:val="28"/>
          <w:rtl/>
        </w:rPr>
        <w:tab/>
      </w:r>
      <w:r w:rsidRPr="00675274">
        <w:rPr>
          <w:rFonts w:cs="FrankRuehl" w:hint="cs"/>
          <w:sz w:val="28"/>
          <w:szCs w:val="28"/>
          <w:rtl/>
        </w:rPr>
        <w:tab/>
      </w:r>
      <w:r w:rsidRPr="00675274">
        <w:rPr>
          <w:rFonts w:cs="FrankRuehl" w:hint="cs"/>
          <w:sz w:val="28"/>
          <w:szCs w:val="28"/>
          <w:rtl/>
        </w:rPr>
        <w:tab/>
      </w:r>
      <w:r w:rsidRPr="00675274">
        <w:rPr>
          <w:rFonts w:cs="FrankRuehl" w:hint="cs"/>
          <w:sz w:val="28"/>
          <w:szCs w:val="28"/>
          <w:rtl/>
        </w:rPr>
        <w:tab/>
      </w:r>
      <w:r w:rsidRPr="00675274">
        <w:rPr>
          <w:rFonts w:cs="FrankRuehl" w:hint="cs"/>
          <w:sz w:val="28"/>
          <w:szCs w:val="28"/>
          <w:rtl/>
        </w:rPr>
        <w:tab/>
      </w:r>
    </w:p>
    <w:p w14:paraId="5C9D6F5C" w14:textId="77777777" w:rsidR="005E60C5" w:rsidRPr="00675274" w:rsidRDefault="005E60C5" w:rsidP="005E60C5">
      <w:pPr>
        <w:spacing w:line="360" w:lineRule="auto"/>
        <w:jc w:val="center"/>
        <w:rPr>
          <w:rFonts w:ascii="Arial" w:hAnsi="Arial" w:cs="FrankRuehl"/>
          <w:sz w:val="28"/>
          <w:szCs w:val="28"/>
          <w:rtl/>
        </w:rPr>
      </w:pPr>
    </w:p>
    <w:p w14:paraId="1EC5F464" w14:textId="77777777" w:rsidR="005E60C5" w:rsidRPr="00675274" w:rsidRDefault="005E60C5" w:rsidP="005E60C5">
      <w:pPr>
        <w:spacing w:line="360" w:lineRule="auto"/>
        <w:rPr>
          <w:rFonts w:cs="FrankRuehl"/>
          <w:sz w:val="28"/>
          <w:szCs w:val="28"/>
          <w:rtl/>
        </w:rPr>
      </w:pPr>
    </w:p>
    <w:p w14:paraId="2B3D5D3F" w14:textId="77777777" w:rsidR="005E60C5" w:rsidRPr="008C59BE" w:rsidRDefault="008C59BE" w:rsidP="005E60C5">
      <w:pPr>
        <w:pStyle w:val="a3"/>
        <w:spacing w:line="360" w:lineRule="auto"/>
        <w:jc w:val="center"/>
        <w:rPr>
          <w:rFonts w:cs="FrankRuehl"/>
          <w:color w:val="FFFFFF"/>
          <w:sz w:val="2"/>
          <w:szCs w:val="2"/>
          <w:rtl/>
        </w:rPr>
      </w:pPr>
      <w:r w:rsidRPr="008C59BE">
        <w:rPr>
          <w:rFonts w:cs="FrankRuehl"/>
          <w:color w:val="FFFFFF"/>
          <w:sz w:val="2"/>
          <w:szCs w:val="2"/>
          <w:rtl/>
        </w:rPr>
        <w:t>5129371</w:t>
      </w:r>
    </w:p>
    <w:p w14:paraId="6C2F0736" w14:textId="77777777" w:rsidR="00093696" w:rsidRPr="008C59BE" w:rsidRDefault="008C59BE" w:rsidP="00093696">
      <w:pPr>
        <w:keepNext/>
        <w:spacing w:after="0"/>
        <w:jc w:val="left"/>
        <w:rPr>
          <w:rFonts w:ascii="David" w:hAnsi="David" w:cs="David"/>
          <w:color w:val="FFFFFF"/>
          <w:sz w:val="2"/>
          <w:szCs w:val="2"/>
          <w:rtl/>
        </w:rPr>
      </w:pPr>
      <w:r w:rsidRPr="008C59BE">
        <w:rPr>
          <w:rFonts w:ascii="David" w:hAnsi="David" w:cs="David"/>
          <w:color w:val="FFFFFF"/>
          <w:sz w:val="2"/>
          <w:szCs w:val="2"/>
          <w:rtl/>
        </w:rPr>
        <w:t>54678313</w:t>
      </w:r>
    </w:p>
    <w:p w14:paraId="63348DD6" w14:textId="77777777" w:rsidR="00093696" w:rsidRPr="00093696" w:rsidRDefault="00093696" w:rsidP="00093696">
      <w:pPr>
        <w:keepNext/>
        <w:spacing w:after="0"/>
        <w:jc w:val="left"/>
        <w:rPr>
          <w:rFonts w:ascii="David" w:hAnsi="David" w:cs="David"/>
          <w:color w:val="000000"/>
          <w:rtl/>
        </w:rPr>
      </w:pPr>
      <w:r w:rsidRPr="00093696">
        <w:rPr>
          <w:rFonts w:ascii="David" w:hAnsi="David" w:cs="David" w:hint="eastAsia"/>
          <w:color w:val="000000"/>
          <w:rtl/>
        </w:rPr>
        <w:t>מיכל</w:t>
      </w:r>
      <w:r w:rsidRPr="00093696">
        <w:rPr>
          <w:rFonts w:ascii="David" w:hAnsi="David" w:cs="David"/>
          <w:color w:val="000000"/>
          <w:rtl/>
        </w:rPr>
        <w:t xml:space="preserve"> </w:t>
      </w:r>
      <w:r w:rsidRPr="00093696">
        <w:rPr>
          <w:rFonts w:ascii="David" w:hAnsi="David" w:cs="David" w:hint="eastAsia"/>
          <w:color w:val="000000"/>
          <w:rtl/>
        </w:rPr>
        <w:t>ברנט</w:t>
      </w:r>
      <w:r w:rsidRPr="00093696">
        <w:rPr>
          <w:rFonts w:ascii="David" w:hAnsi="David" w:cs="David"/>
          <w:color w:val="000000"/>
          <w:rtl/>
        </w:rPr>
        <w:t xml:space="preserve"> 54678313</w:t>
      </w:r>
    </w:p>
    <w:p w14:paraId="7232483F" w14:textId="77777777" w:rsidR="00093696" w:rsidRDefault="00093696" w:rsidP="00093696">
      <w:pPr>
        <w:jc w:val="left"/>
      </w:pPr>
      <w:r w:rsidRPr="00093696">
        <w:rPr>
          <w:rFonts w:hint="eastAsia"/>
          <w:color w:val="000000"/>
          <w:rtl/>
        </w:rPr>
        <w:t>נוסח</w:t>
      </w:r>
      <w:r w:rsidRPr="00093696">
        <w:rPr>
          <w:color w:val="000000"/>
          <w:rtl/>
        </w:rPr>
        <w:t xml:space="preserve"> </w:t>
      </w:r>
      <w:r w:rsidRPr="00093696">
        <w:rPr>
          <w:rFonts w:hint="eastAsia"/>
          <w:color w:val="000000"/>
          <w:rtl/>
        </w:rPr>
        <w:t>מסמך</w:t>
      </w:r>
      <w:r w:rsidRPr="00093696">
        <w:rPr>
          <w:color w:val="000000"/>
          <w:rtl/>
        </w:rPr>
        <w:t xml:space="preserve"> </w:t>
      </w:r>
      <w:r w:rsidRPr="00093696">
        <w:rPr>
          <w:rFonts w:hint="eastAsia"/>
          <w:color w:val="000000"/>
          <w:rtl/>
        </w:rPr>
        <w:t>זה</w:t>
      </w:r>
      <w:r w:rsidRPr="00093696">
        <w:rPr>
          <w:color w:val="000000"/>
          <w:rtl/>
        </w:rPr>
        <w:t xml:space="preserve"> </w:t>
      </w:r>
      <w:r w:rsidRPr="00093696">
        <w:rPr>
          <w:rFonts w:hint="eastAsia"/>
          <w:color w:val="000000"/>
          <w:rtl/>
        </w:rPr>
        <w:t>כפוף</w:t>
      </w:r>
      <w:r w:rsidRPr="00093696">
        <w:rPr>
          <w:color w:val="000000"/>
          <w:rtl/>
        </w:rPr>
        <w:t xml:space="preserve"> </w:t>
      </w:r>
      <w:r w:rsidRPr="00093696">
        <w:rPr>
          <w:rFonts w:hint="eastAsia"/>
          <w:color w:val="000000"/>
          <w:rtl/>
        </w:rPr>
        <w:t>לשינויי</w:t>
      </w:r>
      <w:r w:rsidRPr="00093696">
        <w:rPr>
          <w:color w:val="000000"/>
          <w:rtl/>
        </w:rPr>
        <w:t xml:space="preserve"> </w:t>
      </w:r>
      <w:r w:rsidRPr="00093696">
        <w:rPr>
          <w:rFonts w:hint="eastAsia"/>
          <w:color w:val="000000"/>
          <w:rtl/>
        </w:rPr>
        <w:t>ניסוח</w:t>
      </w:r>
      <w:r w:rsidRPr="00093696">
        <w:rPr>
          <w:color w:val="000000"/>
          <w:rtl/>
        </w:rPr>
        <w:t xml:space="preserve"> </w:t>
      </w:r>
      <w:r w:rsidRPr="00093696">
        <w:rPr>
          <w:rFonts w:hint="eastAsia"/>
          <w:color w:val="000000"/>
          <w:rtl/>
        </w:rPr>
        <w:t>ועריכה</w:t>
      </w:r>
    </w:p>
    <w:p w14:paraId="0E0A7C3F" w14:textId="77777777" w:rsidR="00093696" w:rsidRDefault="00093696" w:rsidP="00093696">
      <w:pPr>
        <w:jc w:val="left"/>
        <w:rPr>
          <w:rtl/>
        </w:rPr>
      </w:pPr>
    </w:p>
    <w:p w14:paraId="434D2AF8" w14:textId="77777777" w:rsidR="00093696" w:rsidRDefault="00093696" w:rsidP="00093696">
      <w:pPr>
        <w:jc w:val="center"/>
        <w:rPr>
          <w:rFonts w:cs="David"/>
          <w:color w:val="0000FF"/>
          <w:szCs w:val="24"/>
          <w:u w:val="single"/>
        </w:rPr>
      </w:pPr>
      <w:hyperlink r:id="rId41" w:history="1">
        <w:r>
          <w:rPr>
            <w:rFonts w:cs="David" w:hint="eastAsia"/>
            <w:color w:val="0000FF"/>
            <w:szCs w:val="24"/>
            <w:u w:val="single"/>
            <w:rtl/>
          </w:rPr>
          <w:t>בעניין</w:t>
        </w:r>
        <w:r>
          <w:rPr>
            <w:rFonts w:cs="David"/>
            <w:color w:val="0000FF"/>
            <w:szCs w:val="24"/>
            <w:u w:val="single"/>
            <w:rtl/>
          </w:rPr>
          <w:t xml:space="preserve"> </w:t>
        </w:r>
        <w:r>
          <w:rPr>
            <w:rFonts w:cs="David" w:hint="eastAsia"/>
            <w:color w:val="0000FF"/>
            <w:szCs w:val="24"/>
            <w:u w:val="single"/>
            <w:rtl/>
          </w:rPr>
          <w:t>עריכה</w:t>
        </w:r>
        <w:r>
          <w:rPr>
            <w:rFonts w:cs="David"/>
            <w:color w:val="0000FF"/>
            <w:szCs w:val="24"/>
            <w:u w:val="single"/>
            <w:rtl/>
          </w:rPr>
          <w:t xml:space="preserve"> </w:t>
        </w:r>
        <w:r>
          <w:rPr>
            <w:rFonts w:cs="David" w:hint="eastAsia"/>
            <w:color w:val="0000FF"/>
            <w:szCs w:val="24"/>
            <w:u w:val="single"/>
            <w:rtl/>
          </w:rPr>
          <w:t>ושינויים</w:t>
        </w:r>
        <w:r>
          <w:rPr>
            <w:rFonts w:cs="David"/>
            <w:color w:val="0000FF"/>
            <w:szCs w:val="24"/>
            <w:u w:val="single"/>
            <w:rtl/>
          </w:rPr>
          <w:t xml:space="preserve"> </w:t>
        </w:r>
        <w:r>
          <w:rPr>
            <w:rFonts w:cs="David" w:hint="eastAsia"/>
            <w:color w:val="0000FF"/>
            <w:szCs w:val="24"/>
            <w:u w:val="single"/>
            <w:rtl/>
          </w:rPr>
          <w:t>במסמכי</w:t>
        </w:r>
        <w:r>
          <w:rPr>
            <w:rFonts w:cs="David"/>
            <w:color w:val="0000FF"/>
            <w:szCs w:val="24"/>
            <w:u w:val="single"/>
            <w:rtl/>
          </w:rPr>
          <w:t xml:space="preserve"> </w:t>
        </w:r>
        <w:r>
          <w:rPr>
            <w:rFonts w:cs="David" w:hint="eastAsia"/>
            <w:color w:val="0000FF"/>
            <w:szCs w:val="24"/>
            <w:u w:val="single"/>
            <w:rtl/>
          </w:rPr>
          <w:t>פסיקה</w:t>
        </w:r>
        <w:r>
          <w:rPr>
            <w:rFonts w:cs="David"/>
            <w:color w:val="0000FF"/>
            <w:szCs w:val="24"/>
            <w:u w:val="single"/>
            <w:rtl/>
          </w:rPr>
          <w:t xml:space="preserve">, </w:t>
        </w:r>
        <w:r>
          <w:rPr>
            <w:rFonts w:cs="David" w:hint="eastAsia"/>
            <w:color w:val="0000FF"/>
            <w:szCs w:val="24"/>
            <w:u w:val="single"/>
            <w:rtl/>
          </w:rPr>
          <w:t>חקיקה</w:t>
        </w:r>
        <w:r>
          <w:rPr>
            <w:rFonts w:cs="David"/>
            <w:color w:val="0000FF"/>
            <w:szCs w:val="24"/>
            <w:u w:val="single"/>
            <w:rtl/>
          </w:rPr>
          <w:t xml:space="preserve"> </w:t>
        </w:r>
        <w:r>
          <w:rPr>
            <w:rFonts w:cs="David" w:hint="eastAsia"/>
            <w:color w:val="0000FF"/>
            <w:szCs w:val="24"/>
            <w:u w:val="single"/>
            <w:rtl/>
          </w:rPr>
          <w:t>ועוד</w:t>
        </w:r>
        <w:r>
          <w:rPr>
            <w:rFonts w:cs="David"/>
            <w:color w:val="0000FF"/>
            <w:szCs w:val="24"/>
            <w:u w:val="single"/>
            <w:rtl/>
          </w:rPr>
          <w:t xml:space="preserve"> </w:t>
        </w:r>
        <w:r>
          <w:rPr>
            <w:rFonts w:cs="David" w:hint="eastAsia"/>
            <w:color w:val="0000FF"/>
            <w:szCs w:val="24"/>
            <w:u w:val="single"/>
            <w:rtl/>
          </w:rPr>
          <w:t>באתר</w:t>
        </w:r>
        <w:r>
          <w:rPr>
            <w:rFonts w:cs="David"/>
            <w:color w:val="0000FF"/>
            <w:szCs w:val="24"/>
            <w:u w:val="single"/>
            <w:rtl/>
          </w:rPr>
          <w:t xml:space="preserve"> </w:t>
        </w:r>
        <w:r>
          <w:rPr>
            <w:rFonts w:cs="David" w:hint="eastAsia"/>
            <w:color w:val="0000FF"/>
            <w:szCs w:val="24"/>
            <w:u w:val="single"/>
            <w:rtl/>
          </w:rPr>
          <w:t>נבו</w:t>
        </w:r>
        <w:r>
          <w:rPr>
            <w:rFonts w:cs="David"/>
            <w:color w:val="0000FF"/>
            <w:szCs w:val="24"/>
            <w:u w:val="single"/>
            <w:rtl/>
          </w:rPr>
          <w:t xml:space="preserve"> – </w:t>
        </w:r>
        <w:r>
          <w:rPr>
            <w:rFonts w:cs="David" w:hint="eastAsia"/>
            <w:color w:val="0000FF"/>
            <w:szCs w:val="24"/>
            <w:u w:val="single"/>
            <w:rtl/>
          </w:rPr>
          <w:t>הקש</w:t>
        </w:r>
        <w:r>
          <w:rPr>
            <w:rFonts w:cs="David"/>
            <w:color w:val="0000FF"/>
            <w:szCs w:val="24"/>
            <w:u w:val="single"/>
            <w:rtl/>
          </w:rPr>
          <w:t xml:space="preserve"> </w:t>
        </w:r>
        <w:r>
          <w:rPr>
            <w:rFonts w:cs="David" w:hint="eastAsia"/>
            <w:color w:val="0000FF"/>
            <w:szCs w:val="24"/>
            <w:u w:val="single"/>
            <w:rtl/>
          </w:rPr>
          <w:t>כאן</w:t>
        </w:r>
      </w:hyperlink>
    </w:p>
    <w:p w14:paraId="02763AC6" w14:textId="77777777" w:rsidR="008C59BE" w:rsidRPr="008C59BE" w:rsidRDefault="008C59BE" w:rsidP="008C59BE">
      <w:pPr>
        <w:keepNext/>
        <w:spacing w:after="0"/>
        <w:jc w:val="left"/>
        <w:rPr>
          <w:rFonts w:ascii="David" w:hAnsi="David" w:cs="David"/>
          <w:color w:val="000000"/>
          <w:rtl/>
        </w:rPr>
      </w:pPr>
    </w:p>
    <w:p w14:paraId="0CB966C5" w14:textId="77777777" w:rsidR="00B35717" w:rsidRPr="00093696" w:rsidRDefault="00B35717" w:rsidP="008C59BE">
      <w:pPr>
        <w:jc w:val="left"/>
        <w:rPr>
          <w:rFonts w:cs="David"/>
          <w:color w:val="0000FF"/>
          <w:szCs w:val="24"/>
          <w:u w:val="single"/>
        </w:rPr>
      </w:pPr>
    </w:p>
    <w:sectPr w:rsidR="00B35717" w:rsidRPr="00093696" w:rsidSect="008C59BE">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A92C1" w14:textId="77777777" w:rsidR="00D703DB" w:rsidRDefault="00D703DB">
      <w:r>
        <w:separator/>
      </w:r>
    </w:p>
  </w:endnote>
  <w:endnote w:type="continuationSeparator" w:id="0">
    <w:p w14:paraId="3754DDD9" w14:textId="77777777" w:rsidR="00D703DB" w:rsidRDefault="00D7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EF37F" w14:textId="77777777" w:rsidR="008C59BE" w:rsidRDefault="008C59BE" w:rsidP="008C59BE">
    <w:pPr>
      <w:pStyle w:val="a4"/>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Pr>
        <w:rFonts w:ascii="FrankRuehl" w:hAnsi="FrankRuehl" w:cs="FrankRuehl"/>
        <w:noProof/>
        <w:sz w:val="24"/>
        <w:szCs w:val="24"/>
        <w:rtl/>
      </w:rPr>
      <w:t>2</w:t>
    </w:r>
    <w:r>
      <w:rPr>
        <w:rFonts w:ascii="FrankRuehl" w:hAnsi="FrankRuehl" w:cs="FrankRuehl"/>
        <w:sz w:val="24"/>
        <w:szCs w:val="24"/>
        <w:rtl/>
      </w:rPr>
      <w:fldChar w:fldCharType="end"/>
    </w:r>
  </w:p>
  <w:p w14:paraId="64F02E38" w14:textId="77777777" w:rsidR="00093696" w:rsidRPr="008C59BE" w:rsidRDefault="008C59BE" w:rsidP="008C59BE">
    <w:pPr>
      <w:pStyle w:val="a4"/>
      <w:pBdr>
        <w:top w:val="single" w:sz="4" w:space="1" w:color="auto"/>
        <w:between w:val="single" w:sz="4" w:space="0" w:color="auto"/>
      </w:pBdr>
      <w:spacing w:after="60" w:line="240" w:lineRule="auto"/>
      <w:jc w:val="center"/>
      <w:rPr>
        <w:rFonts w:ascii="FrankRuehl" w:hAnsi="FrankRuehl" w:cs="FrankRuehl"/>
        <w:color w:val="000000"/>
        <w:sz w:val="24"/>
        <w:szCs w:val="24"/>
      </w:rPr>
    </w:pPr>
    <w:r w:rsidRPr="008C59BE">
      <w:rPr>
        <w:rFonts w:ascii="FrankRuehl" w:hAnsi="FrankRuehl" w:cs="FrankRuehl"/>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C3F83" w14:textId="77777777" w:rsidR="008C59BE" w:rsidRDefault="008C59BE" w:rsidP="008C59BE">
    <w:pPr>
      <w:pStyle w:val="a4"/>
      <w:jc w:val="center"/>
      <w:rPr>
        <w:rFonts w:ascii="FrankRuehl" w:hAnsi="FrankRuehl" w:cs="FrankRuehl"/>
        <w:sz w:val="24"/>
        <w:szCs w:val="24"/>
      </w:rPr>
    </w:pPr>
    <w:r>
      <w:rPr>
        <w:rFonts w:ascii="FrankRuehl" w:hAnsi="FrankRuehl" w:cs="FrankRuehl"/>
        <w:sz w:val="24"/>
        <w:szCs w:val="24"/>
        <w:rtl/>
      </w:rPr>
      <w:fldChar w:fldCharType="begin"/>
    </w:r>
    <w:r>
      <w:rPr>
        <w:rFonts w:ascii="FrankRuehl" w:hAnsi="FrankRuehl" w:cs="FrankRuehl"/>
        <w:sz w:val="24"/>
        <w:szCs w:val="24"/>
        <w:rtl/>
      </w:rPr>
      <w:instrText xml:space="preserve"> </w:instrText>
    </w:r>
    <w:r>
      <w:rPr>
        <w:rFonts w:ascii="FrankRuehl" w:hAnsi="FrankRuehl" w:cs="FrankRuehl"/>
        <w:sz w:val="24"/>
        <w:szCs w:val="24"/>
      </w:rPr>
      <w:instrText>PAGE</w:instrText>
    </w:r>
    <w:r>
      <w:rPr>
        <w:rFonts w:ascii="FrankRuehl" w:hAnsi="FrankRuehl" w:cs="FrankRuehl"/>
        <w:sz w:val="24"/>
        <w:szCs w:val="24"/>
        <w:rtl/>
      </w:rPr>
      <w:instrText xml:space="preserve">  \* </w:instrText>
    </w:r>
    <w:r>
      <w:rPr>
        <w:rFonts w:ascii="FrankRuehl" w:hAnsi="FrankRuehl" w:cs="FrankRuehl"/>
        <w:sz w:val="24"/>
        <w:szCs w:val="24"/>
      </w:rPr>
      <w:instrText>MERGEFORMAT</w:instrText>
    </w:r>
    <w:r>
      <w:rPr>
        <w:rFonts w:ascii="FrankRuehl" w:hAnsi="FrankRuehl" w:cs="FrankRuehl"/>
        <w:sz w:val="24"/>
        <w:szCs w:val="24"/>
        <w:rtl/>
      </w:rPr>
      <w:instrText xml:space="preserve"> </w:instrText>
    </w:r>
    <w:r>
      <w:rPr>
        <w:rFonts w:ascii="FrankRuehl" w:hAnsi="FrankRuehl" w:cs="FrankRuehl"/>
        <w:sz w:val="24"/>
        <w:szCs w:val="24"/>
        <w:rtl/>
      </w:rPr>
      <w:fldChar w:fldCharType="separate"/>
    </w:r>
    <w:r w:rsidR="00E21834">
      <w:rPr>
        <w:rFonts w:ascii="FrankRuehl" w:hAnsi="FrankRuehl" w:cs="FrankRuehl"/>
        <w:noProof/>
        <w:sz w:val="24"/>
        <w:szCs w:val="24"/>
        <w:rtl/>
      </w:rPr>
      <w:t>1</w:t>
    </w:r>
    <w:r>
      <w:rPr>
        <w:rFonts w:ascii="FrankRuehl" w:hAnsi="FrankRuehl" w:cs="FrankRuehl"/>
        <w:sz w:val="24"/>
        <w:szCs w:val="24"/>
        <w:rtl/>
      </w:rPr>
      <w:fldChar w:fldCharType="end"/>
    </w:r>
  </w:p>
  <w:p w14:paraId="53CD46C0" w14:textId="77777777" w:rsidR="00093696" w:rsidRPr="008C59BE" w:rsidRDefault="008C59BE" w:rsidP="008C59BE">
    <w:pPr>
      <w:pStyle w:val="a4"/>
      <w:pBdr>
        <w:top w:val="single" w:sz="4" w:space="1" w:color="auto"/>
        <w:between w:val="single" w:sz="4" w:space="0" w:color="auto"/>
      </w:pBdr>
      <w:spacing w:after="60" w:line="240" w:lineRule="auto"/>
      <w:jc w:val="center"/>
      <w:rPr>
        <w:rFonts w:ascii="FrankRuehl" w:hAnsi="FrankRuehl" w:cs="FrankRuehl"/>
        <w:color w:val="000000"/>
        <w:sz w:val="24"/>
        <w:szCs w:val="24"/>
      </w:rPr>
    </w:pPr>
    <w:r w:rsidRPr="008C59BE">
      <w:rPr>
        <w:rFonts w:ascii="FrankRuehl" w:hAnsi="FrankRuehl" w:cs="FrankRuehl"/>
        <w:color w:val="000000"/>
        <w:sz w:val="24"/>
        <w:szCs w:val="24"/>
      </w:rPr>
      <w:pict w14:anchorId="5724C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1BA0D" w14:textId="77777777" w:rsidR="00D703DB" w:rsidRDefault="00D703DB">
      <w:r>
        <w:separator/>
      </w:r>
    </w:p>
  </w:footnote>
  <w:footnote w:type="continuationSeparator" w:id="0">
    <w:p w14:paraId="44CA6174" w14:textId="77777777" w:rsidR="00D703DB" w:rsidRDefault="00D70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33DFC" w14:textId="77777777" w:rsidR="00093696" w:rsidRPr="008C59BE" w:rsidRDefault="008C59BE" w:rsidP="008C59BE">
    <w:pPr>
      <w:pStyle w:val="a3"/>
      <w:pBdr>
        <w:bottom w:val="single" w:sz="4" w:space="1" w:color="auto"/>
      </w:pBdr>
      <w:tabs>
        <w:tab w:val="clear" w:pos="4153"/>
        <w:tab w:val="clear" w:pos="8306"/>
        <w:tab w:val="right" w:pos="8311"/>
      </w:tabs>
      <w:spacing w:after="0" w:line="220" w:lineRule="exact"/>
      <w:jc w:val="left"/>
      <w:rPr>
        <w:rFonts w:ascii="David" w:hAnsi="David" w:cs="David"/>
        <w:color w:val="000000"/>
        <w:rtl/>
      </w:rPr>
    </w:pPr>
    <w:r>
      <w:rPr>
        <w:rFonts w:ascii="David" w:hAnsi="David" w:cs="David"/>
        <w:color w:val="000000"/>
        <w:rtl/>
      </w:rPr>
      <w:t>תפ (מרכז) 12493-11-15</w:t>
    </w:r>
    <w:r>
      <w:rPr>
        <w:rFonts w:ascii="David" w:hAnsi="David" w:cs="David"/>
        <w:color w:val="000000"/>
        <w:rtl/>
      </w:rPr>
      <w:tab/>
      <w:t xml:space="preserve"> מדינת ישראל נ' נתנאל דדון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A6A12" w14:textId="77777777" w:rsidR="00093696" w:rsidRPr="008C59BE" w:rsidRDefault="008C59BE" w:rsidP="008C59BE">
    <w:pPr>
      <w:pStyle w:val="a3"/>
      <w:pBdr>
        <w:bottom w:val="single" w:sz="4" w:space="1" w:color="auto"/>
      </w:pBdr>
      <w:tabs>
        <w:tab w:val="clear" w:pos="4153"/>
        <w:tab w:val="clear" w:pos="8306"/>
        <w:tab w:val="right" w:pos="8311"/>
      </w:tabs>
      <w:spacing w:after="0" w:line="220" w:lineRule="exact"/>
      <w:jc w:val="left"/>
      <w:rPr>
        <w:rFonts w:ascii="David" w:hAnsi="David" w:cs="David"/>
        <w:color w:val="000000"/>
        <w:rtl/>
      </w:rPr>
    </w:pPr>
    <w:r>
      <w:rPr>
        <w:rFonts w:ascii="David" w:hAnsi="David" w:cs="David"/>
        <w:color w:val="000000"/>
        <w:rtl/>
      </w:rPr>
      <w:t>תפ (מרכז) 12493-11-15</w:t>
    </w:r>
    <w:r>
      <w:rPr>
        <w:rFonts w:ascii="David" w:hAnsi="David" w:cs="David"/>
        <w:color w:val="000000"/>
        <w:rtl/>
      </w:rPr>
      <w:tab/>
      <w:t xml:space="preserve"> מדינת ישראל נ' נתנאל דדון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E60C5"/>
    <w:rsid w:val="00004B4A"/>
    <w:rsid w:val="000258C6"/>
    <w:rsid w:val="00092DB2"/>
    <w:rsid w:val="00093696"/>
    <w:rsid w:val="000B222D"/>
    <w:rsid w:val="000F3716"/>
    <w:rsid w:val="000F776E"/>
    <w:rsid w:val="001163D9"/>
    <w:rsid w:val="00123268"/>
    <w:rsid w:val="0013605C"/>
    <w:rsid w:val="0015154B"/>
    <w:rsid w:val="0017711A"/>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82B08"/>
    <w:rsid w:val="005847C1"/>
    <w:rsid w:val="005B4DDE"/>
    <w:rsid w:val="005E305D"/>
    <w:rsid w:val="005E60C5"/>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C59BE"/>
    <w:rsid w:val="008D4AF6"/>
    <w:rsid w:val="008E6B26"/>
    <w:rsid w:val="00901DEA"/>
    <w:rsid w:val="00913EC5"/>
    <w:rsid w:val="00946CA3"/>
    <w:rsid w:val="009A4E50"/>
    <w:rsid w:val="009A720E"/>
    <w:rsid w:val="009B4682"/>
    <w:rsid w:val="00A03304"/>
    <w:rsid w:val="00A24369"/>
    <w:rsid w:val="00A472AB"/>
    <w:rsid w:val="00A52B25"/>
    <w:rsid w:val="00A6725B"/>
    <w:rsid w:val="00A96648"/>
    <w:rsid w:val="00AE1669"/>
    <w:rsid w:val="00B07251"/>
    <w:rsid w:val="00B10E9A"/>
    <w:rsid w:val="00B24722"/>
    <w:rsid w:val="00B35717"/>
    <w:rsid w:val="00B45A4B"/>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703DB"/>
    <w:rsid w:val="00D807AC"/>
    <w:rsid w:val="00DD36BA"/>
    <w:rsid w:val="00DE1662"/>
    <w:rsid w:val="00E21834"/>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FA816D"/>
  <w15:chartTrackingRefBased/>
  <w15:docId w15:val="{98548D46-7728-4709-9DCC-DE7B09D8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60C5"/>
    <w:pPr>
      <w:bidi/>
      <w:spacing w:after="160" w:line="252" w:lineRule="auto"/>
      <w:jc w:val="both"/>
    </w:pPr>
    <w:rPr>
      <w:rFonts w:ascii="Calibri" w:hAnsi="Calibri" w:cs="Arial"/>
      <w:sz w:val="22"/>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E60C5"/>
    <w:pPr>
      <w:tabs>
        <w:tab w:val="center" w:pos="4153"/>
        <w:tab w:val="right" w:pos="8306"/>
      </w:tabs>
    </w:pPr>
  </w:style>
  <w:style w:type="paragraph" w:styleId="a4">
    <w:name w:val="footer"/>
    <w:basedOn w:val="a"/>
    <w:rsid w:val="005E60C5"/>
    <w:pPr>
      <w:tabs>
        <w:tab w:val="center" w:pos="4153"/>
        <w:tab w:val="right" w:pos="8306"/>
      </w:tabs>
    </w:pPr>
  </w:style>
  <w:style w:type="character" w:styleId="a5">
    <w:name w:val="page number"/>
    <w:basedOn w:val="a0"/>
    <w:rsid w:val="005E60C5"/>
  </w:style>
  <w:style w:type="paragraph" w:customStyle="1" w:styleId="David">
    <w:name w:val="סגנון (עברית ושפות אחרות) David מיושר לשני הצדדים מרווח בין שורות..."/>
    <w:basedOn w:val="a"/>
    <w:rsid w:val="005E60C5"/>
    <w:pPr>
      <w:spacing w:line="360" w:lineRule="auto"/>
    </w:pPr>
  </w:style>
  <w:style w:type="character" w:customStyle="1" w:styleId="Ruller5">
    <w:name w:val="Ruller5 תו"/>
    <w:link w:val="Ruller50"/>
    <w:locked/>
    <w:rsid w:val="005E60C5"/>
    <w:rPr>
      <w:rFonts w:ascii="Arial TUR" w:hAnsi="Arial TUR"/>
      <w:spacing w:val="10"/>
      <w:sz w:val="28"/>
      <w:szCs w:val="28"/>
      <w:lang w:bidi="he-IL"/>
    </w:rPr>
  </w:style>
  <w:style w:type="paragraph" w:customStyle="1" w:styleId="Ruller50">
    <w:name w:val="Ruller5"/>
    <w:basedOn w:val="a"/>
    <w:link w:val="Ruller5"/>
    <w:rsid w:val="005E60C5"/>
    <w:pPr>
      <w:overflowPunct w:val="0"/>
      <w:autoSpaceDE w:val="0"/>
      <w:autoSpaceDN w:val="0"/>
      <w:adjustRightInd w:val="0"/>
      <w:spacing w:after="0" w:line="240" w:lineRule="auto"/>
      <w:ind w:left="1642" w:right="1282"/>
    </w:pPr>
    <w:rPr>
      <w:rFonts w:ascii="Arial TUR" w:hAnsi="Arial TUR" w:cs="Times New Roman"/>
      <w:spacing w:val="10"/>
      <w:sz w:val="28"/>
      <w:szCs w:val="28"/>
    </w:rPr>
  </w:style>
  <w:style w:type="character" w:styleId="Hyperlink">
    <w:name w:val="Hyperlink"/>
    <w:basedOn w:val="a0"/>
    <w:rsid w:val="00093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244" TargetMode="External"/><Relationship Id="rId26" Type="http://schemas.openxmlformats.org/officeDocument/2006/relationships/hyperlink" Target="http://www.nevo.co.il/case/10443017" TargetMode="External"/><Relationship Id="rId39" Type="http://schemas.openxmlformats.org/officeDocument/2006/relationships/hyperlink" Target="http://www.nevo.co.il/case/20705211" TargetMode="External"/><Relationship Id="rId21" Type="http://schemas.openxmlformats.org/officeDocument/2006/relationships/hyperlink" Target="http://www.nevo.co.il/law/70301/40b" TargetMode="External"/><Relationship Id="rId34" Type="http://schemas.openxmlformats.org/officeDocument/2006/relationships/hyperlink" Target="http://www.nevo.co.il/case/20575778"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40b" TargetMode="Externa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case/277673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5821327"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7929065" TargetMode="External"/><Relationship Id="rId40" Type="http://schemas.openxmlformats.org/officeDocument/2006/relationships/hyperlink" Target="http://www.nevo.co.il/case/22530101" TargetMode="External"/><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13090914" TargetMode="External"/><Relationship Id="rId28" Type="http://schemas.openxmlformats.org/officeDocument/2006/relationships/hyperlink" Target="http://www.nevo.co.il/law/70301/144" TargetMode="External"/><Relationship Id="rId36" Type="http://schemas.openxmlformats.org/officeDocument/2006/relationships/hyperlink" Target="http://www.nevo.co.il/case/6473037"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law/70301/144.b" TargetMode="External"/><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6473037" TargetMode="External"/><Relationship Id="rId27" Type="http://schemas.openxmlformats.org/officeDocument/2006/relationships/hyperlink" Target="http://www.nevo.co.il/case/11336176"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5865581" TargetMode="External"/><Relationship Id="rId43" Type="http://schemas.openxmlformats.org/officeDocument/2006/relationships/header" Target="header2.xml"/><Relationship Id="rId8" Type="http://schemas.openxmlformats.org/officeDocument/2006/relationships/hyperlink" Target="http://www.nevo.co.il/law/70301/144" TargetMode="External"/><Relationship Id="rId3" Type="http://schemas.openxmlformats.org/officeDocument/2006/relationships/webSettings" Target="webSettings.xml"/><Relationship Id="rId12" Type="http://schemas.openxmlformats.org/officeDocument/2006/relationships/hyperlink" Target="http://www.nevo.co.il/law/70301/24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594385" TargetMode="External"/><Relationship Id="rId33" Type="http://schemas.openxmlformats.org/officeDocument/2006/relationships/hyperlink" Target="http://www.nevo.co.il/case/10529104" TargetMode="External"/><Relationship Id="rId38" Type="http://schemas.openxmlformats.org/officeDocument/2006/relationships/hyperlink" Target="http://www.nevo.co.il/case/6102612" TargetMode="External"/><Relationship Id="rId46"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2342</Words>
  <Characters>11712</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14026</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3604596</vt:i4>
      </vt:variant>
      <vt:variant>
        <vt:i4>102</vt:i4>
      </vt:variant>
      <vt:variant>
        <vt:i4>0</vt:i4>
      </vt:variant>
      <vt:variant>
        <vt:i4>5</vt:i4>
      </vt:variant>
      <vt:variant>
        <vt:lpwstr>http://www.nevo.co.il/case/22530101</vt:lpwstr>
      </vt:variant>
      <vt:variant>
        <vt:lpwstr/>
      </vt:variant>
      <vt:variant>
        <vt:i4>3211382</vt:i4>
      </vt:variant>
      <vt:variant>
        <vt:i4>99</vt:i4>
      </vt:variant>
      <vt:variant>
        <vt:i4>0</vt:i4>
      </vt:variant>
      <vt:variant>
        <vt:i4>5</vt:i4>
      </vt:variant>
      <vt:variant>
        <vt:lpwstr>http://www.nevo.co.il/case/20705211</vt:lpwstr>
      </vt:variant>
      <vt:variant>
        <vt:lpwstr/>
      </vt:variant>
      <vt:variant>
        <vt:i4>3276918</vt:i4>
      </vt:variant>
      <vt:variant>
        <vt:i4>96</vt:i4>
      </vt:variant>
      <vt:variant>
        <vt:i4>0</vt:i4>
      </vt:variant>
      <vt:variant>
        <vt:i4>5</vt:i4>
      </vt:variant>
      <vt:variant>
        <vt:lpwstr>http://www.nevo.co.il/case/6102612</vt:lpwstr>
      </vt:variant>
      <vt:variant>
        <vt:lpwstr/>
      </vt:variant>
      <vt:variant>
        <vt:i4>3604593</vt:i4>
      </vt:variant>
      <vt:variant>
        <vt:i4>93</vt:i4>
      </vt:variant>
      <vt:variant>
        <vt:i4>0</vt:i4>
      </vt:variant>
      <vt:variant>
        <vt:i4>5</vt:i4>
      </vt:variant>
      <vt:variant>
        <vt:lpwstr>http://www.nevo.co.il/case/17929065</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3604593</vt:i4>
      </vt:variant>
      <vt:variant>
        <vt:i4>87</vt:i4>
      </vt:variant>
      <vt:variant>
        <vt:i4>0</vt:i4>
      </vt:variant>
      <vt:variant>
        <vt:i4>5</vt:i4>
      </vt:variant>
      <vt:variant>
        <vt:lpwstr>http://www.nevo.co.il/case/5865581</vt:lpwstr>
      </vt:variant>
      <vt:variant>
        <vt:lpwstr/>
      </vt:variant>
      <vt:variant>
        <vt:i4>3473524</vt:i4>
      </vt:variant>
      <vt:variant>
        <vt:i4>84</vt:i4>
      </vt:variant>
      <vt:variant>
        <vt:i4>0</vt:i4>
      </vt:variant>
      <vt:variant>
        <vt:i4>5</vt:i4>
      </vt:variant>
      <vt:variant>
        <vt:lpwstr>http://www.nevo.co.il/case/20575778</vt:lpwstr>
      </vt:variant>
      <vt:variant>
        <vt:lpwstr/>
      </vt:variant>
      <vt:variant>
        <vt:i4>3997815</vt:i4>
      </vt:variant>
      <vt:variant>
        <vt:i4>81</vt:i4>
      </vt:variant>
      <vt:variant>
        <vt:i4>0</vt:i4>
      </vt:variant>
      <vt:variant>
        <vt:i4>5</vt:i4>
      </vt:variant>
      <vt:variant>
        <vt:lpwstr>http://www.nevo.co.il/case/10529104</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http://www.nevo.co.il/law/70301/144.b</vt:lpwstr>
      </vt:variant>
      <vt:variant>
        <vt:lpwstr/>
      </vt:variant>
      <vt:variant>
        <vt:i4>5177424</vt:i4>
      </vt:variant>
      <vt:variant>
        <vt:i4>72</vt:i4>
      </vt:variant>
      <vt:variant>
        <vt:i4>0</vt:i4>
      </vt:variant>
      <vt:variant>
        <vt:i4>5</vt:i4>
      </vt:variant>
      <vt:variant>
        <vt:lpwstr>http://www.nevo.co.il/law/70301/144.a</vt:lpwstr>
      </vt:variant>
      <vt:variant>
        <vt:lpwstr/>
      </vt:variant>
      <vt:variant>
        <vt:i4>3211382</vt:i4>
      </vt:variant>
      <vt:variant>
        <vt:i4>69</vt:i4>
      </vt:variant>
      <vt:variant>
        <vt:i4>0</vt:i4>
      </vt:variant>
      <vt:variant>
        <vt:i4>5</vt:i4>
      </vt:variant>
      <vt:variant>
        <vt:lpwstr>http://www.nevo.co.il/case/2776733</vt:lpwstr>
      </vt:variant>
      <vt:variant>
        <vt:lpwstr/>
      </vt:variant>
      <vt:variant>
        <vt:i4>6357092</vt:i4>
      </vt:variant>
      <vt:variant>
        <vt:i4>66</vt:i4>
      </vt:variant>
      <vt:variant>
        <vt:i4>0</vt:i4>
      </vt:variant>
      <vt:variant>
        <vt:i4>5</vt:i4>
      </vt:variant>
      <vt:variant>
        <vt:lpwstr>http://www.nevo.co.il/law/70301/144</vt:lpwstr>
      </vt:variant>
      <vt:variant>
        <vt:lpwstr/>
      </vt:variant>
      <vt:variant>
        <vt:i4>3342455</vt:i4>
      </vt:variant>
      <vt:variant>
        <vt:i4>63</vt:i4>
      </vt:variant>
      <vt:variant>
        <vt:i4>0</vt:i4>
      </vt:variant>
      <vt:variant>
        <vt:i4>5</vt:i4>
      </vt:variant>
      <vt:variant>
        <vt:lpwstr>http://www.nevo.co.il/case/11336176</vt:lpwstr>
      </vt:variant>
      <vt:variant>
        <vt:lpwstr/>
      </vt:variant>
      <vt:variant>
        <vt:i4>3604592</vt:i4>
      </vt:variant>
      <vt:variant>
        <vt:i4>60</vt:i4>
      </vt:variant>
      <vt:variant>
        <vt:i4>0</vt:i4>
      </vt:variant>
      <vt:variant>
        <vt:i4>5</vt:i4>
      </vt:variant>
      <vt:variant>
        <vt:lpwstr>http://www.nevo.co.il/case/10443017</vt:lpwstr>
      </vt:variant>
      <vt:variant>
        <vt:lpwstr/>
      </vt:variant>
      <vt:variant>
        <vt:i4>3801213</vt:i4>
      </vt:variant>
      <vt:variant>
        <vt:i4>57</vt:i4>
      </vt:variant>
      <vt:variant>
        <vt:i4>0</vt:i4>
      </vt:variant>
      <vt:variant>
        <vt:i4>5</vt:i4>
      </vt:variant>
      <vt:variant>
        <vt:lpwstr>http://www.nevo.co.il/case/5594385</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3145847</vt:i4>
      </vt:variant>
      <vt:variant>
        <vt:i4>51</vt:i4>
      </vt:variant>
      <vt:variant>
        <vt:i4>0</vt:i4>
      </vt:variant>
      <vt:variant>
        <vt:i4>5</vt:i4>
      </vt:variant>
      <vt:variant>
        <vt:lpwstr>http://www.nevo.co.il/case/13090914</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6619233</vt:i4>
      </vt:variant>
      <vt:variant>
        <vt:i4>45</vt:i4>
      </vt:variant>
      <vt:variant>
        <vt:i4>0</vt:i4>
      </vt:variant>
      <vt:variant>
        <vt:i4>5</vt:i4>
      </vt:variant>
      <vt:variant>
        <vt:lpwstr>http://www.nevo.co.il/law/70301/40b</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12493</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נתנאל דדון;שלומי מועלם;לירן אלחייק </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20170424</vt:lpwstr>
  </property>
  <property fmtid="{D5CDD505-2E9C-101B-9397-08002B2CF9AE}" pid="13" name="TYPE_N_DATE">
    <vt:lpwstr>39020170424</vt:lpwstr>
  </property>
  <property fmtid="{D5CDD505-2E9C-101B-9397-08002B2CF9AE}" pid="14" name="CASESLISTTMP1">
    <vt:lpwstr>6473037:2;13090914;5821327;5594385;10443017;11336176;2776733;10529104;20575778;5865581;17929065;6102612;20705211;22530101</vt:lpwstr>
  </property>
  <property fmtid="{D5CDD505-2E9C-101B-9397-08002B2CF9AE}" pid="15" name="CASENOTES1">
    <vt:lpwstr>ProcID=85&amp;PartA=1323&amp;PartC=13</vt:lpwstr>
  </property>
  <property fmtid="{D5CDD505-2E9C-101B-9397-08002B2CF9AE}" pid="16" name="CASENOTES2">
    <vt:lpwstr>ProcID=133;209&amp;PartA=1332&amp;PartC=04</vt:lpwstr>
  </property>
  <property fmtid="{D5CDD505-2E9C-101B-9397-08002B2CF9AE}" pid="17" name="WORDNUMPAGES">
    <vt:lpwstr>9</vt:lpwstr>
  </property>
  <property fmtid="{D5CDD505-2E9C-101B-9397-08002B2CF9AE}" pid="18" name="TYPE_ABS_DATE">
    <vt:lpwstr>390020170424</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70301/144.b2;144.a:4;244;040b;144;144.b</vt:lpwstr>
  </property>
</Properties>
</file>