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0"/>
        <w:gridCol w:w="3671"/>
      </w:tblGrid>
      <w:tr w:rsidR="00F01BC1" w:rsidRPr="00AD3B18" w14:paraId="1FF80762" w14:textId="77777777">
        <w:trPr>
          <w:trHeight w:hRule="exact" w:val="418"/>
          <w:jc w:val="center"/>
        </w:trPr>
        <w:tc>
          <w:tcPr>
            <w:tcW w:w="8721" w:type="dxa"/>
            <w:gridSpan w:val="2"/>
          </w:tcPr>
          <w:p w14:paraId="568AA565" w14:textId="77777777" w:rsidR="00F01BC1" w:rsidRPr="00AD3B18" w:rsidRDefault="00AD3B18">
            <w:pPr>
              <w:pStyle w:val="a3"/>
              <w:jc w:val="center"/>
              <w:rPr>
                <w:rFonts w:ascii="Tahoma" w:hAnsi="Tahoma" w:cs="Tahoma"/>
                <w:color w:val="000080"/>
                <w:rtl/>
              </w:rPr>
            </w:pPr>
            <w:bookmarkStart w:id="0" w:name="LastJudge"/>
            <w:r w:rsidRPr="00AD3B18">
              <w:rPr>
                <w:rFonts w:ascii="Tahoma" w:hAnsi="Tahoma" w:cs="Tahoma"/>
                <w:b/>
                <w:bCs/>
                <w:color w:val="000080"/>
                <w:rtl/>
              </w:rPr>
              <w:t>בית המשפט המחוזי בירושלים</w:t>
            </w:r>
          </w:p>
        </w:tc>
      </w:tr>
      <w:tr w:rsidR="00F01BC1" w:rsidRPr="00AD3B18" w14:paraId="773828EE" w14:textId="77777777">
        <w:trPr>
          <w:trHeight w:hRule="exact" w:val="418"/>
          <w:jc w:val="center"/>
        </w:trPr>
        <w:tc>
          <w:tcPr>
            <w:tcW w:w="8721" w:type="dxa"/>
            <w:gridSpan w:val="2"/>
          </w:tcPr>
          <w:p w14:paraId="093FFF77" w14:textId="77777777" w:rsidR="00F01BC1" w:rsidRPr="00AD3B18" w:rsidRDefault="00AD3B18">
            <w:pPr>
              <w:pStyle w:val="a3"/>
              <w:jc w:val="center"/>
              <w:rPr>
                <w:rFonts w:ascii="Tahoma" w:hAnsi="Tahoma" w:cs="Tahoma"/>
                <w:b/>
                <w:bCs/>
                <w:color w:val="000080"/>
                <w:rtl/>
              </w:rPr>
            </w:pPr>
            <w:r w:rsidRPr="00AD3B18">
              <w:rPr>
                <w:rFonts w:ascii="Tahoma" w:hAnsi="Tahoma" w:cs="Tahoma" w:hint="cs"/>
                <w:b/>
                <w:bCs/>
                <w:color w:val="000080"/>
                <w:rtl/>
              </w:rPr>
              <w:t>בפני כב' השופט הבכיר אמנון כהן</w:t>
            </w:r>
          </w:p>
        </w:tc>
      </w:tr>
      <w:tr w:rsidR="00F01BC1" w:rsidRPr="00AD3B18" w14:paraId="1495C682" w14:textId="77777777">
        <w:trPr>
          <w:trHeight w:val="337"/>
          <w:jc w:val="center"/>
        </w:trPr>
        <w:tc>
          <w:tcPr>
            <w:tcW w:w="5050" w:type="dxa"/>
          </w:tcPr>
          <w:p w14:paraId="40873536" w14:textId="77777777" w:rsidR="00F01BC1" w:rsidRPr="00AD3B18" w:rsidRDefault="00AD3B18">
            <w:pPr>
              <w:rPr>
                <w:rFonts w:cs="FrankRuehl"/>
                <w:sz w:val="28"/>
                <w:szCs w:val="28"/>
                <w:rtl/>
              </w:rPr>
            </w:pPr>
            <w:r w:rsidRPr="00AD3B18">
              <w:rPr>
                <w:rFonts w:cs="FrankRuehl"/>
                <w:sz w:val="28"/>
                <w:szCs w:val="28"/>
                <w:rtl/>
              </w:rPr>
              <w:t>ת"פ</w:t>
            </w:r>
            <w:r w:rsidRPr="00AD3B18">
              <w:rPr>
                <w:rFonts w:cs="FrankRuehl" w:hint="cs"/>
                <w:sz w:val="28"/>
                <w:szCs w:val="28"/>
                <w:rtl/>
              </w:rPr>
              <w:t xml:space="preserve"> </w:t>
            </w:r>
            <w:r w:rsidRPr="00AD3B18">
              <w:rPr>
                <w:rFonts w:cs="FrankRuehl"/>
                <w:sz w:val="28"/>
                <w:szCs w:val="28"/>
                <w:rtl/>
              </w:rPr>
              <w:t>12761-11-15</w:t>
            </w:r>
            <w:r w:rsidRPr="00AD3B18">
              <w:rPr>
                <w:rFonts w:cs="FrankRuehl" w:hint="cs"/>
                <w:sz w:val="28"/>
                <w:szCs w:val="28"/>
                <w:rtl/>
              </w:rPr>
              <w:t xml:space="preserve"> </w:t>
            </w:r>
            <w:r w:rsidRPr="00AD3B18">
              <w:rPr>
                <w:rFonts w:cs="FrankRuehl"/>
                <w:sz w:val="28"/>
                <w:szCs w:val="28"/>
                <w:rtl/>
              </w:rPr>
              <w:t>מדינת ישראל נ' וקנין</w:t>
            </w:r>
            <w:r w:rsidRPr="00AD3B18">
              <w:rPr>
                <w:rFonts w:cs="FrankRuehl" w:hint="cs"/>
                <w:sz w:val="28"/>
                <w:szCs w:val="28"/>
                <w:rtl/>
              </w:rPr>
              <w:t xml:space="preserve"> </w:t>
            </w:r>
            <w:r w:rsidRPr="00AD3B18">
              <w:rPr>
                <w:rFonts w:cs="FrankRuehl"/>
                <w:sz w:val="28"/>
                <w:szCs w:val="28"/>
                <w:rtl/>
              </w:rPr>
              <w:t>(עציר)</w:t>
            </w:r>
          </w:p>
        </w:tc>
        <w:tc>
          <w:tcPr>
            <w:tcW w:w="3671" w:type="dxa"/>
          </w:tcPr>
          <w:p w14:paraId="1E11311C" w14:textId="77777777" w:rsidR="00F01BC1" w:rsidRPr="00AD3B18" w:rsidRDefault="00AD3B18">
            <w:pPr>
              <w:pStyle w:val="a3"/>
              <w:jc w:val="right"/>
              <w:rPr>
                <w:rFonts w:cs="FrankRuehl"/>
                <w:sz w:val="28"/>
                <w:szCs w:val="28"/>
                <w:rtl/>
              </w:rPr>
            </w:pPr>
            <w:r w:rsidRPr="00AD3B18">
              <w:rPr>
                <w:rFonts w:cs="FrankRuehl"/>
                <w:sz w:val="28"/>
                <w:szCs w:val="28"/>
                <w:rtl/>
              </w:rPr>
              <w:t>10 מאי 2016</w:t>
            </w:r>
          </w:p>
        </w:tc>
      </w:tr>
    </w:tbl>
    <w:p w14:paraId="50ED19B4" w14:textId="77777777" w:rsidR="00F01BC1" w:rsidRPr="00AD3B18" w:rsidRDefault="00F01BC1">
      <w:pPr>
        <w:pStyle w:val="a3"/>
        <w:rPr>
          <w:rtl/>
        </w:rPr>
      </w:pPr>
    </w:p>
    <w:p w14:paraId="32FFFC3D" w14:textId="77777777" w:rsidR="00F01BC1" w:rsidRPr="00AD3B18" w:rsidRDefault="00F01BC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01BC1" w:rsidRPr="00AD3B18" w14:paraId="58930FA5" w14:textId="77777777">
        <w:trPr>
          <w:trHeight w:val="355"/>
          <w:jc w:val="center"/>
        </w:trPr>
        <w:tc>
          <w:tcPr>
            <w:tcW w:w="923" w:type="dxa"/>
            <w:tcBorders>
              <w:top w:val="nil"/>
              <w:left w:val="nil"/>
              <w:bottom w:val="nil"/>
              <w:right w:val="nil"/>
            </w:tcBorders>
            <w:shd w:val="clear" w:color="auto" w:fill="auto"/>
          </w:tcPr>
          <w:p w14:paraId="217C6E94" w14:textId="77777777" w:rsidR="00F01BC1" w:rsidRPr="00AD3B18" w:rsidRDefault="00AD3B18">
            <w:pPr>
              <w:jc w:val="both"/>
              <w:rPr>
                <w:rFonts w:ascii="Arial" w:hAnsi="Arial" w:cs="FrankRuehl"/>
                <w:sz w:val="28"/>
                <w:szCs w:val="28"/>
              </w:rPr>
            </w:pPr>
            <w:bookmarkStart w:id="1" w:name="FirstAppellant"/>
            <w:bookmarkStart w:id="2" w:name="FirstLawyer"/>
            <w:r w:rsidRPr="00AD3B18">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3DAAE301" w14:textId="77777777" w:rsidR="00F01BC1" w:rsidRPr="00AD3B18" w:rsidRDefault="00AD3B18">
            <w:pPr>
              <w:rPr>
                <w:rFonts w:ascii="Arial" w:hAnsi="Arial" w:cs="FrankRuehl"/>
                <w:b/>
                <w:bCs/>
                <w:sz w:val="28"/>
                <w:szCs w:val="28"/>
                <w:rtl/>
              </w:rPr>
            </w:pPr>
            <w:r w:rsidRPr="00AD3B18">
              <w:rPr>
                <w:rFonts w:ascii="Arial" w:hAnsi="Arial" w:cs="FrankRuehl"/>
                <w:b/>
                <w:bCs/>
                <w:sz w:val="28"/>
                <w:szCs w:val="28"/>
                <w:rtl/>
              </w:rPr>
              <w:t>מדינת ישרא</w:t>
            </w:r>
            <w:r w:rsidRPr="00AD3B18">
              <w:rPr>
                <w:rFonts w:ascii="Arial" w:hAnsi="Arial" w:cs="FrankRuehl" w:hint="cs"/>
                <w:b/>
                <w:bCs/>
                <w:sz w:val="28"/>
                <w:szCs w:val="28"/>
                <w:rtl/>
              </w:rPr>
              <w:t>ל</w:t>
            </w:r>
          </w:p>
          <w:p w14:paraId="5FD382E4" w14:textId="77777777" w:rsidR="00F01BC1" w:rsidRPr="00AD3B18" w:rsidRDefault="00AD3B18">
            <w:pPr>
              <w:rPr>
                <w:rFonts w:cs="FrankRuehl"/>
              </w:rPr>
            </w:pPr>
            <w:r w:rsidRPr="00AD3B18">
              <w:rPr>
                <w:rFonts w:cs="FrankRuehl" w:hint="cs"/>
                <w:sz w:val="26"/>
                <w:szCs w:val="26"/>
                <w:rtl/>
              </w:rPr>
              <w:t>ע"י ב"כ עו"ד סאמי חוראני</w:t>
            </w:r>
          </w:p>
        </w:tc>
        <w:tc>
          <w:tcPr>
            <w:tcW w:w="3771" w:type="dxa"/>
            <w:tcBorders>
              <w:top w:val="nil"/>
              <w:left w:val="nil"/>
              <w:bottom w:val="nil"/>
              <w:right w:val="nil"/>
            </w:tcBorders>
            <w:shd w:val="clear" w:color="auto" w:fill="auto"/>
          </w:tcPr>
          <w:p w14:paraId="50514363" w14:textId="77777777" w:rsidR="00F01BC1" w:rsidRPr="00AD3B18" w:rsidRDefault="00F01BC1">
            <w:pPr>
              <w:jc w:val="both"/>
              <w:rPr>
                <w:rFonts w:ascii="Arial" w:hAnsi="Arial" w:cs="FrankRuehl"/>
                <w:sz w:val="28"/>
                <w:szCs w:val="28"/>
              </w:rPr>
            </w:pPr>
          </w:p>
        </w:tc>
      </w:tr>
      <w:bookmarkEnd w:id="1"/>
      <w:bookmarkEnd w:id="2"/>
      <w:tr w:rsidR="00F01BC1" w:rsidRPr="00AD3B18" w14:paraId="36FD046B" w14:textId="77777777">
        <w:trPr>
          <w:trHeight w:val="355"/>
          <w:jc w:val="center"/>
        </w:trPr>
        <w:tc>
          <w:tcPr>
            <w:tcW w:w="923" w:type="dxa"/>
            <w:tcBorders>
              <w:top w:val="nil"/>
              <w:left w:val="nil"/>
              <w:bottom w:val="nil"/>
              <w:right w:val="nil"/>
            </w:tcBorders>
            <w:shd w:val="clear" w:color="auto" w:fill="auto"/>
          </w:tcPr>
          <w:p w14:paraId="1CCC0F40" w14:textId="77777777" w:rsidR="00F01BC1" w:rsidRPr="00AD3B18" w:rsidRDefault="00F01BC1">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B71C9B7" w14:textId="77777777" w:rsidR="00F01BC1" w:rsidRPr="00AD3B18" w:rsidRDefault="00F01BC1">
            <w:pPr>
              <w:jc w:val="both"/>
              <w:rPr>
                <w:rtl/>
              </w:rPr>
            </w:pPr>
          </w:p>
        </w:tc>
        <w:tc>
          <w:tcPr>
            <w:tcW w:w="3771" w:type="dxa"/>
            <w:tcBorders>
              <w:top w:val="nil"/>
              <w:left w:val="nil"/>
              <w:bottom w:val="nil"/>
              <w:right w:val="nil"/>
            </w:tcBorders>
            <w:shd w:val="clear" w:color="auto" w:fill="auto"/>
          </w:tcPr>
          <w:p w14:paraId="3754458D" w14:textId="77777777" w:rsidR="00F01BC1" w:rsidRPr="00AD3B18" w:rsidRDefault="00AD3B18">
            <w:pPr>
              <w:jc w:val="right"/>
              <w:rPr>
                <w:rFonts w:ascii="Arial" w:hAnsi="Arial" w:cs="FrankRuehl"/>
                <w:b/>
                <w:bCs/>
                <w:sz w:val="28"/>
                <w:szCs w:val="28"/>
                <w:rtl/>
              </w:rPr>
            </w:pPr>
            <w:r w:rsidRPr="00AD3B18">
              <w:rPr>
                <w:rFonts w:ascii="Arial" w:hAnsi="Arial" w:cs="FrankRuehl" w:hint="cs"/>
                <w:b/>
                <w:bCs/>
                <w:sz w:val="28"/>
                <w:szCs w:val="28"/>
                <w:rtl/>
              </w:rPr>
              <w:t>ה</w:t>
            </w:r>
            <w:r w:rsidRPr="00AD3B18">
              <w:rPr>
                <w:rFonts w:ascii="Arial" w:hAnsi="Arial" w:cs="FrankRuehl"/>
                <w:b/>
                <w:bCs/>
                <w:sz w:val="28"/>
                <w:szCs w:val="28"/>
                <w:rtl/>
              </w:rPr>
              <w:t>מאשימה</w:t>
            </w:r>
          </w:p>
        </w:tc>
      </w:tr>
      <w:tr w:rsidR="00F01BC1" w:rsidRPr="00AD3B18" w14:paraId="049D3770" w14:textId="77777777">
        <w:trPr>
          <w:trHeight w:val="355"/>
          <w:jc w:val="center"/>
        </w:trPr>
        <w:tc>
          <w:tcPr>
            <w:tcW w:w="923" w:type="dxa"/>
            <w:tcBorders>
              <w:top w:val="nil"/>
              <w:left w:val="nil"/>
              <w:bottom w:val="nil"/>
              <w:right w:val="nil"/>
            </w:tcBorders>
            <w:shd w:val="clear" w:color="auto" w:fill="auto"/>
          </w:tcPr>
          <w:p w14:paraId="239F60AD" w14:textId="77777777" w:rsidR="00F01BC1" w:rsidRPr="00AD3B18" w:rsidRDefault="00F01BC1">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344CA497" w14:textId="77777777" w:rsidR="00F01BC1" w:rsidRPr="00AD3B18" w:rsidRDefault="00F01BC1">
            <w:pPr>
              <w:jc w:val="center"/>
              <w:rPr>
                <w:rFonts w:ascii="Arial" w:hAnsi="Arial" w:cs="FrankRuehl"/>
                <w:b/>
                <w:bCs/>
                <w:sz w:val="28"/>
                <w:szCs w:val="28"/>
                <w:rtl/>
              </w:rPr>
            </w:pPr>
          </w:p>
          <w:p w14:paraId="7B53033A" w14:textId="77777777" w:rsidR="00F01BC1" w:rsidRPr="00AD3B18" w:rsidRDefault="00AD3B18">
            <w:pPr>
              <w:jc w:val="center"/>
              <w:rPr>
                <w:rFonts w:ascii="Arial" w:hAnsi="Arial" w:cs="FrankRuehl"/>
                <w:b/>
                <w:bCs/>
                <w:sz w:val="28"/>
                <w:szCs w:val="28"/>
                <w:rtl/>
              </w:rPr>
            </w:pPr>
            <w:r w:rsidRPr="00AD3B18">
              <w:rPr>
                <w:rFonts w:ascii="Arial" w:hAnsi="Arial" w:cs="FrankRuehl"/>
                <w:b/>
                <w:bCs/>
                <w:sz w:val="28"/>
                <w:szCs w:val="28"/>
                <w:rtl/>
              </w:rPr>
              <w:t>נגד</w:t>
            </w:r>
          </w:p>
          <w:p w14:paraId="3AAFC820" w14:textId="77777777" w:rsidR="00F01BC1" w:rsidRPr="00AD3B18" w:rsidRDefault="00F01BC1">
            <w:pPr>
              <w:jc w:val="both"/>
              <w:rPr>
                <w:rFonts w:ascii="Arial" w:hAnsi="Arial" w:cs="FrankRuehl"/>
                <w:sz w:val="28"/>
                <w:szCs w:val="28"/>
              </w:rPr>
            </w:pPr>
          </w:p>
        </w:tc>
      </w:tr>
      <w:tr w:rsidR="00F01BC1" w:rsidRPr="00AD3B18" w14:paraId="605139C1" w14:textId="77777777">
        <w:trPr>
          <w:trHeight w:val="355"/>
          <w:jc w:val="center"/>
        </w:trPr>
        <w:tc>
          <w:tcPr>
            <w:tcW w:w="923" w:type="dxa"/>
            <w:tcBorders>
              <w:top w:val="nil"/>
              <w:left w:val="nil"/>
              <w:bottom w:val="nil"/>
              <w:right w:val="nil"/>
            </w:tcBorders>
            <w:shd w:val="clear" w:color="auto" w:fill="auto"/>
          </w:tcPr>
          <w:p w14:paraId="1E6485ED" w14:textId="77777777" w:rsidR="00F01BC1" w:rsidRPr="00AD3B18" w:rsidRDefault="00F01BC1">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1729E75" w14:textId="77777777" w:rsidR="00F01BC1" w:rsidRPr="00AD3B18" w:rsidRDefault="00AD3B18">
            <w:pPr>
              <w:jc w:val="both"/>
              <w:rPr>
                <w:b/>
                <w:bCs/>
                <w:rtl/>
              </w:rPr>
            </w:pPr>
            <w:r w:rsidRPr="00AD3B18">
              <w:rPr>
                <w:rFonts w:ascii="Arial" w:hAnsi="Arial" w:cs="FrankRuehl"/>
                <w:b/>
                <w:bCs/>
                <w:sz w:val="28"/>
                <w:szCs w:val="28"/>
                <w:rtl/>
              </w:rPr>
              <w:t>אשר אושר וקנין (עציר)</w:t>
            </w:r>
          </w:p>
          <w:p w14:paraId="75359B4F" w14:textId="77777777" w:rsidR="00F01BC1" w:rsidRPr="00AD3B18" w:rsidRDefault="00AD3B18">
            <w:pPr>
              <w:jc w:val="both"/>
              <w:rPr>
                <w:rFonts w:cs="FrankRuehl"/>
                <w:rtl/>
              </w:rPr>
            </w:pPr>
            <w:r w:rsidRPr="00AD3B18">
              <w:rPr>
                <w:rFonts w:cs="FrankRuehl" w:hint="cs"/>
                <w:sz w:val="26"/>
                <w:szCs w:val="26"/>
                <w:rtl/>
              </w:rPr>
              <w:t xml:space="preserve">ע"י ב"כ עו"ד </w:t>
            </w:r>
            <w:r w:rsidRPr="00AD3B18">
              <w:rPr>
                <w:rFonts w:cs="FrankRuehl" w:hint="cs"/>
                <w:rtl/>
              </w:rPr>
              <w:t>דודו עמר</w:t>
            </w:r>
          </w:p>
        </w:tc>
        <w:tc>
          <w:tcPr>
            <w:tcW w:w="3771" w:type="dxa"/>
            <w:tcBorders>
              <w:top w:val="nil"/>
              <w:left w:val="nil"/>
              <w:bottom w:val="nil"/>
              <w:right w:val="nil"/>
            </w:tcBorders>
            <w:shd w:val="clear" w:color="auto" w:fill="auto"/>
          </w:tcPr>
          <w:p w14:paraId="2494175E" w14:textId="77777777" w:rsidR="00F01BC1" w:rsidRPr="00AD3B18" w:rsidRDefault="00F01BC1">
            <w:pPr>
              <w:jc w:val="right"/>
              <w:rPr>
                <w:rFonts w:ascii="Arial" w:hAnsi="Arial" w:cs="FrankRuehl"/>
                <w:sz w:val="28"/>
                <w:szCs w:val="28"/>
              </w:rPr>
            </w:pPr>
          </w:p>
        </w:tc>
      </w:tr>
      <w:tr w:rsidR="00F01BC1" w:rsidRPr="00AD3B18" w14:paraId="197CD362" w14:textId="77777777">
        <w:trPr>
          <w:trHeight w:val="355"/>
          <w:jc w:val="center"/>
        </w:trPr>
        <w:tc>
          <w:tcPr>
            <w:tcW w:w="923" w:type="dxa"/>
            <w:tcBorders>
              <w:top w:val="nil"/>
              <w:left w:val="nil"/>
              <w:bottom w:val="nil"/>
              <w:right w:val="nil"/>
            </w:tcBorders>
            <w:shd w:val="clear" w:color="auto" w:fill="auto"/>
          </w:tcPr>
          <w:p w14:paraId="27217B54" w14:textId="77777777" w:rsidR="00F01BC1" w:rsidRPr="00AD3B18" w:rsidRDefault="00F01BC1">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A8513AA" w14:textId="77777777" w:rsidR="00F01BC1" w:rsidRPr="00AD3B18" w:rsidRDefault="00F01BC1">
            <w:pPr>
              <w:jc w:val="both"/>
              <w:rPr>
                <w:rtl/>
              </w:rPr>
            </w:pPr>
          </w:p>
        </w:tc>
        <w:tc>
          <w:tcPr>
            <w:tcW w:w="3771" w:type="dxa"/>
            <w:tcBorders>
              <w:top w:val="nil"/>
              <w:left w:val="nil"/>
              <w:bottom w:val="nil"/>
              <w:right w:val="nil"/>
            </w:tcBorders>
            <w:shd w:val="clear" w:color="auto" w:fill="auto"/>
          </w:tcPr>
          <w:p w14:paraId="6E504BE7" w14:textId="77777777" w:rsidR="00F01BC1" w:rsidRPr="00AD3B18" w:rsidRDefault="00AD3B18">
            <w:pPr>
              <w:jc w:val="right"/>
              <w:rPr>
                <w:rFonts w:ascii="Arial" w:hAnsi="Arial" w:cs="FrankRuehl"/>
                <w:b/>
                <w:bCs/>
                <w:sz w:val="28"/>
                <w:szCs w:val="28"/>
              </w:rPr>
            </w:pPr>
            <w:r w:rsidRPr="00AD3B18">
              <w:rPr>
                <w:rFonts w:ascii="Arial" w:hAnsi="Arial" w:cs="FrankRuehl" w:hint="cs"/>
                <w:b/>
                <w:bCs/>
                <w:sz w:val="28"/>
                <w:szCs w:val="28"/>
                <w:rtl/>
              </w:rPr>
              <w:t>ה</w:t>
            </w:r>
            <w:r w:rsidRPr="00AD3B18">
              <w:rPr>
                <w:rFonts w:ascii="Arial" w:hAnsi="Arial" w:cs="FrankRuehl"/>
                <w:b/>
                <w:bCs/>
                <w:sz w:val="28"/>
                <w:szCs w:val="28"/>
                <w:rtl/>
              </w:rPr>
              <w:t>נא</w:t>
            </w:r>
            <w:r w:rsidRPr="00AD3B18">
              <w:rPr>
                <w:rFonts w:ascii="Arial" w:hAnsi="Arial" w:cs="FrankRuehl" w:hint="cs"/>
                <w:b/>
                <w:bCs/>
                <w:sz w:val="28"/>
                <w:szCs w:val="28"/>
                <w:rtl/>
              </w:rPr>
              <w:t>ש</w:t>
            </w:r>
            <w:r w:rsidRPr="00AD3B18">
              <w:rPr>
                <w:rFonts w:ascii="Arial" w:hAnsi="Arial" w:cs="FrankRuehl"/>
                <w:b/>
                <w:bCs/>
                <w:sz w:val="28"/>
                <w:szCs w:val="28"/>
                <w:rtl/>
              </w:rPr>
              <w:t>ם</w:t>
            </w:r>
          </w:p>
        </w:tc>
      </w:tr>
    </w:tbl>
    <w:p w14:paraId="64C610D2" w14:textId="77777777" w:rsidR="00FD0445" w:rsidRDefault="00FD0445">
      <w:pPr>
        <w:rPr>
          <w:rtl/>
        </w:rPr>
      </w:pPr>
      <w:bookmarkStart w:id="3" w:name="LawTable"/>
      <w:bookmarkEnd w:id="3"/>
    </w:p>
    <w:p w14:paraId="1D80274D" w14:textId="77777777" w:rsidR="00FD0445" w:rsidRPr="00FD0445" w:rsidRDefault="00FD0445" w:rsidP="00FD0445">
      <w:pPr>
        <w:spacing w:after="120" w:line="240" w:lineRule="exact"/>
        <w:ind w:left="283" w:hanging="283"/>
        <w:jc w:val="both"/>
        <w:rPr>
          <w:rFonts w:ascii="FrankRuehl" w:hAnsi="FrankRuehl" w:cs="FrankRuehl"/>
          <w:rtl/>
        </w:rPr>
      </w:pPr>
      <w:r w:rsidRPr="00FD0445">
        <w:rPr>
          <w:rFonts w:ascii="FrankRuehl" w:hAnsi="FrankRuehl" w:cs="FrankRuehl"/>
          <w:rtl/>
        </w:rPr>
        <w:t xml:space="preserve">חקיקה שאוזכרה: </w:t>
      </w:r>
    </w:p>
    <w:p w14:paraId="587074BC" w14:textId="77777777" w:rsidR="00FD0445" w:rsidRPr="00FD0445" w:rsidRDefault="00FD0445" w:rsidP="00FD0445">
      <w:pPr>
        <w:spacing w:after="120" w:line="240" w:lineRule="exact"/>
        <w:ind w:left="283" w:hanging="283"/>
        <w:jc w:val="both"/>
        <w:rPr>
          <w:rFonts w:ascii="FrankRuehl" w:hAnsi="FrankRuehl" w:cs="FrankRuehl"/>
          <w:rtl/>
        </w:rPr>
      </w:pPr>
      <w:hyperlink r:id="rId6" w:history="1">
        <w:r w:rsidRPr="00FD0445">
          <w:rPr>
            <w:rFonts w:ascii="FrankRuehl" w:hAnsi="FrankRuehl" w:cs="FrankRuehl"/>
            <w:color w:val="0000FF"/>
            <w:u w:val="single"/>
            <w:rtl/>
          </w:rPr>
          <w:t>חוק העונשין, תשל"ז-1977</w:t>
        </w:r>
      </w:hyperlink>
      <w:r w:rsidRPr="00FD0445">
        <w:rPr>
          <w:rFonts w:ascii="FrankRuehl" w:hAnsi="FrankRuehl" w:cs="FrankRuehl"/>
          <w:rtl/>
        </w:rPr>
        <w:t xml:space="preserve">: סע'  </w:t>
      </w:r>
      <w:hyperlink r:id="rId7" w:history="1">
        <w:r w:rsidRPr="00FD0445">
          <w:rPr>
            <w:rFonts w:ascii="FrankRuehl" w:hAnsi="FrankRuehl" w:cs="FrankRuehl"/>
            <w:color w:val="0000FF"/>
            <w:u w:val="single"/>
            <w:rtl/>
          </w:rPr>
          <w:t>144(א)</w:t>
        </w:r>
      </w:hyperlink>
      <w:r w:rsidRPr="00FD0445">
        <w:rPr>
          <w:rFonts w:ascii="FrankRuehl" w:hAnsi="FrankRuehl" w:cs="FrankRuehl"/>
          <w:rtl/>
        </w:rPr>
        <w:t xml:space="preserve">, </w:t>
      </w:r>
      <w:hyperlink r:id="rId8" w:history="1">
        <w:r w:rsidRPr="00FD0445">
          <w:rPr>
            <w:rFonts w:ascii="FrankRuehl" w:hAnsi="FrankRuehl" w:cs="FrankRuehl"/>
            <w:color w:val="0000FF"/>
            <w:u w:val="single"/>
            <w:rtl/>
          </w:rPr>
          <w:t>192.</w:t>
        </w:r>
      </w:hyperlink>
      <w:r w:rsidRPr="00FD0445">
        <w:rPr>
          <w:rFonts w:ascii="FrankRuehl" w:hAnsi="FrankRuehl" w:cs="FrankRuehl"/>
          <w:rtl/>
        </w:rPr>
        <w:t xml:space="preserve">, </w:t>
      </w:r>
      <w:hyperlink r:id="rId9" w:history="1">
        <w:r w:rsidRPr="00FD0445">
          <w:rPr>
            <w:rFonts w:ascii="FrankRuehl" w:hAnsi="FrankRuehl" w:cs="FrankRuehl"/>
            <w:color w:val="0000FF"/>
            <w:u w:val="single"/>
            <w:rtl/>
          </w:rPr>
          <w:t>452</w:t>
        </w:r>
      </w:hyperlink>
      <w:r w:rsidRPr="00FD0445">
        <w:rPr>
          <w:rFonts w:ascii="FrankRuehl" w:hAnsi="FrankRuehl" w:cs="FrankRuehl"/>
          <w:rtl/>
        </w:rPr>
        <w:t xml:space="preserve">, </w:t>
      </w:r>
      <w:hyperlink r:id="rId10" w:history="1">
        <w:r w:rsidRPr="00FD0445">
          <w:rPr>
            <w:rFonts w:ascii="FrankRuehl" w:hAnsi="FrankRuehl" w:cs="FrankRuehl"/>
            <w:color w:val="0000FF"/>
            <w:u w:val="single"/>
            <w:rtl/>
          </w:rPr>
          <w:t>454</w:t>
        </w:r>
      </w:hyperlink>
    </w:p>
    <w:p w14:paraId="6D3B403D" w14:textId="77777777" w:rsidR="00FD0445" w:rsidRPr="00FD0445" w:rsidRDefault="00FD0445" w:rsidP="00FD0445">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01BC1" w14:paraId="5D0CB1F8" w14:textId="77777777">
        <w:trPr>
          <w:trHeight w:val="355"/>
          <w:jc w:val="center"/>
        </w:trPr>
        <w:tc>
          <w:tcPr>
            <w:tcW w:w="8820" w:type="dxa"/>
            <w:tcBorders>
              <w:top w:val="nil"/>
              <w:left w:val="nil"/>
              <w:bottom w:val="nil"/>
              <w:right w:val="nil"/>
            </w:tcBorders>
            <w:shd w:val="clear" w:color="auto" w:fill="auto"/>
          </w:tcPr>
          <w:p w14:paraId="151C4C3D" w14:textId="77777777" w:rsidR="00AD3B18" w:rsidRPr="00AD3B18" w:rsidRDefault="00AD3B18" w:rsidP="00AD3B18">
            <w:pPr>
              <w:jc w:val="center"/>
              <w:rPr>
                <w:rFonts w:ascii="Arial" w:hAnsi="Arial" w:cs="FrankRuehl"/>
                <w:b/>
                <w:bCs/>
                <w:sz w:val="32"/>
                <w:szCs w:val="32"/>
                <w:u w:val="single"/>
                <w:rtl/>
              </w:rPr>
            </w:pPr>
            <w:bookmarkStart w:id="4" w:name="LawTable_End"/>
            <w:bookmarkStart w:id="5" w:name="PsakDin" w:colFirst="0" w:colLast="0"/>
            <w:bookmarkEnd w:id="0"/>
            <w:bookmarkEnd w:id="4"/>
            <w:r w:rsidRPr="00AD3B18">
              <w:rPr>
                <w:rFonts w:ascii="Arial" w:hAnsi="Arial" w:cs="FrankRuehl"/>
                <w:b/>
                <w:bCs/>
                <w:sz w:val="32"/>
                <w:szCs w:val="32"/>
                <w:u w:val="single"/>
                <w:rtl/>
              </w:rPr>
              <w:t>גזר דין</w:t>
            </w:r>
          </w:p>
          <w:p w14:paraId="79A57F2C" w14:textId="77777777" w:rsidR="00F01BC1" w:rsidRPr="00AD3B18" w:rsidRDefault="00F01BC1" w:rsidP="00AD3B18">
            <w:pPr>
              <w:jc w:val="center"/>
              <w:rPr>
                <w:rFonts w:ascii="Arial" w:hAnsi="Arial" w:cs="FrankRuehl"/>
                <w:bCs/>
                <w:sz w:val="32"/>
                <w:szCs w:val="32"/>
                <w:u w:val="single"/>
                <w:rtl/>
              </w:rPr>
            </w:pPr>
          </w:p>
        </w:tc>
      </w:tr>
      <w:bookmarkEnd w:id="5"/>
    </w:tbl>
    <w:p w14:paraId="4B146204" w14:textId="77777777" w:rsidR="00F01BC1" w:rsidRDefault="00F01BC1">
      <w:pPr>
        <w:rPr>
          <w:rFonts w:ascii="Arial" w:hAnsi="Arial" w:cs="FrankRuehl"/>
          <w:sz w:val="28"/>
          <w:szCs w:val="28"/>
          <w:rtl/>
        </w:rPr>
      </w:pPr>
    </w:p>
    <w:p w14:paraId="68011502" w14:textId="77777777" w:rsidR="00F01BC1" w:rsidRDefault="00AD3B18">
      <w:pPr>
        <w:spacing w:line="360" w:lineRule="auto"/>
        <w:jc w:val="both"/>
        <w:rPr>
          <w:rFonts w:ascii="Arial" w:hAnsi="Arial" w:cs="FrankRuehl"/>
          <w:sz w:val="28"/>
          <w:szCs w:val="28"/>
          <w:rtl/>
        </w:rPr>
      </w:pPr>
      <w:bookmarkStart w:id="6" w:name="ABSTRACT_START"/>
      <w:bookmarkEnd w:id="6"/>
      <w:r>
        <w:rPr>
          <w:rFonts w:ascii="Arial" w:hAnsi="Arial" w:cs="FrankRuehl" w:hint="cs"/>
          <w:sz w:val="28"/>
          <w:szCs w:val="28"/>
          <w:rtl/>
        </w:rPr>
        <w:t xml:space="preserve">הנאשם, כבן 25, הורשע על פי הודאתו במסגרת הסדר טיעון בכתב אישום מתוקן, בעבירות של החזקת נשק, בניגוד </w:t>
      </w:r>
      <w:hyperlink r:id="rId11" w:history="1">
        <w:r w:rsidR="00FD0445" w:rsidRPr="00FD0445">
          <w:rPr>
            <w:rFonts w:ascii="Arial" w:hAnsi="Arial" w:cs="FrankRuehl"/>
            <w:color w:val="0000FF"/>
            <w:sz w:val="28"/>
            <w:szCs w:val="28"/>
            <w:u w:val="single"/>
            <w:rtl/>
          </w:rPr>
          <w:t>לסעיף 144(א)</w:t>
        </w:r>
      </w:hyperlink>
      <w:r>
        <w:rPr>
          <w:rFonts w:ascii="Arial" w:hAnsi="Arial" w:cs="FrankRuehl" w:hint="cs"/>
          <w:sz w:val="28"/>
          <w:szCs w:val="28"/>
          <w:rtl/>
        </w:rPr>
        <w:t xml:space="preserve"> ל</w:t>
      </w:r>
      <w:hyperlink r:id="rId12" w:history="1">
        <w:r w:rsidRPr="00AD3B18">
          <w:rPr>
            <w:rFonts w:ascii="Arial" w:hAnsi="Arial" w:cs="FrankRuehl"/>
            <w:color w:val="0000FF"/>
            <w:sz w:val="28"/>
            <w:szCs w:val="28"/>
            <w:u w:val="single"/>
            <w:rtl/>
          </w:rPr>
          <w:t>חוק העונשין</w:t>
        </w:r>
      </w:hyperlink>
      <w:r>
        <w:rPr>
          <w:rFonts w:ascii="Arial" w:hAnsi="Arial" w:cs="FrankRuehl" w:hint="cs"/>
          <w:sz w:val="28"/>
          <w:szCs w:val="28"/>
          <w:rtl/>
        </w:rPr>
        <w:t xml:space="preserve">, היזק בחומר נפיץ, בניגוד </w:t>
      </w:r>
      <w:hyperlink r:id="rId13" w:history="1">
        <w:r w:rsidR="00FD0445" w:rsidRPr="00FD0445">
          <w:rPr>
            <w:rFonts w:ascii="Arial" w:hAnsi="Arial" w:cs="FrankRuehl"/>
            <w:color w:val="0000FF"/>
            <w:sz w:val="28"/>
            <w:szCs w:val="28"/>
            <w:u w:val="single"/>
            <w:rtl/>
          </w:rPr>
          <w:t>לסעיף 452</w:t>
        </w:r>
      </w:hyperlink>
      <w:r>
        <w:rPr>
          <w:rFonts w:ascii="Arial" w:hAnsi="Arial" w:cs="FrankRuehl" w:hint="cs"/>
          <w:sz w:val="28"/>
          <w:szCs w:val="28"/>
          <w:rtl/>
        </w:rPr>
        <w:t xml:space="preserve"> </w:t>
      </w:r>
      <w:hyperlink r:id="rId14" w:history="1">
        <w:r w:rsidR="00FD0445" w:rsidRPr="00FD0445">
          <w:rPr>
            <w:rFonts w:ascii="Arial" w:hAnsi="Arial" w:cs="FrankRuehl"/>
            <w:color w:val="0000FF"/>
            <w:sz w:val="28"/>
            <w:szCs w:val="28"/>
            <w:u w:val="single"/>
            <w:rtl/>
          </w:rPr>
          <w:t>וסעיף 454</w:t>
        </w:r>
      </w:hyperlink>
      <w:r>
        <w:rPr>
          <w:rFonts w:ascii="Arial" w:hAnsi="Arial" w:cs="FrankRuehl" w:hint="cs"/>
          <w:sz w:val="28"/>
          <w:szCs w:val="28"/>
          <w:rtl/>
        </w:rPr>
        <w:t xml:space="preserve">, ובאיומים, בניגוד </w:t>
      </w:r>
      <w:hyperlink r:id="rId15" w:history="1">
        <w:r w:rsidR="00FD0445" w:rsidRPr="00FD0445">
          <w:rPr>
            <w:rFonts w:ascii="Arial" w:hAnsi="Arial" w:cs="FrankRuehl"/>
            <w:color w:val="0000FF"/>
            <w:sz w:val="28"/>
            <w:szCs w:val="28"/>
            <w:u w:val="single"/>
            <w:rtl/>
          </w:rPr>
          <w:t>לסעיף 192.</w:t>
        </w:r>
      </w:hyperlink>
    </w:p>
    <w:p w14:paraId="0C8FDA9A" w14:textId="77777777" w:rsidR="00F01BC1" w:rsidRDefault="00F01BC1">
      <w:pPr>
        <w:spacing w:line="360" w:lineRule="auto"/>
        <w:rPr>
          <w:rFonts w:cs="FrankRuehl"/>
          <w:sz w:val="28"/>
          <w:szCs w:val="28"/>
          <w:rtl/>
        </w:rPr>
      </w:pPr>
      <w:bookmarkStart w:id="7" w:name="ABSTRACT_END"/>
      <w:bookmarkEnd w:id="7"/>
    </w:p>
    <w:p w14:paraId="05C1F681" w14:textId="77777777" w:rsidR="00F01BC1" w:rsidRDefault="00AD3B18">
      <w:pPr>
        <w:spacing w:line="360" w:lineRule="auto"/>
        <w:jc w:val="both"/>
        <w:rPr>
          <w:rFonts w:cs="FrankRuehl"/>
          <w:sz w:val="28"/>
          <w:szCs w:val="28"/>
          <w:rtl/>
        </w:rPr>
      </w:pPr>
      <w:r>
        <w:rPr>
          <w:rFonts w:cs="FrankRuehl" w:hint="cs"/>
          <w:sz w:val="28"/>
          <w:szCs w:val="28"/>
          <w:rtl/>
        </w:rPr>
        <w:t xml:space="preserve">בכתב האישום נטען, כי הנאשם הקים מוסך במבנה המיועד ללול. המבנה נמצא בבעלותם של המתלוננים, שהם דודיו של הנאשם. המתלוננים הסכימו שהמערער יעשה שימוש במקום. </w:t>
      </w:r>
    </w:p>
    <w:p w14:paraId="7D1A5AF2" w14:textId="77777777" w:rsidR="00F01BC1" w:rsidRDefault="00F01BC1">
      <w:pPr>
        <w:spacing w:line="360" w:lineRule="auto"/>
        <w:jc w:val="both"/>
        <w:rPr>
          <w:rFonts w:cs="FrankRuehl"/>
          <w:sz w:val="28"/>
          <w:szCs w:val="28"/>
          <w:rtl/>
        </w:rPr>
      </w:pPr>
    </w:p>
    <w:p w14:paraId="771FFCEF" w14:textId="77777777" w:rsidR="00F01BC1" w:rsidRDefault="00AD3B18">
      <w:pPr>
        <w:spacing w:line="360" w:lineRule="auto"/>
        <w:jc w:val="both"/>
        <w:rPr>
          <w:rFonts w:cs="FrankRuehl"/>
          <w:sz w:val="28"/>
          <w:szCs w:val="28"/>
          <w:rtl/>
        </w:rPr>
      </w:pPr>
      <w:r>
        <w:rPr>
          <w:rFonts w:cs="FrankRuehl" w:hint="cs"/>
          <w:sz w:val="28"/>
          <w:szCs w:val="28"/>
          <w:rtl/>
        </w:rPr>
        <w:t>בהמשך כתב האישום נטען, כי מספר ימים לפני יום 22.10.15, התגלע סכסוך בין הנאשם למתלונן בשל רעש באזור המוסך בשעות הערב, ולפיכך ביקשה המתלוננת מהנאשם לצאת מהלול, ובתשובה אמר לה הנאשם "</w:t>
      </w:r>
      <w:r>
        <w:rPr>
          <w:rFonts w:cs="FrankRuehl" w:hint="cs"/>
          <w:b/>
          <w:bCs/>
          <w:sz w:val="28"/>
          <w:szCs w:val="28"/>
          <w:rtl/>
        </w:rPr>
        <w:t>אני אעשה אותו נכה</w:t>
      </w:r>
      <w:r>
        <w:rPr>
          <w:rFonts w:cs="FrankRuehl" w:hint="cs"/>
          <w:sz w:val="28"/>
          <w:szCs w:val="28"/>
          <w:rtl/>
        </w:rPr>
        <w:t>". בעקבות כך, גמלה בליבו של הנאשם החלטה לנקום במתלוננים ולהטיל עליהם אימה. בשעות הערב הוא ניתק את חיבור החשמל בביתם של המתלוננים, ובעודו ממתין בסמוך לביתם של המתלוננים, פנה לחבריו על מנת שיבואו למקום עם אלות ומסכות לסייע לו במעשיו, וכן הצטייד ברימון הלם הנמצא בשימוש כוחות הביטחון.</w:t>
      </w:r>
    </w:p>
    <w:p w14:paraId="213742F4" w14:textId="77777777" w:rsidR="00F01BC1" w:rsidRDefault="00F01BC1">
      <w:pPr>
        <w:spacing w:line="360" w:lineRule="auto"/>
        <w:jc w:val="both"/>
        <w:rPr>
          <w:rFonts w:cs="FrankRuehl"/>
          <w:sz w:val="28"/>
          <w:szCs w:val="28"/>
          <w:rtl/>
        </w:rPr>
      </w:pPr>
    </w:p>
    <w:p w14:paraId="6010544B" w14:textId="77777777" w:rsidR="00F01BC1" w:rsidRDefault="00AD3B18">
      <w:pPr>
        <w:spacing w:line="360" w:lineRule="auto"/>
        <w:jc w:val="both"/>
        <w:rPr>
          <w:rFonts w:cs="FrankRuehl"/>
          <w:sz w:val="28"/>
          <w:szCs w:val="28"/>
          <w:rtl/>
        </w:rPr>
      </w:pPr>
      <w:r>
        <w:rPr>
          <w:rFonts w:cs="FrankRuehl" w:hint="cs"/>
          <w:sz w:val="28"/>
          <w:szCs w:val="28"/>
          <w:rtl/>
        </w:rPr>
        <w:lastRenderedPageBreak/>
        <w:t xml:space="preserve">הנאשם הודה, כי בשעה 02:40 לערך, נכנס למרפסת בכניסה לבית כשהוא נושא את הרימון, נעמד בסמוך לחלון מטבח הבית, שלף את נצרת הרימון והשליך את הרימון לעבר החלון. הרימון ניפץ את חלון המטבח, עף דרך המטבח ונפל בחדר שירות, ובו מקרר, ארונות בגדים ומכונת כביסה, והתפוצץ, תוך שהוא משמיע קול נפץ, המלווה בהבזק אור, אש ועשן שמילא את כל הבית. בסיפא לכתב האישום צוין, כי התפוצצות הרימון גרמה לבהלה רבה לבני המשפחה ששהו בבית באותה עת, לסימני הדף על הקיר במקום נפילת הרימון ולסימני פיח. </w:t>
      </w:r>
    </w:p>
    <w:p w14:paraId="6D7EB04A" w14:textId="77777777" w:rsidR="00F01BC1" w:rsidRDefault="00AD3B18">
      <w:pPr>
        <w:spacing w:line="360" w:lineRule="auto"/>
        <w:jc w:val="both"/>
        <w:rPr>
          <w:rFonts w:cs="FrankRuehl"/>
          <w:sz w:val="28"/>
          <w:szCs w:val="28"/>
          <w:rtl/>
        </w:rPr>
      </w:pPr>
      <w:r>
        <w:rPr>
          <w:rFonts w:cs="FrankRuehl" w:hint="cs"/>
          <w:sz w:val="28"/>
          <w:szCs w:val="28"/>
          <w:rtl/>
        </w:rPr>
        <w:t xml:space="preserve">כאמור, הנאשם הודה, כי החזיק רימון ללא רשות, פגע בנכס במזיד על ידי חומר נפיץ בעת שהיה אדם במקום המעשה ואיים על אדם. </w:t>
      </w:r>
    </w:p>
    <w:p w14:paraId="303DE811" w14:textId="77777777" w:rsidR="00F01BC1" w:rsidRDefault="00F01BC1">
      <w:pPr>
        <w:spacing w:line="360" w:lineRule="auto"/>
        <w:rPr>
          <w:rFonts w:cs="FrankRuehl"/>
          <w:sz w:val="28"/>
          <w:szCs w:val="28"/>
          <w:rtl/>
        </w:rPr>
      </w:pPr>
    </w:p>
    <w:p w14:paraId="51FC9E47" w14:textId="77777777" w:rsidR="00F01BC1" w:rsidRDefault="00AD3B18">
      <w:pPr>
        <w:spacing w:line="360" w:lineRule="auto"/>
        <w:jc w:val="both"/>
        <w:rPr>
          <w:rFonts w:cs="FrankRuehl"/>
          <w:sz w:val="28"/>
          <w:szCs w:val="28"/>
          <w:rtl/>
        </w:rPr>
      </w:pPr>
      <w:r>
        <w:rPr>
          <w:rFonts w:cs="FrankRuehl" w:hint="cs"/>
          <w:sz w:val="28"/>
          <w:szCs w:val="28"/>
          <w:rtl/>
        </w:rPr>
        <w:t xml:space="preserve">בהתאם להסדר הטיעון, הוסכם, כי התביעה תעתור לעונש מאסר בפועל למשך 24 חודשים, מאסר על תנאי ופיצוי, ואילו ב"כ הנאשם טען לעונש באופן חופשי. כמו כן, הוסכם, כי בטרם הטיעונים לעונש, יוגש תסקיר מטעם שירות המבחן. </w:t>
      </w:r>
    </w:p>
    <w:p w14:paraId="6350FC48" w14:textId="77777777" w:rsidR="00F01BC1" w:rsidRDefault="00F01BC1">
      <w:pPr>
        <w:spacing w:line="360" w:lineRule="auto"/>
        <w:rPr>
          <w:rFonts w:cs="FrankRuehl"/>
          <w:sz w:val="28"/>
          <w:szCs w:val="28"/>
          <w:rtl/>
        </w:rPr>
      </w:pPr>
    </w:p>
    <w:p w14:paraId="34EB44FA" w14:textId="77777777" w:rsidR="00F01BC1" w:rsidRDefault="00AD3B18">
      <w:pPr>
        <w:spacing w:line="360" w:lineRule="auto"/>
        <w:jc w:val="both"/>
        <w:rPr>
          <w:rFonts w:cs="FrankRuehl"/>
          <w:sz w:val="28"/>
          <w:szCs w:val="28"/>
          <w:rtl/>
        </w:rPr>
      </w:pPr>
      <w:r>
        <w:rPr>
          <w:rFonts w:cs="FrankRuehl" w:hint="cs"/>
          <w:sz w:val="28"/>
          <w:szCs w:val="28"/>
          <w:rtl/>
        </w:rPr>
        <w:t xml:space="preserve">שירות המבחן ציין, כי טרם מעצרו עבד הנאשם בשני מקומות עבודה, וקודם לכן שירת בצה"ל. שירות המבחן התרשם, כי לנאשם קושי בוויסות רגשותיו ותגובותיו במצבים של כעס ותסכול, והוא נוטה לפעול באימפולסיביות במצבים אלו, מבלי להפעיל שיקול דעת ולחשוב על השלכת מעשיו. </w:t>
      </w:r>
    </w:p>
    <w:p w14:paraId="40C1F719" w14:textId="77777777" w:rsidR="00F01BC1" w:rsidRDefault="00F01BC1">
      <w:pPr>
        <w:spacing w:line="360" w:lineRule="auto"/>
        <w:jc w:val="both"/>
        <w:rPr>
          <w:rFonts w:cs="FrankRuehl"/>
          <w:sz w:val="28"/>
          <w:szCs w:val="28"/>
          <w:rtl/>
        </w:rPr>
      </w:pPr>
    </w:p>
    <w:p w14:paraId="6C315079" w14:textId="77777777" w:rsidR="00F01BC1" w:rsidRDefault="00AD3B18">
      <w:pPr>
        <w:spacing w:line="360" w:lineRule="auto"/>
        <w:jc w:val="both"/>
        <w:rPr>
          <w:rFonts w:cs="FrankRuehl"/>
          <w:sz w:val="28"/>
          <w:szCs w:val="28"/>
          <w:rtl/>
        </w:rPr>
      </w:pPr>
      <w:r>
        <w:rPr>
          <w:rFonts w:cs="FrankRuehl" w:hint="cs"/>
          <w:sz w:val="28"/>
          <w:szCs w:val="28"/>
          <w:rtl/>
        </w:rPr>
        <w:t>שירות המבחן נפגש עם המתלוננת, אשר הדגישה את אהבתה לנאשם (בהיותו קרוב משפחה), ומאידך, תיארה המתלוננת את החרדות המלוות אותה מאז ביצוע העבירה. המתלוננת הדגישה בפני שירות המבחן, כי היא מבקשת להקל בעונשו של הנאשם.</w:t>
      </w:r>
    </w:p>
    <w:p w14:paraId="3AE91C5B" w14:textId="77777777" w:rsidR="00F01BC1" w:rsidRDefault="00F01BC1">
      <w:pPr>
        <w:spacing w:line="360" w:lineRule="auto"/>
        <w:jc w:val="both"/>
        <w:rPr>
          <w:rFonts w:cs="FrankRuehl"/>
          <w:sz w:val="28"/>
          <w:szCs w:val="28"/>
          <w:rtl/>
        </w:rPr>
      </w:pPr>
    </w:p>
    <w:p w14:paraId="1BF1A634" w14:textId="77777777" w:rsidR="00F01BC1" w:rsidRDefault="00AD3B18">
      <w:pPr>
        <w:spacing w:line="360" w:lineRule="auto"/>
        <w:jc w:val="both"/>
        <w:rPr>
          <w:rFonts w:cs="FrankRuehl"/>
          <w:sz w:val="28"/>
          <w:szCs w:val="28"/>
          <w:rtl/>
        </w:rPr>
      </w:pPr>
      <w:r>
        <w:rPr>
          <w:rFonts w:cs="FrankRuehl" w:hint="cs"/>
          <w:sz w:val="28"/>
          <w:szCs w:val="28"/>
          <w:rtl/>
        </w:rPr>
        <w:t>בסופו של תסקיר, ציין שירות המבחן, כי הוא מתלבט באשר להמלצה, כאשר מחד גיסא עומדת חומרת העבירה ומורכבות הסכסוך המשפחתי, ומאידך גיסא, עומדים גילו הצעיר, לקיחת האחריות והבעת החרטה וכן עמדתה של המתלוננת, אשר הביעה את רצונה לסיים את הסכסוך בהתנצלותו של הנאשם. שירות המבחן המליץ להסתפק במאסר שירוצה בעבודות שירות ולהעמיד את הנאשם בצו מבחן למשך שנה.</w:t>
      </w:r>
    </w:p>
    <w:p w14:paraId="2081D5E2" w14:textId="77777777" w:rsidR="00F01BC1" w:rsidRDefault="00F01BC1">
      <w:pPr>
        <w:spacing w:line="360" w:lineRule="auto"/>
        <w:rPr>
          <w:rFonts w:cs="FrankRuehl"/>
          <w:sz w:val="28"/>
          <w:szCs w:val="28"/>
          <w:rtl/>
        </w:rPr>
      </w:pPr>
    </w:p>
    <w:p w14:paraId="2FF71366" w14:textId="77777777" w:rsidR="00F01BC1" w:rsidRDefault="00AD3B18">
      <w:pPr>
        <w:spacing w:line="360" w:lineRule="auto"/>
        <w:jc w:val="both"/>
        <w:rPr>
          <w:rFonts w:cs="FrankRuehl"/>
          <w:sz w:val="28"/>
          <w:szCs w:val="28"/>
          <w:rtl/>
        </w:rPr>
      </w:pPr>
      <w:r>
        <w:rPr>
          <w:rFonts w:cs="FrankRuehl" w:hint="cs"/>
          <w:sz w:val="28"/>
          <w:szCs w:val="28"/>
          <w:rtl/>
        </w:rPr>
        <w:t xml:space="preserve">בעת הטיעונים לעונש, הגיש ב"כ הנאשם תצהיר מטעמה של המתלוננת, בו צוין, בין היתר, כי ברור למתלוננת שהנאשם פעל מתוך כעס וזעם, מבלי לחשוב יתר על המידה וכי מאז האירוע </w:t>
      </w:r>
      <w:r>
        <w:rPr>
          <w:rFonts w:cs="FrankRuehl" w:hint="cs"/>
          <w:sz w:val="28"/>
          <w:szCs w:val="28"/>
          <w:rtl/>
        </w:rPr>
        <w:lastRenderedPageBreak/>
        <w:t>סובלת המתלוננת לעיתים מחרדות. מאידך, צוין בתצהיר, כי המתלוננת הייתה רוצה לסיים את הסכסוך המשפחתי ברוח טובה, וכי אין בה שום רצון שהנאשם ייענש למאסר ארוך.</w:t>
      </w:r>
    </w:p>
    <w:p w14:paraId="34AFF0CB" w14:textId="77777777" w:rsidR="00F01BC1" w:rsidRDefault="00F01BC1">
      <w:pPr>
        <w:spacing w:line="360" w:lineRule="auto"/>
        <w:jc w:val="both"/>
        <w:rPr>
          <w:rFonts w:cs="FrankRuehl"/>
          <w:sz w:val="28"/>
          <w:szCs w:val="28"/>
          <w:rtl/>
        </w:rPr>
      </w:pPr>
    </w:p>
    <w:p w14:paraId="5CB57330" w14:textId="77777777" w:rsidR="00F01BC1" w:rsidRDefault="00AD3B18">
      <w:pPr>
        <w:spacing w:line="360" w:lineRule="auto"/>
        <w:jc w:val="both"/>
        <w:rPr>
          <w:rFonts w:cs="FrankRuehl"/>
          <w:sz w:val="28"/>
          <w:szCs w:val="28"/>
          <w:rtl/>
        </w:rPr>
      </w:pPr>
      <w:r>
        <w:rPr>
          <w:rFonts w:cs="FrankRuehl" w:hint="cs"/>
          <w:sz w:val="28"/>
          <w:szCs w:val="28"/>
          <w:rtl/>
        </w:rPr>
        <w:t>בטיעוניו לעונש, ציין התובע, כי הוא התרשם שהמתלוננת נמצאת במצב של קונפליקט, שכן מצד אחד היא ובעלה נפגעו, ומצד שני מדובר באחיין שלה, ומכאן בקשתה להקלה בעונש.</w:t>
      </w:r>
    </w:p>
    <w:p w14:paraId="3810D14E" w14:textId="77777777" w:rsidR="00F01BC1" w:rsidRDefault="00AD3B18">
      <w:pPr>
        <w:spacing w:line="360" w:lineRule="auto"/>
        <w:jc w:val="both"/>
        <w:rPr>
          <w:rFonts w:cs="FrankRuehl"/>
          <w:sz w:val="28"/>
          <w:szCs w:val="28"/>
          <w:rtl/>
        </w:rPr>
      </w:pPr>
      <w:r>
        <w:rPr>
          <w:rFonts w:cs="FrankRuehl" w:hint="cs"/>
          <w:sz w:val="28"/>
          <w:szCs w:val="28"/>
          <w:rtl/>
        </w:rPr>
        <w:t>בניגוד לסיכום שגובש בהסדר הטיעון, ביקש התובע להטיל על הנאשם מאסר לתקופה של 20 חודש, בנוסף למאסר על תנאי ופיצוי למתלוננים.</w:t>
      </w:r>
    </w:p>
    <w:p w14:paraId="783A6125" w14:textId="77777777" w:rsidR="00F01BC1" w:rsidRDefault="00F01BC1">
      <w:pPr>
        <w:spacing w:line="360" w:lineRule="auto"/>
        <w:jc w:val="both"/>
        <w:rPr>
          <w:rFonts w:cs="FrankRuehl"/>
          <w:sz w:val="28"/>
          <w:szCs w:val="28"/>
          <w:rtl/>
        </w:rPr>
      </w:pPr>
    </w:p>
    <w:p w14:paraId="72ADB10A" w14:textId="77777777" w:rsidR="00F01BC1" w:rsidRDefault="00AD3B18">
      <w:pPr>
        <w:spacing w:line="360" w:lineRule="auto"/>
        <w:jc w:val="both"/>
        <w:rPr>
          <w:rFonts w:cs="FrankRuehl"/>
          <w:sz w:val="28"/>
          <w:szCs w:val="28"/>
          <w:rtl/>
        </w:rPr>
      </w:pPr>
      <w:r>
        <w:rPr>
          <w:rFonts w:cs="FrankRuehl" w:hint="cs"/>
          <w:sz w:val="28"/>
          <w:szCs w:val="28"/>
          <w:rtl/>
        </w:rPr>
        <w:t xml:space="preserve">מאידך, ביקש ב"כ הנאשם לקבל את המלצת שירות המבחן ולהטיל על הנאשם מאסר למשך 6 חודשים, אשר ירוצה בעבודות שירות. </w:t>
      </w:r>
    </w:p>
    <w:p w14:paraId="0C6DBC5B" w14:textId="77777777" w:rsidR="00F01BC1" w:rsidRDefault="00F01BC1">
      <w:pPr>
        <w:spacing w:line="360" w:lineRule="auto"/>
        <w:jc w:val="both"/>
        <w:rPr>
          <w:rFonts w:cs="FrankRuehl"/>
          <w:sz w:val="28"/>
          <w:szCs w:val="28"/>
          <w:rtl/>
        </w:rPr>
      </w:pPr>
    </w:p>
    <w:p w14:paraId="68DF9BF0" w14:textId="77777777" w:rsidR="00F01BC1" w:rsidRDefault="00AD3B18">
      <w:pPr>
        <w:spacing w:line="360" w:lineRule="auto"/>
        <w:jc w:val="both"/>
        <w:rPr>
          <w:rFonts w:cs="FrankRuehl"/>
          <w:sz w:val="28"/>
          <w:szCs w:val="28"/>
          <w:rtl/>
        </w:rPr>
      </w:pPr>
      <w:r>
        <w:rPr>
          <w:rFonts w:cs="FrankRuehl" w:hint="cs"/>
          <w:sz w:val="28"/>
          <w:szCs w:val="28"/>
          <w:rtl/>
        </w:rPr>
        <w:t>במתן גזר הדין, נצעד במתווה שנקבע בתיקון 113 ל</w:t>
      </w:r>
      <w:hyperlink r:id="rId16" w:history="1">
        <w:r w:rsidRPr="00AD3B18">
          <w:rPr>
            <w:rFonts w:cs="FrankRuehl"/>
            <w:color w:val="0000FF"/>
            <w:sz w:val="28"/>
            <w:szCs w:val="28"/>
            <w:u w:val="single"/>
            <w:rtl/>
          </w:rPr>
          <w:t>חוק העונשין</w:t>
        </w:r>
      </w:hyperlink>
      <w:r>
        <w:rPr>
          <w:rFonts w:cs="FrankRuehl" w:hint="cs"/>
          <w:sz w:val="28"/>
          <w:szCs w:val="28"/>
          <w:rtl/>
        </w:rPr>
        <w:t xml:space="preserve">. </w:t>
      </w:r>
    </w:p>
    <w:p w14:paraId="656E3ED2" w14:textId="77777777" w:rsidR="00F01BC1" w:rsidRDefault="00F01BC1">
      <w:pPr>
        <w:spacing w:line="360" w:lineRule="auto"/>
        <w:jc w:val="both"/>
        <w:rPr>
          <w:rFonts w:cs="FrankRuehl"/>
          <w:sz w:val="28"/>
          <w:szCs w:val="28"/>
          <w:rtl/>
        </w:rPr>
      </w:pPr>
    </w:p>
    <w:p w14:paraId="516CE910" w14:textId="77777777" w:rsidR="00F01BC1" w:rsidRDefault="00AD3B18">
      <w:pPr>
        <w:spacing w:line="360" w:lineRule="auto"/>
        <w:jc w:val="both"/>
        <w:rPr>
          <w:rFonts w:cs="FrankRuehl"/>
          <w:sz w:val="28"/>
          <w:szCs w:val="28"/>
          <w:rtl/>
        </w:rPr>
      </w:pPr>
      <w:r>
        <w:rPr>
          <w:rFonts w:cs="FrankRuehl" w:hint="cs"/>
          <w:sz w:val="28"/>
          <w:szCs w:val="28"/>
          <w:rtl/>
        </w:rPr>
        <w:t xml:space="preserve">אין ספק, כי הערך החברתי שנפגע כתוצאה מביצוע העבירות הינו ביטחון הציבור ורכושו. מידת הפגיעה ברכוש הייתה לא גבוהה. </w:t>
      </w:r>
    </w:p>
    <w:p w14:paraId="5A35DE6E" w14:textId="77777777" w:rsidR="00F01BC1" w:rsidRDefault="00F01BC1">
      <w:pPr>
        <w:spacing w:line="360" w:lineRule="auto"/>
        <w:jc w:val="both"/>
        <w:rPr>
          <w:rFonts w:cs="FrankRuehl"/>
          <w:sz w:val="28"/>
          <w:szCs w:val="28"/>
          <w:rtl/>
        </w:rPr>
      </w:pPr>
    </w:p>
    <w:p w14:paraId="5FA31712" w14:textId="77777777" w:rsidR="00F01BC1" w:rsidRDefault="00AD3B18">
      <w:pPr>
        <w:spacing w:line="360" w:lineRule="auto"/>
        <w:jc w:val="both"/>
        <w:rPr>
          <w:rFonts w:cs="FrankRuehl"/>
          <w:sz w:val="28"/>
          <w:szCs w:val="28"/>
          <w:rtl/>
        </w:rPr>
      </w:pPr>
      <w:r>
        <w:rPr>
          <w:rFonts w:cs="FrankRuehl" w:hint="cs"/>
          <w:sz w:val="28"/>
          <w:szCs w:val="28"/>
          <w:rtl/>
        </w:rPr>
        <w:t xml:space="preserve">אשר למדיניות הענישה הנהוגה, כל צד הגיש פסיקה התומכת בעמדתו העונשית, כך, לדוגמא, הציגה התביעה את </w:t>
      </w:r>
      <w:hyperlink r:id="rId17" w:history="1">
        <w:r w:rsidRPr="00AD3B18">
          <w:rPr>
            <w:rFonts w:cs="FrankRuehl"/>
            <w:color w:val="0000FF"/>
            <w:sz w:val="28"/>
            <w:szCs w:val="28"/>
            <w:u w:val="single"/>
            <w:rtl/>
          </w:rPr>
          <w:t>ע"פ 5995/11</w:t>
        </w:r>
      </w:hyperlink>
      <w:r>
        <w:rPr>
          <w:rFonts w:cs="FrankRuehl" w:hint="cs"/>
          <w:sz w:val="28"/>
          <w:szCs w:val="28"/>
          <w:rtl/>
        </w:rPr>
        <w:t xml:space="preserve">, </w:t>
      </w:r>
      <w:r>
        <w:rPr>
          <w:rFonts w:cs="FrankRuehl" w:hint="cs"/>
          <w:b/>
          <w:bCs/>
          <w:sz w:val="28"/>
          <w:szCs w:val="28"/>
          <w:rtl/>
        </w:rPr>
        <w:t>ראיד בדראן נ' מדינת ישראל</w:t>
      </w:r>
      <w:r>
        <w:rPr>
          <w:rFonts w:cs="FrankRuehl" w:hint="cs"/>
          <w:sz w:val="28"/>
          <w:szCs w:val="28"/>
          <w:rtl/>
        </w:rPr>
        <w:t xml:space="preserve"> (פורסם במאגרים ביום 14.10.12), בו העמיד בית המשפט העליון את עונשו של המערער על 3 שנות מאסר בגין עבירות של היזק בחומר נפיץ ועבירות של החזקה והובלת נשק. באותו מקרה דובר במערער ללא עבר פלילי, שבעניינו הוגש תסקיר חיובי.</w:t>
      </w:r>
    </w:p>
    <w:p w14:paraId="0EB90A13" w14:textId="77777777" w:rsidR="00F01BC1" w:rsidRDefault="00F01BC1">
      <w:pPr>
        <w:spacing w:line="360" w:lineRule="auto"/>
        <w:jc w:val="both"/>
        <w:rPr>
          <w:rFonts w:cs="FrankRuehl"/>
          <w:sz w:val="28"/>
          <w:szCs w:val="28"/>
          <w:rtl/>
        </w:rPr>
      </w:pPr>
    </w:p>
    <w:p w14:paraId="6BC42A08" w14:textId="77777777" w:rsidR="00F01BC1" w:rsidRDefault="00AD3B18">
      <w:pPr>
        <w:spacing w:line="360" w:lineRule="auto"/>
        <w:jc w:val="both"/>
        <w:rPr>
          <w:rFonts w:cs="FrankRuehl"/>
          <w:sz w:val="28"/>
          <w:szCs w:val="28"/>
          <w:rtl/>
        </w:rPr>
      </w:pPr>
      <w:r>
        <w:rPr>
          <w:rFonts w:cs="FrankRuehl" w:hint="cs"/>
          <w:sz w:val="28"/>
          <w:szCs w:val="28"/>
          <w:rtl/>
        </w:rPr>
        <w:t>ב</w:t>
      </w:r>
      <w:hyperlink r:id="rId18" w:history="1">
        <w:r w:rsidRPr="00AD3B18">
          <w:rPr>
            <w:rFonts w:cs="FrankRuehl"/>
            <w:color w:val="0000FF"/>
            <w:sz w:val="28"/>
            <w:szCs w:val="28"/>
            <w:u w:val="single"/>
            <w:rtl/>
          </w:rPr>
          <w:t>ת"פ 19087-06-13</w:t>
        </w:r>
      </w:hyperlink>
      <w:r>
        <w:rPr>
          <w:rFonts w:cs="FrankRuehl" w:hint="cs"/>
          <w:sz w:val="28"/>
          <w:szCs w:val="28"/>
          <w:rtl/>
        </w:rPr>
        <w:t xml:space="preserve">, </w:t>
      </w:r>
      <w:r>
        <w:rPr>
          <w:rFonts w:cs="FrankRuehl" w:hint="cs"/>
          <w:b/>
          <w:bCs/>
          <w:sz w:val="28"/>
          <w:szCs w:val="28"/>
          <w:rtl/>
        </w:rPr>
        <w:t>מדינת ישראל נ' מנסור פואז</w:t>
      </w:r>
      <w:r>
        <w:rPr>
          <w:rFonts w:cs="FrankRuehl" w:hint="cs"/>
          <w:sz w:val="28"/>
          <w:szCs w:val="28"/>
          <w:rtl/>
        </w:rPr>
        <w:t xml:space="preserve"> (מיום 30.11.15) קבע בית המשפט המחוזי בנצרת, כי רף הענישה בנושא עבירות בנשק הינו נרחב, וכולל ענישה של חודשי מאסר בפועל בודדים ועד שנות מאסר אחדות. באותו מקרה, קבע בית המשפט המחוזי בנצרת, מתחם עונש שנע בין שנה עד לשלוש שנות מאסר בפועל. </w:t>
      </w:r>
    </w:p>
    <w:p w14:paraId="5F8D5869" w14:textId="77777777" w:rsidR="00F01BC1" w:rsidRDefault="00F01BC1">
      <w:pPr>
        <w:spacing w:line="360" w:lineRule="auto"/>
        <w:jc w:val="both"/>
        <w:rPr>
          <w:rFonts w:cs="FrankRuehl"/>
          <w:sz w:val="28"/>
          <w:szCs w:val="28"/>
          <w:rtl/>
        </w:rPr>
      </w:pPr>
    </w:p>
    <w:p w14:paraId="4C859660" w14:textId="77777777" w:rsidR="00F01BC1" w:rsidRDefault="00AD3B18">
      <w:pPr>
        <w:spacing w:line="360" w:lineRule="auto"/>
        <w:jc w:val="both"/>
        <w:rPr>
          <w:rFonts w:cs="FrankRuehl"/>
          <w:sz w:val="28"/>
          <w:szCs w:val="28"/>
          <w:rtl/>
        </w:rPr>
      </w:pPr>
      <w:r>
        <w:rPr>
          <w:rFonts w:cs="FrankRuehl" w:hint="cs"/>
          <w:sz w:val="28"/>
          <w:szCs w:val="28"/>
          <w:rtl/>
        </w:rPr>
        <w:t xml:space="preserve">כאמור, הגיש ב"כ הנאשם פסיקה במסגרתה הוטלו עונשים קלים יותר, לרבות עבודות שירות. יחד עם זאת, ברוב הפסיקה שהוגשה על ידי ב"כ הנאשם, הוטלו מאסרים בפועל שלא פחתו מ-12 חודש (ראה לדוגמא </w:t>
      </w:r>
      <w:hyperlink r:id="rId19" w:history="1">
        <w:r w:rsidRPr="00AD3B18">
          <w:rPr>
            <w:rFonts w:cs="FrankRuehl"/>
            <w:color w:val="0000FF"/>
            <w:sz w:val="28"/>
            <w:szCs w:val="28"/>
            <w:u w:val="single"/>
            <w:rtl/>
          </w:rPr>
          <w:t>ת"פ 218-10-09</w:t>
        </w:r>
      </w:hyperlink>
      <w:r>
        <w:rPr>
          <w:rFonts w:cs="FrankRuehl" w:hint="cs"/>
          <w:sz w:val="28"/>
          <w:szCs w:val="28"/>
          <w:rtl/>
        </w:rPr>
        <w:t xml:space="preserve"> של בית המשפט המחוזי בחיפה, מיום 24.3.10). </w:t>
      </w:r>
    </w:p>
    <w:p w14:paraId="3BE6BFBC" w14:textId="77777777" w:rsidR="00F01BC1" w:rsidRDefault="00F01BC1">
      <w:pPr>
        <w:spacing w:line="360" w:lineRule="auto"/>
        <w:jc w:val="both"/>
        <w:rPr>
          <w:rFonts w:cs="FrankRuehl"/>
          <w:sz w:val="28"/>
          <w:szCs w:val="28"/>
          <w:rtl/>
        </w:rPr>
      </w:pPr>
    </w:p>
    <w:p w14:paraId="1E56677D" w14:textId="77777777" w:rsidR="00F01BC1" w:rsidRDefault="00AD3B18">
      <w:pPr>
        <w:spacing w:line="360" w:lineRule="auto"/>
        <w:jc w:val="both"/>
        <w:rPr>
          <w:rFonts w:cs="FrankRuehl"/>
          <w:sz w:val="28"/>
          <w:szCs w:val="28"/>
          <w:rtl/>
        </w:rPr>
      </w:pPr>
      <w:r>
        <w:rPr>
          <w:rFonts w:cs="FrankRuehl" w:hint="cs"/>
          <w:sz w:val="28"/>
          <w:szCs w:val="28"/>
          <w:rtl/>
        </w:rPr>
        <w:t>אשר לנסיבות הקשורות בביצוע העבירה, הרי שמדובר בתכנון שקדם לביצוע העבירות, והנאשם הוא שביצע את העבירה. הנזק שהיה צפוי להיגרם מביצוע העבירות היה יכול להיות גדול יותר מהנזק שנגרם בפועל (נזקים לחלון המטבח, סימני הדף על הקיר וסימני פיח).</w:t>
      </w:r>
    </w:p>
    <w:p w14:paraId="73CCF83B" w14:textId="77777777" w:rsidR="00F01BC1" w:rsidRDefault="00F01BC1">
      <w:pPr>
        <w:spacing w:line="360" w:lineRule="auto"/>
        <w:jc w:val="both"/>
        <w:rPr>
          <w:rFonts w:cs="FrankRuehl"/>
          <w:sz w:val="28"/>
          <w:szCs w:val="28"/>
          <w:rtl/>
        </w:rPr>
      </w:pPr>
    </w:p>
    <w:p w14:paraId="195BD6C3" w14:textId="77777777" w:rsidR="00F01BC1" w:rsidRDefault="00AD3B18">
      <w:pPr>
        <w:spacing w:line="360" w:lineRule="auto"/>
        <w:jc w:val="both"/>
        <w:rPr>
          <w:rFonts w:cs="FrankRuehl"/>
          <w:sz w:val="28"/>
          <w:szCs w:val="28"/>
          <w:rtl/>
        </w:rPr>
      </w:pPr>
      <w:r>
        <w:rPr>
          <w:rFonts w:cs="FrankRuehl" w:hint="cs"/>
          <w:sz w:val="28"/>
          <w:szCs w:val="28"/>
          <w:rtl/>
        </w:rPr>
        <w:t xml:space="preserve">הסיבה שהביאה את הנאשם לבצע את העבירות הייתה סכסוך בינו לבין המתלונן, בשל רעש באזור המוסך אותו הפעיל הנאשם. </w:t>
      </w:r>
    </w:p>
    <w:p w14:paraId="734ABCE5" w14:textId="77777777" w:rsidR="00F01BC1" w:rsidRDefault="00F01BC1">
      <w:pPr>
        <w:spacing w:line="360" w:lineRule="auto"/>
        <w:jc w:val="both"/>
        <w:rPr>
          <w:rFonts w:cs="FrankRuehl"/>
          <w:sz w:val="28"/>
          <w:szCs w:val="28"/>
          <w:rtl/>
        </w:rPr>
      </w:pPr>
    </w:p>
    <w:p w14:paraId="153D9707" w14:textId="77777777" w:rsidR="00F01BC1" w:rsidRDefault="00AD3B18">
      <w:pPr>
        <w:spacing w:line="360" w:lineRule="auto"/>
        <w:jc w:val="both"/>
        <w:rPr>
          <w:rFonts w:cs="FrankRuehl"/>
          <w:sz w:val="28"/>
          <w:szCs w:val="28"/>
          <w:rtl/>
        </w:rPr>
      </w:pPr>
      <w:r>
        <w:rPr>
          <w:rFonts w:cs="FrankRuehl" w:hint="cs"/>
          <w:sz w:val="28"/>
          <w:szCs w:val="28"/>
          <w:rtl/>
        </w:rPr>
        <w:t>ב"כ הנאשם הדגיש, כי מדובר ברימון הלם, אשר הפסיקה ריככה מעט את עמדתה כלפיו, הואיל ואין לרימוני הלם פוטנציאל ממית.</w:t>
      </w:r>
    </w:p>
    <w:p w14:paraId="76D7A881" w14:textId="77777777" w:rsidR="00F01BC1" w:rsidRDefault="00F01BC1">
      <w:pPr>
        <w:spacing w:line="360" w:lineRule="auto"/>
        <w:jc w:val="both"/>
        <w:rPr>
          <w:rFonts w:cs="FrankRuehl"/>
          <w:sz w:val="28"/>
          <w:szCs w:val="28"/>
          <w:rtl/>
        </w:rPr>
      </w:pPr>
    </w:p>
    <w:p w14:paraId="4A684936" w14:textId="77777777" w:rsidR="00F01BC1" w:rsidRDefault="00AD3B18">
      <w:pPr>
        <w:spacing w:line="360" w:lineRule="auto"/>
        <w:jc w:val="both"/>
        <w:rPr>
          <w:rFonts w:cs="FrankRuehl"/>
          <w:sz w:val="28"/>
          <w:szCs w:val="28"/>
          <w:rtl/>
        </w:rPr>
      </w:pPr>
      <w:r>
        <w:rPr>
          <w:rFonts w:cs="FrankRuehl" w:hint="cs"/>
          <w:sz w:val="28"/>
          <w:szCs w:val="28"/>
          <w:rtl/>
        </w:rPr>
        <w:t>בית המשפט העליון התייחס לעניין זה במספר פסקי דין. כך, לדוגמא, ב</w:t>
      </w:r>
      <w:hyperlink r:id="rId20" w:history="1">
        <w:r w:rsidRPr="00AD3B18">
          <w:rPr>
            <w:rFonts w:cs="FrankRuehl"/>
            <w:color w:val="0000FF"/>
            <w:sz w:val="28"/>
            <w:szCs w:val="28"/>
            <w:u w:val="single"/>
            <w:rtl/>
          </w:rPr>
          <w:t>ע"פ 7386/13</w:t>
        </w:r>
      </w:hyperlink>
      <w:r>
        <w:rPr>
          <w:rFonts w:cs="FrankRuehl" w:hint="cs"/>
          <w:sz w:val="28"/>
          <w:szCs w:val="28"/>
          <w:rtl/>
        </w:rPr>
        <w:t xml:space="preserve">, </w:t>
      </w:r>
      <w:r>
        <w:rPr>
          <w:rFonts w:cs="FrankRuehl" w:hint="cs"/>
          <w:b/>
          <w:bCs/>
          <w:sz w:val="28"/>
          <w:szCs w:val="28"/>
          <w:rtl/>
        </w:rPr>
        <w:t>עווד נ' מדינת ישראל</w:t>
      </w:r>
      <w:r>
        <w:rPr>
          <w:rFonts w:cs="FrankRuehl" w:hint="cs"/>
          <w:sz w:val="28"/>
          <w:szCs w:val="28"/>
          <w:rtl/>
        </w:rPr>
        <w:t xml:space="preserve"> (פורסם במאגרים ביום 23.3.13), קבע כב' השופט ש' שהם כדלקמן:</w:t>
      </w:r>
    </w:p>
    <w:p w14:paraId="1DCD6945" w14:textId="77777777" w:rsidR="00F01BC1" w:rsidRDefault="00F01BC1">
      <w:pPr>
        <w:spacing w:line="360" w:lineRule="auto"/>
        <w:jc w:val="both"/>
        <w:rPr>
          <w:rFonts w:cs="FrankRuehl"/>
          <w:sz w:val="28"/>
          <w:szCs w:val="28"/>
          <w:rtl/>
        </w:rPr>
      </w:pPr>
    </w:p>
    <w:p w14:paraId="6C4C4EEF" w14:textId="77777777" w:rsidR="00F01BC1" w:rsidRDefault="00AD3B18">
      <w:pPr>
        <w:spacing w:line="360" w:lineRule="auto"/>
        <w:ind w:left="720"/>
        <w:jc w:val="both"/>
        <w:rPr>
          <w:rFonts w:cs="FrankRuehl"/>
          <w:sz w:val="28"/>
          <w:szCs w:val="28"/>
          <w:rtl/>
        </w:rPr>
      </w:pPr>
      <w:r>
        <w:rPr>
          <w:rFonts w:cs="FrankRuehl" w:hint="cs"/>
          <w:sz w:val="28"/>
          <w:szCs w:val="28"/>
          <w:rtl/>
        </w:rPr>
        <w:t>"</w:t>
      </w:r>
      <w:r>
        <w:rPr>
          <w:rFonts w:cs="FrankRuehl" w:hint="cs"/>
          <w:b/>
          <w:bCs/>
          <w:sz w:val="28"/>
          <w:szCs w:val="28"/>
          <w:rtl/>
        </w:rPr>
        <w:t>גם אם סכנתו של רימון הלם פחותה משל רימון רסס, עדיין מדובר בנשק שבכוחו לגרום פציעה לאדם, בכפוף לקרבתו למוקד הפעלתו</w:t>
      </w:r>
      <w:r>
        <w:rPr>
          <w:rFonts w:cs="FrankRuehl" w:hint="cs"/>
          <w:sz w:val="28"/>
          <w:szCs w:val="28"/>
          <w:rtl/>
        </w:rPr>
        <w:t>".</w:t>
      </w:r>
    </w:p>
    <w:p w14:paraId="467D22FB" w14:textId="77777777" w:rsidR="00F01BC1" w:rsidRDefault="00F01BC1">
      <w:pPr>
        <w:spacing w:line="360" w:lineRule="auto"/>
        <w:jc w:val="both"/>
        <w:rPr>
          <w:rFonts w:cs="FrankRuehl"/>
          <w:sz w:val="28"/>
          <w:szCs w:val="28"/>
          <w:rtl/>
        </w:rPr>
      </w:pPr>
    </w:p>
    <w:p w14:paraId="49B3D046" w14:textId="77777777" w:rsidR="00F01BC1" w:rsidRDefault="00AD3B18">
      <w:pPr>
        <w:spacing w:line="360" w:lineRule="auto"/>
        <w:jc w:val="both"/>
        <w:rPr>
          <w:rFonts w:cs="FrankRuehl"/>
          <w:sz w:val="28"/>
          <w:szCs w:val="28"/>
          <w:rtl/>
        </w:rPr>
      </w:pPr>
      <w:r>
        <w:rPr>
          <w:rFonts w:cs="FrankRuehl" w:hint="cs"/>
          <w:sz w:val="28"/>
          <w:szCs w:val="28"/>
          <w:rtl/>
        </w:rPr>
        <w:t>בעניין אחר (</w:t>
      </w:r>
      <w:hyperlink r:id="rId21" w:history="1">
        <w:r w:rsidRPr="00AD3B18">
          <w:rPr>
            <w:rFonts w:cs="FrankRuehl"/>
            <w:color w:val="0000FF"/>
            <w:sz w:val="28"/>
            <w:szCs w:val="28"/>
            <w:u w:val="single"/>
            <w:rtl/>
          </w:rPr>
          <w:t>ע"פ 7124/06</w:t>
        </w:r>
      </w:hyperlink>
      <w:r>
        <w:rPr>
          <w:rFonts w:cs="FrankRuehl" w:hint="cs"/>
          <w:sz w:val="28"/>
          <w:szCs w:val="28"/>
          <w:rtl/>
        </w:rPr>
        <w:t xml:space="preserve">, </w:t>
      </w:r>
      <w:r>
        <w:rPr>
          <w:rFonts w:cs="FrankRuehl" w:hint="cs"/>
          <w:b/>
          <w:bCs/>
          <w:sz w:val="28"/>
          <w:szCs w:val="28"/>
          <w:rtl/>
        </w:rPr>
        <w:t>דרורי נ' מדינת ישראל</w:t>
      </w:r>
      <w:r>
        <w:rPr>
          <w:rFonts w:cs="FrankRuehl" w:hint="cs"/>
          <w:sz w:val="28"/>
          <w:szCs w:val="28"/>
          <w:rtl/>
        </w:rPr>
        <w:t xml:space="preserve"> (פורסם במאגרים ביום 9.5.07), קבע בית המשפט העליון כדלקמן:</w:t>
      </w:r>
    </w:p>
    <w:p w14:paraId="1249E626" w14:textId="77777777" w:rsidR="00F01BC1" w:rsidRDefault="00F01BC1">
      <w:pPr>
        <w:spacing w:line="360" w:lineRule="auto"/>
        <w:jc w:val="both"/>
        <w:rPr>
          <w:rFonts w:cs="FrankRuehl"/>
          <w:sz w:val="28"/>
          <w:szCs w:val="28"/>
          <w:rtl/>
        </w:rPr>
      </w:pPr>
    </w:p>
    <w:p w14:paraId="380EF5AE" w14:textId="77777777" w:rsidR="00F01BC1" w:rsidRDefault="00AD3B18">
      <w:pPr>
        <w:spacing w:line="360" w:lineRule="auto"/>
        <w:ind w:left="720"/>
        <w:jc w:val="both"/>
        <w:rPr>
          <w:rFonts w:cs="FrankRuehl"/>
          <w:b/>
          <w:bCs/>
          <w:sz w:val="28"/>
          <w:szCs w:val="28"/>
          <w:rtl/>
        </w:rPr>
      </w:pPr>
      <w:r>
        <w:rPr>
          <w:rFonts w:cs="FrankRuehl" w:hint="cs"/>
          <w:b/>
          <w:bCs/>
          <w:sz w:val="28"/>
          <w:szCs w:val="28"/>
          <w:rtl/>
        </w:rPr>
        <w:t>"הגם שאין לרימוני הלם פוטנציאל ממית, הם נועדו לגרום אי נוחות לאדם על מנת להניסו ממקום הימצאו. הנזק הנגרם ממנו אינו נזק הנגרם מרימון רגיל. הוא גורם לנזק בעצם טשטושו של אדם והכנסתו למצב של הלם. דירוגו אינו בין החמורים, אך גם אין להקל בו ראש".</w:t>
      </w:r>
    </w:p>
    <w:p w14:paraId="30F3DEB1" w14:textId="77777777" w:rsidR="00F01BC1" w:rsidRDefault="00F01BC1">
      <w:pPr>
        <w:spacing w:line="360" w:lineRule="auto"/>
        <w:jc w:val="both"/>
        <w:rPr>
          <w:rFonts w:cs="FrankRuehl"/>
          <w:sz w:val="28"/>
          <w:szCs w:val="28"/>
          <w:rtl/>
        </w:rPr>
      </w:pPr>
    </w:p>
    <w:p w14:paraId="16B2F4E9" w14:textId="77777777" w:rsidR="00F01BC1" w:rsidRDefault="00AD3B18">
      <w:pPr>
        <w:spacing w:line="360" w:lineRule="auto"/>
        <w:jc w:val="both"/>
        <w:rPr>
          <w:rFonts w:cs="FrankRuehl"/>
          <w:sz w:val="28"/>
          <w:szCs w:val="28"/>
          <w:rtl/>
        </w:rPr>
      </w:pPr>
      <w:r>
        <w:rPr>
          <w:rFonts w:cs="FrankRuehl" w:hint="cs"/>
          <w:sz w:val="28"/>
          <w:szCs w:val="28"/>
          <w:rtl/>
        </w:rPr>
        <w:t xml:space="preserve">ככלל, נקבע בפסיקת בית המשפט העליון, כי מידת העונש המוטל בגין עבירות המבוצעות בנשק הינה מאסר, וזאת, בין היתר, בשים לב לאינטרס הציבורי ולצורך להרתיע עבריינים בכוח מלבצע עבירות בנשק, ראה, למשל, </w:t>
      </w:r>
      <w:hyperlink r:id="rId22" w:history="1">
        <w:r w:rsidRPr="00AD3B18">
          <w:rPr>
            <w:rFonts w:cs="FrankRuehl"/>
            <w:color w:val="0000FF"/>
            <w:sz w:val="28"/>
            <w:szCs w:val="28"/>
            <w:u w:val="single"/>
            <w:rtl/>
          </w:rPr>
          <w:t>רע"פ 2718/04</w:t>
        </w:r>
      </w:hyperlink>
      <w:r>
        <w:rPr>
          <w:rFonts w:cs="FrankRuehl" w:hint="cs"/>
          <w:sz w:val="28"/>
          <w:szCs w:val="28"/>
          <w:rtl/>
        </w:rPr>
        <w:t xml:space="preserve">, </w:t>
      </w:r>
      <w:r>
        <w:rPr>
          <w:rFonts w:cs="FrankRuehl" w:hint="cs"/>
          <w:b/>
          <w:bCs/>
          <w:sz w:val="28"/>
          <w:szCs w:val="28"/>
          <w:rtl/>
        </w:rPr>
        <w:t>אבו דאחל נ' מדינת ישראל</w:t>
      </w:r>
      <w:r>
        <w:rPr>
          <w:rFonts w:cs="FrankRuehl" w:hint="cs"/>
          <w:sz w:val="28"/>
          <w:szCs w:val="28"/>
          <w:rtl/>
        </w:rPr>
        <w:t xml:space="preserve"> (לא פורסם).</w:t>
      </w:r>
    </w:p>
    <w:p w14:paraId="6A6A427E" w14:textId="77777777" w:rsidR="00F01BC1" w:rsidRDefault="00F01BC1">
      <w:pPr>
        <w:spacing w:line="360" w:lineRule="auto"/>
        <w:jc w:val="both"/>
        <w:rPr>
          <w:rFonts w:cs="FrankRuehl"/>
          <w:sz w:val="28"/>
          <w:szCs w:val="28"/>
          <w:rtl/>
        </w:rPr>
      </w:pPr>
    </w:p>
    <w:p w14:paraId="0985D04A" w14:textId="77777777" w:rsidR="00F01BC1" w:rsidRDefault="00AD3B18">
      <w:pPr>
        <w:spacing w:line="360" w:lineRule="auto"/>
        <w:jc w:val="both"/>
        <w:rPr>
          <w:rFonts w:cs="FrankRuehl"/>
          <w:sz w:val="28"/>
          <w:szCs w:val="28"/>
          <w:rtl/>
        </w:rPr>
      </w:pPr>
      <w:r>
        <w:rPr>
          <w:rFonts w:cs="FrankRuehl" w:hint="cs"/>
          <w:sz w:val="28"/>
          <w:szCs w:val="28"/>
          <w:rtl/>
        </w:rPr>
        <w:t xml:space="preserve">בנסיבות אלה, אני קובע, כי מתחם העונש ההולם נע בין 12 ל-36 חודשי מאסר בפועל. </w:t>
      </w:r>
    </w:p>
    <w:p w14:paraId="6D946BAA" w14:textId="77777777" w:rsidR="00F01BC1" w:rsidRDefault="00F01BC1">
      <w:pPr>
        <w:spacing w:line="360" w:lineRule="auto"/>
        <w:jc w:val="both"/>
        <w:rPr>
          <w:rFonts w:cs="FrankRuehl"/>
          <w:sz w:val="28"/>
          <w:szCs w:val="28"/>
          <w:rtl/>
        </w:rPr>
      </w:pPr>
    </w:p>
    <w:p w14:paraId="71F34F37" w14:textId="77777777" w:rsidR="00F01BC1" w:rsidRDefault="00AD3B18">
      <w:pPr>
        <w:spacing w:line="360" w:lineRule="auto"/>
        <w:jc w:val="both"/>
        <w:rPr>
          <w:rFonts w:cs="FrankRuehl"/>
          <w:sz w:val="28"/>
          <w:szCs w:val="28"/>
          <w:rtl/>
        </w:rPr>
      </w:pPr>
      <w:r>
        <w:rPr>
          <w:rFonts w:cs="FrankRuehl" w:hint="cs"/>
          <w:sz w:val="28"/>
          <w:szCs w:val="28"/>
          <w:rtl/>
        </w:rPr>
        <w:t>אשר לנסיבות שאינן קשורות בביצוע העבירה (בתוך מתחם העונש ההולם), אני מתחשב בנטילת האחריות של הנאשם על מעשיו, בהודאתו ובשיתוף הפעולה של הנאשם עם רשויות אכיפת החוק. כמו כן, אני מתחשב בעובדה, כי לנאשם אין עבר פלילי, וכי מדובר במאסרו הראשון.</w:t>
      </w:r>
    </w:p>
    <w:p w14:paraId="1E32F7EE" w14:textId="77777777" w:rsidR="00F01BC1" w:rsidRDefault="00F01BC1">
      <w:pPr>
        <w:spacing w:line="360" w:lineRule="auto"/>
        <w:rPr>
          <w:rFonts w:cs="FrankRuehl"/>
          <w:sz w:val="28"/>
          <w:szCs w:val="28"/>
          <w:rtl/>
        </w:rPr>
      </w:pPr>
    </w:p>
    <w:p w14:paraId="245E1E2F" w14:textId="77777777" w:rsidR="00F01BC1" w:rsidRDefault="00AD3B18">
      <w:pPr>
        <w:spacing w:line="360" w:lineRule="auto"/>
        <w:jc w:val="both"/>
        <w:rPr>
          <w:rFonts w:cs="FrankRuehl"/>
          <w:sz w:val="28"/>
          <w:szCs w:val="28"/>
          <w:rtl/>
        </w:rPr>
      </w:pPr>
      <w:r>
        <w:rPr>
          <w:rFonts w:cs="FrankRuehl" w:hint="cs"/>
          <w:sz w:val="28"/>
          <w:szCs w:val="28"/>
          <w:rtl/>
        </w:rPr>
        <w:t>כמו כן, אני מתחשב בעמדת המתלוננת, אשר ביקשה, כאמור, להקל עם הנאשם, גם כדי לשפר את יחסי המשפחה.</w:t>
      </w:r>
    </w:p>
    <w:p w14:paraId="49B8B7CE" w14:textId="77777777" w:rsidR="00F01BC1" w:rsidRDefault="00F01BC1">
      <w:pPr>
        <w:spacing w:line="360" w:lineRule="auto"/>
        <w:jc w:val="both"/>
        <w:rPr>
          <w:rFonts w:cs="FrankRuehl"/>
          <w:sz w:val="28"/>
          <w:szCs w:val="28"/>
          <w:rtl/>
        </w:rPr>
      </w:pPr>
    </w:p>
    <w:p w14:paraId="4E7045A8" w14:textId="77777777" w:rsidR="00F01BC1" w:rsidRDefault="00AD3B18">
      <w:pPr>
        <w:spacing w:line="360" w:lineRule="auto"/>
        <w:jc w:val="both"/>
        <w:rPr>
          <w:rFonts w:cs="FrankRuehl"/>
          <w:sz w:val="28"/>
          <w:szCs w:val="28"/>
          <w:rtl/>
        </w:rPr>
      </w:pPr>
      <w:r>
        <w:rPr>
          <w:rFonts w:cs="FrankRuehl" w:hint="cs"/>
          <w:sz w:val="28"/>
          <w:szCs w:val="28"/>
          <w:rtl/>
        </w:rPr>
        <w:t>בשים לב לכך, ולאחר ששמעתי דבריהם של ב"כ התביעה, הנאשם ובא-כוחו, אני מטיל על הנאשם עונש כדלקמן:</w:t>
      </w:r>
    </w:p>
    <w:p w14:paraId="442D267B" w14:textId="77777777" w:rsidR="00F01BC1" w:rsidRDefault="00F01BC1">
      <w:pPr>
        <w:spacing w:line="360" w:lineRule="auto"/>
        <w:jc w:val="both"/>
        <w:rPr>
          <w:rFonts w:cs="FrankRuehl"/>
          <w:sz w:val="28"/>
          <w:szCs w:val="28"/>
          <w:rtl/>
        </w:rPr>
      </w:pPr>
    </w:p>
    <w:p w14:paraId="132A1E78" w14:textId="77777777" w:rsidR="00F01BC1" w:rsidRDefault="00AD3B18">
      <w:pPr>
        <w:spacing w:line="360" w:lineRule="auto"/>
        <w:jc w:val="both"/>
        <w:rPr>
          <w:rFonts w:cs="FrankRuehl"/>
          <w:sz w:val="28"/>
          <w:szCs w:val="28"/>
          <w:rtl/>
        </w:rPr>
      </w:pPr>
      <w:r>
        <w:rPr>
          <w:rFonts w:cs="FrankRuehl" w:hint="cs"/>
          <w:sz w:val="28"/>
          <w:szCs w:val="28"/>
          <w:rtl/>
        </w:rPr>
        <w:t xml:space="preserve">א. מאסר לתקופה של 12 חודש החל מיום מעצרו, דהיינו </w:t>
      </w:r>
      <w:r>
        <w:rPr>
          <w:rFonts w:cs="FrankRuehl"/>
          <w:sz w:val="28"/>
          <w:szCs w:val="28"/>
          <w:rtl/>
        </w:rPr>
        <w:t>–</w:t>
      </w:r>
      <w:r>
        <w:rPr>
          <w:rFonts w:cs="FrankRuehl" w:hint="cs"/>
          <w:sz w:val="28"/>
          <w:szCs w:val="28"/>
          <w:rtl/>
        </w:rPr>
        <w:t xml:space="preserve"> 23.10.15.</w:t>
      </w:r>
    </w:p>
    <w:p w14:paraId="51DF96A4" w14:textId="77777777" w:rsidR="00F01BC1" w:rsidRDefault="00AD3B18">
      <w:pPr>
        <w:spacing w:line="360" w:lineRule="auto"/>
        <w:jc w:val="both"/>
        <w:rPr>
          <w:rFonts w:cs="FrankRuehl"/>
          <w:sz w:val="28"/>
          <w:szCs w:val="28"/>
          <w:rtl/>
        </w:rPr>
      </w:pPr>
      <w:r>
        <w:rPr>
          <w:rFonts w:cs="FrankRuehl" w:hint="cs"/>
          <w:sz w:val="28"/>
          <w:szCs w:val="28"/>
          <w:rtl/>
        </w:rPr>
        <w:t>ב. מאסר על תנאי למשך 9 חודשים, ואולם הנאשם לא יישא בעונש זה, אלא אם כן יעבור תוך תקופה של שנתיים מיום שחרורו על עבירה של החזקת נשק, או היזק בחומר נפיץ, או איומים, ויורשע עליה.</w:t>
      </w:r>
    </w:p>
    <w:p w14:paraId="09A30280" w14:textId="77777777" w:rsidR="00F01BC1" w:rsidRDefault="00AD3B18">
      <w:pPr>
        <w:spacing w:line="360" w:lineRule="auto"/>
        <w:jc w:val="both"/>
        <w:rPr>
          <w:rFonts w:cs="FrankRuehl"/>
          <w:sz w:val="28"/>
          <w:szCs w:val="28"/>
          <w:rtl/>
        </w:rPr>
      </w:pPr>
      <w:r>
        <w:rPr>
          <w:rFonts w:cs="FrankRuehl" w:hint="cs"/>
          <w:sz w:val="28"/>
          <w:szCs w:val="28"/>
          <w:rtl/>
        </w:rPr>
        <w:t xml:space="preserve">ג. אני מחייב את הנאשם לפצות את המתלוננים בסך 7,500 ₪. </w:t>
      </w:r>
    </w:p>
    <w:p w14:paraId="4DA391B6" w14:textId="77777777" w:rsidR="00F01BC1" w:rsidRDefault="00F01BC1">
      <w:pPr>
        <w:spacing w:line="360" w:lineRule="auto"/>
        <w:rPr>
          <w:rFonts w:cs="FrankRuehl"/>
          <w:sz w:val="28"/>
          <w:szCs w:val="28"/>
          <w:rtl/>
        </w:rPr>
      </w:pPr>
    </w:p>
    <w:p w14:paraId="1719C936" w14:textId="77777777" w:rsidR="00F01BC1" w:rsidRDefault="00AD3B18">
      <w:pPr>
        <w:spacing w:line="360" w:lineRule="auto"/>
        <w:rPr>
          <w:rFonts w:cs="FrankRuehl"/>
          <w:sz w:val="28"/>
          <w:szCs w:val="28"/>
          <w:rtl/>
        </w:rPr>
      </w:pPr>
      <w:r>
        <w:rPr>
          <w:rFonts w:cs="FrankRuehl" w:hint="cs"/>
          <w:sz w:val="28"/>
          <w:szCs w:val="28"/>
          <w:rtl/>
        </w:rPr>
        <w:t>יש לשלוח העתק לשירות המבחן.</w:t>
      </w:r>
    </w:p>
    <w:p w14:paraId="5348EB24" w14:textId="77777777" w:rsidR="00F01BC1" w:rsidRDefault="00F01BC1">
      <w:pPr>
        <w:spacing w:line="360" w:lineRule="auto"/>
        <w:rPr>
          <w:rFonts w:cs="FrankRuehl"/>
          <w:sz w:val="28"/>
          <w:szCs w:val="28"/>
          <w:rtl/>
        </w:rPr>
      </w:pPr>
    </w:p>
    <w:p w14:paraId="2F71ABB5" w14:textId="77777777" w:rsidR="00F01BC1" w:rsidRDefault="00AD3B18">
      <w:pPr>
        <w:spacing w:line="360" w:lineRule="auto"/>
        <w:rPr>
          <w:rFonts w:cs="FrankRuehl"/>
          <w:sz w:val="28"/>
          <w:szCs w:val="28"/>
          <w:rtl/>
        </w:rPr>
      </w:pPr>
      <w:r>
        <w:rPr>
          <w:rFonts w:cs="FrankRuehl" w:hint="cs"/>
          <w:b/>
          <w:bCs/>
          <w:sz w:val="28"/>
          <w:szCs w:val="28"/>
          <w:rtl/>
        </w:rPr>
        <w:t>זכות ערעור לבית המשפט העליון תוך 45 יום מהיום</w:t>
      </w:r>
      <w:r>
        <w:rPr>
          <w:rFonts w:cs="FrankRuehl" w:hint="cs"/>
          <w:sz w:val="28"/>
          <w:szCs w:val="28"/>
          <w:rtl/>
        </w:rPr>
        <w:t>.</w:t>
      </w:r>
    </w:p>
    <w:p w14:paraId="36D4FA3F" w14:textId="77777777" w:rsidR="00F01BC1" w:rsidRPr="00AD3B18" w:rsidRDefault="00AD3B18">
      <w:pPr>
        <w:spacing w:line="360" w:lineRule="auto"/>
        <w:rPr>
          <w:rFonts w:cs="FrankRuehl"/>
          <w:color w:val="FFFFFF"/>
          <w:sz w:val="2"/>
          <w:szCs w:val="2"/>
          <w:rtl/>
        </w:rPr>
      </w:pPr>
      <w:r w:rsidRPr="00AD3B18">
        <w:rPr>
          <w:rFonts w:cs="FrankRuehl"/>
          <w:color w:val="FFFFFF"/>
          <w:sz w:val="2"/>
          <w:szCs w:val="2"/>
          <w:rtl/>
        </w:rPr>
        <w:t>5129371</w:t>
      </w:r>
    </w:p>
    <w:p w14:paraId="23912545" w14:textId="77777777" w:rsidR="00F01BC1" w:rsidRDefault="00AD3B18">
      <w:pPr>
        <w:spacing w:line="360" w:lineRule="auto"/>
        <w:rPr>
          <w:rFonts w:cs="FrankRuehl"/>
          <w:sz w:val="28"/>
          <w:szCs w:val="28"/>
          <w:rtl/>
        </w:rPr>
      </w:pPr>
      <w:r w:rsidRPr="00AD3B18">
        <w:rPr>
          <w:rFonts w:ascii="Arial" w:hAnsi="Arial" w:cs="FrankRuehl"/>
          <w:b/>
          <w:bCs/>
          <w:color w:val="FFFFFF"/>
          <w:sz w:val="2"/>
          <w:szCs w:val="2"/>
          <w:rtl/>
        </w:rPr>
        <w:t>54678313</w:t>
      </w:r>
      <w:r>
        <w:rPr>
          <w:rFonts w:ascii="Arial" w:hAnsi="Arial" w:cs="FrankRuehl"/>
          <w:b/>
          <w:bCs/>
          <w:sz w:val="28"/>
          <w:szCs w:val="28"/>
          <w:rtl/>
        </w:rPr>
        <w:t xml:space="preserve">ניתן היום, ב' אייר תשע"ו, 10 מאי 2016, במעמד הצדדים. </w:t>
      </w:r>
    </w:p>
    <w:p w14:paraId="124F8E81" w14:textId="77777777" w:rsidR="00F01BC1" w:rsidRDefault="00F01BC1">
      <w:pPr>
        <w:spacing w:line="360" w:lineRule="auto"/>
        <w:jc w:val="right"/>
      </w:pPr>
    </w:p>
    <w:p w14:paraId="111A9474" w14:textId="77777777" w:rsidR="00F01BC1" w:rsidRDefault="00F01BC1">
      <w:pPr>
        <w:spacing w:line="360" w:lineRule="auto"/>
        <w:jc w:val="right"/>
        <w:rPr>
          <w:rFonts w:ascii="Arial" w:hAnsi="Arial" w:cs="FrankRuehl"/>
          <w:sz w:val="28"/>
          <w:szCs w:val="28"/>
          <w:rtl/>
        </w:rPr>
      </w:pPr>
    </w:p>
    <w:p w14:paraId="43BDD259" w14:textId="77777777" w:rsidR="00F01BC1" w:rsidRDefault="00F01BC1">
      <w:pPr>
        <w:spacing w:line="360" w:lineRule="auto"/>
        <w:rPr>
          <w:rFonts w:cs="FrankRuehl"/>
          <w:sz w:val="28"/>
          <w:szCs w:val="28"/>
          <w:rtl/>
        </w:rPr>
      </w:pPr>
    </w:p>
    <w:p w14:paraId="643B809D" w14:textId="77777777" w:rsidR="00F01BC1" w:rsidRDefault="00F01BC1">
      <w:pPr>
        <w:pStyle w:val="a3"/>
        <w:jc w:val="center"/>
        <w:rPr>
          <w:rtl/>
        </w:rPr>
      </w:pPr>
    </w:p>
    <w:p w14:paraId="59C1F088" w14:textId="77777777" w:rsidR="00AD3B18" w:rsidRPr="00AD3B18" w:rsidRDefault="00AD3B18" w:rsidP="00AD3B18">
      <w:pPr>
        <w:keepNext/>
        <w:rPr>
          <w:rFonts w:ascii="David" w:hAnsi="David"/>
          <w:color w:val="000000"/>
          <w:sz w:val="22"/>
          <w:szCs w:val="22"/>
          <w:rtl/>
        </w:rPr>
      </w:pPr>
    </w:p>
    <w:p w14:paraId="00358806" w14:textId="77777777" w:rsidR="00AD3B18" w:rsidRPr="00AD3B18" w:rsidRDefault="00AD3B18" w:rsidP="00AD3B18">
      <w:pPr>
        <w:keepNext/>
        <w:rPr>
          <w:rFonts w:ascii="David" w:hAnsi="David"/>
          <w:color w:val="000000"/>
          <w:sz w:val="22"/>
          <w:szCs w:val="22"/>
          <w:rtl/>
        </w:rPr>
      </w:pPr>
      <w:r w:rsidRPr="00AD3B18">
        <w:rPr>
          <w:rFonts w:ascii="David" w:hAnsi="David"/>
          <w:color w:val="000000"/>
          <w:sz w:val="22"/>
          <w:szCs w:val="22"/>
          <w:rtl/>
        </w:rPr>
        <w:t>אמנון כהן 54678313</w:t>
      </w:r>
    </w:p>
    <w:p w14:paraId="20AFEFE6" w14:textId="77777777" w:rsidR="00AD3B18" w:rsidRDefault="00AD3B18" w:rsidP="00AD3B18">
      <w:r w:rsidRPr="00AD3B18">
        <w:rPr>
          <w:color w:val="000000"/>
          <w:rtl/>
        </w:rPr>
        <w:t>נוסח מסמך זה כפוף לשינויי ניסוח ועריכה</w:t>
      </w:r>
    </w:p>
    <w:p w14:paraId="18931A5C" w14:textId="77777777" w:rsidR="00AD3B18" w:rsidRDefault="00AD3B18" w:rsidP="00AD3B18">
      <w:pPr>
        <w:rPr>
          <w:rtl/>
        </w:rPr>
      </w:pPr>
    </w:p>
    <w:p w14:paraId="5E66E814" w14:textId="77777777" w:rsidR="00AD3B18" w:rsidRDefault="00AD3B18" w:rsidP="00AD3B18">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r w:rsidR="005C227A">
        <w:rPr>
          <w:rFonts w:hint="cs"/>
          <w:color w:val="0000FF"/>
          <w:u w:val="single"/>
          <w:rtl/>
        </w:rPr>
        <w:t xml:space="preserve"> </w:t>
      </w:r>
    </w:p>
    <w:p w14:paraId="2CE22AFF" w14:textId="77777777" w:rsidR="00F01BC1" w:rsidRPr="00AD3B18" w:rsidRDefault="00F01BC1" w:rsidP="00AD3B18">
      <w:pPr>
        <w:jc w:val="center"/>
        <w:rPr>
          <w:color w:val="0000FF"/>
          <w:u w:val="single"/>
        </w:rPr>
      </w:pPr>
    </w:p>
    <w:sectPr w:rsidR="00F01BC1" w:rsidRPr="00AD3B18" w:rsidSect="00AD3B18">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D49878" w14:textId="77777777" w:rsidR="00A13FF9" w:rsidRDefault="00A13FF9">
      <w:r>
        <w:separator/>
      </w:r>
    </w:p>
  </w:endnote>
  <w:endnote w:type="continuationSeparator" w:id="0">
    <w:p w14:paraId="13E01EB4" w14:textId="77777777" w:rsidR="00A13FF9" w:rsidRDefault="00A13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EE2F9" w14:textId="77777777" w:rsidR="00565857" w:rsidRDefault="00565857" w:rsidP="00AD3B1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63645CB" w14:textId="77777777" w:rsidR="00565857" w:rsidRPr="00AD3B18" w:rsidRDefault="00565857" w:rsidP="00AD3B18">
    <w:pPr>
      <w:pStyle w:val="a4"/>
      <w:pBdr>
        <w:top w:val="single" w:sz="4" w:space="1" w:color="auto"/>
        <w:between w:val="single" w:sz="4" w:space="0" w:color="auto"/>
      </w:pBdr>
      <w:spacing w:after="60"/>
      <w:jc w:val="center"/>
      <w:rPr>
        <w:rFonts w:ascii="FrankRuehl" w:hAnsi="FrankRuehl" w:cs="FrankRuehl"/>
        <w:color w:val="000000"/>
      </w:rPr>
    </w:pPr>
    <w:r w:rsidRPr="00AD3B1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108E5C" w14:textId="77777777" w:rsidR="00565857" w:rsidRDefault="00565857" w:rsidP="00AD3B1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53D04">
      <w:rPr>
        <w:rFonts w:ascii="FrankRuehl" w:hAnsi="FrankRuehl" w:cs="FrankRuehl"/>
        <w:noProof/>
        <w:rtl/>
      </w:rPr>
      <w:t>1</w:t>
    </w:r>
    <w:r>
      <w:rPr>
        <w:rFonts w:ascii="FrankRuehl" w:hAnsi="FrankRuehl" w:cs="FrankRuehl"/>
        <w:rtl/>
      </w:rPr>
      <w:fldChar w:fldCharType="end"/>
    </w:r>
  </w:p>
  <w:p w14:paraId="07323538" w14:textId="77777777" w:rsidR="00565857" w:rsidRPr="00AD3B18" w:rsidRDefault="00565857" w:rsidP="00AD3B18">
    <w:pPr>
      <w:pStyle w:val="a4"/>
      <w:pBdr>
        <w:top w:val="single" w:sz="4" w:space="1" w:color="auto"/>
        <w:between w:val="single" w:sz="4" w:space="0" w:color="auto"/>
      </w:pBdr>
      <w:spacing w:after="60"/>
      <w:jc w:val="center"/>
      <w:rPr>
        <w:rFonts w:ascii="FrankRuehl" w:hAnsi="FrankRuehl" w:cs="FrankRuehl"/>
        <w:color w:val="000000"/>
      </w:rPr>
    </w:pPr>
    <w:r w:rsidRPr="00AD3B18">
      <w:rPr>
        <w:rFonts w:ascii="FrankRuehl" w:hAnsi="FrankRuehl" w:cs="FrankRuehl"/>
        <w:color w:val="000000"/>
      </w:rPr>
      <w:pict w14:anchorId="5B04C6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4513A5" w14:textId="77777777" w:rsidR="00A13FF9" w:rsidRDefault="00A13FF9">
      <w:r>
        <w:separator/>
      </w:r>
    </w:p>
  </w:footnote>
  <w:footnote w:type="continuationSeparator" w:id="0">
    <w:p w14:paraId="64151F51" w14:textId="77777777" w:rsidR="00A13FF9" w:rsidRDefault="00A13F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A5B68" w14:textId="77777777" w:rsidR="00565857" w:rsidRPr="00AD3B18" w:rsidRDefault="00565857" w:rsidP="00AD3B1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12761-11-15</w:t>
    </w:r>
    <w:r>
      <w:rPr>
        <w:rFonts w:ascii="David" w:hAnsi="David"/>
        <w:color w:val="000000"/>
        <w:sz w:val="22"/>
        <w:szCs w:val="22"/>
        <w:rtl/>
      </w:rPr>
      <w:tab/>
      <w:t xml:space="preserve"> מדינת ישראל נ' אשר אושר וקנין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971A4" w14:textId="77777777" w:rsidR="00565857" w:rsidRPr="00AD3B18" w:rsidRDefault="00565857" w:rsidP="00AD3B1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12761-11-15</w:t>
    </w:r>
    <w:r>
      <w:rPr>
        <w:rFonts w:ascii="David" w:hAnsi="David"/>
        <w:color w:val="000000"/>
        <w:sz w:val="22"/>
        <w:szCs w:val="22"/>
        <w:rtl/>
      </w:rPr>
      <w:tab/>
      <w:t xml:space="preserve"> מדינת ישראל נ' אשר אושר וקנין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01BC1"/>
    <w:rsid w:val="0021379E"/>
    <w:rsid w:val="00565857"/>
    <w:rsid w:val="005C227A"/>
    <w:rsid w:val="00771B68"/>
    <w:rsid w:val="00A13FF9"/>
    <w:rsid w:val="00AD3B18"/>
    <w:rsid w:val="00B13A6E"/>
    <w:rsid w:val="00CF5F7E"/>
    <w:rsid w:val="00E53D04"/>
    <w:rsid w:val="00EA52A5"/>
    <w:rsid w:val="00F01BC1"/>
    <w:rsid w:val="00FD04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1E00F16"/>
  <w15:chartTrackingRefBased/>
  <w15:docId w15:val="{47526FCB-52AF-486F-A484-F9292BB4F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01BC1"/>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01BC1"/>
    <w:pPr>
      <w:tabs>
        <w:tab w:val="center" w:pos="4153"/>
        <w:tab w:val="right" w:pos="8306"/>
      </w:tabs>
    </w:pPr>
  </w:style>
  <w:style w:type="paragraph" w:styleId="a4">
    <w:name w:val="footer"/>
    <w:basedOn w:val="a"/>
    <w:rsid w:val="00F01BC1"/>
    <w:pPr>
      <w:tabs>
        <w:tab w:val="center" w:pos="4153"/>
        <w:tab w:val="right" w:pos="8306"/>
      </w:tabs>
    </w:pPr>
  </w:style>
  <w:style w:type="character" w:styleId="a5">
    <w:name w:val="page number"/>
    <w:basedOn w:val="a0"/>
    <w:rsid w:val="00F01BC1"/>
  </w:style>
  <w:style w:type="character" w:styleId="Hyperlink">
    <w:name w:val="Hyperlink"/>
    <w:rsid w:val="00AD3B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92" TargetMode="External"/><Relationship Id="rId13" Type="http://schemas.openxmlformats.org/officeDocument/2006/relationships/hyperlink" Target="http://www.nevo.co.il/law/70301/452" TargetMode="External"/><Relationship Id="rId18" Type="http://schemas.openxmlformats.org/officeDocument/2006/relationships/hyperlink" Target="http://www.nevo.co.il/case/7676477"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case/5865581" TargetMode="External"/><Relationship Id="rId7" Type="http://schemas.openxmlformats.org/officeDocument/2006/relationships/hyperlink" Target="http://www.nevo.co.il/law/70301/144.a"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6043688"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case/10443017"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a"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70301/192"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70301/454" TargetMode="External"/><Relationship Id="rId19" Type="http://schemas.openxmlformats.org/officeDocument/2006/relationships/hyperlink" Target="http://www.nevo.co.il/case/4368246" TargetMode="External"/><Relationship Id="rId4" Type="http://schemas.openxmlformats.org/officeDocument/2006/relationships/footnotes" Target="footnotes.xml"/><Relationship Id="rId9" Type="http://schemas.openxmlformats.org/officeDocument/2006/relationships/hyperlink" Target="http://www.nevo.co.il/law/70301/452" TargetMode="External"/><Relationship Id="rId14" Type="http://schemas.openxmlformats.org/officeDocument/2006/relationships/hyperlink" Target="http://www.nevo.co.il/law/70301/454" TargetMode="External"/><Relationship Id="rId22" Type="http://schemas.openxmlformats.org/officeDocument/2006/relationships/hyperlink" Target="http://www.nevo.co.il/case/5852404"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1309</Words>
  <Characters>6545</Characters>
  <Application>Microsoft Office Word</Application>
  <DocSecurity>0</DocSecurity>
  <Lines>54</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7839</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3145854</vt:i4>
      </vt:variant>
      <vt:variant>
        <vt:i4>48</vt:i4>
      </vt:variant>
      <vt:variant>
        <vt:i4>0</vt:i4>
      </vt:variant>
      <vt:variant>
        <vt:i4>5</vt:i4>
      </vt:variant>
      <vt:variant>
        <vt:lpwstr>http://www.nevo.co.il/case/5852404</vt:lpwstr>
      </vt:variant>
      <vt:variant>
        <vt:lpwstr/>
      </vt:variant>
      <vt:variant>
        <vt:i4>3604593</vt:i4>
      </vt:variant>
      <vt:variant>
        <vt:i4>45</vt:i4>
      </vt:variant>
      <vt:variant>
        <vt:i4>0</vt:i4>
      </vt:variant>
      <vt:variant>
        <vt:i4>5</vt:i4>
      </vt:variant>
      <vt:variant>
        <vt:lpwstr>http://www.nevo.co.il/case/5865581</vt:lpwstr>
      </vt:variant>
      <vt:variant>
        <vt:lpwstr/>
      </vt:variant>
      <vt:variant>
        <vt:i4>3604592</vt:i4>
      </vt:variant>
      <vt:variant>
        <vt:i4>42</vt:i4>
      </vt:variant>
      <vt:variant>
        <vt:i4>0</vt:i4>
      </vt:variant>
      <vt:variant>
        <vt:i4>5</vt:i4>
      </vt:variant>
      <vt:variant>
        <vt:lpwstr>http://www.nevo.co.il/case/10443017</vt:lpwstr>
      </vt:variant>
      <vt:variant>
        <vt:lpwstr/>
      </vt:variant>
      <vt:variant>
        <vt:i4>3539067</vt:i4>
      </vt:variant>
      <vt:variant>
        <vt:i4>39</vt:i4>
      </vt:variant>
      <vt:variant>
        <vt:i4>0</vt:i4>
      </vt:variant>
      <vt:variant>
        <vt:i4>5</vt:i4>
      </vt:variant>
      <vt:variant>
        <vt:lpwstr>http://www.nevo.co.il/case/4368246</vt:lpwstr>
      </vt:variant>
      <vt:variant>
        <vt:lpwstr/>
      </vt:variant>
      <vt:variant>
        <vt:i4>3342451</vt:i4>
      </vt:variant>
      <vt:variant>
        <vt:i4>36</vt:i4>
      </vt:variant>
      <vt:variant>
        <vt:i4>0</vt:i4>
      </vt:variant>
      <vt:variant>
        <vt:i4>5</vt:i4>
      </vt:variant>
      <vt:variant>
        <vt:lpwstr>http://www.nevo.co.il/case/7676477</vt:lpwstr>
      </vt:variant>
      <vt:variant>
        <vt:lpwstr/>
      </vt:variant>
      <vt:variant>
        <vt:i4>3932287</vt:i4>
      </vt:variant>
      <vt:variant>
        <vt:i4>33</vt:i4>
      </vt:variant>
      <vt:variant>
        <vt:i4>0</vt:i4>
      </vt:variant>
      <vt:variant>
        <vt:i4>5</vt:i4>
      </vt:variant>
      <vt:variant>
        <vt:lpwstr>http://www.nevo.co.il/case/6043688</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7077988</vt:i4>
      </vt:variant>
      <vt:variant>
        <vt:i4>27</vt:i4>
      </vt:variant>
      <vt:variant>
        <vt:i4>0</vt:i4>
      </vt:variant>
      <vt:variant>
        <vt:i4>5</vt:i4>
      </vt:variant>
      <vt:variant>
        <vt:lpwstr>http://www.nevo.co.il/law/70301/192</vt:lpwstr>
      </vt:variant>
      <vt:variant>
        <vt:lpwstr/>
      </vt:variant>
      <vt:variant>
        <vt:i4>6291553</vt:i4>
      </vt:variant>
      <vt:variant>
        <vt:i4>24</vt:i4>
      </vt:variant>
      <vt:variant>
        <vt:i4>0</vt:i4>
      </vt:variant>
      <vt:variant>
        <vt:i4>5</vt:i4>
      </vt:variant>
      <vt:variant>
        <vt:lpwstr>http://www.nevo.co.il/law/70301/454</vt:lpwstr>
      </vt:variant>
      <vt:variant>
        <vt:lpwstr/>
      </vt:variant>
      <vt:variant>
        <vt:i4>6291553</vt:i4>
      </vt:variant>
      <vt:variant>
        <vt:i4>21</vt:i4>
      </vt:variant>
      <vt:variant>
        <vt:i4>0</vt:i4>
      </vt:variant>
      <vt:variant>
        <vt:i4>5</vt:i4>
      </vt:variant>
      <vt:variant>
        <vt:lpwstr>http://www.nevo.co.il/law/70301/452</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6291553</vt:i4>
      </vt:variant>
      <vt:variant>
        <vt:i4>12</vt:i4>
      </vt:variant>
      <vt:variant>
        <vt:i4>0</vt:i4>
      </vt:variant>
      <vt:variant>
        <vt:i4>5</vt:i4>
      </vt:variant>
      <vt:variant>
        <vt:lpwstr>http://www.nevo.co.il/law/70301/454</vt:lpwstr>
      </vt:variant>
      <vt:variant>
        <vt:lpwstr/>
      </vt:variant>
      <vt:variant>
        <vt:i4>6291553</vt:i4>
      </vt:variant>
      <vt:variant>
        <vt:i4>9</vt:i4>
      </vt:variant>
      <vt:variant>
        <vt:i4>0</vt:i4>
      </vt:variant>
      <vt:variant>
        <vt:i4>5</vt:i4>
      </vt:variant>
      <vt:variant>
        <vt:lpwstr>http://www.nevo.co.il/law/70301/452</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2025-01-19T16:05:00Z</dcterms:created>
  <dcterms:modified xsi:type="dcterms:W3CDTF">2025-01-19T16:05:00Z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12761</vt:lpwstr>
  </property>
  <property fmtid="{D5CDD505-2E9C-101B-9397-08002B2CF9AE}" pid="6" name="NEWPARTB">
    <vt:lpwstr>11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אשר אושר וקנין</vt:lpwstr>
  </property>
  <property fmtid="{D5CDD505-2E9C-101B-9397-08002B2CF9AE}" pid="10" name="LAWYER">
    <vt:lpwstr>סאמי חוראני;דודו עמר</vt:lpwstr>
  </property>
  <property fmtid="{D5CDD505-2E9C-101B-9397-08002B2CF9AE}" pid="11" name="JUDGE">
    <vt:lpwstr>אמנון כהן</vt:lpwstr>
  </property>
  <property fmtid="{D5CDD505-2E9C-101B-9397-08002B2CF9AE}" pid="12" name="CITY">
    <vt:lpwstr>י-ם</vt:lpwstr>
  </property>
  <property fmtid="{D5CDD505-2E9C-101B-9397-08002B2CF9AE}" pid="13" name="DATE">
    <vt:lpwstr>20160510</vt:lpwstr>
  </property>
  <property fmtid="{D5CDD505-2E9C-101B-9397-08002B2CF9AE}" pid="14" name="TYPE_N_DATE">
    <vt:lpwstr>39020160510</vt:lpwstr>
  </property>
  <property fmtid="{D5CDD505-2E9C-101B-9397-08002B2CF9AE}" pid="15" name="CASESLISTTMP1">
    <vt:lpwstr>6043688;7676477;4368246;10443017;5865581;5852404</vt:lpwstr>
  </property>
  <property fmtid="{D5CDD505-2E9C-101B-9397-08002B2CF9AE}" pid="16" name="WORDNUMPAGES">
    <vt:lpwstr>5</vt:lpwstr>
  </property>
  <property fmtid="{D5CDD505-2E9C-101B-9397-08002B2CF9AE}" pid="17" name="TYPE_ABS_DATE">
    <vt:lpwstr>390020160510</vt:lpwstr>
  </property>
  <property fmtid="{D5CDD505-2E9C-101B-9397-08002B2CF9AE}" pid="18" name="ISABSTRACT">
    <vt:lpwstr>Y</vt:lpwstr>
  </property>
  <property fmtid="{D5CDD505-2E9C-101B-9397-08002B2CF9AE}" pid="19" name="LAWLISTTMP1">
    <vt:lpwstr>70301/144.a;452;454;192</vt:lpwstr>
  </property>
</Properties>
</file>