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457BED" w:rsidRPr="00E20B47" w14:paraId="10386F98" w14:textId="77777777">
        <w:trPr>
          <w:trHeight w:hRule="exact" w:val="426"/>
          <w:jc w:val="center"/>
        </w:trPr>
        <w:tc>
          <w:tcPr>
            <w:tcW w:w="8505" w:type="dxa"/>
          </w:tcPr>
          <w:p w14:paraId="0B3876F6" w14:textId="77777777" w:rsidR="00457BED" w:rsidRPr="00E20B47" w:rsidRDefault="00E20B47">
            <w:pPr>
              <w:pStyle w:val="a3"/>
              <w:jc w:val="center"/>
              <w:rPr>
                <w:rFonts w:ascii="Tahoma" w:hAnsi="Tahoma" w:cs="Tahoma"/>
                <w:b/>
                <w:bCs/>
                <w:noProof w:val="0"/>
                <w:color w:val="000080"/>
                <w:rtl/>
              </w:rPr>
            </w:pPr>
            <w:bookmarkStart w:id="0" w:name="LastJudge"/>
            <w:r w:rsidRPr="00E20B47">
              <w:rPr>
                <w:rFonts w:ascii="Tahoma" w:hAnsi="Tahoma" w:cs="Tahoma"/>
                <w:b/>
                <w:bCs/>
                <w:noProof w:val="0"/>
                <w:color w:val="000080"/>
                <w:rtl/>
              </w:rPr>
              <w:t>בית המשפט המחוזי בירושלים</w:t>
            </w:r>
          </w:p>
        </w:tc>
      </w:tr>
      <w:tr w:rsidR="00457BED" w:rsidRPr="00E20B47" w14:paraId="75E12F5F" w14:textId="77777777">
        <w:trPr>
          <w:trHeight w:val="337"/>
          <w:jc w:val="center"/>
        </w:trPr>
        <w:tc>
          <w:tcPr>
            <w:tcW w:w="8505" w:type="dxa"/>
          </w:tcPr>
          <w:p w14:paraId="601DE4D8" w14:textId="77777777" w:rsidR="00457BED" w:rsidRPr="00E20B47" w:rsidRDefault="00457BED">
            <w:pPr>
              <w:pStyle w:val="a3"/>
              <w:jc w:val="center"/>
              <w:rPr>
                <w:rFonts w:ascii="Tahoma" w:hAnsi="Tahoma" w:cs="Tahoma"/>
                <w:b/>
                <w:bCs/>
                <w:noProof w:val="0"/>
                <w:color w:val="000080"/>
                <w:rtl/>
              </w:rPr>
            </w:pPr>
          </w:p>
        </w:tc>
      </w:tr>
      <w:tr w:rsidR="00457BED" w:rsidRPr="00E20B47" w14:paraId="5C481EE1" w14:textId="77777777">
        <w:trPr>
          <w:trHeight w:val="337"/>
          <w:jc w:val="center"/>
        </w:trPr>
        <w:tc>
          <w:tcPr>
            <w:tcW w:w="8505" w:type="dxa"/>
          </w:tcPr>
          <w:p w14:paraId="5AE347D8" w14:textId="77777777" w:rsidR="00457BED" w:rsidRPr="00E20B47" w:rsidRDefault="00E20B47">
            <w:pPr>
              <w:rPr>
                <w:rtl/>
              </w:rPr>
            </w:pPr>
            <w:r w:rsidRPr="00E20B47">
              <w:rPr>
                <w:b/>
                <w:bCs/>
                <w:noProof w:val="0"/>
                <w:sz w:val="26"/>
                <w:szCs w:val="26"/>
                <w:rtl/>
              </w:rPr>
              <w:t>ת"פ 13864-11-15 מדינת ישראל נ' הינדי</w:t>
            </w:r>
            <w:r w:rsidRPr="00E20B47">
              <w:rPr>
                <w:rFonts w:hint="cs"/>
                <w:b/>
                <w:bCs/>
                <w:noProof w:val="0"/>
                <w:sz w:val="26"/>
                <w:szCs w:val="26"/>
                <w:rtl/>
              </w:rPr>
              <w:t xml:space="preserve"> </w:t>
            </w:r>
            <w:r w:rsidRPr="00E20B47">
              <w:rPr>
                <w:b/>
                <w:bCs/>
                <w:noProof w:val="0"/>
                <w:sz w:val="26"/>
                <w:szCs w:val="26"/>
                <w:rtl/>
              </w:rPr>
              <w:t>(עציר)</w:t>
            </w:r>
            <w:r w:rsidRPr="00E20B47">
              <w:rPr>
                <w:rtl/>
              </w:rPr>
              <w:t xml:space="preserve">     </w:t>
            </w:r>
          </w:p>
        </w:tc>
      </w:tr>
    </w:tbl>
    <w:p w14:paraId="55D58FC7" w14:textId="77777777" w:rsidR="00457BED" w:rsidRPr="00E20B47" w:rsidRDefault="00E20B47">
      <w:pPr>
        <w:pStyle w:val="a3"/>
        <w:rPr>
          <w:noProof w:val="0"/>
          <w:rtl/>
        </w:rPr>
      </w:pPr>
      <w:r w:rsidRPr="00E20B47">
        <w:rPr>
          <w:noProof w:val="0"/>
          <w:rtl/>
        </w:rPr>
        <w:t xml:space="preserve"> </w:t>
      </w:r>
    </w:p>
    <w:p w14:paraId="7CF9B0A9" w14:textId="77777777" w:rsidR="00457BED" w:rsidRPr="00E20B47" w:rsidRDefault="00E20B47">
      <w:pPr>
        <w:suppressLineNumbers/>
        <w:rPr>
          <w:b/>
          <w:bCs/>
          <w:sz w:val="26"/>
          <w:szCs w:val="26"/>
          <w:rtl/>
        </w:rPr>
      </w:pPr>
      <w:r w:rsidRPr="00E20B47">
        <w:rPr>
          <w:rFonts w:hint="cs"/>
          <w:b/>
          <w:bCs/>
          <w:sz w:val="26"/>
          <w:szCs w:val="26"/>
          <w:rtl/>
        </w:rPr>
        <w:t>בפני כבוד השופט הבכיר אמנון כהן</w:t>
      </w:r>
    </w:p>
    <w:p w14:paraId="11FB4EC4" w14:textId="77777777" w:rsidR="00457BED" w:rsidRPr="00E20B47" w:rsidRDefault="00457BED">
      <w:pPr>
        <w:suppressLineNumbers/>
        <w:rPr>
          <w:b/>
          <w:bCs/>
          <w:sz w:val="26"/>
          <w:szCs w:val="26"/>
          <w:rtl/>
        </w:rPr>
      </w:pPr>
    </w:p>
    <w:tbl>
      <w:tblPr>
        <w:bidiVisual/>
        <w:tblW w:w="8820" w:type="dxa"/>
        <w:jc w:val="center"/>
        <w:tblLook w:val="01E0" w:firstRow="1" w:lastRow="1" w:firstColumn="1" w:lastColumn="1" w:noHBand="0" w:noVBand="0"/>
      </w:tblPr>
      <w:tblGrid>
        <w:gridCol w:w="3249"/>
        <w:gridCol w:w="5571"/>
      </w:tblGrid>
      <w:tr w:rsidR="00457BED" w:rsidRPr="00E20B47" w14:paraId="684A443C" w14:textId="77777777">
        <w:trPr>
          <w:jc w:val="center"/>
        </w:trPr>
        <w:tc>
          <w:tcPr>
            <w:tcW w:w="3249" w:type="dxa"/>
            <w:shd w:val="clear" w:color="auto" w:fill="auto"/>
          </w:tcPr>
          <w:p w14:paraId="710962FB" w14:textId="77777777" w:rsidR="00457BED" w:rsidRPr="00E20B47" w:rsidRDefault="00457BED">
            <w:pPr>
              <w:bidi w:val="0"/>
              <w:jc w:val="right"/>
              <w:rPr>
                <w:rFonts w:ascii="Arial" w:hAnsi="Arial"/>
                <w:b/>
                <w:bCs/>
                <w:noProof w:val="0"/>
                <w:sz w:val="26"/>
                <w:szCs w:val="26"/>
              </w:rPr>
            </w:pPr>
            <w:bookmarkStart w:id="1" w:name="FirstAppellant"/>
            <w:bookmarkStart w:id="2" w:name="FirstLawyer"/>
          </w:p>
          <w:p w14:paraId="102736B7" w14:textId="77777777" w:rsidR="00457BED" w:rsidRPr="00E20B47" w:rsidRDefault="00E20B47">
            <w:pPr>
              <w:bidi w:val="0"/>
              <w:jc w:val="right"/>
              <w:rPr>
                <w:rFonts w:ascii="Arial" w:hAnsi="Arial"/>
                <w:b/>
                <w:bCs/>
                <w:noProof w:val="0"/>
                <w:sz w:val="26"/>
                <w:szCs w:val="26"/>
                <w:rtl/>
              </w:rPr>
            </w:pPr>
            <w:r w:rsidRPr="00E20B47">
              <w:rPr>
                <w:rFonts w:hint="cs"/>
                <w:rtl/>
              </w:rPr>
              <w:t>המאשימה</w:t>
            </w:r>
          </w:p>
        </w:tc>
        <w:tc>
          <w:tcPr>
            <w:tcW w:w="5571" w:type="dxa"/>
            <w:shd w:val="clear" w:color="auto" w:fill="auto"/>
          </w:tcPr>
          <w:p w14:paraId="4B6AC3F3" w14:textId="77777777" w:rsidR="00457BED" w:rsidRPr="00E20B47" w:rsidRDefault="00457BED">
            <w:pPr>
              <w:rPr>
                <w:rFonts w:ascii="Arial" w:hAnsi="Arial"/>
                <w:b/>
                <w:bCs/>
                <w:noProof w:val="0"/>
                <w:sz w:val="26"/>
                <w:szCs w:val="26"/>
                <w:rtl/>
              </w:rPr>
            </w:pPr>
          </w:p>
          <w:p w14:paraId="59EC2754" w14:textId="77777777" w:rsidR="00457BED" w:rsidRPr="00E20B47" w:rsidRDefault="00E20B47">
            <w:pPr>
              <w:rPr>
                <w:rtl/>
              </w:rPr>
            </w:pPr>
            <w:r w:rsidRPr="00E20B47">
              <w:rPr>
                <w:rFonts w:hint="cs"/>
                <w:rtl/>
              </w:rPr>
              <w:t>מדינת ישראל</w:t>
            </w:r>
          </w:p>
          <w:p w14:paraId="53ADAA7D" w14:textId="77777777" w:rsidR="00457BED" w:rsidRPr="00E20B47" w:rsidRDefault="00E20B47">
            <w:pPr>
              <w:rPr>
                <w:sz w:val="26"/>
                <w:szCs w:val="26"/>
                <w:rtl/>
              </w:rPr>
            </w:pPr>
            <w:r w:rsidRPr="00E20B47">
              <w:rPr>
                <w:rFonts w:hint="cs"/>
                <w:sz w:val="26"/>
                <w:szCs w:val="26"/>
                <w:rtl/>
              </w:rPr>
              <w:t>באמצעות פרקליטות מחוז ירושלים (פלילי)</w:t>
            </w:r>
          </w:p>
          <w:p w14:paraId="4872699B" w14:textId="77777777" w:rsidR="00457BED" w:rsidRPr="00E20B47" w:rsidRDefault="00E20B47">
            <w:pPr>
              <w:rPr>
                <w:b/>
                <w:bCs/>
                <w:noProof w:val="0"/>
                <w:sz w:val="26"/>
                <w:szCs w:val="26"/>
              </w:rPr>
            </w:pPr>
            <w:r w:rsidRPr="00E20B47">
              <w:rPr>
                <w:rFonts w:hint="cs"/>
                <w:sz w:val="26"/>
                <w:szCs w:val="26"/>
                <w:rtl/>
              </w:rPr>
              <w:t>ע"י ב"כ עו"ד שחר מלול</w:t>
            </w:r>
          </w:p>
        </w:tc>
      </w:tr>
      <w:bookmarkEnd w:id="1"/>
      <w:bookmarkEnd w:id="2"/>
      <w:tr w:rsidR="00457BED" w:rsidRPr="00E20B47" w14:paraId="3EA7C355" w14:textId="77777777">
        <w:trPr>
          <w:jc w:val="center"/>
        </w:trPr>
        <w:tc>
          <w:tcPr>
            <w:tcW w:w="8820" w:type="dxa"/>
            <w:gridSpan w:val="2"/>
            <w:shd w:val="clear" w:color="auto" w:fill="auto"/>
          </w:tcPr>
          <w:p w14:paraId="0428A557" w14:textId="77777777" w:rsidR="00457BED" w:rsidRPr="00E20B47" w:rsidRDefault="00457BED">
            <w:pPr>
              <w:rPr>
                <w:rFonts w:ascii="Arial" w:hAnsi="Arial"/>
                <w:b/>
                <w:bCs/>
                <w:noProof w:val="0"/>
                <w:sz w:val="26"/>
                <w:szCs w:val="26"/>
                <w:rtl/>
              </w:rPr>
            </w:pPr>
          </w:p>
          <w:p w14:paraId="265BB188" w14:textId="77777777" w:rsidR="00457BED" w:rsidRPr="00E20B47" w:rsidRDefault="00E20B47">
            <w:pPr>
              <w:jc w:val="center"/>
              <w:rPr>
                <w:rFonts w:ascii="Arial" w:hAnsi="Arial"/>
                <w:b/>
                <w:bCs/>
                <w:noProof w:val="0"/>
                <w:sz w:val="26"/>
                <w:szCs w:val="26"/>
                <w:rtl/>
              </w:rPr>
            </w:pPr>
            <w:r w:rsidRPr="00E20B47">
              <w:rPr>
                <w:rFonts w:ascii="Arial" w:hAnsi="Arial"/>
                <w:b/>
                <w:bCs/>
                <w:noProof w:val="0"/>
                <w:sz w:val="26"/>
                <w:szCs w:val="26"/>
                <w:rtl/>
              </w:rPr>
              <w:t>נגד</w:t>
            </w:r>
          </w:p>
          <w:p w14:paraId="26B6675B" w14:textId="77777777" w:rsidR="00457BED" w:rsidRPr="00E20B47" w:rsidRDefault="00457BED">
            <w:pPr>
              <w:rPr>
                <w:rFonts w:ascii="Arial" w:hAnsi="Arial"/>
                <w:b/>
                <w:bCs/>
                <w:noProof w:val="0"/>
                <w:sz w:val="26"/>
                <w:szCs w:val="26"/>
              </w:rPr>
            </w:pPr>
          </w:p>
        </w:tc>
      </w:tr>
      <w:tr w:rsidR="00457BED" w:rsidRPr="00E20B47" w14:paraId="32DB9F67" w14:textId="77777777">
        <w:trPr>
          <w:jc w:val="center"/>
        </w:trPr>
        <w:tc>
          <w:tcPr>
            <w:tcW w:w="3249" w:type="dxa"/>
            <w:shd w:val="clear" w:color="auto" w:fill="auto"/>
          </w:tcPr>
          <w:p w14:paraId="44FD7356" w14:textId="77777777" w:rsidR="00457BED" w:rsidRPr="00E20B47" w:rsidRDefault="00E20B47">
            <w:pPr>
              <w:rPr>
                <w:rFonts w:ascii="Arial" w:hAnsi="Arial"/>
                <w:b/>
                <w:bCs/>
                <w:noProof w:val="0"/>
                <w:sz w:val="26"/>
                <w:szCs w:val="26"/>
              </w:rPr>
            </w:pPr>
            <w:r w:rsidRPr="00E20B47">
              <w:rPr>
                <w:rFonts w:hint="cs"/>
                <w:rtl/>
              </w:rPr>
              <w:t>הנאשם</w:t>
            </w:r>
          </w:p>
        </w:tc>
        <w:tc>
          <w:tcPr>
            <w:tcW w:w="5571" w:type="dxa"/>
            <w:shd w:val="clear" w:color="auto" w:fill="auto"/>
          </w:tcPr>
          <w:p w14:paraId="4A3E93D1" w14:textId="77777777" w:rsidR="00457BED" w:rsidRPr="00E20B47" w:rsidRDefault="00E20B47">
            <w:pPr>
              <w:rPr>
                <w:rtl/>
              </w:rPr>
            </w:pPr>
            <w:r w:rsidRPr="00E20B47">
              <w:rPr>
                <w:rFonts w:hint="cs"/>
                <w:rtl/>
              </w:rPr>
              <w:t>אחמד הינדי</w:t>
            </w:r>
          </w:p>
          <w:p w14:paraId="5DB99024" w14:textId="77777777" w:rsidR="00457BED" w:rsidRPr="00E20B47" w:rsidRDefault="00E20B47">
            <w:pPr>
              <w:rPr>
                <w:noProof w:val="0"/>
                <w:sz w:val="26"/>
                <w:szCs w:val="26"/>
                <w:rtl/>
              </w:rPr>
            </w:pPr>
            <w:r w:rsidRPr="00E20B47">
              <w:rPr>
                <w:rFonts w:hint="cs"/>
                <w:sz w:val="26"/>
                <w:szCs w:val="26"/>
                <w:rtl/>
              </w:rPr>
              <w:t>ע"י ב"כ עו"ד מוחמד מחמוד</w:t>
            </w:r>
          </w:p>
        </w:tc>
      </w:tr>
    </w:tbl>
    <w:p w14:paraId="2E7F0298" w14:textId="77777777" w:rsidR="00D227C2" w:rsidRDefault="00D227C2">
      <w:pPr>
        <w:suppressLineNumbers/>
        <w:rPr>
          <w:rtl/>
        </w:rPr>
      </w:pPr>
      <w:bookmarkStart w:id="3" w:name="LawTable"/>
      <w:bookmarkEnd w:id="3"/>
    </w:p>
    <w:p w14:paraId="59934255" w14:textId="77777777" w:rsidR="00D227C2" w:rsidRPr="00D227C2" w:rsidRDefault="00D227C2" w:rsidP="00D227C2">
      <w:pPr>
        <w:suppressLineNumbers/>
        <w:spacing w:after="120" w:line="240" w:lineRule="exact"/>
        <w:ind w:left="283" w:hanging="283"/>
        <w:jc w:val="both"/>
        <w:rPr>
          <w:rFonts w:ascii="FrankRuehl" w:hAnsi="FrankRuehl" w:cs="FrankRuehl"/>
          <w:rtl/>
        </w:rPr>
      </w:pPr>
    </w:p>
    <w:p w14:paraId="01648ACE" w14:textId="77777777" w:rsidR="00D227C2" w:rsidRPr="00D227C2" w:rsidRDefault="00D227C2" w:rsidP="00D227C2">
      <w:pPr>
        <w:suppressLineNumbers/>
        <w:spacing w:after="120" w:line="240" w:lineRule="exact"/>
        <w:ind w:left="283" w:hanging="283"/>
        <w:jc w:val="both"/>
        <w:rPr>
          <w:rFonts w:ascii="FrankRuehl" w:hAnsi="FrankRuehl" w:cs="FrankRuehl"/>
          <w:rtl/>
        </w:rPr>
      </w:pPr>
      <w:r w:rsidRPr="00D227C2">
        <w:rPr>
          <w:rFonts w:ascii="FrankRuehl" w:hAnsi="FrankRuehl" w:cs="FrankRuehl"/>
          <w:rtl/>
        </w:rPr>
        <w:t xml:space="preserve">חקיקה שאוזכרה: </w:t>
      </w:r>
    </w:p>
    <w:p w14:paraId="092D9EBC" w14:textId="77777777" w:rsidR="00D227C2" w:rsidRPr="00D227C2" w:rsidRDefault="00D227C2" w:rsidP="00D227C2">
      <w:pPr>
        <w:suppressLineNumbers/>
        <w:spacing w:after="120" w:line="240" w:lineRule="exact"/>
        <w:ind w:left="283" w:hanging="283"/>
        <w:jc w:val="both"/>
        <w:rPr>
          <w:rFonts w:ascii="FrankRuehl" w:hAnsi="FrankRuehl" w:cs="FrankRuehl"/>
          <w:rtl/>
        </w:rPr>
      </w:pPr>
      <w:hyperlink r:id="rId6" w:history="1">
        <w:r w:rsidRPr="00D227C2">
          <w:rPr>
            <w:rFonts w:ascii="FrankRuehl" w:hAnsi="FrankRuehl" w:cs="FrankRuehl"/>
            <w:color w:val="0000FF"/>
            <w:u w:val="single"/>
            <w:rtl/>
          </w:rPr>
          <w:t>חוק העונשין, תשל"ז-1977</w:t>
        </w:r>
      </w:hyperlink>
      <w:r w:rsidRPr="00D227C2">
        <w:rPr>
          <w:rFonts w:ascii="FrankRuehl" w:hAnsi="FrankRuehl" w:cs="FrankRuehl"/>
          <w:rtl/>
        </w:rPr>
        <w:t xml:space="preserve">: סע'  </w:t>
      </w:r>
      <w:hyperlink r:id="rId7" w:history="1">
        <w:r w:rsidRPr="00D227C2">
          <w:rPr>
            <w:rFonts w:ascii="FrankRuehl" w:hAnsi="FrankRuehl" w:cs="FrankRuehl"/>
            <w:color w:val="0000FF"/>
            <w:u w:val="single"/>
            <w:rtl/>
          </w:rPr>
          <w:t>25</w:t>
        </w:r>
      </w:hyperlink>
      <w:r w:rsidRPr="00D227C2">
        <w:rPr>
          <w:rFonts w:ascii="FrankRuehl" w:hAnsi="FrankRuehl" w:cs="FrankRuehl"/>
          <w:rtl/>
        </w:rPr>
        <w:t xml:space="preserve">, </w:t>
      </w:r>
      <w:hyperlink r:id="rId8" w:history="1">
        <w:r w:rsidRPr="00D227C2">
          <w:rPr>
            <w:rFonts w:ascii="FrankRuehl" w:hAnsi="FrankRuehl" w:cs="FrankRuehl"/>
            <w:color w:val="0000FF"/>
            <w:u w:val="single"/>
            <w:rtl/>
          </w:rPr>
          <w:t>29</w:t>
        </w:r>
      </w:hyperlink>
      <w:r w:rsidRPr="00D227C2">
        <w:rPr>
          <w:rFonts w:ascii="FrankRuehl" w:hAnsi="FrankRuehl" w:cs="FrankRuehl"/>
          <w:rtl/>
        </w:rPr>
        <w:t xml:space="preserve">, </w:t>
      </w:r>
      <w:hyperlink r:id="rId9" w:history="1">
        <w:r w:rsidRPr="00D227C2">
          <w:rPr>
            <w:rFonts w:ascii="FrankRuehl" w:hAnsi="FrankRuehl" w:cs="FrankRuehl"/>
            <w:color w:val="0000FF"/>
            <w:u w:val="single"/>
            <w:rtl/>
          </w:rPr>
          <w:t>40ב</w:t>
        </w:r>
      </w:hyperlink>
      <w:r w:rsidRPr="00D227C2">
        <w:rPr>
          <w:rFonts w:ascii="FrankRuehl" w:hAnsi="FrankRuehl" w:cs="FrankRuehl"/>
          <w:rtl/>
        </w:rPr>
        <w:t xml:space="preserve">, </w:t>
      </w:r>
      <w:hyperlink r:id="rId10" w:history="1">
        <w:r w:rsidRPr="00D227C2">
          <w:rPr>
            <w:rFonts w:ascii="FrankRuehl" w:hAnsi="FrankRuehl" w:cs="FrankRuehl"/>
            <w:color w:val="0000FF"/>
            <w:u w:val="single"/>
            <w:rtl/>
          </w:rPr>
          <w:t>40ט(א)</w:t>
        </w:r>
      </w:hyperlink>
      <w:r w:rsidRPr="00D227C2">
        <w:rPr>
          <w:rFonts w:ascii="FrankRuehl" w:hAnsi="FrankRuehl" w:cs="FrankRuehl"/>
          <w:rtl/>
        </w:rPr>
        <w:t xml:space="preserve">, </w:t>
      </w:r>
      <w:hyperlink r:id="rId11" w:history="1">
        <w:r w:rsidRPr="00D227C2">
          <w:rPr>
            <w:rFonts w:ascii="FrankRuehl" w:hAnsi="FrankRuehl" w:cs="FrankRuehl"/>
            <w:color w:val="0000FF"/>
            <w:u w:val="single"/>
            <w:rtl/>
          </w:rPr>
          <w:t>40ט(א)(1)</w:t>
        </w:r>
      </w:hyperlink>
      <w:r w:rsidRPr="00D227C2">
        <w:rPr>
          <w:rFonts w:ascii="FrankRuehl" w:hAnsi="FrankRuehl" w:cs="FrankRuehl"/>
          <w:rtl/>
        </w:rPr>
        <w:t xml:space="preserve">, </w:t>
      </w:r>
      <w:hyperlink r:id="rId12" w:history="1">
        <w:r w:rsidRPr="00D227C2">
          <w:rPr>
            <w:rFonts w:ascii="FrankRuehl" w:hAnsi="FrankRuehl" w:cs="FrankRuehl"/>
            <w:color w:val="0000FF"/>
            <w:u w:val="single"/>
            <w:rtl/>
          </w:rPr>
          <w:t>40ט(א)(2)</w:t>
        </w:r>
      </w:hyperlink>
      <w:r w:rsidRPr="00D227C2">
        <w:rPr>
          <w:rFonts w:ascii="FrankRuehl" w:hAnsi="FrankRuehl" w:cs="FrankRuehl"/>
          <w:rtl/>
        </w:rPr>
        <w:t xml:space="preserve">, </w:t>
      </w:r>
      <w:hyperlink r:id="rId13" w:history="1">
        <w:r w:rsidRPr="00D227C2">
          <w:rPr>
            <w:rFonts w:ascii="FrankRuehl" w:hAnsi="FrankRuehl" w:cs="FrankRuehl"/>
            <w:color w:val="0000FF"/>
            <w:u w:val="single"/>
            <w:rtl/>
          </w:rPr>
          <w:t>40ט(א)(3)</w:t>
        </w:r>
      </w:hyperlink>
      <w:r w:rsidRPr="00D227C2">
        <w:rPr>
          <w:rFonts w:ascii="FrankRuehl" w:hAnsi="FrankRuehl" w:cs="FrankRuehl"/>
          <w:rtl/>
        </w:rPr>
        <w:t xml:space="preserve">, </w:t>
      </w:r>
      <w:hyperlink r:id="rId14" w:history="1">
        <w:r w:rsidRPr="00D227C2">
          <w:rPr>
            <w:rFonts w:ascii="FrankRuehl" w:hAnsi="FrankRuehl" w:cs="FrankRuehl"/>
            <w:color w:val="0000FF"/>
            <w:u w:val="single"/>
            <w:rtl/>
          </w:rPr>
          <w:t>40ט(א)(4)</w:t>
        </w:r>
      </w:hyperlink>
      <w:r w:rsidRPr="00D227C2">
        <w:rPr>
          <w:rFonts w:ascii="FrankRuehl" w:hAnsi="FrankRuehl" w:cs="FrankRuehl"/>
          <w:rtl/>
        </w:rPr>
        <w:t xml:space="preserve">, </w:t>
      </w:r>
      <w:hyperlink r:id="rId15" w:history="1">
        <w:r w:rsidRPr="00D227C2">
          <w:rPr>
            <w:rFonts w:ascii="FrankRuehl" w:hAnsi="FrankRuehl" w:cs="FrankRuehl"/>
            <w:color w:val="0000FF"/>
            <w:u w:val="single"/>
            <w:rtl/>
          </w:rPr>
          <w:t>40ט(א)(5)</w:t>
        </w:r>
      </w:hyperlink>
      <w:r w:rsidRPr="00D227C2">
        <w:rPr>
          <w:rFonts w:ascii="FrankRuehl" w:hAnsi="FrankRuehl" w:cs="FrankRuehl"/>
          <w:rtl/>
        </w:rPr>
        <w:t xml:space="preserve">, </w:t>
      </w:r>
      <w:hyperlink r:id="rId16" w:history="1">
        <w:r w:rsidRPr="00D227C2">
          <w:rPr>
            <w:rFonts w:ascii="FrankRuehl" w:hAnsi="FrankRuehl" w:cs="FrankRuehl"/>
            <w:color w:val="0000FF"/>
            <w:u w:val="single"/>
            <w:rtl/>
          </w:rPr>
          <w:t>144(ב2)</w:t>
        </w:r>
      </w:hyperlink>
      <w:r w:rsidRPr="00D227C2">
        <w:rPr>
          <w:rFonts w:ascii="FrankRuehl" w:hAnsi="FrankRuehl" w:cs="FrankRuehl"/>
          <w:rtl/>
        </w:rPr>
        <w:t xml:space="preserve">, </w:t>
      </w:r>
      <w:hyperlink r:id="rId17" w:history="1">
        <w:r w:rsidRPr="00D227C2">
          <w:rPr>
            <w:rFonts w:ascii="FrankRuehl" w:hAnsi="FrankRuehl" w:cs="FrankRuehl"/>
            <w:color w:val="0000FF"/>
            <w:u w:val="single"/>
            <w:rtl/>
          </w:rPr>
          <w:t>152</w:t>
        </w:r>
      </w:hyperlink>
      <w:r w:rsidRPr="00D227C2">
        <w:rPr>
          <w:rFonts w:ascii="FrankRuehl" w:hAnsi="FrankRuehl" w:cs="FrankRuehl"/>
          <w:rtl/>
        </w:rPr>
        <w:t xml:space="preserve">, </w:t>
      </w:r>
      <w:hyperlink r:id="rId18" w:history="1">
        <w:r w:rsidRPr="00D227C2">
          <w:rPr>
            <w:rFonts w:ascii="FrankRuehl" w:hAnsi="FrankRuehl" w:cs="FrankRuehl"/>
            <w:color w:val="0000FF"/>
            <w:u w:val="single"/>
            <w:rtl/>
          </w:rPr>
          <w:t>274.1.</w:t>
        </w:r>
      </w:hyperlink>
      <w:r w:rsidRPr="00D227C2">
        <w:rPr>
          <w:rFonts w:ascii="FrankRuehl" w:hAnsi="FrankRuehl" w:cs="FrankRuehl"/>
          <w:rtl/>
        </w:rPr>
        <w:t xml:space="preserve">, </w:t>
      </w:r>
      <w:hyperlink r:id="rId19" w:history="1">
        <w:r w:rsidRPr="00D227C2">
          <w:rPr>
            <w:rFonts w:ascii="FrankRuehl" w:hAnsi="FrankRuehl" w:cs="FrankRuehl"/>
            <w:color w:val="0000FF"/>
            <w:u w:val="single"/>
            <w:rtl/>
          </w:rPr>
          <w:t>274.2.</w:t>
        </w:r>
      </w:hyperlink>
      <w:r w:rsidRPr="00D227C2">
        <w:rPr>
          <w:rFonts w:ascii="FrankRuehl" w:hAnsi="FrankRuehl" w:cs="FrankRuehl"/>
          <w:rtl/>
        </w:rPr>
        <w:t xml:space="preserve">, </w:t>
      </w:r>
      <w:hyperlink r:id="rId20" w:history="1">
        <w:r w:rsidRPr="00D227C2">
          <w:rPr>
            <w:rFonts w:ascii="FrankRuehl" w:hAnsi="FrankRuehl" w:cs="FrankRuehl"/>
            <w:color w:val="0000FF"/>
            <w:u w:val="single"/>
            <w:rtl/>
          </w:rPr>
          <w:t>274.3</w:t>
        </w:r>
      </w:hyperlink>
      <w:r w:rsidRPr="00D227C2">
        <w:rPr>
          <w:rFonts w:ascii="FrankRuehl" w:hAnsi="FrankRuehl" w:cs="FrankRuehl"/>
          <w:rtl/>
        </w:rPr>
        <w:t xml:space="preserve">, </w:t>
      </w:r>
      <w:hyperlink r:id="rId21" w:history="1">
        <w:r w:rsidRPr="00D227C2">
          <w:rPr>
            <w:rFonts w:ascii="FrankRuehl" w:hAnsi="FrankRuehl" w:cs="FrankRuehl"/>
            <w:color w:val="0000FF"/>
            <w:u w:val="single"/>
            <w:rtl/>
          </w:rPr>
          <w:t>329(א)(2)</w:t>
        </w:r>
      </w:hyperlink>
      <w:r w:rsidRPr="00D227C2">
        <w:rPr>
          <w:rFonts w:ascii="FrankRuehl" w:hAnsi="FrankRuehl" w:cs="FrankRuehl"/>
          <w:rtl/>
        </w:rPr>
        <w:t xml:space="preserve">, </w:t>
      </w:r>
      <w:hyperlink r:id="rId22" w:history="1">
        <w:r w:rsidRPr="00D227C2">
          <w:rPr>
            <w:rFonts w:ascii="FrankRuehl" w:hAnsi="FrankRuehl" w:cs="FrankRuehl"/>
            <w:color w:val="0000FF"/>
            <w:u w:val="single"/>
            <w:rtl/>
          </w:rPr>
          <w:t>40יא</w:t>
        </w:r>
      </w:hyperlink>
      <w:r w:rsidRPr="00D227C2">
        <w:rPr>
          <w:rFonts w:ascii="FrankRuehl" w:hAnsi="FrankRuehl" w:cs="FrankRuehl"/>
          <w:rtl/>
        </w:rPr>
        <w:t xml:space="preserve">, </w:t>
      </w:r>
      <w:hyperlink r:id="rId23" w:history="1">
        <w:r w:rsidRPr="00D227C2">
          <w:rPr>
            <w:rFonts w:ascii="FrankRuehl" w:hAnsi="FrankRuehl" w:cs="FrankRuehl"/>
            <w:color w:val="0000FF"/>
            <w:u w:val="single"/>
            <w:rtl/>
          </w:rPr>
          <w:t>40יא(1)</w:t>
        </w:r>
      </w:hyperlink>
      <w:r w:rsidRPr="00D227C2">
        <w:rPr>
          <w:rFonts w:ascii="FrankRuehl" w:hAnsi="FrankRuehl" w:cs="FrankRuehl"/>
          <w:rtl/>
        </w:rPr>
        <w:t xml:space="preserve">, </w:t>
      </w:r>
      <w:hyperlink r:id="rId24" w:history="1">
        <w:r w:rsidRPr="00D227C2">
          <w:rPr>
            <w:rFonts w:ascii="FrankRuehl" w:hAnsi="FrankRuehl" w:cs="FrankRuehl"/>
            <w:color w:val="0000FF"/>
            <w:u w:val="single"/>
            <w:rtl/>
          </w:rPr>
          <w:t>40יא(11)</w:t>
        </w:r>
      </w:hyperlink>
      <w:r w:rsidRPr="00D227C2">
        <w:rPr>
          <w:rFonts w:ascii="FrankRuehl" w:hAnsi="FrankRuehl" w:cs="FrankRuehl"/>
          <w:rtl/>
        </w:rPr>
        <w:t xml:space="preserve">, </w:t>
      </w:r>
      <w:hyperlink r:id="rId25" w:history="1">
        <w:r w:rsidRPr="00D227C2">
          <w:rPr>
            <w:rFonts w:ascii="FrankRuehl" w:hAnsi="FrankRuehl" w:cs="FrankRuehl"/>
            <w:color w:val="0000FF"/>
            <w:u w:val="single"/>
            <w:rtl/>
          </w:rPr>
          <w:t>(2)</w:t>
        </w:r>
      </w:hyperlink>
      <w:r w:rsidRPr="00D227C2">
        <w:rPr>
          <w:rFonts w:ascii="FrankRuehl" w:hAnsi="FrankRuehl" w:cs="FrankRuehl"/>
          <w:rtl/>
        </w:rPr>
        <w:t xml:space="preserve">, </w:t>
      </w:r>
      <w:hyperlink r:id="rId26" w:history="1">
        <w:r w:rsidRPr="00D227C2">
          <w:rPr>
            <w:rFonts w:ascii="FrankRuehl" w:hAnsi="FrankRuehl" w:cs="FrankRuehl"/>
            <w:color w:val="0000FF"/>
            <w:u w:val="single"/>
            <w:rtl/>
          </w:rPr>
          <w:t>40יא(4)</w:t>
        </w:r>
      </w:hyperlink>
      <w:r w:rsidRPr="00D227C2">
        <w:rPr>
          <w:rFonts w:ascii="FrankRuehl" w:hAnsi="FrankRuehl" w:cs="FrankRuehl"/>
          <w:rtl/>
        </w:rPr>
        <w:t xml:space="preserve">, </w:t>
      </w:r>
      <w:hyperlink r:id="rId27" w:history="1">
        <w:r w:rsidRPr="00D227C2">
          <w:rPr>
            <w:rFonts w:ascii="FrankRuehl" w:hAnsi="FrankRuehl" w:cs="FrankRuehl"/>
            <w:color w:val="0000FF"/>
            <w:u w:val="single"/>
            <w:rtl/>
          </w:rPr>
          <w:t>40יא(6)</w:t>
        </w:r>
      </w:hyperlink>
      <w:r w:rsidRPr="00D227C2">
        <w:rPr>
          <w:rFonts w:ascii="FrankRuehl" w:hAnsi="FrankRuehl" w:cs="FrankRuehl"/>
          <w:rtl/>
        </w:rPr>
        <w:t xml:space="preserve">, </w:t>
      </w:r>
      <w:hyperlink r:id="rId28" w:history="1">
        <w:r w:rsidRPr="00D227C2">
          <w:rPr>
            <w:rFonts w:ascii="FrankRuehl" w:hAnsi="FrankRuehl" w:cs="FrankRuehl"/>
            <w:color w:val="0000FF"/>
            <w:u w:val="single"/>
            <w:rtl/>
          </w:rPr>
          <w:t>40יא(8</w:t>
        </w:r>
      </w:hyperlink>
      <w:r w:rsidRPr="00D227C2">
        <w:rPr>
          <w:rFonts w:ascii="FrankRuehl" w:hAnsi="FrankRuehl" w:cs="FrankRuehl"/>
          <w:rtl/>
        </w:rPr>
        <w:t xml:space="preserve">, </w:t>
      </w:r>
      <w:hyperlink r:id="rId29" w:history="1">
        <w:r w:rsidRPr="00D227C2">
          <w:rPr>
            <w:rFonts w:ascii="FrankRuehl" w:hAnsi="FrankRuehl" w:cs="FrankRuehl"/>
            <w:color w:val="0000FF"/>
            <w:u w:val="single"/>
            <w:rtl/>
          </w:rPr>
          <w:t>40יג</w:t>
        </w:r>
      </w:hyperlink>
    </w:p>
    <w:p w14:paraId="362F57FB" w14:textId="77777777" w:rsidR="00E20B47" w:rsidRPr="00E20B47" w:rsidRDefault="00E20B47">
      <w:pPr>
        <w:suppressLineNumbers/>
        <w:rPr>
          <w:rtl/>
        </w:rPr>
      </w:pPr>
    </w:p>
    <w:p w14:paraId="514F1AAD" w14:textId="77777777" w:rsidR="00457BED" w:rsidRPr="00E20B47" w:rsidRDefault="00457BED">
      <w:pPr>
        <w:suppressLineNumbers/>
      </w:pPr>
    </w:p>
    <w:tbl>
      <w:tblPr>
        <w:bidiVisual/>
        <w:tblW w:w="8820" w:type="dxa"/>
        <w:jc w:val="center"/>
        <w:tblLook w:val="01E0" w:firstRow="1" w:lastRow="1" w:firstColumn="1" w:lastColumn="1" w:noHBand="0" w:noVBand="0"/>
      </w:tblPr>
      <w:tblGrid>
        <w:gridCol w:w="8820"/>
      </w:tblGrid>
      <w:tr w:rsidR="00457BED" w14:paraId="49D0AA15" w14:textId="77777777">
        <w:trPr>
          <w:jc w:val="center"/>
        </w:trPr>
        <w:tc>
          <w:tcPr>
            <w:tcW w:w="8820" w:type="dxa"/>
            <w:shd w:val="clear" w:color="auto" w:fill="auto"/>
          </w:tcPr>
          <w:p w14:paraId="62BF42F3" w14:textId="77777777" w:rsidR="00E20B47" w:rsidRPr="00E20B47" w:rsidRDefault="00E20B47" w:rsidP="00E20B47">
            <w:pPr>
              <w:bidi w:val="0"/>
              <w:jc w:val="center"/>
              <w:rPr>
                <w:rFonts w:ascii="Arial" w:hAnsi="Arial"/>
                <w:b/>
                <w:bCs/>
                <w:noProof w:val="0"/>
                <w:sz w:val="28"/>
                <w:szCs w:val="28"/>
                <w:u w:val="single"/>
                <w:rtl/>
              </w:rPr>
            </w:pPr>
            <w:bookmarkStart w:id="4" w:name="PsakDin" w:colFirst="0" w:colLast="0"/>
            <w:bookmarkEnd w:id="0"/>
            <w:r w:rsidRPr="00E20B47">
              <w:rPr>
                <w:rFonts w:ascii="Arial" w:hAnsi="Arial"/>
                <w:b/>
                <w:bCs/>
                <w:noProof w:val="0"/>
                <w:sz w:val="28"/>
                <w:szCs w:val="28"/>
                <w:u w:val="single"/>
                <w:rtl/>
              </w:rPr>
              <w:t>גזר דין</w:t>
            </w:r>
          </w:p>
          <w:p w14:paraId="5E7857E4" w14:textId="77777777" w:rsidR="00457BED" w:rsidRPr="00E20B47" w:rsidRDefault="00457BED" w:rsidP="00E20B47">
            <w:pPr>
              <w:bidi w:val="0"/>
              <w:jc w:val="center"/>
              <w:rPr>
                <w:rFonts w:ascii="Arial" w:hAnsi="Arial"/>
                <w:b/>
                <w:bCs/>
                <w:noProof w:val="0"/>
                <w:sz w:val="28"/>
                <w:szCs w:val="28"/>
                <w:u w:val="single"/>
                <w:rtl/>
              </w:rPr>
            </w:pPr>
          </w:p>
        </w:tc>
      </w:tr>
      <w:bookmarkEnd w:id="4"/>
    </w:tbl>
    <w:p w14:paraId="6519C2D1" w14:textId="77777777" w:rsidR="00457BED" w:rsidRDefault="00457BED">
      <w:pPr>
        <w:rPr>
          <w:vanish/>
        </w:rPr>
      </w:pPr>
    </w:p>
    <w:tbl>
      <w:tblPr>
        <w:bidiVisual/>
        <w:tblW w:w="8820" w:type="dxa"/>
        <w:jc w:val="center"/>
        <w:tblLook w:val="01E0" w:firstRow="1" w:lastRow="1" w:firstColumn="1" w:lastColumn="1" w:noHBand="0" w:noVBand="0"/>
      </w:tblPr>
      <w:tblGrid>
        <w:gridCol w:w="8820"/>
      </w:tblGrid>
      <w:tr w:rsidR="00457BED" w14:paraId="2C5E7E20" w14:textId="77777777">
        <w:trPr>
          <w:jc w:val="center"/>
        </w:trPr>
        <w:tc>
          <w:tcPr>
            <w:tcW w:w="8820" w:type="dxa"/>
            <w:shd w:val="clear" w:color="auto" w:fill="auto"/>
          </w:tcPr>
          <w:p w14:paraId="2853A7F1" w14:textId="77777777" w:rsidR="00457BED" w:rsidRDefault="00457BED">
            <w:pPr>
              <w:bidi w:val="0"/>
              <w:jc w:val="center"/>
              <w:rPr>
                <w:rFonts w:ascii="Arial" w:hAnsi="Arial"/>
                <w:b/>
                <w:bCs/>
                <w:noProof w:val="0"/>
                <w:sz w:val="38"/>
                <w:szCs w:val="38"/>
                <w:u w:val="single"/>
              </w:rPr>
            </w:pPr>
          </w:p>
        </w:tc>
      </w:tr>
    </w:tbl>
    <w:p w14:paraId="40196698" w14:textId="77777777" w:rsidR="00457BED" w:rsidRDefault="00E20B47">
      <w:pPr>
        <w:spacing w:line="360" w:lineRule="auto"/>
        <w:jc w:val="both"/>
        <w:rPr>
          <w:noProof w:val="0"/>
          <w:sz w:val="26"/>
          <w:szCs w:val="26"/>
          <w:rtl/>
        </w:rPr>
      </w:pPr>
      <w:r>
        <w:rPr>
          <w:noProof w:val="0"/>
          <w:sz w:val="26"/>
          <w:szCs w:val="26"/>
          <w:rtl/>
        </w:rPr>
        <w:t>1.</w:t>
      </w:r>
      <w:r>
        <w:rPr>
          <w:noProof w:val="0"/>
          <w:sz w:val="26"/>
          <w:szCs w:val="26"/>
          <w:rtl/>
        </w:rPr>
        <w:tab/>
      </w:r>
      <w:bookmarkStart w:id="5" w:name="ABSTRACT_START"/>
      <w:bookmarkEnd w:id="5"/>
      <w:r>
        <w:rPr>
          <w:noProof w:val="0"/>
          <w:sz w:val="26"/>
          <w:szCs w:val="26"/>
          <w:rtl/>
        </w:rPr>
        <w:t xml:space="preserve">הנאשם הורשע על פי הודאתו בעובדות כתב אישום מתוקן במסגרת הסדר טיעון, בביצוע שתי עבירות בנשק (ייצור נשק), לפי </w:t>
      </w:r>
      <w:hyperlink r:id="rId30" w:history="1">
        <w:r w:rsidR="00D227C2" w:rsidRPr="00D227C2">
          <w:rPr>
            <w:noProof w:val="0"/>
            <w:color w:val="0000FF"/>
            <w:sz w:val="26"/>
            <w:szCs w:val="26"/>
            <w:u w:val="single"/>
            <w:rtl/>
          </w:rPr>
          <w:t>סעיף 144(ב2)</w:t>
        </w:r>
      </w:hyperlink>
      <w:r>
        <w:rPr>
          <w:noProof w:val="0"/>
          <w:sz w:val="26"/>
          <w:szCs w:val="26"/>
          <w:rtl/>
        </w:rPr>
        <w:t xml:space="preserve"> ל</w:t>
      </w:r>
      <w:hyperlink r:id="rId31" w:history="1">
        <w:r w:rsidRPr="00E20B47">
          <w:rPr>
            <w:noProof w:val="0"/>
            <w:color w:val="0000FF"/>
            <w:sz w:val="26"/>
            <w:szCs w:val="26"/>
            <w:u w:val="single"/>
            <w:rtl/>
          </w:rPr>
          <w:t>חוק העונשין</w:t>
        </w:r>
      </w:hyperlink>
      <w:r>
        <w:rPr>
          <w:noProof w:val="0"/>
          <w:sz w:val="26"/>
          <w:szCs w:val="26"/>
          <w:rtl/>
        </w:rPr>
        <w:t xml:space="preserve">, התשל"ז-1977 (להלן – החוק) (אחת מהן בצירוף </w:t>
      </w:r>
      <w:hyperlink r:id="rId32" w:history="1">
        <w:r w:rsidR="00D227C2" w:rsidRPr="00D227C2">
          <w:rPr>
            <w:noProof w:val="0"/>
            <w:color w:val="0000FF"/>
            <w:sz w:val="26"/>
            <w:szCs w:val="26"/>
            <w:u w:val="single"/>
            <w:rtl/>
          </w:rPr>
          <w:t>סעיף 29</w:t>
        </w:r>
      </w:hyperlink>
      <w:r>
        <w:rPr>
          <w:noProof w:val="0"/>
          <w:sz w:val="26"/>
          <w:szCs w:val="26"/>
          <w:rtl/>
        </w:rPr>
        <w:t xml:space="preserve"> לחוק); שתי עבירות של חבלה בכוונה מחמירה לפי </w:t>
      </w:r>
      <w:hyperlink r:id="rId33" w:history="1">
        <w:r w:rsidR="00D227C2" w:rsidRPr="00D227C2">
          <w:rPr>
            <w:noProof w:val="0"/>
            <w:color w:val="0000FF"/>
            <w:sz w:val="26"/>
            <w:szCs w:val="26"/>
            <w:u w:val="single"/>
            <w:rtl/>
          </w:rPr>
          <w:t>סעיף 329(א)(2)</w:t>
        </w:r>
      </w:hyperlink>
      <w:r>
        <w:rPr>
          <w:noProof w:val="0"/>
          <w:sz w:val="26"/>
          <w:szCs w:val="26"/>
          <w:rtl/>
        </w:rPr>
        <w:t xml:space="preserve"> לחוק (אחת מהן בצירוף </w:t>
      </w:r>
      <w:hyperlink r:id="rId34" w:history="1">
        <w:r w:rsidR="00D227C2" w:rsidRPr="00D227C2">
          <w:rPr>
            <w:noProof w:val="0"/>
            <w:color w:val="0000FF"/>
            <w:sz w:val="26"/>
            <w:szCs w:val="26"/>
            <w:u w:val="single"/>
            <w:rtl/>
          </w:rPr>
          <w:t>סעיף 29</w:t>
        </w:r>
      </w:hyperlink>
      <w:r>
        <w:rPr>
          <w:noProof w:val="0"/>
          <w:sz w:val="26"/>
          <w:szCs w:val="26"/>
          <w:rtl/>
        </w:rPr>
        <w:t xml:space="preserve"> לחוק); עבירה של ניסיון לתקיפת שוטר בנסיבות מחמירות לפי </w:t>
      </w:r>
      <w:hyperlink r:id="rId35" w:history="1">
        <w:r w:rsidR="00D227C2" w:rsidRPr="00D227C2">
          <w:rPr>
            <w:rStyle w:val="Hyperlink"/>
            <w:noProof w:val="0"/>
            <w:sz w:val="26"/>
            <w:szCs w:val="26"/>
            <w:rtl/>
          </w:rPr>
          <w:t>סעיף 274(1),(2) ו-3)</w:t>
        </w:r>
      </w:hyperlink>
      <w:r>
        <w:rPr>
          <w:noProof w:val="0"/>
          <w:sz w:val="26"/>
          <w:szCs w:val="26"/>
          <w:rtl/>
        </w:rPr>
        <w:t xml:space="preserve"> לחוק בצירוף </w:t>
      </w:r>
      <w:hyperlink r:id="rId36" w:history="1">
        <w:r w:rsidR="00D227C2" w:rsidRPr="00D227C2">
          <w:rPr>
            <w:rStyle w:val="Hyperlink"/>
            <w:noProof w:val="0"/>
            <w:sz w:val="26"/>
            <w:szCs w:val="26"/>
            <w:rtl/>
          </w:rPr>
          <w:t>סעיפים 25</w:t>
        </w:r>
      </w:hyperlink>
      <w:r>
        <w:rPr>
          <w:noProof w:val="0"/>
          <w:sz w:val="26"/>
          <w:szCs w:val="26"/>
          <w:rtl/>
        </w:rPr>
        <w:t xml:space="preserve"> ו-</w:t>
      </w:r>
      <w:hyperlink r:id="rId37" w:history="1">
        <w:r w:rsidR="00D227C2" w:rsidRPr="00D227C2">
          <w:rPr>
            <w:noProof w:val="0"/>
            <w:color w:val="0000FF"/>
            <w:sz w:val="26"/>
            <w:szCs w:val="26"/>
            <w:u w:val="single"/>
            <w:rtl/>
          </w:rPr>
          <w:t>29</w:t>
        </w:r>
      </w:hyperlink>
      <w:r>
        <w:rPr>
          <w:noProof w:val="0"/>
          <w:sz w:val="26"/>
          <w:szCs w:val="26"/>
          <w:rtl/>
        </w:rPr>
        <w:t xml:space="preserve"> לחוק; ועבירה של התפרעות לפי </w:t>
      </w:r>
      <w:hyperlink r:id="rId38" w:history="1">
        <w:r w:rsidR="00D227C2" w:rsidRPr="00D227C2">
          <w:rPr>
            <w:noProof w:val="0"/>
            <w:color w:val="0000FF"/>
            <w:sz w:val="26"/>
            <w:szCs w:val="26"/>
            <w:u w:val="single"/>
            <w:rtl/>
          </w:rPr>
          <w:t>סעיף 152</w:t>
        </w:r>
      </w:hyperlink>
      <w:r>
        <w:rPr>
          <w:noProof w:val="0"/>
          <w:sz w:val="26"/>
          <w:szCs w:val="26"/>
          <w:rtl/>
        </w:rPr>
        <w:t xml:space="preserve"> לחוק. </w:t>
      </w:r>
    </w:p>
    <w:p w14:paraId="2981AE4F" w14:textId="77777777" w:rsidR="00457BED" w:rsidRDefault="00457BED">
      <w:pPr>
        <w:spacing w:line="360" w:lineRule="auto"/>
        <w:jc w:val="both"/>
        <w:rPr>
          <w:noProof w:val="0"/>
          <w:sz w:val="26"/>
          <w:szCs w:val="26"/>
          <w:rtl/>
        </w:rPr>
      </w:pPr>
    </w:p>
    <w:p w14:paraId="6F08E569" w14:textId="77777777" w:rsidR="00457BED" w:rsidRDefault="00E20B47">
      <w:pPr>
        <w:spacing w:line="360" w:lineRule="auto"/>
        <w:jc w:val="both"/>
        <w:rPr>
          <w:noProof w:val="0"/>
          <w:sz w:val="26"/>
          <w:szCs w:val="26"/>
          <w:rtl/>
        </w:rPr>
      </w:pPr>
      <w:r>
        <w:rPr>
          <w:noProof w:val="0"/>
          <w:sz w:val="26"/>
          <w:szCs w:val="26"/>
          <w:rtl/>
        </w:rPr>
        <w:t>2.</w:t>
      </w:r>
      <w:r>
        <w:rPr>
          <w:noProof w:val="0"/>
          <w:sz w:val="26"/>
          <w:szCs w:val="26"/>
          <w:rtl/>
        </w:rPr>
        <w:tab/>
        <w:t xml:space="preserve">על פי </w:t>
      </w:r>
      <w:r>
        <w:rPr>
          <w:b/>
          <w:bCs/>
          <w:noProof w:val="0"/>
          <w:sz w:val="26"/>
          <w:szCs w:val="26"/>
          <w:rtl/>
        </w:rPr>
        <w:t>האישום הראשון</w:t>
      </w:r>
      <w:r>
        <w:rPr>
          <w:noProof w:val="0"/>
          <w:sz w:val="26"/>
          <w:szCs w:val="26"/>
          <w:rtl/>
        </w:rPr>
        <w:t xml:space="preserve">, ביום 2.10.15 בשעה 4:30 לפנות בוקר, הגיע הנאשם לכניסה להר הבית על מנת להתפלל במסגד אלאקצא, אך לא התאפשר לו להיכנס לתפילה, מהנימוק שישנה הגבלה על גיל הנכנסים להר הבית באותו יום. בעקבות זאת, גמלה בליבו של הנאשם החלטה ליידות בקבוקי תבערה לעבר כוחות הביטחון בסמוך להר הבית. </w:t>
      </w:r>
    </w:p>
    <w:p w14:paraId="4355EFBF" w14:textId="77777777" w:rsidR="00457BED" w:rsidRDefault="00457BED">
      <w:pPr>
        <w:spacing w:line="360" w:lineRule="auto"/>
        <w:jc w:val="both"/>
        <w:rPr>
          <w:noProof w:val="0"/>
          <w:sz w:val="26"/>
          <w:szCs w:val="26"/>
          <w:rtl/>
        </w:rPr>
      </w:pPr>
      <w:bookmarkStart w:id="6" w:name="ABSTRACT_END"/>
      <w:bookmarkEnd w:id="6"/>
    </w:p>
    <w:p w14:paraId="52DB3CF1" w14:textId="77777777" w:rsidR="00457BED" w:rsidRDefault="00E20B47">
      <w:pPr>
        <w:spacing w:line="360" w:lineRule="auto"/>
        <w:jc w:val="both"/>
        <w:rPr>
          <w:noProof w:val="0"/>
          <w:sz w:val="26"/>
          <w:szCs w:val="26"/>
          <w:rtl/>
        </w:rPr>
      </w:pPr>
      <w:r>
        <w:rPr>
          <w:noProof w:val="0"/>
          <w:sz w:val="26"/>
          <w:szCs w:val="26"/>
          <w:rtl/>
        </w:rPr>
        <w:t xml:space="preserve">לשם מימוש החלטתו, עובר לשעה 6:00 </w:t>
      </w:r>
      <w:r>
        <w:rPr>
          <w:rFonts w:hint="cs"/>
          <w:noProof w:val="0"/>
          <w:sz w:val="26"/>
          <w:szCs w:val="26"/>
          <w:rtl/>
        </w:rPr>
        <w:t xml:space="preserve">בבוקר </w:t>
      </w:r>
      <w:r>
        <w:rPr>
          <w:noProof w:val="0"/>
          <w:sz w:val="26"/>
          <w:szCs w:val="26"/>
          <w:rtl/>
        </w:rPr>
        <w:t>נסע הנאשם מהעיר העתיקה בירושלים לאזור מגוריו בשועפט</w:t>
      </w:r>
      <w:r>
        <w:rPr>
          <w:rFonts w:hint="cs"/>
          <w:noProof w:val="0"/>
          <w:sz w:val="26"/>
          <w:szCs w:val="26"/>
          <w:rtl/>
        </w:rPr>
        <w:t xml:space="preserve">. הנאשם רכש בתחנת דלק </w:t>
      </w:r>
      <w:r>
        <w:rPr>
          <w:noProof w:val="0"/>
          <w:sz w:val="26"/>
          <w:szCs w:val="26"/>
          <w:rtl/>
        </w:rPr>
        <w:t xml:space="preserve">בקבוק בנזין </w:t>
      </w:r>
      <w:r>
        <w:rPr>
          <w:rFonts w:hint="cs"/>
          <w:noProof w:val="0"/>
          <w:sz w:val="26"/>
          <w:szCs w:val="26"/>
          <w:rtl/>
        </w:rPr>
        <w:t xml:space="preserve">וכן רכש במכולת שכונתית </w:t>
      </w:r>
      <w:r>
        <w:rPr>
          <w:noProof w:val="0"/>
          <w:sz w:val="26"/>
          <w:szCs w:val="26"/>
          <w:rtl/>
        </w:rPr>
        <w:t>בקבוק שתיה מזכוכית</w:t>
      </w:r>
      <w:r>
        <w:rPr>
          <w:rFonts w:hint="cs"/>
          <w:noProof w:val="0"/>
          <w:sz w:val="26"/>
          <w:szCs w:val="26"/>
          <w:rtl/>
        </w:rPr>
        <w:t xml:space="preserve">. הנאשם </w:t>
      </w:r>
      <w:r>
        <w:rPr>
          <w:noProof w:val="0"/>
          <w:sz w:val="26"/>
          <w:szCs w:val="26"/>
          <w:rtl/>
        </w:rPr>
        <w:t xml:space="preserve">שתה את המיץ, מילא את הבקבוק בבנזין והכניס לתוכו בד </w:t>
      </w:r>
      <w:r>
        <w:rPr>
          <w:noProof w:val="0"/>
          <w:sz w:val="26"/>
          <w:szCs w:val="26"/>
          <w:rtl/>
        </w:rPr>
        <w:lastRenderedPageBreak/>
        <w:t xml:space="preserve">שמצא בפח זבל. </w:t>
      </w:r>
      <w:r>
        <w:rPr>
          <w:rFonts w:hint="cs"/>
          <w:noProof w:val="0"/>
          <w:sz w:val="26"/>
          <w:szCs w:val="26"/>
          <w:rtl/>
        </w:rPr>
        <w:t xml:space="preserve">לאחר מכן, הכניס </w:t>
      </w:r>
      <w:r>
        <w:rPr>
          <w:noProof w:val="0"/>
          <w:sz w:val="26"/>
          <w:szCs w:val="26"/>
          <w:rtl/>
        </w:rPr>
        <w:t xml:space="preserve">הנאשם לשקית את בקבוק התבערה שייצר ונסע לאזור העיר העתיקה באוטובוס. </w:t>
      </w:r>
    </w:p>
    <w:p w14:paraId="3FBDB920" w14:textId="77777777" w:rsidR="00457BED" w:rsidRDefault="00457BED">
      <w:pPr>
        <w:spacing w:line="360" w:lineRule="auto"/>
        <w:jc w:val="both"/>
        <w:rPr>
          <w:noProof w:val="0"/>
          <w:sz w:val="26"/>
          <w:szCs w:val="26"/>
          <w:rtl/>
        </w:rPr>
      </w:pPr>
    </w:p>
    <w:p w14:paraId="6C73D6B7" w14:textId="77777777" w:rsidR="00457BED" w:rsidRDefault="00E20B47">
      <w:pPr>
        <w:spacing w:line="360" w:lineRule="auto"/>
        <w:jc w:val="both"/>
        <w:rPr>
          <w:noProof w:val="0"/>
          <w:sz w:val="26"/>
          <w:szCs w:val="26"/>
          <w:rtl/>
        </w:rPr>
      </w:pPr>
      <w:r>
        <w:rPr>
          <w:noProof w:val="0"/>
          <w:sz w:val="26"/>
          <w:szCs w:val="26"/>
          <w:rtl/>
        </w:rPr>
        <w:t xml:space="preserve">בסביבות השעה 6:00, התיישב הנאשם על מדרגות הסמוכות לשער כניסה לאזור הר הבית בצומת רחובות השלשלת ומשגב לדך, והמתין לרגע המתאים. </w:t>
      </w:r>
    </w:p>
    <w:p w14:paraId="33011F5F" w14:textId="77777777" w:rsidR="00457BED" w:rsidRDefault="00457BED">
      <w:pPr>
        <w:spacing w:line="360" w:lineRule="auto"/>
        <w:jc w:val="both"/>
        <w:rPr>
          <w:noProof w:val="0"/>
          <w:sz w:val="26"/>
          <w:szCs w:val="26"/>
          <w:rtl/>
        </w:rPr>
      </w:pPr>
    </w:p>
    <w:p w14:paraId="4D1D40C6" w14:textId="77777777" w:rsidR="00457BED" w:rsidRDefault="00E20B47">
      <w:pPr>
        <w:spacing w:line="360" w:lineRule="auto"/>
        <w:jc w:val="both"/>
        <w:rPr>
          <w:noProof w:val="0"/>
          <w:sz w:val="26"/>
          <w:szCs w:val="26"/>
          <w:rtl/>
        </w:rPr>
      </w:pPr>
      <w:r>
        <w:rPr>
          <w:noProof w:val="0"/>
          <w:sz w:val="26"/>
          <w:szCs w:val="26"/>
          <w:rtl/>
        </w:rPr>
        <w:t xml:space="preserve">בסמוך לשעה 9:00, הבחין הנאשם בחמישה שוטרים ובמספר אנשים שלחלקם חזות יהודית דתית, שעמדו במקום. הנאשם נכנס לסמטה הסמוכה, הצית שני בקבוקי תבערה ויידה אותם ממרחק של כ-10 מטרים לעבר היהודים והשוטרים. בקבוקי התבערה פגעו בקיר מסעדה במרחק של כמטר וחצי מהקבוצה והציתו את קירות המסעדה ואת </w:t>
      </w:r>
      <w:r>
        <w:rPr>
          <w:rFonts w:hint="cs"/>
          <w:noProof w:val="0"/>
          <w:sz w:val="26"/>
          <w:szCs w:val="26"/>
          <w:rtl/>
        </w:rPr>
        <w:t>א</w:t>
      </w:r>
      <w:r>
        <w:rPr>
          <w:noProof w:val="0"/>
          <w:sz w:val="26"/>
          <w:szCs w:val="26"/>
          <w:rtl/>
        </w:rPr>
        <w:t xml:space="preserve">בני הדרך. </w:t>
      </w:r>
    </w:p>
    <w:p w14:paraId="764ACDC8" w14:textId="77777777" w:rsidR="00457BED" w:rsidRDefault="00457BED">
      <w:pPr>
        <w:spacing w:line="360" w:lineRule="auto"/>
        <w:jc w:val="both"/>
        <w:rPr>
          <w:noProof w:val="0"/>
          <w:sz w:val="26"/>
          <w:szCs w:val="26"/>
          <w:rtl/>
        </w:rPr>
      </w:pPr>
    </w:p>
    <w:p w14:paraId="2EC57A67" w14:textId="77777777" w:rsidR="00457BED" w:rsidRDefault="00E20B47">
      <w:pPr>
        <w:spacing w:line="360" w:lineRule="auto"/>
        <w:jc w:val="both"/>
        <w:rPr>
          <w:noProof w:val="0"/>
          <w:sz w:val="26"/>
          <w:szCs w:val="26"/>
          <w:rtl/>
        </w:rPr>
      </w:pPr>
      <w:r>
        <w:rPr>
          <w:noProof w:val="0"/>
          <w:sz w:val="26"/>
          <w:szCs w:val="26"/>
          <w:rtl/>
        </w:rPr>
        <w:t xml:space="preserve">הנאשם הודה, כי במעשיו אלה, הוא ייצר נשק וניסה שלא כדין לפגוע באדם בנשק מסוכן או פוגעני בכוונה לגרום לו חבלה חמורה. </w:t>
      </w:r>
    </w:p>
    <w:p w14:paraId="68F587EC" w14:textId="77777777" w:rsidR="00457BED" w:rsidRDefault="00457BED">
      <w:pPr>
        <w:spacing w:line="360" w:lineRule="auto"/>
        <w:jc w:val="both"/>
        <w:rPr>
          <w:noProof w:val="0"/>
          <w:sz w:val="26"/>
          <w:szCs w:val="26"/>
          <w:rtl/>
        </w:rPr>
      </w:pPr>
    </w:p>
    <w:p w14:paraId="2E6C6604" w14:textId="77777777" w:rsidR="00457BED" w:rsidRDefault="00E20B47">
      <w:pPr>
        <w:spacing w:line="360" w:lineRule="auto"/>
        <w:jc w:val="both"/>
        <w:rPr>
          <w:noProof w:val="0"/>
          <w:sz w:val="26"/>
          <w:szCs w:val="26"/>
          <w:rtl/>
        </w:rPr>
      </w:pPr>
      <w:r>
        <w:rPr>
          <w:noProof w:val="0"/>
          <w:sz w:val="26"/>
          <w:szCs w:val="26"/>
          <w:rtl/>
        </w:rPr>
        <w:t>3.</w:t>
      </w:r>
      <w:r>
        <w:rPr>
          <w:noProof w:val="0"/>
          <w:sz w:val="26"/>
          <w:szCs w:val="26"/>
          <w:rtl/>
        </w:rPr>
        <w:tab/>
        <w:t xml:space="preserve">על פי </w:t>
      </w:r>
      <w:r>
        <w:rPr>
          <w:b/>
          <w:bCs/>
          <w:noProof w:val="0"/>
          <w:sz w:val="26"/>
          <w:szCs w:val="26"/>
          <w:rtl/>
        </w:rPr>
        <w:t>האישום השני</w:t>
      </w:r>
      <w:r>
        <w:rPr>
          <w:noProof w:val="0"/>
          <w:sz w:val="26"/>
          <w:szCs w:val="26"/>
          <w:rtl/>
        </w:rPr>
        <w:t>, ביום 25.9.15</w:t>
      </w:r>
      <w:r>
        <w:rPr>
          <w:rFonts w:hint="cs"/>
          <w:noProof w:val="0"/>
          <w:sz w:val="26"/>
          <w:szCs w:val="26"/>
          <w:rtl/>
        </w:rPr>
        <w:t>, לאחר ש</w:t>
      </w:r>
      <w:r>
        <w:rPr>
          <w:noProof w:val="0"/>
          <w:sz w:val="26"/>
          <w:szCs w:val="26"/>
          <w:rtl/>
        </w:rPr>
        <w:t>ראה הנאשם ב</w:t>
      </w:r>
      <w:r>
        <w:rPr>
          <w:rFonts w:hint="cs"/>
          <w:noProof w:val="0"/>
          <w:sz w:val="26"/>
          <w:szCs w:val="26"/>
          <w:rtl/>
        </w:rPr>
        <w:t>"</w:t>
      </w:r>
      <w:r>
        <w:rPr>
          <w:noProof w:val="0"/>
          <w:sz w:val="26"/>
          <w:szCs w:val="26"/>
          <w:rtl/>
        </w:rPr>
        <w:t>פייסבוק</w:t>
      </w:r>
      <w:r>
        <w:rPr>
          <w:rFonts w:hint="cs"/>
          <w:noProof w:val="0"/>
          <w:sz w:val="26"/>
          <w:szCs w:val="26"/>
          <w:rtl/>
        </w:rPr>
        <w:t>"</w:t>
      </w:r>
      <w:r>
        <w:rPr>
          <w:noProof w:val="0"/>
          <w:sz w:val="26"/>
          <w:szCs w:val="26"/>
          <w:rtl/>
        </w:rPr>
        <w:t xml:space="preserve">, שבכוונת מתנחלים לפרוץ למסגד אלאקצא ביום 27.9.15 (ערב חג סוכות), גמלה בליבו ההחלטה להתבצר במסגד ולהשתתף בהתפרעויות על מנת למנוע כניסת יהודים להר הבית. </w:t>
      </w:r>
    </w:p>
    <w:p w14:paraId="0F9275E8" w14:textId="77777777" w:rsidR="00457BED" w:rsidRDefault="00457BED">
      <w:pPr>
        <w:spacing w:line="360" w:lineRule="auto"/>
        <w:jc w:val="both"/>
        <w:rPr>
          <w:noProof w:val="0"/>
          <w:sz w:val="26"/>
          <w:szCs w:val="26"/>
          <w:rtl/>
        </w:rPr>
      </w:pPr>
    </w:p>
    <w:p w14:paraId="00C1FF94" w14:textId="77777777" w:rsidR="00457BED" w:rsidRDefault="00E20B47">
      <w:pPr>
        <w:spacing w:line="360" w:lineRule="auto"/>
        <w:jc w:val="both"/>
        <w:rPr>
          <w:noProof w:val="0"/>
          <w:sz w:val="26"/>
          <w:szCs w:val="26"/>
          <w:rtl/>
        </w:rPr>
      </w:pPr>
      <w:r>
        <w:rPr>
          <w:noProof w:val="0"/>
          <w:sz w:val="26"/>
          <w:szCs w:val="26"/>
          <w:rtl/>
        </w:rPr>
        <w:t xml:space="preserve">בשעות הלילה, הלך הנאשם עם שניים אחרים, ברגל, משועפט עד הר הבית, וביום 26.9.15 בשעה 4:00 נכנס עם השניים לתפילת בוקר במסגד. </w:t>
      </w:r>
    </w:p>
    <w:p w14:paraId="2D769062" w14:textId="77777777" w:rsidR="00457BED" w:rsidRDefault="00457BED">
      <w:pPr>
        <w:spacing w:line="360" w:lineRule="auto"/>
        <w:jc w:val="both"/>
        <w:rPr>
          <w:noProof w:val="0"/>
          <w:sz w:val="26"/>
          <w:szCs w:val="26"/>
          <w:rtl/>
        </w:rPr>
      </w:pPr>
    </w:p>
    <w:p w14:paraId="388DBB3F" w14:textId="77777777" w:rsidR="00457BED" w:rsidRDefault="00E20B47">
      <w:pPr>
        <w:spacing w:line="360" w:lineRule="auto"/>
        <w:jc w:val="both"/>
        <w:rPr>
          <w:noProof w:val="0"/>
          <w:sz w:val="26"/>
          <w:szCs w:val="26"/>
          <w:rtl/>
        </w:rPr>
      </w:pPr>
      <w:r>
        <w:rPr>
          <w:noProof w:val="0"/>
          <w:sz w:val="26"/>
          <w:szCs w:val="26"/>
          <w:rtl/>
        </w:rPr>
        <w:t>בשעות הלילה של יום 26.9.15 התאספו הנאשם, השניים האחרים ו-15 נוספים, כשכולם רעולי פנים, והחלו בהכנות להתפרעויות המתוכננות למחרת היום. הנאשם והאחרים אספו מרחבת הר הבית אבנים, חפצים וברזלים, וריכזו אותם במסגד</w:t>
      </w:r>
      <w:r>
        <w:rPr>
          <w:rFonts w:hint="cs"/>
          <w:noProof w:val="0"/>
          <w:sz w:val="26"/>
          <w:szCs w:val="26"/>
          <w:rtl/>
        </w:rPr>
        <w:t>.</w:t>
      </w:r>
      <w:r>
        <w:rPr>
          <w:noProof w:val="0"/>
          <w:sz w:val="26"/>
          <w:szCs w:val="26"/>
          <w:rtl/>
        </w:rPr>
        <w:t xml:space="preserve"> כן חסמו את כניסות שערי המסגד. בנוסף, חלק מהצעירים ה</w:t>
      </w:r>
      <w:r>
        <w:rPr>
          <w:rFonts w:hint="cs"/>
          <w:noProof w:val="0"/>
          <w:sz w:val="26"/>
          <w:szCs w:val="26"/>
          <w:rtl/>
        </w:rPr>
        <w:t xml:space="preserve">כניסו למתחם </w:t>
      </w:r>
      <w:r>
        <w:rPr>
          <w:noProof w:val="0"/>
          <w:sz w:val="26"/>
          <w:szCs w:val="26"/>
          <w:rtl/>
        </w:rPr>
        <w:t xml:space="preserve">בנזין וזיקוקים באמצעות גלגלת </w:t>
      </w:r>
      <w:r>
        <w:rPr>
          <w:rFonts w:hint="cs"/>
          <w:noProof w:val="0"/>
          <w:sz w:val="26"/>
          <w:szCs w:val="26"/>
          <w:rtl/>
        </w:rPr>
        <w:t>ש</w:t>
      </w:r>
      <w:r>
        <w:rPr>
          <w:noProof w:val="0"/>
          <w:sz w:val="26"/>
          <w:szCs w:val="26"/>
          <w:rtl/>
        </w:rPr>
        <w:t xml:space="preserve">בקצה החומה הנמצאת בשיפוצים, והנאשם והאחרים אספו בקבוקי זכוכית וייצרו בצוותא </w:t>
      </w:r>
      <w:r>
        <w:rPr>
          <w:rFonts w:hint="cs"/>
          <w:noProof w:val="0"/>
          <w:sz w:val="26"/>
          <w:szCs w:val="26"/>
          <w:rtl/>
        </w:rPr>
        <w:t>ב</w:t>
      </w:r>
      <w:r>
        <w:rPr>
          <w:noProof w:val="0"/>
          <w:sz w:val="26"/>
          <w:szCs w:val="26"/>
          <w:rtl/>
        </w:rPr>
        <w:t>קבוקי תבערה בדרך של מילוי הבקבוקים בבנזין. לאחר מכן, החביאו את בקבוקי התבערה, האבנים והזיקוקים, סמוך לחלון בחלק</w:t>
      </w:r>
      <w:r>
        <w:rPr>
          <w:rFonts w:hint="cs"/>
          <w:noProof w:val="0"/>
          <w:sz w:val="26"/>
          <w:szCs w:val="26"/>
          <w:rtl/>
        </w:rPr>
        <w:t>ו</w:t>
      </w:r>
      <w:r>
        <w:rPr>
          <w:noProof w:val="0"/>
          <w:sz w:val="26"/>
          <w:szCs w:val="26"/>
          <w:rtl/>
        </w:rPr>
        <w:t xml:space="preserve"> הימני של המסגד.</w:t>
      </w:r>
    </w:p>
    <w:p w14:paraId="30553558" w14:textId="77777777" w:rsidR="00457BED" w:rsidRDefault="00457BED">
      <w:pPr>
        <w:spacing w:line="360" w:lineRule="auto"/>
        <w:jc w:val="both"/>
        <w:rPr>
          <w:noProof w:val="0"/>
          <w:sz w:val="26"/>
          <w:szCs w:val="26"/>
          <w:rtl/>
        </w:rPr>
      </w:pPr>
    </w:p>
    <w:p w14:paraId="4FEC3DD8" w14:textId="77777777" w:rsidR="00457BED" w:rsidRDefault="00E20B47">
      <w:pPr>
        <w:spacing w:line="360" w:lineRule="auto"/>
        <w:jc w:val="both"/>
        <w:rPr>
          <w:noProof w:val="0"/>
          <w:sz w:val="26"/>
          <w:szCs w:val="26"/>
          <w:rtl/>
        </w:rPr>
      </w:pPr>
      <w:r>
        <w:rPr>
          <w:noProof w:val="0"/>
          <w:sz w:val="26"/>
          <w:szCs w:val="26"/>
          <w:rtl/>
        </w:rPr>
        <w:t>ביום 27.9.15</w:t>
      </w:r>
      <w:r>
        <w:rPr>
          <w:rFonts w:hint="cs"/>
          <w:noProof w:val="0"/>
          <w:sz w:val="26"/>
          <w:szCs w:val="26"/>
          <w:rtl/>
        </w:rPr>
        <w:t xml:space="preserve">, </w:t>
      </w:r>
      <w:r>
        <w:rPr>
          <w:noProof w:val="0"/>
          <w:sz w:val="26"/>
          <w:szCs w:val="26"/>
          <w:rtl/>
        </w:rPr>
        <w:t xml:space="preserve">לאחר תפילת הבוקר סמוך לשעה 7:00, החלה התקהלות אסורה לשם הפרת הסדר, בה השתתף הנאשם יחד עם כ-30 אנשים נוספים. כאשר נכנסו כוחות הביטחון לרחבת המסגד, יידו הנאשם והמתפרעים מתוך המסגד, בעודם רעולי פנים, אבנים, בקבוקי תבערה בוערים וזיקוקים, לעבר כוחות הביטחון שעמדו בסמוך לכניסות המסגד, שהיו חסומות בחפצים ובברזלים. הנאשם, יידה במהלך ההתפרעות אבנים והצית בקבוק תבערה אחד, אותו יידה לעבר שוטרים שעמדו בסמוך לדלת במסגד. בקבוק התבערה התלקח ופגע בחפצים אשר חסמו את הכניסה לשער, והבעיר אותם. </w:t>
      </w:r>
    </w:p>
    <w:p w14:paraId="350D6F3F" w14:textId="77777777" w:rsidR="00457BED" w:rsidRDefault="00457BED">
      <w:pPr>
        <w:spacing w:line="360" w:lineRule="auto"/>
        <w:jc w:val="both"/>
        <w:rPr>
          <w:noProof w:val="0"/>
          <w:sz w:val="26"/>
          <w:szCs w:val="26"/>
          <w:rtl/>
        </w:rPr>
      </w:pPr>
    </w:p>
    <w:p w14:paraId="5F718D51" w14:textId="77777777" w:rsidR="00457BED" w:rsidRDefault="00E20B47">
      <w:pPr>
        <w:spacing w:line="360" w:lineRule="auto"/>
        <w:jc w:val="both"/>
        <w:rPr>
          <w:noProof w:val="0"/>
          <w:sz w:val="26"/>
          <w:szCs w:val="26"/>
          <w:rtl/>
        </w:rPr>
      </w:pPr>
      <w:r>
        <w:rPr>
          <w:noProof w:val="0"/>
          <w:sz w:val="26"/>
          <w:szCs w:val="26"/>
          <w:rtl/>
        </w:rPr>
        <w:t>בשעות הלילה של יום 27.9.15, התאסף הנאשם יחד עם כ-15 צעירים, אשר החלו להתארגן להתפרעויות המתוכננות למחרת. הנאשם והאחרים, בעודם רעולי פנים, ה</w:t>
      </w:r>
      <w:r>
        <w:rPr>
          <w:rFonts w:hint="cs"/>
          <w:noProof w:val="0"/>
          <w:sz w:val="26"/>
          <w:szCs w:val="26"/>
          <w:rtl/>
        </w:rPr>
        <w:t>כניסו למתחם</w:t>
      </w:r>
      <w:r>
        <w:rPr>
          <w:noProof w:val="0"/>
          <w:sz w:val="26"/>
          <w:szCs w:val="26"/>
          <w:rtl/>
        </w:rPr>
        <w:t xml:space="preserve"> בנזין באמצעות הגלגלת, וייצרו כעשרה בקבוקי תבערה נוספים שנשארו בידם לאחר ההתפרעויות באותו היום, בדרך של מילוי בקבוקי זכוכית בבנזין והכנסת חתיכות בד. </w:t>
      </w:r>
    </w:p>
    <w:p w14:paraId="22473691" w14:textId="77777777" w:rsidR="00457BED" w:rsidRDefault="00457BED">
      <w:pPr>
        <w:spacing w:line="360" w:lineRule="auto"/>
        <w:jc w:val="both"/>
        <w:rPr>
          <w:noProof w:val="0"/>
          <w:sz w:val="26"/>
          <w:szCs w:val="26"/>
          <w:rtl/>
        </w:rPr>
      </w:pPr>
    </w:p>
    <w:p w14:paraId="21051FDC" w14:textId="77777777" w:rsidR="00457BED" w:rsidRDefault="00E20B47">
      <w:pPr>
        <w:spacing w:line="360" w:lineRule="auto"/>
        <w:jc w:val="both"/>
        <w:rPr>
          <w:noProof w:val="0"/>
          <w:sz w:val="26"/>
          <w:szCs w:val="26"/>
          <w:rtl/>
        </w:rPr>
      </w:pPr>
      <w:r>
        <w:rPr>
          <w:noProof w:val="0"/>
          <w:sz w:val="26"/>
          <w:szCs w:val="26"/>
          <w:rtl/>
        </w:rPr>
        <w:t>ביום 28.9.15 בשעה 7:30, לאחר תפילת הבוקר במסגד, החלה התקהלות אסורה לשם הפרת הסדר, בה השתתף הנאשם יחד עם</w:t>
      </w:r>
      <w:r>
        <w:rPr>
          <w:rFonts w:hint="cs"/>
          <w:noProof w:val="0"/>
          <w:sz w:val="26"/>
          <w:szCs w:val="26"/>
          <w:rtl/>
        </w:rPr>
        <w:t xml:space="preserve"> כ-</w:t>
      </w:r>
      <w:r>
        <w:rPr>
          <w:noProof w:val="0"/>
          <w:sz w:val="26"/>
          <w:szCs w:val="26"/>
          <w:rtl/>
        </w:rPr>
        <w:t xml:space="preserve">20 צעירים רעולי פנים. הנאשם והמתפרעים האחרים חסמו את כניסות המסגד באמצעות חפצים וברזלים, וכאשר נכנסו כוחות הביטחון למתחם המסגד, יידו עליהם המתפרעים אבנים ובקבוקי תבערה שהוצתו, וכן ירו זיקוקים. הנאשם, יידה במהלך ההתפרעות אבנים והשתתף בהצתת שני בקבוקי תבערה, אותם יידה יחד עם אחרים לעבר כוחות הביטחון שעמדו סמוך לדלת הכניסה למסגד. בקבוק תבערה אחד נפל על השטיח בכניסה למסגד והצית אותו, ובקבוק שני נפל סמוך לחפצים החוסמים את הכניסה והצית אותם. </w:t>
      </w:r>
    </w:p>
    <w:p w14:paraId="5CA403D3" w14:textId="77777777" w:rsidR="00457BED" w:rsidRDefault="00457BED">
      <w:pPr>
        <w:spacing w:line="360" w:lineRule="auto"/>
        <w:jc w:val="both"/>
        <w:rPr>
          <w:noProof w:val="0"/>
          <w:sz w:val="26"/>
          <w:szCs w:val="26"/>
          <w:rtl/>
        </w:rPr>
      </w:pPr>
    </w:p>
    <w:p w14:paraId="1B33ABBE" w14:textId="77777777" w:rsidR="00457BED" w:rsidRDefault="00E20B47">
      <w:pPr>
        <w:spacing w:line="360" w:lineRule="auto"/>
        <w:jc w:val="both"/>
        <w:rPr>
          <w:noProof w:val="0"/>
          <w:sz w:val="26"/>
          <w:szCs w:val="26"/>
          <w:rtl/>
        </w:rPr>
      </w:pPr>
      <w:r>
        <w:rPr>
          <w:noProof w:val="0"/>
          <w:sz w:val="26"/>
          <w:szCs w:val="26"/>
          <w:rtl/>
        </w:rPr>
        <w:t xml:space="preserve">הנאשם הודה, כי במעשיו אלה, הוא ייצר בצוותא נשק; ניסה שלא כדין לפגוע באדם בנשק מסוכן או פוגעני בכוונה לגרום לו חבלה חמורה; ניסה לתקוף בצוותא שוטרים בעת מילוי תפקידים כחוק בכוונה להכשילם בתפקידם או למנוע או להפריע להם למלאו, תוך שהוא מזוין בנשק קר ובצוותא של יותר משני אנשים; </w:t>
      </w:r>
      <w:r>
        <w:rPr>
          <w:rFonts w:hint="cs"/>
          <w:noProof w:val="0"/>
          <w:sz w:val="26"/>
          <w:szCs w:val="26"/>
          <w:rtl/>
        </w:rPr>
        <w:t>ו</w:t>
      </w:r>
      <w:r>
        <w:rPr>
          <w:noProof w:val="0"/>
          <w:sz w:val="26"/>
          <w:szCs w:val="26"/>
          <w:rtl/>
        </w:rPr>
        <w:t xml:space="preserve">השתתף בהתקהלות אסורה שהחלו לבצע בה את מטרתה בהפרת השלום, שיש בה להטיל אימה על הציבור. </w:t>
      </w:r>
    </w:p>
    <w:p w14:paraId="285055B1" w14:textId="77777777" w:rsidR="00457BED" w:rsidRDefault="00457BED">
      <w:pPr>
        <w:spacing w:line="360" w:lineRule="auto"/>
        <w:jc w:val="both"/>
        <w:rPr>
          <w:noProof w:val="0"/>
          <w:sz w:val="26"/>
          <w:szCs w:val="26"/>
          <w:rtl/>
        </w:rPr>
      </w:pPr>
    </w:p>
    <w:p w14:paraId="2CF42D96" w14:textId="77777777" w:rsidR="00457BED" w:rsidRDefault="00E20B47">
      <w:pPr>
        <w:spacing w:line="360" w:lineRule="auto"/>
        <w:jc w:val="both"/>
        <w:rPr>
          <w:noProof w:val="0"/>
          <w:sz w:val="26"/>
          <w:szCs w:val="26"/>
          <w:rtl/>
        </w:rPr>
      </w:pPr>
      <w:r>
        <w:rPr>
          <w:noProof w:val="0"/>
          <w:sz w:val="26"/>
          <w:szCs w:val="26"/>
          <w:rtl/>
        </w:rPr>
        <w:t>4.</w:t>
      </w:r>
      <w:r>
        <w:rPr>
          <w:noProof w:val="0"/>
          <w:sz w:val="26"/>
          <w:szCs w:val="26"/>
          <w:rtl/>
        </w:rPr>
        <w:tab/>
        <w:t>הסדר הטיעון לא התייחס לעניין העונש והצדדים טענו לעונש באופן חופשי.</w:t>
      </w:r>
    </w:p>
    <w:p w14:paraId="2E859581" w14:textId="77777777" w:rsidR="00457BED" w:rsidRDefault="00457BED">
      <w:pPr>
        <w:spacing w:line="360" w:lineRule="auto"/>
        <w:jc w:val="both"/>
        <w:rPr>
          <w:noProof w:val="0"/>
          <w:sz w:val="26"/>
          <w:szCs w:val="26"/>
          <w:rtl/>
        </w:rPr>
      </w:pPr>
    </w:p>
    <w:p w14:paraId="55C550AD" w14:textId="77777777" w:rsidR="00457BED" w:rsidRDefault="00E20B47">
      <w:pPr>
        <w:spacing w:line="360" w:lineRule="auto"/>
        <w:jc w:val="both"/>
        <w:rPr>
          <w:noProof w:val="0"/>
          <w:sz w:val="26"/>
          <w:szCs w:val="26"/>
          <w:rtl/>
        </w:rPr>
      </w:pPr>
      <w:r>
        <w:rPr>
          <w:noProof w:val="0"/>
          <w:sz w:val="26"/>
          <w:szCs w:val="26"/>
          <w:rtl/>
        </w:rPr>
        <w:t>5.</w:t>
      </w:r>
      <w:r>
        <w:rPr>
          <w:noProof w:val="0"/>
          <w:sz w:val="26"/>
          <w:szCs w:val="26"/>
          <w:rtl/>
        </w:rPr>
        <w:tab/>
        <w:t xml:space="preserve">ביום 12.7.16, מבלי להביע עמדה, הוריתי על הגשת תסקיר מטעם שירות המבחן. </w:t>
      </w:r>
    </w:p>
    <w:p w14:paraId="0DB4DC62" w14:textId="77777777" w:rsidR="00457BED" w:rsidRDefault="00457BED">
      <w:pPr>
        <w:spacing w:line="360" w:lineRule="auto"/>
        <w:jc w:val="both"/>
        <w:rPr>
          <w:noProof w:val="0"/>
          <w:sz w:val="26"/>
          <w:szCs w:val="26"/>
          <w:rtl/>
        </w:rPr>
      </w:pPr>
    </w:p>
    <w:p w14:paraId="6E7765C7" w14:textId="77777777" w:rsidR="00457BED" w:rsidRDefault="00E20B47">
      <w:pPr>
        <w:spacing w:line="360" w:lineRule="auto"/>
        <w:jc w:val="both"/>
        <w:rPr>
          <w:noProof w:val="0"/>
          <w:sz w:val="26"/>
          <w:szCs w:val="26"/>
          <w:rtl/>
        </w:rPr>
      </w:pPr>
      <w:r>
        <w:rPr>
          <w:rFonts w:hint="cs"/>
          <w:noProof w:val="0"/>
          <w:sz w:val="26"/>
          <w:szCs w:val="26"/>
          <w:rtl/>
        </w:rPr>
        <w:t xml:space="preserve">שירות המבחן ציין, כי </w:t>
      </w:r>
      <w:r>
        <w:rPr>
          <w:noProof w:val="0"/>
          <w:sz w:val="26"/>
          <w:szCs w:val="26"/>
          <w:rtl/>
        </w:rPr>
        <w:t xml:space="preserve">הנאשם בן 24, רווק, הבכור מבין עשרה ילדים. לדבריו, הוא נמצא בקשר טוב עם אמו אך הקשר שלו עם אביו רופף ורווי קונפליקטים, על רקע התמכרותו של האב לאלכוהול. כתוצאה, נהג האב לגרש אותו מהבית לתקופות ארוכות, </w:t>
      </w:r>
      <w:r>
        <w:rPr>
          <w:rFonts w:hint="cs"/>
          <w:noProof w:val="0"/>
          <w:sz w:val="26"/>
          <w:szCs w:val="26"/>
          <w:rtl/>
        </w:rPr>
        <w:t>במהלכן</w:t>
      </w:r>
      <w:r>
        <w:rPr>
          <w:noProof w:val="0"/>
          <w:sz w:val="26"/>
          <w:szCs w:val="26"/>
          <w:rtl/>
        </w:rPr>
        <w:t xml:space="preserve"> מצא הנאשם במסגד אלאקצא מקלט פיזי ורגשי. הנאשם סיים 10 שנות לימוד ולדבריו, הוא נטש את ספסל הלימודים כדי לעזור בפרנסת המשפחה. עם סיום לימודיו, עבד בעבודות מזדמנות, כאשר טרם מעצרו, עבד בבניין. </w:t>
      </w:r>
    </w:p>
    <w:p w14:paraId="75887CC0" w14:textId="77777777" w:rsidR="00457BED" w:rsidRDefault="00457BED">
      <w:pPr>
        <w:spacing w:line="360" w:lineRule="auto"/>
        <w:jc w:val="both"/>
        <w:rPr>
          <w:noProof w:val="0"/>
          <w:sz w:val="26"/>
          <w:szCs w:val="26"/>
          <w:rtl/>
        </w:rPr>
      </w:pPr>
    </w:p>
    <w:p w14:paraId="1026BC87" w14:textId="77777777" w:rsidR="00457BED" w:rsidRDefault="00E20B47">
      <w:pPr>
        <w:spacing w:line="360" w:lineRule="auto"/>
        <w:jc w:val="both"/>
        <w:rPr>
          <w:noProof w:val="0"/>
          <w:sz w:val="26"/>
          <w:szCs w:val="26"/>
          <w:rtl/>
        </w:rPr>
      </w:pPr>
      <w:r>
        <w:rPr>
          <w:noProof w:val="0"/>
          <w:sz w:val="26"/>
          <w:szCs w:val="26"/>
          <w:rtl/>
        </w:rPr>
        <w:t xml:space="preserve">הנאשם הודה בביצוע העבירות אך שלל שייכות לארגון כלשהו או חבירה לגורמים קיצוניים, וטען, כי המניע למעשיו אינו ביטחוני אלא נסיבות חייו הן אלה שהובילו אותו לביצוע המעשים. ביום האירוע הראשון, הוא ביקש לישון במסגד אך שוטר שהיה במקום סרב לכך וקילל את אמו. תגובת השוטר הלחיצה את הנאשם ועוררה את כעסו, ולדבריו, הוא התקשה להפעיל שיקול דעת וביצע את המעשה, ללא כוונה מוקדמת לפגוע באדם. בהתייחסו לאירוע השני, מסר הנאשם, כי בתקופת שהותו במסגד הוא הכיר חבורת צעירים שפעלו להגן על המסגד, והקשר עמם סיפק לו מענה רגשי ותחושת שייכות. ביום האירוע, הוא הצטרף אל הקבוצה מתוך תחושת מחויבות כלפיהם ונגררות. </w:t>
      </w:r>
    </w:p>
    <w:p w14:paraId="391B3460" w14:textId="77777777" w:rsidR="00457BED" w:rsidRDefault="00457BED">
      <w:pPr>
        <w:spacing w:line="360" w:lineRule="auto"/>
        <w:jc w:val="both"/>
        <w:rPr>
          <w:noProof w:val="0"/>
          <w:sz w:val="26"/>
          <w:szCs w:val="26"/>
          <w:rtl/>
        </w:rPr>
      </w:pPr>
    </w:p>
    <w:p w14:paraId="63B51C97" w14:textId="77777777" w:rsidR="00457BED" w:rsidRDefault="00E20B47">
      <w:pPr>
        <w:spacing w:line="360" w:lineRule="auto"/>
        <w:jc w:val="both"/>
        <w:rPr>
          <w:noProof w:val="0"/>
          <w:sz w:val="26"/>
          <w:szCs w:val="26"/>
          <w:rtl/>
        </w:rPr>
      </w:pPr>
      <w:r>
        <w:rPr>
          <w:noProof w:val="0"/>
          <w:sz w:val="26"/>
          <w:szCs w:val="26"/>
          <w:rtl/>
        </w:rPr>
        <w:t xml:space="preserve">הנאשם הביע צער וחרטה על ביצוע העבירות וטען בפני שירות המבחן, כי לא הייתה לו כוונה לפגוע בביטחון המדינה. מעבר לכך, טען, כי תקופת מעצרו (מזה כשנה) היוותה עבורו הזדמנות לעשיית חשבון נפש. </w:t>
      </w:r>
    </w:p>
    <w:p w14:paraId="3616C544" w14:textId="77777777" w:rsidR="00457BED" w:rsidRDefault="00457BED">
      <w:pPr>
        <w:spacing w:line="360" w:lineRule="auto"/>
        <w:jc w:val="both"/>
        <w:rPr>
          <w:noProof w:val="0"/>
          <w:sz w:val="26"/>
          <w:szCs w:val="26"/>
          <w:rtl/>
        </w:rPr>
      </w:pPr>
    </w:p>
    <w:p w14:paraId="229A9793" w14:textId="77777777" w:rsidR="00457BED" w:rsidRDefault="00E20B47">
      <w:pPr>
        <w:spacing w:line="360" w:lineRule="auto"/>
        <w:jc w:val="both"/>
        <w:rPr>
          <w:noProof w:val="0"/>
          <w:sz w:val="26"/>
          <w:szCs w:val="26"/>
          <w:rtl/>
        </w:rPr>
      </w:pPr>
      <w:r>
        <w:rPr>
          <w:noProof w:val="0"/>
          <w:sz w:val="26"/>
          <w:szCs w:val="26"/>
          <w:rtl/>
        </w:rPr>
        <w:t xml:space="preserve">כגורמי סיכוי, ציין שירות המבחן את התרשמותו, כי הנאשם מצוי בשלבי גיבוש זהותו הבוגרת ואין לו דפוסים עבריינים מושרשים; את הבעת רצונו של הנאשם להשתלב בשוק העבודה ולסייע בפרנסת משפחתו; ואת הבנת חומרת מעשיו והשלכותיהן, בעיקר במשמעותן הביטחונית. לעומת זאת, מצא שירות המבחן כגורמי סיכון את מצבו המשפחתי המורכב של הנאשם, ובפרט, העדרה של דמות אבהית מלווה ומדריכה; את כישוריו המוגבלים של הנאשם וקשייו לשמור על יציבות תעסוקתית; את אי יכולתו </w:t>
      </w:r>
      <w:r>
        <w:rPr>
          <w:rFonts w:hint="cs"/>
          <w:noProof w:val="0"/>
          <w:sz w:val="26"/>
          <w:szCs w:val="26"/>
          <w:rtl/>
        </w:rPr>
        <w:t xml:space="preserve">של הנאשם </w:t>
      </w:r>
      <w:r>
        <w:rPr>
          <w:noProof w:val="0"/>
          <w:sz w:val="26"/>
          <w:szCs w:val="26"/>
          <w:rtl/>
        </w:rPr>
        <w:t>לבחון את השלכות התנהלותו על אחרים ועל היבטים הקשורים לביטחון המדינה</w:t>
      </w:r>
      <w:r>
        <w:rPr>
          <w:rFonts w:hint="cs"/>
          <w:noProof w:val="0"/>
          <w:sz w:val="26"/>
          <w:szCs w:val="26"/>
          <w:rtl/>
        </w:rPr>
        <w:t>;</w:t>
      </w:r>
      <w:r>
        <w:rPr>
          <w:noProof w:val="0"/>
          <w:sz w:val="26"/>
          <w:szCs w:val="26"/>
          <w:rtl/>
        </w:rPr>
        <w:t xml:space="preserve"> ו</w:t>
      </w:r>
      <w:r>
        <w:rPr>
          <w:rFonts w:hint="cs"/>
          <w:noProof w:val="0"/>
          <w:sz w:val="26"/>
          <w:szCs w:val="26"/>
          <w:rtl/>
        </w:rPr>
        <w:t xml:space="preserve">את </w:t>
      </w:r>
      <w:r>
        <w:rPr>
          <w:noProof w:val="0"/>
          <w:sz w:val="26"/>
          <w:szCs w:val="26"/>
          <w:rtl/>
        </w:rPr>
        <w:t xml:space="preserve">ייחוס מעורבותו בעבירות למצבו האישי. </w:t>
      </w:r>
    </w:p>
    <w:p w14:paraId="1FB59C06" w14:textId="77777777" w:rsidR="00457BED" w:rsidRDefault="00457BED">
      <w:pPr>
        <w:spacing w:line="360" w:lineRule="auto"/>
        <w:jc w:val="both"/>
        <w:rPr>
          <w:noProof w:val="0"/>
          <w:sz w:val="26"/>
          <w:szCs w:val="26"/>
          <w:rtl/>
        </w:rPr>
      </w:pPr>
    </w:p>
    <w:p w14:paraId="152F5FCF" w14:textId="77777777" w:rsidR="00457BED" w:rsidRDefault="00E20B47">
      <w:pPr>
        <w:spacing w:line="360" w:lineRule="auto"/>
        <w:jc w:val="both"/>
        <w:rPr>
          <w:noProof w:val="0"/>
          <w:sz w:val="26"/>
          <w:szCs w:val="26"/>
          <w:rtl/>
        </w:rPr>
      </w:pPr>
      <w:r>
        <w:rPr>
          <w:noProof w:val="0"/>
          <w:sz w:val="26"/>
          <w:szCs w:val="26"/>
          <w:rtl/>
        </w:rPr>
        <w:t xml:space="preserve">בהינתן האמור ולנוכח חומרת העבירות, </w:t>
      </w:r>
      <w:r>
        <w:rPr>
          <w:rFonts w:hint="cs"/>
          <w:noProof w:val="0"/>
          <w:sz w:val="26"/>
          <w:szCs w:val="26"/>
          <w:rtl/>
        </w:rPr>
        <w:t>קבע</w:t>
      </w:r>
      <w:r>
        <w:rPr>
          <w:noProof w:val="0"/>
          <w:sz w:val="26"/>
          <w:szCs w:val="26"/>
          <w:rtl/>
        </w:rPr>
        <w:t xml:space="preserve"> שירות המבחן, כי אין באפשרותו להמליץ על חלופת ענישה שיקומית, העשויה להפחית סיכון להישנות עבירות דומות בעתיד. </w:t>
      </w:r>
    </w:p>
    <w:p w14:paraId="557B4291" w14:textId="77777777" w:rsidR="00457BED" w:rsidRDefault="00457BED">
      <w:pPr>
        <w:spacing w:line="360" w:lineRule="auto"/>
        <w:jc w:val="both"/>
        <w:rPr>
          <w:noProof w:val="0"/>
          <w:sz w:val="26"/>
          <w:szCs w:val="26"/>
          <w:rtl/>
        </w:rPr>
      </w:pPr>
    </w:p>
    <w:p w14:paraId="74B5A19E" w14:textId="77777777" w:rsidR="00457BED" w:rsidRDefault="00E20B47">
      <w:pPr>
        <w:spacing w:line="360" w:lineRule="auto"/>
        <w:jc w:val="both"/>
        <w:rPr>
          <w:noProof w:val="0"/>
          <w:sz w:val="26"/>
          <w:szCs w:val="26"/>
          <w:rtl/>
        </w:rPr>
      </w:pPr>
      <w:r>
        <w:rPr>
          <w:noProof w:val="0"/>
          <w:sz w:val="26"/>
          <w:szCs w:val="26"/>
          <w:rtl/>
        </w:rPr>
        <w:t>6.</w:t>
      </w:r>
      <w:r>
        <w:rPr>
          <w:noProof w:val="0"/>
          <w:sz w:val="26"/>
          <w:szCs w:val="26"/>
          <w:rtl/>
        </w:rPr>
        <w:tab/>
        <w:t>בטיעוניו לעונש, עמד ב"כ המאשימה על הערך המוגן שנפגע מביצוע העבירות, והוא שלום הציבור וביטחונו. בהתייחסו לאירוע הראשון, הדגיש ב"כ המאשימה, כי מדובר באירוע מתוכנן לפרטי פרטים, על פני מספר שעות. אשר לאירוע השני, טען ב"כ המאשימה, כי ביצוע המעשים בצוותא, כאשר המשתתפים רעולי פנים, מהווה נסיבה לחומרה. כן מצא מ</w:t>
      </w:r>
      <w:r>
        <w:rPr>
          <w:rFonts w:hint="cs"/>
          <w:noProof w:val="0"/>
          <w:sz w:val="26"/>
          <w:szCs w:val="26"/>
          <w:rtl/>
        </w:rPr>
        <w:t>י</w:t>
      </w:r>
      <w:r>
        <w:rPr>
          <w:noProof w:val="0"/>
          <w:sz w:val="26"/>
          <w:szCs w:val="26"/>
          <w:rtl/>
        </w:rPr>
        <w:t>מד של חומרה בכך שהמניע לביצוע העבירות הוא אידיאולוגי, ובכך שה</w:t>
      </w:r>
      <w:r>
        <w:rPr>
          <w:rFonts w:hint="cs"/>
          <w:noProof w:val="0"/>
          <w:sz w:val="26"/>
          <w:szCs w:val="26"/>
          <w:rtl/>
        </w:rPr>
        <w:t>עבירות</w:t>
      </w:r>
      <w:r>
        <w:rPr>
          <w:noProof w:val="0"/>
          <w:sz w:val="26"/>
          <w:szCs w:val="26"/>
          <w:rtl/>
        </w:rPr>
        <w:t xml:space="preserve"> בוצע</w:t>
      </w:r>
      <w:r>
        <w:rPr>
          <w:rFonts w:hint="cs"/>
          <w:noProof w:val="0"/>
          <w:sz w:val="26"/>
          <w:szCs w:val="26"/>
          <w:rtl/>
        </w:rPr>
        <w:t>ו</w:t>
      </w:r>
      <w:r>
        <w:rPr>
          <w:noProof w:val="0"/>
          <w:sz w:val="26"/>
          <w:szCs w:val="26"/>
          <w:rtl/>
        </w:rPr>
        <w:t xml:space="preserve"> בהר הבית, שהינו אזור רגיש ונפיץ. </w:t>
      </w:r>
    </w:p>
    <w:p w14:paraId="77062EA5" w14:textId="77777777" w:rsidR="00457BED" w:rsidRDefault="00457BED">
      <w:pPr>
        <w:spacing w:line="360" w:lineRule="auto"/>
        <w:jc w:val="both"/>
        <w:rPr>
          <w:noProof w:val="0"/>
          <w:sz w:val="26"/>
          <w:szCs w:val="26"/>
          <w:rtl/>
        </w:rPr>
      </w:pPr>
    </w:p>
    <w:p w14:paraId="433860B5" w14:textId="77777777" w:rsidR="00457BED" w:rsidRDefault="00E20B47">
      <w:pPr>
        <w:spacing w:line="360" w:lineRule="auto"/>
        <w:jc w:val="both"/>
        <w:rPr>
          <w:noProof w:val="0"/>
          <w:sz w:val="26"/>
          <w:szCs w:val="26"/>
          <w:rtl/>
        </w:rPr>
      </w:pPr>
      <w:r>
        <w:rPr>
          <w:noProof w:val="0"/>
          <w:sz w:val="26"/>
          <w:szCs w:val="26"/>
          <w:rtl/>
        </w:rPr>
        <w:t>בהציגו פסיקה התומכת בגישתו, ביקש ב"כ המאשימה לקבוע לגבי האירוע הראשון מתחם ענישה שנע בין 6.5 ל-10 שנות מאסר</w:t>
      </w:r>
      <w:r>
        <w:rPr>
          <w:rFonts w:hint="cs"/>
          <w:noProof w:val="0"/>
          <w:sz w:val="26"/>
          <w:szCs w:val="26"/>
          <w:rtl/>
        </w:rPr>
        <w:t>,</w:t>
      </w:r>
      <w:r>
        <w:rPr>
          <w:noProof w:val="0"/>
          <w:sz w:val="26"/>
          <w:szCs w:val="26"/>
          <w:rtl/>
        </w:rPr>
        <w:t xml:space="preserve"> ולגבי האישום השני, מתחם שנע בין 7 ל-11 שנות מאסר. </w:t>
      </w:r>
    </w:p>
    <w:p w14:paraId="64E2E7D4" w14:textId="77777777" w:rsidR="00457BED" w:rsidRDefault="00457BED">
      <w:pPr>
        <w:spacing w:line="360" w:lineRule="auto"/>
        <w:jc w:val="both"/>
        <w:rPr>
          <w:noProof w:val="0"/>
          <w:sz w:val="26"/>
          <w:szCs w:val="26"/>
          <w:rtl/>
        </w:rPr>
      </w:pPr>
    </w:p>
    <w:p w14:paraId="6FE49551" w14:textId="77777777" w:rsidR="00457BED" w:rsidRDefault="00E20B47">
      <w:pPr>
        <w:spacing w:line="360" w:lineRule="auto"/>
        <w:jc w:val="both"/>
        <w:rPr>
          <w:noProof w:val="0"/>
          <w:sz w:val="26"/>
          <w:szCs w:val="26"/>
          <w:rtl/>
        </w:rPr>
      </w:pPr>
      <w:r>
        <w:rPr>
          <w:noProof w:val="0"/>
          <w:sz w:val="26"/>
          <w:szCs w:val="26"/>
          <w:rtl/>
        </w:rPr>
        <w:t xml:space="preserve">אשר לנסיבותיו האישיות של הנאשם, טען ב"כ המאשימה, כי בעבירות מסוג זה לרוב מדובר בנאשמים צעירים ללא עבר פלילי, ולכן אין להעניק לשיקולים אלה משקל מכריע. מעבר לכך, טען, כי לנוכח השכיחות בה מתבצעות עבירות כאמור, יש להעניק משקל גבוה לשיקול ההרתעתי. </w:t>
      </w:r>
    </w:p>
    <w:p w14:paraId="2F413472" w14:textId="77777777" w:rsidR="00457BED" w:rsidRDefault="00457BED">
      <w:pPr>
        <w:spacing w:line="360" w:lineRule="auto"/>
        <w:jc w:val="both"/>
        <w:rPr>
          <w:noProof w:val="0"/>
          <w:sz w:val="26"/>
          <w:szCs w:val="26"/>
          <w:rtl/>
        </w:rPr>
      </w:pPr>
    </w:p>
    <w:p w14:paraId="7385C22B" w14:textId="77777777" w:rsidR="00457BED" w:rsidRDefault="00E20B47">
      <w:pPr>
        <w:spacing w:line="360" w:lineRule="auto"/>
        <w:jc w:val="both"/>
        <w:rPr>
          <w:noProof w:val="0"/>
          <w:sz w:val="26"/>
          <w:szCs w:val="26"/>
          <w:rtl/>
        </w:rPr>
      </w:pPr>
      <w:r>
        <w:rPr>
          <w:noProof w:val="0"/>
          <w:sz w:val="26"/>
          <w:szCs w:val="26"/>
          <w:rtl/>
        </w:rPr>
        <w:t xml:space="preserve">משכך, ביקש למקם את הנאשם בחלקם התחתון של המתחמים וכן להטיל עליו מאסר על תנאי וקנס משמעותי. </w:t>
      </w:r>
    </w:p>
    <w:p w14:paraId="6D76D3C5" w14:textId="77777777" w:rsidR="00457BED" w:rsidRDefault="00457BED">
      <w:pPr>
        <w:spacing w:line="360" w:lineRule="auto"/>
        <w:jc w:val="both"/>
        <w:rPr>
          <w:noProof w:val="0"/>
          <w:sz w:val="26"/>
          <w:szCs w:val="26"/>
          <w:rtl/>
        </w:rPr>
      </w:pPr>
    </w:p>
    <w:p w14:paraId="02A718FE" w14:textId="77777777" w:rsidR="00457BED" w:rsidRDefault="00E20B47">
      <w:pPr>
        <w:spacing w:line="360" w:lineRule="auto"/>
        <w:jc w:val="both"/>
        <w:rPr>
          <w:noProof w:val="0"/>
          <w:sz w:val="26"/>
          <w:szCs w:val="26"/>
          <w:rtl/>
        </w:rPr>
      </w:pPr>
      <w:r>
        <w:rPr>
          <w:noProof w:val="0"/>
          <w:sz w:val="26"/>
          <w:szCs w:val="26"/>
          <w:rtl/>
        </w:rPr>
        <w:t>7.</w:t>
      </w:r>
      <w:r>
        <w:rPr>
          <w:noProof w:val="0"/>
          <w:sz w:val="26"/>
          <w:szCs w:val="26"/>
          <w:rtl/>
        </w:rPr>
        <w:tab/>
        <w:t xml:space="preserve">  ב"כ הנאשם הפנה לכך שהאירועים בשני האישומים התרחשו בסמיכות זה לזה, וביקש לקבוע מתחם ענישה אחד לשני האישומים, אשר ינוע בין 14 ל-40 חודשי מאסר בפועל. בהקשר זה, הפנה למספר פסקי דין בהם דובר בנאשמים שהואשמו במספר רב יותר של אישומים, אך ניתן עונש אחד לכל האישומים. </w:t>
      </w:r>
    </w:p>
    <w:p w14:paraId="5F767574" w14:textId="77777777" w:rsidR="00457BED" w:rsidRDefault="00457BED">
      <w:pPr>
        <w:spacing w:line="360" w:lineRule="auto"/>
        <w:jc w:val="both"/>
        <w:rPr>
          <w:noProof w:val="0"/>
          <w:sz w:val="26"/>
          <w:szCs w:val="26"/>
          <w:rtl/>
        </w:rPr>
      </w:pPr>
    </w:p>
    <w:p w14:paraId="5E84D149" w14:textId="77777777" w:rsidR="00457BED" w:rsidRDefault="00E20B47">
      <w:pPr>
        <w:spacing w:line="360" w:lineRule="auto"/>
        <w:jc w:val="both"/>
        <w:rPr>
          <w:noProof w:val="0"/>
          <w:sz w:val="26"/>
          <w:szCs w:val="26"/>
          <w:rtl/>
        </w:rPr>
      </w:pPr>
      <w:r>
        <w:rPr>
          <w:noProof w:val="0"/>
          <w:sz w:val="26"/>
          <w:szCs w:val="26"/>
          <w:rtl/>
        </w:rPr>
        <w:t xml:space="preserve">בשים לב לנסיבותיו האישיות של הנאשם, ביקש ב"כ הנאשם להסתפק בעונש שלא יעלה על 30 חודשי מאסר בפועל. </w:t>
      </w:r>
    </w:p>
    <w:p w14:paraId="285DCED0" w14:textId="77777777" w:rsidR="00457BED" w:rsidRDefault="00457BED">
      <w:pPr>
        <w:spacing w:line="360" w:lineRule="auto"/>
        <w:jc w:val="both"/>
        <w:rPr>
          <w:noProof w:val="0"/>
          <w:sz w:val="26"/>
          <w:szCs w:val="26"/>
          <w:rtl/>
        </w:rPr>
      </w:pPr>
    </w:p>
    <w:p w14:paraId="31D3CD9E" w14:textId="77777777" w:rsidR="00457BED" w:rsidRDefault="00E20B47">
      <w:pPr>
        <w:spacing w:line="360" w:lineRule="auto"/>
        <w:jc w:val="both"/>
        <w:rPr>
          <w:noProof w:val="0"/>
          <w:sz w:val="26"/>
          <w:szCs w:val="26"/>
          <w:u w:val="single"/>
          <w:rtl/>
        </w:rPr>
      </w:pPr>
      <w:r>
        <w:rPr>
          <w:noProof w:val="0"/>
          <w:sz w:val="26"/>
          <w:szCs w:val="26"/>
          <w:u w:val="single"/>
          <w:rtl/>
        </w:rPr>
        <w:t>דיון</w:t>
      </w:r>
    </w:p>
    <w:p w14:paraId="2583E7E3" w14:textId="77777777" w:rsidR="00457BED" w:rsidRDefault="00E20B47">
      <w:pPr>
        <w:spacing w:line="360" w:lineRule="auto"/>
        <w:jc w:val="both"/>
        <w:rPr>
          <w:noProof w:val="0"/>
          <w:sz w:val="26"/>
          <w:szCs w:val="26"/>
          <w:rtl/>
        </w:rPr>
      </w:pPr>
      <w:r>
        <w:rPr>
          <w:noProof w:val="0"/>
          <w:sz w:val="26"/>
          <w:szCs w:val="26"/>
          <w:rtl/>
        </w:rPr>
        <w:t>8.</w:t>
      </w:r>
      <w:r>
        <w:rPr>
          <w:noProof w:val="0"/>
          <w:sz w:val="26"/>
          <w:szCs w:val="26"/>
          <w:rtl/>
        </w:rPr>
        <w:tab/>
      </w:r>
      <w:r>
        <w:rPr>
          <w:noProof w:val="0"/>
          <w:sz w:val="26"/>
          <w:szCs w:val="26"/>
          <w:rtl/>
          <w:lang w:eastAsia="he-IL"/>
        </w:rPr>
        <w:t>במלאכת גזירת הדין, נצעד לפי המתווה המנחה שנקבע בתיקון 113 ל</w:t>
      </w:r>
      <w:hyperlink r:id="rId39" w:history="1">
        <w:r w:rsidRPr="00E20B47">
          <w:rPr>
            <w:noProof w:val="0"/>
            <w:color w:val="0000FF"/>
            <w:sz w:val="26"/>
            <w:szCs w:val="26"/>
            <w:u w:val="single"/>
            <w:rtl/>
            <w:lang w:eastAsia="he-IL"/>
          </w:rPr>
          <w:t>חוק העונשין</w:t>
        </w:r>
      </w:hyperlink>
      <w:r>
        <w:rPr>
          <w:noProof w:val="0"/>
          <w:sz w:val="26"/>
          <w:szCs w:val="26"/>
          <w:rtl/>
          <w:lang w:eastAsia="he-IL"/>
        </w:rPr>
        <w:t xml:space="preserve">, בו העמיד המחוקק </w:t>
      </w:r>
      <w:r>
        <w:rPr>
          <w:noProof w:val="0"/>
          <w:sz w:val="26"/>
          <w:szCs w:val="26"/>
          <w:rtl/>
        </w:rPr>
        <w:t>כעקרון על בגזירת העונש את עקרון ההלימה, המבטא את "עקרון הגמול":</w:t>
      </w:r>
      <w:r>
        <w:rPr>
          <w:rFonts w:ascii="Arial TUR" w:hAnsi="Arial TUR" w:cs="FrankRuehl"/>
          <w:noProof w:val="0"/>
          <w:spacing w:val="10"/>
          <w:sz w:val="26"/>
          <w:szCs w:val="26"/>
          <w:rtl/>
        </w:rPr>
        <w:t xml:space="preserve"> </w:t>
      </w:r>
      <w:r>
        <w:rPr>
          <w:b/>
          <w:bCs/>
          <w:noProof w:val="0"/>
          <w:sz w:val="26"/>
          <w:szCs w:val="26"/>
          <w:rtl/>
        </w:rPr>
        <w:t>"העיקרון המנחה בענישה הוא קיומו של יחס הולם בין חומרת מעשה העבירה בנסיבותיו ומידת אשמו של הנאשם ובין סוג ומידת העונש המוטל עליו"</w:t>
      </w:r>
      <w:r>
        <w:rPr>
          <w:noProof w:val="0"/>
          <w:sz w:val="26"/>
          <w:szCs w:val="26"/>
          <w:rtl/>
        </w:rPr>
        <w:t xml:space="preserve"> (ר' </w:t>
      </w:r>
      <w:hyperlink r:id="rId40" w:history="1">
        <w:r w:rsidR="00D227C2" w:rsidRPr="00D227C2">
          <w:rPr>
            <w:noProof w:val="0"/>
            <w:color w:val="0000FF"/>
            <w:sz w:val="26"/>
            <w:szCs w:val="26"/>
            <w:u w:val="single"/>
            <w:rtl/>
          </w:rPr>
          <w:t>בסעיף 40ב</w:t>
        </w:r>
      </w:hyperlink>
      <w:r>
        <w:rPr>
          <w:noProof w:val="0"/>
          <w:sz w:val="26"/>
          <w:szCs w:val="26"/>
          <w:rtl/>
        </w:rPr>
        <w:t xml:space="preserve"> לחוק). </w:t>
      </w:r>
    </w:p>
    <w:p w14:paraId="5063BFDD" w14:textId="77777777" w:rsidR="00457BED" w:rsidRDefault="00457BED">
      <w:pPr>
        <w:spacing w:line="360" w:lineRule="auto"/>
        <w:jc w:val="both"/>
        <w:rPr>
          <w:noProof w:val="0"/>
          <w:sz w:val="26"/>
          <w:szCs w:val="26"/>
          <w:rtl/>
        </w:rPr>
      </w:pPr>
    </w:p>
    <w:p w14:paraId="1DC4574E" w14:textId="77777777" w:rsidR="00457BED" w:rsidRDefault="00E20B47">
      <w:pPr>
        <w:spacing w:line="360" w:lineRule="auto"/>
        <w:jc w:val="both"/>
        <w:rPr>
          <w:noProof w:val="0"/>
          <w:sz w:val="26"/>
          <w:szCs w:val="26"/>
          <w:u w:val="single"/>
          <w:rtl/>
        </w:rPr>
      </w:pPr>
      <w:r>
        <w:rPr>
          <w:noProof w:val="0"/>
          <w:sz w:val="26"/>
          <w:szCs w:val="26"/>
          <w:u w:val="single"/>
          <w:rtl/>
        </w:rPr>
        <w:t>ריבוי עבירות</w:t>
      </w:r>
    </w:p>
    <w:p w14:paraId="105612E5" w14:textId="77777777" w:rsidR="00457BED" w:rsidRDefault="00E20B47">
      <w:pPr>
        <w:spacing w:line="360" w:lineRule="auto"/>
        <w:jc w:val="both"/>
        <w:rPr>
          <w:noProof w:val="0"/>
          <w:sz w:val="26"/>
          <w:szCs w:val="26"/>
          <w:rtl/>
        </w:rPr>
      </w:pPr>
      <w:r>
        <w:rPr>
          <w:noProof w:val="0"/>
          <w:sz w:val="26"/>
          <w:szCs w:val="26"/>
          <w:rtl/>
        </w:rPr>
        <w:t>9.</w:t>
      </w:r>
      <w:r>
        <w:rPr>
          <w:noProof w:val="0"/>
          <w:sz w:val="26"/>
          <w:szCs w:val="26"/>
        </w:rPr>
        <w:tab/>
      </w:r>
      <w:r>
        <w:rPr>
          <w:noProof w:val="0"/>
          <w:sz w:val="26"/>
          <w:szCs w:val="26"/>
          <w:rtl/>
        </w:rPr>
        <w:t xml:space="preserve">הנאשם הורשע בביצוע מספר עבירות, ומכאן, עולה תחילה השאלה, האם העבירות מהוות </w:t>
      </w:r>
      <w:r>
        <w:rPr>
          <w:b/>
          <w:bCs/>
          <w:noProof w:val="0"/>
          <w:sz w:val="26"/>
          <w:szCs w:val="26"/>
          <w:rtl/>
        </w:rPr>
        <w:t>אירוע אחד או כמה אירועים נפרדים</w:t>
      </w:r>
      <w:r>
        <w:rPr>
          <w:noProof w:val="0"/>
          <w:sz w:val="26"/>
          <w:szCs w:val="26"/>
          <w:rtl/>
        </w:rPr>
        <w:t xml:space="preserve"> (</w:t>
      </w:r>
      <w:hyperlink r:id="rId41" w:history="1">
        <w:r w:rsidR="00D227C2" w:rsidRPr="00D227C2">
          <w:rPr>
            <w:noProof w:val="0"/>
            <w:color w:val="0000FF"/>
            <w:sz w:val="26"/>
            <w:szCs w:val="26"/>
            <w:u w:val="single"/>
            <w:rtl/>
          </w:rPr>
          <w:t>סעיף 40יג</w:t>
        </w:r>
      </w:hyperlink>
      <w:r>
        <w:rPr>
          <w:noProof w:val="0"/>
          <w:sz w:val="26"/>
          <w:szCs w:val="26"/>
          <w:rtl/>
        </w:rPr>
        <w:t xml:space="preserve"> לחוק). לאחר ששקלתי את הדברים, הגעתי למסקנה, כי יש לסווג את העבירות שביצע הנאשם כאירוע אחד, ובהתאם, לקבוע מתחם ענישה אחד. </w:t>
      </w:r>
    </w:p>
    <w:p w14:paraId="511FA093" w14:textId="77777777" w:rsidR="00457BED" w:rsidRDefault="00457BED">
      <w:pPr>
        <w:spacing w:line="360" w:lineRule="auto"/>
        <w:jc w:val="both"/>
        <w:rPr>
          <w:noProof w:val="0"/>
          <w:sz w:val="26"/>
          <w:szCs w:val="26"/>
          <w:rtl/>
        </w:rPr>
      </w:pPr>
    </w:p>
    <w:p w14:paraId="456008E2" w14:textId="77777777" w:rsidR="00457BED" w:rsidRDefault="00E20B47">
      <w:pPr>
        <w:spacing w:line="360" w:lineRule="auto"/>
        <w:jc w:val="both"/>
        <w:rPr>
          <w:noProof w:val="0"/>
          <w:sz w:val="26"/>
          <w:szCs w:val="26"/>
          <w:rtl/>
        </w:rPr>
      </w:pPr>
      <w:r>
        <w:rPr>
          <w:noProof w:val="0"/>
          <w:sz w:val="26"/>
          <w:szCs w:val="26"/>
          <w:rtl/>
        </w:rPr>
        <w:t>10.</w:t>
      </w:r>
      <w:r>
        <w:rPr>
          <w:noProof w:val="0"/>
          <w:sz w:val="26"/>
          <w:szCs w:val="26"/>
          <w:rtl/>
        </w:rPr>
        <w:tab/>
        <w:t>כידוע, ב</w:t>
      </w:r>
      <w:hyperlink r:id="rId42" w:history="1">
        <w:r w:rsidRPr="00E20B47">
          <w:rPr>
            <w:noProof w:val="0"/>
            <w:color w:val="0000FF"/>
            <w:sz w:val="26"/>
            <w:szCs w:val="26"/>
            <w:u w:val="single"/>
            <w:rtl/>
          </w:rPr>
          <w:t>ע"פ 4910/13</w:t>
        </w:r>
      </w:hyperlink>
      <w:r>
        <w:rPr>
          <w:noProof w:val="0"/>
          <w:sz w:val="26"/>
          <w:szCs w:val="26"/>
          <w:rtl/>
        </w:rPr>
        <w:t xml:space="preserve"> </w:t>
      </w:r>
      <w:r>
        <w:rPr>
          <w:b/>
          <w:bCs/>
          <w:noProof w:val="0"/>
          <w:sz w:val="26"/>
          <w:szCs w:val="26"/>
          <w:rtl/>
        </w:rPr>
        <w:t>ג'אבר נ' מדינת ישראל</w:t>
      </w:r>
      <w:r>
        <w:rPr>
          <w:noProof w:val="0"/>
          <w:sz w:val="26"/>
          <w:szCs w:val="26"/>
          <w:rtl/>
        </w:rPr>
        <w:t xml:space="preserve"> (ניתן ביום 29.10.14) נקבעו קווים מנחים לפרשנותו של המונח "אירוע" במשמעות תיקון 113 ל</w:t>
      </w:r>
      <w:hyperlink r:id="rId43" w:history="1">
        <w:r w:rsidRPr="00E20B47">
          <w:rPr>
            <w:noProof w:val="0"/>
            <w:color w:val="0000FF"/>
            <w:sz w:val="26"/>
            <w:szCs w:val="26"/>
            <w:u w:val="single"/>
            <w:rtl/>
          </w:rPr>
          <w:t>חוק העונשין</w:t>
        </w:r>
      </w:hyperlink>
      <w:r>
        <w:rPr>
          <w:noProof w:val="0"/>
          <w:sz w:val="26"/>
          <w:szCs w:val="26"/>
          <w:rtl/>
        </w:rPr>
        <w:t>. נקבע, כי המבחן הוא מבחן "הקשר ההדוק"</w:t>
      </w:r>
      <w:r>
        <w:rPr>
          <w:rFonts w:hint="cs"/>
          <w:noProof w:val="0"/>
          <w:sz w:val="26"/>
          <w:szCs w:val="26"/>
          <w:rtl/>
        </w:rPr>
        <w:t>,</w:t>
      </w:r>
      <w:r>
        <w:rPr>
          <w:noProof w:val="0"/>
          <w:sz w:val="26"/>
          <w:szCs w:val="26"/>
          <w:rtl/>
        </w:rPr>
        <w:t xml:space="preserve"> ולפיו, יש לבחון, האם נמצאה בין הפעולות "סמיכות זמנים" ו</w:t>
      </w:r>
      <w:r>
        <w:rPr>
          <w:rFonts w:hint="cs"/>
          <w:noProof w:val="0"/>
          <w:sz w:val="26"/>
          <w:szCs w:val="26"/>
          <w:rtl/>
        </w:rPr>
        <w:t>ה</w:t>
      </w:r>
      <w:r>
        <w:rPr>
          <w:noProof w:val="0"/>
          <w:sz w:val="26"/>
          <w:szCs w:val="26"/>
          <w:rtl/>
        </w:rPr>
        <w:t>אם הפעולות הן "חלק מאותה תכנית עבריינית". במקרה דנן, תחילה, אני למד על קשר הדוק בין העבירות מהעובדה, שהן בוצעו בתוך פרק זמן של ימים ספורים (האירוע השני התרחש בימים 25.9.15 – 28.9.15 ואילו האירוע הראשון התרחש ביום 2.10.15). לסמיכות הזמנים בין העבירות מצטרפת העובדה, שאופי העבירות והערכים המוגנים שנפגעו, הינם דומים בשני האישומים: הן מבחינת מקום הביצוע (הר הבית), הן מבחינת הביצוע עצמו (ייצור בקבוקי תבערה ויידויים) והן מבחינת הרקע לביצוע (באישום הראשון הייתה זו העובדה שלא התאפשר לנאשם להיכנס לתפילה למסגד אלאקצא</w:t>
      </w:r>
      <w:r>
        <w:rPr>
          <w:rFonts w:hint="cs"/>
          <w:noProof w:val="0"/>
          <w:sz w:val="26"/>
          <w:szCs w:val="26"/>
          <w:rtl/>
        </w:rPr>
        <w:t>.</w:t>
      </w:r>
      <w:r>
        <w:rPr>
          <w:noProof w:val="0"/>
          <w:sz w:val="26"/>
          <w:szCs w:val="26"/>
          <w:rtl/>
        </w:rPr>
        <w:t xml:space="preserve"> באישום השני, </w:t>
      </w:r>
      <w:r>
        <w:rPr>
          <w:rFonts w:hint="cs"/>
          <w:noProof w:val="0"/>
          <w:sz w:val="26"/>
          <w:szCs w:val="26"/>
          <w:rtl/>
        </w:rPr>
        <w:t xml:space="preserve">היה זה </w:t>
      </w:r>
      <w:r>
        <w:rPr>
          <w:noProof w:val="0"/>
          <w:sz w:val="26"/>
          <w:szCs w:val="26"/>
          <w:rtl/>
        </w:rPr>
        <w:t>פרסום שראה הנאשם בפייסבוק, כי בכוונת מתנחלים לפרוץ למסגד אלאקצא). כל אלה מעידים, כי העבירות בוצעו כ"חלק מאותה תכנית עבריינית"</w:t>
      </w:r>
      <w:r>
        <w:rPr>
          <w:rFonts w:hint="cs"/>
          <w:noProof w:val="0"/>
          <w:sz w:val="26"/>
          <w:szCs w:val="26"/>
          <w:rtl/>
        </w:rPr>
        <w:t xml:space="preserve">, </w:t>
      </w:r>
      <w:r>
        <w:rPr>
          <w:noProof w:val="0"/>
          <w:sz w:val="26"/>
          <w:szCs w:val="26"/>
          <w:rtl/>
        </w:rPr>
        <w:t xml:space="preserve">והיא – "הגנה" על מסגד אלאקצא. </w:t>
      </w:r>
    </w:p>
    <w:p w14:paraId="1041AC02" w14:textId="77777777" w:rsidR="00457BED" w:rsidRDefault="00457BED">
      <w:pPr>
        <w:spacing w:line="360" w:lineRule="auto"/>
        <w:jc w:val="both"/>
        <w:rPr>
          <w:noProof w:val="0"/>
          <w:sz w:val="26"/>
          <w:szCs w:val="26"/>
          <w:rtl/>
        </w:rPr>
      </w:pPr>
    </w:p>
    <w:p w14:paraId="42707D67" w14:textId="77777777" w:rsidR="00457BED" w:rsidRDefault="00E20B47">
      <w:pPr>
        <w:spacing w:line="360" w:lineRule="auto"/>
        <w:jc w:val="both"/>
        <w:rPr>
          <w:noProof w:val="0"/>
          <w:sz w:val="26"/>
          <w:szCs w:val="26"/>
          <w:rtl/>
        </w:rPr>
      </w:pPr>
      <w:r>
        <w:rPr>
          <w:noProof w:val="0"/>
          <w:sz w:val="26"/>
          <w:szCs w:val="26"/>
          <w:rtl/>
        </w:rPr>
        <w:t>11.</w:t>
      </w:r>
      <w:r>
        <w:rPr>
          <w:noProof w:val="0"/>
          <w:sz w:val="26"/>
          <w:szCs w:val="26"/>
          <w:rtl/>
        </w:rPr>
        <w:tab/>
        <w:t xml:space="preserve">ער אני לכך, שבאישום הראשון מדובר באירוע נקודתי של יידוי שני בקבוקי תבערה, אותו תכנן הנאשם לבדו ופעל בו לבדו, ואילו האירוע המתואר באישום השני הוא אירוע </w:t>
      </w:r>
      <w:r>
        <w:rPr>
          <w:rFonts w:hint="cs"/>
          <w:noProof w:val="0"/>
          <w:sz w:val="26"/>
          <w:szCs w:val="26"/>
          <w:rtl/>
        </w:rPr>
        <w:t>ה</w:t>
      </w:r>
      <w:r>
        <w:rPr>
          <w:noProof w:val="0"/>
          <w:sz w:val="26"/>
          <w:szCs w:val="26"/>
          <w:rtl/>
        </w:rPr>
        <w:t xml:space="preserve">נמשך על פני מספר ימים של התבצרות במסגד והתפרעויות, בו פעל הנאשם כחלק מחבורה, כאשר גם שלב ההכנה נעשה יחד עם אחרים. ואולם, סבורני, </w:t>
      </w:r>
      <w:r>
        <w:rPr>
          <w:rFonts w:hint="cs"/>
          <w:noProof w:val="0"/>
          <w:sz w:val="26"/>
          <w:szCs w:val="26"/>
          <w:rtl/>
        </w:rPr>
        <w:t xml:space="preserve">כי </w:t>
      </w:r>
      <w:r>
        <w:rPr>
          <w:noProof w:val="0"/>
          <w:sz w:val="26"/>
          <w:szCs w:val="26"/>
          <w:rtl/>
        </w:rPr>
        <w:t xml:space="preserve">לא די בשוני זה כדי להוביל למסקנה שיש להפריד בין העבירות לשני אירועים </w:t>
      </w:r>
      <w:r>
        <w:rPr>
          <w:rFonts w:hint="cs"/>
          <w:noProof w:val="0"/>
          <w:sz w:val="26"/>
          <w:szCs w:val="26"/>
          <w:rtl/>
        </w:rPr>
        <w:t>נפרדים</w:t>
      </w:r>
      <w:r>
        <w:rPr>
          <w:noProof w:val="0"/>
          <w:sz w:val="26"/>
          <w:szCs w:val="26"/>
          <w:rtl/>
        </w:rPr>
        <w:t>, ואפנה לדבריו של כבוד השופט צ' זילברטל ב</w:t>
      </w:r>
      <w:hyperlink r:id="rId44" w:history="1">
        <w:r w:rsidRPr="00E20B47">
          <w:rPr>
            <w:noProof w:val="0"/>
            <w:color w:val="0000FF"/>
            <w:sz w:val="26"/>
            <w:szCs w:val="26"/>
            <w:u w:val="single"/>
            <w:rtl/>
          </w:rPr>
          <w:t>ע"פ 5643/14</w:t>
        </w:r>
      </w:hyperlink>
      <w:r>
        <w:rPr>
          <w:noProof w:val="0"/>
          <w:sz w:val="26"/>
          <w:szCs w:val="26"/>
          <w:rtl/>
        </w:rPr>
        <w:t xml:space="preserve"> </w:t>
      </w:r>
      <w:r>
        <w:rPr>
          <w:b/>
          <w:bCs/>
          <w:noProof w:val="0"/>
          <w:sz w:val="26"/>
          <w:szCs w:val="26"/>
          <w:rtl/>
        </w:rPr>
        <w:t>עיסא נ' מדינת ישראל</w:t>
      </w:r>
      <w:r>
        <w:rPr>
          <w:noProof w:val="0"/>
          <w:sz w:val="26"/>
          <w:szCs w:val="26"/>
          <w:rtl/>
        </w:rPr>
        <w:t xml:space="preserve"> (ניתן ביום 23.6.15), לפיו </w:t>
      </w:r>
      <w:r>
        <w:rPr>
          <w:b/>
          <w:bCs/>
          <w:noProof w:val="0"/>
          <w:sz w:val="26"/>
          <w:szCs w:val="26"/>
          <w:rtl/>
        </w:rPr>
        <w:t>"ראוי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בהקשר זה ייאמר, כי קביעת מספר מתחמי עונש שלא לצורך עלולה במקרים מסוימים להביא להעלאת רף הענישה באופן שאינו ראוי, על ידי פריטה לפרוטות של הרכיבים העונשיים בעניינו של הנאשם ויצירת תחושה לא נוחה של 'התחשבנות' עמו, העצמה של חומרת מעשיו מעבר למתחייב וחריצת דינו בדרך מלאכותית. שנים טרם הבניית שיקול הדעת בענישה, באה לידי ביטוי בפסיקת בית משפט זה גישה דומה, כאשר נפסק שכאשר מדובר בסדרת עבירות מאותו הסוג שנסיבותיהן הן דומות זו לזו יש מקום להטיל עונש כולל בגין מכלול העבירות"</w:t>
      </w:r>
      <w:r>
        <w:rPr>
          <w:noProof w:val="0"/>
          <w:sz w:val="26"/>
          <w:szCs w:val="26"/>
          <w:rtl/>
        </w:rPr>
        <w:t xml:space="preserve"> (</w:t>
      </w:r>
      <w:r>
        <w:rPr>
          <w:b/>
          <w:bCs/>
          <w:noProof w:val="0"/>
          <w:sz w:val="26"/>
          <w:szCs w:val="26"/>
          <w:rtl/>
        </w:rPr>
        <w:t>שם</w:t>
      </w:r>
      <w:r>
        <w:rPr>
          <w:noProof w:val="0"/>
          <w:sz w:val="26"/>
          <w:szCs w:val="26"/>
          <w:rtl/>
        </w:rPr>
        <w:t xml:space="preserve">, בפסקה 11). הדברים נכונים גם למקרה דנן, בו </w:t>
      </w:r>
      <w:r>
        <w:rPr>
          <w:rFonts w:hint="cs"/>
          <w:noProof w:val="0"/>
          <w:sz w:val="26"/>
          <w:szCs w:val="26"/>
          <w:rtl/>
        </w:rPr>
        <w:t xml:space="preserve">אמנם ישנו שוני מסוים בנסיבות ביצוע העבירות המתוארות בשני האישומים, אך עדיין, </w:t>
      </w:r>
      <w:r>
        <w:rPr>
          <w:noProof w:val="0"/>
          <w:sz w:val="26"/>
          <w:szCs w:val="26"/>
          <w:rtl/>
        </w:rPr>
        <w:t>מתקיים בי</w:t>
      </w:r>
      <w:r>
        <w:rPr>
          <w:rFonts w:hint="cs"/>
          <w:noProof w:val="0"/>
          <w:sz w:val="26"/>
          <w:szCs w:val="26"/>
          <w:rtl/>
        </w:rPr>
        <w:t>ניהן</w:t>
      </w:r>
      <w:r>
        <w:rPr>
          <w:noProof w:val="0"/>
          <w:sz w:val="26"/>
          <w:szCs w:val="26"/>
          <w:rtl/>
        </w:rPr>
        <w:t xml:space="preserve"> קשר ענייני ברור והדוק. </w:t>
      </w:r>
    </w:p>
    <w:p w14:paraId="7087A67E" w14:textId="77777777" w:rsidR="00457BED" w:rsidRDefault="00457BED">
      <w:pPr>
        <w:spacing w:line="360" w:lineRule="auto"/>
        <w:jc w:val="both"/>
        <w:rPr>
          <w:noProof w:val="0"/>
          <w:sz w:val="26"/>
          <w:szCs w:val="26"/>
          <w:rtl/>
        </w:rPr>
      </w:pPr>
    </w:p>
    <w:p w14:paraId="1F0B13F4" w14:textId="77777777" w:rsidR="00457BED" w:rsidRDefault="00E20B47">
      <w:pPr>
        <w:spacing w:line="360" w:lineRule="auto"/>
        <w:jc w:val="both"/>
        <w:rPr>
          <w:noProof w:val="0"/>
          <w:sz w:val="26"/>
          <w:szCs w:val="26"/>
          <w:rtl/>
        </w:rPr>
      </w:pPr>
      <w:r>
        <w:rPr>
          <w:rFonts w:hint="cs"/>
          <w:noProof w:val="0"/>
          <w:sz w:val="26"/>
          <w:szCs w:val="26"/>
          <w:rtl/>
        </w:rPr>
        <w:t xml:space="preserve">לא למותר לציין, כי בהינתן האמור, גם אם הייתי קובע שני מתחמי ענישה, הרי שהיה נכון להשית עונש כולל בגין כל העבירות (התובע לא דרש ענישה אחרת </w:t>
      </w:r>
      <w:r>
        <w:rPr>
          <w:noProof w:val="0"/>
          <w:sz w:val="26"/>
          <w:szCs w:val="26"/>
          <w:rtl/>
        </w:rPr>
        <w:t>–</w:t>
      </w:r>
      <w:r>
        <w:rPr>
          <w:rFonts w:hint="cs"/>
          <w:noProof w:val="0"/>
          <w:sz w:val="26"/>
          <w:szCs w:val="26"/>
          <w:rtl/>
        </w:rPr>
        <w:t xml:space="preserve"> ר' בע' 11 ש' 29 לפרוטוקול). </w:t>
      </w:r>
    </w:p>
    <w:p w14:paraId="07094BF0" w14:textId="77777777" w:rsidR="00457BED" w:rsidRDefault="00457BED">
      <w:pPr>
        <w:spacing w:line="360" w:lineRule="auto"/>
        <w:jc w:val="both"/>
        <w:rPr>
          <w:noProof w:val="0"/>
          <w:sz w:val="26"/>
          <w:szCs w:val="26"/>
          <w:rtl/>
        </w:rPr>
      </w:pPr>
    </w:p>
    <w:p w14:paraId="0AB2F6EE" w14:textId="77777777" w:rsidR="00457BED" w:rsidRDefault="00E20B47">
      <w:pPr>
        <w:spacing w:line="360" w:lineRule="auto"/>
        <w:jc w:val="both"/>
        <w:rPr>
          <w:noProof w:val="0"/>
          <w:sz w:val="26"/>
          <w:szCs w:val="26"/>
          <w:u w:val="single"/>
          <w:rtl/>
        </w:rPr>
      </w:pPr>
      <w:r>
        <w:rPr>
          <w:noProof w:val="0"/>
          <w:sz w:val="26"/>
          <w:szCs w:val="26"/>
          <w:u w:val="single"/>
          <w:rtl/>
        </w:rPr>
        <w:t>הערכים המוגנים ומידת הפגיעה בהם</w:t>
      </w:r>
    </w:p>
    <w:p w14:paraId="0EB7B98B" w14:textId="77777777" w:rsidR="00457BED" w:rsidRDefault="00E20B47">
      <w:pPr>
        <w:spacing w:line="360" w:lineRule="auto"/>
        <w:jc w:val="both"/>
        <w:rPr>
          <w:noProof w:val="0"/>
          <w:sz w:val="26"/>
          <w:szCs w:val="26"/>
          <w:rtl/>
        </w:rPr>
      </w:pPr>
      <w:r>
        <w:rPr>
          <w:noProof w:val="0"/>
          <w:sz w:val="26"/>
          <w:szCs w:val="26"/>
          <w:rtl/>
        </w:rPr>
        <w:t>12.</w:t>
      </w:r>
      <w:r>
        <w:rPr>
          <w:noProof w:val="0"/>
          <w:sz w:val="26"/>
          <w:szCs w:val="26"/>
          <w:rtl/>
        </w:rPr>
        <w:tab/>
        <w:t xml:space="preserve">בית המשפט העליון עמד על החומרה הרבה הגלומה במעשה של ייצור בקבוקי תבערה והשלכתם על רקע לאומני. מעשים כאמור, עלולים לגרום לפציעות קשות ולסכן חיים, ולא בכדי, נפסק, כי </w:t>
      </w:r>
      <w:r>
        <w:rPr>
          <w:b/>
          <w:bCs/>
          <w:noProof w:val="0"/>
          <w:sz w:val="26"/>
          <w:szCs w:val="26"/>
          <w:rtl/>
        </w:rPr>
        <w:t>"שימוש בבקבוק תבערה שקול לשימוש בנשק חם"</w:t>
      </w:r>
      <w:r>
        <w:rPr>
          <w:noProof w:val="0"/>
          <w:sz w:val="26"/>
          <w:szCs w:val="26"/>
          <w:rtl/>
        </w:rPr>
        <w:t xml:space="preserve"> (</w:t>
      </w:r>
      <w:hyperlink r:id="rId45" w:history="1">
        <w:r w:rsidRPr="00E20B47">
          <w:rPr>
            <w:noProof w:val="0"/>
            <w:color w:val="0000FF"/>
            <w:sz w:val="26"/>
            <w:szCs w:val="26"/>
            <w:u w:val="single"/>
            <w:rtl/>
          </w:rPr>
          <w:t>ע"פ 5371/14</w:t>
        </w:r>
      </w:hyperlink>
      <w:r>
        <w:rPr>
          <w:noProof w:val="0"/>
          <w:sz w:val="26"/>
          <w:szCs w:val="26"/>
          <w:rtl/>
        </w:rPr>
        <w:t xml:space="preserve"> </w:t>
      </w:r>
      <w:r>
        <w:rPr>
          <w:b/>
          <w:bCs/>
          <w:noProof w:val="0"/>
          <w:sz w:val="26"/>
          <w:szCs w:val="26"/>
          <w:rtl/>
        </w:rPr>
        <w:t>פלוני נ' מדינת ישראל</w:t>
      </w:r>
      <w:r>
        <w:rPr>
          <w:noProof w:val="0"/>
          <w:sz w:val="26"/>
          <w:szCs w:val="26"/>
          <w:rtl/>
        </w:rPr>
        <w:t xml:space="preserve">, ניתן ביום 16.9.14, בפסקה 8). על רקע הסכנה הטמונה במעשים כאמור, והשפעתם על ערעור תחושת הביטחון של הציבור הרחב, הלכה היא, כי </w:t>
      </w:r>
      <w:r>
        <w:rPr>
          <w:b/>
          <w:bCs/>
          <w:noProof w:val="0"/>
          <w:sz w:val="26"/>
          <w:szCs w:val="26"/>
          <w:rtl/>
        </w:rPr>
        <w:t>"סוג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w:t>
      </w:r>
      <w:r>
        <w:rPr>
          <w:noProof w:val="0"/>
          <w:sz w:val="26"/>
          <w:szCs w:val="26"/>
          <w:rtl/>
        </w:rPr>
        <w:t xml:space="preserve"> (</w:t>
      </w:r>
      <w:hyperlink r:id="rId46" w:history="1">
        <w:r w:rsidRPr="00E20B47">
          <w:rPr>
            <w:noProof w:val="0"/>
            <w:color w:val="0000FF"/>
            <w:sz w:val="26"/>
            <w:szCs w:val="26"/>
            <w:u w:val="single"/>
            <w:rtl/>
          </w:rPr>
          <w:t>ע"פ 2337/13</w:t>
        </w:r>
      </w:hyperlink>
      <w:r>
        <w:rPr>
          <w:noProof w:val="0"/>
          <w:sz w:val="26"/>
          <w:szCs w:val="26"/>
          <w:rtl/>
        </w:rPr>
        <w:t xml:space="preserve"> </w:t>
      </w:r>
      <w:r>
        <w:rPr>
          <w:b/>
          <w:bCs/>
          <w:noProof w:val="0"/>
          <w:sz w:val="26"/>
          <w:szCs w:val="26"/>
          <w:rtl/>
        </w:rPr>
        <w:t>קואסמה נ' מדינת ישראל</w:t>
      </w:r>
      <w:r>
        <w:rPr>
          <w:noProof w:val="0"/>
          <w:sz w:val="26"/>
          <w:szCs w:val="26"/>
          <w:rtl/>
        </w:rPr>
        <w:t>, ניתן ביום 16.9.13, בפסקה 12). בית המשפט העליון קבע, כי הצורך בענישה מרתיעה מקבל משנה תוקף בעת האחרונה, לנוכח העלייה בתופעה של התפרעויות על רקע לאומני, וראו, לדוגמה, את דבריו של כבוד השופט נ' הנדל ב</w:t>
      </w:r>
      <w:hyperlink r:id="rId47" w:history="1">
        <w:r w:rsidRPr="00E20B47">
          <w:rPr>
            <w:noProof w:val="0"/>
            <w:color w:val="0000FF"/>
            <w:sz w:val="26"/>
            <w:szCs w:val="26"/>
            <w:u w:val="single"/>
            <w:rtl/>
          </w:rPr>
          <w:t>ע"פ 4737/16</w:t>
        </w:r>
      </w:hyperlink>
      <w:r>
        <w:rPr>
          <w:noProof w:val="0"/>
          <w:sz w:val="26"/>
          <w:szCs w:val="26"/>
          <w:rtl/>
        </w:rPr>
        <w:t xml:space="preserve"> </w:t>
      </w:r>
      <w:r>
        <w:rPr>
          <w:b/>
          <w:bCs/>
          <w:noProof w:val="0"/>
          <w:sz w:val="26"/>
          <w:szCs w:val="26"/>
          <w:rtl/>
        </w:rPr>
        <w:t>פלוני נ' מדינת ישראל</w:t>
      </w:r>
      <w:r>
        <w:rPr>
          <w:noProof w:val="0"/>
          <w:sz w:val="26"/>
          <w:szCs w:val="26"/>
          <w:rtl/>
        </w:rPr>
        <w:t xml:space="preserve"> (ניתן ביום 27.7.16), שם דובר, בין היתר, במעשים של יידוי אבנים ובקבוקי תבערה לעבר כוחות הביטחון במהלך הפרות סדר: </w:t>
      </w:r>
      <w:r>
        <w:rPr>
          <w:b/>
          <w:bCs/>
          <w:noProof w:val="0"/>
          <w:sz w:val="26"/>
          <w:szCs w:val="26"/>
          <w:rtl/>
        </w:rPr>
        <w:t>"רוח רעה נכנסה לחברה בחודשים האחרונים. אמנם, רוח זו איננה חדשה אך עוצמתה התגברה ובמיוחד במקומות מסוימים כמו אזור ירושלים. זוהי 'מכת עיר'. בוגרים ונערים נוהגים באלימות קשה. הסיכון הטמון במעשיהם מותיר אותותיו גם כאשר אינם מבוצעים. נוהגי רכב תמימים הופכים למטרה ניידת. כך בכוח, כך בפועל. כוחות הביטחון חשופים לסיכון מוגבר ומכוון דווקא בשל תפקידם. בית המשפט אינו יכול לעמוד מנגד. העונש חייב להרתיע"</w:t>
      </w:r>
      <w:r>
        <w:rPr>
          <w:noProof w:val="0"/>
          <w:sz w:val="26"/>
          <w:szCs w:val="26"/>
          <w:rtl/>
        </w:rPr>
        <w:t xml:space="preserve"> (</w:t>
      </w:r>
      <w:r>
        <w:rPr>
          <w:b/>
          <w:bCs/>
          <w:noProof w:val="0"/>
          <w:sz w:val="26"/>
          <w:szCs w:val="26"/>
          <w:rtl/>
        </w:rPr>
        <w:t>שם</w:t>
      </w:r>
      <w:r>
        <w:rPr>
          <w:noProof w:val="0"/>
          <w:sz w:val="26"/>
          <w:szCs w:val="26"/>
          <w:rtl/>
        </w:rPr>
        <w:t xml:space="preserve">, בפסקה 3). </w:t>
      </w:r>
    </w:p>
    <w:p w14:paraId="3955BC00" w14:textId="77777777" w:rsidR="00457BED" w:rsidRDefault="00E20B47">
      <w:pPr>
        <w:spacing w:line="360" w:lineRule="auto"/>
        <w:jc w:val="both"/>
        <w:rPr>
          <w:noProof w:val="0"/>
          <w:sz w:val="26"/>
          <w:szCs w:val="26"/>
          <w:rtl/>
        </w:rPr>
      </w:pPr>
      <w:r>
        <w:rPr>
          <w:noProof w:val="0"/>
          <w:sz w:val="26"/>
          <w:szCs w:val="26"/>
          <w:rtl/>
        </w:rPr>
        <w:t xml:space="preserve">  </w:t>
      </w:r>
      <w:r>
        <w:rPr>
          <w:rFonts w:ascii="Calibri" w:hAnsi="Calibri" w:cs="FrankRuehl"/>
          <w:noProof w:val="0"/>
          <w:sz w:val="28"/>
          <w:szCs w:val="28"/>
          <w:rtl/>
        </w:rPr>
        <w:t xml:space="preserve">    </w:t>
      </w:r>
    </w:p>
    <w:p w14:paraId="291A0FD0" w14:textId="77777777" w:rsidR="00457BED" w:rsidRDefault="00E20B47">
      <w:pPr>
        <w:spacing w:line="360" w:lineRule="auto"/>
        <w:jc w:val="both"/>
        <w:rPr>
          <w:noProof w:val="0"/>
          <w:sz w:val="26"/>
          <w:szCs w:val="26"/>
          <w:rtl/>
        </w:rPr>
      </w:pPr>
      <w:r>
        <w:rPr>
          <w:noProof w:val="0"/>
          <w:sz w:val="26"/>
          <w:szCs w:val="26"/>
          <w:rtl/>
        </w:rPr>
        <w:t xml:space="preserve">ביטוי לחומרה במעשים </w:t>
      </w:r>
      <w:r>
        <w:rPr>
          <w:rFonts w:hint="cs"/>
          <w:noProof w:val="0"/>
          <w:sz w:val="26"/>
          <w:szCs w:val="26"/>
          <w:rtl/>
        </w:rPr>
        <w:t xml:space="preserve">אותם </w:t>
      </w:r>
      <w:r>
        <w:rPr>
          <w:noProof w:val="0"/>
          <w:sz w:val="26"/>
          <w:szCs w:val="26"/>
          <w:rtl/>
        </w:rPr>
        <w:t xml:space="preserve">ביצע הנאשם </w:t>
      </w:r>
      <w:r>
        <w:rPr>
          <w:rFonts w:hint="cs"/>
          <w:noProof w:val="0"/>
          <w:sz w:val="26"/>
          <w:szCs w:val="26"/>
          <w:rtl/>
        </w:rPr>
        <w:t xml:space="preserve">נמצא </w:t>
      </w:r>
      <w:r>
        <w:rPr>
          <w:noProof w:val="0"/>
          <w:sz w:val="26"/>
          <w:szCs w:val="26"/>
          <w:rtl/>
        </w:rPr>
        <w:t>גם בעונשים הקבועים בחוק: חמש עשרה שנות מאסר בגין העבירה של ייצור בקבוקי תבערה; עשרים שנות מאסר בגין העבירה של חבלה בכוונה מחמירה; חמש שנות מאסר (ולא פחות משלושה חודשים) בגין העבירה של תקיפת שוטר בנסיבות מחמירות; ושנתיים מאסר בגין העבירה של התפרעות.</w:t>
      </w:r>
    </w:p>
    <w:p w14:paraId="67DD60CC" w14:textId="77777777" w:rsidR="00457BED" w:rsidRDefault="00457BED">
      <w:pPr>
        <w:spacing w:line="360" w:lineRule="auto"/>
        <w:jc w:val="both"/>
        <w:rPr>
          <w:noProof w:val="0"/>
          <w:sz w:val="26"/>
          <w:szCs w:val="26"/>
          <w:rtl/>
        </w:rPr>
      </w:pPr>
    </w:p>
    <w:p w14:paraId="32D761D4" w14:textId="77777777" w:rsidR="00457BED" w:rsidRDefault="00E20B47">
      <w:pPr>
        <w:spacing w:line="360" w:lineRule="auto"/>
        <w:jc w:val="both"/>
        <w:rPr>
          <w:noProof w:val="0"/>
          <w:sz w:val="26"/>
          <w:szCs w:val="26"/>
          <w:rtl/>
        </w:rPr>
      </w:pPr>
      <w:r>
        <w:rPr>
          <w:noProof w:val="0"/>
          <w:sz w:val="26"/>
          <w:szCs w:val="26"/>
          <w:rtl/>
        </w:rPr>
        <w:t>13.</w:t>
      </w:r>
      <w:r>
        <w:rPr>
          <w:noProof w:val="0"/>
          <w:sz w:val="26"/>
          <w:szCs w:val="26"/>
          <w:rtl/>
        </w:rPr>
        <w:tab/>
        <w:t>במקרה דנן, מידת</w:t>
      </w:r>
      <w:r>
        <w:rPr>
          <w:rFonts w:ascii="Arial" w:hAnsi="Arial" w:cs="Arial"/>
          <w:noProof w:val="0"/>
          <w:sz w:val="26"/>
          <w:szCs w:val="26"/>
          <w:rtl/>
        </w:rPr>
        <w:t xml:space="preserve"> </w:t>
      </w:r>
      <w:r>
        <w:rPr>
          <w:noProof w:val="0"/>
          <w:sz w:val="26"/>
          <w:szCs w:val="26"/>
          <w:rtl/>
        </w:rPr>
        <w:t xml:space="preserve">הפגיעה בערכים המוגנים נמצאת ברף הגבוה. זאת, בהינתן, שמדובר בעבירות שבוצעו על רקע לאומני, לעבר אזרחים וכוחות הביטחון, במיקום ובעיתוי בעלי רגישות יתרה – בהר הבית בתקופת חג </w:t>
      </w:r>
      <w:r>
        <w:rPr>
          <w:rFonts w:hint="cs"/>
          <w:noProof w:val="0"/>
          <w:sz w:val="26"/>
          <w:szCs w:val="26"/>
          <w:rtl/>
        </w:rPr>
        <w:t>ה</w:t>
      </w:r>
      <w:r>
        <w:rPr>
          <w:noProof w:val="0"/>
          <w:sz w:val="26"/>
          <w:szCs w:val="26"/>
          <w:rtl/>
        </w:rPr>
        <w:t>סוכות. בפרט, נושא</w:t>
      </w:r>
      <w:r>
        <w:rPr>
          <w:rFonts w:hint="cs"/>
          <w:noProof w:val="0"/>
          <w:sz w:val="26"/>
          <w:szCs w:val="26"/>
          <w:rtl/>
        </w:rPr>
        <w:t xml:space="preserve">ים המעשים המתוארים באישום </w:t>
      </w:r>
      <w:r>
        <w:rPr>
          <w:noProof w:val="0"/>
          <w:sz w:val="26"/>
          <w:szCs w:val="26"/>
          <w:rtl/>
        </w:rPr>
        <w:t xml:space="preserve">השני משנה </w:t>
      </w:r>
      <w:r>
        <w:rPr>
          <w:rFonts w:hint="cs"/>
          <w:noProof w:val="0"/>
          <w:sz w:val="26"/>
          <w:szCs w:val="26"/>
          <w:rtl/>
        </w:rPr>
        <w:t xml:space="preserve">תוקף של </w:t>
      </w:r>
      <w:r>
        <w:rPr>
          <w:noProof w:val="0"/>
          <w:sz w:val="26"/>
          <w:szCs w:val="26"/>
          <w:rtl/>
        </w:rPr>
        <w:t>חומרה, לנוכח ריבוי המשתתפים באירוע, עוצמתו ומשכו. ומתאימים הם לכאן הדברים שנאמרו ב</w:t>
      </w:r>
      <w:hyperlink r:id="rId48" w:history="1">
        <w:r w:rsidRPr="00E20B47">
          <w:rPr>
            <w:noProof w:val="0"/>
            <w:color w:val="0000FF"/>
            <w:sz w:val="26"/>
            <w:szCs w:val="26"/>
            <w:u w:val="single"/>
            <w:rtl/>
          </w:rPr>
          <w:t>ע"פ 2579/14</w:t>
        </w:r>
      </w:hyperlink>
      <w:r>
        <w:rPr>
          <w:noProof w:val="0"/>
          <w:sz w:val="26"/>
          <w:szCs w:val="26"/>
          <w:rtl/>
        </w:rPr>
        <w:t xml:space="preserve"> </w:t>
      </w:r>
      <w:r>
        <w:rPr>
          <w:b/>
          <w:bCs/>
          <w:noProof w:val="0"/>
          <w:sz w:val="26"/>
          <w:szCs w:val="26"/>
          <w:rtl/>
        </w:rPr>
        <w:t>פרחאן נ' מדינת ישראל</w:t>
      </w:r>
      <w:r>
        <w:rPr>
          <w:noProof w:val="0"/>
          <w:sz w:val="26"/>
          <w:szCs w:val="26"/>
          <w:rtl/>
        </w:rPr>
        <w:t xml:space="preserve"> (ניתן ביום 25.5.15) לעניין הפרות סדר בהר הבית: </w:t>
      </w:r>
      <w:r>
        <w:rPr>
          <w:b/>
          <w:bCs/>
          <w:noProof w:val="0"/>
          <w:sz w:val="26"/>
          <w:szCs w:val="26"/>
          <w:rtl/>
        </w:rPr>
        <w:t>"הטלת בקבוק תבערה במקום בו מדובר, כמו כל מעשה אלימות חמור אחר שייעשה במתחם הנדון, עלולה להבעיר, תרתי משמע, את האזור כולו ולגרור אחריה התפרצות שיש עמה סכנות קשות ופוטנציאל של מעשי אלימות נרחבים. יש לנקוט בענישה מחמירה ומרתיעה במגמה לצמצם ככל שניתן את מקרי האלימות והפרות הסדר בהר הבית"</w:t>
      </w:r>
      <w:r>
        <w:rPr>
          <w:noProof w:val="0"/>
          <w:sz w:val="26"/>
          <w:szCs w:val="26"/>
          <w:rtl/>
        </w:rPr>
        <w:t xml:space="preserve"> (</w:t>
      </w:r>
      <w:r>
        <w:rPr>
          <w:b/>
          <w:bCs/>
          <w:noProof w:val="0"/>
          <w:sz w:val="26"/>
          <w:szCs w:val="26"/>
          <w:rtl/>
        </w:rPr>
        <w:t>שם</w:t>
      </w:r>
      <w:r>
        <w:rPr>
          <w:noProof w:val="0"/>
          <w:sz w:val="26"/>
          <w:szCs w:val="26"/>
          <w:rtl/>
        </w:rPr>
        <w:t>, בפסקה 7).</w:t>
      </w:r>
    </w:p>
    <w:p w14:paraId="0BD0D531" w14:textId="77777777" w:rsidR="00457BED" w:rsidRDefault="00457BED">
      <w:pPr>
        <w:spacing w:line="360" w:lineRule="auto"/>
        <w:jc w:val="both"/>
        <w:rPr>
          <w:noProof w:val="0"/>
          <w:sz w:val="26"/>
          <w:szCs w:val="26"/>
          <w:rtl/>
        </w:rPr>
      </w:pPr>
    </w:p>
    <w:p w14:paraId="658F5DBD" w14:textId="77777777" w:rsidR="00457BED" w:rsidRDefault="00E20B47">
      <w:pPr>
        <w:spacing w:line="360" w:lineRule="auto"/>
        <w:jc w:val="both"/>
        <w:rPr>
          <w:noProof w:val="0"/>
          <w:sz w:val="26"/>
          <w:szCs w:val="26"/>
          <w:u w:val="single"/>
          <w:rtl/>
        </w:rPr>
      </w:pPr>
      <w:r>
        <w:rPr>
          <w:noProof w:val="0"/>
          <w:sz w:val="26"/>
          <w:szCs w:val="26"/>
          <w:u w:val="single"/>
          <w:rtl/>
        </w:rPr>
        <w:t>מדיניות הענישה הנוהגת</w:t>
      </w:r>
    </w:p>
    <w:p w14:paraId="480C0A8E" w14:textId="77777777" w:rsidR="00457BED" w:rsidRDefault="00E20B47">
      <w:pPr>
        <w:spacing w:line="360" w:lineRule="auto"/>
        <w:jc w:val="both"/>
        <w:rPr>
          <w:noProof w:val="0"/>
          <w:sz w:val="26"/>
          <w:szCs w:val="26"/>
          <w:rtl/>
        </w:rPr>
      </w:pPr>
      <w:r>
        <w:rPr>
          <w:noProof w:val="0"/>
          <w:sz w:val="26"/>
          <w:szCs w:val="26"/>
          <w:rtl/>
        </w:rPr>
        <w:t>14.</w:t>
      </w:r>
      <w:r>
        <w:rPr>
          <w:noProof w:val="0"/>
          <w:sz w:val="26"/>
          <w:szCs w:val="26"/>
          <w:rtl/>
        </w:rPr>
        <w:tab/>
        <w:t xml:space="preserve">במסגרת טיעוניהם לעונש, כל צד הציג בפניי פסיקה התומכת, לשיטתו, בעונש לו הוא טוען.  </w:t>
      </w:r>
    </w:p>
    <w:p w14:paraId="10FDBCD6" w14:textId="77777777" w:rsidR="00457BED" w:rsidRDefault="00457BED">
      <w:pPr>
        <w:spacing w:line="360" w:lineRule="auto"/>
        <w:jc w:val="both"/>
        <w:rPr>
          <w:noProof w:val="0"/>
          <w:sz w:val="26"/>
          <w:szCs w:val="26"/>
          <w:rtl/>
        </w:rPr>
      </w:pPr>
    </w:p>
    <w:p w14:paraId="714209A6" w14:textId="77777777" w:rsidR="00457BED" w:rsidRDefault="00E20B47">
      <w:pPr>
        <w:spacing w:line="360" w:lineRule="auto"/>
        <w:jc w:val="both"/>
        <w:rPr>
          <w:noProof w:val="0"/>
          <w:sz w:val="26"/>
          <w:szCs w:val="26"/>
          <w:rtl/>
        </w:rPr>
      </w:pPr>
      <w:r>
        <w:rPr>
          <w:noProof w:val="0"/>
          <w:sz w:val="26"/>
          <w:szCs w:val="26"/>
          <w:rtl/>
        </w:rPr>
        <w:t>15.</w:t>
      </w:r>
      <w:r>
        <w:rPr>
          <w:noProof w:val="0"/>
          <w:sz w:val="26"/>
          <w:szCs w:val="26"/>
          <w:rtl/>
        </w:rPr>
        <w:tab/>
        <w:t>בהתייחסו למתחם הענישה הולם, הפנה ב"כ המאשימה לע"</w:t>
      </w:r>
      <w:hyperlink r:id="rId49" w:history="1">
        <w:r w:rsidRPr="00E20B47">
          <w:rPr>
            <w:noProof w:val="0"/>
            <w:color w:val="0000FF"/>
            <w:sz w:val="26"/>
            <w:szCs w:val="26"/>
            <w:u w:val="single"/>
            <w:rtl/>
          </w:rPr>
          <w:t>פ 60637-11-14</w:t>
        </w:r>
      </w:hyperlink>
      <w:r>
        <w:rPr>
          <w:noProof w:val="0"/>
          <w:sz w:val="26"/>
          <w:szCs w:val="26"/>
          <w:rtl/>
        </w:rPr>
        <w:t xml:space="preserve"> (מחוזי י-ם) </w:t>
      </w:r>
      <w:r>
        <w:rPr>
          <w:b/>
          <w:bCs/>
          <w:noProof w:val="0"/>
          <w:sz w:val="26"/>
          <w:szCs w:val="26"/>
          <w:rtl/>
        </w:rPr>
        <w:t>מדינת ישראל נ' קרקי</w:t>
      </w:r>
      <w:r>
        <w:rPr>
          <w:noProof w:val="0"/>
          <w:sz w:val="26"/>
          <w:szCs w:val="26"/>
          <w:rtl/>
        </w:rPr>
        <w:t xml:space="preserve"> (ניתן ביום 30.5.16), שם קבע חברי כבוד השופט מ' דרורי מתחם של ארבע עד שמונה שנות מאסר לאירוע בו התאספו הנאשמים בהר הבית במטרה להתעמת עם כוחות הביטחון ועם מתפללים יהודים, ייצרו בקבוקי תבערה והשתתפו עם אחרים בהתפרעות אשר במהלכה, יודו בקבוקי תבערה וזיקוקים לעבר כוחות הביטחון. חלק מבקבוקי התבערה שהוצתו, גרמו לחלון המסגד ולמיטה שהייתה במקום, לעלות באש (האישום השני באותו תיק).  </w:t>
      </w:r>
    </w:p>
    <w:p w14:paraId="0D791015" w14:textId="77777777" w:rsidR="00457BED" w:rsidRDefault="00457BED">
      <w:pPr>
        <w:spacing w:line="360" w:lineRule="auto"/>
        <w:jc w:val="both"/>
        <w:rPr>
          <w:noProof w:val="0"/>
          <w:sz w:val="26"/>
          <w:szCs w:val="26"/>
          <w:rtl/>
        </w:rPr>
      </w:pPr>
    </w:p>
    <w:p w14:paraId="786AA2F5" w14:textId="77777777" w:rsidR="00457BED" w:rsidRDefault="00E20B47">
      <w:pPr>
        <w:spacing w:line="360" w:lineRule="auto"/>
        <w:jc w:val="both"/>
        <w:rPr>
          <w:noProof w:val="0"/>
          <w:sz w:val="26"/>
          <w:szCs w:val="26"/>
          <w:rtl/>
        </w:rPr>
      </w:pPr>
      <w:r>
        <w:rPr>
          <w:noProof w:val="0"/>
          <w:sz w:val="26"/>
          <w:szCs w:val="26"/>
          <w:rtl/>
        </w:rPr>
        <w:t xml:space="preserve">כן הפנה </w:t>
      </w:r>
      <w:r>
        <w:rPr>
          <w:rFonts w:hint="cs"/>
          <w:noProof w:val="0"/>
          <w:sz w:val="26"/>
          <w:szCs w:val="26"/>
          <w:rtl/>
        </w:rPr>
        <w:t xml:space="preserve">ב"כ המאשימה </w:t>
      </w:r>
      <w:r>
        <w:rPr>
          <w:noProof w:val="0"/>
          <w:sz w:val="26"/>
          <w:szCs w:val="26"/>
          <w:rtl/>
        </w:rPr>
        <w:t>ל</w:t>
      </w:r>
      <w:hyperlink r:id="rId50" w:history="1">
        <w:r w:rsidRPr="00E20B47">
          <w:rPr>
            <w:noProof w:val="0"/>
            <w:color w:val="0000FF"/>
            <w:sz w:val="26"/>
            <w:szCs w:val="26"/>
            <w:u w:val="single"/>
            <w:rtl/>
          </w:rPr>
          <w:t>ע"פ 7643/11</w:t>
        </w:r>
      </w:hyperlink>
      <w:r>
        <w:rPr>
          <w:noProof w:val="0"/>
          <w:sz w:val="26"/>
          <w:szCs w:val="26"/>
          <w:rtl/>
        </w:rPr>
        <w:t xml:space="preserve"> </w:t>
      </w:r>
      <w:r>
        <w:rPr>
          <w:b/>
          <w:bCs/>
          <w:noProof w:val="0"/>
          <w:sz w:val="26"/>
          <w:szCs w:val="26"/>
          <w:rtl/>
        </w:rPr>
        <w:t>מסוודה נ' מדינת ישראל</w:t>
      </w:r>
      <w:r>
        <w:rPr>
          <w:noProof w:val="0"/>
          <w:sz w:val="26"/>
          <w:szCs w:val="26"/>
          <w:rtl/>
        </w:rPr>
        <w:t xml:space="preserve"> (ניתן ביום 7.4.13), שם הודה המערער במסגרת הסדר טיעון, בייצור 15 בקבוקי תבערה יחד עם אחרים, ויידוי בקבוק תבערה ושתי אבנים לעבר בתי יהודים בכפר סילוואן. במהלך ההתפרעויות נפגעו קצין מג"ב ואדם נוסף מבקבוקי התבערה שהושלכו לעברם </w:t>
      </w:r>
      <w:r>
        <w:rPr>
          <w:rFonts w:hint="cs"/>
          <w:noProof w:val="0"/>
          <w:sz w:val="26"/>
          <w:szCs w:val="26"/>
          <w:rtl/>
        </w:rPr>
        <w:t>(</w:t>
      </w:r>
      <w:r>
        <w:rPr>
          <w:noProof w:val="0"/>
          <w:sz w:val="26"/>
          <w:szCs w:val="26"/>
          <w:rtl/>
        </w:rPr>
        <w:t>שלא על ידי המערער</w:t>
      </w:r>
      <w:r>
        <w:rPr>
          <w:rFonts w:hint="cs"/>
          <w:noProof w:val="0"/>
          <w:sz w:val="26"/>
          <w:szCs w:val="26"/>
          <w:rtl/>
        </w:rPr>
        <w:t>)</w:t>
      </w:r>
      <w:r>
        <w:rPr>
          <w:noProof w:val="0"/>
          <w:sz w:val="26"/>
          <w:szCs w:val="26"/>
          <w:rtl/>
        </w:rPr>
        <w:t xml:space="preserve">, וספגו כוויות קשות. בית המשפט העליון דחה את הערעור שהגיש המערער והותיר </w:t>
      </w:r>
      <w:r>
        <w:rPr>
          <w:rFonts w:hint="cs"/>
          <w:noProof w:val="0"/>
          <w:sz w:val="26"/>
          <w:szCs w:val="26"/>
          <w:rtl/>
        </w:rPr>
        <w:t xml:space="preserve">על כנו </w:t>
      </w:r>
      <w:r>
        <w:rPr>
          <w:noProof w:val="0"/>
          <w:sz w:val="26"/>
          <w:szCs w:val="26"/>
          <w:rtl/>
        </w:rPr>
        <w:t xml:space="preserve">את העונש של 6 שנות מאסר שהטיל בית המשפט המחוזי. </w:t>
      </w:r>
    </w:p>
    <w:p w14:paraId="2DFA8D16" w14:textId="77777777" w:rsidR="00457BED" w:rsidRDefault="00457BED">
      <w:pPr>
        <w:spacing w:line="360" w:lineRule="auto"/>
        <w:jc w:val="both"/>
        <w:rPr>
          <w:noProof w:val="0"/>
          <w:sz w:val="26"/>
          <w:szCs w:val="26"/>
          <w:rtl/>
        </w:rPr>
      </w:pPr>
    </w:p>
    <w:p w14:paraId="0003570B" w14:textId="77777777" w:rsidR="00457BED" w:rsidRDefault="00E20B47">
      <w:pPr>
        <w:spacing w:line="360" w:lineRule="auto"/>
        <w:jc w:val="both"/>
        <w:rPr>
          <w:noProof w:val="0"/>
          <w:sz w:val="26"/>
          <w:szCs w:val="26"/>
          <w:rtl/>
        </w:rPr>
      </w:pPr>
      <w:r>
        <w:rPr>
          <w:noProof w:val="0"/>
          <w:sz w:val="26"/>
          <w:szCs w:val="26"/>
          <w:rtl/>
        </w:rPr>
        <w:t>16.</w:t>
      </w:r>
      <w:r>
        <w:rPr>
          <w:noProof w:val="0"/>
          <w:sz w:val="26"/>
          <w:szCs w:val="26"/>
          <w:rtl/>
        </w:rPr>
        <w:tab/>
        <w:t>ב"כ הנאשם הפנה ל</w:t>
      </w:r>
      <w:hyperlink r:id="rId51" w:history="1">
        <w:r w:rsidRPr="00E20B47">
          <w:rPr>
            <w:noProof w:val="0"/>
            <w:color w:val="0000FF"/>
            <w:sz w:val="26"/>
            <w:szCs w:val="26"/>
            <w:u w:val="single"/>
            <w:rtl/>
          </w:rPr>
          <w:t>ת"פ 20811-11-15</w:t>
        </w:r>
      </w:hyperlink>
      <w:r>
        <w:rPr>
          <w:noProof w:val="0"/>
          <w:sz w:val="26"/>
          <w:szCs w:val="26"/>
          <w:rtl/>
        </w:rPr>
        <w:t xml:space="preserve"> (מחוזי י-ם) </w:t>
      </w:r>
      <w:r>
        <w:rPr>
          <w:b/>
          <w:bCs/>
          <w:noProof w:val="0"/>
          <w:sz w:val="26"/>
          <w:szCs w:val="26"/>
          <w:rtl/>
        </w:rPr>
        <w:t>מדינת ישראל נ' גנאר</w:t>
      </w:r>
      <w:r>
        <w:rPr>
          <w:noProof w:val="0"/>
          <w:sz w:val="26"/>
          <w:szCs w:val="26"/>
          <w:rtl/>
        </w:rPr>
        <w:t xml:space="preserve"> (ניתן ביום 19.5.16) שם הטיל חברי כבוד השופט ד' טפרברג 30 חודשי מאסר בפועל על נאשם אשר הורשע על פי הודאתו במסגרת הסדר טיעון, בחמישה אישומים של התפרעויות נגד כוחות הביטחון, בכללן ייצר בקבוק תבערה אחד</w:t>
      </w:r>
      <w:r>
        <w:rPr>
          <w:rFonts w:hint="cs"/>
          <w:noProof w:val="0"/>
          <w:sz w:val="26"/>
          <w:szCs w:val="26"/>
          <w:rtl/>
        </w:rPr>
        <w:t xml:space="preserve"> וכן</w:t>
      </w:r>
      <w:r>
        <w:rPr>
          <w:noProof w:val="0"/>
          <w:sz w:val="26"/>
          <w:szCs w:val="26"/>
          <w:rtl/>
        </w:rPr>
        <w:t xml:space="preserve"> יידה בקבוקי תבערה ואבנים. </w:t>
      </w:r>
    </w:p>
    <w:p w14:paraId="1B2EF081" w14:textId="77777777" w:rsidR="00457BED" w:rsidRDefault="00457BED">
      <w:pPr>
        <w:spacing w:line="360" w:lineRule="auto"/>
        <w:jc w:val="both"/>
        <w:rPr>
          <w:noProof w:val="0"/>
          <w:sz w:val="26"/>
          <w:szCs w:val="26"/>
          <w:rtl/>
        </w:rPr>
      </w:pPr>
    </w:p>
    <w:p w14:paraId="72CD3E7B" w14:textId="77777777" w:rsidR="00457BED" w:rsidRDefault="00E20B47">
      <w:pPr>
        <w:spacing w:line="360" w:lineRule="auto"/>
        <w:jc w:val="both"/>
        <w:rPr>
          <w:noProof w:val="0"/>
          <w:sz w:val="26"/>
          <w:szCs w:val="26"/>
          <w:rtl/>
        </w:rPr>
      </w:pPr>
      <w:r>
        <w:rPr>
          <w:rFonts w:hint="cs"/>
          <w:noProof w:val="0"/>
          <w:sz w:val="26"/>
          <w:szCs w:val="26"/>
          <w:rtl/>
        </w:rPr>
        <w:t>בהמשך לכך, הפנה ב"כ הנאשם ל</w:t>
      </w:r>
      <w:hyperlink r:id="rId52" w:history="1">
        <w:r w:rsidRPr="00E20B47">
          <w:rPr>
            <w:noProof w:val="0"/>
            <w:color w:val="0000FF"/>
            <w:sz w:val="26"/>
            <w:szCs w:val="26"/>
            <w:u w:val="single"/>
            <w:rtl/>
          </w:rPr>
          <w:t>ת"פ 14476-04-15</w:t>
        </w:r>
      </w:hyperlink>
      <w:r>
        <w:rPr>
          <w:noProof w:val="0"/>
          <w:sz w:val="26"/>
          <w:szCs w:val="26"/>
          <w:rtl/>
        </w:rPr>
        <w:t xml:space="preserve"> (מחוזי י-ם) </w:t>
      </w:r>
      <w:r>
        <w:rPr>
          <w:b/>
          <w:bCs/>
          <w:noProof w:val="0"/>
          <w:sz w:val="26"/>
          <w:szCs w:val="26"/>
          <w:rtl/>
        </w:rPr>
        <w:t>מדינת ישראל נ' בן גמאל</w:t>
      </w:r>
      <w:r>
        <w:rPr>
          <w:noProof w:val="0"/>
          <w:sz w:val="26"/>
          <w:szCs w:val="26"/>
          <w:rtl/>
        </w:rPr>
        <w:t xml:space="preserve"> (ניתן ביום 7.10.15)</w:t>
      </w:r>
      <w:r>
        <w:rPr>
          <w:rFonts w:hint="cs"/>
          <w:noProof w:val="0"/>
          <w:sz w:val="26"/>
          <w:szCs w:val="26"/>
          <w:rtl/>
        </w:rPr>
        <w:t xml:space="preserve">, שם </w:t>
      </w:r>
      <w:r>
        <w:rPr>
          <w:noProof w:val="0"/>
          <w:sz w:val="26"/>
          <w:szCs w:val="26"/>
          <w:rtl/>
        </w:rPr>
        <w:t xml:space="preserve">הטיל חברי כבוד השופט בן-ציון גרינברגר, 33 חודשי מאסר בפועל על נאשם אשר, בין היתר, הכין בקבוקי תבערה ויידה אותם לעבר ג'יפ של משמר הגבול. בהזדמנויות אחרות, יידה בקבוקי תבערה ואבנים לעבר כלי רכב שנסעו בכביש מעלה אדומים. באותו מקרה, הנאשם הורשע על פי הודאתו במסגרת הסדר טיעון, אשר היה </w:t>
      </w:r>
      <w:r>
        <w:rPr>
          <w:noProof w:val="0"/>
          <w:sz w:val="26"/>
          <w:szCs w:val="26"/>
          <w:u w:val="single"/>
          <w:rtl/>
        </w:rPr>
        <w:t>גם לעניין העונש</w:t>
      </w:r>
      <w:r>
        <w:rPr>
          <w:noProof w:val="0"/>
          <w:sz w:val="26"/>
          <w:szCs w:val="26"/>
          <w:rtl/>
        </w:rPr>
        <w:t xml:space="preserve">.  </w:t>
      </w:r>
    </w:p>
    <w:p w14:paraId="46E2F67F" w14:textId="77777777" w:rsidR="00457BED" w:rsidRDefault="00457BED">
      <w:pPr>
        <w:spacing w:line="360" w:lineRule="auto"/>
        <w:jc w:val="both"/>
        <w:rPr>
          <w:noProof w:val="0"/>
          <w:sz w:val="26"/>
          <w:szCs w:val="26"/>
          <w:rtl/>
        </w:rPr>
      </w:pPr>
    </w:p>
    <w:p w14:paraId="0C174779" w14:textId="77777777" w:rsidR="00457BED" w:rsidRDefault="00E20B47">
      <w:pPr>
        <w:spacing w:line="360" w:lineRule="auto"/>
        <w:jc w:val="both"/>
        <w:rPr>
          <w:noProof w:val="0"/>
          <w:sz w:val="26"/>
          <w:szCs w:val="26"/>
          <w:rtl/>
        </w:rPr>
      </w:pPr>
      <w:r>
        <w:rPr>
          <w:noProof w:val="0"/>
          <w:sz w:val="26"/>
          <w:szCs w:val="26"/>
          <w:rtl/>
        </w:rPr>
        <w:t xml:space="preserve">בתיק נוסף שהתנהל </w:t>
      </w:r>
      <w:r>
        <w:rPr>
          <w:rFonts w:hint="cs"/>
          <w:noProof w:val="0"/>
          <w:sz w:val="26"/>
          <w:szCs w:val="26"/>
          <w:rtl/>
        </w:rPr>
        <w:t>בפני</w:t>
      </w:r>
      <w:r>
        <w:rPr>
          <w:noProof w:val="0"/>
          <w:sz w:val="26"/>
          <w:szCs w:val="26"/>
          <w:rtl/>
        </w:rPr>
        <w:t xml:space="preserve"> כבוד השופט בן-ציון גרינברגר, </w:t>
      </w:r>
      <w:hyperlink r:id="rId53" w:history="1">
        <w:r w:rsidRPr="00E20B47">
          <w:rPr>
            <w:noProof w:val="0"/>
            <w:color w:val="0000FF"/>
            <w:sz w:val="26"/>
            <w:szCs w:val="26"/>
            <w:u w:val="single"/>
            <w:rtl/>
          </w:rPr>
          <w:t>ת"פ 57220-05-15</w:t>
        </w:r>
      </w:hyperlink>
      <w:r>
        <w:rPr>
          <w:noProof w:val="0"/>
          <w:sz w:val="26"/>
          <w:szCs w:val="26"/>
          <w:rtl/>
        </w:rPr>
        <w:t xml:space="preserve"> (מחוזי י-ם) </w:t>
      </w:r>
      <w:r>
        <w:rPr>
          <w:b/>
          <w:bCs/>
          <w:noProof w:val="0"/>
          <w:sz w:val="26"/>
          <w:szCs w:val="26"/>
          <w:rtl/>
        </w:rPr>
        <w:t>מדינת ישראל נ' עבאסי</w:t>
      </w:r>
      <w:r>
        <w:rPr>
          <w:noProof w:val="0"/>
          <w:sz w:val="26"/>
          <w:szCs w:val="26"/>
          <w:rtl/>
        </w:rPr>
        <w:t xml:space="preserve"> (ניתן ביום 30.5.16), </w:t>
      </w:r>
      <w:r>
        <w:rPr>
          <w:rFonts w:hint="cs"/>
          <w:noProof w:val="0"/>
          <w:sz w:val="26"/>
          <w:szCs w:val="26"/>
          <w:rtl/>
        </w:rPr>
        <w:t xml:space="preserve">אליו הפנה ב"כ הנאשם, </w:t>
      </w:r>
      <w:r>
        <w:rPr>
          <w:noProof w:val="0"/>
          <w:sz w:val="26"/>
          <w:szCs w:val="26"/>
          <w:rtl/>
        </w:rPr>
        <w:t>הורשע הנאשם (בן 19), לאחר שמיעת ראיות, ב-</w:t>
      </w:r>
      <w:r>
        <w:rPr>
          <w:noProof w:val="0"/>
          <w:sz w:val="26"/>
          <w:szCs w:val="26"/>
          <w:u w:val="single"/>
          <w:rtl/>
        </w:rPr>
        <w:t>15 אישומים שונים</w:t>
      </w:r>
      <w:r>
        <w:rPr>
          <w:noProof w:val="0"/>
          <w:sz w:val="26"/>
          <w:szCs w:val="26"/>
          <w:rtl/>
        </w:rPr>
        <w:t xml:space="preserve"> בגין מספר רב של אירועי הפרות סדר נגד כוחות הביטחון ואזרחים יהודים הגרים בשכונה. בין היתר, ייצר הנאשם בקבוקי תבערה, אסף צמיגים ואבנים, ויחד עם אחרים, הבעיר צמיגים, השליך בקבוקי תבערה, ירה זיקוקים ויידה אבנים לעבר כלי רכב של כוחות הביטחון. בית המשפט המחוזי הטיל על הנאשם עונש של 7 שנות מאסר בפועל. </w:t>
      </w:r>
    </w:p>
    <w:p w14:paraId="741D9E8F" w14:textId="77777777" w:rsidR="00457BED" w:rsidRDefault="00457BED">
      <w:pPr>
        <w:spacing w:line="360" w:lineRule="auto"/>
        <w:jc w:val="both"/>
        <w:rPr>
          <w:noProof w:val="0"/>
          <w:sz w:val="26"/>
          <w:szCs w:val="26"/>
          <w:rtl/>
        </w:rPr>
      </w:pPr>
    </w:p>
    <w:p w14:paraId="2F58B73B" w14:textId="77777777" w:rsidR="00457BED" w:rsidRDefault="00E20B47">
      <w:pPr>
        <w:spacing w:line="360" w:lineRule="auto"/>
        <w:jc w:val="both"/>
        <w:rPr>
          <w:noProof w:val="0"/>
          <w:sz w:val="26"/>
          <w:szCs w:val="26"/>
          <w:rtl/>
        </w:rPr>
      </w:pPr>
      <w:r>
        <w:rPr>
          <w:rFonts w:hint="cs"/>
          <w:noProof w:val="0"/>
          <w:sz w:val="26"/>
          <w:szCs w:val="26"/>
          <w:rtl/>
        </w:rPr>
        <w:t>לבסוף, הפנה ב"כ הנאשם ל</w:t>
      </w:r>
      <w:hyperlink r:id="rId54" w:history="1">
        <w:r w:rsidRPr="00E20B47">
          <w:rPr>
            <w:noProof w:val="0"/>
            <w:color w:val="0000FF"/>
            <w:sz w:val="26"/>
            <w:szCs w:val="26"/>
            <w:u w:val="single"/>
            <w:rtl/>
          </w:rPr>
          <w:t>ת"פ 9516-06-15</w:t>
        </w:r>
      </w:hyperlink>
      <w:r>
        <w:rPr>
          <w:noProof w:val="0"/>
          <w:sz w:val="26"/>
          <w:szCs w:val="26"/>
          <w:rtl/>
        </w:rPr>
        <w:t xml:space="preserve"> (מחוזי י-ם) </w:t>
      </w:r>
      <w:r>
        <w:rPr>
          <w:b/>
          <w:bCs/>
          <w:noProof w:val="0"/>
          <w:sz w:val="26"/>
          <w:szCs w:val="26"/>
          <w:rtl/>
        </w:rPr>
        <w:t>מדינת ישראל נ' מחמוד</w:t>
      </w:r>
      <w:r>
        <w:rPr>
          <w:noProof w:val="0"/>
          <w:sz w:val="26"/>
          <w:szCs w:val="26"/>
          <w:rtl/>
        </w:rPr>
        <w:t xml:space="preserve"> (ניתן ביום 29.5.16), </w:t>
      </w:r>
      <w:r>
        <w:rPr>
          <w:rFonts w:hint="cs"/>
          <w:noProof w:val="0"/>
          <w:sz w:val="26"/>
          <w:szCs w:val="26"/>
          <w:rtl/>
        </w:rPr>
        <w:t xml:space="preserve">שם </w:t>
      </w:r>
      <w:r>
        <w:rPr>
          <w:noProof w:val="0"/>
          <w:sz w:val="26"/>
          <w:szCs w:val="26"/>
          <w:rtl/>
        </w:rPr>
        <w:t xml:space="preserve">הודה </w:t>
      </w:r>
      <w:r>
        <w:rPr>
          <w:rFonts w:hint="cs"/>
          <w:noProof w:val="0"/>
          <w:sz w:val="26"/>
          <w:szCs w:val="26"/>
          <w:rtl/>
        </w:rPr>
        <w:t>ה</w:t>
      </w:r>
      <w:r>
        <w:rPr>
          <w:noProof w:val="0"/>
          <w:sz w:val="26"/>
          <w:szCs w:val="26"/>
          <w:rtl/>
        </w:rPr>
        <w:t>נאשם במסגרת הסדר טיעון, ב-</w:t>
      </w:r>
      <w:r>
        <w:rPr>
          <w:noProof w:val="0"/>
          <w:sz w:val="26"/>
          <w:szCs w:val="26"/>
          <w:u w:val="single"/>
          <w:rtl/>
        </w:rPr>
        <w:t>8 אישומים</w:t>
      </w:r>
      <w:r>
        <w:rPr>
          <w:noProof w:val="0"/>
          <w:sz w:val="26"/>
          <w:szCs w:val="26"/>
          <w:rtl/>
        </w:rPr>
        <w:t xml:space="preserve"> בגין אירועים שונים, כי יחד עם אחרים, ביצע מעשים של יידוי אבנים לעבר כלי רכב, הצתת ג'יפ צבאי, השלכת פתיל בוער לעבר עצי מחנה צבאי (שגרמו להצתת העצים), ויידוי בקבוקי תבערה לעבר ג'יפ משטרתי (כאשר, בפרט, בקבוק שיידה הנאשם פגע בגלגל רכב משטרתי). בית משפט זה הטיל על הנאשם 48 חודשי מאסר בגין שניים מהאישומים, שביצע בהיותו בגיר, ו-48 חודשי מאסר בגין יתר האישומים, שביצע בהיותו קטין, כאשר 26 חודשים מהם ירוצו במצטבר ו-22 חודשים ירוצו בחופף. לאחר הפעלת מאסר על תנאי למשך 5 חודשים, הוטלו על הנאשם סה"כ 79 חודשי מאסר בפועל.  </w:t>
      </w:r>
    </w:p>
    <w:p w14:paraId="797A1FD5" w14:textId="77777777" w:rsidR="00457BED" w:rsidRDefault="00457BED">
      <w:pPr>
        <w:spacing w:line="360" w:lineRule="auto"/>
        <w:jc w:val="both"/>
        <w:rPr>
          <w:noProof w:val="0"/>
          <w:sz w:val="26"/>
          <w:szCs w:val="26"/>
          <w:rtl/>
        </w:rPr>
      </w:pPr>
    </w:p>
    <w:p w14:paraId="5D242091" w14:textId="77777777" w:rsidR="00457BED" w:rsidRDefault="00E20B47">
      <w:pPr>
        <w:spacing w:line="360" w:lineRule="auto"/>
        <w:jc w:val="both"/>
        <w:rPr>
          <w:noProof w:val="0"/>
          <w:sz w:val="26"/>
          <w:szCs w:val="26"/>
          <w:rtl/>
        </w:rPr>
      </w:pPr>
      <w:r>
        <w:rPr>
          <w:noProof w:val="0"/>
          <w:sz w:val="26"/>
          <w:szCs w:val="26"/>
          <w:rtl/>
        </w:rPr>
        <w:t>17.</w:t>
      </w:r>
      <w:r>
        <w:rPr>
          <w:noProof w:val="0"/>
          <w:sz w:val="26"/>
          <w:szCs w:val="26"/>
          <w:rtl/>
        </w:rPr>
        <w:tab/>
        <w:t>אפנה גם אני ל</w:t>
      </w:r>
      <w:r>
        <w:rPr>
          <w:b/>
          <w:bCs/>
          <w:noProof w:val="0"/>
          <w:sz w:val="26"/>
          <w:szCs w:val="26"/>
          <w:rtl/>
        </w:rPr>
        <w:t>ע"פ פרחאן</w:t>
      </w:r>
      <w:r>
        <w:rPr>
          <w:noProof w:val="0"/>
          <w:sz w:val="26"/>
          <w:szCs w:val="26"/>
          <w:rtl/>
        </w:rPr>
        <w:t xml:space="preserve">, שם קשר המערער עם אחרים קשר להשתתף בהתקהלות אסורה בסמוך למסגד אלאקצא לאחר תפילת יום השישי ובמסגרתה ליידות בקבוקי תבערה לעבר כוחות הביטחון. במסגרת הקשר, ייצרו המערער </w:t>
      </w:r>
      <w:r>
        <w:rPr>
          <w:rFonts w:hint="cs"/>
          <w:noProof w:val="0"/>
          <w:sz w:val="26"/>
          <w:szCs w:val="26"/>
          <w:rtl/>
        </w:rPr>
        <w:t xml:space="preserve">יחד עם </w:t>
      </w:r>
      <w:r>
        <w:rPr>
          <w:noProof w:val="0"/>
          <w:sz w:val="26"/>
          <w:szCs w:val="26"/>
          <w:rtl/>
        </w:rPr>
        <w:t>שניים אחרים 8 בקבוקי תבערה. בתום תפילת יום השישי החלו הפרות סדר שבהם השתתפו גם המערער ויתר המעורבים בקשר. בשלב מסוים, הציתו המערערים והאחרים את בקבוקי התבערה והשליכו אותם מתוך המסגד לעבר כוחות הביטחון. אחד מבקבוקי התבערה פגע באפוד של שוטר שנכח במקום וה</w:t>
      </w:r>
      <w:r>
        <w:rPr>
          <w:rFonts w:hint="cs"/>
          <w:noProof w:val="0"/>
          <w:sz w:val="26"/>
          <w:szCs w:val="26"/>
          <w:rtl/>
        </w:rPr>
        <w:t>אפוד</w:t>
      </w:r>
      <w:r>
        <w:rPr>
          <w:noProof w:val="0"/>
          <w:sz w:val="26"/>
          <w:szCs w:val="26"/>
          <w:rtl/>
        </w:rPr>
        <w:t xml:space="preserve"> החל לבעור. </w:t>
      </w:r>
      <w:r>
        <w:rPr>
          <w:rFonts w:hint="cs"/>
          <w:noProof w:val="0"/>
          <w:sz w:val="26"/>
          <w:szCs w:val="26"/>
          <w:rtl/>
        </w:rPr>
        <w:t xml:space="preserve">בית המשפט המחוזי הטיל על המערער עונש מאסר בפועל של 5.5 שנים וכן הופעל מאסר על תנאי של 20 חודשים שהיה תלוי נגד המערער (12 חודשים ממנו במצטבר ו-8 בחופף), כך שסה"כ הושתה על המערער תקופת מאסר של 6.5 שנים. </w:t>
      </w:r>
      <w:r>
        <w:rPr>
          <w:noProof w:val="0"/>
          <w:sz w:val="26"/>
          <w:szCs w:val="26"/>
          <w:rtl/>
        </w:rPr>
        <w:t xml:space="preserve">בית המשפט העליון הותיר על כנו את </w:t>
      </w:r>
      <w:r>
        <w:rPr>
          <w:rFonts w:hint="cs"/>
          <w:noProof w:val="0"/>
          <w:sz w:val="26"/>
          <w:szCs w:val="26"/>
          <w:rtl/>
        </w:rPr>
        <w:t>ה</w:t>
      </w:r>
      <w:r>
        <w:rPr>
          <w:noProof w:val="0"/>
          <w:sz w:val="26"/>
          <w:szCs w:val="26"/>
          <w:rtl/>
        </w:rPr>
        <w:t>עונש שהטיל בית המשפט המחוזי</w:t>
      </w:r>
      <w:r>
        <w:rPr>
          <w:rFonts w:hint="cs"/>
          <w:noProof w:val="0"/>
          <w:sz w:val="26"/>
          <w:szCs w:val="26"/>
          <w:rtl/>
        </w:rPr>
        <w:t xml:space="preserve">, ובמסגרת שיקוליו, ציין את העובדה, שלמערער היה חלק פעיל ומרכזי בתכנון הפעילות העבריינית והוא אף גייס קטינים להשתתף בפעילות. כן ניתן משקל לעובדה, שלחובתו של המערער עבר פלילי מכביד והוא ביצע את העבירות בזמן שהיה תלוי ועומד נגדו עונש מאסר מותנה. </w:t>
      </w:r>
    </w:p>
    <w:p w14:paraId="4E0253FC" w14:textId="77777777" w:rsidR="00457BED" w:rsidRDefault="00457BED">
      <w:pPr>
        <w:spacing w:line="360" w:lineRule="auto"/>
        <w:jc w:val="both"/>
        <w:rPr>
          <w:noProof w:val="0"/>
          <w:sz w:val="26"/>
          <w:szCs w:val="26"/>
          <w:rtl/>
        </w:rPr>
      </w:pPr>
    </w:p>
    <w:p w14:paraId="4A5CC74F" w14:textId="77777777" w:rsidR="00457BED" w:rsidRDefault="00E20B47">
      <w:pPr>
        <w:spacing w:line="360" w:lineRule="auto"/>
        <w:jc w:val="both"/>
        <w:rPr>
          <w:noProof w:val="0"/>
          <w:sz w:val="26"/>
          <w:szCs w:val="26"/>
          <w:rtl/>
        </w:rPr>
      </w:pPr>
      <w:r>
        <w:rPr>
          <w:noProof w:val="0"/>
          <w:sz w:val="26"/>
          <w:szCs w:val="26"/>
          <w:rtl/>
        </w:rPr>
        <w:t>ב</w:t>
      </w:r>
      <w:hyperlink r:id="rId55" w:history="1">
        <w:r w:rsidRPr="00E20B47">
          <w:rPr>
            <w:noProof w:val="0"/>
            <w:color w:val="0000FF"/>
            <w:sz w:val="26"/>
            <w:szCs w:val="26"/>
            <w:u w:val="single"/>
            <w:rtl/>
          </w:rPr>
          <w:t>ע"פ 751/16</w:t>
        </w:r>
      </w:hyperlink>
      <w:r>
        <w:rPr>
          <w:noProof w:val="0"/>
          <w:sz w:val="26"/>
          <w:szCs w:val="26"/>
          <w:rtl/>
        </w:rPr>
        <w:t xml:space="preserve"> </w:t>
      </w:r>
      <w:r>
        <w:rPr>
          <w:b/>
          <w:bCs/>
          <w:noProof w:val="0"/>
          <w:sz w:val="26"/>
          <w:szCs w:val="26"/>
          <w:rtl/>
        </w:rPr>
        <w:t>פלוני נ' מדינת ישראל</w:t>
      </w:r>
      <w:r>
        <w:rPr>
          <w:noProof w:val="0"/>
          <w:sz w:val="26"/>
          <w:szCs w:val="26"/>
          <w:rtl/>
        </w:rPr>
        <w:t xml:space="preserve"> (ניתן ביום 21.4.16) דובר </w:t>
      </w:r>
      <w:r>
        <w:rPr>
          <w:noProof w:val="0"/>
          <w:sz w:val="26"/>
          <w:szCs w:val="26"/>
          <w:u w:val="single"/>
          <w:rtl/>
        </w:rPr>
        <w:t>בקטין</w:t>
      </w:r>
      <w:r>
        <w:rPr>
          <w:noProof w:val="0"/>
          <w:sz w:val="26"/>
          <w:szCs w:val="26"/>
          <w:rtl/>
        </w:rPr>
        <w:t xml:space="preserve">, אשר הודה במסגרת הסדר טיעון, כי הכין בקבוק תבערה והגיע לעיר העתיקה בירושלים במטרה ליידות אותו על יהודים. לאחר מספר דקות עבר במקום אדם בעל חזות יהודית והמערער השליך לעברו את בקבוק התבערה אשר התנפץ והתלקח בסמוך אליו ולשני ילדים אשר עמדו בקרבת מקום. בית המשפט העליון העמיד את עונשו על 20 חודשי מאסר (במקום 26 חודשים שהטיל בית המשפט המחוזי). במסגרת שיקוליו, העניק בית המשפט העליון משקל מיוחד לתהליך השיקומי שעבר הקטין מאז שנגזר דינו. </w:t>
      </w:r>
    </w:p>
    <w:p w14:paraId="6456F697" w14:textId="77777777" w:rsidR="00457BED" w:rsidRDefault="00457BED">
      <w:pPr>
        <w:spacing w:line="360" w:lineRule="auto"/>
        <w:jc w:val="both"/>
        <w:rPr>
          <w:noProof w:val="0"/>
          <w:sz w:val="26"/>
          <w:szCs w:val="26"/>
          <w:rtl/>
        </w:rPr>
      </w:pPr>
    </w:p>
    <w:p w14:paraId="773EF756" w14:textId="77777777" w:rsidR="00457BED" w:rsidRDefault="00E20B47">
      <w:pPr>
        <w:spacing w:line="360" w:lineRule="auto"/>
        <w:jc w:val="both"/>
        <w:rPr>
          <w:noProof w:val="0"/>
          <w:sz w:val="26"/>
          <w:szCs w:val="26"/>
          <w:u w:val="single"/>
          <w:rtl/>
        </w:rPr>
      </w:pPr>
      <w:r>
        <w:rPr>
          <w:noProof w:val="0"/>
          <w:sz w:val="26"/>
          <w:szCs w:val="26"/>
          <w:u w:val="single"/>
          <w:rtl/>
        </w:rPr>
        <w:t>הנסיבות הקשורות בביצוע העבירה (</w:t>
      </w:r>
      <w:hyperlink r:id="rId56" w:history="1">
        <w:r w:rsidR="00D227C2" w:rsidRPr="00D227C2">
          <w:rPr>
            <w:noProof w:val="0"/>
            <w:color w:val="0000FF"/>
            <w:sz w:val="26"/>
            <w:szCs w:val="26"/>
            <w:u w:val="single"/>
            <w:rtl/>
          </w:rPr>
          <w:t>סעיף 40ט(א)</w:t>
        </w:r>
      </w:hyperlink>
      <w:r>
        <w:rPr>
          <w:noProof w:val="0"/>
          <w:sz w:val="26"/>
          <w:szCs w:val="26"/>
          <w:u w:val="single"/>
          <w:rtl/>
        </w:rPr>
        <w:t xml:space="preserve"> לחוק)</w:t>
      </w:r>
    </w:p>
    <w:p w14:paraId="45A3A171" w14:textId="77777777" w:rsidR="00457BED" w:rsidRDefault="00E20B47">
      <w:pPr>
        <w:spacing w:line="360" w:lineRule="auto"/>
        <w:jc w:val="both"/>
        <w:rPr>
          <w:noProof w:val="0"/>
          <w:sz w:val="26"/>
          <w:szCs w:val="26"/>
          <w:rtl/>
        </w:rPr>
      </w:pPr>
      <w:r>
        <w:rPr>
          <w:noProof w:val="0"/>
          <w:sz w:val="26"/>
          <w:szCs w:val="26"/>
          <w:rtl/>
        </w:rPr>
        <w:t>18.</w:t>
      </w:r>
      <w:r>
        <w:rPr>
          <w:noProof w:val="0"/>
          <w:sz w:val="26"/>
          <w:szCs w:val="26"/>
          <w:rtl/>
        </w:rPr>
        <w:tab/>
        <w:t>תחילה, אני רואה לייחס משקל לכך, שקדם למעש</w:t>
      </w:r>
      <w:r>
        <w:rPr>
          <w:rFonts w:hint="cs"/>
          <w:noProof w:val="0"/>
          <w:sz w:val="26"/>
          <w:szCs w:val="26"/>
          <w:rtl/>
        </w:rPr>
        <w:t>י</w:t>
      </w:r>
      <w:r>
        <w:rPr>
          <w:noProof w:val="0"/>
          <w:sz w:val="26"/>
          <w:szCs w:val="26"/>
          <w:rtl/>
        </w:rPr>
        <w:t xml:space="preserve">ו של הנאשם </w:t>
      </w:r>
      <w:r>
        <w:rPr>
          <w:b/>
          <w:bCs/>
          <w:noProof w:val="0"/>
          <w:sz w:val="26"/>
          <w:szCs w:val="26"/>
          <w:rtl/>
        </w:rPr>
        <w:t>תכנון</w:t>
      </w:r>
      <w:r>
        <w:rPr>
          <w:noProof w:val="0"/>
          <w:sz w:val="26"/>
          <w:szCs w:val="26"/>
          <w:rtl/>
        </w:rPr>
        <w:t xml:space="preserve"> (</w:t>
      </w:r>
      <w:hyperlink r:id="rId57" w:history="1">
        <w:r w:rsidR="00D227C2" w:rsidRPr="00D227C2">
          <w:rPr>
            <w:noProof w:val="0"/>
            <w:color w:val="0000FF"/>
            <w:sz w:val="26"/>
            <w:szCs w:val="26"/>
            <w:u w:val="single"/>
            <w:rtl/>
          </w:rPr>
          <w:t>סעיף 40ט(א)(1)</w:t>
        </w:r>
      </w:hyperlink>
      <w:r>
        <w:rPr>
          <w:noProof w:val="0"/>
          <w:sz w:val="26"/>
          <w:szCs w:val="26"/>
          <w:rtl/>
        </w:rPr>
        <w:t xml:space="preserve"> לחוק): ב</w:t>
      </w:r>
      <w:r>
        <w:rPr>
          <w:rFonts w:hint="cs"/>
          <w:noProof w:val="0"/>
          <w:sz w:val="26"/>
          <w:szCs w:val="26"/>
          <w:rtl/>
        </w:rPr>
        <w:t xml:space="preserve">אישום </w:t>
      </w:r>
      <w:r>
        <w:rPr>
          <w:noProof w:val="0"/>
          <w:sz w:val="26"/>
          <w:szCs w:val="26"/>
          <w:rtl/>
        </w:rPr>
        <w:t>הראשון, ייצר הנאשם בעצמו בקבוק תבערה, בחר את מקום האירוע ונסע לצורך זה מאזור מגוריו בשועפט לעיר העתיקה, שם המתין כ- 3 שעות עד "לרגע המתאים" בו יוכל להוציא את זממו אל הפועל. באי</w:t>
      </w:r>
      <w:r>
        <w:rPr>
          <w:rFonts w:hint="cs"/>
          <w:noProof w:val="0"/>
          <w:sz w:val="26"/>
          <w:szCs w:val="26"/>
          <w:rtl/>
        </w:rPr>
        <w:t xml:space="preserve">שום </w:t>
      </w:r>
      <w:r>
        <w:rPr>
          <w:noProof w:val="0"/>
          <w:sz w:val="26"/>
          <w:szCs w:val="26"/>
          <w:rtl/>
        </w:rPr>
        <w:t xml:space="preserve">השני, התכנון וההכנה לא הסתכמו בפעולה נקודתית של ייצור בקבוק תבערה, אלא הנאשם פעל עם אחרים להוציא לפועל תכנית עבריינית </w:t>
      </w:r>
      <w:r>
        <w:rPr>
          <w:rFonts w:hint="cs"/>
          <w:noProof w:val="0"/>
          <w:sz w:val="26"/>
          <w:szCs w:val="26"/>
          <w:rtl/>
        </w:rPr>
        <w:t>רחבה</w:t>
      </w:r>
      <w:r>
        <w:rPr>
          <w:noProof w:val="0"/>
          <w:sz w:val="26"/>
          <w:szCs w:val="26"/>
          <w:rtl/>
        </w:rPr>
        <w:t>, אשר כללה איסוף של אבנים, חפצים, ברזלים; ייצור של בקבוקי תבערה; וחסימה של הכניסות למסגד. יש לשים לב, כי פעולות ההכנה הללו בוצעו פעמיים, לראשונה בשעות הלילה של יום 26.9.15, ולאחר ההתפרעות בבוקר למחרת, התארגנו הנאשם והאחרים בשנית בלילה של יום 27.9.15 וייצרו כעשרה בקבוקי תבערה נוספים, לצורך ההתפרעות שתוכננה לבוקר יום 28.9.15.</w:t>
      </w:r>
    </w:p>
    <w:p w14:paraId="317547FD" w14:textId="77777777" w:rsidR="00457BED" w:rsidRDefault="00457BED">
      <w:pPr>
        <w:spacing w:line="360" w:lineRule="auto"/>
        <w:jc w:val="both"/>
        <w:rPr>
          <w:noProof w:val="0"/>
          <w:sz w:val="26"/>
          <w:szCs w:val="26"/>
          <w:rtl/>
        </w:rPr>
      </w:pPr>
    </w:p>
    <w:p w14:paraId="7B5789E0" w14:textId="77777777" w:rsidR="00457BED" w:rsidRDefault="00E20B47">
      <w:pPr>
        <w:spacing w:line="360" w:lineRule="auto"/>
        <w:jc w:val="both"/>
        <w:rPr>
          <w:noProof w:val="0"/>
          <w:sz w:val="26"/>
          <w:szCs w:val="26"/>
          <w:rtl/>
        </w:rPr>
      </w:pPr>
      <w:r>
        <w:rPr>
          <w:noProof w:val="0"/>
          <w:sz w:val="26"/>
          <w:szCs w:val="26"/>
          <w:rtl/>
        </w:rPr>
        <w:t>19.</w:t>
      </w:r>
      <w:r>
        <w:rPr>
          <w:noProof w:val="0"/>
          <w:sz w:val="26"/>
          <w:szCs w:val="26"/>
          <w:rtl/>
        </w:rPr>
        <w:tab/>
        <w:t>אשר ל</w:t>
      </w:r>
      <w:r>
        <w:rPr>
          <w:b/>
          <w:bCs/>
          <w:noProof w:val="0"/>
          <w:sz w:val="26"/>
          <w:szCs w:val="26"/>
          <w:rtl/>
        </w:rPr>
        <w:t>חלקו היחסי של הנאשם והשפעתם של אחרים על הנאשם בביצוע העבירה</w:t>
      </w:r>
      <w:r>
        <w:rPr>
          <w:noProof w:val="0"/>
          <w:sz w:val="26"/>
          <w:szCs w:val="26"/>
          <w:rtl/>
        </w:rPr>
        <w:t xml:space="preserve"> (</w:t>
      </w:r>
      <w:hyperlink r:id="rId58" w:history="1">
        <w:r w:rsidR="00D227C2" w:rsidRPr="00D227C2">
          <w:rPr>
            <w:noProof w:val="0"/>
            <w:color w:val="0000FF"/>
            <w:sz w:val="26"/>
            <w:szCs w:val="26"/>
            <w:u w:val="single"/>
            <w:rtl/>
          </w:rPr>
          <w:t>סעיף 40ט(א)(2)</w:t>
        </w:r>
      </w:hyperlink>
      <w:r>
        <w:rPr>
          <w:noProof w:val="0"/>
          <w:sz w:val="26"/>
          <w:szCs w:val="26"/>
          <w:rtl/>
        </w:rPr>
        <w:t xml:space="preserve"> לחוק), ניתן לראות, כי באי</w:t>
      </w:r>
      <w:r>
        <w:rPr>
          <w:rFonts w:hint="cs"/>
          <w:noProof w:val="0"/>
          <w:sz w:val="26"/>
          <w:szCs w:val="26"/>
          <w:rtl/>
        </w:rPr>
        <w:t>שום</w:t>
      </w:r>
      <w:r>
        <w:rPr>
          <w:noProof w:val="0"/>
          <w:sz w:val="26"/>
          <w:szCs w:val="26"/>
          <w:rtl/>
        </w:rPr>
        <w:t xml:space="preserve"> הראשון היה הנאשם המתכנן והמבצע היחיד, ופעל באופן נקודתי. באי</w:t>
      </w:r>
      <w:r>
        <w:rPr>
          <w:rFonts w:hint="cs"/>
          <w:noProof w:val="0"/>
          <w:sz w:val="26"/>
          <w:szCs w:val="26"/>
          <w:rtl/>
        </w:rPr>
        <w:t>שום</w:t>
      </w:r>
      <w:r>
        <w:rPr>
          <w:noProof w:val="0"/>
          <w:sz w:val="26"/>
          <w:szCs w:val="26"/>
          <w:rtl/>
        </w:rPr>
        <w:t xml:space="preserve"> השני פעל הנאשם כחלק מקבוצה של </w:t>
      </w:r>
      <w:r>
        <w:rPr>
          <w:rFonts w:hint="cs"/>
          <w:noProof w:val="0"/>
          <w:sz w:val="26"/>
          <w:szCs w:val="26"/>
          <w:rtl/>
        </w:rPr>
        <w:t>20-30</w:t>
      </w:r>
      <w:r>
        <w:rPr>
          <w:noProof w:val="0"/>
          <w:sz w:val="26"/>
          <w:szCs w:val="26"/>
          <w:rtl/>
        </w:rPr>
        <w:t xml:space="preserve"> מתפרעים רעולי פנים, ולקח חלק הן בהכנה והן בביצוע. הנאשם טען בהקשר זה, כי הוא נגרר אחר הקבוצה, מתוך תחושת מחויבות, אך ישנו קושי ליישב דברים אלה עם העובדה, שמדובר באירוע שהשתרע על פני מספר ימים, והנאשם נטל חלק </w:t>
      </w:r>
      <w:r>
        <w:rPr>
          <w:rFonts w:hint="cs"/>
          <w:noProof w:val="0"/>
          <w:sz w:val="26"/>
          <w:szCs w:val="26"/>
          <w:rtl/>
        </w:rPr>
        <w:t xml:space="preserve">אקטיבי </w:t>
      </w:r>
      <w:r>
        <w:rPr>
          <w:noProof w:val="0"/>
          <w:sz w:val="26"/>
          <w:szCs w:val="26"/>
          <w:rtl/>
        </w:rPr>
        <w:t>בשני סבביו, הן בשלב ההכנה והן בשלב ההתפרעות עצמה. מכל מקום, גם אם המעשים בוצעו בהשפעת אחרים, אין להקל ראש בחומרתם, ואזכיר בהקשר זה, כי בקבוקי התבערה שיידה הנאשם (שלושה במספר) התלקחו והציתו חפצים אשר חסמו את הכניסה לשער המסגד. מעבר לכך, עצם נטילת חלק בהתפרעות רבת משתתפים נושאת מ</w:t>
      </w:r>
      <w:r>
        <w:rPr>
          <w:rFonts w:hint="cs"/>
          <w:noProof w:val="0"/>
          <w:sz w:val="26"/>
          <w:szCs w:val="26"/>
          <w:rtl/>
        </w:rPr>
        <w:t>י</w:t>
      </w:r>
      <w:r>
        <w:rPr>
          <w:noProof w:val="0"/>
          <w:sz w:val="26"/>
          <w:szCs w:val="26"/>
          <w:rtl/>
        </w:rPr>
        <w:t>מד מיוחד של חומרה, משהיא גורמת לשלהוב היצרים ועלולה להסלים. ואפנה לדבריה של כבוד השופטת א' פרוקצ'יה ב</w:t>
      </w:r>
      <w:hyperlink r:id="rId59" w:history="1">
        <w:r w:rsidRPr="00E20B47">
          <w:rPr>
            <w:noProof w:val="0"/>
            <w:color w:val="0000FF"/>
            <w:sz w:val="26"/>
            <w:szCs w:val="26"/>
            <w:u w:val="single"/>
            <w:rtl/>
          </w:rPr>
          <w:t>ע"פ 7211/04</w:t>
        </w:r>
      </w:hyperlink>
      <w:r>
        <w:rPr>
          <w:noProof w:val="0"/>
          <w:sz w:val="26"/>
          <w:szCs w:val="26"/>
          <w:rtl/>
        </w:rPr>
        <w:t xml:space="preserve"> </w:t>
      </w:r>
      <w:r>
        <w:rPr>
          <w:b/>
          <w:bCs/>
          <w:noProof w:val="0"/>
          <w:sz w:val="26"/>
          <w:szCs w:val="26"/>
          <w:rtl/>
        </w:rPr>
        <w:t>מדינת ישראל נ' פלוני</w:t>
      </w:r>
      <w:r>
        <w:rPr>
          <w:noProof w:val="0"/>
          <w:sz w:val="26"/>
          <w:szCs w:val="26"/>
          <w:rtl/>
        </w:rPr>
        <w:t xml:space="preserve"> (ניתן ביום 13.3.06), המתאימים, בשינויים המחויבים, למקרה דנן: </w:t>
      </w:r>
      <w:r>
        <w:rPr>
          <w:b/>
          <w:bCs/>
          <w:noProof w:val="0"/>
          <w:sz w:val="26"/>
          <w:szCs w:val="26"/>
          <w:rtl/>
        </w:rPr>
        <w:t>"האלימות שהתפתחה באירוע זה לא הסתכמה בסיכון הממשי לחיי אדם שעלה מההתרחשויות, ומהפגיעות הפיזיות והרכושיות שנגרמו בעטייה. היא שקפה פרץ התלהמות אלימה של ציבור רחב אשר פעל נגד החוק ונגד רשויות אכיפת החוק. פריצה זו של גדרי – חובת כיבוד החוק בעוצמה ובהיקף שאפיינו אותה טמנה בחובה סיכון חמור ליציבות החיים ולתקינות הסדר הציבורי. היא איימה להשפיע גם על אזורים אחרים, ואצרה בחובה איום ממשי לחיי אדם"</w:t>
      </w:r>
      <w:r>
        <w:rPr>
          <w:noProof w:val="0"/>
          <w:sz w:val="26"/>
          <w:szCs w:val="26"/>
          <w:rtl/>
        </w:rPr>
        <w:t xml:space="preserve"> (</w:t>
      </w:r>
      <w:r>
        <w:rPr>
          <w:b/>
          <w:bCs/>
          <w:noProof w:val="0"/>
          <w:sz w:val="26"/>
          <w:szCs w:val="26"/>
          <w:rtl/>
        </w:rPr>
        <w:t>שם</w:t>
      </w:r>
      <w:r>
        <w:rPr>
          <w:noProof w:val="0"/>
          <w:sz w:val="26"/>
          <w:szCs w:val="26"/>
          <w:rtl/>
        </w:rPr>
        <w:t>, בפסקה 10 לחוות דעתה).</w:t>
      </w:r>
    </w:p>
    <w:p w14:paraId="685155D3" w14:textId="77777777" w:rsidR="00457BED" w:rsidRDefault="00457BED">
      <w:pPr>
        <w:spacing w:line="360" w:lineRule="auto"/>
        <w:jc w:val="both"/>
        <w:rPr>
          <w:noProof w:val="0"/>
          <w:sz w:val="22"/>
          <w:szCs w:val="22"/>
          <w:rtl/>
        </w:rPr>
      </w:pPr>
    </w:p>
    <w:p w14:paraId="13567ECF" w14:textId="77777777" w:rsidR="00457BED" w:rsidRDefault="00E20B47">
      <w:pPr>
        <w:spacing w:line="360" w:lineRule="auto"/>
        <w:jc w:val="both"/>
        <w:rPr>
          <w:noProof w:val="0"/>
          <w:sz w:val="26"/>
          <w:szCs w:val="26"/>
          <w:rtl/>
        </w:rPr>
      </w:pPr>
      <w:r>
        <w:rPr>
          <w:noProof w:val="0"/>
          <w:sz w:val="26"/>
          <w:szCs w:val="26"/>
          <w:rtl/>
        </w:rPr>
        <w:t>20.</w:t>
      </w:r>
      <w:r>
        <w:rPr>
          <w:noProof w:val="0"/>
          <w:sz w:val="26"/>
          <w:szCs w:val="26"/>
          <w:rtl/>
        </w:rPr>
        <w:tab/>
        <w:t xml:space="preserve">מבחינת </w:t>
      </w:r>
      <w:r>
        <w:rPr>
          <w:b/>
          <w:bCs/>
          <w:noProof w:val="0"/>
          <w:sz w:val="26"/>
          <w:szCs w:val="26"/>
          <w:rtl/>
        </w:rPr>
        <w:t>הנזק שהיה צפוי להיגרם מביצוע העבירה</w:t>
      </w:r>
      <w:r>
        <w:rPr>
          <w:noProof w:val="0"/>
          <w:sz w:val="26"/>
          <w:szCs w:val="26"/>
          <w:rtl/>
        </w:rPr>
        <w:t xml:space="preserve"> (</w:t>
      </w:r>
      <w:hyperlink r:id="rId60" w:history="1">
        <w:r w:rsidR="00D227C2" w:rsidRPr="00D227C2">
          <w:rPr>
            <w:noProof w:val="0"/>
            <w:color w:val="0000FF"/>
            <w:sz w:val="26"/>
            <w:szCs w:val="26"/>
            <w:u w:val="single"/>
            <w:rtl/>
          </w:rPr>
          <w:t>סעיף 40ט(א)(3)</w:t>
        </w:r>
      </w:hyperlink>
      <w:r>
        <w:rPr>
          <w:noProof w:val="0"/>
          <w:sz w:val="26"/>
          <w:szCs w:val="26"/>
          <w:rtl/>
        </w:rPr>
        <w:t xml:space="preserve"> לחוק), ברי, כי זריקת שני בקבוקי תבערה ממרחק של 10 מטרים על קבוצה של שוטרים ואזרחים (באי</w:t>
      </w:r>
      <w:r>
        <w:rPr>
          <w:rFonts w:hint="cs"/>
          <w:noProof w:val="0"/>
          <w:sz w:val="26"/>
          <w:szCs w:val="26"/>
          <w:rtl/>
        </w:rPr>
        <w:t xml:space="preserve">שום </w:t>
      </w:r>
      <w:r>
        <w:rPr>
          <w:noProof w:val="0"/>
          <w:sz w:val="26"/>
          <w:szCs w:val="26"/>
          <w:rtl/>
        </w:rPr>
        <w:t>הראשון) ויידוי אבנים ובקבוקי תבערה יחד עם קהל רב לעבר אנשי כוחות הביטחון</w:t>
      </w:r>
      <w:r>
        <w:rPr>
          <w:rFonts w:hint="cs"/>
          <w:noProof w:val="0"/>
          <w:sz w:val="26"/>
          <w:szCs w:val="26"/>
          <w:rtl/>
        </w:rPr>
        <w:t xml:space="preserve"> (באישום השני)</w:t>
      </w:r>
      <w:r>
        <w:rPr>
          <w:noProof w:val="0"/>
          <w:sz w:val="26"/>
          <w:szCs w:val="26"/>
          <w:rtl/>
        </w:rPr>
        <w:t xml:space="preserve">, טומנת בחובה סכנה ישירה וממשית לפגיעות רציניות </w:t>
      </w:r>
      <w:r>
        <w:rPr>
          <w:rFonts w:hint="cs"/>
          <w:noProof w:val="0"/>
          <w:sz w:val="26"/>
          <w:szCs w:val="26"/>
          <w:rtl/>
        </w:rPr>
        <w:t>בנפש</w:t>
      </w:r>
      <w:r>
        <w:rPr>
          <w:noProof w:val="0"/>
          <w:sz w:val="26"/>
          <w:szCs w:val="26"/>
          <w:rtl/>
        </w:rPr>
        <w:t xml:space="preserve"> ו</w:t>
      </w:r>
      <w:r>
        <w:rPr>
          <w:rFonts w:hint="cs"/>
          <w:noProof w:val="0"/>
          <w:sz w:val="26"/>
          <w:szCs w:val="26"/>
          <w:rtl/>
        </w:rPr>
        <w:t>ב</w:t>
      </w:r>
      <w:r>
        <w:rPr>
          <w:noProof w:val="0"/>
          <w:sz w:val="26"/>
          <w:szCs w:val="26"/>
          <w:rtl/>
        </w:rPr>
        <w:t xml:space="preserve">רכוש. בנוסף, בשים לב למיקום הרגיש בו בוצעו העבירות – בסמוך לכניסה לאזור הר הבית (באישום הראשון) ובתוך מתחם הר הבית (באישום השני) – הרי שבכוחם של אירועים כאמור להיות הרי אסון ולהצית גלים של מעשי מחאה גם במקומות אחרים. בפועל, </w:t>
      </w:r>
      <w:r>
        <w:rPr>
          <w:b/>
          <w:bCs/>
          <w:noProof w:val="0"/>
          <w:sz w:val="26"/>
          <w:szCs w:val="26"/>
          <w:rtl/>
        </w:rPr>
        <w:t>הנזק שנגרם ממעשי הנאשם</w:t>
      </w:r>
      <w:r>
        <w:rPr>
          <w:noProof w:val="0"/>
          <w:sz w:val="26"/>
          <w:szCs w:val="26"/>
          <w:rtl/>
        </w:rPr>
        <w:t xml:space="preserve"> (</w:t>
      </w:r>
      <w:hyperlink r:id="rId61" w:history="1">
        <w:r w:rsidR="00D227C2" w:rsidRPr="00D227C2">
          <w:rPr>
            <w:noProof w:val="0"/>
            <w:color w:val="0000FF"/>
            <w:sz w:val="26"/>
            <w:szCs w:val="26"/>
            <w:u w:val="single"/>
            <w:rtl/>
          </w:rPr>
          <w:t>סעיף 40ט(א)(4)</w:t>
        </w:r>
      </w:hyperlink>
      <w:r>
        <w:rPr>
          <w:noProof w:val="0"/>
          <w:sz w:val="26"/>
          <w:szCs w:val="26"/>
          <w:rtl/>
        </w:rPr>
        <w:t xml:space="preserve"> לחוק)</w:t>
      </w:r>
      <w:r>
        <w:rPr>
          <w:rFonts w:hint="cs"/>
          <w:noProof w:val="0"/>
          <w:sz w:val="26"/>
          <w:szCs w:val="26"/>
          <w:rtl/>
        </w:rPr>
        <w:t xml:space="preserve"> הסתכם בנזק לרכוש, ללא נפגעים בגוף: </w:t>
      </w:r>
      <w:r>
        <w:rPr>
          <w:noProof w:val="0"/>
          <w:sz w:val="26"/>
          <w:szCs w:val="26"/>
          <w:rtl/>
        </w:rPr>
        <w:t>באירוע</w:t>
      </w:r>
      <w:r>
        <w:rPr>
          <w:rFonts w:hint="cs"/>
          <w:noProof w:val="0"/>
          <w:sz w:val="26"/>
          <w:szCs w:val="26"/>
          <w:rtl/>
        </w:rPr>
        <w:t xml:space="preserve"> המתואר באישום</w:t>
      </w:r>
      <w:r>
        <w:rPr>
          <w:noProof w:val="0"/>
          <w:sz w:val="26"/>
          <w:szCs w:val="26"/>
          <w:rtl/>
        </w:rPr>
        <w:t xml:space="preserve"> הראשון, פגעו בקבוקי התבערה בקיר מסעדה במרחק של כמטר וחצי מהקבוצה </w:t>
      </w:r>
      <w:r>
        <w:rPr>
          <w:rFonts w:hint="cs"/>
          <w:noProof w:val="0"/>
          <w:sz w:val="26"/>
          <w:szCs w:val="26"/>
          <w:rtl/>
        </w:rPr>
        <w:t>והציתו</w:t>
      </w:r>
      <w:r>
        <w:rPr>
          <w:noProof w:val="0"/>
          <w:sz w:val="26"/>
          <w:szCs w:val="26"/>
          <w:rtl/>
        </w:rPr>
        <w:t xml:space="preserve"> </w:t>
      </w:r>
      <w:r>
        <w:rPr>
          <w:rFonts w:hint="cs"/>
          <w:noProof w:val="0"/>
          <w:sz w:val="26"/>
          <w:szCs w:val="26"/>
          <w:rtl/>
        </w:rPr>
        <w:t xml:space="preserve">את </w:t>
      </w:r>
      <w:r>
        <w:rPr>
          <w:noProof w:val="0"/>
          <w:sz w:val="26"/>
          <w:szCs w:val="26"/>
          <w:rtl/>
        </w:rPr>
        <w:t>קירות המסעדה ו</w:t>
      </w:r>
      <w:r>
        <w:rPr>
          <w:rFonts w:hint="cs"/>
          <w:noProof w:val="0"/>
          <w:sz w:val="26"/>
          <w:szCs w:val="26"/>
          <w:rtl/>
        </w:rPr>
        <w:t>א</w:t>
      </w:r>
      <w:r>
        <w:rPr>
          <w:noProof w:val="0"/>
          <w:sz w:val="26"/>
          <w:szCs w:val="26"/>
          <w:rtl/>
        </w:rPr>
        <w:t xml:space="preserve">בני הדרך. באירוע </w:t>
      </w:r>
      <w:r>
        <w:rPr>
          <w:rFonts w:hint="cs"/>
          <w:noProof w:val="0"/>
          <w:sz w:val="26"/>
          <w:szCs w:val="26"/>
          <w:rtl/>
        </w:rPr>
        <w:t xml:space="preserve">המתואר באישום </w:t>
      </w:r>
      <w:r>
        <w:rPr>
          <w:noProof w:val="0"/>
          <w:sz w:val="26"/>
          <w:szCs w:val="26"/>
          <w:rtl/>
        </w:rPr>
        <w:t xml:space="preserve">השני, הוצת השטיח בכניסה למסגד וחפצים שהונחו לחסום את הכניסה למסגד. </w:t>
      </w:r>
    </w:p>
    <w:p w14:paraId="784B880A" w14:textId="77777777" w:rsidR="00457BED" w:rsidRDefault="00457BED">
      <w:pPr>
        <w:spacing w:line="360" w:lineRule="auto"/>
        <w:jc w:val="both"/>
        <w:rPr>
          <w:noProof w:val="0"/>
          <w:sz w:val="26"/>
          <w:szCs w:val="26"/>
          <w:rtl/>
        </w:rPr>
      </w:pPr>
    </w:p>
    <w:p w14:paraId="04AED45C" w14:textId="77777777" w:rsidR="00457BED" w:rsidRDefault="00E20B47">
      <w:pPr>
        <w:spacing w:line="360" w:lineRule="auto"/>
        <w:jc w:val="both"/>
        <w:rPr>
          <w:noProof w:val="0"/>
          <w:sz w:val="26"/>
          <w:szCs w:val="26"/>
          <w:rtl/>
        </w:rPr>
      </w:pPr>
      <w:r>
        <w:rPr>
          <w:noProof w:val="0"/>
          <w:sz w:val="26"/>
          <w:szCs w:val="26"/>
          <w:rtl/>
        </w:rPr>
        <w:t>21.</w:t>
      </w:r>
      <w:r>
        <w:rPr>
          <w:noProof w:val="0"/>
          <w:sz w:val="26"/>
          <w:szCs w:val="26"/>
          <w:rtl/>
        </w:rPr>
        <w:tab/>
        <w:t>ה</w:t>
      </w:r>
      <w:r>
        <w:rPr>
          <w:b/>
          <w:bCs/>
          <w:noProof w:val="0"/>
          <w:sz w:val="26"/>
          <w:szCs w:val="26"/>
          <w:rtl/>
        </w:rPr>
        <w:t xml:space="preserve">סיבה לביצוע העבירה </w:t>
      </w:r>
      <w:r>
        <w:rPr>
          <w:noProof w:val="0"/>
          <w:sz w:val="26"/>
          <w:szCs w:val="26"/>
          <w:rtl/>
        </w:rPr>
        <w:t>(</w:t>
      </w:r>
      <w:hyperlink r:id="rId62" w:history="1">
        <w:r w:rsidR="00D227C2" w:rsidRPr="00D227C2">
          <w:rPr>
            <w:noProof w:val="0"/>
            <w:color w:val="0000FF"/>
            <w:sz w:val="26"/>
            <w:szCs w:val="26"/>
            <w:u w:val="single"/>
            <w:rtl/>
          </w:rPr>
          <w:t>סעיף 40ט(א)(5)</w:t>
        </w:r>
      </w:hyperlink>
      <w:r>
        <w:rPr>
          <w:noProof w:val="0"/>
          <w:sz w:val="26"/>
          <w:szCs w:val="26"/>
          <w:rtl/>
        </w:rPr>
        <w:t xml:space="preserve"> לחוק) ב</w:t>
      </w:r>
      <w:r>
        <w:rPr>
          <w:rFonts w:hint="cs"/>
          <w:noProof w:val="0"/>
          <w:sz w:val="26"/>
          <w:szCs w:val="26"/>
          <w:rtl/>
        </w:rPr>
        <w:t>אירוע המתואר ב</w:t>
      </w:r>
      <w:r>
        <w:rPr>
          <w:noProof w:val="0"/>
          <w:sz w:val="26"/>
          <w:szCs w:val="26"/>
          <w:rtl/>
        </w:rPr>
        <w:t>אישום הראשון, היא מורת רוחו של הנאשם מכך שלא הותר לו להיכנס לתפילה. ב</w:t>
      </w:r>
      <w:r>
        <w:rPr>
          <w:rFonts w:hint="cs"/>
          <w:noProof w:val="0"/>
          <w:sz w:val="26"/>
          <w:szCs w:val="26"/>
          <w:rtl/>
        </w:rPr>
        <w:t>אירוע המתואר באישום השני</w:t>
      </w:r>
      <w:r>
        <w:rPr>
          <w:noProof w:val="0"/>
          <w:sz w:val="26"/>
          <w:szCs w:val="26"/>
          <w:rtl/>
        </w:rPr>
        <w:t>, היה זה פרסום בפייסבוק בדבר כוונת מתנחלים לפרוץ למסגד אלאקצא, שהוביל להחלטה להתבצר במסגד ולהשתתף בהתפרעויות. בעניין זה, כבר נקבע לא אחת, כי כאשר עסקינן באירועי אלימות על רקע</w:t>
      </w:r>
      <w:r>
        <w:rPr>
          <w:rFonts w:hint="cs"/>
          <w:noProof w:val="0"/>
          <w:sz w:val="26"/>
          <w:szCs w:val="26"/>
          <w:rtl/>
        </w:rPr>
        <w:t xml:space="preserve"> </w:t>
      </w:r>
      <w:r>
        <w:rPr>
          <w:noProof w:val="0"/>
          <w:sz w:val="26"/>
          <w:szCs w:val="26"/>
          <w:rtl/>
        </w:rPr>
        <w:t xml:space="preserve">לאומני, יש לנקוט במדיניות ענישה ברורה ומרתיעה: </w:t>
      </w:r>
      <w:r>
        <w:rPr>
          <w:b/>
          <w:bCs/>
          <w:noProof w:val="0"/>
          <w:sz w:val="26"/>
          <w:szCs w:val="26"/>
          <w:rtl/>
        </w:rPr>
        <w:t>"בעבירות בעלות רקע אידיאולוגי-לאומני, על בית המשפט להעביר מסר הרתעתי חד משמעי, וכאשר זה המניע לביצוע המעשים 'נדחים שיקולי ענישה אחרים מפני שיקול ההרתעה'"</w:t>
      </w:r>
      <w:r>
        <w:rPr>
          <w:noProof w:val="0"/>
          <w:sz w:val="26"/>
          <w:szCs w:val="26"/>
          <w:rtl/>
        </w:rPr>
        <w:t xml:space="preserve"> (</w:t>
      </w:r>
      <w:hyperlink r:id="rId63" w:history="1">
        <w:r w:rsidRPr="00E20B47">
          <w:rPr>
            <w:noProof w:val="0"/>
            <w:color w:val="0000FF"/>
            <w:sz w:val="26"/>
            <w:szCs w:val="26"/>
            <w:u w:val="single"/>
            <w:rtl/>
          </w:rPr>
          <w:t>ע"פ 2460/15</w:t>
        </w:r>
      </w:hyperlink>
      <w:r>
        <w:rPr>
          <w:noProof w:val="0"/>
          <w:sz w:val="26"/>
          <w:szCs w:val="26"/>
          <w:rtl/>
        </w:rPr>
        <w:t xml:space="preserve"> </w:t>
      </w:r>
      <w:r>
        <w:rPr>
          <w:b/>
          <w:bCs/>
          <w:noProof w:val="0"/>
          <w:sz w:val="26"/>
          <w:szCs w:val="26"/>
          <w:rtl/>
        </w:rPr>
        <w:t>ג'בארין נ' מדינת ישראל</w:t>
      </w:r>
      <w:r>
        <w:rPr>
          <w:noProof w:val="0"/>
          <w:sz w:val="26"/>
          <w:szCs w:val="26"/>
          <w:rtl/>
        </w:rPr>
        <w:t>, ניתן ביום 4.5.16, בפסקה 103).</w:t>
      </w:r>
    </w:p>
    <w:p w14:paraId="4215701D" w14:textId="77777777" w:rsidR="00457BED" w:rsidRDefault="00457BED">
      <w:pPr>
        <w:spacing w:line="360" w:lineRule="auto"/>
        <w:jc w:val="both"/>
        <w:rPr>
          <w:noProof w:val="0"/>
          <w:sz w:val="26"/>
          <w:szCs w:val="26"/>
          <w:rtl/>
        </w:rPr>
      </w:pPr>
    </w:p>
    <w:p w14:paraId="4B7AE632" w14:textId="77777777" w:rsidR="00457BED" w:rsidRDefault="00E20B47">
      <w:pPr>
        <w:spacing w:line="360" w:lineRule="auto"/>
        <w:jc w:val="both"/>
        <w:rPr>
          <w:noProof w:val="0"/>
          <w:sz w:val="26"/>
          <w:szCs w:val="26"/>
          <w:u w:val="single"/>
          <w:rtl/>
        </w:rPr>
      </w:pPr>
      <w:r>
        <w:rPr>
          <w:noProof w:val="0"/>
          <w:sz w:val="26"/>
          <w:szCs w:val="26"/>
          <w:u w:val="single"/>
          <w:rtl/>
        </w:rPr>
        <w:t>מתחם הענישה ההולם</w:t>
      </w:r>
    </w:p>
    <w:p w14:paraId="44DDE7F4" w14:textId="77777777" w:rsidR="00457BED" w:rsidRDefault="00E20B47">
      <w:pPr>
        <w:spacing w:line="360" w:lineRule="auto"/>
        <w:jc w:val="both"/>
        <w:rPr>
          <w:noProof w:val="0"/>
          <w:sz w:val="26"/>
          <w:szCs w:val="26"/>
          <w:rtl/>
        </w:rPr>
      </w:pPr>
      <w:r>
        <w:rPr>
          <w:noProof w:val="0"/>
          <w:sz w:val="26"/>
          <w:szCs w:val="26"/>
          <w:rtl/>
        </w:rPr>
        <w:t>2</w:t>
      </w:r>
      <w:r>
        <w:rPr>
          <w:rFonts w:hint="cs"/>
          <w:noProof w:val="0"/>
          <w:sz w:val="26"/>
          <w:szCs w:val="26"/>
          <w:rtl/>
        </w:rPr>
        <w:t>2.</w:t>
      </w:r>
      <w:r>
        <w:rPr>
          <w:noProof w:val="0"/>
          <w:sz w:val="26"/>
          <w:szCs w:val="26"/>
          <w:rtl/>
        </w:rPr>
        <w:tab/>
        <w:t xml:space="preserve">בשים לב לכל הפרמטרים שמניתי לעיל, אני מוצא לקבוע מתחם שנע בין </w:t>
      </w:r>
      <w:r>
        <w:rPr>
          <w:rFonts w:hint="cs"/>
          <w:noProof w:val="0"/>
          <w:sz w:val="26"/>
          <w:szCs w:val="26"/>
          <w:rtl/>
        </w:rPr>
        <w:t>3</w:t>
      </w:r>
      <w:r>
        <w:rPr>
          <w:noProof w:val="0"/>
          <w:sz w:val="26"/>
          <w:szCs w:val="26"/>
          <w:rtl/>
        </w:rPr>
        <w:t xml:space="preserve"> ל-</w:t>
      </w:r>
      <w:r>
        <w:rPr>
          <w:rFonts w:hint="cs"/>
          <w:noProof w:val="0"/>
          <w:sz w:val="26"/>
          <w:szCs w:val="26"/>
          <w:rtl/>
        </w:rPr>
        <w:t>6 שנים</w:t>
      </w:r>
      <w:r>
        <w:rPr>
          <w:noProof w:val="0"/>
          <w:sz w:val="26"/>
          <w:szCs w:val="26"/>
          <w:rtl/>
        </w:rPr>
        <w:t xml:space="preserve">. </w:t>
      </w:r>
    </w:p>
    <w:p w14:paraId="101842AD" w14:textId="77777777" w:rsidR="00457BED" w:rsidRDefault="00457BED">
      <w:pPr>
        <w:spacing w:line="360" w:lineRule="auto"/>
        <w:jc w:val="both"/>
        <w:rPr>
          <w:noProof w:val="0"/>
          <w:sz w:val="26"/>
          <w:szCs w:val="26"/>
          <w:rtl/>
        </w:rPr>
      </w:pPr>
    </w:p>
    <w:p w14:paraId="0DC2A1D2" w14:textId="77777777" w:rsidR="00457BED" w:rsidRDefault="00E20B47">
      <w:pPr>
        <w:spacing w:line="360" w:lineRule="auto"/>
        <w:jc w:val="both"/>
        <w:rPr>
          <w:noProof w:val="0"/>
          <w:sz w:val="26"/>
          <w:szCs w:val="26"/>
          <w:u w:val="single"/>
          <w:rtl/>
        </w:rPr>
      </w:pPr>
      <w:r>
        <w:rPr>
          <w:noProof w:val="0"/>
          <w:sz w:val="26"/>
          <w:szCs w:val="26"/>
          <w:u w:val="single"/>
          <w:rtl/>
        </w:rPr>
        <w:t>נסיבות שאינן קשורות בביצוע העבירה (</w:t>
      </w:r>
      <w:hyperlink r:id="rId64" w:history="1">
        <w:r w:rsidR="00D227C2" w:rsidRPr="00D227C2">
          <w:rPr>
            <w:noProof w:val="0"/>
            <w:color w:val="0000FF"/>
            <w:sz w:val="26"/>
            <w:szCs w:val="26"/>
            <w:u w:val="single"/>
            <w:rtl/>
          </w:rPr>
          <w:t>סעיף 40יא</w:t>
        </w:r>
      </w:hyperlink>
      <w:r>
        <w:rPr>
          <w:noProof w:val="0"/>
          <w:sz w:val="26"/>
          <w:szCs w:val="26"/>
          <w:u w:val="single"/>
          <w:rtl/>
        </w:rPr>
        <w:t xml:space="preserve"> לחוק)</w:t>
      </w:r>
    </w:p>
    <w:p w14:paraId="7EC6A6E3" w14:textId="77777777" w:rsidR="00457BED" w:rsidRDefault="00E20B47">
      <w:pPr>
        <w:spacing w:line="360" w:lineRule="auto"/>
        <w:jc w:val="both"/>
        <w:rPr>
          <w:noProof w:val="0"/>
          <w:sz w:val="26"/>
          <w:szCs w:val="26"/>
          <w:rtl/>
        </w:rPr>
      </w:pPr>
      <w:r>
        <w:rPr>
          <w:noProof w:val="0"/>
          <w:sz w:val="26"/>
          <w:szCs w:val="26"/>
          <w:rtl/>
        </w:rPr>
        <w:t>2</w:t>
      </w:r>
      <w:r>
        <w:rPr>
          <w:rFonts w:hint="cs"/>
          <w:noProof w:val="0"/>
          <w:sz w:val="26"/>
          <w:szCs w:val="26"/>
          <w:rtl/>
        </w:rPr>
        <w:t>3</w:t>
      </w:r>
      <w:r>
        <w:rPr>
          <w:noProof w:val="0"/>
          <w:sz w:val="26"/>
          <w:szCs w:val="26"/>
          <w:rtl/>
        </w:rPr>
        <w:t>.</w:t>
      </w:r>
      <w:r>
        <w:rPr>
          <w:noProof w:val="0"/>
          <w:sz w:val="26"/>
          <w:szCs w:val="26"/>
          <w:rtl/>
        </w:rPr>
        <w:tab/>
        <w:t>הנאשם בן  24, רווק. אשר ל</w:t>
      </w:r>
      <w:r>
        <w:rPr>
          <w:b/>
          <w:bCs/>
          <w:noProof w:val="0"/>
          <w:sz w:val="26"/>
          <w:szCs w:val="26"/>
          <w:rtl/>
        </w:rPr>
        <w:t xml:space="preserve">פגיעה של העונש בנאשם ובמשפחתו </w:t>
      </w:r>
      <w:r>
        <w:rPr>
          <w:noProof w:val="0"/>
          <w:sz w:val="26"/>
          <w:szCs w:val="26"/>
          <w:rtl/>
        </w:rPr>
        <w:t>(</w:t>
      </w:r>
      <w:hyperlink r:id="rId65" w:history="1">
        <w:r w:rsidR="00D227C2" w:rsidRPr="00D227C2">
          <w:rPr>
            <w:noProof w:val="0"/>
            <w:color w:val="0000FF"/>
            <w:sz w:val="26"/>
            <w:szCs w:val="26"/>
            <w:u w:val="single"/>
            <w:rtl/>
          </w:rPr>
          <w:t>סעיפים 40יא(1)</w:t>
        </w:r>
      </w:hyperlink>
      <w:r>
        <w:rPr>
          <w:noProof w:val="0"/>
          <w:sz w:val="26"/>
          <w:szCs w:val="26"/>
          <w:rtl/>
        </w:rPr>
        <w:t xml:space="preserve"> ו-</w:t>
      </w:r>
      <w:hyperlink r:id="rId66" w:history="1">
        <w:r w:rsidR="00D227C2" w:rsidRPr="00D227C2">
          <w:rPr>
            <w:noProof w:val="0"/>
            <w:color w:val="0000FF"/>
            <w:sz w:val="26"/>
            <w:szCs w:val="26"/>
            <w:u w:val="single"/>
            <w:rtl/>
          </w:rPr>
          <w:t>(2)</w:t>
        </w:r>
      </w:hyperlink>
      <w:r>
        <w:rPr>
          <w:noProof w:val="0"/>
          <w:sz w:val="26"/>
          <w:szCs w:val="26"/>
          <w:rtl/>
        </w:rPr>
        <w:t xml:space="preserve"> לחוק), </w:t>
      </w:r>
      <w:r>
        <w:rPr>
          <w:rFonts w:hint="cs"/>
          <w:noProof w:val="0"/>
          <w:sz w:val="26"/>
          <w:szCs w:val="26"/>
          <w:rtl/>
        </w:rPr>
        <w:t>ברי,</w:t>
      </w:r>
      <w:r>
        <w:rPr>
          <w:noProof w:val="0"/>
          <w:sz w:val="26"/>
          <w:szCs w:val="26"/>
          <w:rtl/>
        </w:rPr>
        <w:t xml:space="preserve"> </w:t>
      </w:r>
      <w:r>
        <w:rPr>
          <w:rFonts w:hint="cs"/>
          <w:noProof w:val="0"/>
          <w:sz w:val="26"/>
          <w:szCs w:val="26"/>
          <w:rtl/>
        </w:rPr>
        <w:t xml:space="preserve">כי </w:t>
      </w:r>
      <w:r>
        <w:rPr>
          <w:noProof w:val="0"/>
          <w:sz w:val="26"/>
          <w:szCs w:val="26"/>
          <w:rtl/>
        </w:rPr>
        <w:t xml:space="preserve">טיבו של כל עונש, </w:t>
      </w:r>
      <w:r>
        <w:rPr>
          <w:rFonts w:hint="cs"/>
          <w:noProof w:val="0"/>
          <w:sz w:val="26"/>
          <w:szCs w:val="26"/>
          <w:rtl/>
        </w:rPr>
        <w:t>ש</w:t>
      </w:r>
      <w:r>
        <w:rPr>
          <w:noProof w:val="0"/>
          <w:sz w:val="26"/>
          <w:szCs w:val="26"/>
          <w:rtl/>
        </w:rPr>
        <w:t xml:space="preserve">הוא פוגע בנאשם ולא התרשמתי, כי הפגיעה הצפויה הינה חריגה. בנוסף, עולה, כי </w:t>
      </w:r>
      <w:r>
        <w:rPr>
          <w:b/>
          <w:bCs/>
          <w:noProof w:val="0"/>
          <w:sz w:val="26"/>
          <w:szCs w:val="26"/>
          <w:rtl/>
        </w:rPr>
        <w:t>הנאשם נטל אחריות חלקית בלבד על המעשה</w:t>
      </w:r>
      <w:r>
        <w:rPr>
          <w:noProof w:val="0"/>
          <w:sz w:val="26"/>
          <w:szCs w:val="26"/>
          <w:rtl/>
        </w:rPr>
        <w:t xml:space="preserve"> (</w:t>
      </w:r>
      <w:hyperlink r:id="rId67" w:history="1">
        <w:r w:rsidR="00D227C2" w:rsidRPr="00D227C2">
          <w:rPr>
            <w:noProof w:val="0"/>
            <w:color w:val="0000FF"/>
            <w:sz w:val="26"/>
            <w:szCs w:val="26"/>
            <w:u w:val="single"/>
            <w:rtl/>
          </w:rPr>
          <w:t>סעיף 40יא(4)</w:t>
        </w:r>
      </w:hyperlink>
      <w:r>
        <w:rPr>
          <w:noProof w:val="0"/>
          <w:sz w:val="26"/>
          <w:szCs w:val="26"/>
          <w:rtl/>
        </w:rPr>
        <w:t xml:space="preserve"> לחוק), בכך שייחס את מעשיו למצבו האישי ושלל מניע אידיאולוגי-ביטחוני. בצד זאת, נתתי דעתי לעובדה, שהנאשם </w:t>
      </w:r>
      <w:r>
        <w:rPr>
          <w:b/>
          <w:bCs/>
          <w:noProof w:val="0"/>
          <w:sz w:val="26"/>
          <w:szCs w:val="26"/>
          <w:rtl/>
        </w:rPr>
        <w:t>הביע צער וחרטה</w:t>
      </w:r>
      <w:r>
        <w:rPr>
          <w:noProof w:val="0"/>
          <w:sz w:val="26"/>
          <w:szCs w:val="26"/>
          <w:rtl/>
        </w:rPr>
        <w:t xml:space="preserve"> </w:t>
      </w:r>
      <w:r>
        <w:rPr>
          <w:b/>
          <w:bCs/>
          <w:noProof w:val="0"/>
          <w:sz w:val="26"/>
          <w:szCs w:val="26"/>
          <w:rtl/>
        </w:rPr>
        <w:t>על מעשיו</w:t>
      </w:r>
      <w:r>
        <w:rPr>
          <w:noProof w:val="0"/>
          <w:sz w:val="26"/>
          <w:szCs w:val="26"/>
          <w:rtl/>
        </w:rPr>
        <w:t xml:space="preserve"> </w:t>
      </w:r>
      <w:r>
        <w:rPr>
          <w:b/>
          <w:bCs/>
          <w:noProof w:val="0"/>
          <w:sz w:val="26"/>
          <w:szCs w:val="26"/>
          <w:rtl/>
        </w:rPr>
        <w:t>ושיתף פעולה עם רשויות אכיפת החוק</w:t>
      </w:r>
      <w:r>
        <w:rPr>
          <w:noProof w:val="0"/>
          <w:sz w:val="26"/>
          <w:szCs w:val="26"/>
          <w:rtl/>
        </w:rPr>
        <w:t xml:space="preserve"> (</w:t>
      </w:r>
      <w:hyperlink r:id="rId68" w:history="1">
        <w:r w:rsidR="00D227C2" w:rsidRPr="00D227C2">
          <w:rPr>
            <w:noProof w:val="0"/>
            <w:color w:val="0000FF"/>
            <w:sz w:val="26"/>
            <w:szCs w:val="26"/>
            <w:u w:val="single"/>
            <w:rtl/>
          </w:rPr>
          <w:t>סעיף 40יא(6)</w:t>
        </w:r>
      </w:hyperlink>
      <w:r>
        <w:rPr>
          <w:noProof w:val="0"/>
          <w:sz w:val="26"/>
          <w:szCs w:val="26"/>
          <w:rtl/>
        </w:rPr>
        <w:t xml:space="preserve"> לחוק), בכך שהודה במעשים המיוחסים לו בטרם נשמעו הראיות. כן התחשבתי ב</w:t>
      </w:r>
      <w:r>
        <w:rPr>
          <w:b/>
          <w:bCs/>
          <w:noProof w:val="0"/>
          <w:sz w:val="26"/>
          <w:szCs w:val="26"/>
          <w:rtl/>
        </w:rPr>
        <w:t xml:space="preserve">נסיבות חייו </w:t>
      </w:r>
      <w:r>
        <w:rPr>
          <w:noProof w:val="0"/>
          <w:sz w:val="26"/>
          <w:szCs w:val="26"/>
          <w:rtl/>
        </w:rPr>
        <w:t>הלא פשוטות של הנאשם, אשר מצא סוג של "מקלט" במסגד אלאקצא, לאחר גירושיו מבית</w:t>
      </w:r>
      <w:r>
        <w:rPr>
          <w:rFonts w:hint="cs"/>
          <w:noProof w:val="0"/>
          <w:sz w:val="26"/>
          <w:szCs w:val="26"/>
          <w:rtl/>
        </w:rPr>
        <w:t>ו</w:t>
      </w:r>
      <w:r>
        <w:rPr>
          <w:noProof w:val="0"/>
          <w:sz w:val="26"/>
          <w:szCs w:val="26"/>
          <w:rtl/>
        </w:rPr>
        <w:t xml:space="preserve"> (</w:t>
      </w:r>
      <w:hyperlink r:id="rId69" w:history="1">
        <w:r w:rsidR="00D227C2" w:rsidRPr="00D227C2">
          <w:rPr>
            <w:noProof w:val="0"/>
            <w:color w:val="0000FF"/>
            <w:sz w:val="26"/>
            <w:szCs w:val="26"/>
            <w:u w:val="single"/>
            <w:rtl/>
          </w:rPr>
          <w:t>סעיף 40יא(8</w:t>
        </w:r>
      </w:hyperlink>
      <w:r>
        <w:rPr>
          <w:noProof w:val="0"/>
          <w:sz w:val="26"/>
          <w:szCs w:val="26"/>
          <w:rtl/>
        </w:rPr>
        <w:t xml:space="preserve"> לחוק), כמו גם בעובדה, שזוהי הסתבכותו הראשונה </w:t>
      </w:r>
      <w:r>
        <w:rPr>
          <w:rFonts w:hint="cs"/>
          <w:noProof w:val="0"/>
          <w:sz w:val="26"/>
          <w:szCs w:val="26"/>
          <w:rtl/>
        </w:rPr>
        <w:t>של הנאשם</w:t>
      </w:r>
      <w:r>
        <w:rPr>
          <w:noProof w:val="0"/>
          <w:sz w:val="26"/>
          <w:szCs w:val="26"/>
          <w:rtl/>
        </w:rPr>
        <w:t xml:space="preserve">, אשר הינו </w:t>
      </w:r>
      <w:r>
        <w:rPr>
          <w:b/>
          <w:bCs/>
          <w:noProof w:val="0"/>
          <w:sz w:val="26"/>
          <w:szCs w:val="26"/>
          <w:rtl/>
        </w:rPr>
        <w:t xml:space="preserve">ללא עבר פלילי </w:t>
      </w:r>
      <w:r>
        <w:rPr>
          <w:noProof w:val="0"/>
          <w:sz w:val="26"/>
          <w:szCs w:val="26"/>
          <w:rtl/>
        </w:rPr>
        <w:t>(</w:t>
      </w:r>
      <w:hyperlink r:id="rId70" w:history="1">
        <w:r w:rsidR="00D227C2" w:rsidRPr="00D227C2">
          <w:rPr>
            <w:noProof w:val="0"/>
            <w:color w:val="0000FF"/>
            <w:sz w:val="26"/>
            <w:szCs w:val="26"/>
            <w:u w:val="single"/>
            <w:rtl/>
          </w:rPr>
          <w:t>סעיף 40יא(11)</w:t>
        </w:r>
      </w:hyperlink>
      <w:r>
        <w:rPr>
          <w:noProof w:val="0"/>
          <w:sz w:val="26"/>
          <w:szCs w:val="26"/>
          <w:rtl/>
        </w:rPr>
        <w:t xml:space="preserve"> לחוק)</w:t>
      </w:r>
      <w:r>
        <w:rPr>
          <w:rFonts w:hint="cs"/>
          <w:noProof w:val="0"/>
          <w:sz w:val="26"/>
          <w:szCs w:val="26"/>
          <w:rtl/>
        </w:rPr>
        <w:t xml:space="preserve">. בעניין זה, יש לציין גם את התרשמותו של </w:t>
      </w:r>
      <w:r>
        <w:rPr>
          <w:noProof w:val="0"/>
          <w:sz w:val="26"/>
          <w:szCs w:val="26"/>
          <w:rtl/>
        </w:rPr>
        <w:t xml:space="preserve">שירות המבחן, כי אין לנאשם דפוסים עברייניים מושרשים. לבסוף, </w:t>
      </w:r>
      <w:r>
        <w:rPr>
          <w:rFonts w:hint="cs"/>
          <w:noProof w:val="0"/>
          <w:sz w:val="26"/>
          <w:szCs w:val="26"/>
          <w:rtl/>
        </w:rPr>
        <w:t>התחשבתי ב</w:t>
      </w:r>
      <w:r>
        <w:rPr>
          <w:noProof w:val="0"/>
          <w:sz w:val="26"/>
          <w:szCs w:val="26"/>
          <w:rtl/>
        </w:rPr>
        <w:t xml:space="preserve">פרק הזמן של למעלה משנה, בו הנאשם נתון במעצר (מיום 2.10.15). </w:t>
      </w:r>
      <w:r>
        <w:rPr>
          <w:rFonts w:hint="cs"/>
          <w:noProof w:val="0"/>
          <w:sz w:val="26"/>
          <w:szCs w:val="26"/>
          <w:rtl/>
        </w:rPr>
        <w:t xml:space="preserve">כל אלה, מהווים שיקולים להקלה מסוימת בעונשו של הנאשם. </w:t>
      </w:r>
    </w:p>
    <w:p w14:paraId="25FD5C1C" w14:textId="77777777" w:rsidR="00457BED" w:rsidRDefault="00457BED">
      <w:pPr>
        <w:spacing w:line="360" w:lineRule="auto"/>
        <w:jc w:val="both"/>
        <w:rPr>
          <w:noProof w:val="0"/>
          <w:sz w:val="26"/>
          <w:szCs w:val="26"/>
          <w:rtl/>
        </w:rPr>
      </w:pPr>
    </w:p>
    <w:p w14:paraId="03C36B94" w14:textId="77777777" w:rsidR="00457BED" w:rsidRDefault="00E20B47">
      <w:pPr>
        <w:spacing w:line="360" w:lineRule="auto"/>
        <w:jc w:val="both"/>
        <w:rPr>
          <w:noProof w:val="0"/>
          <w:sz w:val="26"/>
          <w:szCs w:val="26"/>
          <w:u w:val="single"/>
          <w:rtl/>
        </w:rPr>
      </w:pPr>
      <w:r>
        <w:rPr>
          <w:noProof w:val="0"/>
          <w:sz w:val="26"/>
          <w:szCs w:val="26"/>
          <w:u w:val="single"/>
          <w:rtl/>
        </w:rPr>
        <w:t>גזירת העונש</w:t>
      </w:r>
    </w:p>
    <w:p w14:paraId="7B02B23A" w14:textId="77777777" w:rsidR="00457BED" w:rsidRDefault="00E20B47">
      <w:pPr>
        <w:spacing w:line="360" w:lineRule="auto"/>
        <w:jc w:val="both"/>
        <w:rPr>
          <w:noProof w:val="0"/>
          <w:sz w:val="26"/>
          <w:szCs w:val="26"/>
          <w:rtl/>
        </w:rPr>
      </w:pPr>
      <w:r>
        <w:rPr>
          <w:noProof w:val="0"/>
          <w:sz w:val="26"/>
          <w:szCs w:val="26"/>
          <w:rtl/>
        </w:rPr>
        <w:t>2</w:t>
      </w:r>
      <w:r>
        <w:rPr>
          <w:rFonts w:hint="cs"/>
          <w:noProof w:val="0"/>
          <w:sz w:val="26"/>
          <w:szCs w:val="26"/>
          <w:rtl/>
        </w:rPr>
        <w:t>4</w:t>
      </w:r>
      <w:r>
        <w:rPr>
          <w:noProof w:val="0"/>
          <w:sz w:val="26"/>
          <w:szCs w:val="26"/>
          <w:rtl/>
        </w:rPr>
        <w:t>.</w:t>
      </w:r>
      <w:r>
        <w:rPr>
          <w:noProof w:val="0"/>
          <w:sz w:val="26"/>
          <w:szCs w:val="26"/>
          <w:rtl/>
        </w:rPr>
        <w:tab/>
        <w:t xml:space="preserve">לאחר שנתתי את דעתי למכלול השיקולים, אני מוצא </w:t>
      </w:r>
      <w:r>
        <w:rPr>
          <w:rFonts w:hint="cs"/>
          <w:noProof w:val="0"/>
          <w:sz w:val="26"/>
          <w:szCs w:val="26"/>
          <w:rtl/>
        </w:rPr>
        <w:t>להטיל על הנאשם את הע</w:t>
      </w:r>
      <w:r>
        <w:rPr>
          <w:noProof w:val="0"/>
          <w:sz w:val="26"/>
          <w:szCs w:val="26"/>
          <w:rtl/>
        </w:rPr>
        <w:t>ונש</w:t>
      </w:r>
      <w:r>
        <w:rPr>
          <w:rFonts w:hint="cs"/>
          <w:noProof w:val="0"/>
          <w:sz w:val="26"/>
          <w:szCs w:val="26"/>
          <w:rtl/>
        </w:rPr>
        <w:t>ים</w:t>
      </w:r>
      <w:r>
        <w:rPr>
          <w:noProof w:val="0"/>
          <w:sz w:val="26"/>
          <w:szCs w:val="26"/>
          <w:rtl/>
        </w:rPr>
        <w:t xml:space="preserve"> </w:t>
      </w:r>
      <w:r>
        <w:rPr>
          <w:rFonts w:hint="cs"/>
          <w:noProof w:val="0"/>
          <w:sz w:val="26"/>
          <w:szCs w:val="26"/>
          <w:rtl/>
        </w:rPr>
        <w:t>הבאים</w:t>
      </w:r>
      <w:r>
        <w:rPr>
          <w:noProof w:val="0"/>
          <w:sz w:val="26"/>
          <w:szCs w:val="26"/>
          <w:rtl/>
        </w:rPr>
        <w:t>:</w:t>
      </w:r>
    </w:p>
    <w:p w14:paraId="317C5461" w14:textId="77777777" w:rsidR="00457BED" w:rsidRDefault="00457BED">
      <w:pPr>
        <w:spacing w:line="360" w:lineRule="auto"/>
        <w:jc w:val="both"/>
        <w:rPr>
          <w:b/>
          <w:bCs/>
          <w:noProof w:val="0"/>
          <w:sz w:val="26"/>
          <w:szCs w:val="26"/>
          <w:rtl/>
        </w:rPr>
      </w:pPr>
    </w:p>
    <w:p w14:paraId="09BDEA14" w14:textId="77777777" w:rsidR="00457BED" w:rsidRDefault="00E20B47">
      <w:pPr>
        <w:spacing w:line="360" w:lineRule="auto"/>
        <w:ind w:left="1440" w:right="993" w:hanging="720"/>
        <w:jc w:val="both"/>
        <w:rPr>
          <w:noProof w:val="0"/>
          <w:sz w:val="26"/>
          <w:szCs w:val="26"/>
          <w:rtl/>
        </w:rPr>
      </w:pPr>
      <w:r>
        <w:rPr>
          <w:noProof w:val="0"/>
          <w:sz w:val="26"/>
          <w:szCs w:val="26"/>
          <w:rtl/>
        </w:rPr>
        <w:t>א.</w:t>
      </w:r>
      <w:r>
        <w:rPr>
          <w:noProof w:val="0"/>
          <w:sz w:val="26"/>
          <w:szCs w:val="26"/>
          <w:rtl/>
        </w:rPr>
        <w:tab/>
        <w:t xml:space="preserve">מאסר בפועל </w:t>
      </w:r>
      <w:r>
        <w:rPr>
          <w:rFonts w:hint="cs"/>
          <w:noProof w:val="0"/>
          <w:sz w:val="26"/>
          <w:szCs w:val="26"/>
          <w:rtl/>
        </w:rPr>
        <w:t>למשך 4</w:t>
      </w:r>
      <w:r>
        <w:rPr>
          <w:noProof w:val="0"/>
          <w:sz w:val="26"/>
          <w:szCs w:val="26"/>
          <w:rtl/>
        </w:rPr>
        <w:t xml:space="preserve"> שנ</w:t>
      </w:r>
      <w:r>
        <w:rPr>
          <w:rFonts w:hint="cs"/>
          <w:noProof w:val="0"/>
          <w:sz w:val="26"/>
          <w:szCs w:val="26"/>
          <w:rtl/>
        </w:rPr>
        <w:t>ים</w:t>
      </w:r>
      <w:r>
        <w:rPr>
          <w:noProof w:val="0"/>
          <w:sz w:val="26"/>
          <w:szCs w:val="26"/>
          <w:rtl/>
        </w:rPr>
        <w:t xml:space="preserve">, </w:t>
      </w:r>
      <w:r>
        <w:rPr>
          <w:rFonts w:hint="cs"/>
          <w:noProof w:val="0"/>
          <w:sz w:val="26"/>
          <w:szCs w:val="26"/>
          <w:rtl/>
        </w:rPr>
        <w:t xml:space="preserve">החל </w:t>
      </w:r>
      <w:r>
        <w:rPr>
          <w:noProof w:val="0"/>
          <w:sz w:val="26"/>
          <w:szCs w:val="26"/>
          <w:rtl/>
        </w:rPr>
        <w:t xml:space="preserve">מיום מעצרו (מיום 2.10.15). </w:t>
      </w:r>
    </w:p>
    <w:p w14:paraId="55C9B6C3" w14:textId="77777777" w:rsidR="00457BED" w:rsidRDefault="00457BED">
      <w:pPr>
        <w:spacing w:line="360" w:lineRule="auto"/>
        <w:ind w:left="1440" w:right="993" w:hanging="720"/>
        <w:jc w:val="both"/>
        <w:rPr>
          <w:noProof w:val="0"/>
          <w:sz w:val="26"/>
          <w:szCs w:val="26"/>
          <w:rtl/>
        </w:rPr>
      </w:pPr>
    </w:p>
    <w:p w14:paraId="36754B34" w14:textId="77777777" w:rsidR="00457BED" w:rsidRDefault="00E20B47">
      <w:pPr>
        <w:spacing w:line="360" w:lineRule="auto"/>
        <w:ind w:left="1440" w:right="993" w:hanging="720"/>
        <w:jc w:val="both"/>
        <w:rPr>
          <w:noProof w:val="0"/>
          <w:sz w:val="26"/>
          <w:szCs w:val="26"/>
          <w:rtl/>
        </w:rPr>
      </w:pPr>
      <w:r>
        <w:rPr>
          <w:noProof w:val="0"/>
          <w:sz w:val="26"/>
          <w:szCs w:val="26"/>
          <w:rtl/>
        </w:rPr>
        <w:t>ב.</w:t>
      </w:r>
      <w:r>
        <w:rPr>
          <w:noProof w:val="0"/>
          <w:sz w:val="26"/>
          <w:szCs w:val="26"/>
          <w:rtl/>
        </w:rPr>
        <w:tab/>
        <w:t xml:space="preserve">מאסר על תנאי למשך </w:t>
      </w:r>
      <w:r>
        <w:rPr>
          <w:rFonts w:hint="cs"/>
          <w:noProof w:val="0"/>
          <w:sz w:val="26"/>
          <w:szCs w:val="26"/>
          <w:rtl/>
        </w:rPr>
        <w:t xml:space="preserve">12 </w:t>
      </w:r>
      <w:r>
        <w:rPr>
          <w:noProof w:val="0"/>
          <w:sz w:val="26"/>
          <w:szCs w:val="26"/>
          <w:rtl/>
        </w:rPr>
        <w:t>חודשים, ואולם, הנאשם לא יישא בעונש זה אלא אם כן יעבור תוך תקופה של שנתיים מיום שחרורו עבירה בנשק או עבירה של חבלה בכוונה מחמירה או עבירה של תקיפת שוטר או עבירה של התפרעות – ויורשע עליה.</w:t>
      </w:r>
    </w:p>
    <w:p w14:paraId="4CD2E71A" w14:textId="77777777" w:rsidR="00457BED" w:rsidRDefault="00457BED">
      <w:pPr>
        <w:spacing w:line="360" w:lineRule="auto"/>
        <w:ind w:left="720" w:hanging="720"/>
        <w:jc w:val="both"/>
        <w:rPr>
          <w:noProof w:val="0"/>
          <w:sz w:val="20"/>
          <w:szCs w:val="20"/>
          <w:rtl/>
        </w:rPr>
      </w:pPr>
    </w:p>
    <w:p w14:paraId="51F8A8C9" w14:textId="77777777" w:rsidR="00457BED" w:rsidRDefault="00E20B47">
      <w:pPr>
        <w:spacing w:line="360" w:lineRule="auto"/>
        <w:jc w:val="both"/>
        <w:rPr>
          <w:noProof w:val="0"/>
          <w:sz w:val="26"/>
          <w:szCs w:val="26"/>
          <w:rtl/>
        </w:rPr>
      </w:pPr>
      <w:r>
        <w:rPr>
          <w:noProof w:val="0"/>
          <w:sz w:val="26"/>
          <w:szCs w:val="26"/>
          <w:u w:val="single"/>
          <w:rtl/>
        </w:rPr>
        <w:t>המזכירות תמציא העתק לשירות המבחן.</w:t>
      </w:r>
      <w:r>
        <w:rPr>
          <w:noProof w:val="0"/>
          <w:sz w:val="26"/>
          <w:szCs w:val="26"/>
          <w:rtl/>
        </w:rPr>
        <w:t xml:space="preserve"> </w:t>
      </w:r>
    </w:p>
    <w:p w14:paraId="4B7006C7" w14:textId="77777777" w:rsidR="00457BED" w:rsidRPr="00E20B47" w:rsidRDefault="00E20B47">
      <w:pPr>
        <w:spacing w:line="360" w:lineRule="auto"/>
        <w:jc w:val="both"/>
        <w:rPr>
          <w:noProof w:val="0"/>
          <w:color w:val="FFFFFF"/>
          <w:sz w:val="2"/>
          <w:szCs w:val="2"/>
          <w:rtl/>
        </w:rPr>
      </w:pPr>
      <w:r w:rsidRPr="00E20B47">
        <w:rPr>
          <w:noProof w:val="0"/>
          <w:color w:val="FFFFFF"/>
          <w:sz w:val="2"/>
          <w:szCs w:val="2"/>
          <w:rtl/>
        </w:rPr>
        <w:t>5129371</w:t>
      </w:r>
    </w:p>
    <w:p w14:paraId="23C0DF61" w14:textId="77777777" w:rsidR="00457BED" w:rsidRDefault="00E20B47">
      <w:pPr>
        <w:spacing w:line="360" w:lineRule="auto"/>
        <w:jc w:val="both"/>
        <w:rPr>
          <w:noProof w:val="0"/>
          <w:sz w:val="26"/>
          <w:szCs w:val="26"/>
          <w:rtl/>
        </w:rPr>
      </w:pPr>
      <w:r w:rsidRPr="00E20B47">
        <w:rPr>
          <w:b/>
          <w:bCs/>
          <w:noProof w:val="0"/>
          <w:color w:val="FFFFFF"/>
          <w:sz w:val="2"/>
          <w:szCs w:val="2"/>
          <w:rtl/>
        </w:rPr>
        <w:t>54678313</w:t>
      </w:r>
      <w:r>
        <w:rPr>
          <w:b/>
          <w:bCs/>
          <w:noProof w:val="0"/>
          <w:sz w:val="26"/>
          <w:szCs w:val="26"/>
          <w:rtl/>
        </w:rPr>
        <w:t>הצדדים רשאים לערער על פסק הדין בפני בית המשפט העליון תוך 45 יום מהיום</w:t>
      </w:r>
      <w:r>
        <w:rPr>
          <w:noProof w:val="0"/>
          <w:sz w:val="26"/>
          <w:szCs w:val="26"/>
          <w:rtl/>
        </w:rPr>
        <w:t xml:space="preserve">. </w:t>
      </w:r>
    </w:p>
    <w:p w14:paraId="394652F9" w14:textId="77777777" w:rsidR="00457BED" w:rsidRDefault="00457BED">
      <w:pPr>
        <w:spacing w:line="360" w:lineRule="auto"/>
        <w:jc w:val="both"/>
        <w:rPr>
          <w:rFonts w:ascii="Arial" w:hAnsi="Arial"/>
          <w:noProof w:val="0"/>
          <w:sz w:val="12"/>
          <w:szCs w:val="12"/>
          <w:rtl/>
        </w:rPr>
      </w:pPr>
    </w:p>
    <w:p w14:paraId="59E9DFEA" w14:textId="77777777" w:rsidR="00457BED" w:rsidRDefault="00E20B47">
      <w:pPr>
        <w:spacing w:line="360" w:lineRule="auto"/>
        <w:jc w:val="both"/>
        <w:rPr>
          <w:rFonts w:ascii="Arial" w:hAnsi="Arial"/>
          <w:noProof w:val="0"/>
          <w:rtl/>
        </w:rPr>
      </w:pPr>
      <w:r>
        <w:rPr>
          <w:rFonts w:ascii="Arial" w:hAnsi="Arial"/>
          <w:noProof w:val="0"/>
          <w:rtl/>
        </w:rPr>
        <w:t xml:space="preserve">ניתן היום, י"ג חשוון תשע"ז, 14 נובמבר 2016, בפומבי. </w:t>
      </w:r>
    </w:p>
    <w:p w14:paraId="7C3FFC74" w14:textId="77777777" w:rsidR="00457BED" w:rsidRDefault="00457BED">
      <w:pPr>
        <w:spacing w:line="360" w:lineRule="auto"/>
        <w:ind w:left="3600" w:firstLine="720"/>
        <w:jc w:val="center"/>
      </w:pPr>
    </w:p>
    <w:p w14:paraId="3DC4F649" w14:textId="77777777" w:rsidR="00457BED" w:rsidRPr="00D227C2" w:rsidRDefault="00D227C2">
      <w:pPr>
        <w:spacing w:line="360" w:lineRule="auto"/>
        <w:ind w:left="3600" w:firstLine="720"/>
        <w:jc w:val="center"/>
        <w:rPr>
          <w:rFonts w:ascii="Arial" w:hAnsi="Arial"/>
          <w:noProof w:val="0"/>
          <w:color w:val="FFFFFF"/>
          <w:sz w:val="2"/>
          <w:szCs w:val="2"/>
          <w:rtl/>
        </w:rPr>
      </w:pPr>
      <w:r w:rsidRPr="00D227C2">
        <w:rPr>
          <w:rFonts w:ascii="Arial" w:hAnsi="Arial"/>
          <w:noProof w:val="0"/>
          <w:color w:val="FFFFFF"/>
          <w:sz w:val="2"/>
          <w:szCs w:val="2"/>
          <w:rtl/>
        </w:rPr>
        <w:t>5129371</w:t>
      </w:r>
    </w:p>
    <w:p w14:paraId="48292A02" w14:textId="77777777" w:rsidR="00E20B47" w:rsidRPr="00D227C2" w:rsidRDefault="00D227C2" w:rsidP="00E20B47">
      <w:pPr>
        <w:keepNext/>
        <w:rPr>
          <w:rFonts w:ascii="David" w:hAnsi="David"/>
          <w:color w:val="FFFFFF"/>
          <w:sz w:val="2"/>
          <w:szCs w:val="2"/>
          <w:rtl/>
        </w:rPr>
      </w:pPr>
      <w:r w:rsidRPr="00D227C2">
        <w:rPr>
          <w:rFonts w:ascii="David" w:hAnsi="David"/>
          <w:color w:val="FFFFFF"/>
          <w:sz w:val="2"/>
          <w:szCs w:val="2"/>
          <w:rtl/>
        </w:rPr>
        <w:t>54678313</w:t>
      </w:r>
    </w:p>
    <w:p w14:paraId="6E3D603F" w14:textId="77777777" w:rsidR="00E20B47" w:rsidRPr="00E20B47" w:rsidRDefault="00E20B47" w:rsidP="00E20B47">
      <w:pPr>
        <w:keepNext/>
        <w:rPr>
          <w:rFonts w:ascii="David" w:hAnsi="David"/>
          <w:color w:val="000000"/>
          <w:sz w:val="22"/>
          <w:szCs w:val="22"/>
          <w:rtl/>
        </w:rPr>
      </w:pPr>
      <w:r w:rsidRPr="00E20B47">
        <w:rPr>
          <w:rFonts w:ascii="David" w:hAnsi="David"/>
          <w:color w:val="000000"/>
          <w:sz w:val="22"/>
          <w:szCs w:val="22"/>
          <w:rtl/>
        </w:rPr>
        <w:t>אמנון 54678313</w:t>
      </w:r>
    </w:p>
    <w:p w14:paraId="43A242B4" w14:textId="77777777" w:rsidR="00E20B47" w:rsidRDefault="00E20B47" w:rsidP="00E20B47">
      <w:r w:rsidRPr="00E20B47">
        <w:rPr>
          <w:color w:val="000000"/>
          <w:rtl/>
        </w:rPr>
        <w:t>נוסח מסמך זה כפוף לשינויי ניסוח ועריכה</w:t>
      </w:r>
      <w:r w:rsidR="00C60E7F">
        <w:rPr>
          <w:color w:val="000000"/>
        </w:rPr>
        <w:t xml:space="preserve">   </w:t>
      </w:r>
    </w:p>
    <w:p w14:paraId="42E5C9EF" w14:textId="77777777" w:rsidR="00E20B47" w:rsidRDefault="00E20B47" w:rsidP="00E20B47">
      <w:pPr>
        <w:rPr>
          <w:rtl/>
        </w:rPr>
      </w:pPr>
    </w:p>
    <w:p w14:paraId="0480A7CD" w14:textId="77777777" w:rsidR="00E20B47" w:rsidRDefault="00E20B47" w:rsidP="00E20B47">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r w:rsidR="00634B16">
        <w:rPr>
          <w:rFonts w:hint="cs"/>
          <w:color w:val="0000FF"/>
          <w:u w:val="single"/>
          <w:rtl/>
        </w:rPr>
        <w:t xml:space="preserve"> </w:t>
      </w:r>
    </w:p>
    <w:p w14:paraId="56B20C02" w14:textId="77777777" w:rsidR="00D227C2" w:rsidRPr="00D227C2" w:rsidRDefault="00D227C2" w:rsidP="00D227C2">
      <w:pPr>
        <w:keepNext/>
        <w:rPr>
          <w:rFonts w:ascii="David" w:hAnsi="David"/>
          <w:color w:val="000000"/>
          <w:sz w:val="22"/>
          <w:szCs w:val="22"/>
          <w:rtl/>
        </w:rPr>
      </w:pPr>
    </w:p>
    <w:p w14:paraId="07838CD6" w14:textId="77777777" w:rsidR="00457BED" w:rsidRPr="00E20B47" w:rsidRDefault="00457BED" w:rsidP="00D227C2">
      <w:pPr>
        <w:rPr>
          <w:color w:val="0000FF"/>
          <w:u w:val="single"/>
        </w:rPr>
      </w:pPr>
    </w:p>
    <w:sectPr w:rsidR="00457BED" w:rsidRPr="00E20B47" w:rsidSect="00D227C2">
      <w:headerReference w:type="even" r:id="rId72"/>
      <w:headerReference w:type="default" r:id="rId73"/>
      <w:footerReference w:type="even" r:id="rId74"/>
      <w:footerReference w:type="default" r:id="rId75"/>
      <w:pgSz w:w="11907" w:h="16840" w:code="9"/>
      <w:pgMar w:top="1701" w:right="1701" w:bottom="1276"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06DA5" w14:textId="77777777" w:rsidR="00C2034F" w:rsidRDefault="00C2034F">
      <w:r>
        <w:separator/>
      </w:r>
    </w:p>
  </w:endnote>
  <w:endnote w:type="continuationSeparator" w:id="0">
    <w:p w14:paraId="09509DD0" w14:textId="77777777" w:rsidR="00C2034F" w:rsidRDefault="00C20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C3062" w14:textId="77777777" w:rsidR="00EC0AD1" w:rsidRDefault="00EC0AD1" w:rsidP="00D227C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148BEC5" w14:textId="77777777" w:rsidR="00EC0AD1" w:rsidRPr="00D227C2" w:rsidRDefault="00EC0AD1" w:rsidP="00D227C2">
    <w:pPr>
      <w:pStyle w:val="a4"/>
      <w:pBdr>
        <w:top w:val="single" w:sz="4" w:space="1" w:color="auto"/>
        <w:between w:val="single" w:sz="4" w:space="0" w:color="auto"/>
      </w:pBdr>
      <w:spacing w:after="60"/>
      <w:jc w:val="center"/>
      <w:rPr>
        <w:rFonts w:ascii="FrankRuehl" w:hAnsi="FrankRuehl" w:cs="FrankRuehl"/>
        <w:color w:val="000000"/>
      </w:rPr>
    </w:pPr>
    <w:r w:rsidRPr="00D227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A0A37" w14:textId="77777777" w:rsidR="00EC0AD1" w:rsidRDefault="00EC0AD1" w:rsidP="00D227C2">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9A4CC1">
      <w:rPr>
        <w:rStyle w:val="a5"/>
        <w:rFonts w:ascii="FrankRuehl" w:hAnsi="FrankRuehl" w:cs="FrankRuehl"/>
        <w:rtl/>
      </w:rPr>
      <w:t>1</w:t>
    </w:r>
    <w:r>
      <w:rPr>
        <w:rStyle w:val="a5"/>
        <w:rFonts w:ascii="FrankRuehl" w:hAnsi="FrankRuehl" w:cs="FrankRuehl"/>
        <w:rtl/>
      </w:rPr>
      <w:fldChar w:fldCharType="end"/>
    </w:r>
  </w:p>
  <w:p w14:paraId="40A68C6A" w14:textId="77777777" w:rsidR="00EC0AD1" w:rsidRPr="00D227C2" w:rsidRDefault="00EC0AD1" w:rsidP="00D227C2">
    <w:pPr>
      <w:pStyle w:val="a4"/>
      <w:pBdr>
        <w:top w:val="single" w:sz="4" w:space="1" w:color="auto"/>
        <w:between w:val="single" w:sz="4" w:space="0" w:color="auto"/>
      </w:pBdr>
      <w:spacing w:after="60"/>
      <w:jc w:val="center"/>
      <w:rPr>
        <w:rStyle w:val="a5"/>
        <w:rFonts w:ascii="FrankRuehl" w:hAnsi="FrankRuehl" w:cs="FrankRuehl"/>
        <w:color w:val="000000"/>
      </w:rPr>
    </w:pPr>
    <w:r w:rsidRPr="00D227C2">
      <w:rPr>
        <w:rStyle w:val="a5"/>
        <w:rFonts w:ascii="FrankRuehl" w:hAnsi="FrankRuehl" w:cs="FrankRuehl"/>
        <w:color w:val="000000"/>
      </w:rPr>
      <w:pict w14:anchorId="0C0B1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8C8BF" w14:textId="77777777" w:rsidR="00C2034F" w:rsidRDefault="00C2034F">
      <w:r>
        <w:separator/>
      </w:r>
    </w:p>
  </w:footnote>
  <w:footnote w:type="continuationSeparator" w:id="0">
    <w:p w14:paraId="6AED7FA0" w14:textId="77777777" w:rsidR="00C2034F" w:rsidRDefault="00C20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C0BB" w14:textId="77777777" w:rsidR="00EC0AD1" w:rsidRPr="00D227C2" w:rsidRDefault="00EC0AD1" w:rsidP="00D227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13864-11-15</w:t>
    </w:r>
    <w:r>
      <w:rPr>
        <w:rFonts w:ascii="David" w:hAnsi="David"/>
        <w:color w:val="000000"/>
        <w:sz w:val="22"/>
        <w:szCs w:val="22"/>
        <w:rtl/>
      </w:rPr>
      <w:tab/>
      <w:t xml:space="preserve"> מדינת ישראל נ' אחמד הינדי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51A66" w14:textId="77777777" w:rsidR="00EC0AD1" w:rsidRPr="00D227C2" w:rsidRDefault="00EC0AD1" w:rsidP="00D227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13864-11-15</w:t>
    </w:r>
    <w:r>
      <w:rPr>
        <w:rFonts w:ascii="David" w:hAnsi="David"/>
        <w:color w:val="000000"/>
        <w:sz w:val="22"/>
        <w:szCs w:val="22"/>
        <w:rtl/>
      </w:rPr>
      <w:tab/>
      <w:t xml:space="preserve"> מדינת ישראל נ' אחמד הינדי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7BED"/>
    <w:rsid w:val="002A0F73"/>
    <w:rsid w:val="00457BED"/>
    <w:rsid w:val="004A20ED"/>
    <w:rsid w:val="00565B7E"/>
    <w:rsid w:val="00596BFD"/>
    <w:rsid w:val="00634B16"/>
    <w:rsid w:val="008307B4"/>
    <w:rsid w:val="009A4CC1"/>
    <w:rsid w:val="00B82950"/>
    <w:rsid w:val="00C2034F"/>
    <w:rsid w:val="00C34ED0"/>
    <w:rsid w:val="00C60E7F"/>
    <w:rsid w:val="00C9353C"/>
    <w:rsid w:val="00D227C2"/>
    <w:rsid w:val="00E20B47"/>
    <w:rsid w:val="00EC0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D5D31D"/>
  <w15:chartTrackingRefBased/>
  <w15:docId w15:val="{5BAE83C8-2344-40C7-A18D-340FE720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7BED"/>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57BED"/>
    <w:pPr>
      <w:tabs>
        <w:tab w:val="center" w:pos="4153"/>
        <w:tab w:val="right" w:pos="8306"/>
      </w:tabs>
    </w:pPr>
  </w:style>
  <w:style w:type="paragraph" w:styleId="a4">
    <w:name w:val="footer"/>
    <w:basedOn w:val="a"/>
    <w:rsid w:val="00457BED"/>
    <w:pPr>
      <w:tabs>
        <w:tab w:val="center" w:pos="4153"/>
        <w:tab w:val="right" w:pos="8306"/>
      </w:tabs>
    </w:pPr>
  </w:style>
  <w:style w:type="character" w:styleId="a5">
    <w:name w:val="page number"/>
    <w:basedOn w:val="a0"/>
    <w:rsid w:val="00457BED"/>
  </w:style>
  <w:style w:type="character" w:styleId="Hyperlink">
    <w:name w:val="Hyperlink"/>
    <w:rsid w:val="00E20B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4" TargetMode="External"/><Relationship Id="rId21" Type="http://schemas.openxmlformats.org/officeDocument/2006/relationships/hyperlink" Target="http://www.nevo.co.il/law/70301/329.a.2" TargetMode="External"/><Relationship Id="rId42" Type="http://schemas.openxmlformats.org/officeDocument/2006/relationships/hyperlink" Target="http://www.nevo.co.il/case/13093721" TargetMode="External"/><Relationship Id="rId47" Type="http://schemas.openxmlformats.org/officeDocument/2006/relationships/hyperlink" Target="http://www.nevo.co.il/case/21477511" TargetMode="External"/><Relationship Id="rId63" Type="http://schemas.openxmlformats.org/officeDocument/2006/relationships/hyperlink" Target="http://www.nevo.co.il/case/21008663" TargetMode="External"/><Relationship Id="rId68" Type="http://schemas.openxmlformats.org/officeDocument/2006/relationships/hyperlink" Target="http://www.nevo.co.il/law/70301/40ja.6" TargetMode="External"/><Relationship Id="rId16" Type="http://schemas.openxmlformats.org/officeDocument/2006/relationships/hyperlink" Target="http://www.nevo.co.il/law/70301/144.b2" TargetMode="External"/><Relationship Id="rId11" Type="http://schemas.openxmlformats.org/officeDocument/2006/relationships/hyperlink" Target="http://www.nevo.co.il/law/70301/40i.a.1" TargetMode="External"/><Relationship Id="rId24" Type="http://schemas.openxmlformats.org/officeDocument/2006/relationships/hyperlink" Target="http://www.nevo.co.il/law/70301/40ja.11"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29" TargetMode="External"/><Relationship Id="rId40" Type="http://schemas.openxmlformats.org/officeDocument/2006/relationships/hyperlink" Target="http://www.nevo.co.il/law/70301/40b" TargetMode="External"/><Relationship Id="rId45" Type="http://schemas.openxmlformats.org/officeDocument/2006/relationships/hyperlink" Target="http://www.nevo.co.il/case/17954529" TargetMode="External"/><Relationship Id="rId53" Type="http://schemas.openxmlformats.org/officeDocument/2006/relationships/hyperlink" Target="http://www.nevo.co.il/case/20323345" TargetMode="External"/><Relationship Id="rId58" Type="http://schemas.openxmlformats.org/officeDocument/2006/relationships/hyperlink" Target="http://www.nevo.co.il/law/70301/40i.a.2" TargetMode="External"/><Relationship Id="rId66" Type="http://schemas.openxmlformats.org/officeDocument/2006/relationships/hyperlink" Target="http://www.nevo.co.il/law/70301/40ja.2" TargetMode="External"/><Relationship Id="rId74"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70301/40i.a.4" TargetMode="External"/><Relationship Id="rId19" Type="http://schemas.openxmlformats.org/officeDocument/2006/relationships/hyperlink" Target="http://www.nevo.co.il/law/70301/274.2." TargetMode="External"/><Relationship Id="rId14" Type="http://schemas.openxmlformats.org/officeDocument/2006/relationships/hyperlink" Target="http://www.nevo.co.il/law/70301/40i.a.4"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40ja.6"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274.1.;274.2.;274.3"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13104258" TargetMode="External"/><Relationship Id="rId56" Type="http://schemas.openxmlformats.org/officeDocument/2006/relationships/hyperlink" Target="http://www.nevo.co.il/law/70301/40i.a"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law/70301/40ja.8" TargetMode="External"/><Relationship Id="rId77"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case/20716748"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40i.a.2" TargetMode="External"/><Relationship Id="rId17" Type="http://schemas.openxmlformats.org/officeDocument/2006/relationships/hyperlink" Target="http://www.nevo.co.il/law/70301/152" TargetMode="External"/><Relationship Id="rId25" Type="http://schemas.openxmlformats.org/officeDocument/2006/relationships/hyperlink" Target="http://www.nevo.co.il/law/70301/40ja.2" TargetMode="External"/><Relationship Id="rId33" Type="http://schemas.openxmlformats.org/officeDocument/2006/relationships/hyperlink" Target="http://www.nevo.co.il/law/70301/329.a.2" TargetMode="External"/><Relationship Id="rId38" Type="http://schemas.openxmlformats.org/officeDocument/2006/relationships/hyperlink" Target="http://www.nevo.co.il/law/70301/152" TargetMode="External"/><Relationship Id="rId46" Type="http://schemas.openxmlformats.org/officeDocument/2006/relationships/hyperlink" Target="http://www.nevo.co.il/case/6859579" TargetMode="External"/><Relationship Id="rId59" Type="http://schemas.openxmlformats.org/officeDocument/2006/relationships/hyperlink" Target="http://www.nevo.co.il/case/377887" TargetMode="External"/><Relationship Id="rId67" Type="http://schemas.openxmlformats.org/officeDocument/2006/relationships/hyperlink" Target="http://www.nevo.co.il/law/70301/40ja.4" TargetMode="External"/><Relationship Id="rId20" Type="http://schemas.openxmlformats.org/officeDocument/2006/relationships/hyperlink" Target="http://www.nevo.co.il/law/70301/274.3" TargetMode="External"/><Relationship Id="rId41" Type="http://schemas.openxmlformats.org/officeDocument/2006/relationships/hyperlink" Target="http://www.nevo.co.il/law/70301/40jc" TargetMode="External"/><Relationship Id="rId54" Type="http://schemas.openxmlformats.org/officeDocument/2006/relationships/hyperlink" Target="http://www.nevo.co.il/case/20383907" TargetMode="External"/><Relationship Id="rId62" Type="http://schemas.openxmlformats.org/officeDocument/2006/relationships/hyperlink" Target="http://www.nevo.co.il/law/70301/40i.a.5" TargetMode="External"/><Relationship Id="rId70" Type="http://schemas.openxmlformats.org/officeDocument/2006/relationships/hyperlink" Target="http://www.nevo.co.il/law/70301/40ja.11"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i.a.5" TargetMode="External"/><Relationship Id="rId23" Type="http://schemas.openxmlformats.org/officeDocument/2006/relationships/hyperlink" Target="http://www.nevo.co.il/law/70301/40ja.1" TargetMode="External"/><Relationship Id="rId28" Type="http://schemas.openxmlformats.org/officeDocument/2006/relationships/hyperlink" Target="http://www.nevo.co.il/law/70301/40ja.8" TargetMode="External"/><Relationship Id="rId36" Type="http://schemas.openxmlformats.org/officeDocument/2006/relationships/hyperlink" Target="http://www.nevo.co.il/law/70301/25" TargetMode="External"/><Relationship Id="rId49" Type="http://schemas.openxmlformats.org/officeDocument/2006/relationships/hyperlink" Target="http://www.nevo.co.il/case/18193063" TargetMode="External"/><Relationship Id="rId57" Type="http://schemas.openxmlformats.org/officeDocument/2006/relationships/hyperlink" Target="http://www.nevo.co.il/law/70301/40i.a.1" TargetMode="External"/><Relationship Id="rId10" Type="http://schemas.openxmlformats.org/officeDocument/2006/relationships/hyperlink" Target="http://www.nevo.co.il/law/70301/40i.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7954235" TargetMode="External"/><Relationship Id="rId52" Type="http://schemas.openxmlformats.org/officeDocument/2006/relationships/hyperlink" Target="http://www.nevo.co.il/case/20181574" TargetMode="External"/><Relationship Id="rId60" Type="http://schemas.openxmlformats.org/officeDocument/2006/relationships/hyperlink" Target="http://www.nevo.co.il/law/70301/40i.a.3" TargetMode="External"/><Relationship Id="rId65" Type="http://schemas.openxmlformats.org/officeDocument/2006/relationships/hyperlink" Target="http://www.nevo.co.il/law/70301/40ja.1" TargetMode="External"/><Relationship Id="rId7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b" TargetMode="External"/><Relationship Id="rId13" Type="http://schemas.openxmlformats.org/officeDocument/2006/relationships/hyperlink" Target="http://www.nevo.co.il/law/70301/40i.a.3" TargetMode="External"/><Relationship Id="rId18" Type="http://schemas.openxmlformats.org/officeDocument/2006/relationships/hyperlink" Target="http://www.nevo.co.il/law/70301/274.1."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29" TargetMode="External"/><Relationship Id="rId50" Type="http://schemas.openxmlformats.org/officeDocument/2006/relationships/hyperlink" Target="http://www.nevo.co.il/case/5603159" TargetMode="External"/><Relationship Id="rId55" Type="http://schemas.openxmlformats.org/officeDocument/2006/relationships/hyperlink" Target="http://www.nevo.co.il/case/21472291" TargetMode="External"/><Relationship Id="rId76" Type="http://schemas.openxmlformats.org/officeDocument/2006/relationships/fontTable" Target="fontTable.xml"/><Relationship Id="rId7" Type="http://schemas.openxmlformats.org/officeDocument/2006/relationships/hyperlink" Target="http://www.nevo.co.il/law/70301/25" TargetMode="External"/><Relationship Id="rId71"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70301/40j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4408</Words>
  <Characters>22045</Characters>
  <Application>Microsoft Office Word</Application>
  <DocSecurity>0</DocSecurity>
  <Lines>183</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26401</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3473445</vt:i4>
      </vt:variant>
      <vt:variant>
        <vt:i4>192</vt:i4>
      </vt:variant>
      <vt:variant>
        <vt:i4>0</vt:i4>
      </vt:variant>
      <vt:variant>
        <vt:i4>5</vt:i4>
      </vt:variant>
      <vt:variant>
        <vt:lpwstr>http://www.nevo.co.il/law/70301/40ja.11</vt:lpwstr>
      </vt:variant>
      <vt:variant>
        <vt:lpwstr/>
      </vt:variant>
      <vt:variant>
        <vt:i4>3932197</vt:i4>
      </vt:variant>
      <vt:variant>
        <vt:i4>189</vt:i4>
      </vt:variant>
      <vt:variant>
        <vt:i4>0</vt:i4>
      </vt:variant>
      <vt:variant>
        <vt:i4>5</vt:i4>
      </vt:variant>
      <vt:variant>
        <vt:lpwstr>http://www.nevo.co.il/law/70301/40ja.8</vt:lpwstr>
      </vt:variant>
      <vt:variant>
        <vt:lpwstr/>
      </vt:variant>
      <vt:variant>
        <vt:i4>3276837</vt:i4>
      </vt:variant>
      <vt:variant>
        <vt:i4>186</vt:i4>
      </vt:variant>
      <vt:variant>
        <vt:i4>0</vt:i4>
      </vt:variant>
      <vt:variant>
        <vt:i4>5</vt:i4>
      </vt:variant>
      <vt:variant>
        <vt:lpwstr>http://www.nevo.co.il/law/70301/40ja.6</vt:lpwstr>
      </vt:variant>
      <vt:variant>
        <vt:lpwstr/>
      </vt:variant>
      <vt:variant>
        <vt:i4>3145765</vt:i4>
      </vt:variant>
      <vt:variant>
        <vt:i4>183</vt:i4>
      </vt:variant>
      <vt:variant>
        <vt:i4>0</vt:i4>
      </vt:variant>
      <vt:variant>
        <vt:i4>5</vt:i4>
      </vt:variant>
      <vt:variant>
        <vt:lpwstr>http://www.nevo.co.il/law/70301/40ja.4</vt:lpwstr>
      </vt:variant>
      <vt:variant>
        <vt:lpwstr/>
      </vt:variant>
      <vt:variant>
        <vt:i4>3538981</vt:i4>
      </vt:variant>
      <vt:variant>
        <vt:i4>180</vt:i4>
      </vt:variant>
      <vt:variant>
        <vt:i4>0</vt:i4>
      </vt:variant>
      <vt:variant>
        <vt:i4>5</vt:i4>
      </vt:variant>
      <vt:variant>
        <vt:lpwstr>http://www.nevo.co.il/law/70301/40ja.2</vt:lpwstr>
      </vt:variant>
      <vt:variant>
        <vt:lpwstr/>
      </vt:variant>
      <vt:variant>
        <vt:i4>3473445</vt:i4>
      </vt:variant>
      <vt:variant>
        <vt:i4>177</vt:i4>
      </vt:variant>
      <vt:variant>
        <vt:i4>0</vt:i4>
      </vt:variant>
      <vt:variant>
        <vt:i4>5</vt:i4>
      </vt:variant>
      <vt:variant>
        <vt:lpwstr>http://www.nevo.co.il/law/70301/40ja.1</vt:lpwstr>
      </vt:variant>
      <vt:variant>
        <vt:lpwstr/>
      </vt:variant>
      <vt:variant>
        <vt:i4>262155</vt:i4>
      </vt:variant>
      <vt:variant>
        <vt:i4>174</vt:i4>
      </vt:variant>
      <vt:variant>
        <vt:i4>0</vt:i4>
      </vt:variant>
      <vt:variant>
        <vt:i4>5</vt:i4>
      </vt:variant>
      <vt:variant>
        <vt:lpwstr>http://www.nevo.co.il/law/70301/40ja</vt:lpwstr>
      </vt:variant>
      <vt:variant>
        <vt:lpwstr/>
      </vt:variant>
      <vt:variant>
        <vt:i4>3932275</vt:i4>
      </vt:variant>
      <vt:variant>
        <vt:i4>171</vt:i4>
      </vt:variant>
      <vt:variant>
        <vt:i4>0</vt:i4>
      </vt:variant>
      <vt:variant>
        <vt:i4>5</vt:i4>
      </vt:variant>
      <vt:variant>
        <vt:lpwstr>http://www.nevo.co.il/case/21008663</vt:lpwstr>
      </vt:variant>
      <vt:variant>
        <vt:lpwstr/>
      </vt:variant>
      <vt:variant>
        <vt:i4>6619241</vt:i4>
      </vt:variant>
      <vt:variant>
        <vt:i4>168</vt:i4>
      </vt:variant>
      <vt:variant>
        <vt:i4>0</vt:i4>
      </vt:variant>
      <vt:variant>
        <vt:i4>5</vt:i4>
      </vt:variant>
      <vt:variant>
        <vt:lpwstr>http://www.nevo.co.il/law/70301/40i.a.5</vt:lpwstr>
      </vt:variant>
      <vt:variant>
        <vt:lpwstr/>
      </vt:variant>
      <vt:variant>
        <vt:i4>6619241</vt:i4>
      </vt:variant>
      <vt:variant>
        <vt:i4>165</vt:i4>
      </vt:variant>
      <vt:variant>
        <vt:i4>0</vt:i4>
      </vt:variant>
      <vt:variant>
        <vt:i4>5</vt:i4>
      </vt:variant>
      <vt:variant>
        <vt:lpwstr>http://www.nevo.co.il/law/70301/40i.a.4</vt:lpwstr>
      </vt:variant>
      <vt:variant>
        <vt:lpwstr/>
      </vt:variant>
      <vt:variant>
        <vt:i4>6619241</vt:i4>
      </vt:variant>
      <vt:variant>
        <vt:i4>162</vt:i4>
      </vt:variant>
      <vt:variant>
        <vt:i4>0</vt:i4>
      </vt:variant>
      <vt:variant>
        <vt:i4>5</vt:i4>
      </vt:variant>
      <vt:variant>
        <vt:lpwstr>http://www.nevo.co.il/law/70301/40i.a.3</vt:lpwstr>
      </vt:variant>
      <vt:variant>
        <vt:lpwstr/>
      </vt:variant>
      <vt:variant>
        <vt:i4>786507</vt:i4>
      </vt:variant>
      <vt:variant>
        <vt:i4>159</vt:i4>
      </vt:variant>
      <vt:variant>
        <vt:i4>0</vt:i4>
      </vt:variant>
      <vt:variant>
        <vt:i4>5</vt:i4>
      </vt:variant>
      <vt:variant>
        <vt:lpwstr>http://www.nevo.co.il/case/377887</vt:lpwstr>
      </vt:variant>
      <vt:variant>
        <vt:lpwstr/>
      </vt:variant>
      <vt:variant>
        <vt:i4>6619241</vt:i4>
      </vt:variant>
      <vt:variant>
        <vt:i4>156</vt:i4>
      </vt:variant>
      <vt:variant>
        <vt:i4>0</vt:i4>
      </vt:variant>
      <vt:variant>
        <vt:i4>5</vt:i4>
      </vt:variant>
      <vt:variant>
        <vt:lpwstr>http://www.nevo.co.il/law/70301/40i.a.2</vt:lpwstr>
      </vt:variant>
      <vt:variant>
        <vt:lpwstr/>
      </vt:variant>
      <vt:variant>
        <vt:i4>6619241</vt:i4>
      </vt:variant>
      <vt:variant>
        <vt:i4>153</vt:i4>
      </vt:variant>
      <vt:variant>
        <vt:i4>0</vt:i4>
      </vt:variant>
      <vt:variant>
        <vt:i4>5</vt:i4>
      </vt:variant>
      <vt:variant>
        <vt:lpwstr>http://www.nevo.co.il/law/70301/40i.a.1</vt:lpwstr>
      </vt:variant>
      <vt:variant>
        <vt:lpwstr/>
      </vt:variant>
      <vt:variant>
        <vt:i4>4915208</vt:i4>
      </vt:variant>
      <vt:variant>
        <vt:i4>150</vt:i4>
      </vt:variant>
      <vt:variant>
        <vt:i4>0</vt:i4>
      </vt:variant>
      <vt:variant>
        <vt:i4>5</vt:i4>
      </vt:variant>
      <vt:variant>
        <vt:lpwstr>http://www.nevo.co.il/law/70301/40i.a</vt:lpwstr>
      </vt:variant>
      <vt:variant>
        <vt:lpwstr/>
      </vt:variant>
      <vt:variant>
        <vt:i4>3997808</vt:i4>
      </vt:variant>
      <vt:variant>
        <vt:i4>147</vt:i4>
      </vt:variant>
      <vt:variant>
        <vt:i4>0</vt:i4>
      </vt:variant>
      <vt:variant>
        <vt:i4>5</vt:i4>
      </vt:variant>
      <vt:variant>
        <vt:lpwstr>http://www.nevo.co.il/case/21472291</vt:lpwstr>
      </vt:variant>
      <vt:variant>
        <vt:lpwstr/>
      </vt:variant>
      <vt:variant>
        <vt:i4>3276917</vt:i4>
      </vt:variant>
      <vt:variant>
        <vt:i4>144</vt:i4>
      </vt:variant>
      <vt:variant>
        <vt:i4>0</vt:i4>
      </vt:variant>
      <vt:variant>
        <vt:i4>5</vt:i4>
      </vt:variant>
      <vt:variant>
        <vt:lpwstr>http://www.nevo.co.il/case/20383907</vt:lpwstr>
      </vt:variant>
      <vt:variant>
        <vt:lpwstr/>
      </vt:variant>
      <vt:variant>
        <vt:i4>3539061</vt:i4>
      </vt:variant>
      <vt:variant>
        <vt:i4>141</vt:i4>
      </vt:variant>
      <vt:variant>
        <vt:i4>0</vt:i4>
      </vt:variant>
      <vt:variant>
        <vt:i4>5</vt:i4>
      </vt:variant>
      <vt:variant>
        <vt:lpwstr>http://www.nevo.co.il/case/20323345</vt:lpwstr>
      </vt:variant>
      <vt:variant>
        <vt:lpwstr/>
      </vt:variant>
      <vt:variant>
        <vt:i4>3473529</vt:i4>
      </vt:variant>
      <vt:variant>
        <vt:i4>138</vt:i4>
      </vt:variant>
      <vt:variant>
        <vt:i4>0</vt:i4>
      </vt:variant>
      <vt:variant>
        <vt:i4>5</vt:i4>
      </vt:variant>
      <vt:variant>
        <vt:lpwstr>http://www.nevo.co.il/case/20181574</vt:lpwstr>
      </vt:variant>
      <vt:variant>
        <vt:lpwstr/>
      </vt:variant>
      <vt:variant>
        <vt:i4>3604594</vt:i4>
      </vt:variant>
      <vt:variant>
        <vt:i4>135</vt:i4>
      </vt:variant>
      <vt:variant>
        <vt:i4>0</vt:i4>
      </vt:variant>
      <vt:variant>
        <vt:i4>5</vt:i4>
      </vt:variant>
      <vt:variant>
        <vt:lpwstr>http://www.nevo.co.il/case/20716748</vt:lpwstr>
      </vt:variant>
      <vt:variant>
        <vt:lpwstr/>
      </vt:variant>
      <vt:variant>
        <vt:i4>3997812</vt:i4>
      </vt:variant>
      <vt:variant>
        <vt:i4>132</vt:i4>
      </vt:variant>
      <vt:variant>
        <vt:i4>0</vt:i4>
      </vt:variant>
      <vt:variant>
        <vt:i4>5</vt:i4>
      </vt:variant>
      <vt:variant>
        <vt:lpwstr>http://www.nevo.co.il/case/5603159</vt:lpwstr>
      </vt:variant>
      <vt:variant>
        <vt:lpwstr/>
      </vt:variant>
      <vt:variant>
        <vt:i4>3473525</vt:i4>
      </vt:variant>
      <vt:variant>
        <vt:i4>129</vt:i4>
      </vt:variant>
      <vt:variant>
        <vt:i4>0</vt:i4>
      </vt:variant>
      <vt:variant>
        <vt:i4>5</vt:i4>
      </vt:variant>
      <vt:variant>
        <vt:lpwstr>http://www.nevo.co.il/case/18193063</vt:lpwstr>
      </vt:variant>
      <vt:variant>
        <vt:lpwstr/>
      </vt:variant>
      <vt:variant>
        <vt:i4>3211381</vt:i4>
      </vt:variant>
      <vt:variant>
        <vt:i4>126</vt:i4>
      </vt:variant>
      <vt:variant>
        <vt:i4>0</vt:i4>
      </vt:variant>
      <vt:variant>
        <vt:i4>5</vt:i4>
      </vt:variant>
      <vt:variant>
        <vt:lpwstr>http://www.nevo.co.il/case/13104258</vt:lpwstr>
      </vt:variant>
      <vt:variant>
        <vt:lpwstr/>
      </vt:variant>
      <vt:variant>
        <vt:i4>3145847</vt:i4>
      </vt:variant>
      <vt:variant>
        <vt:i4>123</vt:i4>
      </vt:variant>
      <vt:variant>
        <vt:i4>0</vt:i4>
      </vt:variant>
      <vt:variant>
        <vt:i4>5</vt:i4>
      </vt:variant>
      <vt:variant>
        <vt:lpwstr>http://www.nevo.co.il/case/21477511</vt:lpwstr>
      </vt:variant>
      <vt:variant>
        <vt:lpwstr/>
      </vt:variant>
      <vt:variant>
        <vt:i4>4128882</vt:i4>
      </vt:variant>
      <vt:variant>
        <vt:i4>120</vt:i4>
      </vt:variant>
      <vt:variant>
        <vt:i4>0</vt:i4>
      </vt:variant>
      <vt:variant>
        <vt:i4>5</vt:i4>
      </vt:variant>
      <vt:variant>
        <vt:lpwstr>http://www.nevo.co.il/case/6859579</vt:lpwstr>
      </vt:variant>
      <vt:variant>
        <vt:lpwstr/>
      </vt:variant>
      <vt:variant>
        <vt:i4>4063347</vt:i4>
      </vt:variant>
      <vt:variant>
        <vt:i4>117</vt:i4>
      </vt:variant>
      <vt:variant>
        <vt:i4>0</vt:i4>
      </vt:variant>
      <vt:variant>
        <vt:i4>5</vt:i4>
      </vt:variant>
      <vt:variant>
        <vt:lpwstr>http://www.nevo.co.il/case/17954529</vt:lpwstr>
      </vt:variant>
      <vt:variant>
        <vt:lpwstr/>
      </vt:variant>
      <vt:variant>
        <vt:i4>4128884</vt:i4>
      </vt:variant>
      <vt:variant>
        <vt:i4>114</vt:i4>
      </vt:variant>
      <vt:variant>
        <vt:i4>0</vt:i4>
      </vt:variant>
      <vt:variant>
        <vt:i4>5</vt:i4>
      </vt:variant>
      <vt:variant>
        <vt:lpwstr>http://www.nevo.co.il/case/17954235</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3145849</vt:i4>
      </vt:variant>
      <vt:variant>
        <vt:i4>108</vt:i4>
      </vt:variant>
      <vt:variant>
        <vt:i4>0</vt:i4>
      </vt:variant>
      <vt:variant>
        <vt:i4>5</vt:i4>
      </vt:variant>
      <vt:variant>
        <vt:lpwstr>http://www.nevo.co.il/case/13093721</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6619233</vt:i4>
      </vt:variant>
      <vt:variant>
        <vt:i4>102</vt:i4>
      </vt:variant>
      <vt:variant>
        <vt:i4>0</vt:i4>
      </vt:variant>
      <vt:variant>
        <vt:i4>5</vt:i4>
      </vt:variant>
      <vt:variant>
        <vt:lpwstr>http://www.nevo.co.il/law/70301/40b</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6291556</vt:i4>
      </vt:variant>
      <vt:variant>
        <vt:i4>96</vt:i4>
      </vt:variant>
      <vt:variant>
        <vt:i4>0</vt:i4>
      </vt:variant>
      <vt:variant>
        <vt:i4>5</vt:i4>
      </vt:variant>
      <vt:variant>
        <vt:lpwstr>http://www.nevo.co.il/law/70301/152</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7602280</vt:i4>
      </vt:variant>
      <vt:variant>
        <vt:i4>87</vt:i4>
      </vt:variant>
      <vt:variant>
        <vt:i4>0</vt:i4>
      </vt:variant>
      <vt:variant>
        <vt:i4>5</vt:i4>
      </vt:variant>
      <vt:variant>
        <vt:lpwstr>http://www.nevo.co.il/law/70301/274.1.;274.2.;274.3</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6750270</vt:i4>
      </vt:variant>
      <vt:variant>
        <vt:i4>81</vt:i4>
      </vt:variant>
      <vt:variant>
        <vt:i4>0</vt:i4>
      </vt:variant>
      <vt:variant>
        <vt:i4>5</vt:i4>
      </vt:variant>
      <vt:variant>
        <vt:lpwstr>http://www.nevo.co.il/law/70301/329.a.2</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7995492</vt:i4>
      </vt:variant>
      <vt:variant>
        <vt:i4>75</vt:i4>
      </vt:variant>
      <vt:variant>
        <vt:i4>0</vt:i4>
      </vt:variant>
      <vt:variant>
        <vt:i4>5</vt:i4>
      </vt:variant>
      <vt:variant>
        <vt:lpwstr>http://www.nevo.co.il/law/70301</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3932197</vt:i4>
      </vt:variant>
      <vt:variant>
        <vt:i4>66</vt:i4>
      </vt:variant>
      <vt:variant>
        <vt:i4>0</vt:i4>
      </vt:variant>
      <vt:variant>
        <vt:i4>5</vt:i4>
      </vt:variant>
      <vt:variant>
        <vt:lpwstr>http://www.nevo.co.il/law/70301/40ja.8</vt:lpwstr>
      </vt:variant>
      <vt:variant>
        <vt:lpwstr/>
      </vt:variant>
      <vt:variant>
        <vt:i4>3276837</vt:i4>
      </vt:variant>
      <vt:variant>
        <vt:i4>63</vt:i4>
      </vt:variant>
      <vt:variant>
        <vt:i4>0</vt:i4>
      </vt:variant>
      <vt:variant>
        <vt:i4>5</vt:i4>
      </vt:variant>
      <vt:variant>
        <vt:lpwstr>http://www.nevo.co.il/law/70301/40ja.6</vt:lpwstr>
      </vt:variant>
      <vt:variant>
        <vt:lpwstr/>
      </vt:variant>
      <vt:variant>
        <vt:i4>3145765</vt:i4>
      </vt:variant>
      <vt:variant>
        <vt:i4>60</vt:i4>
      </vt:variant>
      <vt:variant>
        <vt:i4>0</vt:i4>
      </vt:variant>
      <vt:variant>
        <vt:i4>5</vt:i4>
      </vt:variant>
      <vt:variant>
        <vt:lpwstr>http://www.nevo.co.il/law/70301/40ja.4</vt:lpwstr>
      </vt:variant>
      <vt:variant>
        <vt:lpwstr/>
      </vt:variant>
      <vt:variant>
        <vt:i4>3538981</vt:i4>
      </vt:variant>
      <vt:variant>
        <vt:i4>57</vt:i4>
      </vt:variant>
      <vt:variant>
        <vt:i4>0</vt:i4>
      </vt:variant>
      <vt:variant>
        <vt:i4>5</vt:i4>
      </vt:variant>
      <vt:variant>
        <vt:lpwstr>http://www.nevo.co.il/law/70301/40ja.2</vt:lpwstr>
      </vt:variant>
      <vt:variant>
        <vt:lpwstr/>
      </vt:variant>
      <vt:variant>
        <vt:i4>3473445</vt:i4>
      </vt:variant>
      <vt:variant>
        <vt:i4>54</vt:i4>
      </vt:variant>
      <vt:variant>
        <vt:i4>0</vt:i4>
      </vt:variant>
      <vt:variant>
        <vt:i4>5</vt:i4>
      </vt:variant>
      <vt:variant>
        <vt:lpwstr>http://www.nevo.co.il/law/70301/40ja.11</vt:lpwstr>
      </vt:variant>
      <vt:variant>
        <vt:lpwstr/>
      </vt:variant>
      <vt:variant>
        <vt:i4>3473445</vt:i4>
      </vt:variant>
      <vt:variant>
        <vt:i4>51</vt:i4>
      </vt:variant>
      <vt:variant>
        <vt:i4>0</vt:i4>
      </vt:variant>
      <vt:variant>
        <vt:i4>5</vt:i4>
      </vt:variant>
      <vt:variant>
        <vt:lpwstr>http://www.nevo.co.il/law/70301/40ja.1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6750270</vt:i4>
      </vt:variant>
      <vt:variant>
        <vt:i4>45</vt:i4>
      </vt:variant>
      <vt:variant>
        <vt:i4>0</vt:i4>
      </vt:variant>
      <vt:variant>
        <vt:i4>5</vt:i4>
      </vt:variant>
      <vt:variant>
        <vt:lpwstr>http://www.nevo.co.il/law/70301/329.a.2</vt:lpwstr>
      </vt:variant>
      <vt:variant>
        <vt:lpwstr/>
      </vt:variant>
      <vt:variant>
        <vt:i4>4980819</vt:i4>
      </vt:variant>
      <vt:variant>
        <vt:i4>42</vt:i4>
      </vt:variant>
      <vt:variant>
        <vt:i4>0</vt:i4>
      </vt:variant>
      <vt:variant>
        <vt:i4>5</vt:i4>
      </vt:variant>
      <vt:variant>
        <vt:lpwstr>http://www.nevo.co.il/law/70301/274.3</vt:lpwstr>
      </vt:variant>
      <vt:variant>
        <vt:lpwstr/>
      </vt:variant>
      <vt:variant>
        <vt:i4>6422625</vt:i4>
      </vt:variant>
      <vt:variant>
        <vt:i4>39</vt:i4>
      </vt:variant>
      <vt:variant>
        <vt:i4>0</vt:i4>
      </vt:variant>
      <vt:variant>
        <vt:i4>5</vt:i4>
      </vt:variant>
      <vt:variant>
        <vt:lpwstr>http://www.nevo.co.il/law/70301/274.2.</vt:lpwstr>
      </vt:variant>
      <vt:variant>
        <vt:lpwstr/>
      </vt:variant>
      <vt:variant>
        <vt:i4>6422626</vt:i4>
      </vt:variant>
      <vt:variant>
        <vt:i4>36</vt:i4>
      </vt:variant>
      <vt:variant>
        <vt:i4>0</vt:i4>
      </vt:variant>
      <vt:variant>
        <vt:i4>5</vt:i4>
      </vt:variant>
      <vt:variant>
        <vt:lpwstr>http://www.nevo.co.il/law/70301/274.1.</vt:lpwstr>
      </vt:variant>
      <vt:variant>
        <vt:lpwstr/>
      </vt:variant>
      <vt:variant>
        <vt:i4>6291556</vt:i4>
      </vt:variant>
      <vt:variant>
        <vt:i4>33</vt:i4>
      </vt:variant>
      <vt:variant>
        <vt:i4>0</vt:i4>
      </vt:variant>
      <vt:variant>
        <vt:i4>5</vt:i4>
      </vt:variant>
      <vt:variant>
        <vt:lpwstr>http://www.nevo.co.il/law/70301/152</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6619241</vt:i4>
      </vt:variant>
      <vt:variant>
        <vt:i4>27</vt:i4>
      </vt:variant>
      <vt:variant>
        <vt:i4>0</vt:i4>
      </vt:variant>
      <vt:variant>
        <vt:i4>5</vt:i4>
      </vt:variant>
      <vt:variant>
        <vt:lpwstr>http://www.nevo.co.il/law/70301/40i.a.5</vt:lpwstr>
      </vt:variant>
      <vt:variant>
        <vt:lpwstr/>
      </vt:variant>
      <vt:variant>
        <vt:i4>6619241</vt:i4>
      </vt:variant>
      <vt:variant>
        <vt:i4>24</vt:i4>
      </vt:variant>
      <vt:variant>
        <vt:i4>0</vt:i4>
      </vt:variant>
      <vt:variant>
        <vt:i4>5</vt:i4>
      </vt:variant>
      <vt:variant>
        <vt:lpwstr>http://www.nevo.co.il/law/70301/40i.a.4</vt:lpwstr>
      </vt:variant>
      <vt:variant>
        <vt:lpwstr/>
      </vt:variant>
      <vt:variant>
        <vt:i4>6619241</vt:i4>
      </vt:variant>
      <vt:variant>
        <vt:i4>21</vt:i4>
      </vt:variant>
      <vt:variant>
        <vt:i4>0</vt:i4>
      </vt:variant>
      <vt:variant>
        <vt:i4>5</vt:i4>
      </vt:variant>
      <vt:variant>
        <vt:lpwstr>http://www.nevo.co.il/law/70301/40i.a.3</vt:lpwstr>
      </vt:variant>
      <vt:variant>
        <vt:lpwstr/>
      </vt:variant>
      <vt:variant>
        <vt:i4>6619241</vt:i4>
      </vt:variant>
      <vt:variant>
        <vt:i4>18</vt:i4>
      </vt:variant>
      <vt:variant>
        <vt:i4>0</vt:i4>
      </vt:variant>
      <vt:variant>
        <vt:i4>5</vt:i4>
      </vt:variant>
      <vt:variant>
        <vt:lpwstr>http://www.nevo.co.il/law/70301/40i.a.2</vt:lpwstr>
      </vt:variant>
      <vt:variant>
        <vt:lpwstr/>
      </vt:variant>
      <vt:variant>
        <vt:i4>6619241</vt:i4>
      </vt:variant>
      <vt:variant>
        <vt:i4>15</vt:i4>
      </vt:variant>
      <vt:variant>
        <vt:i4>0</vt:i4>
      </vt:variant>
      <vt:variant>
        <vt:i4>5</vt:i4>
      </vt:variant>
      <vt:variant>
        <vt:lpwstr>http://www.nevo.co.il/law/70301/40i.a.1</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13864</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הינדי</vt:lpwstr>
  </property>
  <property fmtid="{D5CDD505-2E9C-101B-9397-08002B2CF9AE}" pid="10" name="LAWYER">
    <vt:lpwstr>שחר מלול;מוחמד מחמוד</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20161114</vt:lpwstr>
  </property>
  <property fmtid="{D5CDD505-2E9C-101B-9397-08002B2CF9AE}" pid="14" name="TYPE_N_DATE">
    <vt:lpwstr>39020161114</vt:lpwstr>
  </property>
  <property fmtid="{D5CDD505-2E9C-101B-9397-08002B2CF9AE}" pid="15" name="CASESLISTTMP1">
    <vt:lpwstr>13093721;17954235;17954529;6859579;21477511;13104258;18193063;5603159;20716748;20181574;20323345;20383907;21472291;377887;21008663</vt:lpwstr>
  </property>
  <property fmtid="{D5CDD505-2E9C-101B-9397-08002B2CF9AE}" pid="16" name="CASENOTES1">
    <vt:lpwstr>ProcID=133&amp;PartA=60637&amp;PartB=11&amp;PartC=14</vt:lpwstr>
  </property>
  <property fmtid="{D5CDD505-2E9C-101B-9397-08002B2CF9AE}" pid="17" name="WORDNUMPAGES">
    <vt:lpwstr>12</vt:lpwstr>
  </property>
  <property fmtid="{D5CDD505-2E9C-101B-9397-08002B2CF9AE}" pid="18" name="TYPE_ABS_DATE">
    <vt:lpwstr>390020161114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70301/144.b2;029:3;329.a.2;274.1;274.2;274.3;025;152;040b;40jc;040i.a;040i.a.1;040i.a.2;040i.a.3;040i.a.4;040i.a.5;40ja;40ja.1;40ja.2;40ja.4;40ja.6;40ja.8;40ja.11</vt:lpwstr>
  </property>
</Properties>
</file>