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456E6" w:rsidRPr="00AB2B02" w14:paraId="2AA01820" w14:textId="77777777">
        <w:trPr>
          <w:trHeight w:hRule="exact" w:val="418"/>
          <w:jc w:val="center"/>
        </w:trPr>
        <w:tc>
          <w:tcPr>
            <w:tcW w:w="8721" w:type="dxa"/>
            <w:gridSpan w:val="2"/>
          </w:tcPr>
          <w:p w14:paraId="4924FA38" w14:textId="77777777" w:rsidR="00F456E6" w:rsidRPr="00AB2B02" w:rsidRDefault="00AB2B02">
            <w:pPr>
              <w:pStyle w:val="a3"/>
              <w:jc w:val="center"/>
              <w:rPr>
                <w:rFonts w:ascii="Tahoma" w:hAnsi="Tahoma" w:cs="Tahoma"/>
                <w:color w:val="000080"/>
                <w:rtl/>
              </w:rPr>
            </w:pPr>
            <w:r w:rsidRPr="00AB2B02">
              <w:rPr>
                <w:rFonts w:ascii="Tahoma" w:hAnsi="Tahoma" w:cs="Tahoma"/>
                <w:b/>
                <w:bCs/>
                <w:color w:val="000080"/>
                <w:rtl/>
              </w:rPr>
              <w:t>בית המשפט המחוזי בירושלים</w:t>
            </w:r>
          </w:p>
        </w:tc>
      </w:tr>
      <w:tr w:rsidR="00F456E6" w:rsidRPr="00AB2B02" w14:paraId="177D9B2F" w14:textId="77777777">
        <w:trPr>
          <w:trHeight w:val="337"/>
          <w:jc w:val="center"/>
        </w:trPr>
        <w:tc>
          <w:tcPr>
            <w:tcW w:w="5057" w:type="dxa"/>
          </w:tcPr>
          <w:p w14:paraId="5ACA5F09" w14:textId="77777777" w:rsidR="00F456E6" w:rsidRPr="00AB2B02" w:rsidRDefault="00AB2B02" w:rsidP="003E7531">
            <w:pPr>
              <w:rPr>
                <w:rFonts w:cs="FrankRuehl" w:hint="cs"/>
                <w:sz w:val="28"/>
                <w:szCs w:val="28"/>
                <w:rtl/>
              </w:rPr>
            </w:pPr>
            <w:r w:rsidRPr="00AB2B02">
              <w:rPr>
                <w:rFonts w:cs="FrankRuehl"/>
                <w:sz w:val="28"/>
                <w:szCs w:val="28"/>
                <w:rtl/>
              </w:rPr>
              <w:t>ת"פ</w:t>
            </w:r>
            <w:r w:rsidRPr="00AB2B02">
              <w:rPr>
                <w:rFonts w:cs="FrankRuehl" w:hint="cs"/>
                <w:sz w:val="28"/>
                <w:szCs w:val="28"/>
                <w:rtl/>
              </w:rPr>
              <w:t xml:space="preserve"> </w:t>
            </w:r>
            <w:r w:rsidRPr="00AB2B02">
              <w:rPr>
                <w:rFonts w:cs="FrankRuehl"/>
                <w:sz w:val="28"/>
                <w:szCs w:val="28"/>
                <w:rtl/>
              </w:rPr>
              <w:t>20811-11-15</w:t>
            </w:r>
            <w:r w:rsidRPr="00AB2B02">
              <w:rPr>
                <w:rFonts w:cs="FrankRuehl" w:hint="cs"/>
                <w:sz w:val="28"/>
                <w:szCs w:val="28"/>
                <w:rtl/>
              </w:rPr>
              <w:t xml:space="preserve"> </w:t>
            </w:r>
            <w:r w:rsidR="003E7531">
              <w:rPr>
                <w:rFonts w:cs="FrankRuehl"/>
                <w:sz w:val="28"/>
                <w:szCs w:val="28"/>
                <w:rtl/>
              </w:rPr>
              <w:t>מדינת ישראל נ' נגאר</w:t>
            </w:r>
          </w:p>
          <w:p w14:paraId="20ACCD30" w14:textId="77777777" w:rsidR="00F456E6" w:rsidRPr="00AB2B02" w:rsidRDefault="00F456E6">
            <w:pPr>
              <w:pStyle w:val="a3"/>
              <w:rPr>
                <w:rFonts w:cs="FrankRuehl"/>
                <w:sz w:val="28"/>
                <w:szCs w:val="28"/>
                <w:rtl/>
              </w:rPr>
            </w:pPr>
          </w:p>
        </w:tc>
        <w:tc>
          <w:tcPr>
            <w:tcW w:w="3664" w:type="dxa"/>
          </w:tcPr>
          <w:p w14:paraId="20487A03" w14:textId="77777777" w:rsidR="00F456E6" w:rsidRPr="00AB2B02" w:rsidRDefault="00F456E6">
            <w:pPr>
              <w:pStyle w:val="a3"/>
              <w:jc w:val="right"/>
              <w:rPr>
                <w:rFonts w:cs="FrankRuehl"/>
                <w:sz w:val="28"/>
                <w:szCs w:val="28"/>
                <w:rtl/>
              </w:rPr>
            </w:pPr>
          </w:p>
        </w:tc>
      </w:tr>
    </w:tbl>
    <w:p w14:paraId="48B72899" w14:textId="77777777" w:rsidR="00F456E6" w:rsidRPr="00AB2B02" w:rsidRDefault="00AB2B02">
      <w:pPr>
        <w:pStyle w:val="a3"/>
        <w:rPr>
          <w:rtl/>
        </w:rPr>
      </w:pPr>
      <w:r w:rsidRPr="00AB2B02">
        <w:rPr>
          <w:rFonts w:hint="cs"/>
          <w:rtl/>
        </w:rPr>
        <w:t xml:space="preserve"> </w:t>
      </w:r>
    </w:p>
    <w:p w14:paraId="359D5D35" w14:textId="77777777" w:rsidR="00F456E6" w:rsidRPr="00AB2B02" w:rsidRDefault="00F456E6"/>
    <w:tbl>
      <w:tblPr>
        <w:bidiVisual/>
        <w:tblW w:w="8802" w:type="dxa"/>
        <w:tblInd w:w="-28" w:type="dxa"/>
        <w:tblLook w:val="01E0" w:firstRow="1" w:lastRow="1" w:firstColumn="1" w:lastColumn="1" w:noHBand="0" w:noVBand="0"/>
      </w:tblPr>
      <w:tblGrid>
        <w:gridCol w:w="2880"/>
        <w:gridCol w:w="5922"/>
      </w:tblGrid>
      <w:tr w:rsidR="00F456E6" w:rsidRPr="00AB2B02" w14:paraId="37D445A3" w14:textId="77777777">
        <w:tc>
          <w:tcPr>
            <w:tcW w:w="2880" w:type="dxa"/>
            <w:shd w:val="clear" w:color="auto" w:fill="auto"/>
          </w:tcPr>
          <w:p w14:paraId="710D9C1C" w14:textId="77777777" w:rsidR="00F456E6" w:rsidRPr="00AB2B02" w:rsidRDefault="00AB2B02">
            <w:pPr>
              <w:ind w:left="26"/>
              <w:rPr>
                <w:b/>
                <w:bCs/>
                <w:sz w:val="26"/>
                <w:szCs w:val="26"/>
              </w:rPr>
            </w:pPr>
            <w:bookmarkStart w:id="0" w:name="FirstAppellant"/>
            <w:r w:rsidRPr="00AB2B02">
              <w:rPr>
                <w:rFonts w:hint="cs"/>
                <w:b/>
                <w:bCs/>
                <w:sz w:val="26"/>
                <w:szCs w:val="26"/>
                <w:rtl/>
              </w:rPr>
              <w:t>ה</w:t>
            </w:r>
            <w:r w:rsidRPr="00AB2B02">
              <w:rPr>
                <w:rFonts w:hint="cs"/>
                <w:rtl/>
              </w:rPr>
              <w:t>מאשימה</w:t>
            </w:r>
          </w:p>
        </w:tc>
        <w:tc>
          <w:tcPr>
            <w:tcW w:w="5922" w:type="dxa"/>
            <w:shd w:val="clear" w:color="auto" w:fill="auto"/>
          </w:tcPr>
          <w:p w14:paraId="322AC08E" w14:textId="77777777" w:rsidR="00F456E6" w:rsidRPr="00AB2B02" w:rsidRDefault="00AB2B02">
            <w:pPr>
              <w:rPr>
                <w:b/>
                <w:bCs/>
                <w:sz w:val="26"/>
                <w:szCs w:val="26"/>
                <w:rtl/>
              </w:rPr>
            </w:pPr>
            <w:r w:rsidRPr="00AB2B02">
              <w:rPr>
                <w:rFonts w:hint="cs"/>
                <w:rtl/>
              </w:rPr>
              <w:t>מדינת ישראל</w:t>
            </w:r>
          </w:p>
          <w:p w14:paraId="2D29CE18" w14:textId="77777777" w:rsidR="00F456E6" w:rsidRPr="00AB2B02" w:rsidRDefault="00AB2B02">
            <w:pPr>
              <w:rPr>
                <w:b/>
                <w:bCs/>
                <w:sz w:val="26"/>
                <w:szCs w:val="26"/>
                <w:rtl/>
              </w:rPr>
            </w:pPr>
            <w:r w:rsidRPr="00AB2B02">
              <w:rPr>
                <w:rFonts w:hint="cs"/>
                <w:b/>
                <w:bCs/>
                <w:sz w:val="26"/>
                <w:szCs w:val="26"/>
                <w:rtl/>
              </w:rPr>
              <w:t xml:space="preserve">ע"י פרקליטות מחוז ירושלים פלילי </w:t>
            </w:r>
          </w:p>
        </w:tc>
      </w:tr>
      <w:bookmarkEnd w:id="0"/>
      <w:tr w:rsidR="00F456E6" w:rsidRPr="00AB2B02" w14:paraId="5CB4450D" w14:textId="77777777">
        <w:tc>
          <w:tcPr>
            <w:tcW w:w="8802" w:type="dxa"/>
            <w:gridSpan w:val="2"/>
            <w:shd w:val="clear" w:color="auto" w:fill="auto"/>
          </w:tcPr>
          <w:p w14:paraId="65804CAA" w14:textId="77777777" w:rsidR="00F456E6" w:rsidRPr="00AB2B02" w:rsidRDefault="00F456E6">
            <w:pPr>
              <w:jc w:val="both"/>
              <w:rPr>
                <w:rFonts w:ascii="Arial" w:hAnsi="Arial"/>
                <w:b/>
                <w:bCs/>
                <w:sz w:val="26"/>
                <w:szCs w:val="26"/>
                <w:rtl/>
              </w:rPr>
            </w:pPr>
          </w:p>
          <w:p w14:paraId="0609F66B" w14:textId="77777777" w:rsidR="00F456E6" w:rsidRPr="00AB2B02" w:rsidRDefault="00AB2B02">
            <w:pPr>
              <w:jc w:val="center"/>
              <w:rPr>
                <w:rFonts w:ascii="Arial" w:hAnsi="Arial"/>
                <w:b/>
                <w:bCs/>
                <w:sz w:val="26"/>
                <w:szCs w:val="26"/>
                <w:rtl/>
              </w:rPr>
            </w:pPr>
            <w:r w:rsidRPr="00AB2B02">
              <w:rPr>
                <w:rFonts w:ascii="Arial" w:hAnsi="Arial" w:hint="cs"/>
                <w:b/>
                <w:bCs/>
                <w:sz w:val="26"/>
                <w:szCs w:val="26"/>
                <w:rtl/>
              </w:rPr>
              <w:t>נגד</w:t>
            </w:r>
          </w:p>
          <w:p w14:paraId="473F267C" w14:textId="77777777" w:rsidR="00F456E6" w:rsidRPr="00AB2B02" w:rsidRDefault="00F456E6">
            <w:pPr>
              <w:jc w:val="center"/>
              <w:rPr>
                <w:rFonts w:ascii="Arial" w:hAnsi="Arial"/>
                <w:b/>
                <w:bCs/>
                <w:sz w:val="26"/>
                <w:szCs w:val="26"/>
                <w:rtl/>
              </w:rPr>
            </w:pPr>
          </w:p>
        </w:tc>
      </w:tr>
      <w:tr w:rsidR="00F456E6" w:rsidRPr="00AB2B02" w14:paraId="65C38F75" w14:textId="77777777">
        <w:tc>
          <w:tcPr>
            <w:tcW w:w="2880" w:type="dxa"/>
            <w:shd w:val="clear" w:color="auto" w:fill="auto"/>
          </w:tcPr>
          <w:p w14:paraId="0AC9F40B" w14:textId="77777777" w:rsidR="00F456E6" w:rsidRPr="00AB2B02" w:rsidRDefault="00AB2B02">
            <w:pPr>
              <w:ind w:left="26"/>
              <w:rPr>
                <w:b/>
                <w:bCs/>
                <w:sz w:val="26"/>
                <w:szCs w:val="26"/>
              </w:rPr>
            </w:pPr>
            <w:bookmarkStart w:id="1" w:name="FirstLawyer"/>
            <w:r w:rsidRPr="00AB2B02">
              <w:rPr>
                <w:rFonts w:hint="cs"/>
                <w:b/>
                <w:bCs/>
                <w:sz w:val="26"/>
                <w:szCs w:val="26"/>
                <w:rtl/>
              </w:rPr>
              <w:t xml:space="preserve">הנאשם </w:t>
            </w:r>
          </w:p>
        </w:tc>
        <w:tc>
          <w:tcPr>
            <w:tcW w:w="5922" w:type="dxa"/>
            <w:shd w:val="clear" w:color="auto" w:fill="auto"/>
          </w:tcPr>
          <w:p w14:paraId="00A40831" w14:textId="77777777" w:rsidR="00F456E6" w:rsidRPr="00AB2B02" w:rsidRDefault="003E7531" w:rsidP="003E7531">
            <w:pPr>
              <w:rPr>
                <w:rtl/>
              </w:rPr>
            </w:pPr>
            <w:r>
              <w:rPr>
                <w:rFonts w:hint="cs"/>
                <w:rtl/>
              </w:rPr>
              <w:t xml:space="preserve">אסלם נגאר </w:t>
            </w:r>
            <w:r w:rsidR="00AB2B02" w:rsidRPr="00AB2B02">
              <w:rPr>
                <w:rFonts w:hint="cs"/>
                <w:rtl/>
              </w:rPr>
              <w:t xml:space="preserve"> </w:t>
            </w:r>
          </w:p>
          <w:p w14:paraId="2FDAEA23" w14:textId="77777777" w:rsidR="00F456E6" w:rsidRPr="00AB2B02" w:rsidRDefault="00AB2B02">
            <w:pPr>
              <w:rPr>
                <w:b/>
                <w:bCs/>
                <w:sz w:val="26"/>
                <w:szCs w:val="26"/>
                <w:rtl/>
              </w:rPr>
            </w:pPr>
            <w:r w:rsidRPr="00AB2B02">
              <w:rPr>
                <w:rFonts w:hint="cs"/>
                <w:b/>
                <w:bCs/>
                <w:rtl/>
              </w:rPr>
              <w:t>ע"י ב"כ עו"ד סעיד ע'אליה</w:t>
            </w:r>
          </w:p>
          <w:p w14:paraId="7C550C3E" w14:textId="77777777" w:rsidR="00F456E6" w:rsidRPr="00AB2B02" w:rsidRDefault="00F456E6">
            <w:pPr>
              <w:rPr>
                <w:b/>
                <w:bCs/>
                <w:sz w:val="26"/>
                <w:szCs w:val="26"/>
                <w:rtl/>
              </w:rPr>
            </w:pPr>
          </w:p>
        </w:tc>
      </w:tr>
    </w:tbl>
    <w:p w14:paraId="1A637783" w14:textId="77777777" w:rsidR="002B3029" w:rsidRDefault="002B3029" w:rsidP="003E7531">
      <w:pPr>
        <w:tabs>
          <w:tab w:val="left" w:pos="1575"/>
        </w:tabs>
        <w:rPr>
          <w:rtl/>
        </w:rPr>
      </w:pPr>
      <w:bookmarkStart w:id="2" w:name="LawTable"/>
      <w:bookmarkEnd w:id="1"/>
      <w:bookmarkEnd w:id="2"/>
    </w:p>
    <w:p w14:paraId="74ECA7AA" w14:textId="77777777" w:rsidR="002B3029" w:rsidRPr="002B3029" w:rsidRDefault="002B3029" w:rsidP="002B3029">
      <w:pPr>
        <w:tabs>
          <w:tab w:val="left" w:pos="1575"/>
        </w:tabs>
        <w:spacing w:after="120" w:line="240" w:lineRule="exact"/>
        <w:ind w:left="283" w:hanging="283"/>
        <w:jc w:val="both"/>
        <w:rPr>
          <w:rFonts w:ascii="FrankRuehl" w:hAnsi="FrankRuehl" w:cs="FrankRuehl"/>
          <w:rtl/>
        </w:rPr>
      </w:pPr>
    </w:p>
    <w:p w14:paraId="35E9251C" w14:textId="77777777" w:rsidR="002B3029" w:rsidRPr="002B3029" w:rsidRDefault="002B3029" w:rsidP="002B3029">
      <w:pPr>
        <w:tabs>
          <w:tab w:val="left" w:pos="1575"/>
        </w:tabs>
        <w:spacing w:after="120" w:line="240" w:lineRule="exact"/>
        <w:ind w:left="283" w:hanging="283"/>
        <w:jc w:val="both"/>
        <w:rPr>
          <w:rFonts w:ascii="FrankRuehl" w:hAnsi="FrankRuehl" w:cs="FrankRuehl"/>
          <w:rtl/>
        </w:rPr>
      </w:pPr>
      <w:r w:rsidRPr="002B3029">
        <w:rPr>
          <w:rFonts w:ascii="FrankRuehl" w:hAnsi="FrankRuehl" w:cs="FrankRuehl"/>
          <w:rtl/>
        </w:rPr>
        <w:t xml:space="preserve">חקיקה שאוזכרה: </w:t>
      </w:r>
    </w:p>
    <w:p w14:paraId="4C4182DB" w14:textId="77777777" w:rsidR="002B3029" w:rsidRPr="002B3029" w:rsidRDefault="002B3029" w:rsidP="002B3029">
      <w:pPr>
        <w:tabs>
          <w:tab w:val="left" w:pos="1575"/>
        </w:tabs>
        <w:spacing w:after="120" w:line="240" w:lineRule="exact"/>
        <w:ind w:left="283" w:hanging="283"/>
        <w:jc w:val="both"/>
        <w:rPr>
          <w:rFonts w:ascii="FrankRuehl" w:hAnsi="FrankRuehl" w:cs="FrankRuehl"/>
          <w:rtl/>
        </w:rPr>
      </w:pPr>
      <w:hyperlink r:id="rId6" w:history="1">
        <w:r w:rsidRPr="002B3029">
          <w:rPr>
            <w:rFonts w:ascii="FrankRuehl" w:hAnsi="FrankRuehl" w:cs="FrankRuehl"/>
            <w:color w:val="0000FF"/>
            <w:u w:val="single"/>
            <w:rtl/>
          </w:rPr>
          <w:t>חוק העונשין, תשל"ז-1977</w:t>
        </w:r>
      </w:hyperlink>
      <w:r w:rsidRPr="002B3029">
        <w:rPr>
          <w:rFonts w:ascii="FrankRuehl" w:hAnsi="FrankRuehl" w:cs="FrankRuehl"/>
          <w:rtl/>
        </w:rPr>
        <w:t xml:space="preserve">: סע'  </w:t>
      </w:r>
      <w:hyperlink r:id="rId7" w:history="1">
        <w:r w:rsidRPr="002B3029">
          <w:rPr>
            <w:rFonts w:ascii="FrankRuehl" w:hAnsi="FrankRuehl" w:cs="FrankRuehl"/>
            <w:color w:val="0000FF"/>
            <w:u w:val="single"/>
            <w:rtl/>
          </w:rPr>
          <w:t>3(ב)</w:t>
        </w:r>
      </w:hyperlink>
      <w:r w:rsidRPr="002B3029">
        <w:rPr>
          <w:rFonts w:ascii="FrankRuehl" w:hAnsi="FrankRuehl" w:cs="FrankRuehl"/>
          <w:rtl/>
        </w:rPr>
        <w:t xml:space="preserve">, </w:t>
      </w:r>
      <w:hyperlink r:id="rId8" w:history="1">
        <w:r w:rsidRPr="002B3029">
          <w:rPr>
            <w:rFonts w:ascii="FrankRuehl" w:hAnsi="FrankRuehl" w:cs="FrankRuehl"/>
            <w:color w:val="0000FF"/>
            <w:u w:val="single"/>
            <w:rtl/>
          </w:rPr>
          <w:t>25</w:t>
        </w:r>
      </w:hyperlink>
      <w:r w:rsidRPr="002B3029">
        <w:rPr>
          <w:rFonts w:ascii="FrankRuehl" w:hAnsi="FrankRuehl" w:cs="FrankRuehl"/>
          <w:rtl/>
        </w:rPr>
        <w:t xml:space="preserve">, </w:t>
      </w:r>
      <w:hyperlink r:id="rId9" w:history="1">
        <w:r w:rsidRPr="002B3029">
          <w:rPr>
            <w:rFonts w:ascii="FrankRuehl" w:hAnsi="FrankRuehl" w:cs="FrankRuehl"/>
            <w:color w:val="0000FF"/>
            <w:u w:val="single"/>
            <w:rtl/>
          </w:rPr>
          <w:t>40ב'</w:t>
        </w:r>
      </w:hyperlink>
      <w:r w:rsidRPr="002B3029">
        <w:rPr>
          <w:rFonts w:ascii="FrankRuehl" w:hAnsi="FrankRuehl" w:cs="FrankRuehl"/>
          <w:rtl/>
        </w:rPr>
        <w:t xml:space="preserve">, </w:t>
      </w:r>
      <w:hyperlink r:id="rId10" w:history="1">
        <w:r w:rsidRPr="002B3029">
          <w:rPr>
            <w:rFonts w:ascii="FrankRuehl" w:hAnsi="FrankRuehl" w:cs="FrankRuehl"/>
            <w:color w:val="0000FF"/>
            <w:u w:val="single"/>
            <w:rtl/>
          </w:rPr>
          <w:t>40ג'</w:t>
        </w:r>
      </w:hyperlink>
      <w:r w:rsidRPr="002B3029">
        <w:rPr>
          <w:rFonts w:ascii="FrankRuehl" w:hAnsi="FrankRuehl" w:cs="FrankRuehl"/>
          <w:rtl/>
        </w:rPr>
        <w:t xml:space="preserve">, </w:t>
      </w:r>
      <w:hyperlink r:id="rId11" w:history="1">
        <w:r w:rsidRPr="002B3029">
          <w:rPr>
            <w:rFonts w:ascii="FrankRuehl" w:hAnsi="FrankRuehl" w:cs="FrankRuehl"/>
            <w:color w:val="0000FF"/>
            <w:u w:val="single"/>
            <w:rtl/>
          </w:rPr>
          <w:t>40 ג'(א)</w:t>
        </w:r>
      </w:hyperlink>
      <w:r w:rsidRPr="002B3029">
        <w:rPr>
          <w:rFonts w:ascii="FrankRuehl" w:hAnsi="FrankRuehl" w:cs="FrankRuehl"/>
          <w:rtl/>
        </w:rPr>
        <w:t xml:space="preserve">, </w:t>
      </w:r>
      <w:hyperlink r:id="rId12" w:history="1">
        <w:r w:rsidRPr="002B3029">
          <w:rPr>
            <w:rFonts w:ascii="FrankRuehl" w:hAnsi="FrankRuehl" w:cs="FrankRuehl"/>
            <w:color w:val="0000FF"/>
            <w:u w:val="single"/>
            <w:rtl/>
          </w:rPr>
          <w:t>40ד</w:t>
        </w:r>
      </w:hyperlink>
      <w:r w:rsidRPr="002B3029">
        <w:rPr>
          <w:rFonts w:ascii="FrankRuehl" w:hAnsi="FrankRuehl" w:cs="FrankRuehl"/>
          <w:rtl/>
        </w:rPr>
        <w:t xml:space="preserve">, </w:t>
      </w:r>
      <w:hyperlink r:id="rId13" w:history="1">
        <w:r w:rsidRPr="002B3029">
          <w:rPr>
            <w:rFonts w:ascii="FrankRuehl" w:hAnsi="FrankRuehl" w:cs="FrankRuehl"/>
            <w:color w:val="0000FF"/>
            <w:u w:val="single"/>
            <w:rtl/>
          </w:rPr>
          <w:t>40ה</w:t>
        </w:r>
      </w:hyperlink>
      <w:r w:rsidRPr="002B3029">
        <w:rPr>
          <w:rFonts w:ascii="FrankRuehl" w:hAnsi="FrankRuehl" w:cs="FrankRuehl"/>
          <w:rtl/>
        </w:rPr>
        <w:t xml:space="preserve">, </w:t>
      </w:r>
      <w:hyperlink r:id="rId14" w:history="1">
        <w:r w:rsidRPr="002B3029">
          <w:rPr>
            <w:rFonts w:ascii="FrankRuehl" w:hAnsi="FrankRuehl" w:cs="FrankRuehl"/>
            <w:color w:val="0000FF"/>
            <w:u w:val="single"/>
            <w:rtl/>
          </w:rPr>
          <w:t>40ט(א)</w:t>
        </w:r>
      </w:hyperlink>
      <w:r w:rsidRPr="002B3029">
        <w:rPr>
          <w:rFonts w:ascii="FrankRuehl" w:hAnsi="FrankRuehl" w:cs="FrankRuehl"/>
          <w:rtl/>
        </w:rPr>
        <w:t xml:space="preserve">, </w:t>
      </w:r>
      <w:hyperlink r:id="rId15" w:history="1">
        <w:r w:rsidRPr="002B3029">
          <w:rPr>
            <w:rFonts w:ascii="FrankRuehl" w:hAnsi="FrankRuehl" w:cs="FrankRuehl"/>
            <w:color w:val="0000FF"/>
            <w:u w:val="single"/>
            <w:rtl/>
          </w:rPr>
          <w:t>40ט(א)(3)</w:t>
        </w:r>
      </w:hyperlink>
      <w:r w:rsidRPr="002B3029">
        <w:rPr>
          <w:rFonts w:ascii="FrankRuehl" w:hAnsi="FrankRuehl" w:cs="FrankRuehl"/>
          <w:rtl/>
        </w:rPr>
        <w:t xml:space="preserve">, </w:t>
      </w:r>
      <w:hyperlink r:id="rId16" w:history="1">
        <w:r w:rsidRPr="002B3029">
          <w:rPr>
            <w:rFonts w:ascii="FrankRuehl" w:hAnsi="FrankRuehl" w:cs="FrankRuehl"/>
            <w:color w:val="0000FF"/>
            <w:u w:val="single"/>
            <w:rtl/>
          </w:rPr>
          <w:t>144(ב)</w:t>
        </w:r>
      </w:hyperlink>
      <w:r w:rsidRPr="002B3029">
        <w:rPr>
          <w:rFonts w:ascii="FrankRuehl" w:hAnsi="FrankRuehl" w:cs="FrankRuehl"/>
          <w:rtl/>
        </w:rPr>
        <w:t xml:space="preserve">, </w:t>
      </w:r>
      <w:hyperlink r:id="rId17" w:history="1">
        <w:r w:rsidRPr="002B3029">
          <w:rPr>
            <w:rFonts w:ascii="FrankRuehl" w:hAnsi="FrankRuehl" w:cs="FrankRuehl"/>
            <w:color w:val="0000FF"/>
            <w:u w:val="single"/>
            <w:rtl/>
          </w:rPr>
          <w:t>144(ב2)</w:t>
        </w:r>
      </w:hyperlink>
      <w:r w:rsidRPr="002B3029">
        <w:rPr>
          <w:rFonts w:ascii="FrankRuehl" w:hAnsi="FrankRuehl" w:cs="FrankRuehl"/>
          <w:rtl/>
        </w:rPr>
        <w:t xml:space="preserve">, </w:t>
      </w:r>
      <w:hyperlink r:id="rId18" w:history="1">
        <w:r w:rsidRPr="002B3029">
          <w:rPr>
            <w:rFonts w:ascii="FrankRuehl" w:hAnsi="FrankRuehl" w:cs="FrankRuehl"/>
            <w:color w:val="0000FF"/>
            <w:u w:val="single"/>
            <w:rtl/>
          </w:rPr>
          <w:t>152</w:t>
        </w:r>
      </w:hyperlink>
      <w:r w:rsidRPr="002B3029">
        <w:rPr>
          <w:rFonts w:ascii="FrankRuehl" w:hAnsi="FrankRuehl" w:cs="FrankRuehl"/>
          <w:rtl/>
        </w:rPr>
        <w:t xml:space="preserve">, </w:t>
      </w:r>
      <w:hyperlink r:id="rId19" w:history="1">
        <w:r w:rsidRPr="002B3029">
          <w:rPr>
            <w:rFonts w:ascii="FrankRuehl" w:hAnsi="FrankRuehl" w:cs="FrankRuehl"/>
            <w:color w:val="0000FF"/>
            <w:u w:val="single"/>
            <w:rtl/>
          </w:rPr>
          <w:t>274(1)</w:t>
        </w:r>
      </w:hyperlink>
      <w:r w:rsidRPr="002B3029">
        <w:rPr>
          <w:rFonts w:ascii="FrankRuehl" w:hAnsi="FrankRuehl" w:cs="FrankRuehl"/>
          <w:rtl/>
        </w:rPr>
        <w:t xml:space="preserve">, </w:t>
      </w:r>
      <w:hyperlink r:id="rId20" w:history="1">
        <w:r w:rsidRPr="002B3029">
          <w:rPr>
            <w:rFonts w:ascii="FrankRuehl" w:hAnsi="FrankRuehl" w:cs="FrankRuehl"/>
            <w:color w:val="0000FF"/>
            <w:u w:val="single"/>
            <w:rtl/>
          </w:rPr>
          <w:t>(2)</w:t>
        </w:r>
      </w:hyperlink>
      <w:r w:rsidRPr="002B3029">
        <w:rPr>
          <w:rFonts w:ascii="FrankRuehl" w:hAnsi="FrankRuehl" w:cs="FrankRuehl"/>
          <w:rtl/>
        </w:rPr>
        <w:t xml:space="preserve">, </w:t>
      </w:r>
      <w:hyperlink r:id="rId21" w:history="1">
        <w:r w:rsidRPr="002B3029">
          <w:rPr>
            <w:rFonts w:ascii="FrankRuehl" w:hAnsi="FrankRuehl" w:cs="FrankRuehl"/>
            <w:color w:val="0000FF"/>
            <w:u w:val="single"/>
            <w:rtl/>
          </w:rPr>
          <w:t>329(2)</w:t>
        </w:r>
      </w:hyperlink>
      <w:r w:rsidRPr="002B3029">
        <w:rPr>
          <w:rFonts w:ascii="FrankRuehl" w:hAnsi="FrankRuehl" w:cs="FrankRuehl"/>
          <w:rtl/>
        </w:rPr>
        <w:t xml:space="preserve">, </w:t>
      </w:r>
      <w:hyperlink r:id="rId22" w:history="1">
        <w:r w:rsidRPr="002B3029">
          <w:rPr>
            <w:rFonts w:ascii="FrankRuehl" w:hAnsi="FrankRuehl" w:cs="FrankRuehl"/>
            <w:color w:val="0000FF"/>
            <w:u w:val="single"/>
            <w:rtl/>
          </w:rPr>
          <w:t>332(א)</w:t>
        </w:r>
      </w:hyperlink>
      <w:r w:rsidRPr="002B3029">
        <w:rPr>
          <w:rFonts w:ascii="FrankRuehl" w:hAnsi="FrankRuehl" w:cs="FrankRuehl"/>
          <w:rtl/>
        </w:rPr>
        <w:t xml:space="preserve">, </w:t>
      </w:r>
      <w:hyperlink r:id="rId23" w:history="1">
        <w:r w:rsidRPr="002B3029">
          <w:rPr>
            <w:rFonts w:ascii="FrankRuehl" w:hAnsi="FrankRuehl" w:cs="FrankRuehl"/>
            <w:color w:val="0000FF"/>
            <w:u w:val="single"/>
            <w:rtl/>
          </w:rPr>
          <w:t>40יא</w:t>
        </w:r>
      </w:hyperlink>
      <w:r w:rsidRPr="002B3029">
        <w:rPr>
          <w:rFonts w:ascii="FrankRuehl" w:hAnsi="FrankRuehl" w:cs="FrankRuehl"/>
          <w:rtl/>
        </w:rPr>
        <w:t xml:space="preserve">, </w:t>
      </w:r>
      <w:hyperlink r:id="rId24" w:history="1">
        <w:r w:rsidRPr="002B3029">
          <w:rPr>
            <w:rFonts w:ascii="FrankRuehl" w:hAnsi="FrankRuehl" w:cs="FrankRuehl"/>
            <w:color w:val="0000FF"/>
            <w:u w:val="single"/>
            <w:rtl/>
          </w:rPr>
          <w:t>40יג(ב)</w:t>
        </w:r>
      </w:hyperlink>
      <w:r w:rsidRPr="002B3029">
        <w:rPr>
          <w:rFonts w:ascii="FrankRuehl" w:hAnsi="FrankRuehl" w:cs="FrankRuehl"/>
          <w:rtl/>
        </w:rPr>
        <w:t xml:space="preserve">, </w:t>
      </w:r>
      <w:hyperlink r:id="rId25" w:history="1">
        <w:r w:rsidRPr="002B3029">
          <w:rPr>
            <w:rFonts w:ascii="FrankRuehl" w:hAnsi="FrankRuehl" w:cs="FrankRuehl"/>
            <w:color w:val="0000FF"/>
            <w:u w:val="single"/>
            <w:rtl/>
          </w:rPr>
          <w:t>40יד</w:t>
        </w:r>
      </w:hyperlink>
    </w:p>
    <w:p w14:paraId="0845E3AE" w14:textId="77777777" w:rsidR="002B3029" w:rsidRPr="002B3029" w:rsidRDefault="002B3029" w:rsidP="002B3029">
      <w:pPr>
        <w:tabs>
          <w:tab w:val="left" w:pos="1575"/>
        </w:tabs>
        <w:spacing w:after="120" w:line="240" w:lineRule="exact"/>
        <w:ind w:left="283" w:hanging="283"/>
        <w:jc w:val="both"/>
        <w:rPr>
          <w:rFonts w:ascii="FrankRuehl" w:hAnsi="FrankRuehl" w:cs="FrankRuehl"/>
          <w:rtl/>
        </w:rPr>
      </w:pPr>
    </w:p>
    <w:p w14:paraId="7C3C2EB3" w14:textId="77777777" w:rsidR="002B3029" w:rsidRPr="002B3029" w:rsidRDefault="002B3029" w:rsidP="003E7531">
      <w:pPr>
        <w:tabs>
          <w:tab w:val="left" w:pos="1575"/>
        </w:tabs>
        <w:rPr>
          <w:rtl/>
        </w:rPr>
      </w:pPr>
      <w:bookmarkStart w:id="3" w:name="LawTable_End"/>
      <w:bookmarkEnd w:id="3"/>
    </w:p>
    <w:p w14:paraId="2BD8747A" w14:textId="77777777" w:rsidR="00AB2B02" w:rsidRPr="00AB2B02" w:rsidRDefault="003E7531" w:rsidP="003E7531">
      <w:pPr>
        <w:tabs>
          <w:tab w:val="left" w:pos="1575"/>
        </w:tabs>
        <w:rPr>
          <w:rtl/>
        </w:rPr>
      </w:pPr>
      <w:r>
        <w:rPr>
          <w:rtl/>
        </w:rPr>
        <w:tab/>
      </w:r>
    </w:p>
    <w:p w14:paraId="29F93215" w14:textId="77777777" w:rsidR="00F456E6" w:rsidRPr="00AB2B02" w:rsidRDefault="00F456E6"/>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56E6" w14:paraId="07390D5F" w14:textId="77777777">
        <w:trPr>
          <w:trHeight w:val="355"/>
        </w:trPr>
        <w:tc>
          <w:tcPr>
            <w:tcW w:w="8820" w:type="dxa"/>
            <w:tcBorders>
              <w:top w:val="nil"/>
              <w:left w:val="nil"/>
              <w:bottom w:val="nil"/>
              <w:right w:val="nil"/>
            </w:tcBorders>
            <w:shd w:val="clear" w:color="auto" w:fill="auto"/>
          </w:tcPr>
          <w:p w14:paraId="58030739" w14:textId="77777777" w:rsidR="00F456E6" w:rsidRPr="00AB2B02" w:rsidRDefault="00AB2B02" w:rsidP="003E7531">
            <w:pPr>
              <w:spacing w:line="360" w:lineRule="auto"/>
              <w:ind w:left="720" w:hanging="720"/>
              <w:jc w:val="center"/>
              <w:rPr>
                <w:rFonts w:hint="cs"/>
                <w:b/>
                <w:bCs/>
                <w:u w:val="single"/>
                <w:rtl/>
              </w:rPr>
            </w:pPr>
            <w:bookmarkStart w:id="4" w:name="PsakDin" w:colFirst="0" w:colLast="0"/>
            <w:r w:rsidRPr="00AB2B02">
              <w:rPr>
                <w:b/>
                <w:bCs/>
                <w:u w:val="single"/>
                <w:rtl/>
              </w:rPr>
              <w:t>גזר דין</w:t>
            </w:r>
          </w:p>
        </w:tc>
      </w:tr>
      <w:bookmarkEnd w:id="4"/>
    </w:tbl>
    <w:p w14:paraId="32C2AC10" w14:textId="77777777" w:rsidR="00F456E6" w:rsidRDefault="00F456E6">
      <w:pPr>
        <w:rPr>
          <w:rFonts w:ascii="Arial" w:hAnsi="Arial"/>
          <w:rtl/>
        </w:rPr>
      </w:pPr>
    </w:p>
    <w:p w14:paraId="714F9E47" w14:textId="77777777" w:rsidR="00F456E6" w:rsidRDefault="00F456E6">
      <w:pPr>
        <w:rPr>
          <w:rFonts w:ascii="Arial" w:hAnsi="Arial"/>
          <w:rtl/>
        </w:rPr>
      </w:pPr>
    </w:p>
    <w:p w14:paraId="1677FA0A" w14:textId="77777777" w:rsidR="00F456E6" w:rsidRDefault="00AB2B02">
      <w:pPr>
        <w:spacing w:line="360" w:lineRule="auto"/>
        <w:ind w:left="720" w:hanging="720"/>
        <w:jc w:val="both"/>
        <w:rPr>
          <w:rtl/>
        </w:rPr>
      </w:pPr>
      <w:r>
        <w:rPr>
          <w:rFonts w:hint="cs"/>
          <w:rtl/>
        </w:rPr>
        <w:t>1.</w:t>
      </w:r>
      <w:r>
        <w:rPr>
          <w:rFonts w:hint="cs"/>
          <w:rtl/>
        </w:rPr>
        <w:tab/>
        <w:t>הנאשם הורשע בהכרעת דין מיום 31.1.16, על פי הודאתו, במסגרת הסדר טיעון בעבירות הבאות:</w:t>
      </w:r>
    </w:p>
    <w:p w14:paraId="13C00902" w14:textId="77777777" w:rsidR="00F456E6" w:rsidRDefault="00AB2B02">
      <w:pPr>
        <w:spacing w:line="360" w:lineRule="auto"/>
        <w:ind w:left="1440" w:hanging="720"/>
        <w:jc w:val="both"/>
        <w:rPr>
          <w:rtl/>
        </w:rPr>
      </w:pPr>
      <w:r>
        <w:rPr>
          <w:rFonts w:hint="cs"/>
          <w:rtl/>
        </w:rPr>
        <w:t>א.</w:t>
      </w:r>
      <w:r>
        <w:rPr>
          <w:rtl/>
        </w:rPr>
        <w:tab/>
      </w:r>
      <w:r>
        <w:rPr>
          <w:rFonts w:hint="cs"/>
          <w:rtl/>
        </w:rPr>
        <w:t xml:space="preserve">ניסיון תקיפת שוטר בנסיבות מחמירות (שלוש עבירות), עבירה לפי </w:t>
      </w:r>
      <w:hyperlink r:id="rId26" w:history="1">
        <w:r w:rsidR="003E7531" w:rsidRPr="003E7531">
          <w:rPr>
            <w:rStyle w:val="Hyperlink"/>
            <w:rFonts w:hint="eastAsia"/>
            <w:rtl/>
          </w:rPr>
          <w:t>סעיף</w:t>
        </w:r>
        <w:r w:rsidR="003E7531" w:rsidRPr="003E7531">
          <w:rPr>
            <w:rStyle w:val="Hyperlink"/>
            <w:rtl/>
          </w:rPr>
          <w:t xml:space="preserve"> 274(1)</w:t>
        </w:r>
      </w:hyperlink>
      <w:r>
        <w:rPr>
          <w:rFonts w:hint="cs"/>
          <w:rtl/>
        </w:rPr>
        <w:t>,</w:t>
      </w:r>
      <w:hyperlink r:id="rId27" w:history="1">
        <w:r w:rsidR="003E7531" w:rsidRPr="003E7531">
          <w:rPr>
            <w:rStyle w:val="Hyperlink"/>
            <w:rtl/>
          </w:rPr>
          <w:t>(2)</w:t>
        </w:r>
      </w:hyperlink>
      <w:r>
        <w:rPr>
          <w:rFonts w:hint="cs"/>
          <w:rtl/>
        </w:rPr>
        <w:t xml:space="preserve"> בצירוף </w:t>
      </w:r>
      <w:hyperlink r:id="rId28" w:history="1">
        <w:r w:rsidR="003E7531" w:rsidRPr="003E7531">
          <w:rPr>
            <w:rStyle w:val="Hyperlink"/>
            <w:rFonts w:hint="eastAsia"/>
            <w:rtl/>
          </w:rPr>
          <w:t>סעיף</w:t>
        </w:r>
        <w:r w:rsidR="003E7531" w:rsidRPr="003E7531">
          <w:rPr>
            <w:rStyle w:val="Hyperlink"/>
            <w:rtl/>
          </w:rPr>
          <w:t xml:space="preserve"> 25</w:t>
        </w:r>
      </w:hyperlink>
      <w:r>
        <w:rPr>
          <w:rFonts w:hint="cs"/>
          <w:rtl/>
        </w:rPr>
        <w:t xml:space="preserve"> ל</w:t>
      </w:r>
      <w:hyperlink r:id="rId29" w:history="1">
        <w:r w:rsidR="00A675C2" w:rsidRPr="00A675C2">
          <w:rPr>
            <w:color w:val="0000FF"/>
            <w:u w:val="single"/>
            <w:rtl/>
          </w:rPr>
          <w:t>חוק העונשין</w:t>
        </w:r>
      </w:hyperlink>
      <w:r>
        <w:rPr>
          <w:rFonts w:hint="cs"/>
          <w:rtl/>
        </w:rPr>
        <w:t xml:space="preserve">, התשל"ז-1977 (להלן </w:t>
      </w:r>
      <w:r>
        <w:rPr>
          <w:rtl/>
        </w:rPr>
        <w:t>–</w:t>
      </w:r>
      <w:r>
        <w:rPr>
          <w:rFonts w:hint="cs"/>
          <w:rtl/>
        </w:rPr>
        <w:t xml:space="preserve"> החוק).</w:t>
      </w:r>
    </w:p>
    <w:p w14:paraId="49264E1E" w14:textId="77777777" w:rsidR="00F456E6" w:rsidRDefault="00AB2B02">
      <w:pPr>
        <w:spacing w:line="360" w:lineRule="auto"/>
        <w:ind w:left="720"/>
        <w:jc w:val="both"/>
        <w:rPr>
          <w:rtl/>
        </w:rPr>
      </w:pPr>
      <w:r>
        <w:rPr>
          <w:rFonts w:hint="cs"/>
          <w:rtl/>
        </w:rPr>
        <w:t>ב.</w:t>
      </w:r>
      <w:r>
        <w:rPr>
          <w:rtl/>
        </w:rPr>
        <w:tab/>
      </w:r>
      <w:r>
        <w:rPr>
          <w:rFonts w:hint="cs"/>
          <w:rtl/>
        </w:rPr>
        <w:t xml:space="preserve">ייצור נשק </w:t>
      </w:r>
      <w:r>
        <w:rPr>
          <w:rtl/>
        </w:rPr>
        <w:t>–</w:t>
      </w:r>
      <w:r>
        <w:rPr>
          <w:rFonts w:hint="cs"/>
          <w:rtl/>
        </w:rPr>
        <w:t xml:space="preserve"> עבירה לפי </w:t>
      </w:r>
      <w:hyperlink r:id="rId30" w:history="1">
        <w:r w:rsidR="003E7531" w:rsidRPr="003E7531">
          <w:rPr>
            <w:rStyle w:val="Hyperlink"/>
            <w:rFonts w:hint="eastAsia"/>
            <w:rtl/>
          </w:rPr>
          <w:t>סעיף</w:t>
        </w:r>
        <w:r w:rsidR="003E7531" w:rsidRPr="003E7531">
          <w:rPr>
            <w:rStyle w:val="Hyperlink"/>
            <w:rtl/>
          </w:rPr>
          <w:t xml:space="preserve"> 144(ב2)</w:t>
        </w:r>
      </w:hyperlink>
      <w:r>
        <w:rPr>
          <w:rFonts w:hint="cs"/>
          <w:rtl/>
        </w:rPr>
        <w:t xml:space="preserve"> לחוק. </w:t>
      </w:r>
    </w:p>
    <w:p w14:paraId="5D8FBE2C" w14:textId="77777777" w:rsidR="00F456E6" w:rsidRDefault="00AB2B02">
      <w:pPr>
        <w:spacing w:line="360" w:lineRule="auto"/>
        <w:ind w:left="720"/>
        <w:jc w:val="both"/>
        <w:rPr>
          <w:rtl/>
        </w:rPr>
      </w:pPr>
      <w:r>
        <w:rPr>
          <w:rFonts w:hint="cs"/>
          <w:rtl/>
        </w:rPr>
        <w:t xml:space="preserve">ג. </w:t>
      </w:r>
      <w:r>
        <w:rPr>
          <w:rtl/>
        </w:rPr>
        <w:tab/>
      </w:r>
      <w:r>
        <w:rPr>
          <w:rFonts w:hint="cs"/>
          <w:rtl/>
        </w:rPr>
        <w:t xml:space="preserve">נשיאת נשק </w:t>
      </w:r>
      <w:r>
        <w:rPr>
          <w:rtl/>
        </w:rPr>
        <w:t>–</w:t>
      </w:r>
      <w:r>
        <w:rPr>
          <w:rFonts w:hint="cs"/>
          <w:rtl/>
        </w:rPr>
        <w:t xml:space="preserve"> עבירה לפי </w:t>
      </w:r>
      <w:hyperlink r:id="rId31" w:history="1">
        <w:r w:rsidR="003E7531" w:rsidRPr="003E7531">
          <w:rPr>
            <w:rStyle w:val="Hyperlink"/>
            <w:rFonts w:hint="eastAsia"/>
            <w:rtl/>
          </w:rPr>
          <w:t>סעיף</w:t>
        </w:r>
        <w:r w:rsidR="003E7531" w:rsidRPr="003E7531">
          <w:rPr>
            <w:rStyle w:val="Hyperlink"/>
            <w:rtl/>
          </w:rPr>
          <w:t xml:space="preserve"> 144(ב)</w:t>
        </w:r>
      </w:hyperlink>
      <w:r>
        <w:rPr>
          <w:rFonts w:hint="cs"/>
          <w:rtl/>
        </w:rPr>
        <w:t xml:space="preserve"> לחוק (שתי עבירות).</w:t>
      </w:r>
    </w:p>
    <w:p w14:paraId="6E7F7FB0" w14:textId="77777777" w:rsidR="00F456E6" w:rsidRDefault="00AB2B02">
      <w:pPr>
        <w:spacing w:line="360" w:lineRule="auto"/>
        <w:ind w:left="720"/>
        <w:jc w:val="both"/>
        <w:rPr>
          <w:rtl/>
        </w:rPr>
      </w:pPr>
      <w:r>
        <w:rPr>
          <w:rFonts w:hint="cs"/>
          <w:rtl/>
        </w:rPr>
        <w:t xml:space="preserve">ד. </w:t>
      </w:r>
      <w:r>
        <w:rPr>
          <w:rtl/>
        </w:rPr>
        <w:tab/>
      </w:r>
      <w:r>
        <w:rPr>
          <w:rFonts w:hint="cs"/>
          <w:rtl/>
        </w:rPr>
        <w:t xml:space="preserve">חבלה בכוונה מחמירה </w:t>
      </w:r>
      <w:r>
        <w:rPr>
          <w:rtl/>
        </w:rPr>
        <w:t>–</w:t>
      </w:r>
      <w:r>
        <w:rPr>
          <w:rFonts w:hint="cs"/>
          <w:rtl/>
        </w:rPr>
        <w:t xml:space="preserve"> עבירה לפי </w:t>
      </w:r>
      <w:hyperlink r:id="rId32" w:history="1">
        <w:r w:rsidR="003E7531" w:rsidRPr="003E7531">
          <w:rPr>
            <w:rStyle w:val="Hyperlink"/>
            <w:rFonts w:hint="eastAsia"/>
            <w:rtl/>
          </w:rPr>
          <w:t>סעיף</w:t>
        </w:r>
        <w:r w:rsidR="003E7531" w:rsidRPr="003E7531">
          <w:rPr>
            <w:rStyle w:val="Hyperlink"/>
            <w:rtl/>
          </w:rPr>
          <w:t xml:space="preserve"> 329(2)</w:t>
        </w:r>
      </w:hyperlink>
      <w:r>
        <w:rPr>
          <w:rFonts w:hint="cs"/>
          <w:rtl/>
        </w:rPr>
        <w:t xml:space="preserve"> לחוק (שתי עבירות).</w:t>
      </w:r>
    </w:p>
    <w:p w14:paraId="2C527DBF" w14:textId="77777777" w:rsidR="00F456E6" w:rsidRDefault="00AB2B02">
      <w:pPr>
        <w:spacing w:line="360" w:lineRule="auto"/>
        <w:ind w:firstLine="720"/>
        <w:jc w:val="both"/>
        <w:rPr>
          <w:rtl/>
        </w:rPr>
      </w:pPr>
      <w:r>
        <w:rPr>
          <w:rFonts w:hint="cs"/>
          <w:rtl/>
        </w:rPr>
        <w:t xml:space="preserve">ה. </w:t>
      </w:r>
      <w:r>
        <w:rPr>
          <w:rtl/>
        </w:rPr>
        <w:tab/>
      </w:r>
      <w:r>
        <w:rPr>
          <w:rFonts w:hint="cs"/>
          <w:rtl/>
        </w:rPr>
        <w:t xml:space="preserve">יידוי אבן לעבר כלי תחבורה </w:t>
      </w:r>
      <w:r>
        <w:rPr>
          <w:rtl/>
        </w:rPr>
        <w:t>–</w:t>
      </w:r>
      <w:r>
        <w:rPr>
          <w:rFonts w:hint="cs"/>
          <w:rtl/>
        </w:rPr>
        <w:t xml:space="preserve"> עבירה לפי </w:t>
      </w:r>
      <w:hyperlink r:id="rId33" w:history="1">
        <w:r w:rsidR="003E7531" w:rsidRPr="003E7531">
          <w:rPr>
            <w:rStyle w:val="Hyperlink"/>
            <w:rFonts w:hint="eastAsia"/>
            <w:rtl/>
          </w:rPr>
          <w:t>סעיף</w:t>
        </w:r>
        <w:r w:rsidR="003E7531" w:rsidRPr="003E7531">
          <w:rPr>
            <w:rStyle w:val="Hyperlink"/>
            <w:rtl/>
          </w:rPr>
          <w:t xml:space="preserve"> 332(א)</w:t>
        </w:r>
      </w:hyperlink>
      <w:r>
        <w:rPr>
          <w:rFonts w:hint="cs"/>
          <w:rtl/>
        </w:rPr>
        <w:t xml:space="preserve"> לחוק. </w:t>
      </w:r>
    </w:p>
    <w:p w14:paraId="73AED722" w14:textId="77777777" w:rsidR="00F456E6" w:rsidRDefault="00AB2B02">
      <w:pPr>
        <w:spacing w:line="360" w:lineRule="auto"/>
        <w:ind w:left="1440" w:hanging="720"/>
        <w:jc w:val="both"/>
        <w:rPr>
          <w:rtl/>
        </w:rPr>
      </w:pPr>
      <w:r>
        <w:rPr>
          <w:rFonts w:hint="cs"/>
          <w:rtl/>
        </w:rPr>
        <w:t xml:space="preserve">ו. </w:t>
      </w:r>
      <w:r>
        <w:rPr>
          <w:rtl/>
        </w:rPr>
        <w:tab/>
      </w:r>
      <w:r>
        <w:rPr>
          <w:rFonts w:hint="cs"/>
          <w:rtl/>
        </w:rPr>
        <w:t xml:space="preserve">התפרעות </w:t>
      </w:r>
      <w:r>
        <w:rPr>
          <w:rtl/>
        </w:rPr>
        <w:t>–</w:t>
      </w:r>
      <w:r>
        <w:rPr>
          <w:rFonts w:hint="cs"/>
          <w:rtl/>
        </w:rPr>
        <w:t xml:space="preserve"> עבירה לפי </w:t>
      </w:r>
      <w:hyperlink r:id="rId34" w:history="1">
        <w:r w:rsidR="003E7531" w:rsidRPr="003E7531">
          <w:rPr>
            <w:rStyle w:val="Hyperlink"/>
            <w:rFonts w:hint="eastAsia"/>
            <w:rtl/>
          </w:rPr>
          <w:t>סעיף</w:t>
        </w:r>
        <w:r w:rsidR="003E7531" w:rsidRPr="003E7531">
          <w:rPr>
            <w:rStyle w:val="Hyperlink"/>
            <w:rtl/>
          </w:rPr>
          <w:t xml:space="preserve"> 152</w:t>
        </w:r>
      </w:hyperlink>
      <w:r>
        <w:rPr>
          <w:rFonts w:hint="cs"/>
          <w:rtl/>
        </w:rPr>
        <w:t xml:space="preserve"> לחוק (עבירה אחת ולא 3 כפי שנרשם בתסקיר שירות המבחן</w:t>
      </w:r>
      <w:r>
        <w:t>(</w:t>
      </w:r>
      <w:r>
        <w:rPr>
          <w:rFonts w:hint="cs"/>
          <w:rtl/>
        </w:rPr>
        <w:t>.</w:t>
      </w:r>
    </w:p>
    <w:p w14:paraId="15802FE3" w14:textId="77777777" w:rsidR="00F456E6" w:rsidRDefault="00F456E6">
      <w:pPr>
        <w:spacing w:line="360" w:lineRule="auto"/>
        <w:ind w:left="720" w:hanging="720"/>
        <w:jc w:val="both"/>
        <w:rPr>
          <w:rtl/>
        </w:rPr>
      </w:pPr>
    </w:p>
    <w:p w14:paraId="71B9C6BE" w14:textId="77777777" w:rsidR="00F456E6" w:rsidRDefault="00AB2B02">
      <w:pPr>
        <w:spacing w:line="360" w:lineRule="auto"/>
        <w:ind w:left="720" w:hanging="720"/>
        <w:jc w:val="both"/>
        <w:rPr>
          <w:rtl/>
        </w:rPr>
      </w:pPr>
      <w:r>
        <w:rPr>
          <w:rFonts w:hint="cs"/>
          <w:rtl/>
        </w:rPr>
        <w:t>2.</w:t>
      </w:r>
      <w:r>
        <w:rPr>
          <w:rFonts w:hint="cs"/>
          <w:rtl/>
        </w:rPr>
        <w:tab/>
        <w:t xml:space="preserve">באישום הראשון הרשעתי את הנאשם, </w:t>
      </w:r>
      <w:bookmarkStart w:id="5" w:name="ABSTRACT_START"/>
      <w:bookmarkEnd w:id="5"/>
      <w:r>
        <w:rPr>
          <w:rFonts w:hint="cs"/>
          <w:rtl/>
        </w:rPr>
        <w:t xml:space="preserve">שביום 6.10.15, ביחד עם חבריו, ידה הנאשם 3 אבנים לעבר כוחות הביטחון, וכי במעשיו המתוארים ניסה לתקוף שוטרים כשהוא מזויין בנשק קר וממניע לאומני-אידיאולוגי. באישום השני הרשעתי את הנאשם, שביום 17.9.15, ביחד עם אחרים, הכין הנאשם בקבוק תבערה אחד. באותו מועד השתתף עם צעירים רבים בהתפרעות נגד כוחות הביטחון, שכללה ידוי אבנים ובקבוקי תעברה. הנאשם ידה בקבוק </w:t>
      </w:r>
      <w:r>
        <w:rPr>
          <w:rFonts w:hint="cs"/>
          <w:rtl/>
        </w:rPr>
        <w:lastRenderedPageBreak/>
        <w:t xml:space="preserve">תבערה אחד שנפל בסמוך לכוחות הביטחון. במעשיו יצר ונשא הנאשם נשק, ניסה לפגוע באדם בכוונה לגרום לו חבלה חמורה וזאת ממניע לאומני- אידיאולוגי. באישום השלישי הרשעתי את הנאשם, שביום 15.9.15, קשר הנאשם ביחד עם אחרים להתעמת עם כוחות הביטחון. שניים מהקבוצה רכשו בנזין ויצרו 8 בקבוקי תבערה אותם חילקו לאחרים ולנאשם. </w:t>
      </w:r>
      <w:bookmarkStart w:id="6" w:name="ABSTRACT_END"/>
      <w:bookmarkEnd w:id="6"/>
      <w:r>
        <w:rPr>
          <w:rFonts w:hint="cs"/>
          <w:rtl/>
        </w:rPr>
        <w:t>הנאשם נשא את בקבוק התבערה והשליך בקבוק תבערה אחד ואבנים לעבר כוחות הביטחון במהלך התפרעות. הנאשם נשא נשק שלא כדין, ניסה לפגוע באדם בנשק בכוונה לגרום לו חבלה חמורה, ניסה עם אחרים לתקוף שוטרים כשהוא מזויין בנשק קר, כל זאת ממניע לאומני-אידיאולוגי. באישום הרביעי הרשעתי את הנאשם, שבמהלך מבצע צוק איתן בסוף 8/14, השתתף הנאשם עם עשרות צעירים אחרים בהפרות סדר והתפרעויות, שבמהלכן ידו אבנים רבות, והנאשם ידה 6 אבנים, לעבר ג'יפ של כוחות הביטחון. במעשיו המתוארים ידה אבן לכלי תחבורה בנסיעה באופן שסיכן את בטיחותו של הנוסע ומי שנמצא בקרבתו, בנסיבות שנועדו לעורר פחד/בהלה והכל ממניע לאומני-אידאולוגי. באישום החמישי הרשעתי את הנאשם, שביום 8.10.15, נפגש הנאשם עם צעירים אחרים לצורך הפרות סדר. נחסם כביש באמצעות פחי אשפה על מנת לארוב לכוחות הביטחון. הנאשם כשהוא רעול פנים, עם אחרים, ידה אבנים נגד כוחות הביטחון, בעוד האחרים ידו בקבוקי תבערה ובכך ניסה עם אחרים לתקוף שוטרים בעת מילוי תפקידם כשהוא מזויין בנשק קר והשתתף בהתקהלות אסורה שיש בה כדי להטיל אימה על הציבור, והכל ממניע לאומני- אידיאולוגי.</w:t>
      </w:r>
    </w:p>
    <w:p w14:paraId="7F0A5876" w14:textId="77777777" w:rsidR="00F456E6" w:rsidRDefault="00F456E6">
      <w:pPr>
        <w:spacing w:line="360" w:lineRule="auto"/>
        <w:ind w:left="720" w:hanging="720"/>
        <w:jc w:val="both"/>
        <w:rPr>
          <w:rtl/>
        </w:rPr>
      </w:pPr>
    </w:p>
    <w:p w14:paraId="4AF0A75E" w14:textId="77777777" w:rsidR="00F456E6" w:rsidRDefault="00AB2B02">
      <w:pPr>
        <w:spacing w:line="360" w:lineRule="auto"/>
        <w:ind w:left="720" w:hanging="720"/>
        <w:jc w:val="both"/>
        <w:rPr>
          <w:rtl/>
        </w:rPr>
      </w:pPr>
      <w:r>
        <w:rPr>
          <w:rFonts w:hint="cs"/>
          <w:rtl/>
        </w:rPr>
        <w:t>3.</w:t>
      </w:r>
      <w:r>
        <w:rPr>
          <w:rFonts w:hint="cs"/>
          <w:rtl/>
        </w:rPr>
        <w:tab/>
        <w:t xml:space="preserve">הצדדים לא באו להסכמה או להסדר </w:t>
      </w:r>
      <w:r>
        <w:rPr>
          <w:rtl/>
        </w:rPr>
        <w:t>לעניין העונש</w:t>
      </w:r>
      <w:r>
        <w:rPr>
          <w:rFonts w:hint="cs"/>
          <w:rtl/>
        </w:rPr>
        <w:t>, לאחר שהוגש תסקיר שירות המבחן, עליו הוריתי לאור גילו של הנאשם, הצדדים טענו לעונש באופן חופשי ויש ליתן גזר דין זה.</w:t>
      </w:r>
    </w:p>
    <w:p w14:paraId="0D51AEC6" w14:textId="77777777" w:rsidR="00F456E6" w:rsidRDefault="00F456E6">
      <w:pPr>
        <w:spacing w:line="360" w:lineRule="auto"/>
        <w:ind w:left="720" w:hanging="720"/>
        <w:jc w:val="both"/>
        <w:rPr>
          <w:rtl/>
        </w:rPr>
      </w:pPr>
    </w:p>
    <w:p w14:paraId="11AA8B71" w14:textId="77777777" w:rsidR="00F456E6" w:rsidRDefault="00AB2B02">
      <w:pPr>
        <w:spacing w:line="360" w:lineRule="auto"/>
        <w:ind w:left="720" w:hanging="720"/>
        <w:jc w:val="both"/>
        <w:rPr>
          <w:rtl/>
        </w:rPr>
      </w:pPr>
      <w:r>
        <w:rPr>
          <w:rFonts w:hint="cs"/>
          <w:rtl/>
        </w:rPr>
        <w:t>4.</w:t>
      </w:r>
      <w:r>
        <w:rPr>
          <w:rFonts w:hint="cs"/>
          <w:rtl/>
        </w:rPr>
        <w:tab/>
        <w:t>אין מחלוקת בין הצדדים, כי מדובר באירועים נפרדים ושלא מתקיים לגביהם מבחן הקשר ההדוק (ע' ע' 6 ש' 22-23; 9 ש' 22-23 פרו' מיום 14.4.16). המאשימה ערה לכך שצבירת עונשים בגין העבירות מגיע למספר רב של שנים שאינו עומד בעקרון ההלימה, ולכן לא טענה לגבי כל האישומים (ע' 7 ש' 21-22; ע' 11 ש' 31 בסיפא פרו' מיום 14.4.16). אין גם מחלוקת בין הצדדים, כי הנאשם מצוי בתחתיתו של מתחם הענישה(ע' 8 ש' 22; ע' 11 ש' 25 פרו' מיום 14.4.16), ואין מחלוקת כי העונש במקרה דנן יהיה של חודשים ממושכים (ע' 11 ש' 19-21 פרו' מיום 14.4.16).</w:t>
      </w:r>
    </w:p>
    <w:p w14:paraId="56B439A7" w14:textId="77777777" w:rsidR="00F456E6" w:rsidRDefault="00F456E6">
      <w:pPr>
        <w:spacing w:line="360" w:lineRule="auto"/>
        <w:ind w:left="720" w:hanging="720"/>
        <w:jc w:val="both"/>
        <w:rPr>
          <w:rtl/>
        </w:rPr>
      </w:pPr>
    </w:p>
    <w:p w14:paraId="5B14A012" w14:textId="77777777" w:rsidR="00F456E6" w:rsidRDefault="00AB2B02">
      <w:pPr>
        <w:spacing w:line="360" w:lineRule="auto"/>
        <w:ind w:left="720" w:hanging="720"/>
        <w:jc w:val="both"/>
        <w:rPr>
          <w:u w:val="single"/>
          <w:rtl/>
        </w:rPr>
      </w:pPr>
      <w:r>
        <w:rPr>
          <w:rFonts w:hint="cs"/>
          <w:u w:val="single"/>
          <w:rtl/>
        </w:rPr>
        <w:t>טענות הצדדים</w:t>
      </w:r>
    </w:p>
    <w:p w14:paraId="414DBBAA" w14:textId="77777777" w:rsidR="00F456E6" w:rsidRDefault="00AB2B02">
      <w:pPr>
        <w:spacing w:line="360" w:lineRule="auto"/>
        <w:ind w:left="1440" w:hanging="1440"/>
        <w:jc w:val="both"/>
        <w:rPr>
          <w:rtl/>
        </w:rPr>
      </w:pPr>
      <w:r>
        <w:rPr>
          <w:rFonts w:hint="cs"/>
          <w:rtl/>
        </w:rPr>
        <w:t>5.         א.</w:t>
      </w:r>
      <w:r>
        <w:rPr>
          <w:rFonts w:hint="cs"/>
          <w:rtl/>
        </w:rPr>
        <w:tab/>
        <w:t>בין היתר, טענה המאשימה, כי מתחם הענישה לעבירה של ניסיון לתקיפת שוטר בנסיבות מחמירות, ידוי 3 אבנים, ללא קשירת קשר או תכנון מקדים הוא שנה עד 36 חודש רק לגבי האישום הראשון, הקל מבין האישומים. כאשר מדובר באותה עבירה עם קשירת קשר ותכנון והשלכת בקבוק תבערה המתחם חמור יותר בין 14-</w:t>
      </w:r>
      <w:r>
        <w:rPr>
          <w:rFonts w:hint="cs"/>
          <w:rtl/>
        </w:rPr>
        <w:lastRenderedPageBreak/>
        <w:t xml:space="preserve">36 חודשי מאסר. בעבירה של ידוי אבן לכלי תחבורה, המחוקק מגדיר היכן מתחיל המתחם. במקרה דנן, סבורה המאשימה, שמתחם הענישה המאוזן וההולם נע בין 4 </w:t>
      </w:r>
      <w:r>
        <w:rPr>
          <w:rtl/>
        </w:rPr>
        <w:t>–</w:t>
      </w:r>
      <w:r>
        <w:rPr>
          <w:rFonts w:hint="cs"/>
          <w:rtl/>
        </w:rPr>
        <w:t xml:space="preserve"> 7 שנות מאסר ובכל מקרה מתחם הענישה בעבירות בהן עסקינן צריך להתחיל ב- 8 שנות מאסר לאור היקף האירועים וחומרתם, והעובדה כי הפכו ל"מכת עיר", וכן קנס מרתיע בסכומים הנעים בין 3,500 -8,000 ₪. אמנם עונשי מנימום לא חלים במקרה דנן אך יש להם השפעה.</w:t>
      </w:r>
    </w:p>
    <w:p w14:paraId="5E253C87" w14:textId="77777777" w:rsidR="00F456E6" w:rsidRDefault="00F456E6">
      <w:pPr>
        <w:spacing w:line="360" w:lineRule="auto"/>
        <w:ind w:left="720" w:hanging="720"/>
        <w:jc w:val="both"/>
        <w:rPr>
          <w:rtl/>
        </w:rPr>
      </w:pPr>
    </w:p>
    <w:p w14:paraId="558FE3BA" w14:textId="77777777" w:rsidR="00F456E6" w:rsidRDefault="00AB2B02">
      <w:pPr>
        <w:spacing w:line="360" w:lineRule="auto"/>
        <w:ind w:left="1440" w:hanging="720"/>
        <w:jc w:val="both"/>
        <w:rPr>
          <w:rtl/>
        </w:rPr>
      </w:pPr>
      <w:r>
        <w:rPr>
          <w:rFonts w:hint="cs"/>
          <w:rtl/>
        </w:rPr>
        <w:t>ב.</w:t>
      </w:r>
      <w:r>
        <w:rPr>
          <w:rFonts w:hint="cs"/>
          <w:rtl/>
        </w:rPr>
        <w:tab/>
        <w:t>לטענת הנאשם, הגם שאין מדובר באירוע אחד, יש לזכור שגזירת העונש אינה מתבצעת על פי נוסחה מתמטית, ובסמכות ביהמ"ש לחפוף בין מתחמי הענישה לגבי כל אישום ואישום. אין ולו פסק דין אחד של בימ"ש עליון ובו מתחם ענישה של 8 שנים בנסיבות דומות למקרה דנן והמקרים אליהם הפנתה המאשימה הם חמורים יותר. מאידך, קיימת פסיקה חוזרת של בימ"ש עליון שמדובר באירוע כולל. המתחם במקרים דומים הוא בין 12-40 חודשי מאסר (</w:t>
      </w:r>
      <w:hyperlink r:id="rId35" w:history="1">
        <w:r w:rsidRPr="00AB2B02">
          <w:rPr>
            <w:rStyle w:val="Hyperlink"/>
            <w:rFonts w:hint="eastAsia"/>
            <w:rtl/>
          </w:rPr>
          <w:t>ת</w:t>
        </w:r>
        <w:r w:rsidRPr="00AB2B02">
          <w:rPr>
            <w:rStyle w:val="Hyperlink"/>
            <w:rtl/>
          </w:rPr>
          <w:t>.פ (מחוזי י-ם) 41851-06-12</w:t>
        </w:r>
      </w:hyperlink>
      <w:r>
        <w:rPr>
          <w:rFonts w:hint="cs"/>
          <w:rtl/>
        </w:rPr>
        <w:t xml:space="preserve"> שאושר בבימ"ש עליון ב</w:t>
      </w:r>
      <w:hyperlink r:id="rId36" w:history="1">
        <w:r w:rsidR="002B3029" w:rsidRPr="002B3029">
          <w:rPr>
            <w:color w:val="0000FF"/>
            <w:u w:val="single"/>
            <w:rtl/>
          </w:rPr>
          <w:t xml:space="preserve">ת.פ. 2337/13 </w:t>
        </w:r>
      </w:hyperlink>
      <w:r>
        <w:rPr>
          <w:rFonts w:hint="cs"/>
          <w:rtl/>
        </w:rPr>
        <w:t xml:space="preserve"> </w:t>
      </w:r>
      <w:hyperlink r:id="rId37" w:history="1">
        <w:r w:rsidR="002B3029" w:rsidRPr="002B3029">
          <w:rPr>
            <w:color w:val="0000FF"/>
            <w:u w:val="single"/>
            <w:rtl/>
          </w:rPr>
          <w:t>ות.פ. 2954/13</w:t>
        </w:r>
      </w:hyperlink>
      <w:r>
        <w:rPr>
          <w:rFonts w:hint="cs"/>
          <w:rtl/>
        </w:rPr>
        <w:t>), ובמקרה הספציפי בו לא היה נזק 12-30 חודשי מאסר, כשיש ליתן משקל לכך שלא נגרם נזק בפועל. עונשי מינימום אינם רלבנטיים למקרה דנן. באשר לנסיבות שאינן קשורות לביצוע העבירה שיש להביאם בחשבון,  יש ליתן משקל לגילו הצעיר של הנאשם, שמאסר ממושך עלול לפגוע בו באופן משמעותי וגם במשפחתו. הנאשם נגרר והתחרט, ואין הוא משתייך לארגון אידיאולוגי. הנאשם שיתף פעולה עם החוקרים בחקירה ובכך תרם תרומה של ממש, חסך זמן שיפוטי, והוא עד בתיקים של נאשמים אחרים. לנאשם אין עבר פלילי. לצד הצורך בענישה מרתיעה ו"עונש חמור קצת" יש צורך לתת לנאשם תקווה כדי שלא יחזור למעגל הפשע עם שחרורו, ולכן מבוקש להסתפק בעונש מינימלי של 12 חודשים במתחם ענישה שבין 12-36 חודשים.</w:t>
      </w:r>
    </w:p>
    <w:p w14:paraId="0C204ADD" w14:textId="77777777" w:rsidR="00F456E6" w:rsidRDefault="00AB2B02">
      <w:pPr>
        <w:spacing w:line="360" w:lineRule="auto"/>
        <w:ind w:left="1440" w:hanging="720"/>
        <w:jc w:val="both"/>
        <w:rPr>
          <w:rtl/>
        </w:rPr>
      </w:pPr>
      <w:r>
        <w:rPr>
          <w:rFonts w:hint="cs"/>
          <w:rtl/>
        </w:rPr>
        <w:t>ג.</w:t>
      </w:r>
      <w:r>
        <w:rPr>
          <w:rFonts w:hint="cs"/>
          <w:rtl/>
        </w:rPr>
        <w:tab/>
      </w:r>
      <w:r>
        <w:rPr>
          <w:rtl/>
        </w:rPr>
        <w:t>כל צד הגיש פסיקה התומכת, לטענתו, בעמדתו לעניין העונש, אך, כידוע, הענישה הינה אינד</w:t>
      </w:r>
      <w:r>
        <w:rPr>
          <w:rFonts w:hint="cs"/>
          <w:rtl/>
        </w:rPr>
        <w:t>ב</w:t>
      </w:r>
      <w:r>
        <w:rPr>
          <w:rtl/>
        </w:rPr>
        <w:t xml:space="preserve">ידואלית, וכל מקרה יש לדון לפי נסיבותיו. </w:t>
      </w:r>
    </w:p>
    <w:p w14:paraId="4DE4B02A" w14:textId="77777777" w:rsidR="00F456E6" w:rsidRDefault="00F456E6">
      <w:pPr>
        <w:spacing w:line="360" w:lineRule="auto"/>
        <w:ind w:left="720" w:hanging="720"/>
        <w:jc w:val="both"/>
        <w:rPr>
          <w:rtl/>
        </w:rPr>
      </w:pPr>
    </w:p>
    <w:p w14:paraId="594717B8" w14:textId="77777777" w:rsidR="00F456E6" w:rsidRDefault="00AB2B02">
      <w:pPr>
        <w:spacing w:line="360" w:lineRule="auto"/>
        <w:ind w:left="1440" w:hanging="1440"/>
        <w:jc w:val="both"/>
        <w:rPr>
          <w:u w:val="single"/>
          <w:rtl/>
        </w:rPr>
      </w:pPr>
      <w:r>
        <w:rPr>
          <w:rFonts w:hint="cs"/>
          <w:u w:val="single"/>
          <w:rtl/>
        </w:rPr>
        <w:t>תסקיר שירות המבחן</w:t>
      </w:r>
    </w:p>
    <w:p w14:paraId="1765CD3B" w14:textId="77777777" w:rsidR="00F456E6" w:rsidRDefault="00AB2B02">
      <w:pPr>
        <w:spacing w:line="360" w:lineRule="auto"/>
        <w:ind w:left="1440" w:hanging="1440"/>
        <w:jc w:val="both"/>
        <w:rPr>
          <w:rtl/>
        </w:rPr>
      </w:pPr>
      <w:r>
        <w:rPr>
          <w:rFonts w:hint="cs"/>
          <w:rtl/>
        </w:rPr>
        <w:t>6.          א.</w:t>
      </w:r>
      <w:r>
        <w:rPr>
          <w:rtl/>
        </w:rPr>
        <w:tab/>
      </w:r>
      <w:r>
        <w:rPr>
          <w:rFonts w:hint="cs"/>
          <w:rtl/>
        </w:rPr>
        <w:t>לדברי הנאשם כפי שהם מובאים בתסקיר שירות המבחן, מעשיו לא נבעו מעמדות אידיאולוגיות אלא כתוצאה מהיגררות אחרי חברה עמה התרועע. עם זאת, התרשמות שרות המבחן היא שמדובר בחרטה שטחית לצד קושי של הנאשם לבחון את השלכות התנהגותו ואלטרנטיבות להתנהלותו.</w:t>
      </w:r>
    </w:p>
    <w:p w14:paraId="377F0CAD" w14:textId="77777777" w:rsidR="00F456E6" w:rsidRDefault="00AB2B02">
      <w:pPr>
        <w:spacing w:line="360" w:lineRule="auto"/>
        <w:ind w:left="1440" w:hanging="720"/>
        <w:jc w:val="both"/>
        <w:rPr>
          <w:rtl/>
        </w:rPr>
      </w:pPr>
      <w:r>
        <w:rPr>
          <w:rFonts w:hint="cs"/>
          <w:rtl/>
        </w:rPr>
        <w:t>ב.</w:t>
      </w:r>
      <w:r>
        <w:rPr>
          <w:rFonts w:hint="cs"/>
          <w:rtl/>
        </w:rPr>
        <w:tab/>
        <w:t>כעולה מתסקיר שירות המבחן, הנאשם יליד 1997, כבן 19, תושבת שכונת ראס אל עמוד במזרח ירושלים, רווק, בן זקונים למשפחה שבה 4 אחים גדולים. טרם מעצרו התגורר בבית הוריו ועבד, לדבריו, כשנתיים וחצי בנגרייה בבעלות דודו. לדבריו, נשר מהלימודים לאחר 9 שנות לימוד, על מנת לסייע בכלכלת המשפחה בעבודות מזדמנות. זאת על רקע קשיים בריאותיים של הוריו שהשפיעו על יכולתם להתפרנס. הדגיש שעבד בסביבה מעורבת יהודית וערבית ותאר קשר טוב עם כולם. לדבריו, בני משפחתו כועסים על מעורבותו בעבירות, המנוגדת לחינוך שקיבל.</w:t>
      </w:r>
    </w:p>
    <w:p w14:paraId="20162430" w14:textId="77777777" w:rsidR="00F456E6" w:rsidRDefault="00AB2B02">
      <w:pPr>
        <w:spacing w:line="360" w:lineRule="auto"/>
        <w:ind w:left="1440" w:hanging="720"/>
        <w:jc w:val="both"/>
        <w:rPr>
          <w:rtl/>
        </w:rPr>
      </w:pPr>
      <w:r>
        <w:rPr>
          <w:rFonts w:hint="cs"/>
          <w:rtl/>
        </w:rPr>
        <w:t>ג.</w:t>
      </w:r>
      <w:r>
        <w:rPr>
          <w:rFonts w:hint="cs"/>
          <w:rtl/>
        </w:rPr>
        <w:tab/>
        <w:t xml:space="preserve">שירות המבחן מתרשם שקיים סיכון להישנות התנהגות דומה בעתיד מצדו לאור אישיותו, כפי שתאר הנאשם, כמי שמושפע בקלות מאחרים בסביבתו החברתית ונוטה להתנהלות מֵרצה בסיטואציה חברתית תוך קושי להציג גבולות להתנהגותו. שירות המבחן ציין את הקושי של הנאשם להכיר בפוגענות שבהתנהגותו. לצד זאת, שירות המבחן מתרשם, כי גילה במהלך חייו יציבות תעסוקתית, ובשיחה עימו נטה לבטא שאיפות נורמטיביות לאורח חיים שומר חוק, וכי מעיון ברישומו הפלילי עולה, כי הנאשם נעדר מעורבות פלילית קודמת. </w:t>
      </w:r>
    </w:p>
    <w:p w14:paraId="0C770907" w14:textId="77777777" w:rsidR="00F456E6" w:rsidRDefault="00AB2B02">
      <w:pPr>
        <w:spacing w:line="360" w:lineRule="auto"/>
        <w:ind w:left="1440" w:hanging="720"/>
        <w:jc w:val="both"/>
        <w:rPr>
          <w:rtl/>
        </w:rPr>
      </w:pPr>
      <w:r>
        <w:rPr>
          <w:rFonts w:hint="cs"/>
          <w:rtl/>
        </w:rPr>
        <w:t>ד.</w:t>
      </w:r>
      <w:r>
        <w:rPr>
          <w:rFonts w:hint="cs"/>
          <w:rtl/>
        </w:rPr>
        <w:tab/>
        <w:t>המלצת שירות המבחן שקיים מקום להעביר מסר מרתיע ומציב גבולות וממליצים להטיל עליו עונש מאסר בפועל, ביחד עם עונש מאסר מותנה, זאת בשל הסיכון להישנות התנהגות דומה, לצד אופיו המרצה והמושפע.</w:t>
      </w:r>
    </w:p>
    <w:p w14:paraId="4DA1FEE0" w14:textId="77777777" w:rsidR="00F456E6" w:rsidRDefault="00F456E6">
      <w:pPr>
        <w:spacing w:line="360" w:lineRule="auto"/>
        <w:ind w:left="720" w:hanging="720"/>
        <w:jc w:val="both"/>
        <w:rPr>
          <w:rtl/>
        </w:rPr>
      </w:pPr>
    </w:p>
    <w:p w14:paraId="5ABBAD17" w14:textId="77777777" w:rsidR="00F456E6" w:rsidRDefault="00AB2B02">
      <w:pPr>
        <w:spacing w:line="360" w:lineRule="auto"/>
        <w:ind w:left="1440" w:hanging="1440"/>
        <w:jc w:val="both"/>
        <w:rPr>
          <w:u w:val="single"/>
          <w:rtl/>
        </w:rPr>
      </w:pPr>
      <w:r>
        <w:rPr>
          <w:rFonts w:hint="cs"/>
          <w:u w:val="single"/>
          <w:rtl/>
        </w:rPr>
        <w:t xml:space="preserve">מדיניות הענישה הנוהגת </w:t>
      </w:r>
    </w:p>
    <w:p w14:paraId="6CEC43C3" w14:textId="77777777" w:rsidR="00F456E6" w:rsidRDefault="00AB2B02">
      <w:pPr>
        <w:spacing w:line="360" w:lineRule="auto"/>
        <w:ind w:left="1440" w:hanging="1440"/>
        <w:jc w:val="both"/>
        <w:rPr>
          <w:rtl/>
        </w:rPr>
      </w:pPr>
      <w:r>
        <w:rPr>
          <w:rFonts w:hint="cs"/>
          <w:rtl/>
        </w:rPr>
        <w:t>7.          א.</w:t>
      </w:r>
      <w:r>
        <w:rPr>
          <w:rtl/>
        </w:rPr>
        <w:tab/>
        <w:t>בתי</w:t>
      </w:r>
      <w:r>
        <w:t xml:space="preserve"> </w:t>
      </w:r>
      <w:r>
        <w:rPr>
          <w:rtl/>
        </w:rPr>
        <w:t>המשפט</w:t>
      </w:r>
      <w:r>
        <w:t xml:space="preserve"> </w:t>
      </w:r>
      <w:r>
        <w:rPr>
          <w:rtl/>
        </w:rPr>
        <w:t>מצווים</w:t>
      </w:r>
      <w:r>
        <w:t xml:space="preserve"> </w:t>
      </w:r>
      <w:r>
        <w:rPr>
          <w:rtl/>
        </w:rPr>
        <w:t>מפי</w:t>
      </w:r>
      <w:r>
        <w:t xml:space="preserve"> </w:t>
      </w:r>
      <w:r>
        <w:rPr>
          <w:rtl/>
        </w:rPr>
        <w:t>המחוקק</w:t>
      </w:r>
      <w:r>
        <w:t xml:space="preserve"> </w:t>
      </w:r>
      <w:r>
        <w:rPr>
          <w:rtl/>
        </w:rPr>
        <w:t>באשר</w:t>
      </w:r>
      <w:r>
        <w:t xml:space="preserve"> </w:t>
      </w:r>
      <w:r>
        <w:rPr>
          <w:rtl/>
        </w:rPr>
        <w:t>לדרך</w:t>
      </w:r>
      <w:r>
        <w:t xml:space="preserve"> </w:t>
      </w:r>
      <w:r>
        <w:rPr>
          <w:rtl/>
        </w:rPr>
        <w:t>גזירת</w:t>
      </w:r>
      <w:r>
        <w:t xml:space="preserve"> </w:t>
      </w:r>
      <w:r>
        <w:rPr>
          <w:rtl/>
        </w:rPr>
        <w:t>העונש</w:t>
      </w:r>
      <w:r>
        <w:t xml:space="preserve"> </w:t>
      </w:r>
      <w:r>
        <w:rPr>
          <w:rtl/>
        </w:rPr>
        <w:t>לפי</w:t>
      </w:r>
      <w:r>
        <w:t xml:space="preserve"> </w:t>
      </w:r>
      <w:r>
        <w:rPr>
          <w:rtl/>
        </w:rPr>
        <w:t>תיקון</w:t>
      </w:r>
      <w:r>
        <w:t xml:space="preserve"> 113 </w:t>
      </w:r>
      <w:r>
        <w:rPr>
          <w:rtl/>
        </w:rPr>
        <w:t>וכך</w:t>
      </w:r>
      <w:r>
        <w:t xml:space="preserve"> </w:t>
      </w:r>
      <w:r>
        <w:rPr>
          <w:rtl/>
        </w:rPr>
        <w:t>עליהם</w:t>
      </w:r>
      <w:r>
        <w:t xml:space="preserve"> </w:t>
      </w:r>
      <w:r>
        <w:rPr>
          <w:rtl/>
        </w:rPr>
        <w:t>לנהוג</w:t>
      </w:r>
      <w:r>
        <w:rPr>
          <w:rFonts w:hint="cs"/>
          <w:rtl/>
        </w:rPr>
        <w:t>. בתי המשפט מצווים כיום לקיים יחס הולם בין חומרת מעשה העבירה בנסיבותיו ומידת אשמו של הנאשם' לבין סוג העונש המוטל עליו ומידתו (</w:t>
      </w:r>
      <w:hyperlink r:id="rId38" w:history="1">
        <w:r w:rsidR="003E7531" w:rsidRPr="003E7531">
          <w:rPr>
            <w:rStyle w:val="Hyperlink"/>
            <w:rFonts w:hint="eastAsia"/>
            <w:rtl/>
          </w:rPr>
          <w:t>סעיף</w:t>
        </w:r>
        <w:r w:rsidR="003E7531" w:rsidRPr="003E7531">
          <w:rPr>
            <w:rStyle w:val="Hyperlink"/>
            <w:rtl/>
          </w:rPr>
          <w:t xml:space="preserve"> 40ב'</w:t>
        </w:r>
      </w:hyperlink>
      <w:r>
        <w:rPr>
          <w:rFonts w:hint="cs"/>
          <w:rtl/>
        </w:rPr>
        <w:t xml:space="preserve"> ל</w:t>
      </w:r>
      <w:hyperlink r:id="rId39" w:history="1">
        <w:r w:rsidR="00A675C2" w:rsidRPr="00A675C2">
          <w:rPr>
            <w:color w:val="0000FF"/>
            <w:u w:val="single"/>
            <w:rtl/>
          </w:rPr>
          <w:t>חוק העונשין</w:t>
        </w:r>
      </w:hyperlink>
      <w:r>
        <w:rPr>
          <w:rFonts w:hint="cs"/>
          <w:rtl/>
        </w:rPr>
        <w:t>).</w:t>
      </w:r>
    </w:p>
    <w:p w14:paraId="3EF08C12" w14:textId="77777777" w:rsidR="00F456E6" w:rsidRDefault="00AB2B02">
      <w:pPr>
        <w:spacing w:line="360" w:lineRule="auto"/>
        <w:ind w:left="1440" w:hanging="720"/>
        <w:jc w:val="both"/>
        <w:rPr>
          <w:rtl/>
        </w:rPr>
      </w:pPr>
      <w:r>
        <w:rPr>
          <w:rFonts w:hint="cs"/>
          <w:rtl/>
        </w:rPr>
        <w:t>ב.</w:t>
      </w:r>
      <w:r>
        <w:rPr>
          <w:rFonts w:hint="cs"/>
          <w:rtl/>
        </w:rPr>
        <w:tab/>
        <w:t>בשלב הראשון יקבע ביהמ"ש מתחם עונש הולם לעבירות שביצע הנאשם, תוך התחשבות בערך החברתי שנפגע מביצוע העבירה, במידת הפגיעה בערך זה, במדיניות הענישה הנהוגה, ובנסיבות הקשורות בביצוע העבירה (</w:t>
      </w:r>
      <w:hyperlink r:id="rId40" w:history="1">
        <w:r w:rsidR="003E7531" w:rsidRPr="003E7531">
          <w:rPr>
            <w:rStyle w:val="Hyperlink"/>
            <w:rFonts w:hint="eastAsia"/>
            <w:rtl/>
          </w:rPr>
          <w:t>סעיפים</w:t>
        </w:r>
        <w:r w:rsidR="003E7531" w:rsidRPr="003E7531">
          <w:rPr>
            <w:rStyle w:val="Hyperlink"/>
            <w:rtl/>
          </w:rPr>
          <w:t xml:space="preserve"> 40ג'</w:t>
        </w:r>
      </w:hyperlink>
      <w:r>
        <w:rPr>
          <w:rFonts w:hint="cs"/>
          <w:rtl/>
        </w:rPr>
        <w:t xml:space="preserve"> -</w:t>
      </w:r>
      <w:hyperlink r:id="rId41" w:history="1">
        <w:r w:rsidR="003E7531" w:rsidRPr="003E7531">
          <w:rPr>
            <w:rStyle w:val="Hyperlink"/>
            <w:rtl/>
          </w:rPr>
          <w:t>40יד</w:t>
        </w:r>
      </w:hyperlink>
      <w:r>
        <w:rPr>
          <w:rFonts w:hint="cs"/>
          <w:rtl/>
        </w:rPr>
        <w:t xml:space="preserve"> ל</w:t>
      </w:r>
      <w:hyperlink r:id="rId42" w:history="1">
        <w:r w:rsidR="00A675C2" w:rsidRPr="00A675C2">
          <w:rPr>
            <w:color w:val="0000FF"/>
            <w:u w:val="single"/>
            <w:rtl/>
          </w:rPr>
          <w:t>חוק העונשין</w:t>
        </w:r>
      </w:hyperlink>
      <w:r>
        <w:rPr>
          <w:rFonts w:hint="cs"/>
          <w:rtl/>
        </w:rPr>
        <w:t>).</w:t>
      </w:r>
    </w:p>
    <w:p w14:paraId="2D3A6EAC" w14:textId="77777777" w:rsidR="00F456E6" w:rsidRDefault="00AB2B02">
      <w:pPr>
        <w:spacing w:line="360" w:lineRule="auto"/>
        <w:ind w:left="1440" w:hanging="720"/>
        <w:jc w:val="both"/>
        <w:rPr>
          <w:rtl/>
        </w:rPr>
      </w:pPr>
      <w:r>
        <w:rPr>
          <w:rFonts w:hint="cs"/>
          <w:rtl/>
        </w:rPr>
        <w:t>ג.</w:t>
      </w:r>
      <w:r>
        <w:rPr>
          <w:rFonts w:hint="cs"/>
          <w:rtl/>
        </w:rPr>
        <w:tab/>
        <w:t xml:space="preserve">מדובר ב- 5 אירועים שונים, 4 מהם בסוף שנת 2015 ואחד בתקופת מבצע צוק איתן, של קשירת קשר בין הנאשם לבין אנשים אחרים, חברים, להתעמת עם כוחות הבטחון בעת מילוי תפקידם ולפגוע בהם, בדרך של התפרעות, הכנה וידוי בקבוקי תבערה וידוי אבנים. כל זאת ממניע לאומני-אידיאולוגי. </w:t>
      </w:r>
    </w:p>
    <w:p w14:paraId="35B4980C" w14:textId="77777777" w:rsidR="00F456E6" w:rsidRDefault="00AB2B02">
      <w:pPr>
        <w:spacing w:line="360" w:lineRule="auto"/>
        <w:ind w:left="1440" w:hanging="720"/>
        <w:jc w:val="both"/>
        <w:rPr>
          <w:rtl/>
        </w:rPr>
      </w:pPr>
      <w:r>
        <w:rPr>
          <w:rFonts w:hint="cs"/>
          <w:rtl/>
        </w:rPr>
        <w:t>ד.</w:t>
      </w:r>
      <w:r>
        <w:rPr>
          <w:rFonts w:hint="cs"/>
          <w:rtl/>
        </w:rPr>
        <w:tab/>
        <w:t>מאחר ומדובר בכמה אירועים יקבע מתחם עונש הולם לכל אחד מהאירועים, אך ביהמ"ש רשאי לגזור עונש נפרד לכל אירוע או עונש כולל לכל האירועים (</w:t>
      </w:r>
      <w:hyperlink r:id="rId43" w:history="1">
        <w:r w:rsidR="003E7531" w:rsidRPr="003E7531">
          <w:rPr>
            <w:rStyle w:val="Hyperlink"/>
            <w:rFonts w:hint="eastAsia"/>
            <w:rtl/>
          </w:rPr>
          <w:t>סעיף</w:t>
        </w:r>
        <w:r w:rsidR="003E7531" w:rsidRPr="003E7531">
          <w:rPr>
            <w:rStyle w:val="Hyperlink"/>
            <w:rtl/>
          </w:rPr>
          <w:t xml:space="preserve"> 40יג(ב)</w:t>
        </w:r>
      </w:hyperlink>
      <w:r>
        <w:rPr>
          <w:rFonts w:hint="cs"/>
          <w:rtl/>
        </w:rPr>
        <w:t xml:space="preserve"> ל</w:t>
      </w:r>
      <w:hyperlink r:id="rId44" w:history="1">
        <w:r w:rsidR="00A675C2" w:rsidRPr="00A675C2">
          <w:rPr>
            <w:color w:val="0000FF"/>
            <w:u w:val="single"/>
            <w:rtl/>
          </w:rPr>
          <w:t>חוק העונשין</w:t>
        </w:r>
      </w:hyperlink>
      <w:r>
        <w:rPr>
          <w:rFonts w:hint="cs"/>
          <w:rtl/>
        </w:rPr>
        <w:t xml:space="preserve">). </w:t>
      </w:r>
    </w:p>
    <w:p w14:paraId="6C39DCD9" w14:textId="77777777" w:rsidR="00F456E6" w:rsidRDefault="00AB2B02">
      <w:pPr>
        <w:spacing w:line="360" w:lineRule="auto"/>
        <w:ind w:left="1440" w:hanging="720"/>
        <w:jc w:val="both"/>
        <w:rPr>
          <w:rtl/>
        </w:rPr>
      </w:pPr>
      <w:r>
        <w:rPr>
          <w:rFonts w:hint="cs"/>
          <w:rtl/>
        </w:rPr>
        <w:t>ה.</w:t>
      </w:r>
      <w:r>
        <w:rPr>
          <w:rFonts w:hint="cs"/>
          <w:rtl/>
        </w:rPr>
        <w:tab/>
      </w:r>
      <w:r>
        <w:rPr>
          <w:rtl/>
        </w:rPr>
        <w:t xml:space="preserve">הצדדים </w:t>
      </w:r>
      <w:r>
        <w:rPr>
          <w:rFonts w:hint="cs"/>
          <w:rtl/>
        </w:rPr>
        <w:t>הפנו ל</w:t>
      </w:r>
      <w:r>
        <w:rPr>
          <w:rtl/>
        </w:rPr>
        <w:t>פסיקה בטווח רחב</w:t>
      </w:r>
      <w:r>
        <w:rPr>
          <w:rFonts w:hint="cs"/>
          <w:rtl/>
        </w:rPr>
        <w:t xml:space="preserve"> לעניין הענישה במקרים אחרים. נסיבות מקרה זה אינן זהות בעובדות למקרים שהוצגו לפני על ידי מי מהצדדים, הן מבחינת גיל, סוג העבירות, היקף העבירות ותוצאותיהן.</w:t>
      </w:r>
    </w:p>
    <w:p w14:paraId="02DA5E88" w14:textId="77777777" w:rsidR="00F456E6" w:rsidRDefault="00AB2B02">
      <w:pPr>
        <w:spacing w:line="360" w:lineRule="auto"/>
        <w:ind w:left="1440" w:hanging="720"/>
        <w:jc w:val="both"/>
        <w:rPr>
          <w:rtl/>
        </w:rPr>
      </w:pPr>
      <w:r>
        <w:rPr>
          <w:rFonts w:hint="cs"/>
          <w:rtl/>
        </w:rPr>
        <w:t>ו.</w:t>
      </w:r>
      <w:r>
        <w:rPr>
          <w:rFonts w:hint="cs"/>
          <w:rtl/>
        </w:rPr>
        <w:tab/>
        <w:t>לציין, כי הצדדים טענו למתחם עונש כולל ולא טענו ביחס לכל אירוע ואירוע. להלן מתחמי הענישה פסקי הדין שהציגו הצדדים, שהם דומים או זהים חלקית לעבירות שבמקרה שלפני:</w:t>
      </w:r>
    </w:p>
    <w:p w14:paraId="0E6937E3" w14:textId="77777777" w:rsidR="00F456E6" w:rsidRDefault="00AB2B02">
      <w:pPr>
        <w:spacing w:line="360" w:lineRule="auto"/>
        <w:ind w:left="1440"/>
        <w:jc w:val="both"/>
        <w:rPr>
          <w:rtl/>
        </w:rPr>
      </w:pPr>
      <w:r>
        <w:rPr>
          <w:rtl/>
        </w:rPr>
        <w:t>6 שנות מאסר (ע"</w:t>
      </w:r>
      <w:hyperlink r:id="rId45" w:history="1">
        <w:r w:rsidRPr="00AB2B02">
          <w:rPr>
            <w:rStyle w:val="Hyperlink"/>
            <w:rFonts w:hint="eastAsia"/>
            <w:rtl/>
          </w:rPr>
          <w:t>פ</w:t>
        </w:r>
        <w:r w:rsidRPr="00AB2B02">
          <w:rPr>
            <w:rStyle w:val="Hyperlink"/>
            <w:rtl/>
          </w:rPr>
          <w:t xml:space="preserve"> 27988-04-11</w:t>
        </w:r>
      </w:hyperlink>
      <w:r>
        <w:rPr>
          <w:rtl/>
        </w:rPr>
        <w:t xml:space="preserve">, </w:t>
      </w:r>
      <w:r>
        <w:rPr>
          <w:b/>
          <w:bCs/>
          <w:rtl/>
        </w:rPr>
        <w:t xml:space="preserve">לואי מסוודה נ' </w:t>
      </w:r>
      <w:r>
        <w:rPr>
          <w:rFonts w:hint="cs"/>
          <w:b/>
          <w:bCs/>
          <w:rtl/>
        </w:rPr>
        <w:t>מ"י</w:t>
      </w:r>
      <w:r>
        <w:rPr>
          <w:rFonts w:hint="cs"/>
          <w:rtl/>
        </w:rPr>
        <w:t xml:space="preserve"> </w:t>
      </w:r>
      <w:r>
        <w:rPr>
          <w:rtl/>
        </w:rPr>
        <w:t>(10.10.2011)</w:t>
      </w:r>
      <w:r>
        <w:rPr>
          <w:rFonts w:hint="cs"/>
          <w:rtl/>
        </w:rPr>
        <w:t>. ערעור שהוגש נדחה (</w:t>
      </w:r>
      <w:hyperlink r:id="rId46" w:history="1">
        <w:r w:rsidRPr="00AB2B02">
          <w:rPr>
            <w:rStyle w:val="Hyperlink"/>
            <w:rFonts w:hint="eastAsia"/>
            <w:rtl/>
          </w:rPr>
          <w:t>ע</w:t>
        </w:r>
        <w:r w:rsidRPr="00AB2B02">
          <w:rPr>
            <w:rStyle w:val="Hyperlink"/>
            <w:rtl/>
          </w:rPr>
          <w:t>"פ 7643/11</w:t>
        </w:r>
      </w:hyperlink>
      <w:r>
        <w:rPr>
          <w:rFonts w:hint="cs"/>
          <w:rtl/>
        </w:rPr>
        <w:t xml:space="preserve"> </w:t>
      </w:r>
      <w:r>
        <w:rPr>
          <w:rFonts w:hint="cs"/>
          <w:b/>
          <w:bCs/>
          <w:rtl/>
        </w:rPr>
        <w:t xml:space="preserve">מסוודה נ' מ"י </w:t>
      </w:r>
      <w:r>
        <w:rPr>
          <w:rFonts w:hint="cs"/>
          <w:rtl/>
        </w:rPr>
        <w:t xml:space="preserve"> (7.4.13). דובר על נאשם בן 20 אשר הורשע על פי הודאתו ביצור נשק, חבלה בכוונה מחמירה וניסיון לתקיפת שוטר בנסיבות מחמירות. גם באותו מקרה היו ידויי בקבוק תבערה ואבנים. כתוצאה מההתפרעויות של אחר נגרם נפגע רכב וכן נפצע קצין מגב ועובר אורח שפניו נשרפו. ביהמ"ש השית 6 שנים בפועל ו-24 חודשים מאסר תוך שהוא מציין שלא מיצה את מלוא חומרת הדין עם הנאשם בשל שיתוף פעולה עם המשטרה. מקרה זה שונה מהמקרה שלפני שבו לא היתה פגיעה.</w:t>
      </w:r>
    </w:p>
    <w:p w14:paraId="7591C6F2" w14:textId="77777777" w:rsidR="00F456E6" w:rsidRDefault="00AB2B02">
      <w:pPr>
        <w:spacing w:line="360" w:lineRule="auto"/>
        <w:ind w:left="1440"/>
        <w:jc w:val="both"/>
        <w:rPr>
          <w:rtl/>
        </w:rPr>
      </w:pPr>
      <w:r>
        <w:rPr>
          <w:rFonts w:hint="cs"/>
          <w:rtl/>
        </w:rPr>
        <w:t xml:space="preserve">6.5 ו- 2.6 שנות מאסר ( </w:t>
      </w:r>
      <w:hyperlink r:id="rId47" w:history="1">
        <w:r w:rsidRPr="00AB2B02">
          <w:rPr>
            <w:rStyle w:val="Hyperlink"/>
            <w:rFonts w:hint="eastAsia"/>
            <w:rtl/>
          </w:rPr>
          <w:t>ת</w:t>
        </w:r>
        <w:r w:rsidRPr="00AB2B02">
          <w:rPr>
            <w:rStyle w:val="Hyperlink"/>
            <w:rtl/>
          </w:rPr>
          <w:t>"פ (י-ם) 49990-03-13</w:t>
        </w:r>
      </w:hyperlink>
      <w:r>
        <w:rPr>
          <w:rFonts w:hint="cs"/>
          <w:rtl/>
        </w:rPr>
        <w:t xml:space="preserve"> </w:t>
      </w:r>
      <w:r>
        <w:rPr>
          <w:rFonts w:hint="cs"/>
          <w:b/>
          <w:bCs/>
          <w:rtl/>
        </w:rPr>
        <w:t>מ"י נ' פרחאן ואח'</w:t>
      </w:r>
      <w:r>
        <w:rPr>
          <w:rFonts w:hint="cs"/>
          <w:rtl/>
        </w:rPr>
        <w:t xml:space="preserve"> (25.2.14). ערעור שהוגש נדחה (</w:t>
      </w:r>
      <w:hyperlink r:id="rId48" w:history="1">
        <w:r w:rsidRPr="00AB2B02">
          <w:rPr>
            <w:rStyle w:val="Hyperlink"/>
            <w:rFonts w:hint="eastAsia"/>
            <w:rtl/>
          </w:rPr>
          <w:t>ע</w:t>
        </w:r>
        <w:r w:rsidRPr="00AB2B02">
          <w:rPr>
            <w:rStyle w:val="Hyperlink"/>
            <w:rtl/>
          </w:rPr>
          <w:t>"פ 2579/14</w:t>
        </w:r>
      </w:hyperlink>
      <w:r>
        <w:rPr>
          <w:rFonts w:hint="cs"/>
          <w:rtl/>
        </w:rPr>
        <w:t xml:space="preserve"> </w:t>
      </w:r>
      <w:r>
        <w:rPr>
          <w:b/>
          <w:bCs/>
          <w:rtl/>
        </w:rPr>
        <w:t xml:space="preserve">מוחמד פרחאן נ' </w:t>
      </w:r>
      <w:r>
        <w:rPr>
          <w:rFonts w:hint="cs"/>
          <w:b/>
          <w:bCs/>
          <w:rtl/>
        </w:rPr>
        <w:t xml:space="preserve">מ"י </w:t>
      </w:r>
      <w:r>
        <w:rPr>
          <w:rFonts w:hint="cs"/>
          <w:rtl/>
        </w:rPr>
        <w:t>(25.5.15), אם כי ביהמ"ש של ערעור ציין שהעונש נוטה לרף העליון של מתחם הענישה, אך אינו חורג ממדיניות הענישה הנוהגת באופן המצדיק התערבות.</w:t>
      </w:r>
    </w:p>
    <w:p w14:paraId="748A2DB1" w14:textId="77777777" w:rsidR="00F456E6" w:rsidRDefault="00AB2B02">
      <w:pPr>
        <w:spacing w:line="360" w:lineRule="auto"/>
        <w:ind w:left="720" w:firstLine="720"/>
        <w:jc w:val="both"/>
        <w:rPr>
          <w:rtl/>
        </w:rPr>
      </w:pPr>
      <w:r>
        <w:rPr>
          <w:rFonts w:hint="cs"/>
          <w:rtl/>
        </w:rPr>
        <w:t>5.5 עד שנתיים מאסר (</w:t>
      </w:r>
      <w:hyperlink r:id="rId49" w:history="1">
        <w:r w:rsidRPr="00AB2B02">
          <w:rPr>
            <w:rStyle w:val="Hyperlink"/>
            <w:rFonts w:hint="eastAsia"/>
            <w:rtl/>
          </w:rPr>
          <w:t>ת</w:t>
        </w:r>
        <w:r w:rsidRPr="00AB2B02">
          <w:rPr>
            <w:rStyle w:val="Hyperlink"/>
            <w:rtl/>
          </w:rPr>
          <w:t>"פ 40011-04-14</w:t>
        </w:r>
      </w:hyperlink>
      <w:r>
        <w:rPr>
          <w:rFonts w:hint="cs"/>
          <w:rtl/>
        </w:rPr>
        <w:t xml:space="preserve"> </w:t>
      </w:r>
      <w:r>
        <w:rPr>
          <w:rFonts w:hint="cs"/>
          <w:b/>
          <w:bCs/>
          <w:rtl/>
        </w:rPr>
        <w:t xml:space="preserve">מ"י נ' עביד ואח' </w:t>
      </w:r>
      <w:r>
        <w:rPr>
          <w:rFonts w:hint="cs"/>
          <w:rtl/>
        </w:rPr>
        <w:t>(21.9.15).</w:t>
      </w:r>
    </w:p>
    <w:p w14:paraId="7407E233" w14:textId="77777777" w:rsidR="00F456E6" w:rsidRDefault="00AB2B02">
      <w:pPr>
        <w:spacing w:line="360" w:lineRule="auto"/>
        <w:ind w:left="720" w:firstLine="720"/>
        <w:jc w:val="both"/>
        <w:rPr>
          <w:rtl/>
        </w:rPr>
      </w:pPr>
      <w:r>
        <w:rPr>
          <w:rtl/>
        </w:rPr>
        <w:t>4 שנות</w:t>
      </w:r>
      <w:r>
        <w:rPr>
          <w:rFonts w:hint="cs"/>
          <w:rtl/>
        </w:rPr>
        <w:t xml:space="preserve"> </w:t>
      </w:r>
      <w:r>
        <w:rPr>
          <w:rtl/>
        </w:rPr>
        <w:t>מאסר (</w:t>
      </w:r>
      <w:hyperlink r:id="rId50" w:history="1">
        <w:r w:rsidR="002B3029" w:rsidRPr="002B3029">
          <w:rPr>
            <w:color w:val="0000FF"/>
            <w:u w:val="single"/>
            <w:rtl/>
          </w:rPr>
          <w:t>ת"פ 3165/02</w:t>
        </w:r>
      </w:hyperlink>
      <w:r>
        <w:rPr>
          <w:rtl/>
        </w:rPr>
        <w:t xml:space="preserve">, </w:t>
      </w:r>
      <w:r>
        <w:rPr>
          <w:rFonts w:hint="cs"/>
          <w:b/>
          <w:bCs/>
          <w:rtl/>
        </w:rPr>
        <w:t xml:space="preserve">מ"י </w:t>
      </w:r>
      <w:r>
        <w:rPr>
          <w:b/>
          <w:bCs/>
          <w:rtl/>
        </w:rPr>
        <w:t>נ' זכריה חזינה</w:t>
      </w:r>
      <w:r>
        <w:rPr>
          <w:rtl/>
        </w:rPr>
        <w:t xml:space="preserve"> (10.2.2003));</w:t>
      </w:r>
    </w:p>
    <w:p w14:paraId="6D7DA4F4" w14:textId="77777777" w:rsidR="00F456E6" w:rsidRDefault="00AB2B02">
      <w:pPr>
        <w:spacing w:line="360" w:lineRule="auto"/>
        <w:ind w:left="1440"/>
        <w:jc w:val="both"/>
        <w:rPr>
          <w:rtl/>
        </w:rPr>
      </w:pPr>
      <w:r>
        <w:rPr>
          <w:rFonts w:hint="cs"/>
          <w:rtl/>
        </w:rPr>
        <w:t>4 שנות ממסר (</w:t>
      </w:r>
      <w:hyperlink r:id="rId51" w:history="1">
        <w:r w:rsidRPr="00AB2B02">
          <w:rPr>
            <w:rStyle w:val="Hyperlink"/>
            <w:rFonts w:hint="eastAsia"/>
            <w:rtl/>
          </w:rPr>
          <w:t>ת</w:t>
        </w:r>
        <w:r w:rsidRPr="00AB2B02">
          <w:rPr>
            <w:rStyle w:val="Hyperlink"/>
            <w:rtl/>
          </w:rPr>
          <w:t>"פ 54132-06-15</w:t>
        </w:r>
      </w:hyperlink>
      <w:r>
        <w:rPr>
          <w:rFonts w:hint="cs"/>
          <w:rtl/>
        </w:rPr>
        <w:t xml:space="preserve"> </w:t>
      </w:r>
      <w:r>
        <w:rPr>
          <w:rFonts w:hint="cs"/>
          <w:b/>
          <w:bCs/>
          <w:rtl/>
        </w:rPr>
        <w:t xml:space="preserve">מ"י נ' אעור (קטין) </w:t>
      </w:r>
      <w:r>
        <w:rPr>
          <w:rFonts w:hint="cs"/>
          <w:rtl/>
        </w:rPr>
        <w:t>(23.3.16), שם דובר בנאשם שהיה מוכר לשירות המבחן בשל מעורבות בתיקים קודמים ולאחר שבימ"ש לנוער העמידו בהשגחתו הזמנית של שירות המבחן, אשר אף הכין תוכנית טיפולית עבורו, אולם לאחר כשבועיים נעצר שוב עד תום ההליכים.</w:t>
      </w:r>
    </w:p>
    <w:p w14:paraId="082E0A2C" w14:textId="77777777" w:rsidR="00F456E6" w:rsidRDefault="00AB2B02">
      <w:pPr>
        <w:spacing w:line="360" w:lineRule="auto"/>
        <w:ind w:left="720" w:firstLine="720"/>
        <w:jc w:val="both"/>
        <w:rPr>
          <w:rtl/>
        </w:rPr>
      </w:pPr>
      <w:r>
        <w:rPr>
          <w:rtl/>
        </w:rPr>
        <w:t>40 חודשי מאסר (</w:t>
      </w:r>
      <w:hyperlink r:id="rId52" w:history="1">
        <w:r w:rsidRPr="00AB2B02">
          <w:rPr>
            <w:rStyle w:val="Hyperlink"/>
            <w:rtl/>
          </w:rPr>
          <w:t>ע"פ 2337/13</w:t>
        </w:r>
      </w:hyperlink>
      <w:r>
        <w:rPr>
          <w:rtl/>
        </w:rPr>
        <w:t xml:space="preserve">, </w:t>
      </w:r>
      <w:r>
        <w:rPr>
          <w:b/>
          <w:bCs/>
          <w:rtl/>
        </w:rPr>
        <w:t xml:space="preserve">מהנד קואסמה ואח' נ' </w:t>
      </w:r>
      <w:r>
        <w:rPr>
          <w:rFonts w:hint="cs"/>
          <w:b/>
          <w:bCs/>
          <w:rtl/>
        </w:rPr>
        <w:t xml:space="preserve">מ"י </w:t>
      </w:r>
      <w:r>
        <w:rPr>
          <w:rtl/>
        </w:rPr>
        <w:t>(16.9.2013))</w:t>
      </w:r>
    </w:p>
    <w:p w14:paraId="6948F241" w14:textId="77777777" w:rsidR="00F456E6" w:rsidRDefault="00AB2B02">
      <w:pPr>
        <w:spacing w:line="360" w:lineRule="auto"/>
        <w:ind w:left="720" w:firstLine="720"/>
        <w:jc w:val="both"/>
        <w:rPr>
          <w:rtl/>
        </w:rPr>
      </w:pPr>
      <w:r>
        <w:rPr>
          <w:rtl/>
        </w:rPr>
        <w:t>40 ו-</w:t>
      </w:r>
      <w:r>
        <w:rPr>
          <w:rFonts w:hint="cs"/>
          <w:rtl/>
        </w:rPr>
        <w:t xml:space="preserve">36 </w:t>
      </w:r>
      <w:r>
        <w:rPr>
          <w:rtl/>
        </w:rPr>
        <w:t>חודשי מאסר (</w:t>
      </w:r>
      <w:hyperlink r:id="rId53" w:history="1">
        <w:r w:rsidRPr="00AB2B02">
          <w:rPr>
            <w:rStyle w:val="Hyperlink"/>
            <w:rtl/>
          </w:rPr>
          <w:t>ת"פ 41851-06-12</w:t>
        </w:r>
      </w:hyperlink>
      <w:r>
        <w:rPr>
          <w:rtl/>
        </w:rPr>
        <w:t xml:space="preserve">, </w:t>
      </w:r>
      <w:r>
        <w:rPr>
          <w:rFonts w:hint="cs"/>
          <w:b/>
          <w:bCs/>
          <w:rtl/>
        </w:rPr>
        <w:t xml:space="preserve">מ"י </w:t>
      </w:r>
      <w:r>
        <w:rPr>
          <w:b/>
          <w:bCs/>
          <w:rtl/>
        </w:rPr>
        <w:t>נ' אחמד בצבוץ ואח'</w:t>
      </w:r>
      <w:r>
        <w:rPr>
          <w:rtl/>
        </w:rPr>
        <w:t xml:space="preserve"> (4.3.2013))</w:t>
      </w:r>
    </w:p>
    <w:p w14:paraId="2E829143" w14:textId="77777777" w:rsidR="00F456E6" w:rsidRDefault="00AB2B02">
      <w:pPr>
        <w:spacing w:line="360" w:lineRule="auto"/>
        <w:ind w:left="1440"/>
        <w:jc w:val="both"/>
        <w:rPr>
          <w:rtl/>
        </w:rPr>
      </w:pPr>
      <w:r>
        <w:rPr>
          <w:rFonts w:hint="cs"/>
          <w:rtl/>
        </w:rPr>
        <w:t>40 ו-30 חודשי מאסר (</w:t>
      </w:r>
      <w:hyperlink r:id="rId54" w:history="1">
        <w:r w:rsidRPr="00AB2B02">
          <w:rPr>
            <w:rStyle w:val="Hyperlink"/>
            <w:rFonts w:hint="eastAsia"/>
            <w:rtl/>
          </w:rPr>
          <w:t>ת</w:t>
        </w:r>
        <w:r w:rsidRPr="00AB2B02">
          <w:rPr>
            <w:rStyle w:val="Hyperlink"/>
            <w:rtl/>
          </w:rPr>
          <w:t>"פ 19916-11-12</w:t>
        </w:r>
      </w:hyperlink>
      <w:r>
        <w:rPr>
          <w:rFonts w:hint="cs"/>
          <w:rtl/>
        </w:rPr>
        <w:t xml:space="preserve"> </w:t>
      </w:r>
      <w:r>
        <w:rPr>
          <w:rFonts w:hint="cs"/>
          <w:b/>
          <w:bCs/>
          <w:rtl/>
        </w:rPr>
        <w:t>מ"י נ' פאדי סעד ואח'</w:t>
      </w:r>
      <w:r>
        <w:rPr>
          <w:rFonts w:hint="cs"/>
          <w:rtl/>
        </w:rPr>
        <w:t xml:space="preserve"> (13.5.13). ערעור שהוגש התקבל כאשר ביסוד ההחלטה להקל בעונש העובדה, כי בכל אישום נזרק רק בקבוק תבערה אחד והיותם קרובים לגיל 18, הופחת ל- 28 ו-18 חודשי מאסר (</w:t>
      </w:r>
      <w:hyperlink r:id="rId55" w:history="1">
        <w:r w:rsidRPr="00AB2B02">
          <w:rPr>
            <w:rStyle w:val="Hyperlink"/>
            <w:rFonts w:hint="eastAsia"/>
            <w:rtl/>
          </w:rPr>
          <w:t>ע</w:t>
        </w:r>
        <w:r w:rsidRPr="00AB2B02">
          <w:rPr>
            <w:rStyle w:val="Hyperlink"/>
            <w:rtl/>
          </w:rPr>
          <w:t>"פ 3582/13</w:t>
        </w:r>
      </w:hyperlink>
      <w:r>
        <w:rPr>
          <w:rFonts w:hint="cs"/>
          <w:rtl/>
        </w:rPr>
        <w:t xml:space="preserve"> </w:t>
      </w:r>
      <w:r>
        <w:rPr>
          <w:rFonts w:hint="cs"/>
          <w:b/>
          <w:bCs/>
          <w:rtl/>
        </w:rPr>
        <w:t>פאדי סעד נ' מ"י</w:t>
      </w:r>
      <w:r>
        <w:rPr>
          <w:rFonts w:hint="cs"/>
          <w:rtl/>
        </w:rPr>
        <w:t xml:space="preserve"> (29.1.14).</w:t>
      </w:r>
    </w:p>
    <w:p w14:paraId="620B9586" w14:textId="77777777" w:rsidR="00F456E6" w:rsidRDefault="00AB2B02">
      <w:pPr>
        <w:spacing w:line="360" w:lineRule="auto"/>
        <w:ind w:left="1440"/>
        <w:jc w:val="both"/>
        <w:rPr>
          <w:rtl/>
        </w:rPr>
      </w:pPr>
      <w:r>
        <w:rPr>
          <w:rFonts w:hint="cs"/>
          <w:rtl/>
        </w:rPr>
        <w:t>34 חודשי מאסר (</w:t>
      </w:r>
      <w:hyperlink r:id="rId56" w:history="1">
        <w:r w:rsidRPr="00AB2B02">
          <w:rPr>
            <w:rStyle w:val="Hyperlink"/>
            <w:rFonts w:hint="eastAsia"/>
            <w:rtl/>
          </w:rPr>
          <w:t>ת</w:t>
        </w:r>
        <w:r w:rsidRPr="00AB2B02">
          <w:rPr>
            <w:rStyle w:val="Hyperlink"/>
            <w:rtl/>
          </w:rPr>
          <w:t>"פ (י-ם) 15316-12-14</w:t>
        </w:r>
      </w:hyperlink>
      <w:r>
        <w:rPr>
          <w:rFonts w:hint="cs"/>
          <w:rtl/>
        </w:rPr>
        <w:t xml:space="preserve"> </w:t>
      </w:r>
      <w:r>
        <w:rPr>
          <w:rFonts w:hint="cs"/>
          <w:b/>
          <w:bCs/>
          <w:rtl/>
        </w:rPr>
        <w:t>מ"י נ' קניבי</w:t>
      </w:r>
      <w:r>
        <w:rPr>
          <w:rFonts w:hint="cs"/>
          <w:rtl/>
        </w:rPr>
        <w:t xml:space="preserve"> (16.9.15), אם כי במקרה זה הגיעו הצדדים להסדר גם לגבי העונש. </w:t>
      </w:r>
    </w:p>
    <w:p w14:paraId="71741BE1" w14:textId="77777777" w:rsidR="00F456E6" w:rsidRDefault="00AB2B02">
      <w:pPr>
        <w:spacing w:line="360" w:lineRule="auto"/>
        <w:ind w:left="1440"/>
        <w:jc w:val="both"/>
        <w:rPr>
          <w:rtl/>
        </w:rPr>
      </w:pPr>
      <w:r>
        <w:rPr>
          <w:rFonts w:hint="cs"/>
          <w:rtl/>
        </w:rPr>
        <w:t>26 חודשי מאסר (</w:t>
      </w:r>
      <w:hyperlink r:id="rId57" w:history="1">
        <w:r w:rsidRPr="00AB2B02">
          <w:rPr>
            <w:rStyle w:val="Hyperlink"/>
            <w:rFonts w:hint="eastAsia"/>
            <w:rtl/>
          </w:rPr>
          <w:t>ת</w:t>
        </w:r>
        <w:r w:rsidRPr="00AB2B02">
          <w:rPr>
            <w:rStyle w:val="Hyperlink"/>
            <w:rtl/>
          </w:rPr>
          <w:t>"פ 45698-01-13</w:t>
        </w:r>
      </w:hyperlink>
      <w:r>
        <w:rPr>
          <w:rFonts w:hint="cs"/>
          <w:rtl/>
        </w:rPr>
        <w:t>, 8.7.13). ערעור שהוגש התקבל בגין כך שהמערער, קטין, שלא נשא בעבר עונש מאסר בניגוד לקביעת בימ"ש מחוזי. העונש הופחת ל-24 חודשי מאסר (</w:t>
      </w:r>
      <w:hyperlink r:id="rId58" w:history="1">
        <w:r w:rsidRPr="00AB2B02">
          <w:rPr>
            <w:rStyle w:val="Hyperlink"/>
            <w:rFonts w:hint="eastAsia"/>
            <w:rtl/>
          </w:rPr>
          <w:t>ע</w:t>
        </w:r>
        <w:r w:rsidRPr="00AB2B02">
          <w:rPr>
            <w:rStyle w:val="Hyperlink"/>
            <w:rtl/>
          </w:rPr>
          <w:t>"פ 5442/13</w:t>
        </w:r>
      </w:hyperlink>
      <w:r>
        <w:rPr>
          <w:rFonts w:hint="cs"/>
          <w:rtl/>
        </w:rPr>
        <w:t xml:space="preserve"> </w:t>
      </w:r>
      <w:r>
        <w:rPr>
          <w:rFonts w:hint="cs"/>
          <w:b/>
          <w:bCs/>
          <w:rtl/>
        </w:rPr>
        <w:t>פלוני נ' מ"י</w:t>
      </w:r>
      <w:r>
        <w:rPr>
          <w:rFonts w:hint="cs"/>
          <w:rtl/>
        </w:rPr>
        <w:t xml:space="preserve"> (20.1.14).</w:t>
      </w:r>
    </w:p>
    <w:p w14:paraId="0E5E7DA7" w14:textId="77777777" w:rsidR="00F456E6" w:rsidRDefault="00AB2B02">
      <w:pPr>
        <w:spacing w:line="360" w:lineRule="auto"/>
        <w:ind w:left="1440"/>
        <w:jc w:val="both"/>
        <w:rPr>
          <w:rtl/>
        </w:rPr>
      </w:pPr>
      <w:r>
        <w:rPr>
          <w:rtl/>
        </w:rPr>
        <w:t>23 חודשי מאסר (</w:t>
      </w:r>
      <w:hyperlink r:id="rId59" w:history="1">
        <w:r w:rsidRPr="00AB2B02">
          <w:rPr>
            <w:rStyle w:val="Hyperlink"/>
            <w:rtl/>
          </w:rPr>
          <w:t>ת"פ 41563-03-13</w:t>
        </w:r>
      </w:hyperlink>
      <w:r>
        <w:rPr>
          <w:rtl/>
        </w:rPr>
        <w:t xml:space="preserve">, </w:t>
      </w:r>
      <w:r>
        <w:rPr>
          <w:b/>
          <w:bCs/>
          <w:rtl/>
        </w:rPr>
        <w:t>מדינת ישראל נ' מוחמד עבאסי</w:t>
      </w:r>
      <w:r>
        <w:rPr>
          <w:rtl/>
        </w:rPr>
        <w:t xml:space="preserve"> (25.12.2013)); </w:t>
      </w:r>
    </w:p>
    <w:p w14:paraId="5A072D55" w14:textId="77777777" w:rsidR="00F456E6" w:rsidRDefault="00F456E6">
      <w:pPr>
        <w:spacing w:line="360" w:lineRule="auto"/>
        <w:ind w:left="720" w:hanging="720"/>
        <w:jc w:val="both"/>
        <w:rPr>
          <w:rtl/>
        </w:rPr>
      </w:pPr>
    </w:p>
    <w:p w14:paraId="60630286" w14:textId="77777777" w:rsidR="00F456E6" w:rsidRDefault="00AB2B02">
      <w:pPr>
        <w:spacing w:line="360" w:lineRule="auto"/>
        <w:jc w:val="both"/>
        <w:rPr>
          <w:u w:val="single"/>
          <w:rtl/>
        </w:rPr>
      </w:pPr>
      <w:r>
        <w:rPr>
          <w:rFonts w:hint="cs"/>
          <w:u w:val="single"/>
          <w:rtl/>
        </w:rPr>
        <w:t>קביעת מתחם הענישה לכל אירוע בנפרד</w:t>
      </w:r>
    </w:p>
    <w:p w14:paraId="5164B70E" w14:textId="77777777" w:rsidR="00F456E6" w:rsidRDefault="00AB2B02">
      <w:pPr>
        <w:spacing w:line="360" w:lineRule="auto"/>
        <w:ind w:left="1440" w:hanging="1440"/>
        <w:jc w:val="both"/>
        <w:rPr>
          <w:rtl/>
        </w:rPr>
      </w:pPr>
      <w:r>
        <w:rPr>
          <w:rFonts w:hint="cs"/>
          <w:rtl/>
        </w:rPr>
        <w:t>8.          א.</w:t>
      </w:r>
      <w:r>
        <w:rPr>
          <w:rFonts w:hint="cs"/>
          <w:rtl/>
        </w:rPr>
        <w:tab/>
        <w:t xml:space="preserve">לגבי האירוע מיום 6.10.15, עבירה של ניסיון תקיפת שוטר בנסיבות מחמירות בשל ידוי אבנים, סבורני שמתחם הענישה ההולם נע בין מאסר קצר למאסר של שנה ויותר: </w:t>
      </w:r>
      <w:hyperlink r:id="rId60" w:history="1">
        <w:r w:rsidRPr="00AB2B02">
          <w:rPr>
            <w:rStyle w:val="Hyperlink"/>
            <w:rFonts w:hint="eastAsia"/>
            <w:rtl/>
          </w:rPr>
          <w:t>עפ</w:t>
        </w:r>
        <w:r w:rsidRPr="00AB2B02">
          <w:rPr>
            <w:rStyle w:val="Hyperlink"/>
            <w:rtl/>
          </w:rPr>
          <w:t>"ג (י-ם) 45440-10-13</w:t>
        </w:r>
      </w:hyperlink>
      <w:r>
        <w:rPr>
          <w:rFonts w:hint="cs"/>
          <w:rtl/>
        </w:rPr>
        <w:t xml:space="preserve"> </w:t>
      </w:r>
      <w:r>
        <w:rPr>
          <w:rFonts w:hint="cs"/>
          <w:b/>
          <w:bCs/>
          <w:rtl/>
        </w:rPr>
        <w:t>מ"י נ' אבו מאדי</w:t>
      </w:r>
      <w:r>
        <w:rPr>
          <w:rFonts w:hint="cs"/>
          <w:rtl/>
        </w:rPr>
        <w:t xml:space="preserve"> (לא פורסם, ניתן ביום 18.11.13).</w:t>
      </w:r>
    </w:p>
    <w:p w14:paraId="1FCF6EE7" w14:textId="77777777" w:rsidR="00F456E6" w:rsidRDefault="00AB2B02">
      <w:pPr>
        <w:spacing w:line="360" w:lineRule="auto"/>
        <w:ind w:left="1440" w:hanging="720"/>
        <w:jc w:val="both"/>
        <w:rPr>
          <w:rtl/>
        </w:rPr>
      </w:pPr>
      <w:r>
        <w:rPr>
          <w:rFonts w:hint="cs"/>
          <w:rtl/>
        </w:rPr>
        <w:t>ב.</w:t>
      </w:r>
      <w:r>
        <w:rPr>
          <w:rFonts w:hint="cs"/>
          <w:rtl/>
        </w:rPr>
        <w:tab/>
        <w:t xml:space="preserve">לגבי האירוע מיום 17.9.15, הנאשם עבר </w:t>
      </w:r>
      <w:r>
        <w:rPr>
          <w:rtl/>
        </w:rPr>
        <w:t>עבירות של ייצור נשק, נשיאת נשק וחבלה בכוונה מחמירה</w:t>
      </w:r>
      <w:r>
        <w:rPr>
          <w:rFonts w:hint="cs"/>
          <w:rtl/>
        </w:rPr>
        <w:t>. ה</w:t>
      </w:r>
      <w:r>
        <w:rPr>
          <w:rtl/>
        </w:rPr>
        <w:t>מחוקק ביקש להחמיר בענישה  בגין עבירה של ייצור נשק וקבע לצידה רף ענישה של עד 15 שנות מאסר</w:t>
      </w:r>
      <w:r>
        <w:rPr>
          <w:rFonts w:hint="cs"/>
          <w:rtl/>
        </w:rPr>
        <w:t xml:space="preserve"> ולגבי עבירה של חבלה בכוונה מחמירה </w:t>
      </w:r>
      <w:r>
        <w:rPr>
          <w:rtl/>
        </w:rPr>
        <w:t>העונש הקבוע ב</w:t>
      </w:r>
      <w:hyperlink r:id="rId61" w:history="1">
        <w:r w:rsidR="00A675C2" w:rsidRPr="00A675C2">
          <w:rPr>
            <w:color w:val="0000FF"/>
            <w:u w:val="single"/>
            <w:rtl/>
          </w:rPr>
          <w:t>חוק העונשין</w:t>
        </w:r>
      </w:hyperlink>
      <w:r>
        <w:rPr>
          <w:rtl/>
        </w:rPr>
        <w:t xml:space="preserve"> הנו עשרים שנה, גם כאשר מדובר בניסיון לפגוע ולא התנה את חומרת הענישה בפגיעה ממש. </w:t>
      </w:r>
    </w:p>
    <w:p w14:paraId="73DE4D16" w14:textId="77777777" w:rsidR="00F456E6" w:rsidRDefault="00AB2B02">
      <w:pPr>
        <w:spacing w:line="360" w:lineRule="auto"/>
        <w:ind w:left="1440" w:hanging="720"/>
        <w:jc w:val="both"/>
        <w:rPr>
          <w:rtl/>
        </w:rPr>
      </w:pPr>
      <w:r>
        <w:rPr>
          <w:rFonts w:hint="cs"/>
          <w:rtl/>
        </w:rPr>
        <w:t>ג.</w:t>
      </w:r>
      <w:r>
        <w:rPr>
          <w:rtl/>
        </w:rPr>
        <w:tab/>
        <w:t>לענין רף הענישה בעבירות חבלה בכוונה מחמירה, מדובר בשנות מאסר ממושכות</w:t>
      </w:r>
      <w:r>
        <w:rPr>
          <w:rFonts w:hint="cs"/>
          <w:rtl/>
        </w:rPr>
        <w:t xml:space="preserve">. </w:t>
      </w:r>
      <w:r>
        <w:rPr>
          <w:rtl/>
        </w:rPr>
        <w:t>בין 12 ל- 50 חודשי</w:t>
      </w:r>
      <w:r>
        <w:rPr>
          <w:rFonts w:hint="cs"/>
          <w:rtl/>
        </w:rPr>
        <w:t xml:space="preserve"> מאסר ב</w:t>
      </w:r>
      <w:hyperlink r:id="rId62" w:history="1">
        <w:r w:rsidRPr="00AB2B02">
          <w:rPr>
            <w:rStyle w:val="Hyperlink"/>
            <w:rFonts w:hint="eastAsia"/>
            <w:rtl/>
          </w:rPr>
          <w:t>ת</w:t>
        </w:r>
        <w:r w:rsidRPr="00AB2B02">
          <w:rPr>
            <w:rStyle w:val="Hyperlink"/>
            <w:rtl/>
          </w:rPr>
          <w:t>"פ (י-ם) 40011-01-14</w:t>
        </w:r>
      </w:hyperlink>
      <w:r>
        <w:rPr>
          <w:rFonts w:hint="cs"/>
          <w:rtl/>
        </w:rPr>
        <w:t xml:space="preserve"> </w:t>
      </w:r>
      <w:r>
        <w:rPr>
          <w:rFonts w:hint="cs"/>
          <w:b/>
          <w:bCs/>
          <w:rtl/>
        </w:rPr>
        <w:t>מ"י נ' עביד</w:t>
      </w:r>
      <w:r>
        <w:rPr>
          <w:rFonts w:hint="cs"/>
          <w:rtl/>
        </w:rPr>
        <w:t xml:space="preserve"> (21.9.15); בין 12 ל- 82 חודשי מאסר ב</w:t>
      </w:r>
      <w:hyperlink r:id="rId63" w:history="1">
        <w:r w:rsidRPr="00AB2B02">
          <w:rPr>
            <w:rStyle w:val="Hyperlink"/>
            <w:rFonts w:hint="eastAsia"/>
            <w:rtl/>
          </w:rPr>
          <w:t>ע</w:t>
        </w:r>
        <w:r w:rsidRPr="00AB2B02">
          <w:rPr>
            <w:rStyle w:val="Hyperlink"/>
            <w:rtl/>
          </w:rPr>
          <w:t>"פ 7517/15</w:t>
        </w:r>
      </w:hyperlink>
      <w:r>
        <w:rPr>
          <w:rFonts w:hint="cs"/>
          <w:rtl/>
        </w:rPr>
        <w:t xml:space="preserve"> </w:t>
      </w:r>
      <w:r>
        <w:rPr>
          <w:rFonts w:hint="cs"/>
          <w:b/>
          <w:bCs/>
          <w:rtl/>
        </w:rPr>
        <w:t xml:space="preserve">מ"י נ' עביד </w:t>
      </w:r>
      <w:r>
        <w:rPr>
          <w:rFonts w:hint="cs"/>
          <w:rtl/>
        </w:rPr>
        <w:t>(9.3.16); 12-84 ב</w:t>
      </w:r>
      <w:hyperlink r:id="rId64" w:history="1">
        <w:r w:rsidRPr="00AB2B02">
          <w:rPr>
            <w:rStyle w:val="Hyperlink"/>
            <w:rFonts w:hint="eastAsia"/>
            <w:rtl/>
          </w:rPr>
          <w:t>ע</w:t>
        </w:r>
        <w:r w:rsidRPr="00AB2B02">
          <w:rPr>
            <w:rStyle w:val="Hyperlink"/>
            <w:rtl/>
          </w:rPr>
          <w:t>"פ 4400/13</w:t>
        </w:r>
      </w:hyperlink>
      <w:r>
        <w:rPr>
          <w:rFonts w:hint="cs"/>
          <w:rtl/>
        </w:rPr>
        <w:t xml:space="preserve"> </w:t>
      </w:r>
      <w:r>
        <w:rPr>
          <w:rFonts w:hint="cs"/>
          <w:b/>
          <w:bCs/>
          <w:rtl/>
        </w:rPr>
        <w:t>טארק עבאסי נ' מ"י</w:t>
      </w:r>
      <w:r>
        <w:rPr>
          <w:rFonts w:hint="cs"/>
          <w:rtl/>
        </w:rPr>
        <w:t xml:space="preserve"> (3.2.14). סבורני שמתחם הענישה ההולם נע בין 12-42 חודשי מאסר </w:t>
      </w:r>
      <w:r>
        <w:rPr>
          <w:rFonts w:ascii="Calibri" w:hAnsi="Calibri" w:hint="eastAsia"/>
          <w:rtl/>
        </w:rPr>
        <w:t>בזיקה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הספציפיות</w:t>
      </w:r>
      <w:r>
        <w:rPr>
          <w:rFonts w:ascii="Calibri" w:hAnsi="Calibri"/>
          <w:rtl/>
        </w:rPr>
        <w:t xml:space="preserve"> </w:t>
      </w:r>
      <w:r>
        <w:rPr>
          <w:rFonts w:ascii="Calibri" w:hAnsi="Calibri" w:hint="eastAsia"/>
          <w:rtl/>
        </w:rPr>
        <w:t>של</w:t>
      </w:r>
      <w:r>
        <w:rPr>
          <w:rFonts w:hint="cs"/>
          <w:rtl/>
        </w:rPr>
        <w:t xml:space="preserve"> המקרה שלפני. אין מקרה זה עולה לכדי החומרה שבע"פ 7515/15 וב</w:t>
      </w:r>
      <w:hyperlink r:id="rId65" w:history="1">
        <w:r w:rsidRPr="00AB2B02">
          <w:rPr>
            <w:rStyle w:val="Hyperlink"/>
            <w:rFonts w:hint="eastAsia"/>
            <w:rtl/>
          </w:rPr>
          <w:t>ע</w:t>
        </w:r>
        <w:r w:rsidRPr="00AB2B02">
          <w:rPr>
            <w:rStyle w:val="Hyperlink"/>
            <w:rtl/>
          </w:rPr>
          <w:t>"פ 4400/13</w:t>
        </w:r>
      </w:hyperlink>
      <w:r>
        <w:rPr>
          <w:rFonts w:hint="cs"/>
          <w:rtl/>
        </w:rPr>
        <w:t>, לעיל.</w:t>
      </w:r>
    </w:p>
    <w:p w14:paraId="32403589" w14:textId="77777777" w:rsidR="00F456E6" w:rsidRDefault="00AB2B02">
      <w:pPr>
        <w:spacing w:line="360" w:lineRule="auto"/>
        <w:ind w:left="1440" w:hanging="720"/>
        <w:jc w:val="both"/>
        <w:rPr>
          <w:rtl/>
        </w:rPr>
      </w:pPr>
      <w:r>
        <w:rPr>
          <w:rFonts w:hint="cs"/>
          <w:rtl/>
        </w:rPr>
        <w:t>ד.</w:t>
      </w:r>
      <w:r>
        <w:rPr>
          <w:rFonts w:hint="cs"/>
          <w:rtl/>
        </w:rPr>
        <w:tab/>
        <w:t>לגבי האירוע מיום 15.9.15, עבירה של נשיאת נשק, חבלה בכוונה מחמירה, ניסיון תקיפת שוטר בנסיבות מחמירות, סבורני שמתחם הענישה ההולם נע בין 12 ל-42 חודשי מאסר כמפורט לעיל.</w:t>
      </w:r>
    </w:p>
    <w:p w14:paraId="64529C03" w14:textId="77777777" w:rsidR="00F456E6" w:rsidRDefault="00AB2B02">
      <w:pPr>
        <w:spacing w:line="360" w:lineRule="auto"/>
        <w:ind w:left="1440" w:hanging="720"/>
        <w:jc w:val="both"/>
        <w:rPr>
          <w:rtl/>
        </w:rPr>
      </w:pPr>
      <w:r>
        <w:rPr>
          <w:rFonts w:hint="cs"/>
          <w:rtl/>
        </w:rPr>
        <w:t>ה.</w:t>
      </w:r>
      <w:r>
        <w:rPr>
          <w:rFonts w:hint="cs"/>
          <w:rtl/>
        </w:rPr>
        <w:tab/>
        <w:t>לגבי האירוע מאוגוסט 2014, עבירה של יידוי אבנים לעבר כלי תחבורה, העונש הקבוע ב</w:t>
      </w:r>
      <w:hyperlink r:id="rId66" w:history="1">
        <w:r w:rsidR="00A675C2" w:rsidRPr="00A675C2">
          <w:rPr>
            <w:color w:val="0000FF"/>
            <w:u w:val="single"/>
            <w:rtl/>
          </w:rPr>
          <w:t>חוק העונשין</w:t>
        </w:r>
      </w:hyperlink>
      <w:r>
        <w:rPr>
          <w:rFonts w:hint="cs"/>
          <w:rtl/>
        </w:rPr>
        <w:t xml:space="preserve"> הנו עשר שנות מאסר. סבורני שמתחם הענישה ההולם נע בין מאסר קצר למאסר של 24 חודשים: </w:t>
      </w:r>
      <w:hyperlink r:id="rId67" w:history="1">
        <w:r w:rsidRPr="00AB2B02">
          <w:rPr>
            <w:rStyle w:val="Hyperlink"/>
            <w:rFonts w:hint="eastAsia"/>
            <w:rtl/>
          </w:rPr>
          <w:t>ת</w:t>
        </w:r>
        <w:r w:rsidRPr="00AB2B02">
          <w:rPr>
            <w:rStyle w:val="Hyperlink"/>
            <w:rtl/>
          </w:rPr>
          <w:t>"פ 38705-07-13</w:t>
        </w:r>
      </w:hyperlink>
      <w:r>
        <w:rPr>
          <w:rFonts w:hint="cs"/>
          <w:rtl/>
        </w:rPr>
        <w:t xml:space="preserve"> </w:t>
      </w:r>
      <w:r>
        <w:rPr>
          <w:rFonts w:hint="cs"/>
          <w:b/>
          <w:bCs/>
          <w:rtl/>
        </w:rPr>
        <w:t>מ"י נ' ראובן מאי ואח'</w:t>
      </w:r>
      <w:r>
        <w:rPr>
          <w:rFonts w:hint="cs"/>
          <w:rtl/>
        </w:rPr>
        <w:t xml:space="preserve"> (7.1.16) בו בנו הנאשמים מחסום בכביש; </w:t>
      </w:r>
      <w:hyperlink r:id="rId68" w:history="1">
        <w:r w:rsidRPr="00AB2B02">
          <w:rPr>
            <w:rStyle w:val="Hyperlink"/>
            <w:rFonts w:hint="eastAsia"/>
            <w:rtl/>
          </w:rPr>
          <w:t>ע</w:t>
        </w:r>
        <w:r w:rsidRPr="00AB2B02">
          <w:rPr>
            <w:rStyle w:val="Hyperlink"/>
            <w:rtl/>
          </w:rPr>
          <w:t>"פ 2432/15</w:t>
        </w:r>
      </w:hyperlink>
      <w:r>
        <w:rPr>
          <w:rFonts w:hint="cs"/>
          <w:rtl/>
        </w:rPr>
        <w:t xml:space="preserve"> </w:t>
      </w:r>
      <w:r>
        <w:rPr>
          <w:rFonts w:hint="cs"/>
          <w:b/>
          <w:bCs/>
          <w:rtl/>
        </w:rPr>
        <w:t>חליל עיסא נ' מ"י</w:t>
      </w:r>
      <w:r>
        <w:rPr>
          <w:rFonts w:hint="cs"/>
          <w:rtl/>
        </w:rPr>
        <w:t xml:space="preserve"> (2.7.15).</w:t>
      </w:r>
    </w:p>
    <w:p w14:paraId="503817B9" w14:textId="77777777" w:rsidR="00F456E6" w:rsidRDefault="00AB2B02">
      <w:pPr>
        <w:spacing w:line="360" w:lineRule="auto"/>
        <w:ind w:left="1440" w:hanging="720"/>
        <w:jc w:val="both"/>
        <w:rPr>
          <w:rtl/>
        </w:rPr>
      </w:pPr>
      <w:r>
        <w:rPr>
          <w:rFonts w:hint="cs"/>
          <w:rtl/>
        </w:rPr>
        <w:t>ו.</w:t>
      </w:r>
      <w:r>
        <w:rPr>
          <w:rFonts w:hint="cs"/>
          <w:rtl/>
        </w:rPr>
        <w:tab/>
        <w:t xml:space="preserve">לגבי האירוע עובר ליום 8.10.15, עבירה של ניסיון תקיפת שוטר בנסיבות מחמירות והתפרעות, סבורני שמתחם ענישה הולם נע בין 6-15 חודשים: </w:t>
      </w:r>
      <w:hyperlink r:id="rId69" w:history="1">
        <w:r w:rsidRPr="00AB2B02">
          <w:rPr>
            <w:rStyle w:val="Hyperlink"/>
            <w:rFonts w:hint="eastAsia"/>
            <w:rtl/>
          </w:rPr>
          <w:t>עפ</w:t>
        </w:r>
        <w:r w:rsidRPr="00AB2B02">
          <w:rPr>
            <w:rStyle w:val="Hyperlink"/>
            <w:rtl/>
          </w:rPr>
          <w:t>"ג (י-ם) 21523-08-15</w:t>
        </w:r>
      </w:hyperlink>
      <w:r>
        <w:rPr>
          <w:rFonts w:hint="cs"/>
          <w:rtl/>
        </w:rPr>
        <w:t xml:space="preserve"> </w:t>
      </w:r>
      <w:r>
        <w:rPr>
          <w:rFonts w:hint="cs"/>
          <w:b/>
          <w:bCs/>
          <w:rtl/>
        </w:rPr>
        <w:t>מ"י נ' עיסא</w:t>
      </w:r>
      <w:r>
        <w:rPr>
          <w:rFonts w:hint="cs"/>
          <w:rtl/>
        </w:rPr>
        <w:t xml:space="preserve"> </w:t>
      </w:r>
      <w:r>
        <w:rPr>
          <w:rFonts w:hint="cs"/>
          <w:b/>
          <w:bCs/>
          <w:rtl/>
        </w:rPr>
        <w:t>ענאתי</w:t>
      </w:r>
      <w:r>
        <w:rPr>
          <w:rFonts w:hint="cs"/>
          <w:rtl/>
        </w:rPr>
        <w:t xml:space="preserve"> (14.10.15).</w:t>
      </w:r>
    </w:p>
    <w:p w14:paraId="12F2FEFC" w14:textId="77777777" w:rsidR="00F456E6" w:rsidRDefault="00AB2B02">
      <w:pPr>
        <w:spacing w:line="360" w:lineRule="auto"/>
        <w:ind w:left="1440" w:hanging="720"/>
        <w:jc w:val="both"/>
        <w:rPr>
          <w:rtl/>
        </w:rPr>
      </w:pPr>
      <w:r>
        <w:rPr>
          <w:rFonts w:hint="cs"/>
          <w:rtl/>
        </w:rPr>
        <w:t>ז.</w:t>
      </w:r>
      <w:r>
        <w:rPr>
          <w:rFonts w:hint="cs"/>
          <w:rtl/>
        </w:rPr>
        <w:tab/>
        <w:t xml:space="preserve">קבעתי את </w:t>
      </w:r>
      <w:r>
        <w:rPr>
          <w:rtl/>
        </w:rPr>
        <w:t xml:space="preserve">מתחם הענישה הראוי כעולה </w:t>
      </w:r>
      <w:hyperlink r:id="rId70" w:history="1">
        <w:r w:rsidR="003E7531" w:rsidRPr="003E7531">
          <w:rPr>
            <w:rStyle w:val="Hyperlink"/>
            <w:rtl/>
          </w:rPr>
          <w:t>מסעיף 40 ג'(א)</w:t>
        </w:r>
      </w:hyperlink>
      <w:r>
        <w:rPr>
          <w:rtl/>
        </w:rPr>
        <w:t xml:space="preserve"> ל</w:t>
      </w:r>
      <w:hyperlink r:id="rId71" w:history="1">
        <w:r w:rsidR="00A675C2" w:rsidRPr="00A675C2">
          <w:rPr>
            <w:color w:val="0000FF"/>
            <w:u w:val="single"/>
            <w:rtl/>
          </w:rPr>
          <w:t>חוק העונשין</w:t>
        </w:r>
      </w:hyperlink>
      <w:r>
        <w:rPr>
          <w:rFonts w:hint="cs"/>
          <w:rtl/>
        </w:rPr>
        <w:t xml:space="preserve"> תוך שנתתי משקל ל</w:t>
      </w:r>
      <w:r>
        <w:rPr>
          <w:rtl/>
        </w:rPr>
        <w:t>מספר שיקולים: הערך החברתי שנפגע מביצוע העבירה ומידת הפגיעה בו.</w:t>
      </w:r>
      <w:r>
        <w:rPr>
          <w:rFonts w:hint="cs"/>
          <w:rtl/>
        </w:rPr>
        <w:t xml:space="preserve"> </w:t>
      </w:r>
      <w:r>
        <w:rPr>
          <w:rtl/>
        </w:rPr>
        <w:t>הערכים</w:t>
      </w:r>
      <w:r>
        <w:t xml:space="preserve"> </w:t>
      </w:r>
      <w:r>
        <w:rPr>
          <w:rtl/>
        </w:rPr>
        <w:t>המוגנים</w:t>
      </w:r>
      <w:r>
        <w:t xml:space="preserve"> </w:t>
      </w:r>
      <w:r>
        <w:rPr>
          <w:rtl/>
        </w:rPr>
        <w:t>שנפגעו</w:t>
      </w:r>
      <w:r>
        <w:t xml:space="preserve"> </w:t>
      </w:r>
      <w:r>
        <w:rPr>
          <w:rtl/>
        </w:rPr>
        <w:t>הם</w:t>
      </w:r>
      <w:r>
        <w:t xml:space="preserve"> </w:t>
      </w:r>
      <w:r>
        <w:rPr>
          <w:rtl/>
        </w:rPr>
        <w:t>ערך</w:t>
      </w:r>
      <w:r>
        <w:t xml:space="preserve"> </w:t>
      </w:r>
      <w:r>
        <w:rPr>
          <w:rtl/>
        </w:rPr>
        <w:t>השמירה</w:t>
      </w:r>
      <w:r>
        <w:t xml:space="preserve"> </w:t>
      </w:r>
      <w:r>
        <w:rPr>
          <w:rtl/>
        </w:rPr>
        <w:t>על</w:t>
      </w:r>
      <w:r>
        <w:t xml:space="preserve"> </w:t>
      </w:r>
      <w:r>
        <w:rPr>
          <w:rtl/>
        </w:rPr>
        <w:t>ביטחונם</w:t>
      </w:r>
      <w:r>
        <w:t xml:space="preserve"> </w:t>
      </w:r>
      <w:r>
        <w:rPr>
          <w:rtl/>
        </w:rPr>
        <w:t>ושלמות</w:t>
      </w:r>
      <w:r>
        <w:t xml:space="preserve"> </w:t>
      </w:r>
      <w:r>
        <w:rPr>
          <w:rtl/>
        </w:rPr>
        <w:t>גופם</w:t>
      </w:r>
      <w:r>
        <w:t xml:space="preserve"> </w:t>
      </w:r>
      <w:r>
        <w:rPr>
          <w:rtl/>
        </w:rPr>
        <w:t>של</w:t>
      </w:r>
      <w:r>
        <w:t xml:space="preserve"> </w:t>
      </w:r>
      <w:r>
        <w:rPr>
          <w:rFonts w:hint="cs"/>
          <w:rtl/>
        </w:rPr>
        <w:t xml:space="preserve">כוחות הבטחון, </w:t>
      </w:r>
      <w:r>
        <w:t xml:space="preserve"> </w:t>
      </w:r>
      <w:r>
        <w:rPr>
          <w:rtl/>
        </w:rPr>
        <w:t>ההגנה</w:t>
      </w:r>
      <w:r>
        <w:t xml:space="preserve"> </w:t>
      </w:r>
      <w:r>
        <w:rPr>
          <w:rtl/>
        </w:rPr>
        <w:t>על</w:t>
      </w:r>
      <w:r>
        <w:t xml:space="preserve"> </w:t>
      </w:r>
      <w:r>
        <w:rPr>
          <w:rtl/>
        </w:rPr>
        <w:t>שלטון</w:t>
      </w:r>
      <w:r>
        <w:t xml:space="preserve"> </w:t>
      </w:r>
      <w:r>
        <w:rPr>
          <w:rtl/>
        </w:rPr>
        <w:t>החוק</w:t>
      </w:r>
      <w:r>
        <w:t xml:space="preserve"> </w:t>
      </w:r>
      <w:r>
        <w:rPr>
          <w:rtl/>
        </w:rPr>
        <w:t>ועל</w:t>
      </w:r>
      <w:r>
        <w:t xml:space="preserve"> </w:t>
      </w:r>
      <w:r>
        <w:rPr>
          <w:rtl/>
        </w:rPr>
        <w:t>הסדר</w:t>
      </w:r>
      <w:r>
        <w:t xml:space="preserve"> </w:t>
      </w:r>
      <w:r>
        <w:rPr>
          <w:rtl/>
        </w:rPr>
        <w:t>הציבור</w:t>
      </w:r>
      <w:r>
        <w:rPr>
          <w:rFonts w:hint="cs"/>
          <w:rtl/>
        </w:rPr>
        <w:t xml:space="preserve">. הנאשם פגע </w:t>
      </w:r>
      <w:r>
        <w:rPr>
          <w:rtl/>
        </w:rPr>
        <w:t>בערכים</w:t>
      </w:r>
      <w:r>
        <w:rPr>
          <w:rFonts w:hint="cs"/>
          <w:rtl/>
        </w:rPr>
        <w:t xml:space="preserve"> </w:t>
      </w:r>
      <w:r>
        <w:rPr>
          <w:rtl/>
        </w:rPr>
        <w:t>מוגנים</w:t>
      </w:r>
      <w:r>
        <w:t xml:space="preserve"> </w:t>
      </w:r>
      <w:r>
        <w:rPr>
          <w:rtl/>
        </w:rPr>
        <w:t>אלו</w:t>
      </w:r>
      <w:r>
        <w:t xml:space="preserve"> </w:t>
      </w:r>
      <w:r>
        <w:rPr>
          <w:rtl/>
        </w:rPr>
        <w:t>פגיעה</w:t>
      </w:r>
      <w:r>
        <w:t xml:space="preserve"> </w:t>
      </w:r>
      <w:r>
        <w:rPr>
          <w:rFonts w:hint="cs"/>
          <w:rtl/>
        </w:rPr>
        <w:t xml:space="preserve">חמורה, </w:t>
      </w:r>
      <w:r>
        <w:rPr>
          <w:rtl/>
        </w:rPr>
        <w:t>לא</w:t>
      </w:r>
      <w:r>
        <w:t xml:space="preserve"> </w:t>
      </w:r>
      <w:r>
        <w:rPr>
          <w:rtl/>
        </w:rPr>
        <w:t>רק</w:t>
      </w:r>
      <w:r>
        <w:t xml:space="preserve"> </w:t>
      </w:r>
      <w:r>
        <w:rPr>
          <w:rtl/>
        </w:rPr>
        <w:t>בעצם</w:t>
      </w:r>
      <w:r>
        <w:t xml:space="preserve"> </w:t>
      </w:r>
      <w:r>
        <w:rPr>
          <w:rtl/>
        </w:rPr>
        <w:t>הסיכון</w:t>
      </w:r>
      <w:r>
        <w:t xml:space="preserve"> </w:t>
      </w:r>
      <w:r>
        <w:rPr>
          <w:rtl/>
        </w:rPr>
        <w:t>שיצרו</w:t>
      </w:r>
      <w:r>
        <w:t xml:space="preserve"> </w:t>
      </w:r>
      <w:r>
        <w:rPr>
          <w:rtl/>
        </w:rPr>
        <w:t>לשוטרים</w:t>
      </w:r>
      <w:r>
        <w:t xml:space="preserve"> </w:t>
      </w:r>
      <w:r>
        <w:rPr>
          <w:rtl/>
        </w:rPr>
        <w:t>ולרכביהם</w:t>
      </w:r>
      <w:r>
        <w:rPr>
          <w:rFonts w:hint="cs"/>
          <w:rtl/>
        </w:rPr>
        <w:t xml:space="preserve">, </w:t>
      </w:r>
      <w:r>
        <w:rPr>
          <w:rtl/>
        </w:rPr>
        <w:t>אלא</w:t>
      </w:r>
      <w:r>
        <w:t xml:space="preserve"> </w:t>
      </w:r>
      <w:r>
        <w:rPr>
          <w:rtl/>
        </w:rPr>
        <w:t>גם</w:t>
      </w:r>
      <w:r>
        <w:t xml:space="preserve"> </w:t>
      </w:r>
      <w:r>
        <w:rPr>
          <w:rtl/>
        </w:rPr>
        <w:t>ביציאתם</w:t>
      </w:r>
      <w:r>
        <w:rPr>
          <w:rFonts w:hint="cs"/>
          <w:rtl/>
        </w:rPr>
        <w:t xml:space="preserve"> </w:t>
      </w:r>
      <w:r>
        <w:rPr>
          <w:rtl/>
        </w:rPr>
        <w:t>חוצץ</w:t>
      </w:r>
      <w:r>
        <w:t xml:space="preserve"> </w:t>
      </w:r>
      <w:r>
        <w:rPr>
          <w:rtl/>
        </w:rPr>
        <w:t>נגד</w:t>
      </w:r>
      <w:r>
        <w:t xml:space="preserve"> </w:t>
      </w:r>
      <w:r>
        <w:rPr>
          <w:rtl/>
        </w:rPr>
        <w:t>רשויות</w:t>
      </w:r>
      <w:r>
        <w:t xml:space="preserve"> </w:t>
      </w:r>
      <w:r>
        <w:rPr>
          <w:rtl/>
        </w:rPr>
        <w:t>החוק</w:t>
      </w:r>
      <w:r>
        <w:t xml:space="preserve"> </w:t>
      </w:r>
      <w:r>
        <w:rPr>
          <w:rtl/>
        </w:rPr>
        <w:t>והאכיפה</w:t>
      </w:r>
      <w:r>
        <w:t>.</w:t>
      </w:r>
    </w:p>
    <w:p w14:paraId="0F2CB6CF" w14:textId="77777777" w:rsidR="00F456E6" w:rsidRDefault="00AB2B02">
      <w:pPr>
        <w:spacing w:line="360" w:lineRule="auto"/>
        <w:ind w:left="1440" w:hanging="720"/>
        <w:jc w:val="both"/>
        <w:rPr>
          <w:rtl/>
        </w:rPr>
      </w:pPr>
      <w:r>
        <w:rPr>
          <w:rFonts w:hint="cs"/>
          <w:rtl/>
        </w:rPr>
        <w:t>ח.</w:t>
      </w:r>
      <w:r>
        <w:rPr>
          <w:rFonts w:hint="cs"/>
          <w:rtl/>
        </w:rPr>
        <w:tab/>
        <w:t>מבחינת הנסיבות הקשורות בביצוע העבירה (</w:t>
      </w:r>
      <w:hyperlink r:id="rId72" w:history="1">
        <w:r w:rsidR="003E7531" w:rsidRPr="003E7531">
          <w:rPr>
            <w:rStyle w:val="Hyperlink"/>
            <w:rFonts w:hint="eastAsia"/>
            <w:rtl/>
          </w:rPr>
          <w:t>סעיף</w:t>
        </w:r>
        <w:r w:rsidR="003E7531" w:rsidRPr="003E7531">
          <w:rPr>
            <w:rStyle w:val="Hyperlink"/>
            <w:rtl/>
          </w:rPr>
          <w:t xml:space="preserve"> 40ט(א)</w:t>
        </w:r>
      </w:hyperlink>
      <w:r>
        <w:rPr>
          <w:rFonts w:hint="cs"/>
          <w:rtl/>
        </w:rPr>
        <w:t xml:space="preserve"> לחוק) מדובר בעבירות שמחייבות החלטה להשתתף בהתפרעות וכן ביטוי אקטיבי של ניסיון לתקיפת שוטרים על ידי יידוי אבנים ובקבוקי תבערה. מעשים אלו אינם מעשים שאדם נקלע אליהם בטעות ובלא תכנון מראש. יש חומרה בכך שהנאשם חזר על המעשים בהזדמנויות שונות. </w:t>
      </w:r>
    </w:p>
    <w:p w14:paraId="416DCB96" w14:textId="77777777" w:rsidR="00F456E6" w:rsidRDefault="00AB2B02">
      <w:pPr>
        <w:spacing w:line="360" w:lineRule="auto"/>
        <w:ind w:left="1440" w:hanging="720"/>
        <w:jc w:val="both"/>
        <w:rPr>
          <w:rtl/>
        </w:rPr>
      </w:pPr>
      <w:r>
        <w:rPr>
          <w:rFonts w:hint="cs"/>
          <w:rtl/>
        </w:rPr>
        <w:t>ט.</w:t>
      </w:r>
      <w:r>
        <w:rPr>
          <w:rFonts w:hint="cs"/>
          <w:rtl/>
        </w:rPr>
        <w:tab/>
        <w:t>הנזק שהיה צפוי להגרם מביצוע העבירות (</w:t>
      </w:r>
      <w:hyperlink r:id="rId73" w:history="1">
        <w:r w:rsidR="003E7531" w:rsidRPr="003E7531">
          <w:rPr>
            <w:rStyle w:val="Hyperlink"/>
            <w:rFonts w:hint="eastAsia"/>
            <w:rtl/>
          </w:rPr>
          <w:t>סעיף</w:t>
        </w:r>
        <w:r w:rsidR="003E7531" w:rsidRPr="003E7531">
          <w:rPr>
            <w:rStyle w:val="Hyperlink"/>
            <w:rtl/>
          </w:rPr>
          <w:t xml:space="preserve"> 40ט(א)(3)</w:t>
        </w:r>
      </w:hyperlink>
      <w:r>
        <w:rPr>
          <w:rFonts w:hint="cs"/>
          <w:rtl/>
        </w:rPr>
        <w:t xml:space="preserve"> לחוק, עולה מעצם מהותן של העבירות עצמן, שטבוע בהן פוטנציאל לנזק רב, וכבר היו מקרי מעולם. חומרת המעשים נובעת, בראש ובראשונה, מכך שנוצר סיכון ממשי לחיי אדם. כאשר מדובר בבקבוקי תבערה, לא ניתן לדעת מראש כיצד יסתיים הארוע כאשר האש יכולה להתפשט ולפגוע בקורבנות רבים. אמנם בפועל במקרה דנן לא היה פגיעה/נזק אך </w:t>
      </w:r>
      <w:r>
        <w:rPr>
          <w:rtl/>
        </w:rPr>
        <w:t>אין בכך כדי להקהות את חומרת מעשיו של הנאשם, אשר ביחד עם חבריו יצר סיכון ממשי לחיי אדם</w:t>
      </w:r>
      <w:r>
        <w:rPr>
          <w:rFonts w:hint="cs"/>
          <w:rtl/>
        </w:rPr>
        <w:t xml:space="preserve">: </w:t>
      </w:r>
      <w:hyperlink r:id="rId74" w:history="1">
        <w:r w:rsidRPr="00AB2B02">
          <w:rPr>
            <w:rStyle w:val="Hyperlink"/>
            <w:rFonts w:hint="eastAsia"/>
            <w:rtl/>
          </w:rPr>
          <w:t>בש</w:t>
        </w:r>
        <w:r w:rsidRPr="00AB2B02">
          <w:rPr>
            <w:rStyle w:val="Hyperlink"/>
            <w:rtl/>
          </w:rPr>
          <w:t>"פ 8576/00</w:t>
        </w:r>
      </w:hyperlink>
      <w:r>
        <w:rPr>
          <w:rFonts w:hint="cs"/>
          <w:rtl/>
        </w:rPr>
        <w:t xml:space="preserve"> </w:t>
      </w:r>
      <w:r>
        <w:rPr>
          <w:rFonts w:hint="cs"/>
          <w:b/>
          <w:bCs/>
          <w:rtl/>
        </w:rPr>
        <w:t>מדינת ישראל נ' מחמוד יוסף אלג'מל</w:t>
      </w:r>
      <w:r>
        <w:rPr>
          <w:rFonts w:hint="cs"/>
          <w:rtl/>
        </w:rPr>
        <w:t xml:space="preserve"> (24.11.00).</w:t>
      </w:r>
    </w:p>
    <w:p w14:paraId="2C280FA9" w14:textId="77777777" w:rsidR="00F456E6" w:rsidRDefault="00AB2B02">
      <w:pPr>
        <w:spacing w:line="360" w:lineRule="auto"/>
        <w:ind w:left="1440" w:hanging="720"/>
        <w:jc w:val="both"/>
        <w:rPr>
          <w:rtl/>
        </w:rPr>
      </w:pPr>
      <w:r>
        <w:rPr>
          <w:rFonts w:hint="cs"/>
          <w:rtl/>
        </w:rPr>
        <w:t>י.</w:t>
      </w:r>
      <w:r>
        <w:rPr>
          <w:rFonts w:hint="cs"/>
          <w:rtl/>
        </w:rPr>
        <w:tab/>
        <w:t xml:space="preserve">קביעותי הן בהתחשב במכלול השיקולים, מהות </w:t>
      </w:r>
      <w:r>
        <w:rPr>
          <w:rtl/>
        </w:rPr>
        <w:t>העבירות ונסיבותיהן ובהתחשב בפסיקת בית המשפט העליון לעניין הצורך להחמיר בענישה בעבירות מן הסוג שבנדו</w:t>
      </w:r>
      <w:r>
        <w:rPr>
          <w:rFonts w:hint="cs"/>
          <w:rtl/>
        </w:rPr>
        <w:t>ן, שחומרתן והאינטרס הציבורי מחייבים התייחסות הולמת בנסיבות בהן התנהלות הנאשם הפכה ל"מכת עיר".</w:t>
      </w:r>
    </w:p>
    <w:p w14:paraId="17ED9BE4" w14:textId="77777777" w:rsidR="00F456E6" w:rsidRDefault="00AB2B02">
      <w:pPr>
        <w:spacing w:line="360" w:lineRule="auto"/>
        <w:ind w:left="1440" w:hanging="720"/>
        <w:jc w:val="both"/>
        <w:rPr>
          <w:rtl/>
        </w:rPr>
      </w:pPr>
      <w:r>
        <w:rPr>
          <w:rFonts w:hint="cs"/>
          <w:rtl/>
        </w:rPr>
        <w:t>יא.</w:t>
      </w:r>
      <w:r>
        <w:rPr>
          <w:rFonts w:hint="cs"/>
          <w:rtl/>
        </w:rPr>
        <w:tab/>
      </w:r>
      <w:hyperlink r:id="rId75" w:history="1">
        <w:r w:rsidR="00A675C2" w:rsidRPr="00A675C2">
          <w:rPr>
            <w:color w:val="0000FF"/>
            <w:u w:val="single"/>
            <w:rtl/>
          </w:rPr>
          <w:t>חוק העונשין</w:t>
        </w:r>
      </w:hyperlink>
      <w:r>
        <w:rPr>
          <w:rFonts w:hint="cs"/>
          <w:rtl/>
        </w:rPr>
        <w:t xml:space="preserve"> (תיקון מס' 120 והוראת שעה), התשע"ו-2015 ס"ח התשע"ו 12, קובע עונשי מינימום לגבי חלק מהמעשים שבהם הורשע הנאשם, אינה חלה על הנאשם, שכן המעשים שבהם הורשע הנאשם ארעו לפני 2.11.15 המועד שבו הפרסום התקבל בקריאה שניה ושלישית, ולפני פרסום התיקון ברשומות ביום 5.11.15. </w:t>
      </w:r>
      <w:r>
        <w:rPr>
          <w:rtl/>
        </w:rPr>
        <w:t xml:space="preserve">ביטוי להשקפה זו ניתן למצוא </w:t>
      </w:r>
      <w:hyperlink r:id="rId76" w:history="1">
        <w:r w:rsidR="003E7531" w:rsidRPr="003E7531">
          <w:rPr>
            <w:rStyle w:val="Hyperlink"/>
            <w:rtl/>
          </w:rPr>
          <w:t>בסעיף 3(ב)</w:t>
        </w:r>
      </w:hyperlink>
      <w:r>
        <w:rPr>
          <w:rtl/>
        </w:rPr>
        <w:t xml:space="preserve"> ל</w:t>
      </w:r>
      <w:hyperlink r:id="rId77" w:history="1">
        <w:r w:rsidR="00A675C2" w:rsidRPr="00A675C2">
          <w:rPr>
            <w:color w:val="0000FF"/>
            <w:u w:val="single"/>
            <w:rtl/>
          </w:rPr>
          <w:t>חוק העונשין</w:t>
        </w:r>
      </w:hyperlink>
      <w:r>
        <w:rPr>
          <w:rtl/>
        </w:rPr>
        <w:t>, הקובע כי החמרת ענישה בחקיקה לא תחול למפרע</w:t>
      </w:r>
      <w:r>
        <w:rPr>
          <w:rFonts w:hint="cs"/>
          <w:rtl/>
        </w:rPr>
        <w:t>:</w:t>
      </w:r>
    </w:p>
    <w:p w14:paraId="118236F9" w14:textId="77777777" w:rsidR="00F456E6" w:rsidRDefault="00AB2B02">
      <w:pPr>
        <w:spacing w:line="360" w:lineRule="auto"/>
        <w:ind w:left="1440" w:right="567"/>
        <w:jc w:val="both"/>
        <w:rPr>
          <w:rFonts w:cs="Aharoni"/>
          <w:rtl/>
        </w:rPr>
      </w:pPr>
      <w:r>
        <w:rPr>
          <w:rFonts w:cs="Aharoni" w:hint="cs"/>
          <w:rtl/>
        </w:rPr>
        <w:t>"</w:t>
      </w:r>
      <w:r>
        <w:rPr>
          <w:rFonts w:cs="Aharoni"/>
          <w:rtl/>
        </w:rPr>
        <w:t>(ב)</w:t>
      </w:r>
      <w:r>
        <w:rPr>
          <w:rFonts w:cs="Aharoni" w:hint="cs"/>
          <w:rtl/>
        </w:rPr>
        <w:t xml:space="preserve"> </w:t>
      </w:r>
      <w:r>
        <w:rPr>
          <w:rFonts w:cs="Aharoni"/>
          <w:rtl/>
        </w:rPr>
        <w:t>חיקוק הקובע לעבירה עונש חמור מזה שנקבע לה בשעת ביצוע העבירה, לא יחול על מעשה שנעשה לפני פרסומו כדין או לפני תחילתו, לפי המאוחר; אך אין רואים בעדכון שיעורו של קנס החמרה בעונש</w:t>
      </w:r>
      <w:r>
        <w:rPr>
          <w:rFonts w:cs="Aharoni" w:hint="cs"/>
          <w:rtl/>
        </w:rPr>
        <w:t>".</w:t>
      </w:r>
    </w:p>
    <w:p w14:paraId="4B83AA53" w14:textId="77777777" w:rsidR="00F456E6" w:rsidRDefault="00F456E6">
      <w:pPr>
        <w:suppressLineNumbers/>
        <w:spacing w:line="360" w:lineRule="auto"/>
        <w:ind w:right="567"/>
        <w:jc w:val="both"/>
        <w:rPr>
          <w:i/>
          <w:iCs/>
          <w:rtl/>
        </w:rPr>
      </w:pPr>
    </w:p>
    <w:p w14:paraId="152A1104" w14:textId="77777777" w:rsidR="00F456E6" w:rsidRDefault="00AB2B02">
      <w:pPr>
        <w:suppressLineNumbers/>
        <w:spacing w:line="360" w:lineRule="auto"/>
        <w:jc w:val="both"/>
        <w:rPr>
          <w:u w:val="single"/>
          <w:rtl/>
        </w:rPr>
      </w:pPr>
      <w:r>
        <w:rPr>
          <w:rFonts w:hint="cs"/>
          <w:u w:val="single"/>
          <w:rtl/>
        </w:rPr>
        <w:t>התקיימות נסיבות המצדיקות חריגה ממתחם הענישה (</w:t>
      </w:r>
      <w:hyperlink r:id="rId78" w:history="1">
        <w:r w:rsidR="003E7531" w:rsidRPr="003E7531">
          <w:rPr>
            <w:rStyle w:val="Hyperlink"/>
            <w:rFonts w:hint="eastAsia"/>
            <w:rtl/>
          </w:rPr>
          <w:t>סעיף</w:t>
        </w:r>
        <w:r w:rsidR="003E7531" w:rsidRPr="003E7531">
          <w:rPr>
            <w:rStyle w:val="Hyperlink"/>
            <w:rtl/>
          </w:rPr>
          <w:t xml:space="preserve"> 40ד-ה</w:t>
        </w:r>
      </w:hyperlink>
      <w:r>
        <w:rPr>
          <w:rFonts w:hint="cs"/>
          <w:u w:val="single"/>
          <w:rtl/>
        </w:rPr>
        <w:t xml:space="preserve"> לחוק)</w:t>
      </w:r>
    </w:p>
    <w:p w14:paraId="09DB7849" w14:textId="77777777" w:rsidR="00F456E6" w:rsidRDefault="00AB2B02">
      <w:pPr>
        <w:suppressLineNumbers/>
        <w:spacing w:line="360" w:lineRule="auto"/>
        <w:ind w:left="720" w:hanging="720"/>
        <w:jc w:val="both"/>
        <w:rPr>
          <w:rtl/>
        </w:rPr>
      </w:pPr>
      <w:r>
        <w:rPr>
          <w:rFonts w:hint="cs"/>
          <w:rtl/>
        </w:rPr>
        <w:t>9.</w:t>
      </w:r>
      <w:r>
        <w:rPr>
          <w:rFonts w:hint="cs"/>
          <w:rtl/>
        </w:rPr>
        <w:tab/>
        <w:t xml:space="preserve">בנסיבות המקרה לא מצאתי, שמתקיימים החריגים המאפשרים חריגה ממתחם העונש: </w:t>
      </w:r>
      <w:r>
        <w:rPr>
          <w:rFonts w:hint="cs"/>
          <w:b/>
          <w:bCs/>
          <w:rtl/>
        </w:rPr>
        <w:t>שיקולי שיקום והגנה על הציבור</w:t>
      </w:r>
      <w:r>
        <w:rPr>
          <w:rFonts w:hint="cs"/>
          <w:rtl/>
        </w:rPr>
        <w:t xml:space="preserve">, כאמור </w:t>
      </w:r>
      <w:hyperlink r:id="rId79" w:history="1">
        <w:r w:rsidR="003E7531" w:rsidRPr="003E7531">
          <w:rPr>
            <w:rStyle w:val="Hyperlink"/>
            <w:rFonts w:hint="eastAsia"/>
            <w:rtl/>
          </w:rPr>
          <w:t>בסעיף</w:t>
        </w:r>
        <w:r w:rsidR="003E7531" w:rsidRPr="003E7531">
          <w:rPr>
            <w:rStyle w:val="Hyperlink"/>
            <w:rtl/>
          </w:rPr>
          <w:t xml:space="preserve"> 40ד'</w:t>
        </w:r>
      </w:hyperlink>
      <w:r>
        <w:rPr>
          <w:rFonts w:hint="cs"/>
          <w:rtl/>
        </w:rPr>
        <w:t xml:space="preserve"> ו-</w:t>
      </w:r>
      <w:hyperlink r:id="rId80" w:history="1">
        <w:r w:rsidR="003E7531" w:rsidRPr="003E7531">
          <w:rPr>
            <w:rStyle w:val="Hyperlink"/>
            <w:rtl/>
          </w:rPr>
          <w:t>40ה'</w:t>
        </w:r>
      </w:hyperlink>
      <w:r>
        <w:rPr>
          <w:rFonts w:hint="cs"/>
          <w:rtl/>
        </w:rPr>
        <w:t xml:space="preserve"> לחוק. ראה תסקיר שירות המבחן והמלצתו להטיל על הנאשם עונש בפועל וכן עונש מאסר מותנה על מנת להעביר מסר מרתיע ומציב גבולות. </w:t>
      </w:r>
    </w:p>
    <w:p w14:paraId="43A233FA" w14:textId="77777777" w:rsidR="00F456E6" w:rsidRDefault="00F456E6">
      <w:pPr>
        <w:suppressLineNumbers/>
        <w:spacing w:line="360" w:lineRule="auto"/>
        <w:jc w:val="both"/>
        <w:rPr>
          <w:u w:val="single"/>
          <w:rtl/>
        </w:rPr>
      </w:pPr>
    </w:p>
    <w:p w14:paraId="40B0E526" w14:textId="77777777" w:rsidR="00F456E6" w:rsidRDefault="00AB2B02">
      <w:pPr>
        <w:suppressLineNumbers/>
        <w:spacing w:line="360" w:lineRule="auto"/>
        <w:jc w:val="both"/>
        <w:rPr>
          <w:u w:val="single"/>
          <w:rtl/>
        </w:rPr>
      </w:pPr>
      <w:r>
        <w:rPr>
          <w:rFonts w:hint="cs"/>
          <w:u w:val="single"/>
          <w:rtl/>
        </w:rPr>
        <w:t>נסיבות שאינן קשורות בביצוע העבירה (</w:t>
      </w:r>
      <w:hyperlink r:id="rId81" w:history="1">
        <w:r w:rsidR="003E7531" w:rsidRPr="003E7531">
          <w:rPr>
            <w:rStyle w:val="Hyperlink"/>
            <w:rFonts w:hint="eastAsia"/>
            <w:rtl/>
          </w:rPr>
          <w:t>סעיף</w:t>
        </w:r>
        <w:r w:rsidR="003E7531" w:rsidRPr="003E7531">
          <w:rPr>
            <w:rStyle w:val="Hyperlink"/>
            <w:rtl/>
          </w:rPr>
          <w:t xml:space="preserve"> 40יא</w:t>
        </w:r>
      </w:hyperlink>
      <w:r>
        <w:rPr>
          <w:rFonts w:hint="cs"/>
          <w:u w:val="single"/>
          <w:rtl/>
        </w:rPr>
        <w:t xml:space="preserve"> לחוק)</w:t>
      </w:r>
    </w:p>
    <w:p w14:paraId="5D53A8C9" w14:textId="77777777" w:rsidR="00F456E6" w:rsidRDefault="00AB2B02">
      <w:pPr>
        <w:suppressLineNumbers/>
        <w:spacing w:line="360" w:lineRule="auto"/>
        <w:ind w:left="1440" w:hanging="1440"/>
        <w:jc w:val="both"/>
        <w:rPr>
          <w:rtl/>
        </w:rPr>
      </w:pPr>
      <w:r>
        <w:rPr>
          <w:rFonts w:hint="cs"/>
          <w:rtl/>
        </w:rPr>
        <w:t>10.         א.</w:t>
      </w:r>
      <w:r>
        <w:rPr>
          <w:rFonts w:hint="cs"/>
          <w:rtl/>
        </w:rPr>
        <w:tab/>
        <w:t xml:space="preserve">הנאשם כבן 19 בן הזקונים מבין 4 אחים. נסיבות חייו אינן קלות והוא עובד מגיל צעיר ומסייע בפרנסת המשפחה. על פי תסקיר שירות המבחן הוא גילה במהלך חייו יציבות תעסוקתית ונטה לבטא שאיפות נורמטיביות לאורח חיים שומר חוק. </w:t>
      </w:r>
    </w:p>
    <w:p w14:paraId="6D7F19E2" w14:textId="77777777" w:rsidR="00F456E6" w:rsidRDefault="00AB2B02">
      <w:pPr>
        <w:suppressLineNumbers/>
        <w:spacing w:line="360" w:lineRule="auto"/>
        <w:ind w:left="1440" w:hanging="720"/>
        <w:jc w:val="both"/>
        <w:rPr>
          <w:rtl/>
        </w:rPr>
      </w:pPr>
      <w:r>
        <w:rPr>
          <w:rFonts w:hint="cs"/>
          <w:rtl/>
        </w:rPr>
        <w:t>ב.</w:t>
      </w:r>
      <w:r>
        <w:rPr>
          <w:rFonts w:hint="cs"/>
          <w:rtl/>
        </w:rPr>
        <w:tab/>
        <w:t xml:space="preserve">הנאשם חש בושה בקשר עם משפחתו לצד מעצרו. העונש שיושת יפגע לא רק בנאשם אלא גם במשפחתו התלויים בו לפרנסתם, אך אין לומר כי הפגיעה היא חריגה או יוצאת דופן בחומרתה. </w:t>
      </w:r>
    </w:p>
    <w:p w14:paraId="4010DE66" w14:textId="77777777" w:rsidR="00F456E6" w:rsidRDefault="00AB2B02">
      <w:pPr>
        <w:suppressLineNumbers/>
        <w:spacing w:line="360" w:lineRule="auto"/>
        <w:ind w:left="1440" w:hanging="720"/>
        <w:jc w:val="both"/>
        <w:rPr>
          <w:rtl/>
        </w:rPr>
      </w:pPr>
      <w:r>
        <w:rPr>
          <w:rFonts w:hint="cs"/>
          <w:rtl/>
        </w:rPr>
        <w:t>ג.</w:t>
      </w:r>
      <w:r>
        <w:rPr>
          <w:rFonts w:hint="cs"/>
          <w:rtl/>
        </w:rPr>
        <w:tab/>
        <w:t>אין לנאשם עבר פלילי קודם.</w:t>
      </w:r>
    </w:p>
    <w:p w14:paraId="6230CD17" w14:textId="77777777" w:rsidR="00F456E6" w:rsidRDefault="00AB2B02">
      <w:pPr>
        <w:suppressLineNumbers/>
        <w:spacing w:line="360" w:lineRule="auto"/>
        <w:ind w:left="1440" w:hanging="720"/>
        <w:jc w:val="both"/>
        <w:rPr>
          <w:rtl/>
        </w:rPr>
      </w:pPr>
      <w:r>
        <w:rPr>
          <w:rFonts w:hint="cs"/>
          <w:rtl/>
        </w:rPr>
        <w:t>ד.</w:t>
      </w:r>
      <w:r>
        <w:rPr>
          <w:rFonts w:hint="cs"/>
          <w:rtl/>
        </w:rPr>
        <w:tab/>
        <w:t xml:space="preserve">שלא כמו מקרים רבים אחרים, הנאשם הודה בעובדות כתב האישום המתוקן בשלישית במסגרת הסדר טיעון. בכך חסך זמן שיפוטי רב, הוא שיתף פעולה בחקירה וצפוי להעיד כנגד אחרים. אם החלטתי שלא למצות את מלוא חומרת הדין עם הנאשם, זה היה בעיקר בגלל האמור בסעיף ה. </w:t>
      </w:r>
    </w:p>
    <w:p w14:paraId="0538C3A0" w14:textId="77777777" w:rsidR="00F456E6" w:rsidRDefault="00AB2B02">
      <w:pPr>
        <w:suppressLineNumbers/>
        <w:spacing w:line="360" w:lineRule="auto"/>
        <w:ind w:left="1440" w:hanging="720"/>
        <w:jc w:val="both"/>
        <w:rPr>
          <w:rtl/>
        </w:rPr>
      </w:pPr>
      <w:r>
        <w:rPr>
          <w:rFonts w:hint="cs"/>
          <w:rtl/>
        </w:rPr>
        <w:t>ה.</w:t>
      </w:r>
      <w:r>
        <w:rPr>
          <w:rFonts w:hint="cs"/>
          <w:rtl/>
        </w:rPr>
        <w:tab/>
        <w:t>ביהמ"ש התרשם, כאשר הנאשם התייצב בפניו, הוא הבין את חומרת מעשיו והתרשם כי החרטה שהביע היתה כנה, הגם שהתרשמות שירות המבחן הינה שונה.</w:t>
      </w:r>
    </w:p>
    <w:p w14:paraId="6DB5838D" w14:textId="77777777" w:rsidR="00F456E6" w:rsidRDefault="00AB2B02">
      <w:pPr>
        <w:suppressLineNumbers/>
        <w:spacing w:line="360" w:lineRule="auto"/>
        <w:ind w:left="1440" w:hanging="720"/>
        <w:jc w:val="both"/>
        <w:rPr>
          <w:rtl/>
        </w:rPr>
      </w:pPr>
      <w:r>
        <w:rPr>
          <w:rFonts w:hint="cs"/>
          <w:rtl/>
        </w:rPr>
        <w:t>ו.</w:t>
      </w:r>
      <w:r>
        <w:rPr>
          <w:rFonts w:hint="cs"/>
          <w:rtl/>
        </w:rPr>
        <w:tab/>
        <w:t xml:space="preserve">יש להתחשב במסגרת שיקולי הענישה בכך שהנאשם הוא </w:t>
      </w:r>
      <w:r>
        <w:rPr>
          <w:rtl/>
        </w:rPr>
        <w:br/>
      </w:r>
      <w:r>
        <w:rPr>
          <w:rFonts w:hint="cs"/>
          <w:rtl/>
        </w:rPr>
        <w:t xml:space="preserve">בגיר-צעיר", ולייחס לגילו משקל משמעותי: </w:t>
      </w:r>
      <w:hyperlink r:id="rId82" w:history="1">
        <w:r w:rsidRPr="00AB2B02">
          <w:rPr>
            <w:rStyle w:val="Hyperlink"/>
            <w:rFonts w:hint="eastAsia"/>
            <w:rtl/>
          </w:rPr>
          <w:t>ע</w:t>
        </w:r>
        <w:r w:rsidRPr="00AB2B02">
          <w:rPr>
            <w:rStyle w:val="Hyperlink"/>
            <w:rtl/>
          </w:rPr>
          <w:t>"פ 7781/12</w:t>
        </w:r>
      </w:hyperlink>
      <w:r>
        <w:rPr>
          <w:rFonts w:hint="cs"/>
          <w:rtl/>
        </w:rPr>
        <w:t xml:space="preserve"> </w:t>
      </w:r>
      <w:r>
        <w:rPr>
          <w:rFonts w:hint="cs"/>
          <w:b/>
          <w:bCs/>
          <w:rtl/>
        </w:rPr>
        <w:t xml:space="preserve">פלוני נ' מ"י </w:t>
      </w:r>
      <w:r>
        <w:rPr>
          <w:rFonts w:hint="cs"/>
          <w:rtl/>
        </w:rPr>
        <w:t xml:space="preserve">(20.6.13). עם זאת, אין מדובר בקטגוריה נפרדת הפורצת את גבולות החוק: </w:t>
      </w:r>
      <w:hyperlink r:id="rId83" w:history="1">
        <w:r w:rsidRPr="00AB2B02">
          <w:rPr>
            <w:rStyle w:val="Hyperlink"/>
            <w:rFonts w:hint="eastAsia"/>
            <w:rtl/>
          </w:rPr>
          <w:t>ע</w:t>
        </w:r>
        <w:r w:rsidRPr="00AB2B02">
          <w:rPr>
            <w:rStyle w:val="Hyperlink"/>
            <w:rtl/>
          </w:rPr>
          <w:t>"פ 2420/15</w:t>
        </w:r>
      </w:hyperlink>
      <w:r>
        <w:rPr>
          <w:rFonts w:hint="cs"/>
          <w:rtl/>
        </w:rPr>
        <w:t xml:space="preserve"> </w:t>
      </w:r>
      <w:r>
        <w:rPr>
          <w:rFonts w:hint="cs"/>
          <w:b/>
          <w:bCs/>
          <w:rtl/>
        </w:rPr>
        <w:t xml:space="preserve">אבטליון נ' מ"י </w:t>
      </w:r>
      <w:r>
        <w:rPr>
          <w:rFonts w:hint="cs"/>
          <w:rtl/>
        </w:rPr>
        <w:t>(29.11.15). בחנתי פרטנית את ההשפעה האפשרית של מאסר בפועל על שיקומו ומצבו, ונתתי משקל לכך שהנאשם ביצע את העבירות בהיותו כבן 19, ואין לו עבר פלילי קודם.</w:t>
      </w:r>
    </w:p>
    <w:p w14:paraId="67849B6D" w14:textId="77777777" w:rsidR="00F456E6" w:rsidRDefault="00AB2B02">
      <w:pPr>
        <w:spacing w:line="360" w:lineRule="auto"/>
        <w:ind w:left="1440" w:hanging="720"/>
        <w:jc w:val="both"/>
        <w:rPr>
          <w:rtl/>
        </w:rPr>
      </w:pPr>
      <w:r>
        <w:rPr>
          <w:rFonts w:hint="cs"/>
          <w:rtl/>
        </w:rPr>
        <w:t>ז.</w:t>
      </w:r>
      <w:r>
        <w:rPr>
          <w:rFonts w:hint="cs"/>
          <w:rtl/>
        </w:rPr>
        <w:tab/>
        <w:t xml:space="preserve">מנגד, </w:t>
      </w:r>
      <w:r>
        <w:rPr>
          <w:rtl/>
        </w:rPr>
        <w:t xml:space="preserve">בית המשפט העליון ציין לא אחת שעל בתי המשפט "להעביר מסר חד משמעי ונוקב של הרתעה מפני מעשים אלו שחוזרים ונשנים לצערנו ולא פעם מסתיימים בפגיעה ממש", וכן, "כי במעשים אלו שמבוצעים על רקע אדאולוגי-לאומני, נדחים שיקולי ענישה אחרים מפני שיקול ההרתעה" (ראה </w:t>
      </w:r>
      <w:hyperlink r:id="rId84" w:history="1">
        <w:r w:rsidRPr="00AB2B02">
          <w:rPr>
            <w:rStyle w:val="Hyperlink"/>
            <w:rtl/>
          </w:rPr>
          <w:t>ע"פ 1163/07</w:t>
        </w:r>
      </w:hyperlink>
      <w:r>
        <w:rPr>
          <w:rtl/>
        </w:rPr>
        <w:t xml:space="preserve"> </w:t>
      </w:r>
      <w:r>
        <w:rPr>
          <w:b/>
          <w:bCs/>
          <w:rtl/>
        </w:rPr>
        <w:t>מוחמד אבו ח'דיר נ' מדינת ישראל</w:t>
      </w:r>
      <w:r>
        <w:rPr>
          <w:rtl/>
        </w:rPr>
        <w:t xml:space="preserve">  מיום 29.3.07 (לא פורסם) ו</w:t>
      </w:r>
      <w:hyperlink r:id="rId85" w:history="1">
        <w:r w:rsidRPr="00AB2B02">
          <w:rPr>
            <w:rStyle w:val="Hyperlink"/>
            <w:rtl/>
          </w:rPr>
          <w:t>ע"פ 9201/06</w:t>
        </w:r>
      </w:hyperlink>
      <w:r>
        <w:rPr>
          <w:rtl/>
        </w:rPr>
        <w:t xml:space="preserve"> </w:t>
      </w:r>
      <w:r>
        <w:rPr>
          <w:b/>
          <w:bCs/>
          <w:rtl/>
        </w:rPr>
        <w:t>פלוני נ' מדינת ישראל</w:t>
      </w:r>
      <w:r>
        <w:rPr>
          <w:rtl/>
        </w:rPr>
        <w:t xml:space="preserve"> (לא פורסם) מיום 6.3.07). </w:t>
      </w:r>
    </w:p>
    <w:p w14:paraId="654B9151" w14:textId="77777777" w:rsidR="00F456E6" w:rsidRDefault="00AB2B02">
      <w:pPr>
        <w:spacing w:line="360" w:lineRule="auto"/>
        <w:ind w:left="1440" w:hanging="720"/>
        <w:jc w:val="both"/>
        <w:rPr>
          <w:rtl/>
        </w:rPr>
      </w:pPr>
      <w:r>
        <w:rPr>
          <w:rFonts w:hint="cs"/>
          <w:rtl/>
        </w:rPr>
        <w:t>ח.</w:t>
      </w:r>
      <w:r>
        <w:rPr>
          <w:rFonts w:hint="cs"/>
          <w:rtl/>
        </w:rPr>
        <w:tab/>
        <w:t xml:space="preserve">כמו כן, הנאשם, ניהל על פי גרסתו חיים נורמטיביים, זכה לכך שהיה לו מקם עבודה, ודבר זה מחמיר את מצבו של הנאשם, שכן לא נטען שעשה את המעשים כתוצאה ממצב כלכלי או אישי קשה אליו נקלע. מדובר במניע אידיאולוגי למעשים, הנושא עימו סיכון מיוחד לסדר הציבורי ולרקמת החיים העדינה שבין תושבי ירושלים בני דתות שונות. </w:t>
      </w:r>
    </w:p>
    <w:p w14:paraId="1F12BFC6" w14:textId="77777777" w:rsidR="00F456E6" w:rsidRDefault="00F456E6">
      <w:pPr>
        <w:suppressLineNumbers/>
        <w:spacing w:line="360" w:lineRule="auto"/>
        <w:jc w:val="both"/>
        <w:rPr>
          <w:u w:val="single"/>
          <w:rtl/>
        </w:rPr>
      </w:pPr>
    </w:p>
    <w:p w14:paraId="2D53BF43" w14:textId="77777777" w:rsidR="00F456E6" w:rsidRDefault="00AB2B02">
      <w:pPr>
        <w:suppressLineNumbers/>
        <w:spacing w:line="360" w:lineRule="auto"/>
        <w:jc w:val="both"/>
        <w:rPr>
          <w:u w:val="single"/>
          <w:rtl/>
        </w:rPr>
      </w:pPr>
      <w:r>
        <w:rPr>
          <w:rFonts w:hint="cs"/>
          <w:u w:val="single"/>
          <w:rtl/>
        </w:rPr>
        <w:t>גזירת העונש</w:t>
      </w:r>
    </w:p>
    <w:p w14:paraId="00DD26E4" w14:textId="77777777" w:rsidR="00F456E6" w:rsidRDefault="00AB2B02">
      <w:pPr>
        <w:spacing w:line="360" w:lineRule="auto"/>
        <w:ind w:left="720" w:hanging="720"/>
        <w:jc w:val="both"/>
        <w:rPr>
          <w:rtl/>
        </w:rPr>
      </w:pPr>
      <w:r>
        <w:rPr>
          <w:rFonts w:hint="cs"/>
          <w:rtl/>
        </w:rPr>
        <w:t>11.</w:t>
      </w:r>
      <w:r>
        <w:rPr>
          <w:rFonts w:hint="cs"/>
          <w:rtl/>
        </w:rPr>
        <w:tab/>
        <w:t>א.</w:t>
      </w:r>
      <w:r>
        <w:rPr>
          <w:rFonts w:hint="cs"/>
          <w:rtl/>
        </w:rPr>
        <w:tab/>
        <w:t>כפי שנקבע ב</w:t>
      </w:r>
      <w:hyperlink r:id="rId86" w:history="1">
        <w:r w:rsidRPr="00AB2B02">
          <w:rPr>
            <w:rStyle w:val="Hyperlink"/>
            <w:rFonts w:hint="eastAsia"/>
            <w:rtl/>
          </w:rPr>
          <w:t>ע</w:t>
        </w:r>
        <w:r w:rsidRPr="00AB2B02">
          <w:rPr>
            <w:rStyle w:val="Hyperlink"/>
            <w:rtl/>
          </w:rPr>
          <w:t>"פ 3582/13</w:t>
        </w:r>
      </w:hyperlink>
      <w:r>
        <w:rPr>
          <w:rFonts w:hint="cs"/>
          <w:rtl/>
        </w:rPr>
        <w:t xml:space="preserve"> </w:t>
      </w:r>
      <w:r>
        <w:rPr>
          <w:rFonts w:hint="cs"/>
          <w:b/>
          <w:bCs/>
          <w:rtl/>
        </w:rPr>
        <w:t>סעד נ' מ"י</w:t>
      </w:r>
      <w:r>
        <w:rPr>
          <w:rFonts w:hint="cs"/>
          <w:rtl/>
        </w:rPr>
        <w:t xml:space="preserve"> (29.1.14):</w:t>
      </w:r>
    </w:p>
    <w:p w14:paraId="3F29991F" w14:textId="77777777" w:rsidR="00F456E6" w:rsidRDefault="00AB2B02">
      <w:pPr>
        <w:ind w:left="720" w:firstLine="720"/>
        <w:jc w:val="both"/>
        <w:rPr>
          <w:rFonts w:cs="Aharoni"/>
          <w:b/>
          <w:bCs/>
          <w:rtl/>
        </w:rPr>
      </w:pPr>
      <w:r>
        <w:rPr>
          <w:rFonts w:cs="Aharoni" w:hint="cs"/>
          <w:b/>
          <w:bCs/>
          <w:rtl/>
        </w:rPr>
        <w:t>"גזירת עונש אינה מתבצעת לפי נוסחה אריטמטית".</w:t>
      </w:r>
    </w:p>
    <w:p w14:paraId="39E41F1E" w14:textId="77777777" w:rsidR="00F456E6" w:rsidRDefault="00F456E6">
      <w:pPr>
        <w:ind w:left="720" w:hanging="720"/>
        <w:jc w:val="both"/>
        <w:rPr>
          <w:rFonts w:cs="Aharoni"/>
          <w:rtl/>
        </w:rPr>
      </w:pPr>
    </w:p>
    <w:p w14:paraId="7F8A9391" w14:textId="77777777" w:rsidR="00F456E6" w:rsidRDefault="00AB2B02">
      <w:pPr>
        <w:spacing w:line="360" w:lineRule="auto"/>
        <w:ind w:left="1440" w:hanging="720"/>
        <w:jc w:val="both"/>
        <w:rPr>
          <w:rtl/>
        </w:rPr>
      </w:pPr>
      <w:r>
        <w:rPr>
          <w:rFonts w:hint="cs"/>
          <w:rtl/>
        </w:rPr>
        <w:t>ב.</w:t>
      </w:r>
      <w:r>
        <w:rPr>
          <w:rFonts w:hint="cs"/>
          <w:rtl/>
        </w:rPr>
        <w:tab/>
      </w:r>
      <w:r>
        <w:rPr>
          <w:rtl/>
        </w:rPr>
        <w:t>טווח הענישה, כאמור, רחב, ומכל מקום, הענישה</w:t>
      </w:r>
      <w:r>
        <w:rPr>
          <w:rFonts w:hint="cs"/>
          <w:rtl/>
        </w:rPr>
        <w:t xml:space="preserve"> </w:t>
      </w:r>
      <w:r>
        <w:rPr>
          <w:rtl/>
        </w:rPr>
        <w:t>הנוהגת מהווה רק חלק מהשיקולים בגזירת העונש, וניתן לחרוג ממנה כאשר נסיבות העניין</w:t>
      </w:r>
      <w:r>
        <w:rPr>
          <w:rFonts w:hint="cs"/>
          <w:rtl/>
        </w:rPr>
        <w:t xml:space="preserve"> </w:t>
      </w:r>
      <w:r>
        <w:rPr>
          <w:rtl/>
        </w:rPr>
        <w:t>בכללותן מצדיקות זא</w:t>
      </w:r>
      <w:r>
        <w:rPr>
          <w:rFonts w:hint="cs"/>
          <w:rtl/>
        </w:rPr>
        <w:t xml:space="preserve">ת: </w:t>
      </w:r>
      <w:hyperlink r:id="rId87" w:history="1">
        <w:r w:rsidRPr="00AB2B02">
          <w:rPr>
            <w:rStyle w:val="Hyperlink"/>
            <w:rtl/>
          </w:rPr>
          <w:t>ת.פ. (י-ם) 49990-03-13</w:t>
        </w:r>
      </w:hyperlink>
      <w:r>
        <w:rPr>
          <w:rtl/>
        </w:rPr>
        <w:t xml:space="preserve"> </w:t>
      </w:r>
      <w:r>
        <w:rPr>
          <w:rFonts w:hint="cs"/>
          <w:b/>
          <w:bCs/>
          <w:rtl/>
        </w:rPr>
        <w:t xml:space="preserve">מ"י </w:t>
      </w:r>
      <w:r>
        <w:rPr>
          <w:b/>
          <w:bCs/>
          <w:rtl/>
        </w:rPr>
        <w:t>נ' מוחמד בן עלי פרחאן</w:t>
      </w:r>
      <w:r>
        <w:rPr>
          <w:rFonts w:hint="cs"/>
          <w:rtl/>
        </w:rPr>
        <w:t xml:space="preserve"> (פורסם במאגרים, ניתן ביום 25.2.14).</w:t>
      </w:r>
    </w:p>
    <w:p w14:paraId="024C216F" w14:textId="77777777" w:rsidR="00F456E6" w:rsidRDefault="00AB2B02">
      <w:pPr>
        <w:suppressLineNumbers/>
        <w:spacing w:line="360" w:lineRule="auto"/>
        <w:ind w:left="1440" w:hanging="720"/>
        <w:jc w:val="both"/>
        <w:rPr>
          <w:rtl/>
        </w:rPr>
      </w:pPr>
      <w:r>
        <w:rPr>
          <w:rFonts w:hint="cs"/>
          <w:rtl/>
        </w:rPr>
        <w:t>ג.</w:t>
      </w:r>
      <w:r>
        <w:rPr>
          <w:rFonts w:hint="cs"/>
          <w:rtl/>
        </w:rPr>
        <w:tab/>
        <w:t>לאחר שנתתי את דעתי למכלול השיקולים, אני מצטרף לעמדת הצדדים כי יש למקם את הנאשם בתחתית מתחם הענישה.</w:t>
      </w:r>
    </w:p>
    <w:p w14:paraId="3DAB4743" w14:textId="77777777" w:rsidR="00F456E6" w:rsidRDefault="00AB2B02">
      <w:pPr>
        <w:spacing w:line="360" w:lineRule="auto"/>
        <w:ind w:left="1440" w:hanging="720"/>
        <w:jc w:val="both"/>
        <w:rPr>
          <w:rtl/>
        </w:rPr>
      </w:pPr>
      <w:r>
        <w:rPr>
          <w:rFonts w:hint="cs"/>
          <w:rtl/>
        </w:rPr>
        <w:t>ד.</w:t>
      </w:r>
      <w:r>
        <w:rPr>
          <w:rFonts w:hint="cs"/>
          <w:rtl/>
        </w:rPr>
        <w:tab/>
        <w:t xml:space="preserve">עמדת המאשימה לעניין העונש אינה מתיישבת עם עמדתה שהנאשם מצוי בתחתיתו של מתחם הענישה. </w:t>
      </w:r>
    </w:p>
    <w:p w14:paraId="6ED9A80F" w14:textId="77777777" w:rsidR="00F456E6" w:rsidRDefault="00AB2B02">
      <w:pPr>
        <w:suppressLineNumbers/>
        <w:spacing w:line="360" w:lineRule="auto"/>
        <w:ind w:left="1440" w:hanging="720"/>
        <w:jc w:val="both"/>
        <w:rPr>
          <w:rtl/>
        </w:rPr>
      </w:pPr>
      <w:r>
        <w:rPr>
          <w:rFonts w:hint="cs"/>
          <w:rtl/>
        </w:rPr>
        <w:t>ה.</w:t>
      </w:r>
      <w:r>
        <w:rPr>
          <w:rFonts w:hint="cs"/>
          <w:rtl/>
        </w:rPr>
        <w:tab/>
        <w:t>כאמור לעיל, משהרשיע ביהמ"ש את הנאשם בכמה עבירות המהוות כמה אירועים, רשאי הוא לגזור עונש כולל לכל האירועים, וכך יש בדעתי לעשות.</w:t>
      </w:r>
    </w:p>
    <w:p w14:paraId="2F114CAC" w14:textId="77777777" w:rsidR="00F456E6" w:rsidRDefault="00AB2B02">
      <w:pPr>
        <w:suppressLineNumbers/>
        <w:spacing w:line="360" w:lineRule="auto"/>
        <w:ind w:left="720"/>
        <w:jc w:val="both"/>
        <w:rPr>
          <w:rtl/>
        </w:rPr>
      </w:pPr>
      <w:r>
        <w:rPr>
          <w:rFonts w:hint="cs"/>
          <w:rtl/>
        </w:rPr>
        <w:t>ו.</w:t>
      </w:r>
      <w:r>
        <w:rPr>
          <w:rFonts w:hint="cs"/>
          <w:rtl/>
        </w:rPr>
        <w:tab/>
        <w:t xml:space="preserve"> אני מטיל על הנאשם את העונשים הבאים:</w:t>
      </w:r>
    </w:p>
    <w:p w14:paraId="45B73AD3" w14:textId="77777777" w:rsidR="00F456E6" w:rsidRDefault="00AB2B02">
      <w:pPr>
        <w:suppressLineNumbers/>
        <w:spacing w:line="360" w:lineRule="auto"/>
        <w:ind w:left="720"/>
        <w:jc w:val="both"/>
      </w:pPr>
      <w:r>
        <w:rPr>
          <w:rFonts w:hint="cs"/>
          <w:rtl/>
        </w:rPr>
        <w:t>ז.</w:t>
      </w:r>
      <w:r>
        <w:rPr>
          <w:rFonts w:hint="cs"/>
          <w:rtl/>
        </w:rPr>
        <w:tab/>
        <w:t xml:space="preserve">מאסר בפועל של 30 חודשים החל מיום מעצרו, דהיינו, מיום </w:t>
      </w:r>
      <w:r>
        <w:t>8/10/15</w:t>
      </w:r>
      <w:r>
        <w:rPr>
          <w:rFonts w:hint="cs"/>
          <w:rtl/>
        </w:rPr>
        <w:t>.</w:t>
      </w:r>
    </w:p>
    <w:p w14:paraId="2158906A" w14:textId="77777777" w:rsidR="00F456E6" w:rsidRDefault="00AB2B02">
      <w:pPr>
        <w:suppressLineNumbers/>
        <w:spacing w:line="360" w:lineRule="auto"/>
        <w:ind w:left="1440" w:hanging="720"/>
        <w:jc w:val="both"/>
        <w:rPr>
          <w:rtl/>
        </w:rPr>
      </w:pPr>
      <w:r>
        <w:rPr>
          <w:rFonts w:hint="cs"/>
          <w:rtl/>
        </w:rPr>
        <w:t>ח.</w:t>
      </w:r>
      <w:r>
        <w:rPr>
          <w:rFonts w:hint="cs"/>
          <w:rtl/>
        </w:rPr>
        <w:tab/>
        <w:t>מאסר על תנאי למשך 12 חודשים, ואולם הנאשם לא ישא בעונש זה אלא אם כן יעבור תוך תקופה של 3 שנים מיום שחרורו עבירות דומות בהם הורשע.</w:t>
      </w:r>
    </w:p>
    <w:p w14:paraId="5DA8EB3A" w14:textId="77777777" w:rsidR="00F456E6" w:rsidRDefault="00AB2B02">
      <w:pPr>
        <w:suppressLineNumbers/>
        <w:spacing w:line="360" w:lineRule="auto"/>
        <w:ind w:left="720"/>
        <w:jc w:val="both"/>
        <w:rPr>
          <w:rtl/>
        </w:rPr>
      </w:pPr>
      <w:r>
        <w:rPr>
          <w:rFonts w:hint="cs"/>
          <w:rtl/>
        </w:rPr>
        <w:t>ט.</w:t>
      </w:r>
      <w:r>
        <w:rPr>
          <w:rFonts w:hint="cs"/>
          <w:rtl/>
        </w:rPr>
        <w:tab/>
        <w:t>המזכירות תמציא העתק גזר הדין לשירות המבחן.</w:t>
      </w:r>
    </w:p>
    <w:p w14:paraId="3454FD2B" w14:textId="77777777" w:rsidR="00F456E6" w:rsidRDefault="00F456E6">
      <w:pPr>
        <w:spacing w:line="360" w:lineRule="auto"/>
        <w:ind w:left="720" w:hanging="720"/>
        <w:jc w:val="both"/>
        <w:rPr>
          <w:rtl/>
        </w:rPr>
      </w:pPr>
    </w:p>
    <w:p w14:paraId="3B812015" w14:textId="77777777" w:rsidR="00F456E6" w:rsidRDefault="00AB2B02">
      <w:pPr>
        <w:rPr>
          <w:b/>
          <w:bCs/>
          <w:rtl/>
        </w:rPr>
      </w:pPr>
      <w:r>
        <w:rPr>
          <w:rFonts w:hint="cs"/>
          <w:b/>
          <w:bCs/>
          <w:rtl/>
        </w:rPr>
        <w:t>זכות ערעור לבית המשפט העליון בתוך 45 יום מהיום.</w:t>
      </w:r>
    </w:p>
    <w:p w14:paraId="63B887B7" w14:textId="77777777" w:rsidR="00F456E6" w:rsidRPr="00AB2B02" w:rsidRDefault="00AB2B02">
      <w:pPr>
        <w:spacing w:line="360" w:lineRule="auto"/>
        <w:jc w:val="both"/>
        <w:rPr>
          <w:color w:val="FFFFFF"/>
          <w:sz w:val="2"/>
          <w:szCs w:val="2"/>
          <w:rtl/>
        </w:rPr>
      </w:pPr>
      <w:r w:rsidRPr="00AB2B02">
        <w:rPr>
          <w:color w:val="FFFFFF"/>
          <w:sz w:val="2"/>
          <w:szCs w:val="2"/>
          <w:rtl/>
        </w:rPr>
        <w:t>5129371</w:t>
      </w:r>
    </w:p>
    <w:p w14:paraId="393B5943" w14:textId="77777777" w:rsidR="00F456E6" w:rsidRDefault="00AB2B02">
      <w:pPr>
        <w:spacing w:line="360" w:lineRule="auto"/>
        <w:jc w:val="both"/>
        <w:rPr>
          <w:rFonts w:ascii="Arial" w:hAnsi="Arial"/>
          <w:rtl/>
        </w:rPr>
      </w:pPr>
      <w:r w:rsidRPr="00AB2B02">
        <w:rPr>
          <w:rFonts w:ascii="Arial" w:hAnsi="Arial"/>
          <w:color w:val="FFFFFF"/>
          <w:sz w:val="2"/>
          <w:szCs w:val="2"/>
          <w:rtl/>
        </w:rPr>
        <w:t>54678313</w:t>
      </w:r>
      <w:r>
        <w:rPr>
          <w:rFonts w:ascii="Arial" w:hAnsi="Arial"/>
          <w:rtl/>
        </w:rPr>
        <w:t xml:space="preserve">ניתן היום,  י"א אייר תשע"ו, 19 מאי 2016, בהעדר הצדדים. </w:t>
      </w:r>
    </w:p>
    <w:p w14:paraId="34DC3AC1" w14:textId="77777777" w:rsidR="00F456E6" w:rsidRDefault="00AB2B02">
      <w:pPr>
        <w:bidi w:val="0"/>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ascii="Arial" w:hAnsi="Arial" w:cs="FrankRuehl"/>
          <w:sz w:val="28"/>
          <w:szCs w:val="28"/>
        </w:rPr>
        <w:t xml:space="preserve">  </w:t>
      </w:r>
    </w:p>
    <w:p w14:paraId="7FC6C8AA" w14:textId="77777777" w:rsidR="00F456E6" w:rsidRDefault="00F456E6">
      <w:pPr>
        <w:bidi w:val="0"/>
        <w:rPr>
          <w:rFonts w:ascii="Arial" w:hAnsi="Arial" w:cs="FrankRuehl"/>
          <w:sz w:val="28"/>
          <w:szCs w:val="28"/>
        </w:rPr>
      </w:pPr>
    </w:p>
    <w:p w14:paraId="080D17B3" w14:textId="77777777" w:rsidR="00F456E6" w:rsidRDefault="00F456E6">
      <w:pPr>
        <w:rPr>
          <w:rFonts w:cs="FrankRuehl"/>
          <w:sz w:val="28"/>
          <w:szCs w:val="28"/>
          <w:rtl/>
        </w:rPr>
      </w:pPr>
    </w:p>
    <w:p w14:paraId="7952DDE7" w14:textId="77777777" w:rsidR="00F456E6" w:rsidRPr="003E7531" w:rsidRDefault="003E7531">
      <w:pPr>
        <w:pStyle w:val="a3"/>
        <w:jc w:val="center"/>
        <w:rPr>
          <w:color w:val="FFFFFF"/>
          <w:sz w:val="2"/>
          <w:szCs w:val="2"/>
          <w:rtl/>
        </w:rPr>
      </w:pPr>
      <w:r w:rsidRPr="003E7531">
        <w:rPr>
          <w:color w:val="FFFFFF"/>
          <w:sz w:val="2"/>
          <w:szCs w:val="2"/>
          <w:rtl/>
        </w:rPr>
        <w:t>5129371</w:t>
      </w:r>
    </w:p>
    <w:p w14:paraId="7B17E9BD" w14:textId="77777777" w:rsidR="00AB2B02" w:rsidRPr="003E7531" w:rsidRDefault="003E7531" w:rsidP="00AB2B02">
      <w:pPr>
        <w:keepNext/>
        <w:rPr>
          <w:rFonts w:ascii="David" w:hAnsi="David"/>
          <w:color w:val="FFFFFF"/>
          <w:sz w:val="2"/>
          <w:szCs w:val="2"/>
          <w:rtl/>
        </w:rPr>
      </w:pPr>
      <w:r w:rsidRPr="003E7531">
        <w:rPr>
          <w:rFonts w:ascii="David" w:hAnsi="David"/>
          <w:color w:val="FFFFFF"/>
          <w:sz w:val="2"/>
          <w:szCs w:val="2"/>
          <w:rtl/>
        </w:rPr>
        <w:t>54678313</w:t>
      </w:r>
    </w:p>
    <w:p w14:paraId="5F6EFD8E" w14:textId="77777777" w:rsidR="00AB2B02" w:rsidRDefault="00AB2B02" w:rsidP="00AB2B02">
      <w:pPr>
        <w:rPr>
          <w:rtl/>
        </w:rPr>
      </w:pPr>
    </w:p>
    <w:p w14:paraId="40022134" w14:textId="77777777" w:rsidR="00AB2B02" w:rsidRDefault="00AB2B02" w:rsidP="00AB2B02">
      <w:pPr>
        <w:jc w:val="center"/>
        <w:rPr>
          <w:color w:val="0000FF"/>
          <w:u w:val="single"/>
          <w:rtl/>
        </w:rPr>
      </w:pPr>
      <w:hyperlink r:id="rId88" w:history="1">
        <w:r>
          <w:rPr>
            <w:rStyle w:val="Hyperlink"/>
            <w:rtl/>
          </w:rPr>
          <w:t>בעניין עריכה ושינויים במסמכי פסיקה, חקיקה ועוד באתר נבו – הקש כאן</w:t>
        </w:r>
      </w:hyperlink>
      <w:r w:rsidR="002B3029">
        <w:rPr>
          <w:rFonts w:hint="cs"/>
          <w:color w:val="0000FF"/>
          <w:u w:val="single"/>
          <w:rtl/>
        </w:rPr>
        <w:t xml:space="preserve"> </w:t>
      </w:r>
    </w:p>
    <w:p w14:paraId="2CC0A1F5" w14:textId="77777777" w:rsidR="003E7531" w:rsidRPr="003E7531" w:rsidRDefault="003E7531" w:rsidP="003E7531">
      <w:pPr>
        <w:keepNext/>
        <w:rPr>
          <w:rFonts w:ascii="David" w:hAnsi="David"/>
          <w:color w:val="000000"/>
          <w:sz w:val="22"/>
          <w:szCs w:val="22"/>
          <w:rtl/>
        </w:rPr>
      </w:pPr>
    </w:p>
    <w:p w14:paraId="7511F437" w14:textId="77777777" w:rsidR="003E7531" w:rsidRPr="003E7531" w:rsidRDefault="003E7531" w:rsidP="003E7531">
      <w:pPr>
        <w:keepNext/>
        <w:rPr>
          <w:rFonts w:ascii="David" w:hAnsi="David"/>
          <w:color w:val="000000"/>
          <w:sz w:val="22"/>
          <w:szCs w:val="22"/>
          <w:rtl/>
        </w:rPr>
      </w:pPr>
      <w:r w:rsidRPr="003E7531">
        <w:rPr>
          <w:rFonts w:ascii="David" w:hAnsi="David"/>
          <w:color w:val="000000"/>
          <w:sz w:val="22"/>
          <w:szCs w:val="22"/>
          <w:rtl/>
        </w:rPr>
        <w:t>ד. טפרברג 54678313-/</w:t>
      </w:r>
    </w:p>
    <w:p w14:paraId="4CD2D55F" w14:textId="77777777" w:rsidR="00F456E6" w:rsidRPr="00AB2B02" w:rsidRDefault="003E7531" w:rsidP="003E7531">
      <w:pPr>
        <w:rPr>
          <w:color w:val="0000FF"/>
          <w:u w:val="single"/>
        </w:rPr>
      </w:pPr>
      <w:r w:rsidRPr="003E7531">
        <w:rPr>
          <w:color w:val="000000"/>
          <w:u w:val="single"/>
          <w:rtl/>
        </w:rPr>
        <w:t>נוסח מסמך זה כפוף לשינויי ניסוח ועריכה</w:t>
      </w:r>
    </w:p>
    <w:sectPr w:rsidR="00F456E6" w:rsidRPr="00AB2B02" w:rsidSect="003E7531">
      <w:headerReference w:type="even" r:id="rId89"/>
      <w:headerReference w:type="default" r:id="rId90"/>
      <w:footerReference w:type="even" r:id="rId91"/>
      <w:footerReference w:type="default" r:id="rId9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FF46C" w14:textId="77777777" w:rsidR="00444A99" w:rsidRDefault="00444A99">
      <w:r>
        <w:separator/>
      </w:r>
    </w:p>
  </w:endnote>
  <w:endnote w:type="continuationSeparator" w:id="0">
    <w:p w14:paraId="3ACC2C8E" w14:textId="77777777" w:rsidR="00444A99" w:rsidRDefault="0044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795A" w14:textId="77777777" w:rsidR="00D05B4C" w:rsidRDefault="00D05B4C" w:rsidP="003E753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C54D41" w14:textId="77777777" w:rsidR="00D05B4C" w:rsidRPr="003E7531" w:rsidRDefault="00D05B4C" w:rsidP="003E7531">
    <w:pPr>
      <w:pStyle w:val="a4"/>
      <w:pBdr>
        <w:top w:val="single" w:sz="4" w:space="1" w:color="auto"/>
        <w:between w:val="single" w:sz="4" w:space="0" w:color="auto"/>
      </w:pBdr>
      <w:spacing w:after="60"/>
      <w:jc w:val="center"/>
      <w:rPr>
        <w:rFonts w:ascii="FrankRuehl" w:hAnsi="FrankRuehl" w:cs="FrankRuehl"/>
        <w:color w:val="000000"/>
      </w:rPr>
    </w:pPr>
    <w:r w:rsidRPr="003E75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83EC" w14:textId="77777777" w:rsidR="00D05B4C" w:rsidRDefault="00D05B4C" w:rsidP="003E753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3D3">
      <w:rPr>
        <w:rFonts w:ascii="FrankRuehl" w:hAnsi="FrankRuehl" w:cs="FrankRuehl"/>
        <w:noProof/>
        <w:rtl/>
      </w:rPr>
      <w:t>1</w:t>
    </w:r>
    <w:r>
      <w:rPr>
        <w:rFonts w:ascii="FrankRuehl" w:hAnsi="FrankRuehl" w:cs="FrankRuehl"/>
        <w:rtl/>
      </w:rPr>
      <w:fldChar w:fldCharType="end"/>
    </w:r>
  </w:p>
  <w:p w14:paraId="03D0F1F2" w14:textId="77777777" w:rsidR="00D05B4C" w:rsidRPr="003E7531" w:rsidRDefault="00D05B4C" w:rsidP="003E7531">
    <w:pPr>
      <w:pStyle w:val="a4"/>
      <w:pBdr>
        <w:top w:val="single" w:sz="4" w:space="1" w:color="auto"/>
        <w:between w:val="single" w:sz="4" w:space="0" w:color="auto"/>
      </w:pBdr>
      <w:spacing w:after="60"/>
      <w:jc w:val="center"/>
      <w:rPr>
        <w:rFonts w:ascii="FrankRuehl" w:hAnsi="FrankRuehl" w:cs="FrankRuehl"/>
        <w:color w:val="000000"/>
      </w:rPr>
    </w:pPr>
    <w:r w:rsidRPr="003E7531">
      <w:rPr>
        <w:rFonts w:ascii="FrankRuehl" w:hAnsi="FrankRuehl" w:cs="FrankRuehl"/>
        <w:color w:val="000000"/>
      </w:rPr>
      <w:pict w14:anchorId="34C7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D1B79" w14:textId="77777777" w:rsidR="00444A99" w:rsidRDefault="00444A99">
      <w:r>
        <w:separator/>
      </w:r>
    </w:p>
  </w:footnote>
  <w:footnote w:type="continuationSeparator" w:id="0">
    <w:p w14:paraId="097003F9" w14:textId="77777777" w:rsidR="00444A99" w:rsidRDefault="0044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3910" w14:textId="77777777" w:rsidR="00D05B4C" w:rsidRPr="003E7531" w:rsidRDefault="00D05B4C" w:rsidP="003E75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20811-11-15</w:t>
    </w:r>
    <w:r>
      <w:rPr>
        <w:rFonts w:ascii="David" w:hAnsi="David"/>
        <w:color w:val="000000"/>
        <w:sz w:val="22"/>
        <w:szCs w:val="22"/>
        <w:rtl/>
      </w:rPr>
      <w:tab/>
      <w:t xml:space="preserve"> מדינת ישראל נ' אסלם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AA8F0" w14:textId="77777777" w:rsidR="00D05B4C" w:rsidRPr="003E7531" w:rsidRDefault="00D05B4C" w:rsidP="003E75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20811-11-15</w:t>
    </w:r>
    <w:r>
      <w:rPr>
        <w:rFonts w:ascii="David" w:hAnsi="David"/>
        <w:color w:val="000000"/>
        <w:sz w:val="22"/>
        <w:szCs w:val="22"/>
        <w:rtl/>
      </w:rPr>
      <w:tab/>
      <w:t xml:space="preserve"> מדינת ישראל נ' אסלם נגאר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56E6"/>
    <w:rsid w:val="000E0A44"/>
    <w:rsid w:val="002B3029"/>
    <w:rsid w:val="003A2906"/>
    <w:rsid w:val="003E7531"/>
    <w:rsid w:val="0043540F"/>
    <w:rsid w:val="00444A99"/>
    <w:rsid w:val="00575206"/>
    <w:rsid w:val="00587299"/>
    <w:rsid w:val="007953D3"/>
    <w:rsid w:val="00A675C2"/>
    <w:rsid w:val="00AB2B02"/>
    <w:rsid w:val="00D05B4C"/>
    <w:rsid w:val="00EC063F"/>
    <w:rsid w:val="00F456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E7D299"/>
  <w15:chartTrackingRefBased/>
  <w15:docId w15:val="{8A6FE48C-58CA-40F4-8855-1B23E63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56E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456E6"/>
    <w:pPr>
      <w:tabs>
        <w:tab w:val="center" w:pos="4153"/>
        <w:tab w:val="right" w:pos="8306"/>
      </w:tabs>
    </w:pPr>
  </w:style>
  <w:style w:type="paragraph" w:styleId="a4">
    <w:name w:val="footer"/>
    <w:basedOn w:val="a"/>
    <w:rsid w:val="00F456E6"/>
    <w:pPr>
      <w:tabs>
        <w:tab w:val="center" w:pos="4153"/>
        <w:tab w:val="right" w:pos="8306"/>
      </w:tabs>
    </w:pPr>
  </w:style>
  <w:style w:type="character" w:styleId="a5">
    <w:name w:val="page number"/>
    <w:basedOn w:val="a0"/>
    <w:rsid w:val="00F456E6"/>
  </w:style>
  <w:style w:type="character" w:styleId="Hyperlink">
    <w:name w:val="Hyperlink"/>
    <w:rsid w:val="00AB2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74.1" TargetMode="External"/><Relationship Id="rId21" Type="http://schemas.openxmlformats.org/officeDocument/2006/relationships/hyperlink" Target="http://www.nevo.co.il/law/70301/329.2"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860053" TargetMode="External"/><Relationship Id="rId63" Type="http://schemas.openxmlformats.org/officeDocument/2006/relationships/hyperlink" Target="http://www.nevo.co.il/case/20888243" TargetMode="External"/><Relationship Id="rId68" Type="http://schemas.openxmlformats.org/officeDocument/2006/relationships/hyperlink" Target="http://www.nevo.co.il/case/20159014" TargetMode="External"/><Relationship Id="rId84" Type="http://schemas.openxmlformats.org/officeDocument/2006/relationships/hyperlink" Target="http://www.nevo.co.il/case/5750760" TargetMode="External"/><Relationship Id="rId89" Type="http://schemas.openxmlformats.org/officeDocument/2006/relationships/header" Target="header1.xml"/><Relationship Id="rId16" Type="http://schemas.openxmlformats.org/officeDocument/2006/relationships/hyperlink" Target="http://www.nevo.co.il/law/70301/144.b"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329.2" TargetMode="External"/><Relationship Id="rId37" Type="http://schemas.openxmlformats.org/officeDocument/2006/relationships/hyperlink" Target="http://www.nevo.co.il/case/6958777%20%20%20" TargetMode="External"/><Relationship Id="rId53" Type="http://schemas.openxmlformats.org/officeDocument/2006/relationships/hyperlink" Target="http://www.nevo.co.il/case/3553372" TargetMode="External"/><Relationship Id="rId58" Type="http://schemas.openxmlformats.org/officeDocument/2006/relationships/hyperlink" Target="http://www.nevo.co.il/case/11269747" TargetMode="External"/><Relationship Id="rId74" Type="http://schemas.openxmlformats.org/officeDocument/2006/relationships/hyperlink" Target="http://www.nevo.co.il/case/6132680" TargetMode="External"/><Relationship Id="rId79" Type="http://schemas.openxmlformats.org/officeDocument/2006/relationships/hyperlink" Target="http://www.nevo.co.il/law/70301/40d" TargetMode="External"/><Relationship Id="rId5" Type="http://schemas.openxmlformats.org/officeDocument/2006/relationships/endnotes" Target="endnotes.xml"/><Relationship Id="rId90" Type="http://schemas.openxmlformats.org/officeDocument/2006/relationships/header" Target="header2.xml"/><Relationship Id="rId22" Type="http://schemas.openxmlformats.org/officeDocument/2006/relationships/hyperlink" Target="http://www.nevo.co.il/law/70301/332.a" TargetMode="External"/><Relationship Id="rId27" Type="http://schemas.openxmlformats.org/officeDocument/2006/relationships/hyperlink" Target="http://www.nevo.co.il/law/70301/274.2" TargetMode="External"/><Relationship Id="rId43" Type="http://schemas.openxmlformats.org/officeDocument/2006/relationships/hyperlink" Target="http://www.nevo.co.il/law/70301/40jc.b" TargetMode="External"/><Relationship Id="rId48" Type="http://schemas.openxmlformats.org/officeDocument/2006/relationships/hyperlink" Target="http://www.nevo.co.il/case/13104258" TargetMode="External"/><Relationship Id="rId64" Type="http://schemas.openxmlformats.org/officeDocument/2006/relationships/hyperlink" Target="http://www.nevo.co.il/case/7681198" TargetMode="External"/><Relationship Id="rId69" Type="http://schemas.openxmlformats.org/officeDocument/2006/relationships/hyperlink" Target="http://www.nevo.co.il/case/20500769"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0391866" TargetMode="External"/><Relationship Id="rId72" Type="http://schemas.openxmlformats.org/officeDocument/2006/relationships/hyperlink" Target="http://www.nevo.co.il/law/70301/40i.a" TargetMode="External"/><Relationship Id="rId80" Type="http://schemas.openxmlformats.org/officeDocument/2006/relationships/hyperlink" Target="http://www.nevo.co.il/law/70301/40e" TargetMode="External"/><Relationship Id="rId85" Type="http://schemas.openxmlformats.org/officeDocument/2006/relationships/hyperlink" Target="http://www.nevo.co.il/case/6239953"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40jd" TargetMode="External"/><Relationship Id="rId33" Type="http://schemas.openxmlformats.org/officeDocument/2006/relationships/hyperlink" Target="http://www.nevo.co.il/law/70301/332.a" TargetMode="External"/><Relationship Id="rId38" Type="http://schemas.openxmlformats.org/officeDocument/2006/relationships/hyperlink" Target="http://www.nevo.co.il/law/70301/40b" TargetMode="External"/><Relationship Id="rId46" Type="http://schemas.openxmlformats.org/officeDocument/2006/relationships/hyperlink" Target="http://www.nevo.co.il/case/5603159" TargetMode="External"/><Relationship Id="rId59" Type="http://schemas.openxmlformats.org/officeDocument/2006/relationships/hyperlink" Target="http://www.nevo.co.il/case/6852532" TargetMode="External"/><Relationship Id="rId67" Type="http://schemas.openxmlformats.org/officeDocument/2006/relationships/hyperlink" Target="http://www.nevo.co.il/case/7802081" TargetMode="External"/><Relationship Id="rId20" Type="http://schemas.openxmlformats.org/officeDocument/2006/relationships/hyperlink" Target="http://www.nevo.co.il/law/70301/274.2" TargetMode="External"/><Relationship Id="rId41" Type="http://schemas.openxmlformats.org/officeDocument/2006/relationships/hyperlink" Target="http://www.nevo.co.il/law/70301/40jd" TargetMode="External"/><Relationship Id="rId54" Type="http://schemas.openxmlformats.org/officeDocument/2006/relationships/hyperlink" Target="http://www.nevo.co.il/case/4035380" TargetMode="External"/><Relationship Id="rId62" Type="http://schemas.openxmlformats.org/officeDocument/2006/relationships/hyperlink" Target="http://www.nevo.co.il/case/11259862" TargetMode="External"/><Relationship Id="rId70" Type="http://schemas.openxmlformats.org/officeDocument/2006/relationships/hyperlink" Target="http://www.nevo.co.il/law/70301/40c.a"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20157961"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i.a.3"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6859579" TargetMode="External"/><Relationship Id="rId49" Type="http://schemas.openxmlformats.org/officeDocument/2006/relationships/hyperlink" Target="http://www.nevo.co.il/case/16892819" TargetMode="External"/><Relationship Id="rId57" Type="http://schemas.openxmlformats.org/officeDocument/2006/relationships/hyperlink" Target="http://www.nevo.co.il/case/5536884"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859579" TargetMode="External"/><Relationship Id="rId60" Type="http://schemas.openxmlformats.org/officeDocument/2006/relationships/hyperlink" Target="http://www.nevo.co.il/case/8455637" TargetMode="External"/><Relationship Id="rId65" Type="http://schemas.openxmlformats.org/officeDocument/2006/relationships/hyperlink" Target="http://www.nevo.co.il/case/7681198" TargetMode="External"/><Relationship Id="rId73" Type="http://schemas.openxmlformats.org/officeDocument/2006/relationships/hyperlink" Target="http://www.nevo.co.il/law/70301/40i.a.3" TargetMode="External"/><Relationship Id="rId78" Type="http://schemas.openxmlformats.org/officeDocument/2006/relationships/hyperlink" Target="http://www.nevo.co.il/law/70301/40d;40e" TargetMode="External"/><Relationship Id="rId81" Type="http://schemas.openxmlformats.org/officeDocument/2006/relationships/hyperlink" Target="http://www.nevo.co.il/law/70301/40ja" TargetMode="External"/><Relationship Id="rId86" Type="http://schemas.openxmlformats.org/officeDocument/2006/relationships/hyperlink" Target="http://www.nevo.co.il/case/7011967"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b"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152"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152" TargetMode="External"/><Relationship Id="rId50" Type="http://schemas.openxmlformats.org/officeDocument/2006/relationships/hyperlink" Target="http://www.nevo.co.il/case/273225" TargetMode="External"/><Relationship Id="rId55" Type="http://schemas.openxmlformats.org/officeDocument/2006/relationships/hyperlink" Target="http://www.nevo.co.il/case/7011967" TargetMode="External"/><Relationship Id="rId76" Type="http://schemas.openxmlformats.org/officeDocument/2006/relationships/hyperlink" Target="http://www.nevo.co.il/law/70301/3.b" TargetMode="External"/><Relationship Id="rId7" Type="http://schemas.openxmlformats.org/officeDocument/2006/relationships/hyperlink" Target="http://www.nevo.co.il/law/70301/3.b" TargetMode="External"/><Relationship Id="rId71" Type="http://schemas.openxmlformats.org/officeDocument/2006/relationships/hyperlink" Target="http://www.nevo.co.il/law/70301" TargetMode="External"/><Relationship Id="rId9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70301" TargetMode="External"/><Relationship Id="rId24" Type="http://schemas.openxmlformats.org/officeDocument/2006/relationships/hyperlink" Target="http://www.nevo.co.il/law/70301/40jc.b" TargetMode="External"/><Relationship Id="rId40" Type="http://schemas.openxmlformats.org/officeDocument/2006/relationships/hyperlink" Target="http://www.nevo.co.il/law/70301/40c" TargetMode="External"/><Relationship Id="rId45" Type="http://schemas.openxmlformats.org/officeDocument/2006/relationships/hyperlink" Target="http://www.nevo.co.il/case/2797035"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7860053"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6248029" TargetMode="External"/><Relationship Id="rId19" Type="http://schemas.openxmlformats.org/officeDocument/2006/relationships/hyperlink" Target="http://www.nevo.co.il/law/70301/274.1" TargetMode="External"/><Relationship Id="rId14" Type="http://schemas.openxmlformats.org/officeDocument/2006/relationships/hyperlink" Target="http://www.nevo.co.il/law/70301/40i.a"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3553372" TargetMode="External"/><Relationship Id="rId56" Type="http://schemas.openxmlformats.org/officeDocument/2006/relationships/hyperlink" Target="http://www.nevo.co.il/case/18716004"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3531</Words>
  <Characters>17655</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21144</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3276921</vt:i4>
      </vt:variant>
      <vt:variant>
        <vt:i4>243</vt:i4>
      </vt:variant>
      <vt:variant>
        <vt:i4>0</vt:i4>
      </vt:variant>
      <vt:variant>
        <vt:i4>5</vt:i4>
      </vt:variant>
      <vt:variant>
        <vt:lpwstr>http://www.nevo.co.il/case/7860053</vt:lpwstr>
      </vt:variant>
      <vt:variant>
        <vt:lpwstr/>
      </vt:variant>
      <vt:variant>
        <vt:i4>3670131</vt:i4>
      </vt:variant>
      <vt:variant>
        <vt:i4>240</vt:i4>
      </vt:variant>
      <vt:variant>
        <vt:i4>0</vt:i4>
      </vt:variant>
      <vt:variant>
        <vt:i4>5</vt:i4>
      </vt:variant>
      <vt:variant>
        <vt:lpwstr>http://www.nevo.co.il/case/7011967</vt:lpwstr>
      </vt:variant>
      <vt:variant>
        <vt:lpwstr/>
      </vt:variant>
      <vt:variant>
        <vt:i4>4128890</vt:i4>
      </vt:variant>
      <vt:variant>
        <vt:i4>237</vt:i4>
      </vt:variant>
      <vt:variant>
        <vt:i4>0</vt:i4>
      </vt:variant>
      <vt:variant>
        <vt:i4>5</vt:i4>
      </vt:variant>
      <vt:variant>
        <vt:lpwstr>http://www.nevo.co.il/case/6239953</vt:lpwstr>
      </vt:variant>
      <vt:variant>
        <vt:lpwstr/>
      </vt:variant>
      <vt:variant>
        <vt:i4>3604597</vt:i4>
      </vt:variant>
      <vt:variant>
        <vt:i4>234</vt:i4>
      </vt:variant>
      <vt:variant>
        <vt:i4>0</vt:i4>
      </vt:variant>
      <vt:variant>
        <vt:i4>5</vt:i4>
      </vt:variant>
      <vt:variant>
        <vt:lpwstr>http://www.nevo.co.il/case/5750760</vt:lpwstr>
      </vt:variant>
      <vt:variant>
        <vt:lpwstr/>
      </vt:variant>
      <vt:variant>
        <vt:i4>3276920</vt:i4>
      </vt:variant>
      <vt:variant>
        <vt:i4>231</vt:i4>
      </vt:variant>
      <vt:variant>
        <vt:i4>0</vt:i4>
      </vt:variant>
      <vt:variant>
        <vt:i4>5</vt:i4>
      </vt:variant>
      <vt:variant>
        <vt:lpwstr>http://www.nevo.co.il/case/20157961</vt:lpwstr>
      </vt:variant>
      <vt:variant>
        <vt:lpwstr/>
      </vt:variant>
      <vt:variant>
        <vt:i4>3866748</vt:i4>
      </vt:variant>
      <vt:variant>
        <vt:i4>228</vt:i4>
      </vt:variant>
      <vt:variant>
        <vt:i4>0</vt:i4>
      </vt:variant>
      <vt:variant>
        <vt:i4>5</vt:i4>
      </vt:variant>
      <vt:variant>
        <vt:lpwstr>http://www.nevo.co.il/case/6248029</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6619233</vt:i4>
      </vt:variant>
      <vt:variant>
        <vt:i4>222</vt:i4>
      </vt:variant>
      <vt:variant>
        <vt:i4>0</vt:i4>
      </vt:variant>
      <vt:variant>
        <vt:i4>5</vt:i4>
      </vt:variant>
      <vt:variant>
        <vt:lpwstr>http://www.nevo.co.il/law/70301/40e</vt:lpwstr>
      </vt:variant>
      <vt:variant>
        <vt:lpwstr/>
      </vt:variant>
      <vt:variant>
        <vt:i4>6619233</vt:i4>
      </vt:variant>
      <vt:variant>
        <vt:i4>219</vt:i4>
      </vt:variant>
      <vt:variant>
        <vt:i4>0</vt:i4>
      </vt:variant>
      <vt:variant>
        <vt:i4>5</vt:i4>
      </vt:variant>
      <vt:variant>
        <vt:lpwstr>http://www.nevo.co.il/law/70301/40d</vt:lpwstr>
      </vt:variant>
      <vt:variant>
        <vt:lpwstr/>
      </vt:variant>
      <vt:variant>
        <vt:i4>7209009</vt:i4>
      </vt:variant>
      <vt:variant>
        <vt:i4>216</vt:i4>
      </vt:variant>
      <vt:variant>
        <vt:i4>0</vt:i4>
      </vt:variant>
      <vt:variant>
        <vt:i4>5</vt:i4>
      </vt:variant>
      <vt:variant>
        <vt:lpwstr>http://www.nevo.co.il/law/70301/40d;40e</vt:lpwstr>
      </vt:variant>
      <vt:variant>
        <vt:lpwstr/>
      </vt:variant>
      <vt:variant>
        <vt:i4>7995492</vt:i4>
      </vt:variant>
      <vt:variant>
        <vt:i4>213</vt:i4>
      </vt:variant>
      <vt:variant>
        <vt:i4>0</vt:i4>
      </vt:variant>
      <vt:variant>
        <vt:i4>5</vt:i4>
      </vt:variant>
      <vt:variant>
        <vt:lpwstr>http://www.nevo.co.il/law/70301</vt:lpwstr>
      </vt:variant>
      <vt:variant>
        <vt:lpwstr/>
      </vt:variant>
      <vt:variant>
        <vt:i4>8061030</vt:i4>
      </vt:variant>
      <vt:variant>
        <vt:i4>210</vt:i4>
      </vt:variant>
      <vt:variant>
        <vt:i4>0</vt:i4>
      </vt:variant>
      <vt:variant>
        <vt:i4>5</vt:i4>
      </vt:variant>
      <vt:variant>
        <vt:lpwstr>http://www.nevo.co.il/law/70301/3.b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3342463</vt:i4>
      </vt:variant>
      <vt:variant>
        <vt:i4>204</vt:i4>
      </vt:variant>
      <vt:variant>
        <vt:i4>0</vt:i4>
      </vt:variant>
      <vt:variant>
        <vt:i4>5</vt:i4>
      </vt:variant>
      <vt:variant>
        <vt:lpwstr>http://www.nevo.co.il/case/6132680</vt:lpwstr>
      </vt:variant>
      <vt:variant>
        <vt:lpwstr/>
      </vt:variant>
      <vt:variant>
        <vt:i4>6619241</vt:i4>
      </vt:variant>
      <vt:variant>
        <vt:i4>201</vt:i4>
      </vt:variant>
      <vt:variant>
        <vt:i4>0</vt:i4>
      </vt:variant>
      <vt:variant>
        <vt:i4>5</vt:i4>
      </vt:variant>
      <vt:variant>
        <vt:lpwstr>http://www.nevo.co.il/law/70301/40i.a.3</vt:lpwstr>
      </vt:variant>
      <vt:variant>
        <vt:lpwstr/>
      </vt:variant>
      <vt:variant>
        <vt:i4>4915208</vt:i4>
      </vt:variant>
      <vt:variant>
        <vt:i4>198</vt:i4>
      </vt:variant>
      <vt:variant>
        <vt:i4>0</vt:i4>
      </vt:variant>
      <vt:variant>
        <vt:i4>5</vt:i4>
      </vt:variant>
      <vt:variant>
        <vt:lpwstr>http://www.nevo.co.il/law/70301/40i.a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4915202</vt:i4>
      </vt:variant>
      <vt:variant>
        <vt:i4>192</vt:i4>
      </vt:variant>
      <vt:variant>
        <vt:i4>0</vt:i4>
      </vt:variant>
      <vt:variant>
        <vt:i4>5</vt:i4>
      </vt:variant>
      <vt:variant>
        <vt:lpwstr>http://www.nevo.co.il/law/70301/40c.a</vt:lpwstr>
      </vt:variant>
      <vt:variant>
        <vt:lpwstr/>
      </vt:variant>
      <vt:variant>
        <vt:i4>3211379</vt:i4>
      </vt:variant>
      <vt:variant>
        <vt:i4>189</vt:i4>
      </vt:variant>
      <vt:variant>
        <vt:i4>0</vt:i4>
      </vt:variant>
      <vt:variant>
        <vt:i4>5</vt:i4>
      </vt:variant>
      <vt:variant>
        <vt:lpwstr>http://www.nevo.co.il/case/20500769</vt:lpwstr>
      </vt:variant>
      <vt:variant>
        <vt:lpwstr/>
      </vt:variant>
      <vt:variant>
        <vt:i4>3866737</vt:i4>
      </vt:variant>
      <vt:variant>
        <vt:i4>186</vt:i4>
      </vt:variant>
      <vt:variant>
        <vt:i4>0</vt:i4>
      </vt:variant>
      <vt:variant>
        <vt:i4>5</vt:i4>
      </vt:variant>
      <vt:variant>
        <vt:lpwstr>http://www.nevo.co.il/case/20159014</vt:lpwstr>
      </vt:variant>
      <vt:variant>
        <vt:lpwstr/>
      </vt:variant>
      <vt:variant>
        <vt:i4>3539062</vt:i4>
      </vt:variant>
      <vt:variant>
        <vt:i4>183</vt:i4>
      </vt:variant>
      <vt:variant>
        <vt:i4>0</vt:i4>
      </vt:variant>
      <vt:variant>
        <vt:i4>5</vt:i4>
      </vt:variant>
      <vt:variant>
        <vt:lpwstr>http://www.nevo.co.il/case/7802081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3539066</vt:i4>
      </vt:variant>
      <vt:variant>
        <vt:i4>177</vt:i4>
      </vt:variant>
      <vt:variant>
        <vt:i4>0</vt:i4>
      </vt:variant>
      <vt:variant>
        <vt:i4>5</vt:i4>
      </vt:variant>
      <vt:variant>
        <vt:lpwstr>http://www.nevo.co.il/case/7681198</vt:lpwstr>
      </vt:variant>
      <vt:variant>
        <vt:lpwstr/>
      </vt:variant>
      <vt:variant>
        <vt:i4>3539066</vt:i4>
      </vt:variant>
      <vt:variant>
        <vt:i4>174</vt:i4>
      </vt:variant>
      <vt:variant>
        <vt:i4>0</vt:i4>
      </vt:variant>
      <vt:variant>
        <vt:i4>5</vt:i4>
      </vt:variant>
      <vt:variant>
        <vt:lpwstr>http://www.nevo.co.il/case/7681198</vt:lpwstr>
      </vt:variant>
      <vt:variant>
        <vt:lpwstr/>
      </vt:variant>
      <vt:variant>
        <vt:i4>3539070</vt:i4>
      </vt:variant>
      <vt:variant>
        <vt:i4>171</vt:i4>
      </vt:variant>
      <vt:variant>
        <vt:i4>0</vt:i4>
      </vt:variant>
      <vt:variant>
        <vt:i4>5</vt:i4>
      </vt:variant>
      <vt:variant>
        <vt:lpwstr>http://www.nevo.co.il/case/20888243</vt:lpwstr>
      </vt:variant>
      <vt:variant>
        <vt:lpwstr/>
      </vt:variant>
      <vt:variant>
        <vt:i4>3932280</vt:i4>
      </vt:variant>
      <vt:variant>
        <vt:i4>168</vt:i4>
      </vt:variant>
      <vt:variant>
        <vt:i4>0</vt:i4>
      </vt:variant>
      <vt:variant>
        <vt:i4>5</vt:i4>
      </vt:variant>
      <vt:variant>
        <vt:lpwstr>http://www.nevo.co.il/case/11259862</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3932278</vt:i4>
      </vt:variant>
      <vt:variant>
        <vt:i4>162</vt:i4>
      </vt:variant>
      <vt:variant>
        <vt:i4>0</vt:i4>
      </vt:variant>
      <vt:variant>
        <vt:i4>5</vt:i4>
      </vt:variant>
      <vt:variant>
        <vt:lpwstr>http://www.nevo.co.il/case/8455637</vt:lpwstr>
      </vt:variant>
      <vt:variant>
        <vt:lpwstr/>
      </vt:variant>
      <vt:variant>
        <vt:i4>3407997</vt:i4>
      </vt:variant>
      <vt:variant>
        <vt:i4>159</vt:i4>
      </vt:variant>
      <vt:variant>
        <vt:i4>0</vt:i4>
      </vt:variant>
      <vt:variant>
        <vt:i4>5</vt:i4>
      </vt:variant>
      <vt:variant>
        <vt:lpwstr>http://www.nevo.co.il/case/6852532</vt:lpwstr>
      </vt:variant>
      <vt:variant>
        <vt:lpwstr/>
      </vt:variant>
      <vt:variant>
        <vt:i4>4063348</vt:i4>
      </vt:variant>
      <vt:variant>
        <vt:i4>156</vt:i4>
      </vt:variant>
      <vt:variant>
        <vt:i4>0</vt:i4>
      </vt:variant>
      <vt:variant>
        <vt:i4>5</vt:i4>
      </vt:variant>
      <vt:variant>
        <vt:lpwstr>http://www.nevo.co.il/case/11269747</vt:lpwstr>
      </vt:variant>
      <vt:variant>
        <vt:lpwstr/>
      </vt:variant>
      <vt:variant>
        <vt:i4>3801215</vt:i4>
      </vt:variant>
      <vt:variant>
        <vt:i4>153</vt:i4>
      </vt:variant>
      <vt:variant>
        <vt:i4>0</vt:i4>
      </vt:variant>
      <vt:variant>
        <vt:i4>5</vt:i4>
      </vt:variant>
      <vt:variant>
        <vt:lpwstr>http://www.nevo.co.il/case/5536884</vt:lpwstr>
      </vt:variant>
      <vt:variant>
        <vt:lpwstr/>
      </vt:variant>
      <vt:variant>
        <vt:i4>3145853</vt:i4>
      </vt:variant>
      <vt:variant>
        <vt:i4>150</vt:i4>
      </vt:variant>
      <vt:variant>
        <vt:i4>0</vt:i4>
      </vt:variant>
      <vt:variant>
        <vt:i4>5</vt:i4>
      </vt:variant>
      <vt:variant>
        <vt:lpwstr>http://www.nevo.co.il/case/18716004</vt:lpwstr>
      </vt:variant>
      <vt:variant>
        <vt:lpwstr/>
      </vt:variant>
      <vt:variant>
        <vt:i4>3670131</vt:i4>
      </vt:variant>
      <vt:variant>
        <vt:i4>147</vt:i4>
      </vt:variant>
      <vt:variant>
        <vt:i4>0</vt:i4>
      </vt:variant>
      <vt:variant>
        <vt:i4>5</vt:i4>
      </vt:variant>
      <vt:variant>
        <vt:lpwstr>http://www.nevo.co.il/case/7011967</vt:lpwstr>
      </vt:variant>
      <vt:variant>
        <vt:lpwstr/>
      </vt:variant>
      <vt:variant>
        <vt:i4>3407993</vt:i4>
      </vt:variant>
      <vt:variant>
        <vt:i4>144</vt:i4>
      </vt:variant>
      <vt:variant>
        <vt:i4>0</vt:i4>
      </vt:variant>
      <vt:variant>
        <vt:i4>5</vt:i4>
      </vt:variant>
      <vt:variant>
        <vt:lpwstr>http://www.nevo.co.il/case/4035380</vt:lpwstr>
      </vt:variant>
      <vt:variant>
        <vt:lpwstr/>
      </vt:variant>
      <vt:variant>
        <vt:i4>3604597</vt:i4>
      </vt:variant>
      <vt:variant>
        <vt:i4>141</vt:i4>
      </vt:variant>
      <vt:variant>
        <vt:i4>0</vt:i4>
      </vt:variant>
      <vt:variant>
        <vt:i4>5</vt:i4>
      </vt:variant>
      <vt:variant>
        <vt:lpwstr>http://www.nevo.co.il/case/3553372</vt:lpwstr>
      </vt:variant>
      <vt:variant>
        <vt:lpwstr/>
      </vt:variant>
      <vt:variant>
        <vt:i4>4128882</vt:i4>
      </vt:variant>
      <vt:variant>
        <vt:i4>138</vt:i4>
      </vt:variant>
      <vt:variant>
        <vt:i4>0</vt:i4>
      </vt:variant>
      <vt:variant>
        <vt:i4>5</vt:i4>
      </vt:variant>
      <vt:variant>
        <vt:lpwstr>http://www.nevo.co.il/case/6859579</vt:lpwstr>
      </vt:variant>
      <vt:variant>
        <vt:lpwstr/>
      </vt:variant>
      <vt:variant>
        <vt:i4>3539061</vt:i4>
      </vt:variant>
      <vt:variant>
        <vt:i4>135</vt:i4>
      </vt:variant>
      <vt:variant>
        <vt:i4>0</vt:i4>
      </vt:variant>
      <vt:variant>
        <vt:i4>5</vt:i4>
      </vt:variant>
      <vt:variant>
        <vt:lpwstr>http://www.nevo.co.il/case/20391866</vt:lpwstr>
      </vt:variant>
      <vt:variant>
        <vt:lpwstr/>
      </vt:variant>
      <vt:variant>
        <vt:i4>196673</vt:i4>
      </vt:variant>
      <vt:variant>
        <vt:i4>132</vt:i4>
      </vt:variant>
      <vt:variant>
        <vt:i4>0</vt:i4>
      </vt:variant>
      <vt:variant>
        <vt:i4>5</vt:i4>
      </vt:variant>
      <vt:variant>
        <vt:lpwstr>http://www.nevo.co.il/case/273225</vt:lpwstr>
      </vt:variant>
      <vt:variant>
        <vt:lpwstr/>
      </vt:variant>
      <vt:variant>
        <vt:i4>3801203</vt:i4>
      </vt:variant>
      <vt:variant>
        <vt:i4>129</vt:i4>
      </vt:variant>
      <vt:variant>
        <vt:i4>0</vt:i4>
      </vt:variant>
      <vt:variant>
        <vt:i4>5</vt:i4>
      </vt:variant>
      <vt:variant>
        <vt:lpwstr>http://www.nevo.co.il/case/16892819</vt:lpwstr>
      </vt:variant>
      <vt:variant>
        <vt:lpwstr/>
      </vt:variant>
      <vt:variant>
        <vt:i4>3211381</vt:i4>
      </vt:variant>
      <vt:variant>
        <vt:i4>126</vt:i4>
      </vt:variant>
      <vt:variant>
        <vt:i4>0</vt:i4>
      </vt:variant>
      <vt:variant>
        <vt:i4>5</vt:i4>
      </vt:variant>
      <vt:variant>
        <vt:lpwstr>http://www.nevo.co.il/case/13104258</vt:lpwstr>
      </vt:variant>
      <vt:variant>
        <vt:lpwstr/>
      </vt:variant>
      <vt:variant>
        <vt:i4>3276921</vt:i4>
      </vt:variant>
      <vt:variant>
        <vt:i4>123</vt:i4>
      </vt:variant>
      <vt:variant>
        <vt:i4>0</vt:i4>
      </vt:variant>
      <vt:variant>
        <vt:i4>5</vt:i4>
      </vt:variant>
      <vt:variant>
        <vt:lpwstr>http://www.nevo.co.il/case/7860053</vt:lpwstr>
      </vt:variant>
      <vt:variant>
        <vt:lpwstr/>
      </vt:variant>
      <vt:variant>
        <vt:i4>3997812</vt:i4>
      </vt:variant>
      <vt:variant>
        <vt:i4>120</vt:i4>
      </vt:variant>
      <vt:variant>
        <vt:i4>0</vt:i4>
      </vt:variant>
      <vt:variant>
        <vt:i4>5</vt:i4>
      </vt:variant>
      <vt:variant>
        <vt:lpwstr>http://www.nevo.co.il/case/5603159</vt:lpwstr>
      </vt:variant>
      <vt:variant>
        <vt:lpwstr/>
      </vt:variant>
      <vt:variant>
        <vt:i4>4063351</vt:i4>
      </vt:variant>
      <vt:variant>
        <vt:i4>117</vt:i4>
      </vt:variant>
      <vt:variant>
        <vt:i4>0</vt:i4>
      </vt:variant>
      <vt:variant>
        <vt:i4>5</vt:i4>
      </vt:variant>
      <vt:variant>
        <vt:lpwstr>http://www.nevo.co.il/case/2797035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6553637</vt:i4>
      </vt:variant>
      <vt:variant>
        <vt:i4>111</vt:i4>
      </vt:variant>
      <vt:variant>
        <vt:i4>0</vt:i4>
      </vt:variant>
      <vt:variant>
        <vt:i4>5</vt:i4>
      </vt:variant>
      <vt:variant>
        <vt:lpwstr>http://www.nevo.co.il/law/70301/40jc.b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65547</vt:i4>
      </vt:variant>
      <vt:variant>
        <vt:i4>105</vt:i4>
      </vt:variant>
      <vt:variant>
        <vt:i4>0</vt:i4>
      </vt:variant>
      <vt:variant>
        <vt:i4>5</vt:i4>
      </vt:variant>
      <vt:variant>
        <vt:lpwstr>http://www.nevo.co.il/law/70301/40jd</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3342450</vt:i4>
      </vt:variant>
      <vt:variant>
        <vt:i4>93</vt:i4>
      </vt:variant>
      <vt:variant>
        <vt:i4>0</vt:i4>
      </vt:variant>
      <vt:variant>
        <vt:i4>5</vt:i4>
      </vt:variant>
      <vt:variant>
        <vt:lpwstr>http://www.nevo.co.il/case/6958777</vt:lpwstr>
      </vt:variant>
      <vt:variant>
        <vt:lpwstr/>
      </vt:variant>
      <vt:variant>
        <vt:i4>4128882</vt:i4>
      </vt:variant>
      <vt:variant>
        <vt:i4>90</vt:i4>
      </vt:variant>
      <vt:variant>
        <vt:i4>0</vt:i4>
      </vt:variant>
      <vt:variant>
        <vt:i4>5</vt:i4>
      </vt:variant>
      <vt:variant>
        <vt:lpwstr>http://www.nevo.co.il/case/6859579</vt:lpwstr>
      </vt:variant>
      <vt:variant>
        <vt:lpwstr/>
      </vt:variant>
      <vt:variant>
        <vt:i4>3604597</vt:i4>
      </vt:variant>
      <vt:variant>
        <vt:i4>87</vt:i4>
      </vt:variant>
      <vt:variant>
        <vt:i4>0</vt:i4>
      </vt:variant>
      <vt:variant>
        <vt:i4>5</vt:i4>
      </vt:variant>
      <vt:variant>
        <vt:lpwstr>http://www.nevo.co.il/case/3553372</vt:lpwstr>
      </vt:variant>
      <vt:variant>
        <vt:lpwstr/>
      </vt:variant>
      <vt:variant>
        <vt:i4>6291556</vt:i4>
      </vt:variant>
      <vt:variant>
        <vt:i4>84</vt:i4>
      </vt:variant>
      <vt:variant>
        <vt:i4>0</vt:i4>
      </vt:variant>
      <vt:variant>
        <vt:i4>5</vt:i4>
      </vt:variant>
      <vt:variant>
        <vt:lpwstr>http://www.nevo.co.il/law/70301/152</vt:lpwstr>
      </vt:variant>
      <vt:variant>
        <vt:lpwstr/>
      </vt:variant>
      <vt:variant>
        <vt:i4>4718676</vt:i4>
      </vt:variant>
      <vt:variant>
        <vt:i4>81</vt:i4>
      </vt:variant>
      <vt:variant>
        <vt:i4>0</vt:i4>
      </vt:variant>
      <vt:variant>
        <vt:i4>5</vt:i4>
      </vt:variant>
      <vt:variant>
        <vt:lpwstr>http://www.nevo.co.il/law/70301/332.a</vt:lpwstr>
      </vt:variant>
      <vt:variant>
        <vt:lpwstr/>
      </vt:variant>
      <vt:variant>
        <vt:i4>4784223</vt:i4>
      </vt:variant>
      <vt:variant>
        <vt:i4>78</vt:i4>
      </vt:variant>
      <vt:variant>
        <vt:i4>0</vt:i4>
      </vt:variant>
      <vt:variant>
        <vt:i4>5</vt:i4>
      </vt:variant>
      <vt:variant>
        <vt:lpwstr>http://www.nevo.co.il/law/70301/329.2</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4980819</vt:i4>
      </vt:variant>
      <vt:variant>
        <vt:i4>63</vt:i4>
      </vt:variant>
      <vt:variant>
        <vt:i4>0</vt:i4>
      </vt:variant>
      <vt:variant>
        <vt:i4>5</vt:i4>
      </vt:variant>
      <vt:variant>
        <vt:lpwstr>http://www.nevo.co.il/law/70301/274.2</vt:lpwstr>
      </vt:variant>
      <vt:variant>
        <vt:lpwstr/>
      </vt:variant>
      <vt:variant>
        <vt:i4>4980819</vt:i4>
      </vt:variant>
      <vt:variant>
        <vt:i4>60</vt:i4>
      </vt:variant>
      <vt:variant>
        <vt:i4>0</vt:i4>
      </vt:variant>
      <vt:variant>
        <vt:i4>5</vt:i4>
      </vt:variant>
      <vt:variant>
        <vt:lpwstr>http://www.nevo.co.il/law/70301/274.1</vt:lpwstr>
      </vt:variant>
      <vt:variant>
        <vt:lpwstr/>
      </vt:variant>
      <vt:variant>
        <vt:i4>65547</vt:i4>
      </vt:variant>
      <vt:variant>
        <vt:i4>57</vt:i4>
      </vt:variant>
      <vt:variant>
        <vt:i4>0</vt:i4>
      </vt:variant>
      <vt:variant>
        <vt:i4>5</vt:i4>
      </vt:variant>
      <vt:variant>
        <vt:lpwstr>http://www.nevo.co.il/law/70301/40jd</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4718676</vt:i4>
      </vt:variant>
      <vt:variant>
        <vt:i4>48</vt:i4>
      </vt:variant>
      <vt:variant>
        <vt:i4>0</vt:i4>
      </vt:variant>
      <vt:variant>
        <vt:i4>5</vt:i4>
      </vt:variant>
      <vt:variant>
        <vt:lpwstr>http://www.nevo.co.il/law/70301/332.a</vt:lpwstr>
      </vt:variant>
      <vt:variant>
        <vt:lpwstr/>
      </vt:variant>
      <vt:variant>
        <vt:i4>4784223</vt:i4>
      </vt:variant>
      <vt:variant>
        <vt:i4>45</vt:i4>
      </vt:variant>
      <vt:variant>
        <vt:i4>0</vt:i4>
      </vt:variant>
      <vt:variant>
        <vt:i4>5</vt:i4>
      </vt:variant>
      <vt:variant>
        <vt:lpwstr>http://www.nevo.co.il/law/70301/329.2</vt:lpwstr>
      </vt:variant>
      <vt:variant>
        <vt:lpwstr/>
      </vt:variant>
      <vt:variant>
        <vt:i4>4980819</vt:i4>
      </vt:variant>
      <vt:variant>
        <vt:i4>42</vt:i4>
      </vt:variant>
      <vt:variant>
        <vt:i4>0</vt:i4>
      </vt:variant>
      <vt:variant>
        <vt:i4>5</vt:i4>
      </vt:variant>
      <vt:variant>
        <vt:lpwstr>http://www.nevo.co.il/law/70301/274.2</vt:lpwstr>
      </vt:variant>
      <vt:variant>
        <vt:lpwstr/>
      </vt:variant>
      <vt:variant>
        <vt:i4>4980819</vt:i4>
      </vt:variant>
      <vt:variant>
        <vt:i4>39</vt:i4>
      </vt:variant>
      <vt:variant>
        <vt:i4>0</vt:i4>
      </vt:variant>
      <vt:variant>
        <vt:i4>5</vt:i4>
      </vt:variant>
      <vt:variant>
        <vt:lpwstr>http://www.nevo.co.il/law/70301/274.1</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6291559</vt:i4>
      </vt:variant>
      <vt:variant>
        <vt:i4>6</vt:i4>
      </vt:variant>
      <vt:variant>
        <vt:i4>0</vt:i4>
      </vt:variant>
      <vt:variant>
        <vt:i4>5</vt:i4>
      </vt:variant>
      <vt:variant>
        <vt:lpwstr>http://www.nevo.co.il/law/70301/25</vt:lpwstr>
      </vt:variant>
      <vt:variant>
        <vt:lpwstr/>
      </vt:variant>
      <vt:variant>
        <vt:i4>8061030</vt:i4>
      </vt:variant>
      <vt:variant>
        <vt:i4>3</vt:i4>
      </vt:variant>
      <vt:variant>
        <vt:i4>0</vt:i4>
      </vt:variant>
      <vt:variant>
        <vt:i4>5</vt:i4>
      </vt:variant>
      <vt:variant>
        <vt:lpwstr>http://www.nevo.co.il/law/70301/3.b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20811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אסלם נגאר</vt:lpwstr>
  </property>
  <property fmtid="{D5CDD505-2E9C-101B-9397-08002B2CF9AE}" pid="10" name="LAWYER">
    <vt:lpwstr>סעיד ע'אליה</vt:lpwstr>
  </property>
  <property fmtid="{D5CDD505-2E9C-101B-9397-08002B2CF9AE}" pid="11" name="CITY">
    <vt:lpwstr>י-ם</vt:lpwstr>
  </property>
  <property fmtid="{D5CDD505-2E9C-101B-9397-08002B2CF9AE}" pid="12" name="DATE">
    <vt:lpwstr>20160519</vt:lpwstr>
  </property>
  <property fmtid="{D5CDD505-2E9C-101B-9397-08002B2CF9AE}" pid="13" name="TYPE_N_DATE">
    <vt:lpwstr>39020160519</vt:lpwstr>
  </property>
  <property fmtid="{D5CDD505-2E9C-101B-9397-08002B2CF9AE}" pid="14" name="WORDNUMPAGES">
    <vt:lpwstr>9</vt:lpwstr>
  </property>
  <property fmtid="{D5CDD505-2E9C-101B-9397-08002B2CF9AE}" pid="15" name="TYPE_ABS_DATE">
    <vt:lpwstr>390020160519</vt:lpwstr>
  </property>
  <property fmtid="{D5CDD505-2E9C-101B-9397-08002B2CF9AE}" pid="16" name="JUDGE">
    <vt:lpwstr>ד. טפרברג</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3553372:2;6859579:2;6958777;2797035;5603159;7860053:2;13104258;16892819;273225;20391866;4035380;7011967:2;18716004;5536884;11269747;6852532;8455637;11259862;20888243;7681198:2;7802081;20159014;20500769;6132680;6248029;20157961;5750760;6239953</vt:lpwstr>
  </property>
  <property fmtid="{D5CDD505-2E9C-101B-9397-08002B2CF9AE}" pid="36" name="LAWLISTTMP1">
    <vt:lpwstr>70301/274.1;274.2;025;144.b2;144.b;329.2;332.a;152;040b;040c;40jd;40jc.b;040c.a;040i.a;040i.a.3;003.b;040d:2;040e:2;40ja</vt:lpwstr>
  </property>
</Properties>
</file>