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9F731F" w:rsidRPr="00EB3591" w14:paraId="5875927A" w14:textId="77777777">
        <w:trPr>
          <w:trHeight w:hRule="exact" w:val="418"/>
          <w:jc w:val="center"/>
        </w:trPr>
        <w:tc>
          <w:tcPr>
            <w:tcW w:w="8721" w:type="dxa"/>
            <w:gridSpan w:val="2"/>
          </w:tcPr>
          <w:p w14:paraId="79B60F4A" w14:textId="77777777" w:rsidR="009F731F" w:rsidRPr="00EB3591" w:rsidRDefault="009F731F" w:rsidP="00EB3591">
            <w:pPr>
              <w:pStyle w:val="a3"/>
              <w:jc w:val="center"/>
              <w:rPr>
                <w:rFonts w:ascii="Tahoma" w:hAnsi="Tahoma" w:cs="Tahoma"/>
                <w:color w:val="000080"/>
                <w:rtl/>
              </w:rPr>
            </w:pPr>
            <w:bookmarkStart w:id="0" w:name="LastJudge"/>
            <w:r w:rsidRPr="00EB3591">
              <w:rPr>
                <w:rFonts w:ascii="Tahoma" w:hAnsi="Tahoma" w:cs="Tahoma"/>
                <w:b/>
                <w:bCs/>
                <w:color w:val="000080"/>
                <w:rtl/>
              </w:rPr>
              <w:t>בית המשפט המחוזי בחיפה</w:t>
            </w:r>
          </w:p>
        </w:tc>
      </w:tr>
      <w:tr w:rsidR="009F731F" w:rsidRPr="00EB3591" w14:paraId="6A436E30" w14:textId="77777777">
        <w:trPr>
          <w:trHeight w:val="337"/>
          <w:jc w:val="center"/>
        </w:trPr>
        <w:tc>
          <w:tcPr>
            <w:tcW w:w="5056" w:type="dxa"/>
          </w:tcPr>
          <w:p w14:paraId="31813141" w14:textId="77777777" w:rsidR="009F731F" w:rsidRPr="00EB3591" w:rsidRDefault="009F731F" w:rsidP="00EB3591">
            <w:pPr>
              <w:rPr>
                <w:rtl/>
              </w:rPr>
            </w:pPr>
            <w:r w:rsidRPr="00EB3591">
              <w:rPr>
                <w:rtl/>
              </w:rPr>
              <w:t>ת"פ</w:t>
            </w:r>
            <w:r w:rsidRPr="00EB3591">
              <w:rPr>
                <w:rFonts w:hint="cs"/>
                <w:rtl/>
              </w:rPr>
              <w:t xml:space="preserve"> </w:t>
            </w:r>
            <w:r w:rsidRPr="00EB3591">
              <w:rPr>
                <w:rtl/>
              </w:rPr>
              <w:t>27685-11-15</w:t>
            </w:r>
            <w:r w:rsidRPr="00EB3591">
              <w:rPr>
                <w:rFonts w:hint="cs"/>
                <w:rtl/>
              </w:rPr>
              <w:t xml:space="preserve"> </w:t>
            </w:r>
            <w:r w:rsidRPr="00EB3591">
              <w:rPr>
                <w:rtl/>
              </w:rPr>
              <w:t>מדינת ישראל נ' עווד(עציר)</w:t>
            </w:r>
          </w:p>
          <w:p w14:paraId="444B69C6" w14:textId="77777777" w:rsidR="009F731F" w:rsidRPr="00EB3591" w:rsidRDefault="009F731F" w:rsidP="00EB3591">
            <w:pPr>
              <w:pStyle w:val="a3"/>
              <w:rPr>
                <w:rFonts w:cs="FrankRuehl"/>
                <w:sz w:val="28"/>
                <w:szCs w:val="28"/>
                <w:rtl/>
              </w:rPr>
            </w:pPr>
          </w:p>
        </w:tc>
        <w:tc>
          <w:tcPr>
            <w:tcW w:w="3665" w:type="dxa"/>
          </w:tcPr>
          <w:p w14:paraId="1C259EA2" w14:textId="77777777" w:rsidR="009F731F" w:rsidRPr="00EB3591" w:rsidRDefault="009F731F" w:rsidP="00EB3591">
            <w:pPr>
              <w:pStyle w:val="a3"/>
              <w:jc w:val="right"/>
              <w:rPr>
                <w:rFonts w:cs="FrankRuehl"/>
                <w:sz w:val="28"/>
                <w:szCs w:val="28"/>
                <w:rtl/>
              </w:rPr>
            </w:pPr>
          </w:p>
        </w:tc>
      </w:tr>
    </w:tbl>
    <w:p w14:paraId="37E71043" w14:textId="77777777" w:rsidR="009F731F" w:rsidRPr="00EB3591" w:rsidRDefault="009F731F" w:rsidP="009F731F">
      <w:pPr>
        <w:pStyle w:val="a3"/>
        <w:rPr>
          <w:rtl/>
        </w:rPr>
      </w:pPr>
      <w:r w:rsidRPr="00EB3591">
        <w:rPr>
          <w:rFonts w:hint="cs"/>
          <w:rtl/>
        </w:rPr>
        <w:t xml:space="preserve"> </w:t>
      </w:r>
    </w:p>
    <w:p w14:paraId="3667B89A" w14:textId="77777777" w:rsidR="009F731F" w:rsidRPr="00EB3591" w:rsidRDefault="009F731F" w:rsidP="009F731F">
      <w:pPr>
        <w:jc w:val="right"/>
        <w:rPr>
          <w:b/>
          <w:bCs/>
        </w:rPr>
      </w:pPr>
      <w:r w:rsidRPr="00EB3591">
        <w:rPr>
          <w:rFonts w:hint="cs"/>
          <w:b/>
          <w:bCs/>
          <w:rtl/>
        </w:rPr>
        <w:t>13.6.16</w:t>
      </w:r>
    </w:p>
    <w:tbl>
      <w:tblPr>
        <w:bidiVisual/>
        <w:tblW w:w="8802" w:type="dxa"/>
        <w:tblInd w:w="-28" w:type="dxa"/>
        <w:tblLook w:val="01E0" w:firstRow="1" w:lastRow="1" w:firstColumn="1" w:lastColumn="1" w:noHBand="0" w:noVBand="0"/>
      </w:tblPr>
      <w:tblGrid>
        <w:gridCol w:w="2880"/>
        <w:gridCol w:w="5839"/>
        <w:gridCol w:w="83"/>
      </w:tblGrid>
      <w:tr w:rsidR="009F731F" w:rsidRPr="00EB3591" w14:paraId="57782C76" w14:textId="77777777">
        <w:trPr>
          <w:gridAfter w:val="1"/>
          <w:wAfter w:w="55" w:type="dxa"/>
        </w:trPr>
        <w:tc>
          <w:tcPr>
            <w:tcW w:w="8719" w:type="dxa"/>
            <w:gridSpan w:val="2"/>
            <w:shd w:val="clear" w:color="auto" w:fill="auto"/>
          </w:tcPr>
          <w:p w14:paraId="4421B2C1" w14:textId="77777777" w:rsidR="009F731F" w:rsidRPr="00EB3591" w:rsidRDefault="009F731F" w:rsidP="00EB3591">
            <w:pPr>
              <w:spacing w:line="360" w:lineRule="auto"/>
              <w:rPr>
                <w:b/>
                <w:bCs/>
                <w:sz w:val="26"/>
                <w:szCs w:val="26"/>
                <w:rtl/>
              </w:rPr>
            </w:pPr>
            <w:r w:rsidRPr="00EB3591">
              <w:rPr>
                <w:rFonts w:hint="cs"/>
                <w:b/>
                <w:bCs/>
                <w:sz w:val="26"/>
                <w:szCs w:val="26"/>
                <w:rtl/>
              </w:rPr>
              <w:t>לפני כבוד ה</w:t>
            </w:r>
            <w:r w:rsidRPr="00EB3591">
              <w:rPr>
                <w:rFonts w:hint="cs"/>
                <w:rtl/>
              </w:rPr>
              <w:t>שופט כמאל סעב</w:t>
            </w:r>
            <w:r w:rsidRPr="00EB3591">
              <w:rPr>
                <w:rStyle w:val="TimesNewRomanTimesNewRoman"/>
                <w:rFonts w:hint="cs"/>
                <w:rtl/>
              </w:rPr>
              <w:t xml:space="preserve"> </w:t>
            </w:r>
          </w:p>
          <w:p w14:paraId="5BD3628A" w14:textId="77777777" w:rsidR="009F731F" w:rsidRPr="00EB3591" w:rsidRDefault="009F731F" w:rsidP="00EB3591">
            <w:pPr>
              <w:spacing w:line="360" w:lineRule="auto"/>
              <w:rPr>
                <w:b/>
                <w:bCs/>
                <w:sz w:val="26"/>
                <w:szCs w:val="26"/>
                <w:rtl/>
              </w:rPr>
            </w:pPr>
          </w:p>
        </w:tc>
      </w:tr>
      <w:tr w:rsidR="009F731F" w:rsidRPr="00EB3591" w14:paraId="12A901A5" w14:textId="77777777">
        <w:tc>
          <w:tcPr>
            <w:tcW w:w="2880" w:type="dxa"/>
            <w:shd w:val="clear" w:color="auto" w:fill="auto"/>
          </w:tcPr>
          <w:p w14:paraId="384E8D06" w14:textId="77777777" w:rsidR="009F731F" w:rsidRPr="00EB3591" w:rsidRDefault="009F731F" w:rsidP="00EB3591">
            <w:pPr>
              <w:ind w:left="26"/>
              <w:rPr>
                <w:b/>
                <w:bCs/>
                <w:sz w:val="26"/>
                <w:szCs w:val="26"/>
                <w:rtl/>
              </w:rPr>
            </w:pPr>
            <w:bookmarkStart w:id="1" w:name="FirstAppellant"/>
            <w:r w:rsidRPr="00EB3591">
              <w:rPr>
                <w:rFonts w:hint="cs"/>
                <w:b/>
                <w:bCs/>
                <w:sz w:val="26"/>
                <w:szCs w:val="26"/>
                <w:rtl/>
              </w:rPr>
              <w:t>ה</w:t>
            </w:r>
            <w:r w:rsidRPr="00EB3591">
              <w:rPr>
                <w:rFonts w:hint="cs"/>
                <w:rtl/>
              </w:rPr>
              <w:t>מאשימה</w:t>
            </w:r>
          </w:p>
        </w:tc>
        <w:tc>
          <w:tcPr>
            <w:tcW w:w="5922" w:type="dxa"/>
            <w:gridSpan w:val="2"/>
            <w:shd w:val="clear" w:color="auto" w:fill="auto"/>
          </w:tcPr>
          <w:p w14:paraId="3884F712" w14:textId="77777777" w:rsidR="009F731F" w:rsidRPr="00EB3591" w:rsidRDefault="009F731F" w:rsidP="00EB3591">
            <w:pPr>
              <w:rPr>
                <w:b/>
                <w:bCs/>
                <w:sz w:val="26"/>
                <w:szCs w:val="26"/>
                <w:rtl/>
              </w:rPr>
            </w:pPr>
            <w:r w:rsidRPr="00EB3591">
              <w:rPr>
                <w:rFonts w:hint="cs"/>
                <w:rtl/>
              </w:rPr>
              <w:t>מדינת ישראל</w:t>
            </w:r>
          </w:p>
          <w:p w14:paraId="600749D9" w14:textId="77777777" w:rsidR="009F731F" w:rsidRPr="00EB3591" w:rsidRDefault="009F731F" w:rsidP="00EB3591">
            <w:pPr>
              <w:rPr>
                <w:b/>
                <w:bCs/>
                <w:sz w:val="26"/>
                <w:szCs w:val="26"/>
                <w:rtl/>
              </w:rPr>
            </w:pPr>
          </w:p>
        </w:tc>
      </w:tr>
      <w:bookmarkEnd w:id="1"/>
      <w:tr w:rsidR="009F731F" w:rsidRPr="00EB3591" w14:paraId="03595F25" w14:textId="77777777">
        <w:tc>
          <w:tcPr>
            <w:tcW w:w="8802" w:type="dxa"/>
            <w:gridSpan w:val="3"/>
            <w:shd w:val="clear" w:color="auto" w:fill="auto"/>
          </w:tcPr>
          <w:p w14:paraId="78B0DB6C" w14:textId="77777777" w:rsidR="009F731F" w:rsidRPr="00EB3591" w:rsidRDefault="009F731F" w:rsidP="00EB3591">
            <w:pPr>
              <w:rPr>
                <w:rFonts w:ascii="Arial" w:hAnsi="Arial"/>
                <w:b/>
                <w:bCs/>
                <w:sz w:val="26"/>
                <w:szCs w:val="26"/>
                <w:rtl/>
              </w:rPr>
            </w:pPr>
            <w:r w:rsidRPr="00EB3591">
              <w:rPr>
                <w:rFonts w:ascii="Arial" w:hAnsi="Arial" w:hint="cs"/>
                <w:b/>
                <w:bCs/>
                <w:sz w:val="26"/>
                <w:szCs w:val="26"/>
                <w:rtl/>
              </w:rPr>
              <w:t xml:space="preserve">                                                  נגד</w:t>
            </w:r>
          </w:p>
          <w:p w14:paraId="33DEBF30" w14:textId="77777777" w:rsidR="009F731F" w:rsidRPr="00EB3591" w:rsidRDefault="009F731F" w:rsidP="00EB3591">
            <w:pPr>
              <w:rPr>
                <w:rFonts w:ascii="Arial" w:hAnsi="Arial"/>
                <w:b/>
                <w:bCs/>
                <w:sz w:val="26"/>
                <w:szCs w:val="26"/>
                <w:rtl/>
              </w:rPr>
            </w:pPr>
          </w:p>
        </w:tc>
      </w:tr>
      <w:tr w:rsidR="009F731F" w:rsidRPr="00EB3591" w14:paraId="312BF720" w14:textId="77777777">
        <w:tc>
          <w:tcPr>
            <w:tcW w:w="2880" w:type="dxa"/>
            <w:shd w:val="clear" w:color="auto" w:fill="auto"/>
          </w:tcPr>
          <w:p w14:paraId="16A3C597" w14:textId="77777777" w:rsidR="009F731F" w:rsidRPr="00EB3591" w:rsidRDefault="009F731F" w:rsidP="00EB3591">
            <w:pPr>
              <w:ind w:left="26"/>
              <w:rPr>
                <w:b/>
                <w:bCs/>
                <w:sz w:val="26"/>
                <w:szCs w:val="26"/>
              </w:rPr>
            </w:pPr>
            <w:r w:rsidRPr="00EB3591">
              <w:rPr>
                <w:rFonts w:hint="cs"/>
                <w:b/>
                <w:bCs/>
                <w:sz w:val="26"/>
                <w:szCs w:val="26"/>
                <w:rtl/>
              </w:rPr>
              <w:t>ה</w:t>
            </w:r>
            <w:r w:rsidRPr="00EB3591">
              <w:rPr>
                <w:rFonts w:hint="cs"/>
                <w:rtl/>
              </w:rPr>
              <w:t>נאשם</w:t>
            </w:r>
          </w:p>
        </w:tc>
        <w:tc>
          <w:tcPr>
            <w:tcW w:w="5922" w:type="dxa"/>
            <w:gridSpan w:val="2"/>
            <w:shd w:val="clear" w:color="auto" w:fill="auto"/>
          </w:tcPr>
          <w:p w14:paraId="23DFFFB5" w14:textId="77777777" w:rsidR="009F731F" w:rsidRPr="00EB3591" w:rsidRDefault="009F731F" w:rsidP="00EB3591">
            <w:pPr>
              <w:rPr>
                <w:b/>
                <w:bCs/>
                <w:sz w:val="26"/>
                <w:szCs w:val="26"/>
                <w:rtl/>
              </w:rPr>
            </w:pPr>
            <w:r w:rsidRPr="00EB3591">
              <w:rPr>
                <w:rFonts w:hint="cs"/>
                <w:rtl/>
              </w:rPr>
              <w:t xml:space="preserve">סאבר עווד (עציר), ת"ז </w:t>
            </w:r>
            <w:r w:rsidR="00EB3591">
              <w:t>xxxxxxxxx</w:t>
            </w:r>
          </w:p>
          <w:p w14:paraId="63619207" w14:textId="77777777" w:rsidR="009F731F" w:rsidRPr="00EB3591" w:rsidRDefault="009F731F" w:rsidP="00EB3591">
            <w:pPr>
              <w:rPr>
                <w:b/>
                <w:bCs/>
                <w:sz w:val="26"/>
                <w:szCs w:val="26"/>
                <w:rtl/>
              </w:rPr>
            </w:pPr>
          </w:p>
        </w:tc>
      </w:tr>
    </w:tbl>
    <w:p w14:paraId="7EB465A1" w14:textId="77777777" w:rsidR="009F731F" w:rsidRPr="00EB3591" w:rsidRDefault="009F731F" w:rsidP="009F731F">
      <w:pPr>
        <w:pStyle w:val="12"/>
        <w:spacing w:line="360" w:lineRule="auto"/>
        <w:rPr>
          <w:b w:val="0"/>
          <w:bCs w:val="0"/>
          <w:u w:val="none"/>
        </w:rPr>
      </w:pPr>
    </w:p>
    <w:p w14:paraId="69ABDDFA" w14:textId="77777777" w:rsidR="009F731F" w:rsidRPr="00EB3591" w:rsidRDefault="009F731F" w:rsidP="009F731F">
      <w:pPr>
        <w:pStyle w:val="12"/>
        <w:spacing w:line="360" w:lineRule="auto"/>
        <w:rPr>
          <w:b w:val="0"/>
          <w:bCs w:val="0"/>
          <w:u w:val="none"/>
          <w:rtl/>
        </w:rPr>
      </w:pPr>
      <w:bookmarkStart w:id="2" w:name="FirstLawyer"/>
      <w:r w:rsidRPr="00EB3591">
        <w:rPr>
          <w:rFonts w:hint="cs"/>
          <w:b w:val="0"/>
          <w:bCs w:val="0"/>
          <w:u w:val="none"/>
          <w:rtl/>
        </w:rPr>
        <w:t>בשם</w:t>
      </w:r>
      <w:bookmarkEnd w:id="2"/>
      <w:r w:rsidRPr="00EB3591">
        <w:rPr>
          <w:rFonts w:hint="cs"/>
          <w:b w:val="0"/>
          <w:bCs w:val="0"/>
          <w:u w:val="none"/>
          <w:rtl/>
        </w:rPr>
        <w:t xml:space="preserve"> המאשימה: עו"ד הגב' עינב אטיסקו-גולד</w:t>
      </w:r>
    </w:p>
    <w:p w14:paraId="016FAFD8" w14:textId="77777777" w:rsidR="00BB096D" w:rsidRDefault="009F731F" w:rsidP="00927881">
      <w:pPr>
        <w:pStyle w:val="12"/>
        <w:spacing w:after="120" w:line="240" w:lineRule="exact"/>
        <w:ind w:left="283" w:hanging="283"/>
        <w:jc w:val="both"/>
        <w:rPr>
          <w:b w:val="0"/>
          <w:bCs w:val="0"/>
          <w:u w:val="none"/>
          <w:rtl/>
        </w:rPr>
      </w:pPr>
      <w:r w:rsidRPr="00EB3591">
        <w:rPr>
          <w:rFonts w:hint="cs"/>
          <w:b w:val="0"/>
          <w:bCs w:val="0"/>
          <w:u w:val="none"/>
          <w:rtl/>
        </w:rPr>
        <w:t>בשם הנאשם: עו"ד משה נעמן – סנגוריה ציבורי</w:t>
      </w:r>
      <w:bookmarkStart w:id="3" w:name="LawTable"/>
      <w:bookmarkEnd w:id="3"/>
    </w:p>
    <w:p w14:paraId="34B993C9" w14:textId="77777777" w:rsidR="00BB096D" w:rsidRPr="00BB096D" w:rsidRDefault="00BB096D" w:rsidP="00BB096D">
      <w:pPr>
        <w:pStyle w:val="12"/>
        <w:spacing w:after="120" w:line="240" w:lineRule="exact"/>
        <w:ind w:left="283" w:hanging="283"/>
        <w:jc w:val="both"/>
        <w:rPr>
          <w:rFonts w:ascii="FrankRuehl" w:hAnsi="FrankRuehl" w:cs="FrankRuehl"/>
          <w:b w:val="0"/>
          <w:bCs w:val="0"/>
          <w:u w:val="none"/>
          <w:rtl/>
        </w:rPr>
      </w:pPr>
    </w:p>
    <w:p w14:paraId="4E676734" w14:textId="77777777" w:rsidR="00BB096D" w:rsidRPr="00BB096D" w:rsidRDefault="00BB096D" w:rsidP="00BB096D">
      <w:pPr>
        <w:pStyle w:val="12"/>
        <w:spacing w:after="120" w:line="240" w:lineRule="exact"/>
        <w:ind w:left="283" w:hanging="283"/>
        <w:jc w:val="both"/>
        <w:rPr>
          <w:rFonts w:ascii="FrankRuehl" w:hAnsi="FrankRuehl" w:cs="FrankRuehl"/>
          <w:b w:val="0"/>
          <w:bCs w:val="0"/>
          <w:u w:val="none"/>
          <w:rtl/>
        </w:rPr>
      </w:pPr>
      <w:r w:rsidRPr="00BB096D">
        <w:rPr>
          <w:rFonts w:ascii="FrankRuehl" w:hAnsi="FrankRuehl" w:cs="FrankRuehl"/>
          <w:b w:val="0"/>
          <w:bCs w:val="0"/>
          <w:u w:val="none"/>
          <w:rtl/>
        </w:rPr>
        <w:t xml:space="preserve">חקיקה שאוזכרה: </w:t>
      </w:r>
    </w:p>
    <w:p w14:paraId="6FEF0B6B" w14:textId="77777777" w:rsidR="00BB096D" w:rsidRPr="00BB096D" w:rsidRDefault="00BB096D" w:rsidP="00BB096D">
      <w:pPr>
        <w:pStyle w:val="12"/>
        <w:spacing w:after="120" w:line="240" w:lineRule="exact"/>
        <w:ind w:left="283" w:hanging="283"/>
        <w:jc w:val="both"/>
        <w:rPr>
          <w:rFonts w:ascii="FrankRuehl" w:hAnsi="FrankRuehl" w:cs="FrankRuehl"/>
          <w:b w:val="0"/>
          <w:bCs w:val="0"/>
          <w:u w:val="none"/>
          <w:rtl/>
        </w:rPr>
      </w:pPr>
      <w:hyperlink r:id="rId6" w:history="1">
        <w:r w:rsidRPr="00BB096D">
          <w:rPr>
            <w:rFonts w:ascii="FrankRuehl" w:hAnsi="FrankRuehl" w:cs="FrankRuehl"/>
            <w:b w:val="0"/>
            <w:bCs w:val="0"/>
            <w:color w:val="0000FF"/>
            <w:rtl/>
          </w:rPr>
          <w:t>חוק העונשין, תשל"ז-1977</w:t>
        </w:r>
      </w:hyperlink>
      <w:r w:rsidRPr="00BB096D">
        <w:rPr>
          <w:rFonts w:ascii="FrankRuehl" w:hAnsi="FrankRuehl" w:cs="FrankRuehl"/>
          <w:b w:val="0"/>
          <w:bCs w:val="0"/>
          <w:u w:val="none"/>
          <w:rtl/>
        </w:rPr>
        <w:t xml:space="preserve">: סע'  </w:t>
      </w:r>
      <w:hyperlink r:id="rId7" w:history="1">
        <w:r w:rsidRPr="00BB096D">
          <w:rPr>
            <w:rFonts w:ascii="FrankRuehl" w:hAnsi="FrankRuehl" w:cs="FrankRuehl"/>
            <w:b w:val="0"/>
            <w:bCs w:val="0"/>
            <w:color w:val="0000FF"/>
            <w:rtl/>
          </w:rPr>
          <w:t>29</w:t>
        </w:r>
      </w:hyperlink>
      <w:r w:rsidRPr="00BB096D">
        <w:rPr>
          <w:rFonts w:ascii="FrankRuehl" w:hAnsi="FrankRuehl" w:cs="FrankRuehl"/>
          <w:b w:val="0"/>
          <w:bCs w:val="0"/>
          <w:u w:val="none"/>
          <w:rtl/>
        </w:rPr>
        <w:t xml:space="preserve">, </w:t>
      </w:r>
      <w:hyperlink r:id="rId8" w:history="1">
        <w:r w:rsidRPr="00BB096D">
          <w:rPr>
            <w:rFonts w:ascii="FrankRuehl" w:hAnsi="FrankRuehl" w:cs="FrankRuehl"/>
            <w:b w:val="0"/>
            <w:bCs w:val="0"/>
            <w:color w:val="0000FF"/>
            <w:rtl/>
          </w:rPr>
          <w:t>29(א)</w:t>
        </w:r>
      </w:hyperlink>
      <w:r w:rsidRPr="00BB096D">
        <w:rPr>
          <w:rFonts w:ascii="FrankRuehl" w:hAnsi="FrankRuehl" w:cs="FrankRuehl"/>
          <w:b w:val="0"/>
          <w:bCs w:val="0"/>
          <w:u w:val="none"/>
          <w:rtl/>
        </w:rPr>
        <w:t xml:space="preserve">, </w:t>
      </w:r>
      <w:hyperlink r:id="rId9" w:history="1">
        <w:r w:rsidRPr="00BB096D">
          <w:rPr>
            <w:rFonts w:ascii="FrankRuehl" w:hAnsi="FrankRuehl" w:cs="FrankRuehl"/>
            <w:b w:val="0"/>
            <w:bCs w:val="0"/>
            <w:color w:val="0000FF"/>
            <w:rtl/>
          </w:rPr>
          <w:t>(ב)</w:t>
        </w:r>
      </w:hyperlink>
      <w:r w:rsidRPr="00BB096D">
        <w:rPr>
          <w:rFonts w:ascii="FrankRuehl" w:hAnsi="FrankRuehl" w:cs="FrankRuehl"/>
          <w:b w:val="0"/>
          <w:bCs w:val="0"/>
          <w:u w:val="none"/>
          <w:rtl/>
        </w:rPr>
        <w:t xml:space="preserve">, </w:t>
      </w:r>
      <w:hyperlink r:id="rId10" w:history="1">
        <w:r w:rsidRPr="00BB096D">
          <w:rPr>
            <w:rFonts w:ascii="FrankRuehl" w:hAnsi="FrankRuehl" w:cs="FrankRuehl"/>
            <w:b w:val="0"/>
            <w:bCs w:val="0"/>
            <w:color w:val="0000FF"/>
            <w:rtl/>
          </w:rPr>
          <w:t>40ט</w:t>
        </w:r>
      </w:hyperlink>
      <w:r w:rsidRPr="00BB096D">
        <w:rPr>
          <w:rFonts w:ascii="FrankRuehl" w:hAnsi="FrankRuehl" w:cs="FrankRuehl"/>
          <w:b w:val="0"/>
          <w:bCs w:val="0"/>
          <w:u w:val="none"/>
          <w:rtl/>
        </w:rPr>
        <w:t xml:space="preserve">, </w:t>
      </w:r>
      <w:hyperlink r:id="rId11" w:history="1">
        <w:r w:rsidRPr="00BB096D">
          <w:rPr>
            <w:rFonts w:ascii="FrankRuehl" w:hAnsi="FrankRuehl" w:cs="FrankRuehl"/>
            <w:b w:val="0"/>
            <w:bCs w:val="0"/>
            <w:color w:val="0000FF"/>
            <w:rtl/>
          </w:rPr>
          <w:t>144(ב)</w:t>
        </w:r>
      </w:hyperlink>
      <w:r w:rsidRPr="00BB096D">
        <w:rPr>
          <w:rFonts w:ascii="FrankRuehl" w:hAnsi="FrankRuehl" w:cs="FrankRuehl"/>
          <w:b w:val="0"/>
          <w:bCs w:val="0"/>
          <w:u w:val="none"/>
          <w:rtl/>
        </w:rPr>
        <w:t xml:space="preserve">, </w:t>
      </w:r>
      <w:hyperlink r:id="rId12" w:history="1">
        <w:r w:rsidRPr="00BB096D">
          <w:rPr>
            <w:rFonts w:ascii="FrankRuehl" w:hAnsi="FrankRuehl" w:cs="FrankRuehl"/>
            <w:b w:val="0"/>
            <w:bCs w:val="0"/>
            <w:color w:val="0000FF"/>
            <w:rtl/>
          </w:rPr>
          <w:t>144(ג)</w:t>
        </w:r>
      </w:hyperlink>
      <w:r w:rsidRPr="00BB096D">
        <w:rPr>
          <w:rFonts w:ascii="FrankRuehl" w:hAnsi="FrankRuehl" w:cs="FrankRuehl"/>
          <w:b w:val="0"/>
          <w:bCs w:val="0"/>
          <w:u w:val="none"/>
          <w:rtl/>
        </w:rPr>
        <w:t xml:space="preserve">, </w:t>
      </w:r>
      <w:hyperlink r:id="rId13" w:history="1">
        <w:r w:rsidRPr="00BB096D">
          <w:rPr>
            <w:rFonts w:ascii="FrankRuehl" w:hAnsi="FrankRuehl" w:cs="FrankRuehl"/>
            <w:b w:val="0"/>
            <w:bCs w:val="0"/>
            <w:color w:val="0000FF"/>
            <w:rtl/>
          </w:rPr>
          <w:t>402(ב)</w:t>
        </w:r>
      </w:hyperlink>
      <w:r w:rsidRPr="00BB096D">
        <w:rPr>
          <w:rFonts w:ascii="FrankRuehl" w:hAnsi="FrankRuehl" w:cs="FrankRuehl"/>
          <w:b w:val="0"/>
          <w:bCs w:val="0"/>
          <w:u w:val="none"/>
          <w:rtl/>
        </w:rPr>
        <w:t xml:space="preserve">, </w:t>
      </w:r>
      <w:hyperlink r:id="rId14" w:history="1">
        <w:r w:rsidRPr="00BB096D">
          <w:rPr>
            <w:rFonts w:ascii="FrankRuehl" w:hAnsi="FrankRuehl" w:cs="FrankRuehl"/>
            <w:b w:val="0"/>
            <w:bCs w:val="0"/>
            <w:color w:val="0000FF"/>
            <w:rtl/>
          </w:rPr>
          <w:t>413ט</w:t>
        </w:r>
      </w:hyperlink>
      <w:r w:rsidRPr="00BB096D">
        <w:rPr>
          <w:rFonts w:ascii="FrankRuehl" w:hAnsi="FrankRuehl" w:cs="FrankRuehl"/>
          <w:b w:val="0"/>
          <w:bCs w:val="0"/>
          <w:u w:val="none"/>
          <w:rtl/>
        </w:rPr>
        <w:t xml:space="preserve">, </w:t>
      </w:r>
      <w:hyperlink r:id="rId15" w:history="1">
        <w:r w:rsidRPr="00BB096D">
          <w:rPr>
            <w:rFonts w:ascii="FrankRuehl" w:hAnsi="FrankRuehl" w:cs="FrankRuehl"/>
            <w:b w:val="0"/>
            <w:bCs w:val="0"/>
            <w:color w:val="0000FF"/>
            <w:rtl/>
          </w:rPr>
          <w:t>499(א)(1)</w:t>
        </w:r>
      </w:hyperlink>
    </w:p>
    <w:p w14:paraId="40960201" w14:textId="77777777" w:rsidR="00BB096D" w:rsidRPr="00BB096D" w:rsidRDefault="00BB096D" w:rsidP="00BB096D">
      <w:pPr>
        <w:pStyle w:val="12"/>
        <w:spacing w:after="120" w:line="240" w:lineRule="exact"/>
        <w:ind w:left="283" w:hanging="283"/>
        <w:jc w:val="both"/>
        <w:rPr>
          <w:rFonts w:ascii="FrankRuehl" w:hAnsi="FrankRuehl" w:cs="FrankRuehl"/>
          <w:b w:val="0"/>
          <w:bCs w:val="0"/>
          <w:u w:val="none"/>
          <w:rtl/>
        </w:rPr>
      </w:pPr>
    </w:p>
    <w:p w14:paraId="55D7BD33" w14:textId="77777777" w:rsidR="00BB096D" w:rsidRPr="00BB096D" w:rsidRDefault="00BB096D" w:rsidP="00927881">
      <w:pPr>
        <w:pStyle w:val="12"/>
        <w:spacing w:after="120" w:line="240" w:lineRule="exact"/>
        <w:ind w:left="283" w:hanging="283"/>
        <w:jc w:val="both"/>
        <w:rPr>
          <w:b w:val="0"/>
          <w:bCs w:val="0"/>
          <w:u w:val="none"/>
          <w:rtl/>
        </w:rPr>
      </w:pPr>
      <w:bookmarkStart w:id="4" w:name="LawTable_End"/>
      <w:bookmarkEnd w:id="4"/>
    </w:p>
    <w:p w14:paraId="50822964" w14:textId="77777777" w:rsidR="00BB096D" w:rsidRPr="00BB096D" w:rsidRDefault="00BB096D" w:rsidP="00927881">
      <w:pPr>
        <w:pStyle w:val="12"/>
        <w:spacing w:after="120" w:line="240" w:lineRule="exact"/>
        <w:ind w:left="283" w:hanging="283"/>
        <w:jc w:val="both"/>
        <w:rPr>
          <w:b w:val="0"/>
          <w:bCs w:val="0"/>
          <w:u w:val="none"/>
          <w:rtl/>
        </w:rPr>
      </w:pPr>
    </w:p>
    <w:p w14:paraId="2C7AAF54" w14:textId="77777777" w:rsidR="00927881" w:rsidRPr="00927881" w:rsidRDefault="009F731F" w:rsidP="00927881">
      <w:pPr>
        <w:pStyle w:val="12"/>
        <w:spacing w:after="120" w:line="240" w:lineRule="exact"/>
        <w:ind w:left="283" w:hanging="283"/>
        <w:jc w:val="both"/>
        <w:rPr>
          <w:rFonts w:ascii="FrankRuehl" w:hAnsi="FrankRuehl" w:cs="FrankRuehl"/>
          <w:b w:val="0"/>
          <w:bCs w:val="0"/>
          <w:u w:val="none"/>
          <w:rtl/>
        </w:rPr>
      </w:pPr>
      <w:r w:rsidRPr="00BB096D">
        <w:rPr>
          <w:rFonts w:hint="cs"/>
          <w:b w:val="0"/>
          <w:bCs w:val="0"/>
          <w:u w:val="none"/>
          <w:rtl/>
        </w:rPr>
        <w:t>ת</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F731F" w14:paraId="5623FB7A" w14:textId="77777777">
        <w:trPr>
          <w:trHeight w:val="355"/>
          <w:jc w:val="center"/>
        </w:trPr>
        <w:tc>
          <w:tcPr>
            <w:tcW w:w="8820" w:type="dxa"/>
            <w:tcBorders>
              <w:top w:val="nil"/>
              <w:left w:val="nil"/>
              <w:bottom w:val="nil"/>
              <w:right w:val="nil"/>
            </w:tcBorders>
            <w:shd w:val="clear" w:color="auto" w:fill="auto"/>
          </w:tcPr>
          <w:p w14:paraId="79A506B9" w14:textId="77777777" w:rsidR="00EB3591" w:rsidRPr="00EB3591" w:rsidRDefault="00EB3591" w:rsidP="00EB3591">
            <w:pPr>
              <w:jc w:val="center"/>
              <w:rPr>
                <w:rFonts w:ascii="Arial" w:hAnsi="Arial"/>
                <w:b/>
                <w:bCs/>
                <w:sz w:val="32"/>
                <w:szCs w:val="32"/>
                <w:u w:val="single"/>
                <w:rtl/>
              </w:rPr>
            </w:pPr>
            <w:bookmarkStart w:id="5" w:name="PsakDin" w:colFirst="0" w:colLast="0"/>
            <w:bookmarkEnd w:id="0"/>
            <w:r w:rsidRPr="00EB3591">
              <w:rPr>
                <w:rFonts w:ascii="Arial" w:hAnsi="Arial"/>
                <w:b/>
                <w:bCs/>
                <w:sz w:val="32"/>
                <w:szCs w:val="32"/>
                <w:u w:val="single"/>
                <w:rtl/>
              </w:rPr>
              <w:t>גזר דין</w:t>
            </w:r>
          </w:p>
          <w:p w14:paraId="4AFFE5E9" w14:textId="77777777" w:rsidR="009F731F" w:rsidRPr="00EB3591" w:rsidRDefault="009F731F" w:rsidP="00EB3591">
            <w:pPr>
              <w:jc w:val="center"/>
              <w:rPr>
                <w:rFonts w:ascii="Arial" w:hAnsi="Arial"/>
                <w:b/>
                <w:bCs/>
                <w:sz w:val="32"/>
                <w:szCs w:val="32"/>
                <w:u w:val="single"/>
                <w:rtl/>
              </w:rPr>
            </w:pPr>
          </w:p>
        </w:tc>
      </w:tr>
      <w:bookmarkEnd w:id="5"/>
    </w:tbl>
    <w:p w14:paraId="3D735D60" w14:textId="77777777" w:rsidR="009F731F" w:rsidRPr="00B05847" w:rsidRDefault="009F731F" w:rsidP="009F731F">
      <w:pPr>
        <w:rPr>
          <w:rFonts w:ascii="Arial" w:hAnsi="Arial"/>
          <w:rtl/>
        </w:rPr>
      </w:pPr>
    </w:p>
    <w:p w14:paraId="0DD1EE7D" w14:textId="77777777" w:rsidR="009F731F" w:rsidRDefault="009F731F" w:rsidP="009F731F">
      <w:pPr>
        <w:rPr>
          <w:rFonts w:ascii="Arial" w:hAnsi="Arial"/>
          <w:rtl/>
        </w:rPr>
      </w:pPr>
    </w:p>
    <w:p w14:paraId="49B6F73E" w14:textId="77777777" w:rsidR="009F731F" w:rsidRPr="00DA6132" w:rsidRDefault="009F731F" w:rsidP="009F731F">
      <w:pPr>
        <w:spacing w:line="360" w:lineRule="auto"/>
        <w:jc w:val="both"/>
        <w:rPr>
          <w:rFonts w:ascii="Brush Script MT" w:hAnsi="Brush Script MT"/>
        </w:rPr>
      </w:pPr>
      <w:r>
        <w:rPr>
          <w:rFonts w:ascii="Brush Script MT" w:hAnsi="Brush Script MT" w:hint="cs"/>
          <w:b/>
          <w:bCs/>
          <w:u w:val="single"/>
          <w:rtl/>
        </w:rPr>
        <w:t>פתח דבר</w:t>
      </w:r>
      <w:r>
        <w:rPr>
          <w:rFonts w:ascii="Brush Script MT" w:hAnsi="Brush Script MT" w:hint="cs"/>
          <w:rtl/>
        </w:rPr>
        <w:t>:</w:t>
      </w:r>
    </w:p>
    <w:p w14:paraId="0B37EA75" w14:textId="77777777" w:rsidR="009F731F" w:rsidRDefault="009F731F" w:rsidP="009F731F">
      <w:pPr>
        <w:spacing w:line="360" w:lineRule="auto"/>
        <w:rPr>
          <w:rFonts w:ascii="Brush Script MT" w:hAnsi="Brush Script MT"/>
          <w:b/>
          <w:bCs/>
          <w:u w:val="single"/>
          <w:rtl/>
        </w:rPr>
      </w:pPr>
    </w:p>
    <w:p w14:paraId="7B2A3150" w14:textId="77777777" w:rsidR="009F731F" w:rsidRDefault="009F731F" w:rsidP="009F731F">
      <w:pPr>
        <w:spacing w:line="360" w:lineRule="auto"/>
        <w:ind w:left="720" w:hanging="720"/>
        <w:jc w:val="both"/>
        <w:rPr>
          <w:rtl/>
        </w:rPr>
      </w:pPr>
      <w:r>
        <w:rPr>
          <w:rFonts w:hint="cs"/>
          <w:rtl/>
        </w:rPr>
        <w:t xml:space="preserve">1. </w:t>
      </w:r>
      <w:r>
        <w:rPr>
          <w:rFonts w:hint="cs"/>
          <w:rtl/>
        </w:rPr>
        <w:tab/>
      </w:r>
      <w:bookmarkStart w:id="6" w:name="ABSTRACT_START"/>
      <w:bookmarkEnd w:id="6"/>
      <w:r>
        <w:rPr>
          <w:rFonts w:hint="cs"/>
          <w:rtl/>
        </w:rPr>
        <w:t xml:space="preserve">הנאשם הורשע על פי הודאתו, במסגרת הסדר טיעון, בעבירות של שוד בנסיבות מחמירות </w:t>
      </w:r>
      <w:r>
        <w:rPr>
          <w:rtl/>
        </w:rPr>
        <w:t>–</w:t>
      </w:r>
      <w:r>
        <w:rPr>
          <w:rFonts w:hint="cs"/>
          <w:rtl/>
        </w:rPr>
        <w:t xml:space="preserve"> עבירה לפי </w:t>
      </w:r>
      <w:hyperlink r:id="rId16" w:history="1">
        <w:r w:rsidR="00927881" w:rsidRPr="00927881">
          <w:rPr>
            <w:color w:val="0000FF"/>
            <w:u w:val="single"/>
            <w:rtl/>
          </w:rPr>
          <w:t>סעיפים 402(ב)</w:t>
        </w:r>
      </w:hyperlink>
      <w:r>
        <w:rPr>
          <w:rFonts w:hint="cs"/>
          <w:rtl/>
        </w:rPr>
        <w:t xml:space="preserve"> ו- </w:t>
      </w:r>
      <w:hyperlink r:id="rId17" w:history="1">
        <w:r w:rsidR="00927881" w:rsidRPr="00927881">
          <w:rPr>
            <w:color w:val="0000FF"/>
            <w:u w:val="single"/>
            <w:rtl/>
          </w:rPr>
          <w:t>29(א)</w:t>
        </w:r>
      </w:hyperlink>
      <w:r>
        <w:rPr>
          <w:rFonts w:hint="cs"/>
          <w:rtl/>
        </w:rPr>
        <w:t xml:space="preserve"> ו- </w:t>
      </w:r>
      <w:hyperlink r:id="rId18" w:history="1">
        <w:r w:rsidR="00927881" w:rsidRPr="00927881">
          <w:rPr>
            <w:color w:val="0000FF"/>
            <w:u w:val="single"/>
            <w:rtl/>
          </w:rPr>
          <w:t>(ב)</w:t>
        </w:r>
      </w:hyperlink>
      <w:r>
        <w:rPr>
          <w:rFonts w:hint="cs"/>
          <w:rtl/>
        </w:rPr>
        <w:t xml:space="preserve"> ל</w:t>
      </w:r>
      <w:hyperlink r:id="rId19" w:history="1">
        <w:r w:rsidR="00EB3591" w:rsidRPr="00EB3591">
          <w:rPr>
            <w:color w:val="0000FF"/>
            <w:u w:val="single"/>
            <w:rtl/>
          </w:rPr>
          <w:t>חוק העונשין</w:t>
        </w:r>
      </w:hyperlink>
      <w:r>
        <w:rPr>
          <w:rFonts w:hint="cs"/>
          <w:rtl/>
        </w:rPr>
        <w:t>, התשל"ז-1977 (להלן: "</w:t>
      </w:r>
      <w:r>
        <w:rPr>
          <w:rFonts w:hint="cs"/>
          <w:b/>
          <w:bCs/>
          <w:rtl/>
        </w:rPr>
        <w:t>חוק העונשין</w:t>
      </w:r>
      <w:r>
        <w:rPr>
          <w:rFonts w:hint="cs"/>
          <w:rtl/>
        </w:rPr>
        <w:t xml:space="preserve">"); קשר לפשע </w:t>
      </w:r>
      <w:r>
        <w:rPr>
          <w:rtl/>
        </w:rPr>
        <w:t>–</w:t>
      </w:r>
      <w:r>
        <w:rPr>
          <w:rFonts w:hint="cs"/>
          <w:rtl/>
        </w:rPr>
        <w:t xml:space="preserve"> עבירה לפי </w:t>
      </w:r>
      <w:hyperlink r:id="rId20" w:history="1">
        <w:r w:rsidR="00927881" w:rsidRPr="00927881">
          <w:rPr>
            <w:color w:val="0000FF"/>
            <w:u w:val="single"/>
            <w:rtl/>
          </w:rPr>
          <w:t>סעיף 499(א)(1)</w:t>
        </w:r>
      </w:hyperlink>
      <w:r>
        <w:rPr>
          <w:rFonts w:hint="cs"/>
          <w:rtl/>
        </w:rPr>
        <w:t xml:space="preserve">; נשיאת והובלת נשק </w:t>
      </w:r>
      <w:r>
        <w:rPr>
          <w:rtl/>
        </w:rPr>
        <w:t>–</w:t>
      </w:r>
      <w:r>
        <w:rPr>
          <w:rFonts w:hint="cs"/>
          <w:rtl/>
        </w:rPr>
        <w:t xml:space="preserve"> עבירה לפי </w:t>
      </w:r>
      <w:hyperlink r:id="rId21" w:history="1">
        <w:r w:rsidR="00927881" w:rsidRPr="00927881">
          <w:rPr>
            <w:color w:val="0000FF"/>
            <w:u w:val="single"/>
            <w:rtl/>
          </w:rPr>
          <w:t>סעיפים 144(ב)</w:t>
        </w:r>
      </w:hyperlink>
      <w:r>
        <w:rPr>
          <w:rFonts w:hint="cs"/>
          <w:rtl/>
        </w:rPr>
        <w:t xml:space="preserve"> סיפא בהקשר עם </w:t>
      </w:r>
      <w:hyperlink r:id="rId22" w:history="1">
        <w:r w:rsidR="00927881" w:rsidRPr="00927881">
          <w:rPr>
            <w:color w:val="0000FF"/>
            <w:u w:val="single"/>
            <w:rtl/>
          </w:rPr>
          <w:t>סעיף 144(ג)</w:t>
        </w:r>
      </w:hyperlink>
      <w:r>
        <w:rPr>
          <w:rFonts w:hint="cs"/>
          <w:rtl/>
        </w:rPr>
        <w:t xml:space="preserve"> וביחד עם </w:t>
      </w:r>
      <w:hyperlink r:id="rId23" w:history="1">
        <w:r w:rsidR="00927881" w:rsidRPr="00927881">
          <w:rPr>
            <w:color w:val="0000FF"/>
            <w:u w:val="single"/>
            <w:rtl/>
          </w:rPr>
          <w:t>סעיף 29</w:t>
        </w:r>
      </w:hyperlink>
      <w:r>
        <w:rPr>
          <w:rFonts w:hint="cs"/>
          <w:rtl/>
        </w:rPr>
        <w:t xml:space="preserve">; וכן עבירה של זיוף סימני זיהוי של רכב </w:t>
      </w:r>
      <w:r>
        <w:rPr>
          <w:rtl/>
        </w:rPr>
        <w:t>–</w:t>
      </w:r>
      <w:r>
        <w:rPr>
          <w:rFonts w:hint="cs"/>
          <w:rtl/>
        </w:rPr>
        <w:t xml:space="preserve"> לפי </w:t>
      </w:r>
      <w:hyperlink r:id="rId24" w:history="1">
        <w:r w:rsidR="00927881" w:rsidRPr="00927881">
          <w:rPr>
            <w:color w:val="0000FF"/>
            <w:u w:val="single"/>
            <w:rtl/>
          </w:rPr>
          <w:t>סעיף 413ט</w:t>
        </w:r>
      </w:hyperlink>
      <w:r>
        <w:rPr>
          <w:rFonts w:hint="cs"/>
          <w:rtl/>
        </w:rPr>
        <w:t xml:space="preserve"> </w:t>
      </w:r>
      <w:hyperlink r:id="rId25" w:history="1">
        <w:r w:rsidR="00927881" w:rsidRPr="00927881">
          <w:rPr>
            <w:color w:val="0000FF"/>
            <w:u w:val="single"/>
            <w:rtl/>
          </w:rPr>
          <w:t>וסעיף 29</w:t>
        </w:r>
      </w:hyperlink>
      <w:r>
        <w:rPr>
          <w:rFonts w:hint="cs"/>
          <w:rtl/>
        </w:rPr>
        <w:t>, הכל לחוק העונשין.</w:t>
      </w:r>
    </w:p>
    <w:p w14:paraId="1CB2CDB7" w14:textId="77777777" w:rsidR="009F731F" w:rsidRPr="005335E5" w:rsidRDefault="009F731F" w:rsidP="009F731F">
      <w:pPr>
        <w:spacing w:after="120" w:line="360" w:lineRule="auto"/>
        <w:rPr>
          <w:rFonts w:ascii="Calibri" w:hAnsi="Calibri"/>
          <w:b/>
          <w:bCs/>
          <w:u w:val="single"/>
          <w:rtl/>
        </w:rPr>
      </w:pPr>
      <w:bookmarkStart w:id="7" w:name="ABSTRACT_END"/>
      <w:bookmarkEnd w:id="7"/>
    </w:p>
    <w:p w14:paraId="128A9E81" w14:textId="77777777" w:rsidR="009F731F" w:rsidRPr="005335E5" w:rsidRDefault="009F731F" w:rsidP="009F731F">
      <w:pPr>
        <w:spacing w:after="120" w:line="360" w:lineRule="auto"/>
        <w:rPr>
          <w:rFonts w:ascii="Calibri" w:hAnsi="Calibri"/>
          <w:b/>
          <w:bCs/>
          <w:rtl/>
        </w:rPr>
      </w:pPr>
      <w:r w:rsidRPr="005335E5">
        <w:rPr>
          <w:rFonts w:ascii="Calibri" w:hAnsi="Calibri" w:hint="cs"/>
          <w:b/>
          <w:bCs/>
          <w:u w:val="single"/>
          <w:rtl/>
        </w:rPr>
        <w:t>עובדות כתב האישום המתוקן</w:t>
      </w:r>
      <w:r w:rsidRPr="005335E5">
        <w:rPr>
          <w:rFonts w:ascii="Calibri" w:hAnsi="Calibri" w:hint="cs"/>
          <w:b/>
          <w:bCs/>
          <w:rtl/>
        </w:rPr>
        <w:t>:</w:t>
      </w:r>
    </w:p>
    <w:p w14:paraId="6AEF771A" w14:textId="77777777" w:rsidR="009F731F" w:rsidRPr="005335E5" w:rsidRDefault="009F731F" w:rsidP="009F731F">
      <w:pPr>
        <w:spacing w:after="120" w:line="360" w:lineRule="auto"/>
        <w:rPr>
          <w:rFonts w:ascii="Calibri" w:hAnsi="Calibri"/>
          <w:b/>
          <w:bCs/>
          <w:rtl/>
        </w:rPr>
      </w:pPr>
    </w:p>
    <w:p w14:paraId="7FB92225" w14:textId="77777777" w:rsidR="009F731F" w:rsidRPr="005335E5" w:rsidRDefault="009F731F" w:rsidP="009F731F">
      <w:pPr>
        <w:spacing w:after="120" w:line="360" w:lineRule="auto"/>
        <w:ind w:left="720" w:hanging="720"/>
        <w:jc w:val="both"/>
        <w:rPr>
          <w:rFonts w:ascii="Calibri" w:hAnsi="Calibri"/>
          <w:rtl/>
        </w:rPr>
      </w:pPr>
      <w:r w:rsidRPr="005335E5">
        <w:rPr>
          <w:rFonts w:ascii="Calibri" w:hAnsi="Calibri" w:hint="cs"/>
          <w:rtl/>
        </w:rPr>
        <w:lastRenderedPageBreak/>
        <w:t>2.</w:t>
      </w:r>
      <w:r w:rsidRPr="005335E5">
        <w:rPr>
          <w:rFonts w:ascii="Calibri" w:hAnsi="Calibri"/>
          <w:rtl/>
        </w:rPr>
        <w:tab/>
      </w:r>
      <w:r w:rsidRPr="005335E5">
        <w:rPr>
          <w:rFonts w:ascii="Calibri" w:hAnsi="Calibri" w:hint="cs"/>
          <w:rtl/>
        </w:rPr>
        <w:t xml:space="preserve">ביום 29/10/15 או במועד שקדם לכך (מועד מדויק אינו ידוע למאשימה), קשר הנאשם יחד עם אחר (להלן: </w:t>
      </w:r>
      <w:r w:rsidRPr="005335E5">
        <w:rPr>
          <w:rFonts w:ascii="Calibri" w:hAnsi="Calibri" w:hint="cs"/>
          <w:b/>
          <w:bCs/>
          <w:rtl/>
        </w:rPr>
        <w:t>"האחר או הנאשם האחר</w:t>
      </w:r>
      <w:r w:rsidRPr="005335E5">
        <w:rPr>
          <w:rFonts w:ascii="Calibri" w:hAnsi="Calibri" w:hint="cs"/>
          <w:rtl/>
        </w:rPr>
        <w:t xml:space="preserve">") קשר לשדוד בית העסק "תצוגת אבו אלחסן" שבכפר דיר חנא - (להלן: </w:t>
      </w:r>
      <w:r w:rsidRPr="005335E5">
        <w:rPr>
          <w:rFonts w:ascii="Calibri" w:hAnsi="Calibri" w:hint="cs"/>
          <w:b/>
          <w:bCs/>
          <w:rtl/>
        </w:rPr>
        <w:t>"החנות</w:t>
      </w:r>
      <w:r w:rsidRPr="005335E5">
        <w:rPr>
          <w:rFonts w:ascii="Calibri" w:hAnsi="Calibri" w:hint="cs"/>
          <w:rtl/>
        </w:rPr>
        <w:t>"). לשם כך, הצטיידו הנאשם והאחר באקדח, מעילים וכובעי גרב.</w:t>
      </w:r>
    </w:p>
    <w:p w14:paraId="7C5FCF76" w14:textId="77777777" w:rsidR="009F731F" w:rsidRPr="005335E5" w:rsidRDefault="009F731F" w:rsidP="009F731F">
      <w:pPr>
        <w:spacing w:after="120" w:line="360" w:lineRule="auto"/>
        <w:ind w:left="720" w:hanging="720"/>
        <w:jc w:val="both"/>
        <w:rPr>
          <w:rFonts w:ascii="Calibri" w:hAnsi="Calibri"/>
          <w:rtl/>
        </w:rPr>
      </w:pPr>
    </w:p>
    <w:p w14:paraId="02A6E2F9" w14:textId="77777777" w:rsidR="009F731F" w:rsidRPr="005335E5" w:rsidRDefault="009F731F" w:rsidP="009F731F">
      <w:pPr>
        <w:spacing w:after="120" w:line="360" w:lineRule="auto"/>
        <w:ind w:left="720" w:hanging="720"/>
        <w:jc w:val="both"/>
        <w:rPr>
          <w:rFonts w:ascii="Calibri" w:hAnsi="Calibri"/>
          <w:rtl/>
        </w:rPr>
      </w:pPr>
      <w:r w:rsidRPr="005335E5">
        <w:rPr>
          <w:rFonts w:ascii="Calibri" w:hAnsi="Calibri" w:hint="cs"/>
          <w:rtl/>
        </w:rPr>
        <w:t>3.</w:t>
      </w:r>
      <w:r w:rsidRPr="005335E5">
        <w:rPr>
          <w:rFonts w:ascii="Calibri" w:hAnsi="Calibri" w:hint="cs"/>
          <w:rtl/>
        </w:rPr>
        <w:tab/>
      </w:r>
      <w:r>
        <w:rPr>
          <w:rFonts w:hint="cs"/>
          <w:rtl/>
        </w:rPr>
        <w:t>במסגרת הקשר ולצורך קידומו</w:t>
      </w:r>
      <w:r w:rsidRPr="005335E5">
        <w:rPr>
          <w:rFonts w:ascii="Calibri" w:hAnsi="Calibri" w:hint="cs"/>
          <w:rtl/>
        </w:rPr>
        <w:t>, הנאשם והאחר הסירו בצוותא חדא את לוחיות הזיהוי של רכב מסוג שברולט בצבע כסף, מ.ר. 6512535, השייך לנאשם - (להלן: "</w:t>
      </w:r>
      <w:r w:rsidRPr="005335E5">
        <w:rPr>
          <w:rFonts w:ascii="Calibri" w:hAnsi="Calibri" w:hint="cs"/>
          <w:b/>
          <w:bCs/>
          <w:rtl/>
        </w:rPr>
        <w:t>הרכב"</w:t>
      </w:r>
      <w:r w:rsidRPr="005335E5">
        <w:rPr>
          <w:rFonts w:ascii="Calibri" w:hAnsi="Calibri" w:hint="cs"/>
          <w:rtl/>
        </w:rPr>
        <w:t xml:space="preserve">), והתקינו במקומן שתי לוחיות זיהוי שונות שהיו ברשותם. </w:t>
      </w:r>
    </w:p>
    <w:p w14:paraId="575E1CBC" w14:textId="77777777" w:rsidR="009F731F" w:rsidRPr="005335E5" w:rsidRDefault="009F731F" w:rsidP="009F731F">
      <w:pPr>
        <w:spacing w:after="120" w:line="360" w:lineRule="auto"/>
        <w:ind w:left="720" w:hanging="720"/>
        <w:jc w:val="both"/>
        <w:rPr>
          <w:rFonts w:ascii="Calibri" w:hAnsi="Calibri"/>
          <w:rtl/>
        </w:rPr>
      </w:pPr>
    </w:p>
    <w:p w14:paraId="50812D91" w14:textId="77777777" w:rsidR="009F731F" w:rsidRPr="005335E5" w:rsidRDefault="009F731F" w:rsidP="009F731F">
      <w:pPr>
        <w:spacing w:after="120" w:line="360" w:lineRule="auto"/>
        <w:ind w:left="720" w:hanging="720"/>
        <w:jc w:val="both"/>
        <w:rPr>
          <w:rFonts w:ascii="Calibri" w:hAnsi="Calibri"/>
          <w:rtl/>
        </w:rPr>
      </w:pPr>
      <w:r w:rsidRPr="005335E5">
        <w:rPr>
          <w:rFonts w:ascii="Calibri" w:hAnsi="Calibri" w:hint="cs"/>
          <w:rtl/>
        </w:rPr>
        <w:t>4.</w:t>
      </w:r>
      <w:r w:rsidRPr="005335E5">
        <w:rPr>
          <w:rFonts w:ascii="Calibri" w:hAnsi="Calibri" w:hint="cs"/>
          <w:rtl/>
        </w:rPr>
        <w:tab/>
        <w:t xml:space="preserve">באותו יום בשעה 17:40 לערך, הגיע הנאשם והאחר לחנות, כאשר האחר נוהג ברכב והנאשם יושב לצדו, כשהם לבושים מעילים וחובשים על ראשם כובעי הגרב, הכל במטרה להקשות על זיהויים. באותה עת עבד בחנות נאורס אבו אלחוף - (להלן: </w:t>
      </w:r>
      <w:r w:rsidRPr="005335E5">
        <w:rPr>
          <w:rFonts w:ascii="Calibri" w:hAnsi="Calibri" w:hint="cs"/>
          <w:b/>
          <w:bCs/>
          <w:rtl/>
        </w:rPr>
        <w:t>"המתלונן</w:t>
      </w:r>
      <w:r w:rsidRPr="005335E5">
        <w:rPr>
          <w:rFonts w:ascii="Calibri" w:hAnsi="Calibri" w:hint="cs"/>
          <w:rtl/>
        </w:rPr>
        <w:t xml:space="preserve">"). בהגיעם סמוך לחנות, ירדו השניים מהרכב כאשר אחד מהם מחזיק את האקדח בידו, נכנסו לחנות כשהם רעולי פנים התקרבו למתלונן באיומי אקדח דרשו ממנו למסור להם את הכסף. המתלונן נענה לדרישותיהם ומסר להם סכום של כ-10,000 </w:t>
      </w:r>
      <w:r w:rsidRPr="005335E5">
        <w:rPr>
          <w:rFonts w:ascii="Calibri" w:hAnsi="Calibri" w:hint="eastAsia"/>
          <w:rtl/>
        </w:rPr>
        <w:t>₪</w:t>
      </w:r>
      <w:r w:rsidRPr="005335E5">
        <w:rPr>
          <w:rFonts w:ascii="Calibri" w:hAnsi="Calibri" w:hint="cs"/>
          <w:rtl/>
        </w:rPr>
        <w:t xml:space="preserve"> שהיה בכיסיו. בנוסף, נטל הנאשם את הטלפון הנייד של המתלונן שהיה מונח על הכיסא שלידו. הנאשם והאחר יצאו בריצה מהחנות, נמלטו ברכב כאשר הנאשם האחר נוהג והנאשם יושב לידו.</w:t>
      </w:r>
    </w:p>
    <w:p w14:paraId="06BDF948" w14:textId="77777777" w:rsidR="009F731F" w:rsidRPr="005335E5" w:rsidRDefault="009F731F" w:rsidP="009F731F">
      <w:pPr>
        <w:spacing w:after="120" w:line="360" w:lineRule="auto"/>
        <w:ind w:left="720" w:hanging="720"/>
        <w:jc w:val="both"/>
        <w:rPr>
          <w:rFonts w:ascii="Calibri" w:hAnsi="Calibri"/>
          <w:rtl/>
        </w:rPr>
      </w:pPr>
    </w:p>
    <w:p w14:paraId="4110FE52" w14:textId="77777777" w:rsidR="009F731F" w:rsidRPr="005335E5" w:rsidRDefault="009F731F" w:rsidP="009F731F">
      <w:pPr>
        <w:spacing w:after="120" w:line="360" w:lineRule="auto"/>
        <w:ind w:left="720" w:hanging="720"/>
        <w:jc w:val="both"/>
        <w:rPr>
          <w:rFonts w:ascii="Calibri" w:hAnsi="Calibri"/>
          <w:rtl/>
        </w:rPr>
      </w:pPr>
      <w:r w:rsidRPr="005335E5">
        <w:rPr>
          <w:rFonts w:ascii="Calibri" w:hAnsi="Calibri" w:hint="cs"/>
          <w:rtl/>
        </w:rPr>
        <w:t>5.</w:t>
      </w:r>
      <w:r w:rsidRPr="005335E5">
        <w:rPr>
          <w:rFonts w:ascii="Calibri" w:hAnsi="Calibri" w:hint="cs"/>
          <w:rtl/>
        </w:rPr>
        <w:tab/>
        <w:t xml:space="preserve">המתלונן רץ אחרי הרכב, כשהוא צועק בקול רם כי גנבו את כספו, אך עקב לחץ תנועה שהיה במקום שהקשה על הנאשם והאחר להימלט, הצליח המתלונן להתקרב לדלת הנהג </w:t>
      </w:r>
      <w:r w:rsidRPr="005335E5">
        <w:rPr>
          <w:rFonts w:ascii="Calibri" w:hAnsi="Calibri"/>
          <w:rtl/>
        </w:rPr>
        <w:t>–</w:t>
      </w:r>
      <w:r w:rsidRPr="005335E5">
        <w:rPr>
          <w:rFonts w:ascii="Calibri" w:hAnsi="Calibri" w:hint="cs"/>
          <w:rtl/>
        </w:rPr>
        <w:t xml:space="preserve"> האחר, ואז האחר ירה באקדח כדור אחד באוויר, במטרה להפחיד את המתלונן וברחו מהמקום. </w:t>
      </w:r>
    </w:p>
    <w:p w14:paraId="43F96E59" w14:textId="77777777" w:rsidR="009F731F" w:rsidRDefault="009F731F" w:rsidP="009F731F">
      <w:pPr>
        <w:spacing w:line="360" w:lineRule="auto"/>
        <w:jc w:val="both"/>
        <w:rPr>
          <w:b/>
          <w:bCs/>
          <w:u w:val="single"/>
          <w:rtl/>
        </w:rPr>
      </w:pPr>
    </w:p>
    <w:p w14:paraId="530B2F03" w14:textId="77777777" w:rsidR="009F731F" w:rsidRDefault="009F731F" w:rsidP="009F731F">
      <w:pPr>
        <w:spacing w:line="360" w:lineRule="auto"/>
        <w:jc w:val="both"/>
        <w:rPr>
          <w:b/>
          <w:bCs/>
          <w:rtl/>
        </w:rPr>
      </w:pPr>
      <w:r>
        <w:rPr>
          <w:rFonts w:hint="cs"/>
          <w:b/>
          <w:bCs/>
          <w:u w:val="single"/>
          <w:rtl/>
        </w:rPr>
        <w:t>הסדר הטיעון</w:t>
      </w:r>
      <w:r>
        <w:rPr>
          <w:rFonts w:hint="cs"/>
          <w:b/>
          <w:bCs/>
          <w:rtl/>
        </w:rPr>
        <w:t>:</w:t>
      </w:r>
    </w:p>
    <w:p w14:paraId="6F176865" w14:textId="77777777" w:rsidR="009F731F" w:rsidRDefault="009F731F" w:rsidP="009F731F">
      <w:pPr>
        <w:spacing w:line="360" w:lineRule="auto"/>
        <w:jc w:val="both"/>
        <w:rPr>
          <w:rtl/>
        </w:rPr>
      </w:pPr>
    </w:p>
    <w:p w14:paraId="700CD084" w14:textId="77777777" w:rsidR="009F731F" w:rsidRDefault="009F731F" w:rsidP="009F731F">
      <w:pPr>
        <w:spacing w:line="360" w:lineRule="auto"/>
        <w:ind w:left="720" w:hanging="720"/>
        <w:jc w:val="both"/>
        <w:rPr>
          <w:rtl/>
        </w:rPr>
      </w:pPr>
      <w:r>
        <w:rPr>
          <w:rFonts w:hint="cs"/>
          <w:rtl/>
        </w:rPr>
        <w:t>6.</w:t>
      </w:r>
      <w:r>
        <w:rPr>
          <w:rFonts w:hint="cs"/>
          <w:rtl/>
        </w:rPr>
        <w:tab/>
        <w:t>בהתאם להסדר הטיעון, הנאשם חזר בו מכפירתו, הוגש כתב אישום מתוקן, שסומן באות "א", בהתאם לעובדות שהובאו לעיל. הנאשם הודה בעובדות כתב האישום המתוקן והורשע בדין. הטיעון לעונש היה חופשי.</w:t>
      </w:r>
    </w:p>
    <w:p w14:paraId="36A85276" w14:textId="77777777" w:rsidR="009F731F" w:rsidRDefault="009F731F" w:rsidP="009F731F">
      <w:pPr>
        <w:spacing w:line="360" w:lineRule="auto"/>
        <w:ind w:left="720" w:hanging="720"/>
        <w:jc w:val="both"/>
        <w:rPr>
          <w:rtl/>
        </w:rPr>
      </w:pPr>
    </w:p>
    <w:p w14:paraId="7270521B" w14:textId="77777777" w:rsidR="009F731F" w:rsidRDefault="009F731F" w:rsidP="009F731F">
      <w:pPr>
        <w:spacing w:line="360" w:lineRule="auto"/>
        <w:ind w:left="720" w:hanging="720"/>
        <w:jc w:val="both"/>
        <w:rPr>
          <w:rtl/>
        </w:rPr>
      </w:pPr>
      <w:r>
        <w:rPr>
          <w:rFonts w:hint="cs"/>
          <w:rtl/>
        </w:rPr>
        <w:t>7.</w:t>
      </w:r>
      <w:r>
        <w:rPr>
          <w:rFonts w:hint="cs"/>
          <w:rtl/>
        </w:rPr>
        <w:tab/>
        <w:t xml:space="preserve">לבקשת הסנגור, הופנה הנאשם לשירות המבחן, לקבלת תסקיר בעניינו. </w:t>
      </w:r>
    </w:p>
    <w:p w14:paraId="5A0ABC76" w14:textId="77777777" w:rsidR="009F731F" w:rsidRDefault="009F731F" w:rsidP="009F731F">
      <w:pPr>
        <w:spacing w:line="360" w:lineRule="auto"/>
        <w:jc w:val="both"/>
        <w:rPr>
          <w:rtl/>
        </w:rPr>
      </w:pPr>
    </w:p>
    <w:p w14:paraId="68ECCF02" w14:textId="77777777" w:rsidR="009F731F" w:rsidRDefault="009F731F" w:rsidP="009F731F">
      <w:pPr>
        <w:spacing w:line="360" w:lineRule="auto"/>
        <w:ind w:left="720" w:hanging="720"/>
        <w:jc w:val="both"/>
        <w:rPr>
          <w:rFonts w:ascii="Brush Script MT" w:hAnsi="Brush Script MT"/>
          <w:rtl/>
        </w:rPr>
      </w:pPr>
      <w:r w:rsidRPr="0009093F">
        <w:rPr>
          <w:rFonts w:ascii="Brush Script MT" w:hAnsi="Brush Script MT" w:hint="cs"/>
          <w:b/>
          <w:bCs/>
          <w:u w:val="single"/>
          <w:rtl/>
        </w:rPr>
        <w:t>תסקיר שירות המבחן</w:t>
      </w:r>
      <w:r>
        <w:rPr>
          <w:rFonts w:ascii="Brush Script MT" w:hAnsi="Brush Script MT" w:hint="cs"/>
          <w:rtl/>
        </w:rPr>
        <w:t>:</w:t>
      </w:r>
    </w:p>
    <w:p w14:paraId="5FCE7F41" w14:textId="77777777" w:rsidR="009F731F" w:rsidRDefault="009F731F" w:rsidP="009F731F">
      <w:pPr>
        <w:spacing w:line="360" w:lineRule="auto"/>
        <w:ind w:left="720" w:hanging="720"/>
        <w:jc w:val="both"/>
        <w:rPr>
          <w:rFonts w:ascii="Brush Script MT" w:hAnsi="Brush Script MT"/>
          <w:rtl/>
        </w:rPr>
      </w:pPr>
    </w:p>
    <w:p w14:paraId="0FF4C04D" w14:textId="77777777" w:rsidR="009F731F" w:rsidRDefault="009F731F" w:rsidP="009F731F">
      <w:pPr>
        <w:spacing w:line="360" w:lineRule="auto"/>
        <w:ind w:left="720" w:hanging="720"/>
        <w:jc w:val="both"/>
        <w:rPr>
          <w:rFonts w:ascii="Brush Script MT" w:hAnsi="Brush Script MT"/>
          <w:rtl/>
        </w:rPr>
      </w:pPr>
      <w:r>
        <w:rPr>
          <w:rFonts w:ascii="Brush Script MT" w:hAnsi="Brush Script MT" w:hint="cs"/>
          <w:rtl/>
        </w:rPr>
        <w:lastRenderedPageBreak/>
        <w:t>8.</w:t>
      </w:r>
      <w:r>
        <w:rPr>
          <w:rFonts w:ascii="Brush Script MT" w:hAnsi="Brush Script MT" w:hint="cs"/>
          <w:rtl/>
        </w:rPr>
        <w:tab/>
        <w:t xml:space="preserve">בתאריך 18/4/16 הוגש תסקיר שירות המבחן בעניינו של הנאשם, אשר התבסס ברובו על עיון בכתב האישום המתוקן, פרוטוקולי בית המשפט וברישום הפלילי המעודכן. </w:t>
      </w:r>
    </w:p>
    <w:p w14:paraId="3B81FBBA" w14:textId="77777777" w:rsidR="009F731F" w:rsidRDefault="009F731F" w:rsidP="009F731F">
      <w:pPr>
        <w:spacing w:line="360" w:lineRule="auto"/>
        <w:ind w:left="720" w:hanging="720"/>
        <w:jc w:val="both"/>
        <w:rPr>
          <w:rFonts w:ascii="Brush Script MT" w:hAnsi="Brush Script MT"/>
          <w:rtl/>
        </w:rPr>
      </w:pPr>
    </w:p>
    <w:p w14:paraId="04A2D96D" w14:textId="77777777" w:rsidR="009F731F" w:rsidRDefault="009F731F" w:rsidP="009F731F">
      <w:pPr>
        <w:spacing w:line="360" w:lineRule="auto"/>
        <w:ind w:left="720" w:hanging="720"/>
        <w:jc w:val="both"/>
        <w:rPr>
          <w:rFonts w:ascii="Brush Script MT" w:hAnsi="Brush Script MT"/>
          <w:rtl/>
        </w:rPr>
      </w:pPr>
      <w:r>
        <w:rPr>
          <w:rFonts w:ascii="Brush Script MT" w:hAnsi="Brush Script MT" w:hint="cs"/>
          <w:rtl/>
        </w:rPr>
        <w:t>9.</w:t>
      </w:r>
      <w:r>
        <w:rPr>
          <w:rFonts w:ascii="Brush Script MT" w:hAnsi="Brush Script MT" w:hint="cs"/>
          <w:rtl/>
        </w:rPr>
        <w:tab/>
        <w:t xml:space="preserve">קצין המבחן סקר את חייו של הנאשם, וציין שמדובר בבחור בן 45, תושב הכפר עראבה, נשוי ואב ל- 2 ילדים קטנים. מכור לסמים קשים דבר שמונע ממנו לשמור על יציבות תעסוקתית. אשתו עקרת בית והם מתקיימים מקצבת נכות המשולמת להם מהמל"ל. </w:t>
      </w:r>
    </w:p>
    <w:p w14:paraId="767BEFAE" w14:textId="77777777" w:rsidR="009F731F" w:rsidRDefault="009F731F" w:rsidP="009F731F">
      <w:pPr>
        <w:spacing w:line="360" w:lineRule="auto"/>
        <w:ind w:left="720" w:hanging="720"/>
        <w:jc w:val="both"/>
        <w:rPr>
          <w:rFonts w:ascii="Brush Script MT" w:hAnsi="Brush Script MT"/>
          <w:rtl/>
        </w:rPr>
      </w:pPr>
    </w:p>
    <w:p w14:paraId="0BA6D230" w14:textId="77777777" w:rsidR="009F731F" w:rsidRDefault="009F731F" w:rsidP="009F731F">
      <w:pPr>
        <w:spacing w:line="360" w:lineRule="auto"/>
        <w:ind w:left="720" w:hanging="720"/>
        <w:jc w:val="both"/>
        <w:rPr>
          <w:rFonts w:ascii="Brush Script MT" w:hAnsi="Brush Script MT"/>
          <w:rtl/>
        </w:rPr>
      </w:pPr>
      <w:r>
        <w:rPr>
          <w:rFonts w:ascii="Brush Script MT" w:hAnsi="Brush Script MT" w:hint="cs"/>
          <w:rtl/>
        </w:rPr>
        <w:t>10.</w:t>
      </w:r>
      <w:r>
        <w:rPr>
          <w:rFonts w:ascii="Brush Script MT" w:hAnsi="Brush Script MT" w:hint="cs"/>
          <w:rtl/>
        </w:rPr>
        <w:tab/>
        <w:t>קצין המבחן הדגיש את העובדה, כי הנאשם הודה בביצוע העבירות שיוחסו לו בכתב האישום המתוקן, אם כי ציין שהנאשם נגרר בקלות אחרי הנאשם האחר שהיה נוהג להצטרף אליו לנסיעות לקבלת תחליף הסם. בנוסף, הודגש כי הנאשם הביע חרטה וצער על מעשיו והביע נכונות להשתלב בהליך טיפולי לצורך גמילה מסמים.</w:t>
      </w:r>
    </w:p>
    <w:p w14:paraId="19DA252D" w14:textId="77777777" w:rsidR="009F731F" w:rsidRDefault="009F731F" w:rsidP="009F731F">
      <w:pPr>
        <w:spacing w:line="360" w:lineRule="auto"/>
        <w:ind w:left="720" w:hanging="720"/>
        <w:jc w:val="both"/>
        <w:rPr>
          <w:rFonts w:ascii="Brush Script MT" w:hAnsi="Brush Script MT"/>
          <w:rtl/>
        </w:rPr>
      </w:pPr>
    </w:p>
    <w:p w14:paraId="60D0E97E" w14:textId="77777777" w:rsidR="009F731F" w:rsidRDefault="009F731F" w:rsidP="009F731F">
      <w:pPr>
        <w:spacing w:line="360" w:lineRule="auto"/>
        <w:ind w:left="720" w:hanging="720"/>
        <w:jc w:val="both"/>
        <w:rPr>
          <w:rFonts w:ascii="Brush Script MT" w:hAnsi="Brush Script MT"/>
          <w:rtl/>
        </w:rPr>
      </w:pPr>
      <w:r>
        <w:rPr>
          <w:rFonts w:ascii="Brush Script MT" w:hAnsi="Brush Script MT" w:hint="cs"/>
          <w:rtl/>
        </w:rPr>
        <w:t>11.</w:t>
      </w:r>
      <w:r>
        <w:rPr>
          <w:rFonts w:ascii="Brush Script MT" w:hAnsi="Brush Script MT" w:hint="cs"/>
          <w:rtl/>
        </w:rPr>
        <w:tab/>
        <w:t>עיון בגיליון הרישום הפלילי מעלה כי לחובת הנאשם 8 הרשעות קודמות בגין עבירות אלימות, סמים ורכוש, כאשר האחרונה משנת 2004 ואף נידון למאסר בפועל בשלוש מהרשעותיו.</w:t>
      </w:r>
    </w:p>
    <w:p w14:paraId="499A5ED0" w14:textId="77777777" w:rsidR="009F731F" w:rsidRDefault="009F731F" w:rsidP="009F731F">
      <w:pPr>
        <w:spacing w:line="360" w:lineRule="auto"/>
        <w:ind w:left="720" w:hanging="720"/>
        <w:jc w:val="both"/>
        <w:rPr>
          <w:rFonts w:ascii="Brush Script MT" w:hAnsi="Brush Script MT"/>
          <w:rtl/>
        </w:rPr>
      </w:pPr>
    </w:p>
    <w:p w14:paraId="42343BD0" w14:textId="77777777" w:rsidR="009F731F" w:rsidRDefault="009F731F" w:rsidP="009F731F">
      <w:pPr>
        <w:spacing w:line="360" w:lineRule="auto"/>
        <w:ind w:left="720" w:hanging="720"/>
        <w:jc w:val="both"/>
        <w:rPr>
          <w:rFonts w:ascii="Brush Script MT" w:hAnsi="Brush Script MT"/>
          <w:rtl/>
        </w:rPr>
      </w:pPr>
      <w:r>
        <w:rPr>
          <w:rFonts w:ascii="Brush Script MT" w:hAnsi="Brush Script MT" w:hint="cs"/>
          <w:rtl/>
        </w:rPr>
        <w:t>12.</w:t>
      </w:r>
      <w:r>
        <w:rPr>
          <w:rFonts w:ascii="Brush Script MT" w:hAnsi="Brush Script MT" w:hint="cs"/>
          <w:rtl/>
        </w:rPr>
        <w:tab/>
        <w:t xml:space="preserve">קצין המבחן התרשם מאדם המצליח להתחבר לחומרת מעשיו ולבעייתיות שבהתנהגותו, וכי המדובר במי שנחשף לסמים מגיל צעיר וניהל אורח חיים בצל התמכרותו לסמים ולתחליפי סם בנוסף לקיומם של דפוסים עברייניים שהביאו להסתבכותו בפלילים. </w:t>
      </w:r>
    </w:p>
    <w:p w14:paraId="68E763C4" w14:textId="77777777" w:rsidR="009F731F" w:rsidRDefault="009F731F" w:rsidP="009F731F">
      <w:pPr>
        <w:spacing w:line="360" w:lineRule="auto"/>
        <w:ind w:left="720" w:hanging="720"/>
        <w:jc w:val="both"/>
        <w:rPr>
          <w:rFonts w:ascii="Brush Script MT" w:hAnsi="Brush Script MT"/>
          <w:rtl/>
        </w:rPr>
      </w:pPr>
    </w:p>
    <w:p w14:paraId="0FEB41CE" w14:textId="77777777" w:rsidR="009F731F" w:rsidRDefault="009F731F" w:rsidP="009F731F">
      <w:pPr>
        <w:spacing w:line="360" w:lineRule="auto"/>
        <w:ind w:left="720"/>
        <w:jc w:val="both"/>
        <w:rPr>
          <w:rFonts w:ascii="Brush Script MT" w:hAnsi="Brush Script MT"/>
          <w:rtl/>
        </w:rPr>
      </w:pPr>
      <w:r>
        <w:rPr>
          <w:rFonts w:ascii="Brush Script MT" w:hAnsi="Brush Script MT" w:hint="cs"/>
          <w:rtl/>
        </w:rPr>
        <w:t>לדעת שירות המבחן בפנינו אדם בעל ערך ומסוגלות נמוכים שעלול להיגרר בקלות לסיטואציות עוברות חוק, ומתקשה לזהות גורמי סיכון ולשקול תוצאות מעשיו.</w:t>
      </w:r>
    </w:p>
    <w:p w14:paraId="4F482904" w14:textId="77777777" w:rsidR="009F731F" w:rsidRDefault="009F731F" w:rsidP="009F731F">
      <w:pPr>
        <w:spacing w:line="360" w:lineRule="auto"/>
        <w:ind w:left="720"/>
        <w:jc w:val="both"/>
        <w:rPr>
          <w:rFonts w:ascii="Brush Script MT" w:hAnsi="Brush Script MT"/>
          <w:rtl/>
        </w:rPr>
      </w:pPr>
    </w:p>
    <w:p w14:paraId="1E5A6C9A" w14:textId="77777777" w:rsidR="009F731F" w:rsidRDefault="009F731F" w:rsidP="009F731F">
      <w:pPr>
        <w:spacing w:line="360" w:lineRule="auto"/>
        <w:ind w:left="720"/>
        <w:jc w:val="both"/>
        <w:rPr>
          <w:rFonts w:ascii="Brush Script MT" w:hAnsi="Brush Script MT"/>
          <w:rtl/>
        </w:rPr>
      </w:pPr>
      <w:r>
        <w:rPr>
          <w:rFonts w:ascii="Brush Script MT" w:hAnsi="Brush Script MT" w:hint="cs"/>
          <w:rtl/>
        </w:rPr>
        <w:t>עוד נאמר כי הנאשם בעל קושי בוויסות דחפיו דבר שהביא אותו לבצע עבירות בנשק וקבע כי הסיכון להישנות עבירות דומות בעתיד הינו ברמה בינונית.</w:t>
      </w:r>
    </w:p>
    <w:p w14:paraId="0E0503E0" w14:textId="77777777" w:rsidR="009F731F" w:rsidRDefault="009F731F" w:rsidP="009F731F">
      <w:pPr>
        <w:spacing w:line="360" w:lineRule="auto"/>
        <w:ind w:left="720" w:hanging="720"/>
        <w:jc w:val="both"/>
        <w:rPr>
          <w:rFonts w:ascii="Brush Script MT" w:hAnsi="Brush Script MT"/>
          <w:rtl/>
        </w:rPr>
      </w:pPr>
    </w:p>
    <w:p w14:paraId="71725721" w14:textId="77777777" w:rsidR="009F731F" w:rsidRDefault="009F731F" w:rsidP="009F731F">
      <w:pPr>
        <w:spacing w:line="360" w:lineRule="auto"/>
        <w:ind w:left="720" w:hanging="720"/>
        <w:jc w:val="both"/>
        <w:rPr>
          <w:rFonts w:ascii="Brush Script MT" w:hAnsi="Brush Script MT"/>
          <w:rtl/>
        </w:rPr>
      </w:pPr>
      <w:r>
        <w:rPr>
          <w:rFonts w:ascii="Brush Script MT" w:hAnsi="Brush Script MT" w:hint="cs"/>
          <w:rtl/>
        </w:rPr>
        <w:t>13.</w:t>
      </w:r>
      <w:r>
        <w:rPr>
          <w:rFonts w:ascii="Brush Script MT" w:hAnsi="Brush Script MT" w:hint="cs"/>
          <w:rtl/>
        </w:rPr>
        <w:tab/>
        <w:t xml:space="preserve">לבסוף, ולאור חומרת העבירות בהן הורשע הנאשם, לא מצא שירות המבחן מקום להמליץ על חלופות ענישה או שיקום במסגרת הקהילה, אך בא בהמלצה לשלבו בהליך טיפולי של גמילה בין כותלי הכלא, במידה ויביע רצון לכך. </w:t>
      </w:r>
    </w:p>
    <w:p w14:paraId="4A857404" w14:textId="77777777" w:rsidR="009F731F" w:rsidRDefault="009F731F" w:rsidP="009F731F">
      <w:pPr>
        <w:spacing w:line="360" w:lineRule="auto"/>
        <w:jc w:val="both"/>
        <w:rPr>
          <w:rtl/>
        </w:rPr>
      </w:pPr>
    </w:p>
    <w:p w14:paraId="7CC08DFF" w14:textId="77777777" w:rsidR="009F731F" w:rsidRPr="00C92594" w:rsidRDefault="009F731F" w:rsidP="009F731F">
      <w:pPr>
        <w:spacing w:line="360" w:lineRule="auto"/>
        <w:jc w:val="both"/>
        <w:rPr>
          <w:rtl/>
        </w:rPr>
      </w:pPr>
      <w:r w:rsidRPr="00C92594">
        <w:rPr>
          <w:rFonts w:hint="cs"/>
          <w:b/>
          <w:bCs/>
          <w:u w:val="single"/>
          <w:rtl/>
        </w:rPr>
        <w:t>ראיות לעונש</w:t>
      </w:r>
      <w:r w:rsidRPr="00C92594">
        <w:rPr>
          <w:rFonts w:hint="cs"/>
          <w:rtl/>
        </w:rPr>
        <w:t>:</w:t>
      </w:r>
    </w:p>
    <w:p w14:paraId="021479F5" w14:textId="77777777" w:rsidR="009F731F" w:rsidRPr="00C92594" w:rsidRDefault="009F731F" w:rsidP="009F731F">
      <w:pPr>
        <w:spacing w:line="360" w:lineRule="auto"/>
        <w:jc w:val="both"/>
        <w:rPr>
          <w:rtl/>
        </w:rPr>
      </w:pPr>
    </w:p>
    <w:p w14:paraId="66976B77" w14:textId="77777777" w:rsidR="009F731F" w:rsidRDefault="009F731F" w:rsidP="009F731F">
      <w:pPr>
        <w:spacing w:line="360" w:lineRule="auto"/>
        <w:ind w:left="720" w:hanging="720"/>
        <w:jc w:val="both"/>
        <w:rPr>
          <w:rtl/>
        </w:rPr>
      </w:pPr>
      <w:r>
        <w:rPr>
          <w:rFonts w:hint="cs"/>
          <w:rtl/>
        </w:rPr>
        <w:t>14.</w:t>
      </w:r>
      <w:r>
        <w:rPr>
          <w:rFonts w:hint="cs"/>
          <w:rtl/>
        </w:rPr>
        <w:tab/>
        <w:t>המאשימה הגישה ראיות לעונש -</w:t>
      </w:r>
      <w:r w:rsidRPr="00C92594">
        <w:rPr>
          <w:rFonts w:hint="cs"/>
          <w:rtl/>
        </w:rPr>
        <w:t xml:space="preserve"> רישום פלילי של </w:t>
      </w:r>
      <w:r>
        <w:rPr>
          <w:rFonts w:hint="cs"/>
          <w:rtl/>
        </w:rPr>
        <w:t>ה</w:t>
      </w:r>
      <w:r w:rsidRPr="00C92594">
        <w:rPr>
          <w:rFonts w:hint="cs"/>
          <w:rtl/>
        </w:rPr>
        <w:t>נאשם</w:t>
      </w:r>
      <w:r>
        <w:rPr>
          <w:rFonts w:hint="cs"/>
          <w:rtl/>
        </w:rPr>
        <w:t xml:space="preserve"> </w:t>
      </w:r>
      <w:r w:rsidRPr="00C92594">
        <w:rPr>
          <w:rFonts w:hint="cs"/>
          <w:rtl/>
        </w:rPr>
        <w:t xml:space="preserve">- (ת/1), </w:t>
      </w:r>
      <w:r>
        <w:rPr>
          <w:rFonts w:hint="cs"/>
          <w:rtl/>
        </w:rPr>
        <w:t xml:space="preserve">שממנו עולה כי לחובתו של הנאשם 8 הרשעות, כאשר ההרשעה הראשונה בגין היזק לרכוש במזיד ותחבולה בשימוש במתקן בזק, הינה משנת 1990, בהיות הנאשם כבן 19 וההרשעה האחרונה הינה משנת 2004 בגין עבירה של תקיפה סתם </w:t>
      </w:r>
      <w:r>
        <w:rPr>
          <w:rtl/>
        </w:rPr>
        <w:t>–</w:t>
      </w:r>
      <w:r>
        <w:rPr>
          <w:rFonts w:hint="cs"/>
          <w:rtl/>
        </w:rPr>
        <w:t xml:space="preserve"> בן זוג ואיומים, שבגינה ריצה הנאשם 4 חודשי מאסר בפועל בנוסף למאסר מותנה בן 10 חודשים למשך 3 שנים. </w:t>
      </w:r>
    </w:p>
    <w:p w14:paraId="5A02AEAA" w14:textId="77777777" w:rsidR="009F731F" w:rsidRDefault="009F731F" w:rsidP="009F731F">
      <w:pPr>
        <w:spacing w:line="360" w:lineRule="auto"/>
        <w:ind w:left="720" w:hanging="720"/>
        <w:jc w:val="both"/>
        <w:rPr>
          <w:rtl/>
        </w:rPr>
      </w:pPr>
    </w:p>
    <w:p w14:paraId="33F398F5" w14:textId="77777777" w:rsidR="009F731F" w:rsidRDefault="009F731F" w:rsidP="009F731F">
      <w:pPr>
        <w:spacing w:line="360" w:lineRule="auto"/>
        <w:jc w:val="both"/>
        <w:rPr>
          <w:b/>
          <w:bCs/>
          <w:rtl/>
        </w:rPr>
      </w:pPr>
      <w:r>
        <w:rPr>
          <w:rFonts w:hint="cs"/>
          <w:b/>
          <w:bCs/>
          <w:u w:val="single"/>
          <w:rtl/>
        </w:rPr>
        <w:t>טיעוני הצדדים</w:t>
      </w:r>
      <w:r>
        <w:rPr>
          <w:rFonts w:hint="cs"/>
          <w:b/>
          <w:bCs/>
          <w:rtl/>
        </w:rPr>
        <w:t>:</w:t>
      </w:r>
    </w:p>
    <w:p w14:paraId="233FC9BF" w14:textId="77777777" w:rsidR="009F731F" w:rsidRDefault="009F731F" w:rsidP="009F731F">
      <w:pPr>
        <w:spacing w:line="360" w:lineRule="auto"/>
        <w:jc w:val="both"/>
        <w:rPr>
          <w:b/>
          <w:bCs/>
          <w:u w:val="single"/>
          <w:rtl/>
        </w:rPr>
      </w:pPr>
    </w:p>
    <w:p w14:paraId="612B5696" w14:textId="77777777" w:rsidR="009F731F" w:rsidRDefault="009F731F" w:rsidP="009F731F">
      <w:pPr>
        <w:spacing w:line="360" w:lineRule="auto"/>
        <w:jc w:val="both"/>
        <w:rPr>
          <w:rtl/>
        </w:rPr>
      </w:pPr>
      <w:r>
        <w:rPr>
          <w:rFonts w:hint="cs"/>
          <w:b/>
          <w:bCs/>
          <w:u w:val="single"/>
          <w:rtl/>
        </w:rPr>
        <w:t>טיעוני המאשימה</w:t>
      </w:r>
      <w:r>
        <w:rPr>
          <w:rFonts w:hint="cs"/>
          <w:b/>
          <w:bCs/>
          <w:rtl/>
        </w:rPr>
        <w:t>:</w:t>
      </w:r>
    </w:p>
    <w:p w14:paraId="56A5AD28" w14:textId="77777777" w:rsidR="009F731F" w:rsidRDefault="009F731F" w:rsidP="009F731F">
      <w:pPr>
        <w:spacing w:line="360" w:lineRule="auto"/>
        <w:jc w:val="both"/>
        <w:rPr>
          <w:rtl/>
        </w:rPr>
      </w:pPr>
    </w:p>
    <w:p w14:paraId="2CF0AA41" w14:textId="77777777" w:rsidR="009F731F" w:rsidRDefault="009F731F" w:rsidP="009F731F">
      <w:pPr>
        <w:spacing w:line="360" w:lineRule="auto"/>
        <w:ind w:left="720" w:hanging="720"/>
        <w:jc w:val="both"/>
        <w:rPr>
          <w:rtl/>
        </w:rPr>
      </w:pPr>
      <w:r>
        <w:rPr>
          <w:rFonts w:hint="cs"/>
          <w:rtl/>
        </w:rPr>
        <w:t>15.</w:t>
      </w:r>
      <w:r>
        <w:rPr>
          <w:rFonts w:hint="cs"/>
          <w:rtl/>
        </w:rPr>
        <w:tab/>
        <w:t>המאשימה ביקשה לאמץ את הסדר הטיעון ועתרה להטיל על הנאשם ענישה בתוך המתחם שהוצע על ידה כפי שיפורט בהמשך, בנוסף להטלת מאסר מותנה צופה פני עתיד וקנס. לטעמה, מדובר בעבירות חמורות שיש לפסוק בגינן מאסר משמעותי וזאת כדי להגן על הציבור ולשם הרתעת אחרים מלבצע מעשים דומים.</w:t>
      </w:r>
    </w:p>
    <w:p w14:paraId="27C04779" w14:textId="77777777" w:rsidR="009F731F" w:rsidRDefault="009F731F" w:rsidP="009F731F">
      <w:pPr>
        <w:spacing w:line="360" w:lineRule="auto"/>
        <w:ind w:left="720" w:hanging="720"/>
        <w:jc w:val="both"/>
        <w:rPr>
          <w:rtl/>
        </w:rPr>
      </w:pPr>
    </w:p>
    <w:p w14:paraId="1682A7DB" w14:textId="77777777" w:rsidR="009F731F" w:rsidRDefault="009F731F" w:rsidP="009F731F">
      <w:pPr>
        <w:spacing w:line="360" w:lineRule="auto"/>
        <w:ind w:left="720" w:hanging="720"/>
        <w:jc w:val="both"/>
        <w:rPr>
          <w:rtl/>
        </w:rPr>
      </w:pPr>
      <w:r>
        <w:rPr>
          <w:rFonts w:hint="cs"/>
          <w:rtl/>
        </w:rPr>
        <w:t>16.</w:t>
      </w:r>
      <w:r>
        <w:rPr>
          <w:rFonts w:hint="cs"/>
          <w:rtl/>
        </w:rPr>
        <w:tab/>
        <w:t>לטעמה של המאשימה, על העונש לשמש גורם "</w:t>
      </w:r>
      <w:r w:rsidRPr="00DA4BF0">
        <w:rPr>
          <w:rFonts w:hint="cs"/>
          <w:b/>
          <w:bCs/>
          <w:rtl/>
        </w:rPr>
        <w:t>מוקיע, מתריע ומרתיע</w:t>
      </w:r>
      <w:r>
        <w:rPr>
          <w:rFonts w:hint="cs"/>
          <w:rtl/>
        </w:rPr>
        <w:t>"</w:t>
      </w:r>
      <w:r w:rsidRPr="00DA4BF0">
        <w:rPr>
          <w:rFonts w:hint="cs"/>
          <w:rtl/>
        </w:rPr>
        <w:t xml:space="preserve"> </w:t>
      </w:r>
      <w:r>
        <w:rPr>
          <w:rFonts w:hint="cs"/>
          <w:rtl/>
        </w:rPr>
        <w:t>וכי יש להחדיר לתודעת כל האנשים בעלי נטיות עברייניות מהסוג הנדון, כי מי שמבצע אותן עבירות צפוי לעונש כבד ומכאיב.</w:t>
      </w:r>
    </w:p>
    <w:p w14:paraId="2D6E2732" w14:textId="77777777" w:rsidR="009F731F" w:rsidRDefault="009F731F" w:rsidP="009F731F">
      <w:pPr>
        <w:spacing w:line="360" w:lineRule="auto"/>
        <w:ind w:left="720" w:hanging="720"/>
        <w:jc w:val="both"/>
        <w:rPr>
          <w:rtl/>
        </w:rPr>
      </w:pPr>
    </w:p>
    <w:p w14:paraId="75E26A33" w14:textId="77777777" w:rsidR="009F731F" w:rsidRDefault="009F731F" w:rsidP="009F731F">
      <w:pPr>
        <w:spacing w:line="360" w:lineRule="auto"/>
        <w:ind w:left="720" w:hanging="720"/>
        <w:jc w:val="both"/>
        <w:rPr>
          <w:rtl/>
        </w:rPr>
      </w:pPr>
      <w:r>
        <w:rPr>
          <w:rFonts w:hint="cs"/>
          <w:rtl/>
        </w:rPr>
        <w:t>17.</w:t>
      </w:r>
      <w:r>
        <w:rPr>
          <w:rFonts w:hint="cs"/>
          <w:rtl/>
        </w:rPr>
        <w:tab/>
        <w:t>לעניין קביעת מתחם העונש טענה המאשימה, כי על המתחם להיקבע לפי הערך החברתי שנפגע מביצוע אותן עבירות, מידת הפגיעה בערך החברתי ומדיניות הענישה הנהוגה, וכי במעשיו של הנאשם הערך החברתי המרכזי שנפגע הוא חירותו, כבודו ורכושו של המתלונן. המאשימה סבורה כי לאור הפגיעה המשמעותית בערך החברתי ומדיניות הענישה הנהוגה במקרים דומים, מתחם הענישה ההולם בעבירות מעין אלו שבענייננו  נע בין 5 - 8 שנות מאסר בפועל.</w:t>
      </w:r>
    </w:p>
    <w:p w14:paraId="0A1119D8" w14:textId="77777777" w:rsidR="009F731F" w:rsidRDefault="009F731F" w:rsidP="009F731F">
      <w:pPr>
        <w:spacing w:line="360" w:lineRule="auto"/>
        <w:ind w:left="720" w:hanging="720"/>
        <w:jc w:val="both"/>
        <w:rPr>
          <w:rtl/>
        </w:rPr>
      </w:pPr>
    </w:p>
    <w:p w14:paraId="4D193BED" w14:textId="77777777" w:rsidR="009F731F" w:rsidRDefault="009F731F" w:rsidP="009F731F">
      <w:pPr>
        <w:spacing w:line="360" w:lineRule="auto"/>
        <w:ind w:left="720" w:hanging="720"/>
        <w:jc w:val="both"/>
        <w:rPr>
          <w:rtl/>
        </w:rPr>
      </w:pPr>
      <w:r>
        <w:rPr>
          <w:rFonts w:hint="cs"/>
          <w:rtl/>
        </w:rPr>
        <w:t>18.</w:t>
      </w:r>
      <w:r>
        <w:rPr>
          <w:rFonts w:hint="cs"/>
          <w:rtl/>
        </w:rPr>
        <w:tab/>
        <w:t xml:space="preserve">בנוסף, הפנתה המאשימה </w:t>
      </w:r>
      <w:hyperlink r:id="rId26" w:history="1">
        <w:r w:rsidR="00927881" w:rsidRPr="00927881">
          <w:rPr>
            <w:color w:val="0000FF"/>
            <w:u w:val="single"/>
            <w:rtl/>
          </w:rPr>
          <w:t>לסעיף 40ט</w:t>
        </w:r>
      </w:hyperlink>
      <w:r>
        <w:rPr>
          <w:rFonts w:hint="cs"/>
          <w:rtl/>
        </w:rPr>
        <w:t xml:space="preserve"> ל</w:t>
      </w:r>
      <w:hyperlink r:id="rId27" w:history="1">
        <w:r w:rsidR="00EB3591" w:rsidRPr="00EB3591">
          <w:rPr>
            <w:color w:val="0000FF"/>
            <w:u w:val="single"/>
            <w:rtl/>
          </w:rPr>
          <w:t>חוק העונשין</w:t>
        </w:r>
      </w:hyperlink>
      <w:r>
        <w:rPr>
          <w:rFonts w:hint="cs"/>
          <w:rtl/>
        </w:rPr>
        <w:t xml:space="preserve"> שקובע את הפרמטרים שיש לשקול בבוא בית המשפט לקבוע מתחם הענישה ההולם, וכי חלק גדול מאותם פרמטרים מחמירים התקיימו בעניינו של הנאשם, פרמטרים שמצדיקים קביעת מתחם ענישה חמור, בין היתר, התכנון המוקדם לביצוע העבירה כשלעצמו הוכר בפסיקה כשיקול להחמרה בעונש; השימוש באקדח במהלך האירוע על אף שהנאשם לא השתמש בו בעצמו; חלקו היחסי של הנאשם בעבירה; יכולתו של הנאשם להבין את אשר הוא עושה, את הפסול שבמעשהו או את משמעות מעשהו, לרבות בשל גילו.</w:t>
      </w:r>
    </w:p>
    <w:p w14:paraId="5C1CBF60" w14:textId="77777777" w:rsidR="009F731F" w:rsidRDefault="009F731F" w:rsidP="009F731F">
      <w:pPr>
        <w:spacing w:line="360" w:lineRule="auto"/>
        <w:jc w:val="both"/>
        <w:rPr>
          <w:rtl/>
        </w:rPr>
      </w:pPr>
    </w:p>
    <w:p w14:paraId="55E69C44" w14:textId="77777777" w:rsidR="009F731F" w:rsidRDefault="009F731F" w:rsidP="009F731F">
      <w:pPr>
        <w:spacing w:line="360" w:lineRule="auto"/>
        <w:ind w:left="720" w:hanging="720"/>
        <w:jc w:val="both"/>
        <w:rPr>
          <w:rtl/>
        </w:rPr>
      </w:pPr>
      <w:r>
        <w:rPr>
          <w:rFonts w:hint="cs"/>
          <w:rtl/>
        </w:rPr>
        <w:t>19.</w:t>
      </w:r>
      <w:r>
        <w:rPr>
          <w:rFonts w:hint="cs"/>
          <w:rtl/>
        </w:rPr>
        <w:tab/>
        <w:t>בעניין עבירת נשיאת והובלת נשק, הפנתה המאשימה לסכנה הברורה הנובעת מעבירות מעין אלה וההשלכות החמורות שעלולות להיות כתוצאה משימוש בנשק. בעניין זה הפנתה לדברי בית המשפט העליון ב</w:t>
      </w:r>
      <w:hyperlink r:id="rId28" w:history="1">
        <w:r w:rsidR="00EB3591" w:rsidRPr="00EB3591">
          <w:rPr>
            <w:color w:val="0000FF"/>
            <w:u w:val="single"/>
            <w:rtl/>
          </w:rPr>
          <w:t>ע"פ 5220/09</w:t>
        </w:r>
      </w:hyperlink>
      <w:r>
        <w:rPr>
          <w:rFonts w:hint="cs"/>
          <w:rtl/>
        </w:rPr>
        <w:t xml:space="preserve"> </w:t>
      </w:r>
      <w:r w:rsidRPr="006F0F88">
        <w:rPr>
          <w:rFonts w:hint="cs"/>
          <w:b/>
          <w:bCs/>
          <w:rtl/>
        </w:rPr>
        <w:t>עוואודה נגד מ"י</w:t>
      </w:r>
      <w:r>
        <w:rPr>
          <w:rFonts w:hint="cs"/>
          <w:rtl/>
        </w:rPr>
        <w:t xml:space="preserve"> (ניתן ביום 31.12.09), ש"</w:t>
      </w:r>
      <w:r w:rsidRPr="00B81A75">
        <w:rPr>
          <w:rFonts w:hint="cs"/>
          <w:b/>
          <w:bCs/>
          <w:rtl/>
        </w:rPr>
        <w:t>בנס</w:t>
      </w:r>
      <w:r>
        <w:rPr>
          <w:rFonts w:hint="cs"/>
          <w:b/>
          <w:bCs/>
          <w:rtl/>
        </w:rPr>
        <w:t>יבות הישראליות נשק בידיים לא מורשות עלול להתגלגל למקום לא טוב..."</w:t>
      </w:r>
      <w:r>
        <w:rPr>
          <w:rFonts w:hint="cs"/>
          <w:rtl/>
        </w:rPr>
        <w:t xml:space="preserve"> וכן לדברי כב' השופט ג'ובראן ב</w:t>
      </w:r>
      <w:hyperlink r:id="rId29" w:history="1">
        <w:r w:rsidR="00EB3591" w:rsidRPr="00EB3591">
          <w:rPr>
            <w:color w:val="0000FF"/>
            <w:u w:val="single"/>
            <w:rtl/>
          </w:rPr>
          <w:t>רע"פ 2718/04</w:t>
        </w:r>
      </w:hyperlink>
      <w:r>
        <w:rPr>
          <w:rFonts w:hint="cs"/>
          <w:rtl/>
        </w:rPr>
        <w:t xml:space="preserve"> </w:t>
      </w:r>
      <w:r w:rsidRPr="002E08CD">
        <w:rPr>
          <w:rFonts w:hint="cs"/>
          <w:b/>
          <w:bCs/>
          <w:rtl/>
        </w:rPr>
        <w:t>אבו דאחל נגד מ"י</w:t>
      </w:r>
      <w:r>
        <w:rPr>
          <w:rFonts w:hint="cs"/>
          <w:rtl/>
        </w:rPr>
        <w:t xml:space="preserve"> (ניתן ביום 29.3.04), ש"</w:t>
      </w:r>
      <w:r w:rsidRPr="00F0140B">
        <w:rPr>
          <w:rFonts w:hint="cs"/>
          <w:b/>
          <w:bCs/>
          <w:rtl/>
        </w:rPr>
        <w:t>הסכנה הטמונה בעבירה החמורה של החזקת נשק מצדיקה הטלת עונשי מאסר לריצוי בפועל גם על מי שזו עבירתו הראשונה</w:t>
      </w:r>
      <w:r>
        <w:rPr>
          <w:rFonts w:hint="cs"/>
          <w:rtl/>
        </w:rPr>
        <w:t>". וכן הפנתה המאשימה לפסיקה נוספת.</w:t>
      </w:r>
    </w:p>
    <w:p w14:paraId="0B05C71B" w14:textId="77777777" w:rsidR="009F731F" w:rsidRDefault="009F731F" w:rsidP="009F731F">
      <w:pPr>
        <w:spacing w:line="360" w:lineRule="auto"/>
        <w:ind w:left="720" w:hanging="720"/>
        <w:jc w:val="both"/>
        <w:rPr>
          <w:rtl/>
        </w:rPr>
      </w:pPr>
    </w:p>
    <w:p w14:paraId="77B40795" w14:textId="77777777" w:rsidR="009F731F" w:rsidRDefault="009F731F" w:rsidP="009F731F">
      <w:pPr>
        <w:spacing w:line="360" w:lineRule="auto"/>
        <w:ind w:left="720" w:hanging="720"/>
        <w:jc w:val="both"/>
        <w:rPr>
          <w:rtl/>
        </w:rPr>
      </w:pPr>
      <w:r>
        <w:rPr>
          <w:rFonts w:hint="cs"/>
          <w:rtl/>
        </w:rPr>
        <w:t>20.</w:t>
      </w:r>
      <w:r>
        <w:rPr>
          <w:rFonts w:hint="cs"/>
          <w:rtl/>
        </w:rPr>
        <w:tab/>
        <w:t>המאשימה ציינה את העובדה שלנאשם עבר פלילי כאשר לחובתו  8 הרשעות קודמות בעבירות אלימות, רכוש, סמים ואיומים, שבגינן ריצה מאסרים בפועל דבר המלמד כי מדובר בנאשם שיש להרתיעו בדרך של הטלת ענישה משמעותית ומוחשית לשם מניעת הישנות עבירות בעתיד.</w:t>
      </w:r>
    </w:p>
    <w:p w14:paraId="5093E8D9" w14:textId="77777777" w:rsidR="009F731F" w:rsidRDefault="009F731F" w:rsidP="009F731F">
      <w:pPr>
        <w:spacing w:line="360" w:lineRule="auto"/>
        <w:ind w:left="720" w:hanging="720"/>
        <w:jc w:val="both"/>
        <w:rPr>
          <w:rtl/>
        </w:rPr>
      </w:pPr>
    </w:p>
    <w:p w14:paraId="5558A146" w14:textId="77777777" w:rsidR="009F731F" w:rsidRDefault="009F731F" w:rsidP="009F731F">
      <w:pPr>
        <w:spacing w:line="360" w:lineRule="auto"/>
        <w:ind w:left="720" w:hanging="720"/>
        <w:jc w:val="both"/>
        <w:rPr>
          <w:rtl/>
        </w:rPr>
      </w:pPr>
      <w:r>
        <w:rPr>
          <w:rFonts w:hint="cs"/>
          <w:rtl/>
        </w:rPr>
        <w:t>21.</w:t>
      </w:r>
      <w:r>
        <w:rPr>
          <w:rFonts w:hint="cs"/>
          <w:rtl/>
        </w:rPr>
        <w:tab/>
        <w:t xml:space="preserve">המאשימה הפנתה לכתב האישום המתוקן שהוגש בעניינו של השותף - הנאשם האחר, שסומן </w:t>
      </w:r>
      <w:r>
        <w:rPr>
          <w:rtl/>
        </w:rPr>
        <w:t>–</w:t>
      </w:r>
      <w:r>
        <w:rPr>
          <w:rFonts w:hint="cs"/>
          <w:rtl/>
        </w:rPr>
        <w:t xml:space="preserve"> ת/2 וציינה כי לשותף - הנאשם האחר, יוחסו אותן עבירות שיוחסו לנאשם בתיק דנן, אם כי נוספה להן גם עבירה של ירי בשטח בנוי. </w:t>
      </w:r>
    </w:p>
    <w:p w14:paraId="442FEF78" w14:textId="77777777" w:rsidR="009F731F" w:rsidRDefault="009F731F" w:rsidP="009F731F">
      <w:pPr>
        <w:spacing w:line="360" w:lineRule="auto"/>
        <w:ind w:left="720" w:hanging="720"/>
        <w:jc w:val="both"/>
        <w:rPr>
          <w:rtl/>
        </w:rPr>
      </w:pPr>
    </w:p>
    <w:p w14:paraId="7E029DCA" w14:textId="77777777" w:rsidR="009F731F" w:rsidRDefault="009F731F" w:rsidP="009F731F">
      <w:pPr>
        <w:spacing w:line="360" w:lineRule="auto"/>
        <w:ind w:left="720" w:hanging="720"/>
        <w:jc w:val="both"/>
        <w:rPr>
          <w:rtl/>
        </w:rPr>
      </w:pPr>
      <w:r>
        <w:rPr>
          <w:rFonts w:hint="cs"/>
          <w:rtl/>
        </w:rPr>
        <w:t>22.</w:t>
      </w:r>
      <w:r>
        <w:rPr>
          <w:rFonts w:hint="cs"/>
          <w:rtl/>
        </w:rPr>
        <w:tab/>
        <w:t>עוד הפנתה המאשימה לתסקיר בעניינו של הנאשם וציינה כי המדובר בנאשם המכור לסמים מגיל צעיר וכי שירות המבחן לא המליץ על חלופה או שיקום במסגרת הקהילה.</w:t>
      </w:r>
    </w:p>
    <w:p w14:paraId="456C4E5C" w14:textId="77777777" w:rsidR="009F731F" w:rsidRDefault="009F731F" w:rsidP="009F731F">
      <w:pPr>
        <w:spacing w:line="360" w:lineRule="auto"/>
        <w:jc w:val="both"/>
        <w:rPr>
          <w:rtl/>
        </w:rPr>
      </w:pPr>
    </w:p>
    <w:p w14:paraId="6707028D" w14:textId="77777777" w:rsidR="009F731F" w:rsidRDefault="009F731F" w:rsidP="009F731F">
      <w:pPr>
        <w:spacing w:line="360" w:lineRule="auto"/>
        <w:jc w:val="both"/>
        <w:rPr>
          <w:b/>
          <w:bCs/>
          <w:rtl/>
        </w:rPr>
      </w:pPr>
      <w:r>
        <w:rPr>
          <w:rFonts w:hint="cs"/>
          <w:b/>
          <w:bCs/>
          <w:u w:val="single"/>
          <w:rtl/>
        </w:rPr>
        <w:t>טענות ב"כ הנאשם</w:t>
      </w:r>
      <w:r>
        <w:rPr>
          <w:rFonts w:hint="cs"/>
          <w:b/>
          <w:bCs/>
          <w:rtl/>
        </w:rPr>
        <w:t>:</w:t>
      </w:r>
    </w:p>
    <w:p w14:paraId="12F9C0FA" w14:textId="77777777" w:rsidR="009F731F" w:rsidRDefault="009F731F" w:rsidP="009F731F">
      <w:pPr>
        <w:spacing w:line="360" w:lineRule="auto"/>
        <w:jc w:val="both"/>
        <w:rPr>
          <w:rtl/>
        </w:rPr>
      </w:pPr>
    </w:p>
    <w:p w14:paraId="126D03ED" w14:textId="77777777" w:rsidR="009F731F" w:rsidRDefault="009F731F" w:rsidP="009F731F">
      <w:pPr>
        <w:spacing w:line="360" w:lineRule="auto"/>
        <w:ind w:left="720" w:hanging="720"/>
        <w:jc w:val="both"/>
        <w:rPr>
          <w:rtl/>
        </w:rPr>
      </w:pPr>
      <w:r>
        <w:rPr>
          <w:rFonts w:hint="cs"/>
          <w:rtl/>
        </w:rPr>
        <w:t>23.</w:t>
      </w:r>
      <w:r>
        <w:rPr>
          <w:rFonts w:hint="cs"/>
          <w:rtl/>
        </w:rPr>
        <w:tab/>
        <w:t>ב"כ הנאשם מנגד הדגיש את העובדה שנחסך זמן שיפוטי יקר בהודאת הנאשם ושיתוף הפעולה מצדו עם חוקריו שהביא להרשעת הנאשם האחר. בנוסף הדגיש שהנאשם הביע חרטה על מעשיו וביקש לייחס לעובדות אלה משקל משמעותי.</w:t>
      </w:r>
    </w:p>
    <w:p w14:paraId="7B3C4B0C" w14:textId="77777777" w:rsidR="009F731F" w:rsidRDefault="009F731F" w:rsidP="009F731F">
      <w:pPr>
        <w:spacing w:line="360" w:lineRule="auto"/>
        <w:ind w:left="720" w:hanging="720"/>
        <w:jc w:val="both"/>
        <w:rPr>
          <w:rtl/>
        </w:rPr>
      </w:pPr>
    </w:p>
    <w:p w14:paraId="53181527" w14:textId="77777777" w:rsidR="009F731F" w:rsidRDefault="009F731F" w:rsidP="009F731F">
      <w:pPr>
        <w:spacing w:line="360" w:lineRule="auto"/>
        <w:ind w:left="720" w:hanging="720"/>
        <w:jc w:val="both"/>
        <w:rPr>
          <w:rtl/>
        </w:rPr>
      </w:pPr>
      <w:r>
        <w:rPr>
          <w:rFonts w:hint="cs"/>
          <w:rtl/>
        </w:rPr>
        <w:t>24.</w:t>
      </w:r>
      <w:r>
        <w:rPr>
          <w:rFonts w:hint="cs"/>
          <w:rtl/>
        </w:rPr>
        <w:tab/>
        <w:t>הסנגור חזר על עובדות כתב האישום המתוקן והדגיש את העובדה שהאקדח היה ברשות הנאשם האחר שירה באוויר וכי לא הייתה לנאשם שליטה על הנשק לאורך כל האירוע נשוא כתב האישום.</w:t>
      </w:r>
    </w:p>
    <w:p w14:paraId="5DF05481" w14:textId="77777777" w:rsidR="009F731F" w:rsidRDefault="009F731F" w:rsidP="009F731F">
      <w:pPr>
        <w:spacing w:line="360" w:lineRule="auto"/>
        <w:ind w:left="720" w:hanging="720"/>
        <w:jc w:val="both"/>
        <w:rPr>
          <w:rtl/>
        </w:rPr>
      </w:pPr>
    </w:p>
    <w:p w14:paraId="67E6C2CF" w14:textId="77777777" w:rsidR="009F731F" w:rsidRDefault="009F731F" w:rsidP="009F731F">
      <w:pPr>
        <w:spacing w:line="360" w:lineRule="auto"/>
        <w:ind w:left="720" w:hanging="720"/>
        <w:jc w:val="both"/>
        <w:rPr>
          <w:rtl/>
        </w:rPr>
      </w:pPr>
      <w:r>
        <w:rPr>
          <w:rFonts w:hint="cs"/>
          <w:rtl/>
        </w:rPr>
        <w:t>25.</w:t>
      </w:r>
      <w:r>
        <w:rPr>
          <w:rFonts w:hint="cs"/>
          <w:rtl/>
        </w:rPr>
        <w:tab/>
        <w:t>בנוסף לאמור לעיל, הסנגור נגע בנסיבותיו האישיות של הנאשם והפנה לתסקיר שהוגש בעניינו, בין היתר, היותו נשוי, אב לשני ילדים בני 10 ו- 12, מכור לסמים קשים, שנים רבות ומצבו הכלכלי הקשה כמי שחי מקצבת נכות של המל"ל.</w:t>
      </w:r>
    </w:p>
    <w:p w14:paraId="1ACC7943" w14:textId="77777777" w:rsidR="009F731F" w:rsidRDefault="009F731F" w:rsidP="009F731F">
      <w:pPr>
        <w:spacing w:line="360" w:lineRule="auto"/>
        <w:ind w:left="720" w:hanging="720"/>
        <w:jc w:val="both"/>
        <w:rPr>
          <w:rtl/>
        </w:rPr>
      </w:pPr>
    </w:p>
    <w:p w14:paraId="3154AEB2" w14:textId="77777777" w:rsidR="009F731F" w:rsidRDefault="009F731F" w:rsidP="009F731F">
      <w:pPr>
        <w:spacing w:line="360" w:lineRule="auto"/>
        <w:ind w:left="720" w:hanging="720"/>
        <w:jc w:val="both"/>
        <w:rPr>
          <w:rtl/>
        </w:rPr>
      </w:pPr>
      <w:r>
        <w:rPr>
          <w:rFonts w:hint="cs"/>
          <w:rtl/>
        </w:rPr>
        <w:t>26.</w:t>
      </w:r>
      <w:r>
        <w:rPr>
          <w:rFonts w:hint="cs"/>
          <w:rtl/>
        </w:rPr>
        <w:tab/>
        <w:t xml:space="preserve">הסנגור ציין, כי הנאשם היה תחת השפעת סמים בעת ביצוע העבירה, וכי נטל תרופות ללא מרשם בשילוב תחליף סם, </w:t>
      </w:r>
      <w:r w:rsidRPr="00C4242D">
        <w:rPr>
          <w:rFonts w:hint="cs"/>
          <w:rtl/>
        </w:rPr>
        <w:t>והגם שמצבו אינו מבסס טענת הגנה ממשית בהקשר לשאלת האחריות, הסנגור סבור שיש לתת לכך משקל לקולא.</w:t>
      </w:r>
    </w:p>
    <w:p w14:paraId="18BEB4B7" w14:textId="77777777" w:rsidR="009F731F" w:rsidRDefault="009F731F" w:rsidP="009F731F">
      <w:pPr>
        <w:spacing w:line="360" w:lineRule="auto"/>
        <w:jc w:val="both"/>
        <w:rPr>
          <w:rtl/>
        </w:rPr>
      </w:pPr>
    </w:p>
    <w:p w14:paraId="67277FFC" w14:textId="77777777" w:rsidR="009F731F" w:rsidRDefault="009F731F" w:rsidP="009F731F">
      <w:pPr>
        <w:spacing w:line="360" w:lineRule="auto"/>
        <w:ind w:left="720" w:hanging="720"/>
        <w:jc w:val="both"/>
        <w:rPr>
          <w:rtl/>
        </w:rPr>
      </w:pPr>
    </w:p>
    <w:p w14:paraId="7165C687" w14:textId="77777777" w:rsidR="009F731F" w:rsidRDefault="009F731F" w:rsidP="009F731F">
      <w:pPr>
        <w:spacing w:line="360" w:lineRule="auto"/>
        <w:ind w:left="720" w:hanging="720"/>
        <w:jc w:val="both"/>
        <w:rPr>
          <w:rtl/>
        </w:rPr>
      </w:pPr>
      <w:r>
        <w:rPr>
          <w:rFonts w:hint="cs"/>
          <w:rtl/>
        </w:rPr>
        <w:t>27.</w:t>
      </w:r>
      <w:r>
        <w:rPr>
          <w:rFonts w:hint="cs"/>
          <w:rtl/>
        </w:rPr>
        <w:tab/>
        <w:t>לבסוף, ביקש הסנגור לקחת בחשבון לקולא את העובדה שגם הנאשם וגם השותף לא פגעו פיזית במתלונן וכי האירוע לא לווה באלימות ולא נגרם נזק חמור לרכוש, מה גם שהנאשם לא קיבל לידיו ולו אגורה מהכסף שנשדד.</w:t>
      </w:r>
    </w:p>
    <w:p w14:paraId="687E1D08" w14:textId="77777777" w:rsidR="009F731F" w:rsidRDefault="009F731F" w:rsidP="009F731F">
      <w:pPr>
        <w:spacing w:line="360" w:lineRule="auto"/>
        <w:ind w:left="720" w:hanging="720"/>
        <w:jc w:val="both"/>
        <w:rPr>
          <w:rtl/>
        </w:rPr>
      </w:pPr>
    </w:p>
    <w:p w14:paraId="492C9CA3" w14:textId="77777777" w:rsidR="009F731F" w:rsidRDefault="009F731F" w:rsidP="009F731F">
      <w:pPr>
        <w:spacing w:line="360" w:lineRule="auto"/>
        <w:ind w:left="720" w:hanging="720"/>
        <w:jc w:val="both"/>
        <w:rPr>
          <w:rtl/>
        </w:rPr>
      </w:pPr>
      <w:r>
        <w:rPr>
          <w:rFonts w:hint="cs"/>
          <w:rtl/>
        </w:rPr>
        <w:t>28.</w:t>
      </w:r>
      <w:r>
        <w:rPr>
          <w:rFonts w:hint="cs"/>
          <w:rtl/>
        </w:rPr>
        <w:tab/>
        <w:t>לעניין מתחם העונש ההולם, הסנגור סקר פסיקה רבה וציין שהמתחם אמור לנוע בין שנה ל-30 חודשים, וכי בשל נסיבותיו של הנאשם ואפשרויות השיקום ורצונו להיגמל, ביקש מבית המשפט לסטות מהמתחם ולחילופין ביקש לאמץ את המתחם ברף הנמוך.</w:t>
      </w:r>
    </w:p>
    <w:p w14:paraId="4F820629" w14:textId="77777777" w:rsidR="009F731F" w:rsidRDefault="009F731F" w:rsidP="009F731F">
      <w:pPr>
        <w:spacing w:line="360" w:lineRule="auto"/>
        <w:jc w:val="both"/>
        <w:rPr>
          <w:rFonts w:ascii="Brush Script MT" w:hAnsi="Brush Script MT"/>
          <w:rtl/>
        </w:rPr>
      </w:pPr>
    </w:p>
    <w:p w14:paraId="4A3330C8" w14:textId="77777777" w:rsidR="009F731F" w:rsidRDefault="009F731F" w:rsidP="009F731F">
      <w:pPr>
        <w:spacing w:line="360" w:lineRule="auto"/>
        <w:ind w:left="720" w:hanging="720"/>
        <w:jc w:val="both"/>
        <w:rPr>
          <w:rFonts w:ascii="Brush Script MT" w:hAnsi="Brush Script MT"/>
          <w:rtl/>
        </w:rPr>
      </w:pPr>
      <w:r>
        <w:rPr>
          <w:rFonts w:ascii="Brush Script MT" w:hAnsi="Brush Script MT" w:hint="cs"/>
          <w:b/>
          <w:bCs/>
          <w:u w:val="single"/>
          <w:rtl/>
        </w:rPr>
        <w:t>דברי הנאשם</w:t>
      </w:r>
      <w:r>
        <w:rPr>
          <w:rFonts w:ascii="Brush Script MT" w:hAnsi="Brush Script MT" w:hint="cs"/>
          <w:rtl/>
        </w:rPr>
        <w:t>:</w:t>
      </w:r>
    </w:p>
    <w:p w14:paraId="28E332FD" w14:textId="77777777" w:rsidR="009F731F" w:rsidRDefault="009F731F" w:rsidP="009F731F">
      <w:pPr>
        <w:spacing w:line="360" w:lineRule="auto"/>
        <w:ind w:left="720" w:hanging="720"/>
        <w:jc w:val="both"/>
        <w:rPr>
          <w:rFonts w:ascii="Brush Script MT" w:hAnsi="Brush Script MT"/>
          <w:rtl/>
        </w:rPr>
      </w:pPr>
    </w:p>
    <w:p w14:paraId="2F27CE95" w14:textId="77777777" w:rsidR="009F731F" w:rsidRPr="00382DEE" w:rsidRDefault="009F731F" w:rsidP="009F731F">
      <w:pPr>
        <w:spacing w:line="360" w:lineRule="auto"/>
        <w:ind w:left="720" w:hanging="720"/>
        <w:jc w:val="both"/>
        <w:rPr>
          <w:rFonts w:ascii="Brush Script MT" w:hAnsi="Brush Script MT"/>
          <w:rtl/>
        </w:rPr>
      </w:pPr>
      <w:r>
        <w:rPr>
          <w:rFonts w:ascii="Brush Script MT" w:hAnsi="Brush Script MT" w:hint="cs"/>
          <w:rtl/>
        </w:rPr>
        <w:t>29</w:t>
      </w:r>
      <w:r w:rsidRPr="00382DEE">
        <w:rPr>
          <w:rFonts w:ascii="Brush Script MT" w:hAnsi="Brush Script MT" w:hint="cs"/>
          <w:rtl/>
        </w:rPr>
        <w:t>.</w:t>
      </w:r>
      <w:r w:rsidRPr="00382DEE">
        <w:rPr>
          <w:rFonts w:ascii="Brush Script MT" w:hAnsi="Brush Script MT" w:hint="cs"/>
          <w:rtl/>
        </w:rPr>
        <w:tab/>
        <w:t xml:space="preserve">הנאשם הביע </w:t>
      </w:r>
      <w:r>
        <w:rPr>
          <w:rFonts w:ascii="Brush Script MT" w:hAnsi="Brush Script MT" w:hint="cs"/>
          <w:rtl/>
        </w:rPr>
        <w:t xml:space="preserve">צער על מעשיו </w:t>
      </w:r>
      <w:r w:rsidRPr="00382DEE">
        <w:rPr>
          <w:rFonts w:ascii="Brush Script MT" w:hAnsi="Brush Script MT" w:hint="cs"/>
          <w:rtl/>
        </w:rPr>
        <w:t xml:space="preserve">והתנצל בפני בית המשפט. ציין כי </w:t>
      </w:r>
      <w:r>
        <w:rPr>
          <w:rFonts w:ascii="Brush Script MT" w:hAnsi="Brush Script MT" w:hint="cs"/>
          <w:rtl/>
        </w:rPr>
        <w:t>יש לו רצון עז להשתתף בגידול  ילדיו וביקש לת</w:t>
      </w:r>
      <w:r w:rsidRPr="00382DEE">
        <w:rPr>
          <w:rFonts w:ascii="Brush Script MT" w:hAnsi="Brush Script MT" w:hint="cs"/>
          <w:rtl/>
        </w:rPr>
        <w:t>ת לו</w:t>
      </w:r>
      <w:r>
        <w:rPr>
          <w:rFonts w:ascii="Brush Script MT" w:hAnsi="Brush Script MT" w:hint="cs"/>
          <w:rtl/>
        </w:rPr>
        <w:t xml:space="preserve"> הזדמנות, ולשם כך, ביקש שבית המשפט ימליץ בפני רשויות שב"ס לשלבו בתוכנית גמילה מסמים.</w:t>
      </w:r>
    </w:p>
    <w:p w14:paraId="252CE639" w14:textId="77777777" w:rsidR="009F731F" w:rsidRDefault="009F731F" w:rsidP="009F731F">
      <w:pPr>
        <w:spacing w:after="120" w:line="360" w:lineRule="auto"/>
        <w:rPr>
          <w:rFonts w:ascii="Brush Script MT" w:hAnsi="Brush Script MT"/>
          <w:b/>
          <w:bCs/>
          <w:u w:val="single"/>
          <w:rtl/>
        </w:rPr>
      </w:pPr>
    </w:p>
    <w:p w14:paraId="4688E61C" w14:textId="77777777" w:rsidR="009F731F" w:rsidRDefault="009F731F" w:rsidP="009F731F">
      <w:pPr>
        <w:spacing w:after="120" w:line="360" w:lineRule="auto"/>
        <w:rPr>
          <w:rFonts w:ascii="Brush Script MT" w:hAnsi="Brush Script MT"/>
          <w:rtl/>
        </w:rPr>
      </w:pPr>
      <w:r>
        <w:rPr>
          <w:rFonts w:ascii="Brush Script MT" w:hAnsi="Brush Script MT" w:hint="cs"/>
          <w:b/>
          <w:bCs/>
          <w:u w:val="single"/>
          <w:rtl/>
        </w:rPr>
        <w:t>גזירת הדין</w:t>
      </w:r>
      <w:r w:rsidRPr="00994693">
        <w:rPr>
          <w:rFonts w:ascii="Brush Script MT" w:hAnsi="Brush Script MT" w:hint="cs"/>
          <w:rtl/>
        </w:rPr>
        <w:t>:</w:t>
      </w:r>
    </w:p>
    <w:p w14:paraId="0CF08C01" w14:textId="77777777" w:rsidR="009F731F" w:rsidRPr="00994693" w:rsidRDefault="009F731F" w:rsidP="009F731F">
      <w:pPr>
        <w:spacing w:after="120" w:line="360" w:lineRule="auto"/>
        <w:rPr>
          <w:rFonts w:ascii="Brush Script MT" w:hAnsi="Brush Script MT"/>
          <w:rtl/>
        </w:rPr>
      </w:pPr>
    </w:p>
    <w:p w14:paraId="0337AEF3" w14:textId="77777777" w:rsidR="009F731F" w:rsidRDefault="009F731F" w:rsidP="009F731F">
      <w:pPr>
        <w:spacing w:line="360" w:lineRule="auto"/>
        <w:ind w:left="720" w:hanging="720"/>
        <w:jc w:val="both"/>
        <w:rPr>
          <w:rtl/>
        </w:rPr>
      </w:pPr>
      <w:r>
        <w:rPr>
          <w:rFonts w:hint="cs"/>
          <w:rtl/>
        </w:rPr>
        <w:t>30.</w:t>
      </w:r>
      <w:r>
        <w:rPr>
          <w:rFonts w:hint="cs"/>
          <w:rtl/>
        </w:rPr>
        <w:tab/>
        <w:t>כאמור, הנאשם הורשע על פי הודאתו במסגרת הסדר טיעון בעבירות של שוד בנסיבות מחמירות, קשר לפשע, נשיאת והובלת נשק, וכן זיוף סימני זיהוי של רכב, עבירות חמורות לכל הדעות.</w:t>
      </w:r>
    </w:p>
    <w:p w14:paraId="0A3F56AE" w14:textId="77777777" w:rsidR="009F731F" w:rsidRDefault="009F731F" w:rsidP="009F731F">
      <w:pPr>
        <w:spacing w:line="360" w:lineRule="auto"/>
        <w:ind w:left="720" w:hanging="720"/>
        <w:jc w:val="both"/>
        <w:rPr>
          <w:rtl/>
        </w:rPr>
      </w:pPr>
    </w:p>
    <w:p w14:paraId="3AECFFBF" w14:textId="77777777" w:rsidR="009F731F" w:rsidRDefault="009F731F" w:rsidP="009F731F">
      <w:pPr>
        <w:spacing w:line="360" w:lineRule="auto"/>
        <w:ind w:left="720" w:hanging="720"/>
        <w:jc w:val="both"/>
        <w:rPr>
          <w:rtl/>
        </w:rPr>
      </w:pPr>
      <w:r>
        <w:rPr>
          <w:rFonts w:hint="cs"/>
          <w:rtl/>
        </w:rPr>
        <w:t>31.</w:t>
      </w:r>
      <w:r>
        <w:rPr>
          <w:rFonts w:hint="cs"/>
          <w:rtl/>
        </w:rPr>
        <w:tab/>
        <w:t>הנאשם בצוותא חדא יחד עם האחר, קשרו קשר לעשות פשע, נשא והוביל נשק שבכוחו להמית אדם, גנב יחד עם האחר כשהם מזויינים בכלי נשק, תוך איומים סך של 10,000 ₪ וטלפון נייד  וכן זייפו סימני זיהוי של רכב במטרה להקשות על זיהויים.</w:t>
      </w:r>
    </w:p>
    <w:p w14:paraId="311C0524" w14:textId="77777777" w:rsidR="009F731F" w:rsidRDefault="009F731F" w:rsidP="009F731F">
      <w:pPr>
        <w:spacing w:line="360" w:lineRule="auto"/>
        <w:ind w:left="720" w:hanging="720"/>
        <w:jc w:val="both"/>
        <w:rPr>
          <w:rtl/>
        </w:rPr>
      </w:pPr>
    </w:p>
    <w:p w14:paraId="1AFDFA91" w14:textId="77777777" w:rsidR="009F731F" w:rsidRDefault="009F731F" w:rsidP="009F731F">
      <w:pPr>
        <w:spacing w:line="360" w:lineRule="auto"/>
        <w:ind w:left="720" w:hanging="720"/>
        <w:jc w:val="both"/>
        <w:rPr>
          <w:rtl/>
        </w:rPr>
      </w:pPr>
      <w:r>
        <w:rPr>
          <w:rFonts w:hint="cs"/>
          <w:rtl/>
        </w:rPr>
        <w:t>32.</w:t>
      </w:r>
      <w:r>
        <w:rPr>
          <w:rFonts w:hint="cs"/>
          <w:rtl/>
        </w:rPr>
        <w:tab/>
        <w:t xml:space="preserve">אין צורך להכביר מילים בדבר החומרה היתרה הטמונה בביצוע מעשי שוד, ובמיוחד כשמדובר בביצוע שוד בנסיבות מחמירות, מתוכנן מראש, בצוותא, , שלא בגדר "מעידה" </w:t>
      </w:r>
      <w:r w:rsidRPr="0044469C">
        <w:rPr>
          <w:rFonts w:hint="cs"/>
          <w:rtl/>
        </w:rPr>
        <w:t>ראשונה ועל אחת כמה</w:t>
      </w:r>
      <w:r>
        <w:rPr>
          <w:rFonts w:hint="cs"/>
          <w:rtl/>
        </w:rPr>
        <w:t xml:space="preserve"> וכמה כאשר המעשה כרוך בהסתייעות באקדח ושימוש בו. </w:t>
      </w:r>
    </w:p>
    <w:p w14:paraId="1C8240E7" w14:textId="77777777" w:rsidR="009F731F" w:rsidRDefault="009F731F" w:rsidP="009F731F">
      <w:pPr>
        <w:spacing w:line="360" w:lineRule="auto"/>
        <w:ind w:left="720" w:hanging="720"/>
        <w:jc w:val="both"/>
        <w:rPr>
          <w:rtl/>
        </w:rPr>
      </w:pPr>
    </w:p>
    <w:p w14:paraId="4C00A88C" w14:textId="77777777" w:rsidR="009F731F" w:rsidRDefault="009F731F" w:rsidP="009F731F">
      <w:pPr>
        <w:spacing w:line="360" w:lineRule="auto"/>
        <w:ind w:left="720"/>
        <w:jc w:val="both"/>
        <w:rPr>
          <w:rtl/>
        </w:rPr>
      </w:pPr>
      <w:r>
        <w:rPr>
          <w:rFonts w:hint="cs"/>
          <w:rtl/>
        </w:rPr>
        <w:t>יפים לעניינו הדברים שנאמרו ב</w:t>
      </w:r>
      <w:hyperlink r:id="rId30" w:history="1">
        <w:r w:rsidR="00EB3591" w:rsidRPr="00EB3591">
          <w:rPr>
            <w:color w:val="0000FF"/>
            <w:u w:val="single"/>
            <w:rtl/>
          </w:rPr>
          <w:t>ע"פ 4012/13</w:t>
        </w:r>
      </w:hyperlink>
      <w:r>
        <w:rPr>
          <w:rFonts w:hint="cs"/>
          <w:rtl/>
        </w:rPr>
        <w:t xml:space="preserve"> </w:t>
      </w:r>
      <w:r w:rsidRPr="002810E7">
        <w:rPr>
          <w:rFonts w:hint="cs"/>
          <w:b/>
          <w:bCs/>
          <w:rtl/>
        </w:rPr>
        <w:t>אוריזיני נגד מדינת ישראל</w:t>
      </w:r>
      <w:r>
        <w:rPr>
          <w:rFonts w:hint="cs"/>
          <w:rtl/>
        </w:rPr>
        <w:t xml:space="preserve"> (ניתן ביום 12.2.14), שם נקבע כי:</w:t>
      </w:r>
    </w:p>
    <w:p w14:paraId="504ED967" w14:textId="77777777" w:rsidR="009F731F" w:rsidRDefault="009F731F" w:rsidP="009F731F">
      <w:pPr>
        <w:spacing w:line="360" w:lineRule="auto"/>
        <w:ind w:left="720"/>
        <w:jc w:val="both"/>
        <w:rPr>
          <w:rtl/>
        </w:rPr>
      </w:pPr>
    </w:p>
    <w:p w14:paraId="7BF71663" w14:textId="77777777" w:rsidR="009F731F" w:rsidRDefault="009F731F" w:rsidP="009F731F">
      <w:pPr>
        <w:spacing w:line="360" w:lineRule="auto"/>
        <w:ind w:left="720"/>
        <w:jc w:val="both"/>
        <w:rPr>
          <w:b/>
          <w:bCs/>
          <w:rtl/>
        </w:rPr>
      </w:pPr>
      <w:r w:rsidRPr="004C37EE">
        <w:rPr>
          <w:rFonts w:hint="cs"/>
          <w:b/>
          <w:bCs/>
          <w:rtl/>
        </w:rPr>
        <w:t>"עבירת השוד, קל וחומר שוד בנסיבות מחמירות, היא עבירה קשה. היא מכוונת לנטילת רכוש בכוח הזרוע לצורך רווח כלכלי, תוך פגיעה ברכוש ובגוף. בגזירת עונשם של עבריינים שהורשעו בעבירה זו נדרש בית המשפט לשדר מסר ברור כי היא גוררת עמה עונש משמעותי שיש בו כדי לשקף את פגיעתה הרעה בחברה".</w:t>
      </w:r>
    </w:p>
    <w:p w14:paraId="5122C93A" w14:textId="77777777" w:rsidR="009F731F" w:rsidRPr="004C37EE" w:rsidRDefault="009F731F" w:rsidP="009F731F">
      <w:pPr>
        <w:spacing w:line="360" w:lineRule="auto"/>
        <w:ind w:left="720"/>
        <w:jc w:val="both"/>
        <w:rPr>
          <w:b/>
          <w:bCs/>
          <w:rtl/>
        </w:rPr>
      </w:pPr>
    </w:p>
    <w:p w14:paraId="3E8E9A40" w14:textId="77777777" w:rsidR="009F731F" w:rsidRDefault="009F731F" w:rsidP="009F731F">
      <w:pPr>
        <w:spacing w:line="360" w:lineRule="auto"/>
        <w:ind w:left="720"/>
        <w:jc w:val="both"/>
        <w:rPr>
          <w:rtl/>
        </w:rPr>
      </w:pPr>
      <w:r>
        <w:rPr>
          <w:rFonts w:hint="cs"/>
          <w:rtl/>
        </w:rPr>
        <w:t xml:space="preserve">ראו גם </w:t>
      </w:r>
      <w:hyperlink r:id="rId31" w:history="1">
        <w:r w:rsidR="00EB3591" w:rsidRPr="00EB3591">
          <w:rPr>
            <w:color w:val="0000FF"/>
            <w:u w:val="single"/>
            <w:rtl/>
          </w:rPr>
          <w:t>ע"פ 4177/06</w:t>
        </w:r>
      </w:hyperlink>
      <w:r>
        <w:rPr>
          <w:rFonts w:hint="cs"/>
          <w:rtl/>
        </w:rPr>
        <w:t xml:space="preserve"> </w:t>
      </w:r>
      <w:r w:rsidRPr="004C37EE">
        <w:rPr>
          <w:rFonts w:hint="cs"/>
          <w:b/>
          <w:bCs/>
          <w:rtl/>
        </w:rPr>
        <w:t>מדינת ישראל נגד הוידי</w:t>
      </w:r>
      <w:r>
        <w:rPr>
          <w:rFonts w:hint="cs"/>
          <w:rtl/>
        </w:rPr>
        <w:t xml:space="preserve"> (ניתן ביום 21.6.06).</w:t>
      </w:r>
    </w:p>
    <w:p w14:paraId="7FC05D77" w14:textId="77777777" w:rsidR="009F731F" w:rsidRDefault="009F731F" w:rsidP="009F731F">
      <w:pPr>
        <w:spacing w:line="360" w:lineRule="auto"/>
        <w:ind w:left="720" w:hanging="720"/>
        <w:jc w:val="both"/>
        <w:rPr>
          <w:rtl/>
        </w:rPr>
      </w:pPr>
    </w:p>
    <w:p w14:paraId="11CEA4BB" w14:textId="77777777" w:rsidR="009F731F" w:rsidRDefault="009F731F" w:rsidP="009F731F">
      <w:pPr>
        <w:spacing w:line="360" w:lineRule="auto"/>
        <w:ind w:left="720" w:hanging="720"/>
        <w:jc w:val="both"/>
        <w:rPr>
          <w:rtl/>
        </w:rPr>
      </w:pPr>
      <w:r>
        <w:rPr>
          <w:rFonts w:hint="cs"/>
          <w:rtl/>
        </w:rPr>
        <w:t>33.</w:t>
      </w:r>
      <w:r>
        <w:rPr>
          <w:rtl/>
        </w:rPr>
        <w:tab/>
      </w:r>
      <w:r>
        <w:rPr>
          <w:rFonts w:hint="cs"/>
          <w:rtl/>
        </w:rPr>
        <w:t xml:space="preserve"> עיון בפסיקה מצביע על כך כי </w:t>
      </w:r>
      <w:r w:rsidRPr="0046312A">
        <w:rPr>
          <w:rFonts w:hint="cs"/>
          <w:rtl/>
        </w:rPr>
        <w:t xml:space="preserve">קיימת קשת רחבה של מעשי שוד </w:t>
      </w:r>
      <w:r>
        <w:rPr>
          <w:rFonts w:hint="cs"/>
          <w:rtl/>
        </w:rPr>
        <w:t xml:space="preserve">השונים זה מזה בנסיבותיהם ובדרגת </w:t>
      </w:r>
      <w:r w:rsidRPr="0046312A">
        <w:rPr>
          <w:rFonts w:hint="cs"/>
          <w:rtl/>
        </w:rPr>
        <w:t>חומרתם. משכך, מידת הענישה הנוהגת תלויה מטבע הדברים בנסיבותיו</w:t>
      </w:r>
      <w:r>
        <w:rPr>
          <w:rFonts w:hint="cs"/>
          <w:rtl/>
        </w:rPr>
        <w:t xml:space="preserve"> הקונקרטיות של מעשה השוד וחומרתו -  ראו לעניין </w:t>
      </w:r>
      <w:r w:rsidRPr="0046312A">
        <w:rPr>
          <w:rFonts w:hint="cs"/>
          <w:rtl/>
        </w:rPr>
        <w:t xml:space="preserve"> </w:t>
      </w:r>
      <w:r>
        <w:rPr>
          <w:rFonts w:hint="cs"/>
          <w:rtl/>
        </w:rPr>
        <w:t xml:space="preserve">זה </w:t>
      </w:r>
      <w:hyperlink r:id="rId32" w:history="1">
        <w:r w:rsidR="00EB3591" w:rsidRPr="00EB3591">
          <w:rPr>
            <w:color w:val="0000FF"/>
            <w:u w:val="single"/>
            <w:rtl/>
          </w:rPr>
          <w:t>ע"פ 4841/13</w:t>
        </w:r>
      </w:hyperlink>
      <w:r w:rsidRPr="0046312A">
        <w:rPr>
          <w:rFonts w:hint="cs"/>
          <w:rtl/>
        </w:rPr>
        <w:t xml:space="preserve"> </w:t>
      </w:r>
      <w:r w:rsidRPr="0046312A">
        <w:rPr>
          <w:rFonts w:hint="cs"/>
          <w:b/>
          <w:bCs/>
          <w:rtl/>
        </w:rPr>
        <w:t xml:space="preserve">ספי נ' מדינת ישראל </w:t>
      </w:r>
      <w:r w:rsidRPr="0046312A">
        <w:rPr>
          <w:rFonts w:hint="cs"/>
          <w:sz w:val="22"/>
          <w:rtl/>
        </w:rPr>
        <w:t xml:space="preserve">- (ניתן </w:t>
      </w:r>
      <w:r w:rsidRPr="0046312A">
        <w:rPr>
          <w:rFonts w:hint="cs"/>
          <w:rtl/>
        </w:rPr>
        <w:t>ביום 6.2.14)</w:t>
      </w:r>
      <w:r>
        <w:rPr>
          <w:rFonts w:hint="cs"/>
          <w:rtl/>
        </w:rPr>
        <w:t>, שם נאמר כי</w:t>
      </w:r>
      <w:r w:rsidRPr="0046312A">
        <w:rPr>
          <w:rFonts w:hint="cs"/>
          <w:rtl/>
        </w:rPr>
        <w:t>:</w:t>
      </w:r>
    </w:p>
    <w:p w14:paraId="3F924F35" w14:textId="77777777" w:rsidR="009F731F" w:rsidRPr="0046312A" w:rsidRDefault="009F731F" w:rsidP="009F731F">
      <w:pPr>
        <w:spacing w:line="360" w:lineRule="auto"/>
        <w:jc w:val="both"/>
        <w:rPr>
          <w:rtl/>
        </w:rPr>
      </w:pPr>
    </w:p>
    <w:p w14:paraId="6AF583B6" w14:textId="77777777" w:rsidR="009F731F" w:rsidRDefault="009F731F" w:rsidP="00BB096D">
      <w:pPr>
        <w:spacing w:line="360" w:lineRule="auto"/>
        <w:ind w:left="720"/>
        <w:jc w:val="both"/>
        <w:rPr>
          <w:rtl/>
        </w:rPr>
      </w:pPr>
      <w:r w:rsidRPr="0046312A">
        <w:rPr>
          <w:rFonts w:hint="cs"/>
          <w:b/>
          <w:bCs/>
          <w:rtl/>
        </w:rPr>
        <w:t>"באשר לקביעת מתחם העונש ההולם – כנודע, לובשת עבירת השוד פנים וצורות רבות וקביעת מתחמי הענישה ההולמים בגינה מגוונת; אך פטור בלא כלום אי אפשר (בבלי, חולין כז ע"ב), ואת המסגרת קבע כמובן המחוקק בקביעת "תג העונש" לעבירה זו – אין זהה דינה של עבירה שנעברה תוך פגיעה פיסית אלימה לעבירה שבוצעה על דרך הפחדה בלבד; אין זהה דינה של עבירה שנעברה לאחר תכנון והכנה מוקדמים לעבירה אקראית-ספונטנית; אין זהה דינה של עבירה שנעברה  בחבורה לדינה של עבירת אדם יחיד; אין זהה דינה של עבירה שנעשתה תוך שימוש בנשק, חם או קר, לעבירה שנעשתה ללא שימוש בנשק; אין זהה דינה של עבירה חד פעמית למסכת שיטתית של עבירות. נוכח כל אלה, עיון באסופת הפסיקה, ממנה מבקשים המערערים להיבנות, מגלה כי "אין הנידון דומה לראיה" (בבלי, פסחים ט"ו ע"א). הגם שהשופט ס' ג'ובראן העמיד במקרה אחד את מתחם הענישה הראוי בגין עבירות שוד "ספונטניות" על תקופה של בין 6 חודשים לבין שנתיים מאסר בפועל (</w:t>
      </w:r>
      <w:hyperlink r:id="rId33" w:history="1">
        <w:r w:rsidR="00EB3591" w:rsidRPr="00EB3591">
          <w:rPr>
            <w:b/>
            <w:bCs/>
            <w:color w:val="0000FF"/>
            <w:u w:val="single"/>
            <w:rtl/>
          </w:rPr>
          <w:t>ע"פ 7655/12</w:t>
        </w:r>
      </w:hyperlink>
      <w:r w:rsidRPr="0046312A">
        <w:rPr>
          <w:rFonts w:hint="cs"/>
          <w:b/>
          <w:bCs/>
          <w:rtl/>
        </w:rPr>
        <w:t xml:space="preserve"> פייסל נ' מדינת ישראל [פורסם בנבו] (2013)), בנידון דידן עסקינן בשוד מתוכנן ויזום בצוותא. יתר על כן, עיון בפסיקה מתגלה כי המתחם והעונש שנגזר בגדרו אינם חורגים מן המקובל בעבירות שוד שבוצעו בנסיבות דומות (ראו </w:t>
      </w:r>
      <w:hyperlink r:id="rId34" w:history="1">
        <w:r w:rsidR="00EB3591" w:rsidRPr="00EB3591">
          <w:rPr>
            <w:b/>
            <w:bCs/>
            <w:color w:val="0000FF"/>
            <w:u w:val="single"/>
            <w:rtl/>
          </w:rPr>
          <w:t>ע"פ 217/13</w:t>
        </w:r>
      </w:hyperlink>
      <w:r w:rsidRPr="0046312A">
        <w:rPr>
          <w:rFonts w:hint="cs"/>
          <w:b/>
          <w:bCs/>
          <w:rtl/>
        </w:rPr>
        <w:t xml:space="preserve"> אלמוני נ' מדינת ישראל [פורסם בנבו] (2013); </w:t>
      </w:r>
      <w:hyperlink r:id="rId35" w:history="1">
        <w:r w:rsidR="00BB096D" w:rsidRPr="00BB096D">
          <w:rPr>
            <w:b/>
            <w:bCs/>
            <w:color w:val="0000FF"/>
            <w:u w:val="single"/>
            <w:rtl/>
          </w:rPr>
          <w:t>ע"פ 2557/13</w:t>
        </w:r>
      </w:hyperlink>
      <w:r w:rsidR="00BB096D" w:rsidRPr="00BB096D">
        <w:rPr>
          <w:b/>
          <w:bCs/>
          <w:rtl/>
        </w:rPr>
        <w:t xml:space="preserve"> </w:t>
      </w:r>
      <w:r w:rsidRPr="0046312A">
        <w:rPr>
          <w:rFonts w:hint="cs"/>
          <w:b/>
          <w:bCs/>
          <w:rtl/>
        </w:rPr>
        <w:t xml:space="preserve">לזר נ' מדינת ישראל [פורסם בנבו] (2013); </w:t>
      </w:r>
      <w:hyperlink r:id="rId36" w:history="1">
        <w:r w:rsidR="00EB3591" w:rsidRPr="00EB3591">
          <w:rPr>
            <w:b/>
            <w:bCs/>
            <w:color w:val="0000FF"/>
            <w:u w:val="single"/>
            <w:rtl/>
          </w:rPr>
          <w:t>ע"פ 4835/12</w:t>
        </w:r>
      </w:hyperlink>
      <w:r w:rsidRPr="0046312A">
        <w:rPr>
          <w:rFonts w:hint="cs"/>
          <w:b/>
          <w:bCs/>
          <w:rtl/>
        </w:rPr>
        <w:t xml:space="preserve"> כוהנישווילי נ' מדינת ישראל [פורסם בנבו] (2013))."</w:t>
      </w:r>
      <w:r w:rsidRPr="004C37EE">
        <w:rPr>
          <w:rFonts w:hint="cs"/>
          <w:rtl/>
        </w:rPr>
        <w:t xml:space="preserve"> </w:t>
      </w:r>
    </w:p>
    <w:p w14:paraId="67CAC6B0" w14:textId="77777777" w:rsidR="009F731F" w:rsidRDefault="009F731F" w:rsidP="009F731F">
      <w:pPr>
        <w:spacing w:line="360" w:lineRule="auto"/>
        <w:ind w:left="567"/>
        <w:jc w:val="both"/>
        <w:rPr>
          <w:rtl/>
        </w:rPr>
      </w:pPr>
    </w:p>
    <w:p w14:paraId="69354B97" w14:textId="77777777" w:rsidR="009F731F" w:rsidRPr="0046312A" w:rsidRDefault="009F731F" w:rsidP="009F731F">
      <w:pPr>
        <w:spacing w:line="360" w:lineRule="auto"/>
        <w:ind w:left="720"/>
        <w:jc w:val="both"/>
        <w:rPr>
          <w:rtl/>
        </w:rPr>
      </w:pPr>
      <w:r>
        <w:rPr>
          <w:rFonts w:hint="cs"/>
          <w:rtl/>
        </w:rPr>
        <w:t>במקרה דנן</w:t>
      </w:r>
      <w:r w:rsidRPr="0046312A">
        <w:rPr>
          <w:rFonts w:hint="cs"/>
          <w:rtl/>
        </w:rPr>
        <w:t>, הנאשם התכונן למעשה שעשה,</w:t>
      </w:r>
      <w:r>
        <w:rPr>
          <w:rFonts w:hint="cs"/>
          <w:rtl/>
        </w:rPr>
        <w:t xml:space="preserve"> תכנן יחד עם האחר ביצוע השוד, חבש כובע גרב לראשו במטרה להקשות על זיהויו, </w:t>
      </w:r>
      <w:r w:rsidRPr="0046312A">
        <w:rPr>
          <w:rFonts w:hint="cs"/>
          <w:rtl/>
        </w:rPr>
        <w:t xml:space="preserve">אמנם לא </w:t>
      </w:r>
      <w:r>
        <w:rPr>
          <w:rFonts w:hint="cs"/>
          <w:rtl/>
        </w:rPr>
        <w:t>הוא ש</w:t>
      </w:r>
      <w:r w:rsidRPr="0046312A">
        <w:rPr>
          <w:rFonts w:hint="cs"/>
          <w:rtl/>
        </w:rPr>
        <w:t xml:space="preserve">החזיק </w:t>
      </w:r>
      <w:r>
        <w:rPr>
          <w:rFonts w:hint="cs"/>
          <w:rtl/>
        </w:rPr>
        <w:t>את האקדח</w:t>
      </w:r>
      <w:r w:rsidRPr="0046312A">
        <w:rPr>
          <w:rFonts w:hint="cs"/>
          <w:rtl/>
        </w:rPr>
        <w:t xml:space="preserve">, </w:t>
      </w:r>
      <w:r>
        <w:rPr>
          <w:rFonts w:hint="cs"/>
          <w:rtl/>
        </w:rPr>
        <w:t xml:space="preserve">אך חבר לאחר שהחזיק בו, אך </w:t>
      </w:r>
      <w:r w:rsidRPr="0046312A">
        <w:rPr>
          <w:rFonts w:hint="cs"/>
          <w:rtl/>
        </w:rPr>
        <w:t>מידת האלימות שהופעלה מצד הנאשם אמנם לא הייתה ברף הגבוה ובלא שנגרם נזק גוף. יחד עם זאת, אין להתעלם מחומרתם הכוללת של המעשים ויש להתייחס בחומרה הראויה לכך שמדובר בשו</w:t>
      </w:r>
      <w:r>
        <w:rPr>
          <w:rFonts w:hint="cs"/>
          <w:rtl/>
        </w:rPr>
        <w:t>ד שבוצע לאור יום, תוך כדי איום, קבלת</w:t>
      </w:r>
      <w:r w:rsidRPr="0046312A">
        <w:rPr>
          <w:rFonts w:hint="cs"/>
          <w:rtl/>
        </w:rPr>
        <w:t xml:space="preserve"> כספי</w:t>
      </w:r>
      <w:r>
        <w:rPr>
          <w:rFonts w:hint="cs"/>
          <w:rtl/>
        </w:rPr>
        <w:t>ם והסתייעות באקדח ואף שימוש בו לצורך הפחדה.</w:t>
      </w:r>
      <w:r w:rsidRPr="0046312A">
        <w:rPr>
          <w:rFonts w:hint="cs"/>
          <w:rtl/>
        </w:rPr>
        <w:t xml:space="preserve"> </w:t>
      </w:r>
    </w:p>
    <w:p w14:paraId="3CA1D126" w14:textId="77777777" w:rsidR="009F731F" w:rsidRDefault="009F731F" w:rsidP="009F731F">
      <w:pPr>
        <w:spacing w:line="360" w:lineRule="auto"/>
        <w:ind w:left="720"/>
        <w:jc w:val="both"/>
        <w:rPr>
          <w:b/>
          <w:bCs/>
          <w:rtl/>
        </w:rPr>
      </w:pPr>
    </w:p>
    <w:p w14:paraId="26E16ADC" w14:textId="77777777" w:rsidR="009F731F" w:rsidRDefault="009F731F" w:rsidP="009F731F">
      <w:pPr>
        <w:spacing w:line="360" w:lineRule="auto"/>
        <w:ind w:left="567" w:hanging="567"/>
        <w:jc w:val="both"/>
        <w:rPr>
          <w:rtl/>
        </w:rPr>
      </w:pPr>
      <w:r w:rsidRPr="004C37EE">
        <w:rPr>
          <w:rFonts w:hint="cs"/>
          <w:rtl/>
        </w:rPr>
        <w:t>3</w:t>
      </w:r>
      <w:r>
        <w:rPr>
          <w:rFonts w:hint="cs"/>
          <w:rtl/>
        </w:rPr>
        <w:t>4</w:t>
      </w:r>
      <w:r w:rsidRPr="004C37EE">
        <w:rPr>
          <w:rFonts w:hint="cs"/>
          <w:rtl/>
        </w:rPr>
        <w:t>.</w:t>
      </w:r>
      <w:r w:rsidRPr="004C37EE">
        <w:rPr>
          <w:rFonts w:hint="cs"/>
          <w:rtl/>
        </w:rPr>
        <w:tab/>
        <w:t xml:space="preserve">ביטוי למתחם הענישה ומדיניות הענישה בעבירות מסוג </w:t>
      </w:r>
      <w:r>
        <w:rPr>
          <w:rFonts w:hint="cs"/>
          <w:rtl/>
        </w:rPr>
        <w:t>זה</w:t>
      </w:r>
      <w:r w:rsidRPr="004C37EE">
        <w:rPr>
          <w:rFonts w:hint="cs"/>
          <w:rtl/>
        </w:rPr>
        <w:t xml:space="preserve"> שהורשע בהן הנאשם, ניתן למצוא גם ב</w:t>
      </w:r>
      <w:hyperlink r:id="rId37" w:history="1">
        <w:r w:rsidR="00EB3591" w:rsidRPr="00EB3591">
          <w:rPr>
            <w:color w:val="0000FF"/>
            <w:u w:val="single"/>
            <w:rtl/>
          </w:rPr>
          <w:t>ע"פ 6001/13</w:t>
        </w:r>
      </w:hyperlink>
      <w:r w:rsidRPr="004C37EE">
        <w:rPr>
          <w:rFonts w:hint="cs"/>
          <w:rtl/>
        </w:rPr>
        <w:t xml:space="preserve"> </w:t>
      </w:r>
      <w:r w:rsidRPr="009F676D">
        <w:rPr>
          <w:rFonts w:hint="cs"/>
          <w:b/>
          <w:bCs/>
          <w:rtl/>
        </w:rPr>
        <w:t>קסה נגד מדינת ישראל</w:t>
      </w:r>
      <w:r w:rsidRPr="004C37EE">
        <w:rPr>
          <w:rFonts w:hint="cs"/>
          <w:rtl/>
        </w:rPr>
        <w:t xml:space="preserve"> (ניתן ביום 29.1.14) (להלן: "</w:t>
      </w:r>
      <w:r w:rsidRPr="009F676D">
        <w:rPr>
          <w:rFonts w:hint="cs"/>
          <w:b/>
          <w:bCs/>
          <w:rtl/>
        </w:rPr>
        <w:t>עניין קסה</w:t>
      </w:r>
      <w:r w:rsidRPr="004C37EE">
        <w:rPr>
          <w:rFonts w:hint="cs"/>
          <w:rtl/>
        </w:rPr>
        <w:t xml:space="preserve">"), </w:t>
      </w:r>
      <w:r>
        <w:rPr>
          <w:rFonts w:hint="cs"/>
          <w:rtl/>
        </w:rPr>
        <w:t>שם אישר בית משפט העליון מתחם ענישה שנע בין 2 עד 5 שנות מאסר לריצוי בפועל.</w:t>
      </w:r>
    </w:p>
    <w:p w14:paraId="30CD3B69" w14:textId="77777777" w:rsidR="009F731F" w:rsidRDefault="009F731F" w:rsidP="009F731F">
      <w:pPr>
        <w:spacing w:line="360" w:lineRule="auto"/>
        <w:ind w:left="567" w:hanging="567"/>
        <w:jc w:val="both"/>
        <w:rPr>
          <w:rtl/>
        </w:rPr>
      </w:pPr>
    </w:p>
    <w:p w14:paraId="4C6CFB8B" w14:textId="77777777" w:rsidR="009F731F" w:rsidRDefault="009F731F" w:rsidP="009F731F">
      <w:pPr>
        <w:spacing w:line="360" w:lineRule="auto"/>
        <w:ind w:left="567" w:hanging="567"/>
        <w:jc w:val="both"/>
        <w:rPr>
          <w:rtl/>
        </w:rPr>
      </w:pPr>
      <w:r>
        <w:rPr>
          <w:rtl/>
        </w:rPr>
        <w:tab/>
      </w:r>
      <w:r>
        <w:rPr>
          <w:rFonts w:hint="cs"/>
          <w:rtl/>
        </w:rPr>
        <w:t xml:space="preserve">למעשה נסיבות המקרה שלפנינו חמורות יותר מנסיבות המקרה בעניין קסה, שכן בענייננו מדובר בביצוע בצוותא, תוך תכנון מראש והצטיידות באקדח שנעשה בו שימוש לצורך הפחדה בזמן ההימלטות. מה גם, הנאשם נמלט עם כסף להבדיל מהמקרה של קסה שבו המערער נמלט מהזירה מבלי שנטל עמו כסף.  </w:t>
      </w:r>
    </w:p>
    <w:p w14:paraId="0BFAD984" w14:textId="77777777" w:rsidR="009F731F" w:rsidRDefault="009F731F" w:rsidP="009F731F">
      <w:pPr>
        <w:spacing w:line="360" w:lineRule="auto"/>
        <w:ind w:left="567" w:hanging="567"/>
        <w:jc w:val="both"/>
        <w:rPr>
          <w:rtl/>
        </w:rPr>
      </w:pPr>
    </w:p>
    <w:p w14:paraId="31776483" w14:textId="77777777" w:rsidR="009F731F" w:rsidRDefault="009F731F" w:rsidP="009F731F">
      <w:pPr>
        <w:spacing w:line="360" w:lineRule="auto"/>
        <w:ind w:left="567" w:hanging="567"/>
        <w:jc w:val="both"/>
        <w:rPr>
          <w:rtl/>
        </w:rPr>
      </w:pPr>
      <w:r>
        <w:rPr>
          <w:rFonts w:hint="cs"/>
          <w:rtl/>
        </w:rPr>
        <w:t>35.</w:t>
      </w:r>
      <w:r>
        <w:rPr>
          <w:rFonts w:hint="cs"/>
          <w:rtl/>
        </w:rPr>
        <w:tab/>
        <w:t>עוד ראוי להפנות ל</w:t>
      </w:r>
      <w:hyperlink r:id="rId38" w:history="1">
        <w:r w:rsidR="00EB3591" w:rsidRPr="00EB3591">
          <w:rPr>
            <w:color w:val="0000FF"/>
            <w:u w:val="single"/>
            <w:rtl/>
          </w:rPr>
          <w:t>ע"פ 5780/13</w:t>
        </w:r>
      </w:hyperlink>
      <w:r>
        <w:rPr>
          <w:rFonts w:hint="cs"/>
          <w:rtl/>
        </w:rPr>
        <w:t xml:space="preserve"> </w:t>
      </w:r>
      <w:r>
        <w:rPr>
          <w:rFonts w:hint="cs"/>
          <w:b/>
          <w:bCs/>
          <w:rtl/>
        </w:rPr>
        <w:t>בן</w:t>
      </w:r>
      <w:r w:rsidRPr="000066ED">
        <w:rPr>
          <w:rFonts w:hint="cs"/>
          <w:b/>
          <w:bCs/>
          <w:rtl/>
        </w:rPr>
        <w:t xml:space="preserve"> אבו נגד מדינת ישראל</w:t>
      </w:r>
      <w:r>
        <w:rPr>
          <w:rFonts w:hint="cs"/>
          <w:rtl/>
        </w:rPr>
        <w:t xml:space="preserve"> (ניתן ביום 16.7.14) (להלן: "</w:t>
      </w:r>
      <w:r w:rsidRPr="000066ED">
        <w:rPr>
          <w:rFonts w:hint="cs"/>
          <w:b/>
          <w:bCs/>
          <w:rtl/>
        </w:rPr>
        <w:t>בן אבו</w:t>
      </w:r>
      <w:r>
        <w:rPr>
          <w:rFonts w:hint="cs"/>
          <w:rtl/>
        </w:rPr>
        <w:t>"), שבו נדון עניינו של מערער אשר הורשע בביצוע שוד בנסיבות מחמירות של חנות מכולת, כאשר במהלך השוד הצמיד המערער סכין יפנית לצווארו של המתלונן והורה לו למסור לידיו כסף מן הקופה. בית המשפט קבע כי מתחם ענישה נע בין 3 עד 6 שנות מאסר בפועל. בית משפט העליון קיבל את הערעור בחלקו וקבע כי המתחם שנקבע הוא מחמיר ביחס למדיניות הענישה הנהוגה במקרים דומים והעמיד את המתחם על 30 עד 60 חודשי מאסר בפועל.</w:t>
      </w:r>
    </w:p>
    <w:p w14:paraId="4C57BAF9" w14:textId="77777777" w:rsidR="009F731F" w:rsidRDefault="009F731F" w:rsidP="009F731F">
      <w:pPr>
        <w:spacing w:line="360" w:lineRule="auto"/>
        <w:ind w:left="567" w:hanging="567"/>
        <w:jc w:val="both"/>
        <w:rPr>
          <w:rtl/>
        </w:rPr>
      </w:pPr>
    </w:p>
    <w:p w14:paraId="5CACC3F0" w14:textId="77777777" w:rsidR="009F731F" w:rsidRDefault="009F731F" w:rsidP="009F731F">
      <w:pPr>
        <w:spacing w:line="360" w:lineRule="auto"/>
        <w:ind w:left="567" w:hanging="567"/>
        <w:jc w:val="both"/>
        <w:rPr>
          <w:rtl/>
        </w:rPr>
      </w:pPr>
      <w:r>
        <w:rPr>
          <w:rtl/>
        </w:rPr>
        <w:tab/>
      </w:r>
      <w:r>
        <w:rPr>
          <w:rFonts w:hint="cs"/>
          <w:rtl/>
        </w:rPr>
        <w:t>בעניין בן אבו דובר בשוד שבוצע תוך הסתייעות בסכין וקדם למעשים תכנון מוקדם כמו המקרה שלפנינו שבו קדם למעשה השוד תכנון ואף הסתייעות באקדח. אולם במקרה שלנו בשונה מנסיבות בעניין בן אבו, מדובר בשוד אשר בוצע בצוותא ולא על ידי שודד בודד. מה גם, בזמן ההימלטות נעשה שימוש באקדח שהיה מוחזק ע"י האחר אשר ירה כדור אחד באוויר לצורך הפחדה ולכן יש ליחס לנאשם גם את חלקו היחסי בסוגיה זו לאור העובדה שהמעשים בוצעו בצוותא.</w:t>
      </w:r>
    </w:p>
    <w:p w14:paraId="6AE5B416" w14:textId="77777777" w:rsidR="009F731F" w:rsidRDefault="009F731F" w:rsidP="009F731F">
      <w:pPr>
        <w:spacing w:line="360" w:lineRule="auto"/>
        <w:ind w:left="567" w:hanging="567"/>
        <w:jc w:val="both"/>
        <w:rPr>
          <w:rtl/>
        </w:rPr>
      </w:pPr>
    </w:p>
    <w:p w14:paraId="093AB166" w14:textId="77777777" w:rsidR="009F731F" w:rsidRPr="00FB3978" w:rsidRDefault="009F731F" w:rsidP="009F731F">
      <w:pPr>
        <w:spacing w:line="360" w:lineRule="auto"/>
        <w:ind w:left="567"/>
        <w:jc w:val="both"/>
        <w:rPr>
          <w:b/>
          <w:bCs/>
        </w:rPr>
      </w:pPr>
      <w:r w:rsidRPr="00696C8C">
        <w:rPr>
          <w:rFonts w:hint="cs"/>
          <w:rtl/>
        </w:rPr>
        <w:t xml:space="preserve">אכן ריבוי העבירות המבוצעות בנשק, התחושה שנשק </w:t>
      </w:r>
      <w:r>
        <w:rPr>
          <w:rFonts w:hint="cs"/>
          <w:rtl/>
        </w:rPr>
        <w:t xml:space="preserve">בלתי מורשה מצוי בידי כל מי שחפץ </w:t>
      </w:r>
      <w:r w:rsidRPr="00696C8C">
        <w:rPr>
          <w:rFonts w:hint="cs"/>
          <w:rtl/>
        </w:rPr>
        <w:t xml:space="preserve">ובשל הסכנה הנשקפת מנשק זה לציבור, נקטו בתי המשפט בשנים האחרונות בגישה מחמירה שתכליתה הכרזת מלחמה של רשויות האכיפה בתופעה מסוכנת זו – ראו לעניין זה </w:t>
      </w:r>
      <w:hyperlink r:id="rId39" w:history="1">
        <w:r w:rsidR="00EB3591" w:rsidRPr="00EB3591">
          <w:rPr>
            <w:color w:val="0000FF"/>
            <w:u w:val="single"/>
            <w:rtl/>
          </w:rPr>
          <w:t>ע"פ 4450/11</w:t>
        </w:r>
      </w:hyperlink>
      <w:r w:rsidRPr="00696C8C">
        <w:rPr>
          <w:rFonts w:hint="cs"/>
          <w:rtl/>
        </w:rPr>
        <w:t xml:space="preserve"> </w:t>
      </w:r>
      <w:r w:rsidRPr="00696C8C">
        <w:rPr>
          <w:rFonts w:hint="cs"/>
          <w:b/>
          <w:bCs/>
          <w:rtl/>
        </w:rPr>
        <w:t>עספור נ' מדינת ישראל</w:t>
      </w:r>
      <w:r w:rsidRPr="00696C8C">
        <w:rPr>
          <w:rFonts w:hint="cs"/>
          <w:rtl/>
        </w:rPr>
        <w:t xml:space="preserve"> - (ניתן ביום 8/2/12) ו</w:t>
      </w:r>
      <w:hyperlink r:id="rId40" w:history="1">
        <w:r w:rsidR="00EB3591" w:rsidRPr="00EB3591">
          <w:rPr>
            <w:color w:val="0000FF"/>
            <w:u w:val="single"/>
            <w:rtl/>
          </w:rPr>
          <w:t>ע"פ 2251/11</w:t>
        </w:r>
      </w:hyperlink>
      <w:r w:rsidRPr="00696C8C">
        <w:rPr>
          <w:rFonts w:hint="cs"/>
          <w:rtl/>
        </w:rPr>
        <w:t xml:space="preserve"> </w:t>
      </w:r>
      <w:r w:rsidRPr="00696C8C">
        <w:rPr>
          <w:rFonts w:hint="cs"/>
          <w:b/>
          <w:bCs/>
          <w:rtl/>
        </w:rPr>
        <w:t>נפאע נ' מדינת ישראל</w:t>
      </w:r>
      <w:r w:rsidRPr="00696C8C">
        <w:rPr>
          <w:rFonts w:hint="cs"/>
          <w:rtl/>
        </w:rPr>
        <w:t xml:space="preserve"> - </w:t>
      </w:r>
      <w:r>
        <w:rPr>
          <w:rFonts w:hint="cs"/>
          <w:rtl/>
        </w:rPr>
        <w:t>(ניתן ביום 4/12/11),</w:t>
      </w:r>
      <w:hyperlink r:id="rId41" w:history="1">
        <w:r w:rsidR="00EB3591" w:rsidRPr="00EB3591">
          <w:rPr>
            <w:color w:val="0000FF"/>
            <w:u w:val="single"/>
            <w:rtl/>
          </w:rPr>
          <w:t>ע"פ 1323/13</w:t>
        </w:r>
      </w:hyperlink>
      <w:r w:rsidRPr="00696C8C">
        <w:rPr>
          <w:rFonts w:hint="cs"/>
          <w:rtl/>
        </w:rPr>
        <w:t xml:space="preserve"> </w:t>
      </w:r>
      <w:r w:rsidRPr="00696C8C">
        <w:rPr>
          <w:rFonts w:hint="cs"/>
          <w:b/>
          <w:bCs/>
          <w:rtl/>
        </w:rPr>
        <w:t>רך חסן  נגד מדינת ישראל</w:t>
      </w:r>
      <w:r>
        <w:rPr>
          <w:rFonts w:hint="cs"/>
          <w:rtl/>
        </w:rPr>
        <w:t xml:space="preserve"> - (ניתן ביום 5.6.13).</w:t>
      </w:r>
    </w:p>
    <w:p w14:paraId="2BB43DD8" w14:textId="77777777" w:rsidR="009F731F" w:rsidRPr="002A71AC" w:rsidRDefault="009F731F" w:rsidP="009F731F">
      <w:pPr>
        <w:spacing w:line="360" w:lineRule="auto"/>
        <w:jc w:val="both"/>
        <w:rPr>
          <w:rtl/>
        </w:rPr>
      </w:pPr>
    </w:p>
    <w:p w14:paraId="3CB54C41" w14:textId="77777777" w:rsidR="009F731F" w:rsidRDefault="009F731F" w:rsidP="009F731F">
      <w:pPr>
        <w:spacing w:line="360" w:lineRule="auto"/>
        <w:ind w:left="567" w:hanging="567"/>
        <w:jc w:val="both"/>
        <w:rPr>
          <w:rtl/>
        </w:rPr>
      </w:pPr>
      <w:r w:rsidRPr="00395D34">
        <w:rPr>
          <w:rFonts w:hint="cs"/>
          <w:rtl/>
        </w:rPr>
        <w:t>3</w:t>
      </w:r>
      <w:r>
        <w:rPr>
          <w:rFonts w:hint="cs"/>
          <w:rtl/>
        </w:rPr>
        <w:t>6</w:t>
      </w:r>
      <w:r w:rsidRPr="00395D34">
        <w:rPr>
          <w:rFonts w:hint="cs"/>
          <w:rtl/>
        </w:rPr>
        <w:t>.</w:t>
      </w:r>
      <w:r w:rsidRPr="00395D34">
        <w:rPr>
          <w:rFonts w:hint="cs"/>
          <w:rtl/>
        </w:rPr>
        <w:tab/>
        <w:t xml:space="preserve">בנסיבות אלו, בזיקה לערכים החברתיים המוגנים שנפגעו מביצוע העבירות ומידת הפגיעה בהם, מדיניות הענישה הנהוגה והנסיבות הקשורות בביצוע העבירות, אני סבור, כי מתחם העונש ההולם נע במקרה דנן </w:t>
      </w:r>
      <w:r w:rsidRPr="00395D34">
        <w:rPr>
          <w:rFonts w:hint="cs"/>
          <w:b/>
          <w:bCs/>
          <w:rtl/>
        </w:rPr>
        <w:t>בין 30 חודשי מאסר בפועל, לבין 60 חודשי מאסר בפועל</w:t>
      </w:r>
      <w:r w:rsidRPr="00395D34">
        <w:rPr>
          <w:rFonts w:hint="cs"/>
          <w:rtl/>
        </w:rPr>
        <w:t>, בצירוף עונשים נלווים.</w:t>
      </w:r>
    </w:p>
    <w:p w14:paraId="123B29B7" w14:textId="77777777" w:rsidR="009F731F" w:rsidRDefault="009F731F" w:rsidP="009F731F">
      <w:pPr>
        <w:spacing w:line="360" w:lineRule="auto"/>
        <w:ind w:left="567" w:hanging="567"/>
        <w:jc w:val="both"/>
        <w:rPr>
          <w:rtl/>
        </w:rPr>
      </w:pPr>
    </w:p>
    <w:p w14:paraId="02BC0BA1" w14:textId="77777777" w:rsidR="009F731F" w:rsidRDefault="009F731F" w:rsidP="009F731F">
      <w:pPr>
        <w:spacing w:line="360" w:lineRule="auto"/>
        <w:ind w:left="567" w:hanging="567"/>
        <w:jc w:val="both"/>
        <w:rPr>
          <w:rtl/>
        </w:rPr>
      </w:pPr>
      <w:r>
        <w:rPr>
          <w:rtl/>
        </w:rPr>
        <w:tab/>
      </w:r>
      <w:r>
        <w:rPr>
          <w:rFonts w:hint="cs"/>
          <w:rtl/>
        </w:rPr>
        <w:t xml:space="preserve">אני ער לכך שקיימות פרשות בהן נקבע מתחם ענישה בטווח של 3 </w:t>
      </w:r>
      <w:r>
        <w:rPr>
          <w:rtl/>
        </w:rPr>
        <w:t>–</w:t>
      </w:r>
      <w:r>
        <w:rPr>
          <w:rFonts w:hint="cs"/>
          <w:rtl/>
        </w:rPr>
        <w:t xml:space="preserve"> 6 שנות מאסר בגין שוד בנסיבות מחמירות, אם כי המדובר בנסיבות שונות לחומרה מהמקרה שלפנינו- ראו למשל </w:t>
      </w:r>
      <w:hyperlink r:id="rId42" w:history="1">
        <w:r w:rsidR="00EB3591" w:rsidRPr="00EB3591">
          <w:rPr>
            <w:color w:val="0000FF"/>
            <w:u w:val="single"/>
            <w:rtl/>
          </w:rPr>
          <w:t>ע"פ 1178/14</w:t>
        </w:r>
      </w:hyperlink>
      <w:r>
        <w:rPr>
          <w:rFonts w:hint="cs"/>
          <w:rtl/>
        </w:rPr>
        <w:t xml:space="preserve"> </w:t>
      </w:r>
      <w:r w:rsidRPr="00472AF8">
        <w:rPr>
          <w:rFonts w:hint="cs"/>
          <w:b/>
          <w:bCs/>
          <w:rtl/>
        </w:rPr>
        <w:t>מדינת ישראל נגד מיכלאשוילי</w:t>
      </w:r>
      <w:r>
        <w:rPr>
          <w:rFonts w:hint="cs"/>
          <w:rtl/>
        </w:rPr>
        <w:t xml:space="preserve"> (ניתן ביום 23.6.14), שם הורשע הנאשם בעבירות של שוד בנסיבות מחמירות, קשירת קשר לפשע, שינוי זיהוי של רכב, נהיגה ללא ביטוח וללא רשיון רכב. </w:t>
      </w:r>
    </w:p>
    <w:p w14:paraId="0316D12B" w14:textId="77777777" w:rsidR="009F731F" w:rsidRDefault="009F731F" w:rsidP="009F731F">
      <w:pPr>
        <w:spacing w:line="360" w:lineRule="auto"/>
        <w:ind w:left="567" w:hanging="567"/>
        <w:jc w:val="both"/>
        <w:rPr>
          <w:rtl/>
        </w:rPr>
      </w:pPr>
    </w:p>
    <w:p w14:paraId="1D632283" w14:textId="77777777" w:rsidR="009F731F" w:rsidRPr="00864E65" w:rsidRDefault="009F731F" w:rsidP="009F731F">
      <w:pPr>
        <w:pStyle w:val="Ruller4"/>
        <w:ind w:left="567"/>
        <w:rPr>
          <w:rFonts w:cs="David"/>
          <w:sz w:val="24"/>
          <w:szCs w:val="24"/>
          <w:rtl/>
        </w:rPr>
      </w:pPr>
      <w:r>
        <w:rPr>
          <w:rFonts w:cs="David" w:hint="cs"/>
          <w:sz w:val="24"/>
          <w:szCs w:val="24"/>
          <w:rtl/>
        </w:rPr>
        <w:t>אכן כמו המקרה שלפנינו, דובר</w:t>
      </w:r>
      <w:r w:rsidRPr="00864E65">
        <w:rPr>
          <w:rFonts w:cs="David"/>
          <w:sz w:val="24"/>
          <w:szCs w:val="24"/>
          <w:rtl/>
        </w:rPr>
        <w:t xml:space="preserve"> </w:t>
      </w:r>
      <w:r>
        <w:rPr>
          <w:rFonts w:cs="David" w:hint="cs"/>
          <w:sz w:val="24"/>
          <w:szCs w:val="24"/>
          <w:rtl/>
        </w:rPr>
        <w:t>ב</w:t>
      </w:r>
      <w:r w:rsidRPr="00864E65">
        <w:rPr>
          <w:rFonts w:cs="David"/>
          <w:sz w:val="24"/>
          <w:szCs w:val="24"/>
          <w:rtl/>
        </w:rPr>
        <w:t xml:space="preserve">תכנון מוקדם, </w:t>
      </w:r>
      <w:r>
        <w:rPr>
          <w:rFonts w:cs="David" w:hint="cs"/>
          <w:sz w:val="24"/>
          <w:szCs w:val="24"/>
          <w:rtl/>
        </w:rPr>
        <w:t>כאשר המשיב יחד עם שותף אחר (</w:t>
      </w:r>
      <w:r w:rsidRPr="00864E65">
        <w:rPr>
          <w:rFonts w:cs="David"/>
          <w:sz w:val="24"/>
          <w:szCs w:val="24"/>
          <w:rtl/>
        </w:rPr>
        <w:t>שזהותו אינה ידועה למערערת</w:t>
      </w:r>
      <w:r>
        <w:rPr>
          <w:rFonts w:cs="David" w:hint="cs"/>
          <w:sz w:val="24"/>
          <w:szCs w:val="24"/>
          <w:rtl/>
        </w:rPr>
        <w:t xml:space="preserve"> </w:t>
      </w:r>
      <w:r>
        <w:rPr>
          <w:rFonts w:cs="David"/>
          <w:sz w:val="24"/>
          <w:szCs w:val="24"/>
          <w:rtl/>
        </w:rPr>
        <w:t>–</w:t>
      </w:r>
      <w:r>
        <w:rPr>
          <w:rFonts w:cs="David" w:hint="cs"/>
          <w:sz w:val="24"/>
          <w:szCs w:val="24"/>
          <w:rtl/>
        </w:rPr>
        <w:t xml:space="preserve"> קרי, המאשימה בענייננו), שדדו בצוותא חנות תכשיטים</w:t>
      </w:r>
      <w:r w:rsidRPr="00864E65">
        <w:rPr>
          <w:rFonts w:cs="David"/>
          <w:sz w:val="24"/>
          <w:szCs w:val="24"/>
          <w:rtl/>
        </w:rPr>
        <w:t xml:space="preserve">. </w:t>
      </w:r>
      <w:r>
        <w:rPr>
          <w:rFonts w:cs="David" w:hint="cs"/>
          <w:sz w:val="24"/>
          <w:szCs w:val="24"/>
          <w:rtl/>
        </w:rPr>
        <w:t xml:space="preserve">אך להבדיל מהמקרה שלפנינו, שם  במהלך השוד היכה השותף בראשו של בעל החנות באמצעות אקדח צעצוע וגרם לפציעתו והובלתו </w:t>
      </w:r>
      <w:r w:rsidRPr="00864E65">
        <w:rPr>
          <w:rFonts w:cs="David"/>
          <w:sz w:val="24"/>
          <w:szCs w:val="24"/>
          <w:rtl/>
        </w:rPr>
        <w:t>לבית החולים כשהוא סובל מכאבים בגופו ובראשו, ואובחנה המטומה במצחו.</w:t>
      </w:r>
    </w:p>
    <w:p w14:paraId="7F2FB56D" w14:textId="77777777" w:rsidR="009F731F" w:rsidRDefault="009F731F" w:rsidP="009F731F">
      <w:pPr>
        <w:spacing w:line="360" w:lineRule="auto"/>
        <w:jc w:val="both"/>
        <w:rPr>
          <w:rtl/>
        </w:rPr>
      </w:pPr>
    </w:p>
    <w:p w14:paraId="645017D9" w14:textId="77777777" w:rsidR="009F731F" w:rsidRDefault="009F731F" w:rsidP="009F731F">
      <w:pPr>
        <w:spacing w:line="360" w:lineRule="auto"/>
        <w:ind w:left="567" w:hanging="567"/>
        <w:jc w:val="both"/>
        <w:rPr>
          <w:rtl/>
        </w:rPr>
      </w:pPr>
      <w:r w:rsidRPr="00395D34">
        <w:rPr>
          <w:rFonts w:hint="cs"/>
          <w:rtl/>
        </w:rPr>
        <w:t>3</w:t>
      </w:r>
      <w:r>
        <w:rPr>
          <w:rFonts w:hint="cs"/>
          <w:rtl/>
        </w:rPr>
        <w:t>7</w:t>
      </w:r>
      <w:r w:rsidRPr="00395D34">
        <w:rPr>
          <w:rFonts w:hint="cs"/>
          <w:rtl/>
        </w:rPr>
        <w:t>.</w:t>
      </w:r>
      <w:r w:rsidRPr="00395D34">
        <w:rPr>
          <w:rtl/>
        </w:rPr>
        <w:tab/>
      </w:r>
      <w:r w:rsidRPr="00395D34">
        <w:rPr>
          <w:rFonts w:hint="cs"/>
          <w:rtl/>
        </w:rPr>
        <w:t>בבואי לגזור את עונשו של הנאשם, ראיתי להביא בחשבון לקולא את הודייתו במיוחס לו בכתב האישום</w:t>
      </w:r>
      <w:r>
        <w:rPr>
          <w:rFonts w:hint="cs"/>
          <w:rtl/>
        </w:rPr>
        <w:t xml:space="preserve"> המתוקן</w:t>
      </w:r>
      <w:r w:rsidRPr="00395D34">
        <w:rPr>
          <w:rFonts w:hint="cs"/>
          <w:rtl/>
        </w:rPr>
        <w:t xml:space="preserve">, כבר בשלב מוקדם </w:t>
      </w:r>
      <w:r w:rsidRPr="00395D34">
        <w:rPr>
          <w:rFonts w:hint="cs"/>
          <w:rtl/>
          <w:lang w:eastAsia="he-IL"/>
        </w:rPr>
        <w:t>מבלי שיהא צורך בשמיעת ראיות ותוך ח</w:t>
      </w:r>
      <w:r>
        <w:rPr>
          <w:rFonts w:hint="cs"/>
          <w:rtl/>
          <w:lang w:eastAsia="he-IL"/>
        </w:rPr>
        <w:t>יסכון בזמן שיפוטי יקר. הוד</w:t>
      </w:r>
      <w:r w:rsidRPr="00395D34">
        <w:rPr>
          <w:rFonts w:hint="cs"/>
          <w:rtl/>
          <w:lang w:eastAsia="he-IL"/>
        </w:rPr>
        <w:t>יה זו מגלמת בחובה גם נטילת אחריות מצד הנאשם על מעשיו</w:t>
      </w:r>
      <w:r>
        <w:rPr>
          <w:rFonts w:hint="cs"/>
          <w:rtl/>
          <w:lang w:eastAsia="he-IL"/>
        </w:rPr>
        <w:t xml:space="preserve"> והבעת חרטה וצער על כישלונו וחטאו הנ"ל </w:t>
      </w:r>
      <w:r w:rsidRPr="00395D34">
        <w:rPr>
          <w:rFonts w:hint="cs"/>
          <w:rtl/>
          <w:lang w:eastAsia="he-IL"/>
        </w:rPr>
        <w:t>.</w:t>
      </w:r>
      <w:r>
        <w:rPr>
          <w:rFonts w:hint="cs"/>
          <w:rtl/>
        </w:rPr>
        <w:t xml:space="preserve"> עוד ראוי להתחשב, במידת מה, בנסיבותיו האישיות</w:t>
      </w:r>
      <w:r w:rsidRPr="00BE0789">
        <w:rPr>
          <w:rFonts w:hint="cs"/>
          <w:rtl/>
        </w:rPr>
        <w:t>, כפי שפורטו בהרחבה בתסקיר שירות המבחן, היותו מכור לסמים, המצוקה הכלכלית</w:t>
      </w:r>
      <w:r>
        <w:rPr>
          <w:rFonts w:hint="cs"/>
          <w:rtl/>
        </w:rPr>
        <w:t xml:space="preserve"> של משחפתו</w:t>
      </w:r>
      <w:r w:rsidRPr="00BE0789">
        <w:rPr>
          <w:rFonts w:hint="cs"/>
          <w:rtl/>
        </w:rPr>
        <w:t>. משקל נוסף יש ל</w:t>
      </w:r>
      <w:r>
        <w:rPr>
          <w:rFonts w:hint="cs"/>
          <w:rtl/>
        </w:rPr>
        <w:t>ת</w:t>
      </w:r>
      <w:r w:rsidRPr="00BE0789">
        <w:rPr>
          <w:rFonts w:hint="cs"/>
          <w:rtl/>
        </w:rPr>
        <w:t xml:space="preserve">ת לשיתוף הפעולה של הנאשם עם חוקריו, שהביאו בסופו </w:t>
      </w:r>
      <w:r>
        <w:rPr>
          <w:rFonts w:hint="cs"/>
          <w:rtl/>
        </w:rPr>
        <w:t xml:space="preserve">של יום, </w:t>
      </w:r>
      <w:r w:rsidRPr="00BE0789">
        <w:rPr>
          <w:rFonts w:hint="cs"/>
          <w:rtl/>
        </w:rPr>
        <w:t xml:space="preserve">להגשת כתב אישום </w:t>
      </w:r>
      <w:r>
        <w:rPr>
          <w:rFonts w:hint="cs"/>
          <w:rtl/>
        </w:rPr>
        <w:t xml:space="preserve">גם </w:t>
      </w:r>
      <w:r w:rsidRPr="00BE0789">
        <w:rPr>
          <w:rFonts w:hint="cs"/>
          <w:rtl/>
        </w:rPr>
        <w:t>נגד האחר.</w:t>
      </w:r>
    </w:p>
    <w:p w14:paraId="6FAFC668" w14:textId="77777777" w:rsidR="009F731F" w:rsidRDefault="009F731F" w:rsidP="009F731F">
      <w:pPr>
        <w:tabs>
          <w:tab w:val="left" w:pos="567"/>
          <w:tab w:val="left" w:pos="1134"/>
        </w:tabs>
        <w:spacing w:line="360" w:lineRule="auto"/>
        <w:jc w:val="both"/>
        <w:rPr>
          <w:rtl/>
        </w:rPr>
      </w:pPr>
    </w:p>
    <w:p w14:paraId="455B772C" w14:textId="77777777" w:rsidR="009F731F" w:rsidRDefault="009F731F" w:rsidP="009F731F">
      <w:pPr>
        <w:tabs>
          <w:tab w:val="left" w:pos="567"/>
          <w:tab w:val="left" w:pos="1134"/>
        </w:tabs>
        <w:spacing w:line="360" w:lineRule="auto"/>
        <w:ind w:left="567" w:hanging="567"/>
        <w:jc w:val="both"/>
        <w:rPr>
          <w:rtl/>
        </w:rPr>
      </w:pPr>
      <w:r>
        <w:rPr>
          <w:rFonts w:hint="cs"/>
          <w:rtl/>
        </w:rPr>
        <w:t>38.</w:t>
      </w:r>
      <w:r>
        <w:rPr>
          <w:rtl/>
        </w:rPr>
        <w:tab/>
      </w:r>
      <w:r w:rsidRPr="00BE0789">
        <w:rPr>
          <w:rFonts w:hint="cs"/>
          <w:rtl/>
        </w:rPr>
        <w:t xml:space="preserve">לחומרה ראיתי להביא בחשבון את עברו הפלילי של הנאשם, </w:t>
      </w:r>
      <w:r>
        <w:rPr>
          <w:rFonts w:hint="cs"/>
          <w:rtl/>
        </w:rPr>
        <w:t xml:space="preserve">אשר </w:t>
      </w:r>
      <w:r w:rsidRPr="00BE0789">
        <w:rPr>
          <w:rFonts w:hint="cs"/>
          <w:rtl/>
        </w:rPr>
        <w:t xml:space="preserve">לחובתו 8 הרשעות קודמות, כפי </w:t>
      </w:r>
      <w:r>
        <w:rPr>
          <w:rFonts w:hint="cs"/>
          <w:rtl/>
        </w:rPr>
        <w:t>שעולה מהרישום הפלילי והכוללות בין היתר עבירות סמים, רכוש ואלימות והעובדה שכבר ריצה בעבר מאסרים בפועל.</w:t>
      </w:r>
    </w:p>
    <w:p w14:paraId="60F7A255" w14:textId="77777777" w:rsidR="009F731F" w:rsidRDefault="009F731F" w:rsidP="009F731F">
      <w:pPr>
        <w:tabs>
          <w:tab w:val="left" w:pos="567"/>
          <w:tab w:val="left" w:pos="1134"/>
        </w:tabs>
        <w:spacing w:line="360" w:lineRule="auto"/>
        <w:ind w:left="567" w:hanging="567"/>
        <w:jc w:val="both"/>
        <w:rPr>
          <w:rtl/>
        </w:rPr>
      </w:pPr>
    </w:p>
    <w:p w14:paraId="171B7E6F" w14:textId="77777777" w:rsidR="009F731F" w:rsidRPr="00BE0789" w:rsidRDefault="009F731F" w:rsidP="009F731F">
      <w:pPr>
        <w:tabs>
          <w:tab w:val="left" w:pos="567"/>
          <w:tab w:val="left" w:pos="1134"/>
        </w:tabs>
        <w:spacing w:line="360" w:lineRule="auto"/>
        <w:ind w:left="567" w:hanging="567"/>
        <w:jc w:val="both"/>
        <w:rPr>
          <w:rtl/>
        </w:rPr>
      </w:pPr>
      <w:r>
        <w:rPr>
          <w:rFonts w:hint="cs"/>
          <w:rtl/>
        </w:rPr>
        <w:t>39.</w:t>
      </w:r>
      <w:r>
        <w:rPr>
          <w:rFonts w:hint="cs"/>
          <w:rtl/>
        </w:rPr>
        <w:tab/>
        <w:t xml:space="preserve">עוד ראוי להביא לחומרה את האמור בתסקיר שירות המבחן שלא מצא מקום להמליץ על חלופות ענישה או שיקום וקבע כי הסיכון להישנות עבירות דומות בעתיד הינו ברמה בינונית וכי הנאשם עלול להיגרר בקלות לסיטואציות עוברות חוק. </w:t>
      </w:r>
    </w:p>
    <w:p w14:paraId="14CE1CDA" w14:textId="77777777" w:rsidR="009F731F" w:rsidRPr="00BE0789" w:rsidRDefault="009F731F" w:rsidP="009F731F">
      <w:pPr>
        <w:spacing w:after="120" w:line="360" w:lineRule="auto"/>
        <w:rPr>
          <w:rFonts w:ascii="Arial" w:hAnsi="Arial"/>
          <w:color w:val="000000"/>
          <w:rtl/>
        </w:rPr>
      </w:pPr>
    </w:p>
    <w:p w14:paraId="42359756" w14:textId="77777777" w:rsidR="009F731F" w:rsidRDefault="009F731F" w:rsidP="009F731F">
      <w:pPr>
        <w:spacing w:line="360" w:lineRule="auto"/>
        <w:ind w:left="567" w:hanging="567"/>
        <w:jc w:val="both"/>
        <w:rPr>
          <w:rtl/>
        </w:rPr>
      </w:pPr>
      <w:r>
        <w:rPr>
          <w:rFonts w:ascii="Arial" w:hAnsi="Arial" w:hint="cs"/>
          <w:color w:val="000000"/>
          <w:rtl/>
        </w:rPr>
        <w:t>40.</w:t>
      </w:r>
      <w:r>
        <w:rPr>
          <w:rFonts w:ascii="Arial" w:hAnsi="Arial" w:hint="cs"/>
          <w:color w:val="000000"/>
          <w:rtl/>
        </w:rPr>
        <w:tab/>
      </w:r>
      <w:r w:rsidRPr="001514F0">
        <w:rPr>
          <w:rFonts w:ascii="Arial" w:hAnsi="Arial" w:hint="cs"/>
          <w:color w:val="000000"/>
          <w:rtl/>
        </w:rPr>
        <w:t xml:space="preserve">חומרתם היתרה של המעשים שבוצעו ע"י הנאשם נובעת הן מעצם ביצוע עבירת שוד בנסיבות </w:t>
      </w:r>
      <w:r>
        <w:rPr>
          <w:rFonts w:ascii="Arial" w:hAnsi="Arial" w:hint="cs"/>
          <w:color w:val="000000"/>
          <w:rtl/>
        </w:rPr>
        <w:t xml:space="preserve">מחמירות </w:t>
      </w:r>
      <w:r w:rsidRPr="001514F0">
        <w:rPr>
          <w:rFonts w:ascii="Arial" w:hAnsi="Arial" w:hint="cs"/>
          <w:color w:val="000000"/>
          <w:rtl/>
        </w:rPr>
        <w:t>ובמיוחד כשמדובר בביצוע שוד בצוותא שקדם לו תכנון</w:t>
      </w:r>
      <w:r>
        <w:rPr>
          <w:rFonts w:ascii="Arial" w:hAnsi="Arial" w:hint="cs"/>
          <w:color w:val="000000"/>
          <w:rtl/>
        </w:rPr>
        <w:t>,</w:t>
      </w:r>
      <w:r w:rsidRPr="001514F0">
        <w:rPr>
          <w:rFonts w:ascii="Arial" w:hAnsi="Arial" w:hint="cs"/>
          <w:color w:val="000000"/>
          <w:rtl/>
        </w:rPr>
        <w:t xml:space="preserve"> </w:t>
      </w:r>
      <w:r>
        <w:rPr>
          <w:rFonts w:ascii="Arial" w:hAnsi="Arial" w:hint="cs"/>
          <w:color w:val="000000"/>
          <w:rtl/>
        </w:rPr>
        <w:t xml:space="preserve">שכלל הסתרת זהותו של הנאשם באמצעות כובע גרב על ראשו, וזיוף לוחות הזיהוי של הרכב, </w:t>
      </w:r>
      <w:r w:rsidRPr="001514F0">
        <w:rPr>
          <w:rFonts w:ascii="Arial" w:hAnsi="Arial" w:hint="cs"/>
          <w:color w:val="000000"/>
          <w:rtl/>
        </w:rPr>
        <w:t xml:space="preserve">ועל אחד כמה וכמה כאשר מעשה השוד בוצע תוך הצטיידות </w:t>
      </w:r>
      <w:r>
        <w:rPr>
          <w:rFonts w:ascii="Arial" w:hAnsi="Arial" w:hint="cs"/>
          <w:color w:val="000000"/>
          <w:rtl/>
        </w:rPr>
        <w:t>באקדח</w:t>
      </w:r>
      <w:r w:rsidRPr="001514F0">
        <w:rPr>
          <w:rFonts w:ascii="Arial" w:hAnsi="Arial" w:hint="cs"/>
          <w:color w:val="000000"/>
          <w:rtl/>
        </w:rPr>
        <w:t xml:space="preserve"> ואף שימוש בו </w:t>
      </w:r>
      <w:r>
        <w:rPr>
          <w:rFonts w:ascii="Arial" w:hAnsi="Arial" w:hint="cs"/>
          <w:color w:val="000000"/>
          <w:rtl/>
        </w:rPr>
        <w:t>לא רק לצורך איום בזמן ביצוע עבירת השוד, אלא גם בזמן ההימלטות</w:t>
      </w:r>
      <w:r w:rsidRPr="001514F0">
        <w:rPr>
          <w:rFonts w:ascii="Arial" w:hAnsi="Arial" w:hint="cs"/>
          <w:color w:val="000000"/>
          <w:rtl/>
        </w:rPr>
        <w:t xml:space="preserve">. אומנם האחר הוא זה שהחזיק בנשק וירה ממנו </w:t>
      </w:r>
      <w:r>
        <w:rPr>
          <w:rFonts w:ascii="Arial" w:hAnsi="Arial" w:hint="cs"/>
          <w:color w:val="000000"/>
          <w:rtl/>
        </w:rPr>
        <w:t>כדור אחד</w:t>
      </w:r>
      <w:r w:rsidRPr="001514F0">
        <w:rPr>
          <w:rFonts w:ascii="Arial" w:hAnsi="Arial" w:hint="cs"/>
          <w:color w:val="000000"/>
          <w:rtl/>
        </w:rPr>
        <w:t xml:space="preserve"> באוויר לצורך הפחדה, אם כי המדובר במעשים שבוצעו בצוותא</w:t>
      </w:r>
      <w:r>
        <w:rPr>
          <w:rFonts w:ascii="Arial" w:hAnsi="Arial" w:hint="cs"/>
          <w:color w:val="000000"/>
          <w:rtl/>
        </w:rPr>
        <w:t>,</w:t>
      </w:r>
      <w:r w:rsidRPr="001514F0">
        <w:rPr>
          <w:rFonts w:ascii="Arial" w:hAnsi="Arial" w:hint="cs"/>
          <w:color w:val="000000"/>
          <w:rtl/>
        </w:rPr>
        <w:t xml:space="preserve"> </w:t>
      </w:r>
      <w:r>
        <w:rPr>
          <w:rFonts w:ascii="Arial" w:hAnsi="Arial" w:hint="cs"/>
          <w:color w:val="000000"/>
          <w:rtl/>
        </w:rPr>
        <w:t>וה</w:t>
      </w:r>
      <w:r w:rsidRPr="001514F0">
        <w:rPr>
          <w:rFonts w:ascii="Arial" w:hAnsi="Arial" w:hint="cs"/>
          <w:color w:val="000000"/>
          <w:rtl/>
        </w:rPr>
        <w:t xml:space="preserve">גם </w:t>
      </w:r>
      <w:r>
        <w:rPr>
          <w:rFonts w:ascii="Arial" w:hAnsi="Arial" w:hint="cs"/>
          <w:color w:val="000000"/>
          <w:rtl/>
        </w:rPr>
        <w:t>שה</w:t>
      </w:r>
      <w:r w:rsidRPr="001514F0">
        <w:rPr>
          <w:rFonts w:ascii="Arial" w:hAnsi="Arial" w:hint="cs"/>
          <w:color w:val="000000"/>
          <w:rtl/>
        </w:rPr>
        <w:t xml:space="preserve">נאשם </w:t>
      </w:r>
      <w:r>
        <w:rPr>
          <w:rFonts w:ascii="Arial" w:hAnsi="Arial" w:hint="cs"/>
          <w:color w:val="000000"/>
          <w:rtl/>
        </w:rPr>
        <w:t xml:space="preserve">הורשע בכל העבירות כמפורט לעיל, יש לתת ביטוי </w:t>
      </w:r>
      <w:r w:rsidRPr="001514F0">
        <w:rPr>
          <w:rFonts w:ascii="Arial" w:hAnsi="Arial" w:hint="cs"/>
          <w:color w:val="000000"/>
          <w:rtl/>
        </w:rPr>
        <w:t xml:space="preserve">לחלקו </w:t>
      </w:r>
      <w:r>
        <w:rPr>
          <w:rFonts w:ascii="Arial" w:hAnsi="Arial" w:hint="cs"/>
          <w:color w:val="000000"/>
          <w:rtl/>
        </w:rPr>
        <w:t>הוא, במכלול</w:t>
      </w:r>
      <w:r w:rsidRPr="001514F0">
        <w:rPr>
          <w:rFonts w:ascii="Arial" w:hAnsi="Arial" w:hint="cs"/>
          <w:color w:val="000000"/>
          <w:rtl/>
        </w:rPr>
        <w:t xml:space="preserve"> העבירות הללו.</w:t>
      </w:r>
    </w:p>
    <w:p w14:paraId="1CFB844D" w14:textId="77777777" w:rsidR="009F731F" w:rsidRDefault="009F731F" w:rsidP="009F731F">
      <w:pPr>
        <w:spacing w:line="360" w:lineRule="auto"/>
        <w:ind w:left="567" w:hanging="567"/>
        <w:jc w:val="both"/>
        <w:rPr>
          <w:rtl/>
        </w:rPr>
      </w:pPr>
    </w:p>
    <w:p w14:paraId="780F5171" w14:textId="77777777" w:rsidR="009F731F" w:rsidRPr="001514F0" w:rsidRDefault="009F731F" w:rsidP="009F731F">
      <w:pPr>
        <w:spacing w:line="360" w:lineRule="auto"/>
        <w:ind w:left="567" w:hanging="567"/>
        <w:jc w:val="both"/>
        <w:rPr>
          <w:rtl/>
        </w:rPr>
      </w:pPr>
      <w:r>
        <w:rPr>
          <w:rFonts w:hint="cs"/>
          <w:rtl/>
        </w:rPr>
        <w:t>41.</w:t>
      </w:r>
      <w:r>
        <w:rPr>
          <w:rFonts w:hint="cs"/>
          <w:rtl/>
        </w:rPr>
        <w:tab/>
        <w:t>עברו הפליל של הנאשם, בצירוף חומרת עבירת השוד בנסיבות מחמירות ומתחם הענישה שנקבע ביחס אליה, מחייבים הטלת עונש מאסר מרתיע בעת גזירת עונשו בתוך המתחם שנקבע.</w:t>
      </w:r>
    </w:p>
    <w:p w14:paraId="7EB44339" w14:textId="77777777" w:rsidR="009F731F" w:rsidRPr="005335E5" w:rsidRDefault="009F731F" w:rsidP="009F731F">
      <w:pPr>
        <w:spacing w:after="160" w:line="256" w:lineRule="auto"/>
        <w:rPr>
          <w:rFonts w:ascii="Calibri" w:hAnsi="Calibri"/>
          <w:b/>
          <w:bCs/>
          <w:rtl/>
        </w:rPr>
      </w:pPr>
    </w:p>
    <w:p w14:paraId="6483E68E" w14:textId="77777777" w:rsidR="009F731F" w:rsidRPr="005335E5" w:rsidRDefault="009F731F" w:rsidP="009F731F">
      <w:pPr>
        <w:spacing w:after="160" w:line="256" w:lineRule="auto"/>
        <w:rPr>
          <w:rFonts w:ascii="Calibri" w:hAnsi="Calibri"/>
          <w:b/>
          <w:bCs/>
          <w:rtl/>
        </w:rPr>
      </w:pPr>
      <w:r w:rsidRPr="005335E5">
        <w:rPr>
          <w:rFonts w:ascii="Calibri" w:hAnsi="Calibri" w:hint="cs"/>
          <w:b/>
          <w:bCs/>
          <w:u w:val="single"/>
          <w:rtl/>
        </w:rPr>
        <w:t>סיכומו של דבר</w:t>
      </w:r>
      <w:r w:rsidRPr="005335E5">
        <w:rPr>
          <w:rFonts w:ascii="Calibri" w:hAnsi="Calibri" w:hint="cs"/>
          <w:b/>
          <w:bCs/>
          <w:rtl/>
        </w:rPr>
        <w:t>:</w:t>
      </w:r>
    </w:p>
    <w:p w14:paraId="3330B160" w14:textId="77777777" w:rsidR="009F731F" w:rsidRPr="005335E5" w:rsidRDefault="009F731F" w:rsidP="009F731F">
      <w:pPr>
        <w:spacing w:after="160" w:line="256" w:lineRule="auto"/>
        <w:rPr>
          <w:rFonts w:ascii="Calibri" w:hAnsi="Calibri"/>
          <w:b/>
          <w:bCs/>
          <w:rtl/>
        </w:rPr>
      </w:pPr>
    </w:p>
    <w:p w14:paraId="6E1176E8" w14:textId="77777777" w:rsidR="009F731F" w:rsidRDefault="009F731F" w:rsidP="009F731F">
      <w:pPr>
        <w:tabs>
          <w:tab w:val="left" w:pos="567"/>
          <w:tab w:val="left" w:pos="1134"/>
        </w:tabs>
        <w:spacing w:line="360" w:lineRule="auto"/>
        <w:ind w:left="567" w:hanging="567"/>
        <w:jc w:val="both"/>
        <w:rPr>
          <w:rtl/>
        </w:rPr>
      </w:pPr>
      <w:r>
        <w:rPr>
          <w:rFonts w:hint="cs"/>
          <w:rtl/>
        </w:rPr>
        <w:t>42.</w:t>
      </w:r>
      <w:r>
        <w:rPr>
          <w:rFonts w:hint="cs"/>
          <w:rtl/>
        </w:rPr>
        <w:tab/>
        <w:t xml:space="preserve">לאחר ששקלתי את כלל הנסיבות ואת טענותיהם של שני הצדדים, כפי שפורטו לעיל, תוך תשומת לב לרמת הענישה שנפסקה ע"י בתי המשפט בעבירות דומות לאלה בהן הורשע הנאשם, אני גוזר על הנאשם את העונשים שלהלן: </w:t>
      </w:r>
    </w:p>
    <w:p w14:paraId="2F0B839D" w14:textId="77777777" w:rsidR="009F731F" w:rsidRDefault="009F731F" w:rsidP="009F731F">
      <w:pPr>
        <w:tabs>
          <w:tab w:val="left" w:pos="567"/>
          <w:tab w:val="left" w:pos="1134"/>
        </w:tabs>
        <w:spacing w:line="360" w:lineRule="auto"/>
        <w:jc w:val="both"/>
        <w:rPr>
          <w:rtl/>
        </w:rPr>
      </w:pPr>
    </w:p>
    <w:p w14:paraId="67C4F613" w14:textId="77777777" w:rsidR="009F731F" w:rsidRDefault="009F731F" w:rsidP="009F731F">
      <w:pPr>
        <w:tabs>
          <w:tab w:val="left" w:pos="567"/>
          <w:tab w:val="left" w:pos="1134"/>
        </w:tabs>
        <w:spacing w:line="360" w:lineRule="auto"/>
        <w:ind w:left="1134" w:hanging="567"/>
        <w:jc w:val="both"/>
        <w:rPr>
          <w:rtl/>
        </w:rPr>
      </w:pPr>
      <w:r>
        <w:rPr>
          <w:rFonts w:hint="cs"/>
          <w:rtl/>
        </w:rPr>
        <w:t>א.</w:t>
      </w:r>
      <w:r>
        <w:rPr>
          <w:rFonts w:hint="cs"/>
          <w:rtl/>
        </w:rPr>
        <w:tab/>
        <w:t>42 חודשי מאסר בפועל בניכוי ימי מעצרו מיום 2.11.15.</w:t>
      </w:r>
    </w:p>
    <w:p w14:paraId="0A212127" w14:textId="77777777" w:rsidR="009F731F" w:rsidRDefault="009F731F" w:rsidP="009F731F">
      <w:pPr>
        <w:tabs>
          <w:tab w:val="left" w:pos="567"/>
          <w:tab w:val="left" w:pos="1134"/>
        </w:tabs>
        <w:spacing w:line="360" w:lineRule="auto"/>
        <w:ind w:left="567" w:hanging="567"/>
        <w:jc w:val="both"/>
        <w:rPr>
          <w:rtl/>
        </w:rPr>
      </w:pPr>
    </w:p>
    <w:p w14:paraId="34019E60" w14:textId="77777777" w:rsidR="009F731F" w:rsidRDefault="009F731F" w:rsidP="009F731F">
      <w:pPr>
        <w:tabs>
          <w:tab w:val="left" w:pos="567"/>
          <w:tab w:val="left" w:pos="1134"/>
        </w:tabs>
        <w:spacing w:line="360" w:lineRule="auto"/>
        <w:ind w:left="1134" w:hanging="567"/>
        <w:jc w:val="both"/>
        <w:rPr>
          <w:rtl/>
        </w:rPr>
      </w:pPr>
      <w:r>
        <w:rPr>
          <w:rFonts w:hint="cs"/>
          <w:rtl/>
        </w:rPr>
        <w:t>ב.</w:t>
      </w:r>
      <w:r>
        <w:rPr>
          <w:rFonts w:hint="cs"/>
          <w:rtl/>
        </w:rPr>
        <w:tab/>
        <w:t>24 חודשי מאסר על תנאי, לבל יעבור תוך שלוש שנים מיום שחרורו, על עבירה של שוד או עבירה מסוג פשע שיש בה יסוד של אלימות כלפי הגוף או הרכוש.</w:t>
      </w:r>
    </w:p>
    <w:p w14:paraId="3D258E1C" w14:textId="77777777" w:rsidR="009F731F" w:rsidRDefault="009F731F" w:rsidP="009F731F">
      <w:pPr>
        <w:tabs>
          <w:tab w:val="left" w:pos="567"/>
          <w:tab w:val="left" w:pos="1134"/>
        </w:tabs>
        <w:spacing w:line="360" w:lineRule="auto"/>
        <w:ind w:left="1134" w:hanging="567"/>
        <w:jc w:val="both"/>
        <w:rPr>
          <w:rtl/>
        </w:rPr>
      </w:pPr>
    </w:p>
    <w:p w14:paraId="64C99BB7" w14:textId="77777777" w:rsidR="009F731F" w:rsidRDefault="009F731F" w:rsidP="009F731F">
      <w:pPr>
        <w:tabs>
          <w:tab w:val="left" w:pos="567"/>
          <w:tab w:val="left" w:pos="1134"/>
        </w:tabs>
        <w:spacing w:line="360" w:lineRule="auto"/>
        <w:ind w:left="1134" w:hanging="567"/>
        <w:jc w:val="both"/>
        <w:rPr>
          <w:rtl/>
        </w:rPr>
      </w:pPr>
      <w:r>
        <w:rPr>
          <w:rFonts w:hint="cs"/>
          <w:rtl/>
        </w:rPr>
        <w:t>ג.</w:t>
      </w:r>
      <w:r>
        <w:rPr>
          <w:rFonts w:hint="cs"/>
          <w:rtl/>
        </w:rPr>
        <w:tab/>
        <w:t>לאור העובדה שהכסף שנשדד לא נתפס וכי השוד בוצע ע"י הנאשם והשותף האחר שהוגש נגדו כתב אישום בנפרד ועל אף שהמאשימה לא ביקשה להטיל פיצוי, החלטתי לחייב את הנאשם בתשלום פיצוי למתלונן בסך של 8,000 ₪. הפיצוי ישולם תוך 150 יום מהיום.</w:t>
      </w:r>
    </w:p>
    <w:p w14:paraId="2567A9A1" w14:textId="77777777" w:rsidR="009F731F" w:rsidRDefault="009F731F" w:rsidP="009F731F">
      <w:pPr>
        <w:tabs>
          <w:tab w:val="left" w:pos="567"/>
          <w:tab w:val="left" w:pos="1134"/>
        </w:tabs>
        <w:spacing w:line="360" w:lineRule="auto"/>
        <w:ind w:left="1134" w:hanging="567"/>
        <w:jc w:val="both"/>
        <w:rPr>
          <w:rtl/>
        </w:rPr>
      </w:pPr>
    </w:p>
    <w:p w14:paraId="14E3396B" w14:textId="77777777" w:rsidR="009F731F" w:rsidRDefault="009F731F" w:rsidP="009F731F">
      <w:pPr>
        <w:tabs>
          <w:tab w:val="left" w:pos="567"/>
          <w:tab w:val="left" w:pos="1134"/>
        </w:tabs>
        <w:spacing w:line="360" w:lineRule="auto"/>
        <w:ind w:left="1134" w:hanging="567"/>
        <w:jc w:val="both"/>
        <w:rPr>
          <w:rtl/>
        </w:rPr>
      </w:pPr>
      <w:r>
        <w:rPr>
          <w:rFonts w:hint="cs"/>
          <w:rtl/>
        </w:rPr>
        <w:t>ד.</w:t>
      </w:r>
      <w:r>
        <w:rPr>
          <w:rFonts w:hint="cs"/>
          <w:rtl/>
        </w:rPr>
        <w:tab/>
        <w:t xml:space="preserve">בשל מצבו הכלכלי הקשה של הנאשם החלטתי שלא להטיל עליו קנס. </w:t>
      </w:r>
      <w:r>
        <w:rPr>
          <w:rFonts w:hint="cs"/>
          <w:rtl/>
        </w:rPr>
        <w:tab/>
      </w:r>
    </w:p>
    <w:p w14:paraId="6C1E6CA0" w14:textId="77777777" w:rsidR="009F731F" w:rsidRDefault="009F731F" w:rsidP="009F731F">
      <w:pPr>
        <w:tabs>
          <w:tab w:val="left" w:pos="567"/>
          <w:tab w:val="left" w:pos="1134"/>
        </w:tabs>
        <w:spacing w:line="360" w:lineRule="auto"/>
        <w:ind w:left="1134" w:hanging="567"/>
        <w:jc w:val="both"/>
        <w:rPr>
          <w:rtl/>
        </w:rPr>
      </w:pPr>
    </w:p>
    <w:p w14:paraId="663A1D26" w14:textId="77777777" w:rsidR="009F731F" w:rsidRPr="00E30CAF" w:rsidRDefault="009F731F" w:rsidP="009F731F">
      <w:pPr>
        <w:spacing w:line="360" w:lineRule="auto"/>
        <w:ind w:left="1134" w:hanging="567"/>
        <w:jc w:val="both"/>
        <w:rPr>
          <w:sz w:val="20"/>
          <w:rtl/>
          <w:lang w:eastAsia="he-IL"/>
        </w:rPr>
      </w:pPr>
      <w:r>
        <w:rPr>
          <w:rFonts w:hint="cs"/>
          <w:rtl/>
        </w:rPr>
        <w:t>ה.</w:t>
      </w:r>
      <w:r>
        <w:rPr>
          <w:rFonts w:hint="cs"/>
          <w:rtl/>
        </w:rPr>
        <w:tab/>
      </w:r>
      <w:r w:rsidRPr="00B403EC">
        <w:rPr>
          <w:sz w:val="20"/>
          <w:rtl/>
          <w:lang w:eastAsia="he-IL"/>
        </w:rPr>
        <w:t>תשומת לב שירות בתי הסוהר מופנ</w:t>
      </w:r>
      <w:r>
        <w:rPr>
          <w:rFonts w:hint="cs"/>
          <w:sz w:val="20"/>
          <w:rtl/>
          <w:lang w:eastAsia="he-IL"/>
        </w:rPr>
        <w:t>י</w:t>
      </w:r>
      <w:r w:rsidRPr="00B403EC">
        <w:rPr>
          <w:sz w:val="20"/>
          <w:rtl/>
          <w:lang w:eastAsia="he-IL"/>
        </w:rPr>
        <w:t>ת לבקשת ה</w:t>
      </w:r>
      <w:r>
        <w:rPr>
          <w:sz w:val="20"/>
          <w:rtl/>
          <w:lang w:eastAsia="he-IL"/>
        </w:rPr>
        <w:t xml:space="preserve">נאשם להיגמל מסמים </w:t>
      </w:r>
      <w:r>
        <w:rPr>
          <w:rFonts w:hint="cs"/>
          <w:sz w:val="20"/>
          <w:rtl/>
          <w:lang w:eastAsia="he-IL"/>
        </w:rPr>
        <w:t>וכן המלצת שירות המבחן לשלבו, במידת האפשר, בהליך טיפולי של גמילה בין כותלי בית הסוהר.</w:t>
      </w:r>
    </w:p>
    <w:p w14:paraId="5E7D31B7" w14:textId="77777777" w:rsidR="009F731F" w:rsidRDefault="009F731F" w:rsidP="009F731F">
      <w:pPr>
        <w:tabs>
          <w:tab w:val="left" w:pos="567"/>
          <w:tab w:val="left" w:pos="1134"/>
        </w:tabs>
        <w:spacing w:line="360" w:lineRule="auto"/>
        <w:ind w:left="1134" w:hanging="567"/>
        <w:jc w:val="both"/>
        <w:rPr>
          <w:rtl/>
        </w:rPr>
      </w:pPr>
    </w:p>
    <w:p w14:paraId="03E91D70" w14:textId="77777777" w:rsidR="009F731F" w:rsidRDefault="00EB3591" w:rsidP="009F731F">
      <w:pPr>
        <w:tabs>
          <w:tab w:val="left" w:pos="567"/>
          <w:tab w:val="left" w:pos="1134"/>
        </w:tabs>
        <w:spacing w:line="360" w:lineRule="auto"/>
        <w:ind w:left="1134" w:hanging="567"/>
        <w:jc w:val="both"/>
        <w:rPr>
          <w:b/>
          <w:bCs/>
          <w:u w:val="single"/>
          <w:rtl/>
        </w:rPr>
      </w:pPr>
      <w:r w:rsidRPr="00EB3591">
        <w:rPr>
          <w:b/>
          <w:bCs/>
          <w:color w:val="FFFFFF"/>
          <w:sz w:val="2"/>
          <w:szCs w:val="2"/>
          <w:u w:val="single"/>
          <w:rtl/>
        </w:rPr>
        <w:t>5129371</w:t>
      </w:r>
      <w:r w:rsidR="009F731F">
        <w:rPr>
          <w:rFonts w:hint="cs"/>
          <w:b/>
          <w:bCs/>
          <w:u w:val="single"/>
          <w:rtl/>
        </w:rPr>
        <w:t>זכות ערעור תוך 45 ימים מהיום לבית המשפט העליון, הודעה לנאשם.</w:t>
      </w:r>
    </w:p>
    <w:p w14:paraId="211B1101" w14:textId="77777777" w:rsidR="009F731F" w:rsidRPr="00EB3591" w:rsidRDefault="00EB3591" w:rsidP="009F731F">
      <w:pPr>
        <w:tabs>
          <w:tab w:val="left" w:pos="567"/>
          <w:tab w:val="left" w:pos="1134"/>
        </w:tabs>
        <w:spacing w:line="360" w:lineRule="auto"/>
        <w:ind w:left="1134" w:hanging="567"/>
        <w:jc w:val="both"/>
        <w:rPr>
          <w:color w:val="FFFFFF"/>
          <w:sz w:val="2"/>
          <w:szCs w:val="2"/>
          <w:rtl/>
        </w:rPr>
      </w:pPr>
      <w:r w:rsidRPr="00EB3591">
        <w:rPr>
          <w:color w:val="FFFFFF"/>
          <w:sz w:val="2"/>
          <w:szCs w:val="2"/>
          <w:rtl/>
        </w:rPr>
        <w:t>54678313</w:t>
      </w:r>
      <w:r w:rsidR="009F731F" w:rsidRPr="00EB3591">
        <w:rPr>
          <w:rFonts w:hint="cs"/>
          <w:color w:val="FFFFFF"/>
          <w:sz w:val="2"/>
          <w:szCs w:val="2"/>
          <w:rtl/>
        </w:rPr>
        <w:tab/>
      </w:r>
    </w:p>
    <w:p w14:paraId="26681980" w14:textId="77777777" w:rsidR="009F731F" w:rsidRDefault="00EB3591" w:rsidP="009F731F">
      <w:pPr>
        <w:spacing w:line="360" w:lineRule="auto"/>
        <w:jc w:val="both"/>
        <w:rPr>
          <w:rFonts w:ascii="Arial" w:hAnsi="Arial"/>
          <w:rtl/>
        </w:rPr>
      </w:pPr>
      <w:r>
        <w:rPr>
          <w:rFonts w:ascii="Arial" w:hAnsi="Arial"/>
          <w:rtl/>
        </w:rPr>
        <w:t xml:space="preserve">ניתן היום,  ז' סיוון תשע"ו, 13 יוני 2016, במעמד ב"כ המאשימה עו"ד שגב אדלר, הנאשם שהובא </w:t>
      </w:r>
      <w:r w:rsidR="009F731F" w:rsidRPr="00E037C1">
        <w:rPr>
          <w:rFonts w:ascii="Arial" w:hAnsi="Arial" w:hint="cs"/>
          <w:rtl/>
        </w:rPr>
        <w:t>באמצעות יחידת הליווי, ובא כוחו עו"ד משה נעמן.</w:t>
      </w:r>
    </w:p>
    <w:p w14:paraId="02A6F794" w14:textId="77777777" w:rsidR="009F731F" w:rsidRPr="00F00339" w:rsidRDefault="009F731F" w:rsidP="009F731F">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5A74A575" w14:textId="77777777" w:rsidR="009F731F" w:rsidRPr="00927881" w:rsidRDefault="00927881" w:rsidP="009F731F">
      <w:pPr>
        <w:jc w:val="center"/>
        <w:rPr>
          <w:rFonts w:ascii="Arial" w:hAnsi="Arial" w:cs="FrankRuehl"/>
          <w:color w:val="FFFFFF"/>
          <w:sz w:val="2"/>
          <w:szCs w:val="2"/>
        </w:rPr>
      </w:pPr>
      <w:r w:rsidRPr="00927881">
        <w:rPr>
          <w:rFonts w:ascii="Arial" w:hAnsi="Arial" w:cs="FrankRuehl"/>
          <w:color w:val="FFFFFF"/>
          <w:sz w:val="2"/>
          <w:szCs w:val="2"/>
          <w:rtl/>
        </w:rPr>
        <w:t>5129371</w:t>
      </w:r>
    </w:p>
    <w:p w14:paraId="47FC584A" w14:textId="77777777" w:rsidR="00EB3591" w:rsidRPr="00927881" w:rsidRDefault="00927881" w:rsidP="00EB3591">
      <w:pPr>
        <w:keepNext/>
        <w:rPr>
          <w:rFonts w:ascii="David" w:hAnsi="David"/>
          <w:color w:val="FFFFFF"/>
          <w:sz w:val="2"/>
          <w:szCs w:val="2"/>
          <w:rtl/>
        </w:rPr>
      </w:pPr>
      <w:r w:rsidRPr="00927881">
        <w:rPr>
          <w:rFonts w:ascii="David" w:hAnsi="David"/>
          <w:color w:val="FFFFFF"/>
          <w:sz w:val="2"/>
          <w:szCs w:val="2"/>
          <w:rtl/>
        </w:rPr>
        <w:t>54678313</w:t>
      </w:r>
    </w:p>
    <w:p w14:paraId="36D3F71C" w14:textId="77777777" w:rsidR="00EB3591" w:rsidRPr="00EB3591" w:rsidRDefault="00EB3591" w:rsidP="00EB3591">
      <w:pPr>
        <w:keepNext/>
        <w:rPr>
          <w:rFonts w:ascii="David" w:hAnsi="David"/>
          <w:color w:val="000000"/>
          <w:sz w:val="22"/>
          <w:szCs w:val="22"/>
          <w:rtl/>
        </w:rPr>
      </w:pPr>
      <w:r w:rsidRPr="00EB3591">
        <w:rPr>
          <w:rFonts w:ascii="David" w:hAnsi="David"/>
          <w:color w:val="000000"/>
          <w:sz w:val="22"/>
          <w:szCs w:val="22"/>
          <w:rtl/>
        </w:rPr>
        <w:t>כמאל סעב 54678313</w:t>
      </w:r>
    </w:p>
    <w:p w14:paraId="7CBBBA0C" w14:textId="77777777" w:rsidR="00EB3591" w:rsidRDefault="00EB3591" w:rsidP="00EB3591">
      <w:r w:rsidRPr="00EB3591">
        <w:rPr>
          <w:color w:val="000000"/>
          <w:rtl/>
        </w:rPr>
        <w:t>נוסח מסמך זה כפוף לשינויי ניסוח ועריכה</w:t>
      </w:r>
    </w:p>
    <w:p w14:paraId="48DD4623" w14:textId="77777777" w:rsidR="00EB3591" w:rsidRDefault="00EB3591" w:rsidP="00EB3591">
      <w:pPr>
        <w:jc w:val="center"/>
        <w:rPr>
          <w:color w:val="0000FF"/>
          <w:u w:val="single"/>
        </w:rPr>
      </w:pPr>
      <w:hyperlink r:id="rId43" w:history="1">
        <w:r>
          <w:rPr>
            <w:color w:val="0000FF"/>
            <w:u w:val="single"/>
            <w:rtl/>
          </w:rPr>
          <w:t>בעניין עריכה ושינויים במסמכי פסיקה, חקיקה ועוד באתר נבו – הקש כאן</w:t>
        </w:r>
      </w:hyperlink>
      <w:r w:rsidR="00BB096D">
        <w:rPr>
          <w:rFonts w:hint="cs"/>
          <w:color w:val="0000FF"/>
          <w:u w:val="single"/>
          <w:rtl/>
        </w:rPr>
        <w:t xml:space="preserve"> </w:t>
      </w:r>
    </w:p>
    <w:sectPr w:rsidR="00EB3591" w:rsidSect="00927881">
      <w:headerReference w:type="even" r:id="rId44"/>
      <w:headerReference w:type="default" r:id="rId45"/>
      <w:footerReference w:type="even" r:id="rId46"/>
      <w:footerReference w:type="default" r:id="rId4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0FD4DD" w14:textId="77777777" w:rsidR="0099109E" w:rsidRDefault="0099109E">
      <w:r>
        <w:separator/>
      </w:r>
    </w:p>
  </w:endnote>
  <w:endnote w:type="continuationSeparator" w:id="0">
    <w:p w14:paraId="1DDFC7D2" w14:textId="77777777" w:rsidR="0099109E" w:rsidRDefault="009910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A8522E" w14:textId="77777777" w:rsidR="00524B65" w:rsidRDefault="00524B65" w:rsidP="00927881">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D657C43" w14:textId="77777777" w:rsidR="00524B65" w:rsidRPr="00927881" w:rsidRDefault="00524B65" w:rsidP="00927881">
    <w:pPr>
      <w:pStyle w:val="a4"/>
      <w:pBdr>
        <w:top w:val="single" w:sz="4" w:space="1" w:color="auto"/>
        <w:between w:val="single" w:sz="4" w:space="0" w:color="auto"/>
      </w:pBdr>
      <w:spacing w:after="60"/>
      <w:jc w:val="center"/>
      <w:rPr>
        <w:rFonts w:ascii="FrankRuehl" w:hAnsi="FrankRuehl" w:cs="FrankRuehl"/>
        <w:color w:val="000000"/>
      </w:rPr>
    </w:pPr>
    <w:r w:rsidRPr="0092788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740684" w14:textId="77777777" w:rsidR="00524B65" w:rsidRDefault="00524B65" w:rsidP="00927881">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3522F">
      <w:rPr>
        <w:rFonts w:ascii="FrankRuehl" w:hAnsi="FrankRuehl" w:cs="FrankRuehl"/>
        <w:noProof/>
        <w:rtl/>
      </w:rPr>
      <w:t>1</w:t>
    </w:r>
    <w:r>
      <w:rPr>
        <w:rFonts w:ascii="FrankRuehl" w:hAnsi="FrankRuehl" w:cs="FrankRuehl"/>
        <w:rtl/>
      </w:rPr>
      <w:fldChar w:fldCharType="end"/>
    </w:r>
  </w:p>
  <w:p w14:paraId="372AAD1A" w14:textId="77777777" w:rsidR="00524B65" w:rsidRPr="00927881" w:rsidRDefault="00524B65" w:rsidP="00927881">
    <w:pPr>
      <w:pStyle w:val="a4"/>
      <w:pBdr>
        <w:top w:val="single" w:sz="4" w:space="1" w:color="auto"/>
        <w:between w:val="single" w:sz="4" w:space="0" w:color="auto"/>
      </w:pBdr>
      <w:spacing w:after="60"/>
      <w:jc w:val="center"/>
      <w:rPr>
        <w:rFonts w:ascii="FrankRuehl" w:hAnsi="FrankRuehl" w:cs="FrankRuehl"/>
        <w:color w:val="000000"/>
      </w:rPr>
    </w:pPr>
    <w:r w:rsidRPr="00927881">
      <w:rPr>
        <w:rFonts w:ascii="FrankRuehl" w:hAnsi="FrankRuehl" w:cs="FrankRuehl"/>
        <w:color w:val="000000"/>
      </w:rPr>
      <w:pict w14:anchorId="2DA5D4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3C2373" w14:textId="77777777" w:rsidR="0099109E" w:rsidRDefault="0099109E">
      <w:r>
        <w:separator/>
      </w:r>
    </w:p>
  </w:footnote>
  <w:footnote w:type="continuationSeparator" w:id="0">
    <w:p w14:paraId="5A94802B" w14:textId="77777777" w:rsidR="0099109E" w:rsidRDefault="009910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2A3860" w14:textId="77777777" w:rsidR="00524B65" w:rsidRPr="00927881" w:rsidRDefault="00524B65" w:rsidP="0092788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27685-11-15</w:t>
    </w:r>
    <w:r>
      <w:rPr>
        <w:rFonts w:ascii="David" w:hAnsi="David"/>
        <w:color w:val="000000"/>
        <w:sz w:val="22"/>
        <w:szCs w:val="22"/>
        <w:rtl/>
      </w:rPr>
      <w:tab/>
      <w:t xml:space="preserve"> מדינת ישראל נ' סאבר עווד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6830B6" w14:textId="77777777" w:rsidR="00524B65" w:rsidRPr="00927881" w:rsidRDefault="00524B65" w:rsidP="0092788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27685-11-15</w:t>
    </w:r>
    <w:r>
      <w:rPr>
        <w:rFonts w:ascii="David" w:hAnsi="David"/>
        <w:color w:val="000000"/>
        <w:sz w:val="22"/>
        <w:szCs w:val="22"/>
        <w:rtl/>
      </w:rPr>
      <w:tab/>
      <w:t xml:space="preserve"> מדינת ישראל נ' סאבר עווד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F731F"/>
    <w:rsid w:val="000E3F16"/>
    <w:rsid w:val="0013522F"/>
    <w:rsid w:val="00174FB2"/>
    <w:rsid w:val="00524B65"/>
    <w:rsid w:val="005538C9"/>
    <w:rsid w:val="00927881"/>
    <w:rsid w:val="0099109E"/>
    <w:rsid w:val="009E1298"/>
    <w:rsid w:val="009F731F"/>
    <w:rsid w:val="00A43583"/>
    <w:rsid w:val="00B1215F"/>
    <w:rsid w:val="00B37446"/>
    <w:rsid w:val="00BB096D"/>
    <w:rsid w:val="00DB0FA8"/>
    <w:rsid w:val="00EB359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32B3A0A"/>
  <w15:chartTrackingRefBased/>
  <w15:docId w15:val="{D8B68BA0-6BA5-46FF-8673-28AFF7C09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F731F"/>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9F731F"/>
    <w:pPr>
      <w:tabs>
        <w:tab w:val="center" w:pos="4153"/>
        <w:tab w:val="right" w:pos="8306"/>
      </w:tabs>
    </w:pPr>
  </w:style>
  <w:style w:type="paragraph" w:styleId="a4">
    <w:name w:val="footer"/>
    <w:basedOn w:val="a"/>
    <w:rsid w:val="009F731F"/>
    <w:pPr>
      <w:tabs>
        <w:tab w:val="center" w:pos="4153"/>
        <w:tab w:val="right" w:pos="8306"/>
      </w:tabs>
    </w:pPr>
  </w:style>
  <w:style w:type="character" w:styleId="a5">
    <w:name w:val="page number"/>
    <w:basedOn w:val="a0"/>
    <w:rsid w:val="009F731F"/>
  </w:style>
  <w:style w:type="paragraph" w:customStyle="1" w:styleId="12">
    <w:name w:val="רגיל + ‏12 נק'"/>
    <w:aliases w:val="מיושר לשני הצדדים,מרווח בין שורות:  שורה וחצי"/>
    <w:basedOn w:val="a"/>
    <w:rsid w:val="009F731F"/>
    <w:rPr>
      <w:b/>
      <w:bCs/>
      <w:u w:val="single"/>
    </w:rPr>
  </w:style>
  <w:style w:type="character" w:customStyle="1" w:styleId="TimesNewRomanTimesNewRoman">
    <w:name w:val="סגנון (לטיני) Times New Roman (עברית ושפות אחרות) Times New Roman..."/>
    <w:rsid w:val="009F731F"/>
    <w:rPr>
      <w:rFonts w:ascii="Times New Roman" w:hAnsi="Times New Roman" w:cs="David" w:hint="default"/>
      <w:b/>
      <w:bCs/>
      <w:sz w:val="26"/>
      <w:szCs w:val="26"/>
    </w:rPr>
  </w:style>
  <w:style w:type="paragraph" w:customStyle="1" w:styleId="Ruller4">
    <w:name w:val="Ruller4"/>
    <w:basedOn w:val="a"/>
    <w:rsid w:val="009F731F"/>
    <w:pPr>
      <w:tabs>
        <w:tab w:val="left" w:pos="800"/>
      </w:tabs>
      <w:overflowPunct w:val="0"/>
      <w:autoSpaceDE w:val="0"/>
      <w:autoSpaceDN w:val="0"/>
      <w:adjustRightInd w:val="0"/>
      <w:spacing w:line="360" w:lineRule="auto"/>
      <w:jc w:val="both"/>
    </w:pPr>
    <w:rPr>
      <w:rFonts w:ascii="Arial TUR" w:hAnsi="Arial TUR" w:cs="FrankRuehl"/>
      <w:spacing w:val="10"/>
      <w:sz w:val="22"/>
      <w:szCs w:val="28"/>
    </w:rPr>
  </w:style>
  <w:style w:type="character" w:styleId="Hyperlink">
    <w:name w:val="Hyperlink"/>
    <w:rsid w:val="00EB35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2.b" TargetMode="External"/><Relationship Id="rId18" Type="http://schemas.openxmlformats.org/officeDocument/2006/relationships/hyperlink" Target="http://www.nevo.co.il/law/70301/29.b" TargetMode="External"/><Relationship Id="rId26" Type="http://schemas.openxmlformats.org/officeDocument/2006/relationships/hyperlink" Target="http://www.nevo.co.il/law/70301/40i" TargetMode="External"/><Relationship Id="rId39" Type="http://schemas.openxmlformats.org/officeDocument/2006/relationships/hyperlink" Target="http://www.nevo.co.il/case/5703734" TargetMode="External"/><Relationship Id="rId21" Type="http://schemas.openxmlformats.org/officeDocument/2006/relationships/hyperlink" Target="http://www.nevo.co.il/law/70301/144.b" TargetMode="External"/><Relationship Id="rId34" Type="http://schemas.openxmlformats.org/officeDocument/2006/relationships/hyperlink" Target="http://www.nevo.co.il/case/6244063" TargetMode="External"/><Relationship Id="rId42" Type="http://schemas.openxmlformats.org/officeDocument/2006/relationships/hyperlink" Target="http://www.nevo.co.il/case/11328863" TargetMode="External"/><Relationship Id="rId47" Type="http://schemas.openxmlformats.org/officeDocument/2006/relationships/footer" Target="footer2.xml"/><Relationship Id="rId7" Type="http://schemas.openxmlformats.org/officeDocument/2006/relationships/hyperlink" Target="http://www.nevo.co.il/law/70301/29" TargetMode="External"/><Relationship Id="rId2" Type="http://schemas.openxmlformats.org/officeDocument/2006/relationships/settings" Target="settings.xml"/><Relationship Id="rId16" Type="http://schemas.openxmlformats.org/officeDocument/2006/relationships/hyperlink" Target="http://www.nevo.co.il/law/70301/402.b" TargetMode="External"/><Relationship Id="rId29" Type="http://schemas.openxmlformats.org/officeDocument/2006/relationships/hyperlink" Target="http://www.nevo.co.il/case/5852404" TargetMode="External"/><Relationship Id="rId11" Type="http://schemas.openxmlformats.org/officeDocument/2006/relationships/hyperlink" Target="http://www.nevo.co.il/law/70301/144.b" TargetMode="External"/><Relationship Id="rId24" Type="http://schemas.openxmlformats.org/officeDocument/2006/relationships/hyperlink" Target="http://www.nevo.co.il/law/70301/413i" TargetMode="External"/><Relationship Id="rId32" Type="http://schemas.openxmlformats.org/officeDocument/2006/relationships/hyperlink" Target="http://www.nevo.co.il/case/7773349" TargetMode="External"/><Relationship Id="rId37" Type="http://schemas.openxmlformats.org/officeDocument/2006/relationships/hyperlink" Target="http://www.nevo.co.il/case/10502090" TargetMode="External"/><Relationship Id="rId40" Type="http://schemas.openxmlformats.org/officeDocument/2006/relationships/hyperlink" Target="http://www.nevo.co.il/case/5821327" TargetMode="External"/><Relationship Id="rId45"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70301/499.a.1" TargetMode="External"/><Relationship Id="rId23" Type="http://schemas.openxmlformats.org/officeDocument/2006/relationships/hyperlink" Target="http://www.nevo.co.il/law/70301/29" TargetMode="External"/><Relationship Id="rId28" Type="http://schemas.openxmlformats.org/officeDocument/2006/relationships/hyperlink" Target="http://www.nevo.co.il/case/6000182" TargetMode="External"/><Relationship Id="rId36" Type="http://schemas.openxmlformats.org/officeDocument/2006/relationships/hyperlink" Target="http://www.nevo.co.il/case/5588118" TargetMode="External"/><Relationship Id="rId49" Type="http://schemas.openxmlformats.org/officeDocument/2006/relationships/theme" Target="theme/theme1.xml"/><Relationship Id="rId10" Type="http://schemas.openxmlformats.org/officeDocument/2006/relationships/hyperlink" Target="http://www.nevo.co.il/law/70301/40i"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5942308" TargetMode="External"/><Relationship Id="rId44"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70301/29.b" TargetMode="External"/><Relationship Id="rId14" Type="http://schemas.openxmlformats.org/officeDocument/2006/relationships/hyperlink" Target="http://www.nevo.co.il/law/70301/413i" TargetMode="External"/><Relationship Id="rId22" Type="http://schemas.openxmlformats.org/officeDocument/2006/relationships/hyperlink" Target="http://www.nevo.co.il/law/70301/144.c"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7662230" TargetMode="External"/><Relationship Id="rId35" Type="http://schemas.openxmlformats.org/officeDocument/2006/relationships/hyperlink" Target="http://www.nevo.co.il/case/6879752" TargetMode="External"/><Relationship Id="rId43" Type="http://schemas.openxmlformats.org/officeDocument/2006/relationships/hyperlink" Target="http://www.nevo.co.il/advertisements/nevo-100.doc" TargetMode="External"/><Relationship Id="rId48" Type="http://schemas.openxmlformats.org/officeDocument/2006/relationships/fontTable" Target="fontTable.xml"/><Relationship Id="rId8" Type="http://schemas.openxmlformats.org/officeDocument/2006/relationships/hyperlink" Target="http://www.nevo.co.il/law/70301/29.a" TargetMode="External"/><Relationship Id="rId3" Type="http://schemas.openxmlformats.org/officeDocument/2006/relationships/webSettings" Target="webSettings.xml"/><Relationship Id="rId12" Type="http://schemas.openxmlformats.org/officeDocument/2006/relationships/hyperlink" Target="http://www.nevo.co.il/law/70301/144.c" TargetMode="External"/><Relationship Id="rId17" Type="http://schemas.openxmlformats.org/officeDocument/2006/relationships/hyperlink" Target="http://www.nevo.co.il/law/70301/29.a" TargetMode="External"/><Relationship Id="rId25" Type="http://schemas.openxmlformats.org/officeDocument/2006/relationships/hyperlink" Target="http://www.nevo.co.il/law/70301/29" TargetMode="External"/><Relationship Id="rId33" Type="http://schemas.openxmlformats.org/officeDocument/2006/relationships/hyperlink" Target="http://www.nevo.co.il/case/5603213" TargetMode="External"/><Relationship Id="rId38" Type="http://schemas.openxmlformats.org/officeDocument/2006/relationships/hyperlink" Target="http://www.nevo.co.il/case/7980258" TargetMode="External"/><Relationship Id="rId46" Type="http://schemas.openxmlformats.org/officeDocument/2006/relationships/footer" Target="footer1.xml"/><Relationship Id="rId20" Type="http://schemas.openxmlformats.org/officeDocument/2006/relationships/hyperlink" Target="http://www.nevo.co.il/law/70301/499.a.1" TargetMode="External"/><Relationship Id="rId41" Type="http://schemas.openxmlformats.org/officeDocument/2006/relationships/hyperlink" Target="http://www.nevo.co.il/case/6473037" TargetMode="External"/><Relationship Id="rId1" Type="http://schemas.openxmlformats.org/officeDocument/2006/relationships/styles" Target="styles.xml"/><Relationship Id="rId6"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3111</Words>
  <Characters>15560</Characters>
  <Application>Microsoft Office Word</Application>
  <DocSecurity>0</DocSecurity>
  <Lines>129</Lines>
  <Paragraphs>37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18634</CharactersWithSpaces>
  <SharedDoc>false</SharedDoc>
  <HLinks>
    <vt:vector size="228" baseType="variant">
      <vt:variant>
        <vt:i4>393283</vt:i4>
      </vt:variant>
      <vt:variant>
        <vt:i4>111</vt:i4>
      </vt:variant>
      <vt:variant>
        <vt:i4>0</vt:i4>
      </vt:variant>
      <vt:variant>
        <vt:i4>5</vt:i4>
      </vt:variant>
      <vt:variant>
        <vt:lpwstr>http://www.nevo.co.il/advertisements/nevo-100.doc</vt:lpwstr>
      </vt:variant>
      <vt:variant>
        <vt:lpwstr/>
      </vt:variant>
      <vt:variant>
        <vt:i4>3932287</vt:i4>
      </vt:variant>
      <vt:variant>
        <vt:i4>108</vt:i4>
      </vt:variant>
      <vt:variant>
        <vt:i4>0</vt:i4>
      </vt:variant>
      <vt:variant>
        <vt:i4>5</vt:i4>
      </vt:variant>
      <vt:variant>
        <vt:lpwstr>http://www.nevo.co.il/case/11328863</vt:lpwstr>
      </vt:variant>
      <vt:variant>
        <vt:lpwstr/>
      </vt:variant>
      <vt:variant>
        <vt:i4>3539056</vt:i4>
      </vt:variant>
      <vt:variant>
        <vt:i4>105</vt:i4>
      </vt:variant>
      <vt:variant>
        <vt:i4>0</vt:i4>
      </vt:variant>
      <vt:variant>
        <vt:i4>5</vt:i4>
      </vt:variant>
      <vt:variant>
        <vt:lpwstr>http://www.nevo.co.il/case/6473037</vt:lpwstr>
      </vt:variant>
      <vt:variant>
        <vt:lpwstr/>
      </vt:variant>
      <vt:variant>
        <vt:i4>3342463</vt:i4>
      </vt:variant>
      <vt:variant>
        <vt:i4>102</vt:i4>
      </vt:variant>
      <vt:variant>
        <vt:i4>0</vt:i4>
      </vt:variant>
      <vt:variant>
        <vt:i4>5</vt:i4>
      </vt:variant>
      <vt:variant>
        <vt:lpwstr>http://www.nevo.co.il/case/5821327</vt:lpwstr>
      </vt:variant>
      <vt:variant>
        <vt:lpwstr/>
      </vt:variant>
      <vt:variant>
        <vt:i4>3539059</vt:i4>
      </vt:variant>
      <vt:variant>
        <vt:i4>99</vt:i4>
      </vt:variant>
      <vt:variant>
        <vt:i4>0</vt:i4>
      </vt:variant>
      <vt:variant>
        <vt:i4>5</vt:i4>
      </vt:variant>
      <vt:variant>
        <vt:lpwstr>http://www.nevo.co.il/case/5703734</vt:lpwstr>
      </vt:variant>
      <vt:variant>
        <vt:lpwstr/>
      </vt:variant>
      <vt:variant>
        <vt:i4>3473528</vt:i4>
      </vt:variant>
      <vt:variant>
        <vt:i4>96</vt:i4>
      </vt:variant>
      <vt:variant>
        <vt:i4>0</vt:i4>
      </vt:variant>
      <vt:variant>
        <vt:i4>5</vt:i4>
      </vt:variant>
      <vt:variant>
        <vt:lpwstr>http://www.nevo.co.il/case/7980258</vt:lpwstr>
      </vt:variant>
      <vt:variant>
        <vt:lpwstr/>
      </vt:variant>
      <vt:variant>
        <vt:i4>4128884</vt:i4>
      </vt:variant>
      <vt:variant>
        <vt:i4>93</vt:i4>
      </vt:variant>
      <vt:variant>
        <vt:i4>0</vt:i4>
      </vt:variant>
      <vt:variant>
        <vt:i4>5</vt:i4>
      </vt:variant>
      <vt:variant>
        <vt:lpwstr>http://www.nevo.co.il/case/10502090</vt:lpwstr>
      </vt:variant>
      <vt:variant>
        <vt:lpwstr/>
      </vt:variant>
      <vt:variant>
        <vt:i4>3407992</vt:i4>
      </vt:variant>
      <vt:variant>
        <vt:i4>90</vt:i4>
      </vt:variant>
      <vt:variant>
        <vt:i4>0</vt:i4>
      </vt:variant>
      <vt:variant>
        <vt:i4>5</vt:i4>
      </vt:variant>
      <vt:variant>
        <vt:lpwstr>http://www.nevo.co.il/case/5588118</vt:lpwstr>
      </vt:variant>
      <vt:variant>
        <vt:lpwstr/>
      </vt:variant>
      <vt:variant>
        <vt:i4>3407984</vt:i4>
      </vt:variant>
      <vt:variant>
        <vt:i4>87</vt:i4>
      </vt:variant>
      <vt:variant>
        <vt:i4>0</vt:i4>
      </vt:variant>
      <vt:variant>
        <vt:i4>5</vt:i4>
      </vt:variant>
      <vt:variant>
        <vt:lpwstr>http://www.nevo.co.il/case/6879752</vt:lpwstr>
      </vt:variant>
      <vt:variant>
        <vt:lpwstr/>
      </vt:variant>
      <vt:variant>
        <vt:i4>3211380</vt:i4>
      </vt:variant>
      <vt:variant>
        <vt:i4>84</vt:i4>
      </vt:variant>
      <vt:variant>
        <vt:i4>0</vt:i4>
      </vt:variant>
      <vt:variant>
        <vt:i4>5</vt:i4>
      </vt:variant>
      <vt:variant>
        <vt:lpwstr>http://www.nevo.co.il/case/6244063</vt:lpwstr>
      </vt:variant>
      <vt:variant>
        <vt:lpwstr/>
      </vt:variant>
      <vt:variant>
        <vt:i4>3407984</vt:i4>
      </vt:variant>
      <vt:variant>
        <vt:i4>81</vt:i4>
      </vt:variant>
      <vt:variant>
        <vt:i4>0</vt:i4>
      </vt:variant>
      <vt:variant>
        <vt:i4>5</vt:i4>
      </vt:variant>
      <vt:variant>
        <vt:lpwstr>http://www.nevo.co.il/case/5603213</vt:lpwstr>
      </vt:variant>
      <vt:variant>
        <vt:lpwstr/>
      </vt:variant>
      <vt:variant>
        <vt:i4>3801204</vt:i4>
      </vt:variant>
      <vt:variant>
        <vt:i4>78</vt:i4>
      </vt:variant>
      <vt:variant>
        <vt:i4>0</vt:i4>
      </vt:variant>
      <vt:variant>
        <vt:i4>5</vt:i4>
      </vt:variant>
      <vt:variant>
        <vt:lpwstr>http://www.nevo.co.il/case/7773349</vt:lpwstr>
      </vt:variant>
      <vt:variant>
        <vt:lpwstr/>
      </vt:variant>
      <vt:variant>
        <vt:i4>3801215</vt:i4>
      </vt:variant>
      <vt:variant>
        <vt:i4>75</vt:i4>
      </vt:variant>
      <vt:variant>
        <vt:i4>0</vt:i4>
      </vt:variant>
      <vt:variant>
        <vt:i4>5</vt:i4>
      </vt:variant>
      <vt:variant>
        <vt:lpwstr>http://www.nevo.co.il/case/5942308</vt:lpwstr>
      </vt:variant>
      <vt:variant>
        <vt:lpwstr/>
      </vt:variant>
      <vt:variant>
        <vt:i4>3342451</vt:i4>
      </vt:variant>
      <vt:variant>
        <vt:i4>72</vt:i4>
      </vt:variant>
      <vt:variant>
        <vt:i4>0</vt:i4>
      </vt:variant>
      <vt:variant>
        <vt:i4>5</vt:i4>
      </vt:variant>
      <vt:variant>
        <vt:lpwstr>http://www.nevo.co.il/case/7662230</vt:lpwstr>
      </vt:variant>
      <vt:variant>
        <vt:lpwstr/>
      </vt:variant>
      <vt:variant>
        <vt:i4>3145854</vt:i4>
      </vt:variant>
      <vt:variant>
        <vt:i4>69</vt:i4>
      </vt:variant>
      <vt:variant>
        <vt:i4>0</vt:i4>
      </vt:variant>
      <vt:variant>
        <vt:i4>5</vt:i4>
      </vt:variant>
      <vt:variant>
        <vt:lpwstr>http://www.nevo.co.il/case/5852404</vt:lpwstr>
      </vt:variant>
      <vt:variant>
        <vt:lpwstr/>
      </vt:variant>
      <vt:variant>
        <vt:i4>3473532</vt:i4>
      </vt:variant>
      <vt:variant>
        <vt:i4>66</vt:i4>
      </vt:variant>
      <vt:variant>
        <vt:i4>0</vt:i4>
      </vt:variant>
      <vt:variant>
        <vt:i4>5</vt:i4>
      </vt:variant>
      <vt:variant>
        <vt:lpwstr>http://www.nevo.co.il/case/6000182</vt:lpwstr>
      </vt:variant>
      <vt:variant>
        <vt:lpwstr/>
      </vt:variant>
      <vt:variant>
        <vt:i4>7995492</vt:i4>
      </vt:variant>
      <vt:variant>
        <vt:i4>63</vt:i4>
      </vt:variant>
      <vt:variant>
        <vt:i4>0</vt:i4>
      </vt:variant>
      <vt:variant>
        <vt:i4>5</vt:i4>
      </vt:variant>
      <vt:variant>
        <vt:lpwstr>http://www.nevo.co.il/law/70301</vt:lpwstr>
      </vt:variant>
      <vt:variant>
        <vt:lpwstr/>
      </vt:variant>
      <vt:variant>
        <vt:i4>6619233</vt:i4>
      </vt:variant>
      <vt:variant>
        <vt:i4>60</vt:i4>
      </vt:variant>
      <vt:variant>
        <vt:i4>0</vt:i4>
      </vt:variant>
      <vt:variant>
        <vt:i4>5</vt:i4>
      </vt:variant>
      <vt:variant>
        <vt:lpwstr>http://www.nevo.co.il/law/70301/40i</vt:lpwstr>
      </vt:variant>
      <vt:variant>
        <vt:lpwstr/>
      </vt:variant>
      <vt:variant>
        <vt:i4>7077991</vt:i4>
      </vt:variant>
      <vt:variant>
        <vt:i4>57</vt:i4>
      </vt:variant>
      <vt:variant>
        <vt:i4>0</vt:i4>
      </vt:variant>
      <vt:variant>
        <vt:i4>5</vt:i4>
      </vt:variant>
      <vt:variant>
        <vt:lpwstr>http://www.nevo.co.il/law/70301/29</vt:lpwstr>
      </vt:variant>
      <vt:variant>
        <vt:lpwstr/>
      </vt:variant>
      <vt:variant>
        <vt:i4>852050</vt:i4>
      </vt:variant>
      <vt:variant>
        <vt:i4>54</vt:i4>
      </vt:variant>
      <vt:variant>
        <vt:i4>0</vt:i4>
      </vt:variant>
      <vt:variant>
        <vt:i4>5</vt:i4>
      </vt:variant>
      <vt:variant>
        <vt:lpwstr>http://www.nevo.co.il/law/70301/413i</vt:lpwstr>
      </vt:variant>
      <vt:variant>
        <vt:lpwstr/>
      </vt:variant>
      <vt:variant>
        <vt:i4>7077991</vt:i4>
      </vt:variant>
      <vt:variant>
        <vt:i4>51</vt:i4>
      </vt:variant>
      <vt:variant>
        <vt:i4>0</vt:i4>
      </vt:variant>
      <vt:variant>
        <vt:i4>5</vt:i4>
      </vt:variant>
      <vt:variant>
        <vt:lpwstr>http://www.nevo.co.il/law/70301/29</vt:lpwstr>
      </vt:variant>
      <vt:variant>
        <vt:lpwstr/>
      </vt:variant>
      <vt:variant>
        <vt:i4>5177424</vt:i4>
      </vt:variant>
      <vt:variant>
        <vt:i4>48</vt:i4>
      </vt:variant>
      <vt:variant>
        <vt:i4>0</vt:i4>
      </vt:variant>
      <vt:variant>
        <vt:i4>5</vt:i4>
      </vt:variant>
      <vt:variant>
        <vt:lpwstr>http://www.nevo.co.il/law/70301/144.c</vt:lpwstr>
      </vt:variant>
      <vt:variant>
        <vt:lpwstr/>
      </vt:variant>
      <vt:variant>
        <vt:i4>5177424</vt:i4>
      </vt:variant>
      <vt:variant>
        <vt:i4>45</vt:i4>
      </vt:variant>
      <vt:variant>
        <vt:i4>0</vt:i4>
      </vt:variant>
      <vt:variant>
        <vt:i4>5</vt:i4>
      </vt:variant>
      <vt:variant>
        <vt:lpwstr>http://www.nevo.co.il/law/70301/144.b</vt:lpwstr>
      </vt:variant>
      <vt:variant>
        <vt:lpwstr/>
      </vt:variant>
      <vt:variant>
        <vt:i4>7077945</vt:i4>
      </vt:variant>
      <vt:variant>
        <vt:i4>42</vt:i4>
      </vt:variant>
      <vt:variant>
        <vt:i4>0</vt:i4>
      </vt:variant>
      <vt:variant>
        <vt:i4>5</vt:i4>
      </vt:variant>
      <vt:variant>
        <vt:lpwstr>http://www.nevo.co.il/law/70301/499.a.1</vt:lpwstr>
      </vt:variant>
      <vt:variant>
        <vt:lpwstr/>
      </vt:variant>
      <vt:variant>
        <vt:i4>7995492</vt:i4>
      </vt:variant>
      <vt:variant>
        <vt:i4>39</vt:i4>
      </vt:variant>
      <vt:variant>
        <vt:i4>0</vt:i4>
      </vt:variant>
      <vt:variant>
        <vt:i4>5</vt:i4>
      </vt:variant>
      <vt:variant>
        <vt:lpwstr>http://www.nevo.co.il/law/70301</vt:lpwstr>
      </vt:variant>
      <vt:variant>
        <vt:lpwstr/>
      </vt:variant>
      <vt:variant>
        <vt:i4>917577</vt:i4>
      </vt:variant>
      <vt:variant>
        <vt:i4>36</vt:i4>
      </vt:variant>
      <vt:variant>
        <vt:i4>0</vt:i4>
      </vt:variant>
      <vt:variant>
        <vt:i4>5</vt:i4>
      </vt:variant>
      <vt:variant>
        <vt:lpwstr>http://www.nevo.co.il/law/70301/29.b</vt:lpwstr>
      </vt:variant>
      <vt:variant>
        <vt:lpwstr/>
      </vt:variant>
      <vt:variant>
        <vt:i4>852041</vt:i4>
      </vt:variant>
      <vt:variant>
        <vt:i4>33</vt:i4>
      </vt:variant>
      <vt:variant>
        <vt:i4>0</vt:i4>
      </vt:variant>
      <vt:variant>
        <vt:i4>5</vt:i4>
      </vt:variant>
      <vt:variant>
        <vt:lpwstr>http://www.nevo.co.il/law/70301/29.a</vt:lpwstr>
      </vt:variant>
      <vt:variant>
        <vt:lpwstr/>
      </vt:variant>
      <vt:variant>
        <vt:i4>4915283</vt:i4>
      </vt:variant>
      <vt:variant>
        <vt:i4>30</vt:i4>
      </vt:variant>
      <vt:variant>
        <vt:i4>0</vt:i4>
      </vt:variant>
      <vt:variant>
        <vt:i4>5</vt:i4>
      </vt:variant>
      <vt:variant>
        <vt:lpwstr>http://www.nevo.co.il/law/70301/402.b</vt:lpwstr>
      </vt:variant>
      <vt:variant>
        <vt:lpwstr/>
      </vt:variant>
      <vt:variant>
        <vt:i4>7077945</vt:i4>
      </vt:variant>
      <vt:variant>
        <vt:i4>27</vt:i4>
      </vt:variant>
      <vt:variant>
        <vt:i4>0</vt:i4>
      </vt:variant>
      <vt:variant>
        <vt:i4>5</vt:i4>
      </vt:variant>
      <vt:variant>
        <vt:lpwstr>http://www.nevo.co.il/law/70301/499.a.1</vt:lpwstr>
      </vt:variant>
      <vt:variant>
        <vt:lpwstr/>
      </vt:variant>
      <vt:variant>
        <vt:i4>852050</vt:i4>
      </vt:variant>
      <vt:variant>
        <vt:i4>24</vt:i4>
      </vt:variant>
      <vt:variant>
        <vt:i4>0</vt:i4>
      </vt:variant>
      <vt:variant>
        <vt:i4>5</vt:i4>
      </vt:variant>
      <vt:variant>
        <vt:lpwstr>http://www.nevo.co.il/law/70301/413i</vt:lpwstr>
      </vt:variant>
      <vt:variant>
        <vt:lpwstr/>
      </vt:variant>
      <vt:variant>
        <vt:i4>4915283</vt:i4>
      </vt:variant>
      <vt:variant>
        <vt:i4>21</vt:i4>
      </vt:variant>
      <vt:variant>
        <vt:i4>0</vt:i4>
      </vt:variant>
      <vt:variant>
        <vt:i4>5</vt:i4>
      </vt:variant>
      <vt:variant>
        <vt:lpwstr>http://www.nevo.co.il/law/70301/402.b</vt:lpwstr>
      </vt:variant>
      <vt:variant>
        <vt:lpwstr/>
      </vt:variant>
      <vt:variant>
        <vt:i4>5177424</vt:i4>
      </vt:variant>
      <vt:variant>
        <vt:i4>18</vt:i4>
      </vt:variant>
      <vt:variant>
        <vt:i4>0</vt:i4>
      </vt:variant>
      <vt:variant>
        <vt:i4>5</vt:i4>
      </vt:variant>
      <vt:variant>
        <vt:lpwstr>http://www.nevo.co.il/law/70301/144.c</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917577</vt:i4>
      </vt:variant>
      <vt:variant>
        <vt:i4>9</vt:i4>
      </vt:variant>
      <vt:variant>
        <vt:i4>0</vt:i4>
      </vt:variant>
      <vt:variant>
        <vt:i4>5</vt:i4>
      </vt:variant>
      <vt:variant>
        <vt:lpwstr>http://www.nevo.co.il/law/70301/29.b</vt:lpwstr>
      </vt:variant>
      <vt:variant>
        <vt:lpwstr/>
      </vt:variant>
      <vt:variant>
        <vt:i4>852041</vt:i4>
      </vt:variant>
      <vt:variant>
        <vt:i4>6</vt:i4>
      </vt:variant>
      <vt:variant>
        <vt:i4>0</vt:i4>
      </vt:variant>
      <vt:variant>
        <vt:i4>5</vt:i4>
      </vt:variant>
      <vt:variant>
        <vt:lpwstr>http://www.nevo.co.il/law/70301/29.a</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2025-01-19T16:05:00Z</dcterms:created>
  <dcterms:modified xsi:type="dcterms:W3CDTF">2025-01-19T16:05:00Z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27685</vt:lpwstr>
  </property>
  <property fmtid="{D5CDD505-2E9C-101B-9397-08002B2CF9AE}" pid="6" name="NEWPARTB">
    <vt:lpwstr>11</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סאבר עווד</vt:lpwstr>
  </property>
  <property fmtid="{D5CDD505-2E9C-101B-9397-08002B2CF9AE}" pid="10" name="LAWYER">
    <vt:lpwstr>עינב אטיסקו גולד;משה נעמן </vt:lpwstr>
  </property>
  <property fmtid="{D5CDD505-2E9C-101B-9397-08002B2CF9AE}" pid="11" name="JUDGE">
    <vt:lpwstr>כמאל סעב</vt:lpwstr>
  </property>
  <property fmtid="{D5CDD505-2E9C-101B-9397-08002B2CF9AE}" pid="12" name="CITY">
    <vt:lpwstr>חי'</vt:lpwstr>
  </property>
  <property fmtid="{D5CDD505-2E9C-101B-9397-08002B2CF9AE}" pid="13" name="DATE">
    <vt:lpwstr>20160613</vt:lpwstr>
  </property>
  <property fmtid="{D5CDD505-2E9C-101B-9397-08002B2CF9AE}" pid="14" name="TYPE_N_DATE">
    <vt:lpwstr>39020160613</vt:lpwstr>
  </property>
  <property fmtid="{D5CDD505-2E9C-101B-9397-08002B2CF9AE}" pid="15" name="WORDNUMPAGES">
    <vt:lpwstr>10</vt:lpwstr>
  </property>
  <property fmtid="{D5CDD505-2E9C-101B-9397-08002B2CF9AE}" pid="16" name="TYPE_ABS_DATE">
    <vt:lpwstr>390020160613</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6000182;5852404;7662230;5942308;7773349;5603213;6244063;6879752;5588118;10502090;7980258;5703734;5821327;6473037;11328863</vt:lpwstr>
  </property>
  <property fmtid="{D5CDD505-2E9C-101B-9397-08002B2CF9AE}" pid="36" name="LAWLISTTMP1">
    <vt:lpwstr>70301/402.b;029.a;029.b;499.a.1;144.b;144.c;029:2;413i;040i</vt:lpwstr>
  </property>
</Properties>
</file>