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392"/>
        <w:gridCol w:w="5103"/>
      </w:tblGrid>
      <w:tr w:rsidR="004D3032" w:rsidRPr="00553C6B" w14:paraId="2EA3A18A" w14:textId="77777777">
        <w:trPr>
          <w:trHeight w:hRule="exact" w:val="418"/>
          <w:jc w:val="center"/>
        </w:trPr>
        <w:tc>
          <w:tcPr>
            <w:tcW w:w="8495" w:type="dxa"/>
            <w:gridSpan w:val="2"/>
          </w:tcPr>
          <w:p w14:paraId="5B1779AC" w14:textId="77777777" w:rsidR="004D3032" w:rsidRPr="00553C6B" w:rsidRDefault="00553C6B">
            <w:pPr>
              <w:pStyle w:val="a3"/>
              <w:jc w:val="center"/>
              <w:rPr>
                <w:rFonts w:ascii="Tahoma" w:hAnsi="Tahoma"/>
                <w:color w:val="000080"/>
                <w:sz w:val="28"/>
                <w:szCs w:val="28"/>
                <w:rtl/>
              </w:rPr>
            </w:pPr>
            <w:bookmarkStart w:id="0" w:name="LastJudge"/>
            <w:r w:rsidRPr="00553C6B">
              <w:rPr>
                <w:rFonts w:ascii="Tahoma" w:hAnsi="Tahoma"/>
                <w:b/>
                <w:bCs/>
                <w:color w:val="000080"/>
                <w:sz w:val="28"/>
                <w:szCs w:val="28"/>
                <w:rtl/>
              </w:rPr>
              <w:t>בית המשפט המחוזי בירושלים</w:t>
            </w:r>
          </w:p>
        </w:tc>
      </w:tr>
      <w:tr w:rsidR="004D3032" w:rsidRPr="00553C6B" w14:paraId="593EBDAE" w14:textId="77777777">
        <w:trPr>
          <w:trHeight w:val="337"/>
          <w:jc w:val="center"/>
        </w:trPr>
        <w:tc>
          <w:tcPr>
            <w:tcW w:w="3392" w:type="dxa"/>
          </w:tcPr>
          <w:p w14:paraId="5678EDBE" w14:textId="77777777" w:rsidR="004D3032" w:rsidRPr="00553C6B" w:rsidRDefault="00553C6B">
            <w:pPr>
              <w:rPr>
                <w:rtl/>
              </w:rPr>
            </w:pPr>
            <w:r w:rsidRPr="00553C6B">
              <w:rPr>
                <w:rFonts w:hint="cs"/>
                <w:rtl/>
              </w:rPr>
              <w:t>לפניי כב' הנשיא אהרן פרקש</w:t>
            </w:r>
          </w:p>
          <w:p w14:paraId="78457E37" w14:textId="77777777" w:rsidR="004D3032" w:rsidRPr="00553C6B" w:rsidRDefault="004D3032">
            <w:pPr>
              <w:pStyle w:val="a3"/>
              <w:rPr>
                <w:rtl/>
              </w:rPr>
            </w:pPr>
          </w:p>
        </w:tc>
        <w:tc>
          <w:tcPr>
            <w:tcW w:w="5103" w:type="dxa"/>
          </w:tcPr>
          <w:p w14:paraId="1D080F46" w14:textId="77777777" w:rsidR="004D3032" w:rsidRPr="00553C6B" w:rsidRDefault="00553C6B">
            <w:pPr>
              <w:pStyle w:val="a3"/>
              <w:jc w:val="right"/>
              <w:rPr>
                <w:rtl/>
              </w:rPr>
            </w:pPr>
            <w:r w:rsidRPr="00553C6B">
              <w:rPr>
                <w:rtl/>
              </w:rPr>
              <w:t>ת"פ</w:t>
            </w:r>
            <w:r w:rsidRPr="00553C6B">
              <w:rPr>
                <w:rFonts w:hint="cs"/>
                <w:rtl/>
              </w:rPr>
              <w:t xml:space="preserve"> </w:t>
            </w:r>
            <w:r w:rsidRPr="00553C6B">
              <w:rPr>
                <w:rtl/>
              </w:rPr>
              <w:t>31334-11-15</w:t>
            </w:r>
            <w:r w:rsidRPr="00553C6B">
              <w:rPr>
                <w:rFonts w:hint="cs"/>
                <w:rtl/>
              </w:rPr>
              <w:t xml:space="preserve"> </w:t>
            </w:r>
            <w:r w:rsidRPr="00553C6B">
              <w:rPr>
                <w:rtl/>
              </w:rPr>
              <w:t>מדינת ישראל נ' דארי</w:t>
            </w:r>
            <w:r w:rsidRPr="00553C6B">
              <w:rPr>
                <w:rFonts w:hint="cs"/>
                <w:rtl/>
              </w:rPr>
              <w:t xml:space="preserve"> </w:t>
            </w:r>
            <w:r w:rsidRPr="00553C6B">
              <w:rPr>
                <w:rtl/>
              </w:rPr>
              <w:t>(עציר) ואח'</w:t>
            </w:r>
          </w:p>
        </w:tc>
      </w:tr>
    </w:tbl>
    <w:p w14:paraId="56FFA077" w14:textId="77777777" w:rsidR="004D3032" w:rsidRPr="00553C6B" w:rsidRDefault="00553C6B">
      <w:pPr>
        <w:pStyle w:val="a3"/>
        <w:rPr>
          <w:rtl/>
        </w:rPr>
      </w:pPr>
      <w:r w:rsidRPr="00553C6B">
        <w:rPr>
          <w:rFonts w:hint="cs"/>
          <w:rtl/>
        </w:rPr>
        <w:t xml:space="preserve"> </w:t>
      </w:r>
    </w:p>
    <w:p w14:paraId="27BBD06C" w14:textId="77777777" w:rsidR="004D3032" w:rsidRPr="00553C6B" w:rsidRDefault="004D3032">
      <w:pPr>
        <w:jc w:val="both"/>
        <w:rPr>
          <w:sz w:val="26"/>
          <w:szCs w:val="26"/>
          <w:rtl/>
        </w:rPr>
      </w:pPr>
    </w:p>
    <w:tbl>
      <w:tblPr>
        <w:bidiVisual/>
        <w:tblW w:w="8910" w:type="dxa"/>
        <w:tblInd w:w="-28" w:type="dxa"/>
        <w:tblLook w:val="01E0" w:firstRow="1" w:lastRow="1" w:firstColumn="1" w:lastColumn="1" w:noHBand="0" w:noVBand="0"/>
      </w:tblPr>
      <w:tblGrid>
        <w:gridCol w:w="2915"/>
        <w:gridCol w:w="5995"/>
      </w:tblGrid>
      <w:tr w:rsidR="004D3032" w:rsidRPr="00553C6B" w14:paraId="67FEFEE0" w14:textId="77777777">
        <w:tc>
          <w:tcPr>
            <w:tcW w:w="2880" w:type="dxa"/>
            <w:shd w:val="clear" w:color="auto" w:fill="auto"/>
          </w:tcPr>
          <w:p w14:paraId="6B3774E1" w14:textId="77777777" w:rsidR="004D3032" w:rsidRPr="00553C6B" w:rsidRDefault="00553C6B">
            <w:pPr>
              <w:ind w:left="26"/>
              <w:jc w:val="both"/>
              <w:rPr>
                <w:b/>
                <w:bCs/>
                <w:sz w:val="26"/>
                <w:szCs w:val="26"/>
              </w:rPr>
            </w:pPr>
            <w:bookmarkStart w:id="1" w:name="FirstAppellant"/>
            <w:bookmarkStart w:id="2" w:name="FirstLawyer"/>
            <w:r w:rsidRPr="00553C6B">
              <w:rPr>
                <w:b/>
                <w:bCs/>
                <w:sz w:val="26"/>
                <w:szCs w:val="26"/>
                <w:rtl/>
              </w:rPr>
              <w:t>המאשימה</w:t>
            </w:r>
          </w:p>
        </w:tc>
        <w:tc>
          <w:tcPr>
            <w:tcW w:w="5922" w:type="dxa"/>
            <w:shd w:val="clear" w:color="auto" w:fill="auto"/>
          </w:tcPr>
          <w:p w14:paraId="498BDE0A" w14:textId="77777777" w:rsidR="004D3032" w:rsidRPr="00553C6B" w:rsidRDefault="00553C6B">
            <w:pPr>
              <w:jc w:val="both"/>
              <w:rPr>
                <w:b/>
                <w:bCs/>
                <w:sz w:val="26"/>
                <w:szCs w:val="26"/>
                <w:rtl/>
              </w:rPr>
            </w:pPr>
            <w:r w:rsidRPr="00553C6B">
              <w:rPr>
                <w:b/>
                <w:bCs/>
                <w:sz w:val="26"/>
                <w:szCs w:val="26"/>
                <w:rtl/>
              </w:rPr>
              <w:t xml:space="preserve"> מדינת ישראל</w:t>
            </w:r>
          </w:p>
          <w:p w14:paraId="15D1FAAE" w14:textId="77777777" w:rsidR="004D3032" w:rsidRPr="00553C6B" w:rsidRDefault="00553C6B">
            <w:pPr>
              <w:jc w:val="both"/>
              <w:rPr>
                <w:sz w:val="26"/>
                <w:szCs w:val="26"/>
                <w:rtl/>
              </w:rPr>
            </w:pPr>
            <w:r w:rsidRPr="00553C6B">
              <w:rPr>
                <w:rFonts w:hint="cs"/>
                <w:sz w:val="26"/>
                <w:szCs w:val="26"/>
                <w:rtl/>
              </w:rPr>
              <w:t>ע"י ב"כ עו"ד עמיחי מרקס ועו"ד סאמי חוראני</w:t>
            </w:r>
          </w:p>
          <w:p w14:paraId="338A9EE8" w14:textId="77777777" w:rsidR="004D3032" w:rsidRPr="00553C6B" w:rsidRDefault="00553C6B">
            <w:pPr>
              <w:jc w:val="both"/>
              <w:rPr>
                <w:b/>
                <w:bCs/>
                <w:sz w:val="26"/>
                <w:szCs w:val="26"/>
                <w:rtl/>
              </w:rPr>
            </w:pPr>
            <w:r w:rsidRPr="00553C6B">
              <w:rPr>
                <w:rFonts w:hint="cs"/>
                <w:sz w:val="26"/>
                <w:szCs w:val="26"/>
                <w:rtl/>
              </w:rPr>
              <w:t>מפרקליטות מחוז ירושלים (פלילי)</w:t>
            </w:r>
          </w:p>
        </w:tc>
      </w:tr>
      <w:bookmarkEnd w:id="1"/>
      <w:bookmarkEnd w:id="2"/>
      <w:tr w:rsidR="004D3032" w:rsidRPr="00553C6B" w14:paraId="4D94412D" w14:textId="77777777">
        <w:tc>
          <w:tcPr>
            <w:tcW w:w="8802" w:type="dxa"/>
            <w:gridSpan w:val="2"/>
            <w:shd w:val="clear" w:color="auto" w:fill="auto"/>
          </w:tcPr>
          <w:p w14:paraId="3C84B3FD" w14:textId="77777777" w:rsidR="004D3032" w:rsidRPr="00553C6B" w:rsidRDefault="004D3032">
            <w:pPr>
              <w:jc w:val="both"/>
              <w:rPr>
                <w:rFonts w:ascii="Arial" w:hAnsi="Arial"/>
                <w:b/>
                <w:bCs/>
                <w:sz w:val="26"/>
                <w:szCs w:val="26"/>
                <w:rtl/>
              </w:rPr>
            </w:pPr>
          </w:p>
          <w:p w14:paraId="49F9B7DE" w14:textId="77777777" w:rsidR="004D3032" w:rsidRPr="00553C6B" w:rsidRDefault="00553C6B">
            <w:pPr>
              <w:jc w:val="center"/>
              <w:rPr>
                <w:rFonts w:ascii="Arial" w:hAnsi="Arial"/>
                <w:b/>
                <w:bCs/>
                <w:sz w:val="26"/>
                <w:szCs w:val="26"/>
                <w:rtl/>
              </w:rPr>
            </w:pPr>
            <w:r w:rsidRPr="00553C6B">
              <w:rPr>
                <w:rFonts w:ascii="Arial" w:hAnsi="Arial"/>
                <w:b/>
                <w:bCs/>
                <w:sz w:val="26"/>
                <w:szCs w:val="26"/>
                <w:rtl/>
              </w:rPr>
              <w:t>נגד</w:t>
            </w:r>
          </w:p>
          <w:p w14:paraId="0C0F9A04" w14:textId="77777777" w:rsidR="004D3032" w:rsidRPr="00553C6B" w:rsidRDefault="004D3032">
            <w:pPr>
              <w:jc w:val="both"/>
              <w:rPr>
                <w:rFonts w:ascii="Arial" w:hAnsi="Arial"/>
                <w:b/>
                <w:bCs/>
                <w:sz w:val="26"/>
                <w:szCs w:val="26"/>
                <w:rtl/>
              </w:rPr>
            </w:pPr>
          </w:p>
        </w:tc>
      </w:tr>
      <w:tr w:rsidR="004D3032" w:rsidRPr="00553C6B" w14:paraId="575B0C9F" w14:textId="77777777">
        <w:tc>
          <w:tcPr>
            <w:tcW w:w="2880" w:type="dxa"/>
            <w:shd w:val="clear" w:color="auto" w:fill="auto"/>
          </w:tcPr>
          <w:p w14:paraId="4B953E41" w14:textId="77777777" w:rsidR="004D3032" w:rsidRPr="00553C6B" w:rsidRDefault="00553C6B">
            <w:pPr>
              <w:ind w:left="26"/>
              <w:jc w:val="both"/>
              <w:rPr>
                <w:b/>
                <w:bCs/>
                <w:sz w:val="26"/>
                <w:szCs w:val="26"/>
              </w:rPr>
            </w:pPr>
            <w:r w:rsidRPr="00553C6B">
              <w:rPr>
                <w:b/>
                <w:bCs/>
                <w:sz w:val="26"/>
                <w:szCs w:val="26"/>
                <w:rtl/>
              </w:rPr>
              <w:t>הנאשמים</w:t>
            </w:r>
          </w:p>
        </w:tc>
        <w:tc>
          <w:tcPr>
            <w:tcW w:w="5922" w:type="dxa"/>
            <w:shd w:val="clear" w:color="auto" w:fill="auto"/>
          </w:tcPr>
          <w:p w14:paraId="37821476" w14:textId="77777777" w:rsidR="004D3032" w:rsidRPr="00553C6B" w:rsidRDefault="00553C6B">
            <w:pPr>
              <w:jc w:val="both"/>
              <w:rPr>
                <w:sz w:val="26"/>
                <w:szCs w:val="26"/>
                <w:rtl/>
              </w:rPr>
            </w:pPr>
            <w:r w:rsidRPr="00553C6B">
              <w:rPr>
                <w:sz w:val="26"/>
                <w:szCs w:val="26"/>
                <w:rtl/>
              </w:rPr>
              <w:t>1.</w:t>
            </w:r>
            <w:r w:rsidRPr="00553C6B">
              <w:rPr>
                <w:b/>
                <w:bCs/>
                <w:sz w:val="26"/>
                <w:szCs w:val="26"/>
                <w:rtl/>
              </w:rPr>
              <w:t xml:space="preserve"> סאאד דארי (עציר)</w:t>
            </w:r>
          </w:p>
          <w:p w14:paraId="1457CC56" w14:textId="77777777" w:rsidR="004D3032" w:rsidRPr="00553C6B" w:rsidRDefault="00553C6B">
            <w:pPr>
              <w:jc w:val="both"/>
              <w:rPr>
                <w:b/>
                <w:bCs/>
                <w:sz w:val="26"/>
                <w:szCs w:val="26"/>
                <w:rtl/>
              </w:rPr>
            </w:pPr>
            <w:r w:rsidRPr="00553C6B">
              <w:rPr>
                <w:sz w:val="26"/>
                <w:szCs w:val="26"/>
                <w:rtl/>
              </w:rPr>
              <w:t>ע"י ב"כ עו"ד לאה צמל</w:t>
            </w:r>
            <w:r w:rsidRPr="00553C6B">
              <w:rPr>
                <w:b/>
                <w:bCs/>
                <w:sz w:val="26"/>
                <w:szCs w:val="26"/>
                <w:rtl/>
              </w:rPr>
              <w:t xml:space="preserve"> </w:t>
            </w:r>
          </w:p>
          <w:p w14:paraId="0746AE13" w14:textId="77777777" w:rsidR="004D3032" w:rsidRPr="00553C6B" w:rsidRDefault="004D3032">
            <w:pPr>
              <w:jc w:val="both"/>
              <w:rPr>
                <w:b/>
                <w:bCs/>
                <w:sz w:val="26"/>
                <w:szCs w:val="26"/>
                <w:rtl/>
              </w:rPr>
            </w:pPr>
          </w:p>
          <w:p w14:paraId="3D90D689" w14:textId="77777777" w:rsidR="004D3032" w:rsidRPr="00553C6B" w:rsidRDefault="00553C6B">
            <w:pPr>
              <w:jc w:val="both"/>
              <w:rPr>
                <w:sz w:val="26"/>
                <w:szCs w:val="26"/>
                <w:rtl/>
              </w:rPr>
            </w:pPr>
            <w:r w:rsidRPr="00553C6B">
              <w:rPr>
                <w:sz w:val="26"/>
                <w:szCs w:val="26"/>
                <w:rtl/>
              </w:rPr>
              <w:t xml:space="preserve">2. </w:t>
            </w:r>
            <w:r w:rsidRPr="00553C6B">
              <w:rPr>
                <w:b/>
                <w:bCs/>
                <w:sz w:val="26"/>
                <w:szCs w:val="26"/>
                <w:rtl/>
              </w:rPr>
              <w:t>ואיל סבאתה (עציר)</w:t>
            </w:r>
          </w:p>
          <w:p w14:paraId="7883121E" w14:textId="77777777" w:rsidR="004D3032" w:rsidRPr="00553C6B" w:rsidRDefault="00553C6B">
            <w:pPr>
              <w:jc w:val="both"/>
              <w:rPr>
                <w:sz w:val="26"/>
                <w:szCs w:val="26"/>
                <w:rtl/>
              </w:rPr>
            </w:pPr>
            <w:r w:rsidRPr="00553C6B">
              <w:rPr>
                <w:sz w:val="26"/>
                <w:szCs w:val="26"/>
                <w:rtl/>
              </w:rPr>
              <w:t xml:space="preserve">ע"י ב"כ עו"ד אנדרה רוזנטל </w:t>
            </w:r>
          </w:p>
        </w:tc>
      </w:tr>
    </w:tbl>
    <w:p w14:paraId="5B001630" w14:textId="77777777" w:rsidR="004D3032" w:rsidRPr="00553C6B" w:rsidRDefault="004D3032">
      <w:pPr>
        <w:jc w:val="both"/>
        <w:rPr>
          <w:sz w:val="26"/>
          <w:szCs w:val="26"/>
          <w:rtl/>
        </w:rPr>
      </w:pPr>
    </w:p>
    <w:p w14:paraId="2D6014E4" w14:textId="77777777" w:rsidR="008275ED" w:rsidRDefault="00553C6B">
      <w:pPr>
        <w:jc w:val="both"/>
        <w:rPr>
          <w:sz w:val="26"/>
          <w:szCs w:val="26"/>
        </w:rPr>
      </w:pPr>
      <w:r w:rsidRPr="00553C6B">
        <w:rPr>
          <w:sz w:val="26"/>
          <w:szCs w:val="26"/>
          <w:rtl/>
        </w:rPr>
        <w:tab/>
      </w:r>
      <w:r w:rsidRPr="00553C6B">
        <w:rPr>
          <w:sz w:val="26"/>
          <w:szCs w:val="26"/>
          <w:rtl/>
        </w:rPr>
        <w:tab/>
      </w:r>
      <w:bookmarkStart w:id="3" w:name="LawTable"/>
      <w:bookmarkEnd w:id="3"/>
    </w:p>
    <w:p w14:paraId="5A0E466B" w14:textId="77777777" w:rsidR="008275ED" w:rsidRPr="008275ED" w:rsidRDefault="008275ED" w:rsidP="008275ED">
      <w:pPr>
        <w:spacing w:after="120" w:line="240" w:lineRule="exact"/>
        <w:ind w:left="283" w:hanging="283"/>
        <w:jc w:val="both"/>
        <w:rPr>
          <w:rFonts w:ascii="FrankRuehl" w:hAnsi="FrankRuehl" w:cs="FrankRuehl"/>
        </w:rPr>
      </w:pPr>
    </w:p>
    <w:p w14:paraId="70B05DAC" w14:textId="77777777" w:rsidR="008275ED" w:rsidRPr="008275ED" w:rsidRDefault="008275ED" w:rsidP="008275ED">
      <w:pPr>
        <w:spacing w:after="120" w:line="240" w:lineRule="exact"/>
        <w:ind w:left="283" w:hanging="283"/>
        <w:jc w:val="both"/>
        <w:rPr>
          <w:rFonts w:ascii="FrankRuehl" w:hAnsi="FrankRuehl" w:cs="FrankRuehl"/>
        </w:rPr>
      </w:pPr>
      <w:r w:rsidRPr="008275ED">
        <w:rPr>
          <w:rFonts w:ascii="FrankRuehl" w:hAnsi="FrankRuehl" w:cs="FrankRuehl"/>
          <w:rtl/>
        </w:rPr>
        <w:t xml:space="preserve">חקיקה שאוזכרה: </w:t>
      </w:r>
    </w:p>
    <w:p w14:paraId="3906716B" w14:textId="77777777" w:rsidR="008275ED" w:rsidRPr="008275ED" w:rsidRDefault="008275ED" w:rsidP="008275ED">
      <w:pPr>
        <w:spacing w:after="120" w:line="240" w:lineRule="exact"/>
        <w:ind w:left="283" w:hanging="283"/>
        <w:jc w:val="both"/>
        <w:rPr>
          <w:rFonts w:ascii="FrankRuehl" w:hAnsi="FrankRuehl" w:cs="FrankRuehl"/>
        </w:rPr>
      </w:pPr>
      <w:hyperlink r:id="rId7" w:history="1">
        <w:r w:rsidRPr="008275ED">
          <w:rPr>
            <w:rFonts w:ascii="FrankRuehl" w:hAnsi="FrankRuehl" w:cs="FrankRuehl"/>
            <w:color w:val="0000FF"/>
            <w:u w:val="single"/>
            <w:rtl/>
          </w:rPr>
          <w:t>חוק העונשין, תשל"ז-1977</w:t>
        </w:r>
      </w:hyperlink>
      <w:r w:rsidRPr="008275ED">
        <w:rPr>
          <w:rFonts w:ascii="FrankRuehl" w:hAnsi="FrankRuehl" w:cs="FrankRuehl"/>
        </w:rPr>
        <w:t xml:space="preserve">: </w:t>
      </w:r>
      <w:r w:rsidRPr="008275ED">
        <w:rPr>
          <w:rFonts w:ascii="FrankRuehl" w:hAnsi="FrankRuehl" w:cs="FrankRuehl"/>
          <w:rtl/>
        </w:rPr>
        <w:t>סע</w:t>
      </w:r>
      <w:r w:rsidRPr="008275ED">
        <w:rPr>
          <w:rFonts w:ascii="FrankRuehl" w:hAnsi="FrankRuehl" w:cs="FrankRuehl"/>
        </w:rPr>
        <w:t xml:space="preserve">'  </w:t>
      </w:r>
      <w:hyperlink r:id="rId8" w:history="1">
        <w:r w:rsidRPr="008275ED">
          <w:rPr>
            <w:rFonts w:ascii="FrankRuehl" w:hAnsi="FrankRuehl" w:cs="FrankRuehl"/>
            <w:color w:val="0000FF"/>
            <w:u w:val="single"/>
          </w:rPr>
          <w:t>25</w:t>
        </w:r>
      </w:hyperlink>
      <w:r w:rsidRPr="008275ED">
        <w:rPr>
          <w:rFonts w:ascii="FrankRuehl" w:hAnsi="FrankRuehl" w:cs="FrankRuehl"/>
        </w:rPr>
        <w:t xml:space="preserve">, </w:t>
      </w:r>
      <w:hyperlink r:id="rId9" w:history="1">
        <w:r w:rsidRPr="008275ED">
          <w:rPr>
            <w:rFonts w:ascii="FrankRuehl" w:hAnsi="FrankRuehl" w:cs="FrankRuehl"/>
            <w:color w:val="0000FF"/>
            <w:u w:val="single"/>
          </w:rPr>
          <w:t>40</w:t>
        </w:r>
        <w:r w:rsidRPr="008275ED">
          <w:rPr>
            <w:rFonts w:ascii="FrankRuehl" w:hAnsi="FrankRuehl" w:cs="FrankRuehl"/>
            <w:color w:val="0000FF"/>
            <w:u w:val="single"/>
            <w:rtl/>
          </w:rPr>
          <w:t>ב</w:t>
        </w:r>
      </w:hyperlink>
      <w:r w:rsidRPr="008275ED">
        <w:rPr>
          <w:rFonts w:ascii="FrankRuehl" w:hAnsi="FrankRuehl" w:cs="FrankRuehl"/>
        </w:rPr>
        <w:t xml:space="preserve">, </w:t>
      </w:r>
      <w:hyperlink r:id="rId10" w:history="1">
        <w:r w:rsidRPr="008275ED">
          <w:rPr>
            <w:rFonts w:ascii="FrankRuehl" w:hAnsi="FrankRuehl" w:cs="FrankRuehl"/>
            <w:color w:val="0000FF"/>
            <w:u w:val="single"/>
          </w:rPr>
          <w:t>40</w:t>
        </w:r>
        <w:r w:rsidRPr="008275ED">
          <w:rPr>
            <w:rFonts w:ascii="FrankRuehl" w:hAnsi="FrankRuehl" w:cs="FrankRuehl"/>
            <w:color w:val="0000FF"/>
            <w:u w:val="single"/>
            <w:rtl/>
          </w:rPr>
          <w:t>ג(א</w:t>
        </w:r>
        <w:r w:rsidRPr="008275ED">
          <w:rPr>
            <w:rFonts w:ascii="FrankRuehl" w:hAnsi="FrankRuehl" w:cs="FrankRuehl"/>
            <w:color w:val="0000FF"/>
            <w:u w:val="single"/>
          </w:rPr>
          <w:t>)</w:t>
        </w:r>
      </w:hyperlink>
      <w:r w:rsidRPr="008275ED">
        <w:rPr>
          <w:rFonts w:ascii="FrankRuehl" w:hAnsi="FrankRuehl" w:cs="FrankRuehl"/>
        </w:rPr>
        <w:t xml:space="preserve">, </w:t>
      </w:r>
      <w:hyperlink r:id="rId11" w:history="1">
        <w:r w:rsidRPr="008275ED">
          <w:rPr>
            <w:rFonts w:ascii="FrankRuehl" w:hAnsi="FrankRuehl" w:cs="FrankRuehl"/>
            <w:color w:val="0000FF"/>
            <w:u w:val="single"/>
          </w:rPr>
          <w:t>40</w:t>
        </w:r>
        <w:r w:rsidRPr="008275ED">
          <w:rPr>
            <w:rFonts w:ascii="FrankRuehl" w:hAnsi="FrankRuehl" w:cs="FrankRuehl"/>
            <w:color w:val="0000FF"/>
            <w:u w:val="single"/>
            <w:rtl/>
          </w:rPr>
          <w:t>ט</w:t>
        </w:r>
      </w:hyperlink>
      <w:r w:rsidRPr="008275ED">
        <w:rPr>
          <w:rFonts w:ascii="FrankRuehl" w:hAnsi="FrankRuehl" w:cs="FrankRuehl"/>
        </w:rPr>
        <w:t xml:space="preserve">, </w:t>
      </w:r>
      <w:hyperlink r:id="rId12" w:history="1">
        <w:r w:rsidRPr="008275ED">
          <w:rPr>
            <w:rFonts w:ascii="FrankRuehl" w:hAnsi="FrankRuehl" w:cs="FrankRuehl"/>
            <w:color w:val="0000FF"/>
            <w:u w:val="single"/>
          </w:rPr>
          <w:t>144(</w:t>
        </w:r>
        <w:r w:rsidRPr="008275ED">
          <w:rPr>
            <w:rFonts w:ascii="FrankRuehl" w:hAnsi="FrankRuehl" w:cs="FrankRuehl"/>
            <w:color w:val="0000FF"/>
            <w:u w:val="single"/>
            <w:rtl/>
          </w:rPr>
          <w:t>ב</w:t>
        </w:r>
        <w:r w:rsidRPr="008275ED">
          <w:rPr>
            <w:rFonts w:ascii="FrankRuehl" w:hAnsi="FrankRuehl" w:cs="FrankRuehl"/>
            <w:color w:val="0000FF"/>
            <w:u w:val="single"/>
          </w:rPr>
          <w:t>)</w:t>
        </w:r>
      </w:hyperlink>
      <w:r w:rsidRPr="008275ED">
        <w:rPr>
          <w:rFonts w:ascii="FrankRuehl" w:hAnsi="FrankRuehl" w:cs="FrankRuehl"/>
        </w:rPr>
        <w:t xml:space="preserve">, </w:t>
      </w:r>
      <w:hyperlink r:id="rId13" w:history="1">
        <w:r w:rsidRPr="008275ED">
          <w:rPr>
            <w:rFonts w:ascii="FrankRuehl" w:hAnsi="FrankRuehl" w:cs="FrankRuehl"/>
            <w:color w:val="0000FF"/>
            <w:u w:val="single"/>
          </w:rPr>
          <w:t>144(</w:t>
        </w:r>
        <w:r w:rsidRPr="008275ED">
          <w:rPr>
            <w:rFonts w:ascii="FrankRuehl" w:hAnsi="FrankRuehl" w:cs="FrankRuehl"/>
            <w:color w:val="0000FF"/>
            <w:u w:val="single"/>
            <w:rtl/>
          </w:rPr>
          <w:t>ב2</w:t>
        </w:r>
        <w:r w:rsidRPr="008275ED">
          <w:rPr>
            <w:rFonts w:ascii="FrankRuehl" w:hAnsi="FrankRuehl" w:cs="FrankRuehl"/>
            <w:color w:val="0000FF"/>
            <w:u w:val="single"/>
          </w:rPr>
          <w:t>)</w:t>
        </w:r>
      </w:hyperlink>
      <w:r w:rsidRPr="008275ED">
        <w:rPr>
          <w:rFonts w:ascii="FrankRuehl" w:hAnsi="FrankRuehl" w:cs="FrankRuehl"/>
        </w:rPr>
        <w:t xml:space="preserve">, </w:t>
      </w:r>
      <w:hyperlink r:id="rId14" w:history="1">
        <w:r w:rsidRPr="008275ED">
          <w:rPr>
            <w:rFonts w:ascii="FrankRuehl" w:hAnsi="FrankRuehl" w:cs="FrankRuehl"/>
            <w:color w:val="0000FF"/>
            <w:u w:val="single"/>
          </w:rPr>
          <w:t>152</w:t>
        </w:r>
      </w:hyperlink>
      <w:r w:rsidRPr="008275ED">
        <w:rPr>
          <w:rFonts w:ascii="FrankRuehl" w:hAnsi="FrankRuehl" w:cs="FrankRuehl"/>
        </w:rPr>
        <w:t xml:space="preserve">, </w:t>
      </w:r>
      <w:hyperlink r:id="rId15" w:history="1">
        <w:r w:rsidRPr="008275ED">
          <w:rPr>
            <w:rFonts w:ascii="FrankRuehl" w:hAnsi="FrankRuehl" w:cs="FrankRuehl"/>
            <w:color w:val="0000FF"/>
            <w:u w:val="single"/>
          </w:rPr>
          <w:t>338(</w:t>
        </w:r>
        <w:r w:rsidRPr="008275ED">
          <w:rPr>
            <w:rFonts w:ascii="FrankRuehl" w:hAnsi="FrankRuehl" w:cs="FrankRuehl"/>
            <w:color w:val="0000FF"/>
            <w:u w:val="single"/>
            <w:rtl/>
          </w:rPr>
          <w:t>א)(3</w:t>
        </w:r>
        <w:r w:rsidRPr="008275ED">
          <w:rPr>
            <w:rFonts w:ascii="FrankRuehl" w:hAnsi="FrankRuehl" w:cs="FrankRuehl"/>
            <w:color w:val="0000FF"/>
            <w:u w:val="single"/>
          </w:rPr>
          <w:t>)</w:t>
        </w:r>
      </w:hyperlink>
      <w:r w:rsidRPr="008275ED">
        <w:rPr>
          <w:rFonts w:ascii="FrankRuehl" w:hAnsi="FrankRuehl" w:cs="FrankRuehl"/>
        </w:rPr>
        <w:t xml:space="preserve">, </w:t>
      </w:r>
      <w:hyperlink r:id="rId16" w:history="1">
        <w:r w:rsidRPr="008275ED">
          <w:rPr>
            <w:rFonts w:ascii="FrankRuehl" w:hAnsi="FrankRuehl" w:cs="FrankRuehl"/>
            <w:color w:val="0000FF"/>
            <w:u w:val="single"/>
          </w:rPr>
          <w:t>382</w:t>
        </w:r>
        <w:r w:rsidRPr="008275ED">
          <w:rPr>
            <w:rFonts w:ascii="FrankRuehl" w:hAnsi="FrankRuehl" w:cs="FrankRuehl"/>
            <w:color w:val="0000FF"/>
            <w:u w:val="single"/>
            <w:rtl/>
          </w:rPr>
          <w:t>א</w:t>
        </w:r>
      </w:hyperlink>
      <w:r w:rsidRPr="008275ED">
        <w:rPr>
          <w:rFonts w:ascii="FrankRuehl" w:hAnsi="FrankRuehl" w:cs="FrankRuehl"/>
        </w:rPr>
        <w:t xml:space="preserve">, </w:t>
      </w:r>
      <w:hyperlink r:id="rId17" w:history="1">
        <w:r w:rsidRPr="008275ED">
          <w:rPr>
            <w:rFonts w:ascii="FrankRuehl" w:hAnsi="FrankRuehl" w:cs="FrankRuehl"/>
            <w:color w:val="0000FF"/>
            <w:u w:val="single"/>
            <w:rtl/>
          </w:rPr>
          <w:t>א</w:t>
        </w:r>
      </w:hyperlink>
      <w:r w:rsidRPr="008275ED">
        <w:rPr>
          <w:rFonts w:ascii="FrankRuehl" w:hAnsi="FrankRuehl" w:cs="FrankRuehl"/>
        </w:rPr>
        <w:t xml:space="preserve">, </w:t>
      </w:r>
      <w:hyperlink r:id="rId18" w:history="1">
        <w:r w:rsidRPr="008275ED">
          <w:rPr>
            <w:rFonts w:ascii="FrankRuehl" w:hAnsi="FrankRuehl" w:cs="FrankRuehl"/>
            <w:color w:val="0000FF"/>
            <w:u w:val="single"/>
            <w:rtl/>
          </w:rPr>
          <w:t>ב</w:t>
        </w:r>
      </w:hyperlink>
      <w:r w:rsidRPr="008275ED">
        <w:rPr>
          <w:rFonts w:ascii="FrankRuehl" w:hAnsi="FrankRuehl" w:cs="FrankRuehl"/>
        </w:rPr>
        <w:t xml:space="preserve">, </w:t>
      </w:r>
      <w:hyperlink r:id="rId19" w:history="1">
        <w:r w:rsidRPr="008275ED">
          <w:rPr>
            <w:rFonts w:ascii="FrankRuehl" w:hAnsi="FrankRuehl" w:cs="FrankRuehl"/>
            <w:color w:val="0000FF"/>
            <w:u w:val="single"/>
          </w:rPr>
          <w:t>382</w:t>
        </w:r>
        <w:r w:rsidRPr="008275ED">
          <w:rPr>
            <w:rFonts w:ascii="FrankRuehl" w:hAnsi="FrankRuehl" w:cs="FrankRuehl"/>
            <w:color w:val="0000FF"/>
            <w:u w:val="single"/>
            <w:rtl/>
          </w:rPr>
          <w:t>א(ב) סק (1</w:t>
        </w:r>
        <w:r w:rsidRPr="008275ED">
          <w:rPr>
            <w:rFonts w:ascii="FrankRuehl" w:hAnsi="FrankRuehl" w:cs="FrankRuehl"/>
            <w:color w:val="0000FF"/>
            <w:u w:val="single"/>
          </w:rPr>
          <w:t>)</w:t>
        </w:r>
      </w:hyperlink>
      <w:r w:rsidRPr="008275ED">
        <w:rPr>
          <w:rFonts w:ascii="FrankRuehl" w:hAnsi="FrankRuehl" w:cs="FrankRuehl"/>
        </w:rPr>
        <w:t xml:space="preserve">, </w:t>
      </w:r>
      <w:hyperlink r:id="rId20" w:history="1">
        <w:r w:rsidRPr="008275ED">
          <w:rPr>
            <w:rFonts w:ascii="FrankRuehl" w:hAnsi="FrankRuehl" w:cs="FrankRuehl"/>
            <w:color w:val="0000FF"/>
            <w:u w:val="single"/>
          </w:rPr>
          <w:t>(2)</w:t>
        </w:r>
      </w:hyperlink>
      <w:r w:rsidRPr="008275ED">
        <w:rPr>
          <w:rFonts w:ascii="FrankRuehl" w:hAnsi="FrankRuehl" w:cs="FrankRuehl"/>
        </w:rPr>
        <w:t xml:space="preserve">, </w:t>
      </w:r>
      <w:hyperlink r:id="rId21" w:history="1">
        <w:r w:rsidRPr="008275ED">
          <w:rPr>
            <w:rFonts w:ascii="FrankRuehl" w:hAnsi="FrankRuehl" w:cs="FrankRuehl"/>
            <w:color w:val="0000FF"/>
            <w:u w:val="single"/>
          </w:rPr>
          <w:t>(3)</w:t>
        </w:r>
      </w:hyperlink>
      <w:r w:rsidRPr="008275ED">
        <w:rPr>
          <w:rFonts w:ascii="FrankRuehl" w:hAnsi="FrankRuehl" w:cs="FrankRuehl"/>
        </w:rPr>
        <w:t xml:space="preserve">, </w:t>
      </w:r>
      <w:hyperlink r:id="rId22" w:history="1">
        <w:r w:rsidRPr="008275ED">
          <w:rPr>
            <w:rFonts w:ascii="FrankRuehl" w:hAnsi="FrankRuehl" w:cs="FrankRuehl"/>
            <w:color w:val="0000FF"/>
            <w:u w:val="single"/>
          </w:rPr>
          <w:t>40</w:t>
        </w:r>
        <w:r w:rsidRPr="008275ED">
          <w:rPr>
            <w:rFonts w:ascii="FrankRuehl" w:hAnsi="FrankRuehl" w:cs="FrankRuehl"/>
            <w:color w:val="0000FF"/>
            <w:u w:val="single"/>
            <w:rtl/>
          </w:rPr>
          <w:t>טו</w:t>
        </w:r>
      </w:hyperlink>
      <w:r w:rsidRPr="008275ED">
        <w:rPr>
          <w:rFonts w:ascii="FrankRuehl" w:hAnsi="FrankRuehl" w:cs="FrankRuehl"/>
        </w:rPr>
        <w:t xml:space="preserve">, </w:t>
      </w:r>
      <w:hyperlink r:id="rId23" w:history="1">
        <w:r w:rsidRPr="008275ED">
          <w:rPr>
            <w:rFonts w:ascii="FrankRuehl" w:hAnsi="FrankRuehl" w:cs="FrankRuehl"/>
            <w:color w:val="0000FF"/>
            <w:u w:val="single"/>
          </w:rPr>
          <w:t>40</w:t>
        </w:r>
        <w:r w:rsidRPr="008275ED">
          <w:rPr>
            <w:rFonts w:ascii="FrankRuehl" w:hAnsi="FrankRuehl" w:cs="FrankRuehl"/>
            <w:color w:val="0000FF"/>
            <w:u w:val="single"/>
            <w:rtl/>
          </w:rPr>
          <w:t>יא</w:t>
        </w:r>
      </w:hyperlink>
      <w:r w:rsidRPr="008275ED">
        <w:rPr>
          <w:rFonts w:ascii="FrankRuehl" w:hAnsi="FrankRuehl" w:cs="FrankRuehl"/>
        </w:rPr>
        <w:t xml:space="preserve">, </w:t>
      </w:r>
      <w:hyperlink r:id="rId24" w:history="1">
        <w:r w:rsidRPr="008275ED">
          <w:rPr>
            <w:rFonts w:ascii="FrankRuehl" w:hAnsi="FrankRuehl" w:cs="FrankRuehl"/>
            <w:color w:val="0000FF"/>
            <w:u w:val="single"/>
          </w:rPr>
          <w:t>40</w:t>
        </w:r>
        <w:r w:rsidRPr="008275ED">
          <w:rPr>
            <w:rFonts w:ascii="FrankRuehl" w:hAnsi="FrankRuehl" w:cs="FrankRuehl"/>
            <w:color w:val="0000FF"/>
            <w:u w:val="single"/>
            <w:rtl/>
          </w:rPr>
          <w:t>יב</w:t>
        </w:r>
      </w:hyperlink>
      <w:r w:rsidRPr="008275ED">
        <w:rPr>
          <w:rFonts w:ascii="FrankRuehl" w:hAnsi="FrankRuehl" w:cs="FrankRuehl"/>
        </w:rPr>
        <w:t xml:space="preserve">, </w:t>
      </w:r>
      <w:hyperlink r:id="rId25" w:history="1">
        <w:r w:rsidRPr="008275ED">
          <w:rPr>
            <w:rFonts w:ascii="FrankRuehl" w:hAnsi="FrankRuehl" w:cs="FrankRuehl"/>
            <w:color w:val="0000FF"/>
            <w:u w:val="single"/>
          </w:rPr>
          <w:t>40</w:t>
        </w:r>
        <w:r w:rsidRPr="008275ED">
          <w:rPr>
            <w:rFonts w:ascii="FrankRuehl" w:hAnsi="FrankRuehl" w:cs="FrankRuehl"/>
            <w:color w:val="0000FF"/>
            <w:u w:val="single"/>
            <w:rtl/>
          </w:rPr>
          <w:t>יג</w:t>
        </w:r>
      </w:hyperlink>
      <w:r w:rsidRPr="008275ED">
        <w:rPr>
          <w:rFonts w:ascii="FrankRuehl" w:hAnsi="FrankRuehl" w:cs="FrankRuehl"/>
        </w:rPr>
        <w:t xml:space="preserve">, </w:t>
      </w:r>
      <w:hyperlink r:id="rId26" w:history="1">
        <w:r w:rsidRPr="008275ED">
          <w:rPr>
            <w:rFonts w:ascii="FrankRuehl" w:hAnsi="FrankRuehl" w:cs="FrankRuehl"/>
            <w:color w:val="0000FF"/>
            <w:u w:val="single"/>
          </w:rPr>
          <w:t>448(4)</w:t>
        </w:r>
      </w:hyperlink>
      <w:r w:rsidRPr="008275ED">
        <w:rPr>
          <w:rFonts w:ascii="FrankRuehl" w:hAnsi="FrankRuehl" w:cs="FrankRuehl"/>
        </w:rPr>
        <w:t xml:space="preserve">, </w:t>
      </w:r>
      <w:hyperlink r:id="rId27" w:history="1">
        <w:r w:rsidRPr="008275ED">
          <w:rPr>
            <w:rFonts w:ascii="FrankRuehl" w:hAnsi="FrankRuehl" w:cs="FrankRuehl"/>
            <w:color w:val="0000FF"/>
            <w:u w:val="single"/>
          </w:rPr>
          <w:t>448(</w:t>
        </w:r>
        <w:r w:rsidRPr="008275ED">
          <w:rPr>
            <w:rFonts w:ascii="FrankRuehl" w:hAnsi="FrankRuehl" w:cs="FrankRuehl"/>
            <w:color w:val="0000FF"/>
            <w:u w:val="single"/>
            <w:rtl/>
          </w:rPr>
          <w:t>א</w:t>
        </w:r>
        <w:r w:rsidRPr="008275ED">
          <w:rPr>
            <w:rFonts w:ascii="FrankRuehl" w:hAnsi="FrankRuehl" w:cs="FrankRuehl"/>
            <w:color w:val="0000FF"/>
            <w:u w:val="single"/>
          </w:rPr>
          <w:t>)</w:t>
        </w:r>
      </w:hyperlink>
      <w:r w:rsidRPr="008275ED">
        <w:rPr>
          <w:rFonts w:ascii="FrankRuehl" w:hAnsi="FrankRuehl" w:cs="FrankRuehl"/>
        </w:rPr>
        <w:t xml:space="preserve">, </w:t>
      </w:r>
      <w:hyperlink r:id="rId28" w:history="1">
        <w:r w:rsidRPr="008275ED">
          <w:rPr>
            <w:rFonts w:ascii="FrankRuehl" w:hAnsi="FrankRuehl" w:cs="FrankRuehl"/>
            <w:color w:val="0000FF"/>
            <w:u w:val="single"/>
          </w:rPr>
          <w:t>448</w:t>
        </w:r>
        <w:r w:rsidRPr="008275ED">
          <w:rPr>
            <w:rFonts w:ascii="FrankRuehl" w:hAnsi="FrankRuehl" w:cs="FrankRuehl"/>
            <w:color w:val="0000FF"/>
            <w:u w:val="single"/>
            <w:rtl/>
          </w:rPr>
          <w:t>א</w:t>
        </w:r>
      </w:hyperlink>
      <w:r w:rsidRPr="008275ED">
        <w:rPr>
          <w:rFonts w:ascii="FrankRuehl" w:hAnsi="FrankRuehl" w:cs="FrankRuehl"/>
        </w:rPr>
        <w:t xml:space="preserve">, </w:t>
      </w:r>
      <w:hyperlink r:id="rId29" w:history="1">
        <w:r w:rsidRPr="008275ED">
          <w:rPr>
            <w:rFonts w:ascii="FrankRuehl" w:hAnsi="FrankRuehl" w:cs="FrankRuehl"/>
            <w:color w:val="0000FF"/>
            <w:u w:val="single"/>
            <w:rtl/>
          </w:rPr>
          <w:t>ו 144(ב2</w:t>
        </w:r>
        <w:r w:rsidRPr="008275ED">
          <w:rPr>
            <w:rFonts w:ascii="FrankRuehl" w:hAnsi="FrankRuehl" w:cs="FrankRuehl"/>
            <w:color w:val="0000FF"/>
            <w:u w:val="single"/>
          </w:rPr>
          <w:t>)</w:t>
        </w:r>
      </w:hyperlink>
      <w:r w:rsidRPr="008275ED">
        <w:rPr>
          <w:rFonts w:ascii="FrankRuehl" w:hAnsi="FrankRuehl" w:cs="FrankRuehl"/>
        </w:rPr>
        <w:t xml:space="preserve">, </w:t>
      </w:r>
      <w:hyperlink r:id="rId30" w:history="1">
        <w:r w:rsidRPr="008275ED">
          <w:rPr>
            <w:rFonts w:ascii="FrankRuehl" w:hAnsi="FrankRuehl" w:cs="FrankRuehl"/>
            <w:color w:val="0000FF"/>
            <w:u w:val="single"/>
            <w:rtl/>
          </w:rPr>
          <w:t>א'1</w:t>
        </w:r>
      </w:hyperlink>
    </w:p>
    <w:p w14:paraId="4739D8EF" w14:textId="77777777" w:rsidR="008275ED" w:rsidRPr="008275ED" w:rsidRDefault="008275ED" w:rsidP="008275ED">
      <w:pPr>
        <w:spacing w:after="120" w:line="240" w:lineRule="exact"/>
        <w:ind w:left="283" w:hanging="283"/>
        <w:jc w:val="both"/>
        <w:rPr>
          <w:rFonts w:ascii="FrankRuehl" w:hAnsi="FrankRuehl" w:cs="FrankRuehl"/>
        </w:rPr>
      </w:pPr>
      <w:hyperlink r:id="rId31" w:history="1">
        <w:r w:rsidRPr="008275ED">
          <w:rPr>
            <w:rFonts w:ascii="FrankRuehl" w:hAnsi="FrankRuehl" w:cs="FrankRuehl"/>
            <w:color w:val="0000FF"/>
            <w:u w:val="single"/>
            <w:rtl/>
          </w:rPr>
          <w:t>חוק הנוער (שפיטה, ענישה ודרכי טיפול), תשל"א-1971</w:t>
        </w:r>
      </w:hyperlink>
    </w:p>
    <w:p w14:paraId="1144121B" w14:textId="77777777" w:rsidR="008275ED" w:rsidRPr="008275ED" w:rsidRDefault="008275ED" w:rsidP="008275ED">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D3032" w14:paraId="18D37C1D" w14:textId="77777777">
        <w:trPr>
          <w:trHeight w:val="355"/>
          <w:jc w:val="center"/>
        </w:trPr>
        <w:tc>
          <w:tcPr>
            <w:tcW w:w="8820" w:type="dxa"/>
            <w:tcBorders>
              <w:top w:val="nil"/>
              <w:left w:val="nil"/>
              <w:bottom w:val="nil"/>
              <w:right w:val="nil"/>
            </w:tcBorders>
            <w:shd w:val="clear" w:color="auto" w:fill="auto"/>
          </w:tcPr>
          <w:p w14:paraId="7B776202" w14:textId="77777777" w:rsidR="00553C6B" w:rsidRPr="00553C6B" w:rsidRDefault="00553C6B" w:rsidP="00553C6B">
            <w:pPr>
              <w:spacing w:line="360" w:lineRule="auto"/>
              <w:jc w:val="center"/>
              <w:rPr>
                <w:rFonts w:ascii="Arial" w:hAnsi="Arial"/>
                <w:b/>
                <w:bCs/>
                <w:sz w:val="32"/>
                <w:szCs w:val="32"/>
                <w:u w:val="single"/>
                <w:rtl/>
              </w:rPr>
            </w:pPr>
            <w:bookmarkStart w:id="4" w:name="LawTable_End"/>
            <w:bookmarkStart w:id="5" w:name="PsakDin" w:colFirst="0" w:colLast="0"/>
            <w:bookmarkEnd w:id="0"/>
            <w:bookmarkEnd w:id="4"/>
            <w:r w:rsidRPr="00553C6B">
              <w:rPr>
                <w:rFonts w:ascii="Arial" w:hAnsi="Arial"/>
                <w:b/>
                <w:bCs/>
                <w:sz w:val="32"/>
                <w:szCs w:val="32"/>
                <w:u w:val="single"/>
                <w:rtl/>
              </w:rPr>
              <w:t>גזר דין</w:t>
            </w:r>
          </w:p>
          <w:p w14:paraId="2DF7DC84" w14:textId="77777777" w:rsidR="004D3032" w:rsidRPr="00553C6B" w:rsidRDefault="004D3032" w:rsidP="00553C6B">
            <w:pPr>
              <w:spacing w:line="360" w:lineRule="auto"/>
              <w:jc w:val="center"/>
              <w:rPr>
                <w:rFonts w:ascii="Arial" w:hAnsi="Arial"/>
                <w:bCs/>
                <w:sz w:val="32"/>
                <w:szCs w:val="32"/>
                <w:u w:val="single"/>
                <w:rtl/>
              </w:rPr>
            </w:pPr>
          </w:p>
        </w:tc>
      </w:tr>
    </w:tbl>
    <w:bookmarkEnd w:id="5"/>
    <w:p w14:paraId="044D14F1" w14:textId="77777777" w:rsidR="004D3032" w:rsidRDefault="00553C6B">
      <w:pPr>
        <w:spacing w:after="160" w:line="360" w:lineRule="auto"/>
        <w:jc w:val="both"/>
        <w:rPr>
          <w:rFonts w:ascii="Arial" w:hAnsi="Arial"/>
          <w:sz w:val="26"/>
          <w:szCs w:val="26"/>
          <w:rtl/>
        </w:rPr>
      </w:pPr>
      <w:r>
        <w:rPr>
          <w:rFonts w:ascii="Arial" w:hAnsi="Arial"/>
          <w:sz w:val="26"/>
          <w:szCs w:val="26"/>
          <w:rtl/>
        </w:rPr>
        <w:t>ביום 3.5.16 הרשעתי את הנאשמים על סמך הודאתם, על בסיס כתב אישום מתוקן והסדר הטיעון אליו הגיעו הצדדים ב</w:t>
      </w:r>
      <w:r>
        <w:rPr>
          <w:rFonts w:ascii="Arial" w:hAnsi="Arial" w:hint="cs"/>
          <w:sz w:val="26"/>
          <w:szCs w:val="26"/>
          <w:rtl/>
        </w:rPr>
        <w:t>הליך</w:t>
      </w:r>
      <w:r>
        <w:rPr>
          <w:rFonts w:ascii="Arial" w:hAnsi="Arial"/>
          <w:sz w:val="26"/>
          <w:szCs w:val="26"/>
          <w:rtl/>
        </w:rPr>
        <w:t xml:space="preserve"> גישור, אשר נערך על ידי כב' השופט כ' מוסק. </w:t>
      </w:r>
    </w:p>
    <w:p w14:paraId="1C292211" w14:textId="77777777" w:rsidR="004D3032" w:rsidRDefault="00553C6B">
      <w:pPr>
        <w:spacing w:after="160" w:line="360" w:lineRule="auto"/>
        <w:jc w:val="both"/>
        <w:rPr>
          <w:rFonts w:ascii="Arial" w:hAnsi="Arial"/>
          <w:sz w:val="26"/>
          <w:szCs w:val="26"/>
          <w:rtl/>
        </w:rPr>
      </w:pPr>
      <w:bookmarkStart w:id="6" w:name="ABSTRACT_START"/>
      <w:bookmarkEnd w:id="6"/>
      <w:r>
        <w:rPr>
          <w:rFonts w:ascii="Arial" w:hAnsi="Arial"/>
          <w:sz w:val="26"/>
          <w:szCs w:val="26"/>
          <w:rtl/>
        </w:rPr>
        <w:t xml:space="preserve">הנאשמים הורשעו בביצוע עבירות של התפרעות, עבירה לפי </w:t>
      </w:r>
      <w:hyperlink r:id="rId32" w:history="1">
        <w:r w:rsidR="00CC31C3" w:rsidRPr="00CC31C3">
          <w:rPr>
            <w:rFonts w:ascii="Arial" w:hAnsi="Arial"/>
            <w:color w:val="0000FF"/>
            <w:sz w:val="26"/>
            <w:szCs w:val="26"/>
            <w:u w:val="single"/>
            <w:rtl/>
          </w:rPr>
          <w:t>סעיף 152</w:t>
        </w:r>
      </w:hyperlink>
      <w:r>
        <w:rPr>
          <w:rFonts w:ascii="Arial" w:hAnsi="Arial"/>
          <w:sz w:val="26"/>
          <w:szCs w:val="26"/>
          <w:rtl/>
        </w:rPr>
        <w:t xml:space="preserve"> ב</w:t>
      </w:r>
      <w:hyperlink r:id="rId33" w:history="1">
        <w:r w:rsidRPr="00553C6B">
          <w:rPr>
            <w:rFonts w:ascii="Arial" w:hAnsi="Arial"/>
            <w:color w:val="0000FF"/>
            <w:sz w:val="26"/>
            <w:szCs w:val="26"/>
            <w:u w:val="single"/>
            <w:rtl/>
          </w:rPr>
          <w:t>חוק העונשין</w:t>
        </w:r>
      </w:hyperlink>
      <w:r>
        <w:rPr>
          <w:rFonts w:ascii="Arial" w:hAnsi="Arial"/>
          <w:sz w:val="26"/>
          <w:szCs w:val="26"/>
          <w:rtl/>
        </w:rPr>
        <w:t>, התשל"ז – 1977 (להלן: "</w:t>
      </w:r>
      <w:r>
        <w:rPr>
          <w:rFonts w:ascii="Arial" w:hAnsi="Arial"/>
          <w:b/>
          <w:bCs/>
          <w:sz w:val="26"/>
          <w:szCs w:val="26"/>
          <w:rtl/>
        </w:rPr>
        <w:t>החוק</w:t>
      </w:r>
      <w:r>
        <w:rPr>
          <w:rFonts w:ascii="Arial" w:hAnsi="Arial"/>
          <w:sz w:val="26"/>
          <w:szCs w:val="26"/>
          <w:rtl/>
        </w:rPr>
        <w:t>") (הנאשם 1 (להלן: "</w:t>
      </w:r>
      <w:r>
        <w:rPr>
          <w:rFonts w:ascii="Arial" w:hAnsi="Arial"/>
          <w:b/>
          <w:bCs/>
          <w:sz w:val="26"/>
          <w:szCs w:val="26"/>
          <w:rtl/>
        </w:rPr>
        <w:t>דארי</w:t>
      </w:r>
      <w:r>
        <w:rPr>
          <w:rFonts w:ascii="Arial" w:hAnsi="Arial"/>
          <w:sz w:val="26"/>
          <w:szCs w:val="26"/>
          <w:rtl/>
        </w:rPr>
        <w:t>") – בביצוע שלוש עבירות, והנאשם 2 (להלן: "</w:t>
      </w:r>
      <w:r>
        <w:rPr>
          <w:rFonts w:ascii="Arial" w:hAnsi="Arial"/>
          <w:b/>
          <w:bCs/>
          <w:sz w:val="26"/>
          <w:szCs w:val="26"/>
          <w:rtl/>
        </w:rPr>
        <w:t>סבאתה</w:t>
      </w:r>
      <w:r>
        <w:rPr>
          <w:rFonts w:ascii="Arial" w:hAnsi="Arial"/>
          <w:sz w:val="26"/>
          <w:szCs w:val="26"/>
          <w:rtl/>
        </w:rPr>
        <w:t xml:space="preserve">") – בביצוע ארבע עבירות); מעשי פזיזות או רשלנות, עבירה לפי </w:t>
      </w:r>
      <w:hyperlink r:id="rId34" w:history="1">
        <w:r w:rsidR="00CC31C3" w:rsidRPr="00CC31C3">
          <w:rPr>
            <w:rFonts w:ascii="Arial" w:hAnsi="Arial"/>
            <w:color w:val="0000FF"/>
            <w:sz w:val="26"/>
            <w:szCs w:val="26"/>
            <w:u w:val="single"/>
            <w:rtl/>
          </w:rPr>
          <w:t>סעיף 338(א)(3)</w:t>
        </w:r>
      </w:hyperlink>
      <w:r>
        <w:rPr>
          <w:rFonts w:ascii="Arial" w:hAnsi="Arial"/>
          <w:sz w:val="26"/>
          <w:szCs w:val="26"/>
          <w:rtl/>
        </w:rPr>
        <w:t xml:space="preserve"> בחוק; ניסיון תקיפת עובד ציבור בנסיבות מחמירות, עבירה לפי סעיף </w:t>
      </w:r>
      <w:hyperlink r:id="rId35" w:history="1">
        <w:r w:rsidR="00CC31C3" w:rsidRPr="00CC31C3">
          <w:rPr>
            <w:rStyle w:val="Hyperlink"/>
            <w:rFonts w:ascii="Arial" w:hAnsi="Arial"/>
            <w:sz w:val="26"/>
            <w:szCs w:val="26"/>
            <w:rtl/>
          </w:rPr>
          <w:t>382א(ב) ס"ק (1)</w:t>
        </w:r>
      </w:hyperlink>
      <w:r>
        <w:rPr>
          <w:rFonts w:ascii="Arial" w:hAnsi="Arial"/>
          <w:sz w:val="26"/>
          <w:szCs w:val="26"/>
          <w:rtl/>
        </w:rPr>
        <w:t xml:space="preserve">, </w:t>
      </w:r>
      <w:hyperlink r:id="rId36" w:history="1">
        <w:r w:rsidR="00CC31C3" w:rsidRPr="00CC31C3">
          <w:rPr>
            <w:rStyle w:val="Hyperlink"/>
            <w:rFonts w:ascii="Arial" w:hAnsi="Arial"/>
            <w:sz w:val="26"/>
            <w:szCs w:val="26"/>
            <w:rtl/>
          </w:rPr>
          <w:t>(2)</w:t>
        </w:r>
      </w:hyperlink>
      <w:r>
        <w:rPr>
          <w:rFonts w:ascii="Arial" w:hAnsi="Arial"/>
          <w:sz w:val="26"/>
          <w:szCs w:val="26"/>
          <w:rtl/>
        </w:rPr>
        <w:t xml:space="preserve"> ו-</w:t>
      </w:r>
      <w:hyperlink r:id="rId37" w:history="1">
        <w:r w:rsidR="00CC31C3" w:rsidRPr="00CC31C3">
          <w:rPr>
            <w:rFonts w:ascii="Arial" w:hAnsi="Arial"/>
            <w:color w:val="0000FF"/>
            <w:sz w:val="26"/>
            <w:szCs w:val="26"/>
            <w:u w:val="single"/>
            <w:rtl/>
          </w:rPr>
          <w:t>(3)</w:t>
        </w:r>
      </w:hyperlink>
      <w:r>
        <w:rPr>
          <w:rFonts w:ascii="Arial" w:hAnsi="Arial"/>
          <w:sz w:val="26"/>
          <w:szCs w:val="26"/>
          <w:rtl/>
        </w:rPr>
        <w:t xml:space="preserve"> בחוק בצירוף </w:t>
      </w:r>
      <w:hyperlink r:id="rId38" w:history="1">
        <w:r w:rsidR="00CC31C3" w:rsidRPr="00CC31C3">
          <w:rPr>
            <w:rStyle w:val="Hyperlink"/>
            <w:rFonts w:ascii="Arial" w:hAnsi="Arial"/>
            <w:sz w:val="26"/>
            <w:szCs w:val="26"/>
            <w:rtl/>
          </w:rPr>
          <w:t>סעיף 25</w:t>
        </w:r>
      </w:hyperlink>
      <w:r>
        <w:rPr>
          <w:rFonts w:ascii="Arial" w:hAnsi="Arial"/>
          <w:sz w:val="26"/>
          <w:szCs w:val="26"/>
          <w:rtl/>
        </w:rPr>
        <w:t xml:space="preserve"> לחוק; ייצור נשק, עבירה לפי </w:t>
      </w:r>
      <w:hyperlink r:id="rId39" w:history="1">
        <w:r w:rsidR="00CC31C3" w:rsidRPr="00CC31C3">
          <w:rPr>
            <w:rStyle w:val="Hyperlink"/>
            <w:rFonts w:ascii="Arial" w:hAnsi="Arial"/>
            <w:sz w:val="26"/>
            <w:szCs w:val="26"/>
            <w:rtl/>
          </w:rPr>
          <w:t>סעיף 144(ב2)</w:t>
        </w:r>
      </w:hyperlink>
      <w:r>
        <w:rPr>
          <w:rFonts w:ascii="Arial" w:hAnsi="Arial"/>
          <w:sz w:val="26"/>
          <w:szCs w:val="26"/>
          <w:rtl/>
        </w:rPr>
        <w:t xml:space="preserve"> לחוק (ריבוי עבירות); נשיאת נשק והובלת נשק, עבירה לפי </w:t>
      </w:r>
      <w:hyperlink r:id="rId40" w:history="1">
        <w:r w:rsidR="00CC31C3" w:rsidRPr="00CC31C3">
          <w:rPr>
            <w:rStyle w:val="Hyperlink"/>
            <w:rFonts w:ascii="Arial" w:hAnsi="Arial"/>
            <w:sz w:val="26"/>
            <w:szCs w:val="26"/>
            <w:rtl/>
          </w:rPr>
          <w:t>סעיף 144(ב)</w:t>
        </w:r>
      </w:hyperlink>
      <w:r>
        <w:rPr>
          <w:rFonts w:ascii="Arial" w:hAnsi="Arial"/>
          <w:sz w:val="26"/>
          <w:szCs w:val="26"/>
          <w:rtl/>
        </w:rPr>
        <w:t xml:space="preserve"> רישא (שני אישומים, כל אחד של 9 עבירות); ניסיון הצתה, עבירה לפי </w:t>
      </w:r>
      <w:hyperlink r:id="rId41" w:history="1">
        <w:r w:rsidR="00CC31C3" w:rsidRPr="00CC31C3">
          <w:rPr>
            <w:rStyle w:val="Hyperlink"/>
            <w:rFonts w:ascii="Arial" w:hAnsi="Arial"/>
            <w:sz w:val="26"/>
            <w:szCs w:val="26"/>
            <w:rtl/>
          </w:rPr>
          <w:t>סעיף 448א</w:t>
        </w:r>
      </w:hyperlink>
      <w:r>
        <w:rPr>
          <w:rFonts w:ascii="Arial" w:hAnsi="Arial"/>
          <w:sz w:val="26"/>
          <w:szCs w:val="26"/>
          <w:rtl/>
        </w:rPr>
        <w:t xml:space="preserve"> בצירוף </w:t>
      </w:r>
      <w:hyperlink r:id="rId42" w:history="1">
        <w:r w:rsidR="00CC31C3" w:rsidRPr="00CC31C3">
          <w:rPr>
            <w:rStyle w:val="Hyperlink"/>
            <w:rFonts w:ascii="Arial" w:hAnsi="Arial"/>
            <w:sz w:val="26"/>
            <w:szCs w:val="26"/>
            <w:rtl/>
          </w:rPr>
          <w:t>סעיף 25</w:t>
        </w:r>
      </w:hyperlink>
      <w:r>
        <w:rPr>
          <w:rFonts w:ascii="Arial" w:hAnsi="Arial"/>
          <w:sz w:val="26"/>
          <w:szCs w:val="26"/>
          <w:rtl/>
        </w:rPr>
        <w:t xml:space="preserve"> בחוק (שתי עבירות); ניסיון תקיפת עובד ציבור, עבירה לפי סעיף </w:t>
      </w:r>
      <w:hyperlink r:id="rId43" w:history="1">
        <w:r w:rsidR="00CC31C3" w:rsidRPr="00CC31C3">
          <w:rPr>
            <w:rFonts w:ascii="Arial" w:hAnsi="Arial"/>
            <w:color w:val="0000FF"/>
            <w:sz w:val="26"/>
            <w:szCs w:val="26"/>
            <w:u w:val="single"/>
            <w:rtl/>
          </w:rPr>
          <w:t>382א(ב) ס"ק (1)</w:t>
        </w:r>
      </w:hyperlink>
      <w:r>
        <w:rPr>
          <w:rFonts w:ascii="Arial" w:hAnsi="Arial"/>
          <w:sz w:val="26"/>
          <w:szCs w:val="26"/>
          <w:rtl/>
        </w:rPr>
        <w:t xml:space="preserve">, </w:t>
      </w:r>
      <w:hyperlink r:id="rId44" w:history="1">
        <w:r w:rsidR="00CC31C3" w:rsidRPr="00CC31C3">
          <w:rPr>
            <w:rFonts w:ascii="Arial" w:hAnsi="Arial"/>
            <w:color w:val="0000FF"/>
            <w:sz w:val="26"/>
            <w:szCs w:val="26"/>
            <w:u w:val="single"/>
            <w:rtl/>
          </w:rPr>
          <w:t>(2)</w:t>
        </w:r>
      </w:hyperlink>
      <w:r>
        <w:rPr>
          <w:rFonts w:ascii="Arial" w:hAnsi="Arial"/>
          <w:sz w:val="26"/>
          <w:szCs w:val="26"/>
          <w:rtl/>
        </w:rPr>
        <w:t xml:space="preserve"> ו-</w:t>
      </w:r>
      <w:hyperlink r:id="rId45" w:history="1">
        <w:r w:rsidR="00CC31C3" w:rsidRPr="00CC31C3">
          <w:rPr>
            <w:rFonts w:ascii="Arial" w:hAnsi="Arial"/>
            <w:color w:val="0000FF"/>
            <w:sz w:val="26"/>
            <w:szCs w:val="26"/>
            <w:u w:val="single"/>
            <w:rtl/>
          </w:rPr>
          <w:t>(3)</w:t>
        </w:r>
      </w:hyperlink>
      <w:r>
        <w:rPr>
          <w:rFonts w:ascii="Arial" w:hAnsi="Arial"/>
          <w:sz w:val="26"/>
          <w:szCs w:val="26"/>
          <w:rtl/>
        </w:rPr>
        <w:t xml:space="preserve"> בחוק בצירוף </w:t>
      </w:r>
      <w:hyperlink r:id="rId46" w:history="1">
        <w:r w:rsidR="00CC31C3" w:rsidRPr="00CC31C3">
          <w:rPr>
            <w:rFonts w:ascii="Arial" w:hAnsi="Arial"/>
            <w:color w:val="0000FF"/>
            <w:sz w:val="26"/>
            <w:szCs w:val="26"/>
            <w:u w:val="single"/>
            <w:rtl/>
          </w:rPr>
          <w:t>סעיף 25</w:t>
        </w:r>
      </w:hyperlink>
      <w:r>
        <w:rPr>
          <w:rFonts w:ascii="Arial" w:hAnsi="Arial"/>
          <w:sz w:val="26"/>
          <w:szCs w:val="26"/>
          <w:rtl/>
        </w:rPr>
        <w:t xml:space="preserve"> בחוק (דארי – בביצוע 3 עבירות, וסבאתה – בביצוע 4 עבירות). </w:t>
      </w:r>
    </w:p>
    <w:p w14:paraId="710CA8B6" w14:textId="77777777" w:rsidR="004D3032" w:rsidRDefault="00553C6B">
      <w:pPr>
        <w:spacing w:after="160" w:line="360" w:lineRule="auto"/>
        <w:jc w:val="both"/>
        <w:rPr>
          <w:sz w:val="26"/>
          <w:szCs w:val="26"/>
        </w:rPr>
      </w:pPr>
      <w:bookmarkStart w:id="7" w:name="ABSTRACT_END"/>
      <w:bookmarkEnd w:id="7"/>
      <w:r>
        <w:rPr>
          <w:rFonts w:ascii="Arial" w:hAnsi="Arial"/>
          <w:sz w:val="26"/>
          <w:szCs w:val="26"/>
          <w:rtl/>
        </w:rPr>
        <w:lastRenderedPageBreak/>
        <w:t xml:space="preserve">המסכת העובדתית שביסוד הרשעת הנאשמים, כפי שפורטה בכתב האישום המתוקן הינה כלהלן: </w:t>
      </w:r>
    </w:p>
    <w:p w14:paraId="0DB13359" w14:textId="77777777" w:rsidR="004D3032" w:rsidRDefault="00553C6B">
      <w:pPr>
        <w:pStyle w:val="ListParagraph"/>
        <w:numPr>
          <w:ilvl w:val="0"/>
          <w:numId w:val="1"/>
        </w:numPr>
        <w:spacing w:after="160" w:line="360" w:lineRule="auto"/>
        <w:ind w:left="425"/>
        <w:contextualSpacing w:val="0"/>
        <w:jc w:val="both"/>
        <w:rPr>
          <w:sz w:val="26"/>
          <w:szCs w:val="26"/>
        </w:rPr>
      </w:pPr>
      <w:r>
        <w:rPr>
          <w:b/>
          <w:bCs/>
          <w:sz w:val="26"/>
          <w:szCs w:val="26"/>
          <w:u w:val="single"/>
          <w:rtl/>
        </w:rPr>
        <w:t>אישום ראשון</w:t>
      </w:r>
      <w:r>
        <w:rPr>
          <w:sz w:val="26"/>
          <w:szCs w:val="26"/>
          <w:rtl/>
        </w:rPr>
        <w:t xml:space="preserve"> (שני הנאשמים) – בתאריך 25.4.15, הרגו כוחות הביטחון תושב ג'</w:t>
      </w:r>
      <w:r>
        <w:rPr>
          <w:rFonts w:hint="cs"/>
          <w:sz w:val="26"/>
          <w:szCs w:val="26"/>
          <w:rtl/>
        </w:rPr>
        <w:t>א</w:t>
      </w:r>
      <w:r>
        <w:rPr>
          <w:sz w:val="26"/>
          <w:szCs w:val="26"/>
          <w:rtl/>
        </w:rPr>
        <w:t>בל מוכבר אשר ביצע פיגוע דריסה בסמוך לשכונת א-טור בירושלים. בעקבות חיסולו החלו עימותים בין צעירים לבין כוחות משטרה וביטחון בסמוך לבית הספר בשכונת עיסוויה בירושלים (להלן: "</w:t>
      </w:r>
      <w:r>
        <w:rPr>
          <w:b/>
          <w:bCs/>
          <w:sz w:val="26"/>
          <w:szCs w:val="26"/>
          <w:rtl/>
        </w:rPr>
        <w:t>ההתפרעות</w:t>
      </w:r>
      <w:r>
        <w:rPr>
          <w:sz w:val="26"/>
          <w:szCs w:val="26"/>
          <w:rtl/>
        </w:rPr>
        <w:t xml:space="preserve">"). הנאשמים הצטרפו להתפרעות זו כאשר הם רעולי פנים וכאשר דארי מביא עמו שני זיקוקים אותם הכין מבעוד מועד כך שזמן בעירתם יהיה קצר. סבאתה הדליק עבור דארי את הזיקוקים, ודארי ירה את הזיקוקים לעבר כוחות הביטחון שהיו במקום. </w:t>
      </w:r>
    </w:p>
    <w:p w14:paraId="620BA017" w14:textId="77777777" w:rsidR="004D3032" w:rsidRDefault="00553C6B">
      <w:pPr>
        <w:pStyle w:val="ListParagraph"/>
        <w:spacing w:after="160" w:line="360" w:lineRule="auto"/>
        <w:ind w:left="425"/>
        <w:contextualSpacing w:val="0"/>
        <w:jc w:val="both"/>
        <w:rPr>
          <w:sz w:val="26"/>
          <w:szCs w:val="26"/>
        </w:rPr>
      </w:pPr>
      <w:r>
        <w:rPr>
          <w:rFonts w:hint="cs"/>
          <w:sz w:val="26"/>
          <w:szCs w:val="26"/>
          <w:rtl/>
        </w:rPr>
        <w:t xml:space="preserve">על פי האישום, </w:t>
      </w:r>
      <w:r>
        <w:rPr>
          <w:sz w:val="26"/>
          <w:szCs w:val="26"/>
          <w:rtl/>
        </w:rPr>
        <w:t>במעשיהם המתוארים לעיל ובצוותא חדא, השתתפו הנאשמים בהתקהלות אסורה, שהתחילו לבצע בה את מטרתה בהפרת השלום, שיש בה כדי להטיל אימה על הציבור, עשו מעשה באש או בחומר נפיץ בדרך נמהרת או רשלנית שיש בה כדי לסכן חיי אדם או לגרום לו חבלה</w:t>
      </w:r>
      <w:r>
        <w:rPr>
          <w:rFonts w:hint="cs"/>
          <w:sz w:val="26"/>
          <w:szCs w:val="26"/>
          <w:rtl/>
        </w:rPr>
        <w:t>,</w:t>
      </w:r>
      <w:r>
        <w:rPr>
          <w:sz w:val="26"/>
          <w:szCs w:val="26"/>
          <w:rtl/>
        </w:rPr>
        <w:t xml:space="preserve"> וניסו לתקוף עובד ציבור כאשר התקיפה קשורה למילוי חובתו או תפקידו של הנתקף, וכאשר הנאשמים מזוינים בנשק חם או קר וכאשר התקיפה הייתה בצוותא של יותר משני אנשים. </w:t>
      </w:r>
    </w:p>
    <w:p w14:paraId="73098C7C" w14:textId="77777777" w:rsidR="004D3032" w:rsidRDefault="00553C6B">
      <w:pPr>
        <w:pStyle w:val="ListParagraph"/>
        <w:spacing w:after="160" w:line="360" w:lineRule="auto"/>
        <w:ind w:left="425"/>
        <w:contextualSpacing w:val="0"/>
        <w:jc w:val="both"/>
        <w:rPr>
          <w:sz w:val="26"/>
          <w:szCs w:val="26"/>
          <w:rtl/>
        </w:rPr>
      </w:pPr>
      <w:r>
        <w:rPr>
          <w:sz w:val="26"/>
          <w:szCs w:val="26"/>
          <w:rtl/>
        </w:rPr>
        <w:t>בגין זאת הורשעו הנאשמים בהתפרעות, מעשי פזיזות או רשלנות, וניסיון תקיפת עובד ציבור בנסיבות מחמירות.</w:t>
      </w:r>
    </w:p>
    <w:p w14:paraId="505F7419" w14:textId="77777777" w:rsidR="004D3032" w:rsidRDefault="00553C6B">
      <w:pPr>
        <w:pStyle w:val="ListParagraph"/>
        <w:numPr>
          <w:ilvl w:val="0"/>
          <w:numId w:val="1"/>
        </w:numPr>
        <w:spacing w:after="160" w:line="360" w:lineRule="auto"/>
        <w:ind w:left="425"/>
        <w:contextualSpacing w:val="0"/>
        <w:jc w:val="both"/>
        <w:rPr>
          <w:b/>
          <w:bCs/>
          <w:sz w:val="26"/>
          <w:szCs w:val="26"/>
          <w:u w:val="single"/>
        </w:rPr>
      </w:pPr>
      <w:r>
        <w:rPr>
          <w:b/>
          <w:bCs/>
          <w:sz w:val="26"/>
          <w:szCs w:val="26"/>
          <w:u w:val="single"/>
          <w:rtl/>
        </w:rPr>
        <w:t>אישום שני</w:t>
      </w:r>
      <w:r>
        <w:rPr>
          <w:sz w:val="26"/>
          <w:szCs w:val="26"/>
          <w:rtl/>
        </w:rPr>
        <w:t xml:space="preserve"> (שני הנאשמים) – לאחר רצח משפחת דוואבשה, בתאריך שאינו ידוע במדויק למאשימה, בסביבות חודש אוגוסט 2015, התקיימה התפרעות בין צעירים רעולי פנים לבין כוחות משטרה וביטחון בסמוך לכניסה לשכונת עיסוויה בירושלים (להלן: "</w:t>
      </w:r>
      <w:r>
        <w:rPr>
          <w:b/>
          <w:bCs/>
          <w:sz w:val="26"/>
          <w:szCs w:val="26"/>
          <w:rtl/>
        </w:rPr>
        <w:t>ההתפרעות</w:t>
      </w:r>
      <w:r>
        <w:rPr>
          <w:sz w:val="26"/>
          <w:szCs w:val="26"/>
          <w:rtl/>
        </w:rPr>
        <w:t xml:space="preserve"> </w:t>
      </w:r>
      <w:r>
        <w:rPr>
          <w:b/>
          <w:bCs/>
          <w:sz w:val="26"/>
          <w:szCs w:val="26"/>
          <w:rtl/>
        </w:rPr>
        <w:t>השניה</w:t>
      </w:r>
      <w:r>
        <w:rPr>
          <w:sz w:val="26"/>
          <w:szCs w:val="26"/>
          <w:rtl/>
        </w:rPr>
        <w:t xml:space="preserve">"). לאחר מכן לקח כל אחד מהנאשמים ואחר נוסף בשם אכרם, שלושה מבקבוקי התבערה אותם ייצרו הנאשמים בצוותא קודם לכן והלכו למקום ההתפרעות השניה, וזאת כאשר הם רעולי פנים. הנאשמים ואכרם החלו לזרוק אבנים לעבר כוחות הביטחון שהיו במקום ולאחר מכן זרקו את בקבוקי התבערה לעבר כוחות הביטחון, והכל ממרחק של כ-60 מטר. </w:t>
      </w:r>
    </w:p>
    <w:p w14:paraId="78F5B114" w14:textId="77777777" w:rsidR="004D3032" w:rsidRDefault="00553C6B">
      <w:pPr>
        <w:pStyle w:val="ListParagraph"/>
        <w:spacing w:after="160" w:line="360" w:lineRule="auto"/>
        <w:ind w:left="425"/>
        <w:contextualSpacing w:val="0"/>
        <w:jc w:val="both"/>
        <w:rPr>
          <w:b/>
          <w:bCs/>
          <w:sz w:val="26"/>
          <w:szCs w:val="26"/>
          <w:u w:val="single"/>
        </w:rPr>
      </w:pPr>
      <w:r>
        <w:rPr>
          <w:rFonts w:hint="cs"/>
          <w:sz w:val="26"/>
          <w:szCs w:val="26"/>
          <w:rtl/>
        </w:rPr>
        <w:t xml:space="preserve">על פי המתואר באישום זה, </w:t>
      </w:r>
      <w:r>
        <w:rPr>
          <w:sz w:val="26"/>
          <w:szCs w:val="26"/>
          <w:rtl/>
        </w:rPr>
        <w:t xml:space="preserve">במעשיהם המתוארים לעיל ובצוותא חדא השתתפו הנאשמים בהתקהלות אסורה שהתחילו לבצע בה את מטרתה בהפרת השלום שיש בה כדי להטיל אימה על הציבור, ייצרו הנאשמים נשק ונשאו אותו שלא כדין, ניסו לשלח אש במזיד בדבר לא להם, וניסו לתקוף עובד ציבור כאשר התקיפה קשורה למילוי </w:t>
      </w:r>
      <w:r>
        <w:rPr>
          <w:sz w:val="26"/>
          <w:szCs w:val="26"/>
          <w:rtl/>
        </w:rPr>
        <w:lastRenderedPageBreak/>
        <w:t xml:space="preserve">חובתו או תפקידו של הנתקף, כאשר הנאשמים מזוינים בנשק חם או קר, וכאשר התקיפה הייתה בצוותא של יותר משני אנשים. </w:t>
      </w:r>
    </w:p>
    <w:p w14:paraId="04974FD8" w14:textId="77777777" w:rsidR="004D3032" w:rsidRDefault="00553C6B">
      <w:pPr>
        <w:pStyle w:val="ListParagraph"/>
        <w:spacing w:after="160" w:line="360" w:lineRule="auto"/>
        <w:ind w:left="425"/>
        <w:contextualSpacing w:val="0"/>
        <w:jc w:val="both"/>
        <w:rPr>
          <w:sz w:val="26"/>
          <w:szCs w:val="26"/>
          <w:rtl/>
        </w:rPr>
      </w:pPr>
      <w:r>
        <w:rPr>
          <w:sz w:val="26"/>
          <w:szCs w:val="26"/>
          <w:rtl/>
        </w:rPr>
        <w:t xml:space="preserve">בגין זאת הורשעו הנאשמים בהתפרעות, ייצור נשק, נשיאת והובלת נשק (9 עבירות), ניסיון הצתה וניסיון תקיפת עובד ציבור. </w:t>
      </w:r>
    </w:p>
    <w:p w14:paraId="3BDEC372" w14:textId="77777777" w:rsidR="004D3032" w:rsidRDefault="00553C6B">
      <w:pPr>
        <w:pStyle w:val="ListParagraph"/>
        <w:numPr>
          <w:ilvl w:val="0"/>
          <w:numId w:val="1"/>
        </w:numPr>
        <w:spacing w:after="160" w:line="360" w:lineRule="auto"/>
        <w:ind w:left="425"/>
        <w:contextualSpacing w:val="0"/>
        <w:jc w:val="both"/>
        <w:rPr>
          <w:sz w:val="26"/>
          <w:szCs w:val="26"/>
        </w:rPr>
      </w:pPr>
      <w:r>
        <w:rPr>
          <w:b/>
          <w:bCs/>
          <w:sz w:val="26"/>
          <w:szCs w:val="26"/>
          <w:u w:val="single"/>
          <w:rtl/>
        </w:rPr>
        <w:t>אישום שלישי</w:t>
      </w:r>
      <w:r>
        <w:rPr>
          <w:sz w:val="26"/>
          <w:szCs w:val="26"/>
          <w:rtl/>
        </w:rPr>
        <w:t xml:space="preserve"> (שני הנאשמים) –  בתאריך 4.10.15, הרגו כוחות הביטחון את המפגע פאדי עלון (להלן: "</w:t>
      </w:r>
      <w:r>
        <w:rPr>
          <w:b/>
          <w:bCs/>
          <w:sz w:val="26"/>
          <w:szCs w:val="26"/>
          <w:rtl/>
        </w:rPr>
        <w:t>פאדי</w:t>
      </w:r>
      <w:r>
        <w:rPr>
          <w:sz w:val="26"/>
          <w:szCs w:val="26"/>
          <w:rtl/>
        </w:rPr>
        <w:t>") בירושלים. בעקבות הריגתו של פאדי החלו עימותים בין צעירים לבין כוחות משטרה וביטחון בשכונת עיסוויה בירושלים (להלן: "</w:t>
      </w:r>
      <w:r>
        <w:rPr>
          <w:b/>
          <w:bCs/>
          <w:sz w:val="26"/>
          <w:szCs w:val="26"/>
          <w:rtl/>
        </w:rPr>
        <w:t>ההתפרעויות</w:t>
      </w:r>
      <w:r>
        <w:rPr>
          <w:sz w:val="26"/>
          <w:szCs w:val="26"/>
          <w:rtl/>
        </w:rPr>
        <w:t>"). בעקבות ההתפרעויות, נפגשו הנאשמים עם אכרם דארי (להלן: "</w:t>
      </w:r>
      <w:r>
        <w:rPr>
          <w:b/>
          <w:bCs/>
          <w:sz w:val="26"/>
          <w:szCs w:val="26"/>
          <w:rtl/>
        </w:rPr>
        <w:t>אכרם</w:t>
      </w:r>
      <w:r>
        <w:rPr>
          <w:sz w:val="26"/>
          <w:szCs w:val="26"/>
          <w:rtl/>
        </w:rPr>
        <w:t xml:space="preserve">") על מנת להצטייד בבקבוקי תבערה לצורך יידויים לעבר כוחות הביטחון. לאחר מכן לקח כל אחד מהנאשמים ואכרם שלושה בקבוקי תבעירה </w:t>
      </w:r>
      <w:r>
        <w:rPr>
          <w:rFonts w:hint="cs"/>
          <w:sz w:val="26"/>
          <w:szCs w:val="26"/>
          <w:rtl/>
        </w:rPr>
        <w:t>ו</w:t>
      </w:r>
      <w:r>
        <w:rPr>
          <w:sz w:val="26"/>
          <w:szCs w:val="26"/>
          <w:rtl/>
        </w:rPr>
        <w:t>הם הלכו להתפרעות שהתרחשה באותה העת בין צעירים רעולי פנים לבין כוחות ביטחון בסמוך לתחנת הדלק בכניסה לשכונת עיסווי</w:t>
      </w:r>
      <w:r>
        <w:rPr>
          <w:rFonts w:hint="cs"/>
          <w:sz w:val="26"/>
          <w:szCs w:val="26"/>
          <w:rtl/>
        </w:rPr>
        <w:t>ה</w:t>
      </w:r>
      <w:r>
        <w:rPr>
          <w:sz w:val="26"/>
          <w:szCs w:val="26"/>
          <w:rtl/>
        </w:rPr>
        <w:t xml:space="preserve"> בירושלים, וזאת כאשר הם רעולי פנים. הנאשמים ואכרם החלו לזרוק אבנים לעבר כוחות הביטחון שהיו במקום ולאחר מכן זרקו גם את בקבוקי התבערה לעבר כוחות הביטחון, והכל ממרחק של כ-70 מטר. </w:t>
      </w:r>
    </w:p>
    <w:p w14:paraId="6BFCCC2C" w14:textId="77777777" w:rsidR="004D3032" w:rsidRDefault="00553C6B">
      <w:pPr>
        <w:pStyle w:val="ListParagraph"/>
        <w:spacing w:after="160" w:line="360" w:lineRule="auto"/>
        <w:ind w:left="425"/>
        <w:contextualSpacing w:val="0"/>
        <w:jc w:val="both"/>
        <w:rPr>
          <w:sz w:val="26"/>
          <w:szCs w:val="26"/>
        </w:rPr>
      </w:pPr>
      <w:r>
        <w:rPr>
          <w:rFonts w:hint="cs"/>
          <w:sz w:val="26"/>
          <w:szCs w:val="26"/>
          <w:rtl/>
        </w:rPr>
        <w:t xml:space="preserve">לפי האישום, </w:t>
      </w:r>
      <w:r>
        <w:rPr>
          <w:sz w:val="26"/>
          <w:szCs w:val="26"/>
          <w:rtl/>
        </w:rPr>
        <w:t>במעשיהם המתוארים לעיל, ובצוותא חדא, השתתפו הנאשמים בהתקהלות אסורה שהתחילו לבצע בה את מטרתה בהפרת השלום שיש בה כדי להטיל אימה על הציבור, נשאו נשק שלא כדין, ניסו לשלח אש במזיד בדבר לא להם וניסו לתקוף עובד ציבור כאשר התקיפה קשורה למילוי חובתו או תפקידו של הנתקף וכאשר הנאשמים מזוינים בנשק חם או קר וכאשר התקיפה הייתה בצוותא של יותר משני אנשים.</w:t>
      </w:r>
    </w:p>
    <w:p w14:paraId="5C319311" w14:textId="77777777" w:rsidR="004D3032" w:rsidRDefault="00553C6B">
      <w:pPr>
        <w:pStyle w:val="ListParagraph"/>
        <w:spacing w:after="160" w:line="360" w:lineRule="auto"/>
        <w:ind w:left="425"/>
        <w:contextualSpacing w:val="0"/>
        <w:jc w:val="both"/>
        <w:rPr>
          <w:sz w:val="26"/>
          <w:szCs w:val="26"/>
          <w:rtl/>
        </w:rPr>
      </w:pPr>
      <w:r>
        <w:rPr>
          <w:sz w:val="26"/>
          <w:szCs w:val="26"/>
          <w:rtl/>
        </w:rPr>
        <w:t>בגין זאת הורשעו הנאשמים בהתפרעות, נשיאת והובלת נשק (תשע עבירות), ניסיון הצתה, ניסיון תקיפת עובד ציבור.</w:t>
      </w:r>
    </w:p>
    <w:p w14:paraId="74E3E058" w14:textId="77777777" w:rsidR="004D3032" w:rsidRDefault="00553C6B">
      <w:pPr>
        <w:pStyle w:val="ListParagraph"/>
        <w:numPr>
          <w:ilvl w:val="0"/>
          <w:numId w:val="1"/>
        </w:numPr>
        <w:spacing w:after="160" w:line="360" w:lineRule="auto"/>
        <w:ind w:left="425"/>
        <w:contextualSpacing w:val="0"/>
        <w:jc w:val="both"/>
        <w:rPr>
          <w:b/>
          <w:bCs/>
          <w:sz w:val="26"/>
          <w:szCs w:val="26"/>
          <w:u w:val="single"/>
        </w:rPr>
      </w:pPr>
      <w:r>
        <w:rPr>
          <w:b/>
          <w:bCs/>
          <w:sz w:val="26"/>
          <w:szCs w:val="26"/>
          <w:u w:val="single"/>
          <w:rtl/>
        </w:rPr>
        <w:t>אישום רביעי</w:t>
      </w:r>
      <w:r>
        <w:rPr>
          <w:sz w:val="26"/>
          <w:szCs w:val="26"/>
          <w:rtl/>
        </w:rPr>
        <w:t xml:space="preserve"> (סבאתה בלבד) – למחרת המתואר באישום השלישי, ביום 5.10.15, עבד סבאתה בתחנת דלק בשכונת עיסוויה בירושלים. באותה העת התקיימת במקום התפרעות בין צעירים רעולי פנים לבין כוחות משטרה וביטחון (להלן: "</w:t>
      </w:r>
      <w:r>
        <w:rPr>
          <w:b/>
          <w:bCs/>
          <w:sz w:val="26"/>
          <w:szCs w:val="26"/>
          <w:rtl/>
        </w:rPr>
        <w:t>ההתפרעות השלישית</w:t>
      </w:r>
      <w:r>
        <w:rPr>
          <w:sz w:val="26"/>
          <w:szCs w:val="26"/>
          <w:rtl/>
        </w:rPr>
        <w:t xml:space="preserve">"). סבאתה השתתף אף הוא בהתפרעות ויידה לפחות שני אבנים לעבר כוחות הביטחון וזאת ממרחק של כ-80 מטר. </w:t>
      </w:r>
    </w:p>
    <w:p w14:paraId="652282C2" w14:textId="77777777" w:rsidR="004D3032" w:rsidRDefault="00553C6B">
      <w:pPr>
        <w:pStyle w:val="ListParagraph"/>
        <w:spacing w:after="160" w:line="360" w:lineRule="auto"/>
        <w:ind w:left="425"/>
        <w:contextualSpacing w:val="0"/>
        <w:jc w:val="both"/>
        <w:rPr>
          <w:b/>
          <w:bCs/>
          <w:sz w:val="26"/>
          <w:szCs w:val="26"/>
          <w:u w:val="single"/>
        </w:rPr>
      </w:pPr>
      <w:r>
        <w:rPr>
          <w:rFonts w:hint="cs"/>
          <w:sz w:val="26"/>
          <w:szCs w:val="26"/>
          <w:rtl/>
        </w:rPr>
        <w:t xml:space="preserve">כמתואר באישום, </w:t>
      </w:r>
      <w:r>
        <w:rPr>
          <w:sz w:val="26"/>
          <w:szCs w:val="26"/>
          <w:rtl/>
        </w:rPr>
        <w:t>במעשיו המתוארים לעיל ובצוותא חדא השתתף סבאתה בהתקהלות אסורה שהתחילו לבצע בה את מטרתה בהפרת השלום, שיש בה כדי להטיל אימה על הציבור וניסה לתקוף עובד ציבור, כאשר התקיפה קשורה למילוי חובתו או תפקידו של הנתקף, כאשר הוא מזוין בנשק חם או קר וכאשר התקיפה בצוותא של יותר משני אנשים.</w:t>
      </w:r>
    </w:p>
    <w:p w14:paraId="77FF30CD" w14:textId="77777777" w:rsidR="004D3032" w:rsidRDefault="00553C6B">
      <w:pPr>
        <w:pStyle w:val="ListParagraph"/>
        <w:spacing w:after="160" w:line="360" w:lineRule="auto"/>
        <w:ind w:left="425"/>
        <w:contextualSpacing w:val="0"/>
        <w:jc w:val="both"/>
        <w:rPr>
          <w:sz w:val="26"/>
          <w:szCs w:val="26"/>
          <w:rtl/>
        </w:rPr>
      </w:pPr>
      <w:r>
        <w:rPr>
          <w:sz w:val="26"/>
          <w:szCs w:val="26"/>
          <w:rtl/>
        </w:rPr>
        <w:t>בגין זאת הורשע סבאתה בהתפרעות וניסיון תקיפת עובד ציבור.</w:t>
      </w:r>
    </w:p>
    <w:p w14:paraId="140030FF" w14:textId="77777777" w:rsidR="004D3032" w:rsidRDefault="00553C6B">
      <w:pPr>
        <w:spacing w:line="360" w:lineRule="auto"/>
        <w:jc w:val="both"/>
        <w:rPr>
          <w:rFonts w:ascii="Arial" w:hAnsi="Arial"/>
          <w:b/>
          <w:bCs/>
          <w:sz w:val="26"/>
          <w:szCs w:val="26"/>
          <w:u w:val="single"/>
          <w:rtl/>
        </w:rPr>
      </w:pPr>
      <w:r>
        <w:rPr>
          <w:rFonts w:ascii="Arial" w:hAnsi="Arial"/>
          <w:b/>
          <w:bCs/>
          <w:sz w:val="26"/>
          <w:szCs w:val="26"/>
          <w:u w:val="single"/>
          <w:rtl/>
        </w:rPr>
        <w:t>תסקירי שירות המבחן</w:t>
      </w:r>
    </w:p>
    <w:p w14:paraId="66645850" w14:textId="77777777" w:rsidR="004D3032" w:rsidRDefault="00553C6B">
      <w:pPr>
        <w:spacing w:line="360" w:lineRule="auto"/>
        <w:jc w:val="both"/>
        <w:rPr>
          <w:rFonts w:ascii="Arial" w:hAnsi="Arial"/>
          <w:b/>
          <w:bCs/>
          <w:sz w:val="26"/>
          <w:szCs w:val="26"/>
          <w:rtl/>
        </w:rPr>
      </w:pPr>
      <w:r>
        <w:rPr>
          <w:rFonts w:ascii="Arial" w:hAnsi="Arial"/>
          <w:b/>
          <w:bCs/>
          <w:sz w:val="26"/>
          <w:szCs w:val="26"/>
          <w:rtl/>
        </w:rPr>
        <w:t>בעניינו של דארי</w:t>
      </w:r>
    </w:p>
    <w:p w14:paraId="329CDF50" w14:textId="77777777" w:rsidR="004D3032" w:rsidRDefault="00553C6B">
      <w:pPr>
        <w:pStyle w:val="ListParagraph"/>
        <w:numPr>
          <w:ilvl w:val="0"/>
          <w:numId w:val="1"/>
        </w:numPr>
        <w:spacing w:after="160" w:line="360" w:lineRule="auto"/>
        <w:ind w:left="425"/>
        <w:contextualSpacing w:val="0"/>
        <w:jc w:val="both"/>
        <w:rPr>
          <w:sz w:val="26"/>
          <w:szCs w:val="26"/>
        </w:rPr>
      </w:pPr>
      <w:r>
        <w:rPr>
          <w:sz w:val="26"/>
          <w:szCs w:val="26"/>
          <w:rtl/>
        </w:rPr>
        <w:t xml:space="preserve">דארי בן 22, נולד וגדל בשכונת עיסווייה שבמזרח ירושלים. משפחתו מונה </w:t>
      </w:r>
      <w:r>
        <w:rPr>
          <w:rFonts w:hint="cs"/>
          <w:sz w:val="26"/>
          <w:szCs w:val="26"/>
          <w:rtl/>
        </w:rPr>
        <w:t>זוג הורים וחמישה ילדים,</w:t>
      </w:r>
      <w:r>
        <w:rPr>
          <w:sz w:val="26"/>
          <w:szCs w:val="26"/>
          <w:rtl/>
        </w:rPr>
        <w:t xml:space="preserve"> </w:t>
      </w:r>
      <w:r>
        <w:rPr>
          <w:rFonts w:hint="cs"/>
          <w:sz w:val="26"/>
          <w:szCs w:val="26"/>
          <w:rtl/>
        </w:rPr>
        <w:t>ו</w:t>
      </w:r>
      <w:r>
        <w:rPr>
          <w:sz w:val="26"/>
          <w:szCs w:val="26"/>
          <w:rtl/>
        </w:rPr>
        <w:t xml:space="preserve">הוא הבן הרביעי. אביו בן 64, המפרנס העיקרי של המשפחה, </w:t>
      </w:r>
      <w:r>
        <w:rPr>
          <w:rFonts w:hint="cs"/>
          <w:sz w:val="26"/>
          <w:szCs w:val="26"/>
          <w:rtl/>
        </w:rPr>
        <w:t>עובד</w:t>
      </w:r>
      <w:r>
        <w:rPr>
          <w:sz w:val="26"/>
          <w:szCs w:val="26"/>
          <w:rtl/>
        </w:rPr>
        <w:t xml:space="preserve"> </w:t>
      </w:r>
      <w:r>
        <w:rPr>
          <w:rFonts w:hint="cs"/>
          <w:sz w:val="26"/>
          <w:szCs w:val="26"/>
          <w:rtl/>
        </w:rPr>
        <w:t>כ</w:t>
      </w:r>
      <w:r>
        <w:rPr>
          <w:sz w:val="26"/>
          <w:szCs w:val="26"/>
          <w:rtl/>
        </w:rPr>
        <w:t>נהג מונית שכיר. אמו בת 54 והיא עקרת בית. אחד מאחיו של דארי ביצע עבירות דומות לאלו בגינם הורשע ומרצה מאסר ממושך. דארי סיים 12 שנות לימוד והשתלב בשוק העבודה מיד לאחר מכן בעבודות מזדמנות, לרבות בתחום הבנייה והשיפוצים. טרם מעצרו עבד במפעל לייצור אלומיניום במרכז הארץ.</w:t>
      </w:r>
    </w:p>
    <w:p w14:paraId="472FC944" w14:textId="77777777" w:rsidR="004D3032" w:rsidRDefault="00553C6B">
      <w:pPr>
        <w:pStyle w:val="ListParagraph"/>
        <w:numPr>
          <w:ilvl w:val="0"/>
          <w:numId w:val="1"/>
        </w:numPr>
        <w:spacing w:after="160" w:line="360" w:lineRule="auto"/>
        <w:ind w:left="425"/>
        <w:contextualSpacing w:val="0"/>
        <w:jc w:val="both"/>
        <w:rPr>
          <w:sz w:val="26"/>
          <w:szCs w:val="26"/>
        </w:rPr>
      </w:pPr>
      <w:r>
        <w:rPr>
          <w:sz w:val="26"/>
          <w:szCs w:val="26"/>
          <w:rtl/>
        </w:rPr>
        <w:t>לדארי אין עבר פלילי.  הוא הודה בביצוע העבירות בהן עסקינן, אך על פי שירות המבחן, התקשה לבחון את התנהלותו באופן בוגר, אחראי וביקורתי. לפי שירות המבחן, ניכר כי דארי לוקח אחריות על מעשיו ברמה ההצהרתית בלבד תוך קושי ממשי לבחון את החלקים באישיותו שהביאו לביצוע העבירות. כן נרשם, כי הוא התקשה לבחון אלטרנטיבות תקינות להתנהלות הכללית, תוך שנטה להשליך חלק מהאחריות על מעשיו על המתיחות הכללית של התקופה. דארי הדגיש בפני שירות המבחן, כי לא היתה בכוונתו לפגוע באחר או בסדר הציבורי, אלא שלטעם שירות המבחן הדבר עומד בסתירה למול מעשיו. שירות המבחן התקשה להבין את הדינאמיקה לביצוע העבירות.</w:t>
      </w:r>
    </w:p>
    <w:p w14:paraId="0F49214E" w14:textId="77777777" w:rsidR="004D3032" w:rsidRDefault="00553C6B">
      <w:pPr>
        <w:pStyle w:val="ListParagraph"/>
        <w:numPr>
          <w:ilvl w:val="0"/>
          <w:numId w:val="1"/>
        </w:numPr>
        <w:spacing w:after="160" w:line="360" w:lineRule="auto"/>
        <w:ind w:left="425"/>
        <w:contextualSpacing w:val="0"/>
        <w:jc w:val="both"/>
        <w:rPr>
          <w:sz w:val="26"/>
          <w:szCs w:val="26"/>
        </w:rPr>
      </w:pPr>
      <w:r>
        <w:rPr>
          <w:sz w:val="26"/>
          <w:szCs w:val="26"/>
          <w:rtl/>
        </w:rPr>
        <w:t>שירות המבחן התרשם</w:t>
      </w:r>
      <w:r>
        <w:rPr>
          <w:rFonts w:hint="cs"/>
          <w:sz w:val="26"/>
          <w:szCs w:val="26"/>
          <w:rtl/>
        </w:rPr>
        <w:t>,</w:t>
      </w:r>
      <w:r>
        <w:rPr>
          <w:sz w:val="26"/>
          <w:szCs w:val="26"/>
          <w:rtl/>
        </w:rPr>
        <w:t xml:space="preserve"> כי מדובר בצעיר בעל יכולת חשיבה תקנית וכושר ביטוי תקין, המתקשה לתכנן את חייו לטווח הרחוק יותר. שירות המבחן התרשם </w:t>
      </w:r>
      <w:r>
        <w:rPr>
          <w:rFonts w:hint="cs"/>
          <w:sz w:val="26"/>
          <w:szCs w:val="26"/>
          <w:rtl/>
        </w:rPr>
        <w:t xml:space="preserve">גם, </w:t>
      </w:r>
      <w:r>
        <w:rPr>
          <w:sz w:val="26"/>
          <w:szCs w:val="26"/>
          <w:rtl/>
        </w:rPr>
        <w:t>כי דארי הושפע מהלחצים המופעלים עליו מצד הסביבה בה גדל וכי ההערכה העצמית שלו מושפעת במידה ניכרת ממקור חיצוני, כפי שהדבר מתבטא בהתייחסותו לעמדתם של הסובבים אותו, לרבות חבריו ושותפו לכתב האישום. שירות המבחן התרשם מאדם שנעדר כל תמיכה פורמאלית או לא פורמאלית</w:t>
      </w:r>
      <w:r>
        <w:rPr>
          <w:rFonts w:hint="cs"/>
          <w:sz w:val="26"/>
          <w:szCs w:val="26"/>
          <w:rtl/>
        </w:rPr>
        <w:t>,</w:t>
      </w:r>
      <w:r>
        <w:rPr>
          <w:sz w:val="26"/>
          <w:szCs w:val="26"/>
          <w:rtl/>
        </w:rPr>
        <w:t xml:space="preserve"> בעל דימוי עצמי נמוך ותחושה של חוסר מסוגלות כללית. </w:t>
      </w:r>
      <w:r>
        <w:rPr>
          <w:rFonts w:hint="cs"/>
          <w:sz w:val="26"/>
          <w:szCs w:val="26"/>
          <w:rtl/>
        </w:rPr>
        <w:t xml:space="preserve">על פי </w:t>
      </w:r>
      <w:r>
        <w:rPr>
          <w:sz w:val="26"/>
          <w:szCs w:val="26"/>
          <w:rtl/>
        </w:rPr>
        <w:t>שירות המבחן</w:t>
      </w:r>
      <w:r>
        <w:rPr>
          <w:rFonts w:hint="cs"/>
          <w:sz w:val="26"/>
          <w:szCs w:val="26"/>
          <w:rtl/>
        </w:rPr>
        <w:t>,</w:t>
      </w:r>
      <w:r>
        <w:rPr>
          <w:sz w:val="26"/>
          <w:szCs w:val="26"/>
          <w:rtl/>
        </w:rPr>
        <w:t xml:space="preserve"> לדארי שאיפות לתפקוד תקין, תוך הצהרה על כוונותיו לניהול אורח חיים נורמטיבי ללא מעורבות חוזרת בעבירות על החוק וכי הוא הפיק לקחים ממעצרו הנוכחי. ברם, שירות המבחן גם התרשם כי ל</w:t>
      </w:r>
      <w:r>
        <w:rPr>
          <w:rFonts w:hint="cs"/>
          <w:sz w:val="26"/>
          <w:szCs w:val="26"/>
          <w:rtl/>
        </w:rPr>
        <w:t>נאשם</w:t>
      </w:r>
      <w:r>
        <w:rPr>
          <w:sz w:val="26"/>
          <w:szCs w:val="26"/>
          <w:rtl/>
        </w:rPr>
        <w:t xml:space="preserve"> נטיות לחיפוש פתרונות מהירים למצוקותיו וללא תכנון ארוך, וקיימת רמת סיכון להישנות.</w:t>
      </w:r>
    </w:p>
    <w:p w14:paraId="038F5A86" w14:textId="77777777" w:rsidR="004D3032" w:rsidRDefault="00553C6B">
      <w:pPr>
        <w:pStyle w:val="ListParagraph"/>
        <w:numPr>
          <w:ilvl w:val="0"/>
          <w:numId w:val="1"/>
        </w:numPr>
        <w:spacing w:after="160" w:line="360" w:lineRule="auto"/>
        <w:ind w:left="425"/>
        <w:contextualSpacing w:val="0"/>
        <w:jc w:val="both"/>
        <w:rPr>
          <w:sz w:val="26"/>
          <w:szCs w:val="26"/>
        </w:rPr>
      </w:pPr>
      <w:r>
        <w:rPr>
          <w:sz w:val="26"/>
          <w:szCs w:val="26"/>
          <w:rtl/>
        </w:rPr>
        <w:t>סופו של יום המליץ שירות המבחן להטיל על דארי עונש מאחורי סורג ובריח כמו גם עו</w:t>
      </w:r>
      <w:r>
        <w:rPr>
          <w:rFonts w:hint="cs"/>
          <w:sz w:val="26"/>
          <w:szCs w:val="26"/>
          <w:rtl/>
        </w:rPr>
        <w:t>נ</w:t>
      </w:r>
      <w:r>
        <w:rPr>
          <w:sz w:val="26"/>
          <w:szCs w:val="26"/>
          <w:rtl/>
        </w:rPr>
        <w:t xml:space="preserve">שים מותנים ארוכים ומרתיעים. </w:t>
      </w:r>
    </w:p>
    <w:p w14:paraId="2D906819" w14:textId="77777777" w:rsidR="004D3032" w:rsidRDefault="00553C6B">
      <w:pPr>
        <w:spacing w:line="360" w:lineRule="auto"/>
        <w:ind w:left="62"/>
        <w:jc w:val="both"/>
        <w:rPr>
          <w:b/>
          <w:bCs/>
          <w:sz w:val="26"/>
          <w:szCs w:val="26"/>
        </w:rPr>
      </w:pPr>
      <w:r>
        <w:rPr>
          <w:b/>
          <w:bCs/>
          <w:sz w:val="26"/>
          <w:szCs w:val="26"/>
          <w:rtl/>
        </w:rPr>
        <w:t xml:space="preserve">בעניינו של </w:t>
      </w:r>
      <w:r>
        <w:rPr>
          <w:rFonts w:ascii="Arial" w:hAnsi="Arial"/>
          <w:b/>
          <w:bCs/>
          <w:sz w:val="26"/>
          <w:szCs w:val="26"/>
          <w:rtl/>
        </w:rPr>
        <w:t>סבאתה</w:t>
      </w:r>
    </w:p>
    <w:p w14:paraId="17F66160" w14:textId="77777777" w:rsidR="004D3032" w:rsidRDefault="00553C6B">
      <w:pPr>
        <w:pStyle w:val="ListParagraph"/>
        <w:numPr>
          <w:ilvl w:val="0"/>
          <w:numId w:val="1"/>
        </w:numPr>
        <w:spacing w:after="160" w:line="360" w:lineRule="auto"/>
        <w:ind w:left="425"/>
        <w:contextualSpacing w:val="0"/>
        <w:jc w:val="both"/>
        <w:rPr>
          <w:sz w:val="26"/>
          <w:szCs w:val="26"/>
        </w:rPr>
      </w:pPr>
      <w:r>
        <w:rPr>
          <w:rFonts w:ascii="Arial" w:hAnsi="Arial"/>
          <w:sz w:val="26"/>
          <w:szCs w:val="26"/>
          <w:rtl/>
        </w:rPr>
        <w:t>סבאתה</w:t>
      </w:r>
      <w:r>
        <w:rPr>
          <w:sz w:val="26"/>
          <w:szCs w:val="26"/>
          <w:rtl/>
        </w:rPr>
        <w:t xml:space="preserve"> בן 19 והוא החמישי בין תשע</w:t>
      </w:r>
      <w:r>
        <w:rPr>
          <w:rFonts w:hint="cs"/>
          <w:sz w:val="26"/>
          <w:szCs w:val="26"/>
          <w:rtl/>
        </w:rPr>
        <w:t>ה</w:t>
      </w:r>
      <w:r>
        <w:rPr>
          <w:sz w:val="26"/>
          <w:szCs w:val="26"/>
          <w:rtl/>
        </w:rPr>
        <w:t xml:space="preserve"> אחים. משפחתו מתגורר בבית שכור ב"עיסוויה" בירושלים ומצבה הכלכלי קשה, כאשר מקור הפרנסה של המשפחה הינו הכנסת האם מעבודות מזדמנות, הבטחת הכנסה וקצבאות ילדים. אחד מאחיו של </w:t>
      </w:r>
      <w:r>
        <w:rPr>
          <w:rFonts w:ascii="Arial" w:hAnsi="Arial"/>
          <w:sz w:val="26"/>
          <w:szCs w:val="26"/>
          <w:rtl/>
        </w:rPr>
        <w:t>סבאתה ריצה עונש מאסר בפועל על רקע מעורבות חוזרת בפלילים בעבירות דומות לאלו בהם הורשע סבאתה. התרשמות שירות המבחן מהורי סבאתה היתה כי הם מעורבים ודואגים, אך מוצפים וחסרי אונים כלפי מצב ילדיהם ומתקשים להציב להם גבולות. עוד התרשם שירות המבחן כי מדובר במשפחה קשת יום, העוסקת בהישרדות יום יומית.</w:t>
      </w:r>
    </w:p>
    <w:p w14:paraId="62024EA1" w14:textId="77777777" w:rsidR="004D3032" w:rsidRDefault="00553C6B">
      <w:pPr>
        <w:pStyle w:val="ListParagraph"/>
        <w:numPr>
          <w:ilvl w:val="0"/>
          <w:numId w:val="1"/>
        </w:numPr>
        <w:spacing w:after="160" w:line="360" w:lineRule="auto"/>
        <w:ind w:left="425"/>
        <w:contextualSpacing w:val="0"/>
        <w:jc w:val="both"/>
        <w:rPr>
          <w:sz w:val="26"/>
          <w:szCs w:val="26"/>
        </w:rPr>
      </w:pPr>
      <w:r>
        <w:rPr>
          <w:rFonts w:ascii="Arial" w:hAnsi="Arial"/>
          <w:sz w:val="26"/>
          <w:szCs w:val="26"/>
          <w:rtl/>
        </w:rPr>
        <w:t>סבאתה</w:t>
      </w:r>
      <w:r>
        <w:rPr>
          <w:sz w:val="26"/>
          <w:szCs w:val="26"/>
          <w:rtl/>
        </w:rPr>
        <w:t xml:space="preserve"> השתלב בבית ספר מקצועי בכיתה י' אך עזב את ספסל הלימודים בשל אי שיבוצו למקצוע בו רצה. לאחר מכן החליט להצטרף לשוק העבודה והועסק בעבודות אלומיניום ועבודות מזדמנות. עבודתו האחרונה היתה אצל קבלן שיפוצים.</w:t>
      </w:r>
    </w:p>
    <w:p w14:paraId="0D8F5D85" w14:textId="77777777" w:rsidR="004D3032" w:rsidRDefault="00553C6B">
      <w:pPr>
        <w:pStyle w:val="ListParagraph"/>
        <w:numPr>
          <w:ilvl w:val="0"/>
          <w:numId w:val="1"/>
        </w:numPr>
        <w:spacing w:after="160" w:line="360" w:lineRule="auto"/>
        <w:ind w:left="425"/>
        <w:contextualSpacing w:val="0"/>
        <w:jc w:val="both"/>
        <w:rPr>
          <w:sz w:val="26"/>
          <w:szCs w:val="26"/>
        </w:rPr>
      </w:pPr>
      <w:r>
        <w:rPr>
          <w:rFonts w:ascii="Arial" w:hAnsi="Arial"/>
          <w:sz w:val="26"/>
          <w:szCs w:val="26"/>
          <w:rtl/>
        </w:rPr>
        <w:t>סבאתה</w:t>
      </w:r>
      <w:r>
        <w:rPr>
          <w:sz w:val="26"/>
          <w:szCs w:val="26"/>
          <w:rtl/>
        </w:rPr>
        <w:t xml:space="preserve"> הודה בביצוע העבירות והביע חרטה וצער על מעשיו. התרשמות שירות המבחן היתה, כי החרטה נובעת בעיקר מהמחיר האישי אותו הוא ומשפחתו משלמים. לדבריו לא היה חוזר על מעשיו. </w:t>
      </w:r>
      <w:r>
        <w:rPr>
          <w:rFonts w:ascii="Arial" w:hAnsi="Arial"/>
          <w:sz w:val="26"/>
          <w:szCs w:val="26"/>
          <w:rtl/>
        </w:rPr>
        <w:t>סבאתה תלה את מעורבותו בפלילים במצב ששרר בעיר בתקופה הרלוונטית</w:t>
      </w:r>
      <w:r>
        <w:rPr>
          <w:sz w:val="26"/>
          <w:szCs w:val="26"/>
          <w:rtl/>
        </w:rPr>
        <w:t>, כאשר את פאדי (שנורה על ידי כוחות הביטחון) הוא הכיר מעבודתו בתחנת דלק. על פי שירות המבחן, הגם ש</w:t>
      </w:r>
      <w:r>
        <w:rPr>
          <w:rFonts w:ascii="Arial" w:hAnsi="Arial"/>
          <w:sz w:val="26"/>
          <w:szCs w:val="26"/>
          <w:rtl/>
        </w:rPr>
        <w:t>סבאתה הודה במעשים הוא ניסה לטשטש עקבות של אידיאולוגיה במעשיו ככל שנשאל על כך. לדבריו</w:t>
      </w:r>
      <w:r>
        <w:rPr>
          <w:rFonts w:ascii="Arial" w:hAnsi="Arial" w:hint="cs"/>
          <w:sz w:val="26"/>
          <w:szCs w:val="26"/>
          <w:rtl/>
        </w:rPr>
        <w:t>,</w:t>
      </w:r>
      <w:r>
        <w:rPr>
          <w:rFonts w:ascii="Arial" w:hAnsi="Arial"/>
          <w:sz w:val="26"/>
          <w:szCs w:val="26"/>
          <w:rtl/>
        </w:rPr>
        <w:t xml:space="preserve"> בהתפרעויות עמד במקומות שלא היה יכול להגיע או לפגוע באנשי הביטחון</w:t>
      </w:r>
      <w:r>
        <w:rPr>
          <w:rFonts w:ascii="Arial" w:hAnsi="Arial" w:hint="cs"/>
          <w:sz w:val="26"/>
          <w:szCs w:val="26"/>
          <w:rtl/>
        </w:rPr>
        <w:t>,</w:t>
      </w:r>
      <w:r>
        <w:rPr>
          <w:rFonts w:ascii="Arial" w:hAnsi="Arial"/>
          <w:sz w:val="26"/>
          <w:szCs w:val="26"/>
          <w:rtl/>
        </w:rPr>
        <w:t xml:space="preserve"> </w:t>
      </w:r>
      <w:r>
        <w:rPr>
          <w:rFonts w:ascii="Arial" w:hAnsi="Arial" w:hint="cs"/>
          <w:sz w:val="26"/>
          <w:szCs w:val="26"/>
          <w:rtl/>
        </w:rPr>
        <w:t>ו</w:t>
      </w:r>
      <w:r>
        <w:rPr>
          <w:rFonts w:ascii="Arial" w:hAnsi="Arial"/>
          <w:sz w:val="26"/>
          <w:szCs w:val="26"/>
          <w:rtl/>
        </w:rPr>
        <w:t xml:space="preserve">הסביר את התנהגותו כשחרור לחצים וחיקוי קבוצת אנשים שהיוותה עבורו מודל. </w:t>
      </w:r>
      <w:r>
        <w:rPr>
          <w:sz w:val="26"/>
          <w:szCs w:val="26"/>
          <w:rtl/>
        </w:rPr>
        <w:t>ל</w:t>
      </w:r>
      <w:r>
        <w:rPr>
          <w:rFonts w:ascii="Arial" w:hAnsi="Arial"/>
          <w:sz w:val="26"/>
          <w:szCs w:val="26"/>
          <w:rtl/>
        </w:rPr>
        <w:t xml:space="preserve">סבאתה עבר </w:t>
      </w:r>
      <w:hyperlink r:id="rId47" w:history="1">
        <w:r w:rsidRPr="00553C6B">
          <w:rPr>
            <w:rFonts w:ascii="Arial" w:hAnsi="Arial"/>
            <w:color w:val="0000FF"/>
            <w:sz w:val="26"/>
            <w:szCs w:val="26"/>
            <w:u w:val="single"/>
            <w:rtl/>
          </w:rPr>
          <w:t>פלילי (ת"פ (שלום י-ם) 8986-01-14</w:t>
        </w:r>
      </w:hyperlink>
      <w:r>
        <w:rPr>
          <w:rFonts w:ascii="Arial" w:hAnsi="Arial"/>
          <w:sz w:val="26"/>
          <w:szCs w:val="26"/>
          <w:rtl/>
        </w:rPr>
        <w:t xml:space="preserve"> ו</w:t>
      </w:r>
      <w:hyperlink r:id="rId48" w:history="1">
        <w:r w:rsidRPr="00553C6B">
          <w:rPr>
            <w:rFonts w:ascii="Arial" w:hAnsi="Arial"/>
            <w:color w:val="0000FF"/>
            <w:sz w:val="26"/>
            <w:szCs w:val="26"/>
            <w:u w:val="single"/>
            <w:rtl/>
          </w:rPr>
          <w:t>ת"פ (מחוזי י-ם) 15115-05-14</w:t>
        </w:r>
      </w:hyperlink>
      <w:r>
        <w:rPr>
          <w:rFonts w:ascii="Arial" w:hAnsi="Arial"/>
          <w:sz w:val="26"/>
          <w:szCs w:val="26"/>
          <w:rtl/>
        </w:rPr>
        <w:t>; תיק השלום צורף לתיק המחוזי), הוא הורשע בעבירות של התפרעות, ניסיון תקיפת שוטר, הצתה, שימוש והובלת נשק ומתן אמצעים לביצוע פשע. ונדון ל-10 חודשי מאסר בפועל.</w:t>
      </w:r>
    </w:p>
    <w:p w14:paraId="5003616D" w14:textId="77777777" w:rsidR="004D3032" w:rsidRDefault="00553C6B">
      <w:pPr>
        <w:pStyle w:val="ListParagraph"/>
        <w:numPr>
          <w:ilvl w:val="0"/>
          <w:numId w:val="1"/>
        </w:numPr>
        <w:spacing w:after="160" w:line="360" w:lineRule="auto"/>
        <w:ind w:left="425"/>
        <w:contextualSpacing w:val="0"/>
        <w:jc w:val="both"/>
        <w:rPr>
          <w:sz w:val="26"/>
          <w:szCs w:val="26"/>
          <w:rtl/>
        </w:rPr>
      </w:pPr>
      <w:r>
        <w:rPr>
          <w:rFonts w:ascii="Arial" w:hAnsi="Arial"/>
          <w:sz w:val="26"/>
          <w:szCs w:val="26"/>
          <w:rtl/>
        </w:rPr>
        <w:t>נוכח האמור, גילו של סבאתה, מעצרו עד לתום ההליכים ומעורבותו בפלילים בעבירות בעלות אופי דומה, שירות המבחן לא יכול היה לבוא בהמלצה טיפולית בעניינו.</w:t>
      </w:r>
    </w:p>
    <w:p w14:paraId="2CBD6F96" w14:textId="77777777" w:rsidR="004D3032" w:rsidRDefault="00553C6B">
      <w:pPr>
        <w:spacing w:line="360" w:lineRule="auto"/>
        <w:jc w:val="both"/>
        <w:rPr>
          <w:rFonts w:ascii="Arial" w:hAnsi="Arial"/>
          <w:b/>
          <w:bCs/>
          <w:sz w:val="26"/>
          <w:szCs w:val="26"/>
          <w:u w:val="single"/>
          <w:rtl/>
        </w:rPr>
      </w:pPr>
      <w:r>
        <w:rPr>
          <w:rFonts w:ascii="Arial" w:hAnsi="Arial"/>
          <w:b/>
          <w:bCs/>
          <w:sz w:val="26"/>
          <w:szCs w:val="26"/>
          <w:u w:val="single"/>
          <w:rtl/>
        </w:rPr>
        <w:t xml:space="preserve">ראיות </w:t>
      </w:r>
      <w:r>
        <w:rPr>
          <w:rFonts w:ascii="Arial" w:hAnsi="Arial" w:hint="cs"/>
          <w:b/>
          <w:bCs/>
          <w:sz w:val="26"/>
          <w:szCs w:val="26"/>
          <w:u w:val="single"/>
          <w:rtl/>
        </w:rPr>
        <w:t xml:space="preserve">וטיעונים </w:t>
      </w:r>
      <w:r>
        <w:rPr>
          <w:rFonts w:ascii="Arial" w:hAnsi="Arial"/>
          <w:b/>
          <w:bCs/>
          <w:sz w:val="26"/>
          <w:szCs w:val="26"/>
          <w:u w:val="single"/>
          <w:rtl/>
        </w:rPr>
        <w:t>לעונש</w:t>
      </w:r>
    </w:p>
    <w:p w14:paraId="7A6E90ED" w14:textId="77777777" w:rsidR="004D3032" w:rsidRDefault="00553C6B">
      <w:pPr>
        <w:pStyle w:val="ListParagraph"/>
        <w:numPr>
          <w:ilvl w:val="0"/>
          <w:numId w:val="1"/>
        </w:numPr>
        <w:spacing w:after="160" w:line="360" w:lineRule="auto"/>
        <w:ind w:left="425"/>
        <w:contextualSpacing w:val="0"/>
        <w:jc w:val="both"/>
        <w:rPr>
          <w:sz w:val="26"/>
          <w:szCs w:val="26"/>
        </w:rPr>
      </w:pPr>
      <w:r>
        <w:rPr>
          <w:sz w:val="26"/>
          <w:szCs w:val="26"/>
          <w:rtl/>
        </w:rPr>
        <w:t>על פי הסדר הטיעון</w:t>
      </w:r>
      <w:r>
        <w:rPr>
          <w:rFonts w:hint="cs"/>
          <w:sz w:val="26"/>
          <w:szCs w:val="26"/>
          <w:rtl/>
        </w:rPr>
        <w:t>,</w:t>
      </w:r>
      <w:r>
        <w:rPr>
          <w:sz w:val="26"/>
          <w:szCs w:val="26"/>
          <w:rtl/>
        </w:rPr>
        <w:t xml:space="preserve"> </w:t>
      </w:r>
      <w:r>
        <w:rPr>
          <w:rFonts w:hint="cs"/>
          <w:sz w:val="26"/>
          <w:szCs w:val="26"/>
          <w:rtl/>
        </w:rPr>
        <w:t xml:space="preserve">שגובש כאמור, בסיועו של המגשר כב' השופט כ' מוסק, </w:t>
      </w:r>
      <w:r>
        <w:rPr>
          <w:sz w:val="26"/>
          <w:szCs w:val="26"/>
          <w:rtl/>
        </w:rPr>
        <w:t>הצדדים היו חופשיים לטעון לעניין העונש.</w:t>
      </w:r>
    </w:p>
    <w:p w14:paraId="7EBAC037" w14:textId="77777777" w:rsidR="004D3032" w:rsidRDefault="00553C6B">
      <w:pPr>
        <w:pStyle w:val="ListParagraph"/>
        <w:numPr>
          <w:ilvl w:val="0"/>
          <w:numId w:val="1"/>
        </w:numPr>
        <w:spacing w:after="160" w:line="360" w:lineRule="auto"/>
        <w:ind w:left="425"/>
        <w:contextualSpacing w:val="0"/>
        <w:jc w:val="both"/>
        <w:rPr>
          <w:sz w:val="26"/>
          <w:szCs w:val="26"/>
        </w:rPr>
      </w:pPr>
      <w:r>
        <w:rPr>
          <w:sz w:val="26"/>
          <w:szCs w:val="26"/>
          <w:rtl/>
        </w:rPr>
        <w:t xml:space="preserve">ב"כ המאשימה הגיש את גזר דינו של </w:t>
      </w:r>
      <w:r>
        <w:rPr>
          <w:rFonts w:ascii="Arial" w:hAnsi="Arial"/>
          <w:sz w:val="26"/>
          <w:szCs w:val="26"/>
          <w:rtl/>
        </w:rPr>
        <w:t>סבאתה ב</w:t>
      </w:r>
      <w:hyperlink r:id="rId49" w:history="1">
        <w:r w:rsidRPr="00553C6B">
          <w:rPr>
            <w:rFonts w:ascii="Arial" w:hAnsi="Arial"/>
            <w:color w:val="0000FF"/>
            <w:sz w:val="26"/>
            <w:szCs w:val="26"/>
            <w:u w:val="single"/>
            <w:rtl/>
          </w:rPr>
          <w:t>ת"פ (מחוזי י-ם) 15115-05-14</w:t>
        </w:r>
      </w:hyperlink>
      <w:r>
        <w:rPr>
          <w:sz w:val="26"/>
          <w:szCs w:val="26"/>
          <w:rtl/>
        </w:rPr>
        <w:t xml:space="preserve">; </w:t>
      </w:r>
      <w:r>
        <w:rPr>
          <w:rFonts w:hint="cs"/>
          <w:sz w:val="26"/>
          <w:szCs w:val="26"/>
          <w:rtl/>
        </w:rPr>
        <w:t xml:space="preserve">עו"ד צמל, </w:t>
      </w:r>
      <w:r>
        <w:rPr>
          <w:sz w:val="26"/>
          <w:szCs w:val="26"/>
          <w:rtl/>
        </w:rPr>
        <w:t>ב</w:t>
      </w:r>
      <w:r>
        <w:rPr>
          <w:rFonts w:hint="cs"/>
          <w:sz w:val="26"/>
          <w:szCs w:val="26"/>
          <w:rtl/>
        </w:rPr>
        <w:t xml:space="preserve">את </w:t>
      </w:r>
      <w:r>
        <w:rPr>
          <w:sz w:val="26"/>
          <w:szCs w:val="26"/>
          <w:rtl/>
        </w:rPr>
        <w:t>כ</w:t>
      </w:r>
      <w:r>
        <w:rPr>
          <w:rFonts w:hint="cs"/>
          <w:sz w:val="26"/>
          <w:szCs w:val="26"/>
          <w:rtl/>
        </w:rPr>
        <w:t>וחו</w:t>
      </w:r>
      <w:r>
        <w:rPr>
          <w:sz w:val="26"/>
          <w:szCs w:val="26"/>
          <w:rtl/>
        </w:rPr>
        <w:t xml:space="preserve"> </w:t>
      </w:r>
      <w:r>
        <w:rPr>
          <w:rFonts w:hint="cs"/>
          <w:sz w:val="26"/>
          <w:szCs w:val="26"/>
          <w:rtl/>
        </w:rPr>
        <w:t xml:space="preserve">של </w:t>
      </w:r>
      <w:r>
        <w:rPr>
          <w:sz w:val="26"/>
          <w:szCs w:val="26"/>
          <w:rtl/>
        </w:rPr>
        <w:t>דארי</w:t>
      </w:r>
      <w:r>
        <w:rPr>
          <w:rFonts w:hint="cs"/>
          <w:sz w:val="26"/>
          <w:szCs w:val="26"/>
          <w:rtl/>
        </w:rPr>
        <w:t>,</w:t>
      </w:r>
      <w:r>
        <w:rPr>
          <w:sz w:val="26"/>
          <w:szCs w:val="26"/>
          <w:rtl/>
        </w:rPr>
        <w:t xml:space="preserve"> הגיש</w:t>
      </w:r>
      <w:r>
        <w:rPr>
          <w:rFonts w:hint="cs"/>
          <w:sz w:val="26"/>
          <w:szCs w:val="26"/>
          <w:rtl/>
        </w:rPr>
        <w:t>ה</w:t>
      </w:r>
      <w:r>
        <w:rPr>
          <w:sz w:val="26"/>
          <w:szCs w:val="26"/>
          <w:rtl/>
        </w:rPr>
        <w:t xml:space="preserve"> אישור לימודים לפיו דארי למד בשנת 2014 בקורס פסיכומטרי באולפן "אתה איתנו" (סומן נ/1), כן הגיש</w:t>
      </w:r>
      <w:r>
        <w:rPr>
          <w:rFonts w:hint="cs"/>
          <w:sz w:val="26"/>
          <w:szCs w:val="26"/>
          <w:rtl/>
        </w:rPr>
        <w:t>ה</w:t>
      </w:r>
      <w:r>
        <w:rPr>
          <w:sz w:val="26"/>
          <w:szCs w:val="26"/>
          <w:rtl/>
        </w:rPr>
        <w:t xml:space="preserve"> מכתב מאת שלושה מאחיו ושלושה מדודיו המתגוררים בארה"ב, ובו הם מבקשים כי יתאפשר לו להצטרף אליהם על מנת שיוכלו להחזיר את חייו למסלול נורמטיבי (סומן נ/2).</w:t>
      </w:r>
    </w:p>
    <w:p w14:paraId="5D6D0261" w14:textId="77777777" w:rsidR="004D3032" w:rsidRDefault="00553C6B">
      <w:pPr>
        <w:pStyle w:val="ListParagraph"/>
        <w:numPr>
          <w:ilvl w:val="0"/>
          <w:numId w:val="1"/>
        </w:numPr>
        <w:spacing w:after="160" w:line="360" w:lineRule="auto"/>
        <w:ind w:left="425"/>
        <w:contextualSpacing w:val="0"/>
        <w:jc w:val="both"/>
        <w:rPr>
          <w:sz w:val="26"/>
          <w:szCs w:val="26"/>
        </w:rPr>
      </w:pPr>
      <w:r>
        <w:rPr>
          <w:sz w:val="26"/>
          <w:szCs w:val="26"/>
          <w:rtl/>
        </w:rPr>
        <w:t>ב"כ המאשימה טען, כי העבירות בהן עסקינן פוגעות בשלמות גופם של אנשי הביטחון, (כבני אדם וכנציגים של מערכת החוק) ובתחושת הביטחון של תושבי ירושלים. ב"כ המאשימה המשיך</w:t>
      </w:r>
      <w:r>
        <w:rPr>
          <w:rFonts w:hint="cs"/>
          <w:sz w:val="26"/>
          <w:szCs w:val="26"/>
          <w:rtl/>
        </w:rPr>
        <w:t>,</w:t>
      </w:r>
      <w:r>
        <w:rPr>
          <w:sz w:val="26"/>
          <w:szCs w:val="26"/>
          <w:rtl/>
        </w:rPr>
        <w:t xml:space="preserve"> כי הגם שתיקון 120 של </w:t>
      </w:r>
      <w:hyperlink r:id="rId50" w:history="1">
        <w:r w:rsidRPr="00553C6B">
          <w:rPr>
            <w:color w:val="0000FF"/>
            <w:sz w:val="26"/>
            <w:szCs w:val="26"/>
            <w:u w:val="single"/>
            <w:rtl/>
          </w:rPr>
          <w:t>חוק העונשין</w:t>
        </w:r>
      </w:hyperlink>
      <w:r>
        <w:rPr>
          <w:sz w:val="26"/>
          <w:szCs w:val="26"/>
          <w:rtl/>
        </w:rPr>
        <w:t>, אשר קבע עונש מינימום לעבירות בהן עסקינן אינו חל בעניינו, יש בו להשליך על הענישה של הנאשמים. לפי ב"כ המאשימה הפסיקה הכירה בצורך שבהרתעה גם כאשר מדובר בקטינים, ובעיקר משום שרוב העבירות מסוג זה מבוצעות על ידי צעירים. עוד טען</w:t>
      </w:r>
      <w:r>
        <w:rPr>
          <w:rFonts w:hint="cs"/>
          <w:sz w:val="26"/>
          <w:szCs w:val="26"/>
          <w:rtl/>
        </w:rPr>
        <w:t>,</w:t>
      </w:r>
      <w:r>
        <w:rPr>
          <w:sz w:val="26"/>
          <w:szCs w:val="26"/>
          <w:rtl/>
        </w:rPr>
        <w:t xml:space="preserve"> כי מדובר בעבירות המצריכות תכנון מוקדם, קניית זיקוקים, הצטיידות באבנים, הכנת בקבוקי תבערה, ייצור בקבוקי התבערה. אליבא דפרקליט</w:t>
      </w:r>
      <w:r>
        <w:rPr>
          <w:rFonts w:hint="cs"/>
          <w:sz w:val="26"/>
          <w:szCs w:val="26"/>
          <w:rtl/>
        </w:rPr>
        <w:t>,</w:t>
      </w:r>
      <w:r>
        <w:rPr>
          <w:sz w:val="26"/>
          <w:szCs w:val="26"/>
          <w:rtl/>
        </w:rPr>
        <w:t xml:space="preserve"> ייצור הבקבוקים גם מלמד על חלקם העיקרי של הנאשמים בביצוע העבירה. לדידו, הם מחוללי העבירה והמובילים. ב"כ המאשימה גם עמד על כך כי העבירות בוצעו </w:t>
      </w:r>
      <w:r>
        <w:rPr>
          <w:rFonts w:hint="cs"/>
          <w:sz w:val="26"/>
          <w:szCs w:val="26"/>
          <w:rtl/>
        </w:rPr>
        <w:t>על</w:t>
      </w:r>
      <w:r>
        <w:rPr>
          <w:sz w:val="26"/>
          <w:szCs w:val="26"/>
          <w:rtl/>
        </w:rPr>
        <w:t xml:space="preserve"> רקע אידיאולוגי.</w:t>
      </w:r>
    </w:p>
    <w:p w14:paraId="3A011B94" w14:textId="77777777" w:rsidR="004D3032" w:rsidRDefault="00553C6B">
      <w:pPr>
        <w:pStyle w:val="ListParagraph"/>
        <w:numPr>
          <w:ilvl w:val="0"/>
          <w:numId w:val="1"/>
        </w:numPr>
        <w:spacing w:after="160" w:line="360" w:lineRule="auto"/>
        <w:ind w:left="425"/>
        <w:contextualSpacing w:val="0"/>
        <w:jc w:val="both"/>
        <w:rPr>
          <w:sz w:val="26"/>
          <w:szCs w:val="26"/>
        </w:rPr>
      </w:pPr>
      <w:r>
        <w:rPr>
          <w:sz w:val="26"/>
          <w:szCs w:val="26"/>
          <w:rtl/>
        </w:rPr>
        <w:t>ב"כ המאשימה טען, כי האישומים הראשון, השני והשלישי מהווים אירועים שונים, בעוד שהאישום השלישי והרביעי יכולים להוות אירוע אחד. ב"כ המאשימה הביא דוגמאות פסיקה לעניין רמת הענישה המבוקשת על ידו. הוא טען למתחמי הענישה הבאים: בגין האישום הראשון 12 עד 30 חודשי מאסר; בגין האישום השני 5 עד 8 שנות מאסר; בגין האישום השלישי 4 עד 7 שנות מאסר; בגין האישום הרביעי 12 עד 30 חודשי מאסר. לטעם ב"כ המאשימה העונש הכולל הראוי הוא 5 שנות מאסר לדארי, שתסקירו שלילי, ו-75 חודשי מאסר ל</w:t>
      </w:r>
      <w:r>
        <w:rPr>
          <w:rFonts w:ascii="Arial" w:hAnsi="Arial"/>
          <w:sz w:val="26"/>
          <w:szCs w:val="26"/>
          <w:rtl/>
        </w:rPr>
        <w:t>סבאתה</w:t>
      </w:r>
      <w:r>
        <w:rPr>
          <w:sz w:val="26"/>
          <w:szCs w:val="26"/>
          <w:rtl/>
        </w:rPr>
        <w:t xml:space="preserve"> ובמצטבר הפעלת המאסר על תנאי שנגזר עליו במסגרת </w:t>
      </w:r>
      <w:hyperlink r:id="rId51" w:history="1">
        <w:r w:rsidRPr="00553C6B">
          <w:rPr>
            <w:rFonts w:ascii="Arial" w:hAnsi="Arial"/>
            <w:color w:val="0000FF"/>
            <w:sz w:val="26"/>
            <w:szCs w:val="26"/>
            <w:u w:val="single"/>
            <w:rtl/>
          </w:rPr>
          <w:t>ת"פ (מחוזי י-ם) 15115-05-14</w:t>
        </w:r>
      </w:hyperlink>
      <w:r>
        <w:rPr>
          <w:rFonts w:ascii="Arial" w:hAnsi="Arial"/>
          <w:sz w:val="26"/>
          <w:szCs w:val="26"/>
          <w:rtl/>
        </w:rPr>
        <w:t>. כן התבקש שיוטל קנס על שני הנאשמים.</w:t>
      </w:r>
      <w:r>
        <w:rPr>
          <w:sz w:val="26"/>
          <w:szCs w:val="26"/>
          <w:rtl/>
        </w:rPr>
        <w:t xml:space="preserve"> </w:t>
      </w:r>
    </w:p>
    <w:p w14:paraId="578BDC86" w14:textId="77777777" w:rsidR="004D3032" w:rsidRDefault="00553C6B">
      <w:pPr>
        <w:pStyle w:val="ListParagraph"/>
        <w:numPr>
          <w:ilvl w:val="0"/>
          <w:numId w:val="1"/>
        </w:numPr>
        <w:spacing w:after="160" w:line="360" w:lineRule="auto"/>
        <w:ind w:left="425"/>
        <w:contextualSpacing w:val="0"/>
        <w:jc w:val="both"/>
        <w:rPr>
          <w:sz w:val="26"/>
          <w:szCs w:val="26"/>
        </w:rPr>
      </w:pPr>
      <w:r>
        <w:rPr>
          <w:rFonts w:ascii="Arial" w:hAnsi="Arial"/>
          <w:sz w:val="26"/>
          <w:szCs w:val="26"/>
          <w:rtl/>
        </w:rPr>
        <w:t>ב"כ</w:t>
      </w:r>
      <w:r>
        <w:rPr>
          <w:sz w:val="26"/>
          <w:szCs w:val="26"/>
          <w:rtl/>
        </w:rPr>
        <w:t xml:space="preserve"> דארי טענה, כי הפסיקה אותה הביא ב"כ המאשימה אינה רלוונטית למעשים דנן, שם דובר על מקרים בהם היה  מדובר במעשים מתוכננים, שגרמו נזק ובוצעו על ידי בעלי עבר פלילי. שלושת האירועים בהם דארי מואשם, כך באת כוחו, הם תגובות ספונטניות לאירועים שהתרחשו בירושלים, וכל המעשים נעשו בירושלים ליד ביתו של דארי. הזיקוקים בהם השתמש דארי, טענה, הם מסוג הזיקוקים שילדים משתמשים בהם בפורים, הם היו בנמצא, ואין מדובר בתכנון. לטעם הסניגורית, גם זריקת בקבוקי התבערה נעשתה אך כאמצעי לשחרור לחץ, ללא תכנון מוקדם, וממרחקים גדולים, כך שדארי לא יכול היה לפגוע במטרותיו. כן טענה, כי דארי ללא עבר פלילי, כי שירות המבחן לא התחשב בנסיבותיו, כי הוא אך הושפע מלחצים וכי הוא מצוי במעצר מזה למעלה משנה. </w:t>
      </w:r>
      <w:r>
        <w:rPr>
          <w:rFonts w:hint="cs"/>
          <w:sz w:val="26"/>
          <w:szCs w:val="26"/>
          <w:rtl/>
        </w:rPr>
        <w:t>עו"ד צמל</w:t>
      </w:r>
      <w:r>
        <w:rPr>
          <w:sz w:val="26"/>
          <w:szCs w:val="26"/>
          <w:rtl/>
        </w:rPr>
        <w:t xml:space="preserve"> ביקשה</w:t>
      </w:r>
      <w:r>
        <w:rPr>
          <w:rFonts w:hint="cs"/>
          <w:sz w:val="26"/>
          <w:szCs w:val="26"/>
          <w:rtl/>
        </w:rPr>
        <w:t>,</w:t>
      </w:r>
      <w:r>
        <w:rPr>
          <w:sz w:val="26"/>
          <w:szCs w:val="26"/>
          <w:rtl/>
        </w:rPr>
        <w:t xml:space="preserve"> כי בית המשפט יסתפק בתקופת מעצרו (מיום 14.10.15) וכי יוטל עליו מאסר על תנאי בלבד.</w:t>
      </w:r>
    </w:p>
    <w:p w14:paraId="2B97DFC4" w14:textId="77777777" w:rsidR="004D3032" w:rsidRDefault="00553C6B">
      <w:pPr>
        <w:pStyle w:val="ListParagraph"/>
        <w:spacing w:after="160" w:line="360" w:lineRule="auto"/>
        <w:ind w:left="425"/>
        <w:contextualSpacing w:val="0"/>
        <w:jc w:val="both"/>
        <w:rPr>
          <w:sz w:val="26"/>
          <w:szCs w:val="26"/>
        </w:rPr>
      </w:pPr>
      <w:r>
        <w:rPr>
          <w:rFonts w:hint="cs"/>
          <w:sz w:val="26"/>
          <w:szCs w:val="26"/>
          <w:rtl/>
        </w:rPr>
        <w:t>עוד</w:t>
      </w:r>
      <w:r>
        <w:rPr>
          <w:sz w:val="26"/>
          <w:szCs w:val="26"/>
          <w:rtl/>
        </w:rPr>
        <w:t xml:space="preserve"> אמרה</w:t>
      </w:r>
      <w:r>
        <w:rPr>
          <w:rFonts w:hint="cs"/>
          <w:sz w:val="26"/>
          <w:szCs w:val="26"/>
          <w:rtl/>
        </w:rPr>
        <w:t>,</w:t>
      </w:r>
      <w:r>
        <w:rPr>
          <w:sz w:val="26"/>
          <w:szCs w:val="26"/>
          <w:rtl/>
        </w:rPr>
        <w:t xml:space="preserve"> כי למרשה</w:t>
      </w:r>
      <w:r>
        <w:rPr>
          <w:rFonts w:hint="cs"/>
          <w:sz w:val="26"/>
          <w:szCs w:val="26"/>
          <w:rtl/>
        </w:rPr>
        <w:t>ּּ</w:t>
      </w:r>
      <w:r>
        <w:rPr>
          <w:sz w:val="26"/>
          <w:szCs w:val="26"/>
          <w:rtl/>
        </w:rPr>
        <w:t xml:space="preserve"> יש אזרחות אמריקאית וקיומו של עבר פלילי כאן, לא ימנע ממנו להצטרף למשפחתו שם.</w:t>
      </w:r>
    </w:p>
    <w:p w14:paraId="7C7028EF" w14:textId="77777777" w:rsidR="004D3032" w:rsidRDefault="00553C6B">
      <w:pPr>
        <w:pStyle w:val="ListParagraph"/>
        <w:numPr>
          <w:ilvl w:val="0"/>
          <w:numId w:val="1"/>
        </w:numPr>
        <w:spacing w:after="160" w:line="360" w:lineRule="auto"/>
        <w:ind w:left="425"/>
        <w:contextualSpacing w:val="0"/>
        <w:jc w:val="both"/>
        <w:rPr>
          <w:sz w:val="26"/>
          <w:szCs w:val="26"/>
        </w:rPr>
      </w:pPr>
      <w:r>
        <w:rPr>
          <w:sz w:val="26"/>
          <w:szCs w:val="26"/>
          <w:rtl/>
        </w:rPr>
        <w:t xml:space="preserve">ב"כ </w:t>
      </w:r>
      <w:r>
        <w:rPr>
          <w:rFonts w:ascii="Arial" w:hAnsi="Arial"/>
          <w:sz w:val="26"/>
          <w:szCs w:val="26"/>
          <w:rtl/>
        </w:rPr>
        <w:t>סבאתה</w:t>
      </w:r>
      <w:r>
        <w:rPr>
          <w:rFonts w:ascii="Arial" w:hAnsi="Arial" w:hint="cs"/>
          <w:sz w:val="26"/>
          <w:szCs w:val="26"/>
          <w:rtl/>
        </w:rPr>
        <w:t>, עו"ד רוזנטל,</w:t>
      </w:r>
      <w:r>
        <w:rPr>
          <w:sz w:val="26"/>
          <w:szCs w:val="26"/>
          <w:rtl/>
        </w:rPr>
        <w:t xml:space="preserve"> הדגיש שמרשו היה קטין עת בוצעו המעשים מושא האישום הראשון. משכך, </w:t>
      </w:r>
      <w:r>
        <w:rPr>
          <w:rFonts w:hint="cs"/>
          <w:sz w:val="26"/>
          <w:szCs w:val="26"/>
          <w:rtl/>
        </w:rPr>
        <w:t xml:space="preserve">לדעתו, </w:t>
      </w:r>
      <w:r>
        <w:rPr>
          <w:sz w:val="26"/>
          <w:szCs w:val="26"/>
          <w:rtl/>
        </w:rPr>
        <w:t>המתחם שהוצע על ידי ב"כ המאשימה אינו רלוונטי. ככלל, לדידו, יש להתייחס ל</w:t>
      </w:r>
      <w:r>
        <w:rPr>
          <w:rFonts w:ascii="Arial" w:hAnsi="Arial"/>
          <w:sz w:val="26"/>
          <w:szCs w:val="26"/>
          <w:rtl/>
        </w:rPr>
        <w:t xml:space="preserve">סבאתה </w:t>
      </w:r>
      <w:r>
        <w:rPr>
          <w:sz w:val="26"/>
          <w:szCs w:val="26"/>
          <w:rtl/>
        </w:rPr>
        <w:t>כקטין ולא כבגיר, שכן מעשיו הם בגדר פזיזות נעורים, והרי בפלילים על הכף ל</w:t>
      </w:r>
      <w:r>
        <w:rPr>
          <w:rFonts w:hint="cs"/>
          <w:sz w:val="26"/>
          <w:szCs w:val="26"/>
          <w:rtl/>
        </w:rPr>
        <w:t>נ</w:t>
      </w:r>
      <w:r>
        <w:rPr>
          <w:sz w:val="26"/>
          <w:szCs w:val="26"/>
          <w:rtl/>
        </w:rPr>
        <w:t xml:space="preserve">טות לעבר הנאשם. ב"כ </w:t>
      </w:r>
      <w:r>
        <w:rPr>
          <w:rFonts w:ascii="Arial" w:hAnsi="Arial"/>
          <w:sz w:val="26"/>
          <w:szCs w:val="26"/>
          <w:rtl/>
        </w:rPr>
        <w:t>סבאתה</w:t>
      </w:r>
      <w:r>
        <w:rPr>
          <w:sz w:val="26"/>
          <w:szCs w:val="26"/>
          <w:rtl/>
        </w:rPr>
        <w:t xml:space="preserve"> טען גם הוא, שהמרחקים מהם נזרקו בקבוקי התבערה היו גדולים ומלמדים כי לא היתה סכנה שיפגעו במטרה.</w:t>
      </w:r>
    </w:p>
    <w:p w14:paraId="75DF44A5" w14:textId="77777777" w:rsidR="004D3032" w:rsidRDefault="00553C6B">
      <w:pPr>
        <w:pStyle w:val="ListParagraph"/>
        <w:numPr>
          <w:ilvl w:val="0"/>
          <w:numId w:val="1"/>
        </w:numPr>
        <w:spacing w:after="160" w:line="360" w:lineRule="auto"/>
        <w:ind w:left="425"/>
        <w:contextualSpacing w:val="0"/>
        <w:jc w:val="both"/>
        <w:rPr>
          <w:sz w:val="26"/>
          <w:szCs w:val="26"/>
        </w:rPr>
      </w:pPr>
      <w:r>
        <w:rPr>
          <w:sz w:val="26"/>
          <w:szCs w:val="26"/>
          <w:rtl/>
        </w:rPr>
        <w:t>הסניגורים הפנו והגישו פסיקה.</w:t>
      </w:r>
    </w:p>
    <w:p w14:paraId="11595678" w14:textId="77777777" w:rsidR="004D3032" w:rsidRDefault="00553C6B">
      <w:pPr>
        <w:pStyle w:val="ListParagraph"/>
        <w:numPr>
          <w:ilvl w:val="0"/>
          <w:numId w:val="1"/>
        </w:numPr>
        <w:spacing w:after="160" w:line="360" w:lineRule="auto"/>
        <w:ind w:left="425"/>
        <w:contextualSpacing w:val="0"/>
        <w:jc w:val="both"/>
        <w:rPr>
          <w:sz w:val="26"/>
          <w:szCs w:val="26"/>
        </w:rPr>
      </w:pPr>
      <w:r>
        <w:rPr>
          <w:sz w:val="26"/>
          <w:szCs w:val="26"/>
          <w:rtl/>
        </w:rPr>
        <w:t>דארי עצמו אמר שהוא מודע לכך שעשה טעות והוא מתחרט על כך</w:t>
      </w:r>
      <w:r>
        <w:rPr>
          <w:rFonts w:hint="cs"/>
          <w:sz w:val="26"/>
          <w:szCs w:val="26"/>
          <w:rtl/>
        </w:rPr>
        <w:t xml:space="preserve"> והוסיף,</w:t>
      </w:r>
      <w:r>
        <w:rPr>
          <w:sz w:val="26"/>
          <w:szCs w:val="26"/>
          <w:rtl/>
        </w:rPr>
        <w:t xml:space="preserve"> כי הוא מבקש להמשיך את לימודיו ומוכן לנסוע לאמריקה. </w:t>
      </w:r>
      <w:r>
        <w:rPr>
          <w:rFonts w:ascii="Arial" w:hAnsi="Arial"/>
          <w:sz w:val="26"/>
          <w:szCs w:val="26"/>
          <w:rtl/>
        </w:rPr>
        <w:t>סבאתה</w:t>
      </w:r>
      <w:r>
        <w:rPr>
          <w:sz w:val="26"/>
          <w:szCs w:val="26"/>
          <w:rtl/>
        </w:rPr>
        <w:t xml:space="preserve"> אמר גם הוא, כי הוא מודע לכך שעשה טעות, משום שהיה ילד קטן ולא היה מודע למעשיו, וכן משום שהמצב בכפר היה בעייתי והוא נגרר אחר ההמון.</w:t>
      </w:r>
    </w:p>
    <w:p w14:paraId="2B56FC0F" w14:textId="77777777" w:rsidR="004D3032" w:rsidRDefault="00553C6B">
      <w:pPr>
        <w:spacing w:line="360" w:lineRule="auto"/>
        <w:jc w:val="both"/>
        <w:rPr>
          <w:rFonts w:ascii="Arial" w:hAnsi="Arial"/>
          <w:b/>
          <w:bCs/>
          <w:sz w:val="26"/>
          <w:szCs w:val="26"/>
          <w:u w:val="single"/>
          <w:rtl/>
        </w:rPr>
      </w:pPr>
      <w:r>
        <w:rPr>
          <w:rFonts w:ascii="Arial" w:hAnsi="Arial"/>
          <w:b/>
          <w:bCs/>
          <w:sz w:val="26"/>
          <w:szCs w:val="26"/>
          <w:u w:val="single"/>
          <w:rtl/>
        </w:rPr>
        <w:t xml:space="preserve">דיון לפי </w:t>
      </w:r>
      <w:hyperlink r:id="rId52" w:history="1">
        <w:r w:rsidR="00CC31C3" w:rsidRPr="00CC31C3">
          <w:rPr>
            <w:rFonts w:ascii="Arial" w:hAnsi="Arial"/>
            <w:b/>
            <w:bCs/>
            <w:color w:val="0000FF"/>
            <w:sz w:val="26"/>
            <w:szCs w:val="26"/>
            <w:u w:val="single"/>
            <w:rtl/>
          </w:rPr>
          <w:t>סימן א'1</w:t>
        </w:r>
      </w:hyperlink>
      <w:r>
        <w:rPr>
          <w:rFonts w:ascii="Arial" w:hAnsi="Arial"/>
          <w:b/>
          <w:bCs/>
          <w:sz w:val="26"/>
          <w:szCs w:val="26"/>
          <w:u w:val="single"/>
          <w:rtl/>
        </w:rPr>
        <w:t xml:space="preserve"> בפרק ו' בחוק (הבניית שיקול הדעת השיפוטי בענישה) – תיקון 113 לחוק</w:t>
      </w:r>
    </w:p>
    <w:p w14:paraId="43108359" w14:textId="77777777" w:rsidR="004D3032" w:rsidRDefault="00553C6B">
      <w:pPr>
        <w:spacing w:line="360" w:lineRule="auto"/>
        <w:jc w:val="both"/>
        <w:rPr>
          <w:rFonts w:ascii="Arial" w:hAnsi="Arial"/>
          <w:b/>
          <w:bCs/>
          <w:sz w:val="26"/>
          <w:szCs w:val="26"/>
        </w:rPr>
      </w:pPr>
      <w:r>
        <w:rPr>
          <w:rFonts w:ascii="Arial" w:hAnsi="Arial"/>
          <w:b/>
          <w:bCs/>
          <w:sz w:val="26"/>
          <w:szCs w:val="26"/>
          <w:rtl/>
        </w:rPr>
        <w:t>תיקון 113 אינו חל בעניינם של קטינים</w:t>
      </w:r>
    </w:p>
    <w:p w14:paraId="6B8BB423" w14:textId="77777777" w:rsidR="004D3032" w:rsidRDefault="00CC31C3">
      <w:pPr>
        <w:pStyle w:val="ListParagraph"/>
        <w:numPr>
          <w:ilvl w:val="0"/>
          <w:numId w:val="1"/>
        </w:numPr>
        <w:spacing w:after="160" w:line="360" w:lineRule="auto"/>
        <w:ind w:left="425"/>
        <w:contextualSpacing w:val="0"/>
        <w:jc w:val="both"/>
        <w:rPr>
          <w:sz w:val="26"/>
          <w:szCs w:val="26"/>
          <w:rtl/>
        </w:rPr>
      </w:pPr>
      <w:hyperlink r:id="rId53" w:history="1">
        <w:r w:rsidRPr="00CC31C3">
          <w:rPr>
            <w:color w:val="0000FF"/>
            <w:sz w:val="26"/>
            <w:szCs w:val="26"/>
            <w:u w:val="single"/>
            <w:rtl/>
          </w:rPr>
          <w:t>סעיף 40טו</w:t>
        </w:r>
      </w:hyperlink>
      <w:r w:rsidR="00553C6B">
        <w:rPr>
          <w:sz w:val="26"/>
          <w:szCs w:val="26"/>
          <w:rtl/>
        </w:rPr>
        <w:t xml:space="preserve"> בחוק קובע כי על ענישת קטין יחולו הוראות </w:t>
      </w:r>
      <w:hyperlink r:id="rId54" w:history="1">
        <w:r w:rsidR="00553C6B" w:rsidRPr="00553C6B">
          <w:rPr>
            <w:color w:val="0000FF"/>
            <w:sz w:val="26"/>
            <w:szCs w:val="26"/>
            <w:u w:val="single"/>
            <w:rtl/>
          </w:rPr>
          <w:t>חוק הנו</w:t>
        </w:r>
        <w:r w:rsidR="00553C6B" w:rsidRPr="00553C6B">
          <w:rPr>
            <w:color w:val="0000FF"/>
            <w:sz w:val="26"/>
            <w:szCs w:val="26"/>
            <w:u w:val="single"/>
            <w:rtl/>
          </w:rPr>
          <w:t>ע</w:t>
        </w:r>
        <w:r w:rsidR="00553C6B" w:rsidRPr="00553C6B">
          <w:rPr>
            <w:color w:val="0000FF"/>
            <w:sz w:val="26"/>
            <w:szCs w:val="26"/>
            <w:u w:val="single"/>
            <w:rtl/>
          </w:rPr>
          <w:t>ר (שפיטה, ענישה ודרכי טיפול)</w:t>
        </w:r>
      </w:hyperlink>
      <w:r w:rsidR="00553C6B">
        <w:rPr>
          <w:sz w:val="26"/>
          <w:szCs w:val="26"/>
          <w:rtl/>
        </w:rPr>
        <w:t>, התשל"א-1971 (להלן: "</w:t>
      </w:r>
      <w:r w:rsidR="00553C6B">
        <w:rPr>
          <w:b/>
          <w:bCs/>
          <w:sz w:val="26"/>
          <w:szCs w:val="26"/>
          <w:rtl/>
        </w:rPr>
        <w:t>חוק הנוער</w:t>
      </w:r>
      <w:r w:rsidR="00553C6B">
        <w:rPr>
          <w:sz w:val="26"/>
          <w:szCs w:val="26"/>
          <w:rtl/>
        </w:rPr>
        <w:t xml:space="preserve">"). אולם נקבע שם גם, כי בית המשפט רשאי להתחשב בעקרונות ובשיקולים המנחים בענישה והמנויים </w:t>
      </w:r>
      <w:hyperlink r:id="rId55" w:history="1">
        <w:r w:rsidRPr="00CC31C3">
          <w:rPr>
            <w:color w:val="0000FF"/>
            <w:sz w:val="26"/>
            <w:szCs w:val="26"/>
            <w:u w:val="single"/>
            <w:rtl/>
          </w:rPr>
          <w:t>בסימן א'1</w:t>
        </w:r>
        <w:r w:rsidRPr="00CC31C3">
          <w:rPr>
            <w:color w:val="0000FF"/>
            <w:sz w:val="26"/>
            <w:szCs w:val="26"/>
            <w:u w:val="single"/>
            <w:rtl/>
          </w:rPr>
          <w:t xml:space="preserve"> </w:t>
        </w:r>
        <w:r w:rsidRPr="00CC31C3">
          <w:rPr>
            <w:color w:val="0000FF"/>
            <w:sz w:val="26"/>
            <w:szCs w:val="26"/>
            <w:u w:val="single"/>
            <w:rtl/>
          </w:rPr>
          <w:t>בפרק ו'</w:t>
        </w:r>
      </w:hyperlink>
      <w:r w:rsidR="00553C6B">
        <w:rPr>
          <w:sz w:val="26"/>
          <w:szCs w:val="26"/>
          <w:rtl/>
        </w:rPr>
        <w:t xml:space="preserve"> בחוק, תוך התאמתם לענישת הקטין, ובהתאם לנסיבות המקרה. משכך, אמשיך לדיון לפי "תיקון 113", אולם מאחר שסבאתה היה קטין עת ביצע את המעשים בבסיס האישום הראשון, הרי שחלק זה חוסה תחת הוראות חוק הנוער. </w:t>
      </w:r>
    </w:p>
    <w:p w14:paraId="698A9581" w14:textId="77777777" w:rsidR="004D3032" w:rsidRDefault="00553C6B">
      <w:pPr>
        <w:spacing w:line="360" w:lineRule="auto"/>
        <w:jc w:val="both"/>
        <w:rPr>
          <w:rFonts w:ascii="Arial" w:hAnsi="Arial"/>
          <w:b/>
          <w:bCs/>
          <w:sz w:val="26"/>
          <w:szCs w:val="26"/>
          <w:rtl/>
        </w:rPr>
      </w:pPr>
      <w:r>
        <w:rPr>
          <w:rFonts w:ascii="Arial" w:hAnsi="Arial"/>
          <w:b/>
          <w:bCs/>
          <w:sz w:val="26"/>
          <w:szCs w:val="26"/>
          <w:rtl/>
        </w:rPr>
        <w:t>אירוע אחד או יותר</w:t>
      </w:r>
    </w:p>
    <w:p w14:paraId="04965A32" w14:textId="77777777" w:rsidR="004D3032" w:rsidRDefault="00CC31C3">
      <w:pPr>
        <w:pStyle w:val="ListParagraph"/>
        <w:numPr>
          <w:ilvl w:val="0"/>
          <w:numId w:val="1"/>
        </w:numPr>
        <w:spacing w:after="160" w:line="360" w:lineRule="auto"/>
        <w:ind w:left="425"/>
        <w:contextualSpacing w:val="0"/>
        <w:jc w:val="both"/>
        <w:rPr>
          <w:sz w:val="26"/>
          <w:szCs w:val="26"/>
        </w:rPr>
      </w:pPr>
      <w:hyperlink r:id="rId56" w:history="1">
        <w:r w:rsidRPr="00CC31C3">
          <w:rPr>
            <w:color w:val="0000FF"/>
            <w:sz w:val="26"/>
            <w:szCs w:val="26"/>
            <w:u w:val="single"/>
            <w:rtl/>
          </w:rPr>
          <w:t>סעיף 40יג</w:t>
        </w:r>
      </w:hyperlink>
      <w:r w:rsidR="00553C6B">
        <w:rPr>
          <w:sz w:val="26"/>
          <w:szCs w:val="26"/>
          <w:rtl/>
        </w:rPr>
        <w:t xml:space="preserve"> בחוק קובע כי אם הרשיע בית המשפט נאשם בכמה עבירות המהוות אירוע אחד, יקבע מתחם עונש הולם לאירוע כולו, ואם הרשיע אותו בכמה עבירות המהוות כמה אירועים, יקבע מתחם עונש הולם לעל אירוע בנפרד. </w:t>
      </w:r>
    </w:p>
    <w:p w14:paraId="170EEBF6" w14:textId="77777777" w:rsidR="004D3032" w:rsidRDefault="00553C6B">
      <w:pPr>
        <w:pStyle w:val="ListParagraph"/>
        <w:numPr>
          <w:ilvl w:val="0"/>
          <w:numId w:val="1"/>
        </w:numPr>
        <w:spacing w:after="160" w:line="360" w:lineRule="auto"/>
        <w:ind w:left="425"/>
        <w:contextualSpacing w:val="0"/>
        <w:jc w:val="both"/>
        <w:rPr>
          <w:sz w:val="26"/>
          <w:szCs w:val="26"/>
        </w:rPr>
      </w:pPr>
      <w:r>
        <w:rPr>
          <w:sz w:val="26"/>
          <w:szCs w:val="26"/>
          <w:rtl/>
        </w:rPr>
        <w:t>כידוע, ב</w:t>
      </w:r>
      <w:hyperlink r:id="rId57" w:history="1">
        <w:r w:rsidRPr="00553C6B">
          <w:rPr>
            <w:color w:val="0000FF"/>
            <w:sz w:val="26"/>
            <w:szCs w:val="26"/>
            <w:u w:val="single"/>
            <w:rtl/>
          </w:rPr>
          <w:t>ע"פ 4910/13</w:t>
        </w:r>
      </w:hyperlink>
      <w:r>
        <w:rPr>
          <w:sz w:val="26"/>
          <w:szCs w:val="26"/>
          <w:rtl/>
        </w:rPr>
        <w:t xml:space="preserve"> </w:t>
      </w:r>
      <w:r>
        <w:rPr>
          <w:b/>
          <w:bCs/>
          <w:sz w:val="26"/>
          <w:szCs w:val="26"/>
          <w:rtl/>
        </w:rPr>
        <w:t xml:space="preserve">ג'אבר נ' מדינת ישראל </w:t>
      </w:r>
      <w:r>
        <w:rPr>
          <w:sz w:val="26"/>
          <w:szCs w:val="26"/>
          <w:rtl/>
        </w:rPr>
        <w:t>(29.10.14) נקבע, כי מספר עבירות שיש ביניהן קשר ענייני הדוק, הנובע (בין השאר) מסמיכות זמנים או משום שמדובר בתכנית עבריינית אחת, יהוו "אירוע אחד" (פסקה 5 בפסק דינה של כב' השופט</w:t>
      </w:r>
      <w:r>
        <w:rPr>
          <w:rFonts w:hint="cs"/>
          <w:sz w:val="26"/>
          <w:szCs w:val="26"/>
          <w:rtl/>
        </w:rPr>
        <w:t>ת</w:t>
      </w:r>
      <w:r>
        <w:rPr>
          <w:sz w:val="26"/>
          <w:szCs w:val="26"/>
          <w:rtl/>
        </w:rPr>
        <w:t xml:space="preserve"> ד' ברק</w:t>
      </w:r>
      <w:r>
        <w:rPr>
          <w:rFonts w:hint="cs"/>
          <w:sz w:val="26"/>
          <w:szCs w:val="26"/>
          <w:rtl/>
        </w:rPr>
        <w:t>-</w:t>
      </w:r>
      <w:r>
        <w:rPr>
          <w:sz w:val="26"/>
          <w:szCs w:val="26"/>
          <w:rtl/>
        </w:rPr>
        <w:t xml:space="preserve">ארז; וראו גם </w:t>
      </w:r>
      <w:hyperlink r:id="rId58" w:history="1">
        <w:r w:rsidRPr="00553C6B">
          <w:rPr>
            <w:color w:val="0000FF"/>
            <w:sz w:val="26"/>
            <w:szCs w:val="26"/>
            <w:u w:val="single"/>
            <w:rtl/>
          </w:rPr>
          <w:t>ע"פ 5668/13</w:t>
        </w:r>
      </w:hyperlink>
      <w:r>
        <w:rPr>
          <w:b/>
          <w:bCs/>
          <w:sz w:val="26"/>
          <w:szCs w:val="26"/>
          <w:rtl/>
        </w:rPr>
        <w:t xml:space="preserve"> מזרחי נ' מדינת ישראל</w:t>
      </w:r>
      <w:r>
        <w:rPr>
          <w:sz w:val="26"/>
          <w:szCs w:val="26"/>
          <w:rtl/>
        </w:rPr>
        <w:t xml:space="preserve"> (17.3.16) (להלן: "</w:t>
      </w:r>
      <w:r>
        <w:rPr>
          <w:b/>
          <w:bCs/>
          <w:sz w:val="26"/>
          <w:szCs w:val="26"/>
          <w:rtl/>
        </w:rPr>
        <w:t>עניין מזרחי</w:t>
      </w:r>
      <w:r>
        <w:rPr>
          <w:sz w:val="26"/>
          <w:szCs w:val="26"/>
          <w:rtl/>
        </w:rPr>
        <w:t xml:space="preserve">"), פסקה 26 בפסק דינו של כב' השופט נ' סולברג). אציין, כי נשמעה הדעה שמבחן זה רחב ומאגד במסגרת אחת מעשים שונים וכי יש ליתן למונח אירוע הגדרה שונה ומצומצמת יותר (שם, פסקה 27 בפסק דינו של כב' השופט סולברג; וראו גם </w:t>
      </w:r>
      <w:hyperlink r:id="rId59" w:history="1">
        <w:r w:rsidRPr="00553C6B">
          <w:rPr>
            <w:color w:val="0000FF"/>
            <w:sz w:val="26"/>
            <w:szCs w:val="26"/>
            <w:u w:val="single"/>
            <w:rtl/>
          </w:rPr>
          <w:t>דנ"פ 2999/16</w:t>
        </w:r>
      </w:hyperlink>
      <w:r>
        <w:rPr>
          <w:sz w:val="26"/>
          <w:szCs w:val="26"/>
          <w:rtl/>
        </w:rPr>
        <w:t xml:space="preserve"> </w:t>
      </w:r>
      <w:r>
        <w:rPr>
          <w:b/>
          <w:bCs/>
          <w:sz w:val="26"/>
          <w:szCs w:val="26"/>
          <w:rtl/>
        </w:rPr>
        <w:t xml:space="preserve">מזרחי נ' מדינת ישראל </w:t>
      </w:r>
      <w:r>
        <w:rPr>
          <w:sz w:val="26"/>
          <w:szCs w:val="26"/>
          <w:rtl/>
        </w:rPr>
        <w:t>(22.5.16), פסקה י).</w:t>
      </w:r>
    </w:p>
    <w:p w14:paraId="327EEDE5" w14:textId="77777777" w:rsidR="004D3032" w:rsidRDefault="00553C6B">
      <w:pPr>
        <w:pStyle w:val="ListParagraph"/>
        <w:numPr>
          <w:ilvl w:val="0"/>
          <w:numId w:val="1"/>
        </w:numPr>
        <w:spacing w:after="160" w:line="360" w:lineRule="auto"/>
        <w:ind w:left="425"/>
        <w:contextualSpacing w:val="0"/>
        <w:jc w:val="both"/>
        <w:rPr>
          <w:sz w:val="26"/>
          <w:szCs w:val="26"/>
        </w:rPr>
      </w:pPr>
      <w:r>
        <w:rPr>
          <w:sz w:val="26"/>
          <w:szCs w:val="26"/>
          <w:rtl/>
        </w:rPr>
        <w:t>המעשים מושא האישום הראשון התרחשו ביום 25.4.15 עקב מותו של תושב ג'אבל מוכבר, לאחר שביצע אירוע דריסה. המעשים מושא האישום השני בוצעו ארבעה חודשים לאחר מכן, באוגוסט 2015, עקב רצח משפחת דוואבשה. האירועים מושא האישום השלישי התרחשו חודשיים לאחר מכן (4.10.15) לאחר שנהרג פאדי, והמעשים מושא האישום הרביעי נעשו יום למחרת (5.10.15) והם בוצעו על ידי סבאתה, שידוע שהכיר את פאדי, שמותו הוא הקטליזטור למתואר גם באישום השלישי.</w:t>
      </w:r>
    </w:p>
    <w:p w14:paraId="4A794681" w14:textId="77777777" w:rsidR="004D3032" w:rsidRDefault="00553C6B">
      <w:pPr>
        <w:pStyle w:val="ListParagraph"/>
        <w:numPr>
          <w:ilvl w:val="0"/>
          <w:numId w:val="1"/>
        </w:numPr>
        <w:spacing w:after="160" w:line="360" w:lineRule="auto"/>
        <w:ind w:left="425"/>
        <w:contextualSpacing w:val="0"/>
        <w:jc w:val="both"/>
        <w:rPr>
          <w:sz w:val="26"/>
          <w:szCs w:val="26"/>
        </w:rPr>
      </w:pPr>
      <w:r>
        <w:rPr>
          <w:sz w:val="26"/>
          <w:szCs w:val="26"/>
          <w:rtl/>
        </w:rPr>
        <w:t xml:space="preserve">כזכור, ב"כ המאשימה הסכים כי ניתן לראות בהתרחשויות האירוע השלישי והרביעי כ"אירוע אחד" ואני מאמץ זאת. כן  סבורני, בדומה למאשימה, כי לא ניתן לקבץ את מעשי האישומים הראשון והשני עם האישומים השלישי והרביעי. אמנם קיים חוט אידיאולוגי מקשר בין כלל ההתפרעויות, אך אין מדובר בתוכנית אב שיש בה כדי ללמדנו שמדובר באירוע אחד. ההיפך הוא הנכון. התרחשויות האירוע הראשון, השני, והשלישי (יחד עם הרביעי), כל אחת, נבעו מאירוע מסוים שהתרחש בסמוך לפני וגרמו להתפרעות. הווה אומר כי מדובר בשלושה אירועים שונים. </w:t>
      </w:r>
    </w:p>
    <w:p w14:paraId="29929450" w14:textId="77777777" w:rsidR="004D3032" w:rsidRDefault="00553C6B">
      <w:pPr>
        <w:spacing w:line="360" w:lineRule="auto"/>
        <w:jc w:val="both"/>
        <w:rPr>
          <w:rFonts w:ascii="Arial" w:hAnsi="Arial"/>
          <w:b/>
          <w:bCs/>
          <w:sz w:val="26"/>
          <w:szCs w:val="26"/>
        </w:rPr>
      </w:pPr>
      <w:r>
        <w:rPr>
          <w:rFonts w:ascii="Arial" w:hAnsi="Arial"/>
          <w:b/>
          <w:bCs/>
          <w:sz w:val="26"/>
          <w:szCs w:val="26"/>
          <w:rtl/>
        </w:rPr>
        <w:t>מתחם העונש</w:t>
      </w:r>
    </w:p>
    <w:p w14:paraId="7750858B" w14:textId="77777777" w:rsidR="004D3032" w:rsidRDefault="00553C6B">
      <w:pPr>
        <w:pStyle w:val="ListParagraph"/>
        <w:numPr>
          <w:ilvl w:val="0"/>
          <w:numId w:val="1"/>
        </w:numPr>
        <w:spacing w:after="160" w:line="360" w:lineRule="auto"/>
        <w:ind w:left="425"/>
        <w:contextualSpacing w:val="0"/>
        <w:jc w:val="both"/>
        <w:rPr>
          <w:sz w:val="26"/>
          <w:szCs w:val="26"/>
        </w:rPr>
      </w:pPr>
      <w:r>
        <w:rPr>
          <w:rFonts w:ascii="Arial" w:hAnsi="Arial"/>
          <w:sz w:val="26"/>
          <w:szCs w:val="26"/>
          <w:rtl/>
        </w:rPr>
        <w:t xml:space="preserve"> </w:t>
      </w:r>
      <w:hyperlink r:id="rId60" w:history="1">
        <w:r w:rsidR="00CC31C3" w:rsidRPr="00CC31C3">
          <w:rPr>
            <w:rFonts w:ascii="Arial" w:hAnsi="Arial"/>
            <w:color w:val="0000FF"/>
            <w:sz w:val="26"/>
            <w:szCs w:val="26"/>
            <w:u w:val="single"/>
            <w:rtl/>
          </w:rPr>
          <w:t xml:space="preserve">בסעיף </w:t>
        </w:r>
        <w:r w:rsidR="00CC31C3" w:rsidRPr="00CC31C3">
          <w:rPr>
            <w:rFonts w:ascii="Arial" w:hAnsi="Arial"/>
            <w:color w:val="0000FF"/>
            <w:sz w:val="26"/>
            <w:szCs w:val="26"/>
            <w:u w:val="single"/>
            <w:rtl/>
          </w:rPr>
          <w:t>4</w:t>
        </w:r>
        <w:r w:rsidR="00CC31C3" w:rsidRPr="00CC31C3">
          <w:rPr>
            <w:rFonts w:ascii="Arial" w:hAnsi="Arial"/>
            <w:color w:val="0000FF"/>
            <w:sz w:val="26"/>
            <w:szCs w:val="26"/>
            <w:u w:val="single"/>
            <w:rtl/>
          </w:rPr>
          <w:t>0ג(א)</w:t>
        </w:r>
      </w:hyperlink>
      <w:r>
        <w:rPr>
          <w:rFonts w:ascii="Arial" w:hAnsi="Arial"/>
          <w:sz w:val="26"/>
          <w:szCs w:val="26"/>
          <w:rtl/>
        </w:rPr>
        <w:t xml:space="preserve"> בחוק נאמר, כי "</w:t>
      </w:r>
      <w:r>
        <w:rPr>
          <w:rFonts w:ascii="Arial" w:hAnsi="Arial"/>
          <w:b/>
          <w:bCs/>
          <w:sz w:val="26"/>
          <w:szCs w:val="26"/>
          <w:rtl/>
        </w:rPr>
        <w:t>בית המשפט יקבע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כאמור בסעיף 40ט</w:t>
      </w:r>
      <w:r>
        <w:rPr>
          <w:rFonts w:ascii="Arial" w:hAnsi="Arial"/>
          <w:sz w:val="26"/>
          <w:szCs w:val="26"/>
          <w:rtl/>
        </w:rPr>
        <w:t xml:space="preserve">". </w:t>
      </w:r>
      <w:hyperlink r:id="rId61" w:history="1">
        <w:r w:rsidR="00C04491" w:rsidRPr="00C04491">
          <w:rPr>
            <w:rStyle w:val="Hyperlink"/>
            <w:rFonts w:ascii="Arial" w:hAnsi="Arial"/>
            <w:sz w:val="26"/>
            <w:szCs w:val="26"/>
            <w:rtl/>
          </w:rPr>
          <w:t>בסעיף 40ב</w:t>
        </w:r>
      </w:hyperlink>
      <w:r>
        <w:rPr>
          <w:rFonts w:ascii="Arial" w:hAnsi="Arial"/>
          <w:sz w:val="26"/>
          <w:szCs w:val="26"/>
          <w:rtl/>
        </w:rPr>
        <w:t xml:space="preserve"> בחוק נאמר, כי "</w:t>
      </w:r>
      <w:r>
        <w:rPr>
          <w:rFonts w:ascii="Arial" w:hAnsi="Arial"/>
          <w:b/>
          <w:bCs/>
          <w:sz w:val="26"/>
          <w:szCs w:val="26"/>
          <w:rtl/>
        </w:rPr>
        <w:t xml:space="preserve">העיקרון המנחה בענישה הוא קיומו של יחס הולם בין חומרת מעשה העבירה בנסיבותיו ומידת אשמו של הנאשם ובין </w:t>
      </w:r>
      <w:r>
        <w:rPr>
          <w:b/>
          <w:bCs/>
          <w:sz w:val="26"/>
          <w:szCs w:val="26"/>
          <w:rtl/>
        </w:rPr>
        <w:t>סוג ומידת העונש המוטל עליו</w:t>
      </w:r>
      <w:r>
        <w:rPr>
          <w:sz w:val="26"/>
          <w:szCs w:val="26"/>
          <w:rtl/>
        </w:rPr>
        <w:t>".</w:t>
      </w:r>
    </w:p>
    <w:p w14:paraId="67202672" w14:textId="77777777" w:rsidR="004D3032" w:rsidRDefault="00553C6B">
      <w:pPr>
        <w:pStyle w:val="ListParagraph"/>
        <w:numPr>
          <w:ilvl w:val="0"/>
          <w:numId w:val="1"/>
        </w:numPr>
        <w:spacing w:after="160" w:line="360" w:lineRule="auto"/>
        <w:ind w:left="425"/>
        <w:contextualSpacing w:val="0"/>
        <w:jc w:val="both"/>
        <w:rPr>
          <w:rFonts w:ascii="Arial" w:hAnsi="Arial"/>
          <w:sz w:val="26"/>
          <w:szCs w:val="26"/>
        </w:rPr>
      </w:pPr>
      <w:r>
        <w:rPr>
          <w:sz w:val="26"/>
          <w:szCs w:val="26"/>
          <w:rtl/>
        </w:rPr>
        <w:t>בית המשפט העליון מצא לנכון להדגיש, כי עקרון ההלימה מביא בחשבון את חומרת</w:t>
      </w:r>
      <w:r>
        <w:rPr>
          <w:rFonts w:ascii="Arial" w:hAnsi="Arial"/>
          <w:sz w:val="26"/>
          <w:szCs w:val="26"/>
          <w:rtl/>
        </w:rPr>
        <w:t xml:space="preserve"> מעשה העבירה בנסיבותיו ואת מידת אשמו של הנאשם. קרי, יש להתחשב לא רק בסוג העבירה שבוצעה, אלא גם בנסיבות שבהן בוצעה ובמידת אשמו של הנאשם בביצועה. בקביעת המתחם יובאו רק השיקולים הקשורים בעבירה, בעוד שנסיבותיו האישיות של הנאשם מובאות בחשבון אך במניין השיקולים בקביעת העונש המתאים בתוך מתחם הענישה. עוד ציין בית המשפט, כי אומנם המחוקק לא התייחס להיקפו הרצוי של מתחם הענישה, אך ברור כי מתחם רחב מאוד לא ישרת את תכליתו של תיקון 113 (</w:t>
      </w:r>
      <w:hyperlink r:id="rId62" w:history="1">
        <w:r w:rsidRPr="00553C6B">
          <w:rPr>
            <w:rFonts w:ascii="Arial" w:hAnsi="Arial"/>
            <w:color w:val="0000FF"/>
            <w:sz w:val="26"/>
            <w:szCs w:val="26"/>
            <w:u w:val="single"/>
            <w:rtl/>
          </w:rPr>
          <w:t>ע"פ 8641/12</w:t>
        </w:r>
      </w:hyperlink>
      <w:r>
        <w:rPr>
          <w:rFonts w:ascii="Arial" w:hAnsi="Arial"/>
          <w:b/>
          <w:bCs/>
          <w:sz w:val="26"/>
          <w:szCs w:val="26"/>
          <w:rtl/>
        </w:rPr>
        <w:t xml:space="preserve"> סעד נ' מדינת ישראל</w:t>
      </w:r>
      <w:r>
        <w:rPr>
          <w:rFonts w:ascii="Arial" w:hAnsi="Arial"/>
          <w:sz w:val="26"/>
          <w:szCs w:val="26"/>
          <w:rtl/>
        </w:rPr>
        <w:t xml:space="preserve"> (5.8.13), פסקאות 23 – 24). כן הדגיש בית המשפט, כי הנסיבות הקשורות לביצוע העבירה הנבחנות בעת קביעת מתחם הענישה (כמפורט </w:t>
      </w:r>
      <w:hyperlink r:id="rId63" w:history="1">
        <w:r w:rsidR="00C04491" w:rsidRPr="00C04491">
          <w:rPr>
            <w:rStyle w:val="Hyperlink"/>
            <w:rFonts w:ascii="Arial" w:hAnsi="Arial"/>
            <w:sz w:val="26"/>
            <w:szCs w:val="26"/>
            <w:rtl/>
          </w:rPr>
          <w:t>בסעיף 40ט</w:t>
        </w:r>
      </w:hyperlink>
      <w:r>
        <w:rPr>
          <w:rFonts w:ascii="Arial" w:hAnsi="Arial"/>
          <w:sz w:val="26"/>
          <w:szCs w:val="26"/>
          <w:rtl/>
        </w:rPr>
        <w:t xml:space="preserve"> לחוק) והנסיבות שאינן קשורות לביצוע העבירה, הנבחנות בגזירת העונש (כמפורט </w:t>
      </w:r>
      <w:hyperlink r:id="rId64" w:history="1">
        <w:r w:rsidR="00C04491" w:rsidRPr="00C04491">
          <w:rPr>
            <w:rStyle w:val="Hyperlink"/>
            <w:rFonts w:ascii="Arial" w:hAnsi="Arial"/>
            <w:sz w:val="26"/>
            <w:szCs w:val="26"/>
            <w:rtl/>
          </w:rPr>
          <w:t>בסעיף 40יא</w:t>
        </w:r>
      </w:hyperlink>
      <w:r>
        <w:rPr>
          <w:rFonts w:ascii="Arial" w:hAnsi="Arial"/>
          <w:sz w:val="26"/>
          <w:szCs w:val="26"/>
          <w:rtl/>
        </w:rPr>
        <w:t xml:space="preserve"> לחוק), אינן רשימה סגורה, ואין בנסיבות שציין המחוקק שאותן פרט במפורש כדי לגרוע מסמכותו של בית המשפט לשקול נסיבות נוספות (</w:t>
      </w:r>
      <w:hyperlink r:id="rId65" w:history="1">
        <w:r w:rsidR="00C04491" w:rsidRPr="00C04491">
          <w:rPr>
            <w:rStyle w:val="Hyperlink"/>
            <w:rFonts w:ascii="Arial" w:hAnsi="Arial"/>
            <w:sz w:val="26"/>
            <w:szCs w:val="26"/>
            <w:rtl/>
          </w:rPr>
          <w:t>סעיף 40יב</w:t>
        </w:r>
      </w:hyperlink>
      <w:r>
        <w:rPr>
          <w:rFonts w:ascii="Arial" w:hAnsi="Arial"/>
          <w:sz w:val="26"/>
          <w:szCs w:val="26"/>
          <w:rtl/>
        </w:rPr>
        <w:t xml:space="preserve"> לחוק) (שם, שם). </w:t>
      </w:r>
    </w:p>
    <w:p w14:paraId="576FD47B" w14:textId="77777777" w:rsidR="004D3032" w:rsidRDefault="00553C6B">
      <w:pPr>
        <w:pStyle w:val="ListParagraph"/>
        <w:numPr>
          <w:ilvl w:val="0"/>
          <w:numId w:val="1"/>
        </w:numPr>
        <w:spacing w:after="160" w:line="360" w:lineRule="auto"/>
        <w:ind w:left="425"/>
        <w:contextualSpacing w:val="0"/>
        <w:jc w:val="both"/>
        <w:rPr>
          <w:rFonts w:ascii="Arial" w:hAnsi="Arial"/>
          <w:sz w:val="26"/>
          <w:szCs w:val="26"/>
        </w:rPr>
      </w:pPr>
      <w:r>
        <w:rPr>
          <w:rFonts w:ascii="Arial" w:hAnsi="Arial"/>
          <w:sz w:val="26"/>
          <w:szCs w:val="26"/>
          <w:rtl/>
        </w:rPr>
        <w:t>הווה אומר, ועל פי ההלכה הנוהגת, עתה עליי להידרש לשלוש אמות מידה: (1) הערך החברתי שנפגע מביצוע העבירה ומידת הפגיעה בו; (2) מדיניות הענישה הנהוגה; ו-(3) הנסיבות הקשורות בביצוע העבירה (</w:t>
      </w:r>
      <w:r>
        <w:rPr>
          <w:rFonts w:ascii="Arial" w:hAnsi="Arial"/>
          <w:b/>
          <w:bCs/>
          <w:sz w:val="26"/>
          <w:szCs w:val="26"/>
          <w:rtl/>
        </w:rPr>
        <w:t>עניין מזרחי</w:t>
      </w:r>
      <w:r>
        <w:rPr>
          <w:rFonts w:ascii="Arial" w:hAnsi="Arial"/>
          <w:sz w:val="26"/>
          <w:szCs w:val="26"/>
          <w:rtl/>
        </w:rPr>
        <w:t>, פסקה 32 בפסק דינו של כב' השופט נ' סולברג).</w:t>
      </w:r>
    </w:p>
    <w:p w14:paraId="78375031" w14:textId="77777777" w:rsidR="004D3032" w:rsidRDefault="00553C6B">
      <w:pPr>
        <w:pStyle w:val="ListParagraph"/>
        <w:numPr>
          <w:ilvl w:val="0"/>
          <w:numId w:val="1"/>
        </w:numPr>
        <w:spacing w:after="160" w:line="360" w:lineRule="auto"/>
        <w:ind w:left="425"/>
        <w:contextualSpacing w:val="0"/>
        <w:jc w:val="both"/>
        <w:rPr>
          <w:rFonts w:ascii="Arial" w:hAnsi="Arial"/>
          <w:sz w:val="26"/>
          <w:szCs w:val="26"/>
        </w:rPr>
      </w:pPr>
      <w:r>
        <w:rPr>
          <w:rFonts w:ascii="Arial" w:hAnsi="Arial"/>
          <w:sz w:val="26"/>
          <w:szCs w:val="26"/>
          <w:rtl/>
        </w:rPr>
        <w:t>אשר ל</w:t>
      </w:r>
      <w:r>
        <w:rPr>
          <w:rFonts w:ascii="Arial" w:hAnsi="Arial"/>
          <w:b/>
          <w:bCs/>
          <w:sz w:val="26"/>
          <w:szCs w:val="26"/>
          <w:rtl/>
        </w:rPr>
        <w:t>ערכים המוגנים</w:t>
      </w:r>
      <w:r>
        <w:rPr>
          <w:rFonts w:ascii="Arial" w:hAnsi="Arial"/>
          <w:sz w:val="26"/>
          <w:szCs w:val="26"/>
          <w:rtl/>
        </w:rPr>
        <w:t xml:space="preserve"> בבסיס העבירות בהן עסקינן – אתייחס בהמשך לערך המוגן בכל עבירה ועבירה, אך ככלל, ברור שמעשי הנאשמים בוצעו מתוך התרסה כלפי מוסדות השלטון, תוך פגיעה בשלום הציבור וב</w:t>
      </w:r>
      <w:r>
        <w:rPr>
          <w:rFonts w:ascii="Arial" w:hAnsi="Arial" w:hint="cs"/>
          <w:sz w:val="26"/>
          <w:szCs w:val="26"/>
          <w:rtl/>
        </w:rPr>
        <w:t>י</w:t>
      </w:r>
      <w:r>
        <w:rPr>
          <w:rFonts w:ascii="Arial" w:hAnsi="Arial"/>
          <w:sz w:val="26"/>
          <w:szCs w:val="26"/>
          <w:rtl/>
        </w:rPr>
        <w:t>טחונו, וב</w:t>
      </w:r>
      <w:r>
        <w:rPr>
          <w:rFonts w:ascii="Arial" w:hAnsi="Arial" w:hint="cs"/>
          <w:sz w:val="26"/>
          <w:szCs w:val="26"/>
          <w:rtl/>
        </w:rPr>
        <w:t>י</w:t>
      </w:r>
      <w:r>
        <w:rPr>
          <w:rFonts w:ascii="Arial" w:hAnsi="Arial"/>
          <w:sz w:val="26"/>
          <w:szCs w:val="26"/>
          <w:rtl/>
        </w:rPr>
        <w:t xml:space="preserve">טחון כוחות השיטור והצבא, שמעשי הנאשמים סיכנו אותם ואף היו יכולים לגרום למשרתים בהם לפציעה קשה ואף למוות. </w:t>
      </w:r>
    </w:p>
    <w:p w14:paraId="7D0C5C03" w14:textId="77777777" w:rsidR="004D3032" w:rsidRDefault="00553C6B">
      <w:pPr>
        <w:pStyle w:val="ListParagraph"/>
        <w:numPr>
          <w:ilvl w:val="1"/>
          <w:numId w:val="1"/>
        </w:numPr>
        <w:spacing w:after="160" w:line="360" w:lineRule="auto"/>
        <w:ind w:left="1077" w:hanging="720"/>
        <w:contextualSpacing w:val="0"/>
        <w:jc w:val="both"/>
        <w:rPr>
          <w:rFonts w:ascii="Arial" w:hAnsi="Arial"/>
          <w:sz w:val="26"/>
          <w:szCs w:val="26"/>
          <w:rtl/>
        </w:rPr>
      </w:pPr>
      <w:r>
        <w:rPr>
          <w:rFonts w:ascii="Arial" w:hAnsi="Arial"/>
          <w:sz w:val="26"/>
          <w:szCs w:val="26"/>
          <w:rtl/>
        </w:rPr>
        <w:t xml:space="preserve">הערך המוגן בעבירות נשיאה והובלת נשק (עבירה לפי </w:t>
      </w:r>
      <w:hyperlink r:id="rId66" w:history="1">
        <w:r w:rsidR="00C04491" w:rsidRPr="00C04491">
          <w:rPr>
            <w:rStyle w:val="Hyperlink"/>
            <w:rFonts w:ascii="Arial" w:hAnsi="Arial"/>
            <w:sz w:val="26"/>
            <w:szCs w:val="26"/>
            <w:rtl/>
          </w:rPr>
          <w:t>סעיף 144(ב)</w:t>
        </w:r>
      </w:hyperlink>
      <w:r>
        <w:rPr>
          <w:rFonts w:ascii="Arial" w:hAnsi="Arial"/>
          <w:sz w:val="26"/>
          <w:szCs w:val="26"/>
          <w:rtl/>
        </w:rPr>
        <w:t xml:space="preserve"> רישא בחוק) וייצור נשק (עבירה לפי </w:t>
      </w:r>
      <w:hyperlink r:id="rId67" w:history="1">
        <w:r w:rsidR="00C04491" w:rsidRPr="00C04491">
          <w:rPr>
            <w:rStyle w:val="Hyperlink"/>
            <w:rFonts w:ascii="Arial" w:hAnsi="Arial"/>
            <w:sz w:val="26"/>
            <w:szCs w:val="26"/>
            <w:rtl/>
          </w:rPr>
          <w:t>סעיף 144(ב2)</w:t>
        </w:r>
      </w:hyperlink>
      <w:r>
        <w:rPr>
          <w:rFonts w:ascii="Arial" w:hAnsi="Arial"/>
          <w:sz w:val="26"/>
          <w:szCs w:val="26"/>
          <w:rtl/>
        </w:rPr>
        <w:t xml:space="preserve"> בחוק) הנו שלום הציבור וביטחונו.  גם כאשר מדובר "אך" בנשיאת נשק, וכמובן כאשר מדובר בייצורו, קיימת הסכנה שהנשק ישמש פעילות עבריינית ויביא לקיפוח חיי אדם (</w:t>
      </w:r>
      <w:hyperlink r:id="rId68" w:history="1">
        <w:r w:rsidRPr="00553C6B">
          <w:rPr>
            <w:rFonts w:ascii="Arial" w:hAnsi="Arial"/>
            <w:color w:val="0000FF"/>
            <w:sz w:val="26"/>
            <w:szCs w:val="26"/>
            <w:u w:val="single"/>
            <w:rtl/>
          </w:rPr>
          <w:t>ע"פ 4945/13</w:t>
        </w:r>
      </w:hyperlink>
      <w:r>
        <w:rPr>
          <w:rFonts w:ascii="Arial" w:hAnsi="Arial"/>
          <w:sz w:val="26"/>
          <w:szCs w:val="26"/>
          <w:rtl/>
        </w:rPr>
        <w:t xml:space="preserve"> </w:t>
      </w:r>
      <w:r>
        <w:rPr>
          <w:rFonts w:ascii="Arial" w:hAnsi="Arial"/>
          <w:b/>
          <w:bCs/>
          <w:sz w:val="26"/>
          <w:szCs w:val="26"/>
          <w:rtl/>
        </w:rPr>
        <w:t>מדינת ישראל נ' עבד אלכרים סלימאן</w:t>
      </w:r>
      <w:r>
        <w:rPr>
          <w:rFonts w:ascii="Arial" w:hAnsi="Arial"/>
          <w:sz w:val="26"/>
          <w:szCs w:val="26"/>
          <w:rtl/>
        </w:rPr>
        <w:t xml:space="preserve"> (19.1.14), פסקה 11; </w:t>
      </w:r>
      <w:hyperlink r:id="rId69" w:history="1">
        <w:r w:rsidRPr="00553C6B">
          <w:rPr>
            <w:rFonts w:ascii="Arial" w:hAnsi="Arial"/>
            <w:color w:val="0000FF"/>
            <w:sz w:val="26"/>
            <w:szCs w:val="26"/>
            <w:u w:val="single"/>
            <w:rtl/>
          </w:rPr>
          <w:t>ת"פ (מחוזי י-ם) 31685-11-15</w:t>
        </w:r>
      </w:hyperlink>
      <w:r>
        <w:rPr>
          <w:rFonts w:ascii="Arial" w:hAnsi="Arial"/>
          <w:sz w:val="26"/>
          <w:szCs w:val="26"/>
          <w:rtl/>
        </w:rPr>
        <w:t xml:space="preserve"> </w:t>
      </w:r>
      <w:r>
        <w:rPr>
          <w:rFonts w:ascii="Arial" w:hAnsi="Arial"/>
          <w:b/>
          <w:bCs/>
          <w:sz w:val="26"/>
          <w:szCs w:val="26"/>
          <w:rtl/>
        </w:rPr>
        <w:t>מדינת ישראל נ' אבו סעד</w:t>
      </w:r>
      <w:r>
        <w:rPr>
          <w:rFonts w:ascii="Arial" w:hAnsi="Arial"/>
          <w:sz w:val="26"/>
          <w:szCs w:val="26"/>
          <w:rtl/>
        </w:rPr>
        <w:t xml:space="preserve"> (13.12.16) (להלן: "</w:t>
      </w:r>
      <w:r>
        <w:rPr>
          <w:rFonts w:ascii="Arial" w:hAnsi="Arial"/>
          <w:b/>
          <w:bCs/>
          <w:sz w:val="26"/>
          <w:szCs w:val="26"/>
          <w:rtl/>
        </w:rPr>
        <w:t>עניין אבו סעד</w:t>
      </w:r>
      <w:r>
        <w:rPr>
          <w:rFonts w:ascii="Arial" w:hAnsi="Arial"/>
          <w:sz w:val="26"/>
          <w:szCs w:val="26"/>
          <w:rtl/>
        </w:rPr>
        <w:t xml:space="preserve">"), פסקה 36). המחוקק קבע </w:t>
      </w:r>
      <w:hyperlink r:id="rId70" w:history="1">
        <w:r w:rsidR="00C04491" w:rsidRPr="00C04491">
          <w:rPr>
            <w:rStyle w:val="Hyperlink"/>
            <w:rFonts w:ascii="Arial" w:hAnsi="Arial"/>
            <w:sz w:val="26"/>
            <w:szCs w:val="26"/>
            <w:rtl/>
          </w:rPr>
          <w:t>בסעיף 144(ב)</w:t>
        </w:r>
      </w:hyperlink>
      <w:r>
        <w:rPr>
          <w:rFonts w:ascii="Arial" w:hAnsi="Arial"/>
          <w:sz w:val="26"/>
          <w:szCs w:val="26"/>
          <w:rtl/>
        </w:rPr>
        <w:t xml:space="preserve"> רישא עונש של עשר שנות מאסר, </w:t>
      </w:r>
      <w:hyperlink r:id="rId71" w:history="1">
        <w:r w:rsidR="00C04491" w:rsidRPr="00C04491">
          <w:rPr>
            <w:rStyle w:val="Hyperlink"/>
            <w:rFonts w:ascii="Arial" w:hAnsi="Arial"/>
            <w:sz w:val="26"/>
            <w:szCs w:val="26"/>
            <w:rtl/>
          </w:rPr>
          <w:t>ובסעיף 144(ב2)</w:t>
        </w:r>
      </w:hyperlink>
      <w:r>
        <w:rPr>
          <w:rFonts w:ascii="Arial" w:hAnsi="Arial"/>
          <w:sz w:val="26"/>
          <w:szCs w:val="26"/>
          <w:rtl/>
        </w:rPr>
        <w:t xml:space="preserve"> נקבע עונש של 15 שנות מאסר.</w:t>
      </w:r>
    </w:p>
    <w:p w14:paraId="5E32D4CD" w14:textId="77777777" w:rsidR="004D3032" w:rsidRDefault="00553C6B">
      <w:pPr>
        <w:pStyle w:val="ListParagraph"/>
        <w:numPr>
          <w:ilvl w:val="1"/>
          <w:numId w:val="1"/>
        </w:numPr>
        <w:spacing w:after="160" w:line="360" w:lineRule="auto"/>
        <w:ind w:left="1077" w:hanging="720"/>
        <w:contextualSpacing w:val="0"/>
        <w:jc w:val="both"/>
        <w:rPr>
          <w:rFonts w:ascii="Arial" w:hAnsi="Arial"/>
          <w:sz w:val="26"/>
          <w:szCs w:val="26"/>
        </w:rPr>
      </w:pPr>
      <w:r>
        <w:rPr>
          <w:rFonts w:ascii="Arial" w:hAnsi="Arial"/>
          <w:sz w:val="26"/>
          <w:szCs w:val="26"/>
          <w:rtl/>
        </w:rPr>
        <w:t xml:space="preserve">הערך המוגן בעבירת ההתפרעות (עבירה לפי סעיף </w:t>
      </w:r>
      <w:hyperlink r:id="rId72" w:history="1">
        <w:r w:rsidR="00C04491" w:rsidRPr="00C04491">
          <w:rPr>
            <w:rFonts w:ascii="Arial" w:hAnsi="Arial"/>
            <w:color w:val="0000FF"/>
            <w:sz w:val="26"/>
            <w:szCs w:val="26"/>
            <w:u w:val="single"/>
            <w:rtl/>
          </w:rPr>
          <w:t>152</w:t>
        </w:r>
      </w:hyperlink>
      <w:r>
        <w:rPr>
          <w:rFonts w:ascii="Arial" w:hAnsi="Arial"/>
          <w:sz w:val="26"/>
          <w:szCs w:val="26"/>
          <w:rtl/>
        </w:rPr>
        <w:t>), וכעולה מלשון החוק, הוא שלום הציבור. העונש הקבוע לצד עבירה זו הנו שתי שנות מאסר (</w:t>
      </w:r>
      <w:r>
        <w:rPr>
          <w:rFonts w:ascii="Arial" w:hAnsi="Arial"/>
          <w:b/>
          <w:bCs/>
          <w:sz w:val="26"/>
          <w:szCs w:val="26"/>
          <w:rtl/>
        </w:rPr>
        <w:t>עניין אבו סעד</w:t>
      </w:r>
      <w:r>
        <w:rPr>
          <w:rFonts w:ascii="Arial" w:hAnsi="Arial"/>
          <w:sz w:val="26"/>
          <w:szCs w:val="26"/>
          <w:rtl/>
        </w:rPr>
        <w:t xml:space="preserve">, פסקה 36).  </w:t>
      </w:r>
    </w:p>
    <w:p w14:paraId="5F1AA419" w14:textId="77777777" w:rsidR="004D3032" w:rsidRDefault="00553C6B">
      <w:pPr>
        <w:pStyle w:val="ListParagraph"/>
        <w:numPr>
          <w:ilvl w:val="1"/>
          <w:numId w:val="1"/>
        </w:numPr>
        <w:spacing w:after="160" w:line="360" w:lineRule="auto"/>
        <w:ind w:left="1077" w:hanging="720"/>
        <w:contextualSpacing w:val="0"/>
        <w:jc w:val="both"/>
        <w:rPr>
          <w:rFonts w:ascii="Arial" w:hAnsi="Arial"/>
          <w:sz w:val="26"/>
          <w:szCs w:val="26"/>
        </w:rPr>
      </w:pPr>
      <w:r>
        <w:rPr>
          <w:rFonts w:ascii="Arial" w:hAnsi="Arial"/>
          <w:sz w:val="26"/>
          <w:szCs w:val="26"/>
          <w:rtl/>
        </w:rPr>
        <w:t>הערכים המוגנים בעבירות ניסיון תקיפת עובד ציבור וניסיון תקיפת עובד ציבור  בנסיבות מחמירות הם ההגנה על שלטון החוק ועל הסדר הציבורי כמו גם ב</w:t>
      </w:r>
      <w:r>
        <w:rPr>
          <w:rFonts w:ascii="Arial" w:hAnsi="Arial" w:hint="cs"/>
          <w:sz w:val="26"/>
          <w:szCs w:val="26"/>
          <w:rtl/>
        </w:rPr>
        <w:t>י</w:t>
      </w:r>
      <w:r>
        <w:rPr>
          <w:rFonts w:ascii="Arial" w:hAnsi="Arial"/>
          <w:sz w:val="26"/>
          <w:szCs w:val="26"/>
          <w:rtl/>
        </w:rPr>
        <w:t xml:space="preserve">טחון ושלום כוחות הביטחון, אשר הפגיעה בהם גם מהווה קריאת תיגר על רשויות החוק והאכיפה (השוו </w:t>
      </w:r>
      <w:hyperlink r:id="rId73" w:history="1">
        <w:r w:rsidRPr="00553C6B">
          <w:rPr>
            <w:color w:val="0000FF"/>
            <w:sz w:val="26"/>
            <w:szCs w:val="26"/>
            <w:u w:val="single"/>
            <w:rtl/>
          </w:rPr>
          <w:t>ת"פ 65677-11-15</w:t>
        </w:r>
      </w:hyperlink>
      <w:r>
        <w:rPr>
          <w:sz w:val="26"/>
          <w:szCs w:val="26"/>
          <w:rtl/>
        </w:rPr>
        <w:t xml:space="preserve"> (מחוזי י-ם) </w:t>
      </w:r>
      <w:r>
        <w:rPr>
          <w:b/>
          <w:bCs/>
          <w:sz w:val="26"/>
          <w:szCs w:val="26"/>
          <w:rtl/>
        </w:rPr>
        <w:t>מדינת ישראל נ' עטייה</w:t>
      </w:r>
      <w:r>
        <w:rPr>
          <w:sz w:val="26"/>
          <w:szCs w:val="26"/>
          <w:rtl/>
        </w:rPr>
        <w:t xml:space="preserve"> (28.9.16)</w:t>
      </w:r>
      <w:r>
        <w:rPr>
          <w:rFonts w:ascii="Arial" w:hAnsi="Arial"/>
          <w:sz w:val="26"/>
          <w:szCs w:val="26"/>
          <w:rtl/>
        </w:rPr>
        <w:t xml:space="preserve">, תחת הכותר קביעת מתחם הענישה לכל אירוע בנפרד). העונש שנקבע </w:t>
      </w:r>
      <w:hyperlink r:id="rId74" w:history="1">
        <w:r w:rsidR="00C04491" w:rsidRPr="00C04491">
          <w:rPr>
            <w:rFonts w:ascii="Arial" w:hAnsi="Arial"/>
            <w:color w:val="0000FF"/>
            <w:sz w:val="26"/>
            <w:szCs w:val="26"/>
            <w:u w:val="single"/>
            <w:rtl/>
          </w:rPr>
          <w:t>בסעיף 382א</w:t>
        </w:r>
      </w:hyperlink>
      <w:r>
        <w:rPr>
          <w:rFonts w:ascii="Arial" w:hAnsi="Arial"/>
          <w:sz w:val="26"/>
          <w:szCs w:val="26"/>
          <w:rtl/>
        </w:rPr>
        <w:t xml:space="preserve"> ה</w:t>
      </w:r>
      <w:r>
        <w:rPr>
          <w:rFonts w:ascii="Arial" w:hAnsi="Arial" w:hint="cs"/>
          <w:sz w:val="26"/>
          <w:szCs w:val="26"/>
          <w:rtl/>
        </w:rPr>
        <w:t>ו</w:t>
      </w:r>
      <w:r>
        <w:rPr>
          <w:rFonts w:ascii="Arial" w:hAnsi="Arial"/>
          <w:sz w:val="26"/>
          <w:szCs w:val="26"/>
          <w:rtl/>
        </w:rPr>
        <w:t>א שלוש שנות מאסר (ס"ק (</w:t>
      </w:r>
      <w:r w:rsidR="00C04491" w:rsidRPr="00C04491">
        <w:rPr>
          <w:rFonts w:ascii="Arial" w:hAnsi="Arial"/>
          <w:color w:val="0000FF"/>
          <w:sz w:val="26"/>
          <w:szCs w:val="26"/>
          <w:u w:val="single"/>
          <w:rtl/>
        </w:rPr>
        <w:fldChar w:fldCharType="begin"/>
      </w:r>
      <w:r w:rsidR="00C04491" w:rsidRPr="00C04491">
        <w:rPr>
          <w:rFonts w:ascii="Arial" w:hAnsi="Arial"/>
          <w:color w:val="0000FF"/>
          <w:sz w:val="26"/>
          <w:szCs w:val="26"/>
          <w:u w:val="single"/>
          <w:rtl/>
        </w:rPr>
        <w:instrText xml:space="preserve"> </w:instrText>
      </w:r>
      <w:r w:rsidR="00C04491" w:rsidRPr="00C04491">
        <w:rPr>
          <w:rFonts w:ascii="Arial" w:hAnsi="Arial"/>
          <w:color w:val="0000FF"/>
          <w:sz w:val="26"/>
          <w:szCs w:val="26"/>
          <w:u w:val="single"/>
        </w:rPr>
        <w:instrText>HYPERLINK</w:instrText>
      </w:r>
      <w:r w:rsidR="00C04491" w:rsidRPr="00C04491">
        <w:rPr>
          <w:rFonts w:ascii="Arial" w:hAnsi="Arial"/>
          <w:color w:val="0000FF"/>
          <w:sz w:val="26"/>
          <w:szCs w:val="26"/>
          <w:u w:val="single"/>
          <w:rtl/>
        </w:rPr>
        <w:instrText xml:space="preserve"> "</w:instrText>
      </w:r>
      <w:r w:rsidR="00C04491" w:rsidRPr="00C04491">
        <w:rPr>
          <w:rFonts w:ascii="Arial" w:hAnsi="Arial"/>
          <w:color w:val="0000FF"/>
          <w:sz w:val="26"/>
          <w:szCs w:val="26"/>
          <w:u w:val="single"/>
        </w:rPr>
        <w:instrText>http://www.nevo.co.il/law/70301/382a.a</w:instrText>
      </w:r>
      <w:r w:rsidR="00C04491" w:rsidRPr="00C04491">
        <w:rPr>
          <w:rFonts w:ascii="Arial" w:hAnsi="Arial"/>
          <w:color w:val="0000FF"/>
          <w:sz w:val="26"/>
          <w:szCs w:val="26"/>
          <w:u w:val="single"/>
          <w:rtl/>
        </w:rPr>
        <w:instrText xml:space="preserve">" </w:instrText>
      </w:r>
      <w:r w:rsidR="008275ED" w:rsidRPr="00C04491">
        <w:rPr>
          <w:rFonts w:ascii="Arial" w:hAnsi="Arial"/>
          <w:color w:val="0000FF"/>
          <w:sz w:val="26"/>
          <w:szCs w:val="26"/>
          <w:u w:val="single"/>
        </w:rPr>
      </w:r>
      <w:r w:rsidR="00C04491" w:rsidRPr="00C04491">
        <w:rPr>
          <w:rFonts w:ascii="Arial" w:hAnsi="Arial"/>
          <w:color w:val="0000FF"/>
          <w:sz w:val="26"/>
          <w:szCs w:val="26"/>
          <w:u w:val="single"/>
          <w:rtl/>
        </w:rPr>
        <w:fldChar w:fldCharType="separate"/>
      </w:r>
      <w:r w:rsidR="00C04491" w:rsidRPr="00C04491">
        <w:rPr>
          <w:rFonts w:ascii="Arial" w:hAnsi="Arial"/>
          <w:color w:val="0000FF"/>
          <w:sz w:val="26"/>
          <w:szCs w:val="26"/>
          <w:u w:val="single"/>
          <w:rtl/>
        </w:rPr>
        <w:t>א</w:t>
      </w:r>
      <w:r w:rsidR="00C04491" w:rsidRPr="00C04491">
        <w:rPr>
          <w:rFonts w:ascii="Arial" w:hAnsi="Arial"/>
          <w:color w:val="0000FF"/>
          <w:sz w:val="26"/>
          <w:szCs w:val="26"/>
          <w:u w:val="single"/>
          <w:rtl/>
        </w:rPr>
        <w:fldChar w:fldCharType="end"/>
      </w:r>
      <w:r>
        <w:rPr>
          <w:rFonts w:ascii="Arial" w:hAnsi="Arial"/>
          <w:sz w:val="26"/>
          <w:szCs w:val="26"/>
          <w:rtl/>
        </w:rPr>
        <w:t>)) וחמש שנות מאסר (ס"ק (</w:t>
      </w:r>
      <w:hyperlink r:id="rId75" w:history="1">
        <w:r w:rsidR="00C04491" w:rsidRPr="00C04491">
          <w:rPr>
            <w:rFonts w:ascii="Arial" w:hAnsi="Arial"/>
            <w:color w:val="0000FF"/>
            <w:sz w:val="26"/>
            <w:szCs w:val="26"/>
            <w:u w:val="single"/>
            <w:rtl/>
          </w:rPr>
          <w:t>ב</w:t>
        </w:r>
      </w:hyperlink>
      <w:r>
        <w:rPr>
          <w:rFonts w:ascii="Arial" w:hAnsi="Arial"/>
          <w:sz w:val="26"/>
          <w:szCs w:val="26"/>
          <w:rtl/>
        </w:rPr>
        <w:t>)) כאשר המבצע התכוון להכשיל את הנתקף, או היה מזוין בנשק חם או קר או כאשר התקיפה היתה בצוותא של יותר משני אנשים.</w:t>
      </w:r>
    </w:p>
    <w:p w14:paraId="1C1634F1" w14:textId="77777777" w:rsidR="004D3032" w:rsidRDefault="00553C6B">
      <w:pPr>
        <w:pStyle w:val="ListParagraph"/>
        <w:numPr>
          <w:ilvl w:val="1"/>
          <w:numId w:val="1"/>
        </w:numPr>
        <w:spacing w:after="160" w:line="360" w:lineRule="auto"/>
        <w:ind w:left="1077" w:hanging="720"/>
        <w:contextualSpacing w:val="0"/>
        <w:jc w:val="both"/>
        <w:rPr>
          <w:rFonts w:ascii="Arial" w:hAnsi="Arial"/>
          <w:sz w:val="26"/>
          <w:szCs w:val="26"/>
        </w:rPr>
      </w:pPr>
      <w:r>
        <w:rPr>
          <w:rFonts w:ascii="Arial" w:hAnsi="Arial"/>
          <w:sz w:val="26"/>
          <w:szCs w:val="26"/>
          <w:rtl/>
        </w:rPr>
        <w:t xml:space="preserve">הערך המוגן בעבירת ביצוע מעשי פזיזות או רשלנות (עבירה לפי </w:t>
      </w:r>
      <w:hyperlink r:id="rId76" w:history="1">
        <w:r w:rsidR="00C04491" w:rsidRPr="00C04491">
          <w:rPr>
            <w:rFonts w:ascii="Arial" w:hAnsi="Arial"/>
            <w:color w:val="0000FF"/>
            <w:sz w:val="26"/>
            <w:szCs w:val="26"/>
            <w:u w:val="single"/>
            <w:rtl/>
          </w:rPr>
          <w:t>סעיף 338(א)(3)</w:t>
        </w:r>
      </w:hyperlink>
      <w:r>
        <w:rPr>
          <w:rFonts w:ascii="Arial" w:hAnsi="Arial"/>
          <w:sz w:val="26"/>
          <w:szCs w:val="26"/>
          <w:rtl/>
        </w:rPr>
        <w:t xml:space="preserve"> בחוק), וכעולה מלשון העבירה, גם הוא שמירה על שלמות הגוף והנפש. העונש הנקוב לצד עבירה זו הוא 20 שנות מאסר (</w:t>
      </w:r>
      <w:r>
        <w:rPr>
          <w:rFonts w:ascii="Arial" w:hAnsi="Arial"/>
          <w:b/>
          <w:bCs/>
          <w:sz w:val="26"/>
          <w:szCs w:val="26"/>
          <w:rtl/>
        </w:rPr>
        <w:t>עניין אבו סעד</w:t>
      </w:r>
      <w:r>
        <w:rPr>
          <w:rFonts w:ascii="Arial" w:hAnsi="Arial"/>
          <w:sz w:val="26"/>
          <w:szCs w:val="26"/>
          <w:rtl/>
        </w:rPr>
        <w:t>, פסקה 36).</w:t>
      </w:r>
    </w:p>
    <w:p w14:paraId="1AF9BD92" w14:textId="77777777" w:rsidR="004D3032" w:rsidRDefault="00553C6B">
      <w:pPr>
        <w:pStyle w:val="ListParagraph"/>
        <w:numPr>
          <w:ilvl w:val="1"/>
          <w:numId w:val="1"/>
        </w:numPr>
        <w:spacing w:after="160" w:line="360" w:lineRule="auto"/>
        <w:ind w:left="1077" w:hanging="720"/>
        <w:contextualSpacing w:val="0"/>
        <w:jc w:val="both"/>
        <w:rPr>
          <w:rFonts w:ascii="Arial" w:hAnsi="Arial"/>
          <w:sz w:val="26"/>
          <w:szCs w:val="26"/>
        </w:rPr>
      </w:pPr>
      <w:r>
        <w:rPr>
          <w:rFonts w:ascii="Arial" w:hAnsi="Arial"/>
          <w:sz w:val="26"/>
          <w:szCs w:val="26"/>
          <w:rtl/>
        </w:rPr>
        <w:t xml:space="preserve">הערך המוגן בעבירת ניסיון ההצתה (עבירה לפי </w:t>
      </w:r>
      <w:hyperlink r:id="rId77" w:history="1">
        <w:r w:rsidR="00C04491" w:rsidRPr="00C04491">
          <w:rPr>
            <w:rFonts w:ascii="Arial" w:hAnsi="Arial"/>
            <w:color w:val="0000FF"/>
            <w:sz w:val="26"/>
            <w:szCs w:val="26"/>
            <w:u w:val="single"/>
            <w:rtl/>
          </w:rPr>
          <w:t>סעיף 448(א)</w:t>
        </w:r>
      </w:hyperlink>
      <w:r>
        <w:rPr>
          <w:rFonts w:ascii="Arial" w:hAnsi="Arial"/>
          <w:sz w:val="26"/>
          <w:szCs w:val="26"/>
          <w:rtl/>
        </w:rPr>
        <w:t xml:space="preserve"> רישא בחוק) הנו השמירה על הרכוש, ושלמות הנפש והגוף (</w:t>
      </w:r>
      <w:hyperlink r:id="rId78" w:history="1">
        <w:r w:rsidRPr="00553C6B">
          <w:rPr>
            <w:rFonts w:ascii="Arial" w:hAnsi="Arial"/>
            <w:color w:val="0000FF"/>
            <w:sz w:val="26"/>
            <w:szCs w:val="26"/>
            <w:u w:val="single"/>
            <w:rtl/>
          </w:rPr>
          <w:t>ע"פ 5376/15</w:t>
        </w:r>
      </w:hyperlink>
      <w:r>
        <w:rPr>
          <w:rFonts w:ascii="Arial" w:hAnsi="Arial"/>
          <w:sz w:val="26"/>
          <w:szCs w:val="26"/>
          <w:rtl/>
        </w:rPr>
        <w:t xml:space="preserve"> </w:t>
      </w:r>
      <w:r>
        <w:rPr>
          <w:rFonts w:ascii="Arial" w:hAnsi="Arial"/>
          <w:b/>
          <w:bCs/>
          <w:sz w:val="26"/>
          <w:szCs w:val="26"/>
          <w:rtl/>
        </w:rPr>
        <w:t>נסים ביטון נ' מדינת ישראל</w:t>
      </w:r>
      <w:r>
        <w:rPr>
          <w:rFonts w:ascii="Arial" w:hAnsi="Arial"/>
          <w:sz w:val="26"/>
          <w:szCs w:val="26"/>
          <w:rtl/>
        </w:rPr>
        <w:t xml:space="preserve"> (11.2.16), פסקה 18; </w:t>
      </w:r>
      <w:r>
        <w:rPr>
          <w:rFonts w:ascii="Arial" w:hAnsi="Arial"/>
          <w:b/>
          <w:bCs/>
          <w:sz w:val="26"/>
          <w:szCs w:val="26"/>
          <w:rtl/>
        </w:rPr>
        <w:t>עניין אבו סעד</w:t>
      </w:r>
      <w:r>
        <w:rPr>
          <w:rFonts w:ascii="Arial" w:hAnsi="Arial"/>
          <w:sz w:val="26"/>
          <w:szCs w:val="26"/>
          <w:rtl/>
        </w:rPr>
        <w:t xml:space="preserve">, פסקה 36). העונש הנקוב </w:t>
      </w:r>
      <w:hyperlink r:id="rId79" w:history="1">
        <w:r w:rsidR="00C04491" w:rsidRPr="00C04491">
          <w:rPr>
            <w:rFonts w:ascii="Arial" w:hAnsi="Arial"/>
            <w:color w:val="0000FF"/>
            <w:sz w:val="26"/>
            <w:szCs w:val="26"/>
            <w:u w:val="single"/>
            <w:rtl/>
          </w:rPr>
          <w:t>בסעיף 448(4)</w:t>
        </w:r>
      </w:hyperlink>
      <w:r>
        <w:rPr>
          <w:rFonts w:ascii="Arial" w:hAnsi="Arial"/>
          <w:sz w:val="26"/>
          <w:szCs w:val="26"/>
          <w:rtl/>
        </w:rPr>
        <w:t xml:space="preserve"> רישא הנו 15 שנות מאסר.</w:t>
      </w:r>
    </w:p>
    <w:p w14:paraId="79EA5078" w14:textId="77777777" w:rsidR="004D3032" w:rsidRDefault="00553C6B">
      <w:pPr>
        <w:pStyle w:val="ListParagraph"/>
        <w:numPr>
          <w:ilvl w:val="0"/>
          <w:numId w:val="1"/>
        </w:numPr>
        <w:spacing w:after="160" w:line="360" w:lineRule="auto"/>
        <w:ind w:left="425"/>
        <w:contextualSpacing w:val="0"/>
        <w:jc w:val="both"/>
        <w:rPr>
          <w:rFonts w:ascii="Arial" w:hAnsi="Arial"/>
          <w:sz w:val="26"/>
          <w:szCs w:val="26"/>
        </w:rPr>
      </w:pPr>
      <w:r>
        <w:rPr>
          <w:rFonts w:ascii="Arial" w:hAnsi="Arial"/>
          <w:sz w:val="26"/>
          <w:szCs w:val="26"/>
          <w:rtl/>
        </w:rPr>
        <w:t>אשר ל</w:t>
      </w:r>
      <w:r>
        <w:rPr>
          <w:rFonts w:ascii="Arial" w:hAnsi="Arial"/>
          <w:b/>
          <w:bCs/>
          <w:sz w:val="26"/>
          <w:szCs w:val="26"/>
          <w:rtl/>
        </w:rPr>
        <w:t>מדיניות הענישה הנהוגה</w:t>
      </w:r>
      <w:r>
        <w:rPr>
          <w:rFonts w:ascii="Arial" w:hAnsi="Arial"/>
          <w:sz w:val="26"/>
          <w:szCs w:val="26"/>
          <w:rtl/>
        </w:rPr>
        <w:t xml:space="preserve"> – </w:t>
      </w:r>
    </w:p>
    <w:p w14:paraId="2D1E01E8"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sz w:val="26"/>
          <w:szCs w:val="26"/>
          <w:rtl/>
        </w:rPr>
        <w:t>ב</w:t>
      </w:r>
      <w:hyperlink r:id="rId80" w:history="1">
        <w:r w:rsidRPr="00553C6B">
          <w:rPr>
            <w:rFonts w:ascii="Arial" w:hAnsi="Arial"/>
            <w:color w:val="0000FF"/>
            <w:sz w:val="26"/>
            <w:szCs w:val="26"/>
            <w:u w:val="single"/>
            <w:rtl/>
          </w:rPr>
          <w:t>ע"פ 6080/16</w:t>
        </w:r>
      </w:hyperlink>
      <w:r>
        <w:rPr>
          <w:rFonts w:ascii="Arial" w:hAnsi="Arial"/>
          <w:sz w:val="26"/>
          <w:szCs w:val="26"/>
          <w:rtl/>
        </w:rPr>
        <w:t xml:space="preserve"> </w:t>
      </w:r>
      <w:r>
        <w:rPr>
          <w:rFonts w:ascii="Arial" w:hAnsi="Arial"/>
          <w:b/>
          <w:bCs/>
          <w:sz w:val="26"/>
          <w:szCs w:val="26"/>
          <w:rtl/>
        </w:rPr>
        <w:t>פלונים נ' מדינת ישראל</w:t>
      </w:r>
      <w:r>
        <w:rPr>
          <w:rFonts w:ascii="Arial" w:hAnsi="Arial"/>
          <w:sz w:val="26"/>
          <w:szCs w:val="26"/>
          <w:rtl/>
        </w:rPr>
        <w:t xml:space="preserve"> (6.12.16) נדון ערעורם של שישה, מתוכם שניים בגירים שהורשעו על יסוד הודאתם בקשירת קשר לביצוע פשע, ייצור נשק בצוותא חדא, ויידויי בקבוקי תבערה ואבנים לעבר כלי תחבורה בצוותא חדא. על פי כתב האישום</w:t>
      </w:r>
      <w:r>
        <w:rPr>
          <w:rFonts w:ascii="Arial" w:hAnsi="Arial" w:hint="cs"/>
          <w:sz w:val="26"/>
          <w:szCs w:val="26"/>
          <w:rtl/>
        </w:rPr>
        <w:t>,</w:t>
      </w:r>
      <w:r>
        <w:rPr>
          <w:rFonts w:ascii="Arial" w:hAnsi="Arial"/>
          <w:sz w:val="26"/>
          <w:szCs w:val="26"/>
          <w:rtl/>
        </w:rPr>
        <w:t xml:space="preserve"> בשני מקרים חברו המערערים (עם אחרים) לצורך זריקת בקבוקי תבערה לעבר מכוניות בכביש 6, תוכנית אותה מימשו. בבית משפט המחוזי נאמר כי מעשי השניים במדרג החומרה העליון, ונגזר עליהם 33 חודשי מאסר בפועל, 12 חודשי מאסר על תנאי ופיצויים בסך 6,000 ₪. ברם, חלק ממבצעי העב</w:t>
      </w:r>
      <w:r>
        <w:rPr>
          <w:rFonts w:ascii="Arial" w:hAnsi="Arial" w:hint="cs"/>
          <w:sz w:val="26"/>
          <w:szCs w:val="26"/>
          <w:rtl/>
        </w:rPr>
        <w:t>י</w:t>
      </w:r>
      <w:r>
        <w:rPr>
          <w:rFonts w:ascii="Arial" w:hAnsi="Arial"/>
          <w:sz w:val="26"/>
          <w:szCs w:val="26"/>
          <w:rtl/>
        </w:rPr>
        <w:t>רות הועמדו לדין בפני מותב אחר ועליהם נגזרו עונשים פחותים. על גזר דינו של המותב האחר הוגש ערעור, אך בית המשפט העליון החליט שלא להתערב בו למרות שהעונשים בו "נוטים מעט לקולה". על סמך זאת הוגש הערעור בו עסקינן, בגדרו טענו המערערים 1 ו-2, כי הם בגירים</w:t>
      </w:r>
      <w:r>
        <w:rPr>
          <w:rFonts w:ascii="Arial" w:hAnsi="Arial" w:hint="cs"/>
          <w:sz w:val="26"/>
          <w:szCs w:val="26"/>
          <w:rtl/>
        </w:rPr>
        <w:t>-</w:t>
      </w:r>
      <w:r>
        <w:rPr>
          <w:rFonts w:ascii="Arial" w:hAnsi="Arial"/>
          <w:sz w:val="26"/>
          <w:szCs w:val="26"/>
          <w:rtl/>
        </w:rPr>
        <w:t>צעירים והיה מקום ליתן לגילם משקל ממשי. בערעור נקבע, כי העונשים שהושתו אינם חורגים, ובוודאי שלא באורח מהותי, מרמת הענישה המקובלת בעבירות דומות, וכי בנסיבות אחרות היה מקום לדחות את הערעור. כן אמר שם כב' השופט א' שהם, כי הגם שניתן למצוא עונשים קלים יותר "</w:t>
      </w:r>
      <w:r>
        <w:rPr>
          <w:rFonts w:ascii="Arial" w:hAnsi="Arial"/>
          <w:b/>
          <w:bCs/>
          <w:sz w:val="26"/>
          <w:szCs w:val="26"/>
          <w:rtl/>
        </w:rPr>
        <w:t>...המגמה הכללית, בגל האלימות שפקד ועודנו פוקד את מדינת ישראל והשטחים, היא ליתן את משקל הבכורה לשיקולי הגמול וההרתעה, כדי 'להביא עבריינים פוטנציאלים נוספים, כמו המערערים והוריהם, למחשבה אם אמנם הדבר כדאי'</w:t>
      </w:r>
      <w:r>
        <w:rPr>
          <w:rFonts w:ascii="Arial" w:hAnsi="Arial"/>
          <w:sz w:val="26"/>
          <w:szCs w:val="26"/>
          <w:rtl/>
        </w:rPr>
        <w:t>" (שם, פסקה 16). סופו של יום הופחת עונשם של המערערים 1 ו-2 ל-</w:t>
      </w:r>
      <w:r>
        <w:rPr>
          <w:rFonts w:ascii="Arial" w:hAnsi="Arial"/>
          <w:b/>
          <w:bCs/>
          <w:sz w:val="26"/>
          <w:szCs w:val="26"/>
          <w:rtl/>
        </w:rPr>
        <w:t>29 חודשי מאסר</w:t>
      </w:r>
      <w:r>
        <w:rPr>
          <w:rFonts w:ascii="Arial" w:hAnsi="Arial"/>
          <w:sz w:val="26"/>
          <w:szCs w:val="26"/>
          <w:rtl/>
        </w:rPr>
        <w:t>.</w:t>
      </w:r>
    </w:p>
    <w:p w14:paraId="733BF3ED"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sz w:val="26"/>
          <w:szCs w:val="26"/>
          <w:rtl/>
        </w:rPr>
        <w:t>ב</w:t>
      </w:r>
      <w:hyperlink r:id="rId81" w:history="1">
        <w:r w:rsidRPr="00553C6B">
          <w:rPr>
            <w:rFonts w:ascii="Arial" w:hAnsi="Arial"/>
            <w:color w:val="0000FF"/>
            <w:sz w:val="26"/>
            <w:szCs w:val="26"/>
            <w:u w:val="single"/>
            <w:rtl/>
          </w:rPr>
          <w:t>ע"פ 4324/16</w:t>
        </w:r>
      </w:hyperlink>
      <w:r>
        <w:rPr>
          <w:rFonts w:ascii="Arial" w:hAnsi="Arial"/>
          <w:sz w:val="26"/>
          <w:szCs w:val="26"/>
          <w:rtl/>
        </w:rPr>
        <w:t xml:space="preserve"> </w:t>
      </w:r>
      <w:r>
        <w:rPr>
          <w:rFonts w:ascii="Arial" w:hAnsi="Arial"/>
          <w:b/>
          <w:bCs/>
          <w:sz w:val="26"/>
          <w:szCs w:val="26"/>
          <w:rtl/>
        </w:rPr>
        <w:t xml:space="preserve">נגאר נ' מדינת ישראל </w:t>
      </w:r>
      <w:r>
        <w:rPr>
          <w:rFonts w:ascii="Arial" w:hAnsi="Arial"/>
          <w:sz w:val="26"/>
          <w:szCs w:val="26"/>
          <w:rtl/>
        </w:rPr>
        <w:t xml:space="preserve">(31.7.16) מדובר היה במערער שהורשע בשני אישומים. לפי </w:t>
      </w:r>
      <w:r>
        <w:rPr>
          <w:rFonts w:ascii="Arial" w:hAnsi="Arial" w:hint="cs"/>
          <w:sz w:val="26"/>
          <w:szCs w:val="26"/>
          <w:rtl/>
        </w:rPr>
        <w:t xml:space="preserve">האישום </w:t>
      </w:r>
      <w:r>
        <w:rPr>
          <w:rFonts w:ascii="Arial" w:hAnsi="Arial"/>
          <w:sz w:val="26"/>
          <w:szCs w:val="26"/>
          <w:rtl/>
        </w:rPr>
        <w:t xml:space="preserve">האחד, השתתף בהפרעות סדר עם אחרים, אז יידה אבנים לעבר שוטרים. יתר המתפרעים חסמו את הכביש והשליכו אף הם אבנים וכן בקבוקי תבערה. בגין זאת הורשע בעבירת ניסיון תקיפת שוטר בנסיבות מחמירות. לפי </w:t>
      </w:r>
      <w:r>
        <w:rPr>
          <w:rFonts w:ascii="Arial" w:hAnsi="Arial" w:hint="cs"/>
          <w:sz w:val="26"/>
          <w:szCs w:val="26"/>
          <w:rtl/>
        </w:rPr>
        <w:t xml:space="preserve">האישום </w:t>
      </w:r>
      <w:r>
        <w:rPr>
          <w:rFonts w:ascii="Arial" w:hAnsi="Arial"/>
          <w:sz w:val="26"/>
          <w:szCs w:val="26"/>
          <w:rtl/>
        </w:rPr>
        <w:t xml:space="preserve">השני, השתתף יחד עם אחרים בהפרות סדר. הם המתינו לכוחות הביטחון וכשהגיעו יידו אבנים אל עבר רכב כוחות הביטחון. בגין זאת הורשע בעבירה של יידוי אבן לעבר כלי תחבורה ועבירה של התפרעות. בית המשפט המחוזי קבע מתחם ענישה של 12 עד 30 חודשי מאסר בגין האישום הראשון ומתחם של 20 עד 45 בגין האישום השני, וגזר על המערער </w:t>
      </w:r>
      <w:r>
        <w:rPr>
          <w:rFonts w:ascii="Arial" w:hAnsi="Arial"/>
          <w:b/>
          <w:bCs/>
          <w:sz w:val="26"/>
          <w:szCs w:val="26"/>
          <w:rtl/>
        </w:rPr>
        <w:t>28 חודשי מאסר</w:t>
      </w:r>
      <w:r>
        <w:rPr>
          <w:rFonts w:ascii="Arial" w:hAnsi="Arial"/>
          <w:sz w:val="26"/>
          <w:szCs w:val="26"/>
          <w:rtl/>
        </w:rPr>
        <w:t xml:space="preserve"> בפועל ושישה חודשי מאסר על תנאי. בית המשפט העליון דחה את הערעור באומרו</w:t>
      </w:r>
      <w:r>
        <w:rPr>
          <w:rFonts w:ascii="Arial" w:hAnsi="Arial" w:hint="cs"/>
          <w:sz w:val="26"/>
          <w:szCs w:val="26"/>
          <w:rtl/>
        </w:rPr>
        <w:t>,</w:t>
      </w:r>
      <w:r>
        <w:rPr>
          <w:rFonts w:ascii="Arial" w:hAnsi="Arial"/>
          <w:sz w:val="26"/>
          <w:szCs w:val="26"/>
          <w:rtl/>
        </w:rPr>
        <w:t xml:space="preserve"> כי אמנם נסיבות המקרה אינן מהחמורות אך מצדיקות את העונש.</w:t>
      </w:r>
    </w:p>
    <w:p w14:paraId="5E09B259"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sz w:val="26"/>
          <w:szCs w:val="26"/>
          <w:rtl/>
        </w:rPr>
        <w:t>ב</w:t>
      </w:r>
      <w:hyperlink r:id="rId82" w:history="1">
        <w:r w:rsidRPr="00553C6B">
          <w:rPr>
            <w:rFonts w:ascii="Arial" w:hAnsi="Arial"/>
            <w:color w:val="0000FF"/>
            <w:sz w:val="26"/>
            <w:szCs w:val="26"/>
            <w:u w:val="single"/>
            <w:rtl/>
          </w:rPr>
          <w:t>ע"פ 3261/15</w:t>
        </w:r>
      </w:hyperlink>
      <w:r>
        <w:rPr>
          <w:rFonts w:ascii="Arial" w:hAnsi="Arial"/>
          <w:sz w:val="26"/>
          <w:szCs w:val="26"/>
          <w:rtl/>
        </w:rPr>
        <w:t xml:space="preserve"> </w:t>
      </w:r>
      <w:r>
        <w:rPr>
          <w:rFonts w:ascii="Arial" w:hAnsi="Arial"/>
          <w:b/>
          <w:bCs/>
          <w:sz w:val="26"/>
          <w:szCs w:val="26"/>
          <w:rtl/>
        </w:rPr>
        <w:t>פלוני נ' מדינת ישראל</w:t>
      </w:r>
      <w:r>
        <w:rPr>
          <w:rFonts w:ascii="Arial" w:hAnsi="Arial"/>
          <w:sz w:val="26"/>
          <w:szCs w:val="26"/>
          <w:rtl/>
        </w:rPr>
        <w:t xml:space="preserve"> (9.11.15) נדונו שלושה ערעורים, שניים, על חומרת העונש, ואחד, על קולת עונש, כאשר הערעורים כולם סובבים את אותה הפרשה ועניינם בהרשעת בגיר ושני קטינים. השלושה הורשעו בכך שיחד עם אחרים הכינו בקבוקי תבערה והשליכו אותם אל עבר שוטרים במהלך הפגנה. הבגיר ואחד הקטינים הורשעו בביצוע עבירות של חבלה בכוונה מחמירה, התפרעות, ניסיון לתקיפת שוטרים בנסיבות מחמירות בצוותא, ייצור נשק בצוותא, ונשיאת והובלת נשק בצוותא. ביחס לבגיר, שלא לקח חלק בתכנון המוקדם וההתארגנות שהתרחשה ביום הקודם להפגנה, אלא הצטרף להתפרעות בעיצומה, קבע בית המשפט מתחם עונש של 12 עד 36 חודשי מאסר וגזר עליו </w:t>
      </w:r>
      <w:r>
        <w:rPr>
          <w:rFonts w:ascii="Arial" w:hAnsi="Arial"/>
          <w:b/>
          <w:bCs/>
          <w:sz w:val="26"/>
          <w:szCs w:val="26"/>
          <w:rtl/>
        </w:rPr>
        <w:t>15 חודשי מאסר</w:t>
      </w:r>
      <w:r>
        <w:rPr>
          <w:rFonts w:ascii="Arial" w:hAnsi="Arial"/>
          <w:sz w:val="26"/>
          <w:szCs w:val="26"/>
          <w:rtl/>
        </w:rPr>
        <w:t xml:space="preserve"> ו-12 חודשי מאסר על תנאי וקנס בסך 7,000 ש"ח. כן גזר בית המשפט על אחד הקטינים </w:t>
      </w:r>
      <w:r>
        <w:rPr>
          <w:rFonts w:ascii="Arial" w:hAnsi="Arial"/>
          <w:b/>
          <w:bCs/>
          <w:sz w:val="26"/>
          <w:szCs w:val="26"/>
          <w:rtl/>
        </w:rPr>
        <w:t>20 חודשי מאסר</w:t>
      </w:r>
      <w:r>
        <w:rPr>
          <w:rFonts w:ascii="Arial" w:hAnsi="Arial"/>
          <w:sz w:val="26"/>
          <w:szCs w:val="26"/>
          <w:rtl/>
        </w:rPr>
        <w:t xml:space="preserve"> ו-12 חודשי מאסר על תנאי וקנס בסך 10,000 ש"ח. </w:t>
      </w:r>
    </w:p>
    <w:p w14:paraId="350BE5DC" w14:textId="77777777" w:rsidR="004D3032" w:rsidRDefault="00553C6B">
      <w:pPr>
        <w:pStyle w:val="ListParagraph"/>
        <w:spacing w:after="160" w:line="360" w:lineRule="auto"/>
        <w:ind w:left="992"/>
        <w:contextualSpacing w:val="0"/>
        <w:jc w:val="both"/>
        <w:rPr>
          <w:rFonts w:ascii="Arial" w:hAnsi="Arial"/>
          <w:sz w:val="26"/>
          <w:szCs w:val="26"/>
        </w:rPr>
      </w:pPr>
      <w:r>
        <w:rPr>
          <w:rFonts w:ascii="Arial" w:hAnsi="Arial"/>
          <w:sz w:val="26"/>
          <w:szCs w:val="26"/>
          <w:rtl/>
        </w:rPr>
        <w:t>בהליך נפרד נדון עניינו של הקטין השני. מאחר שלא היה חלק מהתכנון המוקדם, משום שלא הוכח מניע לאומני ומאחר שמעורבותו היתה לפרק זמן קצר יחסית</w:t>
      </w:r>
      <w:r>
        <w:rPr>
          <w:rFonts w:ascii="Arial" w:hAnsi="Arial" w:hint="cs"/>
          <w:sz w:val="26"/>
          <w:szCs w:val="26"/>
          <w:rtl/>
        </w:rPr>
        <w:t>,</w:t>
      </w:r>
      <w:r>
        <w:rPr>
          <w:rFonts w:ascii="Arial" w:hAnsi="Arial"/>
          <w:sz w:val="26"/>
          <w:szCs w:val="26"/>
          <w:rtl/>
        </w:rPr>
        <w:t xml:space="preserve"> נגזר עליו מאסר על תנאי ו-250 שעות שירות לתועלת הציבור. הערעור על ק</w:t>
      </w:r>
      <w:r>
        <w:rPr>
          <w:rFonts w:ascii="Arial" w:hAnsi="Arial" w:hint="cs"/>
          <w:sz w:val="26"/>
          <w:szCs w:val="26"/>
          <w:rtl/>
        </w:rPr>
        <w:t>ו</w:t>
      </w:r>
      <w:r>
        <w:rPr>
          <w:rFonts w:ascii="Arial" w:hAnsi="Arial"/>
          <w:sz w:val="26"/>
          <w:szCs w:val="26"/>
          <w:rtl/>
        </w:rPr>
        <w:t xml:space="preserve">לת העונש היה בעניינו של זה האחרון, והוא נדחה משום שהחל בביצוע </w:t>
      </w:r>
      <w:r>
        <w:rPr>
          <w:rFonts w:ascii="Arial" w:hAnsi="Arial" w:hint="cs"/>
          <w:sz w:val="26"/>
          <w:szCs w:val="26"/>
          <w:rtl/>
        </w:rPr>
        <w:t>השל"צ</w:t>
      </w:r>
      <w:r>
        <w:rPr>
          <w:rFonts w:ascii="Arial" w:hAnsi="Arial"/>
          <w:sz w:val="26"/>
          <w:szCs w:val="26"/>
          <w:rtl/>
        </w:rPr>
        <w:t xml:space="preserve"> עוד קודם להגשת הערעור. בית המשפט העליון לא מצא להתערב בעונש המאסר של האחרים, אך הפחית את הקנס שהוטל על הקטין מ-10,000 ש"ל ל-5,000 ₪, נוכח מצבה הכלכלי של משפחתו.</w:t>
      </w:r>
    </w:p>
    <w:p w14:paraId="247E077C"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sz w:val="26"/>
          <w:szCs w:val="26"/>
          <w:rtl/>
        </w:rPr>
        <w:t>ב</w:t>
      </w:r>
      <w:hyperlink r:id="rId83" w:history="1">
        <w:r w:rsidRPr="00553C6B">
          <w:rPr>
            <w:rFonts w:ascii="Arial" w:hAnsi="Arial"/>
            <w:color w:val="0000FF"/>
            <w:sz w:val="26"/>
            <w:szCs w:val="26"/>
            <w:u w:val="single"/>
            <w:rtl/>
          </w:rPr>
          <w:t>ע"פ 2579/14</w:t>
        </w:r>
      </w:hyperlink>
      <w:r>
        <w:rPr>
          <w:rFonts w:ascii="Arial" w:hAnsi="Arial"/>
          <w:sz w:val="26"/>
          <w:szCs w:val="26"/>
          <w:rtl/>
        </w:rPr>
        <w:t xml:space="preserve"> </w:t>
      </w:r>
      <w:r>
        <w:rPr>
          <w:rFonts w:ascii="Arial" w:hAnsi="Arial"/>
          <w:b/>
          <w:bCs/>
          <w:sz w:val="26"/>
          <w:szCs w:val="26"/>
          <w:rtl/>
        </w:rPr>
        <w:t>פרחאן נ' מדינת ישראל</w:t>
      </w:r>
      <w:r>
        <w:rPr>
          <w:rFonts w:ascii="Arial" w:hAnsi="Arial"/>
          <w:sz w:val="26"/>
          <w:szCs w:val="26"/>
          <w:rtl/>
        </w:rPr>
        <w:t xml:space="preserve"> (25.5.15) נדון עניינו של מערער שהורשע על בסיס הודאתו בעבירות של קשירת קשר לפשע, ייצור נשק וחבלה בכוונה מחמירה, וזאת משום שתכנן עם אחרים ופעל לייצור בקבוקי תבערה אותם השליכו לעבר כוחות הביטחון, לאחר תפילת יום השישי בהר הבית. אחד מהבקבוקים פגע באפוד של שוטר וזה החל לבעור. על המערער הוטל עונש של </w:t>
      </w:r>
      <w:r>
        <w:rPr>
          <w:rFonts w:ascii="Arial" w:hAnsi="Arial"/>
          <w:b/>
          <w:bCs/>
          <w:sz w:val="26"/>
          <w:szCs w:val="26"/>
          <w:rtl/>
        </w:rPr>
        <w:t>חמש וחצי שנות מאסר</w:t>
      </w:r>
      <w:r>
        <w:rPr>
          <w:rFonts w:ascii="Arial" w:hAnsi="Arial"/>
          <w:sz w:val="26"/>
          <w:szCs w:val="26"/>
          <w:rtl/>
        </w:rPr>
        <w:t xml:space="preserve"> (כן הופעל מאסר על תנאי, כך שהמאסר הסתכם בשש וחצי שנים). בית המשפט העליון קבע</w:t>
      </w:r>
      <w:r>
        <w:rPr>
          <w:rFonts w:ascii="Arial" w:hAnsi="Arial" w:hint="cs"/>
          <w:sz w:val="26"/>
          <w:szCs w:val="26"/>
          <w:rtl/>
        </w:rPr>
        <w:t>,</w:t>
      </w:r>
      <w:r>
        <w:rPr>
          <w:rFonts w:ascii="Arial" w:hAnsi="Arial"/>
          <w:sz w:val="26"/>
          <w:szCs w:val="26"/>
          <w:rtl/>
        </w:rPr>
        <w:t xml:space="preserve"> כי העונש אכן נוטה לרף העליון של מתחם הענישה, אך לא מצא עילה להתערב, בהתחשב בחלקו של המערער בתכנון העבירות, מקום ביצוען ותוצאותיהן. משכך, הערעור נדחה.</w:t>
      </w:r>
    </w:p>
    <w:p w14:paraId="11F1DC5E"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sz w:val="26"/>
          <w:szCs w:val="26"/>
          <w:rtl/>
        </w:rPr>
        <w:t>ב</w:t>
      </w:r>
      <w:hyperlink r:id="rId84" w:history="1">
        <w:r w:rsidRPr="00553C6B">
          <w:rPr>
            <w:rFonts w:ascii="Arial" w:hAnsi="Arial"/>
            <w:color w:val="0000FF"/>
            <w:sz w:val="26"/>
            <w:szCs w:val="26"/>
            <w:u w:val="single"/>
            <w:rtl/>
          </w:rPr>
          <w:t>ע"פ 3582-13</w:t>
        </w:r>
      </w:hyperlink>
      <w:r>
        <w:rPr>
          <w:rFonts w:ascii="Arial" w:hAnsi="Arial"/>
          <w:sz w:val="26"/>
          <w:szCs w:val="26"/>
          <w:rtl/>
        </w:rPr>
        <w:t xml:space="preserve"> </w:t>
      </w:r>
      <w:r>
        <w:rPr>
          <w:rFonts w:ascii="Arial" w:hAnsi="Arial"/>
          <w:b/>
          <w:bCs/>
          <w:sz w:val="26"/>
          <w:szCs w:val="26"/>
          <w:rtl/>
        </w:rPr>
        <w:t>סעד נ' מדינת ישראל</w:t>
      </w:r>
      <w:r>
        <w:rPr>
          <w:rFonts w:ascii="Arial" w:hAnsi="Arial"/>
          <w:sz w:val="26"/>
          <w:szCs w:val="26"/>
          <w:rtl/>
        </w:rPr>
        <w:t xml:space="preserve"> (29.1.14) נדון ערעורם של ארבעה שהורשעו על פי הודאתם בעבירות של חבלה בכוונה מחמירה, ייצור נשק, ניסיון להצתה וניסיון תקיפת שוטר בנסיבות מחמירות. על פי כתב האישום בשני מקרים (מושא שני אישומים) יידו הנאשמים בקבוקי תבערה וירו זיקוקים לעבר מחסום באזור מעלה אדומים. בית המשפט המחוזי קבע את מתחם הענישה בין 24 לבין 48 חודשי מאסר, גזר על שלושה מערערים 40 חודשי מאסר בפועל, ועל הרביעי גזר 30 חודשי מאסר (הלה הורשע רק באחד האישומים). בית המשפט העליון בחר להקל בעונשים, משום שהיתה טעות עובדתית ביסוד גזר הדין,  עקב רף הענישה הנהוג בעבירות דומות (שהוא נמוך מזה שנקבע) והיות</w:t>
      </w:r>
      <w:r>
        <w:rPr>
          <w:rFonts w:ascii="Arial" w:hAnsi="Arial" w:hint="cs"/>
          <w:sz w:val="26"/>
          <w:szCs w:val="26"/>
          <w:rtl/>
        </w:rPr>
        <w:t>ם של</w:t>
      </w:r>
      <w:r>
        <w:rPr>
          <w:rFonts w:ascii="Arial" w:hAnsi="Arial"/>
          <w:sz w:val="26"/>
          <w:szCs w:val="26"/>
          <w:rtl/>
        </w:rPr>
        <w:t xml:space="preserve"> המערערים בתחילת שנות העשרים לחייהם. משכך</w:t>
      </w:r>
      <w:r>
        <w:rPr>
          <w:rFonts w:ascii="Arial" w:hAnsi="Arial" w:hint="cs"/>
          <w:sz w:val="26"/>
          <w:szCs w:val="26"/>
          <w:rtl/>
        </w:rPr>
        <w:t>,</w:t>
      </w:r>
      <w:r>
        <w:rPr>
          <w:rFonts w:ascii="Arial" w:hAnsi="Arial"/>
          <w:sz w:val="26"/>
          <w:szCs w:val="26"/>
          <w:rtl/>
        </w:rPr>
        <w:t xml:space="preserve"> הופחת גזר דינם של שלושת המערערים ל-</w:t>
      </w:r>
      <w:r>
        <w:rPr>
          <w:rFonts w:ascii="Arial" w:hAnsi="Arial"/>
          <w:b/>
          <w:bCs/>
          <w:sz w:val="26"/>
          <w:szCs w:val="26"/>
          <w:rtl/>
        </w:rPr>
        <w:t xml:space="preserve">28 חודשי מאסר </w:t>
      </w:r>
      <w:r>
        <w:rPr>
          <w:rFonts w:ascii="Arial" w:hAnsi="Arial"/>
          <w:sz w:val="26"/>
          <w:szCs w:val="26"/>
          <w:rtl/>
        </w:rPr>
        <w:t xml:space="preserve">ועונשו של המערער הרביעי הועמד על </w:t>
      </w:r>
      <w:r>
        <w:rPr>
          <w:rFonts w:ascii="Arial" w:hAnsi="Arial"/>
          <w:b/>
          <w:bCs/>
          <w:sz w:val="26"/>
          <w:szCs w:val="26"/>
          <w:rtl/>
        </w:rPr>
        <w:t>18 חודשי מאסר</w:t>
      </w:r>
      <w:r>
        <w:rPr>
          <w:rFonts w:ascii="Arial" w:hAnsi="Arial"/>
          <w:sz w:val="26"/>
          <w:szCs w:val="26"/>
          <w:rtl/>
        </w:rPr>
        <w:t>.</w:t>
      </w:r>
    </w:p>
    <w:p w14:paraId="069FBE18" w14:textId="77777777" w:rsidR="004D3032" w:rsidRDefault="00553C6B">
      <w:pPr>
        <w:pStyle w:val="ListParagraph"/>
        <w:numPr>
          <w:ilvl w:val="0"/>
          <w:numId w:val="1"/>
        </w:numPr>
        <w:spacing w:after="160" w:line="360" w:lineRule="auto"/>
        <w:ind w:left="425"/>
        <w:contextualSpacing w:val="0"/>
        <w:jc w:val="both"/>
        <w:rPr>
          <w:rFonts w:ascii="Arial" w:hAnsi="Arial"/>
          <w:sz w:val="26"/>
          <w:szCs w:val="26"/>
        </w:rPr>
      </w:pPr>
      <w:r>
        <w:rPr>
          <w:rFonts w:ascii="Arial" w:hAnsi="Arial"/>
          <w:sz w:val="26"/>
          <w:szCs w:val="26"/>
          <w:rtl/>
        </w:rPr>
        <w:t>עתה אגש ל</w:t>
      </w:r>
      <w:r>
        <w:rPr>
          <w:rFonts w:ascii="Arial" w:hAnsi="Arial"/>
          <w:b/>
          <w:bCs/>
          <w:sz w:val="26"/>
          <w:szCs w:val="26"/>
          <w:rtl/>
        </w:rPr>
        <w:t>נסיבות הקשורות בביצוע העבירה</w:t>
      </w:r>
      <w:r>
        <w:rPr>
          <w:rFonts w:ascii="Arial" w:hAnsi="Arial"/>
          <w:sz w:val="26"/>
          <w:szCs w:val="26"/>
          <w:rtl/>
        </w:rPr>
        <w:t>.</w:t>
      </w:r>
    </w:p>
    <w:p w14:paraId="394C5E2F"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b/>
          <w:bCs/>
          <w:sz w:val="26"/>
          <w:szCs w:val="26"/>
          <w:rtl/>
        </w:rPr>
        <w:t>התכנון</w:t>
      </w:r>
      <w:r>
        <w:rPr>
          <w:rFonts w:ascii="Arial" w:hAnsi="Arial"/>
          <w:sz w:val="26"/>
          <w:szCs w:val="26"/>
          <w:rtl/>
        </w:rPr>
        <w:t xml:space="preserve"> – על פי עובדות האישום הראשון דארי הביא להתפרעות זיקוקים, אותם הכין בעוד מועד על מנת שזמן בעירתם יהיה קצר. לפי עובדות האישום השני, הנאשמים יחד עם אחר יצרו, מראש, שלושה בקבוקי תבערה. לפי עובדות האישום השלישי הנאשמים הצטיידו, קודם להתפרעות, בבקבוקי תבערה. הווה אומר, כי לפי עובדות שלושת האישומים, דארי וסבאתה פעלו באופן מחושב ומכוון, והצטיידו בנשק קודם להגעתם להתפרעויות (כאשר עסקינן בסבאתה האמור רלוונטי אך לאישומים השני והשלישי)</w:t>
      </w:r>
      <w:r>
        <w:rPr>
          <w:rFonts w:ascii="Arial" w:hAnsi="Arial" w:hint="cs"/>
          <w:sz w:val="26"/>
          <w:szCs w:val="26"/>
          <w:rtl/>
        </w:rPr>
        <w:t>.</w:t>
      </w:r>
      <w:r>
        <w:rPr>
          <w:rFonts w:ascii="Arial" w:hAnsi="Arial"/>
          <w:sz w:val="26"/>
          <w:szCs w:val="26"/>
          <w:rtl/>
        </w:rPr>
        <w:t xml:space="preserve"> בשונה, אין אינדיקציה שסבאתה הצטייד מראש באבנים קודם להשתתפותו בהתפרעות מושא האישום הרביעי (בו רק הוא מואשם). הדבר יכול להצביע על כך שהצטרף להתפרעות בלהט הרגע.</w:t>
      </w:r>
    </w:p>
    <w:p w14:paraId="41C60525"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b/>
          <w:bCs/>
          <w:sz w:val="26"/>
          <w:szCs w:val="26"/>
          <w:rtl/>
        </w:rPr>
        <w:t>חלקם של הנאשמים</w:t>
      </w:r>
      <w:r>
        <w:rPr>
          <w:rFonts w:ascii="Arial" w:hAnsi="Arial"/>
          <w:sz w:val="26"/>
          <w:szCs w:val="26"/>
          <w:rtl/>
        </w:rPr>
        <w:t xml:space="preserve"> – בהתייחס לאישום הראשון חלקו של דארי (שהביא את הזיקוקים) חמור מזה של סבאתה, ש"רק" עזר לו והדליק עבורו אותם. כמו כן, יש ליתן משקל לכך שעל פי עובדות שלושת האישומים הראשונים, הנאשמים  הצטרפו להתפרעויות קיימות ולא היו הגורם המתסיס. באשר לאישום הרביעי –  נרשם כי סבאתה "השתתף" בהתפרעות, ואני נכון להניח שמשמעות האמור היא כי גם במקרה זה "רק" הצטרף להתפרעות בזמן התרחשותה.</w:t>
      </w:r>
    </w:p>
    <w:p w14:paraId="64C02EA3"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b/>
          <w:bCs/>
          <w:sz w:val="26"/>
          <w:szCs w:val="26"/>
          <w:rtl/>
        </w:rPr>
        <w:t>הנזק שצפוי היה להיגרם והנזק שנגרם</w:t>
      </w:r>
      <w:r>
        <w:rPr>
          <w:rFonts w:ascii="Arial" w:hAnsi="Arial"/>
          <w:sz w:val="26"/>
          <w:szCs w:val="26"/>
          <w:rtl/>
        </w:rPr>
        <w:t xml:space="preserve"> – מחד, בגדרי האישום השני, השלישי והרביעי מדובר על זריקת בקבוקי התבערה והאבנים ממרחקים גדולים (60, 70 ו-80 מטר), דבר שיש בו להפחית את פוטנציאל הסכנה. מאידך, אף אם לא היה במקרים אלו סכנה קרובה לוודאי לכוחות הביטחון, הרי שדי באבן אחת או בקבוק אחד שיימצאו את מטרתם כדי לגרום נזק בלתי הפיך לגוף ולנפש. מה גם, כי הפעילות עצמה מסכנת גם את הסביבה ועוברי אורח שעלולים ולהיקלע למקום. למרבה המזל לא נגרם נזק בפועל.</w:t>
      </w:r>
    </w:p>
    <w:p w14:paraId="3BCA0705"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b/>
          <w:bCs/>
          <w:sz w:val="26"/>
          <w:szCs w:val="26"/>
          <w:rtl/>
        </w:rPr>
        <w:t>הסיבות שהביאו את הנאשמים לביצוע המעשים</w:t>
      </w:r>
      <w:r>
        <w:rPr>
          <w:rFonts w:ascii="Arial" w:hAnsi="Arial"/>
          <w:sz w:val="26"/>
          <w:szCs w:val="26"/>
          <w:rtl/>
        </w:rPr>
        <w:t xml:space="preserve"> – דארי טען</w:t>
      </w:r>
      <w:r>
        <w:rPr>
          <w:rFonts w:ascii="Arial" w:hAnsi="Arial" w:hint="cs"/>
          <w:sz w:val="26"/>
          <w:szCs w:val="26"/>
          <w:rtl/>
        </w:rPr>
        <w:t>,</w:t>
      </w:r>
      <w:r>
        <w:rPr>
          <w:rFonts w:ascii="Arial" w:hAnsi="Arial"/>
          <w:sz w:val="26"/>
          <w:szCs w:val="26"/>
          <w:rtl/>
        </w:rPr>
        <w:t xml:space="preserve"> כי לא ביצע את המעשים מתוך כוונה לפגוע באחר או בסדר הציבורי. אולם שירות המבחן הצביע על דיסוננס בין דבריו למעשיו. בדומה, סבאתה טען</w:t>
      </w:r>
      <w:r>
        <w:rPr>
          <w:rFonts w:ascii="Arial" w:hAnsi="Arial" w:hint="cs"/>
          <w:sz w:val="26"/>
          <w:szCs w:val="26"/>
          <w:rtl/>
        </w:rPr>
        <w:t>,</w:t>
      </w:r>
      <w:r>
        <w:rPr>
          <w:rFonts w:ascii="Arial" w:hAnsi="Arial"/>
          <w:sz w:val="26"/>
          <w:szCs w:val="26"/>
          <w:rtl/>
        </w:rPr>
        <w:t xml:space="preserve"> כי בהתפרעויות עמד במקום בו לא יכול היה לפגוע בפועל בכוחות הביטחון</w:t>
      </w:r>
      <w:r>
        <w:rPr>
          <w:rFonts w:ascii="Arial" w:hAnsi="Arial" w:hint="cs"/>
          <w:sz w:val="26"/>
          <w:szCs w:val="26"/>
          <w:rtl/>
        </w:rPr>
        <w:t>,</w:t>
      </w:r>
      <w:r>
        <w:rPr>
          <w:rFonts w:ascii="Arial" w:hAnsi="Arial"/>
          <w:sz w:val="26"/>
          <w:szCs w:val="26"/>
          <w:rtl/>
        </w:rPr>
        <w:t xml:space="preserve"> והוא הסביר את התנהגותו ברצון שלו לשחרר לחצים ולחקות קבוצת אנשים שהיתה לו למודל.</w:t>
      </w:r>
    </w:p>
    <w:p w14:paraId="507C228F" w14:textId="77777777" w:rsidR="004D3032" w:rsidRDefault="00553C6B">
      <w:pPr>
        <w:pStyle w:val="ListParagraph"/>
        <w:numPr>
          <w:ilvl w:val="0"/>
          <w:numId w:val="1"/>
        </w:numPr>
        <w:spacing w:after="160" w:line="360" w:lineRule="auto"/>
        <w:ind w:left="425"/>
        <w:contextualSpacing w:val="0"/>
        <w:jc w:val="both"/>
        <w:rPr>
          <w:rFonts w:ascii="Arial" w:hAnsi="Arial"/>
          <w:sz w:val="26"/>
          <w:szCs w:val="26"/>
        </w:rPr>
      </w:pPr>
      <w:r>
        <w:rPr>
          <w:rFonts w:ascii="Arial" w:hAnsi="Arial"/>
          <w:sz w:val="26"/>
          <w:szCs w:val="26"/>
          <w:rtl/>
        </w:rPr>
        <w:t>לאחר שהערכתי את מכלול השיקולים, היינו, הערכים החברתיים שנפגעו מביצוע העבירות ועקרון ההלימה בין חומרת המעשים, נסיבות הנאש</w:t>
      </w:r>
      <w:r>
        <w:rPr>
          <w:rFonts w:ascii="Arial" w:hAnsi="Arial" w:hint="cs"/>
          <w:sz w:val="26"/>
          <w:szCs w:val="26"/>
          <w:rtl/>
        </w:rPr>
        <w:t>מי</w:t>
      </w:r>
      <w:r>
        <w:rPr>
          <w:rFonts w:ascii="Arial" w:hAnsi="Arial"/>
          <w:sz w:val="26"/>
          <w:szCs w:val="26"/>
          <w:rtl/>
        </w:rPr>
        <w:t>ם ומידת אשמת</w:t>
      </w:r>
      <w:r>
        <w:rPr>
          <w:rFonts w:ascii="Arial" w:hAnsi="Arial" w:hint="cs"/>
          <w:sz w:val="26"/>
          <w:szCs w:val="26"/>
          <w:rtl/>
        </w:rPr>
        <w:t>ם</w:t>
      </w:r>
      <w:r>
        <w:rPr>
          <w:rFonts w:ascii="Arial" w:hAnsi="Arial"/>
          <w:sz w:val="26"/>
          <w:szCs w:val="26"/>
          <w:rtl/>
        </w:rPr>
        <w:t>, לאחר שעיינתי בפסיקה, ובהתחשב במדיניות הענישה הנוהגת, מצאתי לקבוע את מתחמי הענישה הבאים:</w:t>
      </w:r>
    </w:p>
    <w:p w14:paraId="45469653"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sz w:val="26"/>
          <w:szCs w:val="26"/>
          <w:rtl/>
        </w:rPr>
        <w:t xml:space="preserve"> בגין האישום הראשון – בין 12 לבין 36 חודשי מאסר בפועל;</w:t>
      </w:r>
    </w:p>
    <w:p w14:paraId="4001C7D8"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sz w:val="26"/>
          <w:szCs w:val="26"/>
          <w:rtl/>
        </w:rPr>
        <w:t>בגין האישום השני – בין 12 לבין 36 חודשי מאסר בפועל;</w:t>
      </w:r>
    </w:p>
    <w:p w14:paraId="1F5C6D35"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sz w:val="26"/>
          <w:szCs w:val="26"/>
          <w:rtl/>
        </w:rPr>
        <w:t>בגין האישום השלישי והרביעי יחד – בין 12 לבין 42 חודש מאסר בפועל.</w:t>
      </w:r>
    </w:p>
    <w:p w14:paraId="37D64586" w14:textId="77777777" w:rsidR="004D3032" w:rsidRDefault="00553C6B">
      <w:pPr>
        <w:spacing w:after="160" w:line="360" w:lineRule="auto"/>
        <w:ind w:left="360"/>
        <w:jc w:val="both"/>
        <w:rPr>
          <w:rFonts w:ascii="Arial" w:hAnsi="Arial"/>
          <w:sz w:val="26"/>
          <w:szCs w:val="26"/>
          <w:rtl/>
        </w:rPr>
      </w:pPr>
      <w:r>
        <w:rPr>
          <w:rFonts w:ascii="Arial" w:hAnsi="Arial"/>
          <w:sz w:val="26"/>
          <w:szCs w:val="26"/>
          <w:rtl/>
        </w:rPr>
        <w:t>כן מצאתי שיש להטיל מאסר על תנאי וקנס בגין האישומים דלעיל.</w:t>
      </w:r>
    </w:p>
    <w:p w14:paraId="3235F328" w14:textId="77777777" w:rsidR="004D3032" w:rsidRDefault="00553C6B">
      <w:pPr>
        <w:pStyle w:val="ListParagraph"/>
        <w:numPr>
          <w:ilvl w:val="0"/>
          <w:numId w:val="1"/>
        </w:numPr>
        <w:spacing w:after="160" w:line="360" w:lineRule="auto"/>
        <w:ind w:left="425"/>
        <w:contextualSpacing w:val="0"/>
        <w:jc w:val="both"/>
        <w:rPr>
          <w:rFonts w:ascii="Arial" w:hAnsi="Arial"/>
          <w:sz w:val="26"/>
          <w:szCs w:val="26"/>
        </w:rPr>
      </w:pPr>
      <w:r>
        <w:rPr>
          <w:rFonts w:ascii="Arial" w:hAnsi="Arial"/>
          <w:sz w:val="26"/>
          <w:szCs w:val="26"/>
          <w:rtl/>
        </w:rPr>
        <w:t>כאמור, עת גוזרים את העונש, יש להתחשב ב</w:t>
      </w:r>
      <w:r>
        <w:rPr>
          <w:rFonts w:ascii="Arial" w:hAnsi="Arial"/>
          <w:b/>
          <w:bCs/>
          <w:sz w:val="26"/>
          <w:szCs w:val="26"/>
          <w:rtl/>
        </w:rPr>
        <w:t>נסיבות שאינן קשורות לביצוע העבירה</w:t>
      </w:r>
      <w:r>
        <w:rPr>
          <w:rFonts w:ascii="Arial" w:hAnsi="Arial"/>
          <w:sz w:val="26"/>
          <w:szCs w:val="26"/>
          <w:rtl/>
        </w:rPr>
        <w:t xml:space="preserve">. השיקולים הרלוונטיים מנויים </w:t>
      </w:r>
      <w:hyperlink r:id="rId85" w:history="1">
        <w:r w:rsidR="00C04491" w:rsidRPr="00C04491">
          <w:rPr>
            <w:rFonts w:ascii="Arial" w:hAnsi="Arial"/>
            <w:color w:val="0000FF"/>
            <w:sz w:val="26"/>
            <w:szCs w:val="26"/>
            <w:u w:val="single"/>
            <w:rtl/>
          </w:rPr>
          <w:t>בסעיף 40יא</w:t>
        </w:r>
      </w:hyperlink>
      <w:r>
        <w:rPr>
          <w:rFonts w:ascii="Arial" w:hAnsi="Arial"/>
          <w:sz w:val="26"/>
          <w:szCs w:val="26"/>
          <w:rtl/>
        </w:rPr>
        <w:t xml:space="preserve"> לחוק, כדלקמן:</w:t>
      </w:r>
    </w:p>
    <w:p w14:paraId="5ABE1853"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b/>
          <w:bCs/>
          <w:sz w:val="26"/>
          <w:szCs w:val="26"/>
          <w:rtl/>
        </w:rPr>
        <w:t>נטילת אחריות ושיתוף פעולה עם רשויות האכיפה</w:t>
      </w:r>
      <w:r>
        <w:rPr>
          <w:rFonts w:ascii="Arial" w:hAnsi="Arial"/>
          <w:sz w:val="26"/>
          <w:szCs w:val="26"/>
          <w:rtl/>
        </w:rPr>
        <w:t xml:space="preserve"> – שני הנאשמים הודו ולקחו אחריות על מעשיהם. ברם, שירות המבחן אמר כי דארי לוקח אחריות על מעשיו ברמה ההצהרתית בלבד, תוך קושי ממשי לבחון את החלקים באישיותו שהביאו לביצוע העבירות. לעומת</w:t>
      </w:r>
      <w:r>
        <w:rPr>
          <w:rFonts w:ascii="Arial" w:hAnsi="Arial" w:hint="cs"/>
          <w:sz w:val="26"/>
          <w:szCs w:val="26"/>
          <w:rtl/>
        </w:rPr>
        <w:t xml:space="preserve"> דארי</w:t>
      </w:r>
      <w:r>
        <w:rPr>
          <w:rFonts w:ascii="Arial" w:hAnsi="Arial"/>
          <w:sz w:val="26"/>
          <w:szCs w:val="26"/>
          <w:rtl/>
        </w:rPr>
        <w:t>, שירות המבחן התרשם שסבאתה הביע חרטה וצער על מעשיו, הגם שאלו נבעו מהמחירים האישיים שהוא ומשפחתו משלמים.</w:t>
      </w:r>
    </w:p>
    <w:p w14:paraId="49B81D57"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b/>
          <w:bCs/>
          <w:sz w:val="26"/>
          <w:szCs w:val="26"/>
          <w:rtl/>
        </w:rPr>
        <w:t>עבר פלילי</w:t>
      </w:r>
      <w:r>
        <w:rPr>
          <w:rFonts w:ascii="Arial" w:hAnsi="Arial"/>
          <w:sz w:val="26"/>
          <w:szCs w:val="26"/>
          <w:rtl/>
        </w:rPr>
        <w:t xml:space="preserve"> – דארי נעדר עבר פלילי בעוד שלסבאתה עבר פלילי בעבירות דומות, ואף יש לו מאסר על תנאי בר הפעלה של שישה חודשים.</w:t>
      </w:r>
    </w:p>
    <w:p w14:paraId="374A6FBE"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b/>
          <w:bCs/>
          <w:sz w:val="26"/>
          <w:szCs w:val="26"/>
          <w:rtl/>
        </w:rPr>
        <w:t>נסיבות נוספות</w:t>
      </w:r>
      <w:r>
        <w:rPr>
          <w:rFonts w:ascii="Arial" w:hAnsi="Arial"/>
          <w:sz w:val="26"/>
          <w:szCs w:val="26"/>
          <w:rtl/>
        </w:rPr>
        <w:t xml:space="preserve"> – במקרה של סבאתה, מצאתי גם להתייחס לעובדה כי הכיר הכרות אישית את פאדי, אשר מותו שימש כקטליזטור לאירועי האישום השלישי והרביעי. ניתן להניח שמותו של אדם מוכר, יש בו להשפיע על הלך </w:t>
      </w:r>
      <w:r>
        <w:rPr>
          <w:rFonts w:ascii="Arial" w:hAnsi="Arial" w:hint="cs"/>
          <w:sz w:val="26"/>
          <w:szCs w:val="26"/>
          <w:rtl/>
        </w:rPr>
        <w:t>ר</w:t>
      </w:r>
      <w:r>
        <w:rPr>
          <w:rFonts w:ascii="Arial" w:hAnsi="Arial"/>
          <w:sz w:val="26"/>
          <w:szCs w:val="26"/>
          <w:rtl/>
        </w:rPr>
        <w:t>וחו של אדם צעיר. הגם, שכמובן, אין בכך כדי להצדיק את התנהגותו.</w:t>
      </w:r>
    </w:p>
    <w:p w14:paraId="3DAD9D65" w14:textId="77777777" w:rsidR="004D3032" w:rsidRDefault="00553C6B">
      <w:pPr>
        <w:spacing w:line="360" w:lineRule="auto"/>
        <w:jc w:val="both"/>
        <w:rPr>
          <w:rFonts w:ascii="Arial" w:hAnsi="Arial"/>
          <w:b/>
          <w:bCs/>
          <w:sz w:val="26"/>
          <w:szCs w:val="26"/>
          <w:u w:val="single"/>
          <w:rtl/>
        </w:rPr>
      </w:pPr>
      <w:r>
        <w:rPr>
          <w:rFonts w:ascii="Arial" w:hAnsi="Arial"/>
          <w:b/>
          <w:bCs/>
          <w:sz w:val="26"/>
          <w:szCs w:val="26"/>
          <w:u w:val="single"/>
          <w:rtl/>
        </w:rPr>
        <w:t>העונש</w:t>
      </w:r>
    </w:p>
    <w:p w14:paraId="487C0F92" w14:textId="77777777" w:rsidR="004D3032" w:rsidRDefault="00553C6B">
      <w:pPr>
        <w:spacing w:line="360" w:lineRule="auto"/>
        <w:ind w:left="62"/>
        <w:jc w:val="both"/>
        <w:rPr>
          <w:rFonts w:ascii="Arial" w:hAnsi="Arial"/>
          <w:b/>
          <w:bCs/>
          <w:sz w:val="26"/>
          <w:szCs w:val="26"/>
          <w:rtl/>
        </w:rPr>
      </w:pPr>
      <w:r>
        <w:rPr>
          <w:rFonts w:ascii="Arial" w:hAnsi="Arial"/>
          <w:b/>
          <w:bCs/>
          <w:sz w:val="26"/>
          <w:szCs w:val="26"/>
          <w:rtl/>
        </w:rPr>
        <w:t>דארי</w:t>
      </w:r>
    </w:p>
    <w:p w14:paraId="5A6E32BF" w14:textId="77777777" w:rsidR="004D3032" w:rsidRDefault="00553C6B">
      <w:pPr>
        <w:pStyle w:val="ListParagraph"/>
        <w:numPr>
          <w:ilvl w:val="0"/>
          <w:numId w:val="1"/>
        </w:numPr>
        <w:spacing w:after="160" w:line="360" w:lineRule="auto"/>
        <w:ind w:left="425"/>
        <w:contextualSpacing w:val="0"/>
        <w:jc w:val="both"/>
        <w:rPr>
          <w:rFonts w:ascii="Arial" w:hAnsi="Arial"/>
          <w:sz w:val="26"/>
          <w:szCs w:val="26"/>
        </w:rPr>
      </w:pPr>
      <w:r>
        <w:rPr>
          <w:rFonts w:ascii="Arial" w:hAnsi="Arial"/>
          <w:sz w:val="26"/>
          <w:szCs w:val="26"/>
          <w:rtl/>
        </w:rPr>
        <w:t>המדובר בצעיר בן 22 ששירות המבחן התרשם כי הוא מושפע באופן משמעותי מלחצים סביבתיים. דארי לקח אחריות על מעשיו, אך דומה כי ברמה שטחית בלבד. המלצת שירות המבחן בעניינו היתה הטלת מאסר בפועל ומאסר מותנה ארוך ומרתיע. משכך, תוך שקלול האמור, כמו גם העדר עבר פלילי,</w:t>
      </w:r>
      <w:r>
        <w:rPr>
          <w:rFonts w:ascii="Arial" w:hAnsi="Arial" w:hint="cs"/>
          <w:sz w:val="26"/>
          <w:szCs w:val="26"/>
          <w:rtl/>
        </w:rPr>
        <w:t xml:space="preserve"> בשים לב להודאתו והחיסכון בזמן בית המשפט,</w:t>
      </w:r>
      <w:r>
        <w:rPr>
          <w:rFonts w:ascii="Arial" w:hAnsi="Arial"/>
          <w:sz w:val="26"/>
          <w:szCs w:val="26"/>
          <w:rtl/>
        </w:rPr>
        <w:t xml:space="preserve"> ותוך הבעת תקווה שכאשר ישתחרר ממאסר יצליח לשקם את חייו, אני גוזר עליו עונש כולל כדלקמן:</w:t>
      </w:r>
    </w:p>
    <w:p w14:paraId="509DBA01" w14:textId="77777777" w:rsidR="004D3032" w:rsidRDefault="00553C6B">
      <w:pPr>
        <w:pStyle w:val="ListParagraph"/>
        <w:numPr>
          <w:ilvl w:val="1"/>
          <w:numId w:val="1"/>
        </w:numPr>
        <w:spacing w:after="160" w:line="360" w:lineRule="auto"/>
        <w:ind w:left="1080" w:hanging="720"/>
        <w:contextualSpacing w:val="0"/>
        <w:jc w:val="both"/>
        <w:rPr>
          <w:rFonts w:ascii="Arial" w:hAnsi="Arial"/>
          <w:b/>
          <w:bCs/>
          <w:sz w:val="26"/>
          <w:szCs w:val="26"/>
          <w:rtl/>
        </w:rPr>
      </w:pPr>
      <w:r>
        <w:rPr>
          <w:rFonts w:ascii="Arial" w:hAnsi="Arial" w:hint="cs"/>
          <w:b/>
          <w:bCs/>
          <w:sz w:val="26"/>
          <w:szCs w:val="26"/>
          <w:rtl/>
        </w:rPr>
        <w:t>חמישים וארבעה (</w:t>
      </w:r>
      <w:r>
        <w:rPr>
          <w:rFonts w:ascii="Arial" w:hAnsi="Arial"/>
          <w:b/>
          <w:bCs/>
          <w:sz w:val="26"/>
          <w:szCs w:val="26"/>
          <w:rtl/>
        </w:rPr>
        <w:t>54</w:t>
      </w:r>
      <w:r>
        <w:rPr>
          <w:rFonts w:ascii="Arial" w:hAnsi="Arial" w:hint="cs"/>
          <w:b/>
          <w:bCs/>
          <w:sz w:val="26"/>
          <w:szCs w:val="26"/>
          <w:rtl/>
        </w:rPr>
        <w:t xml:space="preserve">) </w:t>
      </w:r>
      <w:r>
        <w:rPr>
          <w:rFonts w:ascii="Arial" w:hAnsi="Arial"/>
          <w:b/>
          <w:bCs/>
          <w:sz w:val="26"/>
          <w:szCs w:val="26"/>
          <w:rtl/>
        </w:rPr>
        <w:t>חודשי</w:t>
      </w:r>
      <w:r>
        <w:rPr>
          <w:rFonts w:ascii="Arial" w:hAnsi="Arial" w:hint="cs"/>
          <w:b/>
          <w:bCs/>
          <w:sz w:val="26"/>
          <w:szCs w:val="26"/>
          <w:rtl/>
        </w:rPr>
        <w:t>ם של</w:t>
      </w:r>
      <w:r>
        <w:rPr>
          <w:rFonts w:ascii="Arial" w:hAnsi="Arial"/>
          <w:b/>
          <w:bCs/>
          <w:sz w:val="26"/>
          <w:szCs w:val="26"/>
          <w:rtl/>
        </w:rPr>
        <w:t xml:space="preserve"> מאסר בפועל, שיימנו מיום מעצרו (14.10.15).</w:t>
      </w:r>
    </w:p>
    <w:p w14:paraId="4DF5926D" w14:textId="77777777" w:rsidR="004D3032" w:rsidRDefault="00553C6B">
      <w:pPr>
        <w:pStyle w:val="ListParagraph"/>
        <w:numPr>
          <w:ilvl w:val="1"/>
          <w:numId w:val="1"/>
        </w:numPr>
        <w:spacing w:after="160" w:line="360" w:lineRule="auto"/>
        <w:ind w:left="1080" w:hanging="720"/>
        <w:contextualSpacing w:val="0"/>
        <w:jc w:val="both"/>
        <w:rPr>
          <w:rFonts w:ascii="Arial" w:hAnsi="Arial"/>
          <w:sz w:val="26"/>
          <w:szCs w:val="26"/>
        </w:rPr>
      </w:pPr>
      <w:r>
        <w:rPr>
          <w:rFonts w:ascii="Arial" w:hAnsi="Arial"/>
          <w:b/>
          <w:bCs/>
          <w:sz w:val="26"/>
          <w:szCs w:val="26"/>
          <w:rtl/>
        </w:rPr>
        <w:t>מאסר על תנאי של</w:t>
      </w:r>
      <w:r>
        <w:rPr>
          <w:rFonts w:ascii="Arial" w:hAnsi="Arial" w:hint="cs"/>
          <w:b/>
          <w:bCs/>
          <w:sz w:val="26"/>
          <w:szCs w:val="26"/>
          <w:rtl/>
        </w:rPr>
        <w:t xml:space="preserve"> שנים עשר (</w:t>
      </w:r>
      <w:r>
        <w:rPr>
          <w:rFonts w:ascii="Arial" w:hAnsi="Arial"/>
          <w:b/>
          <w:bCs/>
          <w:sz w:val="26"/>
          <w:szCs w:val="26"/>
          <w:rtl/>
        </w:rPr>
        <w:t>12</w:t>
      </w:r>
      <w:r>
        <w:rPr>
          <w:rFonts w:ascii="Arial" w:hAnsi="Arial" w:hint="cs"/>
          <w:b/>
          <w:bCs/>
          <w:sz w:val="26"/>
          <w:szCs w:val="26"/>
          <w:rtl/>
        </w:rPr>
        <w:t>)</w:t>
      </w:r>
      <w:r>
        <w:rPr>
          <w:rFonts w:ascii="Arial" w:hAnsi="Arial"/>
          <w:b/>
          <w:bCs/>
          <w:sz w:val="26"/>
          <w:szCs w:val="26"/>
          <w:rtl/>
        </w:rPr>
        <w:t xml:space="preserve"> חודשים לתקופה של שלוש שנים</w:t>
      </w:r>
      <w:r>
        <w:rPr>
          <w:rFonts w:ascii="Arial" w:hAnsi="Arial" w:hint="cs"/>
          <w:b/>
          <w:bCs/>
          <w:sz w:val="26"/>
          <w:szCs w:val="26"/>
          <w:rtl/>
        </w:rPr>
        <w:t>,</w:t>
      </w:r>
      <w:r>
        <w:rPr>
          <w:rFonts w:ascii="Arial" w:hAnsi="Arial"/>
          <w:b/>
          <w:bCs/>
          <w:sz w:val="26"/>
          <w:szCs w:val="26"/>
          <w:rtl/>
        </w:rPr>
        <w:t xml:space="preserve"> מיום שחרורו ממאסר, והתנאי הוא שלא יעבור עבירה מסוג זו עליה הורשע כאן</w:t>
      </w:r>
      <w:r>
        <w:rPr>
          <w:rFonts w:ascii="Arial" w:hAnsi="Arial"/>
          <w:sz w:val="26"/>
          <w:szCs w:val="26"/>
          <w:rtl/>
        </w:rPr>
        <w:t>.</w:t>
      </w:r>
    </w:p>
    <w:p w14:paraId="60FF462C" w14:textId="77777777" w:rsidR="004D3032" w:rsidRDefault="00553C6B">
      <w:pPr>
        <w:pStyle w:val="ListParagraph"/>
        <w:numPr>
          <w:ilvl w:val="1"/>
          <w:numId w:val="1"/>
        </w:numPr>
        <w:spacing w:after="160" w:line="360" w:lineRule="auto"/>
        <w:ind w:left="1080" w:hanging="720"/>
        <w:contextualSpacing w:val="0"/>
        <w:jc w:val="both"/>
        <w:rPr>
          <w:rFonts w:ascii="Arial" w:hAnsi="Arial"/>
          <w:b/>
          <w:bCs/>
          <w:sz w:val="26"/>
          <w:szCs w:val="26"/>
        </w:rPr>
      </w:pPr>
      <w:r>
        <w:rPr>
          <w:rFonts w:ascii="Arial" w:hAnsi="Arial"/>
          <w:b/>
          <w:bCs/>
          <w:sz w:val="26"/>
          <w:szCs w:val="26"/>
          <w:rtl/>
        </w:rPr>
        <w:t>קנס בסך 4,500 ₪ לתשלום בשלושה תשלומים שווים החל מיום 1.2.17</w:t>
      </w:r>
      <w:r>
        <w:rPr>
          <w:rFonts w:ascii="Arial" w:hAnsi="Arial" w:hint="cs"/>
          <w:b/>
          <w:bCs/>
          <w:sz w:val="26"/>
          <w:szCs w:val="26"/>
          <w:rtl/>
        </w:rPr>
        <w:t xml:space="preserve">. כל תשלום ישלום בכל האחד עד ה-10 בכל חודש. באם לא ישולם תשלום כלשהוא במלואו ובמועדו יעמוד הקנס כולו לפירעון מיידי, ואם לא ישולם ייאסר דארי למשך 90 ימים. </w:t>
      </w:r>
      <w:r>
        <w:rPr>
          <w:rFonts w:ascii="Arial" w:hAnsi="Arial"/>
          <w:b/>
          <w:bCs/>
          <w:sz w:val="26"/>
          <w:szCs w:val="26"/>
          <w:rtl/>
        </w:rPr>
        <w:t xml:space="preserve"> </w:t>
      </w:r>
    </w:p>
    <w:p w14:paraId="3C33F960" w14:textId="77777777" w:rsidR="004D3032" w:rsidRDefault="00553C6B">
      <w:pPr>
        <w:spacing w:line="360" w:lineRule="auto"/>
        <w:jc w:val="both"/>
        <w:rPr>
          <w:rFonts w:ascii="Arial" w:hAnsi="Arial"/>
          <w:b/>
          <w:bCs/>
          <w:sz w:val="26"/>
          <w:szCs w:val="26"/>
        </w:rPr>
      </w:pPr>
      <w:r>
        <w:rPr>
          <w:rFonts w:ascii="Arial" w:hAnsi="Arial"/>
          <w:b/>
          <w:bCs/>
          <w:sz w:val="26"/>
          <w:szCs w:val="26"/>
          <w:rtl/>
        </w:rPr>
        <w:t>סבאתה</w:t>
      </w:r>
    </w:p>
    <w:p w14:paraId="30F2A73A" w14:textId="77777777" w:rsidR="004D3032" w:rsidRDefault="00553C6B">
      <w:pPr>
        <w:pStyle w:val="ListParagraph"/>
        <w:numPr>
          <w:ilvl w:val="0"/>
          <w:numId w:val="1"/>
        </w:numPr>
        <w:spacing w:after="160" w:line="360" w:lineRule="auto"/>
        <w:ind w:left="425"/>
        <w:contextualSpacing w:val="0"/>
        <w:jc w:val="both"/>
        <w:rPr>
          <w:rFonts w:ascii="Arial" w:hAnsi="Arial"/>
          <w:sz w:val="26"/>
          <w:szCs w:val="26"/>
        </w:rPr>
      </w:pPr>
      <w:r>
        <w:rPr>
          <w:rFonts w:ascii="Arial" w:hAnsi="Arial"/>
          <w:sz w:val="26"/>
          <w:szCs w:val="26"/>
          <w:rtl/>
        </w:rPr>
        <w:t>המדובר בצעיר בן 19 שמצבה הכלכלי של משפחתו הוא קשה. כאמור,  אחיו הורשע בגין ביצוע מעשים דומים ונידון למאסר, וייתכן כי הוא נמנה על אותה קבוצת אנשים אותם מבקש סבאתה לחקות. ברי, כי עדיף אם היה מוצא מודלים אחרים לחיקוי. לסבאתה עבר פלילי רלוונטי בגין עבירות אותן ביצע בעודו קטין. כזכור גם את מעשי האישום הראשון בו עסקינן ביצע קודם לבגרותו. ברם, קטינות אינה מהווה חסינות מפני ענישה, ולעיתים יש ליתן בכורה לשיקולי הגמול וההרתעה, בעיקר כאשר עסקינן בעבירות מסוג זה, המבוצעות על פי רוב על ידי צעירים, בין אם קטינים ובין אם בגירים-צעירים (</w:t>
      </w:r>
      <w:hyperlink r:id="rId86" w:history="1">
        <w:r w:rsidRPr="00553C6B">
          <w:rPr>
            <w:rFonts w:ascii="Arial" w:hAnsi="Arial"/>
            <w:color w:val="0000FF"/>
            <w:sz w:val="26"/>
            <w:szCs w:val="26"/>
            <w:u w:val="single"/>
            <w:rtl/>
          </w:rPr>
          <w:t>ע"פ 5559/16</w:t>
        </w:r>
      </w:hyperlink>
      <w:r>
        <w:rPr>
          <w:rFonts w:ascii="Arial" w:hAnsi="Arial"/>
          <w:sz w:val="26"/>
          <w:szCs w:val="26"/>
          <w:rtl/>
        </w:rPr>
        <w:t xml:space="preserve"> </w:t>
      </w:r>
      <w:r>
        <w:rPr>
          <w:rFonts w:ascii="Arial" w:hAnsi="Arial"/>
          <w:b/>
          <w:bCs/>
          <w:sz w:val="26"/>
          <w:szCs w:val="26"/>
          <w:rtl/>
        </w:rPr>
        <w:t>מדינת ישראל נ' פלוני</w:t>
      </w:r>
      <w:r>
        <w:rPr>
          <w:rFonts w:ascii="Arial" w:hAnsi="Arial"/>
          <w:sz w:val="26"/>
          <w:szCs w:val="26"/>
          <w:rtl/>
        </w:rPr>
        <w:t xml:space="preserve"> (4.8.16), פסקה 13; </w:t>
      </w:r>
      <w:hyperlink r:id="rId87" w:history="1">
        <w:r w:rsidRPr="00553C6B">
          <w:rPr>
            <w:rFonts w:ascii="Arial" w:hAnsi="Arial"/>
            <w:color w:val="0000FF"/>
            <w:sz w:val="26"/>
            <w:szCs w:val="26"/>
            <w:u w:val="single"/>
            <w:rtl/>
          </w:rPr>
          <w:t>ע"פ 4737/16</w:t>
        </w:r>
      </w:hyperlink>
      <w:r>
        <w:rPr>
          <w:rFonts w:ascii="Arial" w:hAnsi="Arial"/>
          <w:sz w:val="26"/>
          <w:szCs w:val="26"/>
          <w:rtl/>
        </w:rPr>
        <w:t xml:space="preserve"> </w:t>
      </w:r>
      <w:r>
        <w:rPr>
          <w:rFonts w:ascii="Arial" w:hAnsi="Arial"/>
          <w:b/>
          <w:bCs/>
          <w:sz w:val="26"/>
          <w:szCs w:val="26"/>
          <w:rtl/>
        </w:rPr>
        <w:t>פלוני נ' מדינת ישראל</w:t>
      </w:r>
      <w:r>
        <w:rPr>
          <w:rFonts w:ascii="Arial" w:hAnsi="Arial"/>
          <w:sz w:val="26"/>
          <w:szCs w:val="26"/>
          <w:rtl/>
        </w:rPr>
        <w:t xml:space="preserve"> (27.7.16), פסקה 3). משכך, תוך שקלול האמור,</w:t>
      </w:r>
      <w:r>
        <w:rPr>
          <w:rFonts w:ascii="Arial" w:hAnsi="Arial" w:hint="cs"/>
          <w:sz w:val="26"/>
          <w:szCs w:val="26"/>
          <w:rtl/>
        </w:rPr>
        <w:t xml:space="preserve"> בשים לב להודאתו והחיסכון בזמן בית המשפט,</w:t>
      </w:r>
      <w:r>
        <w:rPr>
          <w:rFonts w:ascii="Arial" w:hAnsi="Arial"/>
          <w:sz w:val="26"/>
          <w:szCs w:val="26"/>
          <w:rtl/>
        </w:rPr>
        <w:t xml:space="preserve"> ותוך הבעת תקווה שכאשר ישתחרר ממאסר יצליח לשקם את חייו, אני גוזר עליו עונש כולל כדלקמן:</w:t>
      </w:r>
    </w:p>
    <w:p w14:paraId="68061D41" w14:textId="77777777" w:rsidR="004D3032" w:rsidRDefault="00553C6B">
      <w:pPr>
        <w:pStyle w:val="ListParagraph"/>
        <w:numPr>
          <w:ilvl w:val="1"/>
          <w:numId w:val="1"/>
        </w:numPr>
        <w:spacing w:after="160" w:line="360" w:lineRule="auto"/>
        <w:ind w:left="1080" w:hanging="720"/>
        <w:contextualSpacing w:val="0"/>
        <w:jc w:val="both"/>
        <w:rPr>
          <w:rFonts w:ascii="Arial" w:hAnsi="Arial"/>
          <w:b/>
          <w:bCs/>
          <w:sz w:val="26"/>
          <w:szCs w:val="26"/>
        </w:rPr>
      </w:pPr>
      <w:r>
        <w:rPr>
          <w:rFonts w:ascii="Arial" w:hAnsi="Arial" w:hint="cs"/>
          <w:b/>
          <w:bCs/>
          <w:sz w:val="26"/>
          <w:szCs w:val="26"/>
          <w:rtl/>
        </w:rPr>
        <w:t>ארבעים (</w:t>
      </w:r>
      <w:r>
        <w:rPr>
          <w:rFonts w:ascii="Arial" w:hAnsi="Arial"/>
          <w:b/>
          <w:bCs/>
          <w:sz w:val="26"/>
          <w:szCs w:val="26"/>
          <w:rtl/>
        </w:rPr>
        <w:t>40</w:t>
      </w:r>
      <w:r>
        <w:rPr>
          <w:rFonts w:ascii="Arial" w:hAnsi="Arial" w:hint="cs"/>
          <w:b/>
          <w:bCs/>
          <w:sz w:val="26"/>
          <w:szCs w:val="26"/>
          <w:rtl/>
        </w:rPr>
        <w:t>)</w:t>
      </w:r>
      <w:r>
        <w:rPr>
          <w:rFonts w:ascii="Arial" w:hAnsi="Arial"/>
          <w:b/>
          <w:bCs/>
          <w:sz w:val="26"/>
          <w:szCs w:val="26"/>
          <w:rtl/>
        </w:rPr>
        <w:t xml:space="preserve"> חודשי</w:t>
      </w:r>
      <w:r>
        <w:rPr>
          <w:rFonts w:ascii="Arial" w:hAnsi="Arial" w:hint="cs"/>
          <w:b/>
          <w:bCs/>
          <w:sz w:val="26"/>
          <w:szCs w:val="26"/>
          <w:rtl/>
        </w:rPr>
        <w:t>ם של</w:t>
      </w:r>
      <w:r>
        <w:rPr>
          <w:rFonts w:ascii="Arial" w:hAnsi="Arial"/>
          <w:b/>
          <w:bCs/>
          <w:sz w:val="26"/>
          <w:szCs w:val="26"/>
          <w:rtl/>
        </w:rPr>
        <w:t xml:space="preserve"> מאסר בפועל. כן אני מפעיל את 6 חודשי המאסר על תנאי, </w:t>
      </w:r>
      <w:r>
        <w:rPr>
          <w:rFonts w:ascii="Arial" w:hAnsi="Arial" w:hint="cs"/>
          <w:b/>
          <w:bCs/>
          <w:sz w:val="26"/>
          <w:szCs w:val="26"/>
          <w:rtl/>
        </w:rPr>
        <w:t>שנגזרו ב</w:t>
      </w:r>
      <w:hyperlink r:id="rId88" w:history="1">
        <w:r w:rsidRPr="00553C6B">
          <w:rPr>
            <w:rFonts w:ascii="Arial" w:hAnsi="Arial"/>
            <w:b/>
            <w:bCs/>
            <w:color w:val="0000FF"/>
            <w:sz w:val="26"/>
            <w:szCs w:val="26"/>
            <w:u w:val="single"/>
            <w:rtl/>
          </w:rPr>
          <w:t>ת"פ 15115-05-14</w:t>
        </w:r>
      </w:hyperlink>
      <w:r>
        <w:rPr>
          <w:rFonts w:ascii="Arial" w:hAnsi="Arial" w:hint="cs"/>
          <w:b/>
          <w:bCs/>
          <w:sz w:val="26"/>
          <w:szCs w:val="26"/>
          <w:rtl/>
        </w:rPr>
        <w:t xml:space="preserve">, </w:t>
      </w:r>
      <w:r>
        <w:rPr>
          <w:rFonts w:ascii="Arial" w:hAnsi="Arial"/>
          <w:b/>
          <w:bCs/>
          <w:sz w:val="26"/>
          <w:szCs w:val="26"/>
          <w:rtl/>
        </w:rPr>
        <w:t xml:space="preserve">כך שסה"כ </w:t>
      </w:r>
      <w:r>
        <w:rPr>
          <w:rFonts w:ascii="Arial" w:hAnsi="Arial" w:hint="cs"/>
          <w:b/>
          <w:bCs/>
          <w:sz w:val="26"/>
          <w:szCs w:val="26"/>
          <w:rtl/>
        </w:rPr>
        <w:t>ירצה ארבעים ושישה</w:t>
      </w:r>
      <w:r>
        <w:rPr>
          <w:rFonts w:ascii="Arial" w:hAnsi="Arial"/>
          <w:b/>
          <w:bCs/>
          <w:sz w:val="26"/>
          <w:szCs w:val="26"/>
          <w:rtl/>
        </w:rPr>
        <w:t xml:space="preserve"> </w:t>
      </w:r>
      <w:r>
        <w:rPr>
          <w:rFonts w:ascii="Arial" w:hAnsi="Arial" w:hint="cs"/>
          <w:b/>
          <w:bCs/>
          <w:sz w:val="26"/>
          <w:szCs w:val="26"/>
          <w:rtl/>
        </w:rPr>
        <w:t>(</w:t>
      </w:r>
      <w:r>
        <w:rPr>
          <w:rFonts w:ascii="Arial" w:hAnsi="Arial"/>
          <w:b/>
          <w:bCs/>
          <w:sz w:val="26"/>
          <w:szCs w:val="26"/>
          <w:rtl/>
        </w:rPr>
        <w:t>46</w:t>
      </w:r>
      <w:r>
        <w:rPr>
          <w:rFonts w:ascii="Arial" w:hAnsi="Arial" w:hint="cs"/>
          <w:b/>
          <w:bCs/>
          <w:sz w:val="26"/>
          <w:szCs w:val="26"/>
          <w:rtl/>
        </w:rPr>
        <w:t>)</w:t>
      </w:r>
      <w:r>
        <w:rPr>
          <w:rFonts w:ascii="Arial" w:hAnsi="Arial"/>
          <w:b/>
          <w:bCs/>
          <w:sz w:val="26"/>
          <w:szCs w:val="26"/>
          <w:rtl/>
        </w:rPr>
        <w:t xml:space="preserve"> חודשי</w:t>
      </w:r>
      <w:r>
        <w:rPr>
          <w:rFonts w:ascii="Arial" w:hAnsi="Arial" w:hint="cs"/>
          <w:b/>
          <w:bCs/>
          <w:sz w:val="26"/>
          <w:szCs w:val="26"/>
          <w:rtl/>
        </w:rPr>
        <w:t xml:space="preserve">ם של </w:t>
      </w:r>
      <w:r>
        <w:rPr>
          <w:rFonts w:ascii="Arial" w:hAnsi="Arial"/>
          <w:b/>
          <w:bCs/>
          <w:sz w:val="26"/>
          <w:szCs w:val="26"/>
          <w:rtl/>
        </w:rPr>
        <w:t xml:space="preserve"> מאסר בפועל שיימנו מיום מעצרו (28.10.15).</w:t>
      </w:r>
      <w:r>
        <w:rPr>
          <w:rFonts w:ascii="Arial" w:hAnsi="Arial" w:hint="cs"/>
          <w:b/>
          <w:bCs/>
          <w:sz w:val="26"/>
          <w:szCs w:val="26"/>
          <w:rtl/>
        </w:rPr>
        <w:t xml:space="preserve"> </w:t>
      </w:r>
    </w:p>
    <w:p w14:paraId="4D9D47DD" w14:textId="77777777" w:rsidR="004D3032" w:rsidRDefault="00553C6B">
      <w:pPr>
        <w:pStyle w:val="ListParagraph"/>
        <w:numPr>
          <w:ilvl w:val="1"/>
          <w:numId w:val="1"/>
        </w:numPr>
        <w:spacing w:after="160" w:line="360" w:lineRule="auto"/>
        <w:ind w:left="1080" w:hanging="720"/>
        <w:contextualSpacing w:val="0"/>
        <w:jc w:val="both"/>
        <w:rPr>
          <w:rFonts w:ascii="Arial" w:hAnsi="Arial"/>
          <w:b/>
          <w:bCs/>
          <w:sz w:val="26"/>
          <w:szCs w:val="26"/>
        </w:rPr>
      </w:pPr>
      <w:r>
        <w:rPr>
          <w:rFonts w:ascii="Arial" w:hAnsi="Arial"/>
          <w:b/>
          <w:bCs/>
          <w:sz w:val="26"/>
          <w:szCs w:val="26"/>
          <w:rtl/>
        </w:rPr>
        <w:t xml:space="preserve"> מאסר על תנאי של </w:t>
      </w:r>
      <w:r>
        <w:rPr>
          <w:rFonts w:ascii="Arial" w:hAnsi="Arial" w:hint="cs"/>
          <w:b/>
          <w:bCs/>
          <w:sz w:val="26"/>
          <w:szCs w:val="26"/>
          <w:rtl/>
        </w:rPr>
        <w:t>שנים עשר (</w:t>
      </w:r>
      <w:r>
        <w:rPr>
          <w:rFonts w:ascii="Arial" w:hAnsi="Arial"/>
          <w:b/>
          <w:bCs/>
          <w:sz w:val="26"/>
          <w:szCs w:val="26"/>
          <w:rtl/>
        </w:rPr>
        <w:t>12</w:t>
      </w:r>
      <w:r>
        <w:rPr>
          <w:rFonts w:ascii="Arial" w:hAnsi="Arial" w:hint="cs"/>
          <w:b/>
          <w:bCs/>
          <w:sz w:val="26"/>
          <w:szCs w:val="26"/>
          <w:rtl/>
        </w:rPr>
        <w:t>)</w:t>
      </w:r>
      <w:r>
        <w:rPr>
          <w:rFonts w:ascii="Arial" w:hAnsi="Arial"/>
          <w:b/>
          <w:bCs/>
          <w:sz w:val="26"/>
          <w:szCs w:val="26"/>
          <w:rtl/>
        </w:rPr>
        <w:t xml:space="preserve"> </w:t>
      </w:r>
      <w:r>
        <w:rPr>
          <w:rFonts w:ascii="Arial" w:hAnsi="Arial" w:hint="cs"/>
          <w:b/>
          <w:bCs/>
          <w:sz w:val="26"/>
          <w:szCs w:val="26"/>
          <w:rtl/>
        </w:rPr>
        <w:t xml:space="preserve">חודשים </w:t>
      </w:r>
      <w:r>
        <w:rPr>
          <w:rFonts w:ascii="Arial" w:hAnsi="Arial"/>
          <w:b/>
          <w:bCs/>
          <w:sz w:val="26"/>
          <w:szCs w:val="26"/>
          <w:rtl/>
        </w:rPr>
        <w:t>לתקופה של שלוש שנים שתמנה מיום שחרורו ממאסר, והתנאי הוא שלא יעבור עבירה מסוג זו עליה הורשע כאן.</w:t>
      </w:r>
    </w:p>
    <w:p w14:paraId="25DACFCA" w14:textId="77777777" w:rsidR="004D3032" w:rsidRDefault="00553C6B">
      <w:pPr>
        <w:jc w:val="both"/>
        <w:rPr>
          <w:b/>
          <w:bCs/>
          <w:sz w:val="26"/>
          <w:szCs w:val="26"/>
          <w:u w:val="single"/>
          <w:rtl/>
        </w:rPr>
      </w:pPr>
      <w:r>
        <w:rPr>
          <w:rFonts w:hint="cs"/>
          <w:b/>
          <w:bCs/>
          <w:sz w:val="26"/>
          <w:szCs w:val="26"/>
          <w:u w:val="single"/>
          <w:rtl/>
        </w:rPr>
        <w:t>זכות ערעור לבית המשפט העליון תוך 45 ימים מהיום.</w:t>
      </w:r>
    </w:p>
    <w:p w14:paraId="56623E71" w14:textId="77777777" w:rsidR="004D3032" w:rsidRDefault="004D3032">
      <w:pPr>
        <w:jc w:val="both"/>
        <w:rPr>
          <w:b/>
          <w:bCs/>
          <w:sz w:val="26"/>
          <w:szCs w:val="26"/>
          <w:u w:val="single"/>
        </w:rPr>
      </w:pPr>
    </w:p>
    <w:p w14:paraId="12024886" w14:textId="77777777" w:rsidR="004D3032" w:rsidRDefault="00553C6B">
      <w:pPr>
        <w:jc w:val="both"/>
        <w:rPr>
          <w:b/>
          <w:bCs/>
          <w:sz w:val="26"/>
          <w:szCs w:val="26"/>
          <w:u w:val="single"/>
          <w:rtl/>
        </w:rPr>
      </w:pPr>
      <w:r>
        <w:rPr>
          <w:b/>
          <w:bCs/>
          <w:sz w:val="26"/>
          <w:szCs w:val="26"/>
          <w:u w:val="single"/>
          <w:rtl/>
        </w:rPr>
        <w:t>המזכירות תשלח העתק מגזר הדין לשירות המבחן.</w:t>
      </w:r>
    </w:p>
    <w:p w14:paraId="7CA4FD7D" w14:textId="77777777" w:rsidR="004D3032" w:rsidRDefault="004D3032">
      <w:pPr>
        <w:jc w:val="both"/>
        <w:rPr>
          <w:sz w:val="26"/>
          <w:szCs w:val="26"/>
          <w:rtl/>
        </w:rPr>
      </w:pPr>
    </w:p>
    <w:p w14:paraId="609DA92E" w14:textId="77777777" w:rsidR="004D3032" w:rsidRDefault="00553C6B">
      <w:pPr>
        <w:jc w:val="both"/>
        <w:rPr>
          <w:sz w:val="26"/>
          <w:szCs w:val="26"/>
          <w:rtl/>
        </w:rPr>
      </w:pPr>
      <w:r w:rsidRPr="00553C6B">
        <w:rPr>
          <w:rFonts w:ascii="Arial" w:hAnsi="Arial"/>
          <w:color w:val="FFFFFF"/>
          <w:sz w:val="2"/>
          <w:szCs w:val="2"/>
          <w:rtl/>
        </w:rPr>
        <w:t>5129371</w:t>
      </w:r>
      <w:r>
        <w:rPr>
          <w:rFonts w:ascii="Arial" w:hAnsi="Arial"/>
          <w:sz w:val="26"/>
          <w:szCs w:val="26"/>
          <w:rtl/>
        </w:rPr>
        <w:t xml:space="preserve">ניתן היום,  ט"ו כסלו תשע"ז, 15 דצמבר 2016, בנוכחות הנאשמים וב"כ הצדדים. </w:t>
      </w:r>
    </w:p>
    <w:tbl>
      <w:tblPr>
        <w:bidiVisual/>
        <w:tblW w:w="2511" w:type="dxa"/>
        <w:tblInd w:w="6372" w:type="dxa"/>
        <w:tblLook w:val="01E0" w:firstRow="1" w:lastRow="1" w:firstColumn="1" w:lastColumn="1" w:noHBand="0" w:noVBand="0"/>
      </w:tblPr>
      <w:tblGrid>
        <w:gridCol w:w="2511"/>
      </w:tblGrid>
      <w:tr w:rsidR="004D3032" w14:paraId="3D0CF079" w14:textId="77777777">
        <w:tc>
          <w:tcPr>
            <w:tcW w:w="2511" w:type="dxa"/>
            <w:tcBorders>
              <w:top w:val="nil"/>
              <w:left w:val="nil"/>
              <w:bottom w:val="single" w:sz="4" w:space="0" w:color="auto"/>
              <w:right w:val="nil"/>
            </w:tcBorders>
            <w:shd w:val="clear" w:color="auto" w:fill="auto"/>
            <w:vAlign w:val="center"/>
          </w:tcPr>
          <w:p w14:paraId="1B7044D2" w14:textId="77777777" w:rsidR="004D3032" w:rsidRPr="00553C6B" w:rsidRDefault="00553C6B">
            <w:pPr>
              <w:jc w:val="center"/>
              <w:rPr>
                <w:rFonts w:ascii="Courier New" w:hAnsi="Courier New"/>
                <w:b/>
                <w:bCs/>
                <w:color w:val="FFFFFF"/>
                <w:sz w:val="2"/>
                <w:szCs w:val="2"/>
              </w:rPr>
            </w:pPr>
            <w:r w:rsidRPr="00553C6B">
              <w:rPr>
                <w:color w:val="FFFFFF"/>
                <w:sz w:val="2"/>
                <w:szCs w:val="2"/>
                <w:rtl/>
              </w:rPr>
              <w:t xml:space="preserve">54678313   </w:t>
            </w:r>
            <w:r w:rsidRPr="00553C6B">
              <w:rPr>
                <w:color w:val="FFFFFF"/>
                <w:sz w:val="2"/>
                <w:szCs w:val="2"/>
                <w:rtl/>
              </w:rPr>
              <w:tab/>
            </w:r>
            <w:r w:rsidRPr="00553C6B">
              <w:rPr>
                <w:color w:val="FFFFFF"/>
                <w:sz w:val="2"/>
                <w:szCs w:val="2"/>
                <w:rtl/>
              </w:rPr>
              <w:tab/>
            </w:r>
            <w:r w:rsidRPr="00553C6B">
              <w:rPr>
                <w:color w:val="FFFFFF"/>
                <w:sz w:val="2"/>
                <w:szCs w:val="2"/>
                <w:rtl/>
              </w:rPr>
              <w:tab/>
            </w:r>
            <w:r w:rsidRPr="00553C6B">
              <w:rPr>
                <w:color w:val="FFFFFF"/>
                <w:sz w:val="2"/>
                <w:szCs w:val="2"/>
                <w:rtl/>
              </w:rPr>
              <w:tab/>
            </w:r>
            <w:r w:rsidRPr="00553C6B">
              <w:rPr>
                <w:color w:val="FFFFFF"/>
                <w:sz w:val="2"/>
                <w:szCs w:val="2"/>
                <w:rtl/>
              </w:rPr>
              <w:tab/>
            </w:r>
            <w:r w:rsidRPr="00553C6B">
              <w:rPr>
                <w:rFonts w:ascii="Arial" w:hAnsi="Arial" w:hint="cs"/>
                <w:color w:val="FFFFFF"/>
                <w:sz w:val="2"/>
                <w:szCs w:val="2"/>
                <w:rtl/>
              </w:rPr>
              <w:t xml:space="preserve"> </w:t>
            </w:r>
          </w:p>
        </w:tc>
      </w:tr>
      <w:tr w:rsidR="004D3032" w14:paraId="1CB62F63" w14:textId="77777777">
        <w:tc>
          <w:tcPr>
            <w:tcW w:w="2511" w:type="dxa"/>
            <w:tcBorders>
              <w:top w:val="single" w:sz="4" w:space="0" w:color="auto"/>
              <w:left w:val="nil"/>
              <w:bottom w:val="nil"/>
              <w:right w:val="nil"/>
            </w:tcBorders>
            <w:shd w:val="clear" w:color="auto" w:fill="auto"/>
            <w:vAlign w:val="center"/>
          </w:tcPr>
          <w:p w14:paraId="34723709" w14:textId="77777777" w:rsidR="004D3032" w:rsidRDefault="00553C6B">
            <w:pPr>
              <w:spacing w:line="360" w:lineRule="auto"/>
              <w:jc w:val="center"/>
              <w:rPr>
                <w:b/>
                <w:bCs/>
                <w:noProof/>
                <w:rtl/>
              </w:rPr>
            </w:pPr>
            <w:r>
              <w:rPr>
                <w:rFonts w:hint="cs"/>
                <w:b/>
                <w:bCs/>
                <w:rtl/>
              </w:rPr>
              <w:t>אהרן פרקש, נשיא</w:t>
            </w:r>
          </w:p>
        </w:tc>
      </w:tr>
    </w:tbl>
    <w:p w14:paraId="144497A6" w14:textId="77777777" w:rsidR="004D3032" w:rsidRDefault="004D3032">
      <w:pPr>
        <w:rPr>
          <w:rtl/>
        </w:rPr>
      </w:pPr>
    </w:p>
    <w:p w14:paraId="267A7500" w14:textId="77777777" w:rsidR="004D3032" w:rsidRDefault="004D3032"/>
    <w:p w14:paraId="42E75598" w14:textId="77777777" w:rsidR="004D3032" w:rsidRPr="00CC31C3" w:rsidRDefault="00CC31C3">
      <w:pPr>
        <w:pStyle w:val="a3"/>
        <w:jc w:val="both"/>
        <w:rPr>
          <w:color w:val="FFFFFF"/>
          <w:sz w:val="2"/>
          <w:szCs w:val="2"/>
          <w:rtl/>
        </w:rPr>
      </w:pPr>
      <w:r w:rsidRPr="00CC31C3">
        <w:rPr>
          <w:color w:val="FFFFFF"/>
          <w:sz w:val="2"/>
          <w:szCs w:val="2"/>
          <w:rtl/>
        </w:rPr>
        <w:t>129371</w:t>
      </w:r>
    </w:p>
    <w:p w14:paraId="3FCB84D5" w14:textId="77777777" w:rsidR="00553C6B" w:rsidRPr="00CC31C3" w:rsidRDefault="00CC31C3" w:rsidP="00553C6B">
      <w:pPr>
        <w:keepNext/>
        <w:rPr>
          <w:rFonts w:ascii="David" w:hAnsi="David"/>
          <w:color w:val="FFFFFF"/>
          <w:sz w:val="2"/>
          <w:szCs w:val="2"/>
          <w:rtl/>
        </w:rPr>
      </w:pPr>
      <w:r w:rsidRPr="00CC31C3">
        <w:rPr>
          <w:rFonts w:ascii="David" w:hAnsi="David"/>
          <w:color w:val="FFFFFF"/>
          <w:sz w:val="2"/>
          <w:szCs w:val="2"/>
          <w:rtl/>
        </w:rPr>
        <w:t>54678313</w:t>
      </w:r>
    </w:p>
    <w:p w14:paraId="7DB3A655" w14:textId="77777777" w:rsidR="00553C6B" w:rsidRDefault="00553C6B" w:rsidP="00553C6B">
      <w:pPr>
        <w:jc w:val="center"/>
        <w:rPr>
          <w:color w:val="0000FF"/>
          <w:u w:val="single"/>
        </w:rPr>
      </w:pPr>
      <w:hyperlink r:id="rId89" w:history="1">
        <w:r>
          <w:rPr>
            <w:color w:val="0000FF"/>
            <w:u w:val="single"/>
            <w:rtl/>
          </w:rPr>
          <w:t>בעניין עריכה ושינויים במסמכי פסיקה, חקיקה ועוד באתר נבו – הקש כאן</w:t>
        </w:r>
      </w:hyperlink>
      <w:r w:rsidR="005F6CEB">
        <w:rPr>
          <w:rFonts w:hint="cs"/>
          <w:color w:val="0000FF"/>
          <w:u w:val="single"/>
          <w:rtl/>
        </w:rPr>
        <w:t xml:space="preserve"> </w:t>
      </w:r>
    </w:p>
    <w:p w14:paraId="70010B9A" w14:textId="77777777" w:rsidR="00CC31C3" w:rsidRPr="00CC31C3" w:rsidRDefault="00CC31C3" w:rsidP="00CC31C3">
      <w:pPr>
        <w:keepNext/>
        <w:rPr>
          <w:rFonts w:ascii="David" w:hAnsi="David"/>
          <w:color w:val="000000"/>
          <w:sz w:val="22"/>
          <w:szCs w:val="22"/>
          <w:rtl/>
        </w:rPr>
      </w:pPr>
      <w:r w:rsidRPr="00CC31C3">
        <w:rPr>
          <w:rFonts w:ascii="David" w:hAnsi="David"/>
          <w:color w:val="000000"/>
          <w:sz w:val="22"/>
          <w:szCs w:val="22"/>
          <w:rtl/>
        </w:rPr>
        <w:t>אהרן פרקש 54678313-/</w:t>
      </w:r>
    </w:p>
    <w:p w14:paraId="7327158B" w14:textId="77777777" w:rsidR="004D3032" w:rsidRPr="00553C6B" w:rsidRDefault="00CC31C3" w:rsidP="00CC31C3">
      <w:pPr>
        <w:rPr>
          <w:color w:val="0000FF"/>
          <w:u w:val="single"/>
        </w:rPr>
      </w:pPr>
      <w:r w:rsidRPr="00CC31C3">
        <w:rPr>
          <w:color w:val="000000"/>
          <w:u w:val="single"/>
          <w:rtl/>
        </w:rPr>
        <w:t>נוסח מסמך זה כפוף לשינויי ניסוח ועריכה</w:t>
      </w:r>
      <w:r w:rsidR="00243739">
        <w:rPr>
          <w:rFonts w:hint="cs"/>
          <w:color w:val="000000"/>
          <w:u w:val="single"/>
          <w:rtl/>
        </w:rPr>
        <w:t xml:space="preserve">   </w:t>
      </w:r>
    </w:p>
    <w:sectPr w:rsidR="004D3032" w:rsidRPr="00553C6B" w:rsidSect="00CC31C3">
      <w:headerReference w:type="even" r:id="rId90"/>
      <w:headerReference w:type="default" r:id="rId91"/>
      <w:footerReference w:type="even" r:id="rId92"/>
      <w:footerReference w:type="default" r:id="rId9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FE62D" w14:textId="77777777" w:rsidR="00377B8D" w:rsidRDefault="00377B8D">
      <w:r>
        <w:separator/>
      </w:r>
    </w:p>
  </w:endnote>
  <w:endnote w:type="continuationSeparator" w:id="0">
    <w:p w14:paraId="65BFE5CD" w14:textId="77777777" w:rsidR="00377B8D" w:rsidRDefault="00377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BCB64" w14:textId="77777777" w:rsidR="00542613" w:rsidRDefault="00542613" w:rsidP="00CC31C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FC67CBE" w14:textId="77777777" w:rsidR="00542613" w:rsidRPr="00CC31C3" w:rsidRDefault="00542613" w:rsidP="00CC31C3">
    <w:pPr>
      <w:pStyle w:val="a5"/>
      <w:pBdr>
        <w:top w:val="single" w:sz="4" w:space="1" w:color="auto"/>
        <w:between w:val="single" w:sz="4" w:space="0" w:color="auto"/>
      </w:pBdr>
      <w:spacing w:after="60"/>
      <w:jc w:val="center"/>
      <w:rPr>
        <w:rFonts w:ascii="FrankRuehl" w:hAnsi="FrankRuehl" w:cs="FrankRuehl"/>
        <w:color w:val="000000"/>
      </w:rPr>
    </w:pPr>
    <w:r w:rsidRPr="00CC31C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A9248" w14:textId="77777777" w:rsidR="00542613" w:rsidRDefault="00542613" w:rsidP="00CC31C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2A88">
      <w:rPr>
        <w:rFonts w:ascii="FrankRuehl" w:hAnsi="FrankRuehl" w:cs="FrankRuehl"/>
        <w:noProof/>
        <w:rtl/>
      </w:rPr>
      <w:t>1</w:t>
    </w:r>
    <w:r>
      <w:rPr>
        <w:rFonts w:ascii="FrankRuehl" w:hAnsi="FrankRuehl" w:cs="FrankRuehl"/>
        <w:rtl/>
      </w:rPr>
      <w:fldChar w:fldCharType="end"/>
    </w:r>
  </w:p>
  <w:p w14:paraId="2CDA9B6A" w14:textId="77777777" w:rsidR="00542613" w:rsidRPr="00CC31C3" w:rsidRDefault="00542613" w:rsidP="00CC31C3">
    <w:pPr>
      <w:pStyle w:val="a5"/>
      <w:pBdr>
        <w:top w:val="single" w:sz="4" w:space="1" w:color="auto"/>
        <w:between w:val="single" w:sz="4" w:space="0" w:color="auto"/>
      </w:pBdr>
      <w:spacing w:after="60"/>
      <w:jc w:val="center"/>
      <w:rPr>
        <w:rFonts w:ascii="FrankRuehl" w:hAnsi="FrankRuehl" w:cs="FrankRuehl"/>
        <w:color w:val="000000"/>
      </w:rPr>
    </w:pPr>
    <w:r w:rsidRPr="00CC31C3">
      <w:rPr>
        <w:rFonts w:ascii="FrankRuehl" w:hAnsi="FrankRuehl" w:cs="FrankRuehl"/>
        <w:color w:val="000000"/>
      </w:rPr>
      <w:pict w14:anchorId="39A12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FC028" w14:textId="77777777" w:rsidR="00377B8D" w:rsidRDefault="00377B8D">
      <w:r>
        <w:separator/>
      </w:r>
    </w:p>
  </w:footnote>
  <w:footnote w:type="continuationSeparator" w:id="0">
    <w:p w14:paraId="295CE0A0" w14:textId="77777777" w:rsidR="00377B8D" w:rsidRDefault="00377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75A18" w14:textId="77777777" w:rsidR="00542613" w:rsidRPr="00CC31C3" w:rsidRDefault="00542613" w:rsidP="00CC31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31334-11-15</w:t>
    </w:r>
    <w:r>
      <w:rPr>
        <w:rFonts w:ascii="David" w:hAnsi="David"/>
        <w:color w:val="000000"/>
        <w:sz w:val="22"/>
        <w:szCs w:val="22"/>
        <w:rtl/>
      </w:rPr>
      <w:tab/>
      <w:t xml:space="preserve"> מדינת ישראל נ' סאאד דארי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6BE69" w14:textId="77777777" w:rsidR="00542613" w:rsidRPr="00CC31C3" w:rsidRDefault="00542613" w:rsidP="00CC31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31334-11-15</w:t>
    </w:r>
    <w:r>
      <w:rPr>
        <w:rFonts w:ascii="David" w:hAnsi="David"/>
        <w:color w:val="000000"/>
        <w:sz w:val="22"/>
        <w:szCs w:val="22"/>
        <w:rtl/>
      </w:rPr>
      <w:tab/>
      <w:t xml:space="preserve"> מדינת ישראל נ' סאאד דארי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975DBF"/>
    <w:multiLevelType w:val="multilevel"/>
    <w:tmpl w:val="E2AA3EA4"/>
    <w:lvl w:ilvl="0">
      <w:start w:val="1"/>
      <w:numFmt w:val="decimal"/>
      <w:lvlText w:val="%1."/>
      <w:lvlJc w:val="left"/>
      <w:pPr>
        <w:ind w:left="927" w:hanging="360"/>
      </w:pPr>
      <w:rPr>
        <w:b w:val="0"/>
        <w:bCs w:val="0"/>
        <w:lang w:val="en-U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852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D3032"/>
    <w:rsid w:val="00243739"/>
    <w:rsid w:val="00377B8D"/>
    <w:rsid w:val="004D3032"/>
    <w:rsid w:val="00535D56"/>
    <w:rsid w:val="00542613"/>
    <w:rsid w:val="00553C6B"/>
    <w:rsid w:val="005F6CEB"/>
    <w:rsid w:val="007F6E54"/>
    <w:rsid w:val="008153B0"/>
    <w:rsid w:val="008275ED"/>
    <w:rsid w:val="009C7824"/>
    <w:rsid w:val="00A61F51"/>
    <w:rsid w:val="00AE2A88"/>
    <w:rsid w:val="00C04491"/>
    <w:rsid w:val="00C054B8"/>
    <w:rsid w:val="00CC31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D77D48"/>
  <w15:chartTrackingRefBased/>
  <w15:docId w15:val="{57B83508-6FEF-4D64-B148-A7929CD0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303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D3032"/>
    <w:pPr>
      <w:tabs>
        <w:tab w:val="center" w:pos="4153"/>
        <w:tab w:val="right" w:pos="8306"/>
      </w:tabs>
    </w:pPr>
  </w:style>
  <w:style w:type="paragraph" w:styleId="a5">
    <w:name w:val="footer"/>
    <w:basedOn w:val="a"/>
    <w:rsid w:val="004D3032"/>
    <w:pPr>
      <w:tabs>
        <w:tab w:val="center" w:pos="4153"/>
        <w:tab w:val="right" w:pos="8306"/>
      </w:tabs>
    </w:pPr>
  </w:style>
  <w:style w:type="character" w:styleId="a6">
    <w:name w:val="page number"/>
    <w:basedOn w:val="a0"/>
    <w:rsid w:val="004D3032"/>
  </w:style>
  <w:style w:type="paragraph" w:customStyle="1" w:styleId="ListParagraph">
    <w:name w:val="List Paragraph"/>
    <w:basedOn w:val="a"/>
    <w:qFormat/>
    <w:rsid w:val="004D3032"/>
    <w:pPr>
      <w:ind w:left="720"/>
      <w:contextualSpacing/>
    </w:pPr>
  </w:style>
  <w:style w:type="character" w:customStyle="1" w:styleId="a4">
    <w:name w:val="כותרת עליונה תו"/>
    <w:link w:val="a3"/>
    <w:locked/>
    <w:rsid w:val="004D3032"/>
    <w:rPr>
      <w:rFonts w:cs="David"/>
      <w:sz w:val="24"/>
      <w:szCs w:val="24"/>
      <w:lang w:val="en-US" w:eastAsia="en-US" w:bidi="he-IL"/>
    </w:rPr>
  </w:style>
  <w:style w:type="character" w:styleId="Hyperlink">
    <w:name w:val="Hyperlink"/>
    <w:rsid w:val="00553C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48.4" TargetMode="External"/><Relationship Id="rId21" Type="http://schemas.openxmlformats.org/officeDocument/2006/relationships/hyperlink" Target="http://www.nevo.co.il/law/70301/382a.b.3" TargetMode="External"/><Relationship Id="rId42" Type="http://schemas.openxmlformats.org/officeDocument/2006/relationships/hyperlink" Target="http://www.nevo.co.il/law/70301/25" TargetMode="External"/><Relationship Id="rId47" Type="http://schemas.openxmlformats.org/officeDocument/2006/relationships/hyperlink" Target="http://www.nevo.co.il/case/11223145" TargetMode="External"/><Relationship Id="rId63" Type="http://schemas.openxmlformats.org/officeDocument/2006/relationships/hyperlink" Target="http://www.nevo.co.il/law/70301/40i" TargetMode="External"/><Relationship Id="rId68" Type="http://schemas.openxmlformats.org/officeDocument/2006/relationships/hyperlink" Target="http://www.nevo.co.il/case/7791493" TargetMode="External"/><Relationship Id="rId84" Type="http://schemas.openxmlformats.org/officeDocument/2006/relationships/hyperlink" Target="http://www.nevo.co.il/case/7011967"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70301/382a" TargetMode="External"/><Relationship Id="rId11" Type="http://schemas.openxmlformats.org/officeDocument/2006/relationships/hyperlink" Target="http://www.nevo.co.il/law/70301/40i" TargetMode="External"/><Relationship Id="rId32" Type="http://schemas.openxmlformats.org/officeDocument/2006/relationships/hyperlink" Target="http://www.nevo.co.il/law/70301/152" TargetMode="External"/><Relationship Id="rId37" Type="http://schemas.openxmlformats.org/officeDocument/2006/relationships/hyperlink" Target="http://www.nevo.co.il/law/70301/382a.b.3" TargetMode="External"/><Relationship Id="rId53" Type="http://schemas.openxmlformats.org/officeDocument/2006/relationships/hyperlink" Target="http://www.nevo.co.il/law/70301/40if" TargetMode="External"/><Relationship Id="rId58" Type="http://schemas.openxmlformats.org/officeDocument/2006/relationships/hyperlink" Target="http://www.nevo.co.il/case/7958246" TargetMode="External"/><Relationship Id="rId74" Type="http://schemas.openxmlformats.org/officeDocument/2006/relationships/hyperlink" Target="http://www.nevo.co.il/law/70301/382a" TargetMode="External"/><Relationship Id="rId79" Type="http://schemas.openxmlformats.org/officeDocument/2006/relationships/hyperlink" Target="http://www.nevo.co.il/law/70301/448.4"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law/70301/40if" TargetMode="External"/><Relationship Id="rId27" Type="http://schemas.openxmlformats.org/officeDocument/2006/relationships/hyperlink" Target="http://www.nevo.co.il/law/70301/448.a" TargetMode="External"/><Relationship Id="rId43" Type="http://schemas.openxmlformats.org/officeDocument/2006/relationships/hyperlink" Target="http://www.nevo.co.il/law/70301/382a.b.1" TargetMode="External"/><Relationship Id="rId48" Type="http://schemas.openxmlformats.org/officeDocument/2006/relationships/hyperlink" Target="http://www.nevo.co.il/case/16918948" TargetMode="External"/><Relationship Id="rId64" Type="http://schemas.openxmlformats.org/officeDocument/2006/relationships/hyperlink" Target="http://www.nevo.co.il/law/70301/40ja" TargetMode="External"/><Relationship Id="rId69" Type="http://schemas.openxmlformats.org/officeDocument/2006/relationships/hyperlink" Target="http://www.nevo.co.il/case/20727634"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16918948" TargetMode="External"/><Relationship Id="rId72" Type="http://schemas.openxmlformats.org/officeDocument/2006/relationships/hyperlink" Target="http://www.nevo.co.il/law/70301/152" TargetMode="External"/><Relationship Id="rId80" Type="http://schemas.openxmlformats.org/officeDocument/2006/relationships/hyperlink" Target="http://www.nevo.co.il/case/21729943" TargetMode="External"/><Relationship Id="rId85" Type="http://schemas.openxmlformats.org/officeDocument/2006/relationships/hyperlink" Target="http://www.nevo.co.il/law/70301/40ja"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382a.a" TargetMode="External"/><Relationship Id="rId25" Type="http://schemas.openxmlformats.org/officeDocument/2006/relationships/hyperlink" Target="http://www.nevo.co.il/law/70301/40jc"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25" TargetMode="External"/><Relationship Id="rId46" Type="http://schemas.openxmlformats.org/officeDocument/2006/relationships/hyperlink" Target="http://www.nevo.co.il/law/70301/25" TargetMode="External"/><Relationship Id="rId59" Type="http://schemas.openxmlformats.org/officeDocument/2006/relationships/hyperlink" Target="http://www.nevo.co.il/case/21473042" TargetMode="External"/><Relationship Id="rId67" Type="http://schemas.openxmlformats.org/officeDocument/2006/relationships/hyperlink" Target="http://www.nevo.co.il/law/70301/144.b2" TargetMode="External"/><Relationship Id="rId20" Type="http://schemas.openxmlformats.org/officeDocument/2006/relationships/hyperlink" Target="http://www.nevo.co.il/law/70301/382a.b.2" TargetMode="External"/><Relationship Id="rId41" Type="http://schemas.openxmlformats.org/officeDocument/2006/relationships/hyperlink" Target="http://www.nevo.co.il/law/70301/448a" TargetMode="External"/><Relationship Id="rId54" Type="http://schemas.openxmlformats.org/officeDocument/2006/relationships/hyperlink" Target="http://www.nevo.co.il/law/70348" TargetMode="External"/><Relationship Id="rId62" Type="http://schemas.openxmlformats.org/officeDocument/2006/relationships/hyperlink" Target="http://www.nevo.co.il/case/5573417" TargetMode="External"/><Relationship Id="rId70" Type="http://schemas.openxmlformats.org/officeDocument/2006/relationships/hyperlink" Target="http://www.nevo.co.il/law/70301/144.b" TargetMode="External"/><Relationship Id="rId75" Type="http://schemas.openxmlformats.org/officeDocument/2006/relationships/hyperlink" Target="http://www.nevo.co.il/law/70301/382a.b" TargetMode="External"/><Relationship Id="rId83" Type="http://schemas.openxmlformats.org/officeDocument/2006/relationships/hyperlink" Target="http://www.nevo.co.il/case/13104258" TargetMode="External"/><Relationship Id="rId88" Type="http://schemas.openxmlformats.org/officeDocument/2006/relationships/hyperlink" Target="http://www.nevo.co.il/case/16918948" TargetMode="External"/><Relationship Id="rId9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8.a.3"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law/70301/448a" TargetMode="External"/><Relationship Id="rId36" Type="http://schemas.openxmlformats.org/officeDocument/2006/relationships/hyperlink" Target="http://www.nevo.co.il/law/70301/382a.b.2" TargetMode="External"/><Relationship Id="rId49" Type="http://schemas.openxmlformats.org/officeDocument/2006/relationships/hyperlink" Target="http://www.nevo.co.il/case/16918948" TargetMode="External"/><Relationship Id="rId57" Type="http://schemas.openxmlformats.org/officeDocument/2006/relationships/hyperlink" Target="http://www.nevo.co.il/case/13093721"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law/70348" TargetMode="External"/><Relationship Id="rId44" Type="http://schemas.openxmlformats.org/officeDocument/2006/relationships/hyperlink" Target="http://www.nevo.co.il/law/70301/382a.b.2" TargetMode="External"/><Relationship Id="rId52" Type="http://schemas.openxmlformats.org/officeDocument/2006/relationships/hyperlink" Target="http://www.nevo.co.il/law/70301/fCa1S" TargetMode="External"/><Relationship Id="rId60" Type="http://schemas.openxmlformats.org/officeDocument/2006/relationships/hyperlink" Target="http://www.nevo.co.il/law/70301/40c.a" TargetMode="External"/><Relationship Id="rId65" Type="http://schemas.openxmlformats.org/officeDocument/2006/relationships/hyperlink" Target="http://www.nevo.co.il/law/70301/40jb" TargetMode="External"/><Relationship Id="rId73" Type="http://schemas.openxmlformats.org/officeDocument/2006/relationships/hyperlink" Target="http://www.nevo.co.il/case/20761567" TargetMode="External"/><Relationship Id="rId78" Type="http://schemas.openxmlformats.org/officeDocument/2006/relationships/hyperlink" Target="http://www.nevo.co.il/case/20490021" TargetMode="External"/><Relationship Id="rId81" Type="http://schemas.openxmlformats.org/officeDocument/2006/relationships/hyperlink" Target="http://www.nevo.co.il/case/21474812" TargetMode="External"/><Relationship Id="rId86" Type="http://schemas.openxmlformats.org/officeDocument/2006/relationships/hyperlink" Target="http://www.nevo.co.il/case/21477504"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382a.b" TargetMode="External"/><Relationship Id="rId39" Type="http://schemas.openxmlformats.org/officeDocument/2006/relationships/hyperlink" Target="http://www.nevo.co.il/law/70301/144.b2" TargetMode="External"/><Relationship Id="rId34" Type="http://schemas.openxmlformats.org/officeDocument/2006/relationships/hyperlink" Target="http://www.nevo.co.il/law/70301/338.a.3"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fCa1S" TargetMode="External"/><Relationship Id="rId76" Type="http://schemas.openxmlformats.org/officeDocument/2006/relationships/hyperlink" Target="http://www.nevo.co.il/law/70301/338.a.3"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f144.b2"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evo.co.il/law/70301/f144.b2" TargetMode="External"/><Relationship Id="rId24" Type="http://schemas.openxmlformats.org/officeDocument/2006/relationships/hyperlink" Target="http://www.nevo.co.il/law/70301/40jb" TargetMode="External"/><Relationship Id="rId40" Type="http://schemas.openxmlformats.org/officeDocument/2006/relationships/hyperlink" Target="http://www.nevo.co.il/law/70301/144.b" TargetMode="External"/><Relationship Id="rId45" Type="http://schemas.openxmlformats.org/officeDocument/2006/relationships/hyperlink" Target="http://www.nevo.co.il/law/70301/382a.b.3" TargetMode="External"/><Relationship Id="rId66" Type="http://schemas.openxmlformats.org/officeDocument/2006/relationships/hyperlink" Target="http://www.nevo.co.il/law/70301/144.b" TargetMode="External"/><Relationship Id="rId87" Type="http://schemas.openxmlformats.org/officeDocument/2006/relationships/hyperlink" Target="http://www.nevo.co.il/case/21477511" TargetMode="External"/><Relationship Id="rId61" Type="http://schemas.openxmlformats.org/officeDocument/2006/relationships/hyperlink" Target="http://www.nevo.co.il/law/70301/40b" TargetMode="External"/><Relationship Id="rId82" Type="http://schemas.openxmlformats.org/officeDocument/2006/relationships/hyperlink" Target="http://www.nevo.co.il/case/20267029" TargetMode="External"/><Relationship Id="rId19" Type="http://schemas.openxmlformats.org/officeDocument/2006/relationships/hyperlink" Target="http://www.nevo.co.il/law/70301/382a.b.1" TargetMode="External"/><Relationship Id="rId14" Type="http://schemas.openxmlformats.org/officeDocument/2006/relationships/hyperlink" Target="http://www.nevo.co.il/law/70301/152" TargetMode="External"/><Relationship Id="rId30" Type="http://schemas.openxmlformats.org/officeDocument/2006/relationships/hyperlink" Target="http://www.nevo.co.il/law/70301/fCa1S" TargetMode="External"/><Relationship Id="rId35" Type="http://schemas.openxmlformats.org/officeDocument/2006/relationships/hyperlink" Target="http://www.nevo.co.il/law/70301/382a.b.1" TargetMode="External"/><Relationship Id="rId56" Type="http://schemas.openxmlformats.org/officeDocument/2006/relationships/hyperlink" Target="http://www.nevo.co.il/law/70301/40jc" TargetMode="External"/><Relationship Id="rId77" Type="http://schemas.openxmlformats.org/officeDocument/2006/relationships/hyperlink" Target="http://www.nevo.co.il/law/70301/448.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5353</Words>
  <Characters>26769</Characters>
  <Application>Microsoft Office Word</Application>
  <DocSecurity>0</DocSecurity>
  <Lines>223</Lines>
  <Paragraphs>64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32058</CharactersWithSpaces>
  <SharedDoc>false</SharedDoc>
  <HLinks>
    <vt:vector size="504" baseType="variant">
      <vt:variant>
        <vt:i4>393283</vt:i4>
      </vt:variant>
      <vt:variant>
        <vt:i4>249</vt:i4>
      </vt:variant>
      <vt:variant>
        <vt:i4>0</vt:i4>
      </vt:variant>
      <vt:variant>
        <vt:i4>5</vt:i4>
      </vt:variant>
      <vt:variant>
        <vt:lpwstr>http://www.nevo.co.il/advertisements/nevo-100.doc</vt:lpwstr>
      </vt:variant>
      <vt:variant>
        <vt:lpwstr/>
      </vt:variant>
      <vt:variant>
        <vt:i4>3407994</vt:i4>
      </vt:variant>
      <vt:variant>
        <vt:i4>246</vt:i4>
      </vt:variant>
      <vt:variant>
        <vt:i4>0</vt:i4>
      </vt:variant>
      <vt:variant>
        <vt:i4>5</vt:i4>
      </vt:variant>
      <vt:variant>
        <vt:lpwstr>http://www.nevo.co.il/case/16918948</vt:lpwstr>
      </vt:variant>
      <vt:variant>
        <vt:lpwstr/>
      </vt:variant>
      <vt:variant>
        <vt:i4>3145847</vt:i4>
      </vt:variant>
      <vt:variant>
        <vt:i4>243</vt:i4>
      </vt:variant>
      <vt:variant>
        <vt:i4>0</vt:i4>
      </vt:variant>
      <vt:variant>
        <vt:i4>5</vt:i4>
      </vt:variant>
      <vt:variant>
        <vt:lpwstr>http://www.nevo.co.il/case/21477511</vt:lpwstr>
      </vt:variant>
      <vt:variant>
        <vt:lpwstr/>
      </vt:variant>
      <vt:variant>
        <vt:i4>3211383</vt:i4>
      </vt:variant>
      <vt:variant>
        <vt:i4>240</vt:i4>
      </vt:variant>
      <vt:variant>
        <vt:i4>0</vt:i4>
      </vt:variant>
      <vt:variant>
        <vt:i4>5</vt:i4>
      </vt:variant>
      <vt:variant>
        <vt:lpwstr>http://www.nevo.co.il/case/21477504</vt:lpwstr>
      </vt:variant>
      <vt:variant>
        <vt:lpwstr/>
      </vt:variant>
      <vt:variant>
        <vt:i4>262155</vt:i4>
      </vt:variant>
      <vt:variant>
        <vt:i4>237</vt:i4>
      </vt:variant>
      <vt:variant>
        <vt:i4>0</vt:i4>
      </vt:variant>
      <vt:variant>
        <vt:i4>5</vt:i4>
      </vt:variant>
      <vt:variant>
        <vt:lpwstr>http://www.nevo.co.il/law/70301/40ja</vt:lpwstr>
      </vt:variant>
      <vt:variant>
        <vt:lpwstr/>
      </vt:variant>
      <vt:variant>
        <vt:i4>3670131</vt:i4>
      </vt:variant>
      <vt:variant>
        <vt:i4>234</vt:i4>
      </vt:variant>
      <vt:variant>
        <vt:i4>0</vt:i4>
      </vt:variant>
      <vt:variant>
        <vt:i4>5</vt:i4>
      </vt:variant>
      <vt:variant>
        <vt:lpwstr>http://www.nevo.co.il/case/7011967</vt:lpwstr>
      </vt:variant>
      <vt:variant>
        <vt:lpwstr/>
      </vt:variant>
      <vt:variant>
        <vt:i4>3211381</vt:i4>
      </vt:variant>
      <vt:variant>
        <vt:i4>231</vt:i4>
      </vt:variant>
      <vt:variant>
        <vt:i4>0</vt:i4>
      </vt:variant>
      <vt:variant>
        <vt:i4>5</vt:i4>
      </vt:variant>
      <vt:variant>
        <vt:lpwstr>http://www.nevo.co.il/case/13104258</vt:lpwstr>
      </vt:variant>
      <vt:variant>
        <vt:lpwstr/>
      </vt:variant>
      <vt:variant>
        <vt:i4>3473522</vt:i4>
      </vt:variant>
      <vt:variant>
        <vt:i4>228</vt:i4>
      </vt:variant>
      <vt:variant>
        <vt:i4>0</vt:i4>
      </vt:variant>
      <vt:variant>
        <vt:i4>5</vt:i4>
      </vt:variant>
      <vt:variant>
        <vt:lpwstr>http://www.nevo.co.il/case/20267029</vt:lpwstr>
      </vt:variant>
      <vt:variant>
        <vt:lpwstr/>
      </vt:variant>
      <vt:variant>
        <vt:i4>3342458</vt:i4>
      </vt:variant>
      <vt:variant>
        <vt:i4>225</vt:i4>
      </vt:variant>
      <vt:variant>
        <vt:i4>0</vt:i4>
      </vt:variant>
      <vt:variant>
        <vt:i4>5</vt:i4>
      </vt:variant>
      <vt:variant>
        <vt:lpwstr>http://www.nevo.co.il/case/21474812</vt:lpwstr>
      </vt:variant>
      <vt:variant>
        <vt:lpwstr/>
      </vt:variant>
      <vt:variant>
        <vt:i4>3670142</vt:i4>
      </vt:variant>
      <vt:variant>
        <vt:i4>222</vt:i4>
      </vt:variant>
      <vt:variant>
        <vt:i4>0</vt:i4>
      </vt:variant>
      <vt:variant>
        <vt:i4>5</vt:i4>
      </vt:variant>
      <vt:variant>
        <vt:lpwstr>http://www.nevo.co.il/case/21729943</vt:lpwstr>
      </vt:variant>
      <vt:variant>
        <vt:lpwstr/>
      </vt:variant>
      <vt:variant>
        <vt:i4>5177433</vt:i4>
      </vt:variant>
      <vt:variant>
        <vt:i4>219</vt:i4>
      </vt:variant>
      <vt:variant>
        <vt:i4>0</vt:i4>
      </vt:variant>
      <vt:variant>
        <vt:i4>5</vt:i4>
      </vt:variant>
      <vt:variant>
        <vt:lpwstr>http://www.nevo.co.il/law/70301/448.4</vt:lpwstr>
      </vt:variant>
      <vt:variant>
        <vt:lpwstr/>
      </vt:variant>
      <vt:variant>
        <vt:i4>3407997</vt:i4>
      </vt:variant>
      <vt:variant>
        <vt:i4>216</vt:i4>
      </vt:variant>
      <vt:variant>
        <vt:i4>0</vt:i4>
      </vt:variant>
      <vt:variant>
        <vt:i4>5</vt:i4>
      </vt:variant>
      <vt:variant>
        <vt:lpwstr>http://www.nevo.co.il/case/20490021</vt:lpwstr>
      </vt:variant>
      <vt:variant>
        <vt:lpwstr/>
      </vt:variant>
      <vt:variant>
        <vt:i4>5177433</vt:i4>
      </vt:variant>
      <vt:variant>
        <vt:i4>213</vt:i4>
      </vt:variant>
      <vt:variant>
        <vt:i4>0</vt:i4>
      </vt:variant>
      <vt:variant>
        <vt:i4>5</vt:i4>
      </vt:variant>
      <vt:variant>
        <vt:lpwstr>http://www.nevo.co.il/law/70301/448.a</vt:lpwstr>
      </vt:variant>
      <vt:variant>
        <vt:lpwstr/>
      </vt:variant>
      <vt:variant>
        <vt:i4>6684735</vt:i4>
      </vt:variant>
      <vt:variant>
        <vt:i4>210</vt:i4>
      </vt:variant>
      <vt:variant>
        <vt:i4>0</vt:i4>
      </vt:variant>
      <vt:variant>
        <vt:i4>5</vt:i4>
      </vt:variant>
      <vt:variant>
        <vt:lpwstr>http://www.nevo.co.il/law/70301/338.a.3</vt:lpwstr>
      </vt:variant>
      <vt:variant>
        <vt:lpwstr/>
      </vt:variant>
      <vt:variant>
        <vt:i4>7209082</vt:i4>
      </vt:variant>
      <vt:variant>
        <vt:i4>207</vt:i4>
      </vt:variant>
      <vt:variant>
        <vt:i4>0</vt:i4>
      </vt:variant>
      <vt:variant>
        <vt:i4>5</vt:i4>
      </vt:variant>
      <vt:variant>
        <vt:lpwstr>http://www.nevo.co.il/law/70301/382a.b</vt:lpwstr>
      </vt:variant>
      <vt:variant>
        <vt:lpwstr/>
      </vt:variant>
      <vt:variant>
        <vt:i4>7143546</vt:i4>
      </vt:variant>
      <vt:variant>
        <vt:i4>204</vt:i4>
      </vt:variant>
      <vt:variant>
        <vt:i4>0</vt:i4>
      </vt:variant>
      <vt:variant>
        <vt:i4>5</vt:i4>
      </vt:variant>
      <vt:variant>
        <vt:lpwstr>http://www.nevo.co.il/law/70301/382a.a</vt:lpwstr>
      </vt:variant>
      <vt:variant>
        <vt:lpwstr/>
      </vt:variant>
      <vt:variant>
        <vt:i4>786516</vt:i4>
      </vt:variant>
      <vt:variant>
        <vt:i4>201</vt:i4>
      </vt:variant>
      <vt:variant>
        <vt:i4>0</vt:i4>
      </vt:variant>
      <vt:variant>
        <vt:i4>5</vt:i4>
      </vt:variant>
      <vt:variant>
        <vt:lpwstr>http://www.nevo.co.il/law/70301/382a</vt:lpwstr>
      </vt:variant>
      <vt:variant>
        <vt:lpwstr/>
      </vt:variant>
      <vt:variant>
        <vt:i4>3276919</vt:i4>
      </vt:variant>
      <vt:variant>
        <vt:i4>198</vt:i4>
      </vt:variant>
      <vt:variant>
        <vt:i4>0</vt:i4>
      </vt:variant>
      <vt:variant>
        <vt:i4>5</vt:i4>
      </vt:variant>
      <vt:variant>
        <vt:lpwstr>http://www.nevo.co.il/case/20761567</vt:lpwstr>
      </vt:variant>
      <vt:variant>
        <vt:lpwstr/>
      </vt:variant>
      <vt:variant>
        <vt:i4>6291556</vt:i4>
      </vt:variant>
      <vt:variant>
        <vt:i4>195</vt:i4>
      </vt:variant>
      <vt:variant>
        <vt:i4>0</vt:i4>
      </vt:variant>
      <vt:variant>
        <vt:i4>5</vt:i4>
      </vt:variant>
      <vt:variant>
        <vt:lpwstr>http://www.nevo.co.il/law/70301/152</vt:lpwstr>
      </vt:variant>
      <vt:variant>
        <vt:lpwstr/>
      </vt:variant>
      <vt:variant>
        <vt:i4>3276841</vt:i4>
      </vt:variant>
      <vt:variant>
        <vt:i4>192</vt:i4>
      </vt:variant>
      <vt:variant>
        <vt:i4>0</vt:i4>
      </vt:variant>
      <vt:variant>
        <vt:i4>5</vt:i4>
      </vt:variant>
      <vt:variant>
        <vt:lpwstr>http://www.nevo.co.il/law/70301/f144.b2</vt:lpwstr>
      </vt:variant>
      <vt:variant>
        <vt:lpwstr/>
      </vt:variant>
      <vt:variant>
        <vt:i4>5177424</vt:i4>
      </vt:variant>
      <vt:variant>
        <vt:i4>189</vt:i4>
      </vt:variant>
      <vt:variant>
        <vt:i4>0</vt:i4>
      </vt:variant>
      <vt:variant>
        <vt:i4>5</vt:i4>
      </vt:variant>
      <vt:variant>
        <vt:lpwstr>http://www.nevo.co.il/law/70301/144.b</vt:lpwstr>
      </vt:variant>
      <vt:variant>
        <vt:lpwstr/>
      </vt:variant>
      <vt:variant>
        <vt:i4>3211376</vt:i4>
      </vt:variant>
      <vt:variant>
        <vt:i4>186</vt:i4>
      </vt:variant>
      <vt:variant>
        <vt:i4>0</vt:i4>
      </vt:variant>
      <vt:variant>
        <vt:i4>5</vt:i4>
      </vt:variant>
      <vt:variant>
        <vt:lpwstr>http://www.nevo.co.il/case/20727634</vt:lpwstr>
      </vt:variant>
      <vt:variant>
        <vt:lpwstr/>
      </vt:variant>
      <vt:variant>
        <vt:i4>3735675</vt:i4>
      </vt:variant>
      <vt:variant>
        <vt:i4>183</vt:i4>
      </vt:variant>
      <vt:variant>
        <vt:i4>0</vt:i4>
      </vt:variant>
      <vt:variant>
        <vt:i4>5</vt:i4>
      </vt:variant>
      <vt:variant>
        <vt:lpwstr>http://www.nevo.co.il/case/7791493</vt:lpwstr>
      </vt:variant>
      <vt:variant>
        <vt:lpwstr/>
      </vt:variant>
      <vt:variant>
        <vt:i4>8192050</vt:i4>
      </vt:variant>
      <vt:variant>
        <vt:i4>180</vt:i4>
      </vt:variant>
      <vt:variant>
        <vt:i4>0</vt:i4>
      </vt:variant>
      <vt:variant>
        <vt:i4>5</vt:i4>
      </vt:variant>
      <vt:variant>
        <vt:lpwstr>http://www.nevo.co.il/law/70301/144.b2</vt:lpwstr>
      </vt:variant>
      <vt:variant>
        <vt:lpwstr/>
      </vt:variant>
      <vt:variant>
        <vt:i4>5177424</vt:i4>
      </vt:variant>
      <vt:variant>
        <vt:i4>177</vt:i4>
      </vt:variant>
      <vt:variant>
        <vt:i4>0</vt:i4>
      </vt:variant>
      <vt:variant>
        <vt:i4>5</vt:i4>
      </vt:variant>
      <vt:variant>
        <vt:lpwstr>http://www.nevo.co.il/law/70301/144.b</vt:lpwstr>
      </vt:variant>
      <vt:variant>
        <vt:lpwstr/>
      </vt:variant>
      <vt:variant>
        <vt:i4>458763</vt:i4>
      </vt:variant>
      <vt:variant>
        <vt:i4>174</vt:i4>
      </vt:variant>
      <vt:variant>
        <vt:i4>0</vt:i4>
      </vt:variant>
      <vt:variant>
        <vt:i4>5</vt:i4>
      </vt:variant>
      <vt:variant>
        <vt:lpwstr>http://www.nevo.co.il/law/70301/40jb</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6619233</vt:i4>
      </vt:variant>
      <vt:variant>
        <vt:i4>168</vt:i4>
      </vt:variant>
      <vt:variant>
        <vt:i4>0</vt:i4>
      </vt:variant>
      <vt:variant>
        <vt:i4>5</vt:i4>
      </vt:variant>
      <vt:variant>
        <vt:lpwstr>http://www.nevo.co.il/law/70301/40i</vt:lpwstr>
      </vt:variant>
      <vt:variant>
        <vt:lpwstr/>
      </vt:variant>
      <vt:variant>
        <vt:i4>3211379</vt:i4>
      </vt:variant>
      <vt:variant>
        <vt:i4>165</vt:i4>
      </vt:variant>
      <vt:variant>
        <vt:i4>0</vt:i4>
      </vt:variant>
      <vt:variant>
        <vt:i4>5</vt:i4>
      </vt:variant>
      <vt:variant>
        <vt:lpwstr>http://www.nevo.co.il/case/5573417</vt:lpwstr>
      </vt:variant>
      <vt:variant>
        <vt:lpwstr/>
      </vt:variant>
      <vt:variant>
        <vt:i4>6619233</vt:i4>
      </vt:variant>
      <vt:variant>
        <vt:i4>162</vt:i4>
      </vt:variant>
      <vt:variant>
        <vt:i4>0</vt:i4>
      </vt:variant>
      <vt:variant>
        <vt:i4>5</vt:i4>
      </vt:variant>
      <vt:variant>
        <vt:lpwstr>http://www.nevo.co.il/law/70301/40b</vt:lpwstr>
      </vt:variant>
      <vt:variant>
        <vt:lpwstr/>
      </vt:variant>
      <vt:variant>
        <vt:i4>4915202</vt:i4>
      </vt:variant>
      <vt:variant>
        <vt:i4>159</vt:i4>
      </vt:variant>
      <vt:variant>
        <vt:i4>0</vt:i4>
      </vt:variant>
      <vt:variant>
        <vt:i4>5</vt:i4>
      </vt:variant>
      <vt:variant>
        <vt:lpwstr>http://www.nevo.co.il/law/70301/40c.a</vt:lpwstr>
      </vt:variant>
      <vt:variant>
        <vt:lpwstr/>
      </vt:variant>
      <vt:variant>
        <vt:i4>3211378</vt:i4>
      </vt:variant>
      <vt:variant>
        <vt:i4>156</vt:i4>
      </vt:variant>
      <vt:variant>
        <vt:i4>0</vt:i4>
      </vt:variant>
      <vt:variant>
        <vt:i4>5</vt:i4>
      </vt:variant>
      <vt:variant>
        <vt:lpwstr>http://www.nevo.co.il/case/21473042</vt:lpwstr>
      </vt:variant>
      <vt:variant>
        <vt:lpwstr/>
      </vt:variant>
      <vt:variant>
        <vt:i4>3539057</vt:i4>
      </vt:variant>
      <vt:variant>
        <vt:i4>153</vt:i4>
      </vt:variant>
      <vt:variant>
        <vt:i4>0</vt:i4>
      </vt:variant>
      <vt:variant>
        <vt:i4>5</vt:i4>
      </vt:variant>
      <vt:variant>
        <vt:lpwstr>http://www.nevo.co.il/case/7958246</vt:lpwstr>
      </vt:variant>
      <vt:variant>
        <vt:lpwstr/>
      </vt:variant>
      <vt:variant>
        <vt:i4>3145849</vt:i4>
      </vt:variant>
      <vt:variant>
        <vt:i4>150</vt:i4>
      </vt:variant>
      <vt:variant>
        <vt:i4>0</vt:i4>
      </vt:variant>
      <vt:variant>
        <vt:i4>5</vt:i4>
      </vt:variant>
      <vt:variant>
        <vt:lpwstr>http://www.nevo.co.il/case/13093721</vt:lpwstr>
      </vt:variant>
      <vt:variant>
        <vt:lpwstr/>
      </vt:variant>
      <vt:variant>
        <vt:i4>393227</vt:i4>
      </vt:variant>
      <vt:variant>
        <vt:i4>147</vt:i4>
      </vt:variant>
      <vt:variant>
        <vt:i4>0</vt:i4>
      </vt:variant>
      <vt:variant>
        <vt:i4>5</vt:i4>
      </vt:variant>
      <vt:variant>
        <vt:lpwstr>http://www.nevo.co.il/law/70301/40jc</vt:lpwstr>
      </vt:variant>
      <vt:variant>
        <vt:lpwstr/>
      </vt:variant>
      <vt:variant>
        <vt:i4>458834</vt:i4>
      </vt:variant>
      <vt:variant>
        <vt:i4>144</vt:i4>
      </vt:variant>
      <vt:variant>
        <vt:i4>0</vt:i4>
      </vt:variant>
      <vt:variant>
        <vt:i4>5</vt:i4>
      </vt:variant>
      <vt:variant>
        <vt:lpwstr>http://www.nevo.co.il/law/70301/fCa1S</vt:lpwstr>
      </vt:variant>
      <vt:variant>
        <vt:lpwstr/>
      </vt:variant>
      <vt:variant>
        <vt:i4>8257636</vt:i4>
      </vt:variant>
      <vt:variant>
        <vt:i4>141</vt:i4>
      </vt:variant>
      <vt:variant>
        <vt:i4>0</vt:i4>
      </vt:variant>
      <vt:variant>
        <vt:i4>5</vt:i4>
      </vt:variant>
      <vt:variant>
        <vt:lpwstr>http://www.nevo.co.il/law/70348</vt:lpwstr>
      </vt:variant>
      <vt:variant>
        <vt:lpwstr/>
      </vt:variant>
      <vt:variant>
        <vt:i4>196616</vt:i4>
      </vt:variant>
      <vt:variant>
        <vt:i4>138</vt:i4>
      </vt:variant>
      <vt:variant>
        <vt:i4>0</vt:i4>
      </vt:variant>
      <vt:variant>
        <vt:i4>5</vt:i4>
      </vt:variant>
      <vt:variant>
        <vt:lpwstr>http://www.nevo.co.il/law/70301/40if</vt:lpwstr>
      </vt:variant>
      <vt:variant>
        <vt:lpwstr/>
      </vt:variant>
      <vt:variant>
        <vt:i4>458834</vt:i4>
      </vt:variant>
      <vt:variant>
        <vt:i4>135</vt:i4>
      </vt:variant>
      <vt:variant>
        <vt:i4>0</vt:i4>
      </vt:variant>
      <vt:variant>
        <vt:i4>5</vt:i4>
      </vt:variant>
      <vt:variant>
        <vt:lpwstr>http://www.nevo.co.il/law/70301/fCa1S</vt:lpwstr>
      </vt:variant>
      <vt:variant>
        <vt:lpwstr/>
      </vt:variant>
      <vt:variant>
        <vt:i4>3407994</vt:i4>
      </vt:variant>
      <vt:variant>
        <vt:i4>132</vt:i4>
      </vt:variant>
      <vt:variant>
        <vt:i4>0</vt:i4>
      </vt:variant>
      <vt:variant>
        <vt:i4>5</vt:i4>
      </vt:variant>
      <vt:variant>
        <vt:lpwstr>http://www.nevo.co.il/case/16918948</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3407994</vt:i4>
      </vt:variant>
      <vt:variant>
        <vt:i4>126</vt:i4>
      </vt:variant>
      <vt:variant>
        <vt:i4>0</vt:i4>
      </vt:variant>
      <vt:variant>
        <vt:i4>5</vt:i4>
      </vt:variant>
      <vt:variant>
        <vt:lpwstr>http://www.nevo.co.il/case/16918948</vt:lpwstr>
      </vt:variant>
      <vt:variant>
        <vt:lpwstr/>
      </vt:variant>
      <vt:variant>
        <vt:i4>3407994</vt:i4>
      </vt:variant>
      <vt:variant>
        <vt:i4>123</vt:i4>
      </vt:variant>
      <vt:variant>
        <vt:i4>0</vt:i4>
      </vt:variant>
      <vt:variant>
        <vt:i4>5</vt:i4>
      </vt:variant>
      <vt:variant>
        <vt:lpwstr>http://www.nevo.co.il/case/16918948</vt:lpwstr>
      </vt:variant>
      <vt:variant>
        <vt:lpwstr/>
      </vt:variant>
      <vt:variant>
        <vt:i4>3407990</vt:i4>
      </vt:variant>
      <vt:variant>
        <vt:i4>120</vt:i4>
      </vt:variant>
      <vt:variant>
        <vt:i4>0</vt:i4>
      </vt:variant>
      <vt:variant>
        <vt:i4>5</vt:i4>
      </vt:variant>
      <vt:variant>
        <vt:lpwstr>http://www.nevo.co.il/case/11223145</vt:lpwstr>
      </vt:variant>
      <vt:variant>
        <vt:lpwstr/>
      </vt:variant>
      <vt:variant>
        <vt:i4>6291559</vt:i4>
      </vt:variant>
      <vt:variant>
        <vt:i4>117</vt:i4>
      </vt:variant>
      <vt:variant>
        <vt:i4>0</vt:i4>
      </vt:variant>
      <vt:variant>
        <vt:i4>5</vt:i4>
      </vt:variant>
      <vt:variant>
        <vt:lpwstr>http://www.nevo.co.il/law/70301/25</vt:lpwstr>
      </vt:variant>
      <vt:variant>
        <vt:lpwstr/>
      </vt:variant>
      <vt:variant>
        <vt:i4>6094932</vt:i4>
      </vt:variant>
      <vt:variant>
        <vt:i4>114</vt:i4>
      </vt:variant>
      <vt:variant>
        <vt:i4>0</vt:i4>
      </vt:variant>
      <vt:variant>
        <vt:i4>5</vt:i4>
      </vt:variant>
      <vt:variant>
        <vt:lpwstr>http://www.nevo.co.il/law/70301/382a.b.3</vt:lpwstr>
      </vt:variant>
      <vt:variant>
        <vt:lpwstr/>
      </vt:variant>
      <vt:variant>
        <vt:i4>6029396</vt:i4>
      </vt:variant>
      <vt:variant>
        <vt:i4>111</vt:i4>
      </vt:variant>
      <vt:variant>
        <vt:i4>0</vt:i4>
      </vt:variant>
      <vt:variant>
        <vt:i4>5</vt:i4>
      </vt:variant>
      <vt:variant>
        <vt:lpwstr>http://www.nevo.co.il/law/70301/382a.b.2</vt:lpwstr>
      </vt:variant>
      <vt:variant>
        <vt:lpwstr/>
      </vt:variant>
      <vt:variant>
        <vt:i4>6226004</vt:i4>
      </vt:variant>
      <vt:variant>
        <vt:i4>108</vt:i4>
      </vt:variant>
      <vt:variant>
        <vt:i4>0</vt:i4>
      </vt:variant>
      <vt:variant>
        <vt:i4>5</vt:i4>
      </vt:variant>
      <vt:variant>
        <vt:lpwstr>http://www.nevo.co.il/law/70301/382a.b.1</vt:lpwstr>
      </vt:variant>
      <vt:variant>
        <vt:lpwstr/>
      </vt:variant>
      <vt:variant>
        <vt:i4>6291559</vt:i4>
      </vt:variant>
      <vt:variant>
        <vt:i4>105</vt:i4>
      </vt:variant>
      <vt:variant>
        <vt:i4>0</vt:i4>
      </vt:variant>
      <vt:variant>
        <vt:i4>5</vt:i4>
      </vt:variant>
      <vt:variant>
        <vt:lpwstr>http://www.nevo.co.il/law/70301/25</vt:lpwstr>
      </vt:variant>
      <vt:variant>
        <vt:lpwstr/>
      </vt:variant>
      <vt:variant>
        <vt:i4>89</vt:i4>
      </vt:variant>
      <vt:variant>
        <vt:i4>102</vt:i4>
      </vt:variant>
      <vt:variant>
        <vt:i4>0</vt:i4>
      </vt:variant>
      <vt:variant>
        <vt:i4>5</vt:i4>
      </vt:variant>
      <vt:variant>
        <vt:lpwstr>http://www.nevo.co.il/law/70301/448a</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8192050</vt:i4>
      </vt:variant>
      <vt:variant>
        <vt:i4>96</vt:i4>
      </vt:variant>
      <vt:variant>
        <vt:i4>0</vt:i4>
      </vt:variant>
      <vt:variant>
        <vt:i4>5</vt:i4>
      </vt:variant>
      <vt:variant>
        <vt:lpwstr>http://www.nevo.co.il/law/70301/144.b2</vt:lpwstr>
      </vt:variant>
      <vt:variant>
        <vt:lpwstr/>
      </vt:variant>
      <vt:variant>
        <vt:i4>6291559</vt:i4>
      </vt:variant>
      <vt:variant>
        <vt:i4>93</vt:i4>
      </vt:variant>
      <vt:variant>
        <vt:i4>0</vt:i4>
      </vt:variant>
      <vt:variant>
        <vt:i4>5</vt:i4>
      </vt:variant>
      <vt:variant>
        <vt:lpwstr>http://www.nevo.co.il/law/70301/25</vt:lpwstr>
      </vt:variant>
      <vt:variant>
        <vt:lpwstr/>
      </vt:variant>
      <vt:variant>
        <vt:i4>6094932</vt:i4>
      </vt:variant>
      <vt:variant>
        <vt:i4>90</vt:i4>
      </vt:variant>
      <vt:variant>
        <vt:i4>0</vt:i4>
      </vt:variant>
      <vt:variant>
        <vt:i4>5</vt:i4>
      </vt:variant>
      <vt:variant>
        <vt:lpwstr>http://www.nevo.co.il/law/70301/382a.b.3</vt:lpwstr>
      </vt:variant>
      <vt:variant>
        <vt:lpwstr/>
      </vt:variant>
      <vt:variant>
        <vt:i4>6029396</vt:i4>
      </vt:variant>
      <vt:variant>
        <vt:i4>87</vt:i4>
      </vt:variant>
      <vt:variant>
        <vt:i4>0</vt:i4>
      </vt:variant>
      <vt:variant>
        <vt:i4>5</vt:i4>
      </vt:variant>
      <vt:variant>
        <vt:lpwstr>http://www.nevo.co.il/law/70301/382a.b.2</vt:lpwstr>
      </vt:variant>
      <vt:variant>
        <vt:lpwstr/>
      </vt:variant>
      <vt:variant>
        <vt:i4>6226004</vt:i4>
      </vt:variant>
      <vt:variant>
        <vt:i4>84</vt:i4>
      </vt:variant>
      <vt:variant>
        <vt:i4>0</vt:i4>
      </vt:variant>
      <vt:variant>
        <vt:i4>5</vt:i4>
      </vt:variant>
      <vt:variant>
        <vt:lpwstr>http://www.nevo.co.il/law/70301/382a.b.1</vt:lpwstr>
      </vt:variant>
      <vt:variant>
        <vt:lpwstr/>
      </vt:variant>
      <vt:variant>
        <vt:i4>6684735</vt:i4>
      </vt:variant>
      <vt:variant>
        <vt:i4>81</vt:i4>
      </vt:variant>
      <vt:variant>
        <vt:i4>0</vt:i4>
      </vt:variant>
      <vt:variant>
        <vt:i4>5</vt:i4>
      </vt:variant>
      <vt:variant>
        <vt:lpwstr>http://www.nevo.co.il/law/70301/338.a.3</vt:lpwstr>
      </vt:variant>
      <vt:variant>
        <vt:lpwstr/>
      </vt:variant>
      <vt:variant>
        <vt:i4>7995492</vt:i4>
      </vt:variant>
      <vt:variant>
        <vt:i4>78</vt:i4>
      </vt:variant>
      <vt:variant>
        <vt:i4>0</vt:i4>
      </vt:variant>
      <vt:variant>
        <vt:i4>5</vt:i4>
      </vt:variant>
      <vt:variant>
        <vt:lpwstr>http://www.nevo.co.il/law/70301</vt:lpwstr>
      </vt:variant>
      <vt:variant>
        <vt:lpwstr/>
      </vt:variant>
      <vt:variant>
        <vt:i4>6291556</vt:i4>
      </vt:variant>
      <vt:variant>
        <vt:i4>75</vt:i4>
      </vt:variant>
      <vt:variant>
        <vt:i4>0</vt:i4>
      </vt:variant>
      <vt:variant>
        <vt:i4>5</vt:i4>
      </vt:variant>
      <vt:variant>
        <vt:lpwstr>http://www.nevo.co.il/law/70301/152</vt:lpwstr>
      </vt:variant>
      <vt:variant>
        <vt:lpwstr/>
      </vt:variant>
      <vt:variant>
        <vt:i4>8257636</vt:i4>
      </vt:variant>
      <vt:variant>
        <vt:i4>72</vt:i4>
      </vt:variant>
      <vt:variant>
        <vt:i4>0</vt:i4>
      </vt:variant>
      <vt:variant>
        <vt:i4>5</vt:i4>
      </vt:variant>
      <vt:variant>
        <vt:lpwstr>http://www.nevo.co.il/law/70348</vt:lpwstr>
      </vt:variant>
      <vt:variant>
        <vt:lpwstr/>
      </vt:variant>
      <vt:variant>
        <vt:i4>458834</vt:i4>
      </vt:variant>
      <vt:variant>
        <vt:i4>69</vt:i4>
      </vt:variant>
      <vt:variant>
        <vt:i4>0</vt:i4>
      </vt:variant>
      <vt:variant>
        <vt:i4>5</vt:i4>
      </vt:variant>
      <vt:variant>
        <vt:lpwstr>http://www.nevo.co.il/law/70301/fCa1S</vt:lpwstr>
      </vt:variant>
      <vt:variant>
        <vt:lpwstr/>
      </vt:variant>
      <vt:variant>
        <vt:i4>3276841</vt:i4>
      </vt:variant>
      <vt:variant>
        <vt:i4>66</vt:i4>
      </vt:variant>
      <vt:variant>
        <vt:i4>0</vt:i4>
      </vt:variant>
      <vt:variant>
        <vt:i4>5</vt:i4>
      </vt:variant>
      <vt:variant>
        <vt:lpwstr>http://www.nevo.co.il/law/70301/f144.b2</vt:lpwstr>
      </vt:variant>
      <vt:variant>
        <vt:lpwstr/>
      </vt:variant>
      <vt:variant>
        <vt:i4>89</vt:i4>
      </vt:variant>
      <vt:variant>
        <vt:i4>63</vt:i4>
      </vt:variant>
      <vt:variant>
        <vt:i4>0</vt:i4>
      </vt:variant>
      <vt:variant>
        <vt:i4>5</vt:i4>
      </vt:variant>
      <vt:variant>
        <vt:lpwstr>http://www.nevo.co.il/law/70301/448a</vt:lpwstr>
      </vt:variant>
      <vt:variant>
        <vt:lpwstr/>
      </vt:variant>
      <vt:variant>
        <vt:i4>5177433</vt:i4>
      </vt:variant>
      <vt:variant>
        <vt:i4>60</vt:i4>
      </vt:variant>
      <vt:variant>
        <vt:i4>0</vt:i4>
      </vt:variant>
      <vt:variant>
        <vt:i4>5</vt:i4>
      </vt:variant>
      <vt:variant>
        <vt:lpwstr>http://www.nevo.co.il/law/70301/448.a</vt:lpwstr>
      </vt:variant>
      <vt:variant>
        <vt:lpwstr/>
      </vt:variant>
      <vt:variant>
        <vt:i4>5177433</vt:i4>
      </vt:variant>
      <vt:variant>
        <vt:i4>57</vt:i4>
      </vt:variant>
      <vt:variant>
        <vt:i4>0</vt:i4>
      </vt:variant>
      <vt:variant>
        <vt:i4>5</vt:i4>
      </vt:variant>
      <vt:variant>
        <vt:lpwstr>http://www.nevo.co.il/law/70301/448.4</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458763</vt:i4>
      </vt:variant>
      <vt:variant>
        <vt:i4>51</vt:i4>
      </vt:variant>
      <vt:variant>
        <vt:i4>0</vt:i4>
      </vt:variant>
      <vt:variant>
        <vt:i4>5</vt:i4>
      </vt:variant>
      <vt:variant>
        <vt:lpwstr>http://www.nevo.co.il/law/70301/40jb</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196616</vt:i4>
      </vt:variant>
      <vt:variant>
        <vt:i4>45</vt:i4>
      </vt:variant>
      <vt:variant>
        <vt:i4>0</vt:i4>
      </vt:variant>
      <vt:variant>
        <vt:i4>5</vt:i4>
      </vt:variant>
      <vt:variant>
        <vt:lpwstr>http://www.nevo.co.il/law/70301/40if</vt:lpwstr>
      </vt:variant>
      <vt:variant>
        <vt:lpwstr/>
      </vt:variant>
      <vt:variant>
        <vt:i4>6094932</vt:i4>
      </vt:variant>
      <vt:variant>
        <vt:i4>42</vt:i4>
      </vt:variant>
      <vt:variant>
        <vt:i4>0</vt:i4>
      </vt:variant>
      <vt:variant>
        <vt:i4>5</vt:i4>
      </vt:variant>
      <vt:variant>
        <vt:lpwstr>http://www.nevo.co.il/law/70301/382a.b.3</vt:lpwstr>
      </vt:variant>
      <vt:variant>
        <vt:lpwstr/>
      </vt:variant>
      <vt:variant>
        <vt:i4>6029396</vt:i4>
      </vt:variant>
      <vt:variant>
        <vt:i4>39</vt:i4>
      </vt:variant>
      <vt:variant>
        <vt:i4>0</vt:i4>
      </vt:variant>
      <vt:variant>
        <vt:i4>5</vt:i4>
      </vt:variant>
      <vt:variant>
        <vt:lpwstr>http://www.nevo.co.il/law/70301/382a.b.2</vt:lpwstr>
      </vt:variant>
      <vt:variant>
        <vt:lpwstr/>
      </vt:variant>
      <vt:variant>
        <vt:i4>6226004</vt:i4>
      </vt:variant>
      <vt:variant>
        <vt:i4>36</vt:i4>
      </vt:variant>
      <vt:variant>
        <vt:i4>0</vt:i4>
      </vt:variant>
      <vt:variant>
        <vt:i4>5</vt:i4>
      </vt:variant>
      <vt:variant>
        <vt:lpwstr>http://www.nevo.co.il/law/70301/382a.b.1</vt:lpwstr>
      </vt:variant>
      <vt:variant>
        <vt:lpwstr/>
      </vt:variant>
      <vt:variant>
        <vt:i4>7209082</vt:i4>
      </vt:variant>
      <vt:variant>
        <vt:i4>33</vt:i4>
      </vt:variant>
      <vt:variant>
        <vt:i4>0</vt:i4>
      </vt:variant>
      <vt:variant>
        <vt:i4>5</vt:i4>
      </vt:variant>
      <vt:variant>
        <vt:lpwstr>http://www.nevo.co.il/law/70301/382a.b</vt:lpwstr>
      </vt:variant>
      <vt:variant>
        <vt:lpwstr/>
      </vt:variant>
      <vt:variant>
        <vt:i4>7143546</vt:i4>
      </vt:variant>
      <vt:variant>
        <vt:i4>30</vt:i4>
      </vt:variant>
      <vt:variant>
        <vt:i4>0</vt:i4>
      </vt:variant>
      <vt:variant>
        <vt:i4>5</vt:i4>
      </vt:variant>
      <vt:variant>
        <vt:lpwstr>http://www.nevo.co.il/law/70301/382a.a</vt:lpwstr>
      </vt:variant>
      <vt:variant>
        <vt:lpwstr/>
      </vt:variant>
      <vt:variant>
        <vt:i4>786516</vt:i4>
      </vt:variant>
      <vt:variant>
        <vt:i4>27</vt:i4>
      </vt:variant>
      <vt:variant>
        <vt:i4>0</vt:i4>
      </vt:variant>
      <vt:variant>
        <vt:i4>5</vt:i4>
      </vt:variant>
      <vt:variant>
        <vt:lpwstr>http://www.nevo.co.il/law/70301/382a</vt:lpwstr>
      </vt:variant>
      <vt:variant>
        <vt:lpwstr/>
      </vt:variant>
      <vt:variant>
        <vt:i4>6684735</vt:i4>
      </vt:variant>
      <vt:variant>
        <vt:i4>24</vt:i4>
      </vt:variant>
      <vt:variant>
        <vt:i4>0</vt:i4>
      </vt:variant>
      <vt:variant>
        <vt:i4>5</vt:i4>
      </vt:variant>
      <vt:variant>
        <vt:lpwstr>http://www.nevo.co.il/law/70301/338.a.3</vt:lpwstr>
      </vt:variant>
      <vt:variant>
        <vt:lpwstr/>
      </vt:variant>
      <vt:variant>
        <vt:i4>6291556</vt:i4>
      </vt:variant>
      <vt:variant>
        <vt:i4>21</vt:i4>
      </vt:variant>
      <vt:variant>
        <vt:i4>0</vt:i4>
      </vt:variant>
      <vt:variant>
        <vt:i4>5</vt:i4>
      </vt:variant>
      <vt:variant>
        <vt:lpwstr>http://www.nevo.co.il/law/70301/152</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2025-04-25T10:37:00Z</dcterms:created>
  <dcterms:modified xsi:type="dcterms:W3CDTF">2025-04-25T10:37:00Z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31334</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סאאד דארי;ואיל סבאתה</vt:lpwstr>
  </property>
  <property fmtid="{D5CDD505-2E9C-101B-9397-08002B2CF9AE}" pid="10" name="LAWYER">
    <vt:lpwstr>עמיחי מרקס;סאמי חוראני;לאה צמל;אנדרה רוזנטל</vt:lpwstr>
  </property>
  <property fmtid="{D5CDD505-2E9C-101B-9397-08002B2CF9AE}" pid="11" name="JUDGE">
    <vt:lpwstr>אהרן פרקש</vt:lpwstr>
  </property>
  <property fmtid="{D5CDD505-2E9C-101B-9397-08002B2CF9AE}" pid="12" name="CITY">
    <vt:lpwstr>י-ם</vt:lpwstr>
  </property>
  <property fmtid="{D5CDD505-2E9C-101B-9397-08002B2CF9AE}" pid="13" name="DATE">
    <vt:lpwstr>20161215</vt:lpwstr>
  </property>
  <property fmtid="{D5CDD505-2E9C-101B-9397-08002B2CF9AE}" pid="14" name="TYPE_N_DATE">
    <vt:lpwstr>39020161215</vt:lpwstr>
  </property>
  <property fmtid="{D5CDD505-2E9C-101B-9397-08002B2CF9AE}" pid="15" name="CASESLISTTMP1">
    <vt:lpwstr>11223145;16918948:4;13093721;7958246;21473042;5573417;7791493;20727634;20761567;20490021;21729943;21474812;20267029;13104258;7011967;21477504;21477511</vt:lpwstr>
  </property>
  <property fmtid="{D5CDD505-2E9C-101B-9397-08002B2CF9AE}" pid="16" name="WORDNUMPAGES">
    <vt:lpwstr>15</vt:lpwstr>
  </property>
  <property fmtid="{D5CDD505-2E9C-101B-9397-08002B2CF9AE}" pid="17" name="TYPE_ABS_DATE">
    <vt:lpwstr>390020161215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70301/152:2;338.a.3:2;382a.b.1:2;382a.b.2:2;382a.b.3:2;025:3;144.b2:2;144.b:3;448a;fCa1S:2;40if;40jc;040c.a;040b;040i;40ja:2;40jb;f144.b2;382a;382a.a;382a.b;448.a;448.4</vt:lpwstr>
  </property>
  <property fmtid="{D5CDD505-2E9C-101B-9397-08002B2CF9AE}" pid="36" name="LAWLISTTMP2">
    <vt:lpwstr>70348</vt:lpwstr>
  </property>
  <property fmtid="{D5CDD505-2E9C-101B-9397-08002B2CF9AE}" pid="37" name="ISABSTRACT">
    <vt:lpwstr>Y</vt:lpwstr>
  </property>
</Properties>
</file>