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609"/>
        <w:gridCol w:w="3261"/>
      </w:tblGrid>
      <w:tr w:rsidR="002F5449" w:rsidRPr="00AC3881" w14:paraId="533DF24E" w14:textId="77777777">
        <w:trPr>
          <w:trHeight w:hRule="exact" w:val="418"/>
          <w:jc w:val="center"/>
        </w:trPr>
        <w:tc>
          <w:tcPr>
            <w:tcW w:w="7870" w:type="dxa"/>
            <w:gridSpan w:val="2"/>
          </w:tcPr>
          <w:p w14:paraId="77E97BC3" w14:textId="77777777" w:rsidR="002F5449" w:rsidRPr="00AC3881" w:rsidRDefault="00AC3881">
            <w:pPr>
              <w:pStyle w:val="a3"/>
              <w:jc w:val="center"/>
              <w:rPr>
                <w:rFonts w:ascii="Tahoma" w:hAnsi="Tahoma" w:cs="Tahoma"/>
                <w:color w:val="000080"/>
                <w:rtl/>
              </w:rPr>
            </w:pPr>
            <w:bookmarkStart w:id="0" w:name="LastJudge"/>
            <w:r w:rsidRPr="00AC3881">
              <w:rPr>
                <w:rFonts w:ascii="Tahoma" w:hAnsi="Tahoma" w:cs="Tahoma"/>
                <w:b/>
                <w:bCs/>
                <w:color w:val="000080"/>
                <w:rtl/>
              </w:rPr>
              <w:t>בית המשפט המחוזי בירושלים</w:t>
            </w:r>
          </w:p>
        </w:tc>
      </w:tr>
      <w:tr w:rsidR="002F5449" w:rsidRPr="00AC3881" w14:paraId="192E6E3C" w14:textId="77777777">
        <w:trPr>
          <w:trHeight w:val="337"/>
          <w:jc w:val="center"/>
        </w:trPr>
        <w:tc>
          <w:tcPr>
            <w:tcW w:w="4609" w:type="dxa"/>
          </w:tcPr>
          <w:p w14:paraId="0A858DF4" w14:textId="77777777" w:rsidR="002F5449" w:rsidRPr="00AC3881" w:rsidRDefault="00AC3881">
            <w:pPr>
              <w:rPr>
                <w:rFonts w:cs="FrankRuehl"/>
                <w:sz w:val="28"/>
                <w:szCs w:val="28"/>
                <w:rtl/>
              </w:rPr>
            </w:pPr>
            <w:r w:rsidRPr="00AC3881">
              <w:rPr>
                <w:rFonts w:cs="FrankRuehl"/>
                <w:sz w:val="28"/>
                <w:szCs w:val="28"/>
                <w:rtl/>
              </w:rPr>
              <w:t>ת"פ</w:t>
            </w:r>
            <w:r w:rsidRPr="00AC3881">
              <w:rPr>
                <w:rFonts w:cs="FrankRuehl" w:hint="cs"/>
                <w:sz w:val="28"/>
                <w:szCs w:val="28"/>
                <w:rtl/>
              </w:rPr>
              <w:t xml:space="preserve"> </w:t>
            </w:r>
            <w:r w:rsidRPr="00AC3881">
              <w:rPr>
                <w:rFonts w:cs="FrankRuehl"/>
                <w:sz w:val="28"/>
                <w:szCs w:val="28"/>
                <w:rtl/>
              </w:rPr>
              <w:t>32819-11-15</w:t>
            </w:r>
            <w:r w:rsidRPr="00AC3881">
              <w:rPr>
                <w:rFonts w:cs="FrankRuehl" w:hint="cs"/>
                <w:sz w:val="28"/>
                <w:szCs w:val="28"/>
                <w:rtl/>
              </w:rPr>
              <w:t xml:space="preserve"> </w:t>
            </w:r>
            <w:r w:rsidRPr="00AC3881">
              <w:rPr>
                <w:rFonts w:cs="FrankRuehl"/>
                <w:sz w:val="28"/>
                <w:szCs w:val="28"/>
                <w:rtl/>
              </w:rPr>
              <w:t>מדינת ישראל נ' נאצר(עציר)</w:t>
            </w:r>
          </w:p>
          <w:p w14:paraId="40A38788" w14:textId="77777777" w:rsidR="002F5449" w:rsidRPr="00AC3881" w:rsidRDefault="002F5449">
            <w:pPr>
              <w:pStyle w:val="a3"/>
              <w:rPr>
                <w:rFonts w:cs="FrankRuehl"/>
                <w:sz w:val="28"/>
                <w:szCs w:val="28"/>
                <w:rtl/>
              </w:rPr>
            </w:pPr>
          </w:p>
        </w:tc>
        <w:tc>
          <w:tcPr>
            <w:tcW w:w="3261" w:type="dxa"/>
          </w:tcPr>
          <w:p w14:paraId="5C934798" w14:textId="77777777" w:rsidR="002F5449" w:rsidRPr="00AC3881" w:rsidRDefault="002F5449">
            <w:pPr>
              <w:pStyle w:val="a3"/>
              <w:jc w:val="right"/>
              <w:rPr>
                <w:rFonts w:cs="FrankRuehl"/>
                <w:sz w:val="28"/>
                <w:szCs w:val="28"/>
                <w:rtl/>
              </w:rPr>
            </w:pPr>
          </w:p>
        </w:tc>
      </w:tr>
    </w:tbl>
    <w:p w14:paraId="2547A95F" w14:textId="77777777" w:rsidR="002F5449" w:rsidRPr="00AC3881" w:rsidRDefault="00AC3881">
      <w:pPr>
        <w:pStyle w:val="a3"/>
        <w:rPr>
          <w:rtl/>
        </w:rPr>
      </w:pPr>
      <w:r w:rsidRPr="00AC3881">
        <w:rPr>
          <w:rFonts w:hint="cs"/>
          <w:rtl/>
        </w:rPr>
        <w:t xml:space="preserve"> </w:t>
      </w:r>
    </w:p>
    <w:p w14:paraId="4939767B" w14:textId="77777777" w:rsidR="002F5449" w:rsidRPr="00AC3881" w:rsidRDefault="002F5449">
      <w:pPr>
        <w:spacing w:line="360" w:lineRule="auto"/>
        <w:jc w:val="both"/>
        <w:rPr>
          <w:rFonts w:ascii="Arial" w:hAnsi="Arial"/>
        </w:rPr>
      </w:pPr>
    </w:p>
    <w:tbl>
      <w:tblPr>
        <w:bidiVisual/>
        <w:tblW w:w="8802" w:type="dxa"/>
        <w:tblInd w:w="-28" w:type="dxa"/>
        <w:tblLook w:val="01E0" w:firstRow="1" w:lastRow="1" w:firstColumn="1" w:lastColumn="1" w:noHBand="0" w:noVBand="0"/>
      </w:tblPr>
      <w:tblGrid>
        <w:gridCol w:w="2880"/>
        <w:gridCol w:w="5839"/>
        <w:gridCol w:w="83"/>
      </w:tblGrid>
      <w:tr w:rsidR="002F5449" w:rsidRPr="00AC3881" w14:paraId="0E4CF5A6" w14:textId="77777777" w:rsidTr="001B3E6F">
        <w:trPr>
          <w:gridAfter w:val="1"/>
          <w:wAfter w:w="83" w:type="dxa"/>
        </w:trPr>
        <w:tc>
          <w:tcPr>
            <w:tcW w:w="8719" w:type="dxa"/>
            <w:gridSpan w:val="2"/>
            <w:shd w:val="clear" w:color="auto" w:fill="auto"/>
          </w:tcPr>
          <w:p w14:paraId="3C8325C6" w14:textId="77777777" w:rsidR="002F5449" w:rsidRPr="00AC3881" w:rsidRDefault="00AC3881">
            <w:pPr>
              <w:spacing w:line="360" w:lineRule="auto"/>
              <w:jc w:val="both"/>
              <w:rPr>
                <w:rFonts w:ascii="Arial" w:hAnsi="Arial"/>
                <w:rtl/>
              </w:rPr>
            </w:pPr>
            <w:r w:rsidRPr="00AC3881">
              <w:rPr>
                <w:rFonts w:hint="cs"/>
                <w:b/>
                <w:bCs/>
                <w:sz w:val="26"/>
                <w:szCs w:val="26"/>
                <w:rtl/>
              </w:rPr>
              <w:t>בפני כב' ה</w:t>
            </w:r>
            <w:r w:rsidRPr="00AC3881">
              <w:rPr>
                <w:rFonts w:hint="cs"/>
                <w:rtl/>
              </w:rPr>
              <w:t>שופט דניאל טפרברג</w:t>
            </w:r>
          </w:p>
        </w:tc>
      </w:tr>
      <w:tr w:rsidR="002F5449" w:rsidRPr="00AC3881" w14:paraId="20BD29CA" w14:textId="77777777" w:rsidTr="001B3E6F">
        <w:tc>
          <w:tcPr>
            <w:tcW w:w="2880" w:type="dxa"/>
            <w:shd w:val="clear" w:color="auto" w:fill="auto"/>
          </w:tcPr>
          <w:p w14:paraId="3978972E" w14:textId="77777777" w:rsidR="002F5449" w:rsidRPr="00AC3881" w:rsidRDefault="00AC3881">
            <w:pPr>
              <w:ind w:left="26"/>
              <w:rPr>
                <w:b/>
                <w:bCs/>
                <w:sz w:val="26"/>
                <w:szCs w:val="26"/>
                <w:rtl/>
              </w:rPr>
            </w:pPr>
            <w:bookmarkStart w:id="1" w:name="FirstAppellant"/>
            <w:r w:rsidRPr="00AC3881">
              <w:rPr>
                <w:rFonts w:hint="cs"/>
                <w:b/>
                <w:bCs/>
                <w:sz w:val="26"/>
                <w:szCs w:val="26"/>
                <w:rtl/>
              </w:rPr>
              <w:t>ה</w:t>
            </w:r>
            <w:r w:rsidRPr="00AC3881">
              <w:rPr>
                <w:rFonts w:hint="cs"/>
                <w:rtl/>
              </w:rPr>
              <w:t>מאשימה</w:t>
            </w:r>
          </w:p>
        </w:tc>
        <w:tc>
          <w:tcPr>
            <w:tcW w:w="5922" w:type="dxa"/>
            <w:gridSpan w:val="2"/>
            <w:shd w:val="clear" w:color="auto" w:fill="auto"/>
          </w:tcPr>
          <w:p w14:paraId="624C8A30" w14:textId="77777777" w:rsidR="002F5449" w:rsidRPr="00AC3881" w:rsidRDefault="00AC3881">
            <w:pPr>
              <w:rPr>
                <w:rtl/>
              </w:rPr>
            </w:pPr>
            <w:r w:rsidRPr="00AC3881">
              <w:rPr>
                <w:rFonts w:hint="cs"/>
                <w:b/>
                <w:bCs/>
                <w:sz w:val="26"/>
                <w:szCs w:val="26"/>
                <w:rtl/>
              </w:rPr>
              <w:t xml:space="preserve"> </w:t>
            </w:r>
            <w:r w:rsidRPr="00AC3881">
              <w:rPr>
                <w:rFonts w:hint="cs"/>
                <w:rtl/>
              </w:rPr>
              <w:t>מדינת ישראל</w:t>
            </w:r>
          </w:p>
          <w:p w14:paraId="2D5E4268" w14:textId="77777777" w:rsidR="002F5449" w:rsidRPr="00AC3881" w:rsidRDefault="00AC3881">
            <w:pPr>
              <w:rPr>
                <w:b/>
                <w:bCs/>
                <w:sz w:val="26"/>
                <w:szCs w:val="26"/>
                <w:rtl/>
              </w:rPr>
            </w:pPr>
            <w:r w:rsidRPr="00AC3881">
              <w:rPr>
                <w:rFonts w:hint="cs"/>
                <w:b/>
                <w:bCs/>
                <w:rtl/>
              </w:rPr>
              <w:t xml:space="preserve">באמצעות פרקליטות מחוז ירושלים </w:t>
            </w:r>
          </w:p>
          <w:p w14:paraId="142669FF" w14:textId="77777777" w:rsidR="002F5449" w:rsidRPr="00AC3881" w:rsidRDefault="002F5449">
            <w:pPr>
              <w:rPr>
                <w:b/>
                <w:bCs/>
                <w:sz w:val="26"/>
                <w:szCs w:val="26"/>
                <w:rtl/>
              </w:rPr>
            </w:pPr>
          </w:p>
        </w:tc>
      </w:tr>
      <w:bookmarkEnd w:id="1"/>
      <w:tr w:rsidR="002F5449" w:rsidRPr="00AC3881" w14:paraId="4D8DCFBC" w14:textId="77777777" w:rsidTr="001B3E6F">
        <w:tc>
          <w:tcPr>
            <w:tcW w:w="8802" w:type="dxa"/>
            <w:gridSpan w:val="3"/>
            <w:shd w:val="clear" w:color="auto" w:fill="auto"/>
          </w:tcPr>
          <w:p w14:paraId="13F8EF2C" w14:textId="77777777" w:rsidR="002F5449" w:rsidRPr="00AC3881" w:rsidRDefault="002F5449">
            <w:pPr>
              <w:jc w:val="both"/>
              <w:rPr>
                <w:rFonts w:ascii="Arial" w:hAnsi="Arial"/>
                <w:b/>
                <w:bCs/>
                <w:sz w:val="26"/>
                <w:szCs w:val="26"/>
                <w:rtl/>
              </w:rPr>
            </w:pPr>
          </w:p>
          <w:p w14:paraId="4FFC14B8" w14:textId="77777777" w:rsidR="002F5449" w:rsidRPr="00AC3881" w:rsidRDefault="00AC3881">
            <w:pPr>
              <w:jc w:val="center"/>
              <w:rPr>
                <w:rFonts w:ascii="Arial" w:hAnsi="Arial"/>
                <w:b/>
                <w:bCs/>
                <w:sz w:val="26"/>
                <w:szCs w:val="26"/>
                <w:rtl/>
              </w:rPr>
            </w:pPr>
            <w:r w:rsidRPr="00AC3881">
              <w:rPr>
                <w:rFonts w:ascii="Arial" w:hAnsi="Arial" w:hint="cs"/>
                <w:b/>
                <w:bCs/>
                <w:sz w:val="26"/>
                <w:szCs w:val="26"/>
                <w:rtl/>
              </w:rPr>
              <w:t>נגד</w:t>
            </w:r>
          </w:p>
          <w:p w14:paraId="14B3B75B" w14:textId="77777777" w:rsidR="002F5449" w:rsidRPr="00AC3881" w:rsidRDefault="002F5449">
            <w:pPr>
              <w:jc w:val="center"/>
              <w:rPr>
                <w:rFonts w:ascii="Arial" w:hAnsi="Arial"/>
                <w:b/>
                <w:bCs/>
                <w:sz w:val="26"/>
                <w:szCs w:val="26"/>
                <w:rtl/>
              </w:rPr>
            </w:pPr>
          </w:p>
        </w:tc>
      </w:tr>
      <w:tr w:rsidR="002F5449" w:rsidRPr="00AC3881" w14:paraId="2EF64DB1" w14:textId="77777777" w:rsidTr="001B3E6F">
        <w:tc>
          <w:tcPr>
            <w:tcW w:w="2880" w:type="dxa"/>
            <w:shd w:val="clear" w:color="auto" w:fill="auto"/>
          </w:tcPr>
          <w:p w14:paraId="5467498B" w14:textId="77777777" w:rsidR="002F5449" w:rsidRPr="00AC3881" w:rsidRDefault="00AC3881">
            <w:pPr>
              <w:ind w:left="26"/>
              <w:rPr>
                <w:b/>
                <w:bCs/>
                <w:sz w:val="26"/>
                <w:szCs w:val="26"/>
              </w:rPr>
            </w:pPr>
            <w:bookmarkStart w:id="2" w:name="FirstLawyer"/>
            <w:r w:rsidRPr="00AC3881">
              <w:rPr>
                <w:rFonts w:hint="cs"/>
                <w:b/>
                <w:bCs/>
                <w:sz w:val="26"/>
                <w:szCs w:val="26"/>
                <w:rtl/>
              </w:rPr>
              <w:t xml:space="preserve">הנאשם </w:t>
            </w:r>
            <w:r w:rsidRPr="00AC3881">
              <w:rPr>
                <w:rtl/>
              </w:rPr>
              <w:t xml:space="preserve">     </w:t>
            </w:r>
          </w:p>
        </w:tc>
        <w:tc>
          <w:tcPr>
            <w:tcW w:w="5922" w:type="dxa"/>
            <w:gridSpan w:val="2"/>
            <w:shd w:val="clear" w:color="auto" w:fill="auto"/>
          </w:tcPr>
          <w:p w14:paraId="197D4911" w14:textId="77777777" w:rsidR="002F5449" w:rsidRPr="00AC3881" w:rsidRDefault="00AC3881">
            <w:pPr>
              <w:rPr>
                <w:b/>
                <w:bCs/>
                <w:sz w:val="26"/>
                <w:szCs w:val="26"/>
                <w:rtl/>
              </w:rPr>
            </w:pPr>
            <w:r w:rsidRPr="00AC3881">
              <w:rPr>
                <w:rFonts w:hint="cs"/>
                <w:b/>
                <w:bCs/>
                <w:sz w:val="26"/>
                <w:szCs w:val="26"/>
                <w:rtl/>
              </w:rPr>
              <w:t xml:space="preserve">נאדר נאצר (עציר) ת.ז. </w:t>
            </w:r>
            <w:r>
              <w:rPr>
                <w:b/>
                <w:bCs/>
                <w:sz w:val="26"/>
                <w:szCs w:val="26"/>
              </w:rPr>
              <w:t>xxxxxxxxx</w:t>
            </w:r>
          </w:p>
          <w:p w14:paraId="7668D668" w14:textId="77777777" w:rsidR="002F5449" w:rsidRPr="00AC3881" w:rsidRDefault="00AC3881">
            <w:pPr>
              <w:rPr>
                <w:b/>
                <w:bCs/>
                <w:sz w:val="26"/>
                <w:szCs w:val="26"/>
                <w:rtl/>
              </w:rPr>
            </w:pPr>
            <w:r w:rsidRPr="00AC3881">
              <w:rPr>
                <w:rFonts w:hint="cs"/>
                <w:b/>
                <w:bCs/>
                <w:sz w:val="26"/>
                <w:szCs w:val="26"/>
                <w:rtl/>
              </w:rPr>
              <w:t>ע"י ב"כ עו"ד מוחמד מחמוד ועו"ד לאה צמל</w:t>
            </w:r>
          </w:p>
        </w:tc>
      </w:tr>
    </w:tbl>
    <w:p w14:paraId="3A0F4728" w14:textId="77777777" w:rsidR="001B3E6F" w:rsidRDefault="001B3E6F" w:rsidP="001B3E6F">
      <w:pPr>
        <w:jc w:val="center"/>
        <w:rPr>
          <w:rFonts w:ascii="Arial" w:hAnsi="Arial"/>
          <w:rtl/>
        </w:rPr>
      </w:pPr>
      <w:bookmarkStart w:id="3" w:name="LawTable"/>
      <w:bookmarkEnd w:id="0"/>
      <w:bookmarkEnd w:id="2"/>
      <w:bookmarkEnd w:id="3"/>
    </w:p>
    <w:p w14:paraId="7729AAC9" w14:textId="77777777" w:rsidR="001B3E6F" w:rsidRPr="001B3E6F" w:rsidRDefault="001B3E6F" w:rsidP="001B3E6F">
      <w:pPr>
        <w:spacing w:after="120" w:line="240" w:lineRule="exact"/>
        <w:ind w:left="283" w:hanging="283"/>
        <w:jc w:val="both"/>
        <w:rPr>
          <w:rFonts w:ascii="FrankRuehl" w:hAnsi="FrankRuehl" w:cs="FrankRuehl"/>
          <w:rtl/>
        </w:rPr>
      </w:pPr>
    </w:p>
    <w:p w14:paraId="1489D862" w14:textId="77777777" w:rsidR="001B3E6F" w:rsidRPr="001B3E6F" w:rsidRDefault="001B3E6F" w:rsidP="001B3E6F">
      <w:pPr>
        <w:spacing w:after="120" w:line="240" w:lineRule="exact"/>
        <w:ind w:left="283" w:hanging="283"/>
        <w:jc w:val="both"/>
        <w:rPr>
          <w:rFonts w:ascii="FrankRuehl" w:hAnsi="FrankRuehl" w:cs="FrankRuehl"/>
          <w:rtl/>
        </w:rPr>
      </w:pPr>
      <w:r w:rsidRPr="001B3E6F">
        <w:rPr>
          <w:rFonts w:ascii="FrankRuehl" w:hAnsi="FrankRuehl" w:cs="FrankRuehl"/>
          <w:rtl/>
        </w:rPr>
        <w:t xml:space="preserve">חקיקה שאוזכרה: </w:t>
      </w:r>
    </w:p>
    <w:p w14:paraId="073EE8B8" w14:textId="77777777" w:rsidR="001B3E6F" w:rsidRPr="001B3E6F" w:rsidRDefault="001B3E6F" w:rsidP="001B3E6F">
      <w:pPr>
        <w:spacing w:after="120" w:line="240" w:lineRule="exact"/>
        <w:ind w:left="283" w:hanging="283"/>
        <w:jc w:val="both"/>
        <w:rPr>
          <w:rFonts w:ascii="FrankRuehl" w:hAnsi="FrankRuehl" w:cs="FrankRuehl"/>
          <w:rtl/>
        </w:rPr>
      </w:pPr>
      <w:hyperlink r:id="rId6" w:history="1">
        <w:r w:rsidRPr="001B3E6F">
          <w:rPr>
            <w:rFonts w:ascii="FrankRuehl" w:hAnsi="FrankRuehl" w:cs="FrankRuehl"/>
            <w:color w:val="0000FF"/>
            <w:u w:val="single"/>
            <w:rtl/>
          </w:rPr>
          <w:t>חוק העונשין, תשל"ז-1977</w:t>
        </w:r>
      </w:hyperlink>
      <w:r w:rsidRPr="001B3E6F">
        <w:rPr>
          <w:rFonts w:ascii="FrankRuehl" w:hAnsi="FrankRuehl" w:cs="FrankRuehl"/>
          <w:rtl/>
        </w:rPr>
        <w:t xml:space="preserve">: סע'  </w:t>
      </w:r>
      <w:hyperlink r:id="rId7" w:history="1">
        <w:r w:rsidRPr="001B3E6F">
          <w:rPr>
            <w:rFonts w:ascii="FrankRuehl" w:hAnsi="FrankRuehl" w:cs="FrankRuehl"/>
            <w:color w:val="0000FF"/>
            <w:u w:val="single"/>
            <w:rtl/>
          </w:rPr>
          <w:t>25</w:t>
        </w:r>
      </w:hyperlink>
      <w:r w:rsidRPr="001B3E6F">
        <w:rPr>
          <w:rFonts w:ascii="FrankRuehl" w:hAnsi="FrankRuehl" w:cs="FrankRuehl"/>
          <w:rtl/>
        </w:rPr>
        <w:t xml:space="preserve">, </w:t>
      </w:r>
      <w:hyperlink r:id="rId8" w:history="1">
        <w:r w:rsidRPr="001B3E6F">
          <w:rPr>
            <w:rFonts w:ascii="FrankRuehl" w:hAnsi="FrankRuehl" w:cs="FrankRuehl"/>
            <w:color w:val="0000FF"/>
            <w:u w:val="single"/>
            <w:rtl/>
          </w:rPr>
          <w:t>29</w:t>
        </w:r>
      </w:hyperlink>
      <w:r w:rsidRPr="001B3E6F">
        <w:rPr>
          <w:rFonts w:ascii="FrankRuehl" w:hAnsi="FrankRuehl" w:cs="FrankRuehl"/>
          <w:rtl/>
        </w:rPr>
        <w:t xml:space="preserve">, </w:t>
      </w:r>
      <w:hyperlink r:id="rId9" w:history="1">
        <w:r w:rsidRPr="001B3E6F">
          <w:rPr>
            <w:rFonts w:ascii="FrankRuehl" w:hAnsi="FrankRuehl" w:cs="FrankRuehl"/>
            <w:color w:val="0000FF"/>
            <w:u w:val="single"/>
            <w:rtl/>
          </w:rPr>
          <w:t>31</w:t>
        </w:r>
      </w:hyperlink>
      <w:r w:rsidRPr="001B3E6F">
        <w:rPr>
          <w:rFonts w:ascii="FrankRuehl" w:hAnsi="FrankRuehl" w:cs="FrankRuehl"/>
          <w:rtl/>
        </w:rPr>
        <w:t xml:space="preserve">, </w:t>
      </w:r>
      <w:hyperlink r:id="rId10" w:history="1">
        <w:r w:rsidRPr="001B3E6F">
          <w:rPr>
            <w:rFonts w:ascii="FrankRuehl" w:hAnsi="FrankRuehl" w:cs="FrankRuehl"/>
            <w:color w:val="0000FF"/>
            <w:u w:val="single"/>
            <w:rtl/>
          </w:rPr>
          <w:t>40ג(א)</w:t>
        </w:r>
      </w:hyperlink>
      <w:r w:rsidRPr="001B3E6F">
        <w:rPr>
          <w:rFonts w:ascii="FrankRuehl" w:hAnsi="FrankRuehl" w:cs="FrankRuehl"/>
          <w:rtl/>
        </w:rPr>
        <w:t xml:space="preserve">, </w:t>
      </w:r>
      <w:hyperlink r:id="rId11" w:history="1">
        <w:r w:rsidRPr="001B3E6F">
          <w:rPr>
            <w:rFonts w:ascii="FrankRuehl" w:hAnsi="FrankRuehl" w:cs="FrankRuehl"/>
            <w:color w:val="0000FF"/>
            <w:u w:val="single"/>
            <w:rtl/>
          </w:rPr>
          <w:t>40ט</w:t>
        </w:r>
      </w:hyperlink>
      <w:r w:rsidRPr="001B3E6F">
        <w:rPr>
          <w:rFonts w:ascii="FrankRuehl" w:hAnsi="FrankRuehl" w:cs="FrankRuehl"/>
          <w:rtl/>
        </w:rPr>
        <w:t xml:space="preserve">, </w:t>
      </w:r>
      <w:hyperlink r:id="rId12" w:history="1">
        <w:r w:rsidRPr="001B3E6F">
          <w:rPr>
            <w:rFonts w:ascii="FrankRuehl" w:hAnsi="FrankRuehl" w:cs="FrankRuehl"/>
            <w:color w:val="0000FF"/>
            <w:u w:val="single"/>
            <w:rtl/>
          </w:rPr>
          <w:t>144(ב)</w:t>
        </w:r>
      </w:hyperlink>
      <w:r w:rsidRPr="001B3E6F">
        <w:rPr>
          <w:rFonts w:ascii="FrankRuehl" w:hAnsi="FrankRuehl" w:cs="FrankRuehl"/>
          <w:rtl/>
        </w:rPr>
        <w:t xml:space="preserve">, </w:t>
      </w:r>
      <w:hyperlink r:id="rId13" w:history="1">
        <w:r w:rsidRPr="001B3E6F">
          <w:rPr>
            <w:rFonts w:ascii="FrankRuehl" w:hAnsi="FrankRuehl" w:cs="FrankRuehl"/>
            <w:color w:val="0000FF"/>
            <w:u w:val="single"/>
            <w:rtl/>
          </w:rPr>
          <w:t>144(ב2)</w:t>
        </w:r>
      </w:hyperlink>
      <w:r w:rsidRPr="001B3E6F">
        <w:rPr>
          <w:rFonts w:ascii="FrankRuehl" w:hAnsi="FrankRuehl" w:cs="FrankRuehl"/>
          <w:rtl/>
        </w:rPr>
        <w:t xml:space="preserve">, </w:t>
      </w:r>
      <w:hyperlink r:id="rId14" w:history="1">
        <w:r w:rsidRPr="001B3E6F">
          <w:rPr>
            <w:rFonts w:ascii="FrankRuehl" w:hAnsi="FrankRuehl" w:cs="FrankRuehl"/>
            <w:color w:val="0000FF"/>
            <w:u w:val="single"/>
            <w:rtl/>
          </w:rPr>
          <w:t>152</w:t>
        </w:r>
      </w:hyperlink>
      <w:r w:rsidRPr="001B3E6F">
        <w:rPr>
          <w:rFonts w:ascii="FrankRuehl" w:hAnsi="FrankRuehl" w:cs="FrankRuehl"/>
          <w:rtl/>
        </w:rPr>
        <w:t xml:space="preserve">, </w:t>
      </w:r>
      <w:hyperlink r:id="rId15" w:history="1">
        <w:r w:rsidRPr="001B3E6F">
          <w:rPr>
            <w:rFonts w:ascii="FrankRuehl" w:hAnsi="FrankRuehl" w:cs="FrankRuehl"/>
            <w:color w:val="0000FF"/>
            <w:u w:val="single"/>
            <w:rtl/>
          </w:rPr>
          <w:t>274.1.</w:t>
        </w:r>
      </w:hyperlink>
      <w:r w:rsidRPr="001B3E6F">
        <w:rPr>
          <w:rFonts w:ascii="FrankRuehl" w:hAnsi="FrankRuehl" w:cs="FrankRuehl"/>
          <w:rtl/>
        </w:rPr>
        <w:t xml:space="preserve">, </w:t>
      </w:r>
      <w:hyperlink r:id="rId16" w:history="1">
        <w:r w:rsidRPr="001B3E6F">
          <w:rPr>
            <w:rFonts w:ascii="FrankRuehl" w:hAnsi="FrankRuehl" w:cs="FrankRuehl"/>
            <w:color w:val="0000FF"/>
            <w:u w:val="single"/>
            <w:rtl/>
          </w:rPr>
          <w:t>274(1)(2)</w:t>
        </w:r>
      </w:hyperlink>
      <w:r w:rsidRPr="001B3E6F">
        <w:rPr>
          <w:rFonts w:ascii="FrankRuehl" w:hAnsi="FrankRuehl" w:cs="FrankRuehl"/>
          <w:rtl/>
        </w:rPr>
        <w:t xml:space="preserve">, </w:t>
      </w:r>
      <w:hyperlink r:id="rId17" w:history="1">
        <w:r w:rsidRPr="001B3E6F">
          <w:rPr>
            <w:rFonts w:ascii="FrankRuehl" w:hAnsi="FrankRuehl" w:cs="FrankRuehl"/>
            <w:color w:val="0000FF"/>
            <w:u w:val="single"/>
            <w:rtl/>
          </w:rPr>
          <w:t>274.2</w:t>
        </w:r>
      </w:hyperlink>
      <w:r w:rsidRPr="001B3E6F">
        <w:rPr>
          <w:rFonts w:ascii="FrankRuehl" w:hAnsi="FrankRuehl" w:cs="FrankRuehl"/>
          <w:rtl/>
        </w:rPr>
        <w:t xml:space="preserve">, </w:t>
      </w:r>
      <w:hyperlink r:id="rId18" w:history="1">
        <w:r w:rsidRPr="001B3E6F">
          <w:rPr>
            <w:rFonts w:ascii="FrankRuehl" w:hAnsi="FrankRuehl" w:cs="FrankRuehl"/>
            <w:color w:val="0000FF"/>
            <w:u w:val="single"/>
            <w:rtl/>
          </w:rPr>
          <w:t>274.3</w:t>
        </w:r>
      </w:hyperlink>
      <w:r w:rsidRPr="001B3E6F">
        <w:rPr>
          <w:rFonts w:ascii="FrankRuehl" w:hAnsi="FrankRuehl" w:cs="FrankRuehl"/>
          <w:rtl/>
        </w:rPr>
        <w:t xml:space="preserve">, </w:t>
      </w:r>
      <w:hyperlink r:id="rId19" w:history="1">
        <w:r w:rsidRPr="001B3E6F">
          <w:rPr>
            <w:rFonts w:ascii="FrankRuehl" w:hAnsi="FrankRuehl" w:cs="FrankRuehl"/>
            <w:color w:val="0000FF"/>
            <w:u w:val="single"/>
            <w:rtl/>
          </w:rPr>
          <w:t>275א</w:t>
        </w:r>
      </w:hyperlink>
      <w:r w:rsidRPr="001B3E6F">
        <w:rPr>
          <w:rFonts w:ascii="FrankRuehl" w:hAnsi="FrankRuehl" w:cs="FrankRuehl"/>
          <w:rtl/>
        </w:rPr>
        <w:t xml:space="preserve">, </w:t>
      </w:r>
      <w:hyperlink r:id="rId20" w:history="1">
        <w:r w:rsidRPr="001B3E6F">
          <w:rPr>
            <w:rFonts w:ascii="FrankRuehl" w:hAnsi="FrankRuehl" w:cs="FrankRuehl"/>
            <w:color w:val="0000FF"/>
            <w:u w:val="single"/>
            <w:rtl/>
          </w:rPr>
          <w:t>329(1)</w:t>
        </w:r>
      </w:hyperlink>
      <w:r w:rsidRPr="001B3E6F">
        <w:rPr>
          <w:rFonts w:ascii="FrankRuehl" w:hAnsi="FrankRuehl" w:cs="FrankRuehl"/>
          <w:rtl/>
        </w:rPr>
        <w:t xml:space="preserve">, </w:t>
      </w:r>
      <w:hyperlink r:id="rId21" w:history="1">
        <w:r w:rsidRPr="001B3E6F">
          <w:rPr>
            <w:rFonts w:ascii="FrankRuehl" w:hAnsi="FrankRuehl" w:cs="FrankRuehl"/>
            <w:color w:val="0000FF"/>
            <w:u w:val="single"/>
            <w:rtl/>
          </w:rPr>
          <w:t>329(2)</w:t>
        </w:r>
      </w:hyperlink>
      <w:r w:rsidRPr="001B3E6F">
        <w:rPr>
          <w:rFonts w:ascii="FrankRuehl" w:hAnsi="FrankRuehl" w:cs="FrankRuehl"/>
          <w:rtl/>
        </w:rPr>
        <w:t xml:space="preserve">, </w:t>
      </w:r>
      <w:hyperlink r:id="rId22" w:history="1">
        <w:r w:rsidRPr="001B3E6F">
          <w:rPr>
            <w:rFonts w:ascii="FrankRuehl" w:hAnsi="FrankRuehl" w:cs="FrankRuehl"/>
            <w:color w:val="0000FF"/>
            <w:u w:val="single"/>
            <w:rtl/>
          </w:rPr>
          <w:t>332(א)</w:t>
        </w:r>
      </w:hyperlink>
      <w:r w:rsidRPr="001B3E6F">
        <w:rPr>
          <w:rFonts w:ascii="FrankRuehl" w:hAnsi="FrankRuehl" w:cs="FrankRuehl"/>
          <w:rtl/>
        </w:rPr>
        <w:t xml:space="preserve">, </w:t>
      </w:r>
      <w:hyperlink r:id="rId23" w:history="1">
        <w:r w:rsidRPr="001B3E6F">
          <w:rPr>
            <w:rFonts w:ascii="FrankRuehl" w:hAnsi="FrankRuehl" w:cs="FrankRuehl"/>
            <w:color w:val="0000FF"/>
            <w:u w:val="single"/>
            <w:rtl/>
          </w:rPr>
          <w:t>332א(א)</w:t>
        </w:r>
      </w:hyperlink>
      <w:r w:rsidRPr="001B3E6F">
        <w:rPr>
          <w:rFonts w:ascii="FrankRuehl" w:hAnsi="FrankRuehl" w:cs="FrankRuehl"/>
          <w:rtl/>
        </w:rPr>
        <w:t xml:space="preserve">, </w:t>
      </w:r>
      <w:hyperlink r:id="rId24" w:history="1">
        <w:r w:rsidRPr="001B3E6F">
          <w:rPr>
            <w:rFonts w:ascii="FrankRuehl" w:hAnsi="FrankRuehl" w:cs="FrankRuehl"/>
            <w:color w:val="0000FF"/>
            <w:u w:val="single"/>
            <w:rtl/>
          </w:rPr>
          <w:t>334</w:t>
        </w:r>
      </w:hyperlink>
      <w:r w:rsidRPr="001B3E6F">
        <w:rPr>
          <w:rFonts w:ascii="FrankRuehl" w:hAnsi="FrankRuehl" w:cs="FrankRuehl"/>
          <w:rtl/>
        </w:rPr>
        <w:t xml:space="preserve">, </w:t>
      </w:r>
      <w:hyperlink r:id="rId25" w:history="1">
        <w:r w:rsidRPr="001B3E6F">
          <w:rPr>
            <w:rFonts w:ascii="FrankRuehl" w:hAnsi="FrankRuehl" w:cs="FrankRuehl"/>
            <w:color w:val="0000FF"/>
            <w:u w:val="single"/>
            <w:rtl/>
          </w:rPr>
          <w:t>335.2</w:t>
        </w:r>
      </w:hyperlink>
      <w:r w:rsidRPr="001B3E6F">
        <w:rPr>
          <w:rFonts w:ascii="FrankRuehl" w:hAnsi="FrankRuehl" w:cs="FrankRuehl"/>
          <w:rtl/>
        </w:rPr>
        <w:t xml:space="preserve">, </w:t>
      </w:r>
      <w:hyperlink r:id="rId26" w:history="1">
        <w:r w:rsidRPr="001B3E6F">
          <w:rPr>
            <w:rFonts w:ascii="FrankRuehl" w:hAnsi="FrankRuehl" w:cs="FrankRuehl"/>
            <w:color w:val="0000FF"/>
            <w:u w:val="single"/>
            <w:rtl/>
          </w:rPr>
          <w:t>335.א.1.</w:t>
        </w:r>
      </w:hyperlink>
      <w:r w:rsidRPr="001B3E6F">
        <w:rPr>
          <w:rFonts w:ascii="FrankRuehl" w:hAnsi="FrankRuehl" w:cs="FrankRuehl"/>
          <w:rtl/>
        </w:rPr>
        <w:t xml:space="preserve">, </w:t>
      </w:r>
      <w:hyperlink r:id="rId27" w:history="1">
        <w:r w:rsidRPr="001B3E6F">
          <w:rPr>
            <w:rFonts w:ascii="FrankRuehl" w:hAnsi="FrankRuehl" w:cs="FrankRuehl"/>
            <w:color w:val="0000FF"/>
            <w:u w:val="single"/>
            <w:rtl/>
          </w:rPr>
          <w:t>40יג(א)</w:t>
        </w:r>
      </w:hyperlink>
      <w:r w:rsidRPr="001B3E6F">
        <w:rPr>
          <w:rFonts w:ascii="FrankRuehl" w:hAnsi="FrankRuehl" w:cs="FrankRuehl"/>
          <w:rtl/>
        </w:rPr>
        <w:t xml:space="preserve">, </w:t>
      </w:r>
      <w:hyperlink r:id="rId28" w:history="1">
        <w:r w:rsidRPr="001B3E6F">
          <w:rPr>
            <w:rFonts w:ascii="FrankRuehl" w:hAnsi="FrankRuehl" w:cs="FrankRuehl"/>
            <w:color w:val="0000FF"/>
            <w:u w:val="single"/>
            <w:rtl/>
          </w:rPr>
          <w:t>40יג(ב)</w:t>
        </w:r>
      </w:hyperlink>
      <w:r w:rsidRPr="001B3E6F">
        <w:rPr>
          <w:rFonts w:ascii="FrankRuehl" w:hAnsi="FrankRuehl" w:cs="FrankRuehl"/>
          <w:rtl/>
        </w:rPr>
        <w:t xml:space="preserve">, </w:t>
      </w:r>
      <w:hyperlink r:id="rId29" w:history="1">
        <w:r w:rsidRPr="001B3E6F">
          <w:rPr>
            <w:rFonts w:ascii="FrankRuehl" w:hAnsi="FrankRuehl" w:cs="FrankRuehl"/>
            <w:color w:val="0000FF"/>
            <w:u w:val="single"/>
            <w:rtl/>
          </w:rPr>
          <w:t>448</w:t>
        </w:r>
      </w:hyperlink>
    </w:p>
    <w:p w14:paraId="13728867" w14:textId="77777777" w:rsidR="001B3E6F" w:rsidRPr="001B3E6F" w:rsidRDefault="001B3E6F" w:rsidP="001B3E6F">
      <w:pPr>
        <w:spacing w:after="120" w:line="240" w:lineRule="exact"/>
        <w:ind w:left="283" w:hanging="283"/>
        <w:jc w:val="both"/>
        <w:rPr>
          <w:rFonts w:ascii="FrankRuehl" w:hAnsi="FrankRuehl" w:cs="FrankRuehl"/>
          <w:rtl/>
        </w:rPr>
      </w:pPr>
    </w:p>
    <w:p w14:paraId="2BE79BAE" w14:textId="77777777" w:rsidR="001B3E6F" w:rsidRPr="001B3E6F" w:rsidRDefault="001B3E6F" w:rsidP="001B3E6F">
      <w:pPr>
        <w:jc w:val="center"/>
        <w:rPr>
          <w:rFonts w:ascii="Arial" w:hAnsi="Arial"/>
          <w:rtl/>
        </w:rPr>
      </w:pPr>
      <w:bookmarkStart w:id="4" w:name="LawTable_End"/>
      <w:bookmarkEnd w:id="4"/>
    </w:p>
    <w:p w14:paraId="6F4C27E4" w14:textId="77777777" w:rsidR="001B3E6F" w:rsidRPr="007655E2" w:rsidRDefault="001B3E6F" w:rsidP="001B3E6F">
      <w:pPr>
        <w:jc w:val="center"/>
        <w:rPr>
          <w:rFonts w:ascii="Arial" w:hAnsi="Arial"/>
          <w:rtl/>
        </w:rPr>
      </w:pPr>
    </w:p>
    <w:p w14:paraId="57A3532F" w14:textId="77777777" w:rsidR="001B3E6F" w:rsidRPr="00691BAE" w:rsidRDefault="001B3E6F" w:rsidP="001B3E6F">
      <w:pPr>
        <w:jc w:val="center"/>
        <w:rPr>
          <w:rFonts w:ascii="Arial" w:hAnsi="Arial"/>
          <w:rtl/>
        </w:rPr>
      </w:pPr>
      <w:r>
        <w:rPr>
          <w:rFonts w:ascii="Arial" w:hAnsi="Arial" w:hint="cs"/>
          <w:rtl/>
        </w:rPr>
        <w:t xml:space="preserve">   </w:t>
      </w:r>
    </w:p>
    <w:p w14:paraId="2FBB0792" w14:textId="77777777" w:rsidR="001B3E6F" w:rsidRPr="00AC3881" w:rsidRDefault="001B3E6F" w:rsidP="001B3E6F">
      <w:pPr>
        <w:jc w:val="center"/>
        <w:rPr>
          <w:rFonts w:ascii="Arial" w:hAnsi="Arial"/>
          <w:b/>
          <w:bCs/>
          <w:u w:val="single"/>
          <w:rtl/>
        </w:rPr>
      </w:pPr>
      <w:bookmarkStart w:id="5" w:name="PsakDin"/>
      <w:r w:rsidRPr="00AC3881">
        <w:rPr>
          <w:rFonts w:ascii="Arial" w:hAnsi="Arial"/>
          <w:b/>
          <w:bCs/>
          <w:u w:val="single"/>
          <w:rtl/>
        </w:rPr>
        <w:t>גזר דין</w:t>
      </w:r>
    </w:p>
    <w:bookmarkEnd w:id="5"/>
    <w:p w14:paraId="351E292E" w14:textId="77777777" w:rsidR="001B3E6F" w:rsidRDefault="001B3E6F">
      <w:pPr>
        <w:rPr>
          <w:rFonts w:ascii="Arial" w:hAnsi="Arial" w:hint="cs"/>
          <w:rtl/>
        </w:rPr>
      </w:pPr>
    </w:p>
    <w:p w14:paraId="611EABF1" w14:textId="77777777" w:rsidR="002F5449" w:rsidRDefault="00AC3881">
      <w:pPr>
        <w:spacing w:line="360" w:lineRule="auto"/>
        <w:jc w:val="both"/>
        <w:rPr>
          <w:rFonts w:ascii="Arial" w:hAnsi="Arial"/>
          <w:rtl/>
        </w:rPr>
      </w:pPr>
      <w:r>
        <w:rPr>
          <w:rFonts w:ascii="Arial" w:hAnsi="Arial" w:hint="cs"/>
          <w:rtl/>
        </w:rPr>
        <w:t xml:space="preserve">הנאשם הודה והורשע בעבירות הנוגעות למעשים הקשורים בהפרות סדר. </w:t>
      </w:r>
    </w:p>
    <w:p w14:paraId="70B71B68" w14:textId="77777777" w:rsidR="002F5449" w:rsidRDefault="002F5449">
      <w:pPr>
        <w:spacing w:line="360" w:lineRule="auto"/>
        <w:jc w:val="both"/>
        <w:rPr>
          <w:rFonts w:ascii="Arial" w:hAnsi="Arial"/>
          <w:rtl/>
        </w:rPr>
      </w:pPr>
    </w:p>
    <w:p w14:paraId="3BA36356" w14:textId="77777777" w:rsidR="002F5449" w:rsidRDefault="00AC3881">
      <w:pPr>
        <w:spacing w:line="360" w:lineRule="auto"/>
        <w:jc w:val="both"/>
        <w:rPr>
          <w:rFonts w:ascii="Arial" w:hAnsi="Arial"/>
          <w:rtl/>
        </w:rPr>
      </w:pPr>
      <w:r>
        <w:rPr>
          <w:rFonts w:ascii="Arial" w:hAnsi="Arial" w:hint="cs"/>
          <w:rtl/>
        </w:rPr>
        <w:t xml:space="preserve">הנאשם, יליד 2/93, כיום כבן 23 ו-9 חודשים (להלן </w:t>
      </w:r>
      <w:r>
        <w:rPr>
          <w:rFonts w:ascii="Arial" w:hAnsi="Arial"/>
          <w:rtl/>
        </w:rPr>
        <w:t>–</w:t>
      </w:r>
      <w:r>
        <w:rPr>
          <w:rFonts w:ascii="Arial" w:hAnsi="Arial" w:hint="cs"/>
          <w:rtl/>
        </w:rPr>
        <w:t xml:space="preserve"> הנאשם), הורשע על פי הודאתו ובמסגרת הסדר טיעון בכתב אישום מתוקן בשלושה אישומים:</w:t>
      </w:r>
    </w:p>
    <w:p w14:paraId="0626AC25" w14:textId="77777777" w:rsidR="002F5449" w:rsidRDefault="002F5449">
      <w:pPr>
        <w:spacing w:line="360" w:lineRule="auto"/>
        <w:jc w:val="both"/>
        <w:rPr>
          <w:rtl/>
        </w:rPr>
      </w:pPr>
    </w:p>
    <w:p w14:paraId="14A6A903" w14:textId="77777777" w:rsidR="002F5449" w:rsidRDefault="00AC3881">
      <w:pPr>
        <w:spacing w:line="360" w:lineRule="auto"/>
        <w:jc w:val="both"/>
        <w:rPr>
          <w:u w:val="single"/>
          <w:rtl/>
        </w:rPr>
      </w:pPr>
      <w:r>
        <w:rPr>
          <w:rFonts w:hint="cs"/>
          <w:b/>
          <w:bCs/>
          <w:u w:val="single"/>
          <w:rtl/>
        </w:rPr>
        <w:t>אישום ראשון</w:t>
      </w:r>
      <w:r>
        <w:rPr>
          <w:b/>
          <w:bCs/>
          <w:u w:val="single"/>
          <w:rtl/>
        </w:rPr>
        <w:softHyphen/>
      </w:r>
      <w:r>
        <w:rPr>
          <w:rFonts w:hint="cs"/>
          <w:b/>
          <w:bCs/>
          <w:u w:val="single"/>
          <w:rtl/>
        </w:rPr>
        <w:t xml:space="preserve"> </w:t>
      </w:r>
    </w:p>
    <w:p w14:paraId="58AE99F3" w14:textId="77777777" w:rsidR="002F5449" w:rsidRDefault="00AC3881">
      <w:pPr>
        <w:spacing w:line="360" w:lineRule="auto"/>
        <w:jc w:val="both"/>
        <w:rPr>
          <w:rtl/>
        </w:rPr>
      </w:pPr>
      <w:r>
        <w:rPr>
          <w:rFonts w:hint="cs"/>
          <w:rtl/>
        </w:rPr>
        <w:t xml:space="preserve">סיוע לייצור נשק </w:t>
      </w:r>
      <w:r>
        <w:rPr>
          <w:rtl/>
        </w:rPr>
        <w:t>–</w:t>
      </w:r>
      <w:r>
        <w:rPr>
          <w:rFonts w:hint="cs"/>
          <w:rtl/>
        </w:rPr>
        <w:t xml:space="preserve"> עבירה לפי </w:t>
      </w:r>
      <w:hyperlink r:id="rId30" w:history="1">
        <w:r w:rsidR="00C87A09" w:rsidRPr="00C87A09">
          <w:rPr>
            <w:color w:val="0000FF"/>
            <w:u w:val="single"/>
            <w:rtl/>
          </w:rPr>
          <w:t>סעיף 144(ב2)</w:t>
        </w:r>
      </w:hyperlink>
      <w:r>
        <w:rPr>
          <w:rFonts w:hint="cs"/>
          <w:rtl/>
        </w:rPr>
        <w:t xml:space="preserve"> בצירוף </w:t>
      </w:r>
      <w:hyperlink r:id="rId31" w:history="1">
        <w:r w:rsidR="00C87A09" w:rsidRPr="00C87A09">
          <w:rPr>
            <w:color w:val="0000FF"/>
            <w:u w:val="single"/>
            <w:rtl/>
          </w:rPr>
          <w:t>סעיף 31</w:t>
        </w:r>
      </w:hyperlink>
      <w:r>
        <w:rPr>
          <w:rFonts w:hint="cs"/>
          <w:rtl/>
        </w:rPr>
        <w:t xml:space="preserve"> ל</w:t>
      </w:r>
      <w:hyperlink r:id="rId32" w:history="1">
        <w:r w:rsidRPr="00AC3881">
          <w:rPr>
            <w:color w:val="0000FF"/>
            <w:u w:val="single"/>
            <w:rtl/>
          </w:rPr>
          <w:t>חוק העונשין</w:t>
        </w:r>
      </w:hyperlink>
      <w:r>
        <w:rPr>
          <w:rFonts w:hint="cs"/>
          <w:rtl/>
        </w:rPr>
        <w:t xml:space="preserve">, התשל"ז </w:t>
      </w:r>
      <w:r>
        <w:rPr>
          <w:rtl/>
        </w:rPr>
        <w:t>–</w:t>
      </w:r>
      <w:r>
        <w:rPr>
          <w:rFonts w:hint="cs"/>
          <w:rtl/>
        </w:rPr>
        <w:t xml:space="preserve"> 1977 (להלן </w:t>
      </w:r>
      <w:r>
        <w:rPr>
          <w:rtl/>
        </w:rPr>
        <w:t>–</w:t>
      </w:r>
      <w:r>
        <w:rPr>
          <w:rFonts w:hint="cs"/>
          <w:rtl/>
        </w:rPr>
        <w:t xml:space="preserve"> החוק).</w:t>
      </w:r>
    </w:p>
    <w:p w14:paraId="3D54F284" w14:textId="77777777" w:rsidR="002F5449" w:rsidRDefault="00AC3881">
      <w:pPr>
        <w:spacing w:line="360" w:lineRule="auto"/>
        <w:jc w:val="both"/>
        <w:rPr>
          <w:rtl/>
        </w:rPr>
      </w:pPr>
      <w:r>
        <w:rPr>
          <w:rFonts w:hint="cs"/>
          <w:rtl/>
        </w:rPr>
        <w:t xml:space="preserve">הצתה </w:t>
      </w:r>
      <w:r>
        <w:rPr>
          <w:rtl/>
        </w:rPr>
        <w:t>–</w:t>
      </w:r>
      <w:r>
        <w:rPr>
          <w:rFonts w:hint="cs"/>
          <w:rtl/>
        </w:rPr>
        <w:t xml:space="preserve"> עבירה לפי </w:t>
      </w:r>
      <w:hyperlink r:id="rId33" w:history="1">
        <w:r w:rsidR="00C87A09" w:rsidRPr="00C87A09">
          <w:rPr>
            <w:color w:val="0000FF"/>
            <w:u w:val="single"/>
            <w:rtl/>
          </w:rPr>
          <w:t>סעיף 448</w:t>
        </w:r>
      </w:hyperlink>
      <w:r>
        <w:rPr>
          <w:rFonts w:hint="cs"/>
          <w:rtl/>
        </w:rPr>
        <w:t xml:space="preserve"> לחוק.</w:t>
      </w:r>
    </w:p>
    <w:p w14:paraId="7EE899BA" w14:textId="77777777" w:rsidR="002F5449" w:rsidRDefault="00AC3881">
      <w:pPr>
        <w:spacing w:line="360" w:lineRule="auto"/>
        <w:jc w:val="both"/>
        <w:rPr>
          <w:rtl/>
        </w:rPr>
      </w:pPr>
      <w:r>
        <w:rPr>
          <w:rFonts w:hint="cs"/>
          <w:rtl/>
        </w:rPr>
        <w:t xml:space="preserve">ניסיון תקיפת שוטר בנסיבות מחמירות </w:t>
      </w:r>
      <w:r>
        <w:rPr>
          <w:rtl/>
        </w:rPr>
        <w:t>–</w:t>
      </w:r>
      <w:r>
        <w:rPr>
          <w:rFonts w:hint="cs"/>
          <w:rtl/>
        </w:rPr>
        <w:t xml:space="preserve"> עבירה לפי </w:t>
      </w:r>
      <w:hyperlink r:id="rId34" w:history="1">
        <w:r w:rsidR="00C87A09" w:rsidRPr="00C87A09">
          <w:rPr>
            <w:color w:val="0000FF"/>
            <w:u w:val="single"/>
            <w:rtl/>
          </w:rPr>
          <w:t xml:space="preserve">סעיף </w:t>
        </w:r>
        <w:r w:rsidR="00C87A09" w:rsidRPr="00C87A09">
          <w:rPr>
            <w:color w:val="0000FF"/>
            <w:u w:val="single"/>
            <w:rtl/>
          </w:rPr>
          <w:t>2</w:t>
        </w:r>
        <w:r w:rsidR="00C87A09" w:rsidRPr="00C87A09">
          <w:rPr>
            <w:color w:val="0000FF"/>
            <w:u w:val="single"/>
            <w:rtl/>
          </w:rPr>
          <w:t>74(1),(2)</w:t>
        </w:r>
      </w:hyperlink>
      <w:r>
        <w:rPr>
          <w:rFonts w:hint="cs"/>
          <w:rtl/>
        </w:rPr>
        <w:t xml:space="preserve"> בצירוף </w:t>
      </w:r>
      <w:hyperlink r:id="rId35" w:history="1">
        <w:r w:rsidR="00C87A09" w:rsidRPr="00C87A09">
          <w:rPr>
            <w:color w:val="0000FF"/>
            <w:u w:val="single"/>
            <w:rtl/>
          </w:rPr>
          <w:t>סעיף 25</w:t>
        </w:r>
      </w:hyperlink>
      <w:r>
        <w:rPr>
          <w:rFonts w:hint="cs"/>
          <w:rtl/>
        </w:rPr>
        <w:t xml:space="preserve"> לחוק. </w:t>
      </w:r>
    </w:p>
    <w:p w14:paraId="3C5E645D" w14:textId="77777777" w:rsidR="002F5449" w:rsidRDefault="00AC3881">
      <w:pPr>
        <w:spacing w:line="360" w:lineRule="auto"/>
        <w:jc w:val="both"/>
        <w:rPr>
          <w:rtl/>
        </w:rPr>
      </w:pPr>
      <w:r>
        <w:rPr>
          <w:rFonts w:hint="cs"/>
          <w:rtl/>
        </w:rPr>
        <w:t xml:space="preserve">התפרעות </w:t>
      </w:r>
      <w:r>
        <w:rPr>
          <w:rtl/>
        </w:rPr>
        <w:t>–</w:t>
      </w:r>
      <w:r>
        <w:rPr>
          <w:rFonts w:hint="cs"/>
          <w:rtl/>
        </w:rPr>
        <w:t xml:space="preserve"> עבירה לפי </w:t>
      </w:r>
      <w:hyperlink r:id="rId36" w:history="1">
        <w:r w:rsidR="00C87A09" w:rsidRPr="00C87A09">
          <w:rPr>
            <w:color w:val="0000FF"/>
            <w:u w:val="single"/>
            <w:rtl/>
          </w:rPr>
          <w:t>סעיף 152</w:t>
        </w:r>
      </w:hyperlink>
      <w:r>
        <w:rPr>
          <w:rFonts w:hint="cs"/>
          <w:rtl/>
        </w:rPr>
        <w:t xml:space="preserve"> לחוק.</w:t>
      </w:r>
    </w:p>
    <w:p w14:paraId="0C3D1DED" w14:textId="77777777" w:rsidR="002F5449" w:rsidRDefault="00AC3881">
      <w:pPr>
        <w:spacing w:line="360" w:lineRule="auto"/>
        <w:jc w:val="both"/>
        <w:rPr>
          <w:b/>
          <w:bCs/>
          <w:rtl/>
        </w:rPr>
      </w:pPr>
      <w:r>
        <w:rPr>
          <w:rFonts w:hint="cs"/>
          <w:b/>
          <w:bCs/>
          <w:u w:val="single"/>
          <w:rtl/>
        </w:rPr>
        <w:t>אישום שני</w:t>
      </w:r>
    </w:p>
    <w:p w14:paraId="1FB1D448" w14:textId="77777777" w:rsidR="002F5449" w:rsidRDefault="00AC3881">
      <w:pPr>
        <w:spacing w:line="360" w:lineRule="auto"/>
        <w:jc w:val="both"/>
        <w:rPr>
          <w:rtl/>
        </w:rPr>
      </w:pPr>
      <w:r>
        <w:rPr>
          <w:rFonts w:hint="cs"/>
          <w:rtl/>
        </w:rPr>
        <w:lastRenderedPageBreak/>
        <w:t xml:space="preserve">ניסיון תקיפת שוטר בנסיבות מחמירות </w:t>
      </w:r>
      <w:r>
        <w:rPr>
          <w:rtl/>
        </w:rPr>
        <w:t>–</w:t>
      </w:r>
      <w:r>
        <w:rPr>
          <w:rFonts w:hint="cs"/>
          <w:rtl/>
        </w:rPr>
        <w:t xml:space="preserve"> עבירה לפי סעיף </w:t>
      </w:r>
      <w:hyperlink r:id="rId37" w:history="1">
        <w:r w:rsidR="00C87A09" w:rsidRPr="00C87A09">
          <w:rPr>
            <w:color w:val="0000FF"/>
            <w:u w:val="single"/>
            <w:rtl/>
          </w:rPr>
          <w:t>274(1),(2)</w:t>
        </w:r>
      </w:hyperlink>
      <w:r>
        <w:rPr>
          <w:rFonts w:hint="cs"/>
          <w:rtl/>
        </w:rPr>
        <w:t xml:space="preserve"> בצירוף </w:t>
      </w:r>
      <w:hyperlink r:id="rId38" w:history="1">
        <w:r w:rsidR="00C87A09" w:rsidRPr="00C87A09">
          <w:rPr>
            <w:color w:val="0000FF"/>
            <w:u w:val="single"/>
            <w:rtl/>
          </w:rPr>
          <w:t>סעיף 25</w:t>
        </w:r>
      </w:hyperlink>
      <w:r>
        <w:rPr>
          <w:rFonts w:hint="cs"/>
          <w:rtl/>
        </w:rPr>
        <w:t xml:space="preserve"> לחוק. </w:t>
      </w:r>
    </w:p>
    <w:p w14:paraId="04299711" w14:textId="77777777" w:rsidR="002F5449" w:rsidRDefault="00AC3881">
      <w:pPr>
        <w:spacing w:line="360" w:lineRule="auto"/>
        <w:jc w:val="both"/>
        <w:rPr>
          <w:rtl/>
        </w:rPr>
      </w:pPr>
      <w:r>
        <w:rPr>
          <w:rFonts w:hint="cs"/>
          <w:rtl/>
        </w:rPr>
        <w:t xml:space="preserve">התפרעות </w:t>
      </w:r>
      <w:r>
        <w:rPr>
          <w:rtl/>
        </w:rPr>
        <w:t>–</w:t>
      </w:r>
      <w:r>
        <w:rPr>
          <w:rFonts w:hint="cs"/>
          <w:rtl/>
        </w:rPr>
        <w:t xml:space="preserve"> עבירה לפי </w:t>
      </w:r>
      <w:hyperlink r:id="rId39" w:history="1">
        <w:r w:rsidR="00C87A09" w:rsidRPr="00C87A09">
          <w:rPr>
            <w:color w:val="0000FF"/>
            <w:u w:val="single"/>
            <w:rtl/>
          </w:rPr>
          <w:t>סעיף 152</w:t>
        </w:r>
      </w:hyperlink>
      <w:r>
        <w:rPr>
          <w:rFonts w:hint="cs"/>
          <w:rtl/>
        </w:rPr>
        <w:t xml:space="preserve"> לחוק.</w:t>
      </w:r>
    </w:p>
    <w:p w14:paraId="4A951089" w14:textId="77777777" w:rsidR="002F5449" w:rsidRDefault="00AC3881">
      <w:pPr>
        <w:spacing w:line="360" w:lineRule="auto"/>
        <w:jc w:val="both"/>
        <w:rPr>
          <w:b/>
          <w:bCs/>
          <w:u w:val="single"/>
          <w:rtl/>
        </w:rPr>
      </w:pPr>
      <w:r>
        <w:rPr>
          <w:rFonts w:hint="cs"/>
          <w:b/>
          <w:bCs/>
          <w:u w:val="single"/>
          <w:rtl/>
        </w:rPr>
        <w:t>אישום שלישי</w:t>
      </w:r>
    </w:p>
    <w:p w14:paraId="53A83BCC" w14:textId="77777777" w:rsidR="002F5449" w:rsidRDefault="00AC3881">
      <w:pPr>
        <w:spacing w:line="360" w:lineRule="auto"/>
        <w:jc w:val="both"/>
        <w:rPr>
          <w:rtl/>
        </w:rPr>
      </w:pPr>
      <w:r>
        <w:rPr>
          <w:rFonts w:hint="cs"/>
          <w:rtl/>
        </w:rPr>
        <w:t xml:space="preserve">הפרעה לשוטר בנסיבות מחמירות </w:t>
      </w:r>
      <w:r>
        <w:rPr>
          <w:rtl/>
        </w:rPr>
        <w:t>–</w:t>
      </w:r>
      <w:r>
        <w:rPr>
          <w:rFonts w:hint="cs"/>
          <w:rtl/>
        </w:rPr>
        <w:t xml:space="preserve"> עבירה לפי </w:t>
      </w:r>
      <w:hyperlink r:id="rId40" w:history="1">
        <w:r w:rsidR="00C87A09" w:rsidRPr="00C87A09">
          <w:rPr>
            <w:color w:val="0000FF"/>
            <w:u w:val="single"/>
            <w:rtl/>
          </w:rPr>
          <w:t>סעיף 275א</w:t>
        </w:r>
      </w:hyperlink>
      <w:r>
        <w:rPr>
          <w:rFonts w:hint="cs"/>
          <w:rtl/>
        </w:rPr>
        <w:t xml:space="preserve"> לחוק.</w:t>
      </w:r>
    </w:p>
    <w:p w14:paraId="780AEDC1" w14:textId="77777777" w:rsidR="002F5449" w:rsidRDefault="00AC3881">
      <w:pPr>
        <w:spacing w:line="360" w:lineRule="auto"/>
        <w:jc w:val="both"/>
        <w:rPr>
          <w:rtl/>
        </w:rPr>
      </w:pPr>
      <w:r>
        <w:rPr>
          <w:rFonts w:hint="cs"/>
          <w:rtl/>
        </w:rPr>
        <w:t xml:space="preserve">התפרעות </w:t>
      </w:r>
      <w:r>
        <w:rPr>
          <w:rtl/>
        </w:rPr>
        <w:t>–</w:t>
      </w:r>
      <w:r>
        <w:rPr>
          <w:rFonts w:hint="cs"/>
          <w:rtl/>
        </w:rPr>
        <w:t xml:space="preserve"> עבירה לפי </w:t>
      </w:r>
      <w:hyperlink r:id="rId41" w:history="1">
        <w:r w:rsidR="00C87A09" w:rsidRPr="00C87A09">
          <w:rPr>
            <w:color w:val="0000FF"/>
            <w:u w:val="single"/>
            <w:rtl/>
          </w:rPr>
          <w:t>סעיף 152</w:t>
        </w:r>
      </w:hyperlink>
      <w:r>
        <w:rPr>
          <w:rFonts w:hint="cs"/>
          <w:rtl/>
        </w:rPr>
        <w:t xml:space="preserve"> לחוק.</w:t>
      </w:r>
    </w:p>
    <w:p w14:paraId="564FED7D" w14:textId="77777777" w:rsidR="002F5449" w:rsidRDefault="002F5449">
      <w:pPr>
        <w:spacing w:line="360" w:lineRule="auto"/>
        <w:jc w:val="both"/>
        <w:rPr>
          <w:rtl/>
        </w:rPr>
      </w:pPr>
    </w:p>
    <w:p w14:paraId="5356AF4C" w14:textId="77777777" w:rsidR="002F5449" w:rsidRDefault="00AC3881">
      <w:pPr>
        <w:spacing w:line="360" w:lineRule="auto"/>
        <w:jc w:val="both"/>
        <w:rPr>
          <w:rtl/>
        </w:rPr>
      </w:pPr>
      <w:r>
        <w:rPr>
          <w:rFonts w:hint="cs"/>
          <w:rtl/>
        </w:rPr>
        <w:t>נסיבות האישום הראשון הן כדלקמן:</w:t>
      </w:r>
    </w:p>
    <w:p w14:paraId="3F8FDD1D" w14:textId="77777777" w:rsidR="002F5449" w:rsidRDefault="00AC3881">
      <w:pPr>
        <w:spacing w:line="360" w:lineRule="auto"/>
        <w:jc w:val="both"/>
        <w:rPr>
          <w:rtl/>
        </w:rPr>
      </w:pPr>
      <w:r>
        <w:rPr>
          <w:rFonts w:hint="cs"/>
          <w:rtl/>
        </w:rPr>
        <w:t xml:space="preserve">בסמוך לאחר מותו של המפגע אחמד אבו שעבאן (להן </w:t>
      </w:r>
      <w:r>
        <w:rPr>
          <w:rtl/>
        </w:rPr>
        <w:t>–</w:t>
      </w:r>
      <w:r>
        <w:rPr>
          <w:rFonts w:hint="cs"/>
          <w:rtl/>
        </w:rPr>
        <w:t xml:space="preserve"> שעבאן), שביצע את הפיגוע בתחנה המרכזית בירושלים ביום 14.10.15, בשעות הערב, נפגש הנאשם יחד עם מועתז סיורי ומאלק שוויקי (להלן </w:t>
      </w:r>
      <w:r>
        <w:rPr>
          <w:rtl/>
        </w:rPr>
        <w:t>–</w:t>
      </w:r>
      <w:r>
        <w:rPr>
          <w:rFonts w:hint="cs"/>
          <w:rtl/>
        </w:rPr>
        <w:t xml:space="preserve"> מועתז ומאלק), בביתו של שעבאן בראס על עמוד בירושלים. בנסיבות אלה ובסמוך לכך, נסעו הנאשם, מועתז ומאלק לתחנת הדלק אבו דיס ורכשו בנזין. הנאשם סייע למועתז ומאלק לייצר מספר רב של בקבוקי תבערה בכך שהביא להם סרט דביק. הנאשם, מועתז ומאלק לקחו את בקבוקי התבערה לשכונת נג'דה הסמוכה לכיכר, והתאספו יחד עם צעירים נוספים לצורך הפרת הסדר בכיכר ויידוי אבנים ובקבוקי תבערה לעבר כוחות הביטחון. בהמשך, על מנת לארוב לכוחות הביטחון, חסם הנאשם את הכביש הסמוך לכיכר בפחי אשפה בשכונת נג'דה הסמוכה לכיכר. כאשר הגיעו לכיכר כלי רכב של כוחות הביטחון, יידו המתפרעים, כשהם רעולי פנים, אבנים ובקבוקי תבערה, שיצרו מועתז ומאלק בסיוע הנאשם, לעבר כלי הרכב ממרחק של כ- </w:t>
      </w:r>
      <w:smartTag w:uri="urn:schemas-microsoft-com:office:smarttags" w:element="metricconverter">
        <w:smartTagPr>
          <w:attr w:name="ProductID" w:val="20 מטרים"/>
        </w:smartTagPr>
        <w:r>
          <w:rPr>
            <w:rFonts w:hint="cs"/>
            <w:rtl/>
          </w:rPr>
          <w:t>20 מטרים</w:t>
        </w:r>
      </w:smartTag>
      <w:r>
        <w:rPr>
          <w:rFonts w:hint="cs"/>
          <w:rtl/>
        </w:rPr>
        <w:t xml:space="preserve">. בקבוקי התבערה שהוצתו ונזרקו על ידי אחרים פגעו בכלי רכב של המשטרה. במעשים אלה, סייע הנאשם לייצר נשק בלא רשום על פי דין, שילח בצוותא חדא, אש במזיד בדבר לא לו, ניסה הנאשם, בצוותא חדא, לתקוף שוטרים בעת מילוי תפקידם כחוק, תוך שהוא מזויין בנשק קר וכן השתתף בהתקהלות אסורה שהחלו לבצע בה את מטרתה בהפרת השלום שיש בה להטיל אימה על הציבור. כל זאת ממניע לאומני. </w:t>
      </w:r>
    </w:p>
    <w:p w14:paraId="0D226799" w14:textId="77777777" w:rsidR="002F5449" w:rsidRDefault="002F5449">
      <w:pPr>
        <w:spacing w:line="360" w:lineRule="auto"/>
        <w:jc w:val="both"/>
        <w:rPr>
          <w:rtl/>
        </w:rPr>
      </w:pPr>
    </w:p>
    <w:p w14:paraId="7BED05AF" w14:textId="77777777" w:rsidR="002F5449" w:rsidRDefault="00AC3881">
      <w:pPr>
        <w:spacing w:line="360" w:lineRule="auto"/>
        <w:jc w:val="both"/>
        <w:rPr>
          <w:rtl/>
        </w:rPr>
      </w:pPr>
      <w:r>
        <w:rPr>
          <w:rFonts w:hint="cs"/>
          <w:rtl/>
        </w:rPr>
        <w:t>נסיבות האישום השני הן כדלקמן:</w:t>
      </w:r>
    </w:p>
    <w:p w14:paraId="4F00181D" w14:textId="77777777" w:rsidR="002F5449" w:rsidRDefault="00AC3881">
      <w:pPr>
        <w:spacing w:line="360" w:lineRule="auto"/>
        <w:jc w:val="both"/>
        <w:rPr>
          <w:rtl/>
        </w:rPr>
      </w:pPr>
      <w:r>
        <w:rPr>
          <w:rFonts w:hint="cs"/>
          <w:rtl/>
        </w:rPr>
        <w:t xml:space="preserve">כשבועיים עובר ליום 8.10.15, דהיינו, בסוף 9/15, בסמוך לשעה 20:30, נפגש הנאשם עם אנס אבו מיאלה וצעירים נוספים (להלן </w:t>
      </w:r>
      <w:r>
        <w:rPr>
          <w:rtl/>
        </w:rPr>
        <w:t>–</w:t>
      </w:r>
      <w:r>
        <w:rPr>
          <w:rFonts w:hint="cs"/>
          <w:rtl/>
        </w:rPr>
        <w:t xml:space="preserve"> האחרים), בכיכר אלנח'יל בראס אל עמוד בירושלים (להלן </w:t>
      </w:r>
      <w:r>
        <w:rPr>
          <w:rtl/>
        </w:rPr>
        <w:t>–</w:t>
      </w:r>
      <w:r>
        <w:rPr>
          <w:rFonts w:hint="cs"/>
          <w:rtl/>
        </w:rPr>
        <w:t xml:space="preserve"> הכיכר), לצורך הפרות סדר שכוונו נגד כוחות הביטחון. בהמשך, בסמוך לשעה 21:00, הגיעו לכיכר כוחות ביטחון בשני ג'יפים משטרתיים מסוג מיצובישי פג'רו השייכים למשמר הגבול. הנאשם יידה אבנים לעבר כלי כוחות הביטחון כשהוא רעול פנים בעוד האחרים כשהם רעולי פנים, יידו אבנים ובקבוקי תבערה לעבר כוחות הביטחון בכיכר ממרחק של כ- 30-</w:t>
      </w:r>
      <w:smartTag w:uri="urn:schemas-microsoft-com:office:smarttags" w:element="metricconverter">
        <w:smartTagPr>
          <w:attr w:name="ProductID" w:val="50 מטרים"/>
        </w:smartTagPr>
        <w:r>
          <w:rPr>
            <w:rFonts w:hint="cs"/>
            <w:rtl/>
          </w:rPr>
          <w:t>50 מטרים</w:t>
        </w:r>
      </w:smartTag>
      <w:r>
        <w:rPr>
          <w:rFonts w:hint="cs"/>
          <w:rtl/>
        </w:rPr>
        <w:t xml:space="preserve">. במעשים אלה, יידה הנאשם, בצוותא חדא, אבן לעבר כלי רכב נוסע באופן שיש בו כדי לסכן את בטיחותו של הנוסע בכלי התחבורה או את מי שנמצא בקרבת כלי התחבורה; ניסה הנאשם, בצוותא חדא, לתקוף שוטרים בעת מילוי </w:t>
      </w:r>
      <w:r>
        <w:rPr>
          <w:rFonts w:hint="cs"/>
          <w:rtl/>
        </w:rPr>
        <w:lastRenderedPageBreak/>
        <w:t>תפקידם כחוק, תוך שהוא מזויין בנשק קר וכן השתתף בהתקהלות אסורה שהחלו לבצע בה את מטרתה בהפרת השלום שיש בה להטיל אימה על הציבור. כל זאת ממניע לאומני.</w:t>
      </w:r>
    </w:p>
    <w:p w14:paraId="51A9EF05" w14:textId="77777777" w:rsidR="002F5449" w:rsidRDefault="002F5449">
      <w:pPr>
        <w:spacing w:line="360" w:lineRule="auto"/>
        <w:jc w:val="both"/>
        <w:rPr>
          <w:rtl/>
        </w:rPr>
      </w:pPr>
    </w:p>
    <w:p w14:paraId="7F436E86" w14:textId="77777777" w:rsidR="002F5449" w:rsidRDefault="00AC3881">
      <w:pPr>
        <w:spacing w:line="360" w:lineRule="auto"/>
        <w:jc w:val="both"/>
        <w:rPr>
          <w:rtl/>
        </w:rPr>
      </w:pPr>
      <w:r>
        <w:rPr>
          <w:rFonts w:hint="cs"/>
          <w:rtl/>
        </w:rPr>
        <w:t>נסיבות האישום השלישי הן כדלקמן:</w:t>
      </w:r>
    </w:p>
    <w:p w14:paraId="58F41778" w14:textId="77777777" w:rsidR="002F5449" w:rsidRDefault="00AC3881">
      <w:pPr>
        <w:spacing w:line="360" w:lineRule="auto"/>
        <w:jc w:val="both"/>
        <w:rPr>
          <w:rtl/>
        </w:rPr>
      </w:pPr>
      <w:r>
        <w:rPr>
          <w:rFonts w:hint="cs"/>
          <w:rtl/>
        </w:rPr>
        <w:t xml:space="preserve">ביום 5.10.15, בעקבות מותו של המפגע פאדי עלון, שביצע פיגוע דקירה ביום 4.10.15 בירושלים, נסע הנאשם בשעות הצהריים יחד עם מאלק שוויקי, מונתסר סלאמה, אברהים שוויקי וקרוב משפחה של מונתסר סלאמה (להלן </w:t>
      </w:r>
      <w:r>
        <w:rPr>
          <w:rtl/>
        </w:rPr>
        <w:t>–</w:t>
      </w:r>
      <w:r>
        <w:rPr>
          <w:rFonts w:hint="cs"/>
          <w:rtl/>
        </w:rPr>
        <w:t xml:space="preserve"> האחרים), לשעפט לנחם את אביו של פאדי עלון. בהמשך, בסמוך לשעה 15:30 לאחר שהנאשם והאחרים יצאו מבית משפחת עלון, הבחינו בהפרות סדר בה השתתפו עשרות צעירים שהתרחשו בשעפט ושכוונו כלפי כוחות הביטחון במקום. האחרים הצטרפו להתפרעות ויידו אבנים ממרחק של כ-</w:t>
      </w:r>
      <w:smartTag w:uri="urn:schemas-microsoft-com:office:smarttags" w:element="metricconverter">
        <w:smartTagPr>
          <w:attr w:name="ProductID" w:val="80 מטרים"/>
        </w:smartTagPr>
        <w:r>
          <w:rPr>
            <w:rFonts w:hint="cs"/>
            <w:rtl/>
          </w:rPr>
          <w:t>80 מטרים</w:t>
        </w:r>
      </w:smartTag>
      <w:r>
        <w:rPr>
          <w:rFonts w:hint="cs"/>
          <w:rtl/>
        </w:rPr>
        <w:t xml:space="preserve"> לעבר כוחות הביטחון, בעוד הנאשם ממתין ברכבו. בהמשך, נסעו הנאשם והאחרים לבית משפחת המחבל פאדי עלון בעיסוויה. כאשר הגיעו הנאשם והאחרים למקום הבחינו, כי ישנם הפרות סדר שכוונו כלפי כוחות הביטחון בעיסוויה. הנאשם והאחרים הצטרפו להתפרעות ויידו אבנים ממרחק של כ- 50 עד </w:t>
      </w:r>
      <w:smartTag w:uri="urn:schemas-microsoft-com:office:smarttags" w:element="metricconverter">
        <w:smartTagPr>
          <w:attr w:name="ProductID" w:val="70 מ'"/>
        </w:smartTagPr>
        <w:r>
          <w:rPr>
            <w:rFonts w:hint="cs"/>
            <w:rtl/>
          </w:rPr>
          <w:t>70 מ'</w:t>
        </w:r>
      </w:smartTag>
      <w:r>
        <w:rPr>
          <w:rFonts w:hint="cs"/>
          <w:rtl/>
        </w:rPr>
        <w:t xml:space="preserve"> לעבר כוחות הביטחון ורכב מכת"זית משטרתי שנועד לפיזור הפגנות שהיו במקום. במעשיו, יידה הנאשם, בצוותא חדא אבנים לעבר שוטר וכלי משטרתי במטרה להפריע לשוטר כשהוא ממלא את תפקידו כחוק או להכשילו בכך; וכן השתתף בשתי הזדמנויות שונות, בהתקהלות אסורה, שהחלו לבצע בה את מטרתה בהפרת השלום שיש בה להטיל אימה על הציבור. כל זאת ממניע לאומני.</w:t>
      </w:r>
    </w:p>
    <w:p w14:paraId="27353C20" w14:textId="77777777" w:rsidR="002F5449" w:rsidRDefault="002F5449">
      <w:pPr>
        <w:spacing w:line="360" w:lineRule="auto"/>
        <w:jc w:val="both"/>
        <w:rPr>
          <w:rtl/>
        </w:rPr>
      </w:pPr>
    </w:p>
    <w:p w14:paraId="40504FD2" w14:textId="77777777" w:rsidR="002F5449" w:rsidRDefault="00AC3881">
      <w:pPr>
        <w:spacing w:line="360" w:lineRule="auto"/>
        <w:jc w:val="both"/>
        <w:rPr>
          <w:rtl/>
        </w:rPr>
      </w:pPr>
      <w:r>
        <w:rPr>
          <w:rFonts w:hint="cs"/>
          <w:rtl/>
        </w:rPr>
        <w:t>הצדדים לא באו להסכמה או להסדר לעניין העונש, לאחר שהוגש תסקיר שירות המבחן למבוגרים, טענו הצדדים לעונש באופן חופשי ויש ליתן גזר דין.</w:t>
      </w:r>
    </w:p>
    <w:p w14:paraId="64130DF8" w14:textId="77777777" w:rsidR="002F5449" w:rsidRDefault="002F5449">
      <w:pPr>
        <w:spacing w:line="360" w:lineRule="auto"/>
        <w:jc w:val="both"/>
        <w:rPr>
          <w:rtl/>
        </w:rPr>
      </w:pPr>
    </w:p>
    <w:p w14:paraId="4A0BC566" w14:textId="77777777" w:rsidR="002F5449" w:rsidRDefault="00AC3881">
      <w:pPr>
        <w:spacing w:line="360" w:lineRule="auto"/>
        <w:jc w:val="both"/>
        <w:rPr>
          <w:u w:val="single"/>
          <w:rtl/>
        </w:rPr>
      </w:pPr>
      <w:r>
        <w:rPr>
          <w:rFonts w:hint="cs"/>
          <w:u w:val="single"/>
          <w:rtl/>
        </w:rPr>
        <w:t>תסקיר שירות המבחן</w:t>
      </w:r>
    </w:p>
    <w:p w14:paraId="40A0BFE2" w14:textId="77777777" w:rsidR="002F5449" w:rsidRDefault="00AC3881">
      <w:pPr>
        <w:spacing w:line="360" w:lineRule="auto"/>
        <w:jc w:val="both"/>
        <w:rPr>
          <w:rtl/>
        </w:rPr>
      </w:pPr>
      <w:r>
        <w:rPr>
          <w:rFonts w:hint="cs"/>
          <w:rtl/>
        </w:rPr>
        <w:t>הנאשם יליד 2/93, כיום כבן 23 ו-9 חודשים, שני מתוך 5 ילדים, רווק ללא ילדים. נולד וגדל במזרח ירושלים. אביו מוכר על ידי המוסד לביטוח לאומי על רקע נפשי ואמו עקרת בית. לדברי הנאשם, הוא נשר מהמסגרת הלימודים לפני שהשלים 12 שנות לימוד, והשתלב בשוק העבודה מגיל צעיר. הוא שולט בשפה העברית ברמה סבירה, ובשנים האחרונות עבד בעבודות מזדמנות, לרבות בתחום המזון. לנאשם אין הרשעות קודמות.</w:t>
      </w:r>
    </w:p>
    <w:p w14:paraId="71EE152B" w14:textId="77777777" w:rsidR="002F5449" w:rsidRDefault="002F5449">
      <w:pPr>
        <w:spacing w:line="360" w:lineRule="auto"/>
        <w:jc w:val="both"/>
        <w:rPr>
          <w:rtl/>
        </w:rPr>
      </w:pPr>
    </w:p>
    <w:p w14:paraId="55AF0B2E" w14:textId="77777777" w:rsidR="002F5449" w:rsidRDefault="00AC3881">
      <w:pPr>
        <w:spacing w:line="360" w:lineRule="auto"/>
        <w:jc w:val="both"/>
        <w:rPr>
          <w:rtl/>
        </w:rPr>
      </w:pPr>
      <w:r>
        <w:rPr>
          <w:rFonts w:hint="cs"/>
          <w:rtl/>
        </w:rPr>
        <w:t xml:space="preserve">הנאשם הודה חלקית בביצוע העבירות, טען שלקח חלק מזערי בהתפרעויות השונות, ונמנע מלקחת אחריות מלאה על מעשיו. שירות המבחן התקשה להבין את הדינאמיקה לביצוע העבירות. </w:t>
      </w:r>
    </w:p>
    <w:p w14:paraId="374CC797" w14:textId="77777777" w:rsidR="002F5449" w:rsidRDefault="002F5449">
      <w:pPr>
        <w:spacing w:line="360" w:lineRule="auto"/>
        <w:jc w:val="both"/>
        <w:rPr>
          <w:rtl/>
        </w:rPr>
      </w:pPr>
    </w:p>
    <w:p w14:paraId="1791CA91" w14:textId="77777777" w:rsidR="002F5449" w:rsidRDefault="00AC3881">
      <w:pPr>
        <w:spacing w:line="360" w:lineRule="auto"/>
        <w:jc w:val="both"/>
        <w:rPr>
          <w:rtl/>
        </w:rPr>
      </w:pPr>
      <w:r>
        <w:rPr>
          <w:rFonts w:hint="cs"/>
          <w:rtl/>
        </w:rPr>
        <w:t xml:space="preserve">באשר להערכת הסיכון לעבריינות וסיכויי השיקום, שירות המבחן התרשם, כי הנאשם נעדר שאיפות או תוכניות להתפתחות אישית ומקצועית, זאת לצד התרשמות, כי הנאשם הושפע באופן משמעותי מהמתיחות ששררה באותה עת וחווה לחץ מוגבר מהסביבה החיצונית. הנאשם התקשה לבחון את התנהלותו באופן ביקורתי ובוגר, הרושם הוא שהנאשם נעדר רשתות תמיכה מספקות, בעל דימוי עצמי נמוך ותחושת חוסר מסוגלות כללית.  </w:t>
      </w:r>
    </w:p>
    <w:p w14:paraId="4F14E6EE" w14:textId="77777777" w:rsidR="002F5449" w:rsidRDefault="002F5449">
      <w:pPr>
        <w:spacing w:line="360" w:lineRule="auto"/>
        <w:jc w:val="both"/>
        <w:rPr>
          <w:rtl/>
        </w:rPr>
      </w:pPr>
    </w:p>
    <w:p w14:paraId="6FEC1286" w14:textId="77777777" w:rsidR="002F5449" w:rsidRDefault="00AC3881">
      <w:pPr>
        <w:spacing w:line="360" w:lineRule="auto"/>
        <w:jc w:val="both"/>
        <w:rPr>
          <w:rtl/>
        </w:rPr>
      </w:pPr>
      <w:r>
        <w:rPr>
          <w:rFonts w:hint="cs"/>
          <w:rtl/>
        </w:rPr>
        <w:t>בגורמי סיכוי צוינו שאיפתו של הנאשם לתפקוד תקין, הצהרה על כוונותיו לניהול אורח חיים נורמטיבי, וטענת הנאשם, כי הפיק לקחים ממעצרו הנוכחי.</w:t>
      </w:r>
    </w:p>
    <w:p w14:paraId="4E8F8542" w14:textId="77777777" w:rsidR="002F5449" w:rsidRDefault="002F5449">
      <w:pPr>
        <w:spacing w:line="360" w:lineRule="auto"/>
        <w:jc w:val="both"/>
        <w:rPr>
          <w:rtl/>
        </w:rPr>
      </w:pPr>
    </w:p>
    <w:p w14:paraId="72F80213" w14:textId="77777777" w:rsidR="002F5449" w:rsidRDefault="00AC3881">
      <w:pPr>
        <w:spacing w:line="360" w:lineRule="auto"/>
        <w:jc w:val="both"/>
        <w:rPr>
          <w:rtl/>
        </w:rPr>
      </w:pPr>
      <w:r>
        <w:rPr>
          <w:rFonts w:hint="cs"/>
          <w:rtl/>
        </w:rPr>
        <w:t>בגורמי סיכון צוינו נסיבות חייו, העדר השכלה ותעסוקה קבועה ורציפה, וקשיי התמודדות במסגרת חייו, בין היתר, על רקע מאפייני אישיותו המאופיינים בנטייה לחיפוש פתרונות מהירים למצוקות ללא תכנון לטווח ארוך, לצד עמדותיו באשר לביצוע העבירות. כל אלה הביאו את שירות המבחן להתרשמות, כי קיימת רמת סיכון להישנות התנהגות פורצת גבולות.</w:t>
      </w:r>
    </w:p>
    <w:p w14:paraId="2F748F96" w14:textId="77777777" w:rsidR="002F5449" w:rsidRDefault="002F5449">
      <w:pPr>
        <w:spacing w:line="360" w:lineRule="auto"/>
        <w:jc w:val="both"/>
        <w:rPr>
          <w:rtl/>
        </w:rPr>
      </w:pPr>
    </w:p>
    <w:p w14:paraId="25B52A90" w14:textId="77777777" w:rsidR="002F5449" w:rsidRDefault="00AC3881">
      <w:pPr>
        <w:spacing w:line="360" w:lineRule="auto"/>
        <w:jc w:val="both"/>
        <w:rPr>
          <w:rtl/>
        </w:rPr>
      </w:pPr>
      <w:r>
        <w:rPr>
          <w:rFonts w:hint="cs"/>
          <w:rtl/>
        </w:rPr>
        <w:t>המלצת שירות המבחן היתה, בהתחשב במספר העבירות המיוחסות לנאשם וחומרתן, להטיל על הנאשם עונש מאסר מאחורי סורג ובריח. שירות המבחן העריך, כי עונש כזה עשוי להוות גורם מרתיע ומציב גבולות ברמה מסוימת עבור הנאשם. כן הומלץ להטיל על הנאשם עונשים מותנים ארוכים ומרתיעים, שעשויים להפחית את הסיכונים להישנות התנהגות פורצת גבולות עתידית.</w:t>
      </w:r>
    </w:p>
    <w:p w14:paraId="322E8B37" w14:textId="77777777" w:rsidR="002F5449" w:rsidRDefault="002F5449">
      <w:pPr>
        <w:spacing w:line="360" w:lineRule="auto"/>
        <w:jc w:val="both"/>
        <w:rPr>
          <w:rtl/>
        </w:rPr>
      </w:pPr>
    </w:p>
    <w:p w14:paraId="3E9F7999" w14:textId="77777777" w:rsidR="002F5449" w:rsidRDefault="00AC3881">
      <w:pPr>
        <w:spacing w:line="360" w:lineRule="auto"/>
        <w:jc w:val="both"/>
        <w:rPr>
          <w:u w:val="single"/>
          <w:rtl/>
        </w:rPr>
      </w:pPr>
      <w:r>
        <w:rPr>
          <w:rFonts w:hint="cs"/>
          <w:u w:val="single"/>
          <w:rtl/>
        </w:rPr>
        <w:t>טיעוני המאשימה לעונש</w:t>
      </w:r>
    </w:p>
    <w:p w14:paraId="0708BA67" w14:textId="77777777" w:rsidR="002F5449" w:rsidRDefault="00AC3881">
      <w:pPr>
        <w:spacing w:line="360" w:lineRule="auto"/>
        <w:jc w:val="both"/>
        <w:rPr>
          <w:rtl/>
        </w:rPr>
      </w:pPr>
      <w:r>
        <w:rPr>
          <w:rFonts w:hint="cs"/>
          <w:rtl/>
        </w:rPr>
        <w:t>מדובר בחלק מפרשייה שכללה 18 מעורבים שונים, כולם תושבי ראס אל עמוד, שנעצרו יחד בגין התארגנות לייצור בקבוקי תבערה וידויים כלפי כוחות הבטחון.</w:t>
      </w:r>
    </w:p>
    <w:p w14:paraId="74E3B065" w14:textId="77777777" w:rsidR="002F5449" w:rsidRDefault="002F5449">
      <w:pPr>
        <w:spacing w:line="360" w:lineRule="auto"/>
        <w:jc w:val="both"/>
        <w:rPr>
          <w:rtl/>
        </w:rPr>
      </w:pPr>
    </w:p>
    <w:p w14:paraId="5DF30E9F" w14:textId="77777777" w:rsidR="002F5449" w:rsidRDefault="00AC3881">
      <w:pPr>
        <w:spacing w:line="360" w:lineRule="auto"/>
        <w:jc w:val="both"/>
        <w:rPr>
          <w:rtl/>
        </w:rPr>
      </w:pPr>
      <w:r>
        <w:rPr>
          <w:rFonts w:hint="cs"/>
          <w:rtl/>
        </w:rPr>
        <w:t xml:space="preserve">אין מדובר במקרה שבו הנאשם נסחף אחרי המון מתפרע, אלא במקרה שבו הנאשם קשר קשר עם אחרים על מנת להתפרע וליידות בקבוקי תבערה לעבר כוחות הביטחון ואף סייע להם ביצור של בקבוקי התבערה עצמם, תוך חלוקת עבודה: חלק יחסמו את הכביש באופן שיכלאו את כוחות הביטחון; באופן שיאפשר לאחרים ליידות אבנים ובקבוקי תבערה ממרחק קצר מאוד. </w:t>
      </w:r>
    </w:p>
    <w:p w14:paraId="5084D462" w14:textId="77777777" w:rsidR="002F5449" w:rsidRDefault="002F5449">
      <w:pPr>
        <w:spacing w:line="360" w:lineRule="auto"/>
        <w:jc w:val="both"/>
        <w:rPr>
          <w:rtl/>
        </w:rPr>
      </w:pPr>
    </w:p>
    <w:p w14:paraId="12D49FA7" w14:textId="77777777" w:rsidR="002F5449" w:rsidRDefault="00AC3881">
      <w:pPr>
        <w:spacing w:line="360" w:lineRule="auto"/>
        <w:jc w:val="both"/>
        <w:rPr>
          <w:rtl/>
        </w:rPr>
      </w:pPr>
      <w:r>
        <w:rPr>
          <w:rFonts w:hint="cs"/>
          <w:rtl/>
        </w:rPr>
        <w:t>לשיטת המאשימה מתחמי הענישה ההולמים באישומים השונים הם כדלקמן:</w:t>
      </w:r>
    </w:p>
    <w:p w14:paraId="01FD7A4D" w14:textId="77777777" w:rsidR="002F5449" w:rsidRDefault="00AC3881">
      <w:pPr>
        <w:spacing w:line="360" w:lineRule="auto"/>
        <w:jc w:val="both"/>
        <w:rPr>
          <w:rtl/>
        </w:rPr>
      </w:pPr>
      <w:r>
        <w:rPr>
          <w:rFonts w:hint="cs"/>
          <w:b/>
          <w:bCs/>
          <w:rtl/>
        </w:rPr>
        <w:t>באישום הראשון</w:t>
      </w:r>
      <w:r>
        <w:rPr>
          <w:rFonts w:hint="cs"/>
          <w:rtl/>
        </w:rPr>
        <w:t xml:space="preserve"> בין 4 ל-7 שנות מאסר.</w:t>
      </w:r>
    </w:p>
    <w:p w14:paraId="74498B06" w14:textId="77777777" w:rsidR="002F5449" w:rsidRDefault="00AC3881">
      <w:pPr>
        <w:spacing w:line="360" w:lineRule="auto"/>
        <w:jc w:val="both"/>
        <w:rPr>
          <w:rtl/>
        </w:rPr>
      </w:pPr>
      <w:r>
        <w:rPr>
          <w:rFonts w:hint="cs"/>
          <w:b/>
          <w:bCs/>
          <w:rtl/>
        </w:rPr>
        <w:t>באישום השני</w:t>
      </w:r>
      <w:r>
        <w:rPr>
          <w:rFonts w:hint="cs"/>
          <w:rtl/>
        </w:rPr>
        <w:t xml:space="preserve"> שהוא חמור יותר מהשלישי, שכן יש מרכיב של תכנון, הנאשם היה רעול פנים ויודו אבנים וכן בקבוקי תבערה ממרחק של 30-</w:t>
      </w:r>
      <w:smartTag w:uri="urn:schemas-microsoft-com:office:smarttags" w:element="metricconverter">
        <w:smartTagPr>
          <w:attr w:name="ProductID" w:val="50 מטרים"/>
        </w:smartTagPr>
        <w:r>
          <w:rPr>
            <w:rFonts w:hint="cs"/>
            <w:rtl/>
          </w:rPr>
          <w:t>50 מטרים</w:t>
        </w:r>
      </w:smartTag>
      <w:r>
        <w:rPr>
          <w:rFonts w:hint="cs"/>
          <w:rtl/>
        </w:rPr>
        <w:t>. באישום זה ביקשה המאשימה לקבוע מתחם ענישה שנע בין 15 ל-30 חודשים.</w:t>
      </w:r>
    </w:p>
    <w:p w14:paraId="44676815" w14:textId="77777777" w:rsidR="002F5449" w:rsidRDefault="00AC3881">
      <w:pPr>
        <w:spacing w:line="360" w:lineRule="auto"/>
        <w:jc w:val="both"/>
        <w:rPr>
          <w:rtl/>
        </w:rPr>
      </w:pPr>
      <w:r>
        <w:rPr>
          <w:rFonts w:hint="cs"/>
          <w:b/>
          <w:bCs/>
          <w:rtl/>
        </w:rPr>
        <w:t>באישום השלישי</w:t>
      </w:r>
      <w:r>
        <w:rPr>
          <w:rFonts w:hint="cs"/>
          <w:rtl/>
        </w:rPr>
        <w:t xml:space="preserve"> שהוא פחות חמור שכן נעדר מרכיב של תכנון, והנאשם רק הצטרף להתפרעות קיימת, וידו רק אבנים ולא בקבוקי תבערה, אולם עקב הנסיבות המחמירות נטען, שמתחם הענישה ההולם נע בין 15 עד 30 חודשי מאסר.</w:t>
      </w:r>
    </w:p>
    <w:p w14:paraId="4E10C49F" w14:textId="77777777" w:rsidR="002F5449" w:rsidRDefault="002F5449">
      <w:pPr>
        <w:spacing w:line="360" w:lineRule="auto"/>
        <w:jc w:val="both"/>
        <w:rPr>
          <w:rtl/>
        </w:rPr>
      </w:pPr>
    </w:p>
    <w:p w14:paraId="7453DD2D" w14:textId="77777777" w:rsidR="002F5449" w:rsidRDefault="00AC3881">
      <w:pPr>
        <w:spacing w:line="360" w:lineRule="auto"/>
        <w:jc w:val="both"/>
        <w:rPr>
          <w:rtl/>
        </w:rPr>
      </w:pPr>
      <w:r>
        <w:rPr>
          <w:rFonts w:hint="cs"/>
          <w:rtl/>
        </w:rPr>
        <w:t xml:space="preserve">לשיטת המאשימה, חישוב מתמטי היה מביא ל- 7 שנות מאסר בפועל, אולם בהתחשב בגזרי הדין האחרים בפרשה, הגם שאינם חלוטים, יש לחפוף את הענישה המתחייבת מכל אירוע בנפרד לעונש מאסר אחד וקנס שנובע מהסכנה שבה העמיד הנאשם את כוחות הבטחון. </w:t>
      </w:r>
    </w:p>
    <w:p w14:paraId="50590A3F" w14:textId="77777777" w:rsidR="002F5449" w:rsidRDefault="002F5449">
      <w:pPr>
        <w:spacing w:line="360" w:lineRule="auto"/>
        <w:jc w:val="both"/>
        <w:rPr>
          <w:rtl/>
        </w:rPr>
      </w:pPr>
    </w:p>
    <w:p w14:paraId="02EAF951" w14:textId="77777777" w:rsidR="002F5449" w:rsidRDefault="00AC3881">
      <w:pPr>
        <w:spacing w:line="360" w:lineRule="auto"/>
        <w:jc w:val="both"/>
        <w:rPr>
          <w:rtl/>
        </w:rPr>
      </w:pPr>
      <w:r>
        <w:rPr>
          <w:rFonts w:hint="cs"/>
          <w:rtl/>
        </w:rPr>
        <w:t>המאשימה הגישה טבלה ובה פירוט העבירות והעונשים שהוטלו על נאשמים אחרים בפרשה, בהם ביקשה להתחשב, ובהתחשב בכך ביקשה להטיל על הנאשם עונש כולל בכל האישומים, שיעמוד על 5 שנות מאסר בפועל (ע' 19 ש' 2 וש' 28). לשיטת המאשימה, היות והנאשם נעדר עבר פלילי היה מקום למקמו בתחתית מתחם הענישה. מנגד טענה המאשימה, שמהתסקיר עולה, שאין הפנמה של מעשיו ואין אלמנט של חרטה או שיקום, ולכן יש למקם את הנאשם מעל תחתית המתחם אולם עדיין במסגרת השליש התחתון שלו.</w:t>
      </w:r>
    </w:p>
    <w:p w14:paraId="0B6B5785" w14:textId="77777777" w:rsidR="002F5449" w:rsidRDefault="002F5449">
      <w:pPr>
        <w:spacing w:line="360" w:lineRule="auto"/>
        <w:jc w:val="both"/>
        <w:rPr>
          <w:rtl/>
        </w:rPr>
      </w:pPr>
    </w:p>
    <w:p w14:paraId="30093A8C" w14:textId="77777777" w:rsidR="002F5449" w:rsidRDefault="00AC3881">
      <w:pPr>
        <w:spacing w:line="360" w:lineRule="auto"/>
        <w:jc w:val="both"/>
        <w:rPr>
          <w:u w:val="single"/>
          <w:rtl/>
        </w:rPr>
      </w:pPr>
      <w:r>
        <w:rPr>
          <w:rFonts w:hint="cs"/>
          <w:u w:val="single"/>
          <w:rtl/>
        </w:rPr>
        <w:t xml:space="preserve">טיעוני ב"כ הנאשם לעונש </w:t>
      </w:r>
      <w:r>
        <w:rPr>
          <w:u w:val="single"/>
          <w:rtl/>
        </w:rPr>
        <w:t>–</w:t>
      </w:r>
      <w:r>
        <w:rPr>
          <w:rFonts w:hint="cs"/>
          <w:u w:val="single"/>
          <w:rtl/>
        </w:rPr>
        <w:t xml:space="preserve"> עו"ד לאה צמל</w:t>
      </w:r>
    </w:p>
    <w:p w14:paraId="6D17E44A" w14:textId="77777777" w:rsidR="002F5449" w:rsidRDefault="00AC3881">
      <w:pPr>
        <w:spacing w:line="360" w:lineRule="auto"/>
        <w:jc w:val="both"/>
        <w:rPr>
          <w:rtl/>
        </w:rPr>
      </w:pPr>
      <w:r>
        <w:rPr>
          <w:rFonts w:hint="cs"/>
          <w:rtl/>
        </w:rPr>
        <w:t>הנאשם גמר לימודיו בלימודי טבחות ועבד כמה שנים כטבח במסעדות יוקרה. עד לאירועים בכתב האישום לא היה מעורב בהפרות סדר. לנאשם אין מעורבות קודמת בהפרות סדר. הנאשם חדש בשכונה בה הוא גר. באישום הראשון, הוא סייע לייצר מספר בקבוקי תבערה אך הסיוע שלו התמצא בהבאת סרט דביק. הנאשם אינו יודע להכין בקבוק תבערה. הנאשם השתתף בחסימת הכביש בפחי אשפה והמתפרעים ידוי אבנים ובקבוקי תבערה נגד כוחות הבטחון, אך הנאשם לא ידה בקבוקי תבערה. הנאשם הוא פעיל בצוותא. כוחות הביטחו</w:t>
      </w:r>
      <w:r>
        <w:rPr>
          <w:rFonts w:hint="eastAsia"/>
          <w:rtl/>
        </w:rPr>
        <w:t>ן</w:t>
      </w:r>
      <w:r>
        <w:rPr>
          <w:rFonts w:hint="cs"/>
          <w:rtl/>
        </w:rPr>
        <w:t xml:space="preserve"> עורכים ומוגנים היטב כנגד הפרות סדר כאלה. באישום השני, הנאשם השתתף בזריקת אבנים במרחק של 30 עד </w:t>
      </w:r>
      <w:smartTag w:uri="urn:schemas-microsoft-com:office:smarttags" w:element="metricconverter">
        <w:smartTagPr>
          <w:attr w:name="ProductID" w:val="50 מטר"/>
        </w:smartTagPr>
        <w:r>
          <w:rPr>
            <w:rFonts w:hint="cs"/>
            <w:rtl/>
          </w:rPr>
          <w:t>50 מטר</w:t>
        </w:r>
      </w:smartTag>
      <w:r>
        <w:rPr>
          <w:rFonts w:hint="cs"/>
          <w:rtl/>
        </w:rPr>
        <w:t>. לא היתה מעורבות של בקבוקי תבערה. באישום השלישי, האחרים הצטרפו להפרות סדר בשעפט והנאשם החזיק את עצמו וישב ברכבו. בהמשך נסעו לעיסוויה לנחם ולהביע השתתפות בצער המשפחה כפי שנהוג, וגם שם היו הפרות סדר והנאשם והאחרים הצטרפו, והנאשם יידה אבנים כלפי רכב ממוגן מאוד. העובדה שהנאשם היה רעול פנים היא ניטרלית, אם כנגד גז, או כי לא רצה להזדהות כמי שמשתתף באירועים כאלה. האמור בכתב האישום מתיישב עם טענת הנאשם, כי לקח חלק מזערי בהתפרעויות השונות. יש להביא בחשבון את התקופה שבה הנאשם כבר יושב בכלא, וחובה לראות את פני העתיד ולהפוך את הנאשם למועיל בחברה. מדובר בבחור צעיר שזו העבירה הראשונה שביצע ויש ליתן לו הזדמנות לחזור לתפקוד תקין. על הנאשם ליתן את הדין אך באופן מדוד.</w:t>
      </w:r>
    </w:p>
    <w:p w14:paraId="489DDADD" w14:textId="77777777" w:rsidR="002F5449" w:rsidRDefault="002F5449">
      <w:pPr>
        <w:spacing w:line="360" w:lineRule="auto"/>
        <w:jc w:val="both"/>
        <w:rPr>
          <w:rtl/>
        </w:rPr>
      </w:pPr>
    </w:p>
    <w:p w14:paraId="6AE228C6" w14:textId="77777777" w:rsidR="002F5449" w:rsidRDefault="00AC3881">
      <w:pPr>
        <w:spacing w:line="360" w:lineRule="auto"/>
        <w:jc w:val="both"/>
        <w:rPr>
          <w:u w:val="single"/>
          <w:rtl/>
        </w:rPr>
      </w:pPr>
      <w:r>
        <w:rPr>
          <w:rFonts w:hint="cs"/>
          <w:u w:val="single"/>
          <w:rtl/>
        </w:rPr>
        <w:t xml:space="preserve">טיעוני ב"כ הנאשם לעונש </w:t>
      </w:r>
      <w:r>
        <w:rPr>
          <w:u w:val="single"/>
          <w:rtl/>
        </w:rPr>
        <w:t>–</w:t>
      </w:r>
      <w:r>
        <w:rPr>
          <w:rFonts w:hint="cs"/>
          <w:u w:val="single"/>
          <w:rtl/>
        </w:rPr>
        <w:t xml:space="preserve"> עו"ד מחמוד</w:t>
      </w:r>
    </w:p>
    <w:p w14:paraId="014321A1" w14:textId="77777777" w:rsidR="002F5449" w:rsidRDefault="00AC3881">
      <w:pPr>
        <w:spacing w:line="360" w:lineRule="auto"/>
        <w:jc w:val="both"/>
        <w:rPr>
          <w:rtl/>
        </w:rPr>
      </w:pPr>
      <w:r>
        <w:rPr>
          <w:rFonts w:hint="cs"/>
          <w:rtl/>
        </w:rPr>
        <w:t xml:space="preserve">במקרים האחרים אליהם מפנה המאשימה, מדובר היה בעבירות אחרות חמורות יותר של ייצור ונשיאת נשק, שהעונש בגינן חמור בהרבה. הטבלה שהגישה המאשימה אינה משקפת ויש לבחון את העובדות ולהיות ערים להבדלים. בעניין נג'אר </w:t>
      </w:r>
      <w:hyperlink r:id="rId42" w:history="1">
        <w:r w:rsidRPr="00AC3881">
          <w:rPr>
            <w:color w:val="0000FF"/>
            <w:u w:val="single"/>
            <w:rtl/>
          </w:rPr>
          <w:t>ת.פ. 20811-11-15</w:t>
        </w:r>
      </w:hyperlink>
      <w:r>
        <w:rPr>
          <w:rFonts w:hint="cs"/>
          <w:rtl/>
        </w:rPr>
        <w:t xml:space="preserve">, נפסקו על ידי מותב זה 30 חודשי מאסר והתיק קבוע לדיון בערעור בחודש 1/17. בפרשת נג'אר היה מדובר על ניסיון תקיפה, יידוי אבן וייצור, שם היה מדובר על מקרה יותר חמור, ואילו כאן מה שהיה זה סיוע שקנה סרט דביק. הנאשם לא זרק בקבוק תבערה. אין מקום לקבוע מתחום ענישה לכל אישום. מדובר על אירועים שהיו צמודים אחד לשני, בתאריכים 5.10, 8.10 ו- 14.10 וניתן לקבוע עונש על מתחם אחד. </w:t>
      </w:r>
    </w:p>
    <w:p w14:paraId="076DCDF8" w14:textId="77777777" w:rsidR="002F5449" w:rsidRDefault="00AC3881">
      <w:pPr>
        <w:spacing w:line="360" w:lineRule="auto"/>
        <w:jc w:val="both"/>
        <w:rPr>
          <w:rtl/>
        </w:rPr>
      </w:pPr>
      <w:r>
        <w:rPr>
          <w:rFonts w:hint="cs"/>
          <w:rtl/>
        </w:rPr>
        <w:t>לשיטת ב"כ הנאשם המתחם הכולל של כל האירועים נע בין 8 עד 18 חודשי מאסר בפועל, לאחר שמאזנים בין הנאשם לבין האחרים בפרשה, ובהתחשב בכל השינויים המהותיים בין מקרה זה למקרים האחרים.</w:t>
      </w:r>
    </w:p>
    <w:p w14:paraId="1A836A94" w14:textId="77777777" w:rsidR="002F5449" w:rsidRDefault="002F5449">
      <w:pPr>
        <w:spacing w:line="360" w:lineRule="auto"/>
        <w:jc w:val="both"/>
        <w:rPr>
          <w:rtl/>
        </w:rPr>
      </w:pPr>
    </w:p>
    <w:p w14:paraId="3E9C79AF" w14:textId="77777777" w:rsidR="002F5449" w:rsidRDefault="00AC3881">
      <w:pPr>
        <w:spacing w:line="360" w:lineRule="auto"/>
        <w:jc w:val="both"/>
        <w:rPr>
          <w:u w:val="single"/>
          <w:rtl/>
        </w:rPr>
      </w:pPr>
      <w:r>
        <w:rPr>
          <w:rFonts w:hint="cs"/>
          <w:u w:val="single"/>
          <w:rtl/>
        </w:rPr>
        <w:t>אירוע אחד או מספר אירועים</w:t>
      </w:r>
    </w:p>
    <w:p w14:paraId="13F4FC77" w14:textId="77777777" w:rsidR="002F5449" w:rsidRDefault="00AC3881">
      <w:pPr>
        <w:spacing w:line="360" w:lineRule="auto"/>
        <w:jc w:val="both"/>
        <w:rPr>
          <w:rtl/>
        </w:rPr>
      </w:pPr>
      <w:r>
        <w:rPr>
          <w:rFonts w:hint="cs"/>
          <w:rtl/>
        </w:rPr>
        <w:t xml:space="preserve">במקרה דנן, כתב האישום כולל מספר אישומים, ולכן על בית המשפט </w:t>
      </w:r>
      <w:r>
        <w:rPr>
          <w:rtl/>
        </w:rPr>
        <w:t xml:space="preserve">לקבוע </w:t>
      </w:r>
      <w:r>
        <w:rPr>
          <w:rFonts w:hint="cs"/>
          <w:rtl/>
        </w:rPr>
        <w:t xml:space="preserve">תחילה </w:t>
      </w:r>
      <w:r>
        <w:rPr>
          <w:rtl/>
        </w:rPr>
        <w:t xml:space="preserve">האם הן מהוות אירוע אחד או כמה אירועים נפרדים. אם מדובר באירוע אחד, ימשיך ביהמ"ש </w:t>
      </w:r>
      <w:r>
        <w:rPr>
          <w:rFonts w:hint="cs"/>
          <w:rtl/>
        </w:rPr>
        <w:t>'</w:t>
      </w:r>
      <w:r>
        <w:rPr>
          <w:rtl/>
        </w:rPr>
        <w:t>כרגיל', אל שני השלבים הבאים</w:t>
      </w:r>
      <w:r>
        <w:rPr>
          <w:rFonts w:hint="cs"/>
          <w:rtl/>
        </w:rPr>
        <w:t>,</w:t>
      </w:r>
      <w:r>
        <w:rPr>
          <w:rtl/>
        </w:rPr>
        <w:t xml:space="preserve"> קרי, יקבע מתחם ענישה לאירוע כולו ויגזור עונש כולל לכל העבירות הקשורות לאותו אירוע (</w:t>
      </w:r>
      <w:hyperlink r:id="rId43" w:history="1">
        <w:r w:rsidR="00C87A09" w:rsidRPr="00C87A09">
          <w:rPr>
            <w:color w:val="0000FF"/>
            <w:u w:val="single"/>
            <w:rtl/>
          </w:rPr>
          <w:t>סעיף 40יג(א)</w:t>
        </w:r>
      </w:hyperlink>
      <w:r>
        <w:rPr>
          <w:rtl/>
        </w:rPr>
        <w:t xml:space="preserve"> ל</w:t>
      </w:r>
      <w:hyperlink r:id="rId44" w:history="1">
        <w:r w:rsidRPr="00AC3881">
          <w:rPr>
            <w:color w:val="0000FF"/>
            <w:u w:val="single"/>
            <w:rtl/>
          </w:rPr>
          <w:t>חוק העונשין</w:t>
        </w:r>
      </w:hyperlink>
      <w:r>
        <w:rPr>
          <w:rtl/>
        </w:rPr>
        <w:t>). לעומת זאת, במידה וביהמ"ש מצא</w:t>
      </w:r>
      <w:r>
        <w:rPr>
          <w:rFonts w:hint="cs"/>
          <w:rtl/>
        </w:rPr>
        <w:t>,</w:t>
      </w:r>
      <w:r>
        <w:rPr>
          <w:rtl/>
        </w:rPr>
        <w:t xml:space="preserve"> כי בעבירות שבהן הורשע הנאשם מדובר בכמה אירועים, יקבע עונש הולם לכל אירוע בנפרד, ולאחר מכן יוכל לגזור עונש נפרד לכל אירוע (בד בבד עם קביעה האם ירוצו העונשים בחופף או במצטבר), או עונש כולל לאירועים כולם (</w:t>
      </w:r>
      <w:hyperlink r:id="rId45" w:history="1">
        <w:r w:rsidR="00C87A09" w:rsidRPr="00C87A09">
          <w:rPr>
            <w:color w:val="0000FF"/>
            <w:u w:val="single"/>
            <w:rtl/>
          </w:rPr>
          <w:t>סעיף 40יג(ב)</w:t>
        </w:r>
      </w:hyperlink>
      <w:r>
        <w:rPr>
          <w:rtl/>
        </w:rPr>
        <w:t xml:space="preserve"> ל</w:t>
      </w:r>
      <w:hyperlink r:id="rId46" w:history="1">
        <w:r w:rsidRPr="00AC3881">
          <w:rPr>
            <w:color w:val="0000FF"/>
            <w:u w:val="single"/>
            <w:rtl/>
          </w:rPr>
          <w:t>חוק העונשין</w:t>
        </w:r>
      </w:hyperlink>
      <w:r>
        <w:rPr>
          <w:rtl/>
        </w:rPr>
        <w:t>).</w:t>
      </w:r>
    </w:p>
    <w:p w14:paraId="388620C5" w14:textId="77777777" w:rsidR="002F5449" w:rsidRDefault="002F5449">
      <w:pPr>
        <w:spacing w:line="360" w:lineRule="auto"/>
        <w:jc w:val="both"/>
        <w:rPr>
          <w:rtl/>
        </w:rPr>
      </w:pPr>
    </w:p>
    <w:p w14:paraId="0CA4009C" w14:textId="77777777" w:rsidR="002F5449" w:rsidRDefault="00AC3881">
      <w:pPr>
        <w:spacing w:line="360" w:lineRule="auto"/>
        <w:jc w:val="both"/>
        <w:rPr>
          <w:rtl/>
        </w:rPr>
      </w:pPr>
      <w:r>
        <w:rPr>
          <w:rFonts w:hint="cs"/>
          <w:rtl/>
        </w:rPr>
        <w:t>בין הצדדים מחלוקת בשאלה האם מדובר באירוע אחד או בכמה אירועים. יחד עם זאת המאשימה הסכימה להסתפק "בגזר דין אחד" (ע' 19 ש' 28).</w:t>
      </w:r>
    </w:p>
    <w:p w14:paraId="0AB80863" w14:textId="77777777" w:rsidR="002F5449" w:rsidRDefault="002F5449">
      <w:pPr>
        <w:spacing w:line="360" w:lineRule="auto"/>
        <w:jc w:val="both"/>
        <w:rPr>
          <w:rtl/>
        </w:rPr>
      </w:pPr>
    </w:p>
    <w:p w14:paraId="51267BC8" w14:textId="77777777" w:rsidR="002F5449" w:rsidRDefault="00AC3881">
      <w:pPr>
        <w:spacing w:line="360" w:lineRule="auto"/>
        <w:jc w:val="both"/>
        <w:rPr>
          <w:rtl/>
        </w:rPr>
      </w:pPr>
      <w:r>
        <w:rPr>
          <w:rFonts w:hint="cs"/>
          <w:rtl/>
        </w:rPr>
        <w:t>ב</w:t>
      </w:r>
      <w:hyperlink r:id="rId47" w:history="1">
        <w:r w:rsidRPr="00AC3881">
          <w:rPr>
            <w:color w:val="0000FF"/>
            <w:u w:val="single"/>
            <w:rtl/>
          </w:rPr>
          <w:t>ע"פ 4910/13</w:t>
        </w:r>
      </w:hyperlink>
      <w:r>
        <w:rPr>
          <w:rFonts w:hint="cs"/>
          <w:rtl/>
        </w:rPr>
        <w:t xml:space="preserve"> </w:t>
      </w:r>
      <w:r>
        <w:rPr>
          <w:rFonts w:hint="cs"/>
          <w:b/>
          <w:bCs/>
          <w:rtl/>
        </w:rPr>
        <w:t>אחמד בני ג'אבר נ' מדינת ישראל</w:t>
      </w:r>
      <w:r>
        <w:rPr>
          <w:rFonts w:hint="cs"/>
          <w:rtl/>
        </w:rPr>
        <w:t xml:space="preserve"> (29.10.14) נקבע, כי </w:t>
      </w:r>
      <w:r>
        <w:rPr>
          <w:rtl/>
        </w:rPr>
        <w:t>בשלב הראשון, לצורך המענה על השאלה האם תרחיש עובדתי מסוים מהווה "אירוע אחד" או "כמה אירועים", על ביהמ"ש להפעיל אך ורק את המבחן הצורני-עובדתי הבוחן</w:t>
      </w:r>
      <w:r>
        <w:rPr>
          <w:rFonts w:hint="cs"/>
          <w:rtl/>
        </w:rPr>
        <w:t>,</w:t>
      </w:r>
      <w:r>
        <w:rPr>
          <w:rtl/>
        </w:rPr>
        <w:t xml:space="preserve"> האם עבירות שבוצעו ברצף ובסמיכות יחסית של זמן ומקום ניתנות להפרדה</w:t>
      </w:r>
      <w:r>
        <w:rPr>
          <w:rFonts w:hint="cs"/>
          <w:rtl/>
        </w:rPr>
        <w:t>,</w:t>
      </w:r>
      <w:r>
        <w:rPr>
          <w:rtl/>
        </w:rPr>
        <w:t xml:space="preserve"> או שמא מדובר במכלול אחד של פעולות שמאופיינות במחשבה פלילית אחת ובתכנון פלילי אחד</w:t>
      </w:r>
      <w:r>
        <w:rPr>
          <w:rFonts w:hint="cs"/>
          <w:rtl/>
        </w:rPr>
        <w:t xml:space="preserve">. זהו המבחן הידוע כ"מבחן הקשר ההדוק", הבוחן האם לפנינו תכנית עבריינית אחת, כך שאין יכולת, מבחינה צורנית, לפצל את העבירו למעשים נפרדים, או שמא אין קשר בין האישומים. </w:t>
      </w:r>
    </w:p>
    <w:p w14:paraId="4C677BE0" w14:textId="77777777" w:rsidR="002F5449" w:rsidRDefault="002F5449">
      <w:pPr>
        <w:spacing w:line="360" w:lineRule="auto"/>
        <w:jc w:val="both"/>
        <w:rPr>
          <w:rtl/>
        </w:rPr>
      </w:pPr>
    </w:p>
    <w:p w14:paraId="39082082" w14:textId="77777777" w:rsidR="002F5449" w:rsidRDefault="00AC3881">
      <w:pPr>
        <w:spacing w:line="360" w:lineRule="auto"/>
        <w:jc w:val="both"/>
        <w:rPr>
          <w:rtl/>
        </w:rPr>
      </w:pPr>
      <w:r>
        <w:rPr>
          <w:rtl/>
        </w:rPr>
        <w:t xml:space="preserve">בשלב השני, לאחר שביהמ"ש </w:t>
      </w:r>
      <w:r>
        <w:rPr>
          <w:rFonts w:hint="cs"/>
          <w:rtl/>
        </w:rPr>
        <w:t>י</w:t>
      </w:r>
      <w:r>
        <w:rPr>
          <w:rtl/>
        </w:rPr>
        <w:t xml:space="preserve">קבע האם התרחיש העובדתי שלפניו מורכב מ"אירוע אחד" או מ"כמה אירועים", עובר ביהמ"ש לשלב המהותי של מלאכת הענישה, במסגרתו עליו לקבוע את מתחם הענישה ההולם ביחס לכל אירוע ולגזור את העונש הראוי בנסיבות הקונקרטיות של כל אירוע. בשלב זה יש לשוב ולבחון כל אירוע בהתאם למבחן המהותי-מוסרי ולקבוע האם יש לפצל כל אירוע למספר מעשים, על כל הנובע מקביעה זו במישור העונשי. </w:t>
      </w:r>
    </w:p>
    <w:p w14:paraId="07D3F6CB" w14:textId="77777777" w:rsidR="002F5449" w:rsidRDefault="002F5449">
      <w:pPr>
        <w:spacing w:line="360" w:lineRule="auto"/>
        <w:jc w:val="both"/>
        <w:rPr>
          <w:rtl/>
        </w:rPr>
      </w:pPr>
    </w:p>
    <w:p w14:paraId="69AF7BDF" w14:textId="77777777" w:rsidR="002F5449" w:rsidRDefault="00AC3881">
      <w:pPr>
        <w:spacing w:line="360" w:lineRule="auto"/>
        <w:jc w:val="both"/>
        <w:rPr>
          <w:rFonts w:cs="Aharoni"/>
          <w:rtl/>
        </w:rPr>
      </w:pPr>
      <w:r>
        <w:rPr>
          <w:rFonts w:hint="cs"/>
          <w:rtl/>
        </w:rPr>
        <w:t>ב</w:t>
      </w:r>
      <w:hyperlink r:id="rId48" w:history="1">
        <w:r w:rsidRPr="00AC3881">
          <w:rPr>
            <w:color w:val="0000FF"/>
            <w:u w:val="single"/>
            <w:rtl/>
          </w:rPr>
          <w:t>ת.פ. 609-12-15</w:t>
        </w:r>
      </w:hyperlink>
      <w:r>
        <w:rPr>
          <w:rFonts w:hint="cs"/>
          <w:rtl/>
        </w:rPr>
        <w:t xml:space="preserve"> </w:t>
      </w:r>
      <w:r>
        <w:rPr>
          <w:rFonts w:hint="cs"/>
          <w:b/>
          <w:bCs/>
          <w:rtl/>
        </w:rPr>
        <w:t>מדינת ישראל נ' דנדיס ואח'</w:t>
      </w:r>
      <w:r>
        <w:rPr>
          <w:rFonts w:hint="cs"/>
          <w:rtl/>
        </w:rPr>
        <w:t xml:space="preserve"> (22.9.16) קבע כב' הנשיא אהרן פרקש, במסכת עובדתית דומה לזו שלפני, כי מדובר במספר אירועים. </w:t>
      </w:r>
    </w:p>
    <w:p w14:paraId="0C3007B6" w14:textId="77777777" w:rsidR="002F5449" w:rsidRDefault="00AC3881">
      <w:pPr>
        <w:spacing w:line="360" w:lineRule="auto"/>
        <w:jc w:val="both"/>
        <w:rPr>
          <w:rFonts w:ascii="David" w:hAnsi="David"/>
          <w:color w:val="000000"/>
          <w:rtl/>
        </w:rPr>
      </w:pPr>
      <w:r>
        <w:rPr>
          <w:rFonts w:hint="cs"/>
          <w:rtl/>
        </w:rPr>
        <w:t>הסוגיה של אירוע אחד או כמה אירועים היא סבוכה וישנן גישות שונות לטיפול בה. כך למשל ב</w:t>
      </w:r>
      <w:hyperlink r:id="rId49" w:history="1">
        <w:r w:rsidRPr="00AC3881">
          <w:rPr>
            <w:color w:val="0000FF"/>
            <w:u w:val="single"/>
            <w:rtl/>
          </w:rPr>
          <w:t>ע"פ 5643/14</w:t>
        </w:r>
      </w:hyperlink>
      <w:r>
        <w:rPr>
          <w:rFonts w:hint="cs"/>
          <w:rtl/>
        </w:rPr>
        <w:t xml:space="preserve"> </w:t>
      </w:r>
      <w:r>
        <w:rPr>
          <w:rFonts w:ascii="David" w:hAnsi="David" w:hint="eastAsia"/>
          <w:b/>
          <w:bCs/>
          <w:color w:val="000000"/>
          <w:rtl/>
        </w:rPr>
        <w:t>אחמד</w:t>
      </w:r>
      <w:r>
        <w:rPr>
          <w:rFonts w:ascii="David" w:hAnsi="David"/>
          <w:b/>
          <w:bCs/>
          <w:color w:val="000000"/>
          <w:rtl/>
        </w:rPr>
        <w:t xml:space="preserve"> </w:t>
      </w:r>
      <w:r>
        <w:rPr>
          <w:rFonts w:ascii="David" w:hAnsi="David" w:hint="eastAsia"/>
          <w:b/>
          <w:bCs/>
          <w:color w:val="000000"/>
          <w:rtl/>
        </w:rPr>
        <w:t>עיסא</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hint="cs"/>
          <w:color w:val="000000"/>
          <w:rtl/>
        </w:rPr>
        <w:t xml:space="preserve"> (23.6.15) בו נאמר כך:</w:t>
      </w:r>
    </w:p>
    <w:p w14:paraId="29A48199" w14:textId="77777777" w:rsidR="002F5449" w:rsidRDefault="002F5449">
      <w:pPr>
        <w:ind w:left="850"/>
        <w:jc w:val="both"/>
        <w:rPr>
          <w:rFonts w:cs="Aharoni"/>
          <w:rtl/>
        </w:rPr>
      </w:pPr>
    </w:p>
    <w:p w14:paraId="270C9211" w14:textId="77777777" w:rsidR="002F5449" w:rsidRDefault="00AC3881">
      <w:pPr>
        <w:ind w:left="850"/>
        <w:jc w:val="both"/>
        <w:rPr>
          <w:rFonts w:cs="Aharoni"/>
          <w:rtl/>
        </w:rPr>
      </w:pPr>
      <w:r>
        <w:rPr>
          <w:rFonts w:cs="Aharoni" w:hint="cs"/>
          <w:rtl/>
        </w:rPr>
        <w:t>"...</w:t>
      </w:r>
      <w:r>
        <w:rPr>
          <w:rFonts w:cs="Aharoni"/>
          <w:rtl/>
        </w:rPr>
        <w:t>, דומה כי ראוי לאפשר פרשנות רחבה דיה להגדרת המונח "אירוע אחד" אשר תשאיר מתחם להפעלת שיקול דעתו של בית המשפט, וזאת הן בשל שיקולי יעילות עבודתו של בית המשפט והן לשם הגשמת תכליתו של תיקון 113 לחוק. בהקשר זה ייאמר, כי קביעת מספר מתחמי עונש שלא לצורך עלולה במקרים מסוימים להביא להעלאת רף הענישה באופן שאינו ראוי, על-ידי פריטה לפרוטות של הרכיבים העונשיים בעניינו של הנאשם ויצירת תחושה לא נוחה של "התחשבנות" עמו, העצמה של חומרת מעשיו מעבר למתחייב וחריצת דינו בדרך מלאכותית</w:t>
      </w:r>
      <w:r>
        <w:rPr>
          <w:rFonts w:cs="Aharoni" w:hint="cs"/>
          <w:rtl/>
        </w:rPr>
        <w:t>."</w:t>
      </w:r>
    </w:p>
    <w:p w14:paraId="284C5498" w14:textId="77777777" w:rsidR="002F5449" w:rsidRDefault="002F5449">
      <w:pPr>
        <w:jc w:val="both"/>
        <w:rPr>
          <w:rFonts w:cs="Aharoni"/>
          <w:rtl/>
        </w:rPr>
      </w:pPr>
    </w:p>
    <w:p w14:paraId="13560A76" w14:textId="77777777" w:rsidR="002F5449" w:rsidRDefault="002F5449">
      <w:pPr>
        <w:jc w:val="both"/>
        <w:rPr>
          <w:rFonts w:cs="Aharoni"/>
          <w:rtl/>
        </w:rPr>
      </w:pPr>
    </w:p>
    <w:p w14:paraId="66DC1008" w14:textId="77777777" w:rsidR="002F5449" w:rsidRDefault="00AC3881">
      <w:pPr>
        <w:spacing w:line="360" w:lineRule="auto"/>
        <w:jc w:val="both"/>
        <w:rPr>
          <w:rtl/>
        </w:rPr>
      </w:pPr>
      <w:r>
        <w:rPr>
          <w:rFonts w:hint="cs"/>
          <w:rtl/>
        </w:rPr>
        <w:t xml:space="preserve">בעניין </w:t>
      </w:r>
      <w:r>
        <w:rPr>
          <w:rFonts w:hint="cs"/>
          <w:b/>
          <w:bCs/>
          <w:rtl/>
        </w:rPr>
        <w:t>דנדיס</w:t>
      </w:r>
      <w:r>
        <w:rPr>
          <w:rFonts w:hint="cs"/>
          <w:rtl/>
        </w:rPr>
        <w:t>, לעיל</w:t>
      </w:r>
      <w:r>
        <w:rPr>
          <w:rFonts w:hint="cs"/>
          <w:b/>
          <w:bCs/>
          <w:rtl/>
        </w:rPr>
        <w:t xml:space="preserve"> </w:t>
      </w:r>
      <w:r>
        <w:rPr>
          <w:rFonts w:hint="cs"/>
          <w:rtl/>
        </w:rPr>
        <w:t>נאמר בסוגייה שלפני כך:</w:t>
      </w:r>
    </w:p>
    <w:p w14:paraId="235FE178" w14:textId="77777777" w:rsidR="002F5449" w:rsidRDefault="00AC3881">
      <w:pPr>
        <w:ind w:left="850"/>
        <w:jc w:val="both"/>
        <w:rPr>
          <w:rFonts w:cs="Aharoni"/>
          <w:rtl/>
        </w:rPr>
      </w:pPr>
      <w:r>
        <w:rPr>
          <w:rFonts w:cs="Aharoni" w:hint="cs"/>
          <w:rtl/>
        </w:rPr>
        <w:t>"כידוע, ב</w:t>
      </w:r>
      <w:hyperlink r:id="rId50" w:history="1">
        <w:r w:rsidRPr="00AC3881">
          <w:rPr>
            <w:rFonts w:cs="Aharoni"/>
            <w:color w:val="0000FF"/>
            <w:u w:val="single"/>
            <w:rtl/>
          </w:rPr>
          <w:t>ע"פ 4910/13</w:t>
        </w:r>
      </w:hyperlink>
      <w:r>
        <w:rPr>
          <w:rFonts w:cs="Aharoni" w:hint="cs"/>
          <w:rtl/>
        </w:rPr>
        <w:t xml:space="preserve"> </w:t>
      </w:r>
      <w:r>
        <w:rPr>
          <w:rFonts w:cs="Aharoni" w:hint="cs"/>
          <w:b/>
          <w:bCs/>
          <w:rtl/>
        </w:rPr>
        <w:t xml:space="preserve">ג'אבר נ' מדינת ישראל </w:t>
      </w:r>
      <w:r>
        <w:rPr>
          <w:rFonts w:cs="Aharoni" w:hint="cs"/>
          <w:rtl/>
        </w:rPr>
        <w:t xml:space="preserve">(29.10.14) נקבע, כי מספר עבירות שיש ביניהן קשר ענייני הדוק, הנובע (בין השאר) מסמיכות זמנים, או משום שמדובר בתכנית עבריינית אחת, יהוו "אירוע אחד" (פסקה 5 בפסק דינה של כב' שופטת ד' ברק ארז, וראו גם פסקה 2 בפסק דינו של כב' השופט ע' פוגלמן). ברם, ניצני החקיקה מלמדים על דעת המחוקק כי יישום מבחן זה בפסיקה רחב מן הרצוי, וחותר תחת מטרת סעיף ריבוי העבירות (הצעת </w:t>
      </w:r>
      <w:hyperlink r:id="rId51" w:history="1">
        <w:r w:rsidRPr="00AC3881">
          <w:rPr>
            <w:rFonts w:cs="Aharoni"/>
            <w:color w:val="0000FF"/>
            <w:u w:val="single"/>
            <w:rtl/>
          </w:rPr>
          <w:t>חוק העונשין</w:t>
        </w:r>
      </w:hyperlink>
      <w:r>
        <w:rPr>
          <w:rFonts w:cs="Aharoni" w:hint="cs"/>
          <w:rtl/>
        </w:rPr>
        <w:t xml:space="preserve"> (תיקון 128) (הבניית שיקול הדעת השיפוטי בענישה), התשע"ו -2016. התייחסות לדעה זו של המחוקק מצאה ביטוי אף בפסיקה, שם גם נשמעה ביקורת על מבחן "הקשר ההדוק", כמבחן רחב שאינו נותן די משקל לבחינת האירוע מנקודת מבטם של נפעי העבירה אלא סוכם אותם יחד (</w:t>
      </w:r>
      <w:hyperlink r:id="rId52" w:history="1">
        <w:r w:rsidRPr="00AC3881">
          <w:rPr>
            <w:rFonts w:cs="Aharoni"/>
            <w:color w:val="0000FF"/>
            <w:u w:val="single"/>
            <w:rtl/>
          </w:rPr>
          <w:t>ע"פ 5669/13</w:t>
        </w:r>
      </w:hyperlink>
      <w:r>
        <w:rPr>
          <w:rFonts w:cs="Aharoni" w:hint="cs"/>
          <w:rtl/>
        </w:rPr>
        <w:t xml:space="preserve"> </w:t>
      </w:r>
      <w:r>
        <w:rPr>
          <w:rFonts w:cs="Aharoni" w:hint="cs"/>
          <w:b/>
          <w:bCs/>
          <w:rtl/>
        </w:rPr>
        <w:t>מזרחי נ'</w:t>
      </w:r>
      <w:r>
        <w:rPr>
          <w:rFonts w:cs="Aharoni" w:hint="cs"/>
          <w:rtl/>
        </w:rPr>
        <w:t xml:space="preserve"> </w:t>
      </w:r>
      <w:r>
        <w:rPr>
          <w:rFonts w:cs="Aharoni" w:hint="cs"/>
          <w:b/>
          <w:bCs/>
          <w:rtl/>
        </w:rPr>
        <w:t xml:space="preserve">מדינת ישראל </w:t>
      </w:r>
      <w:r>
        <w:rPr>
          <w:rFonts w:cs="Aharoni" w:hint="cs"/>
          <w:rtl/>
        </w:rPr>
        <w:t xml:space="preserve">(17.3.16) (להלן </w:t>
      </w:r>
      <w:r>
        <w:rPr>
          <w:rFonts w:cs="Aharoni"/>
          <w:rtl/>
        </w:rPr>
        <w:t>–</w:t>
      </w:r>
      <w:r>
        <w:rPr>
          <w:rFonts w:cs="Aharoni" w:hint="cs"/>
          <w:rtl/>
        </w:rPr>
        <w:t xml:space="preserve"> </w:t>
      </w:r>
      <w:r>
        <w:rPr>
          <w:rFonts w:cs="Aharoni" w:hint="cs"/>
          <w:b/>
          <w:bCs/>
          <w:rtl/>
        </w:rPr>
        <w:t>"עניין מזרחי"</w:t>
      </w:r>
      <w:r>
        <w:rPr>
          <w:rFonts w:cs="Aharoni" w:hint="cs"/>
          <w:rtl/>
        </w:rPr>
        <w:t xml:space="preserve">), פסקה 27 בפסק דינו של כב' שופט נ' סולברג ופסק דינו של כב' השופט נ' הנדל; </w:t>
      </w:r>
      <w:hyperlink r:id="rId53" w:history="1">
        <w:r w:rsidRPr="00AC3881">
          <w:rPr>
            <w:rFonts w:cs="Aharoni"/>
            <w:color w:val="0000FF"/>
            <w:u w:val="single"/>
            <w:rtl/>
          </w:rPr>
          <w:t>ת"פ (מחוזי י-ם) 44491-08-15</w:t>
        </w:r>
      </w:hyperlink>
      <w:r>
        <w:rPr>
          <w:rFonts w:cs="Aharoni" w:hint="cs"/>
          <w:rtl/>
        </w:rPr>
        <w:t xml:space="preserve"> </w:t>
      </w:r>
      <w:r>
        <w:rPr>
          <w:rFonts w:cs="Aharoni" w:hint="cs"/>
          <w:b/>
          <w:bCs/>
          <w:rtl/>
        </w:rPr>
        <w:t>מדינת ישראל נ' אוחנה</w:t>
      </w:r>
      <w:r>
        <w:rPr>
          <w:rFonts w:cs="Aharoni" w:hint="cs"/>
          <w:rtl/>
        </w:rPr>
        <w:t xml:space="preserve"> (19.7.16), פסקאות 53 </w:t>
      </w:r>
      <w:r>
        <w:rPr>
          <w:rFonts w:cs="Aharoni"/>
          <w:rtl/>
        </w:rPr>
        <w:t>–</w:t>
      </w:r>
      <w:r>
        <w:rPr>
          <w:rFonts w:cs="Aharoni" w:hint="cs"/>
          <w:rtl/>
        </w:rPr>
        <w:t xml:space="preserve"> 57)"</w:t>
      </w:r>
    </w:p>
    <w:p w14:paraId="305974EA" w14:textId="77777777" w:rsidR="002F5449" w:rsidRDefault="002F5449">
      <w:pPr>
        <w:spacing w:line="360" w:lineRule="auto"/>
        <w:jc w:val="both"/>
        <w:rPr>
          <w:b/>
          <w:bCs/>
          <w:rtl/>
        </w:rPr>
      </w:pPr>
    </w:p>
    <w:p w14:paraId="72E6F0F3" w14:textId="77777777" w:rsidR="002F5449" w:rsidRDefault="002F5449">
      <w:pPr>
        <w:jc w:val="both"/>
        <w:rPr>
          <w:rFonts w:cs="Aharoni"/>
          <w:rtl/>
        </w:rPr>
      </w:pPr>
    </w:p>
    <w:p w14:paraId="20B6801B" w14:textId="77777777" w:rsidR="002F5449" w:rsidRDefault="00AC3881">
      <w:pPr>
        <w:jc w:val="both"/>
        <w:rPr>
          <w:rtl/>
        </w:rPr>
      </w:pPr>
      <w:r>
        <w:rPr>
          <w:rFonts w:hint="cs"/>
          <w:rtl/>
        </w:rPr>
        <w:t>ב</w:t>
      </w:r>
      <w:hyperlink r:id="rId54" w:history="1">
        <w:r w:rsidRPr="00AC3881">
          <w:rPr>
            <w:color w:val="0000FF"/>
            <w:u w:val="single"/>
            <w:rtl/>
          </w:rPr>
          <w:t>ע"פ 1261/15</w:t>
        </w:r>
      </w:hyperlink>
      <w:r>
        <w:rPr>
          <w:rFonts w:hint="cs"/>
          <w:rtl/>
        </w:rPr>
        <w:t xml:space="preserve"> </w:t>
      </w:r>
      <w:r>
        <w:rPr>
          <w:rFonts w:hint="cs"/>
          <w:b/>
          <w:bCs/>
          <w:rtl/>
        </w:rPr>
        <w:t>מדינת ישראל נ' יוסף דלאל</w:t>
      </w:r>
      <w:r>
        <w:rPr>
          <w:rFonts w:hint="cs"/>
          <w:rtl/>
        </w:rPr>
        <w:t xml:space="preserve"> (3.9.15) נקבע כך:</w:t>
      </w:r>
    </w:p>
    <w:p w14:paraId="145D5FF5" w14:textId="77777777" w:rsidR="002F5449" w:rsidRDefault="002F5449">
      <w:pPr>
        <w:jc w:val="both"/>
        <w:rPr>
          <w:rtl/>
        </w:rPr>
      </w:pPr>
    </w:p>
    <w:p w14:paraId="5D36ECCE" w14:textId="77777777" w:rsidR="002F5449" w:rsidRDefault="00AC3881">
      <w:pPr>
        <w:ind w:left="850"/>
        <w:jc w:val="both"/>
        <w:rPr>
          <w:rFonts w:cs="Aharoni"/>
          <w:rtl/>
        </w:rPr>
      </w:pPr>
      <w:r>
        <w:rPr>
          <w:rFonts w:cs="Aharoni" w:hint="cs"/>
          <w:rtl/>
        </w:rPr>
        <w:t>"</w:t>
      </w:r>
      <w:r>
        <w:rPr>
          <w:rFonts w:cs="Aharoni"/>
          <w:rtl/>
        </w:rPr>
        <w:t>22.</w:t>
      </w:r>
      <w:r>
        <w:rPr>
          <w:rFonts w:cs="Aharoni" w:hint="cs"/>
          <w:rtl/>
        </w:rPr>
        <w:t xml:space="preserve"> </w:t>
      </w:r>
      <w:r>
        <w:rPr>
          <w:rFonts w:cs="Aharoni"/>
          <w:rtl/>
        </w:rPr>
        <w:t>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 במסגרת זו ניתן לבחון, למשל, האם ביצוען של העבירות מאופיין בתכנון; האם ניתן להצביע על שיטתיות בביצוע העבירות; האם העבירות התרחשו בסמיכות של זמן או מקום; האם 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r>
        <w:rPr>
          <w:rFonts w:cs="Aharoni" w:hint="cs"/>
          <w:rtl/>
        </w:rPr>
        <w:t>".</w:t>
      </w:r>
    </w:p>
    <w:p w14:paraId="1F277A86" w14:textId="77777777" w:rsidR="002F5449" w:rsidRDefault="002F5449">
      <w:pPr>
        <w:ind w:left="850"/>
        <w:jc w:val="both"/>
        <w:rPr>
          <w:rFonts w:cs="Aharoni"/>
          <w:rtl/>
        </w:rPr>
      </w:pPr>
    </w:p>
    <w:p w14:paraId="4894186F" w14:textId="77777777" w:rsidR="002F5449" w:rsidRDefault="002F5449">
      <w:pPr>
        <w:jc w:val="both"/>
        <w:rPr>
          <w:rFonts w:cs="Aharoni"/>
          <w:rtl/>
        </w:rPr>
      </w:pPr>
    </w:p>
    <w:p w14:paraId="747A252D" w14:textId="77777777" w:rsidR="002F5449" w:rsidRDefault="00AC3881">
      <w:pPr>
        <w:spacing w:line="360" w:lineRule="auto"/>
        <w:jc w:val="both"/>
        <w:rPr>
          <w:rtl/>
        </w:rPr>
      </w:pPr>
      <w:r>
        <w:rPr>
          <w:rFonts w:hint="cs"/>
          <w:rtl/>
        </w:rPr>
        <w:t xml:space="preserve">יש גם מקרים שבהם בתי המשפט בחרו שלא להכריע בשאלה, האם יש לסווג את המקרה כאירוע אחד או כמה אירועים, כאשר לעמדת בית המשפט, </w:t>
      </w:r>
      <w:r>
        <w:rPr>
          <w:rtl/>
        </w:rPr>
        <w:t xml:space="preserve">לשאלה מתי מדובר באירוע אחד ומתי במספר אירועים, </w:t>
      </w:r>
      <w:r>
        <w:rPr>
          <w:rFonts w:hint="cs"/>
          <w:rtl/>
        </w:rPr>
        <w:t xml:space="preserve">אין </w:t>
      </w:r>
      <w:r>
        <w:rPr>
          <w:rtl/>
        </w:rPr>
        <w:t xml:space="preserve">"תשובת מחשב", והיא תלויה בנסיבות המקרה ובמבטו הכולל של </w:t>
      </w:r>
      <w:r>
        <w:rPr>
          <w:rFonts w:hint="cs"/>
          <w:rtl/>
        </w:rPr>
        <w:t xml:space="preserve">בית המשפט </w:t>
      </w:r>
      <w:r>
        <w:rPr>
          <w:rtl/>
        </w:rPr>
        <w:t>על הפרשה. לשיקול הדעת נודע מקום מובהק, וביהמ"ש ישקול אם צריך הוא להיכנס ל"פרטנות חשבונאית" או לקבוע שורה תחתונה ראויה</w:t>
      </w:r>
      <w:r>
        <w:rPr>
          <w:rFonts w:hint="cs"/>
          <w:rtl/>
        </w:rPr>
        <w:t xml:space="preserve">: </w:t>
      </w:r>
      <w:hyperlink r:id="rId55" w:history="1">
        <w:r w:rsidRPr="00AC3881">
          <w:rPr>
            <w:color w:val="0000FF"/>
            <w:u w:val="single"/>
            <w:rtl/>
          </w:rPr>
          <w:t>דנ"פ 2999/16</w:t>
        </w:r>
      </w:hyperlink>
      <w:r>
        <w:rPr>
          <w:rtl/>
        </w:rPr>
        <w:t xml:space="preserve"> </w:t>
      </w:r>
      <w:r>
        <w:rPr>
          <w:b/>
          <w:bCs/>
          <w:rtl/>
        </w:rPr>
        <w:t>ערן מזרחי נ' מדינת ישראל</w:t>
      </w:r>
      <w:r>
        <w:rPr>
          <w:rtl/>
        </w:rPr>
        <w:t xml:space="preserve"> </w:t>
      </w:r>
      <w:r>
        <w:rPr>
          <w:rFonts w:hint="cs"/>
          <w:rtl/>
        </w:rPr>
        <w:t>(</w:t>
      </w:r>
      <w:r>
        <w:rPr>
          <w:rtl/>
        </w:rPr>
        <w:t>22/05/16)</w:t>
      </w:r>
      <w:r>
        <w:rPr>
          <w:rFonts w:hint="cs"/>
          <w:rtl/>
        </w:rPr>
        <w:t>.</w:t>
      </w:r>
    </w:p>
    <w:p w14:paraId="0CF11ACC" w14:textId="77777777" w:rsidR="002F5449" w:rsidRDefault="002F5449">
      <w:pPr>
        <w:spacing w:line="360" w:lineRule="auto"/>
        <w:jc w:val="both"/>
        <w:rPr>
          <w:rtl/>
        </w:rPr>
      </w:pPr>
    </w:p>
    <w:p w14:paraId="189DC9DF" w14:textId="77777777" w:rsidR="002F5449" w:rsidRDefault="00AC3881">
      <w:pPr>
        <w:spacing w:line="360" w:lineRule="auto"/>
        <w:jc w:val="both"/>
        <w:rPr>
          <w:rtl/>
        </w:rPr>
      </w:pPr>
      <w:r>
        <w:rPr>
          <w:rFonts w:hint="cs"/>
          <w:rtl/>
        </w:rPr>
        <w:t xml:space="preserve">במקרה דנן קיימים שיקולים לכאן ולכאן. מחד גיסא, מבחינת הזמן המקום וההקשר </w:t>
      </w:r>
      <w:r>
        <w:rPr>
          <w:rtl/>
        </w:rPr>
        <w:t>–</w:t>
      </w:r>
      <w:r>
        <w:rPr>
          <w:rFonts w:hint="cs"/>
          <w:rtl/>
        </w:rPr>
        <w:t xml:space="preserve">מדובר בכמה אירועים. האישום הראשון התרחש ביום 14.10.15 ובסמוך לכך, באבו דיס ובשכונת נג'דה בנסיבות הקשורות למותו של המפגע אחמד אבו שעבאן. האישום השני התרחש כשבועיים לפני כן, דהיינו בסוף 9/15, בראס אל עמוד במסגרת הפרות סדר כנגד כוחות הביטחון. האישום השלישי התרחש ביום 5.10.15 בשעפט ובעיסוויה בהקשר של מותו של המפגע פאדי עלון. מאידך גיסא, הגם שהאישומים לא בוצעו ברצף, הם בוצעו בסמיכות זמנים יחסית ובפרק זמן של כשלושה שבועות. </w:t>
      </w:r>
    </w:p>
    <w:p w14:paraId="7856279B" w14:textId="77777777" w:rsidR="002F5449" w:rsidRDefault="002F5449">
      <w:pPr>
        <w:spacing w:line="360" w:lineRule="auto"/>
        <w:jc w:val="both"/>
        <w:rPr>
          <w:rtl/>
        </w:rPr>
      </w:pPr>
    </w:p>
    <w:p w14:paraId="1C3A5CF9" w14:textId="77777777" w:rsidR="002F5449" w:rsidRDefault="00AC3881">
      <w:pPr>
        <w:spacing w:line="360" w:lineRule="auto"/>
        <w:jc w:val="both"/>
        <w:rPr>
          <w:rtl/>
        </w:rPr>
      </w:pPr>
      <w:r>
        <w:rPr>
          <w:rFonts w:hint="cs"/>
          <w:rtl/>
        </w:rPr>
        <w:t xml:space="preserve">כמו כן, הגם שכל האישומים עניינם השתתפות בהתפרעויות בדרך זו או אחרת, אין קשר בין האירועים, אין מדובר בתוכנית עבריינית אחת, ומדובר באירועים שונים לחלוטין מבחינת הרקע והנסיבות. לכן סבורני, שיש לקבוע מתחם ענישה לכל אישום בנפרד. עם זאת, יש לקבל את עמדת המאשימה שיש ליתן פסק דין אחד כולל, וזאת מהטעם שצבירת עונשים בגין העבירות מגיע </w:t>
      </w:r>
      <w:r>
        <w:rPr>
          <w:rtl/>
        </w:rPr>
        <w:t xml:space="preserve">למספר רב של שנים </w:t>
      </w:r>
      <w:r>
        <w:rPr>
          <w:rFonts w:hint="cs"/>
          <w:rtl/>
        </w:rPr>
        <w:t xml:space="preserve">שספק אם </w:t>
      </w:r>
      <w:r>
        <w:rPr>
          <w:rtl/>
        </w:rPr>
        <w:t xml:space="preserve">עומד </w:t>
      </w:r>
      <w:r>
        <w:rPr>
          <w:rFonts w:hint="cs"/>
          <w:rtl/>
        </w:rPr>
        <w:t xml:space="preserve">הוא </w:t>
      </w:r>
      <w:r>
        <w:rPr>
          <w:rtl/>
        </w:rPr>
        <w:t>בעקרון ההלימה</w:t>
      </w:r>
      <w:r>
        <w:rPr>
          <w:rFonts w:hint="cs"/>
          <w:rtl/>
        </w:rPr>
        <w:t>.</w:t>
      </w:r>
    </w:p>
    <w:p w14:paraId="060D7315" w14:textId="77777777" w:rsidR="002F5449" w:rsidRDefault="002F5449">
      <w:pPr>
        <w:spacing w:line="360" w:lineRule="auto"/>
        <w:jc w:val="both"/>
        <w:rPr>
          <w:rtl/>
        </w:rPr>
      </w:pPr>
    </w:p>
    <w:p w14:paraId="4D04B010" w14:textId="77777777" w:rsidR="002F5449" w:rsidRDefault="00AC3881">
      <w:pPr>
        <w:spacing w:line="360" w:lineRule="auto"/>
        <w:jc w:val="both"/>
        <w:rPr>
          <w:u w:val="single"/>
          <w:rtl/>
        </w:rPr>
      </w:pPr>
      <w:r>
        <w:rPr>
          <w:rFonts w:hint="cs"/>
          <w:u w:val="single"/>
          <w:rtl/>
        </w:rPr>
        <w:t xml:space="preserve">מתחם הענישה </w:t>
      </w:r>
    </w:p>
    <w:p w14:paraId="47E341EF" w14:textId="77777777" w:rsidR="002F5449" w:rsidRDefault="00AC3881">
      <w:pPr>
        <w:spacing w:line="360" w:lineRule="auto"/>
        <w:jc w:val="both"/>
        <w:rPr>
          <w:rtl/>
        </w:rPr>
      </w:pPr>
      <w:r>
        <w:rPr>
          <w:rFonts w:hint="cs"/>
          <w:rtl/>
        </w:rPr>
        <w:t>ב</w:t>
      </w:r>
      <w:r>
        <w:rPr>
          <w:rtl/>
        </w:rPr>
        <w:t xml:space="preserve">שלב </w:t>
      </w:r>
      <w:r>
        <w:rPr>
          <w:rFonts w:hint="cs"/>
          <w:rtl/>
        </w:rPr>
        <w:t>זה על בית המשפט</w:t>
      </w:r>
      <w:r>
        <w:rPr>
          <w:rtl/>
        </w:rPr>
        <w:t xml:space="preserve"> </w:t>
      </w:r>
      <w:r>
        <w:rPr>
          <w:rFonts w:hint="cs"/>
          <w:rtl/>
        </w:rPr>
        <w:t xml:space="preserve">לקבוע </w:t>
      </w:r>
      <w:r>
        <w:rPr>
          <w:rtl/>
        </w:rPr>
        <w:t xml:space="preserve">את מתחם </w:t>
      </w:r>
      <w:r>
        <w:rPr>
          <w:rFonts w:hint="cs"/>
          <w:rtl/>
        </w:rPr>
        <w:t>ה</w:t>
      </w:r>
      <w:r>
        <w:rPr>
          <w:rtl/>
        </w:rPr>
        <w:t xml:space="preserve">ענישה </w:t>
      </w:r>
      <w:r>
        <w:rPr>
          <w:rFonts w:hint="cs"/>
          <w:rtl/>
        </w:rPr>
        <w:t>ה</w:t>
      </w:r>
      <w:r>
        <w:rPr>
          <w:rtl/>
        </w:rPr>
        <w:t xml:space="preserve">ראוי בהתחשב בעבירה ובנסיבות הקשורות בביצועה; כעולה </w:t>
      </w:r>
      <w:hyperlink r:id="rId56" w:history="1">
        <w:r w:rsidR="00C87A09" w:rsidRPr="00C87A09">
          <w:rPr>
            <w:color w:val="0000FF"/>
            <w:u w:val="single"/>
            <w:rtl/>
          </w:rPr>
          <w:t>מסעיף 40ג(א)</w:t>
        </w:r>
      </w:hyperlink>
      <w:r>
        <w:rPr>
          <w:rtl/>
        </w:rPr>
        <w:t xml:space="preserve"> ל</w:t>
      </w:r>
      <w:hyperlink r:id="rId57" w:history="1">
        <w:r w:rsidRPr="00AC3881">
          <w:rPr>
            <w:color w:val="0000FF"/>
            <w:u w:val="single"/>
            <w:rtl/>
          </w:rPr>
          <w:t>חוק העונשין</w:t>
        </w:r>
      </w:hyperlink>
      <w:r>
        <w:rPr>
          <w:rtl/>
        </w:rPr>
        <w:t xml:space="preserve">, מתחם הענישה יקבע בהתאם לעיקרון ההלימות ועל מנת ליישמו יתחשב ביהמ"ש בשלושה אלה: </w:t>
      </w:r>
      <w:r>
        <w:rPr>
          <w:u w:val="single"/>
          <w:rtl/>
        </w:rPr>
        <w:t>ראשית</w:t>
      </w:r>
      <w:r>
        <w:rPr>
          <w:rtl/>
        </w:rPr>
        <w:t xml:space="preserve">, בערך החברתי שנפגע מביצוע העבירה ובמידת הפגיעה בו; </w:t>
      </w:r>
      <w:r>
        <w:rPr>
          <w:u w:val="single"/>
          <w:rtl/>
        </w:rPr>
        <w:t>שנית</w:t>
      </w:r>
      <w:r>
        <w:rPr>
          <w:rtl/>
        </w:rPr>
        <w:t xml:space="preserve">, במדיניות הענישה הנהוגה; </w:t>
      </w:r>
      <w:r>
        <w:rPr>
          <w:u w:val="single"/>
          <w:rtl/>
        </w:rPr>
        <w:t>ושלישית</w:t>
      </w:r>
      <w:r>
        <w:rPr>
          <w:rtl/>
        </w:rPr>
        <w:t xml:space="preserve">, בנסיבות הקשורות בביצוע העבירה כמפורט </w:t>
      </w:r>
      <w:hyperlink r:id="rId58" w:history="1">
        <w:r w:rsidR="00C87A09" w:rsidRPr="00C87A09">
          <w:rPr>
            <w:color w:val="0000FF"/>
            <w:u w:val="single"/>
            <w:rtl/>
          </w:rPr>
          <w:t>בסעיף 40ט</w:t>
        </w:r>
      </w:hyperlink>
      <w:r>
        <w:rPr>
          <w:rtl/>
        </w:rPr>
        <w:t xml:space="preserve"> (הנסיבות המפורטות שם הן מגוונות. יש שבכוחן להשפיע לקולא או לחומרה; יש שלקולא בלבד; ויש שלחומרה בלבד). </w:t>
      </w:r>
    </w:p>
    <w:p w14:paraId="74654BC8" w14:textId="77777777" w:rsidR="002F5449" w:rsidRDefault="00AC3881">
      <w:pPr>
        <w:spacing w:line="360" w:lineRule="auto"/>
        <w:jc w:val="both"/>
        <w:rPr>
          <w:u w:val="single"/>
          <w:rtl/>
        </w:rPr>
      </w:pPr>
      <w:r>
        <w:rPr>
          <w:rFonts w:hint="cs"/>
          <w:u w:val="single"/>
          <w:rtl/>
        </w:rPr>
        <w:t>הערכים החברתיים שנפגעו מביצוע העבירות ומידת הפגיעה בהם</w:t>
      </w:r>
    </w:p>
    <w:p w14:paraId="6D192F50" w14:textId="77777777" w:rsidR="002F5449" w:rsidRDefault="00AC3881">
      <w:pPr>
        <w:spacing w:line="360" w:lineRule="auto"/>
        <w:jc w:val="both"/>
        <w:rPr>
          <w:rtl/>
        </w:rPr>
      </w:pPr>
      <w:r>
        <w:rPr>
          <w:rFonts w:hint="cs"/>
          <w:rtl/>
        </w:rPr>
        <w:t xml:space="preserve">הערכים המוגנים שנפגעו הם השמירה על שלומם וביטחונם של כוחות הביטחון, ההגנה על שלטון החוק והסדר הציבורי. </w:t>
      </w:r>
      <w:r>
        <w:rPr>
          <w:rtl/>
        </w:rPr>
        <w:t>הנאשם פגע בערכים מוגנים</w:t>
      </w:r>
      <w:r>
        <w:t xml:space="preserve"> </w:t>
      </w:r>
      <w:r>
        <w:rPr>
          <w:rtl/>
        </w:rPr>
        <w:t>אלו</w:t>
      </w:r>
      <w:r>
        <w:t xml:space="preserve"> </w:t>
      </w:r>
      <w:r>
        <w:rPr>
          <w:rtl/>
        </w:rPr>
        <w:t>פגיעה</w:t>
      </w:r>
      <w:r>
        <w:t xml:space="preserve"> </w:t>
      </w:r>
      <w:r>
        <w:rPr>
          <w:rtl/>
        </w:rPr>
        <w:t>חמורה, לא</w:t>
      </w:r>
      <w:r>
        <w:t xml:space="preserve"> </w:t>
      </w:r>
      <w:r>
        <w:rPr>
          <w:rtl/>
        </w:rPr>
        <w:t>רק</w:t>
      </w:r>
      <w:r>
        <w:t xml:space="preserve"> </w:t>
      </w:r>
      <w:r>
        <w:rPr>
          <w:rtl/>
        </w:rPr>
        <w:t>בעצם</w:t>
      </w:r>
      <w:r>
        <w:t xml:space="preserve"> </w:t>
      </w:r>
      <w:r>
        <w:rPr>
          <w:rtl/>
        </w:rPr>
        <w:t>הסיכון</w:t>
      </w:r>
      <w:r>
        <w:t xml:space="preserve"> </w:t>
      </w:r>
      <w:r>
        <w:rPr>
          <w:rtl/>
        </w:rPr>
        <w:t>שיצרו</w:t>
      </w:r>
      <w:r>
        <w:rPr>
          <w:rFonts w:hint="cs"/>
          <w:rtl/>
        </w:rPr>
        <w:t xml:space="preserve"> לאנשי כוחות הביטחון</w:t>
      </w:r>
      <w:r>
        <w:rPr>
          <w:rtl/>
        </w:rPr>
        <w:t>, אלא</w:t>
      </w:r>
      <w:r>
        <w:t xml:space="preserve"> </w:t>
      </w:r>
      <w:r>
        <w:rPr>
          <w:rtl/>
        </w:rPr>
        <w:t>גם</w:t>
      </w:r>
      <w:r>
        <w:t xml:space="preserve"> </w:t>
      </w:r>
      <w:r>
        <w:rPr>
          <w:rtl/>
        </w:rPr>
        <w:t>ביציאת</w:t>
      </w:r>
      <w:r>
        <w:rPr>
          <w:rFonts w:hint="cs"/>
          <w:rtl/>
        </w:rPr>
        <w:t>ו</w:t>
      </w:r>
      <w:r>
        <w:rPr>
          <w:rtl/>
        </w:rPr>
        <w:t xml:space="preserve"> חוצץ</w:t>
      </w:r>
      <w:r>
        <w:t xml:space="preserve"> </w:t>
      </w:r>
      <w:r>
        <w:rPr>
          <w:rtl/>
        </w:rPr>
        <w:t>נגד</w:t>
      </w:r>
      <w:r>
        <w:t xml:space="preserve"> </w:t>
      </w:r>
      <w:r>
        <w:rPr>
          <w:rtl/>
        </w:rPr>
        <w:t>רשויות</w:t>
      </w:r>
      <w:r>
        <w:t xml:space="preserve"> </w:t>
      </w:r>
      <w:r>
        <w:rPr>
          <w:rtl/>
        </w:rPr>
        <w:t>החוק</w:t>
      </w:r>
      <w:r>
        <w:t xml:space="preserve"> </w:t>
      </w:r>
      <w:r>
        <w:rPr>
          <w:rtl/>
        </w:rPr>
        <w:t>והאכיפה</w:t>
      </w:r>
      <w:r>
        <w:t>.</w:t>
      </w:r>
    </w:p>
    <w:p w14:paraId="7A391369" w14:textId="77777777" w:rsidR="002F5449" w:rsidRDefault="00AC3881">
      <w:pPr>
        <w:spacing w:line="360" w:lineRule="auto"/>
        <w:jc w:val="both"/>
        <w:rPr>
          <w:u w:val="single"/>
          <w:rtl/>
        </w:rPr>
      </w:pPr>
      <w:r>
        <w:rPr>
          <w:rFonts w:hint="cs"/>
          <w:u w:val="single"/>
          <w:rtl/>
        </w:rPr>
        <w:t xml:space="preserve">מדיניות הענישה הנהוגה  </w:t>
      </w:r>
    </w:p>
    <w:p w14:paraId="7AAA8D04" w14:textId="77777777" w:rsidR="002F5449" w:rsidRDefault="00AC3881">
      <w:pPr>
        <w:spacing w:line="360" w:lineRule="auto"/>
        <w:jc w:val="both"/>
        <w:rPr>
          <w:rtl/>
        </w:rPr>
      </w:pPr>
      <w:r>
        <w:rPr>
          <w:rFonts w:hint="cs"/>
          <w:rtl/>
        </w:rPr>
        <w:t>ראשית, יש לבחון את העונש שקבע המחוקק לצד העבירות:</w:t>
      </w:r>
    </w:p>
    <w:p w14:paraId="7BF0C59D" w14:textId="77777777" w:rsidR="002F5449" w:rsidRDefault="00AC3881">
      <w:pPr>
        <w:spacing w:line="360" w:lineRule="auto"/>
        <w:jc w:val="both"/>
        <w:rPr>
          <w:rtl/>
        </w:rPr>
      </w:pPr>
      <w:r>
        <w:rPr>
          <w:rFonts w:hint="cs"/>
          <w:rtl/>
        </w:rPr>
        <w:t xml:space="preserve">בעבירה של סיוע לייצור נשק </w:t>
      </w:r>
      <w:r>
        <w:rPr>
          <w:rtl/>
        </w:rPr>
        <w:t>–</w:t>
      </w:r>
      <w:r>
        <w:rPr>
          <w:rFonts w:hint="cs"/>
          <w:rtl/>
        </w:rPr>
        <w:t xml:space="preserve"> עבירה לפי </w:t>
      </w:r>
      <w:hyperlink r:id="rId59" w:history="1">
        <w:r w:rsidR="00C87A09" w:rsidRPr="00C87A09">
          <w:rPr>
            <w:color w:val="0000FF"/>
            <w:u w:val="single"/>
            <w:rtl/>
          </w:rPr>
          <w:t>סעיף 144(ב2)</w:t>
        </w:r>
      </w:hyperlink>
      <w:r>
        <w:rPr>
          <w:rFonts w:hint="cs"/>
          <w:rtl/>
        </w:rPr>
        <w:t xml:space="preserve"> בצירוף </w:t>
      </w:r>
      <w:hyperlink r:id="rId60" w:history="1">
        <w:r w:rsidR="00C87A09" w:rsidRPr="00C87A09">
          <w:rPr>
            <w:color w:val="0000FF"/>
            <w:u w:val="single"/>
            <w:rtl/>
          </w:rPr>
          <w:t>סעיף 31</w:t>
        </w:r>
      </w:hyperlink>
      <w:r>
        <w:rPr>
          <w:rFonts w:hint="cs"/>
          <w:rtl/>
        </w:rPr>
        <w:t xml:space="preserve"> לחוק, מאסר 15 שנים.</w:t>
      </w:r>
    </w:p>
    <w:p w14:paraId="5EDA1F47" w14:textId="77777777" w:rsidR="002F5449" w:rsidRDefault="00AC3881">
      <w:pPr>
        <w:spacing w:line="360" w:lineRule="auto"/>
        <w:jc w:val="both"/>
        <w:rPr>
          <w:rtl/>
        </w:rPr>
      </w:pPr>
      <w:r>
        <w:rPr>
          <w:rFonts w:hint="cs"/>
          <w:rtl/>
        </w:rPr>
        <w:t xml:space="preserve">בעבירה של הצתה </w:t>
      </w:r>
      <w:r>
        <w:rPr>
          <w:rtl/>
        </w:rPr>
        <w:t>–</w:t>
      </w:r>
      <w:r>
        <w:rPr>
          <w:rFonts w:hint="cs"/>
          <w:rtl/>
        </w:rPr>
        <w:t xml:space="preserve"> בנסיבות של </w:t>
      </w:r>
      <w:hyperlink r:id="rId61" w:history="1">
        <w:r w:rsidR="00C87A09" w:rsidRPr="00C87A09">
          <w:rPr>
            <w:color w:val="0000FF"/>
            <w:u w:val="single"/>
            <w:rtl/>
          </w:rPr>
          <w:t>סעיף 448</w:t>
        </w:r>
      </w:hyperlink>
      <w:r>
        <w:rPr>
          <w:rFonts w:hint="cs"/>
          <w:rtl/>
        </w:rPr>
        <w:t xml:space="preserve"> (רישא) לחוק, מאסר של 15 שנים. ובנסיבות של </w:t>
      </w:r>
      <w:hyperlink r:id="rId62" w:history="1">
        <w:r w:rsidR="00C87A09" w:rsidRPr="00C87A09">
          <w:rPr>
            <w:color w:val="0000FF"/>
            <w:u w:val="single"/>
            <w:rtl/>
          </w:rPr>
          <w:t>סעיף 448</w:t>
        </w:r>
      </w:hyperlink>
      <w:r>
        <w:rPr>
          <w:rFonts w:hint="cs"/>
          <w:rtl/>
        </w:rPr>
        <w:t xml:space="preserve"> (סיפא) לחוק, מאסר של  20 שנים.</w:t>
      </w:r>
    </w:p>
    <w:p w14:paraId="70EEE1BF" w14:textId="77777777" w:rsidR="002F5449" w:rsidRDefault="00AC3881">
      <w:pPr>
        <w:spacing w:line="360" w:lineRule="auto"/>
        <w:jc w:val="both"/>
        <w:rPr>
          <w:rtl/>
        </w:rPr>
      </w:pPr>
      <w:r>
        <w:rPr>
          <w:rFonts w:hint="cs"/>
          <w:rtl/>
        </w:rPr>
        <w:t xml:space="preserve">ניסיון תקיפת שוטר בנסיבות מחמירות </w:t>
      </w:r>
      <w:r>
        <w:rPr>
          <w:rtl/>
        </w:rPr>
        <w:t>–</w:t>
      </w:r>
      <w:r>
        <w:rPr>
          <w:rFonts w:hint="cs"/>
          <w:rtl/>
        </w:rPr>
        <w:t xml:space="preserve"> עבירה לפי סעיף </w:t>
      </w:r>
      <w:hyperlink r:id="rId63" w:history="1">
        <w:r w:rsidR="00C87A09" w:rsidRPr="00C87A09">
          <w:rPr>
            <w:color w:val="0000FF"/>
            <w:u w:val="single"/>
            <w:rtl/>
          </w:rPr>
          <w:t>274(1),(2)</w:t>
        </w:r>
      </w:hyperlink>
      <w:r>
        <w:rPr>
          <w:rFonts w:hint="cs"/>
          <w:rtl/>
        </w:rPr>
        <w:t xml:space="preserve"> בצירוף </w:t>
      </w:r>
      <w:hyperlink r:id="rId64" w:history="1">
        <w:r w:rsidR="00C87A09" w:rsidRPr="00C87A09">
          <w:rPr>
            <w:color w:val="0000FF"/>
            <w:u w:val="single"/>
            <w:rtl/>
          </w:rPr>
          <w:t>סעיף 25</w:t>
        </w:r>
      </w:hyperlink>
      <w:r>
        <w:rPr>
          <w:rFonts w:hint="cs"/>
          <w:rtl/>
        </w:rPr>
        <w:t xml:space="preserve"> לחוק, מאסר עד 5 שנים.</w:t>
      </w:r>
    </w:p>
    <w:p w14:paraId="17575F5D" w14:textId="77777777" w:rsidR="002F5449" w:rsidRDefault="00AC3881">
      <w:pPr>
        <w:spacing w:line="360" w:lineRule="auto"/>
        <w:jc w:val="both"/>
        <w:rPr>
          <w:rtl/>
        </w:rPr>
      </w:pPr>
      <w:r>
        <w:rPr>
          <w:rFonts w:hint="cs"/>
          <w:rtl/>
        </w:rPr>
        <w:t xml:space="preserve">התפרעות </w:t>
      </w:r>
      <w:r>
        <w:rPr>
          <w:rtl/>
        </w:rPr>
        <w:t>–</w:t>
      </w:r>
      <w:r>
        <w:rPr>
          <w:rFonts w:hint="cs"/>
          <w:rtl/>
        </w:rPr>
        <w:t xml:space="preserve"> עבירה לפי </w:t>
      </w:r>
      <w:hyperlink r:id="rId65" w:history="1">
        <w:r w:rsidR="00C87A09" w:rsidRPr="00C87A09">
          <w:rPr>
            <w:color w:val="0000FF"/>
            <w:u w:val="single"/>
            <w:rtl/>
          </w:rPr>
          <w:t>סעיף 152</w:t>
        </w:r>
      </w:hyperlink>
      <w:r>
        <w:rPr>
          <w:rFonts w:hint="cs"/>
          <w:rtl/>
        </w:rPr>
        <w:t xml:space="preserve"> לחוק, מאסר שנתיים.</w:t>
      </w:r>
    </w:p>
    <w:p w14:paraId="0DF239BF" w14:textId="77777777" w:rsidR="002F5449" w:rsidRDefault="00AC3881">
      <w:pPr>
        <w:spacing w:line="360" w:lineRule="auto"/>
        <w:jc w:val="both"/>
        <w:rPr>
          <w:rtl/>
        </w:rPr>
      </w:pPr>
      <w:r>
        <w:rPr>
          <w:rFonts w:hint="cs"/>
          <w:rtl/>
        </w:rPr>
        <w:t xml:space="preserve">הפרעה לשוטר בנסיבות מחמירות </w:t>
      </w:r>
      <w:r>
        <w:rPr>
          <w:rtl/>
        </w:rPr>
        <w:t>–</w:t>
      </w:r>
      <w:r>
        <w:rPr>
          <w:rFonts w:hint="cs"/>
          <w:rtl/>
        </w:rPr>
        <w:t xml:space="preserve"> עבירה לפי </w:t>
      </w:r>
      <w:hyperlink r:id="rId66" w:history="1">
        <w:r w:rsidR="00C87A09" w:rsidRPr="00C87A09">
          <w:rPr>
            <w:color w:val="0000FF"/>
            <w:u w:val="single"/>
            <w:rtl/>
          </w:rPr>
          <w:t>סעיף 275א</w:t>
        </w:r>
      </w:hyperlink>
      <w:r>
        <w:rPr>
          <w:rFonts w:hint="cs"/>
          <w:rtl/>
        </w:rPr>
        <w:t xml:space="preserve"> לחוק, מאסר של 5 שנים.</w:t>
      </w:r>
    </w:p>
    <w:p w14:paraId="209E0864" w14:textId="77777777" w:rsidR="002F5449" w:rsidRDefault="00AC3881">
      <w:pPr>
        <w:spacing w:line="360" w:lineRule="auto"/>
        <w:jc w:val="both"/>
        <w:rPr>
          <w:rtl/>
        </w:rPr>
      </w:pPr>
      <w:r>
        <w:rPr>
          <w:rFonts w:hint="cs"/>
          <w:rtl/>
        </w:rPr>
        <w:t>דהיינו, העונש שקבע המחוקק לצד העבירות נע על טווח רחב של ענישה, החל משנתיים בגין עבירת התפרעות ועד עשרים שנה בעברית הצתה.</w:t>
      </w:r>
    </w:p>
    <w:p w14:paraId="69B49A0D" w14:textId="77777777" w:rsidR="002F5449" w:rsidRDefault="002F5449">
      <w:pPr>
        <w:spacing w:line="360" w:lineRule="auto"/>
        <w:jc w:val="both"/>
        <w:rPr>
          <w:rtl/>
        </w:rPr>
      </w:pPr>
    </w:p>
    <w:p w14:paraId="5086C7A1" w14:textId="77777777" w:rsidR="002F5449" w:rsidRDefault="00AC3881">
      <w:pPr>
        <w:spacing w:line="360" w:lineRule="auto"/>
        <w:jc w:val="both"/>
        <w:rPr>
          <w:rtl/>
        </w:rPr>
      </w:pPr>
      <w:r>
        <w:rPr>
          <w:rFonts w:hint="cs"/>
          <w:rtl/>
        </w:rPr>
        <w:t xml:space="preserve">שנית, יש לבחון את מדיניות הענישה הנהוגה. במסגרת זו בחנתי את האסמכתאות שהגישו הצדדים. </w:t>
      </w:r>
    </w:p>
    <w:p w14:paraId="5DA53C56" w14:textId="77777777" w:rsidR="002F5449" w:rsidRDefault="002F5449">
      <w:pPr>
        <w:spacing w:line="360" w:lineRule="auto"/>
        <w:jc w:val="both"/>
        <w:rPr>
          <w:u w:val="single"/>
          <w:rtl/>
        </w:rPr>
      </w:pPr>
    </w:p>
    <w:p w14:paraId="270888B5" w14:textId="77777777" w:rsidR="002F5449" w:rsidRDefault="00AC3881">
      <w:pPr>
        <w:spacing w:line="360" w:lineRule="auto"/>
        <w:jc w:val="both"/>
        <w:rPr>
          <w:b/>
          <w:bCs/>
          <w:u w:val="single"/>
          <w:rtl/>
        </w:rPr>
      </w:pPr>
      <w:hyperlink r:id="rId67" w:history="1">
        <w:r w:rsidRPr="00AC3881">
          <w:rPr>
            <w:color w:val="0000FF"/>
            <w:u w:val="single"/>
            <w:rtl/>
          </w:rPr>
          <w:t>ת.פ. (מחוזי י-ם) 21035-11-15</w:t>
        </w:r>
      </w:hyperlink>
      <w:r>
        <w:rPr>
          <w:rFonts w:hint="cs"/>
          <w:u w:val="single"/>
          <w:rtl/>
        </w:rPr>
        <w:t xml:space="preserve"> </w:t>
      </w:r>
      <w:r>
        <w:rPr>
          <w:rFonts w:hint="cs"/>
          <w:b/>
          <w:bCs/>
          <w:u w:val="single"/>
          <w:rtl/>
        </w:rPr>
        <w:t>מדינת ישראל נ' חמזה נגאר</w:t>
      </w:r>
      <w:r>
        <w:rPr>
          <w:rFonts w:hint="cs"/>
          <w:u w:val="single"/>
          <w:rtl/>
        </w:rPr>
        <w:t xml:space="preserve"> </w:t>
      </w:r>
      <w:r>
        <w:rPr>
          <w:rFonts w:hint="cs"/>
          <w:b/>
          <w:bCs/>
          <w:u w:val="single"/>
          <w:rtl/>
        </w:rPr>
        <w:t>(31.7.16)</w:t>
      </w:r>
    </w:p>
    <w:p w14:paraId="0D715CF3" w14:textId="77777777" w:rsidR="002F5449" w:rsidRDefault="00AC3881">
      <w:pPr>
        <w:spacing w:line="360" w:lineRule="auto"/>
        <w:jc w:val="both"/>
        <w:rPr>
          <w:rtl/>
        </w:rPr>
      </w:pPr>
      <w:r>
        <w:rPr>
          <w:rFonts w:hint="cs"/>
          <w:rtl/>
        </w:rPr>
        <w:t xml:space="preserve">הנאשם הורשע ב-2 אישומים של הפרות סדר במסגרת בהסדר טיעון. באישום הראשון הנאשם הורשע בעבירה של ניסיון תקיפת שוטר בנסיבות מחמירות, עבירה לפי </w:t>
      </w:r>
      <w:hyperlink r:id="rId68" w:history="1">
        <w:r w:rsidR="00C87A09" w:rsidRPr="00C87A09">
          <w:rPr>
            <w:color w:val="0000FF"/>
            <w:u w:val="single"/>
            <w:rtl/>
          </w:rPr>
          <w:t>סעיף 274(1)(2)</w:t>
        </w:r>
      </w:hyperlink>
      <w:r>
        <w:rPr>
          <w:rFonts w:hint="cs"/>
          <w:rtl/>
        </w:rPr>
        <w:t xml:space="preserve"> בצירוף </w:t>
      </w:r>
      <w:hyperlink r:id="rId69" w:history="1">
        <w:r w:rsidR="00C87A09" w:rsidRPr="00C87A09">
          <w:rPr>
            <w:color w:val="0000FF"/>
            <w:u w:val="single"/>
            <w:rtl/>
          </w:rPr>
          <w:t>סעיף 25</w:t>
        </w:r>
      </w:hyperlink>
      <w:r>
        <w:rPr>
          <w:rFonts w:hint="cs"/>
          <w:rtl/>
        </w:rPr>
        <w:t xml:space="preserve"> </w:t>
      </w:r>
      <w:hyperlink r:id="rId70" w:history="1">
        <w:r w:rsidR="00C87A09" w:rsidRPr="00C87A09">
          <w:rPr>
            <w:color w:val="0000FF"/>
            <w:u w:val="single"/>
            <w:rtl/>
          </w:rPr>
          <w:t>וסעיף 29</w:t>
        </w:r>
      </w:hyperlink>
      <w:r>
        <w:rPr>
          <w:rFonts w:hint="cs"/>
          <w:rtl/>
        </w:rPr>
        <w:t xml:space="preserve"> ל</w:t>
      </w:r>
      <w:hyperlink r:id="rId71" w:history="1">
        <w:r w:rsidRPr="00AC3881">
          <w:rPr>
            <w:color w:val="0000FF"/>
            <w:u w:val="single"/>
            <w:rtl/>
          </w:rPr>
          <w:t>חוק העונשין</w:t>
        </w:r>
      </w:hyperlink>
      <w:r>
        <w:rPr>
          <w:rFonts w:hint="cs"/>
          <w:rtl/>
        </w:rPr>
        <w:t xml:space="preserve">, התשל"ז -1977 (להלן </w:t>
      </w:r>
      <w:r>
        <w:rPr>
          <w:rtl/>
        </w:rPr>
        <w:t>–</w:t>
      </w:r>
      <w:r>
        <w:rPr>
          <w:rFonts w:hint="cs"/>
          <w:rtl/>
        </w:rPr>
        <w:t xml:space="preserve"> החוק). באישום השני הנאשם הורשע בעבירה של יידוי אבן לעבר כלי תחבורה, לפי </w:t>
      </w:r>
      <w:hyperlink r:id="rId72" w:history="1">
        <w:r w:rsidR="00C87A09" w:rsidRPr="00C87A09">
          <w:rPr>
            <w:color w:val="0000FF"/>
            <w:u w:val="single"/>
            <w:rtl/>
          </w:rPr>
          <w:t>סעיף 332א(א)</w:t>
        </w:r>
      </w:hyperlink>
      <w:r>
        <w:rPr>
          <w:rFonts w:hint="cs"/>
          <w:rtl/>
        </w:rPr>
        <w:t xml:space="preserve"> בצירוף </w:t>
      </w:r>
      <w:hyperlink r:id="rId73" w:history="1">
        <w:r w:rsidR="00C87A09" w:rsidRPr="00C87A09">
          <w:rPr>
            <w:color w:val="0000FF"/>
            <w:u w:val="single"/>
            <w:rtl/>
          </w:rPr>
          <w:t>סעיף 29</w:t>
        </w:r>
      </w:hyperlink>
      <w:r>
        <w:rPr>
          <w:rFonts w:hint="cs"/>
          <w:rtl/>
        </w:rPr>
        <w:t xml:space="preserve"> לחוק, ועבירה של התפרעות, עברה לפי </w:t>
      </w:r>
      <w:hyperlink r:id="rId74" w:history="1">
        <w:r w:rsidR="00C87A09" w:rsidRPr="00C87A09">
          <w:rPr>
            <w:color w:val="0000FF"/>
            <w:u w:val="single"/>
            <w:rtl/>
          </w:rPr>
          <w:t>סעיף 152</w:t>
        </w:r>
      </w:hyperlink>
      <w:r>
        <w:rPr>
          <w:rFonts w:hint="cs"/>
          <w:rtl/>
        </w:rPr>
        <w:t xml:space="preserve"> לחוק. ביהמ"ש המחוזי קבע מתחום ענישה הולם הנע בין 12-30 חודשי מאסר בפועל, ואילו באישום השני נקבע מתחום ענישה הנע בין 20-45 חודשי מאסר בפועל. בית המשפט הטיל על הנאשם 28 חודשי מאסר בפועל ו-6 חודשי מאסר על תנאי. הוגש ערעור על חומרת העונש אשר נדחה לאחר שבית המשפט העליון לא מצא להעתר לערעור ואף קבע, שהעונש שהוטל על המערער מוצדק: </w:t>
      </w:r>
      <w:hyperlink r:id="rId75" w:history="1">
        <w:r w:rsidRPr="00AC3881">
          <w:rPr>
            <w:color w:val="0000FF"/>
            <w:u w:val="single"/>
            <w:rtl/>
          </w:rPr>
          <w:t>ע"פ 4324/16</w:t>
        </w:r>
      </w:hyperlink>
      <w:r>
        <w:rPr>
          <w:rFonts w:hint="cs"/>
          <w:rtl/>
        </w:rPr>
        <w:t xml:space="preserve"> </w:t>
      </w:r>
      <w:r>
        <w:rPr>
          <w:rFonts w:hint="cs"/>
          <w:b/>
          <w:bCs/>
          <w:rtl/>
        </w:rPr>
        <w:t>חמזה נגאר נ' מדינת ישראל</w:t>
      </w:r>
      <w:r>
        <w:rPr>
          <w:rFonts w:hint="cs"/>
          <w:rtl/>
        </w:rPr>
        <w:t xml:space="preserve"> (31.7.16). </w:t>
      </w:r>
    </w:p>
    <w:p w14:paraId="51079DE8" w14:textId="77777777" w:rsidR="002F5449" w:rsidRDefault="00AC3881">
      <w:pPr>
        <w:spacing w:line="360" w:lineRule="auto"/>
        <w:jc w:val="both"/>
        <w:rPr>
          <w:rtl/>
        </w:rPr>
      </w:pPr>
      <w:r>
        <w:rPr>
          <w:rFonts w:hint="cs"/>
          <w:rtl/>
        </w:rPr>
        <w:t xml:space="preserve">המקרה שלפני חמור יותר בשל כך שהוא מחזיק 3 אישומים, וגם בשל כך שהוא מחזיק יותר עבירות ובשל חומרת העבירות, כך שעולה שבמקרה שלפני יש להטיל על הנאשם עונש של מאסר בפועל העולה על 28 חודשי מאסר. </w:t>
      </w:r>
    </w:p>
    <w:p w14:paraId="2C41BFFF" w14:textId="77777777" w:rsidR="002F5449" w:rsidRDefault="002F5449">
      <w:pPr>
        <w:spacing w:line="360" w:lineRule="auto"/>
        <w:jc w:val="both"/>
        <w:rPr>
          <w:b/>
          <w:bCs/>
          <w:u w:val="single"/>
          <w:rtl/>
        </w:rPr>
      </w:pPr>
    </w:p>
    <w:p w14:paraId="716F76FF" w14:textId="77777777" w:rsidR="002F5449" w:rsidRDefault="00691BAE">
      <w:pPr>
        <w:spacing w:line="360" w:lineRule="auto"/>
        <w:jc w:val="both"/>
        <w:rPr>
          <w:rtl/>
        </w:rPr>
      </w:pPr>
      <w:hyperlink r:id="rId76" w:history="1">
        <w:r w:rsidRPr="00691BAE">
          <w:rPr>
            <w:rStyle w:val="Hyperlink"/>
            <w:rFonts w:hint="eastAsia"/>
            <w:rtl/>
          </w:rPr>
          <w:t>עפ</w:t>
        </w:r>
        <w:r w:rsidRPr="00691BAE">
          <w:rPr>
            <w:rStyle w:val="Hyperlink"/>
            <w:rtl/>
          </w:rPr>
          <w:t xml:space="preserve">"ג (מחוזי י-ם) 38296-07-16 </w:t>
        </w:r>
      </w:hyperlink>
      <w:r w:rsidR="00AC3881">
        <w:rPr>
          <w:rFonts w:hint="cs"/>
          <w:u w:val="single"/>
          <w:rtl/>
        </w:rPr>
        <w:t xml:space="preserve"> </w:t>
      </w:r>
      <w:r w:rsidR="00AC3881">
        <w:rPr>
          <w:rFonts w:hint="cs"/>
          <w:b/>
          <w:bCs/>
          <w:u w:val="single"/>
          <w:rtl/>
        </w:rPr>
        <w:t>מדינת ישראל נ' עליאן (2.8.16)</w:t>
      </w:r>
    </w:p>
    <w:p w14:paraId="5C34FAEA" w14:textId="77777777" w:rsidR="002F5449" w:rsidRDefault="00AC3881">
      <w:pPr>
        <w:spacing w:line="360" w:lineRule="auto"/>
        <w:jc w:val="both"/>
        <w:rPr>
          <w:rtl/>
        </w:rPr>
      </w:pPr>
      <w:r>
        <w:rPr>
          <w:rFonts w:hint="cs"/>
          <w:rtl/>
        </w:rPr>
        <w:t xml:space="preserve">הנאשמים הורשעו במסגרת כתב אישום מתוקן בעבירה של ניסיון תקיפת שוטר בנסיבות מחמירות, עבירה לפי סעיף </w:t>
      </w:r>
      <w:hyperlink r:id="rId77" w:history="1">
        <w:r w:rsidR="00C87A09" w:rsidRPr="00C87A09">
          <w:rPr>
            <w:color w:val="0000FF"/>
            <w:u w:val="single"/>
            <w:rtl/>
          </w:rPr>
          <w:t>274(2),(3)</w:t>
        </w:r>
      </w:hyperlink>
      <w:r>
        <w:rPr>
          <w:rFonts w:hint="cs"/>
          <w:rtl/>
        </w:rPr>
        <w:t xml:space="preserve"> לחוק, ובעבירה של התפרעות, עבירה לפי </w:t>
      </w:r>
      <w:hyperlink r:id="rId78" w:history="1">
        <w:r w:rsidR="00C87A09" w:rsidRPr="00C87A09">
          <w:rPr>
            <w:color w:val="0000FF"/>
            <w:u w:val="single"/>
            <w:rtl/>
          </w:rPr>
          <w:t>סעיף 152</w:t>
        </w:r>
      </w:hyperlink>
      <w:r>
        <w:rPr>
          <w:rFonts w:hint="cs"/>
          <w:rtl/>
        </w:rPr>
        <w:t xml:space="preserve"> לחוק. בימ"ש שלום קבע, כי מתחם הענישה ההולם נע בין 5 ל-10 חודשי מאסר בפועל, והטיל על הנאשם 1 </w:t>
      </w:r>
      <w:r>
        <w:rPr>
          <w:rtl/>
        </w:rPr>
        <w:t>–</w:t>
      </w:r>
      <w:r>
        <w:rPr>
          <w:rFonts w:hint="cs"/>
          <w:rtl/>
        </w:rPr>
        <w:t xml:space="preserve"> 6 חודשי מאסר בפועל;  ועל הנאשם 2 </w:t>
      </w:r>
      <w:r>
        <w:rPr>
          <w:rtl/>
        </w:rPr>
        <w:t>–</w:t>
      </w:r>
      <w:r>
        <w:rPr>
          <w:rFonts w:hint="cs"/>
          <w:rtl/>
        </w:rPr>
        <w:t xml:space="preserve"> 8 חודשי מאסר בפועל. בערעור התקבלה טענת המאשימה, כי ביהמ"ש קמא שגה הן בקביעת מתחם הענישה והן בקביעת העונש המתאים לנאשם 2. נקבע, כי ככל שלא מדובר באירוע מתוכנן או המוני, שלא היו מעורבים בו רעולי פנים ולא נגרם נזק לרכוש או לאדם, יש להעמיד את הרף העליון של מתחם הענישה על 24 חודשי מאסר בפועל. הגם שלגבי נאשם 1 נאמר, כי העונש מקל יתר על המידה, לא מצא ביהמ"ש העליון להתערב בו. לגבי הנאשם 2, שלו הרשעה קודמת בעבירות דומות בגינה נגזר עליו עונש מאסר בפועל בשנת 2013 והוא לא הורתע ממנו ועבר עבירות נוספות, הועמד עונשו על 12 חודשי מאסר בפועל. כאמור לעיל, המקרה שלפני חמור יותר בשל כך שהוא מחזיק 3 אישומים, ובשל כך שהוא מחזיק יותר עבירות ובשל חומרת העבירות. בנוסף, גם אם האישום השני לא היה בגדר אירוע המוני, היו בו משתתפים נוספים, והוא חמור יותר שכן מדובר באירוע מתוכנן והנאשם היה רעול פנים. האישום 3 חמור יותר, שכן היה מדובר באירועים המוניים. לאור </w:t>
      </w:r>
      <w:hyperlink r:id="rId79" w:history="1">
        <w:r w:rsidRPr="00AC3881">
          <w:rPr>
            <w:color w:val="0000FF"/>
            <w:u w:val="single"/>
            <w:rtl/>
          </w:rPr>
          <w:t>ע"פ 4324/16</w:t>
        </w:r>
      </w:hyperlink>
      <w:r>
        <w:rPr>
          <w:rFonts w:hint="cs"/>
          <w:rtl/>
        </w:rPr>
        <w:t xml:space="preserve"> </w:t>
      </w:r>
      <w:r>
        <w:rPr>
          <w:rFonts w:hint="cs"/>
          <w:b/>
          <w:bCs/>
          <w:rtl/>
        </w:rPr>
        <w:t>חמזה נגאר</w:t>
      </w:r>
      <w:r>
        <w:rPr>
          <w:rFonts w:hint="cs"/>
          <w:rtl/>
        </w:rPr>
        <w:t xml:space="preserve"> הרף המקסימלי צריך להיות גבוה מ- 24 חודשי מאסר בפועל.</w:t>
      </w:r>
    </w:p>
    <w:p w14:paraId="778ABA99" w14:textId="77777777" w:rsidR="002F5449" w:rsidRDefault="002F5449">
      <w:pPr>
        <w:spacing w:line="360" w:lineRule="auto"/>
        <w:jc w:val="both"/>
        <w:rPr>
          <w:rtl/>
        </w:rPr>
      </w:pPr>
    </w:p>
    <w:p w14:paraId="20256663" w14:textId="77777777" w:rsidR="002F5449" w:rsidRDefault="00AC3881">
      <w:pPr>
        <w:spacing w:line="360" w:lineRule="auto"/>
        <w:jc w:val="both"/>
        <w:rPr>
          <w:u w:val="single"/>
          <w:rtl/>
        </w:rPr>
      </w:pPr>
      <w:hyperlink r:id="rId80" w:history="1">
        <w:r w:rsidRPr="00AC3881">
          <w:rPr>
            <w:color w:val="0000FF"/>
            <w:u w:val="single"/>
            <w:rtl/>
          </w:rPr>
          <w:t>ת"פ 40201-02-16</w:t>
        </w:r>
      </w:hyperlink>
      <w:r>
        <w:rPr>
          <w:rFonts w:hint="cs"/>
          <w:u w:val="single"/>
          <w:rtl/>
        </w:rPr>
        <w:t xml:space="preserve"> </w:t>
      </w:r>
      <w:r>
        <w:rPr>
          <w:rFonts w:hint="cs"/>
          <w:b/>
          <w:bCs/>
          <w:u w:val="single"/>
          <w:rtl/>
        </w:rPr>
        <w:t>מדינת ישראל נ' אבו עוויס</w:t>
      </w:r>
      <w:r>
        <w:rPr>
          <w:rFonts w:hint="cs"/>
          <w:u w:val="single"/>
          <w:rtl/>
        </w:rPr>
        <w:t xml:space="preserve"> </w:t>
      </w:r>
      <w:r>
        <w:rPr>
          <w:rFonts w:hint="cs"/>
          <w:b/>
          <w:bCs/>
          <w:u w:val="single"/>
          <w:rtl/>
        </w:rPr>
        <w:t>(11.7.16)</w:t>
      </w:r>
    </w:p>
    <w:p w14:paraId="55D59F88" w14:textId="77777777" w:rsidR="002F5449" w:rsidRDefault="00AC3881">
      <w:pPr>
        <w:spacing w:line="360" w:lineRule="auto"/>
        <w:jc w:val="both"/>
        <w:rPr>
          <w:rtl/>
        </w:rPr>
      </w:pPr>
      <w:r>
        <w:rPr>
          <w:rFonts w:hint="cs"/>
          <w:rtl/>
        </w:rPr>
        <w:t xml:space="preserve">הנאשם הורשע במסגרת כתב אישום מתוקן בעבירה של ניסיון תקיפת שוטר בנסיבות מחמירות, עבירה לפי </w:t>
      </w:r>
      <w:hyperlink r:id="rId81" w:history="1">
        <w:r w:rsidR="00C87A09" w:rsidRPr="00C87A09">
          <w:rPr>
            <w:color w:val="0000FF"/>
            <w:u w:val="single"/>
            <w:rtl/>
          </w:rPr>
          <w:t>סעיף 274(2)</w:t>
        </w:r>
      </w:hyperlink>
      <w:r>
        <w:rPr>
          <w:rFonts w:hint="cs"/>
          <w:rtl/>
        </w:rPr>
        <w:t xml:space="preserve"> ו-274(3) לחוק, ובעבירה של התפרעות, עבירה לפי </w:t>
      </w:r>
      <w:hyperlink r:id="rId82" w:history="1">
        <w:r w:rsidR="00C87A09" w:rsidRPr="00C87A09">
          <w:rPr>
            <w:color w:val="0000FF"/>
            <w:u w:val="single"/>
            <w:rtl/>
          </w:rPr>
          <w:t>סעיף 152</w:t>
        </w:r>
      </w:hyperlink>
      <w:r>
        <w:rPr>
          <w:rFonts w:hint="cs"/>
          <w:rtl/>
        </w:rPr>
        <w:t xml:space="preserve"> לחוק. בימ"ש שלום קבע, כי מתחם הענישה ההולם נע בין 5 ל-17 חודשי מאסר בפועל, והטיל על הנאשם 7 חודשי מאסר בפועל. המתחם נקבע בשים לב לכך שלעומת פרשת עליאן, לעיל, במקרה זה היה מדובר בהפרות סדר המוניות במספר מוקדים, ובהשתתפות רעולי פנים, והיו פגיעות בשוטרים. גזר הדין ניתן לפני </w:t>
      </w:r>
      <w:r w:rsidR="007655E2" w:rsidRPr="001B3E6F">
        <w:rPr>
          <w:rFonts w:hint="eastAsia"/>
          <w:rtl/>
        </w:rPr>
        <w:t>ע</w:t>
      </w:r>
      <w:r w:rsidR="007655E2" w:rsidRPr="001B3E6F">
        <w:rPr>
          <w:rtl/>
        </w:rPr>
        <w:t>"פ (מחוזי י-ם) 38296-07-16</w:t>
      </w:r>
      <w:r>
        <w:rPr>
          <w:rFonts w:hint="cs"/>
          <w:rtl/>
        </w:rPr>
        <w:t>, לעיל, ולכן נראה, כי מתחם הענישה שנקבע בבימ"ש קמא נמוך מדי, בפרט בשים לב לקביעת בית המשפט המחוזי בעניין עליאן, שמתחם הענישה ההולם ינוע בין 5 ל- 24 חודשי מאסר בפועל, במקרים שמדובר באירוע שאינו המוני או מתוכנן, שלא היו מעורבים בו רעולי פנים ולא נגרם נזק לרכוש או לאדם.</w:t>
      </w:r>
    </w:p>
    <w:p w14:paraId="7F560DC0" w14:textId="77777777" w:rsidR="002F5449" w:rsidRDefault="002F5449">
      <w:pPr>
        <w:spacing w:line="360" w:lineRule="auto"/>
        <w:jc w:val="both"/>
        <w:rPr>
          <w:rtl/>
        </w:rPr>
      </w:pPr>
    </w:p>
    <w:p w14:paraId="235A8DCA" w14:textId="77777777" w:rsidR="002F5449" w:rsidRDefault="002F5449">
      <w:pPr>
        <w:spacing w:line="360" w:lineRule="auto"/>
        <w:jc w:val="both"/>
        <w:rPr>
          <w:rtl/>
        </w:rPr>
      </w:pPr>
    </w:p>
    <w:p w14:paraId="63FE4EC7" w14:textId="77777777" w:rsidR="002F5449" w:rsidRDefault="00AC3881">
      <w:pPr>
        <w:spacing w:line="360" w:lineRule="auto"/>
        <w:jc w:val="both"/>
        <w:rPr>
          <w:b/>
          <w:bCs/>
          <w:u w:val="single"/>
          <w:rtl/>
        </w:rPr>
      </w:pPr>
      <w:hyperlink r:id="rId83" w:history="1">
        <w:r w:rsidRPr="00AC3881">
          <w:rPr>
            <w:color w:val="0000FF"/>
            <w:u w:val="single"/>
            <w:rtl/>
          </w:rPr>
          <w:t>ת.פ. 525-06-15</w:t>
        </w:r>
      </w:hyperlink>
      <w:r>
        <w:rPr>
          <w:rFonts w:hint="cs"/>
          <w:u w:val="single"/>
          <w:rtl/>
        </w:rPr>
        <w:t xml:space="preserve"> </w:t>
      </w:r>
      <w:r>
        <w:rPr>
          <w:rFonts w:hint="cs"/>
          <w:b/>
          <w:bCs/>
          <w:u w:val="single"/>
          <w:rtl/>
        </w:rPr>
        <w:t>מדינת ישראל נ' באסל סיאד (20.9.15)</w:t>
      </w:r>
    </w:p>
    <w:p w14:paraId="2E2124AD" w14:textId="77777777" w:rsidR="002F5449" w:rsidRDefault="00AC3881">
      <w:pPr>
        <w:spacing w:line="360" w:lineRule="auto"/>
        <w:jc w:val="both"/>
        <w:rPr>
          <w:rtl/>
        </w:rPr>
      </w:pPr>
      <w:r>
        <w:rPr>
          <w:rFonts w:hint="cs"/>
          <w:rtl/>
        </w:rPr>
        <w:t xml:space="preserve">הנאשמים הורשעו במסגרת כתב אישום מתוקן במספר רב של אישומים שעניינם פגיעה ביהודים המתגוררים בשכונת א-טור במזרח ירושלים, וכן בהתפרעויות והפרות סדר. </w:t>
      </w:r>
    </w:p>
    <w:p w14:paraId="4888C867" w14:textId="77777777" w:rsidR="002F5449" w:rsidRDefault="00AC3881">
      <w:pPr>
        <w:spacing w:line="360" w:lineRule="auto"/>
        <w:jc w:val="both"/>
        <w:rPr>
          <w:rtl/>
        </w:rPr>
      </w:pPr>
      <w:r>
        <w:rPr>
          <w:rFonts w:hint="cs"/>
          <w:rtl/>
        </w:rPr>
        <w:t>הנאשמים הורשעו בעבירות שונות, שמהם רלבנטיים למקרה שלפני אישומים 2-12 בלבד. בית המשפט המחוזי קבע את מתחמי הענישה כדלקמן:</w:t>
      </w:r>
    </w:p>
    <w:p w14:paraId="427D032A" w14:textId="77777777" w:rsidR="002F5449" w:rsidRDefault="00AC3881">
      <w:pPr>
        <w:spacing w:line="360" w:lineRule="auto"/>
        <w:jc w:val="both"/>
        <w:rPr>
          <w:rtl/>
        </w:rPr>
      </w:pPr>
      <w:r>
        <w:rPr>
          <w:rFonts w:hint="cs"/>
          <w:rtl/>
        </w:rPr>
        <w:t xml:space="preserve">באישומים בהם נזרקו אבנים ובקבוקי תבערה, כאשר בחלקם השליך הנאשם רק אבנים ובחלקם השליך גם בקבוקי תבערה </w:t>
      </w:r>
      <w:r>
        <w:rPr>
          <w:rtl/>
        </w:rPr>
        <w:t>–</w:t>
      </w:r>
      <w:r>
        <w:rPr>
          <w:rFonts w:hint="cs"/>
          <w:rtl/>
        </w:rPr>
        <w:t xml:space="preserve"> מתחם העונש לגבי כל אישום נקבע כנע בין 20 עד 45 חודשי מאסר. </w:t>
      </w:r>
    </w:p>
    <w:p w14:paraId="50EF43BD" w14:textId="77777777" w:rsidR="002F5449" w:rsidRDefault="00AC3881">
      <w:pPr>
        <w:spacing w:line="360" w:lineRule="auto"/>
        <w:jc w:val="both"/>
        <w:rPr>
          <w:rtl/>
        </w:rPr>
      </w:pPr>
      <w:r>
        <w:rPr>
          <w:rFonts w:hint="cs"/>
          <w:rtl/>
        </w:rPr>
        <w:t xml:space="preserve">באישומים בהם הושלכו אבנים (ובאחד מהם זיקוק), והנאשם השליך אבנים </w:t>
      </w:r>
      <w:r>
        <w:rPr>
          <w:rtl/>
        </w:rPr>
        <w:t>–</w:t>
      </w:r>
      <w:r>
        <w:rPr>
          <w:rFonts w:hint="cs"/>
          <w:rtl/>
        </w:rPr>
        <w:t xml:space="preserve"> מתחם העונש לגבי כל אישום נקבע כנע בין 12 עד 30 חודשי מאסר. </w:t>
      </w:r>
    </w:p>
    <w:p w14:paraId="06068F91" w14:textId="77777777" w:rsidR="002F5449" w:rsidRDefault="00AC3881">
      <w:pPr>
        <w:spacing w:line="360" w:lineRule="auto"/>
        <w:jc w:val="both"/>
        <w:rPr>
          <w:rtl/>
        </w:rPr>
      </w:pPr>
      <w:r>
        <w:rPr>
          <w:rFonts w:hint="cs"/>
          <w:rtl/>
        </w:rPr>
        <w:t xml:space="preserve">יש ליתן את הדעת לכך, שהעונשים הכוללים שהוטלו </w:t>
      </w:r>
      <w:r>
        <w:rPr>
          <w:rtl/>
        </w:rPr>
        <w:t>–</w:t>
      </w:r>
      <w:r>
        <w:rPr>
          <w:rFonts w:hint="cs"/>
          <w:rtl/>
        </w:rPr>
        <w:t xml:space="preserve"> שש וחצי שנים על הנאשם 1 וחמש וחצי שנים על הנאשם  2, הושתו גם בגין עבירות חמורות הקשורות בפגיעה ביהודים: חבלה בכוונה מחמירה, לפי </w:t>
      </w:r>
      <w:hyperlink r:id="rId84" w:history="1">
        <w:r w:rsidR="00C87A09" w:rsidRPr="00C87A09">
          <w:rPr>
            <w:color w:val="0000FF"/>
            <w:u w:val="single"/>
            <w:rtl/>
          </w:rPr>
          <w:t>סעיף 329(1)</w:t>
        </w:r>
      </w:hyperlink>
      <w:r>
        <w:rPr>
          <w:rFonts w:hint="cs"/>
          <w:rtl/>
        </w:rPr>
        <w:t xml:space="preserve"> לחוק; עבירה של פציעה בנסיבות מחמירות, לפני </w:t>
      </w:r>
      <w:hyperlink r:id="rId85" w:history="1">
        <w:r w:rsidR="00C87A09" w:rsidRPr="00C87A09">
          <w:rPr>
            <w:color w:val="0000FF"/>
            <w:u w:val="single"/>
            <w:rtl/>
          </w:rPr>
          <w:t>סעיף 334</w:t>
        </w:r>
      </w:hyperlink>
      <w:r>
        <w:rPr>
          <w:rFonts w:hint="cs"/>
          <w:rtl/>
        </w:rPr>
        <w:t xml:space="preserve"> בנסיבות </w:t>
      </w:r>
      <w:hyperlink r:id="rId86" w:history="1">
        <w:r w:rsidR="00C87A09" w:rsidRPr="00C87A09">
          <w:rPr>
            <w:color w:val="0000FF"/>
            <w:u w:val="single"/>
            <w:rtl/>
          </w:rPr>
          <w:t>335(א)(1)+(2)</w:t>
        </w:r>
      </w:hyperlink>
      <w:r>
        <w:rPr>
          <w:rFonts w:hint="cs"/>
          <w:rtl/>
        </w:rPr>
        <w:t xml:space="preserve"> לחוק; וריבוי עבירות של התפרעות לפי </w:t>
      </w:r>
      <w:hyperlink r:id="rId87" w:history="1">
        <w:r w:rsidR="00C87A09" w:rsidRPr="00C87A09">
          <w:rPr>
            <w:color w:val="0000FF"/>
            <w:u w:val="single"/>
            <w:rtl/>
          </w:rPr>
          <w:t>סעיף 152</w:t>
        </w:r>
      </w:hyperlink>
      <w:r>
        <w:rPr>
          <w:rFonts w:hint="cs"/>
          <w:rtl/>
        </w:rPr>
        <w:t xml:space="preserve"> לחוק. אין דרך לדעת במדויק מתוך העונש הכולל שהוטל, את תקופות המאסר שהושתו בגין אותן עבירות שהן דומות למקרה שלפני.</w:t>
      </w:r>
    </w:p>
    <w:p w14:paraId="44BE625A" w14:textId="77777777" w:rsidR="002F5449" w:rsidRDefault="002F5449">
      <w:pPr>
        <w:spacing w:line="360" w:lineRule="auto"/>
        <w:jc w:val="both"/>
        <w:rPr>
          <w:rtl/>
        </w:rPr>
      </w:pPr>
    </w:p>
    <w:p w14:paraId="56CFE4C5" w14:textId="77777777" w:rsidR="002F5449" w:rsidRDefault="007655E2">
      <w:pPr>
        <w:spacing w:line="360" w:lineRule="auto"/>
        <w:jc w:val="both"/>
        <w:rPr>
          <w:u w:val="single"/>
          <w:rtl/>
        </w:rPr>
      </w:pPr>
      <w:hyperlink r:id="rId88" w:history="1">
        <w:r w:rsidRPr="007655E2">
          <w:rPr>
            <w:color w:val="0000FF"/>
            <w:u w:val="single"/>
            <w:rtl/>
          </w:rPr>
          <w:t>ת.פ. (י-ם) 2579/14</w:t>
        </w:r>
      </w:hyperlink>
      <w:r w:rsidR="00AC3881">
        <w:rPr>
          <w:rFonts w:hint="cs"/>
          <w:u w:val="single"/>
          <w:rtl/>
        </w:rPr>
        <w:t xml:space="preserve"> </w:t>
      </w:r>
      <w:r w:rsidR="00AC3881">
        <w:rPr>
          <w:rFonts w:hint="cs"/>
          <w:b/>
          <w:bCs/>
          <w:u w:val="single"/>
          <w:rtl/>
        </w:rPr>
        <w:t xml:space="preserve">מוחמד פרחאן נ' מדינת ישראל </w:t>
      </w:r>
      <w:r w:rsidR="00AC3881">
        <w:rPr>
          <w:rFonts w:hint="cs"/>
          <w:u w:val="single"/>
          <w:rtl/>
        </w:rPr>
        <w:t xml:space="preserve"> (25.5.15)</w:t>
      </w:r>
    </w:p>
    <w:p w14:paraId="00883DC0" w14:textId="77777777" w:rsidR="002F5449" w:rsidRDefault="00AC3881">
      <w:pPr>
        <w:spacing w:line="360" w:lineRule="auto"/>
        <w:jc w:val="both"/>
        <w:rPr>
          <w:rtl/>
        </w:rPr>
      </w:pPr>
      <w:r>
        <w:rPr>
          <w:rFonts w:hint="cs"/>
          <w:rtl/>
        </w:rPr>
        <w:t xml:space="preserve">ביחס לעבירות של השתתפות בייצור ויידוי בקבוקי תבערה, הפנתה המאשימה לת.פ. 2579/14 בו </w:t>
      </w:r>
      <w:r>
        <w:rPr>
          <w:rtl/>
        </w:rPr>
        <w:t xml:space="preserve">המערער הורשע, על-פי הודאתו, בעבירות של קשירת קשר לפשע, ייצור נשק וחבלה בכוונה מחמירה. בית המשפט המחוזי </w:t>
      </w:r>
      <w:r>
        <w:rPr>
          <w:rFonts w:hint="cs"/>
          <w:rtl/>
        </w:rPr>
        <w:t xml:space="preserve">הטיל </w:t>
      </w:r>
      <w:r>
        <w:rPr>
          <w:rtl/>
        </w:rPr>
        <w:t>על המערער עונש מאסר בפועל לתקופה של שש שנים וחצי. ערעור שהוגש נדחה (</w:t>
      </w:r>
      <w:hyperlink r:id="rId89" w:history="1">
        <w:r w:rsidRPr="00AC3881">
          <w:rPr>
            <w:color w:val="0000FF"/>
            <w:u w:val="single"/>
            <w:rtl/>
          </w:rPr>
          <w:t>ע"פ 2579/14</w:t>
        </w:r>
      </w:hyperlink>
      <w:r>
        <w:rPr>
          <w:rtl/>
        </w:rPr>
        <w:t xml:space="preserve"> </w:t>
      </w:r>
      <w:r>
        <w:rPr>
          <w:b/>
          <w:bCs/>
          <w:rtl/>
        </w:rPr>
        <w:t>מוחמד פרחאן נ' מ"י</w:t>
      </w:r>
      <w:r>
        <w:rPr>
          <w:rtl/>
        </w:rPr>
        <w:t xml:space="preserve"> (25.5.15), אם כי ביהמ"ש של ערעור ציין שהעונש נוטה לרף העליון של מתחם הענישה, אך אינו חורג ממדיניות הענישה הנוהגת באופן המצדיק התערבות.</w:t>
      </w:r>
    </w:p>
    <w:p w14:paraId="05B59C9C" w14:textId="77777777" w:rsidR="002F5449" w:rsidRDefault="002F5449">
      <w:pPr>
        <w:spacing w:line="360" w:lineRule="auto"/>
        <w:jc w:val="both"/>
        <w:rPr>
          <w:rtl/>
        </w:rPr>
      </w:pPr>
    </w:p>
    <w:p w14:paraId="2345C672" w14:textId="77777777" w:rsidR="002F5449" w:rsidRDefault="00AC3881">
      <w:pPr>
        <w:spacing w:line="360" w:lineRule="auto"/>
        <w:jc w:val="both"/>
        <w:rPr>
          <w:b/>
          <w:bCs/>
          <w:u w:val="single"/>
          <w:rtl/>
        </w:rPr>
      </w:pPr>
      <w:hyperlink r:id="rId90" w:history="1">
        <w:r w:rsidRPr="00AC3881">
          <w:rPr>
            <w:color w:val="0000FF"/>
            <w:u w:val="single"/>
            <w:rtl/>
          </w:rPr>
          <w:t>ת.פ. 20811-11-15</w:t>
        </w:r>
      </w:hyperlink>
      <w:r>
        <w:rPr>
          <w:rFonts w:hint="cs"/>
          <w:u w:val="single"/>
          <w:rtl/>
        </w:rPr>
        <w:t xml:space="preserve"> </w:t>
      </w:r>
      <w:r>
        <w:rPr>
          <w:rFonts w:hint="cs"/>
          <w:b/>
          <w:bCs/>
          <w:u w:val="single"/>
          <w:rtl/>
        </w:rPr>
        <w:t>מדינת ישראל נ' אסלם נגאר</w:t>
      </w:r>
      <w:r>
        <w:rPr>
          <w:rFonts w:hint="cs"/>
          <w:u w:val="single"/>
          <w:rtl/>
        </w:rPr>
        <w:t xml:space="preserve"> (19.5.16)</w:t>
      </w:r>
    </w:p>
    <w:p w14:paraId="46DAC41C" w14:textId="77777777" w:rsidR="002F5449" w:rsidRDefault="00AC3881">
      <w:pPr>
        <w:spacing w:line="360" w:lineRule="auto"/>
        <w:jc w:val="both"/>
        <w:rPr>
          <w:rtl/>
        </w:rPr>
      </w:pPr>
      <w:r>
        <w:rPr>
          <w:rFonts w:hint="cs"/>
          <w:rtl/>
        </w:rPr>
        <w:t>ב"כ הנאשם הפנה ל</w:t>
      </w:r>
      <w:hyperlink r:id="rId91" w:history="1">
        <w:r w:rsidRPr="00AC3881">
          <w:rPr>
            <w:color w:val="0000FF"/>
            <w:u w:val="single"/>
            <w:rtl/>
          </w:rPr>
          <w:t>ת.פ. 20811-11-15</w:t>
        </w:r>
      </w:hyperlink>
      <w:r>
        <w:rPr>
          <w:rFonts w:hint="cs"/>
          <w:rtl/>
        </w:rPr>
        <w:t xml:space="preserve"> בו הנאשם הורשע במסגרת הודאתו בהסדר טיעון בעבירות הבאות: ניסיון תקיפת שוטר בנסיבות מחמירות (שלוש עבירות), עבירה לפי סעיף </w:t>
      </w:r>
      <w:hyperlink r:id="rId92" w:history="1">
        <w:r w:rsidR="00C87A09" w:rsidRPr="00C87A09">
          <w:rPr>
            <w:rStyle w:val="Hyperlink"/>
            <w:rtl/>
          </w:rPr>
          <w:t>274 (1),(2)</w:t>
        </w:r>
      </w:hyperlink>
      <w:r>
        <w:rPr>
          <w:rFonts w:hint="cs"/>
          <w:rtl/>
        </w:rPr>
        <w:t xml:space="preserve"> בצירוף </w:t>
      </w:r>
      <w:hyperlink r:id="rId93" w:history="1">
        <w:r w:rsidR="00C87A09" w:rsidRPr="00C87A09">
          <w:rPr>
            <w:rStyle w:val="Hyperlink"/>
            <w:rFonts w:hint="eastAsia"/>
            <w:rtl/>
          </w:rPr>
          <w:t>סעיף</w:t>
        </w:r>
        <w:r w:rsidR="00C87A09" w:rsidRPr="00C87A09">
          <w:rPr>
            <w:rStyle w:val="Hyperlink"/>
            <w:rtl/>
          </w:rPr>
          <w:t xml:space="preserve"> 25</w:t>
        </w:r>
      </w:hyperlink>
      <w:r>
        <w:rPr>
          <w:rFonts w:hint="cs"/>
          <w:rtl/>
        </w:rPr>
        <w:t xml:space="preserve"> לחוק; ייצור נשק, עבירה לפי </w:t>
      </w:r>
      <w:hyperlink r:id="rId94" w:history="1">
        <w:r w:rsidR="00C87A09" w:rsidRPr="00C87A09">
          <w:rPr>
            <w:rStyle w:val="Hyperlink"/>
            <w:rFonts w:hint="eastAsia"/>
            <w:rtl/>
          </w:rPr>
          <w:t>סעיף</w:t>
        </w:r>
        <w:r w:rsidR="00C87A09" w:rsidRPr="00C87A09">
          <w:rPr>
            <w:rStyle w:val="Hyperlink"/>
            <w:rtl/>
          </w:rPr>
          <w:t xml:space="preserve"> 144(ב2)</w:t>
        </w:r>
      </w:hyperlink>
      <w:r>
        <w:rPr>
          <w:rFonts w:hint="cs"/>
          <w:rtl/>
        </w:rPr>
        <w:t xml:space="preserve"> לחוק; נשיאת נשק, עבירה לפי </w:t>
      </w:r>
      <w:hyperlink r:id="rId95" w:history="1">
        <w:r w:rsidR="00C87A09" w:rsidRPr="00C87A09">
          <w:rPr>
            <w:rStyle w:val="Hyperlink"/>
            <w:rFonts w:hint="eastAsia"/>
            <w:rtl/>
          </w:rPr>
          <w:t>סעיף</w:t>
        </w:r>
        <w:r w:rsidR="00C87A09" w:rsidRPr="00C87A09">
          <w:rPr>
            <w:rStyle w:val="Hyperlink"/>
            <w:rtl/>
          </w:rPr>
          <w:t xml:space="preserve"> 144(ב)</w:t>
        </w:r>
      </w:hyperlink>
      <w:r>
        <w:rPr>
          <w:rFonts w:hint="cs"/>
          <w:rtl/>
        </w:rPr>
        <w:t xml:space="preserve"> לחוק (שתי עבירות); חבלה בכוונה מחמירה, עבירה לפי </w:t>
      </w:r>
      <w:hyperlink r:id="rId96" w:history="1">
        <w:r w:rsidR="00C87A09" w:rsidRPr="00C87A09">
          <w:rPr>
            <w:rStyle w:val="Hyperlink"/>
            <w:rFonts w:hint="eastAsia"/>
            <w:rtl/>
          </w:rPr>
          <w:t>סעיף</w:t>
        </w:r>
        <w:r w:rsidR="00C87A09" w:rsidRPr="00C87A09">
          <w:rPr>
            <w:rStyle w:val="Hyperlink"/>
            <w:rtl/>
          </w:rPr>
          <w:t xml:space="preserve"> 329(2)</w:t>
        </w:r>
      </w:hyperlink>
      <w:r>
        <w:rPr>
          <w:rFonts w:hint="cs"/>
          <w:rtl/>
        </w:rPr>
        <w:t xml:space="preserve"> לחוק (שתי עבירות); יידוי אבן לעבר כלי תחבורה, עבירה לפי סעיף </w:t>
      </w:r>
      <w:hyperlink r:id="rId97" w:history="1">
        <w:r w:rsidR="00C87A09" w:rsidRPr="00C87A09">
          <w:rPr>
            <w:color w:val="0000FF"/>
            <w:u w:val="single"/>
            <w:rtl/>
          </w:rPr>
          <w:t>332(א)</w:t>
        </w:r>
      </w:hyperlink>
      <w:r>
        <w:rPr>
          <w:rFonts w:hint="cs"/>
          <w:rtl/>
        </w:rPr>
        <w:t xml:space="preserve">לחוק; התפרעות, עבירה לפי </w:t>
      </w:r>
      <w:hyperlink r:id="rId98" w:history="1">
        <w:r w:rsidR="00C87A09" w:rsidRPr="00C87A09">
          <w:rPr>
            <w:color w:val="0000FF"/>
            <w:u w:val="single"/>
            <w:rtl/>
          </w:rPr>
          <w:t>סעיף 152</w:t>
        </w:r>
      </w:hyperlink>
      <w:r>
        <w:rPr>
          <w:rFonts w:hint="cs"/>
          <w:rtl/>
        </w:rPr>
        <w:t xml:space="preserve"> לחוק.  בת.פ. 20811-11-15, שהוא חמור יותר מהתיק שלפני נגזרו לאחרונה 30 חודשי מאסר בפועל.</w:t>
      </w:r>
    </w:p>
    <w:p w14:paraId="51A245AB" w14:textId="77777777" w:rsidR="002F5449" w:rsidRDefault="002F5449">
      <w:pPr>
        <w:spacing w:line="360" w:lineRule="auto"/>
        <w:jc w:val="both"/>
        <w:rPr>
          <w:rtl/>
        </w:rPr>
      </w:pPr>
    </w:p>
    <w:p w14:paraId="59578B09" w14:textId="77777777" w:rsidR="002F5449" w:rsidRDefault="00AC3881">
      <w:pPr>
        <w:spacing w:line="360" w:lineRule="auto"/>
        <w:jc w:val="both"/>
        <w:rPr>
          <w:rtl/>
        </w:rPr>
      </w:pPr>
      <w:r>
        <w:rPr>
          <w:rFonts w:hint="cs"/>
          <w:rtl/>
        </w:rPr>
        <w:t xml:space="preserve">ניתן לאבחן את </w:t>
      </w:r>
      <w:hyperlink r:id="rId99" w:history="1">
        <w:r w:rsidRPr="00AC3881">
          <w:rPr>
            <w:color w:val="0000FF"/>
            <w:u w:val="single"/>
            <w:rtl/>
          </w:rPr>
          <w:t>ת.פ. 20811-11-15</w:t>
        </w:r>
      </w:hyperlink>
      <w:r>
        <w:rPr>
          <w:rFonts w:hint="cs"/>
          <w:rtl/>
        </w:rPr>
        <w:t xml:space="preserve"> הנ"ל מהתיק שלפני: הגם שהצדדים טענו שם שמדובר באירועים נפרדים, הם טענו למתחם ענישה כולל אחד ולא ביחס לכל אירוע ואירוע, כמו כן, גילו של הנאשם היה שונה, שם הנאשם היה צעיר-בגיר, ולכן אין ללמוד מ</w:t>
      </w:r>
      <w:hyperlink r:id="rId100" w:history="1">
        <w:r w:rsidRPr="00AC3881">
          <w:rPr>
            <w:color w:val="0000FF"/>
            <w:u w:val="single"/>
            <w:rtl/>
          </w:rPr>
          <w:t>ת.פ. 30811-11-15</w:t>
        </w:r>
      </w:hyperlink>
      <w:r>
        <w:rPr>
          <w:rFonts w:hint="cs"/>
          <w:rtl/>
        </w:rPr>
        <w:t xml:space="preserve"> הנ"ל לענייננו.</w:t>
      </w:r>
    </w:p>
    <w:p w14:paraId="0E7DB0EA" w14:textId="77777777" w:rsidR="002F5449" w:rsidRDefault="002F5449">
      <w:pPr>
        <w:spacing w:line="360" w:lineRule="auto"/>
        <w:jc w:val="both"/>
        <w:rPr>
          <w:rtl/>
        </w:rPr>
      </w:pPr>
    </w:p>
    <w:p w14:paraId="06F8AFEB" w14:textId="77777777" w:rsidR="002F5449" w:rsidRDefault="00AC3881">
      <w:pPr>
        <w:spacing w:line="360" w:lineRule="auto"/>
        <w:jc w:val="both"/>
      </w:pPr>
      <w:r>
        <w:rPr>
          <w:rFonts w:hint="eastAsia"/>
          <w:rtl/>
        </w:rPr>
        <w:t>עיון</w:t>
      </w:r>
      <w:r>
        <w:rPr>
          <w:rtl/>
        </w:rPr>
        <w:t xml:space="preserve"> </w:t>
      </w:r>
      <w:r>
        <w:rPr>
          <w:rFonts w:hint="eastAsia"/>
          <w:rtl/>
        </w:rPr>
        <w:t>בפסיקה</w:t>
      </w:r>
      <w:r>
        <w:rPr>
          <w:rtl/>
        </w:rPr>
        <w:t xml:space="preserve"> </w:t>
      </w:r>
      <w:r>
        <w:rPr>
          <w:rFonts w:hint="cs"/>
          <w:rtl/>
        </w:rPr>
        <w:t xml:space="preserve">נוספת של בתי המשפט מעלה, </w:t>
      </w:r>
      <w:r>
        <w:rPr>
          <w:rFonts w:hint="eastAsia"/>
          <w:rtl/>
        </w:rPr>
        <w:t>כי</w:t>
      </w:r>
      <w:r>
        <w:rPr>
          <w:rtl/>
        </w:rPr>
        <w:t xml:space="preserve"> </w:t>
      </w:r>
      <w:r>
        <w:rPr>
          <w:rFonts w:hint="eastAsia"/>
          <w:rtl/>
        </w:rPr>
        <w:t>ניתן</w:t>
      </w:r>
      <w:r>
        <w:rPr>
          <w:rtl/>
        </w:rPr>
        <w:t xml:space="preserve"> </w:t>
      </w:r>
      <w:r>
        <w:rPr>
          <w:rFonts w:hint="eastAsia"/>
          <w:rtl/>
        </w:rPr>
        <w:t>למצוא</w:t>
      </w:r>
      <w:r>
        <w:rPr>
          <w:rtl/>
        </w:rPr>
        <w:t xml:space="preserve"> </w:t>
      </w:r>
      <w:r>
        <w:rPr>
          <w:rFonts w:hint="cs"/>
          <w:rtl/>
        </w:rPr>
        <w:t xml:space="preserve">טווח </w:t>
      </w:r>
      <w:r>
        <w:rPr>
          <w:rFonts w:hint="eastAsia"/>
          <w:rtl/>
        </w:rPr>
        <w:t>רחב</w:t>
      </w:r>
      <w:r>
        <w:rPr>
          <w:rtl/>
        </w:rPr>
        <w:t xml:space="preserve"> </w:t>
      </w:r>
      <w:r>
        <w:rPr>
          <w:rFonts w:hint="eastAsia"/>
          <w:rtl/>
        </w:rPr>
        <w:t>יחסית</w:t>
      </w:r>
      <w:r>
        <w:rPr>
          <w:rtl/>
        </w:rPr>
        <w:t xml:space="preserve"> </w:t>
      </w:r>
      <w:r>
        <w:rPr>
          <w:rFonts w:hint="eastAsia"/>
          <w:rtl/>
        </w:rPr>
        <w:t>של</w:t>
      </w:r>
      <w:r>
        <w:rPr>
          <w:rtl/>
        </w:rPr>
        <w:t xml:space="preserve"> </w:t>
      </w:r>
      <w:r>
        <w:rPr>
          <w:rFonts w:hint="eastAsia"/>
          <w:rtl/>
        </w:rPr>
        <w:t>עונשים</w:t>
      </w:r>
      <w:r>
        <w:rPr>
          <w:rtl/>
        </w:rPr>
        <w:t xml:space="preserve"> </w:t>
      </w:r>
      <w:r>
        <w:rPr>
          <w:rFonts w:hint="cs"/>
          <w:rtl/>
        </w:rPr>
        <w:t>לגבי ה</w:t>
      </w:r>
      <w:r>
        <w:rPr>
          <w:rFonts w:hint="eastAsia"/>
          <w:rtl/>
        </w:rPr>
        <w:t>עבירות</w:t>
      </w:r>
      <w:r>
        <w:rPr>
          <w:rtl/>
        </w:rPr>
        <w:t xml:space="preserve"> </w:t>
      </w:r>
      <w:r>
        <w:rPr>
          <w:rFonts w:hint="cs"/>
          <w:rtl/>
        </w:rPr>
        <w:t>מושא תיק זה.</w:t>
      </w:r>
      <w:r>
        <w:rPr>
          <w:rtl/>
        </w:rPr>
        <w:t xml:space="preserve"> </w:t>
      </w:r>
    </w:p>
    <w:p w14:paraId="0D81729C" w14:textId="77777777" w:rsidR="002F5449" w:rsidRDefault="002F5449">
      <w:pPr>
        <w:spacing w:line="360" w:lineRule="auto"/>
        <w:jc w:val="both"/>
        <w:rPr>
          <w:rtl/>
        </w:rPr>
      </w:pPr>
    </w:p>
    <w:p w14:paraId="3A1692E7" w14:textId="77777777" w:rsidR="002F5449" w:rsidRDefault="00AC3881">
      <w:pPr>
        <w:spacing w:line="360" w:lineRule="auto"/>
        <w:jc w:val="both"/>
        <w:rPr>
          <w:b/>
          <w:bCs/>
          <w:u w:val="single"/>
          <w:rtl/>
        </w:rPr>
      </w:pPr>
      <w:r>
        <w:rPr>
          <w:rFonts w:hint="cs"/>
          <w:b/>
          <w:bCs/>
          <w:u w:val="single"/>
          <w:rtl/>
        </w:rPr>
        <w:t>נסיבות הקשורות בביצוע העבירות</w:t>
      </w:r>
    </w:p>
    <w:p w14:paraId="0F0E85A8" w14:textId="77777777" w:rsidR="002F5449" w:rsidRDefault="00AC3881">
      <w:pPr>
        <w:spacing w:line="360" w:lineRule="auto"/>
        <w:jc w:val="both"/>
        <w:rPr>
          <w:rtl/>
        </w:rPr>
      </w:pPr>
      <w:r>
        <w:rPr>
          <w:rFonts w:hint="cs"/>
          <w:rtl/>
        </w:rPr>
        <w:t>ישנם שיקולים נוספים אליהם יש להתייחס בעת קביעת מתחם העונש ההולם כדלקמן:</w:t>
      </w:r>
    </w:p>
    <w:p w14:paraId="3B2A3A6D" w14:textId="77777777" w:rsidR="002F5449" w:rsidRDefault="00AC3881">
      <w:pPr>
        <w:spacing w:line="360" w:lineRule="auto"/>
        <w:jc w:val="both"/>
        <w:rPr>
          <w:rtl/>
        </w:rPr>
      </w:pPr>
      <w:r>
        <w:rPr>
          <w:rFonts w:hint="cs"/>
          <w:b/>
          <w:bCs/>
          <w:rtl/>
        </w:rPr>
        <w:t xml:space="preserve">התכנון שקדם לביצוע העבירה </w:t>
      </w:r>
      <w:r>
        <w:rPr>
          <w:b/>
          <w:bCs/>
          <w:rtl/>
        </w:rPr>
        <w:t>–</w:t>
      </w:r>
      <w:r>
        <w:rPr>
          <w:rFonts w:hint="cs"/>
          <w:b/>
          <w:bCs/>
          <w:rtl/>
        </w:rPr>
        <w:t xml:space="preserve"> </w:t>
      </w:r>
      <w:r>
        <w:rPr>
          <w:rFonts w:hint="cs"/>
          <w:rtl/>
        </w:rPr>
        <w:t xml:space="preserve">באישום 2 יש אלמנט של תכנון בכך, שהנאשם נפגש עם אחרים לצורך הפרות סדר. הנאשם לא עבר עבירות של הפרות סדר, לפחות חלקן, באקראי, והן חזרו נשנו ורק בדרך מקרה לא הביאו לתוצאות קשות. לאור מצב דברים זה מתחייבת שהייתו מאחורי סורג ובריח לתקופה ממושכת </w:t>
      </w:r>
      <w:hyperlink r:id="rId101" w:history="1">
        <w:r w:rsidRPr="00AC3881">
          <w:rPr>
            <w:color w:val="0000FF"/>
            <w:u w:val="single"/>
            <w:rtl/>
          </w:rPr>
          <w:t>ע"פ 4324/16</w:t>
        </w:r>
      </w:hyperlink>
      <w:r>
        <w:rPr>
          <w:rFonts w:hint="cs"/>
          <w:rtl/>
        </w:rPr>
        <w:t xml:space="preserve"> </w:t>
      </w:r>
      <w:r>
        <w:rPr>
          <w:rFonts w:hint="cs"/>
          <w:b/>
          <w:bCs/>
          <w:rtl/>
        </w:rPr>
        <w:t>חמזה גאר נ' מדינת ישראל</w:t>
      </w:r>
      <w:r>
        <w:rPr>
          <w:rFonts w:hint="cs"/>
          <w:rtl/>
        </w:rPr>
        <w:t xml:space="preserve"> (31.7.16). מאידך, באישום 3 נעדר אלמנט התכנון ועולה כי הנאשם הצטרף להפרות סדר קיימות ללא אלמנט של תכנון.</w:t>
      </w:r>
    </w:p>
    <w:p w14:paraId="5E102A82" w14:textId="77777777" w:rsidR="002F5449" w:rsidRDefault="002F5449">
      <w:pPr>
        <w:spacing w:line="360" w:lineRule="auto"/>
        <w:jc w:val="both"/>
        <w:rPr>
          <w:b/>
          <w:bCs/>
          <w:rtl/>
        </w:rPr>
      </w:pPr>
    </w:p>
    <w:p w14:paraId="2D3B9EEF" w14:textId="77777777" w:rsidR="002F5449" w:rsidRDefault="00AC3881">
      <w:pPr>
        <w:spacing w:line="360" w:lineRule="auto"/>
        <w:jc w:val="both"/>
        <w:rPr>
          <w:rtl/>
        </w:rPr>
      </w:pPr>
      <w:r>
        <w:rPr>
          <w:rFonts w:hint="cs"/>
          <w:b/>
          <w:bCs/>
          <w:rtl/>
        </w:rPr>
        <w:t xml:space="preserve">חלקו היחסי של הנאשם והנזק שצפוי היה להגרם מהעבירה </w:t>
      </w:r>
      <w:r>
        <w:rPr>
          <w:b/>
          <w:bCs/>
          <w:rtl/>
        </w:rPr>
        <w:t>–</w:t>
      </w:r>
      <w:r>
        <w:rPr>
          <w:rFonts w:hint="cs"/>
          <w:b/>
          <w:bCs/>
          <w:rtl/>
        </w:rPr>
        <w:t xml:space="preserve"> </w:t>
      </w:r>
      <w:r>
        <w:rPr>
          <w:rFonts w:hint="cs"/>
          <w:rtl/>
        </w:rPr>
        <w:t xml:space="preserve">מדובר בעבירות בצוותא, כאשר חלקו של הנאשם באישום הראשון והשלישי הוא מופחת. כפי שביטא את הדבר כב' הנשיא השופט פרקש ב </w:t>
      </w:r>
      <w:hyperlink r:id="rId102" w:history="1">
        <w:r w:rsidRPr="00AC3881">
          <w:rPr>
            <w:color w:val="0000FF"/>
            <w:u w:val="single"/>
            <w:rtl/>
          </w:rPr>
          <w:t>ת.פ. 609-12-15</w:t>
        </w:r>
      </w:hyperlink>
      <w:r>
        <w:rPr>
          <w:rFonts w:hint="cs"/>
          <w:rtl/>
        </w:rPr>
        <w:t xml:space="preserve"> </w:t>
      </w:r>
      <w:r>
        <w:rPr>
          <w:rFonts w:hint="cs"/>
          <w:b/>
          <w:bCs/>
          <w:rtl/>
        </w:rPr>
        <w:t>מדינת ישראל נ' דנדיס</w:t>
      </w:r>
      <w:r>
        <w:rPr>
          <w:rFonts w:hint="cs"/>
          <w:rtl/>
        </w:rPr>
        <w:t xml:space="preserve"> (22.9.16) סעיף 26.2, אין להפחית מחלקו של הנאשם, שבכל האישומים נהנה ממעטה האנונימיות שהתפרעות הרבים מספקת. באישום השני היה הנאשם רעול פנים דבר שיש לזקוף לחומרא. </w:t>
      </w:r>
    </w:p>
    <w:p w14:paraId="634D0B44" w14:textId="77777777" w:rsidR="002F5449" w:rsidRDefault="002F5449">
      <w:pPr>
        <w:spacing w:line="360" w:lineRule="auto"/>
        <w:jc w:val="both"/>
        <w:rPr>
          <w:rtl/>
        </w:rPr>
      </w:pPr>
    </w:p>
    <w:p w14:paraId="1DB624BE" w14:textId="77777777" w:rsidR="002F5449" w:rsidRDefault="00AC3881">
      <w:pPr>
        <w:spacing w:line="360" w:lineRule="auto"/>
        <w:jc w:val="both"/>
        <w:rPr>
          <w:rtl/>
        </w:rPr>
      </w:pPr>
      <w:r>
        <w:rPr>
          <w:rFonts w:hint="cs"/>
          <w:rtl/>
        </w:rPr>
        <w:t>הנזק שהיה צפוי להגרם מביצוע העבירות עולה מעצם מהותן של העבירות עצמן, שטבוע בהן פוטנציאל לנזק רב, וכבר היו מקרים מעולם. העובדה שלא היה נזק אינו מפחית מחומרת מעשיו של הנאשם, אשר ביחד עם אחרים יצר סיכון ממשי לחיי אדם. יש לתת את הדעת גם למצב המיוחד השורר בעיר ירושלים מזה זמן ולעובדה כי מדובר ב"מכת עיר" הגם שהנסיבות במקרה זה אינן מן החמורות ביותר. מנגד גם לפי התרשמות שירות המבחן הנאשם חווה לחץ מוגבר מהסביבה החיצונית להשתתף בהפרות הסדר ובכל מקרה אין טענה כי הנאשם היה מוביל באירועים.</w:t>
      </w:r>
    </w:p>
    <w:p w14:paraId="6FAC5C38" w14:textId="77777777" w:rsidR="002F5449" w:rsidRDefault="002F5449">
      <w:pPr>
        <w:spacing w:line="360" w:lineRule="auto"/>
        <w:jc w:val="both"/>
        <w:rPr>
          <w:b/>
          <w:bCs/>
          <w:rtl/>
        </w:rPr>
      </w:pPr>
    </w:p>
    <w:p w14:paraId="425AD052" w14:textId="77777777" w:rsidR="002F5449" w:rsidRDefault="00AC3881">
      <w:pPr>
        <w:spacing w:line="360" w:lineRule="auto"/>
        <w:jc w:val="both"/>
        <w:rPr>
          <w:u w:val="single"/>
          <w:rtl/>
        </w:rPr>
      </w:pPr>
      <w:r>
        <w:rPr>
          <w:rFonts w:hint="cs"/>
          <w:u w:val="single"/>
          <w:rtl/>
        </w:rPr>
        <w:t>נסיבות שאינן קשורות בביצוע העבירה</w:t>
      </w:r>
    </w:p>
    <w:p w14:paraId="30F6BCEC" w14:textId="77777777" w:rsidR="002F5449" w:rsidRDefault="00AC3881">
      <w:pPr>
        <w:spacing w:line="360" w:lineRule="auto"/>
        <w:jc w:val="both"/>
        <w:rPr>
          <w:rtl/>
        </w:rPr>
      </w:pPr>
      <w:r>
        <w:rPr>
          <w:rFonts w:hint="cs"/>
          <w:rtl/>
        </w:rPr>
        <w:t xml:space="preserve">הנאשם כמעט בן 24, נסיבות חייו אינן קלות. הוא עובד מגיל צעיר לאחר שנשר מהמסגרת החינוכית. הוא נעדר רשתות תמיכה מספקות ונעדר תחושת מסוגלות כללית. נסיבות אישיות אלה יש לשקול לקולא. לקולא יש לשקול גם את העובדה שאין לנאשם עבר פלילי קודם, כי הנאשם הודה בביצוע העבירות וחסך זמן שיפוטי ציבורי יקר. אם החלטתי שלא להחמיר עם הנאשם במלוא חומרת הדין היה זה בעיקר בגלל עובדה אחרונה זו. </w:t>
      </w:r>
    </w:p>
    <w:p w14:paraId="04BA6921" w14:textId="77777777" w:rsidR="002F5449" w:rsidRDefault="002F5449">
      <w:pPr>
        <w:spacing w:line="360" w:lineRule="auto"/>
        <w:jc w:val="both"/>
        <w:rPr>
          <w:rtl/>
        </w:rPr>
      </w:pPr>
    </w:p>
    <w:p w14:paraId="7E5FBDB9" w14:textId="77777777" w:rsidR="002F5449" w:rsidRDefault="00AC3881">
      <w:pPr>
        <w:spacing w:line="360" w:lineRule="auto"/>
        <w:jc w:val="both"/>
        <w:rPr>
          <w:rtl/>
        </w:rPr>
      </w:pPr>
      <w:r>
        <w:rPr>
          <w:rFonts w:hint="cs"/>
          <w:rtl/>
        </w:rPr>
        <w:t>הנאשם הביע חרטה בפני והתרשמתי כי החרטה אותה הביעה היא כנה. בקביעת העונש בתוך המתחם יש להתחשב לקולא בהודאתו של הנאשם ובכך שחסך זמן שיפוטי ציבורי יקר, וכן לעובדה, כי לנאשם אין עבר פלילי קודם. עם זאת, יש להתייחס להתרשמות שירות המבחן בדבר קיומו של סיכון להישנות התנהגות פורצת גבולות בעתיד. בכל מקרה אין במקרה דנן נסיבות המצדיקות חריגה ממתחם הענישה.</w:t>
      </w:r>
    </w:p>
    <w:p w14:paraId="39FE5EE3" w14:textId="77777777" w:rsidR="002F5449" w:rsidRDefault="002F5449">
      <w:pPr>
        <w:spacing w:line="360" w:lineRule="auto"/>
        <w:jc w:val="both"/>
        <w:rPr>
          <w:rtl/>
        </w:rPr>
      </w:pPr>
    </w:p>
    <w:p w14:paraId="6E8B0DE4" w14:textId="77777777" w:rsidR="002F5449" w:rsidRDefault="00AC3881">
      <w:pPr>
        <w:spacing w:line="360" w:lineRule="auto"/>
        <w:jc w:val="both"/>
        <w:rPr>
          <w:rtl/>
        </w:rPr>
      </w:pPr>
      <w:r>
        <w:rPr>
          <w:rFonts w:hint="cs"/>
          <w:rtl/>
        </w:rPr>
        <w:t xml:space="preserve">לאחר ששקלתי את נסיבות ביצוע העבירות וחומרתן, הערכים החברתיים שנפגעו ובהתחשב במדיניות הענישה הנוהגת, </w:t>
      </w:r>
      <w:r>
        <w:rPr>
          <w:rFonts w:hint="cs"/>
          <w:b/>
          <w:bCs/>
          <w:rtl/>
        </w:rPr>
        <w:t>אני קובע את מתחם העונשים כדלקמן</w:t>
      </w:r>
      <w:r>
        <w:rPr>
          <w:rFonts w:hint="cs"/>
          <w:rtl/>
        </w:rPr>
        <w:t>:</w:t>
      </w:r>
    </w:p>
    <w:p w14:paraId="67A0E574" w14:textId="77777777" w:rsidR="002F5449" w:rsidRDefault="00AC3881">
      <w:pPr>
        <w:spacing w:line="360" w:lineRule="auto"/>
        <w:rPr>
          <w:rtl/>
        </w:rPr>
      </w:pPr>
      <w:r>
        <w:rPr>
          <w:rFonts w:hint="cs"/>
          <w:rtl/>
        </w:rPr>
        <w:t xml:space="preserve">לגבי האישום הראשון </w:t>
      </w:r>
      <w:r>
        <w:rPr>
          <w:rtl/>
        </w:rPr>
        <w:t>–</w:t>
      </w:r>
      <w:r>
        <w:rPr>
          <w:rFonts w:hint="cs"/>
          <w:rtl/>
        </w:rPr>
        <w:t xml:space="preserve"> בין 24 ל- 48 חודשי מאסר בפועל.</w:t>
      </w:r>
    </w:p>
    <w:p w14:paraId="228F7646" w14:textId="77777777" w:rsidR="002F5449" w:rsidRDefault="00AC3881">
      <w:pPr>
        <w:spacing w:line="360" w:lineRule="auto"/>
        <w:rPr>
          <w:rtl/>
        </w:rPr>
      </w:pPr>
      <w:r>
        <w:rPr>
          <w:rFonts w:hint="cs"/>
          <w:rtl/>
        </w:rPr>
        <w:t xml:space="preserve">לגבי האישום השני </w:t>
      </w:r>
      <w:r>
        <w:rPr>
          <w:rtl/>
        </w:rPr>
        <w:t>–</w:t>
      </w:r>
      <w:r>
        <w:rPr>
          <w:rFonts w:hint="cs"/>
          <w:rtl/>
        </w:rPr>
        <w:t xml:space="preserve"> בין 12 לבין 30 חודשי מאסר בפועל.</w:t>
      </w:r>
    </w:p>
    <w:p w14:paraId="74B91AD1" w14:textId="77777777" w:rsidR="002F5449" w:rsidRDefault="00AC3881">
      <w:pPr>
        <w:spacing w:line="360" w:lineRule="auto"/>
        <w:rPr>
          <w:rtl/>
        </w:rPr>
      </w:pPr>
      <w:r>
        <w:rPr>
          <w:rFonts w:hint="cs"/>
          <w:rtl/>
        </w:rPr>
        <w:t xml:space="preserve">לגבי האישום השלישי </w:t>
      </w:r>
      <w:r>
        <w:rPr>
          <w:rtl/>
        </w:rPr>
        <w:t>–</w:t>
      </w:r>
      <w:r>
        <w:rPr>
          <w:rFonts w:hint="cs"/>
          <w:rtl/>
        </w:rPr>
        <w:t xml:space="preserve"> בין 12 לבין 30 חודשי מאסר בפועל.</w:t>
      </w:r>
    </w:p>
    <w:p w14:paraId="7C46B763" w14:textId="77777777" w:rsidR="002F5449" w:rsidRDefault="002F5449">
      <w:pPr>
        <w:spacing w:line="360" w:lineRule="auto"/>
        <w:rPr>
          <w:rtl/>
        </w:rPr>
      </w:pPr>
    </w:p>
    <w:p w14:paraId="3FF64DB9" w14:textId="77777777" w:rsidR="002F5449" w:rsidRDefault="00AC3881">
      <w:pPr>
        <w:spacing w:line="360" w:lineRule="auto"/>
        <w:jc w:val="both"/>
        <w:rPr>
          <w:rtl/>
        </w:rPr>
      </w:pPr>
      <w:r>
        <w:rPr>
          <w:rFonts w:hint="cs"/>
          <w:rtl/>
        </w:rPr>
        <w:t>כפי שנקבע ב</w:t>
      </w:r>
      <w:hyperlink r:id="rId103" w:history="1">
        <w:r w:rsidRPr="00AC3881">
          <w:rPr>
            <w:color w:val="0000FF"/>
            <w:u w:val="single"/>
            <w:rtl/>
          </w:rPr>
          <w:t>ע"פ 3582/13</w:t>
        </w:r>
      </w:hyperlink>
      <w:r>
        <w:rPr>
          <w:rFonts w:hint="cs"/>
          <w:rtl/>
        </w:rPr>
        <w:t xml:space="preserve"> </w:t>
      </w:r>
      <w:r>
        <w:rPr>
          <w:rFonts w:hint="cs"/>
          <w:b/>
          <w:bCs/>
          <w:rtl/>
        </w:rPr>
        <w:t>סעד נ' מדינת ישראל</w:t>
      </w:r>
      <w:r>
        <w:rPr>
          <w:rFonts w:hint="cs"/>
          <w:rtl/>
        </w:rPr>
        <w:t xml:space="preserve"> (29.1.14):</w:t>
      </w:r>
    </w:p>
    <w:p w14:paraId="67107651" w14:textId="77777777" w:rsidR="002F5449" w:rsidRDefault="00AC3881">
      <w:pPr>
        <w:ind w:left="850"/>
        <w:jc w:val="both"/>
        <w:rPr>
          <w:rFonts w:cs="Aharoni"/>
          <w:rtl/>
        </w:rPr>
      </w:pPr>
      <w:r>
        <w:rPr>
          <w:rFonts w:cs="Aharoni" w:hint="cs"/>
          <w:rtl/>
        </w:rPr>
        <w:t>"</w:t>
      </w:r>
      <w:r>
        <w:rPr>
          <w:rFonts w:cs="Aharoni"/>
          <w:rtl/>
        </w:rPr>
        <w:t>גזירת עונש אינה מתבצעת לפי נוסחה אריתמטית</w:t>
      </w:r>
      <w:r>
        <w:rPr>
          <w:rFonts w:cs="Aharoni" w:hint="cs"/>
          <w:rtl/>
        </w:rPr>
        <w:t>"</w:t>
      </w:r>
      <w:r>
        <w:rPr>
          <w:rFonts w:cs="Aharoni"/>
          <w:rtl/>
        </w:rPr>
        <w:t>.</w:t>
      </w:r>
    </w:p>
    <w:p w14:paraId="7D97DF88" w14:textId="77777777" w:rsidR="002F5449" w:rsidRDefault="002F5449">
      <w:pPr>
        <w:spacing w:line="360" w:lineRule="auto"/>
        <w:jc w:val="both"/>
        <w:rPr>
          <w:rtl/>
        </w:rPr>
      </w:pPr>
    </w:p>
    <w:p w14:paraId="46676A01" w14:textId="77777777" w:rsidR="002F5449" w:rsidRDefault="00AC3881">
      <w:pPr>
        <w:spacing w:line="360" w:lineRule="auto"/>
        <w:jc w:val="both"/>
        <w:rPr>
          <w:rtl/>
        </w:rPr>
      </w:pPr>
      <w:r>
        <w:rPr>
          <w:rFonts w:hint="cs"/>
          <w:rtl/>
        </w:rPr>
        <w:t>אני מטיל על הנאשם את העונשים הבאים:</w:t>
      </w:r>
    </w:p>
    <w:p w14:paraId="085A7D1C" w14:textId="77777777" w:rsidR="002F5449" w:rsidRDefault="00AC3881">
      <w:pPr>
        <w:spacing w:line="360" w:lineRule="auto"/>
        <w:ind w:left="720" w:hanging="720"/>
        <w:jc w:val="both"/>
        <w:rPr>
          <w:rtl/>
        </w:rPr>
      </w:pPr>
      <w:r>
        <w:rPr>
          <w:rFonts w:hint="cs"/>
          <w:rtl/>
        </w:rPr>
        <w:t>א.</w:t>
      </w:r>
      <w:r>
        <w:rPr>
          <w:rFonts w:hint="cs"/>
          <w:rtl/>
        </w:rPr>
        <w:tab/>
        <w:t>העונש המצטבר בגין כל העבירות יהיה 45 חודשי מאסר בפועל, וזאת מיום מעצרו ביום 26.10.15.</w:t>
      </w:r>
    </w:p>
    <w:p w14:paraId="127E5F5C" w14:textId="77777777" w:rsidR="002F5449" w:rsidRDefault="00AC3881">
      <w:pPr>
        <w:spacing w:line="360" w:lineRule="auto"/>
        <w:ind w:left="720" w:hanging="720"/>
        <w:jc w:val="both"/>
        <w:rPr>
          <w:rtl/>
        </w:rPr>
      </w:pPr>
      <w:r>
        <w:rPr>
          <w:rFonts w:hint="cs"/>
          <w:rtl/>
        </w:rPr>
        <w:t>ב.</w:t>
      </w:r>
      <w:r>
        <w:rPr>
          <w:rFonts w:hint="cs"/>
          <w:rtl/>
        </w:rPr>
        <w:tab/>
        <w:t>מאסר על תנאי של 18 חודשים, ואולם הנאשם לא ישא בעונש זה אלא אם כן יעבור תוך תקופה של 3 שנים מיום שחרורו עבירות דומות בהן יורשע.</w:t>
      </w:r>
    </w:p>
    <w:p w14:paraId="151D0B24" w14:textId="77777777" w:rsidR="002F5449" w:rsidRDefault="00AC3881">
      <w:pPr>
        <w:spacing w:line="360" w:lineRule="auto"/>
        <w:ind w:left="720" w:hanging="720"/>
        <w:jc w:val="both"/>
        <w:rPr>
          <w:rtl/>
        </w:rPr>
      </w:pPr>
      <w:r>
        <w:rPr>
          <w:rFonts w:hint="cs"/>
          <w:rtl/>
        </w:rPr>
        <w:t>ד.</w:t>
      </w:r>
      <w:r>
        <w:rPr>
          <w:rtl/>
        </w:rPr>
        <w:tab/>
      </w:r>
      <w:r>
        <w:rPr>
          <w:rFonts w:hint="cs"/>
          <w:rtl/>
        </w:rPr>
        <w:t>לנוכח גילו הצעיר של הנאשם, נסיבותיו האישיות ותקופת המאסר, לא מצאתי להטיל קנס.</w:t>
      </w:r>
    </w:p>
    <w:p w14:paraId="164118D5" w14:textId="77777777" w:rsidR="002F5449" w:rsidRDefault="00AC3881">
      <w:pPr>
        <w:spacing w:line="360" w:lineRule="auto"/>
        <w:jc w:val="both"/>
        <w:rPr>
          <w:rtl/>
        </w:rPr>
      </w:pPr>
      <w:r>
        <w:rPr>
          <w:rFonts w:hint="cs"/>
          <w:rtl/>
        </w:rPr>
        <w:t>ג.</w:t>
      </w:r>
      <w:r>
        <w:rPr>
          <w:rFonts w:hint="cs"/>
          <w:rtl/>
        </w:rPr>
        <w:tab/>
        <w:t>המזכירות תמציא העתק גזר הדין לשירות המבחן.</w:t>
      </w:r>
    </w:p>
    <w:p w14:paraId="5A62520F" w14:textId="77777777" w:rsidR="002F5449" w:rsidRDefault="002F5449">
      <w:pPr>
        <w:spacing w:line="360" w:lineRule="auto"/>
        <w:jc w:val="both"/>
        <w:rPr>
          <w:b/>
          <w:bCs/>
          <w:rtl/>
        </w:rPr>
      </w:pPr>
    </w:p>
    <w:p w14:paraId="08F2E983" w14:textId="77777777" w:rsidR="002F5449" w:rsidRDefault="00AC3881">
      <w:pPr>
        <w:spacing w:line="360" w:lineRule="auto"/>
        <w:jc w:val="both"/>
        <w:rPr>
          <w:b/>
          <w:bCs/>
          <w:rtl/>
        </w:rPr>
      </w:pPr>
      <w:r>
        <w:rPr>
          <w:rFonts w:hint="cs"/>
          <w:b/>
          <w:bCs/>
          <w:rtl/>
        </w:rPr>
        <w:t>זכות ערעור לבית המשפט העליון בתוך 45 יום מהיום.</w:t>
      </w:r>
    </w:p>
    <w:p w14:paraId="69F4F4D2" w14:textId="77777777" w:rsidR="002F5449" w:rsidRPr="00AC3881" w:rsidRDefault="00AC3881">
      <w:pPr>
        <w:spacing w:line="360" w:lineRule="auto"/>
        <w:rPr>
          <w:color w:val="FFFFFF"/>
          <w:sz w:val="2"/>
          <w:szCs w:val="2"/>
          <w:rtl/>
        </w:rPr>
      </w:pPr>
      <w:r w:rsidRPr="00AC3881">
        <w:rPr>
          <w:color w:val="FFFFFF"/>
          <w:sz w:val="2"/>
          <w:szCs w:val="2"/>
          <w:rtl/>
        </w:rPr>
        <w:t>5129371</w:t>
      </w:r>
    </w:p>
    <w:p w14:paraId="7560F8E6" w14:textId="77777777" w:rsidR="002F5449" w:rsidRDefault="00AC3881">
      <w:pPr>
        <w:spacing w:line="360" w:lineRule="auto"/>
        <w:rPr>
          <w:rFonts w:cs="FrankRuehl"/>
          <w:sz w:val="28"/>
          <w:szCs w:val="28"/>
          <w:rtl/>
        </w:rPr>
      </w:pPr>
      <w:r w:rsidRPr="00AC3881">
        <w:rPr>
          <w:rFonts w:ascii="Arial" w:hAnsi="Arial"/>
          <w:b/>
          <w:bCs/>
          <w:color w:val="FFFFFF"/>
          <w:sz w:val="2"/>
          <w:szCs w:val="2"/>
          <w:rtl/>
        </w:rPr>
        <w:t>54678313</w:t>
      </w:r>
      <w:r>
        <w:rPr>
          <w:rFonts w:ascii="Arial" w:hAnsi="Arial"/>
          <w:b/>
          <w:bCs/>
          <w:rtl/>
        </w:rPr>
        <w:t xml:space="preserve">ניתן היום,  ה' חשוון תשע"ז, 06 נובמבר 2016, במעמד הצדדים. </w:t>
      </w:r>
    </w:p>
    <w:p w14:paraId="24397CE1" w14:textId="77777777" w:rsidR="002F5449" w:rsidRDefault="00AC388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C7877D0" w14:textId="77777777" w:rsidR="002F5449" w:rsidRDefault="002F5449">
      <w:pPr>
        <w:jc w:val="center"/>
        <w:rPr>
          <w:rFonts w:ascii="Arial" w:hAnsi="Arial" w:cs="FrankRuehl"/>
          <w:sz w:val="28"/>
          <w:szCs w:val="28"/>
          <w:rtl/>
        </w:rPr>
      </w:pPr>
    </w:p>
    <w:p w14:paraId="4499499E" w14:textId="77777777" w:rsidR="002F5449" w:rsidRDefault="002F5449">
      <w:pPr>
        <w:rPr>
          <w:rFonts w:cs="FrankRuehl"/>
          <w:sz w:val="28"/>
          <w:szCs w:val="28"/>
          <w:rtl/>
        </w:rPr>
      </w:pPr>
    </w:p>
    <w:p w14:paraId="47AA112F" w14:textId="77777777" w:rsidR="002F5449" w:rsidRDefault="002F5449">
      <w:pPr>
        <w:pStyle w:val="a3"/>
        <w:jc w:val="center"/>
        <w:rPr>
          <w:rtl/>
        </w:rPr>
      </w:pPr>
    </w:p>
    <w:p w14:paraId="6262094B" w14:textId="77777777" w:rsidR="00AC3881" w:rsidRPr="00AC3881" w:rsidRDefault="00AC3881" w:rsidP="00AC3881">
      <w:pPr>
        <w:keepNext/>
        <w:rPr>
          <w:rFonts w:ascii="David" w:hAnsi="David"/>
          <w:color w:val="000000"/>
          <w:sz w:val="22"/>
          <w:szCs w:val="22"/>
          <w:rtl/>
        </w:rPr>
      </w:pPr>
    </w:p>
    <w:p w14:paraId="660B7E8D" w14:textId="77777777" w:rsidR="00AC3881" w:rsidRPr="00AC3881" w:rsidRDefault="00AC3881" w:rsidP="00AC3881">
      <w:pPr>
        <w:keepNext/>
        <w:rPr>
          <w:rFonts w:ascii="David" w:hAnsi="David"/>
          <w:color w:val="000000"/>
          <w:sz w:val="22"/>
          <w:szCs w:val="22"/>
          <w:rtl/>
        </w:rPr>
      </w:pPr>
      <w:r w:rsidRPr="00AC3881">
        <w:rPr>
          <w:rFonts w:ascii="David" w:hAnsi="David"/>
          <w:color w:val="000000"/>
          <w:sz w:val="22"/>
          <w:szCs w:val="22"/>
          <w:rtl/>
        </w:rPr>
        <w:t>דניאל טפרברג 54678313</w:t>
      </w:r>
    </w:p>
    <w:p w14:paraId="6202CE2C" w14:textId="77777777" w:rsidR="00AC3881" w:rsidRDefault="00AC3881" w:rsidP="00AC3881">
      <w:r w:rsidRPr="00AC3881">
        <w:rPr>
          <w:color w:val="000000"/>
          <w:rtl/>
        </w:rPr>
        <w:t>נוסח מסמך זה כפוף לשינויי ניסוח ועריכה</w:t>
      </w:r>
    </w:p>
    <w:p w14:paraId="20AC5DDB" w14:textId="77777777" w:rsidR="00AC3881" w:rsidRDefault="00AC3881" w:rsidP="00AC3881">
      <w:pPr>
        <w:rPr>
          <w:rtl/>
        </w:rPr>
      </w:pPr>
    </w:p>
    <w:p w14:paraId="0F99554E" w14:textId="77777777" w:rsidR="00AC3881" w:rsidRDefault="00AC3881" w:rsidP="00AC3881">
      <w:pPr>
        <w:jc w:val="center"/>
        <w:rPr>
          <w:color w:val="0000FF"/>
          <w:u w:val="single"/>
        </w:rPr>
      </w:pPr>
      <w:hyperlink r:id="rId104" w:history="1">
        <w:r>
          <w:rPr>
            <w:color w:val="0000FF"/>
            <w:u w:val="single"/>
            <w:rtl/>
          </w:rPr>
          <w:t>בעניין עריכה ושינויים במסמכי פסיקה, חקיקה ועוד באתר נבו – הקש כאן</w:t>
        </w:r>
      </w:hyperlink>
      <w:r w:rsidR="007655E2">
        <w:rPr>
          <w:rFonts w:hint="cs"/>
          <w:color w:val="0000FF"/>
          <w:u w:val="single"/>
          <w:rtl/>
        </w:rPr>
        <w:t xml:space="preserve"> </w:t>
      </w:r>
    </w:p>
    <w:p w14:paraId="086A5467" w14:textId="77777777" w:rsidR="002F5449" w:rsidRPr="00AC3881" w:rsidRDefault="002F5449" w:rsidP="00AC3881">
      <w:pPr>
        <w:jc w:val="center"/>
        <w:rPr>
          <w:color w:val="0000FF"/>
          <w:u w:val="single"/>
        </w:rPr>
      </w:pPr>
    </w:p>
    <w:sectPr w:rsidR="002F5449" w:rsidRPr="00AC3881" w:rsidSect="00AC3881">
      <w:headerReference w:type="even" r:id="rId105"/>
      <w:headerReference w:type="default" r:id="rId106"/>
      <w:footerReference w:type="even" r:id="rId107"/>
      <w:footerReference w:type="default" r:id="rId108"/>
      <w:pgSz w:w="11907" w:h="16840" w:code="9"/>
      <w:pgMar w:top="1701" w:right="1701" w:bottom="2552" w:left="2552"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530E3" w14:textId="77777777" w:rsidR="008F2729" w:rsidRDefault="008F2729">
      <w:r>
        <w:separator/>
      </w:r>
    </w:p>
  </w:endnote>
  <w:endnote w:type="continuationSeparator" w:id="0">
    <w:p w14:paraId="13208418" w14:textId="77777777" w:rsidR="008F2729" w:rsidRDefault="008F2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3B1F7" w14:textId="77777777" w:rsidR="0023630A" w:rsidRDefault="0023630A" w:rsidP="00AC38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2F1058" w14:textId="77777777" w:rsidR="0023630A" w:rsidRPr="00AC3881" w:rsidRDefault="0023630A" w:rsidP="00AC3881">
    <w:pPr>
      <w:pStyle w:val="a5"/>
      <w:pBdr>
        <w:top w:val="single" w:sz="4" w:space="1" w:color="auto"/>
        <w:between w:val="single" w:sz="4" w:space="0" w:color="auto"/>
      </w:pBdr>
      <w:spacing w:after="60"/>
      <w:jc w:val="center"/>
      <w:rPr>
        <w:rFonts w:ascii="FrankRuehl" w:hAnsi="FrankRuehl" w:cs="FrankRuehl"/>
        <w:color w:val="000000"/>
      </w:rPr>
    </w:pPr>
    <w:r w:rsidRPr="00AC38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3FDC6" w14:textId="77777777" w:rsidR="0023630A" w:rsidRDefault="0023630A" w:rsidP="00AC38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D59D0">
      <w:rPr>
        <w:rFonts w:ascii="FrankRuehl" w:hAnsi="FrankRuehl" w:cs="FrankRuehl"/>
        <w:noProof/>
        <w:rtl/>
      </w:rPr>
      <w:t>1</w:t>
    </w:r>
    <w:r>
      <w:rPr>
        <w:rFonts w:ascii="FrankRuehl" w:hAnsi="FrankRuehl" w:cs="FrankRuehl"/>
        <w:rtl/>
      </w:rPr>
      <w:fldChar w:fldCharType="end"/>
    </w:r>
  </w:p>
  <w:p w14:paraId="255B797C" w14:textId="77777777" w:rsidR="0023630A" w:rsidRPr="00AC3881" w:rsidRDefault="0023630A" w:rsidP="00AC3881">
    <w:pPr>
      <w:pStyle w:val="a5"/>
      <w:pBdr>
        <w:top w:val="single" w:sz="4" w:space="1" w:color="auto"/>
        <w:between w:val="single" w:sz="4" w:space="0" w:color="auto"/>
      </w:pBdr>
      <w:spacing w:after="60"/>
      <w:jc w:val="center"/>
      <w:rPr>
        <w:rFonts w:ascii="FrankRuehl" w:hAnsi="FrankRuehl" w:cs="FrankRuehl"/>
        <w:color w:val="000000"/>
      </w:rPr>
    </w:pPr>
    <w:r w:rsidRPr="00AC3881">
      <w:rPr>
        <w:rFonts w:ascii="FrankRuehl" w:hAnsi="FrankRuehl" w:cs="FrankRuehl"/>
        <w:color w:val="000000"/>
      </w:rPr>
      <w:pict w14:anchorId="5F801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82D71" w14:textId="77777777" w:rsidR="008F2729" w:rsidRDefault="008F2729">
      <w:r>
        <w:separator/>
      </w:r>
    </w:p>
  </w:footnote>
  <w:footnote w:type="continuationSeparator" w:id="0">
    <w:p w14:paraId="25780922" w14:textId="77777777" w:rsidR="008F2729" w:rsidRDefault="008F2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2F259" w14:textId="77777777" w:rsidR="0023630A" w:rsidRPr="00AC3881" w:rsidRDefault="0023630A" w:rsidP="00AC38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32819-11-15</w:t>
    </w:r>
    <w:r>
      <w:rPr>
        <w:rFonts w:ascii="David" w:hAnsi="David"/>
        <w:color w:val="000000"/>
        <w:sz w:val="22"/>
        <w:szCs w:val="22"/>
        <w:rtl/>
      </w:rPr>
      <w:tab/>
      <w:t xml:space="preserve"> מדינת ישראל נ' נאדר נאצר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AFACE" w14:textId="77777777" w:rsidR="0023630A" w:rsidRPr="00AC3881" w:rsidRDefault="0023630A" w:rsidP="00AC38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32819-11-15</w:t>
    </w:r>
    <w:r>
      <w:rPr>
        <w:rFonts w:ascii="David" w:hAnsi="David"/>
        <w:color w:val="000000"/>
        <w:sz w:val="22"/>
        <w:szCs w:val="22"/>
        <w:rtl/>
      </w:rPr>
      <w:tab/>
      <w:t xml:space="preserve"> מדינת ישראל נ' נאדר נאצר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5449"/>
    <w:rsid w:val="000D4CE9"/>
    <w:rsid w:val="001B3E6F"/>
    <w:rsid w:val="0023630A"/>
    <w:rsid w:val="002F5449"/>
    <w:rsid w:val="004E5807"/>
    <w:rsid w:val="00691BAE"/>
    <w:rsid w:val="007655E2"/>
    <w:rsid w:val="008F2729"/>
    <w:rsid w:val="00AA3CC0"/>
    <w:rsid w:val="00AC3881"/>
    <w:rsid w:val="00B2243E"/>
    <w:rsid w:val="00BD59D0"/>
    <w:rsid w:val="00C87A09"/>
    <w:rsid w:val="00CD7EDF"/>
    <w:rsid w:val="00D67EDA"/>
    <w:rsid w:val="00D838D4"/>
    <w:rsid w:val="00D840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85F8D01"/>
  <w15:chartTrackingRefBased/>
  <w15:docId w15:val="{AC35CBFB-1A42-4516-8987-2C16E9D7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544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2F5449"/>
    <w:pPr>
      <w:tabs>
        <w:tab w:val="center" w:pos="4153"/>
        <w:tab w:val="right" w:pos="8306"/>
      </w:tabs>
    </w:pPr>
  </w:style>
  <w:style w:type="paragraph" w:styleId="a5">
    <w:name w:val="footer"/>
    <w:basedOn w:val="a"/>
    <w:rsid w:val="002F5449"/>
    <w:pPr>
      <w:tabs>
        <w:tab w:val="center" w:pos="4153"/>
        <w:tab w:val="right" w:pos="8306"/>
      </w:tabs>
    </w:pPr>
  </w:style>
  <w:style w:type="character" w:styleId="a6">
    <w:name w:val="page number"/>
    <w:basedOn w:val="a0"/>
    <w:rsid w:val="002F5449"/>
  </w:style>
  <w:style w:type="character" w:customStyle="1" w:styleId="a4">
    <w:name w:val="כותרת עליונה תו"/>
    <w:link w:val="a3"/>
    <w:locked/>
    <w:rsid w:val="002F5449"/>
    <w:rPr>
      <w:rFonts w:cs="David"/>
      <w:sz w:val="24"/>
      <w:szCs w:val="24"/>
      <w:lang w:val="en-US" w:eastAsia="en-US" w:bidi="he-IL"/>
    </w:rPr>
  </w:style>
  <w:style w:type="character" w:styleId="Hyperlink">
    <w:name w:val="Hyperlink"/>
    <w:rsid w:val="00AC3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5.a.1." TargetMode="External"/><Relationship Id="rId21" Type="http://schemas.openxmlformats.org/officeDocument/2006/relationships/hyperlink" Target="http://www.nevo.co.il/law/70301/329.2" TargetMode="External"/><Relationship Id="rId42" Type="http://schemas.openxmlformats.org/officeDocument/2006/relationships/hyperlink" Target="http://www.nevo.co.il/case/20716748" TargetMode="External"/><Relationship Id="rId47" Type="http://schemas.openxmlformats.org/officeDocument/2006/relationships/hyperlink" Target="http://www.nevo.co.il/case/13093721" TargetMode="External"/><Relationship Id="rId63" Type="http://schemas.openxmlformats.org/officeDocument/2006/relationships/hyperlink" Target="http://www.nevo.co.il/law/70301/274.1.;274.2" TargetMode="External"/><Relationship Id="rId68" Type="http://schemas.openxmlformats.org/officeDocument/2006/relationships/hyperlink" Target="http://www.nevo.co.il/law/70301/274.1.2" TargetMode="External"/><Relationship Id="rId84" Type="http://schemas.openxmlformats.org/officeDocument/2006/relationships/hyperlink" Target="http://www.nevo.co.il/law/70301/329.1" TargetMode="External"/><Relationship Id="rId89" Type="http://schemas.openxmlformats.org/officeDocument/2006/relationships/hyperlink" Target="http://www.nevo.co.il/case/13104258" TargetMode="External"/><Relationship Id="rId16" Type="http://schemas.openxmlformats.org/officeDocument/2006/relationships/hyperlink" Target="http://www.nevo.co.il/law/70301/274.1.2" TargetMode="External"/><Relationship Id="rId107" Type="http://schemas.openxmlformats.org/officeDocument/2006/relationships/footer" Target="footer1.xml"/><Relationship Id="rId11" Type="http://schemas.openxmlformats.org/officeDocument/2006/relationships/hyperlink" Target="http://www.nevo.co.il/law/70301/40i"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274.1.;274.2" TargetMode="External"/><Relationship Id="rId53" Type="http://schemas.openxmlformats.org/officeDocument/2006/relationships/hyperlink" Target="http://www.nevo.co.il/case/20529243" TargetMode="External"/><Relationship Id="rId58" Type="http://schemas.openxmlformats.org/officeDocument/2006/relationships/hyperlink" Target="http://www.nevo.co.il/law/70301/40i" TargetMode="External"/><Relationship Id="rId74" Type="http://schemas.openxmlformats.org/officeDocument/2006/relationships/hyperlink" Target="http://www.nevo.co.il/law/70301/152" TargetMode="External"/><Relationship Id="rId79" Type="http://schemas.openxmlformats.org/officeDocument/2006/relationships/hyperlink" Target="http://www.nevo.co.il/case/21474812" TargetMode="External"/><Relationship Id="rId102" Type="http://schemas.openxmlformats.org/officeDocument/2006/relationships/hyperlink" Target="http://www.nevo.co.il/case/20763621" TargetMode="External"/><Relationship Id="rId5" Type="http://schemas.openxmlformats.org/officeDocument/2006/relationships/endnotes" Target="endnotes.xml"/><Relationship Id="rId90" Type="http://schemas.openxmlformats.org/officeDocument/2006/relationships/hyperlink" Target="http://www.nevo.co.il/case/20716748" TargetMode="External"/><Relationship Id="rId95" Type="http://schemas.openxmlformats.org/officeDocument/2006/relationships/hyperlink" Target="http://www.nevo.co.il/law/70301/144.b" TargetMode="External"/><Relationship Id="rId22" Type="http://schemas.openxmlformats.org/officeDocument/2006/relationships/hyperlink" Target="http://www.nevo.co.il/law/70301/332.a" TargetMode="External"/><Relationship Id="rId27" Type="http://schemas.openxmlformats.org/officeDocument/2006/relationships/hyperlink" Target="http://www.nevo.co.il/law/70301/40jc.a" TargetMode="External"/><Relationship Id="rId43" Type="http://schemas.openxmlformats.org/officeDocument/2006/relationships/hyperlink" Target="http://www.nevo.co.il/law/70301/40jc.a" TargetMode="External"/><Relationship Id="rId48" Type="http://schemas.openxmlformats.org/officeDocument/2006/relationships/hyperlink" Target="http://www.nevo.co.il/case/20763621" TargetMode="External"/><Relationship Id="rId64" Type="http://schemas.openxmlformats.org/officeDocument/2006/relationships/hyperlink" Target="http://www.nevo.co.il/law/70301/25" TargetMode="External"/><Relationship Id="rId69" Type="http://schemas.openxmlformats.org/officeDocument/2006/relationships/hyperlink" Target="http://www.nevo.co.il/law/70301/25" TargetMode="External"/><Relationship Id="rId80" Type="http://schemas.openxmlformats.org/officeDocument/2006/relationships/hyperlink" Target="http://www.nevo.co.il/case/20974992" TargetMode="External"/><Relationship Id="rId85" Type="http://schemas.openxmlformats.org/officeDocument/2006/relationships/hyperlink" Target="http://www.nevo.co.il/law/70301/334"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law/70301/274.2" TargetMode="External"/><Relationship Id="rId33" Type="http://schemas.openxmlformats.org/officeDocument/2006/relationships/hyperlink" Target="http://www.nevo.co.il/law/70301/448" TargetMode="External"/><Relationship Id="rId38" Type="http://schemas.openxmlformats.org/officeDocument/2006/relationships/hyperlink" Target="http://www.nevo.co.il/law/70301/25" TargetMode="External"/><Relationship Id="rId59" Type="http://schemas.openxmlformats.org/officeDocument/2006/relationships/hyperlink" Target="http://www.nevo.co.il/law/70301/144.b2" TargetMode="External"/><Relationship Id="rId103" Type="http://schemas.openxmlformats.org/officeDocument/2006/relationships/hyperlink" Target="http://www.nevo.co.il/case/7011967" TargetMode="External"/><Relationship Id="rId108" Type="http://schemas.openxmlformats.org/officeDocument/2006/relationships/footer" Target="footer2.xml"/><Relationship Id="rId54" Type="http://schemas.openxmlformats.org/officeDocument/2006/relationships/hyperlink" Target="http://www.nevo.co.il/case/20033641" TargetMode="External"/><Relationship Id="rId70" Type="http://schemas.openxmlformats.org/officeDocument/2006/relationships/hyperlink" Target="http://www.nevo.co.il/law/70301/29" TargetMode="External"/><Relationship Id="rId75" Type="http://schemas.openxmlformats.org/officeDocument/2006/relationships/hyperlink" Target="http://www.nevo.co.il/case/21474812" TargetMode="External"/><Relationship Id="rId91" Type="http://schemas.openxmlformats.org/officeDocument/2006/relationships/hyperlink" Target="http://www.nevo.co.il/case/20716748" TargetMode="External"/><Relationship Id="rId96" Type="http://schemas.openxmlformats.org/officeDocument/2006/relationships/hyperlink" Target="http://www.nevo.co.il/law/70301/32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74.1." TargetMode="External"/><Relationship Id="rId23" Type="http://schemas.openxmlformats.org/officeDocument/2006/relationships/hyperlink" Target="http://www.nevo.co.il/law/70301/332a.a" TargetMode="External"/><Relationship Id="rId28" Type="http://schemas.openxmlformats.org/officeDocument/2006/relationships/hyperlink" Target="http://www.nevo.co.il/law/70301/40jc.b" TargetMode="External"/><Relationship Id="rId36" Type="http://schemas.openxmlformats.org/officeDocument/2006/relationships/hyperlink" Target="http://www.nevo.co.il/law/70301/152" TargetMode="External"/><Relationship Id="rId49" Type="http://schemas.openxmlformats.org/officeDocument/2006/relationships/hyperlink" Target="http://www.nevo.co.il/case/17954235" TargetMode="External"/><Relationship Id="rId57" Type="http://schemas.openxmlformats.org/officeDocument/2006/relationships/hyperlink" Target="http://www.nevo.co.il/law/70301" TargetMode="External"/><Relationship Id="rId106" Type="http://schemas.openxmlformats.org/officeDocument/2006/relationships/header" Target="header2.xml"/><Relationship Id="rId10" Type="http://schemas.openxmlformats.org/officeDocument/2006/relationships/hyperlink" Target="http://www.nevo.co.il/law/70301/40c.a" TargetMode="External"/><Relationship Id="rId31" Type="http://schemas.openxmlformats.org/officeDocument/2006/relationships/hyperlink" Target="http://www.nevo.co.il/law/70301/3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7958247" TargetMode="External"/><Relationship Id="rId60" Type="http://schemas.openxmlformats.org/officeDocument/2006/relationships/hyperlink" Target="http://www.nevo.co.il/law/70301/31" TargetMode="External"/><Relationship Id="rId65" Type="http://schemas.openxmlformats.org/officeDocument/2006/relationships/hyperlink" Target="http://www.nevo.co.il/law/70301/152" TargetMode="External"/><Relationship Id="rId73" Type="http://schemas.openxmlformats.org/officeDocument/2006/relationships/hyperlink" Target="http://www.nevo.co.il/law/70301/29" TargetMode="External"/><Relationship Id="rId78" Type="http://schemas.openxmlformats.org/officeDocument/2006/relationships/hyperlink" Target="http://www.nevo.co.il/law/70301/152" TargetMode="External"/><Relationship Id="rId81" Type="http://schemas.openxmlformats.org/officeDocument/2006/relationships/hyperlink" Target="http://www.nevo.co.il/law/70301/274.2" TargetMode="External"/><Relationship Id="rId86" Type="http://schemas.openxmlformats.org/officeDocument/2006/relationships/hyperlink" Target="http://www.nevo.co.il/law/70301/335.a.1.;335.2" TargetMode="External"/><Relationship Id="rId94" Type="http://schemas.openxmlformats.org/officeDocument/2006/relationships/hyperlink" Target="http://www.nevo.co.il/law/70301/144.b2" TargetMode="External"/><Relationship Id="rId99" Type="http://schemas.openxmlformats.org/officeDocument/2006/relationships/hyperlink" Target="http://www.nevo.co.il/case/20716748" TargetMode="External"/><Relationship Id="rId101" Type="http://schemas.openxmlformats.org/officeDocument/2006/relationships/hyperlink" Target="http://www.nevo.co.il/case/21474812" TargetMode="External"/><Relationship Id="rId4" Type="http://schemas.openxmlformats.org/officeDocument/2006/relationships/footnotes" Target="footnotes.xml"/><Relationship Id="rId9" Type="http://schemas.openxmlformats.org/officeDocument/2006/relationships/hyperlink" Target="http://www.nevo.co.il/law/70301/31"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274.3" TargetMode="External"/><Relationship Id="rId39" Type="http://schemas.openxmlformats.org/officeDocument/2006/relationships/hyperlink" Target="http://www.nevo.co.il/law/70301/152" TargetMode="External"/><Relationship Id="rId109" Type="http://schemas.openxmlformats.org/officeDocument/2006/relationships/fontTable" Target="fontTable.xml"/><Relationship Id="rId34" Type="http://schemas.openxmlformats.org/officeDocument/2006/relationships/hyperlink" Target="http://www.nevo.co.il/law/70301/274.1.;274.2" TargetMode="External"/><Relationship Id="rId50" Type="http://schemas.openxmlformats.org/officeDocument/2006/relationships/hyperlink" Target="http://www.nevo.co.il/case/13093721" TargetMode="External"/><Relationship Id="rId55" Type="http://schemas.openxmlformats.org/officeDocument/2006/relationships/hyperlink" Target="http://www.nevo.co.il/case/21473042" TargetMode="External"/><Relationship Id="rId76" Type="http://schemas.openxmlformats.org/officeDocument/2006/relationships/hyperlink" Target="http://www.nevo.co.il/case/22009434" TargetMode="External"/><Relationship Id="rId97" Type="http://schemas.openxmlformats.org/officeDocument/2006/relationships/hyperlink" Target="http://www.nevo.co.il/law/70301/332.a"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70301/25"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274.1.;274.2" TargetMode="External"/><Relationship Id="rId2" Type="http://schemas.openxmlformats.org/officeDocument/2006/relationships/settings" Target="settings.xml"/><Relationship Id="rId29" Type="http://schemas.openxmlformats.org/officeDocument/2006/relationships/hyperlink" Target="http://www.nevo.co.il/law/70301/448" TargetMode="External"/><Relationship Id="rId24" Type="http://schemas.openxmlformats.org/officeDocument/2006/relationships/hyperlink" Target="http://www.nevo.co.il/law/70301/334" TargetMode="External"/><Relationship Id="rId40" Type="http://schemas.openxmlformats.org/officeDocument/2006/relationships/hyperlink" Target="http://www.nevo.co.il/law/70301/275a" TargetMode="External"/><Relationship Id="rId45" Type="http://schemas.openxmlformats.org/officeDocument/2006/relationships/hyperlink" Target="http://www.nevo.co.il/law/70301/40jc.b" TargetMode="External"/><Relationship Id="rId66" Type="http://schemas.openxmlformats.org/officeDocument/2006/relationships/hyperlink" Target="http://www.nevo.co.il/law/70301/275a" TargetMode="External"/><Relationship Id="rId87" Type="http://schemas.openxmlformats.org/officeDocument/2006/relationships/hyperlink" Target="http://www.nevo.co.il/law/70301/152" TargetMode="External"/><Relationship Id="rId110" Type="http://schemas.openxmlformats.org/officeDocument/2006/relationships/theme" Target="theme/theme1.xml"/><Relationship Id="rId61" Type="http://schemas.openxmlformats.org/officeDocument/2006/relationships/hyperlink" Target="http://www.nevo.co.il/law/70301/448" TargetMode="External"/><Relationship Id="rId82" Type="http://schemas.openxmlformats.org/officeDocument/2006/relationships/hyperlink" Target="http://www.nevo.co.il/law/70301/152" TargetMode="External"/><Relationship Id="rId19" Type="http://schemas.openxmlformats.org/officeDocument/2006/relationships/hyperlink" Target="http://www.nevo.co.il/law/70301/275a" TargetMode="External"/><Relationship Id="rId14" Type="http://schemas.openxmlformats.org/officeDocument/2006/relationships/hyperlink" Target="http://www.nevo.co.il/law/70301/152" TargetMode="External"/><Relationship Id="rId30" Type="http://schemas.openxmlformats.org/officeDocument/2006/relationships/hyperlink" Target="http://www.nevo.co.il/law/70301/144.b2" TargetMode="External"/><Relationship Id="rId35" Type="http://schemas.openxmlformats.org/officeDocument/2006/relationships/hyperlink" Target="http://www.nevo.co.il/law/70301/25" TargetMode="External"/><Relationship Id="rId56" Type="http://schemas.openxmlformats.org/officeDocument/2006/relationships/hyperlink" Target="http://www.nevo.co.il/law/70301/40c.a" TargetMode="External"/><Relationship Id="rId77" Type="http://schemas.openxmlformats.org/officeDocument/2006/relationships/hyperlink" Target="http://www.nevo.co.il/law/70301/274.2.;274.3" TargetMode="External"/><Relationship Id="rId100" Type="http://schemas.openxmlformats.org/officeDocument/2006/relationships/hyperlink" Target="http://www.nevo.co.il/case/20726764" TargetMode="External"/><Relationship Id="rId105"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332a.a" TargetMode="External"/><Relationship Id="rId93" Type="http://schemas.openxmlformats.org/officeDocument/2006/relationships/hyperlink" Target="http://www.nevo.co.il/law/70301/25" TargetMode="External"/><Relationship Id="rId98" Type="http://schemas.openxmlformats.org/officeDocument/2006/relationships/hyperlink" Target="http://www.nevo.co.il/law/70301/152" TargetMode="External"/><Relationship Id="rId3" Type="http://schemas.openxmlformats.org/officeDocument/2006/relationships/webSettings" Target="webSettings.xml"/><Relationship Id="rId25" Type="http://schemas.openxmlformats.org/officeDocument/2006/relationships/hyperlink" Target="http://www.nevo.co.il/law/70301/335.2" TargetMode="External"/><Relationship Id="rId46" Type="http://schemas.openxmlformats.org/officeDocument/2006/relationships/hyperlink" Target="http://www.nevo.co.il/law/70301" TargetMode="External"/><Relationship Id="rId67" Type="http://schemas.openxmlformats.org/officeDocument/2006/relationships/hyperlink" Target="http://www.nevo.co.il/case/20716981" TargetMode="External"/><Relationship Id="rId20" Type="http://schemas.openxmlformats.org/officeDocument/2006/relationships/hyperlink" Target="http://www.nevo.co.il/law/70301/329.1" TargetMode="External"/><Relationship Id="rId41" Type="http://schemas.openxmlformats.org/officeDocument/2006/relationships/hyperlink" Target="http://www.nevo.co.il/law/70301/152" TargetMode="External"/><Relationship Id="rId62" Type="http://schemas.openxmlformats.org/officeDocument/2006/relationships/hyperlink" Target="http://www.nevo.co.il/law/70301/448" TargetMode="External"/><Relationship Id="rId83" Type="http://schemas.openxmlformats.org/officeDocument/2006/relationships/hyperlink" Target="http://www.nevo.co.il/case/20327935" TargetMode="External"/><Relationship Id="rId88" Type="http://schemas.openxmlformats.org/officeDocument/2006/relationships/hyperlink" Target="http://www.nevo.co.il/case/1310425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5103</Words>
  <Characters>25515</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30557</CharactersWithSpaces>
  <SharedDoc>false</SharedDoc>
  <HLinks>
    <vt:vector size="594" baseType="variant">
      <vt:variant>
        <vt:i4>393283</vt:i4>
      </vt:variant>
      <vt:variant>
        <vt:i4>294</vt:i4>
      </vt:variant>
      <vt:variant>
        <vt:i4>0</vt:i4>
      </vt:variant>
      <vt:variant>
        <vt:i4>5</vt:i4>
      </vt:variant>
      <vt:variant>
        <vt:lpwstr>http://www.nevo.co.il/advertisements/nevo-100.doc</vt:lpwstr>
      </vt:variant>
      <vt:variant>
        <vt:lpwstr/>
      </vt:variant>
      <vt:variant>
        <vt:i4>3670131</vt:i4>
      </vt:variant>
      <vt:variant>
        <vt:i4>291</vt:i4>
      </vt:variant>
      <vt:variant>
        <vt:i4>0</vt:i4>
      </vt:variant>
      <vt:variant>
        <vt:i4>5</vt:i4>
      </vt:variant>
      <vt:variant>
        <vt:lpwstr>http://www.nevo.co.il/case/7011967</vt:lpwstr>
      </vt:variant>
      <vt:variant>
        <vt:lpwstr/>
      </vt:variant>
      <vt:variant>
        <vt:i4>3407988</vt:i4>
      </vt:variant>
      <vt:variant>
        <vt:i4>288</vt:i4>
      </vt:variant>
      <vt:variant>
        <vt:i4>0</vt:i4>
      </vt:variant>
      <vt:variant>
        <vt:i4>5</vt:i4>
      </vt:variant>
      <vt:variant>
        <vt:lpwstr>http://www.nevo.co.il/case/20763621</vt:lpwstr>
      </vt:variant>
      <vt:variant>
        <vt:lpwstr/>
      </vt:variant>
      <vt:variant>
        <vt:i4>3342458</vt:i4>
      </vt:variant>
      <vt:variant>
        <vt:i4>285</vt:i4>
      </vt:variant>
      <vt:variant>
        <vt:i4>0</vt:i4>
      </vt:variant>
      <vt:variant>
        <vt:i4>5</vt:i4>
      </vt:variant>
      <vt:variant>
        <vt:lpwstr>http://www.nevo.co.il/case/21474812</vt:lpwstr>
      </vt:variant>
      <vt:variant>
        <vt:lpwstr/>
      </vt:variant>
      <vt:variant>
        <vt:i4>3473521</vt:i4>
      </vt:variant>
      <vt:variant>
        <vt:i4>282</vt:i4>
      </vt:variant>
      <vt:variant>
        <vt:i4>0</vt:i4>
      </vt:variant>
      <vt:variant>
        <vt:i4>5</vt:i4>
      </vt:variant>
      <vt:variant>
        <vt:lpwstr>http://www.nevo.co.il/case/20726764</vt:lpwstr>
      </vt:variant>
      <vt:variant>
        <vt:lpwstr/>
      </vt:variant>
      <vt:variant>
        <vt:i4>3604594</vt:i4>
      </vt:variant>
      <vt:variant>
        <vt:i4>279</vt:i4>
      </vt:variant>
      <vt:variant>
        <vt:i4>0</vt:i4>
      </vt:variant>
      <vt:variant>
        <vt:i4>5</vt:i4>
      </vt:variant>
      <vt:variant>
        <vt:lpwstr>http://www.nevo.co.il/case/20716748</vt:lpwstr>
      </vt:variant>
      <vt:variant>
        <vt:lpwstr/>
      </vt:variant>
      <vt:variant>
        <vt:i4>6291556</vt:i4>
      </vt:variant>
      <vt:variant>
        <vt:i4>276</vt:i4>
      </vt:variant>
      <vt:variant>
        <vt:i4>0</vt:i4>
      </vt:variant>
      <vt:variant>
        <vt:i4>5</vt:i4>
      </vt:variant>
      <vt:variant>
        <vt:lpwstr>http://www.nevo.co.il/law/70301/152</vt:lpwstr>
      </vt:variant>
      <vt:variant>
        <vt:lpwstr/>
      </vt:variant>
      <vt:variant>
        <vt:i4>4718676</vt:i4>
      </vt:variant>
      <vt:variant>
        <vt:i4>273</vt:i4>
      </vt:variant>
      <vt:variant>
        <vt:i4>0</vt:i4>
      </vt:variant>
      <vt:variant>
        <vt:i4>5</vt:i4>
      </vt:variant>
      <vt:variant>
        <vt:lpwstr>http://www.nevo.co.il/law/70301/332.a</vt:lpwstr>
      </vt:variant>
      <vt:variant>
        <vt:lpwstr/>
      </vt:variant>
      <vt:variant>
        <vt:i4>4784223</vt:i4>
      </vt:variant>
      <vt:variant>
        <vt:i4>270</vt:i4>
      </vt:variant>
      <vt:variant>
        <vt:i4>0</vt:i4>
      </vt:variant>
      <vt:variant>
        <vt:i4>5</vt:i4>
      </vt:variant>
      <vt:variant>
        <vt:lpwstr>http://www.nevo.co.il/law/70301/329.2</vt:lpwstr>
      </vt:variant>
      <vt:variant>
        <vt:lpwstr/>
      </vt:variant>
      <vt:variant>
        <vt:i4>5177424</vt:i4>
      </vt:variant>
      <vt:variant>
        <vt:i4>267</vt:i4>
      </vt:variant>
      <vt:variant>
        <vt:i4>0</vt:i4>
      </vt:variant>
      <vt:variant>
        <vt:i4>5</vt:i4>
      </vt:variant>
      <vt:variant>
        <vt:lpwstr>http://www.nevo.co.il/law/70301/144.b</vt:lpwstr>
      </vt:variant>
      <vt:variant>
        <vt:lpwstr/>
      </vt:variant>
      <vt:variant>
        <vt:i4>8192050</vt:i4>
      </vt:variant>
      <vt:variant>
        <vt:i4>264</vt:i4>
      </vt:variant>
      <vt:variant>
        <vt:i4>0</vt:i4>
      </vt:variant>
      <vt:variant>
        <vt:i4>5</vt:i4>
      </vt:variant>
      <vt:variant>
        <vt:lpwstr>http://www.nevo.co.il/law/70301/144.b2</vt:lpwstr>
      </vt:variant>
      <vt:variant>
        <vt:lpwstr/>
      </vt:variant>
      <vt:variant>
        <vt:i4>6291559</vt:i4>
      </vt:variant>
      <vt:variant>
        <vt:i4>261</vt:i4>
      </vt:variant>
      <vt:variant>
        <vt:i4>0</vt:i4>
      </vt:variant>
      <vt:variant>
        <vt:i4>5</vt:i4>
      </vt:variant>
      <vt:variant>
        <vt:lpwstr>http://www.nevo.co.il/law/70301/25</vt:lpwstr>
      </vt:variant>
      <vt:variant>
        <vt:lpwstr/>
      </vt:variant>
      <vt:variant>
        <vt:i4>5636160</vt:i4>
      </vt:variant>
      <vt:variant>
        <vt:i4>258</vt:i4>
      </vt:variant>
      <vt:variant>
        <vt:i4>0</vt:i4>
      </vt:variant>
      <vt:variant>
        <vt:i4>5</vt:i4>
      </vt:variant>
      <vt:variant>
        <vt:lpwstr>http://www.nevo.co.il/law/70301/274.1.;274.2</vt:lpwstr>
      </vt:variant>
      <vt:variant>
        <vt:lpwstr/>
      </vt:variant>
      <vt:variant>
        <vt:i4>3604594</vt:i4>
      </vt:variant>
      <vt:variant>
        <vt:i4>255</vt:i4>
      </vt:variant>
      <vt:variant>
        <vt:i4>0</vt:i4>
      </vt:variant>
      <vt:variant>
        <vt:i4>5</vt:i4>
      </vt:variant>
      <vt:variant>
        <vt:lpwstr>http://www.nevo.co.il/case/20716748</vt:lpwstr>
      </vt:variant>
      <vt:variant>
        <vt:lpwstr/>
      </vt:variant>
      <vt:variant>
        <vt:i4>3604594</vt:i4>
      </vt:variant>
      <vt:variant>
        <vt:i4>252</vt:i4>
      </vt:variant>
      <vt:variant>
        <vt:i4>0</vt:i4>
      </vt:variant>
      <vt:variant>
        <vt:i4>5</vt:i4>
      </vt:variant>
      <vt:variant>
        <vt:lpwstr>http://www.nevo.co.il/case/20716748</vt:lpwstr>
      </vt:variant>
      <vt:variant>
        <vt:lpwstr/>
      </vt:variant>
      <vt:variant>
        <vt:i4>3211381</vt:i4>
      </vt:variant>
      <vt:variant>
        <vt:i4>249</vt:i4>
      </vt:variant>
      <vt:variant>
        <vt:i4>0</vt:i4>
      </vt:variant>
      <vt:variant>
        <vt:i4>5</vt:i4>
      </vt:variant>
      <vt:variant>
        <vt:lpwstr>http://www.nevo.co.il/case/13104258</vt:lpwstr>
      </vt:variant>
      <vt:variant>
        <vt:lpwstr/>
      </vt:variant>
      <vt:variant>
        <vt:i4>3211381</vt:i4>
      </vt:variant>
      <vt:variant>
        <vt:i4>246</vt:i4>
      </vt:variant>
      <vt:variant>
        <vt:i4>0</vt:i4>
      </vt:variant>
      <vt:variant>
        <vt:i4>5</vt:i4>
      </vt:variant>
      <vt:variant>
        <vt:lpwstr>http://www.nevo.co.il/case/13104258</vt:lpwstr>
      </vt:variant>
      <vt:variant>
        <vt:lpwstr/>
      </vt:variant>
      <vt:variant>
        <vt:i4>6291556</vt:i4>
      </vt:variant>
      <vt:variant>
        <vt:i4>243</vt:i4>
      </vt:variant>
      <vt:variant>
        <vt:i4>0</vt:i4>
      </vt:variant>
      <vt:variant>
        <vt:i4>5</vt:i4>
      </vt:variant>
      <vt:variant>
        <vt:lpwstr>http://www.nevo.co.il/law/70301/152</vt:lpwstr>
      </vt:variant>
      <vt:variant>
        <vt:lpwstr/>
      </vt:variant>
      <vt:variant>
        <vt:i4>8126501</vt:i4>
      </vt:variant>
      <vt:variant>
        <vt:i4>240</vt:i4>
      </vt:variant>
      <vt:variant>
        <vt:i4>0</vt:i4>
      </vt:variant>
      <vt:variant>
        <vt:i4>5</vt:i4>
      </vt:variant>
      <vt:variant>
        <vt:lpwstr>http://www.nevo.co.il/law/70301/335.a.1.;335.2</vt:lpwstr>
      </vt:variant>
      <vt:variant>
        <vt:lpwstr/>
      </vt:variant>
      <vt:variant>
        <vt:i4>6684774</vt:i4>
      </vt:variant>
      <vt:variant>
        <vt:i4>237</vt:i4>
      </vt:variant>
      <vt:variant>
        <vt:i4>0</vt:i4>
      </vt:variant>
      <vt:variant>
        <vt:i4>5</vt:i4>
      </vt:variant>
      <vt:variant>
        <vt:lpwstr>http://www.nevo.co.il/law/70301/334</vt:lpwstr>
      </vt:variant>
      <vt:variant>
        <vt:lpwstr/>
      </vt:variant>
      <vt:variant>
        <vt:i4>4784223</vt:i4>
      </vt:variant>
      <vt:variant>
        <vt:i4>234</vt:i4>
      </vt:variant>
      <vt:variant>
        <vt:i4>0</vt:i4>
      </vt:variant>
      <vt:variant>
        <vt:i4>5</vt:i4>
      </vt:variant>
      <vt:variant>
        <vt:lpwstr>http://www.nevo.co.il/law/70301/329.1</vt:lpwstr>
      </vt:variant>
      <vt:variant>
        <vt:lpwstr/>
      </vt:variant>
      <vt:variant>
        <vt:i4>3473535</vt:i4>
      </vt:variant>
      <vt:variant>
        <vt:i4>231</vt:i4>
      </vt:variant>
      <vt:variant>
        <vt:i4>0</vt:i4>
      </vt:variant>
      <vt:variant>
        <vt:i4>5</vt:i4>
      </vt:variant>
      <vt:variant>
        <vt:lpwstr>http://www.nevo.co.il/case/20327935</vt:lpwstr>
      </vt:variant>
      <vt:variant>
        <vt:lpwstr/>
      </vt:variant>
      <vt:variant>
        <vt:i4>6291556</vt:i4>
      </vt:variant>
      <vt:variant>
        <vt:i4>228</vt:i4>
      </vt:variant>
      <vt:variant>
        <vt:i4>0</vt:i4>
      </vt:variant>
      <vt:variant>
        <vt:i4>5</vt:i4>
      </vt:variant>
      <vt:variant>
        <vt:lpwstr>http://www.nevo.co.il/law/70301/152</vt:lpwstr>
      </vt:variant>
      <vt:variant>
        <vt:lpwstr/>
      </vt:variant>
      <vt:variant>
        <vt:i4>4980819</vt:i4>
      </vt:variant>
      <vt:variant>
        <vt:i4>225</vt:i4>
      </vt:variant>
      <vt:variant>
        <vt:i4>0</vt:i4>
      </vt:variant>
      <vt:variant>
        <vt:i4>5</vt:i4>
      </vt:variant>
      <vt:variant>
        <vt:lpwstr>http://www.nevo.co.il/law/70301/274.2</vt:lpwstr>
      </vt:variant>
      <vt:variant>
        <vt:lpwstr/>
      </vt:variant>
      <vt:variant>
        <vt:i4>3539066</vt:i4>
      </vt:variant>
      <vt:variant>
        <vt:i4>222</vt:i4>
      </vt:variant>
      <vt:variant>
        <vt:i4>0</vt:i4>
      </vt:variant>
      <vt:variant>
        <vt:i4>5</vt:i4>
      </vt:variant>
      <vt:variant>
        <vt:lpwstr>http://www.nevo.co.il/case/20974992</vt:lpwstr>
      </vt:variant>
      <vt:variant>
        <vt:lpwstr/>
      </vt:variant>
      <vt:variant>
        <vt:i4>3342458</vt:i4>
      </vt:variant>
      <vt:variant>
        <vt:i4>219</vt:i4>
      </vt:variant>
      <vt:variant>
        <vt:i4>0</vt:i4>
      </vt:variant>
      <vt:variant>
        <vt:i4>5</vt:i4>
      </vt:variant>
      <vt:variant>
        <vt:lpwstr>http://www.nevo.co.il/case/21474812</vt:lpwstr>
      </vt:variant>
      <vt:variant>
        <vt:lpwstr/>
      </vt:variant>
      <vt:variant>
        <vt:i4>6291556</vt:i4>
      </vt:variant>
      <vt:variant>
        <vt:i4>216</vt:i4>
      </vt:variant>
      <vt:variant>
        <vt:i4>0</vt:i4>
      </vt:variant>
      <vt:variant>
        <vt:i4>5</vt:i4>
      </vt:variant>
      <vt:variant>
        <vt:lpwstr>http://www.nevo.co.il/law/70301/152</vt:lpwstr>
      </vt:variant>
      <vt:variant>
        <vt:lpwstr/>
      </vt:variant>
      <vt:variant>
        <vt:i4>5701699</vt:i4>
      </vt:variant>
      <vt:variant>
        <vt:i4>213</vt:i4>
      </vt:variant>
      <vt:variant>
        <vt:i4>0</vt:i4>
      </vt:variant>
      <vt:variant>
        <vt:i4>5</vt:i4>
      </vt:variant>
      <vt:variant>
        <vt:lpwstr>http://www.nevo.co.il/law/70301/274.2.;274.3</vt:lpwstr>
      </vt:variant>
      <vt:variant>
        <vt:lpwstr/>
      </vt:variant>
      <vt:variant>
        <vt:i4>3670130</vt:i4>
      </vt:variant>
      <vt:variant>
        <vt:i4>210</vt:i4>
      </vt:variant>
      <vt:variant>
        <vt:i4>0</vt:i4>
      </vt:variant>
      <vt:variant>
        <vt:i4>5</vt:i4>
      </vt:variant>
      <vt:variant>
        <vt:lpwstr>http://www.nevo.co.il/case/22009434</vt:lpwstr>
      </vt:variant>
      <vt:variant>
        <vt:lpwstr/>
      </vt:variant>
      <vt:variant>
        <vt:i4>3342458</vt:i4>
      </vt:variant>
      <vt:variant>
        <vt:i4>207</vt:i4>
      </vt:variant>
      <vt:variant>
        <vt:i4>0</vt:i4>
      </vt:variant>
      <vt:variant>
        <vt:i4>5</vt:i4>
      </vt:variant>
      <vt:variant>
        <vt:lpwstr>http://www.nevo.co.il/case/21474812</vt:lpwstr>
      </vt:variant>
      <vt:variant>
        <vt:lpwstr/>
      </vt:variant>
      <vt:variant>
        <vt:i4>6291556</vt:i4>
      </vt:variant>
      <vt:variant>
        <vt:i4>204</vt:i4>
      </vt:variant>
      <vt:variant>
        <vt:i4>0</vt:i4>
      </vt:variant>
      <vt:variant>
        <vt:i4>5</vt:i4>
      </vt:variant>
      <vt:variant>
        <vt:lpwstr>http://www.nevo.co.il/law/70301/152</vt:lpwstr>
      </vt:variant>
      <vt:variant>
        <vt:lpwstr/>
      </vt:variant>
      <vt:variant>
        <vt:i4>7077991</vt:i4>
      </vt:variant>
      <vt:variant>
        <vt:i4>201</vt:i4>
      </vt:variant>
      <vt:variant>
        <vt:i4>0</vt:i4>
      </vt:variant>
      <vt:variant>
        <vt:i4>5</vt:i4>
      </vt:variant>
      <vt:variant>
        <vt:lpwstr>http://www.nevo.co.il/law/70301/29</vt:lpwstr>
      </vt:variant>
      <vt:variant>
        <vt:lpwstr/>
      </vt:variant>
      <vt:variant>
        <vt:i4>6684794</vt:i4>
      </vt:variant>
      <vt:variant>
        <vt:i4>198</vt:i4>
      </vt:variant>
      <vt:variant>
        <vt:i4>0</vt:i4>
      </vt:variant>
      <vt:variant>
        <vt:i4>5</vt:i4>
      </vt:variant>
      <vt:variant>
        <vt:lpwstr>http://www.nevo.co.il/law/70301/332a.a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7077991</vt:i4>
      </vt:variant>
      <vt:variant>
        <vt:i4>192</vt:i4>
      </vt:variant>
      <vt:variant>
        <vt:i4>0</vt:i4>
      </vt:variant>
      <vt:variant>
        <vt:i4>5</vt:i4>
      </vt:variant>
      <vt:variant>
        <vt:lpwstr>http://www.nevo.co.il/law/70301/29</vt:lpwstr>
      </vt:variant>
      <vt:variant>
        <vt:lpwstr/>
      </vt:variant>
      <vt:variant>
        <vt:i4>6291559</vt:i4>
      </vt:variant>
      <vt:variant>
        <vt:i4>189</vt:i4>
      </vt:variant>
      <vt:variant>
        <vt:i4>0</vt:i4>
      </vt:variant>
      <vt:variant>
        <vt:i4>5</vt:i4>
      </vt:variant>
      <vt:variant>
        <vt:lpwstr>http://www.nevo.co.il/law/70301/25</vt:lpwstr>
      </vt:variant>
      <vt:variant>
        <vt:lpwstr/>
      </vt:variant>
      <vt:variant>
        <vt:i4>6422626</vt:i4>
      </vt:variant>
      <vt:variant>
        <vt:i4>186</vt:i4>
      </vt:variant>
      <vt:variant>
        <vt:i4>0</vt:i4>
      </vt:variant>
      <vt:variant>
        <vt:i4>5</vt:i4>
      </vt:variant>
      <vt:variant>
        <vt:lpwstr>http://www.nevo.co.il/law/70301/274.1.2</vt:lpwstr>
      </vt:variant>
      <vt:variant>
        <vt:lpwstr/>
      </vt:variant>
      <vt:variant>
        <vt:i4>3866748</vt:i4>
      </vt:variant>
      <vt:variant>
        <vt:i4>183</vt:i4>
      </vt:variant>
      <vt:variant>
        <vt:i4>0</vt:i4>
      </vt:variant>
      <vt:variant>
        <vt:i4>5</vt:i4>
      </vt:variant>
      <vt:variant>
        <vt:lpwstr>http://www.nevo.co.il/case/20716981</vt:lpwstr>
      </vt:variant>
      <vt:variant>
        <vt:lpwstr/>
      </vt:variant>
      <vt:variant>
        <vt:i4>196690</vt:i4>
      </vt:variant>
      <vt:variant>
        <vt:i4>180</vt:i4>
      </vt:variant>
      <vt:variant>
        <vt:i4>0</vt:i4>
      </vt:variant>
      <vt:variant>
        <vt:i4>5</vt:i4>
      </vt:variant>
      <vt:variant>
        <vt:lpwstr>http://www.nevo.co.il/law/70301/275a</vt:lpwstr>
      </vt:variant>
      <vt:variant>
        <vt:lpwstr/>
      </vt:variant>
      <vt:variant>
        <vt:i4>6291556</vt:i4>
      </vt:variant>
      <vt:variant>
        <vt:i4>177</vt:i4>
      </vt:variant>
      <vt:variant>
        <vt:i4>0</vt:i4>
      </vt:variant>
      <vt:variant>
        <vt:i4>5</vt:i4>
      </vt:variant>
      <vt:variant>
        <vt:lpwstr>http://www.nevo.co.il/law/70301/152</vt:lpwstr>
      </vt:variant>
      <vt:variant>
        <vt:lpwstr/>
      </vt:variant>
      <vt:variant>
        <vt:i4>6291559</vt:i4>
      </vt:variant>
      <vt:variant>
        <vt:i4>174</vt:i4>
      </vt:variant>
      <vt:variant>
        <vt:i4>0</vt:i4>
      </vt:variant>
      <vt:variant>
        <vt:i4>5</vt:i4>
      </vt:variant>
      <vt:variant>
        <vt:lpwstr>http://www.nevo.co.il/law/70301/25</vt:lpwstr>
      </vt:variant>
      <vt:variant>
        <vt:lpwstr/>
      </vt:variant>
      <vt:variant>
        <vt:i4>5636160</vt:i4>
      </vt:variant>
      <vt:variant>
        <vt:i4>171</vt:i4>
      </vt:variant>
      <vt:variant>
        <vt:i4>0</vt:i4>
      </vt:variant>
      <vt:variant>
        <vt:i4>5</vt:i4>
      </vt:variant>
      <vt:variant>
        <vt:lpwstr>http://www.nevo.co.il/law/70301/274.1.;274.2</vt:lpwstr>
      </vt:variant>
      <vt:variant>
        <vt:lpwstr/>
      </vt:variant>
      <vt:variant>
        <vt:i4>6357089</vt:i4>
      </vt:variant>
      <vt:variant>
        <vt:i4>168</vt:i4>
      </vt:variant>
      <vt:variant>
        <vt:i4>0</vt:i4>
      </vt:variant>
      <vt:variant>
        <vt:i4>5</vt:i4>
      </vt:variant>
      <vt:variant>
        <vt:lpwstr>http://www.nevo.co.il/law/70301/448</vt:lpwstr>
      </vt:variant>
      <vt:variant>
        <vt:lpwstr/>
      </vt:variant>
      <vt:variant>
        <vt:i4>6357089</vt:i4>
      </vt:variant>
      <vt:variant>
        <vt:i4>165</vt:i4>
      </vt:variant>
      <vt:variant>
        <vt:i4>0</vt:i4>
      </vt:variant>
      <vt:variant>
        <vt:i4>5</vt:i4>
      </vt:variant>
      <vt:variant>
        <vt:lpwstr>http://www.nevo.co.il/law/70301/448</vt:lpwstr>
      </vt:variant>
      <vt:variant>
        <vt:lpwstr/>
      </vt:variant>
      <vt:variant>
        <vt:i4>6553702</vt:i4>
      </vt:variant>
      <vt:variant>
        <vt:i4>162</vt:i4>
      </vt:variant>
      <vt:variant>
        <vt:i4>0</vt:i4>
      </vt:variant>
      <vt:variant>
        <vt:i4>5</vt:i4>
      </vt:variant>
      <vt:variant>
        <vt:lpwstr>http://www.nevo.co.il/law/70301/31</vt:lpwstr>
      </vt:variant>
      <vt:variant>
        <vt:lpwstr/>
      </vt:variant>
      <vt:variant>
        <vt:i4>8192050</vt:i4>
      </vt:variant>
      <vt:variant>
        <vt:i4>159</vt:i4>
      </vt:variant>
      <vt:variant>
        <vt:i4>0</vt:i4>
      </vt:variant>
      <vt:variant>
        <vt:i4>5</vt:i4>
      </vt:variant>
      <vt:variant>
        <vt:lpwstr>http://www.nevo.co.il/law/70301/144.b2</vt:lpwstr>
      </vt:variant>
      <vt:variant>
        <vt:lpwstr/>
      </vt:variant>
      <vt:variant>
        <vt:i4>6619233</vt:i4>
      </vt:variant>
      <vt:variant>
        <vt:i4>156</vt:i4>
      </vt:variant>
      <vt:variant>
        <vt:i4>0</vt:i4>
      </vt:variant>
      <vt:variant>
        <vt:i4>5</vt:i4>
      </vt:variant>
      <vt:variant>
        <vt:lpwstr>http://www.nevo.co.il/law/70301/40i</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4915202</vt:i4>
      </vt:variant>
      <vt:variant>
        <vt:i4>150</vt:i4>
      </vt:variant>
      <vt:variant>
        <vt:i4>0</vt:i4>
      </vt:variant>
      <vt:variant>
        <vt:i4>5</vt:i4>
      </vt:variant>
      <vt:variant>
        <vt:lpwstr>http://www.nevo.co.il/law/70301/40c.a</vt:lpwstr>
      </vt:variant>
      <vt:variant>
        <vt:lpwstr/>
      </vt:variant>
      <vt:variant>
        <vt:i4>3211378</vt:i4>
      </vt:variant>
      <vt:variant>
        <vt:i4>147</vt:i4>
      </vt:variant>
      <vt:variant>
        <vt:i4>0</vt:i4>
      </vt:variant>
      <vt:variant>
        <vt:i4>5</vt:i4>
      </vt:variant>
      <vt:variant>
        <vt:lpwstr>http://www.nevo.co.il/case/21473042</vt:lpwstr>
      </vt:variant>
      <vt:variant>
        <vt:lpwstr/>
      </vt:variant>
      <vt:variant>
        <vt:i4>3473521</vt:i4>
      </vt:variant>
      <vt:variant>
        <vt:i4>144</vt:i4>
      </vt:variant>
      <vt:variant>
        <vt:i4>0</vt:i4>
      </vt:variant>
      <vt:variant>
        <vt:i4>5</vt:i4>
      </vt:variant>
      <vt:variant>
        <vt:lpwstr>http://www.nevo.co.il/case/20033641</vt:lpwstr>
      </vt:variant>
      <vt:variant>
        <vt:lpwstr/>
      </vt:variant>
      <vt:variant>
        <vt:i4>3801204</vt:i4>
      </vt:variant>
      <vt:variant>
        <vt:i4>141</vt:i4>
      </vt:variant>
      <vt:variant>
        <vt:i4>0</vt:i4>
      </vt:variant>
      <vt:variant>
        <vt:i4>5</vt:i4>
      </vt:variant>
      <vt:variant>
        <vt:lpwstr>http://www.nevo.co.il/case/20529243</vt:lpwstr>
      </vt:variant>
      <vt:variant>
        <vt:lpwstr/>
      </vt:variant>
      <vt:variant>
        <vt:i4>3604593</vt:i4>
      </vt:variant>
      <vt:variant>
        <vt:i4>138</vt:i4>
      </vt:variant>
      <vt:variant>
        <vt:i4>0</vt:i4>
      </vt:variant>
      <vt:variant>
        <vt:i4>5</vt:i4>
      </vt:variant>
      <vt:variant>
        <vt:lpwstr>http://www.nevo.co.il/case/7958247</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3145849</vt:i4>
      </vt:variant>
      <vt:variant>
        <vt:i4>132</vt:i4>
      </vt:variant>
      <vt:variant>
        <vt:i4>0</vt:i4>
      </vt:variant>
      <vt:variant>
        <vt:i4>5</vt:i4>
      </vt:variant>
      <vt:variant>
        <vt:lpwstr>http://www.nevo.co.il/case/13093721</vt:lpwstr>
      </vt:variant>
      <vt:variant>
        <vt:lpwstr/>
      </vt:variant>
      <vt:variant>
        <vt:i4>4128884</vt:i4>
      </vt:variant>
      <vt:variant>
        <vt:i4>129</vt:i4>
      </vt:variant>
      <vt:variant>
        <vt:i4>0</vt:i4>
      </vt:variant>
      <vt:variant>
        <vt:i4>5</vt:i4>
      </vt:variant>
      <vt:variant>
        <vt:lpwstr>http://www.nevo.co.il/case/17954235</vt:lpwstr>
      </vt:variant>
      <vt:variant>
        <vt:lpwstr/>
      </vt:variant>
      <vt:variant>
        <vt:i4>3407988</vt:i4>
      </vt:variant>
      <vt:variant>
        <vt:i4>126</vt:i4>
      </vt:variant>
      <vt:variant>
        <vt:i4>0</vt:i4>
      </vt:variant>
      <vt:variant>
        <vt:i4>5</vt:i4>
      </vt:variant>
      <vt:variant>
        <vt:lpwstr>http://www.nevo.co.il/case/20763621</vt:lpwstr>
      </vt:variant>
      <vt:variant>
        <vt:lpwstr/>
      </vt:variant>
      <vt:variant>
        <vt:i4>3145849</vt:i4>
      </vt:variant>
      <vt:variant>
        <vt:i4>123</vt:i4>
      </vt:variant>
      <vt:variant>
        <vt:i4>0</vt:i4>
      </vt:variant>
      <vt:variant>
        <vt:i4>5</vt:i4>
      </vt:variant>
      <vt:variant>
        <vt:lpwstr>http://www.nevo.co.il/case/13093721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6553637</vt:i4>
      </vt:variant>
      <vt:variant>
        <vt:i4>117</vt:i4>
      </vt:variant>
      <vt:variant>
        <vt:i4>0</vt:i4>
      </vt:variant>
      <vt:variant>
        <vt:i4>5</vt:i4>
      </vt:variant>
      <vt:variant>
        <vt:lpwstr>http://www.nevo.co.il/law/70301/40jc.b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6750245</vt:i4>
      </vt:variant>
      <vt:variant>
        <vt:i4>111</vt:i4>
      </vt:variant>
      <vt:variant>
        <vt:i4>0</vt:i4>
      </vt:variant>
      <vt:variant>
        <vt:i4>5</vt:i4>
      </vt:variant>
      <vt:variant>
        <vt:lpwstr>http://www.nevo.co.il/law/70301/40jc.a</vt:lpwstr>
      </vt:variant>
      <vt:variant>
        <vt:lpwstr/>
      </vt:variant>
      <vt:variant>
        <vt:i4>3604594</vt:i4>
      </vt:variant>
      <vt:variant>
        <vt:i4>108</vt:i4>
      </vt:variant>
      <vt:variant>
        <vt:i4>0</vt:i4>
      </vt:variant>
      <vt:variant>
        <vt:i4>5</vt:i4>
      </vt:variant>
      <vt:variant>
        <vt:lpwstr>http://www.nevo.co.il/case/20716748</vt:lpwstr>
      </vt:variant>
      <vt:variant>
        <vt:lpwstr/>
      </vt:variant>
      <vt:variant>
        <vt:i4>6291556</vt:i4>
      </vt:variant>
      <vt:variant>
        <vt:i4>105</vt:i4>
      </vt:variant>
      <vt:variant>
        <vt:i4>0</vt:i4>
      </vt:variant>
      <vt:variant>
        <vt:i4>5</vt:i4>
      </vt:variant>
      <vt:variant>
        <vt:lpwstr>http://www.nevo.co.il/law/70301/152</vt:lpwstr>
      </vt:variant>
      <vt:variant>
        <vt:lpwstr/>
      </vt:variant>
      <vt:variant>
        <vt:i4>196690</vt:i4>
      </vt:variant>
      <vt:variant>
        <vt:i4>102</vt:i4>
      </vt:variant>
      <vt:variant>
        <vt:i4>0</vt:i4>
      </vt:variant>
      <vt:variant>
        <vt:i4>5</vt:i4>
      </vt:variant>
      <vt:variant>
        <vt:lpwstr>http://www.nevo.co.il/law/70301/275a</vt:lpwstr>
      </vt:variant>
      <vt:variant>
        <vt:lpwstr/>
      </vt:variant>
      <vt:variant>
        <vt:i4>6291556</vt:i4>
      </vt:variant>
      <vt:variant>
        <vt:i4>99</vt:i4>
      </vt:variant>
      <vt:variant>
        <vt:i4>0</vt:i4>
      </vt:variant>
      <vt:variant>
        <vt:i4>5</vt:i4>
      </vt:variant>
      <vt:variant>
        <vt:lpwstr>http://www.nevo.co.il/law/70301/152</vt:lpwstr>
      </vt:variant>
      <vt:variant>
        <vt:lpwstr/>
      </vt:variant>
      <vt:variant>
        <vt:i4>6291559</vt:i4>
      </vt:variant>
      <vt:variant>
        <vt:i4>96</vt:i4>
      </vt:variant>
      <vt:variant>
        <vt:i4>0</vt:i4>
      </vt:variant>
      <vt:variant>
        <vt:i4>5</vt:i4>
      </vt:variant>
      <vt:variant>
        <vt:lpwstr>http://www.nevo.co.il/law/70301/25</vt:lpwstr>
      </vt:variant>
      <vt:variant>
        <vt:lpwstr/>
      </vt:variant>
      <vt:variant>
        <vt:i4>5636160</vt:i4>
      </vt:variant>
      <vt:variant>
        <vt:i4>93</vt:i4>
      </vt:variant>
      <vt:variant>
        <vt:i4>0</vt:i4>
      </vt:variant>
      <vt:variant>
        <vt:i4>5</vt:i4>
      </vt:variant>
      <vt:variant>
        <vt:lpwstr>http://www.nevo.co.il/law/70301/274.1.;274.2</vt:lpwstr>
      </vt:variant>
      <vt:variant>
        <vt:lpwstr/>
      </vt:variant>
      <vt:variant>
        <vt:i4>6291556</vt:i4>
      </vt:variant>
      <vt:variant>
        <vt:i4>90</vt:i4>
      </vt:variant>
      <vt:variant>
        <vt:i4>0</vt:i4>
      </vt:variant>
      <vt:variant>
        <vt:i4>5</vt:i4>
      </vt:variant>
      <vt:variant>
        <vt:lpwstr>http://www.nevo.co.il/law/70301/152</vt:lpwstr>
      </vt:variant>
      <vt:variant>
        <vt:lpwstr/>
      </vt:variant>
      <vt:variant>
        <vt:i4>6291559</vt:i4>
      </vt:variant>
      <vt:variant>
        <vt:i4>87</vt:i4>
      </vt:variant>
      <vt:variant>
        <vt:i4>0</vt:i4>
      </vt:variant>
      <vt:variant>
        <vt:i4>5</vt:i4>
      </vt:variant>
      <vt:variant>
        <vt:lpwstr>http://www.nevo.co.il/law/70301/25</vt:lpwstr>
      </vt:variant>
      <vt:variant>
        <vt:lpwstr/>
      </vt:variant>
      <vt:variant>
        <vt:i4>5636160</vt:i4>
      </vt:variant>
      <vt:variant>
        <vt:i4>84</vt:i4>
      </vt:variant>
      <vt:variant>
        <vt:i4>0</vt:i4>
      </vt:variant>
      <vt:variant>
        <vt:i4>5</vt:i4>
      </vt:variant>
      <vt:variant>
        <vt:lpwstr>http://www.nevo.co.il/law/70301/274.1.;274.2</vt:lpwstr>
      </vt:variant>
      <vt:variant>
        <vt:lpwstr/>
      </vt:variant>
      <vt:variant>
        <vt:i4>6357089</vt:i4>
      </vt:variant>
      <vt:variant>
        <vt:i4>81</vt:i4>
      </vt:variant>
      <vt:variant>
        <vt:i4>0</vt:i4>
      </vt:variant>
      <vt:variant>
        <vt:i4>5</vt:i4>
      </vt:variant>
      <vt:variant>
        <vt:lpwstr>http://www.nevo.co.il/law/70301/448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6553702</vt:i4>
      </vt:variant>
      <vt:variant>
        <vt:i4>75</vt:i4>
      </vt:variant>
      <vt:variant>
        <vt:i4>0</vt:i4>
      </vt:variant>
      <vt:variant>
        <vt:i4>5</vt:i4>
      </vt:variant>
      <vt:variant>
        <vt:lpwstr>http://www.nevo.co.il/law/70301/31</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6357089</vt:i4>
      </vt:variant>
      <vt:variant>
        <vt:i4>69</vt:i4>
      </vt:variant>
      <vt:variant>
        <vt:i4>0</vt:i4>
      </vt:variant>
      <vt:variant>
        <vt:i4>5</vt:i4>
      </vt:variant>
      <vt:variant>
        <vt:lpwstr>http://www.nevo.co.il/law/70301/448</vt:lpwstr>
      </vt:variant>
      <vt:variant>
        <vt:lpwstr/>
      </vt:variant>
      <vt:variant>
        <vt:i4>6553637</vt:i4>
      </vt:variant>
      <vt:variant>
        <vt:i4>66</vt:i4>
      </vt:variant>
      <vt:variant>
        <vt:i4>0</vt:i4>
      </vt:variant>
      <vt:variant>
        <vt:i4>5</vt:i4>
      </vt:variant>
      <vt:variant>
        <vt:lpwstr>http://www.nevo.co.il/law/70301/40jc.b</vt:lpwstr>
      </vt:variant>
      <vt:variant>
        <vt:lpwstr/>
      </vt:variant>
      <vt:variant>
        <vt:i4>6750245</vt:i4>
      </vt:variant>
      <vt:variant>
        <vt:i4>63</vt:i4>
      </vt:variant>
      <vt:variant>
        <vt:i4>0</vt:i4>
      </vt:variant>
      <vt:variant>
        <vt:i4>5</vt:i4>
      </vt:variant>
      <vt:variant>
        <vt:lpwstr>http://www.nevo.co.il/law/70301/40jc.a</vt:lpwstr>
      </vt:variant>
      <vt:variant>
        <vt:lpwstr/>
      </vt:variant>
      <vt:variant>
        <vt:i4>4718595</vt:i4>
      </vt:variant>
      <vt:variant>
        <vt:i4>60</vt:i4>
      </vt:variant>
      <vt:variant>
        <vt:i4>0</vt:i4>
      </vt:variant>
      <vt:variant>
        <vt:i4>5</vt:i4>
      </vt:variant>
      <vt:variant>
        <vt:lpwstr>http://www.nevo.co.il/law/70301/335.a.1.</vt:lpwstr>
      </vt:variant>
      <vt:variant>
        <vt:lpwstr/>
      </vt:variant>
      <vt:variant>
        <vt:i4>4718675</vt:i4>
      </vt:variant>
      <vt:variant>
        <vt:i4>57</vt:i4>
      </vt:variant>
      <vt:variant>
        <vt:i4>0</vt:i4>
      </vt:variant>
      <vt:variant>
        <vt:i4>5</vt:i4>
      </vt:variant>
      <vt:variant>
        <vt:lpwstr>http://www.nevo.co.il/law/70301/335.2</vt:lpwstr>
      </vt:variant>
      <vt:variant>
        <vt:lpwstr/>
      </vt:variant>
      <vt:variant>
        <vt:i4>6684774</vt:i4>
      </vt:variant>
      <vt:variant>
        <vt:i4>54</vt:i4>
      </vt:variant>
      <vt:variant>
        <vt:i4>0</vt:i4>
      </vt:variant>
      <vt:variant>
        <vt:i4>5</vt:i4>
      </vt:variant>
      <vt:variant>
        <vt:lpwstr>http://www.nevo.co.il/law/70301/334</vt:lpwstr>
      </vt:variant>
      <vt:variant>
        <vt:lpwstr/>
      </vt:variant>
      <vt:variant>
        <vt:i4>6684794</vt:i4>
      </vt:variant>
      <vt:variant>
        <vt:i4>51</vt:i4>
      </vt:variant>
      <vt:variant>
        <vt:i4>0</vt:i4>
      </vt:variant>
      <vt:variant>
        <vt:i4>5</vt:i4>
      </vt:variant>
      <vt:variant>
        <vt:lpwstr>http://www.nevo.co.il/law/70301/332a.a</vt:lpwstr>
      </vt:variant>
      <vt:variant>
        <vt:lpwstr/>
      </vt:variant>
      <vt:variant>
        <vt:i4>4718676</vt:i4>
      </vt:variant>
      <vt:variant>
        <vt:i4>48</vt:i4>
      </vt:variant>
      <vt:variant>
        <vt:i4>0</vt:i4>
      </vt:variant>
      <vt:variant>
        <vt:i4>5</vt:i4>
      </vt:variant>
      <vt:variant>
        <vt:lpwstr>http://www.nevo.co.il/law/70301/332.a</vt:lpwstr>
      </vt:variant>
      <vt:variant>
        <vt:lpwstr/>
      </vt:variant>
      <vt:variant>
        <vt:i4>4784223</vt:i4>
      </vt:variant>
      <vt:variant>
        <vt:i4>45</vt:i4>
      </vt:variant>
      <vt:variant>
        <vt:i4>0</vt:i4>
      </vt:variant>
      <vt:variant>
        <vt:i4>5</vt:i4>
      </vt:variant>
      <vt:variant>
        <vt:lpwstr>http://www.nevo.co.il/law/70301/329.2</vt:lpwstr>
      </vt:variant>
      <vt:variant>
        <vt:lpwstr/>
      </vt:variant>
      <vt:variant>
        <vt:i4>4784223</vt:i4>
      </vt:variant>
      <vt:variant>
        <vt:i4>42</vt:i4>
      </vt:variant>
      <vt:variant>
        <vt:i4>0</vt:i4>
      </vt:variant>
      <vt:variant>
        <vt:i4>5</vt:i4>
      </vt:variant>
      <vt:variant>
        <vt:lpwstr>http://www.nevo.co.il/law/70301/329.1</vt:lpwstr>
      </vt:variant>
      <vt:variant>
        <vt:lpwstr/>
      </vt:variant>
      <vt:variant>
        <vt:i4>196690</vt:i4>
      </vt:variant>
      <vt:variant>
        <vt:i4>39</vt:i4>
      </vt:variant>
      <vt:variant>
        <vt:i4>0</vt:i4>
      </vt:variant>
      <vt:variant>
        <vt:i4>5</vt:i4>
      </vt:variant>
      <vt:variant>
        <vt:lpwstr>http://www.nevo.co.il/law/70301/275a</vt:lpwstr>
      </vt:variant>
      <vt:variant>
        <vt:lpwstr/>
      </vt:variant>
      <vt:variant>
        <vt:i4>4980819</vt:i4>
      </vt:variant>
      <vt:variant>
        <vt:i4>36</vt:i4>
      </vt:variant>
      <vt:variant>
        <vt:i4>0</vt:i4>
      </vt:variant>
      <vt:variant>
        <vt:i4>5</vt:i4>
      </vt:variant>
      <vt:variant>
        <vt:lpwstr>http://www.nevo.co.il/law/70301/274.3</vt:lpwstr>
      </vt:variant>
      <vt:variant>
        <vt:lpwstr/>
      </vt:variant>
      <vt:variant>
        <vt:i4>4980819</vt:i4>
      </vt:variant>
      <vt:variant>
        <vt:i4>33</vt:i4>
      </vt:variant>
      <vt:variant>
        <vt:i4>0</vt:i4>
      </vt:variant>
      <vt:variant>
        <vt:i4>5</vt:i4>
      </vt:variant>
      <vt:variant>
        <vt:lpwstr>http://www.nevo.co.il/law/70301/274.2</vt:lpwstr>
      </vt:variant>
      <vt:variant>
        <vt:lpwstr/>
      </vt:variant>
      <vt:variant>
        <vt:i4>6422626</vt:i4>
      </vt:variant>
      <vt:variant>
        <vt:i4>30</vt:i4>
      </vt:variant>
      <vt:variant>
        <vt:i4>0</vt:i4>
      </vt:variant>
      <vt:variant>
        <vt:i4>5</vt:i4>
      </vt:variant>
      <vt:variant>
        <vt:lpwstr>http://www.nevo.co.il/law/70301/274.1.2</vt:lpwstr>
      </vt:variant>
      <vt:variant>
        <vt:lpwstr/>
      </vt:variant>
      <vt:variant>
        <vt:i4>6422626</vt:i4>
      </vt:variant>
      <vt:variant>
        <vt:i4>27</vt:i4>
      </vt:variant>
      <vt:variant>
        <vt:i4>0</vt:i4>
      </vt:variant>
      <vt:variant>
        <vt:i4>5</vt:i4>
      </vt:variant>
      <vt:variant>
        <vt:lpwstr>http://www.nevo.co.il/law/70301/274.1.</vt:lpwstr>
      </vt:variant>
      <vt:variant>
        <vt:lpwstr/>
      </vt:variant>
      <vt:variant>
        <vt:i4>6291556</vt:i4>
      </vt:variant>
      <vt:variant>
        <vt:i4>24</vt:i4>
      </vt:variant>
      <vt:variant>
        <vt:i4>0</vt:i4>
      </vt:variant>
      <vt:variant>
        <vt:i4>5</vt:i4>
      </vt:variant>
      <vt:variant>
        <vt:lpwstr>http://www.nevo.co.il/law/70301/152</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2025-01-19T16:05:00Z</dcterms:created>
  <dcterms:modified xsi:type="dcterms:W3CDTF">2025-01-19T16:05:00Z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32819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ישראל;פרקליטות מחוז ירושלים</vt:lpwstr>
  </property>
  <property fmtid="{D5CDD505-2E9C-101B-9397-08002B2CF9AE}" pid="9" name="APPELLEE">
    <vt:lpwstr>נאדר נאצר</vt:lpwstr>
  </property>
  <property fmtid="{D5CDD505-2E9C-101B-9397-08002B2CF9AE}" pid="10" name="LAWYER">
    <vt:lpwstr>מוחמד מחמוד לאה צמל</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20161106</vt:lpwstr>
  </property>
  <property fmtid="{D5CDD505-2E9C-101B-9397-08002B2CF9AE}" pid="14" name="TYPE_N_DATE">
    <vt:lpwstr>39020161106</vt:lpwstr>
  </property>
  <property fmtid="{D5CDD505-2E9C-101B-9397-08002B2CF9AE}" pid="15" name="WORDNUMPAGES">
    <vt:lpwstr>13</vt:lpwstr>
  </property>
  <property fmtid="{D5CDD505-2E9C-101B-9397-08002B2CF9AE}" pid="16" name="TYPE_ABS_DATE">
    <vt:lpwstr>390020161106</vt:lpwstr>
  </property>
  <property fmtid="{D5CDD505-2E9C-101B-9397-08002B2CF9AE}" pid="17" name="CASESLISTTMP1">
    <vt:lpwstr>20716748:4;13093721:2;20763621:2;17954235;7958247;20529243;20033641;21473042;20716981;21474812:3;22009434;20974992;20327935;13104258:2;20726764;7011967</vt:lpwstr>
  </property>
  <property fmtid="{D5CDD505-2E9C-101B-9397-08002B2CF9AE}" pid="18" name="LAWLISTTMP1">
    <vt:lpwstr>70301/144.b2:3;031:2;448:3;274.1:4;274.2:6;025:5;152:9;275a:2;40jc.a;40jc.b;040c.a;040i;274.1.2;029:2;332a.a;274.3;329.1;334;335.a.1;335.2;144.b;329.2;332.a</vt:lpwstr>
  </property>
</Properties>
</file>