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6"/>
        <w:gridCol w:w="3675"/>
      </w:tblGrid>
      <w:tr w:rsidR="00643F3F" w:rsidRPr="00156282" w14:paraId="2D8CF34E" w14:textId="77777777">
        <w:trPr>
          <w:trHeight w:hRule="exact" w:val="418"/>
          <w:jc w:val="center"/>
        </w:trPr>
        <w:tc>
          <w:tcPr>
            <w:tcW w:w="8721" w:type="dxa"/>
            <w:gridSpan w:val="2"/>
          </w:tcPr>
          <w:p w14:paraId="6263E675" w14:textId="77777777" w:rsidR="00643F3F" w:rsidRPr="00156282" w:rsidRDefault="00643F3F" w:rsidP="00156282">
            <w:pPr>
              <w:pStyle w:val="a3"/>
              <w:jc w:val="center"/>
              <w:rPr>
                <w:rFonts w:ascii="Tahoma" w:hAnsi="Tahoma" w:cs="Tahoma"/>
                <w:color w:val="000080"/>
                <w:rtl/>
              </w:rPr>
            </w:pPr>
            <w:bookmarkStart w:id="0" w:name="LastJudge"/>
            <w:r w:rsidRPr="00156282">
              <w:rPr>
                <w:rFonts w:ascii="Tahoma" w:hAnsi="Tahoma" w:cs="Tahoma"/>
                <w:b/>
                <w:bCs/>
                <w:color w:val="000080"/>
                <w:rtl/>
              </w:rPr>
              <w:t>בית המשפט המחוזי בחיפה</w:t>
            </w:r>
          </w:p>
        </w:tc>
      </w:tr>
      <w:tr w:rsidR="00643F3F" w:rsidRPr="00156282" w14:paraId="438F51B8" w14:textId="77777777">
        <w:trPr>
          <w:trHeight w:val="337"/>
          <w:jc w:val="center"/>
        </w:trPr>
        <w:tc>
          <w:tcPr>
            <w:tcW w:w="5046" w:type="dxa"/>
          </w:tcPr>
          <w:p w14:paraId="135EBC93" w14:textId="77777777" w:rsidR="00643F3F" w:rsidRPr="00156282" w:rsidRDefault="00643F3F" w:rsidP="00DC37CE">
            <w:pPr>
              <w:rPr>
                <w:rFonts w:hint="cs"/>
                <w:b/>
                <w:bCs/>
                <w:sz w:val="28"/>
                <w:szCs w:val="28"/>
                <w:rtl/>
              </w:rPr>
            </w:pPr>
            <w:r w:rsidRPr="00156282">
              <w:rPr>
                <w:b/>
                <w:bCs/>
                <w:rtl/>
              </w:rPr>
              <w:t>ת"פ</w:t>
            </w:r>
            <w:r w:rsidRPr="00156282">
              <w:rPr>
                <w:rFonts w:hint="cs"/>
                <w:b/>
                <w:bCs/>
                <w:sz w:val="28"/>
                <w:szCs w:val="28"/>
                <w:rtl/>
              </w:rPr>
              <w:t xml:space="preserve"> </w:t>
            </w:r>
            <w:r w:rsidRPr="00156282">
              <w:rPr>
                <w:b/>
                <w:bCs/>
                <w:rtl/>
              </w:rPr>
              <w:t>42743-11-15</w:t>
            </w:r>
            <w:r w:rsidRPr="00156282">
              <w:rPr>
                <w:rFonts w:hint="cs"/>
                <w:b/>
                <w:bCs/>
                <w:sz w:val="28"/>
                <w:szCs w:val="28"/>
                <w:rtl/>
              </w:rPr>
              <w:t xml:space="preserve"> </w:t>
            </w:r>
            <w:r w:rsidRPr="00156282">
              <w:rPr>
                <w:b/>
                <w:bCs/>
                <w:rtl/>
              </w:rPr>
              <w:t>מדינת ישראל נ' מרעי</w:t>
            </w:r>
            <w:r w:rsidRPr="00156282">
              <w:rPr>
                <w:rFonts w:hint="cs"/>
                <w:b/>
                <w:bCs/>
                <w:rtl/>
              </w:rPr>
              <w:t xml:space="preserve"> </w:t>
            </w:r>
          </w:p>
          <w:p w14:paraId="34750096" w14:textId="77777777" w:rsidR="00643F3F" w:rsidRPr="00156282" w:rsidRDefault="00643F3F" w:rsidP="00156282">
            <w:pPr>
              <w:pStyle w:val="a3"/>
              <w:rPr>
                <w:rFonts w:cs="FrankRuehl"/>
                <w:sz w:val="28"/>
                <w:szCs w:val="28"/>
                <w:rtl/>
              </w:rPr>
            </w:pPr>
          </w:p>
        </w:tc>
        <w:tc>
          <w:tcPr>
            <w:tcW w:w="3675" w:type="dxa"/>
          </w:tcPr>
          <w:p w14:paraId="07A44247" w14:textId="77777777" w:rsidR="00643F3F" w:rsidRPr="00156282" w:rsidRDefault="00643F3F" w:rsidP="00156282">
            <w:pPr>
              <w:pStyle w:val="a3"/>
              <w:jc w:val="right"/>
              <w:rPr>
                <w:rFonts w:cs="FrankRuehl"/>
                <w:sz w:val="28"/>
                <w:szCs w:val="28"/>
                <w:rtl/>
              </w:rPr>
            </w:pPr>
            <w:r w:rsidRPr="00156282">
              <w:rPr>
                <w:rFonts w:hint="cs"/>
                <w:b/>
                <w:bCs/>
                <w:rtl/>
              </w:rPr>
              <w:t>21/3/16</w:t>
            </w:r>
          </w:p>
        </w:tc>
      </w:tr>
    </w:tbl>
    <w:p w14:paraId="6C3ED4F6" w14:textId="77777777" w:rsidR="00643F3F" w:rsidRPr="00156282" w:rsidRDefault="00643F3F" w:rsidP="00643F3F">
      <w:pPr>
        <w:pStyle w:val="a3"/>
        <w:rPr>
          <w:rtl/>
        </w:rPr>
      </w:pPr>
      <w:r w:rsidRPr="00156282">
        <w:rPr>
          <w:rFonts w:hint="cs"/>
          <w:rtl/>
        </w:rPr>
        <w:t xml:space="preserve"> </w:t>
      </w:r>
    </w:p>
    <w:tbl>
      <w:tblPr>
        <w:bidiVisual/>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3"/>
        <w:gridCol w:w="1915"/>
        <w:gridCol w:w="5788"/>
        <w:gridCol w:w="18"/>
      </w:tblGrid>
      <w:tr w:rsidR="00643F3F" w:rsidRPr="00156282" w14:paraId="518198DB" w14:textId="77777777">
        <w:trPr>
          <w:trHeight w:val="295"/>
          <w:jc w:val="center"/>
        </w:trPr>
        <w:tc>
          <w:tcPr>
            <w:tcW w:w="643" w:type="dxa"/>
            <w:tcBorders>
              <w:top w:val="nil"/>
              <w:left w:val="nil"/>
              <w:bottom w:val="nil"/>
              <w:right w:val="nil"/>
            </w:tcBorders>
            <w:shd w:val="clear" w:color="auto" w:fill="auto"/>
          </w:tcPr>
          <w:p w14:paraId="417CC865" w14:textId="77777777" w:rsidR="00643F3F" w:rsidRPr="00156282" w:rsidRDefault="00643F3F" w:rsidP="00156282">
            <w:pPr>
              <w:jc w:val="both"/>
              <w:rPr>
                <w:rFonts w:ascii="Arial" w:hAnsi="Arial"/>
                <w:sz w:val="28"/>
                <w:szCs w:val="28"/>
              </w:rPr>
            </w:pPr>
            <w:r w:rsidRPr="00156282">
              <w:rPr>
                <w:rFonts w:ascii="Arial" w:hAnsi="Arial" w:hint="cs"/>
                <w:sz w:val="28"/>
                <w:szCs w:val="28"/>
                <w:rtl/>
              </w:rPr>
              <w:t>ב</w:t>
            </w:r>
            <w:r w:rsidRPr="00156282">
              <w:rPr>
                <w:rFonts w:ascii="Arial" w:hAnsi="Arial"/>
                <w:sz w:val="28"/>
                <w:szCs w:val="28"/>
                <w:rtl/>
              </w:rPr>
              <w:t xml:space="preserve">פני </w:t>
            </w:r>
          </w:p>
        </w:tc>
        <w:tc>
          <w:tcPr>
            <w:tcW w:w="7721" w:type="dxa"/>
            <w:gridSpan w:val="3"/>
            <w:tcBorders>
              <w:top w:val="nil"/>
              <w:left w:val="nil"/>
              <w:bottom w:val="nil"/>
              <w:right w:val="nil"/>
            </w:tcBorders>
            <w:shd w:val="clear" w:color="auto" w:fill="auto"/>
          </w:tcPr>
          <w:p w14:paraId="6B209B3D" w14:textId="77777777" w:rsidR="00643F3F" w:rsidRPr="00156282" w:rsidRDefault="00643F3F" w:rsidP="00156282">
            <w:pPr>
              <w:rPr>
                <w:rFonts w:ascii="Arial" w:hAnsi="Arial"/>
                <w:b/>
                <w:bCs/>
                <w:rtl/>
              </w:rPr>
            </w:pPr>
            <w:r w:rsidRPr="00156282">
              <w:rPr>
                <w:rFonts w:ascii="Arial" w:hAnsi="Arial" w:hint="cs"/>
                <w:b/>
                <w:bCs/>
                <w:rtl/>
              </w:rPr>
              <w:t>כבוד ה</w:t>
            </w:r>
            <w:r w:rsidRPr="00156282">
              <w:rPr>
                <w:rFonts w:hint="cs"/>
                <w:b/>
                <w:bCs/>
                <w:rtl/>
              </w:rPr>
              <w:t>שופט</w:t>
            </w:r>
            <w:r w:rsidRPr="00156282">
              <w:rPr>
                <w:rFonts w:ascii="Arial" w:hAnsi="Arial" w:hint="cs"/>
                <w:b/>
                <w:bCs/>
                <w:rtl/>
              </w:rPr>
              <w:t xml:space="preserve">  </w:t>
            </w:r>
            <w:r w:rsidRPr="00156282">
              <w:rPr>
                <w:rFonts w:hint="cs"/>
                <w:b/>
                <w:bCs/>
                <w:rtl/>
              </w:rPr>
              <w:t xml:space="preserve">כמאל סעב                                                                                        </w:t>
            </w:r>
          </w:p>
          <w:p w14:paraId="5CF0571D" w14:textId="77777777" w:rsidR="00643F3F" w:rsidRPr="00156282" w:rsidRDefault="00643F3F" w:rsidP="00156282">
            <w:pPr>
              <w:rPr>
                <w:b/>
                <w:bCs/>
                <w:rtl/>
              </w:rPr>
            </w:pPr>
          </w:p>
          <w:p w14:paraId="0B4AD95E" w14:textId="77777777" w:rsidR="00643F3F" w:rsidRPr="00156282" w:rsidRDefault="00643F3F" w:rsidP="00156282">
            <w:pPr>
              <w:jc w:val="both"/>
              <w:rPr>
                <w:rFonts w:ascii="Arial" w:hAnsi="Arial"/>
                <w:b/>
                <w:bCs/>
                <w:sz w:val="28"/>
                <w:szCs w:val="28"/>
              </w:rPr>
            </w:pPr>
          </w:p>
        </w:tc>
      </w:tr>
      <w:tr w:rsidR="00643F3F" w:rsidRPr="00156282" w14:paraId="779867E8" w14:textId="7777777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 w:type="dxa"/>
        </w:trPr>
        <w:tc>
          <w:tcPr>
            <w:tcW w:w="2558" w:type="dxa"/>
            <w:gridSpan w:val="2"/>
            <w:shd w:val="clear" w:color="auto" w:fill="auto"/>
          </w:tcPr>
          <w:p w14:paraId="73D1DBC1" w14:textId="77777777" w:rsidR="00643F3F" w:rsidRPr="00156282" w:rsidRDefault="00643F3F" w:rsidP="00156282">
            <w:pPr>
              <w:ind w:left="26"/>
              <w:rPr>
                <w:b/>
                <w:bCs/>
                <w:sz w:val="26"/>
                <w:szCs w:val="26"/>
              </w:rPr>
            </w:pPr>
            <w:bookmarkStart w:id="1" w:name="FirstAppellant"/>
            <w:r w:rsidRPr="00156282">
              <w:rPr>
                <w:rFonts w:hint="cs"/>
                <w:b/>
                <w:bCs/>
                <w:sz w:val="26"/>
                <w:szCs w:val="26"/>
                <w:rtl/>
              </w:rPr>
              <w:t>ה</w:t>
            </w:r>
            <w:r w:rsidRPr="00156282">
              <w:rPr>
                <w:rFonts w:hint="cs"/>
                <w:rtl/>
              </w:rPr>
              <w:t>מאשימה</w:t>
            </w:r>
          </w:p>
        </w:tc>
        <w:tc>
          <w:tcPr>
            <w:tcW w:w="5788" w:type="dxa"/>
            <w:shd w:val="clear" w:color="auto" w:fill="auto"/>
          </w:tcPr>
          <w:p w14:paraId="54E85EEB" w14:textId="77777777" w:rsidR="00643F3F" w:rsidRPr="00156282" w:rsidRDefault="00643F3F" w:rsidP="00156282">
            <w:pPr>
              <w:rPr>
                <w:b/>
                <w:bCs/>
                <w:sz w:val="26"/>
                <w:szCs w:val="26"/>
              </w:rPr>
            </w:pPr>
            <w:r w:rsidRPr="00156282">
              <w:rPr>
                <w:rFonts w:hint="cs"/>
                <w:rtl/>
              </w:rPr>
              <w:t>מדינת ישראל</w:t>
            </w:r>
          </w:p>
          <w:p w14:paraId="718E351C" w14:textId="77777777" w:rsidR="00643F3F" w:rsidRPr="00156282" w:rsidRDefault="00643F3F" w:rsidP="00156282">
            <w:pPr>
              <w:rPr>
                <w:b/>
                <w:bCs/>
                <w:sz w:val="26"/>
                <w:szCs w:val="26"/>
                <w:rtl/>
              </w:rPr>
            </w:pPr>
          </w:p>
        </w:tc>
      </w:tr>
      <w:bookmarkEnd w:id="1"/>
      <w:tr w:rsidR="00643F3F" w:rsidRPr="00156282" w14:paraId="425E411B" w14:textId="7777777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 w:type="dxa"/>
        </w:trPr>
        <w:tc>
          <w:tcPr>
            <w:tcW w:w="8346" w:type="dxa"/>
            <w:gridSpan w:val="3"/>
            <w:shd w:val="clear" w:color="auto" w:fill="auto"/>
          </w:tcPr>
          <w:p w14:paraId="2CD72F7C" w14:textId="77777777" w:rsidR="00643F3F" w:rsidRPr="00156282" w:rsidRDefault="00643F3F" w:rsidP="00156282">
            <w:pPr>
              <w:rPr>
                <w:rFonts w:ascii="Arial" w:hAnsi="Arial"/>
                <w:b/>
                <w:bCs/>
                <w:sz w:val="26"/>
                <w:szCs w:val="26"/>
                <w:rtl/>
              </w:rPr>
            </w:pPr>
            <w:r w:rsidRPr="00156282">
              <w:rPr>
                <w:rFonts w:ascii="Arial" w:hAnsi="Arial" w:hint="cs"/>
                <w:b/>
                <w:bCs/>
                <w:sz w:val="26"/>
                <w:szCs w:val="26"/>
                <w:rtl/>
              </w:rPr>
              <w:t xml:space="preserve">                                                 נגד</w:t>
            </w:r>
          </w:p>
          <w:p w14:paraId="564579CB" w14:textId="77777777" w:rsidR="00643F3F" w:rsidRPr="00156282" w:rsidRDefault="00643F3F" w:rsidP="00156282">
            <w:pPr>
              <w:rPr>
                <w:rFonts w:ascii="Arial" w:hAnsi="Arial"/>
                <w:b/>
                <w:bCs/>
                <w:sz w:val="26"/>
                <w:szCs w:val="26"/>
                <w:rtl/>
              </w:rPr>
            </w:pPr>
          </w:p>
        </w:tc>
      </w:tr>
      <w:tr w:rsidR="00643F3F" w:rsidRPr="00156282" w14:paraId="273DAE43" w14:textId="7777777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 w:type="dxa"/>
        </w:trPr>
        <w:tc>
          <w:tcPr>
            <w:tcW w:w="2558" w:type="dxa"/>
            <w:gridSpan w:val="2"/>
            <w:shd w:val="clear" w:color="auto" w:fill="auto"/>
          </w:tcPr>
          <w:p w14:paraId="34F472EA" w14:textId="77777777" w:rsidR="00643F3F" w:rsidRPr="00156282" w:rsidRDefault="00643F3F" w:rsidP="00156282">
            <w:pPr>
              <w:ind w:left="26"/>
              <w:rPr>
                <w:b/>
                <w:bCs/>
                <w:sz w:val="26"/>
                <w:szCs w:val="26"/>
                <w:rtl/>
              </w:rPr>
            </w:pPr>
            <w:r w:rsidRPr="00156282">
              <w:rPr>
                <w:rFonts w:hint="cs"/>
                <w:b/>
                <w:bCs/>
                <w:sz w:val="26"/>
                <w:szCs w:val="26"/>
                <w:rtl/>
              </w:rPr>
              <w:t>ה</w:t>
            </w:r>
            <w:r w:rsidRPr="00156282">
              <w:rPr>
                <w:rFonts w:hint="cs"/>
                <w:rtl/>
              </w:rPr>
              <w:t>נאשם</w:t>
            </w:r>
          </w:p>
        </w:tc>
        <w:tc>
          <w:tcPr>
            <w:tcW w:w="5788" w:type="dxa"/>
            <w:shd w:val="clear" w:color="auto" w:fill="auto"/>
          </w:tcPr>
          <w:p w14:paraId="20E94723" w14:textId="77777777" w:rsidR="00643F3F" w:rsidRPr="00156282" w:rsidRDefault="00DC37CE" w:rsidP="00156282">
            <w:pPr>
              <w:rPr>
                <w:b/>
                <w:bCs/>
                <w:sz w:val="26"/>
                <w:szCs w:val="26"/>
              </w:rPr>
            </w:pPr>
            <w:r>
              <w:rPr>
                <w:rFonts w:hint="cs"/>
                <w:rtl/>
              </w:rPr>
              <w:t>אבראהים מרעי</w:t>
            </w:r>
            <w:r w:rsidR="00643F3F" w:rsidRPr="00156282">
              <w:rPr>
                <w:rFonts w:hint="cs"/>
                <w:rtl/>
              </w:rPr>
              <w:t xml:space="preserve">, ת"ז </w:t>
            </w:r>
            <w:r w:rsidR="00156282">
              <w:t>xxxxxxxxx</w:t>
            </w:r>
          </w:p>
          <w:p w14:paraId="305AD22C" w14:textId="77777777" w:rsidR="00643F3F" w:rsidRPr="00156282" w:rsidRDefault="00643F3F" w:rsidP="00156282">
            <w:pPr>
              <w:rPr>
                <w:b/>
                <w:bCs/>
                <w:sz w:val="26"/>
                <w:szCs w:val="26"/>
                <w:rtl/>
              </w:rPr>
            </w:pPr>
          </w:p>
        </w:tc>
      </w:tr>
    </w:tbl>
    <w:p w14:paraId="045316BC" w14:textId="77777777" w:rsidR="00643F3F" w:rsidRPr="00156282" w:rsidRDefault="00643F3F" w:rsidP="00643F3F">
      <w:pPr>
        <w:pStyle w:val="12"/>
        <w:spacing w:line="360" w:lineRule="auto"/>
        <w:rPr>
          <w:b w:val="0"/>
          <w:bCs w:val="0"/>
          <w:u w:val="none"/>
          <w:rtl/>
        </w:rPr>
      </w:pPr>
    </w:p>
    <w:p w14:paraId="029BEE56" w14:textId="77777777" w:rsidR="00643F3F" w:rsidRPr="00156282" w:rsidRDefault="00643F3F" w:rsidP="00643F3F">
      <w:pPr>
        <w:pStyle w:val="12"/>
        <w:spacing w:line="360" w:lineRule="auto"/>
        <w:rPr>
          <w:b w:val="0"/>
          <w:bCs w:val="0"/>
          <w:u w:val="none"/>
          <w:rtl/>
        </w:rPr>
      </w:pPr>
      <w:bookmarkStart w:id="2" w:name="FirstLawyer"/>
      <w:r w:rsidRPr="00156282">
        <w:rPr>
          <w:rFonts w:hint="cs"/>
          <w:b w:val="0"/>
          <w:bCs w:val="0"/>
          <w:u w:val="none"/>
          <w:rtl/>
        </w:rPr>
        <w:t>בשם</w:t>
      </w:r>
      <w:bookmarkEnd w:id="2"/>
      <w:r w:rsidRPr="00156282">
        <w:rPr>
          <w:rFonts w:hint="cs"/>
          <w:b w:val="0"/>
          <w:bCs w:val="0"/>
          <w:u w:val="none"/>
          <w:rtl/>
        </w:rPr>
        <w:t xml:space="preserve"> המאשימה: עו"ד הגב' הילה איזנבנד</w:t>
      </w:r>
    </w:p>
    <w:p w14:paraId="33130A06" w14:textId="77777777" w:rsidR="00E4564C" w:rsidRDefault="00643F3F" w:rsidP="00643F3F">
      <w:pPr>
        <w:pStyle w:val="12"/>
        <w:spacing w:line="360" w:lineRule="auto"/>
        <w:rPr>
          <w:b w:val="0"/>
          <w:bCs w:val="0"/>
          <w:u w:val="none"/>
          <w:rtl/>
        </w:rPr>
      </w:pPr>
      <w:r w:rsidRPr="00156282">
        <w:rPr>
          <w:rFonts w:hint="cs"/>
          <w:b w:val="0"/>
          <w:bCs w:val="0"/>
          <w:u w:val="none"/>
          <w:rtl/>
        </w:rPr>
        <w:t>בשם הנאשם: עו"ד אביב חוזה</w:t>
      </w:r>
      <w:bookmarkStart w:id="3" w:name="LawTable"/>
      <w:bookmarkEnd w:id="3"/>
    </w:p>
    <w:p w14:paraId="7C74452C" w14:textId="77777777" w:rsidR="00E4564C" w:rsidRPr="00E4564C" w:rsidRDefault="00E4564C" w:rsidP="00E4564C">
      <w:pPr>
        <w:pStyle w:val="12"/>
        <w:spacing w:after="120" w:line="240" w:lineRule="exact"/>
        <w:ind w:left="283" w:hanging="283"/>
        <w:jc w:val="both"/>
        <w:rPr>
          <w:rFonts w:ascii="FrankRuehl" w:hAnsi="FrankRuehl" w:cs="FrankRuehl"/>
          <w:b w:val="0"/>
          <w:bCs w:val="0"/>
          <w:u w:val="none"/>
          <w:rtl/>
        </w:rPr>
      </w:pPr>
    </w:p>
    <w:p w14:paraId="138E9449" w14:textId="77777777" w:rsidR="00E4564C" w:rsidRPr="00E4564C" w:rsidRDefault="00E4564C" w:rsidP="00E4564C">
      <w:pPr>
        <w:pStyle w:val="12"/>
        <w:spacing w:after="120" w:line="240" w:lineRule="exact"/>
        <w:ind w:left="283" w:hanging="283"/>
        <w:jc w:val="both"/>
        <w:rPr>
          <w:rFonts w:ascii="FrankRuehl" w:hAnsi="FrankRuehl" w:cs="FrankRuehl"/>
          <w:b w:val="0"/>
          <w:bCs w:val="0"/>
          <w:u w:val="none"/>
          <w:rtl/>
        </w:rPr>
      </w:pPr>
      <w:r w:rsidRPr="00E4564C">
        <w:rPr>
          <w:rFonts w:ascii="FrankRuehl" w:hAnsi="FrankRuehl" w:cs="FrankRuehl"/>
          <w:b w:val="0"/>
          <w:bCs w:val="0"/>
          <w:u w:val="none"/>
          <w:rtl/>
        </w:rPr>
        <w:t xml:space="preserve">חקיקה שאוזכרה: </w:t>
      </w:r>
    </w:p>
    <w:p w14:paraId="5FDB6C31" w14:textId="77777777" w:rsidR="00E4564C" w:rsidRPr="00E4564C" w:rsidRDefault="00E4564C" w:rsidP="00E4564C">
      <w:pPr>
        <w:pStyle w:val="12"/>
        <w:spacing w:after="120" w:line="240" w:lineRule="exact"/>
        <w:ind w:left="283" w:hanging="283"/>
        <w:jc w:val="both"/>
        <w:rPr>
          <w:rFonts w:ascii="FrankRuehl" w:hAnsi="FrankRuehl" w:cs="FrankRuehl"/>
          <w:b w:val="0"/>
          <w:bCs w:val="0"/>
          <w:u w:val="none"/>
          <w:rtl/>
        </w:rPr>
      </w:pPr>
      <w:hyperlink r:id="rId6" w:history="1">
        <w:r w:rsidRPr="00E4564C">
          <w:rPr>
            <w:rFonts w:ascii="FrankRuehl" w:hAnsi="FrankRuehl" w:cs="FrankRuehl"/>
            <w:b w:val="0"/>
            <w:bCs w:val="0"/>
            <w:color w:val="0000FF"/>
            <w:rtl/>
          </w:rPr>
          <w:t>חוק העונשין, תשל"ז-1977</w:t>
        </w:r>
      </w:hyperlink>
      <w:r w:rsidRPr="00E4564C">
        <w:rPr>
          <w:rFonts w:ascii="FrankRuehl" w:hAnsi="FrankRuehl" w:cs="FrankRuehl"/>
          <w:b w:val="0"/>
          <w:bCs w:val="0"/>
          <w:u w:val="none"/>
          <w:rtl/>
        </w:rPr>
        <w:t xml:space="preserve">: סע'  </w:t>
      </w:r>
      <w:hyperlink r:id="rId7" w:history="1">
        <w:r w:rsidRPr="00E4564C">
          <w:rPr>
            <w:rFonts w:ascii="FrankRuehl" w:hAnsi="FrankRuehl" w:cs="FrankRuehl"/>
            <w:b w:val="0"/>
            <w:bCs w:val="0"/>
            <w:color w:val="0000FF"/>
            <w:rtl/>
          </w:rPr>
          <w:t>144(א)</w:t>
        </w:r>
      </w:hyperlink>
      <w:r w:rsidRPr="00E4564C">
        <w:rPr>
          <w:rFonts w:ascii="FrankRuehl" w:hAnsi="FrankRuehl" w:cs="FrankRuehl"/>
          <w:b w:val="0"/>
          <w:bCs w:val="0"/>
          <w:u w:val="none"/>
          <w:rtl/>
        </w:rPr>
        <w:t xml:space="preserve">, </w:t>
      </w:r>
      <w:hyperlink r:id="rId8" w:history="1">
        <w:r w:rsidRPr="00E4564C">
          <w:rPr>
            <w:rFonts w:ascii="FrankRuehl" w:hAnsi="FrankRuehl" w:cs="FrankRuehl"/>
            <w:b w:val="0"/>
            <w:bCs w:val="0"/>
            <w:color w:val="0000FF"/>
            <w:rtl/>
          </w:rPr>
          <w:t>(ב)</w:t>
        </w:r>
      </w:hyperlink>
      <w:r w:rsidRPr="00E4564C">
        <w:rPr>
          <w:rFonts w:ascii="FrankRuehl" w:hAnsi="FrankRuehl" w:cs="FrankRuehl"/>
          <w:b w:val="0"/>
          <w:bCs w:val="0"/>
          <w:u w:val="none"/>
          <w:rtl/>
        </w:rPr>
        <w:t xml:space="preserve">, </w:t>
      </w:r>
      <w:hyperlink r:id="rId9" w:history="1">
        <w:r w:rsidRPr="00E4564C">
          <w:rPr>
            <w:rFonts w:ascii="FrankRuehl" w:hAnsi="FrankRuehl" w:cs="FrankRuehl"/>
            <w:b w:val="0"/>
            <w:bCs w:val="0"/>
            <w:color w:val="0000FF"/>
            <w:rtl/>
          </w:rPr>
          <w:t>338(א)(5)</w:t>
        </w:r>
      </w:hyperlink>
      <w:r w:rsidRPr="00E4564C">
        <w:rPr>
          <w:rFonts w:ascii="FrankRuehl" w:hAnsi="FrankRuehl" w:cs="FrankRuehl"/>
          <w:b w:val="0"/>
          <w:bCs w:val="0"/>
          <w:u w:val="none"/>
          <w:rtl/>
        </w:rPr>
        <w:t xml:space="preserve">, </w:t>
      </w:r>
      <w:hyperlink r:id="rId10" w:history="1">
        <w:r w:rsidRPr="00E4564C">
          <w:rPr>
            <w:rFonts w:ascii="FrankRuehl" w:hAnsi="FrankRuehl" w:cs="FrankRuehl"/>
            <w:b w:val="0"/>
            <w:bCs w:val="0"/>
            <w:color w:val="0000FF"/>
            <w:rtl/>
          </w:rPr>
          <w:t>340א</w:t>
        </w:r>
      </w:hyperlink>
    </w:p>
    <w:p w14:paraId="7FD26C10" w14:textId="77777777" w:rsidR="00E4564C" w:rsidRPr="00E4564C" w:rsidRDefault="00E4564C" w:rsidP="00E4564C">
      <w:pPr>
        <w:pStyle w:val="12"/>
        <w:spacing w:after="120" w:line="240" w:lineRule="exact"/>
        <w:ind w:left="283" w:hanging="283"/>
        <w:jc w:val="both"/>
        <w:rPr>
          <w:rFonts w:ascii="FrankRuehl" w:hAnsi="FrankRuehl" w:cs="FrankRuehl"/>
          <w:b w:val="0"/>
          <w:bCs w:val="0"/>
          <w:u w:val="none"/>
          <w:rtl/>
        </w:rPr>
      </w:pPr>
    </w:p>
    <w:p w14:paraId="4688A0F7" w14:textId="77777777" w:rsidR="00E4564C" w:rsidRPr="00E4564C" w:rsidRDefault="00E4564C" w:rsidP="00643F3F">
      <w:pPr>
        <w:pStyle w:val="12"/>
        <w:spacing w:line="360" w:lineRule="auto"/>
        <w:rPr>
          <w:b w:val="0"/>
          <w:bCs w:val="0"/>
          <w:u w:val="none"/>
          <w:rtl/>
        </w:rPr>
      </w:pPr>
      <w:bookmarkStart w:id="4" w:name="LawTable_End"/>
      <w:bookmarkEnd w:id="4"/>
    </w:p>
    <w:p w14:paraId="02940704" w14:textId="77777777" w:rsidR="00E4564C" w:rsidRPr="00E4564C" w:rsidRDefault="00E4564C" w:rsidP="00643F3F">
      <w:pPr>
        <w:pStyle w:val="12"/>
        <w:spacing w:line="360" w:lineRule="auto"/>
        <w:rPr>
          <w:b w:val="0"/>
          <w:bCs w:val="0"/>
          <w:u w:val="none"/>
          <w:rtl/>
        </w:rPr>
      </w:pPr>
    </w:p>
    <w:p w14:paraId="03DDCB6B" w14:textId="77777777" w:rsidR="00643F3F" w:rsidRPr="00E4564C" w:rsidRDefault="00643F3F" w:rsidP="00643F3F">
      <w:pPr>
        <w:pStyle w:val="12"/>
        <w:spacing w:line="360" w:lineRule="auto"/>
        <w:rPr>
          <w:b w:val="0"/>
          <w:bCs w:val="0"/>
          <w:u w:val="none"/>
          <w:rtl/>
        </w:rPr>
      </w:pPr>
    </w:p>
    <w:p w14:paraId="6ED18CBB" w14:textId="77777777" w:rsidR="00643F3F" w:rsidRPr="00156282" w:rsidRDefault="00643F3F" w:rsidP="00643F3F">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43F3F" w:rsidRPr="00D162F5" w14:paraId="38082DBF" w14:textId="77777777">
        <w:trPr>
          <w:trHeight w:val="355"/>
          <w:jc w:val="center"/>
        </w:trPr>
        <w:tc>
          <w:tcPr>
            <w:tcW w:w="8820" w:type="dxa"/>
            <w:tcBorders>
              <w:top w:val="nil"/>
              <w:left w:val="nil"/>
              <w:bottom w:val="nil"/>
              <w:right w:val="nil"/>
            </w:tcBorders>
            <w:shd w:val="clear" w:color="auto" w:fill="auto"/>
          </w:tcPr>
          <w:p w14:paraId="7810CFFE" w14:textId="77777777" w:rsidR="00643F3F" w:rsidRPr="00DC37CE" w:rsidRDefault="00156282" w:rsidP="00DC37CE">
            <w:pPr>
              <w:jc w:val="center"/>
              <w:rPr>
                <w:rFonts w:ascii="Arial" w:hAnsi="Arial" w:hint="cs"/>
                <w:b/>
                <w:bCs/>
                <w:sz w:val="32"/>
                <w:szCs w:val="32"/>
                <w:u w:val="single"/>
                <w:rtl/>
              </w:rPr>
            </w:pPr>
            <w:bookmarkStart w:id="5" w:name="PsakDin" w:colFirst="0" w:colLast="0"/>
            <w:bookmarkEnd w:id="0"/>
            <w:r w:rsidRPr="00156282">
              <w:rPr>
                <w:rFonts w:ascii="Arial" w:hAnsi="Arial"/>
                <w:b/>
                <w:bCs/>
                <w:sz w:val="32"/>
                <w:szCs w:val="32"/>
                <w:u w:val="single"/>
                <w:rtl/>
              </w:rPr>
              <w:t>גזר דין</w:t>
            </w:r>
          </w:p>
        </w:tc>
      </w:tr>
      <w:bookmarkEnd w:id="5"/>
    </w:tbl>
    <w:p w14:paraId="2CCFD693" w14:textId="77777777" w:rsidR="00643F3F" w:rsidRPr="00D162F5" w:rsidRDefault="00643F3F" w:rsidP="00643F3F">
      <w:pPr>
        <w:rPr>
          <w:rFonts w:ascii="Arial" w:hAnsi="Arial"/>
          <w:rtl/>
        </w:rPr>
      </w:pPr>
    </w:p>
    <w:p w14:paraId="3C67853E" w14:textId="77777777" w:rsidR="00643F3F" w:rsidRPr="00D162F5" w:rsidRDefault="00643F3F" w:rsidP="00643F3F">
      <w:pPr>
        <w:spacing w:line="360" w:lineRule="auto"/>
        <w:rPr>
          <w:rFonts w:ascii="Arial" w:hAnsi="Arial"/>
          <w:rtl/>
        </w:rPr>
      </w:pPr>
    </w:p>
    <w:p w14:paraId="6A6F6C12" w14:textId="77777777" w:rsidR="00643F3F" w:rsidRDefault="00643F3F" w:rsidP="00643F3F">
      <w:pPr>
        <w:spacing w:line="360" w:lineRule="auto"/>
        <w:ind w:left="720" w:hanging="720"/>
        <w:jc w:val="both"/>
        <w:rPr>
          <w:rtl/>
        </w:rPr>
      </w:pPr>
      <w:r>
        <w:rPr>
          <w:rFonts w:hint="cs"/>
          <w:rtl/>
        </w:rPr>
        <w:t>1.</w:t>
      </w:r>
      <w:r>
        <w:rPr>
          <w:rFonts w:hint="cs"/>
          <w:rtl/>
        </w:rPr>
        <w:tab/>
      </w:r>
      <w:bookmarkStart w:id="6" w:name="ABSTRACT_START"/>
      <w:bookmarkEnd w:id="6"/>
      <w:r>
        <w:rPr>
          <w:rFonts w:hint="cs"/>
          <w:rtl/>
        </w:rPr>
        <w:t xml:space="preserve">הנאשם הובא לדין עפ"י כתב האישום המקורי בגין עבירות בנשק לפי </w:t>
      </w:r>
      <w:hyperlink r:id="rId11" w:history="1">
        <w:r w:rsidR="00DC37CE" w:rsidRPr="00DC37CE">
          <w:rPr>
            <w:rStyle w:val="Hyperlink"/>
            <w:rFonts w:hint="eastAsia"/>
            <w:rtl/>
          </w:rPr>
          <w:t>סעיף</w:t>
        </w:r>
        <w:r w:rsidR="00DC37CE" w:rsidRPr="00DC37CE">
          <w:rPr>
            <w:rStyle w:val="Hyperlink"/>
            <w:rtl/>
          </w:rPr>
          <w:t xml:space="preserve"> 144(א)</w:t>
        </w:r>
      </w:hyperlink>
      <w:r>
        <w:rPr>
          <w:rFonts w:hint="cs"/>
          <w:rtl/>
        </w:rPr>
        <w:t xml:space="preserve"> רישא ו- (ב) רישא ל</w:t>
      </w:r>
      <w:hyperlink r:id="rId12" w:history="1">
        <w:r w:rsidR="00156282" w:rsidRPr="00156282">
          <w:rPr>
            <w:color w:val="0000FF"/>
            <w:u w:val="single"/>
            <w:rtl/>
          </w:rPr>
          <w:t>חוק העונשין</w:t>
        </w:r>
      </w:hyperlink>
      <w:r>
        <w:rPr>
          <w:rFonts w:hint="cs"/>
          <w:rtl/>
        </w:rPr>
        <w:t xml:space="preserve">, תשל"ז </w:t>
      </w:r>
      <w:r>
        <w:rPr>
          <w:rtl/>
        </w:rPr>
        <w:t>–</w:t>
      </w:r>
      <w:r>
        <w:rPr>
          <w:rFonts w:hint="cs"/>
          <w:rtl/>
        </w:rPr>
        <w:t xml:space="preserve"> 1977 - (להלן: </w:t>
      </w:r>
      <w:r>
        <w:rPr>
          <w:rFonts w:hint="cs"/>
          <w:b/>
          <w:bCs/>
          <w:rtl/>
        </w:rPr>
        <w:t>"</w:t>
      </w:r>
      <w:r w:rsidRPr="003D4B6E">
        <w:rPr>
          <w:rFonts w:hint="cs"/>
          <w:b/>
          <w:bCs/>
          <w:rtl/>
        </w:rPr>
        <w:t>חוק העונשין</w:t>
      </w:r>
      <w:r>
        <w:rPr>
          <w:rFonts w:hint="cs"/>
          <w:b/>
          <w:bCs/>
          <w:rtl/>
        </w:rPr>
        <w:t>"</w:t>
      </w:r>
      <w:r>
        <w:rPr>
          <w:rFonts w:hint="cs"/>
          <w:rtl/>
        </w:rPr>
        <w:t xml:space="preserve">), מעשה פזיזות ורשלנות לפי </w:t>
      </w:r>
      <w:hyperlink r:id="rId13" w:history="1">
        <w:r w:rsidR="00DC37CE" w:rsidRPr="00DC37CE">
          <w:rPr>
            <w:rStyle w:val="Hyperlink"/>
            <w:rFonts w:hint="eastAsia"/>
            <w:rtl/>
          </w:rPr>
          <w:t>סע</w:t>
        </w:r>
        <w:r w:rsidR="00DC37CE" w:rsidRPr="00DC37CE">
          <w:rPr>
            <w:rStyle w:val="Hyperlink"/>
            <w:rtl/>
          </w:rPr>
          <w:t>' 338(א)(5)</w:t>
        </w:r>
      </w:hyperlink>
      <w:r>
        <w:rPr>
          <w:rFonts w:hint="cs"/>
          <w:rtl/>
        </w:rPr>
        <w:t xml:space="preserve"> לחוק העונשין וירי באזור מגורים </w:t>
      </w:r>
      <w:r>
        <w:rPr>
          <w:rtl/>
        </w:rPr>
        <w:t>–</w:t>
      </w:r>
      <w:r>
        <w:rPr>
          <w:rFonts w:hint="cs"/>
          <w:rtl/>
        </w:rPr>
        <w:t xml:space="preserve"> עבירה לפי </w:t>
      </w:r>
      <w:hyperlink r:id="rId14" w:history="1">
        <w:r w:rsidR="00DC37CE" w:rsidRPr="00DC37CE">
          <w:rPr>
            <w:rStyle w:val="Hyperlink"/>
            <w:rFonts w:hint="eastAsia"/>
            <w:rtl/>
          </w:rPr>
          <w:t>סעיף</w:t>
        </w:r>
        <w:r w:rsidR="00DC37CE" w:rsidRPr="00DC37CE">
          <w:rPr>
            <w:rStyle w:val="Hyperlink"/>
            <w:rtl/>
          </w:rPr>
          <w:t xml:space="preserve"> 340א</w:t>
        </w:r>
      </w:hyperlink>
      <w:r>
        <w:rPr>
          <w:rFonts w:hint="cs"/>
          <w:rtl/>
        </w:rPr>
        <w:t xml:space="preserve"> לחוק העונשין. </w:t>
      </w:r>
      <w:bookmarkStart w:id="7" w:name="ABSTRACT_END"/>
      <w:bookmarkEnd w:id="7"/>
    </w:p>
    <w:p w14:paraId="4F91D27E" w14:textId="77777777" w:rsidR="00643F3F" w:rsidRDefault="00643F3F" w:rsidP="00643F3F">
      <w:pPr>
        <w:spacing w:line="360" w:lineRule="auto"/>
        <w:jc w:val="both"/>
        <w:rPr>
          <w:rtl/>
        </w:rPr>
      </w:pPr>
    </w:p>
    <w:p w14:paraId="28451174" w14:textId="77777777" w:rsidR="00643F3F" w:rsidRDefault="00643F3F" w:rsidP="00643F3F">
      <w:pPr>
        <w:spacing w:line="360" w:lineRule="auto"/>
        <w:ind w:left="720" w:hanging="720"/>
        <w:jc w:val="both"/>
        <w:rPr>
          <w:rtl/>
        </w:rPr>
      </w:pPr>
      <w:r>
        <w:rPr>
          <w:rFonts w:hint="cs"/>
          <w:rtl/>
        </w:rPr>
        <w:t>2.</w:t>
      </w:r>
      <w:r>
        <w:rPr>
          <w:rFonts w:hint="cs"/>
          <w:rtl/>
        </w:rPr>
        <w:tab/>
        <w:t>הנאשם כפר בעובדות כתב האישום ובית המשפט החל לשמוע את ראיות הצדדים ובישיבה השנייה שהייתה קבועה לשמיעת ראיות, הודיעו הצדדים על הגעתם להסדר טיעון, לפיו יוגש כתב אישום מתוקן לאחר שהנאשם יחזור בו מכפירתו, יודה בעובדות כתב האישום המתוקן וייגזר עליו עונש מוסכם בין הצדדים, כפי שפורט בהסכם להסדר הטיעון שיובא בהמשך.</w:t>
      </w:r>
    </w:p>
    <w:p w14:paraId="7CBB5545" w14:textId="77777777" w:rsidR="00643F3F" w:rsidRDefault="00643F3F" w:rsidP="00643F3F">
      <w:pPr>
        <w:spacing w:line="360" w:lineRule="auto"/>
        <w:ind w:left="720" w:hanging="720"/>
        <w:jc w:val="both"/>
        <w:rPr>
          <w:rtl/>
        </w:rPr>
      </w:pPr>
    </w:p>
    <w:p w14:paraId="39C338DE" w14:textId="77777777" w:rsidR="00643F3F" w:rsidRDefault="00643F3F" w:rsidP="00643F3F">
      <w:pPr>
        <w:spacing w:line="360" w:lineRule="auto"/>
        <w:ind w:left="720" w:hanging="720"/>
        <w:jc w:val="both"/>
        <w:rPr>
          <w:rtl/>
        </w:rPr>
      </w:pPr>
      <w:r>
        <w:rPr>
          <w:rFonts w:hint="cs"/>
          <w:rtl/>
        </w:rPr>
        <w:t>3.</w:t>
      </w:r>
      <w:r>
        <w:rPr>
          <w:rFonts w:hint="cs"/>
          <w:rtl/>
        </w:rPr>
        <w:tab/>
        <w:t xml:space="preserve">בית המשפט התיר לנאשם לחזור בו מכפירתו והמאשימה הגישה את ההסכם להסדר טיעון שסומן באות א', וכתב האישום המתוקן שהוגש במסגרת הסדר הטיעון וסומן באות ב'. </w:t>
      </w:r>
    </w:p>
    <w:p w14:paraId="11697FC8" w14:textId="77777777" w:rsidR="00643F3F" w:rsidRDefault="00643F3F" w:rsidP="00643F3F">
      <w:pPr>
        <w:spacing w:line="360" w:lineRule="auto"/>
        <w:ind w:left="720" w:hanging="720"/>
        <w:jc w:val="both"/>
        <w:rPr>
          <w:rtl/>
        </w:rPr>
      </w:pPr>
    </w:p>
    <w:p w14:paraId="1757DB0C" w14:textId="77777777" w:rsidR="00643F3F" w:rsidRDefault="00643F3F" w:rsidP="00643F3F">
      <w:pPr>
        <w:spacing w:line="360" w:lineRule="auto"/>
        <w:ind w:left="720" w:hanging="720"/>
        <w:jc w:val="both"/>
        <w:rPr>
          <w:rtl/>
        </w:rPr>
      </w:pPr>
      <w:r>
        <w:rPr>
          <w:rFonts w:hint="cs"/>
          <w:rtl/>
        </w:rPr>
        <w:t>4.</w:t>
      </w:r>
      <w:r>
        <w:rPr>
          <w:rFonts w:hint="cs"/>
          <w:rtl/>
        </w:rPr>
        <w:tab/>
        <w:t xml:space="preserve">הנאשם הודה בעובדות כתב האישום המתוקן והורשע על סמך הודאתו בעבירות בנשק לפי </w:t>
      </w:r>
      <w:hyperlink r:id="rId15" w:history="1">
        <w:r w:rsidR="00DC37CE" w:rsidRPr="00DC37CE">
          <w:rPr>
            <w:rStyle w:val="Hyperlink"/>
            <w:rFonts w:hint="eastAsia"/>
            <w:rtl/>
          </w:rPr>
          <w:t>סעיף</w:t>
        </w:r>
        <w:r w:rsidR="00DC37CE" w:rsidRPr="00DC37CE">
          <w:rPr>
            <w:rStyle w:val="Hyperlink"/>
            <w:rtl/>
          </w:rPr>
          <w:t xml:space="preserve"> 144(א)</w:t>
        </w:r>
      </w:hyperlink>
      <w:r>
        <w:rPr>
          <w:rFonts w:hint="cs"/>
          <w:rtl/>
        </w:rPr>
        <w:t xml:space="preserve"> רישא ו- </w:t>
      </w:r>
      <w:hyperlink r:id="rId16" w:history="1">
        <w:r w:rsidR="00DC37CE" w:rsidRPr="00DC37CE">
          <w:rPr>
            <w:rStyle w:val="Hyperlink"/>
            <w:rtl/>
          </w:rPr>
          <w:t>(ב)</w:t>
        </w:r>
      </w:hyperlink>
      <w:r>
        <w:rPr>
          <w:rFonts w:hint="cs"/>
          <w:rtl/>
        </w:rPr>
        <w:t xml:space="preserve"> רישא ל</w:t>
      </w:r>
      <w:hyperlink r:id="rId17" w:history="1">
        <w:r w:rsidR="00156282" w:rsidRPr="00156282">
          <w:rPr>
            <w:color w:val="0000FF"/>
            <w:u w:val="single"/>
            <w:rtl/>
          </w:rPr>
          <w:t>חוק העונשין</w:t>
        </w:r>
      </w:hyperlink>
      <w:r>
        <w:rPr>
          <w:rFonts w:hint="cs"/>
          <w:rtl/>
        </w:rPr>
        <w:t xml:space="preserve"> וירי באזור מגורים </w:t>
      </w:r>
      <w:r>
        <w:rPr>
          <w:rtl/>
        </w:rPr>
        <w:t>–</w:t>
      </w:r>
      <w:r>
        <w:rPr>
          <w:rFonts w:hint="cs"/>
          <w:rtl/>
        </w:rPr>
        <w:t xml:space="preserve"> עבירה לפי </w:t>
      </w:r>
      <w:hyperlink r:id="rId18" w:history="1">
        <w:r w:rsidR="00DC37CE" w:rsidRPr="00DC37CE">
          <w:rPr>
            <w:rStyle w:val="Hyperlink"/>
            <w:rFonts w:hint="eastAsia"/>
            <w:rtl/>
          </w:rPr>
          <w:t>סעיף</w:t>
        </w:r>
        <w:r w:rsidR="00DC37CE" w:rsidRPr="00DC37CE">
          <w:rPr>
            <w:rStyle w:val="Hyperlink"/>
            <w:rtl/>
          </w:rPr>
          <w:t xml:space="preserve"> 340א</w:t>
        </w:r>
      </w:hyperlink>
      <w:r>
        <w:rPr>
          <w:rFonts w:hint="cs"/>
          <w:rtl/>
        </w:rPr>
        <w:t xml:space="preserve"> לחוק העונשין. </w:t>
      </w:r>
    </w:p>
    <w:p w14:paraId="207B2876" w14:textId="77777777" w:rsidR="00643F3F" w:rsidRDefault="00643F3F" w:rsidP="00643F3F">
      <w:pPr>
        <w:spacing w:line="360" w:lineRule="auto"/>
        <w:ind w:left="720" w:hanging="720"/>
        <w:jc w:val="both"/>
        <w:rPr>
          <w:rtl/>
        </w:rPr>
      </w:pPr>
    </w:p>
    <w:p w14:paraId="2FCC0D30" w14:textId="77777777" w:rsidR="00643F3F" w:rsidRDefault="00643F3F" w:rsidP="00643F3F">
      <w:pPr>
        <w:spacing w:line="360" w:lineRule="auto"/>
        <w:ind w:left="720" w:hanging="720"/>
        <w:jc w:val="both"/>
        <w:rPr>
          <w:rtl/>
        </w:rPr>
      </w:pPr>
      <w:r>
        <w:rPr>
          <w:rFonts w:hint="cs"/>
          <w:rtl/>
        </w:rPr>
        <w:t>5.</w:t>
      </w:r>
      <w:r>
        <w:rPr>
          <w:rFonts w:hint="cs"/>
          <w:rtl/>
        </w:rPr>
        <w:tab/>
        <w:t xml:space="preserve">בפרק העובדות נטען כי ביום 26/10/15 הלך הנאשם יחד עם אחר שזהותו אינה ידועה למאשימה ברח' בן יהודה בחיפה - (להלן: </w:t>
      </w:r>
      <w:r>
        <w:rPr>
          <w:rFonts w:hint="cs"/>
          <w:b/>
          <w:bCs/>
          <w:rtl/>
        </w:rPr>
        <w:t>"הרחוב</w:t>
      </w:r>
      <w:r>
        <w:rPr>
          <w:rFonts w:hint="cs"/>
          <w:rtl/>
        </w:rPr>
        <w:t xml:space="preserve">"), כשהוא מחזיק ונושא אקדח שסוגל לירות כדור שבכוחו להמית אדם, וזאת ללא רשות על פי דין לאחזקתו והובלתו - (להלן: </w:t>
      </w:r>
      <w:r>
        <w:rPr>
          <w:rFonts w:hint="cs"/>
          <w:b/>
          <w:bCs/>
          <w:rtl/>
        </w:rPr>
        <w:t>"האקדח</w:t>
      </w:r>
      <w:r>
        <w:rPr>
          <w:rFonts w:hint="cs"/>
          <w:rtl/>
        </w:rPr>
        <w:t xml:space="preserve">". באותה עת שהו ע. ע. יליד שנת 2002 ואחיו הקטינים במרפסת ביתם אשר נמצא סמוך למכולת הנמצאת ברח' בן יהודה 24 בחיפה - (להלן: </w:t>
      </w:r>
      <w:r>
        <w:rPr>
          <w:rFonts w:hint="cs"/>
          <w:b/>
          <w:bCs/>
          <w:rtl/>
        </w:rPr>
        <w:t>"המכולת</w:t>
      </w:r>
      <w:r>
        <w:rPr>
          <w:rFonts w:hint="cs"/>
          <w:rtl/>
        </w:rPr>
        <w:t>"), ושבה נכחו מספר בני אדם, גם כן.</w:t>
      </w:r>
    </w:p>
    <w:p w14:paraId="4222A781" w14:textId="77777777" w:rsidR="00643F3F" w:rsidRDefault="00643F3F" w:rsidP="00643F3F">
      <w:pPr>
        <w:spacing w:line="360" w:lineRule="auto"/>
        <w:ind w:left="720" w:hanging="720"/>
        <w:jc w:val="both"/>
        <w:rPr>
          <w:rtl/>
        </w:rPr>
      </w:pPr>
    </w:p>
    <w:p w14:paraId="4680DB20" w14:textId="77777777" w:rsidR="00643F3F" w:rsidRPr="00B05847" w:rsidRDefault="00643F3F" w:rsidP="00643F3F">
      <w:pPr>
        <w:spacing w:line="360" w:lineRule="auto"/>
        <w:ind w:left="720" w:hanging="720"/>
        <w:jc w:val="both"/>
        <w:rPr>
          <w:rtl/>
        </w:rPr>
      </w:pPr>
      <w:r>
        <w:rPr>
          <w:rFonts w:hint="cs"/>
          <w:rtl/>
        </w:rPr>
        <w:tab/>
        <w:t>בהתקרב הנאשם למכולת, ירה באוויר מספר יריות מהאקדח, ובמעשים הנ"ל הוא ביצע את העבירות שיוחסו לו בכתב האישום המתוקן, הודה בהן והורשע על פי הודאתו.</w:t>
      </w:r>
    </w:p>
    <w:p w14:paraId="58633D9B" w14:textId="77777777" w:rsidR="00643F3F" w:rsidRDefault="00643F3F" w:rsidP="00643F3F">
      <w:pPr>
        <w:spacing w:line="360" w:lineRule="auto"/>
        <w:jc w:val="both"/>
        <w:rPr>
          <w:rtl/>
        </w:rPr>
      </w:pPr>
    </w:p>
    <w:p w14:paraId="723F3B1F" w14:textId="77777777" w:rsidR="00643F3F" w:rsidRPr="00DD64D3" w:rsidRDefault="00643F3F" w:rsidP="00643F3F">
      <w:pPr>
        <w:spacing w:line="360" w:lineRule="auto"/>
        <w:jc w:val="both"/>
        <w:rPr>
          <w:rtl/>
        </w:rPr>
      </w:pPr>
      <w:r>
        <w:rPr>
          <w:rFonts w:hint="cs"/>
          <w:b/>
          <w:bCs/>
          <w:u w:val="single"/>
          <w:rtl/>
        </w:rPr>
        <w:t>הסדר הטיעון</w:t>
      </w:r>
      <w:r>
        <w:rPr>
          <w:rFonts w:hint="cs"/>
          <w:rtl/>
        </w:rPr>
        <w:t>:</w:t>
      </w:r>
    </w:p>
    <w:p w14:paraId="7ECC0FF7" w14:textId="77777777" w:rsidR="00643F3F" w:rsidRDefault="00643F3F" w:rsidP="00643F3F">
      <w:pPr>
        <w:spacing w:line="360" w:lineRule="auto"/>
        <w:jc w:val="both"/>
        <w:rPr>
          <w:rtl/>
        </w:rPr>
      </w:pPr>
    </w:p>
    <w:p w14:paraId="758D72BC" w14:textId="77777777" w:rsidR="00643F3F" w:rsidRDefault="00643F3F" w:rsidP="00643F3F">
      <w:pPr>
        <w:spacing w:line="360" w:lineRule="auto"/>
        <w:ind w:left="720" w:hanging="720"/>
        <w:jc w:val="both"/>
        <w:rPr>
          <w:rtl/>
        </w:rPr>
      </w:pPr>
      <w:r>
        <w:rPr>
          <w:rFonts w:hint="cs"/>
          <w:rtl/>
        </w:rPr>
        <w:t>6.</w:t>
      </w:r>
      <w:r>
        <w:rPr>
          <w:rFonts w:hint="cs"/>
          <w:rtl/>
        </w:rPr>
        <w:tab/>
        <w:t>מההסכם להסדר טיעון שסומן באות א' עולה, כי באי כוח הצדדים הגיעו להסכמה לפיה יוטל על הנאשם עונש של 20 חודשי מאסר בפועל בניכוי ימי מעצרו בתיק זה, וכן יופעל נגדו עונש מאסר מותנה בן 24 חודשים שהוטל עליו ביום 04/3/09 ב</w:t>
      </w:r>
      <w:hyperlink r:id="rId19" w:history="1">
        <w:r w:rsidR="00156282" w:rsidRPr="00156282">
          <w:rPr>
            <w:color w:val="0000FF"/>
            <w:u w:val="single"/>
            <w:rtl/>
          </w:rPr>
          <w:t>תפ"ח (מחוזי-חי') 4071/07</w:t>
        </w:r>
      </w:hyperlink>
      <w:r>
        <w:rPr>
          <w:rFonts w:hint="cs"/>
          <w:rtl/>
        </w:rPr>
        <w:t>, באופן שמחצית העונש המותנה תצטבר לעונש שיוטל עליו בתיק זה והמחצית השנייה תהיה חופפת - ראו ת/2.</w:t>
      </w:r>
    </w:p>
    <w:p w14:paraId="4E7787D0" w14:textId="77777777" w:rsidR="00643F3F" w:rsidRDefault="00643F3F" w:rsidP="00643F3F">
      <w:pPr>
        <w:spacing w:line="360" w:lineRule="auto"/>
        <w:ind w:left="720" w:hanging="720"/>
        <w:jc w:val="both"/>
        <w:rPr>
          <w:rtl/>
        </w:rPr>
      </w:pPr>
    </w:p>
    <w:p w14:paraId="5AA21798" w14:textId="77777777" w:rsidR="00643F3F" w:rsidRDefault="00643F3F" w:rsidP="00643F3F">
      <w:pPr>
        <w:spacing w:line="360" w:lineRule="auto"/>
        <w:ind w:left="720" w:hanging="720"/>
        <w:jc w:val="both"/>
        <w:rPr>
          <w:rtl/>
        </w:rPr>
      </w:pPr>
      <w:r>
        <w:rPr>
          <w:rtl/>
        </w:rPr>
        <w:tab/>
      </w:r>
      <w:r>
        <w:rPr>
          <w:rFonts w:hint="cs"/>
          <w:rtl/>
        </w:rPr>
        <w:t>זאת ועוד, הוסכם כי בית המשפט יטיל על הנאשם עונש מאסר מותנה בהתאם לשיקול דעתו.</w:t>
      </w:r>
    </w:p>
    <w:p w14:paraId="177004AD" w14:textId="77777777" w:rsidR="00643F3F" w:rsidRDefault="00643F3F" w:rsidP="00643F3F">
      <w:pPr>
        <w:spacing w:line="360" w:lineRule="auto"/>
        <w:ind w:left="720" w:hanging="720"/>
        <w:jc w:val="both"/>
        <w:rPr>
          <w:rtl/>
        </w:rPr>
      </w:pPr>
    </w:p>
    <w:p w14:paraId="3F702E40" w14:textId="77777777" w:rsidR="00643F3F" w:rsidRDefault="00643F3F" w:rsidP="00643F3F">
      <w:pPr>
        <w:spacing w:line="360" w:lineRule="auto"/>
        <w:ind w:left="720" w:hanging="720"/>
        <w:jc w:val="both"/>
        <w:rPr>
          <w:rtl/>
        </w:rPr>
      </w:pPr>
      <w:r>
        <w:rPr>
          <w:rFonts w:hint="cs"/>
          <w:rtl/>
        </w:rPr>
        <w:t>7.</w:t>
      </w:r>
      <w:r>
        <w:rPr>
          <w:rFonts w:hint="cs"/>
          <w:rtl/>
        </w:rPr>
        <w:tab/>
        <w:t>הגם שבהסכם להסדר טיעון הובהר לנאשם כי בית המשפט אינו קשור להסדר זה ובסמכותו לדחות בקשת הצדדים ולהטיל עונש שונה לחומרא או לקולא, משמעות הדברים הוסברה לנאשם שוב על ידי בית המשפט במעמד הצדדים ודי אם אפנה לפרוטוקול הדיון מיום 14/3/16.</w:t>
      </w:r>
    </w:p>
    <w:p w14:paraId="4DAB1914" w14:textId="77777777" w:rsidR="00643F3F" w:rsidRDefault="00643F3F" w:rsidP="00643F3F">
      <w:pPr>
        <w:spacing w:line="360" w:lineRule="auto"/>
        <w:ind w:left="720" w:hanging="720"/>
        <w:jc w:val="both"/>
        <w:rPr>
          <w:rtl/>
        </w:rPr>
      </w:pPr>
    </w:p>
    <w:p w14:paraId="37EDE736" w14:textId="77777777" w:rsidR="00643F3F" w:rsidRDefault="00643F3F" w:rsidP="00643F3F">
      <w:pPr>
        <w:spacing w:line="360" w:lineRule="auto"/>
        <w:ind w:left="720" w:hanging="720"/>
        <w:jc w:val="both"/>
        <w:rPr>
          <w:rtl/>
        </w:rPr>
      </w:pPr>
      <w:r>
        <w:rPr>
          <w:rFonts w:hint="cs"/>
          <w:b/>
          <w:bCs/>
          <w:u w:val="single"/>
          <w:rtl/>
        </w:rPr>
        <w:t>טענות הצדדים</w:t>
      </w:r>
      <w:r>
        <w:rPr>
          <w:rFonts w:hint="cs"/>
          <w:rtl/>
        </w:rPr>
        <w:t>:</w:t>
      </w:r>
    </w:p>
    <w:p w14:paraId="3CCBDF61" w14:textId="77777777" w:rsidR="00643F3F" w:rsidRPr="00156A52" w:rsidRDefault="00643F3F" w:rsidP="00643F3F">
      <w:pPr>
        <w:spacing w:line="360" w:lineRule="auto"/>
        <w:ind w:left="720" w:hanging="720"/>
        <w:jc w:val="both"/>
        <w:rPr>
          <w:rtl/>
        </w:rPr>
      </w:pPr>
    </w:p>
    <w:p w14:paraId="74456121" w14:textId="77777777" w:rsidR="00643F3F" w:rsidRDefault="00643F3F" w:rsidP="00643F3F">
      <w:pPr>
        <w:spacing w:line="360" w:lineRule="auto"/>
        <w:ind w:left="720" w:hanging="720"/>
        <w:jc w:val="both"/>
        <w:rPr>
          <w:rtl/>
        </w:rPr>
      </w:pPr>
      <w:r>
        <w:rPr>
          <w:rFonts w:hint="cs"/>
          <w:rtl/>
        </w:rPr>
        <w:lastRenderedPageBreak/>
        <w:t>8.</w:t>
      </w:r>
      <w:r>
        <w:rPr>
          <w:rtl/>
        </w:rPr>
        <w:tab/>
      </w:r>
      <w:r>
        <w:rPr>
          <w:rFonts w:hint="cs"/>
          <w:rtl/>
        </w:rPr>
        <w:t xml:space="preserve">באת כוח המאשימה ביקשה מבית המשפט לאמץ את הסדר הטיעון, כי לדעתה, הענישה המוסכמת עומדת ברף הענישה הקיים בעבירות מסוג זה, בעיקר משום שהנאשם הודה, חסך עדות של קטין ועדויות מהותיות נוספות. </w:t>
      </w:r>
    </w:p>
    <w:p w14:paraId="24AC277A" w14:textId="77777777" w:rsidR="00643F3F" w:rsidRDefault="00643F3F" w:rsidP="00643F3F">
      <w:pPr>
        <w:spacing w:line="360" w:lineRule="auto"/>
        <w:ind w:left="720" w:hanging="720"/>
        <w:jc w:val="both"/>
        <w:rPr>
          <w:rtl/>
        </w:rPr>
      </w:pPr>
    </w:p>
    <w:p w14:paraId="7B7329CA" w14:textId="77777777" w:rsidR="00643F3F" w:rsidRDefault="00643F3F" w:rsidP="00643F3F">
      <w:pPr>
        <w:spacing w:line="360" w:lineRule="auto"/>
        <w:ind w:left="720" w:hanging="720"/>
        <w:jc w:val="both"/>
        <w:rPr>
          <w:rtl/>
        </w:rPr>
      </w:pPr>
      <w:r>
        <w:rPr>
          <w:rFonts w:hint="cs"/>
          <w:rtl/>
        </w:rPr>
        <w:t>9.</w:t>
      </w:r>
      <w:r>
        <w:rPr>
          <w:rtl/>
        </w:rPr>
        <w:tab/>
      </w:r>
      <w:r>
        <w:rPr>
          <w:rFonts w:hint="cs"/>
          <w:rtl/>
        </w:rPr>
        <w:t>הסנגור המלומד הצטרף לבקשת המאשימה לאמץ את הסדר הטיעון. עוד טען כי מדובר בנאשם בן 25, עובר למעצרו עבד בנמל חיפה אצל קבלן שיפוצים, הוא חי עם בת זוגו וביחד מגדלים את בנה, מצבו הכלכלי קשה, הנאשם הודה, הגם שלא בפתח הדיון אך אין ספק שהודאתו חסכה שמיעת עדים רבים, לרבות עדות עד הראייה הקטין.</w:t>
      </w:r>
      <w:r>
        <w:rPr>
          <w:rFonts w:hint="cs"/>
        </w:rPr>
        <w:t xml:space="preserve"> </w:t>
      </w:r>
    </w:p>
    <w:p w14:paraId="0C172C9D" w14:textId="77777777" w:rsidR="00643F3F" w:rsidRDefault="00643F3F" w:rsidP="00643F3F">
      <w:pPr>
        <w:spacing w:line="360" w:lineRule="auto"/>
        <w:ind w:left="720" w:hanging="720"/>
        <w:jc w:val="both"/>
        <w:rPr>
          <w:rtl/>
        </w:rPr>
      </w:pPr>
    </w:p>
    <w:p w14:paraId="70172AD2" w14:textId="77777777" w:rsidR="00643F3F" w:rsidRDefault="00643F3F" w:rsidP="00643F3F">
      <w:pPr>
        <w:spacing w:line="360" w:lineRule="auto"/>
        <w:ind w:left="720" w:hanging="720"/>
        <w:jc w:val="both"/>
        <w:rPr>
          <w:rtl/>
        </w:rPr>
      </w:pPr>
      <w:r>
        <w:rPr>
          <w:rtl/>
        </w:rPr>
        <w:tab/>
      </w:r>
      <w:r>
        <w:rPr>
          <w:rFonts w:hint="cs"/>
          <w:rtl/>
        </w:rPr>
        <w:t xml:space="preserve">גם הסנגור טען, כי הענישה המוסכמת מקיימת ומיישמת את מדיניות הענישה הנוהגת, הוא גם ביקש לאמץ את ההסדר ביחס להפעלת העונש המותנה התלוי ועומד נגד הנאשם. </w:t>
      </w:r>
    </w:p>
    <w:p w14:paraId="43D2A570" w14:textId="77777777" w:rsidR="00643F3F" w:rsidRDefault="00643F3F" w:rsidP="00643F3F">
      <w:pPr>
        <w:spacing w:line="360" w:lineRule="auto"/>
        <w:ind w:left="720" w:hanging="720"/>
        <w:jc w:val="both"/>
        <w:rPr>
          <w:rtl/>
        </w:rPr>
      </w:pPr>
      <w:r>
        <w:rPr>
          <w:rtl/>
        </w:rPr>
        <w:tab/>
      </w:r>
      <w:r>
        <w:rPr>
          <w:rFonts w:hint="cs"/>
          <w:rtl/>
        </w:rPr>
        <w:t xml:space="preserve">ביחס לעונש המאסר המותנה שיוטל על הנאשם, ביקש הסנגור כי עונש זה יהיה מידתי ויהלום את הנסיבות של העבירה ושל הנאשם. </w:t>
      </w:r>
    </w:p>
    <w:p w14:paraId="032189F1" w14:textId="77777777" w:rsidR="00643F3F" w:rsidRDefault="00643F3F" w:rsidP="00643F3F">
      <w:pPr>
        <w:spacing w:line="360" w:lineRule="auto"/>
        <w:ind w:left="720" w:hanging="720"/>
        <w:jc w:val="both"/>
        <w:rPr>
          <w:rtl/>
        </w:rPr>
      </w:pPr>
    </w:p>
    <w:p w14:paraId="38B58445" w14:textId="77777777" w:rsidR="00643F3F" w:rsidRDefault="00643F3F" w:rsidP="00643F3F">
      <w:pPr>
        <w:spacing w:line="360" w:lineRule="auto"/>
        <w:ind w:left="720" w:hanging="720"/>
        <w:jc w:val="both"/>
        <w:rPr>
          <w:rtl/>
        </w:rPr>
      </w:pPr>
      <w:r>
        <w:rPr>
          <w:rFonts w:hint="cs"/>
          <w:b/>
          <w:bCs/>
          <w:u w:val="single"/>
          <w:rtl/>
        </w:rPr>
        <w:t>דברי הנאשם</w:t>
      </w:r>
      <w:r>
        <w:rPr>
          <w:rFonts w:hint="cs"/>
          <w:rtl/>
        </w:rPr>
        <w:t>:</w:t>
      </w:r>
    </w:p>
    <w:p w14:paraId="26A01ADF" w14:textId="77777777" w:rsidR="00643F3F" w:rsidRDefault="00643F3F" w:rsidP="00643F3F">
      <w:pPr>
        <w:spacing w:line="360" w:lineRule="auto"/>
        <w:ind w:left="720" w:hanging="720"/>
        <w:jc w:val="both"/>
        <w:rPr>
          <w:rtl/>
        </w:rPr>
      </w:pPr>
    </w:p>
    <w:p w14:paraId="67339249" w14:textId="77777777" w:rsidR="00643F3F" w:rsidRDefault="00643F3F" w:rsidP="00643F3F">
      <w:pPr>
        <w:spacing w:line="360" w:lineRule="auto"/>
        <w:ind w:left="720" w:hanging="720"/>
        <w:jc w:val="both"/>
        <w:rPr>
          <w:rtl/>
        </w:rPr>
      </w:pPr>
      <w:r>
        <w:rPr>
          <w:rFonts w:hint="cs"/>
          <w:rtl/>
        </w:rPr>
        <w:t>10.</w:t>
      </w:r>
      <w:r w:rsidRPr="00156A52">
        <w:rPr>
          <w:rtl/>
        </w:rPr>
        <w:tab/>
      </w:r>
      <w:r w:rsidRPr="00156A52">
        <w:rPr>
          <w:rFonts w:hint="cs"/>
          <w:rtl/>
        </w:rPr>
        <w:t xml:space="preserve">בפנותו </w:t>
      </w:r>
      <w:r>
        <w:rPr>
          <w:rFonts w:hint="cs"/>
          <w:rtl/>
        </w:rPr>
        <w:t>לבית המשפט ביקש הנאשם לנהוג בו במידת הרחמים.</w:t>
      </w:r>
    </w:p>
    <w:p w14:paraId="407FD9FA" w14:textId="77777777" w:rsidR="00643F3F" w:rsidRDefault="00643F3F" w:rsidP="00643F3F">
      <w:pPr>
        <w:spacing w:line="360" w:lineRule="auto"/>
        <w:ind w:left="720" w:hanging="720"/>
        <w:jc w:val="both"/>
        <w:rPr>
          <w:rtl/>
        </w:rPr>
      </w:pPr>
    </w:p>
    <w:p w14:paraId="03DA3566" w14:textId="77777777" w:rsidR="00643F3F" w:rsidRDefault="00643F3F" w:rsidP="00643F3F">
      <w:pPr>
        <w:spacing w:line="360" w:lineRule="auto"/>
        <w:ind w:left="720" w:hanging="720"/>
        <w:jc w:val="both"/>
        <w:rPr>
          <w:rtl/>
        </w:rPr>
      </w:pPr>
      <w:r>
        <w:rPr>
          <w:rFonts w:hint="cs"/>
          <w:b/>
          <w:bCs/>
          <w:u w:val="single"/>
          <w:rtl/>
        </w:rPr>
        <w:t>גזירת הדין</w:t>
      </w:r>
      <w:r>
        <w:rPr>
          <w:rFonts w:hint="cs"/>
          <w:rtl/>
        </w:rPr>
        <w:t>:</w:t>
      </w:r>
    </w:p>
    <w:p w14:paraId="653F3AE8" w14:textId="77777777" w:rsidR="00643F3F" w:rsidRPr="00156A52" w:rsidRDefault="00643F3F" w:rsidP="00643F3F">
      <w:pPr>
        <w:spacing w:line="360" w:lineRule="auto"/>
        <w:ind w:left="720" w:hanging="720"/>
        <w:jc w:val="both"/>
        <w:rPr>
          <w:rtl/>
        </w:rPr>
      </w:pPr>
    </w:p>
    <w:p w14:paraId="45C3C09B" w14:textId="77777777" w:rsidR="00643F3F" w:rsidRDefault="00643F3F" w:rsidP="00643F3F">
      <w:pPr>
        <w:spacing w:line="360" w:lineRule="auto"/>
        <w:ind w:left="720" w:hanging="720"/>
        <w:jc w:val="both"/>
        <w:rPr>
          <w:rtl/>
        </w:rPr>
      </w:pPr>
      <w:r>
        <w:rPr>
          <w:rFonts w:hint="cs"/>
          <w:rtl/>
        </w:rPr>
        <w:t>11.</w:t>
      </w:r>
      <w:r>
        <w:rPr>
          <w:rtl/>
        </w:rPr>
        <w:tab/>
      </w:r>
      <w:r>
        <w:rPr>
          <w:rFonts w:hint="cs"/>
          <w:rtl/>
        </w:rPr>
        <w:t xml:space="preserve"> מת/1 (הרשעות קודמות של הנאשם) עולה, כי הוא נידון בבית המשפט המחוזי בחיפה בעבירה של קשירת קשר לפשע, עבירות נשק וסיוע לאחר מעשה פשע ביחד עם נאשמים נוספים שהורשעו בעבירות דומות בחלקן ועבירות נוספות ושונות במהותן ושכתוצאה מהן נורה ונהרג אדם.</w:t>
      </w:r>
    </w:p>
    <w:p w14:paraId="01C0CA7C" w14:textId="77777777" w:rsidR="00643F3F" w:rsidRDefault="00643F3F" w:rsidP="00643F3F">
      <w:pPr>
        <w:spacing w:line="360" w:lineRule="auto"/>
        <w:ind w:left="720" w:hanging="720"/>
        <w:jc w:val="both"/>
        <w:rPr>
          <w:rtl/>
        </w:rPr>
      </w:pPr>
    </w:p>
    <w:p w14:paraId="5C24B828" w14:textId="77777777" w:rsidR="00643F3F" w:rsidRDefault="00643F3F" w:rsidP="00643F3F">
      <w:pPr>
        <w:spacing w:line="360" w:lineRule="auto"/>
        <w:ind w:left="720" w:hanging="720"/>
        <w:jc w:val="both"/>
        <w:rPr>
          <w:rtl/>
        </w:rPr>
      </w:pPr>
      <w:r>
        <w:rPr>
          <w:rtl/>
        </w:rPr>
        <w:tab/>
      </w:r>
      <w:r>
        <w:rPr>
          <w:rFonts w:hint="cs"/>
          <w:rtl/>
        </w:rPr>
        <w:t xml:space="preserve">מפרשה זו שבת/1 ניתן ללמוד על כך שזו לא העבירה הראשונה שבה מעורב הנאשם בעבירות נשק. </w:t>
      </w:r>
    </w:p>
    <w:p w14:paraId="07B9D0D2" w14:textId="77777777" w:rsidR="00643F3F" w:rsidRDefault="00643F3F" w:rsidP="00643F3F">
      <w:pPr>
        <w:spacing w:line="360" w:lineRule="auto"/>
        <w:ind w:left="720" w:hanging="720"/>
        <w:jc w:val="both"/>
        <w:rPr>
          <w:rtl/>
        </w:rPr>
      </w:pPr>
    </w:p>
    <w:p w14:paraId="7E8CBD2F" w14:textId="77777777" w:rsidR="00643F3F" w:rsidRDefault="00643F3F" w:rsidP="00643F3F">
      <w:pPr>
        <w:spacing w:line="360" w:lineRule="auto"/>
        <w:ind w:left="720" w:hanging="720"/>
        <w:jc w:val="both"/>
        <w:rPr>
          <w:rtl/>
        </w:rPr>
      </w:pPr>
      <w:r>
        <w:rPr>
          <w:rFonts w:hint="cs"/>
          <w:rtl/>
        </w:rPr>
        <w:t>12.</w:t>
      </w:r>
      <w:r>
        <w:rPr>
          <w:rFonts w:hint="cs"/>
          <w:rtl/>
        </w:rPr>
        <w:tab/>
        <w:t>כאשר באתי לבחון את מהות הסדר הטיעון שהתגבש בין הצדדים, ונתתי דעתי לנימוקים שהביאו, ובעיקר נהגתי על פי גישת בית המשפט העליון בהתאם להלכת האיזון בין מכלול שיקולי הענישה כאמור ב</w:t>
      </w:r>
      <w:hyperlink r:id="rId20" w:history="1">
        <w:r w:rsidR="00156282" w:rsidRPr="00156282">
          <w:rPr>
            <w:color w:val="0000FF"/>
            <w:u w:val="single"/>
            <w:rtl/>
          </w:rPr>
          <w:t>ע"פ 1958/98</w:t>
        </w:r>
      </w:hyperlink>
      <w:r>
        <w:rPr>
          <w:rFonts w:hint="cs"/>
          <w:rtl/>
        </w:rPr>
        <w:t xml:space="preserve"> </w:t>
      </w:r>
      <w:r>
        <w:rPr>
          <w:rFonts w:hint="cs"/>
          <w:b/>
          <w:bCs/>
          <w:rtl/>
        </w:rPr>
        <w:t>פלוני נ' מדינת ישראל</w:t>
      </w:r>
      <w:r>
        <w:rPr>
          <w:rFonts w:hint="cs"/>
          <w:rtl/>
        </w:rPr>
        <w:t xml:space="preserve">, פד(נז)(1) 577, ולאחר בחינת מדיניות הענישה הנוהגת בעבירות בהן הורשע הנאשם, כפי שיפורט להלן, אני מחליט לאמץ הסדר הטיעון. </w:t>
      </w:r>
    </w:p>
    <w:p w14:paraId="7842BD6A" w14:textId="77777777" w:rsidR="00643F3F" w:rsidRDefault="00643F3F" w:rsidP="00643F3F">
      <w:pPr>
        <w:spacing w:line="360" w:lineRule="auto"/>
        <w:ind w:left="720" w:hanging="720"/>
        <w:jc w:val="both"/>
        <w:rPr>
          <w:rtl/>
        </w:rPr>
      </w:pPr>
    </w:p>
    <w:p w14:paraId="336989C3" w14:textId="77777777" w:rsidR="00643F3F" w:rsidRDefault="00643F3F" w:rsidP="00E4564C">
      <w:pPr>
        <w:spacing w:line="360" w:lineRule="auto"/>
        <w:ind w:left="720" w:hanging="720"/>
        <w:jc w:val="both"/>
        <w:rPr>
          <w:rtl/>
        </w:rPr>
      </w:pPr>
      <w:r>
        <w:rPr>
          <w:rFonts w:hint="cs"/>
          <w:rtl/>
        </w:rPr>
        <w:t>12.</w:t>
      </w:r>
      <w:r>
        <w:rPr>
          <w:rFonts w:hint="cs"/>
          <w:rtl/>
        </w:rPr>
        <w:tab/>
        <w:t xml:space="preserve">לא נעלמה מעיניי גישת בתי המשפט בעבירות נשק והצורך להחמיר בענישה בשל ריבוין, הקלות היחסית שבה ניתן להשיג נשק, הסכנות הנשקפות מעבירות אלה וההנחה כי מי שמחזיק נשק בלתי חוקי ככל הנראה יעשה בו שימוש שלא כדין, דבר העלול לגרום אם לא לקיפוח חיי אדם, הרי לפגיעה בגוף, וכי כל אלו מעידים על חומרת העבירה </w:t>
      </w:r>
      <w:r>
        <w:rPr>
          <w:rtl/>
        </w:rPr>
        <w:t>–</w:t>
      </w:r>
      <w:r>
        <w:rPr>
          <w:rFonts w:hint="cs"/>
          <w:rtl/>
        </w:rPr>
        <w:t xml:space="preserve"> לעניין זה ראו </w:t>
      </w:r>
      <w:hyperlink r:id="rId21" w:history="1">
        <w:r w:rsidR="00156282" w:rsidRPr="00156282">
          <w:rPr>
            <w:color w:val="0000FF"/>
            <w:u w:val="single"/>
            <w:rtl/>
          </w:rPr>
          <w:t>ע"פ 4450/11</w:t>
        </w:r>
      </w:hyperlink>
      <w:r>
        <w:rPr>
          <w:rFonts w:hint="cs"/>
          <w:rtl/>
        </w:rPr>
        <w:t xml:space="preserve"> </w:t>
      </w:r>
      <w:r>
        <w:rPr>
          <w:rFonts w:hint="cs"/>
          <w:b/>
          <w:bCs/>
          <w:rtl/>
        </w:rPr>
        <w:t>עספור נ' מדינת ישראל</w:t>
      </w:r>
      <w:r>
        <w:rPr>
          <w:rFonts w:hint="cs"/>
          <w:rtl/>
        </w:rPr>
        <w:t xml:space="preserve"> </w:t>
      </w:r>
      <w:r>
        <w:rPr>
          <w:rtl/>
        </w:rPr>
        <w:t>–</w:t>
      </w:r>
      <w:r>
        <w:rPr>
          <w:rFonts w:hint="cs"/>
          <w:rtl/>
        </w:rPr>
        <w:t xml:space="preserve">(8/2/12); </w:t>
      </w:r>
      <w:hyperlink r:id="rId22" w:history="1">
        <w:r w:rsidR="00156282" w:rsidRPr="00156282">
          <w:rPr>
            <w:color w:val="0000FF"/>
            <w:u w:val="single"/>
            <w:rtl/>
          </w:rPr>
          <w:t>ע"פ 2251/11</w:t>
        </w:r>
      </w:hyperlink>
      <w:r>
        <w:rPr>
          <w:rFonts w:hint="cs"/>
          <w:rtl/>
        </w:rPr>
        <w:t xml:space="preserve"> </w:t>
      </w:r>
      <w:r>
        <w:rPr>
          <w:rFonts w:hint="cs"/>
          <w:b/>
          <w:bCs/>
          <w:rtl/>
        </w:rPr>
        <w:t>נפאע נ' מדינת ישראל</w:t>
      </w:r>
      <w:r>
        <w:rPr>
          <w:rFonts w:hint="cs"/>
          <w:rtl/>
        </w:rPr>
        <w:t xml:space="preserve"> (4/12/11); </w:t>
      </w:r>
      <w:hyperlink r:id="rId23" w:history="1">
        <w:r w:rsidR="00156282" w:rsidRPr="00156282">
          <w:rPr>
            <w:color w:val="0000FF"/>
            <w:u w:val="single"/>
            <w:rtl/>
          </w:rPr>
          <w:t>ע"פ 1323/13</w:t>
        </w:r>
      </w:hyperlink>
      <w:r>
        <w:rPr>
          <w:rFonts w:hint="cs"/>
          <w:rtl/>
        </w:rPr>
        <w:t xml:space="preserve"> </w:t>
      </w:r>
      <w:r>
        <w:rPr>
          <w:rFonts w:hint="cs"/>
          <w:b/>
          <w:bCs/>
          <w:rtl/>
        </w:rPr>
        <w:t xml:space="preserve">רך נ' מדינת ישראל </w:t>
      </w:r>
      <w:r>
        <w:rPr>
          <w:rFonts w:hint="cs"/>
          <w:rtl/>
        </w:rPr>
        <w:t xml:space="preserve"> (5/3/13); </w:t>
      </w:r>
      <w:hyperlink r:id="rId24" w:history="1">
        <w:r w:rsidR="00E4564C" w:rsidRPr="00E4564C">
          <w:rPr>
            <w:color w:val="0000FF"/>
            <w:u w:val="single"/>
            <w:rtl/>
          </w:rPr>
          <w:t xml:space="preserve">ע"פ 11448/03 </w:t>
        </w:r>
      </w:hyperlink>
      <w:r w:rsidR="00E4564C" w:rsidRPr="00E4564C">
        <w:rPr>
          <w:rFonts w:hint="cs"/>
          <w:rtl/>
        </w:rPr>
        <w:t xml:space="preserve"> </w:t>
      </w:r>
      <w:r>
        <w:rPr>
          <w:rFonts w:hint="cs"/>
          <w:b/>
          <w:bCs/>
          <w:rtl/>
        </w:rPr>
        <w:t xml:space="preserve">מדינת ישראל נ' דיב ג'ורבאן </w:t>
      </w:r>
      <w:r>
        <w:rPr>
          <w:rFonts w:hint="cs"/>
          <w:rtl/>
        </w:rPr>
        <w:t xml:space="preserve"> (29/3/04); </w:t>
      </w:r>
      <w:hyperlink r:id="rId25" w:history="1">
        <w:r w:rsidR="00156282" w:rsidRPr="00156282">
          <w:rPr>
            <w:color w:val="0000FF"/>
            <w:u w:val="single"/>
            <w:rtl/>
          </w:rPr>
          <w:t>ע"פ 3072/07</w:t>
        </w:r>
      </w:hyperlink>
      <w:r>
        <w:rPr>
          <w:rFonts w:hint="cs"/>
          <w:rtl/>
        </w:rPr>
        <w:t xml:space="preserve"> </w:t>
      </w:r>
      <w:r>
        <w:rPr>
          <w:rFonts w:hint="cs"/>
          <w:b/>
          <w:bCs/>
          <w:rtl/>
        </w:rPr>
        <w:t>מדינת ישראל נ' עבד אלחפיז ואכד</w:t>
      </w:r>
      <w:r>
        <w:rPr>
          <w:rFonts w:hint="cs"/>
          <w:rtl/>
        </w:rPr>
        <w:t xml:space="preserve"> (2/8/07); </w:t>
      </w:r>
      <w:hyperlink r:id="rId26" w:history="1">
        <w:r w:rsidR="00156282" w:rsidRPr="00156282">
          <w:rPr>
            <w:color w:val="0000FF"/>
            <w:u w:val="single"/>
            <w:rtl/>
          </w:rPr>
          <w:t>רע"פ 2718/04</w:t>
        </w:r>
      </w:hyperlink>
      <w:r>
        <w:rPr>
          <w:rFonts w:hint="cs"/>
          <w:rtl/>
        </w:rPr>
        <w:t xml:space="preserve"> </w:t>
      </w:r>
      <w:r>
        <w:rPr>
          <w:rFonts w:hint="cs"/>
          <w:b/>
          <w:bCs/>
          <w:rtl/>
        </w:rPr>
        <w:t>אבו דאחל נ' מדינת ישראל</w:t>
      </w:r>
      <w:r>
        <w:rPr>
          <w:rFonts w:hint="cs"/>
          <w:rtl/>
        </w:rPr>
        <w:t xml:space="preserve"> (29/3/04); </w:t>
      </w:r>
      <w:hyperlink r:id="rId27" w:history="1">
        <w:r w:rsidR="00156282" w:rsidRPr="00156282">
          <w:rPr>
            <w:color w:val="0000FF"/>
            <w:u w:val="single"/>
            <w:rtl/>
          </w:rPr>
          <w:t>ע"פ 6583/06</w:t>
        </w:r>
      </w:hyperlink>
      <w:r>
        <w:rPr>
          <w:rFonts w:hint="cs"/>
          <w:rtl/>
        </w:rPr>
        <w:t xml:space="preserve"> </w:t>
      </w:r>
      <w:r>
        <w:rPr>
          <w:rFonts w:hint="cs"/>
          <w:b/>
          <w:bCs/>
          <w:rtl/>
        </w:rPr>
        <w:t>אדהם נ' מדינת ישראל</w:t>
      </w:r>
      <w:r>
        <w:rPr>
          <w:rFonts w:hint="cs"/>
          <w:rtl/>
        </w:rPr>
        <w:t xml:space="preserve"> (10/12/06); </w:t>
      </w:r>
      <w:hyperlink r:id="rId28" w:history="1">
        <w:r w:rsidR="00156282" w:rsidRPr="00156282">
          <w:rPr>
            <w:color w:val="0000FF"/>
            <w:u w:val="single"/>
            <w:rtl/>
          </w:rPr>
          <w:t>רע"פ 5921/08</w:t>
        </w:r>
      </w:hyperlink>
      <w:r>
        <w:rPr>
          <w:rFonts w:hint="cs"/>
          <w:rtl/>
        </w:rPr>
        <w:t xml:space="preserve"> </w:t>
      </w:r>
      <w:r>
        <w:rPr>
          <w:rFonts w:hint="cs"/>
          <w:b/>
          <w:bCs/>
          <w:rtl/>
        </w:rPr>
        <w:t xml:space="preserve">רביע רג'בי נ' מדינת ישראל </w:t>
      </w:r>
      <w:r>
        <w:rPr>
          <w:rFonts w:hint="cs"/>
          <w:rtl/>
        </w:rPr>
        <w:t xml:space="preserve">(6/5/09); </w:t>
      </w:r>
      <w:hyperlink r:id="rId29" w:history="1">
        <w:r w:rsidR="00156282" w:rsidRPr="00156282">
          <w:rPr>
            <w:color w:val="0000FF"/>
            <w:u w:val="single"/>
            <w:rtl/>
          </w:rPr>
          <w:t>ע"פ 3156/11</w:t>
        </w:r>
      </w:hyperlink>
      <w:r>
        <w:rPr>
          <w:rFonts w:hint="cs"/>
          <w:rtl/>
        </w:rPr>
        <w:t xml:space="preserve"> </w:t>
      </w:r>
      <w:r>
        <w:rPr>
          <w:rFonts w:hint="cs"/>
          <w:b/>
          <w:bCs/>
          <w:rtl/>
        </w:rPr>
        <w:t>זראיעה נ' מדינת ישראל</w:t>
      </w:r>
      <w:r>
        <w:rPr>
          <w:rFonts w:hint="cs"/>
          <w:rtl/>
        </w:rPr>
        <w:t xml:space="preserve"> (21/2/12); </w:t>
      </w:r>
      <w:hyperlink r:id="rId30" w:history="1">
        <w:r w:rsidR="00156282" w:rsidRPr="00156282">
          <w:rPr>
            <w:color w:val="0000FF"/>
            <w:u w:val="single"/>
            <w:rtl/>
          </w:rPr>
          <w:t>ע"פ 9373/10</w:t>
        </w:r>
      </w:hyperlink>
      <w:r>
        <w:rPr>
          <w:rFonts w:hint="cs"/>
          <w:rtl/>
        </w:rPr>
        <w:t xml:space="preserve"> </w:t>
      </w:r>
      <w:r>
        <w:rPr>
          <w:rFonts w:hint="cs"/>
          <w:b/>
          <w:bCs/>
          <w:rtl/>
        </w:rPr>
        <w:t>חמד ותד נ' מדינת ישראל</w:t>
      </w:r>
      <w:r>
        <w:rPr>
          <w:rFonts w:hint="cs"/>
          <w:rtl/>
        </w:rPr>
        <w:t xml:space="preserve"> (14/9/11).</w:t>
      </w:r>
    </w:p>
    <w:p w14:paraId="72D6DA39" w14:textId="77777777" w:rsidR="00643F3F" w:rsidRDefault="00643F3F" w:rsidP="00643F3F">
      <w:pPr>
        <w:spacing w:line="360" w:lineRule="auto"/>
        <w:ind w:left="720" w:hanging="720"/>
        <w:jc w:val="both"/>
        <w:rPr>
          <w:rtl/>
        </w:rPr>
      </w:pPr>
    </w:p>
    <w:p w14:paraId="377EBB7D" w14:textId="77777777" w:rsidR="00643F3F" w:rsidRDefault="00643F3F" w:rsidP="00643F3F">
      <w:pPr>
        <w:spacing w:line="360" w:lineRule="auto"/>
        <w:ind w:left="720" w:hanging="720"/>
        <w:jc w:val="both"/>
        <w:rPr>
          <w:rtl/>
        </w:rPr>
      </w:pPr>
      <w:r>
        <w:rPr>
          <w:rtl/>
        </w:rPr>
        <w:tab/>
      </w:r>
      <w:r>
        <w:rPr>
          <w:rFonts w:hint="cs"/>
          <w:rtl/>
        </w:rPr>
        <w:t>מהפסיקה שהובאה לעיל ניתן לומר כי העונש המוסכם בהסדר הטיעון מצוי בתוך מתחם הענישה ההולם ועל כן, מנימוק זה גם כן, אני מחליט לאמץ את הסדר הטיעון, זאת מבלי להתעלם מכך שבשיטה המשפטית המקובלת במקומותינו על בית המשפט לבחון את העונש על פי עיקרון הענישה האינדיווידואלית כאמור ב</w:t>
      </w:r>
      <w:hyperlink r:id="rId31" w:history="1">
        <w:r w:rsidR="00156282" w:rsidRPr="00156282">
          <w:rPr>
            <w:color w:val="0000FF"/>
            <w:u w:val="single"/>
            <w:rtl/>
          </w:rPr>
          <w:t>ע"פ 433/89</w:t>
        </w:r>
      </w:hyperlink>
      <w:r>
        <w:rPr>
          <w:rFonts w:hint="cs"/>
          <w:rtl/>
        </w:rPr>
        <w:t xml:space="preserve"> </w:t>
      </w:r>
      <w:r>
        <w:rPr>
          <w:rFonts w:hint="cs"/>
          <w:b/>
          <w:bCs/>
          <w:rtl/>
        </w:rPr>
        <w:t>אטיאס נ' מדינת ישראל</w:t>
      </w:r>
      <w:r>
        <w:rPr>
          <w:rFonts w:hint="cs"/>
          <w:rtl/>
        </w:rPr>
        <w:t xml:space="preserve"> פד(מג) (4) 174-170. גישה זו הייתה מקובלת לפני תיקון 113 ל</w:t>
      </w:r>
      <w:hyperlink r:id="rId32" w:history="1">
        <w:r w:rsidR="00156282" w:rsidRPr="00156282">
          <w:rPr>
            <w:color w:val="0000FF"/>
            <w:u w:val="single"/>
            <w:rtl/>
          </w:rPr>
          <w:t>חוק העונשין</w:t>
        </w:r>
      </w:hyperlink>
      <w:r>
        <w:rPr>
          <w:rFonts w:hint="cs"/>
          <w:rtl/>
        </w:rPr>
        <w:t xml:space="preserve">, ואף המשיכה לחול גם לאחריו </w:t>
      </w:r>
      <w:r>
        <w:rPr>
          <w:rtl/>
        </w:rPr>
        <w:t>–</w:t>
      </w:r>
      <w:r>
        <w:rPr>
          <w:rFonts w:hint="cs"/>
          <w:rtl/>
        </w:rPr>
        <w:t xml:space="preserve"> בעניין זה ראו </w:t>
      </w:r>
      <w:hyperlink r:id="rId33" w:history="1">
        <w:r w:rsidR="00156282" w:rsidRPr="00156282">
          <w:rPr>
            <w:color w:val="0000FF"/>
            <w:u w:val="single"/>
            <w:rtl/>
          </w:rPr>
          <w:t>ע"פ 8641/12</w:t>
        </w:r>
      </w:hyperlink>
      <w:r>
        <w:rPr>
          <w:rFonts w:hint="cs"/>
          <w:rtl/>
        </w:rPr>
        <w:t xml:space="preserve"> </w:t>
      </w:r>
      <w:r>
        <w:rPr>
          <w:rFonts w:hint="cs"/>
          <w:b/>
          <w:bCs/>
          <w:rtl/>
        </w:rPr>
        <w:t xml:space="preserve">סעד נ' מדינת ישראל </w:t>
      </w:r>
      <w:r>
        <w:rPr>
          <w:rFonts w:hint="cs"/>
          <w:rtl/>
        </w:rPr>
        <w:t xml:space="preserve"> (5/8/13). </w:t>
      </w:r>
    </w:p>
    <w:p w14:paraId="13EB6AC7" w14:textId="77777777" w:rsidR="00643F3F" w:rsidRDefault="00643F3F" w:rsidP="00643F3F">
      <w:pPr>
        <w:spacing w:line="360" w:lineRule="auto"/>
        <w:ind w:left="720" w:hanging="720"/>
        <w:jc w:val="both"/>
        <w:rPr>
          <w:rtl/>
        </w:rPr>
      </w:pPr>
    </w:p>
    <w:p w14:paraId="496C08E4" w14:textId="77777777" w:rsidR="00643F3F" w:rsidRDefault="00643F3F" w:rsidP="00643F3F">
      <w:pPr>
        <w:spacing w:line="360" w:lineRule="auto"/>
        <w:ind w:left="720" w:hanging="720"/>
        <w:jc w:val="both"/>
        <w:rPr>
          <w:rtl/>
        </w:rPr>
      </w:pPr>
      <w:r>
        <w:rPr>
          <w:rFonts w:hint="cs"/>
          <w:rtl/>
        </w:rPr>
        <w:t>13.</w:t>
      </w:r>
      <w:r>
        <w:rPr>
          <w:rFonts w:hint="cs"/>
          <w:rtl/>
        </w:rPr>
        <w:tab/>
        <w:t>מכל האמור לעיל, אני מחליט לקבל את הסדר הטיעון ולהטיל על הנאשם את העונשים הבאים:</w:t>
      </w:r>
    </w:p>
    <w:p w14:paraId="509E004C" w14:textId="77777777" w:rsidR="00643F3F" w:rsidRDefault="00643F3F" w:rsidP="00643F3F">
      <w:pPr>
        <w:spacing w:line="360" w:lineRule="auto"/>
        <w:ind w:left="720" w:hanging="720"/>
        <w:jc w:val="both"/>
        <w:rPr>
          <w:rtl/>
        </w:rPr>
      </w:pPr>
    </w:p>
    <w:p w14:paraId="587E4BE9" w14:textId="77777777" w:rsidR="00643F3F" w:rsidRDefault="00643F3F" w:rsidP="00643F3F">
      <w:pPr>
        <w:spacing w:line="360" w:lineRule="auto"/>
        <w:ind w:left="720" w:hanging="720"/>
        <w:jc w:val="both"/>
        <w:rPr>
          <w:rtl/>
        </w:rPr>
      </w:pPr>
      <w:r>
        <w:rPr>
          <w:rtl/>
        </w:rPr>
        <w:tab/>
      </w:r>
      <w:r>
        <w:rPr>
          <w:rFonts w:hint="cs"/>
          <w:rtl/>
        </w:rPr>
        <w:t>(א)</w:t>
      </w:r>
      <w:r>
        <w:rPr>
          <w:rtl/>
        </w:rPr>
        <w:tab/>
      </w:r>
      <w:r>
        <w:rPr>
          <w:rFonts w:hint="cs"/>
          <w:rtl/>
        </w:rPr>
        <w:t>20 חודשי מאסר בפועל מיום מעצרו 09/11/15.</w:t>
      </w:r>
    </w:p>
    <w:p w14:paraId="0032FD7E" w14:textId="77777777" w:rsidR="00643F3F" w:rsidRDefault="00643F3F" w:rsidP="00643F3F">
      <w:pPr>
        <w:spacing w:line="360" w:lineRule="auto"/>
        <w:ind w:left="720" w:hanging="720"/>
        <w:jc w:val="both"/>
        <w:rPr>
          <w:rtl/>
        </w:rPr>
      </w:pPr>
    </w:p>
    <w:p w14:paraId="3F338811" w14:textId="77777777" w:rsidR="00643F3F" w:rsidRDefault="00643F3F" w:rsidP="00643F3F">
      <w:pPr>
        <w:spacing w:line="360" w:lineRule="auto"/>
        <w:ind w:left="1440" w:hanging="720"/>
        <w:jc w:val="both"/>
        <w:rPr>
          <w:rtl/>
        </w:rPr>
      </w:pPr>
      <w:r>
        <w:rPr>
          <w:rFonts w:hint="cs"/>
          <w:rtl/>
        </w:rPr>
        <w:t>(ב)</w:t>
      </w:r>
      <w:r>
        <w:rPr>
          <w:rtl/>
        </w:rPr>
        <w:tab/>
      </w:r>
      <w:r>
        <w:rPr>
          <w:rFonts w:hint="cs"/>
          <w:rtl/>
        </w:rPr>
        <w:t>אני מורה על הפעלת עונש המאסר המותנה של 24 חודשים ושהוטל על הנאשם ב</w:t>
      </w:r>
      <w:hyperlink r:id="rId34" w:history="1">
        <w:r w:rsidR="00156282" w:rsidRPr="00156282">
          <w:rPr>
            <w:color w:val="0000FF"/>
            <w:u w:val="single"/>
            <w:rtl/>
          </w:rPr>
          <w:t>תפ"ח (מחוזי-חי')  4071/07</w:t>
        </w:r>
      </w:hyperlink>
      <w:r>
        <w:rPr>
          <w:rFonts w:hint="cs"/>
          <w:rtl/>
        </w:rPr>
        <w:t xml:space="preserve">, באופן שמחציתו תצטבר לעונש שהטלתי והמחצית השנייה תהיה בחופף, כך שיהיה על הנאשם לרצות עונש מאסר בפועל של 32 חודשים מיום מעצרו (9/11/15). </w:t>
      </w:r>
    </w:p>
    <w:p w14:paraId="36F7BDFC" w14:textId="77777777" w:rsidR="00643F3F" w:rsidRDefault="00643F3F" w:rsidP="00643F3F">
      <w:pPr>
        <w:spacing w:line="360" w:lineRule="auto"/>
        <w:ind w:left="1440" w:hanging="720"/>
        <w:jc w:val="both"/>
        <w:rPr>
          <w:rtl/>
        </w:rPr>
      </w:pPr>
    </w:p>
    <w:p w14:paraId="59402B30" w14:textId="77777777" w:rsidR="00643F3F" w:rsidRDefault="00643F3F" w:rsidP="00643F3F">
      <w:pPr>
        <w:spacing w:line="360" w:lineRule="auto"/>
        <w:ind w:left="1440" w:hanging="720"/>
        <w:jc w:val="both"/>
        <w:rPr>
          <w:rtl/>
        </w:rPr>
      </w:pPr>
      <w:r>
        <w:rPr>
          <w:rFonts w:hint="cs"/>
          <w:rtl/>
        </w:rPr>
        <w:t>(ג)</w:t>
      </w:r>
      <w:r>
        <w:rPr>
          <w:rtl/>
        </w:rPr>
        <w:tab/>
      </w:r>
      <w:r>
        <w:rPr>
          <w:rFonts w:hint="cs"/>
          <w:rtl/>
        </w:rPr>
        <w:t>זאת ועוד, אני מטיל על הנאשם 12 חודשי מאסר מותנה למשך 3 שנים והתנאי הוא שהנאשם לא יישא עונש זה אלא אם יעבור בתקופת התנאי עבירת נשק או עבירת אלימות או רכוש שהיא פשע.</w:t>
      </w:r>
    </w:p>
    <w:p w14:paraId="0DC5A496" w14:textId="77777777" w:rsidR="00643F3F" w:rsidRPr="00B05847" w:rsidRDefault="00643F3F" w:rsidP="00643F3F">
      <w:pPr>
        <w:spacing w:line="360" w:lineRule="auto"/>
        <w:rPr>
          <w:rtl/>
        </w:rPr>
      </w:pPr>
    </w:p>
    <w:p w14:paraId="7247C14A" w14:textId="77777777" w:rsidR="00643F3F" w:rsidRPr="000D06A5" w:rsidRDefault="00643F3F" w:rsidP="00643F3F">
      <w:pPr>
        <w:spacing w:line="360" w:lineRule="auto"/>
        <w:rPr>
          <w:b/>
          <w:bCs/>
          <w:rtl/>
        </w:rPr>
      </w:pPr>
      <w:r w:rsidRPr="000D06A5">
        <w:rPr>
          <w:b/>
          <w:bCs/>
          <w:rtl/>
        </w:rPr>
        <w:tab/>
      </w:r>
      <w:r w:rsidRPr="000D06A5">
        <w:rPr>
          <w:rFonts w:hint="cs"/>
          <w:b/>
          <w:bCs/>
          <w:rtl/>
        </w:rPr>
        <w:t>זכות ערעור לבית המשפט העליון תוך 45 יום מהיום הודעה לנאשם.</w:t>
      </w:r>
    </w:p>
    <w:p w14:paraId="45CF39EE" w14:textId="77777777" w:rsidR="00643F3F" w:rsidRPr="00B05847" w:rsidRDefault="00643F3F" w:rsidP="00643F3F">
      <w:pPr>
        <w:spacing w:line="360" w:lineRule="auto"/>
        <w:rPr>
          <w:rtl/>
        </w:rPr>
      </w:pPr>
    </w:p>
    <w:p w14:paraId="39EE37A7" w14:textId="77777777" w:rsidR="00643F3F" w:rsidRDefault="00156282" w:rsidP="00643F3F">
      <w:pPr>
        <w:spacing w:line="360" w:lineRule="auto"/>
        <w:jc w:val="both"/>
        <w:rPr>
          <w:rFonts w:ascii="Arial" w:hAnsi="Arial"/>
          <w:rtl/>
        </w:rPr>
      </w:pPr>
      <w:r>
        <w:rPr>
          <w:rFonts w:ascii="Arial" w:hAnsi="Arial"/>
          <w:rtl/>
        </w:rPr>
        <w:t xml:space="preserve">ניתן היום,  י"א אדר ב' תשע"ו, 21 מרץ 2016, במעמד ב"כ המאשימה עו"ד גב' אורלי נעמן, הנאשם </w:t>
      </w:r>
      <w:r w:rsidR="00643F3F">
        <w:rPr>
          <w:rFonts w:ascii="Arial" w:hAnsi="Arial" w:hint="cs"/>
          <w:rtl/>
        </w:rPr>
        <w:t>שהובא באמצעות יחידת הליווי וסנגורו, עו"ד אביב חוזה</w:t>
      </w:r>
      <w:r w:rsidR="00643F3F">
        <w:rPr>
          <w:rFonts w:ascii="Arial" w:hAnsi="Arial"/>
          <w:rtl/>
        </w:rPr>
        <w:t>.</w:t>
      </w:r>
    </w:p>
    <w:p w14:paraId="02D9D37E" w14:textId="77777777" w:rsidR="00643F3F" w:rsidRPr="00156282" w:rsidRDefault="00156282" w:rsidP="00643F3F">
      <w:pPr>
        <w:spacing w:line="360" w:lineRule="auto"/>
        <w:jc w:val="both"/>
        <w:rPr>
          <w:rFonts w:ascii="Arial" w:hAnsi="Arial"/>
          <w:color w:val="FFFFFF"/>
          <w:sz w:val="2"/>
          <w:szCs w:val="2"/>
        </w:rPr>
      </w:pPr>
      <w:r w:rsidRPr="00156282">
        <w:rPr>
          <w:rFonts w:ascii="Arial" w:hAnsi="Arial"/>
          <w:color w:val="FFFFFF"/>
          <w:sz w:val="2"/>
          <w:szCs w:val="2"/>
          <w:rtl/>
        </w:rPr>
        <w:t>5129371</w:t>
      </w:r>
    </w:p>
    <w:p w14:paraId="799349BC" w14:textId="77777777" w:rsidR="00643F3F" w:rsidRPr="00156282" w:rsidRDefault="00156282" w:rsidP="00643F3F">
      <w:pPr>
        <w:rPr>
          <w:rFonts w:cs="FrankRuehl"/>
          <w:color w:val="FFFFFF"/>
          <w:sz w:val="2"/>
          <w:szCs w:val="2"/>
          <w:rtl/>
        </w:rPr>
      </w:pPr>
      <w:r w:rsidRPr="00156282">
        <w:rPr>
          <w:rFonts w:cs="FrankRuehl"/>
          <w:color w:val="FFFFFF"/>
          <w:sz w:val="2"/>
          <w:szCs w:val="2"/>
          <w:rtl/>
        </w:rPr>
        <w:t>54678313</w:t>
      </w:r>
    </w:p>
    <w:p w14:paraId="22809DA6" w14:textId="77777777" w:rsidR="00643F3F" w:rsidRDefault="00643F3F" w:rsidP="00643F3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B2CA686" w14:textId="77777777" w:rsidR="00156282" w:rsidRPr="00156282" w:rsidRDefault="00156282" w:rsidP="00156282">
      <w:pPr>
        <w:keepNext/>
        <w:rPr>
          <w:rFonts w:ascii="David" w:hAnsi="David"/>
          <w:color w:val="000000"/>
          <w:sz w:val="22"/>
          <w:szCs w:val="22"/>
          <w:rtl/>
        </w:rPr>
      </w:pPr>
      <w:r w:rsidRPr="00156282">
        <w:rPr>
          <w:rFonts w:ascii="David" w:hAnsi="David"/>
          <w:color w:val="000000"/>
          <w:sz w:val="22"/>
          <w:szCs w:val="22"/>
          <w:rtl/>
        </w:rPr>
        <w:t>כמאל סעב 54678313</w:t>
      </w:r>
    </w:p>
    <w:p w14:paraId="3AFD2584" w14:textId="77777777" w:rsidR="00156282" w:rsidRDefault="00156282" w:rsidP="00156282">
      <w:r w:rsidRPr="00156282">
        <w:rPr>
          <w:color w:val="000000"/>
          <w:rtl/>
        </w:rPr>
        <w:t>נוסח מסמך זה כפוף לשינויי ניסוח ועריכה</w:t>
      </w:r>
    </w:p>
    <w:p w14:paraId="1C9513B2" w14:textId="77777777" w:rsidR="00B1215F" w:rsidRPr="00156282" w:rsidRDefault="00156282" w:rsidP="00DC37CE">
      <w:pPr>
        <w:jc w:val="center"/>
        <w:rPr>
          <w:rFonts w:hint="cs"/>
          <w:color w:val="0000FF"/>
          <w:u w:val="single"/>
        </w:rPr>
      </w:pPr>
      <w:hyperlink r:id="rId35" w:history="1">
        <w:r>
          <w:rPr>
            <w:color w:val="0000FF"/>
            <w:u w:val="single"/>
            <w:rtl/>
          </w:rPr>
          <w:t>בעניין עריכה ושינויים במסמכי פסיקה, חקיקה ועוד באתר נבו – הקש כאן</w:t>
        </w:r>
      </w:hyperlink>
      <w:r w:rsidR="00E4564C">
        <w:rPr>
          <w:rFonts w:hint="cs"/>
          <w:color w:val="0000FF"/>
          <w:u w:val="single"/>
          <w:rtl/>
        </w:rPr>
        <w:t xml:space="preserve"> </w:t>
      </w:r>
    </w:p>
    <w:sectPr w:rsidR="00B1215F" w:rsidRPr="00156282" w:rsidSect="00156282">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6CFEC" w14:textId="77777777" w:rsidR="00BE13EA" w:rsidRDefault="00BE13EA">
      <w:r>
        <w:separator/>
      </w:r>
    </w:p>
  </w:endnote>
  <w:endnote w:type="continuationSeparator" w:id="0">
    <w:p w14:paraId="7194BAAB" w14:textId="77777777" w:rsidR="00BE13EA" w:rsidRDefault="00BE1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68C6D" w14:textId="77777777" w:rsidR="00351309" w:rsidRDefault="00351309" w:rsidP="0015628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A361626" w14:textId="77777777" w:rsidR="00351309" w:rsidRPr="00156282" w:rsidRDefault="00351309" w:rsidP="00156282">
    <w:pPr>
      <w:pStyle w:val="a4"/>
      <w:pBdr>
        <w:top w:val="single" w:sz="4" w:space="1" w:color="auto"/>
        <w:between w:val="single" w:sz="4" w:space="0" w:color="auto"/>
      </w:pBdr>
      <w:spacing w:after="60"/>
      <w:jc w:val="center"/>
      <w:rPr>
        <w:rFonts w:ascii="FrankRuehl" w:hAnsi="FrankRuehl" w:cs="FrankRuehl"/>
        <w:color w:val="000000"/>
      </w:rPr>
    </w:pPr>
    <w:r w:rsidRPr="0015628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A5E41" w14:textId="77777777" w:rsidR="00351309" w:rsidRDefault="00351309" w:rsidP="0015628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0450F">
      <w:rPr>
        <w:rFonts w:ascii="FrankRuehl" w:hAnsi="FrankRuehl" w:cs="FrankRuehl"/>
        <w:noProof/>
        <w:rtl/>
      </w:rPr>
      <w:t>1</w:t>
    </w:r>
    <w:r>
      <w:rPr>
        <w:rFonts w:ascii="FrankRuehl" w:hAnsi="FrankRuehl" w:cs="FrankRuehl"/>
        <w:rtl/>
      </w:rPr>
      <w:fldChar w:fldCharType="end"/>
    </w:r>
  </w:p>
  <w:p w14:paraId="771EA1A7" w14:textId="77777777" w:rsidR="00351309" w:rsidRPr="00156282" w:rsidRDefault="00351309" w:rsidP="00156282">
    <w:pPr>
      <w:pStyle w:val="a4"/>
      <w:pBdr>
        <w:top w:val="single" w:sz="4" w:space="1" w:color="auto"/>
        <w:between w:val="single" w:sz="4" w:space="0" w:color="auto"/>
      </w:pBdr>
      <w:spacing w:after="60"/>
      <w:jc w:val="center"/>
      <w:rPr>
        <w:rFonts w:ascii="FrankRuehl" w:hAnsi="FrankRuehl" w:cs="FrankRuehl"/>
        <w:color w:val="000000"/>
      </w:rPr>
    </w:pPr>
    <w:r w:rsidRPr="00156282">
      <w:rPr>
        <w:rFonts w:ascii="FrankRuehl" w:hAnsi="FrankRuehl" w:cs="FrankRuehl"/>
        <w:color w:val="000000"/>
      </w:rPr>
      <w:pict w14:anchorId="003FCC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8223F2" w14:textId="77777777" w:rsidR="00BE13EA" w:rsidRDefault="00BE13EA">
      <w:r>
        <w:separator/>
      </w:r>
    </w:p>
  </w:footnote>
  <w:footnote w:type="continuationSeparator" w:id="0">
    <w:p w14:paraId="07026BDC" w14:textId="77777777" w:rsidR="00BE13EA" w:rsidRDefault="00BE13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FD9AE" w14:textId="77777777" w:rsidR="00351309" w:rsidRPr="00156282" w:rsidRDefault="00351309" w:rsidP="0015628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42743-11-15</w:t>
    </w:r>
    <w:r>
      <w:rPr>
        <w:rFonts w:ascii="David" w:hAnsi="David"/>
        <w:color w:val="000000"/>
        <w:sz w:val="22"/>
        <w:szCs w:val="22"/>
        <w:rtl/>
      </w:rPr>
      <w:tab/>
      <w:t xml:space="preserve"> מדינת ישראל נ' אבראהים מרעי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C7147" w14:textId="77777777" w:rsidR="00351309" w:rsidRPr="00156282" w:rsidRDefault="00351309" w:rsidP="0015628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42743-11-15</w:t>
    </w:r>
    <w:r>
      <w:rPr>
        <w:rFonts w:ascii="David" w:hAnsi="David"/>
        <w:color w:val="000000"/>
        <w:sz w:val="22"/>
        <w:szCs w:val="22"/>
        <w:rtl/>
      </w:rPr>
      <w:tab/>
      <w:t xml:space="preserve"> מדינת ישראל נ' אבראהים מרעי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43F3F"/>
    <w:rsid w:val="00156282"/>
    <w:rsid w:val="00174FB2"/>
    <w:rsid w:val="00351309"/>
    <w:rsid w:val="005006A1"/>
    <w:rsid w:val="005A45FB"/>
    <w:rsid w:val="00643F3F"/>
    <w:rsid w:val="007E7809"/>
    <w:rsid w:val="008F6B5E"/>
    <w:rsid w:val="009E3475"/>
    <w:rsid w:val="00B1215F"/>
    <w:rsid w:val="00BE13EA"/>
    <w:rsid w:val="00C07E28"/>
    <w:rsid w:val="00DC37CE"/>
    <w:rsid w:val="00E4564C"/>
    <w:rsid w:val="00F045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7622B3F"/>
  <w15:chartTrackingRefBased/>
  <w15:docId w15:val="{67E5A477-3F73-4AE8-9C24-650CA19FD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3F3F"/>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43F3F"/>
    <w:pPr>
      <w:tabs>
        <w:tab w:val="center" w:pos="4153"/>
        <w:tab w:val="right" w:pos="8306"/>
      </w:tabs>
    </w:pPr>
  </w:style>
  <w:style w:type="paragraph" w:styleId="a4">
    <w:name w:val="footer"/>
    <w:basedOn w:val="a"/>
    <w:rsid w:val="00643F3F"/>
    <w:pPr>
      <w:tabs>
        <w:tab w:val="center" w:pos="4153"/>
        <w:tab w:val="right" w:pos="8306"/>
      </w:tabs>
    </w:pPr>
  </w:style>
  <w:style w:type="character" w:styleId="a5">
    <w:name w:val="page number"/>
    <w:basedOn w:val="a0"/>
    <w:rsid w:val="00643F3F"/>
  </w:style>
  <w:style w:type="paragraph" w:customStyle="1" w:styleId="12">
    <w:name w:val="רגיל + ‏12 נק'"/>
    <w:aliases w:val="מיושר לשני הצדדים,מרווח בין שורות:  שורה וחצי"/>
    <w:basedOn w:val="a"/>
    <w:rsid w:val="00643F3F"/>
    <w:rPr>
      <w:b/>
      <w:bCs/>
      <w:u w:val="single"/>
    </w:rPr>
  </w:style>
  <w:style w:type="character" w:styleId="Hyperlink">
    <w:name w:val="Hyperlink"/>
    <w:rsid w:val="001562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8.a.5" TargetMode="External"/><Relationship Id="rId18" Type="http://schemas.openxmlformats.org/officeDocument/2006/relationships/hyperlink" Target="http://www.nevo.co.il/law/70301/340a" TargetMode="External"/><Relationship Id="rId26" Type="http://schemas.openxmlformats.org/officeDocument/2006/relationships/hyperlink" Target="http://www.nevo.co.il/case/5852404" TargetMode="External"/><Relationship Id="rId39" Type="http://schemas.openxmlformats.org/officeDocument/2006/relationships/footer" Target="footer2.xml"/><Relationship Id="rId21" Type="http://schemas.openxmlformats.org/officeDocument/2006/relationships/hyperlink" Target="http://www.nevo.co.il/case/5703734" TargetMode="External"/><Relationship Id="rId34" Type="http://schemas.openxmlformats.org/officeDocument/2006/relationships/hyperlink" Target="http://www.nevo.co.il/case/2255321" TargetMode="External"/><Relationship Id="rId7" Type="http://schemas.openxmlformats.org/officeDocument/2006/relationships/hyperlink" Target="http://www.nevo.co.il/law/70301/144.a" TargetMode="External"/><Relationship Id="rId2" Type="http://schemas.openxmlformats.org/officeDocument/2006/relationships/settings" Target="settings.xml"/><Relationship Id="rId16" Type="http://schemas.openxmlformats.org/officeDocument/2006/relationships/hyperlink" Target="http://www.nevo.co.il/law/70301/144.b" TargetMode="External"/><Relationship Id="rId20" Type="http://schemas.openxmlformats.org/officeDocument/2006/relationships/hyperlink" Target="http://www.nevo.co.il/case/161892" TargetMode="External"/><Relationship Id="rId29" Type="http://schemas.openxmlformats.org/officeDocument/2006/relationships/hyperlink" Target="http://www.nevo.co.il/case/5878682"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206180713" TargetMode="External"/><Relationship Id="rId32" Type="http://schemas.openxmlformats.org/officeDocument/2006/relationships/hyperlink" Target="http://www.nevo.co.il/law/70301"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case/6473037" TargetMode="External"/><Relationship Id="rId28" Type="http://schemas.openxmlformats.org/officeDocument/2006/relationships/hyperlink" Target="http://www.nevo.co.il/case/6040482" TargetMode="External"/><Relationship Id="rId36" Type="http://schemas.openxmlformats.org/officeDocument/2006/relationships/header" Target="header1.xml"/><Relationship Id="rId10" Type="http://schemas.openxmlformats.org/officeDocument/2006/relationships/hyperlink" Target="http://www.nevo.co.il/law/70301/340a" TargetMode="External"/><Relationship Id="rId19" Type="http://schemas.openxmlformats.org/officeDocument/2006/relationships/hyperlink" Target="http://www.nevo.co.il/case/2255321" TargetMode="External"/><Relationship Id="rId31" Type="http://schemas.openxmlformats.org/officeDocument/2006/relationships/hyperlink" Target="http://www.nevo.co.il/case/17941073" TargetMode="External"/><Relationship Id="rId4" Type="http://schemas.openxmlformats.org/officeDocument/2006/relationships/footnotes" Target="footnotes.xml"/><Relationship Id="rId9" Type="http://schemas.openxmlformats.org/officeDocument/2006/relationships/hyperlink" Target="http://www.nevo.co.il/law/70301/338.a.5" TargetMode="External"/><Relationship Id="rId14" Type="http://schemas.openxmlformats.org/officeDocument/2006/relationships/hyperlink" Target="http://www.nevo.co.il/law/70301/340a" TargetMode="External"/><Relationship Id="rId22" Type="http://schemas.openxmlformats.org/officeDocument/2006/relationships/hyperlink" Target="http://www.nevo.co.il/case/5821327" TargetMode="External"/><Relationship Id="rId27" Type="http://schemas.openxmlformats.org/officeDocument/2006/relationships/hyperlink" Target="http://www.nevo.co.il/case/6072945" TargetMode="External"/><Relationship Id="rId30" Type="http://schemas.openxmlformats.org/officeDocument/2006/relationships/hyperlink" Target="http://www.nevo.co.il/case/6151556"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144.b" TargetMode="Externa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873817" TargetMode="External"/><Relationship Id="rId33" Type="http://schemas.openxmlformats.org/officeDocument/2006/relationships/hyperlink" Target="http://www.nevo.co.il/case/5573417"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1298</Words>
  <Characters>6490</Characters>
  <Application>Microsoft Office Word</Application>
  <DocSecurity>0</DocSecurity>
  <Lines>54</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7773</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3473521</vt:i4>
      </vt:variant>
      <vt:variant>
        <vt:i4>84</vt:i4>
      </vt:variant>
      <vt:variant>
        <vt:i4>0</vt:i4>
      </vt:variant>
      <vt:variant>
        <vt:i4>5</vt:i4>
      </vt:variant>
      <vt:variant>
        <vt:lpwstr>http://www.nevo.co.il/case/2255321</vt:lpwstr>
      </vt:variant>
      <vt:variant>
        <vt:lpwstr/>
      </vt:variant>
      <vt:variant>
        <vt:i4>3211379</vt:i4>
      </vt:variant>
      <vt:variant>
        <vt:i4>81</vt:i4>
      </vt:variant>
      <vt:variant>
        <vt:i4>0</vt:i4>
      </vt:variant>
      <vt:variant>
        <vt:i4>5</vt:i4>
      </vt:variant>
      <vt:variant>
        <vt:lpwstr>http://www.nevo.co.il/case/5573417</vt:lpwstr>
      </vt:variant>
      <vt:variant>
        <vt:lpwstr/>
      </vt:variant>
      <vt:variant>
        <vt:i4>7995492</vt:i4>
      </vt:variant>
      <vt:variant>
        <vt:i4>78</vt:i4>
      </vt:variant>
      <vt:variant>
        <vt:i4>0</vt:i4>
      </vt:variant>
      <vt:variant>
        <vt:i4>5</vt:i4>
      </vt:variant>
      <vt:variant>
        <vt:lpwstr>http://www.nevo.co.il/law/70301</vt:lpwstr>
      </vt:variant>
      <vt:variant>
        <vt:lpwstr/>
      </vt:variant>
      <vt:variant>
        <vt:i4>4063351</vt:i4>
      </vt:variant>
      <vt:variant>
        <vt:i4>75</vt:i4>
      </vt:variant>
      <vt:variant>
        <vt:i4>0</vt:i4>
      </vt:variant>
      <vt:variant>
        <vt:i4>5</vt:i4>
      </vt:variant>
      <vt:variant>
        <vt:lpwstr>http://www.nevo.co.il/case/17941073</vt:lpwstr>
      </vt:variant>
      <vt:variant>
        <vt:lpwstr/>
      </vt:variant>
      <vt:variant>
        <vt:i4>3145841</vt:i4>
      </vt:variant>
      <vt:variant>
        <vt:i4>72</vt:i4>
      </vt:variant>
      <vt:variant>
        <vt:i4>0</vt:i4>
      </vt:variant>
      <vt:variant>
        <vt:i4>5</vt:i4>
      </vt:variant>
      <vt:variant>
        <vt:lpwstr>http://www.nevo.co.il/case/6151556</vt:lpwstr>
      </vt:variant>
      <vt:variant>
        <vt:lpwstr/>
      </vt:variant>
      <vt:variant>
        <vt:i4>3539068</vt:i4>
      </vt:variant>
      <vt:variant>
        <vt:i4>69</vt:i4>
      </vt:variant>
      <vt:variant>
        <vt:i4>0</vt:i4>
      </vt:variant>
      <vt:variant>
        <vt:i4>5</vt:i4>
      </vt:variant>
      <vt:variant>
        <vt:lpwstr>http://www.nevo.co.il/case/5878682</vt:lpwstr>
      </vt:variant>
      <vt:variant>
        <vt:lpwstr/>
      </vt:variant>
      <vt:variant>
        <vt:i4>3407996</vt:i4>
      </vt:variant>
      <vt:variant>
        <vt:i4>66</vt:i4>
      </vt:variant>
      <vt:variant>
        <vt:i4>0</vt:i4>
      </vt:variant>
      <vt:variant>
        <vt:i4>5</vt:i4>
      </vt:variant>
      <vt:variant>
        <vt:lpwstr>http://www.nevo.co.il/case/6040482</vt:lpwstr>
      </vt:variant>
      <vt:variant>
        <vt:lpwstr/>
      </vt:variant>
      <vt:variant>
        <vt:i4>3997810</vt:i4>
      </vt:variant>
      <vt:variant>
        <vt:i4>63</vt:i4>
      </vt:variant>
      <vt:variant>
        <vt:i4>0</vt:i4>
      </vt:variant>
      <vt:variant>
        <vt:i4>5</vt:i4>
      </vt:variant>
      <vt:variant>
        <vt:lpwstr>http://www.nevo.co.il/case/6072945</vt:lpwstr>
      </vt:variant>
      <vt:variant>
        <vt:lpwstr/>
      </vt:variant>
      <vt:variant>
        <vt:i4>3145854</vt:i4>
      </vt:variant>
      <vt:variant>
        <vt:i4>60</vt:i4>
      </vt:variant>
      <vt:variant>
        <vt:i4>0</vt:i4>
      </vt:variant>
      <vt:variant>
        <vt:i4>5</vt:i4>
      </vt:variant>
      <vt:variant>
        <vt:lpwstr>http://www.nevo.co.il/case/5852404</vt:lpwstr>
      </vt:variant>
      <vt:variant>
        <vt:lpwstr/>
      </vt:variant>
      <vt:variant>
        <vt:i4>3997822</vt:i4>
      </vt:variant>
      <vt:variant>
        <vt:i4>57</vt:i4>
      </vt:variant>
      <vt:variant>
        <vt:i4>0</vt:i4>
      </vt:variant>
      <vt:variant>
        <vt:i4>5</vt:i4>
      </vt:variant>
      <vt:variant>
        <vt:lpwstr>http://www.nevo.co.il/case/5873817</vt:lpwstr>
      </vt:variant>
      <vt:variant>
        <vt:lpwstr/>
      </vt:variant>
      <vt:variant>
        <vt:i4>2097277</vt:i4>
      </vt:variant>
      <vt:variant>
        <vt:i4>54</vt:i4>
      </vt:variant>
      <vt:variant>
        <vt:i4>0</vt:i4>
      </vt:variant>
      <vt:variant>
        <vt:i4>5</vt:i4>
      </vt:variant>
      <vt:variant>
        <vt:lpwstr>http://www.nevo.co.il/case/ 6180713</vt:lpwstr>
      </vt:variant>
      <vt:variant>
        <vt:lpwstr/>
      </vt:variant>
      <vt:variant>
        <vt:i4>3539056</vt:i4>
      </vt:variant>
      <vt:variant>
        <vt:i4>51</vt:i4>
      </vt:variant>
      <vt:variant>
        <vt:i4>0</vt:i4>
      </vt:variant>
      <vt:variant>
        <vt:i4>5</vt:i4>
      </vt:variant>
      <vt:variant>
        <vt:lpwstr>http://www.nevo.co.il/case/6473037</vt:lpwstr>
      </vt:variant>
      <vt:variant>
        <vt:lpwstr/>
      </vt:variant>
      <vt:variant>
        <vt:i4>3342463</vt:i4>
      </vt:variant>
      <vt:variant>
        <vt:i4>48</vt:i4>
      </vt:variant>
      <vt:variant>
        <vt:i4>0</vt:i4>
      </vt:variant>
      <vt:variant>
        <vt:i4>5</vt:i4>
      </vt:variant>
      <vt:variant>
        <vt:lpwstr>http://www.nevo.co.il/case/5821327</vt:lpwstr>
      </vt:variant>
      <vt:variant>
        <vt:lpwstr/>
      </vt:variant>
      <vt:variant>
        <vt:i4>3539059</vt:i4>
      </vt:variant>
      <vt:variant>
        <vt:i4>45</vt:i4>
      </vt:variant>
      <vt:variant>
        <vt:i4>0</vt:i4>
      </vt:variant>
      <vt:variant>
        <vt:i4>5</vt:i4>
      </vt:variant>
      <vt:variant>
        <vt:lpwstr>http://www.nevo.co.il/case/5703734</vt:lpwstr>
      </vt:variant>
      <vt:variant>
        <vt:lpwstr/>
      </vt:variant>
      <vt:variant>
        <vt:i4>589898</vt:i4>
      </vt:variant>
      <vt:variant>
        <vt:i4>42</vt:i4>
      </vt:variant>
      <vt:variant>
        <vt:i4>0</vt:i4>
      </vt:variant>
      <vt:variant>
        <vt:i4>5</vt:i4>
      </vt:variant>
      <vt:variant>
        <vt:lpwstr>http://www.nevo.co.il/case/161892</vt:lpwstr>
      </vt:variant>
      <vt:variant>
        <vt:lpwstr/>
      </vt:variant>
      <vt:variant>
        <vt:i4>3473521</vt:i4>
      </vt:variant>
      <vt:variant>
        <vt:i4>39</vt:i4>
      </vt:variant>
      <vt:variant>
        <vt:i4>0</vt:i4>
      </vt:variant>
      <vt:variant>
        <vt:i4>5</vt:i4>
      </vt:variant>
      <vt:variant>
        <vt:lpwstr>http://www.nevo.co.il/case/2255321</vt:lpwstr>
      </vt:variant>
      <vt:variant>
        <vt:lpwstr/>
      </vt:variant>
      <vt:variant>
        <vt:i4>86</vt:i4>
      </vt:variant>
      <vt:variant>
        <vt:i4>36</vt:i4>
      </vt:variant>
      <vt:variant>
        <vt:i4>0</vt:i4>
      </vt:variant>
      <vt:variant>
        <vt:i4>5</vt:i4>
      </vt:variant>
      <vt:variant>
        <vt:lpwstr>http://www.nevo.co.il/law/70301/340a</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86</vt:i4>
      </vt:variant>
      <vt:variant>
        <vt:i4>24</vt:i4>
      </vt:variant>
      <vt:variant>
        <vt:i4>0</vt:i4>
      </vt:variant>
      <vt:variant>
        <vt:i4>5</vt:i4>
      </vt:variant>
      <vt:variant>
        <vt:lpwstr>http://www.nevo.co.il/law/70301/340a</vt:lpwstr>
      </vt:variant>
      <vt:variant>
        <vt:lpwstr/>
      </vt:variant>
      <vt:variant>
        <vt:i4>6684735</vt:i4>
      </vt:variant>
      <vt:variant>
        <vt:i4>21</vt:i4>
      </vt:variant>
      <vt:variant>
        <vt:i4>0</vt:i4>
      </vt:variant>
      <vt:variant>
        <vt:i4>5</vt:i4>
      </vt:variant>
      <vt:variant>
        <vt:lpwstr>http://www.nevo.co.il/law/70301/338.a.5</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86</vt:i4>
      </vt:variant>
      <vt:variant>
        <vt:i4>12</vt:i4>
      </vt:variant>
      <vt:variant>
        <vt:i4>0</vt:i4>
      </vt:variant>
      <vt:variant>
        <vt:i4>5</vt:i4>
      </vt:variant>
      <vt:variant>
        <vt:lpwstr>http://www.nevo.co.il/law/70301/340a</vt:lpwstr>
      </vt:variant>
      <vt:variant>
        <vt:lpwstr/>
      </vt:variant>
      <vt:variant>
        <vt:i4>6684735</vt:i4>
      </vt:variant>
      <vt:variant>
        <vt:i4>9</vt:i4>
      </vt:variant>
      <vt:variant>
        <vt:i4>0</vt:i4>
      </vt:variant>
      <vt:variant>
        <vt:i4>5</vt:i4>
      </vt:variant>
      <vt:variant>
        <vt:lpwstr>http://www.nevo.co.il/law/70301/338.a.5</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2025-01-19T16:05:00Z</dcterms:created>
  <dcterms:modified xsi:type="dcterms:W3CDTF">2025-01-19T16:05:00Z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42743</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אבראהים מרעי</vt:lpwstr>
  </property>
  <property fmtid="{D5CDD505-2E9C-101B-9397-08002B2CF9AE}" pid="10" name="LAWYER">
    <vt:lpwstr>הילה איזנבנד;אביב חוזה</vt:lpwstr>
  </property>
  <property fmtid="{D5CDD505-2E9C-101B-9397-08002B2CF9AE}" pid="11" name="JUDGE">
    <vt:lpwstr>כמאל סעב</vt:lpwstr>
  </property>
  <property fmtid="{D5CDD505-2E9C-101B-9397-08002B2CF9AE}" pid="12" name="CITY">
    <vt:lpwstr>חי'</vt:lpwstr>
  </property>
  <property fmtid="{D5CDD505-2E9C-101B-9397-08002B2CF9AE}" pid="13" name="DATE">
    <vt:lpwstr>20160321</vt:lpwstr>
  </property>
  <property fmtid="{D5CDD505-2E9C-101B-9397-08002B2CF9AE}" pid="14" name="TYPE_N_DATE">
    <vt:lpwstr>39020160321</vt:lpwstr>
  </property>
  <property fmtid="{D5CDD505-2E9C-101B-9397-08002B2CF9AE}" pid="15" name="WORDNUMPAGES">
    <vt:lpwstr>4</vt:lpwstr>
  </property>
  <property fmtid="{D5CDD505-2E9C-101B-9397-08002B2CF9AE}" pid="16" name="TYPE_ABS_DATE">
    <vt:lpwstr>390020160321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2255321:2;161892;5703734;5821327;6473037;6180713;5873817;5852404;6072945;6040482;5878682;6151556;17941073;5573417</vt:lpwstr>
  </property>
  <property fmtid="{D5CDD505-2E9C-101B-9397-08002B2CF9AE}" pid="36" name="LAWLISTTMP1">
    <vt:lpwstr>70301/144.a:2;338.a.5;340a:2;144.b</vt:lpwstr>
  </property>
</Properties>
</file>