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235C2" w:rsidRPr="00032246" w14:paraId="7C344FE4" w14:textId="77777777">
        <w:trPr>
          <w:trHeight w:hRule="exact" w:val="418"/>
          <w:jc w:val="center"/>
        </w:trPr>
        <w:tc>
          <w:tcPr>
            <w:tcW w:w="8721" w:type="dxa"/>
            <w:gridSpan w:val="2"/>
          </w:tcPr>
          <w:p w14:paraId="0D687A9B" w14:textId="77777777" w:rsidR="00D235C2" w:rsidRPr="00032246" w:rsidRDefault="00032246">
            <w:pPr>
              <w:pStyle w:val="a3"/>
              <w:jc w:val="center"/>
              <w:rPr>
                <w:rFonts w:ascii="Tahoma" w:hAnsi="Tahoma" w:cs="Tahoma"/>
                <w:color w:val="000080"/>
                <w:rtl/>
              </w:rPr>
            </w:pPr>
            <w:bookmarkStart w:id="0" w:name="FirstLawyer"/>
            <w:bookmarkStart w:id="1" w:name="LastJudge"/>
            <w:r w:rsidRPr="00032246">
              <w:rPr>
                <w:rFonts w:ascii="Tahoma" w:hAnsi="Tahoma" w:cs="Tahoma"/>
                <w:b/>
                <w:bCs/>
                <w:color w:val="000080"/>
                <w:rtl/>
              </w:rPr>
              <w:t>בית המשפט המחוזי בחיפה</w:t>
            </w:r>
          </w:p>
        </w:tc>
      </w:tr>
      <w:tr w:rsidR="00D235C2" w:rsidRPr="00032246" w14:paraId="41A46AE4" w14:textId="77777777">
        <w:trPr>
          <w:trHeight w:val="337"/>
          <w:jc w:val="center"/>
        </w:trPr>
        <w:tc>
          <w:tcPr>
            <w:tcW w:w="5057" w:type="dxa"/>
          </w:tcPr>
          <w:p w14:paraId="7DE9D7E2" w14:textId="77777777" w:rsidR="00D235C2" w:rsidRPr="00032246" w:rsidRDefault="00032246" w:rsidP="00405EC3">
            <w:pPr>
              <w:rPr>
                <w:rFonts w:cs="FrankRuehl" w:hint="cs"/>
                <w:sz w:val="28"/>
                <w:szCs w:val="28"/>
                <w:rtl/>
              </w:rPr>
            </w:pPr>
            <w:r w:rsidRPr="00032246">
              <w:rPr>
                <w:rFonts w:cs="FrankRuehl"/>
                <w:sz w:val="28"/>
                <w:szCs w:val="28"/>
                <w:rtl/>
              </w:rPr>
              <w:t>ת"פ</w:t>
            </w:r>
            <w:r w:rsidRPr="00032246">
              <w:rPr>
                <w:rFonts w:cs="FrankRuehl" w:hint="cs"/>
                <w:sz w:val="28"/>
                <w:szCs w:val="28"/>
                <w:rtl/>
              </w:rPr>
              <w:t xml:space="preserve"> </w:t>
            </w:r>
            <w:r w:rsidRPr="00032246">
              <w:rPr>
                <w:rFonts w:cs="FrankRuehl"/>
                <w:sz w:val="28"/>
                <w:szCs w:val="28"/>
                <w:rtl/>
              </w:rPr>
              <w:t>45432-11-15</w:t>
            </w:r>
            <w:r w:rsidRPr="00032246">
              <w:rPr>
                <w:rFonts w:cs="FrankRuehl" w:hint="cs"/>
                <w:sz w:val="28"/>
                <w:szCs w:val="28"/>
                <w:rtl/>
              </w:rPr>
              <w:t xml:space="preserve"> </w:t>
            </w:r>
            <w:r w:rsidR="00405EC3">
              <w:rPr>
                <w:rFonts w:cs="FrankRuehl"/>
                <w:sz w:val="28"/>
                <w:szCs w:val="28"/>
                <w:rtl/>
              </w:rPr>
              <w:t>מדינת ישראל נ' דהוד</w:t>
            </w:r>
          </w:p>
          <w:p w14:paraId="0F0BF543" w14:textId="77777777" w:rsidR="00D235C2" w:rsidRPr="00032246" w:rsidRDefault="00D235C2">
            <w:pPr>
              <w:pStyle w:val="a3"/>
              <w:rPr>
                <w:rFonts w:cs="FrankRuehl"/>
                <w:sz w:val="28"/>
                <w:szCs w:val="28"/>
                <w:rtl/>
              </w:rPr>
            </w:pPr>
          </w:p>
        </w:tc>
        <w:tc>
          <w:tcPr>
            <w:tcW w:w="3664" w:type="dxa"/>
          </w:tcPr>
          <w:p w14:paraId="58CCBE11" w14:textId="77777777" w:rsidR="00D235C2" w:rsidRPr="00032246" w:rsidRDefault="00D235C2">
            <w:pPr>
              <w:pStyle w:val="a3"/>
              <w:jc w:val="right"/>
              <w:rPr>
                <w:rFonts w:cs="FrankRuehl"/>
                <w:sz w:val="28"/>
                <w:szCs w:val="28"/>
                <w:rtl/>
              </w:rPr>
            </w:pPr>
          </w:p>
        </w:tc>
      </w:tr>
    </w:tbl>
    <w:p w14:paraId="5BA58910" w14:textId="77777777" w:rsidR="00D235C2" w:rsidRPr="00032246" w:rsidRDefault="00032246">
      <w:pPr>
        <w:pStyle w:val="a3"/>
        <w:rPr>
          <w:rtl/>
        </w:rPr>
      </w:pPr>
      <w:r w:rsidRPr="00032246">
        <w:rPr>
          <w:rFonts w:hint="cs"/>
          <w:rtl/>
        </w:rPr>
        <w:t xml:space="preserve"> </w:t>
      </w:r>
    </w:p>
    <w:p w14:paraId="78881BA7" w14:textId="77777777" w:rsidR="00D235C2" w:rsidRPr="00032246" w:rsidRDefault="00D235C2">
      <w:pPr>
        <w:rPr>
          <w:rFonts w:ascii="Arial" w:hAnsi="Arial"/>
          <w:rtl/>
        </w:rPr>
      </w:pPr>
    </w:p>
    <w:tbl>
      <w:tblPr>
        <w:bidiVisual/>
        <w:tblW w:w="8820" w:type="dxa"/>
        <w:jc w:val="center"/>
        <w:tblLook w:val="01E0" w:firstRow="1" w:lastRow="1" w:firstColumn="1" w:lastColumn="1" w:noHBand="0" w:noVBand="0"/>
      </w:tblPr>
      <w:tblGrid>
        <w:gridCol w:w="743"/>
        <w:gridCol w:w="2506"/>
        <w:gridCol w:w="5571"/>
      </w:tblGrid>
      <w:tr w:rsidR="00D235C2" w:rsidRPr="00032246" w14:paraId="32C7FC36" w14:textId="77777777">
        <w:trPr>
          <w:jc w:val="center"/>
        </w:trPr>
        <w:tc>
          <w:tcPr>
            <w:tcW w:w="743" w:type="dxa"/>
            <w:shd w:val="clear" w:color="auto" w:fill="auto"/>
          </w:tcPr>
          <w:p w14:paraId="1899C4A4" w14:textId="77777777" w:rsidR="00D235C2" w:rsidRPr="00032246" w:rsidRDefault="00032246">
            <w:pPr>
              <w:jc w:val="both"/>
              <w:rPr>
                <w:rFonts w:ascii="Arial" w:hAnsi="Arial"/>
                <w:b/>
                <w:bCs/>
              </w:rPr>
            </w:pPr>
            <w:r w:rsidRPr="00032246">
              <w:rPr>
                <w:rFonts w:ascii="Arial" w:hAnsi="Arial" w:hint="cs"/>
                <w:b/>
                <w:bCs/>
                <w:rtl/>
              </w:rPr>
              <w:t xml:space="preserve">בפני </w:t>
            </w:r>
          </w:p>
        </w:tc>
        <w:tc>
          <w:tcPr>
            <w:tcW w:w="8077" w:type="dxa"/>
            <w:gridSpan w:val="2"/>
            <w:shd w:val="clear" w:color="auto" w:fill="auto"/>
          </w:tcPr>
          <w:p w14:paraId="5E197B80" w14:textId="77777777" w:rsidR="00D235C2" w:rsidRPr="00032246" w:rsidRDefault="00032246">
            <w:pPr>
              <w:rPr>
                <w:rFonts w:ascii="Arial" w:hAnsi="Arial"/>
                <w:b/>
                <w:bCs/>
                <w:rtl/>
              </w:rPr>
            </w:pPr>
            <w:r w:rsidRPr="00032246">
              <w:rPr>
                <w:rFonts w:ascii="Arial" w:hAnsi="Arial" w:hint="cs"/>
                <w:b/>
                <w:bCs/>
                <w:rtl/>
              </w:rPr>
              <w:t>כבוד ה</w:t>
            </w:r>
            <w:r w:rsidRPr="00032246">
              <w:rPr>
                <w:rFonts w:hint="cs"/>
                <w:b/>
                <w:bCs/>
                <w:rtl/>
              </w:rPr>
              <w:t>שופט</w:t>
            </w:r>
            <w:r w:rsidRPr="00032246">
              <w:rPr>
                <w:rFonts w:ascii="Arial" w:hAnsi="Arial" w:hint="cs"/>
                <w:b/>
                <w:bCs/>
                <w:rtl/>
              </w:rPr>
              <w:t xml:space="preserve">  </w:t>
            </w:r>
            <w:r w:rsidRPr="00032246">
              <w:rPr>
                <w:rFonts w:hint="cs"/>
                <w:b/>
                <w:bCs/>
                <w:rtl/>
              </w:rPr>
              <w:t>דניאל פיש</w:t>
            </w:r>
          </w:p>
          <w:p w14:paraId="12A3D8FC" w14:textId="77777777" w:rsidR="00D235C2" w:rsidRPr="00032246" w:rsidRDefault="00D235C2">
            <w:pPr>
              <w:rPr>
                <w:rFonts w:ascii="Arial" w:hAnsi="Arial" w:cs="FrankRuehl"/>
                <w:b/>
                <w:bCs/>
                <w:sz w:val="28"/>
                <w:szCs w:val="28"/>
                <w:highlight w:val="yellow"/>
                <w:rtl/>
              </w:rPr>
            </w:pPr>
          </w:p>
        </w:tc>
      </w:tr>
      <w:tr w:rsidR="00D235C2" w:rsidRPr="00032246" w14:paraId="153ABA68" w14:textId="77777777">
        <w:trPr>
          <w:jc w:val="center"/>
        </w:trPr>
        <w:tc>
          <w:tcPr>
            <w:tcW w:w="3249" w:type="dxa"/>
            <w:gridSpan w:val="2"/>
            <w:shd w:val="clear" w:color="auto" w:fill="auto"/>
          </w:tcPr>
          <w:p w14:paraId="3D237417" w14:textId="77777777" w:rsidR="00D235C2" w:rsidRPr="00032246" w:rsidRDefault="00032246">
            <w:pPr>
              <w:rPr>
                <w:rFonts w:ascii="Arial" w:hAnsi="Arial"/>
                <w:b/>
                <w:bCs/>
                <w:sz w:val="26"/>
                <w:szCs w:val="26"/>
              </w:rPr>
            </w:pPr>
            <w:bookmarkStart w:id="2" w:name="FirstAppellant"/>
            <w:r w:rsidRPr="00032246">
              <w:rPr>
                <w:rFonts w:hint="cs"/>
                <w:b/>
                <w:bCs/>
                <w:rtl/>
              </w:rPr>
              <w:t>מאשימה</w:t>
            </w:r>
          </w:p>
        </w:tc>
        <w:tc>
          <w:tcPr>
            <w:tcW w:w="5571" w:type="dxa"/>
            <w:shd w:val="clear" w:color="auto" w:fill="auto"/>
          </w:tcPr>
          <w:p w14:paraId="14297358" w14:textId="77777777" w:rsidR="00D235C2" w:rsidRPr="00032246" w:rsidRDefault="00032246">
            <w:pPr>
              <w:rPr>
                <w:b/>
                <w:bCs/>
                <w:sz w:val="26"/>
                <w:szCs w:val="26"/>
                <w:rtl/>
              </w:rPr>
            </w:pPr>
            <w:r w:rsidRPr="00032246">
              <w:rPr>
                <w:rFonts w:hint="cs"/>
                <w:b/>
                <w:bCs/>
                <w:rtl/>
              </w:rPr>
              <w:t>מדינת ישראל</w:t>
            </w:r>
            <w:r w:rsidRPr="00032246">
              <w:rPr>
                <w:rFonts w:hint="cs"/>
                <w:b/>
                <w:bCs/>
                <w:rtl/>
              </w:rPr>
              <w:br/>
              <w:t>ע"י ב"כ עו"ד הילה איזנבנד</w:t>
            </w:r>
            <w:r w:rsidRPr="00032246">
              <w:rPr>
                <w:rFonts w:hint="cs"/>
                <w:b/>
                <w:bCs/>
                <w:rtl/>
              </w:rPr>
              <w:br/>
              <w:t xml:space="preserve">מפרקליטות מחוזה חיפה – פלילי </w:t>
            </w:r>
          </w:p>
        </w:tc>
      </w:tr>
      <w:bookmarkEnd w:id="2"/>
      <w:tr w:rsidR="00D235C2" w:rsidRPr="00032246" w14:paraId="4AE08570" w14:textId="77777777">
        <w:trPr>
          <w:jc w:val="center"/>
        </w:trPr>
        <w:tc>
          <w:tcPr>
            <w:tcW w:w="8820" w:type="dxa"/>
            <w:gridSpan w:val="3"/>
            <w:shd w:val="clear" w:color="auto" w:fill="auto"/>
          </w:tcPr>
          <w:p w14:paraId="090DED8B" w14:textId="77777777" w:rsidR="00D235C2" w:rsidRPr="00032246" w:rsidRDefault="00D235C2">
            <w:pPr>
              <w:rPr>
                <w:rFonts w:ascii="Arial" w:hAnsi="Arial"/>
                <w:b/>
                <w:bCs/>
                <w:sz w:val="20"/>
                <w:szCs w:val="20"/>
              </w:rPr>
            </w:pPr>
          </w:p>
          <w:p w14:paraId="765EA517" w14:textId="77777777" w:rsidR="00D235C2" w:rsidRPr="00032246" w:rsidRDefault="00032246">
            <w:pPr>
              <w:jc w:val="center"/>
              <w:rPr>
                <w:rFonts w:ascii="Arial" w:hAnsi="Arial"/>
                <w:b/>
                <w:bCs/>
                <w:sz w:val="26"/>
                <w:szCs w:val="26"/>
                <w:rtl/>
              </w:rPr>
            </w:pPr>
            <w:r w:rsidRPr="00032246">
              <w:rPr>
                <w:rFonts w:ascii="Arial" w:hAnsi="Arial" w:hint="cs"/>
                <w:b/>
                <w:bCs/>
                <w:sz w:val="26"/>
                <w:szCs w:val="26"/>
                <w:rtl/>
              </w:rPr>
              <w:t>נגד</w:t>
            </w:r>
          </w:p>
          <w:p w14:paraId="27F05B05" w14:textId="77777777" w:rsidR="00D235C2" w:rsidRPr="00032246" w:rsidRDefault="00D235C2">
            <w:pPr>
              <w:rPr>
                <w:rFonts w:ascii="Arial" w:hAnsi="Arial"/>
                <w:b/>
                <w:bCs/>
                <w:sz w:val="20"/>
                <w:szCs w:val="20"/>
                <w:rtl/>
              </w:rPr>
            </w:pPr>
          </w:p>
        </w:tc>
      </w:tr>
      <w:tr w:rsidR="00D235C2" w:rsidRPr="00032246" w14:paraId="24B08795" w14:textId="77777777">
        <w:trPr>
          <w:jc w:val="center"/>
        </w:trPr>
        <w:tc>
          <w:tcPr>
            <w:tcW w:w="3249" w:type="dxa"/>
            <w:gridSpan w:val="2"/>
            <w:shd w:val="clear" w:color="auto" w:fill="auto"/>
          </w:tcPr>
          <w:p w14:paraId="226C037D" w14:textId="77777777" w:rsidR="00D235C2" w:rsidRPr="00032246" w:rsidRDefault="00032246">
            <w:pPr>
              <w:rPr>
                <w:rFonts w:ascii="Arial" w:hAnsi="Arial"/>
                <w:b/>
                <w:bCs/>
                <w:sz w:val="26"/>
                <w:szCs w:val="26"/>
                <w:rtl/>
              </w:rPr>
            </w:pPr>
            <w:r w:rsidRPr="00032246">
              <w:rPr>
                <w:rFonts w:hint="cs"/>
                <w:b/>
                <w:bCs/>
                <w:rtl/>
              </w:rPr>
              <w:t>נאשם</w:t>
            </w:r>
          </w:p>
        </w:tc>
        <w:tc>
          <w:tcPr>
            <w:tcW w:w="5571" w:type="dxa"/>
            <w:shd w:val="clear" w:color="auto" w:fill="auto"/>
          </w:tcPr>
          <w:p w14:paraId="24CE982C" w14:textId="77777777" w:rsidR="00D235C2" w:rsidRPr="00032246" w:rsidRDefault="00032246">
            <w:pPr>
              <w:rPr>
                <w:b/>
                <w:bCs/>
                <w:sz w:val="26"/>
                <w:szCs w:val="26"/>
                <w:rtl/>
              </w:rPr>
            </w:pPr>
            <w:r w:rsidRPr="00032246">
              <w:rPr>
                <w:rFonts w:hint="cs"/>
                <w:b/>
                <w:bCs/>
                <w:rtl/>
              </w:rPr>
              <w:t xml:space="preserve">רונן דהוד ת.ז. </w:t>
            </w:r>
            <w:r>
              <w:rPr>
                <w:b/>
                <w:bCs/>
              </w:rPr>
              <w:t>xxxxxxxxx</w:t>
            </w:r>
            <w:r w:rsidRPr="00032246">
              <w:rPr>
                <w:rFonts w:hint="cs"/>
                <w:b/>
                <w:bCs/>
                <w:rtl/>
              </w:rPr>
              <w:br/>
              <w:t>ע"י ב"כ עו"ד חוזה אביב – סניגוריה ציבורית</w:t>
            </w:r>
          </w:p>
        </w:tc>
      </w:tr>
    </w:tbl>
    <w:p w14:paraId="234E306E" w14:textId="77777777" w:rsidR="00405EC3" w:rsidRDefault="00405EC3" w:rsidP="00032246">
      <w:pPr>
        <w:jc w:val="center"/>
        <w:rPr>
          <w:rFonts w:ascii="Arial" w:hAnsi="Arial" w:cs="FrankRuehl"/>
          <w:sz w:val="32"/>
          <w:szCs w:val="32"/>
          <w:rtl/>
        </w:rPr>
      </w:pPr>
      <w:bookmarkStart w:id="3" w:name="LawTable"/>
      <w:bookmarkStart w:id="4" w:name="PsakDin" w:colFirst="0" w:colLast="0"/>
      <w:bookmarkEnd w:id="0"/>
      <w:bookmarkEnd w:id="1"/>
      <w:bookmarkEnd w:id="3"/>
    </w:p>
    <w:p w14:paraId="09A4A283" w14:textId="77777777" w:rsidR="00405EC3" w:rsidRPr="00405EC3" w:rsidRDefault="00405EC3" w:rsidP="00405EC3">
      <w:pPr>
        <w:spacing w:after="120" w:line="240" w:lineRule="exact"/>
        <w:ind w:left="283" w:hanging="283"/>
        <w:jc w:val="both"/>
        <w:rPr>
          <w:rFonts w:ascii="FrankRuehl" w:hAnsi="FrankRuehl" w:cs="FrankRuehl"/>
          <w:rtl/>
        </w:rPr>
      </w:pPr>
    </w:p>
    <w:p w14:paraId="0BFB380F" w14:textId="77777777" w:rsidR="00405EC3" w:rsidRPr="00405EC3" w:rsidRDefault="00405EC3" w:rsidP="00405EC3">
      <w:pPr>
        <w:spacing w:after="120" w:line="240" w:lineRule="exact"/>
        <w:ind w:left="283" w:hanging="283"/>
        <w:jc w:val="both"/>
        <w:rPr>
          <w:rFonts w:ascii="FrankRuehl" w:hAnsi="FrankRuehl" w:cs="FrankRuehl"/>
          <w:rtl/>
        </w:rPr>
      </w:pPr>
      <w:r w:rsidRPr="00405EC3">
        <w:rPr>
          <w:rFonts w:ascii="FrankRuehl" w:hAnsi="FrankRuehl" w:cs="FrankRuehl"/>
          <w:rtl/>
        </w:rPr>
        <w:t xml:space="preserve">חקיקה שאוזכרה: </w:t>
      </w:r>
    </w:p>
    <w:p w14:paraId="3FA26154" w14:textId="77777777" w:rsidR="00405EC3" w:rsidRPr="00405EC3" w:rsidRDefault="00405EC3" w:rsidP="00405EC3">
      <w:pPr>
        <w:spacing w:after="120" w:line="240" w:lineRule="exact"/>
        <w:ind w:left="283" w:hanging="283"/>
        <w:jc w:val="both"/>
        <w:rPr>
          <w:rFonts w:ascii="FrankRuehl" w:hAnsi="FrankRuehl" w:cs="FrankRuehl"/>
          <w:color w:val="0000FF"/>
          <w:u w:val="single"/>
          <w:rtl/>
        </w:rPr>
      </w:pPr>
      <w:hyperlink r:id="rId7" w:history="1">
        <w:r w:rsidRPr="00405EC3">
          <w:rPr>
            <w:rStyle w:val="Hyperlink"/>
            <w:rFonts w:ascii="FrankRuehl" w:hAnsi="FrankRuehl" w:cs="FrankRuehl"/>
            <w:rtl/>
          </w:rPr>
          <w:t>חוק העונשין, תשל"ז-1977</w:t>
        </w:r>
      </w:hyperlink>
      <w:r w:rsidRPr="00405EC3">
        <w:rPr>
          <w:rFonts w:ascii="FrankRuehl" w:hAnsi="FrankRuehl" w:cs="FrankRuehl"/>
          <w:color w:val="0000FF"/>
          <w:u w:val="single"/>
          <w:rtl/>
        </w:rPr>
        <w:t xml:space="preserve">: סע'  </w:t>
      </w:r>
      <w:hyperlink r:id="rId8" w:history="1">
        <w:r w:rsidRPr="00405EC3">
          <w:rPr>
            <w:rStyle w:val="Hyperlink"/>
            <w:rFonts w:ascii="FrankRuehl" w:hAnsi="FrankRuehl" w:cs="FrankRuehl"/>
          </w:rPr>
          <w:t>29</w:t>
        </w:r>
      </w:hyperlink>
      <w:r w:rsidRPr="00405EC3">
        <w:rPr>
          <w:rFonts w:ascii="FrankRuehl" w:hAnsi="FrankRuehl" w:cs="FrankRuehl"/>
          <w:color w:val="0000FF"/>
          <w:u w:val="single"/>
          <w:rtl/>
        </w:rPr>
        <w:t xml:space="preserve">, </w:t>
      </w:r>
      <w:hyperlink r:id="rId9" w:history="1">
        <w:r w:rsidRPr="00405EC3">
          <w:rPr>
            <w:rStyle w:val="Hyperlink"/>
            <w:rFonts w:ascii="FrankRuehl" w:hAnsi="FrankRuehl" w:cs="FrankRuehl"/>
          </w:rPr>
          <w:t>144 (</w:t>
        </w:r>
        <w:r w:rsidRPr="00405EC3">
          <w:rPr>
            <w:rStyle w:val="Hyperlink"/>
            <w:rFonts w:ascii="FrankRuehl" w:hAnsi="FrankRuehl" w:cs="FrankRuehl"/>
            <w:rtl/>
          </w:rPr>
          <w:t>א</w:t>
        </w:r>
        <w:r w:rsidRPr="00405EC3">
          <w:rPr>
            <w:rStyle w:val="Hyperlink"/>
            <w:rFonts w:ascii="FrankRuehl" w:hAnsi="FrankRuehl" w:cs="FrankRuehl"/>
          </w:rPr>
          <w:t>)</w:t>
        </w:r>
      </w:hyperlink>
      <w:r w:rsidRPr="00405EC3">
        <w:rPr>
          <w:rFonts w:ascii="FrankRuehl" w:hAnsi="FrankRuehl" w:cs="FrankRuehl"/>
          <w:color w:val="0000FF"/>
          <w:u w:val="single"/>
          <w:rtl/>
        </w:rPr>
        <w:t xml:space="preserve">, </w:t>
      </w:r>
      <w:hyperlink r:id="rId10" w:history="1">
        <w:r w:rsidRPr="00405EC3">
          <w:rPr>
            <w:rStyle w:val="Hyperlink"/>
            <w:rFonts w:ascii="FrankRuehl" w:hAnsi="FrankRuehl" w:cs="FrankRuehl"/>
          </w:rPr>
          <w:t>144(</w:t>
        </w:r>
        <w:r w:rsidRPr="00405EC3">
          <w:rPr>
            <w:rStyle w:val="Hyperlink"/>
            <w:rFonts w:ascii="FrankRuehl" w:hAnsi="FrankRuehl" w:cs="FrankRuehl"/>
            <w:rtl/>
          </w:rPr>
          <w:t>ב2</w:t>
        </w:r>
        <w:r w:rsidRPr="00405EC3">
          <w:rPr>
            <w:rStyle w:val="Hyperlink"/>
            <w:rFonts w:ascii="FrankRuehl" w:hAnsi="FrankRuehl" w:cs="FrankRuehl"/>
          </w:rPr>
          <w:t>)</w:t>
        </w:r>
      </w:hyperlink>
      <w:r w:rsidRPr="00405EC3">
        <w:rPr>
          <w:rFonts w:ascii="FrankRuehl" w:hAnsi="FrankRuehl" w:cs="FrankRuehl"/>
          <w:color w:val="0000FF"/>
          <w:u w:val="single"/>
          <w:rtl/>
        </w:rPr>
        <w:t xml:space="preserve">, </w:t>
      </w:r>
      <w:hyperlink r:id="rId11" w:history="1">
        <w:r w:rsidRPr="00405EC3">
          <w:rPr>
            <w:rStyle w:val="Hyperlink"/>
            <w:rFonts w:ascii="FrankRuehl" w:hAnsi="FrankRuehl" w:cs="FrankRuehl"/>
          </w:rPr>
          <w:t>(</w:t>
        </w:r>
        <w:r w:rsidRPr="00405EC3">
          <w:rPr>
            <w:rStyle w:val="Hyperlink"/>
            <w:rFonts w:ascii="FrankRuehl" w:hAnsi="FrankRuehl" w:cs="FrankRuehl"/>
            <w:rtl/>
          </w:rPr>
          <w:t>ג</w:t>
        </w:r>
        <w:r w:rsidRPr="00405EC3">
          <w:rPr>
            <w:rStyle w:val="Hyperlink"/>
            <w:rFonts w:ascii="FrankRuehl" w:hAnsi="FrankRuehl" w:cs="FrankRuehl"/>
          </w:rPr>
          <w:t>)</w:t>
        </w:r>
      </w:hyperlink>
      <w:r w:rsidRPr="00405EC3">
        <w:rPr>
          <w:rFonts w:ascii="FrankRuehl" w:hAnsi="FrankRuehl" w:cs="FrankRuehl"/>
          <w:color w:val="0000FF"/>
          <w:u w:val="single"/>
          <w:rtl/>
        </w:rPr>
        <w:t xml:space="preserve">, </w:t>
      </w:r>
      <w:hyperlink r:id="rId12" w:history="1">
        <w:r w:rsidRPr="00405EC3">
          <w:rPr>
            <w:rStyle w:val="Hyperlink"/>
            <w:rFonts w:ascii="FrankRuehl" w:hAnsi="FrankRuehl" w:cs="FrankRuehl"/>
          </w:rPr>
          <w:t>40</w:t>
        </w:r>
        <w:r w:rsidRPr="00405EC3">
          <w:rPr>
            <w:rStyle w:val="Hyperlink"/>
            <w:rFonts w:ascii="FrankRuehl" w:hAnsi="FrankRuehl" w:cs="FrankRuehl"/>
            <w:rtl/>
          </w:rPr>
          <w:t>יג(ב</w:t>
        </w:r>
        <w:r w:rsidRPr="00405EC3">
          <w:rPr>
            <w:rStyle w:val="Hyperlink"/>
            <w:rFonts w:ascii="FrankRuehl" w:hAnsi="FrankRuehl" w:cs="FrankRuehl"/>
          </w:rPr>
          <w:t>)</w:t>
        </w:r>
      </w:hyperlink>
    </w:p>
    <w:p w14:paraId="537CB11A" w14:textId="77777777" w:rsidR="00405EC3" w:rsidRPr="00405EC3" w:rsidRDefault="00405EC3" w:rsidP="00405EC3">
      <w:pPr>
        <w:rPr>
          <w:rFonts w:ascii="Arial" w:hAnsi="Arial" w:cs="FrankRuehl" w:hint="cs"/>
          <w:sz w:val="32"/>
          <w:szCs w:val="32"/>
          <w:rtl/>
        </w:rPr>
      </w:pPr>
      <w:bookmarkStart w:id="5" w:name="LawTable_End"/>
      <w:bookmarkEnd w:id="5"/>
    </w:p>
    <w:p w14:paraId="71A30743" w14:textId="77777777" w:rsidR="00405EC3" w:rsidRPr="00032246" w:rsidRDefault="00405EC3" w:rsidP="00032246">
      <w:pPr>
        <w:jc w:val="center"/>
        <w:rPr>
          <w:rFonts w:ascii="Arial" w:hAnsi="Arial" w:cs="FrankRuehl"/>
          <w:sz w:val="32"/>
          <w:szCs w:val="32"/>
          <w:rtl/>
        </w:rPr>
      </w:pPr>
    </w:p>
    <w:p w14:paraId="165A86DC" w14:textId="77777777" w:rsidR="00405EC3" w:rsidRPr="00032246" w:rsidRDefault="00405EC3" w:rsidP="00032246">
      <w:pPr>
        <w:jc w:val="center"/>
        <w:rPr>
          <w:rFonts w:ascii="Arial" w:hAnsi="Arial" w:cs="FrankRuehl"/>
          <w:b/>
          <w:bCs/>
          <w:sz w:val="32"/>
          <w:szCs w:val="32"/>
          <w:rtl/>
        </w:rPr>
      </w:pPr>
      <w:r w:rsidRPr="00032246">
        <w:rPr>
          <w:rFonts w:ascii="Arial" w:hAnsi="Arial" w:cs="FrankRuehl"/>
          <w:b/>
          <w:bCs/>
          <w:sz w:val="32"/>
          <w:szCs w:val="32"/>
          <w:rtl/>
        </w:rPr>
        <w:t>גזר דין</w:t>
      </w:r>
    </w:p>
    <w:p w14:paraId="29F46098" w14:textId="77777777" w:rsidR="00405EC3" w:rsidRPr="00032246" w:rsidRDefault="00405EC3" w:rsidP="00032246">
      <w:pPr>
        <w:jc w:val="center"/>
        <w:rPr>
          <w:rFonts w:ascii="Arial" w:hAnsi="Arial" w:cs="FrankRuehl"/>
          <w:bCs/>
          <w:sz w:val="32"/>
          <w:szCs w:val="32"/>
          <w:rtl/>
        </w:rPr>
      </w:pPr>
    </w:p>
    <w:bookmarkEnd w:id="4"/>
    <w:p w14:paraId="1F2A6350" w14:textId="77777777" w:rsidR="00D235C2" w:rsidRDefault="00D235C2">
      <w:pPr>
        <w:rPr>
          <w:rFonts w:ascii="Arial" w:hAnsi="Arial"/>
          <w:rtl/>
        </w:rPr>
      </w:pPr>
    </w:p>
    <w:p w14:paraId="3830C177" w14:textId="77777777" w:rsidR="00D235C2" w:rsidRDefault="00032246">
      <w:pPr>
        <w:numPr>
          <w:ilvl w:val="0"/>
          <w:numId w:val="1"/>
        </w:numPr>
        <w:spacing w:line="360" w:lineRule="auto"/>
        <w:jc w:val="both"/>
        <w:rPr>
          <w:rtl/>
        </w:rPr>
      </w:pPr>
      <w:bookmarkStart w:id="6" w:name="ABSTRACT_START"/>
      <w:bookmarkEnd w:id="6"/>
      <w:r>
        <w:rPr>
          <w:rtl/>
        </w:rPr>
        <w:t xml:space="preserve">הנאשם, רונן דהוד, הודה בכתב אישום מתוקן במסגרת הסדר טיעון חלקי אשר לא כלל הסדר בנוגע לעונש בשני אישומים בעבירות של סחר בנשק שלא כדין לפי </w:t>
      </w:r>
      <w:hyperlink r:id="rId13" w:history="1">
        <w:r w:rsidR="00405EC3" w:rsidRPr="00405EC3">
          <w:rPr>
            <w:rStyle w:val="Hyperlink"/>
            <w:rtl/>
          </w:rPr>
          <w:t>סעיפים 144(ב2)</w:t>
        </w:r>
      </w:hyperlink>
      <w:r>
        <w:rPr>
          <w:rtl/>
        </w:rPr>
        <w:t xml:space="preserve"> + </w:t>
      </w:r>
      <w:hyperlink r:id="rId14" w:history="1">
        <w:r w:rsidR="00405EC3" w:rsidRPr="00405EC3">
          <w:rPr>
            <w:rStyle w:val="Hyperlink"/>
            <w:rtl/>
          </w:rPr>
          <w:t>(ג)</w:t>
        </w:r>
      </w:hyperlink>
      <w:r>
        <w:rPr>
          <w:rtl/>
        </w:rPr>
        <w:t xml:space="preserve"> + </w:t>
      </w:r>
      <w:hyperlink r:id="rId15" w:history="1">
        <w:r w:rsidR="00405EC3" w:rsidRPr="00405EC3">
          <w:rPr>
            <w:rStyle w:val="Hyperlink"/>
            <w:rtl/>
          </w:rPr>
          <w:t>29</w:t>
        </w:r>
      </w:hyperlink>
      <w:r>
        <w:rPr>
          <w:rtl/>
        </w:rPr>
        <w:t xml:space="preserve"> ל</w:t>
      </w:r>
      <w:hyperlink r:id="rId16" w:history="1">
        <w:r w:rsidRPr="00032246">
          <w:rPr>
            <w:color w:val="0000FF"/>
            <w:u w:val="single"/>
            <w:rtl/>
          </w:rPr>
          <w:t>חוק העונשין</w:t>
        </w:r>
      </w:hyperlink>
      <w:r>
        <w:rPr>
          <w:rtl/>
        </w:rPr>
        <w:t xml:space="preserve"> ועבירות נשק [החזקה ונשיאה} לפי </w:t>
      </w:r>
      <w:hyperlink r:id="rId17" w:history="1">
        <w:r w:rsidR="00405EC3" w:rsidRPr="00405EC3">
          <w:rPr>
            <w:rStyle w:val="Hyperlink"/>
            <w:rtl/>
          </w:rPr>
          <w:t>סעיפים 144 (א)</w:t>
        </w:r>
      </w:hyperlink>
      <w:r>
        <w:rPr>
          <w:rtl/>
        </w:rPr>
        <w:t xml:space="preserve"> רישא וסיפא + 144 (ב) רישא וסיפא + 29 לחוק. באישום הראשון, תואר שבמועד שאינו ידוע במדוייק ולפני האירוע השני, אך בסמוך לו, סיכם הנאשם עם אדם בשם תאמיר כיוף למכור יחד אמצעי לחימה שהוחזק על ידם לסוכן משטרתי. תואר שבתחילת אוגוסט 2015 ישב הסוכן בחצר ביתו של תאמיר עם הנאשם, תאמיר, וווליד פרו (ווליד). בשלב מסויים ניגש תאמיר לביתו ושב עם אקדח מסוג יריחו והציגו לסוכן בנוכחות ווליד. הנאשם אמר לסוכן שהאקדח שווה 30,000 ₪ והציע למכור לו אותו תמורת נשק מסוג קלצ'ניקוב. ביום 25.8.15 שוחחו הנאשם ותאמיר עם הסוכן בטלפון וקבעו לבצע עסקה למכירת אקדח יריחו לסוכן תמורת 26,700 ₪ בעוספיא באותו יום. </w:t>
      </w:r>
      <w:bookmarkStart w:id="7" w:name="ABSTRACT_END"/>
      <w:bookmarkEnd w:id="7"/>
      <w:r>
        <w:rPr>
          <w:rtl/>
        </w:rPr>
        <w:t xml:space="preserve">בשעות אחר הצהריים שוחחו שוב תאמיר והסוכן בטלפון והסוכן הודיע לתאמיר שהוא במקום המפגש בעוספיא. תאמיר אמר לסוכן שישלח את הנאשם לאסוף אותו. כעבור כמה דקות הגיע ווליד למקום ברכב והסוכן ביקש ממנו "טרמפ לביתו של תאמיר". כשהגיעו לביתו של תאמיר התקשר הנאשם לסוכן לברר היכן הוא והסוכן השיב שהגיע כבר לביתו של תאמיר. הנאשם אמר שגם הוא יגיע לשם. הסוכן ווליד נכנסו לחצר הבית של תאמיר בו ישב תאמיר ובסמוך לרגליו מונח כובע גרב ובו אקדח יריחו עם </w:t>
      </w:r>
      <w:r>
        <w:rPr>
          <w:rtl/>
        </w:rPr>
        <w:lastRenderedPageBreak/>
        <w:t xml:space="preserve">מחסנית ריקה וקופסה עם 31 כדורים בקוטר 9 מ"מ. תאמיר אמר לסוכן שבדק את האקדח. הסוכן בדק את האקדח והסוכן מסר לתאמיר 26,700 ₪ תמורת הנשק ותאמיר וווליד ספרו ביחד את הכסף והסוכן הכניס את הנשק לתוך קופסת קרטון. בשלב זה הגיע למקום הנאשם והסיע את הסוכן ברכבו לכיוון היציאה מעוספיא כאשר הנאשם שאל במהלך הנסיעה אם לסוכן יש אקדח מסוג </w:t>
      </w:r>
      <w:r>
        <w:t>FN</w:t>
      </w:r>
      <w:r>
        <w:rPr>
          <w:rtl/>
        </w:rPr>
        <w:t xml:space="preserve"> למכירה ובנוסף ביקש הנאשם מהסוכן לראות את  האקדח בפעם האחרונה מכיוון שזה היה אצלו זמן רב. הסוכן פתח את הקופסא והציג לנאשם את האקדח. ביציאה מעוספיא ירד הסוכן מרכבו של הנאשם עם הנשק. </w:t>
      </w:r>
    </w:p>
    <w:p w14:paraId="417ABE0F" w14:textId="77777777" w:rsidR="00D235C2" w:rsidRDefault="00D235C2">
      <w:pPr>
        <w:spacing w:line="360" w:lineRule="auto"/>
        <w:jc w:val="both"/>
        <w:rPr>
          <w:rtl/>
        </w:rPr>
      </w:pPr>
    </w:p>
    <w:p w14:paraId="1CDA1866" w14:textId="77777777" w:rsidR="00D235C2" w:rsidRDefault="00032246">
      <w:pPr>
        <w:numPr>
          <w:ilvl w:val="0"/>
          <w:numId w:val="1"/>
        </w:numPr>
        <w:spacing w:line="360" w:lineRule="auto"/>
        <w:jc w:val="both"/>
        <w:rPr>
          <w:rtl/>
        </w:rPr>
      </w:pPr>
      <w:r>
        <w:rPr>
          <w:rtl/>
        </w:rPr>
        <w:t xml:space="preserve">על פי האישום השני, ביום 16.9.15 בשעה 14:00 התקשר הנאשם לסוכן והציע שימכור לסוכן אקדח מסוג </w:t>
      </w:r>
      <w:r>
        <w:t>FN</w:t>
      </w:r>
      <w:r>
        <w:rPr>
          <w:rtl/>
        </w:rPr>
        <w:t xml:space="preserve"> ורובה ציד. למחרת בשעות אחר הצהריים שוחחו הנאשם והסוכן בטלפון וקבעו לבצע ביניהם עסקה למכירת רובה ציד לסוכן תמורת 11,000 ₪ באותו יום בעוספיא. מאוחר יותר, שוחחו שוב והסוכן הודיע שהוא ממתין בתחנת האוטובוס בכניסה לעוספיא. כעבור מספר דקות הגיע הנאשם יחד עם אחר ברכב כאשר הנאשם מחזיק ונושא רובה ציד מאולתר. השנים אספו את הסוכן שהתיישב ליד הנאשם שנהג. בשלב זה פתח הסוכן את השמיכה שהיתה מונחת מתחת לרגליו וראה שבתוכה נמצא  רובה הציד המאולתר ולא רובה ציד מקורי כפי שסוכם קודם ואמר לנאשם שישלם לו רק 5,000 ₪ ומסר לו את הסכום. הנאשם מסר את הכסף לאחר שספר אותו. הנאשם השיב בחיוב לשאלת הסוכן אם הנשק עובד ואמר עוד שניסה אותו. בתום המפגש ירד הסוכן מהרכב כשהוא נושא איתו את השמיכה והנשק. </w:t>
      </w:r>
    </w:p>
    <w:p w14:paraId="75E6B773" w14:textId="77777777" w:rsidR="00D235C2" w:rsidRDefault="00D235C2">
      <w:pPr>
        <w:spacing w:line="360" w:lineRule="auto"/>
        <w:jc w:val="both"/>
        <w:rPr>
          <w:sz w:val="18"/>
          <w:szCs w:val="18"/>
          <w:rtl/>
        </w:rPr>
      </w:pPr>
    </w:p>
    <w:p w14:paraId="2F18B209" w14:textId="77777777" w:rsidR="00D235C2" w:rsidRDefault="00032246">
      <w:pPr>
        <w:spacing w:line="360" w:lineRule="auto"/>
        <w:ind w:left="360"/>
        <w:jc w:val="both"/>
        <w:rPr>
          <w:rtl/>
        </w:rPr>
      </w:pPr>
      <w:r>
        <w:rPr>
          <w:b/>
          <w:bCs/>
          <w:u w:val="single"/>
          <w:rtl/>
        </w:rPr>
        <w:t>הראיות לעונש</w:t>
      </w:r>
    </w:p>
    <w:p w14:paraId="6172D577" w14:textId="77777777" w:rsidR="00D235C2" w:rsidRDefault="00D235C2">
      <w:pPr>
        <w:spacing w:line="360" w:lineRule="auto"/>
        <w:jc w:val="both"/>
        <w:rPr>
          <w:sz w:val="18"/>
          <w:szCs w:val="18"/>
          <w:rtl/>
        </w:rPr>
      </w:pPr>
    </w:p>
    <w:p w14:paraId="0D741A0A" w14:textId="77777777" w:rsidR="00D235C2" w:rsidRDefault="00032246">
      <w:pPr>
        <w:numPr>
          <w:ilvl w:val="0"/>
          <w:numId w:val="1"/>
        </w:numPr>
        <w:spacing w:line="360" w:lineRule="auto"/>
        <w:jc w:val="both"/>
      </w:pPr>
      <w:r>
        <w:rPr>
          <w:rtl/>
        </w:rPr>
        <w:t xml:space="preserve">לנאשם עבר פלילי שהתיישן. הוגשה בנוסף חוות דעת מומחה לפיה אכן מדובר ברובה ציד מאולתר ולא נשק תקני. יחד עם זאת צויין שהנשק יורה ובכוחו להמית אדם. </w:t>
      </w:r>
    </w:p>
    <w:p w14:paraId="3A17A303" w14:textId="77777777" w:rsidR="00D235C2" w:rsidRDefault="00D235C2">
      <w:pPr>
        <w:spacing w:line="360" w:lineRule="auto"/>
        <w:ind w:left="720"/>
        <w:jc w:val="both"/>
        <w:rPr>
          <w:sz w:val="18"/>
          <w:szCs w:val="18"/>
          <w:rtl/>
        </w:rPr>
      </w:pPr>
    </w:p>
    <w:p w14:paraId="37D57877" w14:textId="77777777" w:rsidR="00D235C2" w:rsidRDefault="00032246">
      <w:pPr>
        <w:numPr>
          <w:ilvl w:val="0"/>
          <w:numId w:val="1"/>
        </w:numPr>
        <w:spacing w:line="360" w:lineRule="auto"/>
        <w:jc w:val="both"/>
        <w:rPr>
          <w:rtl/>
        </w:rPr>
      </w:pPr>
      <w:r>
        <w:rPr>
          <w:rtl/>
        </w:rPr>
        <w:t xml:space="preserve">הוגש בנוסף על ידי הסניגור מכתב מאת השירות הפסיכולוגי החינוכי בעוספיא ביחס לבעיות פסיכולוגיות שהתעוררו אצל בנו מאז מעצרו ומכתב נוסף מאת ראש המועצה המקומית המאשר שהנאשם הוא תושב הכפר נשוי ואב לשלושה ילדים קטנים שהוא קשור אליהם. תואר עוד שהנאשם מוכר לראש המועצה כאדם טוב שילדיו זקוקים לו. </w:t>
      </w:r>
    </w:p>
    <w:p w14:paraId="137B46EC" w14:textId="77777777" w:rsidR="00D235C2" w:rsidRDefault="00D235C2">
      <w:pPr>
        <w:spacing w:line="360" w:lineRule="auto"/>
        <w:jc w:val="both"/>
        <w:rPr>
          <w:sz w:val="18"/>
          <w:szCs w:val="18"/>
          <w:rtl/>
        </w:rPr>
      </w:pPr>
    </w:p>
    <w:p w14:paraId="7B5C8F77" w14:textId="77777777" w:rsidR="00D235C2" w:rsidRDefault="00032246">
      <w:pPr>
        <w:spacing w:line="360" w:lineRule="auto"/>
        <w:ind w:left="360"/>
        <w:jc w:val="both"/>
        <w:rPr>
          <w:rtl/>
        </w:rPr>
      </w:pPr>
      <w:r>
        <w:rPr>
          <w:b/>
          <w:bCs/>
          <w:u w:val="single"/>
          <w:rtl/>
        </w:rPr>
        <w:t>טיעוני המאשימה לעונש</w:t>
      </w:r>
    </w:p>
    <w:p w14:paraId="28F8D03A" w14:textId="77777777" w:rsidR="00D235C2" w:rsidRDefault="00D235C2">
      <w:pPr>
        <w:spacing w:line="360" w:lineRule="auto"/>
        <w:jc w:val="both"/>
        <w:rPr>
          <w:sz w:val="18"/>
          <w:szCs w:val="18"/>
          <w:rtl/>
        </w:rPr>
      </w:pPr>
    </w:p>
    <w:p w14:paraId="6C590E9E" w14:textId="77777777" w:rsidR="00D235C2" w:rsidRDefault="00032246">
      <w:pPr>
        <w:numPr>
          <w:ilvl w:val="0"/>
          <w:numId w:val="1"/>
        </w:numPr>
        <w:spacing w:line="360" w:lineRule="auto"/>
        <w:jc w:val="both"/>
        <w:rPr>
          <w:rtl/>
        </w:rPr>
      </w:pPr>
      <w:r>
        <w:rPr>
          <w:rtl/>
        </w:rPr>
        <w:t>נטען שבמקרה דנן יש מקום לראות בכל אחת מעסקאות הנשק אירוע נפרד כיוון שהן בוצעו במועדים שונים, תואמו בנפרד, בוצעו במקומות שונים ומדובר בעסקאות עצמאיות ללא רצף. נטען שהאיסורים בחוק בנוגע לנשק נועדו להגן על ערכי שלום הציבור ובטחונו וחיי אדם (</w:t>
      </w:r>
      <w:hyperlink r:id="rId18" w:history="1">
        <w:r w:rsidRPr="00032246">
          <w:rPr>
            <w:color w:val="0000FF"/>
            <w:u w:val="single"/>
            <w:rtl/>
          </w:rPr>
          <w:t>ע"פ 4945/13</w:t>
        </w:r>
      </w:hyperlink>
      <w:r>
        <w:rPr>
          <w:rtl/>
        </w:rPr>
        <w:t xml:space="preserve"> </w:t>
      </w:r>
      <w:r>
        <w:rPr>
          <w:b/>
          <w:bCs/>
          <w:rtl/>
        </w:rPr>
        <w:t>מדינת ישראל נ' סלימאן</w:t>
      </w:r>
      <w:r>
        <w:rPr>
          <w:rtl/>
        </w:rPr>
        <w:t xml:space="preserve"> (19.1.2014); </w:t>
      </w:r>
      <w:hyperlink r:id="rId19" w:history="1">
        <w:r w:rsidRPr="00032246">
          <w:rPr>
            <w:color w:val="0000FF"/>
            <w:u w:val="single"/>
            <w:rtl/>
          </w:rPr>
          <w:t>ע"פ 2251/11</w:t>
        </w:r>
      </w:hyperlink>
      <w:r>
        <w:rPr>
          <w:rtl/>
        </w:rPr>
        <w:t xml:space="preserve"> </w:t>
      </w:r>
      <w:r>
        <w:rPr>
          <w:b/>
          <w:bCs/>
          <w:rtl/>
        </w:rPr>
        <w:t xml:space="preserve">נפאע נ' מדינת </w:t>
      </w:r>
      <w:r>
        <w:rPr>
          <w:b/>
          <w:bCs/>
          <w:rtl/>
        </w:rPr>
        <w:lastRenderedPageBreak/>
        <w:t xml:space="preserve">ישראל </w:t>
      </w:r>
      <w:r>
        <w:rPr>
          <w:rtl/>
        </w:rPr>
        <w:t xml:space="preserve"> (4.12.2011)). יתר על כן, נטען שהפסיקה מצדדת בענישה מחמירה ומרתיעה ביחס לעבירות אלה (</w:t>
      </w:r>
      <w:hyperlink r:id="rId20" w:history="1">
        <w:r w:rsidRPr="00032246">
          <w:rPr>
            <w:color w:val="0000FF"/>
            <w:u w:val="single"/>
            <w:rtl/>
          </w:rPr>
          <w:t>ע"פ  11448/03</w:t>
        </w:r>
      </w:hyperlink>
      <w:r>
        <w:rPr>
          <w:rtl/>
        </w:rPr>
        <w:t xml:space="preserve"> </w:t>
      </w:r>
      <w:r>
        <w:rPr>
          <w:b/>
          <w:bCs/>
          <w:rtl/>
        </w:rPr>
        <w:t xml:space="preserve">מדינת ישראל נ' </w:t>
      </w:r>
      <w:r>
        <w:rPr>
          <w:rtl/>
        </w:rPr>
        <w:t xml:space="preserve"> </w:t>
      </w:r>
      <w:r>
        <w:rPr>
          <w:b/>
          <w:bCs/>
          <w:rtl/>
        </w:rPr>
        <w:t>ג'רבאן</w:t>
      </w:r>
      <w:r>
        <w:rPr>
          <w:rtl/>
        </w:rPr>
        <w:t xml:space="preserve"> (29.3.2004</w:t>
      </w:r>
      <w:r>
        <w:rPr>
          <w:b/>
          <w:bCs/>
          <w:rtl/>
        </w:rPr>
        <w:t xml:space="preserve">). </w:t>
      </w:r>
    </w:p>
    <w:p w14:paraId="2F92C387" w14:textId="77777777" w:rsidR="00D235C2" w:rsidRDefault="00D235C2">
      <w:pPr>
        <w:spacing w:line="360" w:lineRule="auto"/>
        <w:jc w:val="both"/>
        <w:rPr>
          <w:sz w:val="18"/>
          <w:szCs w:val="18"/>
          <w:rtl/>
        </w:rPr>
      </w:pPr>
    </w:p>
    <w:p w14:paraId="2C63DCE6" w14:textId="77777777" w:rsidR="00D235C2" w:rsidRDefault="00032246">
      <w:pPr>
        <w:numPr>
          <w:ilvl w:val="0"/>
          <w:numId w:val="1"/>
        </w:numPr>
        <w:spacing w:line="360" w:lineRule="auto"/>
        <w:jc w:val="both"/>
        <w:rPr>
          <w:rtl/>
        </w:rPr>
      </w:pPr>
      <w:r>
        <w:rPr>
          <w:rtl/>
        </w:rPr>
        <w:t>ביחס למדיניות הענישה נטען שבמקרים דומים הוטלו מאסרים בין 36 -  48 חודשי מאסר בפועל כאשר ב</w:t>
      </w:r>
      <w:hyperlink r:id="rId21" w:history="1">
        <w:r w:rsidRPr="00032246">
          <w:rPr>
            <w:color w:val="0000FF"/>
            <w:u w:val="single"/>
            <w:rtl/>
          </w:rPr>
          <w:t>ע"פ 319/11</w:t>
        </w:r>
      </w:hyperlink>
      <w:r>
        <w:rPr>
          <w:rtl/>
        </w:rPr>
        <w:t xml:space="preserve"> </w:t>
      </w:r>
      <w:r>
        <w:rPr>
          <w:b/>
          <w:bCs/>
          <w:rtl/>
        </w:rPr>
        <w:t xml:space="preserve">מדינת ישראל נ' יאסין </w:t>
      </w:r>
      <w:r>
        <w:rPr>
          <w:rtl/>
        </w:rPr>
        <w:t>(5.12.2011)</w:t>
      </w:r>
      <w:r>
        <w:rPr>
          <w:b/>
          <w:bCs/>
          <w:rtl/>
        </w:rPr>
        <w:t xml:space="preserve"> </w:t>
      </w:r>
      <w:r>
        <w:rPr>
          <w:rtl/>
        </w:rPr>
        <w:t xml:space="preserve">הוחמר העונש בערעור ל- 48 חודשי מאסר בפועל בגין שתי עבירות של סחר בנשק ושתי עבירות של הובלה ונשיאה. </w:t>
      </w:r>
    </w:p>
    <w:p w14:paraId="0E1E28A4" w14:textId="77777777" w:rsidR="00D235C2" w:rsidRDefault="00032246">
      <w:pPr>
        <w:spacing w:line="360" w:lineRule="auto"/>
        <w:ind w:left="720"/>
        <w:jc w:val="both"/>
        <w:rPr>
          <w:rtl/>
        </w:rPr>
      </w:pPr>
      <w:r>
        <w:rPr>
          <w:rtl/>
        </w:rPr>
        <w:t>ב</w:t>
      </w:r>
      <w:hyperlink r:id="rId22" w:history="1">
        <w:r w:rsidRPr="00032246">
          <w:rPr>
            <w:color w:val="0000FF"/>
            <w:u w:val="single"/>
            <w:rtl/>
          </w:rPr>
          <w:t>ת"פ 24215-06-13</w:t>
        </w:r>
      </w:hyperlink>
      <w:r>
        <w:rPr>
          <w:rtl/>
        </w:rPr>
        <w:t xml:space="preserve"> </w:t>
      </w:r>
      <w:r>
        <w:rPr>
          <w:b/>
          <w:bCs/>
          <w:rtl/>
        </w:rPr>
        <w:t xml:space="preserve">מדינת ישראל נ' דוידור </w:t>
      </w:r>
      <w:r>
        <w:rPr>
          <w:rtl/>
        </w:rPr>
        <w:t xml:space="preserve">(17.2.2014) הוטלו 36 חודשי מאסר בפועל בגין הרשעה בסחר בנשק מסוג קרל גוסטב. </w:t>
      </w:r>
    </w:p>
    <w:p w14:paraId="3609E130" w14:textId="77777777" w:rsidR="00D235C2" w:rsidRDefault="00032246">
      <w:pPr>
        <w:spacing w:line="360" w:lineRule="auto"/>
        <w:ind w:left="720"/>
        <w:jc w:val="both"/>
        <w:rPr>
          <w:rtl/>
        </w:rPr>
      </w:pPr>
      <w:r>
        <w:rPr>
          <w:rtl/>
        </w:rPr>
        <w:t>ב</w:t>
      </w:r>
      <w:hyperlink r:id="rId23" w:history="1">
        <w:r w:rsidRPr="00032246">
          <w:rPr>
            <w:color w:val="0000FF"/>
            <w:u w:val="single"/>
            <w:rtl/>
          </w:rPr>
          <w:t>ע"פ 7317/13</w:t>
        </w:r>
      </w:hyperlink>
      <w:r>
        <w:rPr>
          <w:rtl/>
        </w:rPr>
        <w:t xml:space="preserve"> </w:t>
      </w:r>
      <w:r>
        <w:rPr>
          <w:b/>
          <w:bCs/>
          <w:rtl/>
        </w:rPr>
        <w:t xml:space="preserve">חג'אב נ' מדינת ישראל </w:t>
      </w:r>
      <w:r>
        <w:rPr>
          <w:rtl/>
        </w:rPr>
        <w:t xml:space="preserve">(19.5.2014) נדחה ערעור של נאשם שהורשע בעבירות סמים ונשק כאשר בערכאה הדיונית נקבע מתחם ענישה בגין הסחר בנשק של אקדח ברטה ומחסנית בצוותא עם אחר בין 3 עד 5.5 שנות מאסר בפועל. </w:t>
      </w:r>
    </w:p>
    <w:p w14:paraId="3410BE76" w14:textId="77777777" w:rsidR="00D235C2" w:rsidRDefault="00032246">
      <w:pPr>
        <w:spacing w:line="360" w:lineRule="auto"/>
        <w:ind w:left="720"/>
        <w:jc w:val="both"/>
        <w:rPr>
          <w:rtl/>
        </w:rPr>
      </w:pPr>
      <w:r>
        <w:rPr>
          <w:rtl/>
        </w:rPr>
        <w:t>ב</w:t>
      </w:r>
      <w:hyperlink r:id="rId24" w:history="1">
        <w:r w:rsidRPr="00032246">
          <w:rPr>
            <w:color w:val="0000FF"/>
            <w:u w:val="single"/>
            <w:rtl/>
          </w:rPr>
          <w:t>ע"פ 3726/12</w:t>
        </w:r>
      </w:hyperlink>
      <w:r>
        <w:rPr>
          <w:rtl/>
        </w:rPr>
        <w:t xml:space="preserve"> </w:t>
      </w:r>
      <w:r>
        <w:rPr>
          <w:b/>
          <w:bCs/>
          <w:rtl/>
        </w:rPr>
        <w:t xml:space="preserve">זידאן נ' מדינת ישראל </w:t>
      </w:r>
      <w:r>
        <w:rPr>
          <w:rtl/>
        </w:rPr>
        <w:t xml:space="preserve">(7.4.2013) הורשע הנאשם בנשיאה והובלה וסחר בנשק מסוג תת מקלע ונידון ל- 40 חודשי מאסר בפועל. </w:t>
      </w:r>
    </w:p>
    <w:p w14:paraId="01678E69" w14:textId="77777777" w:rsidR="00D235C2" w:rsidRDefault="00D235C2">
      <w:pPr>
        <w:spacing w:line="360" w:lineRule="auto"/>
        <w:ind w:left="720"/>
        <w:jc w:val="both"/>
        <w:rPr>
          <w:sz w:val="20"/>
          <w:szCs w:val="20"/>
          <w:rtl/>
        </w:rPr>
      </w:pPr>
    </w:p>
    <w:p w14:paraId="7CCF07F1" w14:textId="77777777" w:rsidR="00D235C2" w:rsidRDefault="00032246">
      <w:pPr>
        <w:numPr>
          <w:ilvl w:val="0"/>
          <w:numId w:val="1"/>
        </w:numPr>
        <w:spacing w:line="360" w:lineRule="auto"/>
        <w:jc w:val="both"/>
        <w:rPr>
          <w:rtl/>
        </w:rPr>
      </w:pPr>
      <w:r>
        <w:rPr>
          <w:rtl/>
        </w:rPr>
        <w:t xml:space="preserve">המדינה הוסיפה שהעונשים המירביים עומדים על 10 שנים בגין החזקת נשק ותחמושת, 13 שנים בגין הובלת נשק ותחמושת ו- 15 שנים בגין סחר בנשק. </w:t>
      </w:r>
    </w:p>
    <w:p w14:paraId="2D70926D" w14:textId="77777777" w:rsidR="00D235C2" w:rsidRDefault="00D235C2">
      <w:pPr>
        <w:spacing w:line="360" w:lineRule="auto"/>
        <w:jc w:val="both"/>
        <w:rPr>
          <w:rtl/>
        </w:rPr>
      </w:pPr>
    </w:p>
    <w:p w14:paraId="52AE37F0" w14:textId="77777777" w:rsidR="00D235C2" w:rsidRDefault="00032246">
      <w:pPr>
        <w:numPr>
          <w:ilvl w:val="0"/>
          <w:numId w:val="1"/>
        </w:numPr>
        <w:spacing w:line="360" w:lineRule="auto"/>
        <w:jc w:val="both"/>
      </w:pPr>
      <w:r>
        <w:rPr>
          <w:rtl/>
        </w:rPr>
        <w:t xml:space="preserve">נטען שהנאשם ושותפיו התנהלו כ"מי שהחזקה הובלה וסחר בנשק אינם זרים להם". במלים אחרות, כסוחרי נשק, והנאשם אף הגדיל וביצע שתי עסקאות. המדינה הדגישה את פוטנציאל הפגיעה באמצעות נשק. נטען שפוטנציאל הפגיעה גדול אף יותר לאור המצב הבטחוני הבלתי יציב במדינה בימים אלה. נטען שאמנם באישום הראשון הנאשם "פספס את העסקה עצמה" אך נטען שהיה לו חלק משמעותי בה, שכן הוא היה זה שיצר את הקשר עם הסוכן, קבע את המחיר והסיעו לאחר העסקה כאשר הוא תכנן להיות נוכח בביצוע העסקה אך זה נמנע באופן אקראי. </w:t>
      </w:r>
    </w:p>
    <w:p w14:paraId="00A4D1F3" w14:textId="77777777" w:rsidR="00D235C2" w:rsidRDefault="00D235C2">
      <w:pPr>
        <w:spacing w:line="360" w:lineRule="auto"/>
        <w:ind w:left="720"/>
        <w:jc w:val="both"/>
        <w:rPr>
          <w:sz w:val="20"/>
          <w:szCs w:val="20"/>
          <w:rtl/>
        </w:rPr>
      </w:pPr>
    </w:p>
    <w:p w14:paraId="4E170FFF" w14:textId="77777777" w:rsidR="00D235C2" w:rsidRDefault="00032246">
      <w:pPr>
        <w:numPr>
          <w:ilvl w:val="0"/>
          <w:numId w:val="1"/>
        </w:numPr>
        <w:spacing w:line="360" w:lineRule="auto"/>
        <w:jc w:val="both"/>
        <w:rPr>
          <w:rtl/>
        </w:rPr>
      </w:pPr>
      <w:r>
        <w:rPr>
          <w:rtl/>
        </w:rPr>
        <w:t xml:space="preserve">באישום השני נטען שעל אף שהתלווה לעסקה אדם נוסף, מידת חלקו של הנאשם היתה מלאה. צויין עוד שהנאשם עשה רווח בעסקאות ונטען ש"לא מן הנמנע שמצא בפעילות זו את פרנסתו". </w:t>
      </w:r>
    </w:p>
    <w:p w14:paraId="65CD96BB" w14:textId="77777777" w:rsidR="00D235C2" w:rsidRDefault="00D235C2">
      <w:pPr>
        <w:spacing w:line="360" w:lineRule="auto"/>
        <w:jc w:val="both"/>
        <w:rPr>
          <w:rtl/>
        </w:rPr>
      </w:pPr>
    </w:p>
    <w:p w14:paraId="1B1C7B39" w14:textId="77777777" w:rsidR="00D235C2" w:rsidRDefault="00032246">
      <w:pPr>
        <w:numPr>
          <w:ilvl w:val="0"/>
          <w:numId w:val="1"/>
        </w:numPr>
        <w:spacing w:line="360" w:lineRule="auto"/>
        <w:jc w:val="both"/>
        <w:rPr>
          <w:rtl/>
        </w:rPr>
      </w:pPr>
      <w:r>
        <w:rPr>
          <w:rtl/>
        </w:rPr>
        <w:t xml:space="preserve">לאור כך ביקשה המדינה שיוטל קנס כספי לצד כל עונש אחר כאשר התבקש מתחם ענישה שבין 3 עד 5 שנות מאסר בפועל עבור כל אחד מן האישומים. </w:t>
      </w:r>
    </w:p>
    <w:p w14:paraId="2EAFF3C7" w14:textId="77777777" w:rsidR="00D235C2" w:rsidRDefault="00D235C2">
      <w:pPr>
        <w:spacing w:line="360" w:lineRule="auto"/>
        <w:jc w:val="both"/>
        <w:rPr>
          <w:rtl/>
        </w:rPr>
      </w:pPr>
    </w:p>
    <w:p w14:paraId="2F27EA5E" w14:textId="77777777" w:rsidR="00D235C2" w:rsidRDefault="00032246">
      <w:pPr>
        <w:numPr>
          <w:ilvl w:val="0"/>
          <w:numId w:val="1"/>
        </w:numPr>
        <w:spacing w:line="360" w:lineRule="auto"/>
        <w:jc w:val="both"/>
        <w:rPr>
          <w:rtl/>
        </w:rPr>
      </w:pPr>
      <w:r>
        <w:rPr>
          <w:rtl/>
        </w:rPr>
        <w:t>באשר לקביעת העונש בתוך המתחם צויין שלזכות הנאשם הודאתו טרם שמיעת הראיות ולחובתו הוזכר העבר הפלילי לפיו נטען שמדובר בעבריין סדרתי שלא נרתע מחזרה על הפרת החוק. לפיכך, ביקשה המדינה לגזור עונש במחצית העליון של כל אחד מן המתחמים</w:t>
      </w:r>
      <w:r>
        <w:rPr>
          <w:rFonts w:hint="cs"/>
          <w:rtl/>
        </w:rPr>
        <w:t>,</w:t>
      </w:r>
      <w:r>
        <w:rPr>
          <w:rtl/>
        </w:rPr>
        <w:t xml:space="preserve"> לצבור את העונשים יחד ולהטיל מאסר מותנה וכן קנס כספי. </w:t>
      </w:r>
    </w:p>
    <w:p w14:paraId="2956E028" w14:textId="77777777" w:rsidR="00D235C2" w:rsidRDefault="00D235C2">
      <w:pPr>
        <w:spacing w:line="360" w:lineRule="auto"/>
        <w:jc w:val="both"/>
        <w:rPr>
          <w:rtl/>
        </w:rPr>
      </w:pPr>
    </w:p>
    <w:p w14:paraId="04E2275E" w14:textId="77777777" w:rsidR="00D235C2" w:rsidRDefault="00D235C2">
      <w:pPr>
        <w:spacing w:line="360" w:lineRule="auto"/>
        <w:ind w:left="360"/>
        <w:jc w:val="both"/>
        <w:rPr>
          <w:b/>
          <w:bCs/>
          <w:u w:val="single"/>
          <w:rtl/>
        </w:rPr>
      </w:pPr>
    </w:p>
    <w:p w14:paraId="730CE38A" w14:textId="77777777" w:rsidR="00D235C2" w:rsidRDefault="00D235C2">
      <w:pPr>
        <w:spacing w:line="360" w:lineRule="auto"/>
        <w:ind w:left="360"/>
        <w:jc w:val="both"/>
        <w:rPr>
          <w:b/>
          <w:bCs/>
          <w:u w:val="single"/>
          <w:rtl/>
        </w:rPr>
      </w:pPr>
    </w:p>
    <w:p w14:paraId="50820D48" w14:textId="77777777" w:rsidR="00D235C2" w:rsidRDefault="00032246">
      <w:pPr>
        <w:spacing w:line="360" w:lineRule="auto"/>
        <w:ind w:left="360"/>
        <w:jc w:val="both"/>
        <w:rPr>
          <w:rtl/>
        </w:rPr>
      </w:pPr>
      <w:r>
        <w:rPr>
          <w:b/>
          <w:bCs/>
          <w:u w:val="single"/>
          <w:rtl/>
        </w:rPr>
        <w:t>טיעוני ב"כ הנאשם לעונש</w:t>
      </w:r>
    </w:p>
    <w:p w14:paraId="28446F94" w14:textId="77777777" w:rsidR="00D235C2" w:rsidRDefault="00D235C2">
      <w:pPr>
        <w:spacing w:line="360" w:lineRule="auto"/>
        <w:jc w:val="both"/>
        <w:rPr>
          <w:rtl/>
        </w:rPr>
      </w:pPr>
    </w:p>
    <w:p w14:paraId="6479543C" w14:textId="77777777" w:rsidR="00D235C2" w:rsidRDefault="00032246">
      <w:pPr>
        <w:numPr>
          <w:ilvl w:val="0"/>
          <w:numId w:val="1"/>
        </w:numPr>
        <w:spacing w:line="360" w:lineRule="auto"/>
        <w:jc w:val="both"/>
        <w:rPr>
          <w:rtl/>
        </w:rPr>
      </w:pPr>
      <w:r>
        <w:rPr>
          <w:rtl/>
        </w:rPr>
        <w:t>ביחס לשאלה אם מדובר בריבוי אישומים או אירוע אחד, נטען שעניינם של שני האישומים זהה – מכירת כלי נשק כאשר שתי המכירות בוצעו מול אותו סוכן בהפרש של 22 ימים זו מזו. כך נטען שניתן להגדירן כמעשה עברייני אחד, דהיינו מסכת אירועים רצופה, תכנית אחת מלוכדת ורציפה בה היה הנאשם "שרוי באותו מצב נפשי" וכי יש להגדיר את מסכת האירועים כאירוע אחד. הסניגור הפנה למקרה אחר בו בוצעו שתי עבירות נשק, במקרה אחד תיווך ובמקרה שני עסקה, מול אותו סוכן משטרתי כאשר שם נקבע מתחם עונש אחד לשני האישומים (</w:t>
      </w:r>
      <w:hyperlink r:id="rId25" w:history="1">
        <w:r w:rsidRPr="00032246">
          <w:rPr>
            <w:color w:val="0000FF"/>
            <w:u w:val="single"/>
            <w:rtl/>
          </w:rPr>
          <w:t>ת"פ 40256-11-14</w:t>
        </w:r>
      </w:hyperlink>
      <w:r>
        <w:rPr>
          <w:rtl/>
        </w:rPr>
        <w:t xml:space="preserve"> </w:t>
      </w:r>
      <w:r>
        <w:rPr>
          <w:b/>
          <w:bCs/>
          <w:rtl/>
        </w:rPr>
        <w:t xml:space="preserve">מדינת ישראל נ' עבדאללה יגמור </w:t>
      </w:r>
      <w:r>
        <w:rPr>
          <w:rtl/>
        </w:rPr>
        <w:t xml:space="preserve">(25.2.2016)). יחד עם זאת צויין שגם אם יקבע שמדובר בשני אירועים, יש מקום לקבוע מתחם עונש כולל. נטען שבקביעת מתחם הענישה ההולם יש להתחשב בערכים החברתיים שנפגעו, במדיניות הענישה הנהוגה ובנסיבות הקשורות לביצוע העבירה. בעניינו של הנאשם נטען שחלקו היה קטן מזה של תאמיר ובין היתר שהפגישות היו בביתו של תאמיר, הנשק לא היה בידי הנאשם והוא לא נכח פיסית בשעת ביצוע העסקה. נטען שחלקו היה כמתווך בלבד שלקח חלק משני בעסקה ועבירת ההובלה מתייחסת אך להסעת הסוכן מחוץ לעוספיא לאחר השלמת העסקה. ביחס לאישום השני נטען שאמנם הנאשם פעל לבדו מול הסוכן אך מאידך, מדובר בנשק מאולתר שנמכר במחיר נמוך יחסית ונטען עוד שיעודו של רובה ציד הינו לצוד חיות ולא לבצע הרג בבני אדם וכי דבר זה מתחדד כיוון שמדובר עוד בנשק מאולתר. נטען שפוטנציאל הנזק היה נמוך יותר מאשר נשק חם אחר. </w:t>
      </w:r>
    </w:p>
    <w:p w14:paraId="1DA168FA" w14:textId="77777777" w:rsidR="00D235C2" w:rsidRDefault="00D235C2">
      <w:pPr>
        <w:spacing w:line="360" w:lineRule="auto"/>
        <w:jc w:val="both"/>
        <w:rPr>
          <w:sz w:val="20"/>
          <w:szCs w:val="20"/>
          <w:rtl/>
        </w:rPr>
      </w:pPr>
    </w:p>
    <w:p w14:paraId="5444F6DE" w14:textId="77777777" w:rsidR="00D235C2" w:rsidRDefault="00032246">
      <w:pPr>
        <w:numPr>
          <w:ilvl w:val="0"/>
          <w:numId w:val="1"/>
        </w:numPr>
        <w:spacing w:line="360" w:lineRule="auto"/>
        <w:jc w:val="both"/>
        <w:rPr>
          <w:rtl/>
        </w:rPr>
      </w:pPr>
      <w:r>
        <w:rPr>
          <w:rtl/>
        </w:rPr>
        <w:t xml:space="preserve">ביחס לרמת הענישה אוזכרה הפסיקה הבאה: </w:t>
      </w:r>
      <w:hyperlink r:id="rId26" w:history="1">
        <w:r w:rsidRPr="00032246">
          <w:rPr>
            <w:color w:val="0000FF"/>
            <w:u w:val="single"/>
            <w:rtl/>
          </w:rPr>
          <w:t>ת"פ 17707-04-14</w:t>
        </w:r>
      </w:hyperlink>
      <w:r>
        <w:rPr>
          <w:rtl/>
        </w:rPr>
        <w:t xml:space="preserve"> </w:t>
      </w:r>
      <w:r>
        <w:rPr>
          <w:b/>
          <w:bCs/>
          <w:rtl/>
        </w:rPr>
        <w:t xml:space="preserve">מדינת ישראל נ' פואקה </w:t>
      </w:r>
      <w:r>
        <w:rPr>
          <w:rtl/>
        </w:rPr>
        <w:t>(7.12.2014)</w:t>
      </w:r>
      <w:r>
        <w:rPr>
          <w:b/>
          <w:bCs/>
          <w:rtl/>
        </w:rPr>
        <w:t xml:space="preserve"> </w:t>
      </w:r>
      <w:r>
        <w:rPr>
          <w:rtl/>
        </w:rPr>
        <w:t>שם נקבע מתחם ענישה שבין 18 – 36 חודשי מאסר בגין מכירת אקדח</w:t>
      </w:r>
      <w:r>
        <w:rPr>
          <w:rFonts w:hint="cs"/>
          <w:rtl/>
        </w:rPr>
        <w:t>,</w:t>
      </w:r>
      <w:r>
        <w:rPr>
          <w:rtl/>
        </w:rPr>
        <w:t xml:space="preserve"> מחסנית וכדורים לסוכן משטרתי ונגזרו 20 חודשי מאסר מתוך התחשבות בגילו הצעיר של הנאשם, העדר עבר פלילי</w:t>
      </w:r>
      <w:r>
        <w:rPr>
          <w:rFonts w:hint="cs"/>
          <w:rtl/>
        </w:rPr>
        <w:t>,</w:t>
      </w:r>
      <w:r>
        <w:rPr>
          <w:rtl/>
        </w:rPr>
        <w:t xml:space="preserve"> שיתוף פעולה עם הרשויות</w:t>
      </w:r>
      <w:r>
        <w:rPr>
          <w:rFonts w:hint="cs"/>
          <w:rtl/>
        </w:rPr>
        <w:t>,</w:t>
      </w:r>
      <w:r>
        <w:rPr>
          <w:rtl/>
        </w:rPr>
        <w:t xml:space="preserve"> הודאה מוקדמת וחרטה ועוד נסיבות אישיות (נגזר עונש נוסף בגין מכירת 2 תת מקלע באותו מקרה).</w:t>
      </w:r>
    </w:p>
    <w:p w14:paraId="74BF7764" w14:textId="77777777" w:rsidR="00D235C2" w:rsidRDefault="00032246">
      <w:pPr>
        <w:spacing w:line="360" w:lineRule="auto"/>
        <w:ind w:left="720"/>
        <w:jc w:val="both"/>
        <w:rPr>
          <w:rtl/>
        </w:rPr>
      </w:pPr>
      <w:r>
        <w:rPr>
          <w:rtl/>
        </w:rPr>
        <w:t>ב</w:t>
      </w:r>
      <w:hyperlink r:id="rId27" w:history="1">
        <w:r w:rsidRPr="00032246">
          <w:rPr>
            <w:color w:val="0000FF"/>
            <w:u w:val="single"/>
            <w:rtl/>
          </w:rPr>
          <w:t>ע"פ 526/14</w:t>
        </w:r>
      </w:hyperlink>
      <w:r>
        <w:rPr>
          <w:rtl/>
        </w:rPr>
        <w:t xml:space="preserve"> </w:t>
      </w:r>
      <w:r>
        <w:rPr>
          <w:b/>
          <w:bCs/>
          <w:rtl/>
        </w:rPr>
        <w:t xml:space="preserve">פלוני נ' מדינת ישראל </w:t>
      </w:r>
      <w:r>
        <w:rPr>
          <w:rtl/>
        </w:rPr>
        <w:t xml:space="preserve">(12.3.2014) שם הערכאה הדיונית קבע מתחם שבין 18 – 36 חודשי מאסר בגין מכירת אקדח יריחו עם מחסנית תמורת 14,000 ₪ לסוכן. בערעור נקבע כי העונש אינו חורג מרף הענישה המקובל אך בערעור נקבע שקיימת הצדקה לסטות מהעונש שהוטל (22 חודשי מאסר בפועל) מטעמי פוטנציאל שיקום וכך הופחת העונש ל- 16 חודשי מאסר בפועל וזאת חרף שימוש וסחר בסמים. </w:t>
      </w:r>
    </w:p>
    <w:p w14:paraId="705421E0" w14:textId="77777777" w:rsidR="00D235C2" w:rsidRDefault="00032246">
      <w:pPr>
        <w:spacing w:line="360" w:lineRule="auto"/>
        <w:ind w:left="720"/>
        <w:jc w:val="both"/>
        <w:rPr>
          <w:rtl/>
        </w:rPr>
      </w:pPr>
      <w:r>
        <w:rPr>
          <w:rtl/>
        </w:rPr>
        <w:t>ב</w:t>
      </w:r>
      <w:hyperlink r:id="rId28" w:history="1">
        <w:r w:rsidRPr="00032246">
          <w:rPr>
            <w:color w:val="0000FF"/>
            <w:u w:val="single"/>
            <w:rtl/>
          </w:rPr>
          <w:t>ע"פ 5833/07</w:t>
        </w:r>
      </w:hyperlink>
      <w:r>
        <w:rPr>
          <w:rtl/>
        </w:rPr>
        <w:t xml:space="preserve"> </w:t>
      </w:r>
      <w:r>
        <w:rPr>
          <w:b/>
          <w:bCs/>
          <w:rtl/>
        </w:rPr>
        <w:t xml:space="preserve">עלאא חורי נ' מדינת ישראל </w:t>
      </w:r>
      <w:r>
        <w:rPr>
          <w:rtl/>
        </w:rPr>
        <w:t xml:space="preserve">(18.11.2007) נדחה ערעור של נאשם על חומרת עונשו שהוטל בגידרו נגזרו 21 חודשי מאסר בפועל בגין מכירת אקדח לסוכן משטרתי והחזקת סכין. </w:t>
      </w:r>
    </w:p>
    <w:p w14:paraId="66A4739A" w14:textId="77777777" w:rsidR="00D235C2" w:rsidRDefault="00032246">
      <w:pPr>
        <w:spacing w:line="360" w:lineRule="auto"/>
        <w:ind w:left="720"/>
        <w:jc w:val="both"/>
        <w:rPr>
          <w:rtl/>
        </w:rPr>
      </w:pPr>
      <w:r>
        <w:rPr>
          <w:rtl/>
        </w:rPr>
        <w:t>ב</w:t>
      </w:r>
      <w:hyperlink r:id="rId29" w:history="1">
        <w:r w:rsidRPr="00032246">
          <w:rPr>
            <w:color w:val="0000FF"/>
            <w:u w:val="single"/>
            <w:rtl/>
          </w:rPr>
          <w:t>ע"פ 5955/08</w:t>
        </w:r>
      </w:hyperlink>
      <w:r>
        <w:rPr>
          <w:rtl/>
        </w:rPr>
        <w:t xml:space="preserve"> </w:t>
      </w:r>
      <w:r>
        <w:rPr>
          <w:b/>
          <w:bCs/>
          <w:rtl/>
        </w:rPr>
        <w:t xml:space="preserve">וג'די דג'אישה נ' מדינת ישראל </w:t>
      </w:r>
      <w:r>
        <w:rPr>
          <w:rtl/>
        </w:rPr>
        <w:t xml:space="preserve">(23.10.2008) נדחה ערעור על חומרת עונש של 8 חודשי מאסר בפועל בגין מכירת רימון רסס (הסניגור טען שבמקרה דנן רימון רסס מסוכן יותר מאשר רובה ציד מאולתר). בעניין זה יצויין שאיני מסכים עם הסניגור כיוון שמדובר בנשק לשימוש רב פעמי לעומת נשק לשימוש חד פעמי. </w:t>
      </w:r>
    </w:p>
    <w:p w14:paraId="4DF3C412" w14:textId="77777777" w:rsidR="00D235C2" w:rsidRDefault="00D235C2">
      <w:pPr>
        <w:spacing w:line="360" w:lineRule="auto"/>
        <w:jc w:val="both"/>
        <w:rPr>
          <w:sz w:val="18"/>
          <w:szCs w:val="18"/>
          <w:rtl/>
        </w:rPr>
      </w:pPr>
    </w:p>
    <w:p w14:paraId="1BB5BA50" w14:textId="77777777" w:rsidR="00D235C2" w:rsidRDefault="00032246">
      <w:pPr>
        <w:numPr>
          <w:ilvl w:val="0"/>
          <w:numId w:val="1"/>
        </w:numPr>
        <w:spacing w:line="360" w:lineRule="auto"/>
        <w:jc w:val="both"/>
      </w:pPr>
      <w:r>
        <w:rPr>
          <w:rtl/>
        </w:rPr>
        <w:t xml:space="preserve">באשר לנסיבותיו של הנאשם נטען שניתנה הודאה מוקדמת המבטאת חרטה והנאשם שיתף פועלה עם רשויות החקירה. נטען שעברו הפלילי אינו מכביד ומדובר בעבירות שהתיישנו כך שאין מקום לזקוף לחובתו עבר פלילי. הוזכר שעל השותף ווליד נגזרו 6 חודשי מאסר לריצוי בעבודות שירות במסגרת הסדר טיעון ויש להפעיל את עקרון אחידות הענישה. </w:t>
      </w:r>
    </w:p>
    <w:p w14:paraId="25B94563" w14:textId="77777777" w:rsidR="00D235C2" w:rsidRDefault="00D235C2">
      <w:pPr>
        <w:spacing w:line="360" w:lineRule="auto"/>
        <w:ind w:left="720"/>
        <w:jc w:val="both"/>
        <w:rPr>
          <w:rtl/>
        </w:rPr>
      </w:pPr>
    </w:p>
    <w:p w14:paraId="4FA7B4E4" w14:textId="77777777" w:rsidR="00D235C2" w:rsidRDefault="00032246">
      <w:pPr>
        <w:numPr>
          <w:ilvl w:val="0"/>
          <w:numId w:val="1"/>
        </w:numPr>
        <w:spacing w:line="360" w:lineRule="auto"/>
        <w:jc w:val="both"/>
        <w:rPr>
          <w:rtl/>
        </w:rPr>
      </w:pPr>
      <w:r>
        <w:rPr>
          <w:rtl/>
        </w:rPr>
        <w:t xml:space="preserve">בסיכום, טען הסניגור שיש לקבוע מתחם ענישה כולל שבין 20 עד 40 חודשי מאסר בפועל או במידה ויקבעו שני מתחמים האחד בין 16 עד36 חודשי מאסר והשני 5 – 18 חודשי מאסר בפועל. </w:t>
      </w:r>
    </w:p>
    <w:p w14:paraId="6FD36511" w14:textId="77777777" w:rsidR="00D235C2" w:rsidRDefault="00D235C2">
      <w:pPr>
        <w:spacing w:line="360" w:lineRule="auto"/>
        <w:jc w:val="both"/>
        <w:rPr>
          <w:sz w:val="18"/>
          <w:szCs w:val="18"/>
          <w:rtl/>
        </w:rPr>
      </w:pPr>
    </w:p>
    <w:p w14:paraId="1BD94001" w14:textId="77777777" w:rsidR="00D235C2" w:rsidRDefault="00032246">
      <w:pPr>
        <w:spacing w:line="360" w:lineRule="auto"/>
        <w:ind w:left="360"/>
        <w:jc w:val="both"/>
        <w:rPr>
          <w:rtl/>
        </w:rPr>
      </w:pPr>
      <w:r>
        <w:rPr>
          <w:b/>
          <w:bCs/>
          <w:u w:val="single"/>
          <w:rtl/>
        </w:rPr>
        <w:t>דיון</w:t>
      </w:r>
    </w:p>
    <w:p w14:paraId="78791F88" w14:textId="77777777" w:rsidR="00D235C2" w:rsidRDefault="00D235C2">
      <w:pPr>
        <w:spacing w:line="360" w:lineRule="auto"/>
        <w:jc w:val="both"/>
        <w:rPr>
          <w:sz w:val="18"/>
          <w:szCs w:val="18"/>
          <w:rtl/>
        </w:rPr>
      </w:pPr>
    </w:p>
    <w:p w14:paraId="59BB94F3" w14:textId="77777777" w:rsidR="00D235C2" w:rsidRDefault="00032246">
      <w:pPr>
        <w:numPr>
          <w:ilvl w:val="0"/>
          <w:numId w:val="1"/>
        </w:numPr>
        <w:spacing w:line="360" w:lineRule="auto"/>
        <w:jc w:val="both"/>
        <w:rPr>
          <w:rtl/>
        </w:rPr>
      </w:pPr>
      <w:r>
        <w:rPr>
          <w:rtl/>
        </w:rPr>
        <w:t xml:space="preserve">בשאלה אם מדובר באירוע אחד או שניים, הנני מקבל את עמדת המדינה כי מדובר בשני אירועים נפרדים כיוון שהאירועים בוצעו במועדים שונים, תואמו בנפרד, בוצעו במקומות שונים ומדובר בעסקאות עצמאיות ללא רצף ונמכרו סוגי נשק שונים. על פי מבחן עובדתי צורני פשוט לא נמצא חוט מקשר משמעותי בין שני האישומים. אין ראיה לכך שהנאשם היה שרוי באותו מצב נפשי רצוף במשך כל אותה תקופה וגם אם כך, אין בכך כדי להיטיב עם מצבו שהרי מדובר בעבריינות מושרשת. </w:t>
      </w:r>
    </w:p>
    <w:p w14:paraId="0C4E0187" w14:textId="77777777" w:rsidR="00D235C2" w:rsidRDefault="00D235C2">
      <w:pPr>
        <w:spacing w:line="360" w:lineRule="auto"/>
        <w:jc w:val="both"/>
        <w:rPr>
          <w:rtl/>
        </w:rPr>
      </w:pPr>
    </w:p>
    <w:p w14:paraId="279D43F4" w14:textId="77777777" w:rsidR="00D235C2" w:rsidRDefault="00032246">
      <w:pPr>
        <w:numPr>
          <w:ilvl w:val="0"/>
          <w:numId w:val="1"/>
        </w:numPr>
        <w:spacing w:line="360" w:lineRule="auto"/>
        <w:jc w:val="both"/>
        <w:rPr>
          <w:rtl/>
        </w:rPr>
      </w:pPr>
      <w:r>
        <w:rPr>
          <w:rtl/>
        </w:rPr>
        <w:t xml:space="preserve">הערכים החברתיים שנפגעו הם שמירה על שלום הציבור וחייו כאשר הפצת נשק מהווה סיכון משמעותי לשמירה על הסדר החברתי ואפשרות להורדת רף האלימות בחברה. המצאות נשק מגבירה את הסיכון של שימוש בנשק מעצימה אירועים אלימים למימדים קטלניים, בין אם מדובר באירועים פליליים או אירועים חבלניים. </w:t>
      </w:r>
    </w:p>
    <w:p w14:paraId="5744AC0D" w14:textId="77777777" w:rsidR="00D235C2" w:rsidRDefault="00D235C2">
      <w:pPr>
        <w:spacing w:line="360" w:lineRule="auto"/>
        <w:jc w:val="both"/>
        <w:rPr>
          <w:rtl/>
        </w:rPr>
      </w:pPr>
    </w:p>
    <w:p w14:paraId="00894259" w14:textId="77777777" w:rsidR="00D235C2" w:rsidRDefault="00032246">
      <w:pPr>
        <w:numPr>
          <w:ilvl w:val="0"/>
          <w:numId w:val="1"/>
        </w:numPr>
        <w:spacing w:line="360" w:lineRule="auto"/>
        <w:jc w:val="both"/>
        <w:rPr>
          <w:rtl/>
        </w:rPr>
      </w:pPr>
      <w:r>
        <w:rPr>
          <w:rtl/>
        </w:rPr>
        <w:t xml:space="preserve">מבחינת הנסיבות הקשורות בביצוע העבירות, בשני האישומים היה מדובר בתכנון מוקדם, כאשר חלקו של הנאשם הוא מהותי: באירוע הראשון הוא אכן מילא תפקיד של מתווך וגם לקח חלק בביצוע העבירות למרות שלא נכח פיסית במקום מתוך מעין תקלה מקרית. באישום השני, הוא נטל את התפקיד המרכזי. </w:t>
      </w:r>
    </w:p>
    <w:p w14:paraId="2CC2F8B8" w14:textId="77777777" w:rsidR="00D235C2" w:rsidRDefault="00D235C2">
      <w:pPr>
        <w:spacing w:line="360" w:lineRule="auto"/>
        <w:jc w:val="both"/>
        <w:rPr>
          <w:rtl/>
        </w:rPr>
      </w:pPr>
    </w:p>
    <w:p w14:paraId="4ECC8103" w14:textId="77777777" w:rsidR="00D235C2" w:rsidRDefault="00032246">
      <w:pPr>
        <w:numPr>
          <w:ilvl w:val="0"/>
          <w:numId w:val="1"/>
        </w:numPr>
        <w:spacing w:line="360" w:lineRule="auto"/>
        <w:jc w:val="both"/>
      </w:pPr>
      <w:r>
        <w:rPr>
          <w:rtl/>
        </w:rPr>
        <w:t xml:space="preserve">הנזק שהיה צפוי להגרם מביצוע העבירות פורט לעיל. הסיבות שהביאו את הנאשם לבצע את העבירות פסולות ויתר על כן, רצף האישומים והתנהגות הנאשם כפי שתואר בכתב האישום מעלים יותר מחשד כי מדובר באדם שהסחר בנשק אינו זר לו. מובן כי הוא יכל להבין את הפסול במעשיו ולהמנע מביצוע העבירות. </w:t>
      </w:r>
    </w:p>
    <w:p w14:paraId="167E3116" w14:textId="77777777" w:rsidR="00D235C2" w:rsidRDefault="00D235C2">
      <w:pPr>
        <w:spacing w:line="360" w:lineRule="auto"/>
        <w:ind w:left="720"/>
        <w:jc w:val="both"/>
        <w:rPr>
          <w:sz w:val="22"/>
          <w:szCs w:val="22"/>
          <w:rtl/>
        </w:rPr>
      </w:pPr>
    </w:p>
    <w:p w14:paraId="022DE4D3" w14:textId="77777777" w:rsidR="00D235C2" w:rsidRDefault="00032246">
      <w:pPr>
        <w:numPr>
          <w:ilvl w:val="0"/>
          <w:numId w:val="1"/>
        </w:numPr>
        <w:spacing w:line="360" w:lineRule="auto"/>
        <w:jc w:val="both"/>
        <w:rPr>
          <w:rtl/>
        </w:rPr>
      </w:pPr>
      <w:r>
        <w:rPr>
          <w:rtl/>
        </w:rPr>
        <w:t xml:space="preserve">בהתאם למדיניות הענישה הנהוגה, אין מקום לקבוע מתחם שונה לגבי כל אחד מן האישומים כאשר הדמיון ביניהם גדול יותר מאשר השוני ובעניין זה איני מקבל את טענת הסניגור באשר לכך שרובה הציד היווה סיכון פחות מהאקדח. </w:t>
      </w:r>
    </w:p>
    <w:p w14:paraId="35B01F3C" w14:textId="77777777" w:rsidR="00D235C2" w:rsidRDefault="00D235C2">
      <w:pPr>
        <w:spacing w:line="360" w:lineRule="auto"/>
        <w:jc w:val="both"/>
        <w:rPr>
          <w:sz w:val="18"/>
          <w:szCs w:val="18"/>
          <w:u w:val="single"/>
          <w:rtl/>
        </w:rPr>
      </w:pPr>
    </w:p>
    <w:p w14:paraId="40AB1D90" w14:textId="77777777" w:rsidR="00D235C2" w:rsidRDefault="00032246">
      <w:pPr>
        <w:numPr>
          <w:ilvl w:val="0"/>
          <w:numId w:val="1"/>
        </w:numPr>
        <w:spacing w:line="360" w:lineRule="auto"/>
        <w:jc w:val="both"/>
        <w:rPr>
          <w:rtl/>
        </w:rPr>
      </w:pPr>
      <w:r>
        <w:rPr>
          <w:rtl/>
        </w:rPr>
        <w:t xml:space="preserve">מתחם הענישה ההולם נמצא בין 2 עד 5 שנות מאסר בגין </w:t>
      </w:r>
      <w:r>
        <w:rPr>
          <w:u w:val="single"/>
          <w:rtl/>
        </w:rPr>
        <w:t>כל אחד</w:t>
      </w:r>
      <w:r>
        <w:rPr>
          <w:rtl/>
        </w:rPr>
        <w:t xml:space="preserve"> מן האישומים. </w:t>
      </w:r>
    </w:p>
    <w:p w14:paraId="7F99E2D8" w14:textId="77777777" w:rsidR="00D235C2" w:rsidRDefault="00D235C2">
      <w:pPr>
        <w:spacing w:line="360" w:lineRule="auto"/>
        <w:jc w:val="both"/>
        <w:rPr>
          <w:sz w:val="18"/>
          <w:szCs w:val="18"/>
          <w:rtl/>
        </w:rPr>
      </w:pPr>
    </w:p>
    <w:p w14:paraId="4DA067E3" w14:textId="77777777" w:rsidR="00D235C2" w:rsidRDefault="00032246">
      <w:pPr>
        <w:numPr>
          <w:ilvl w:val="0"/>
          <w:numId w:val="1"/>
        </w:numPr>
        <w:spacing w:line="360" w:lineRule="auto"/>
        <w:jc w:val="both"/>
        <w:rPr>
          <w:rtl/>
        </w:rPr>
      </w:pPr>
      <w:r>
        <w:rPr>
          <w:rtl/>
        </w:rPr>
        <w:t xml:space="preserve">לזכותו של הנאשם הודאתו המוקדמת והחסכון בזמן ונראה שאכן כל מאסר יפגע גם במשפחתו. כמו כן עברו הפלילי אינו מכביד ונמצא שהוא גם התיישן. יוער כי לולא ההודאה המוקדמת וקבלת האחריות שהיא מבטאת, היה מקום להחמיר עוד יותר  בענישה. </w:t>
      </w:r>
    </w:p>
    <w:p w14:paraId="1DBE4D34" w14:textId="77777777" w:rsidR="00D235C2" w:rsidRDefault="00D235C2">
      <w:pPr>
        <w:spacing w:line="360" w:lineRule="auto"/>
        <w:jc w:val="both"/>
        <w:rPr>
          <w:sz w:val="18"/>
          <w:szCs w:val="18"/>
          <w:rtl/>
        </w:rPr>
      </w:pPr>
    </w:p>
    <w:p w14:paraId="28A48049" w14:textId="77777777" w:rsidR="00D235C2" w:rsidRDefault="00032246">
      <w:pPr>
        <w:numPr>
          <w:ilvl w:val="0"/>
          <w:numId w:val="1"/>
        </w:numPr>
        <w:spacing w:line="360" w:lineRule="auto"/>
        <w:jc w:val="both"/>
        <w:rPr>
          <w:rtl/>
        </w:rPr>
      </w:pPr>
      <w:r>
        <w:rPr>
          <w:rtl/>
        </w:rPr>
        <w:t xml:space="preserve">בהתאם </w:t>
      </w:r>
      <w:hyperlink r:id="rId30" w:history="1">
        <w:r w:rsidR="00405EC3" w:rsidRPr="00405EC3">
          <w:rPr>
            <w:rStyle w:val="Hyperlink"/>
            <w:rtl/>
          </w:rPr>
          <w:t>לסעיף 40יג(ב)</w:t>
        </w:r>
      </w:hyperlink>
      <w:r>
        <w:rPr>
          <w:rtl/>
        </w:rPr>
        <w:t xml:space="preserve"> סיפא לחוק נראה לי שיש מקום לקבוע עונש כולל לכל האירועים. </w:t>
      </w:r>
    </w:p>
    <w:p w14:paraId="49DA336E" w14:textId="77777777" w:rsidR="00D235C2" w:rsidRDefault="00D235C2">
      <w:pPr>
        <w:spacing w:line="360" w:lineRule="auto"/>
        <w:jc w:val="both"/>
        <w:rPr>
          <w:sz w:val="18"/>
          <w:szCs w:val="18"/>
          <w:rtl/>
        </w:rPr>
      </w:pPr>
    </w:p>
    <w:p w14:paraId="52F3E4AB" w14:textId="77777777" w:rsidR="00D235C2" w:rsidRDefault="00032246">
      <w:pPr>
        <w:numPr>
          <w:ilvl w:val="0"/>
          <w:numId w:val="1"/>
        </w:numPr>
        <w:spacing w:line="360" w:lineRule="auto"/>
        <w:jc w:val="both"/>
        <w:rPr>
          <w:rtl/>
        </w:rPr>
      </w:pPr>
      <w:r>
        <w:rPr>
          <w:rtl/>
        </w:rPr>
        <w:t xml:space="preserve">מכל האמור הנני מטיל על הנאשם עונשים כדלקמן: </w:t>
      </w:r>
    </w:p>
    <w:p w14:paraId="71984890" w14:textId="77777777" w:rsidR="00D235C2" w:rsidRDefault="00032246">
      <w:pPr>
        <w:numPr>
          <w:ilvl w:val="0"/>
          <w:numId w:val="2"/>
        </w:numPr>
        <w:spacing w:line="360" w:lineRule="auto"/>
        <w:jc w:val="both"/>
        <w:rPr>
          <w:rtl/>
        </w:rPr>
      </w:pPr>
      <w:r>
        <w:rPr>
          <w:rtl/>
        </w:rPr>
        <w:t xml:space="preserve">45 חודשי מאסר בפועל בניכוי תקופת מעצרו החל מיום 2.11.15. </w:t>
      </w:r>
    </w:p>
    <w:p w14:paraId="7A24B159" w14:textId="77777777" w:rsidR="00D235C2" w:rsidRDefault="00032246">
      <w:pPr>
        <w:numPr>
          <w:ilvl w:val="0"/>
          <w:numId w:val="2"/>
        </w:numPr>
        <w:spacing w:line="360" w:lineRule="auto"/>
        <w:jc w:val="both"/>
        <w:rPr>
          <w:rtl/>
        </w:rPr>
      </w:pPr>
      <w:r>
        <w:rPr>
          <w:rtl/>
        </w:rPr>
        <w:t xml:space="preserve">12 חודשי מאסר על תנאי למשך 3 שנים מיום שחרורו שיופעל במידה והנאשם יעבור עבירת נשק מסוג פשע. </w:t>
      </w:r>
    </w:p>
    <w:p w14:paraId="6CB4990B" w14:textId="77777777" w:rsidR="00D235C2" w:rsidRDefault="00032246">
      <w:pPr>
        <w:numPr>
          <w:ilvl w:val="0"/>
          <w:numId w:val="2"/>
        </w:numPr>
        <w:spacing w:line="360" w:lineRule="auto"/>
        <w:jc w:val="both"/>
        <w:rPr>
          <w:rtl/>
        </w:rPr>
      </w:pPr>
      <w:r>
        <w:rPr>
          <w:rtl/>
        </w:rPr>
        <w:t xml:space="preserve">קנס בסך 18,000 ₪ לתשלום עד ליום 31.12.16. </w:t>
      </w:r>
    </w:p>
    <w:p w14:paraId="6760229F" w14:textId="77777777" w:rsidR="00D235C2" w:rsidRDefault="00D235C2">
      <w:pPr>
        <w:spacing w:line="360" w:lineRule="auto"/>
        <w:jc w:val="both"/>
        <w:rPr>
          <w:sz w:val="18"/>
          <w:szCs w:val="18"/>
          <w:rtl/>
        </w:rPr>
      </w:pPr>
    </w:p>
    <w:p w14:paraId="6E1D0FB1" w14:textId="77777777" w:rsidR="00D235C2" w:rsidRDefault="00032246">
      <w:pPr>
        <w:spacing w:line="360" w:lineRule="auto"/>
        <w:jc w:val="both"/>
        <w:rPr>
          <w:b/>
          <w:bCs/>
          <w:u w:val="single"/>
          <w:rtl/>
        </w:rPr>
      </w:pPr>
      <w:r>
        <w:rPr>
          <w:rFonts w:hint="cs"/>
          <w:b/>
          <w:bCs/>
          <w:u w:val="single"/>
          <w:rtl/>
        </w:rPr>
        <w:t xml:space="preserve">זכות ערעור תוך 45 ימים. </w:t>
      </w:r>
    </w:p>
    <w:p w14:paraId="6BEFE2A6" w14:textId="77777777" w:rsidR="00D235C2" w:rsidRDefault="00D235C2">
      <w:pPr>
        <w:rPr>
          <w:sz w:val="16"/>
          <w:szCs w:val="16"/>
          <w:rtl/>
        </w:rPr>
      </w:pPr>
    </w:p>
    <w:p w14:paraId="6CD6E321" w14:textId="77777777" w:rsidR="00D235C2" w:rsidRDefault="00D235C2">
      <w:pPr>
        <w:rPr>
          <w:sz w:val="20"/>
          <w:szCs w:val="20"/>
          <w:rtl/>
        </w:rPr>
      </w:pPr>
    </w:p>
    <w:p w14:paraId="0AD44754" w14:textId="77777777" w:rsidR="00D235C2" w:rsidRDefault="00032246">
      <w:pPr>
        <w:spacing w:line="360" w:lineRule="auto"/>
        <w:jc w:val="both"/>
        <w:rPr>
          <w:rFonts w:ascii="Arial" w:hAnsi="Arial"/>
          <w:sz w:val="22"/>
          <w:szCs w:val="22"/>
          <w:rtl/>
        </w:rPr>
      </w:pPr>
      <w:r>
        <w:rPr>
          <w:rFonts w:ascii="Arial" w:hAnsi="Arial"/>
          <w:rtl/>
        </w:rPr>
        <w:t xml:space="preserve">ניתן היום,  כ"ה אדר ב' תשע"ו, 04 אפריל 2016, בנוכחות הנאשם, בא כוחו ובהעדר ב"כ המאשימה </w:t>
      </w:r>
      <w:r>
        <w:rPr>
          <w:rFonts w:ascii="Arial" w:hAnsi="Arial" w:hint="cs"/>
          <w:rtl/>
        </w:rPr>
        <w:t xml:space="preserve">בשל עיצומי הפרקליטות. </w:t>
      </w:r>
    </w:p>
    <w:p w14:paraId="0CC10902" w14:textId="77777777" w:rsidR="00D235C2" w:rsidRDefault="00D235C2">
      <w:pPr>
        <w:jc w:val="center"/>
        <w:rPr>
          <w:sz w:val="18"/>
          <w:szCs w:val="18"/>
          <w:rtl/>
        </w:rPr>
      </w:pPr>
    </w:p>
    <w:p w14:paraId="64833AA3" w14:textId="77777777" w:rsidR="00D235C2" w:rsidRPr="00032246" w:rsidRDefault="00032246">
      <w:pPr>
        <w:spacing w:line="360" w:lineRule="auto"/>
        <w:jc w:val="both"/>
        <w:rPr>
          <w:rFonts w:ascii="Arial" w:hAnsi="Arial"/>
          <w:color w:val="FFFFFF"/>
          <w:sz w:val="2"/>
          <w:szCs w:val="2"/>
          <w:rtl/>
        </w:rPr>
      </w:pPr>
      <w:r w:rsidRPr="00032246">
        <w:rPr>
          <w:rFonts w:ascii="Arial" w:hAnsi="Arial"/>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235C2" w14:paraId="03A20908" w14:textId="77777777">
        <w:trPr>
          <w:trHeight w:val="316"/>
          <w:jc w:val="right"/>
        </w:trPr>
        <w:tc>
          <w:tcPr>
            <w:tcW w:w="3936" w:type="dxa"/>
            <w:shd w:val="clear" w:color="auto" w:fill="auto"/>
          </w:tcPr>
          <w:p w14:paraId="196D5FCD" w14:textId="77777777" w:rsidR="00D235C2" w:rsidRPr="00032246" w:rsidRDefault="00032246">
            <w:pPr>
              <w:jc w:val="center"/>
              <w:rPr>
                <w:color w:val="FFFFFF"/>
                <w:sz w:val="2"/>
                <w:szCs w:val="2"/>
              </w:rPr>
            </w:pPr>
            <w:r w:rsidRPr="00032246">
              <w:rPr>
                <w:color w:val="FFFFFF"/>
                <w:sz w:val="2"/>
                <w:szCs w:val="2"/>
                <w:rtl/>
              </w:rPr>
              <w:t>54678313</w:t>
            </w:r>
          </w:p>
          <w:p w14:paraId="1400F41F" w14:textId="77777777" w:rsidR="00D235C2" w:rsidRDefault="00D235C2">
            <w:pPr>
              <w:jc w:val="center"/>
              <w:rPr>
                <w:rtl/>
              </w:rPr>
            </w:pPr>
          </w:p>
        </w:tc>
      </w:tr>
      <w:tr w:rsidR="00D235C2" w14:paraId="2EBA5C57" w14:textId="77777777">
        <w:trPr>
          <w:trHeight w:val="361"/>
          <w:jc w:val="right"/>
        </w:trPr>
        <w:tc>
          <w:tcPr>
            <w:tcW w:w="3936" w:type="dxa"/>
            <w:shd w:val="clear" w:color="auto" w:fill="auto"/>
          </w:tcPr>
          <w:p w14:paraId="7A411B1F" w14:textId="77777777" w:rsidR="00D235C2" w:rsidRDefault="00032246">
            <w:pPr>
              <w:jc w:val="center"/>
              <w:rPr>
                <w:b/>
                <w:bCs/>
                <w:rtl/>
              </w:rPr>
            </w:pPr>
            <w:r>
              <w:rPr>
                <w:rFonts w:hint="cs"/>
                <w:b/>
                <w:bCs/>
                <w:rtl/>
              </w:rPr>
              <w:t>דניאל פיש</w:t>
            </w:r>
            <w:r>
              <w:rPr>
                <w:b/>
                <w:bCs/>
                <w:rtl/>
              </w:rPr>
              <w:t xml:space="preserve"> </w:t>
            </w:r>
            <w:r>
              <w:rPr>
                <w:rFonts w:hint="cs"/>
                <w:b/>
                <w:bCs/>
                <w:rtl/>
              </w:rPr>
              <w:t>, שופט</w:t>
            </w:r>
            <w:r>
              <w:rPr>
                <w:b/>
                <w:bCs/>
                <w:rtl/>
              </w:rPr>
              <w:t xml:space="preserve"> </w:t>
            </w:r>
          </w:p>
        </w:tc>
      </w:tr>
    </w:tbl>
    <w:p w14:paraId="3E75349F" w14:textId="77777777" w:rsidR="00032246" w:rsidRPr="00032246" w:rsidRDefault="00032246" w:rsidP="00032246">
      <w:pPr>
        <w:keepNext/>
        <w:rPr>
          <w:rFonts w:ascii="David" w:hAnsi="David"/>
          <w:color w:val="000000"/>
          <w:sz w:val="22"/>
          <w:szCs w:val="22"/>
          <w:rtl/>
        </w:rPr>
      </w:pPr>
      <w:r w:rsidRPr="00032246">
        <w:rPr>
          <w:rFonts w:ascii="David" w:hAnsi="David"/>
          <w:color w:val="000000"/>
          <w:sz w:val="22"/>
          <w:szCs w:val="22"/>
          <w:rtl/>
        </w:rPr>
        <w:t>דניאל פיש 54678313</w:t>
      </w:r>
    </w:p>
    <w:p w14:paraId="31708863" w14:textId="77777777" w:rsidR="00032246" w:rsidRDefault="00032246" w:rsidP="00032246">
      <w:r w:rsidRPr="00032246">
        <w:rPr>
          <w:color w:val="000000"/>
          <w:rtl/>
        </w:rPr>
        <w:t>נוסח מסמך זה כפוף לשינויי ניסוח ועריכה</w:t>
      </w:r>
    </w:p>
    <w:p w14:paraId="452D0286" w14:textId="77777777" w:rsidR="00032246" w:rsidRDefault="00032246" w:rsidP="00032246">
      <w:pPr>
        <w:rPr>
          <w:rtl/>
        </w:rPr>
      </w:pPr>
    </w:p>
    <w:p w14:paraId="6AC6B03C" w14:textId="77777777" w:rsidR="00032246" w:rsidRDefault="00032246" w:rsidP="00032246">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r w:rsidR="00CF56DF">
        <w:rPr>
          <w:rFonts w:hint="cs"/>
          <w:color w:val="0000FF"/>
          <w:u w:val="single"/>
          <w:rtl/>
        </w:rPr>
        <w:t xml:space="preserve"> </w:t>
      </w:r>
    </w:p>
    <w:p w14:paraId="6363DAAA" w14:textId="77777777" w:rsidR="00D235C2" w:rsidRPr="00032246" w:rsidRDefault="00D235C2" w:rsidP="00032246">
      <w:pPr>
        <w:jc w:val="center"/>
        <w:rPr>
          <w:color w:val="0000FF"/>
          <w:u w:val="single"/>
        </w:rPr>
      </w:pPr>
    </w:p>
    <w:sectPr w:rsidR="00D235C2" w:rsidRPr="00032246" w:rsidSect="00032246">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1E14D" w14:textId="77777777" w:rsidR="00C02DF7" w:rsidRDefault="00C02DF7">
      <w:r>
        <w:separator/>
      </w:r>
    </w:p>
  </w:endnote>
  <w:endnote w:type="continuationSeparator" w:id="0">
    <w:p w14:paraId="3C238795" w14:textId="77777777" w:rsidR="00C02DF7" w:rsidRDefault="00C0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249DB" w14:textId="77777777" w:rsidR="00774199" w:rsidRDefault="00774199" w:rsidP="0003224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2821F0" w14:textId="77777777" w:rsidR="00774199" w:rsidRPr="00032246" w:rsidRDefault="00774199" w:rsidP="00032246">
    <w:pPr>
      <w:pStyle w:val="a4"/>
      <w:pBdr>
        <w:top w:val="single" w:sz="4" w:space="1" w:color="auto"/>
        <w:between w:val="single" w:sz="4" w:space="0" w:color="auto"/>
      </w:pBdr>
      <w:spacing w:after="60"/>
      <w:jc w:val="center"/>
      <w:rPr>
        <w:rFonts w:ascii="FrankRuehl" w:hAnsi="FrankRuehl" w:cs="FrankRuehl"/>
        <w:color w:val="000000"/>
      </w:rPr>
    </w:pPr>
    <w:r w:rsidRPr="0003224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20610" w14:textId="77777777" w:rsidR="00774199" w:rsidRDefault="00774199" w:rsidP="0003224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7F62">
      <w:rPr>
        <w:rFonts w:ascii="FrankRuehl" w:hAnsi="FrankRuehl" w:cs="FrankRuehl"/>
        <w:noProof/>
        <w:rtl/>
      </w:rPr>
      <w:t>1</w:t>
    </w:r>
    <w:r>
      <w:rPr>
        <w:rFonts w:ascii="FrankRuehl" w:hAnsi="FrankRuehl" w:cs="FrankRuehl"/>
        <w:rtl/>
      </w:rPr>
      <w:fldChar w:fldCharType="end"/>
    </w:r>
  </w:p>
  <w:p w14:paraId="694F6675" w14:textId="77777777" w:rsidR="00774199" w:rsidRPr="00032246" w:rsidRDefault="00774199" w:rsidP="00032246">
    <w:pPr>
      <w:pStyle w:val="a4"/>
      <w:pBdr>
        <w:top w:val="single" w:sz="4" w:space="1" w:color="auto"/>
        <w:between w:val="single" w:sz="4" w:space="0" w:color="auto"/>
      </w:pBdr>
      <w:spacing w:after="60"/>
      <w:jc w:val="center"/>
      <w:rPr>
        <w:rFonts w:ascii="FrankRuehl" w:hAnsi="FrankRuehl" w:cs="FrankRuehl"/>
        <w:color w:val="000000"/>
      </w:rPr>
    </w:pPr>
    <w:r w:rsidRPr="00032246">
      <w:rPr>
        <w:rFonts w:ascii="FrankRuehl" w:hAnsi="FrankRuehl" w:cs="FrankRuehl"/>
        <w:color w:val="000000"/>
      </w:rPr>
      <w:pict w14:anchorId="6A6BC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C92F5" w14:textId="77777777" w:rsidR="00C02DF7" w:rsidRDefault="00C02DF7">
      <w:r>
        <w:separator/>
      </w:r>
    </w:p>
  </w:footnote>
  <w:footnote w:type="continuationSeparator" w:id="0">
    <w:p w14:paraId="0EDEDFB4" w14:textId="77777777" w:rsidR="00C02DF7" w:rsidRDefault="00C02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C6B9E" w14:textId="77777777" w:rsidR="00774199" w:rsidRPr="00032246" w:rsidRDefault="00774199" w:rsidP="000322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45432-11-15</w:t>
    </w:r>
    <w:r>
      <w:rPr>
        <w:rFonts w:ascii="David" w:hAnsi="David"/>
        <w:color w:val="000000"/>
        <w:sz w:val="22"/>
        <w:szCs w:val="22"/>
        <w:rtl/>
      </w:rPr>
      <w:tab/>
      <w:t xml:space="preserve"> מדינת ישראל נ' רונן דהוד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8D537" w14:textId="77777777" w:rsidR="00774199" w:rsidRPr="00032246" w:rsidRDefault="00774199" w:rsidP="000322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45432-11-15</w:t>
    </w:r>
    <w:r>
      <w:rPr>
        <w:rFonts w:ascii="David" w:hAnsi="David"/>
        <w:color w:val="000000"/>
        <w:sz w:val="22"/>
        <w:szCs w:val="22"/>
        <w:rtl/>
      </w:rPr>
      <w:tab/>
      <w:t xml:space="preserve"> מדינת ישראל נ' רונן דהוד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35756"/>
    <w:multiLevelType w:val="hybridMultilevel"/>
    <w:tmpl w:val="8E1C42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E69623A"/>
    <w:multiLevelType w:val="hybridMultilevel"/>
    <w:tmpl w:val="B1E4F4A6"/>
    <w:lvl w:ilvl="0" w:tplc="04090011">
      <w:start w:val="1"/>
      <w:numFmt w:val="decimal"/>
      <w:lvlText w:val="%1)"/>
      <w:lvlJc w:val="left"/>
      <w:pPr>
        <w:ind w:left="1080" w:hanging="360"/>
      </w:pPr>
      <w:rPr>
        <w:rFonts w:cs="Times New Roman"/>
      </w:rPr>
    </w:lvl>
    <w:lvl w:ilvl="1" w:tplc="04090011">
      <w:start w:val="1"/>
      <w:numFmt w:val="decimal"/>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507405378">
    <w:abstractNumId w:val="0"/>
  </w:num>
  <w:num w:numId="2" w16cid:durableId="2079328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35C2"/>
    <w:rsid w:val="00032246"/>
    <w:rsid w:val="00325F53"/>
    <w:rsid w:val="00405EC3"/>
    <w:rsid w:val="00774199"/>
    <w:rsid w:val="007D07DF"/>
    <w:rsid w:val="00882505"/>
    <w:rsid w:val="008B7F62"/>
    <w:rsid w:val="00C02DF7"/>
    <w:rsid w:val="00CE546B"/>
    <w:rsid w:val="00CF56DF"/>
    <w:rsid w:val="00D235C2"/>
    <w:rsid w:val="00D27B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940597"/>
  <w15:chartTrackingRefBased/>
  <w15:docId w15:val="{ADAE183E-7D92-4D38-AFF6-7E6B16BD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35C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235C2"/>
    <w:pPr>
      <w:tabs>
        <w:tab w:val="center" w:pos="4153"/>
        <w:tab w:val="right" w:pos="8306"/>
      </w:tabs>
    </w:pPr>
  </w:style>
  <w:style w:type="paragraph" w:styleId="a4">
    <w:name w:val="footer"/>
    <w:basedOn w:val="a"/>
    <w:rsid w:val="00D235C2"/>
    <w:pPr>
      <w:tabs>
        <w:tab w:val="center" w:pos="4153"/>
        <w:tab w:val="right" w:pos="8306"/>
      </w:tabs>
    </w:pPr>
  </w:style>
  <w:style w:type="character" w:styleId="a5">
    <w:name w:val="page number"/>
    <w:basedOn w:val="a0"/>
    <w:rsid w:val="00D235C2"/>
  </w:style>
  <w:style w:type="character" w:styleId="Hyperlink">
    <w:name w:val="Hyperlink"/>
    <w:rsid w:val="000322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case/7791493" TargetMode="External"/><Relationship Id="rId26" Type="http://schemas.openxmlformats.org/officeDocument/2006/relationships/hyperlink" Target="http://www.nevo.co.il/case/16870510" TargetMode="External"/><Relationship Id="rId21" Type="http://schemas.openxmlformats.org/officeDocument/2006/relationships/hyperlink" Target="http://www.nevo.co.il/case/5699080"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jc.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18168662"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6180713" TargetMode="External"/><Relationship Id="rId29" Type="http://schemas.openxmlformats.org/officeDocument/2006/relationships/hyperlink" Target="http://www.nevo.co.il/case/60415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c" TargetMode="External"/><Relationship Id="rId24" Type="http://schemas.openxmlformats.org/officeDocument/2006/relationships/hyperlink" Target="http://www.nevo.co.il/case/5585104"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8471804" TargetMode="External"/><Relationship Id="rId28" Type="http://schemas.openxmlformats.org/officeDocument/2006/relationships/hyperlink" Target="http://www.nevo.co.il/case/6034921" TargetMode="External"/><Relationship Id="rId36" Type="http://schemas.openxmlformats.org/officeDocument/2006/relationships/fontTable" Target="fontTable.xml"/><Relationship Id="rId10" Type="http://schemas.openxmlformats.org/officeDocument/2006/relationships/hyperlink" Target="http://www.nevo.co.il/law/70301/144.b2" TargetMode="External"/><Relationship Id="rId19" Type="http://schemas.openxmlformats.org/officeDocument/2006/relationships/hyperlink" Target="http://www.nevo.co.il/case/5821327"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case/7827259" TargetMode="External"/><Relationship Id="rId27" Type="http://schemas.openxmlformats.org/officeDocument/2006/relationships/hyperlink" Target="http://www.nevo.co.il/case/11269745" TargetMode="External"/><Relationship Id="rId30" Type="http://schemas.openxmlformats.org/officeDocument/2006/relationships/hyperlink" Target="http://www.nevo.co.il/law/70301/40jc.b" TargetMode="External"/><Relationship Id="rId35" Type="http://schemas.openxmlformats.org/officeDocument/2006/relationships/footer" Target="footer2.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2045</Words>
  <Characters>10225</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12246</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6553637</vt:i4>
      </vt:variant>
      <vt:variant>
        <vt:i4>69</vt:i4>
      </vt:variant>
      <vt:variant>
        <vt:i4>0</vt:i4>
      </vt:variant>
      <vt:variant>
        <vt:i4>5</vt:i4>
      </vt:variant>
      <vt:variant>
        <vt:lpwstr>http://www.nevo.co.il/law/70301/40jc.b</vt:lpwstr>
      </vt:variant>
      <vt:variant>
        <vt:lpwstr/>
      </vt:variant>
      <vt:variant>
        <vt:i4>4063348</vt:i4>
      </vt:variant>
      <vt:variant>
        <vt:i4>66</vt:i4>
      </vt:variant>
      <vt:variant>
        <vt:i4>0</vt:i4>
      </vt:variant>
      <vt:variant>
        <vt:i4>5</vt:i4>
      </vt:variant>
      <vt:variant>
        <vt:lpwstr>http://www.nevo.co.il/case/6041519</vt:lpwstr>
      </vt:variant>
      <vt:variant>
        <vt:lpwstr/>
      </vt:variant>
      <vt:variant>
        <vt:i4>3997810</vt:i4>
      </vt:variant>
      <vt:variant>
        <vt:i4>63</vt:i4>
      </vt:variant>
      <vt:variant>
        <vt:i4>0</vt:i4>
      </vt:variant>
      <vt:variant>
        <vt:i4>5</vt:i4>
      </vt:variant>
      <vt:variant>
        <vt:lpwstr>http://www.nevo.co.il/case/6034921</vt:lpwstr>
      </vt:variant>
      <vt:variant>
        <vt:lpwstr/>
      </vt:variant>
      <vt:variant>
        <vt:i4>4063348</vt:i4>
      </vt:variant>
      <vt:variant>
        <vt:i4>60</vt:i4>
      </vt:variant>
      <vt:variant>
        <vt:i4>0</vt:i4>
      </vt:variant>
      <vt:variant>
        <vt:i4>5</vt:i4>
      </vt:variant>
      <vt:variant>
        <vt:lpwstr>http://www.nevo.co.il/case/11269745</vt:lpwstr>
      </vt:variant>
      <vt:variant>
        <vt:lpwstr/>
      </vt:variant>
      <vt:variant>
        <vt:i4>3670128</vt:i4>
      </vt:variant>
      <vt:variant>
        <vt:i4>57</vt:i4>
      </vt:variant>
      <vt:variant>
        <vt:i4>0</vt:i4>
      </vt:variant>
      <vt:variant>
        <vt:i4>5</vt:i4>
      </vt:variant>
      <vt:variant>
        <vt:lpwstr>http://www.nevo.co.il/case/16870510</vt:lpwstr>
      </vt:variant>
      <vt:variant>
        <vt:lpwstr/>
      </vt:variant>
      <vt:variant>
        <vt:i4>4063356</vt:i4>
      </vt:variant>
      <vt:variant>
        <vt:i4>54</vt:i4>
      </vt:variant>
      <vt:variant>
        <vt:i4>0</vt:i4>
      </vt:variant>
      <vt:variant>
        <vt:i4>5</vt:i4>
      </vt:variant>
      <vt:variant>
        <vt:lpwstr>http://www.nevo.co.il/case/18168662</vt:lpwstr>
      </vt:variant>
      <vt:variant>
        <vt:lpwstr/>
      </vt:variant>
      <vt:variant>
        <vt:i4>3670132</vt:i4>
      </vt:variant>
      <vt:variant>
        <vt:i4>51</vt:i4>
      </vt:variant>
      <vt:variant>
        <vt:i4>0</vt:i4>
      </vt:variant>
      <vt:variant>
        <vt:i4>5</vt:i4>
      </vt:variant>
      <vt:variant>
        <vt:lpwstr>http://www.nevo.co.il/case/5585104</vt:lpwstr>
      </vt:variant>
      <vt:variant>
        <vt:lpwstr/>
      </vt:variant>
      <vt:variant>
        <vt:i4>3342449</vt:i4>
      </vt:variant>
      <vt:variant>
        <vt:i4>48</vt:i4>
      </vt:variant>
      <vt:variant>
        <vt:i4>0</vt:i4>
      </vt:variant>
      <vt:variant>
        <vt:i4>5</vt:i4>
      </vt:variant>
      <vt:variant>
        <vt:lpwstr>http://www.nevo.co.il/case/8471804</vt:lpwstr>
      </vt:variant>
      <vt:variant>
        <vt:lpwstr/>
      </vt:variant>
      <vt:variant>
        <vt:i4>4063358</vt:i4>
      </vt:variant>
      <vt:variant>
        <vt:i4>45</vt:i4>
      </vt:variant>
      <vt:variant>
        <vt:i4>0</vt:i4>
      </vt:variant>
      <vt:variant>
        <vt:i4>5</vt:i4>
      </vt:variant>
      <vt:variant>
        <vt:lpwstr>http://www.nevo.co.il/case/7827259</vt:lpwstr>
      </vt:variant>
      <vt:variant>
        <vt:lpwstr/>
      </vt:variant>
      <vt:variant>
        <vt:i4>3932275</vt:i4>
      </vt:variant>
      <vt:variant>
        <vt:i4>42</vt:i4>
      </vt:variant>
      <vt:variant>
        <vt:i4>0</vt:i4>
      </vt:variant>
      <vt:variant>
        <vt:i4>5</vt:i4>
      </vt:variant>
      <vt:variant>
        <vt:lpwstr>http://www.nevo.co.il/case/5699080</vt:lpwstr>
      </vt:variant>
      <vt:variant>
        <vt:lpwstr/>
      </vt:variant>
      <vt:variant>
        <vt:i4>3801204</vt:i4>
      </vt:variant>
      <vt:variant>
        <vt:i4>39</vt:i4>
      </vt:variant>
      <vt:variant>
        <vt:i4>0</vt:i4>
      </vt:variant>
      <vt:variant>
        <vt:i4>5</vt:i4>
      </vt:variant>
      <vt:variant>
        <vt:lpwstr>http://www.nevo.co.il/case/6180713</vt:lpwstr>
      </vt:variant>
      <vt:variant>
        <vt:lpwstr/>
      </vt:variant>
      <vt:variant>
        <vt:i4>3342463</vt:i4>
      </vt:variant>
      <vt:variant>
        <vt:i4>36</vt:i4>
      </vt:variant>
      <vt:variant>
        <vt:i4>0</vt:i4>
      </vt:variant>
      <vt:variant>
        <vt:i4>5</vt:i4>
      </vt:variant>
      <vt:variant>
        <vt:lpwstr>http://www.nevo.co.il/case/5821327</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5177424</vt:i4>
      </vt:variant>
      <vt:variant>
        <vt:i4>12</vt:i4>
      </vt:variant>
      <vt:variant>
        <vt:i4>0</vt:i4>
      </vt:variant>
      <vt:variant>
        <vt:i4>5</vt:i4>
      </vt:variant>
      <vt:variant>
        <vt:lpwstr>http://www.nevo.co.il/law/70301/144.c</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2025-01-19T16:06:00Z</dcterms:created>
  <dcterms:modified xsi:type="dcterms:W3CDTF">2025-01-19T16:06:00Z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45432</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רונן דהוד</vt:lpwstr>
  </property>
  <property fmtid="{D5CDD505-2E9C-101B-9397-08002B2CF9AE}" pid="10" name="LAWYER">
    <vt:lpwstr>הילה איזנבנד;חוזה אביב </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20160404</vt:lpwstr>
  </property>
  <property fmtid="{D5CDD505-2E9C-101B-9397-08002B2CF9AE}" pid="14" name="TYPE_N_DATE">
    <vt:lpwstr>39020160404</vt:lpwstr>
  </property>
  <property fmtid="{D5CDD505-2E9C-101B-9397-08002B2CF9AE}" pid="15" name="CASESLISTTMP1">
    <vt:lpwstr>7791493;5821327;6180713;5699080;7827259;8471804;5585104;18168662;16870510;11269745;6034921;6041519</vt:lpwstr>
  </property>
  <property fmtid="{D5CDD505-2E9C-101B-9397-08002B2CF9AE}" pid="16" name="WORDNUMPAGES">
    <vt:lpwstr>6</vt:lpwstr>
  </property>
  <property fmtid="{D5CDD505-2E9C-101B-9397-08002B2CF9AE}" pid="17" name="TYPE_ABS_DATE">
    <vt:lpwstr>390020160404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70301/144.b2;144.c;029;144.a;40jc.b</vt:lpwstr>
  </property>
</Properties>
</file>