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A6937" w:rsidRPr="007B7571" w14:paraId="5C5DD207" w14:textId="77777777">
        <w:trPr>
          <w:trHeight w:hRule="exact" w:val="418"/>
          <w:jc w:val="center"/>
        </w:trPr>
        <w:tc>
          <w:tcPr>
            <w:tcW w:w="8721" w:type="dxa"/>
            <w:gridSpan w:val="2"/>
          </w:tcPr>
          <w:p w14:paraId="24B2045B" w14:textId="77777777" w:rsidR="008A6937" w:rsidRPr="007B7571" w:rsidRDefault="008A6937" w:rsidP="007B7571">
            <w:pPr>
              <w:pStyle w:val="a3"/>
              <w:jc w:val="center"/>
              <w:rPr>
                <w:rFonts w:ascii="Tahoma" w:hAnsi="Tahoma" w:cs="Tahoma"/>
                <w:color w:val="000080"/>
                <w:rtl/>
              </w:rPr>
            </w:pPr>
            <w:bookmarkStart w:id="0" w:name="LastJudge"/>
            <w:r w:rsidRPr="007B7571">
              <w:rPr>
                <w:rFonts w:ascii="Tahoma" w:hAnsi="Tahoma" w:cs="Tahoma"/>
                <w:b/>
                <w:bCs/>
                <w:color w:val="000080"/>
                <w:rtl/>
              </w:rPr>
              <w:t>בית המשפט המחוזי בירושלים</w:t>
            </w:r>
          </w:p>
        </w:tc>
      </w:tr>
      <w:tr w:rsidR="008A6937" w:rsidRPr="007B7571" w14:paraId="49D7E872" w14:textId="77777777">
        <w:trPr>
          <w:trHeight w:val="337"/>
          <w:jc w:val="center"/>
        </w:trPr>
        <w:tc>
          <w:tcPr>
            <w:tcW w:w="5058" w:type="dxa"/>
          </w:tcPr>
          <w:p w14:paraId="164F2E83" w14:textId="77777777" w:rsidR="008A6937" w:rsidRPr="007B7571" w:rsidRDefault="008A6937" w:rsidP="007B7571">
            <w:pPr>
              <w:rPr>
                <w:rFonts w:cs="FrankRuehl"/>
                <w:sz w:val="28"/>
                <w:szCs w:val="28"/>
                <w:rtl/>
              </w:rPr>
            </w:pPr>
            <w:r w:rsidRPr="007B7571">
              <w:rPr>
                <w:rFonts w:cs="FrankRuehl"/>
                <w:sz w:val="28"/>
                <w:szCs w:val="28"/>
                <w:rtl/>
              </w:rPr>
              <w:t>ת"פ</w:t>
            </w:r>
            <w:r w:rsidRPr="007B7571">
              <w:rPr>
                <w:rFonts w:cs="FrankRuehl" w:hint="cs"/>
                <w:sz w:val="28"/>
                <w:szCs w:val="28"/>
                <w:rtl/>
              </w:rPr>
              <w:t xml:space="preserve"> </w:t>
            </w:r>
            <w:r w:rsidRPr="007B7571">
              <w:rPr>
                <w:rFonts w:cs="FrankRuehl"/>
                <w:sz w:val="28"/>
                <w:szCs w:val="28"/>
                <w:rtl/>
              </w:rPr>
              <w:t>65677-11-15</w:t>
            </w:r>
            <w:r w:rsidRPr="007B7571">
              <w:rPr>
                <w:rFonts w:cs="FrankRuehl" w:hint="cs"/>
                <w:sz w:val="28"/>
                <w:szCs w:val="28"/>
                <w:rtl/>
              </w:rPr>
              <w:t xml:space="preserve"> </w:t>
            </w:r>
            <w:r w:rsidRPr="007B7571">
              <w:rPr>
                <w:rFonts w:cs="FrankRuehl"/>
                <w:sz w:val="28"/>
                <w:szCs w:val="28"/>
                <w:rtl/>
              </w:rPr>
              <w:t>מדינת ישראל נ' עטייה(עציר)</w:t>
            </w:r>
          </w:p>
          <w:p w14:paraId="76B81481" w14:textId="77777777" w:rsidR="008A6937" w:rsidRPr="007B7571" w:rsidRDefault="008A6937" w:rsidP="007B7571">
            <w:pPr>
              <w:pStyle w:val="a3"/>
              <w:rPr>
                <w:rFonts w:cs="FrankRuehl"/>
                <w:sz w:val="28"/>
                <w:szCs w:val="28"/>
                <w:rtl/>
              </w:rPr>
            </w:pPr>
          </w:p>
        </w:tc>
        <w:tc>
          <w:tcPr>
            <w:tcW w:w="3663" w:type="dxa"/>
          </w:tcPr>
          <w:p w14:paraId="0EF78C8E" w14:textId="77777777" w:rsidR="008A6937" w:rsidRPr="007B7571" w:rsidRDefault="008A6937" w:rsidP="007B7571">
            <w:pPr>
              <w:pStyle w:val="a3"/>
              <w:jc w:val="right"/>
              <w:rPr>
                <w:rFonts w:cs="FrankRuehl"/>
                <w:sz w:val="28"/>
                <w:szCs w:val="28"/>
                <w:rtl/>
              </w:rPr>
            </w:pPr>
          </w:p>
        </w:tc>
      </w:tr>
    </w:tbl>
    <w:p w14:paraId="7AFD347A" w14:textId="77777777" w:rsidR="008A6937" w:rsidRPr="007B7571" w:rsidRDefault="008A6937" w:rsidP="008A6937">
      <w:pPr>
        <w:pStyle w:val="a3"/>
        <w:rPr>
          <w:rtl/>
        </w:rPr>
      </w:pPr>
      <w:r w:rsidRPr="007B7571">
        <w:rPr>
          <w:rFonts w:hint="cs"/>
          <w:rtl/>
        </w:rPr>
        <w:t xml:space="preserve"> </w:t>
      </w:r>
    </w:p>
    <w:p w14:paraId="5ED32F12" w14:textId="77777777" w:rsidR="008A6937" w:rsidRPr="007B7571" w:rsidRDefault="008A6937" w:rsidP="008A693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A6937" w:rsidRPr="007B7571" w14:paraId="2CD8603D" w14:textId="77777777">
        <w:trPr>
          <w:gridAfter w:val="1"/>
          <w:wAfter w:w="55" w:type="dxa"/>
        </w:trPr>
        <w:tc>
          <w:tcPr>
            <w:tcW w:w="8719" w:type="dxa"/>
            <w:gridSpan w:val="2"/>
            <w:shd w:val="clear" w:color="auto" w:fill="auto"/>
          </w:tcPr>
          <w:p w14:paraId="66C19E07" w14:textId="77777777" w:rsidR="008A6937" w:rsidRPr="007B7571" w:rsidRDefault="008A6937" w:rsidP="007B7571">
            <w:pPr>
              <w:spacing w:line="360" w:lineRule="auto"/>
              <w:jc w:val="both"/>
              <w:rPr>
                <w:rFonts w:ascii="Arial" w:hAnsi="Arial"/>
                <w:rtl/>
              </w:rPr>
            </w:pPr>
            <w:r w:rsidRPr="007B7571">
              <w:rPr>
                <w:rFonts w:hint="cs"/>
                <w:b/>
                <w:bCs/>
                <w:sz w:val="26"/>
                <w:szCs w:val="26"/>
                <w:rtl/>
              </w:rPr>
              <w:t>ה</w:t>
            </w:r>
            <w:r w:rsidRPr="007B7571">
              <w:rPr>
                <w:rFonts w:hint="cs"/>
                <w:rtl/>
              </w:rPr>
              <w:t>שופט דניאל טפרברג</w:t>
            </w:r>
          </w:p>
        </w:tc>
      </w:tr>
      <w:tr w:rsidR="008A6937" w:rsidRPr="007B7571" w14:paraId="0D65097E" w14:textId="77777777">
        <w:tc>
          <w:tcPr>
            <w:tcW w:w="2880" w:type="dxa"/>
            <w:shd w:val="clear" w:color="auto" w:fill="auto"/>
          </w:tcPr>
          <w:p w14:paraId="03F0DB02" w14:textId="77777777" w:rsidR="008A6937" w:rsidRPr="007B7571" w:rsidRDefault="008A6937" w:rsidP="007B7571">
            <w:pPr>
              <w:ind w:left="26"/>
              <w:rPr>
                <w:b/>
                <w:bCs/>
                <w:sz w:val="26"/>
                <w:szCs w:val="26"/>
                <w:rtl/>
              </w:rPr>
            </w:pPr>
            <w:bookmarkStart w:id="1" w:name="FirstAppellant"/>
            <w:r w:rsidRPr="007B7571">
              <w:rPr>
                <w:rFonts w:hint="cs"/>
                <w:b/>
                <w:bCs/>
                <w:sz w:val="26"/>
                <w:szCs w:val="26"/>
                <w:rtl/>
              </w:rPr>
              <w:t>ה</w:t>
            </w:r>
            <w:r w:rsidRPr="007B7571">
              <w:rPr>
                <w:rFonts w:hint="cs"/>
                <w:rtl/>
              </w:rPr>
              <w:t>מאשימה</w:t>
            </w:r>
          </w:p>
        </w:tc>
        <w:tc>
          <w:tcPr>
            <w:tcW w:w="5922" w:type="dxa"/>
            <w:gridSpan w:val="2"/>
            <w:shd w:val="clear" w:color="auto" w:fill="auto"/>
          </w:tcPr>
          <w:p w14:paraId="4A0E7CD8" w14:textId="77777777" w:rsidR="008A6937" w:rsidRPr="007B7571" w:rsidRDefault="008A6937" w:rsidP="007B7571">
            <w:pPr>
              <w:rPr>
                <w:b/>
                <w:bCs/>
                <w:sz w:val="26"/>
                <w:szCs w:val="26"/>
                <w:rtl/>
              </w:rPr>
            </w:pPr>
            <w:r w:rsidRPr="007B7571">
              <w:rPr>
                <w:rFonts w:hint="cs"/>
                <w:b/>
                <w:bCs/>
                <w:sz w:val="26"/>
                <w:szCs w:val="26"/>
                <w:rtl/>
              </w:rPr>
              <w:t xml:space="preserve"> </w:t>
            </w:r>
            <w:r w:rsidRPr="007B7571">
              <w:rPr>
                <w:rFonts w:hint="cs"/>
                <w:rtl/>
              </w:rPr>
              <w:t>מדינת ישראל</w:t>
            </w:r>
          </w:p>
          <w:p w14:paraId="28D84F40" w14:textId="77777777" w:rsidR="008A6937" w:rsidRPr="007B7571" w:rsidRDefault="008A6937" w:rsidP="007B7571">
            <w:pPr>
              <w:rPr>
                <w:b/>
                <w:bCs/>
                <w:sz w:val="26"/>
                <w:szCs w:val="26"/>
                <w:rtl/>
              </w:rPr>
            </w:pPr>
          </w:p>
        </w:tc>
      </w:tr>
      <w:bookmarkEnd w:id="1"/>
      <w:tr w:rsidR="008A6937" w:rsidRPr="007B7571" w14:paraId="5D7AB037" w14:textId="77777777">
        <w:tc>
          <w:tcPr>
            <w:tcW w:w="8802" w:type="dxa"/>
            <w:gridSpan w:val="3"/>
            <w:shd w:val="clear" w:color="auto" w:fill="auto"/>
          </w:tcPr>
          <w:p w14:paraId="7829E5EF" w14:textId="77777777" w:rsidR="008A6937" w:rsidRPr="007B7571" w:rsidRDefault="008A6937" w:rsidP="007B7571">
            <w:pPr>
              <w:jc w:val="center"/>
              <w:rPr>
                <w:rFonts w:ascii="Arial" w:hAnsi="Arial"/>
                <w:b/>
                <w:bCs/>
                <w:sz w:val="26"/>
                <w:szCs w:val="26"/>
                <w:rtl/>
              </w:rPr>
            </w:pPr>
            <w:r w:rsidRPr="007B7571">
              <w:rPr>
                <w:rFonts w:ascii="Arial" w:hAnsi="Arial" w:hint="cs"/>
                <w:b/>
                <w:bCs/>
                <w:sz w:val="26"/>
                <w:szCs w:val="26"/>
                <w:rtl/>
              </w:rPr>
              <w:t>נגד</w:t>
            </w:r>
          </w:p>
          <w:p w14:paraId="7A6706BE" w14:textId="77777777" w:rsidR="008A6937" w:rsidRPr="007B7571" w:rsidRDefault="008A6937" w:rsidP="007B7571">
            <w:pPr>
              <w:jc w:val="center"/>
              <w:rPr>
                <w:rFonts w:ascii="Arial" w:hAnsi="Arial"/>
                <w:b/>
                <w:bCs/>
                <w:sz w:val="26"/>
                <w:szCs w:val="26"/>
                <w:rtl/>
              </w:rPr>
            </w:pPr>
          </w:p>
        </w:tc>
      </w:tr>
      <w:tr w:rsidR="008A6937" w:rsidRPr="007B7571" w14:paraId="5DB06F88" w14:textId="77777777">
        <w:tc>
          <w:tcPr>
            <w:tcW w:w="2880" w:type="dxa"/>
            <w:shd w:val="clear" w:color="auto" w:fill="auto"/>
          </w:tcPr>
          <w:p w14:paraId="46C71E4C" w14:textId="77777777" w:rsidR="008A6937" w:rsidRPr="007B7571" w:rsidRDefault="008A6937" w:rsidP="007B7571">
            <w:pPr>
              <w:ind w:left="26"/>
              <w:rPr>
                <w:b/>
                <w:bCs/>
                <w:sz w:val="26"/>
                <w:szCs w:val="26"/>
              </w:rPr>
            </w:pPr>
            <w:r w:rsidRPr="007B7571">
              <w:rPr>
                <w:rFonts w:hint="cs"/>
                <w:b/>
                <w:bCs/>
                <w:sz w:val="26"/>
                <w:szCs w:val="26"/>
                <w:rtl/>
              </w:rPr>
              <w:t>הנאשם</w:t>
            </w:r>
            <w:r w:rsidRPr="007B7571">
              <w:rPr>
                <w:rtl/>
              </w:rPr>
              <w:t xml:space="preserve">     </w:t>
            </w:r>
          </w:p>
        </w:tc>
        <w:tc>
          <w:tcPr>
            <w:tcW w:w="5922" w:type="dxa"/>
            <w:gridSpan w:val="2"/>
            <w:shd w:val="clear" w:color="auto" w:fill="auto"/>
          </w:tcPr>
          <w:p w14:paraId="5FE22E29" w14:textId="77777777" w:rsidR="008A6937" w:rsidRPr="007B7571" w:rsidRDefault="008A6937" w:rsidP="007B7571">
            <w:pPr>
              <w:rPr>
                <w:b/>
                <w:bCs/>
                <w:sz w:val="26"/>
                <w:szCs w:val="26"/>
                <w:rtl/>
              </w:rPr>
            </w:pPr>
            <w:r w:rsidRPr="007B7571">
              <w:rPr>
                <w:rFonts w:hint="cs"/>
                <w:rtl/>
              </w:rPr>
              <w:t xml:space="preserve">פאדי עטייה (עציר)  </w:t>
            </w:r>
          </w:p>
          <w:p w14:paraId="0311D1F6" w14:textId="77777777" w:rsidR="008A6937" w:rsidRPr="007B7571" w:rsidRDefault="008A6937" w:rsidP="007B7571">
            <w:pPr>
              <w:rPr>
                <w:b/>
                <w:bCs/>
                <w:sz w:val="26"/>
                <w:szCs w:val="26"/>
                <w:rtl/>
              </w:rPr>
            </w:pPr>
          </w:p>
        </w:tc>
      </w:tr>
    </w:tbl>
    <w:p w14:paraId="54B391D8" w14:textId="77777777" w:rsidR="008A6937" w:rsidRPr="007B7571" w:rsidRDefault="008A6937" w:rsidP="008A6937">
      <w:pPr>
        <w:spacing w:line="360" w:lineRule="auto"/>
        <w:jc w:val="both"/>
        <w:rPr>
          <w:rFonts w:ascii="David" w:hAnsi="David"/>
          <w:sz w:val="6"/>
          <w:szCs w:val="6"/>
          <w:rtl/>
        </w:rPr>
      </w:pPr>
      <w:r w:rsidRPr="007B7571">
        <w:rPr>
          <w:rFonts w:hint="cs"/>
          <w:sz w:val="6"/>
          <w:szCs w:val="6"/>
          <w:rtl/>
        </w:rPr>
        <w:t>&lt;#1#&gt;</w:t>
      </w:r>
    </w:p>
    <w:p w14:paraId="07EEE95C" w14:textId="77777777" w:rsidR="008A6937" w:rsidRPr="007B7571" w:rsidRDefault="008A6937" w:rsidP="008A6937">
      <w:pPr>
        <w:pStyle w:val="12"/>
        <w:rPr>
          <w:b w:val="0"/>
          <w:bCs w:val="0"/>
          <w:u w:val="none"/>
          <w:rtl/>
        </w:rPr>
      </w:pPr>
    </w:p>
    <w:p w14:paraId="737B1262" w14:textId="77777777" w:rsidR="00A44D63" w:rsidRDefault="00A44D63" w:rsidP="008A6937">
      <w:pPr>
        <w:rPr>
          <w:rtl/>
        </w:rPr>
      </w:pPr>
      <w:bookmarkStart w:id="2" w:name="LawTable"/>
      <w:bookmarkEnd w:id="2"/>
    </w:p>
    <w:p w14:paraId="537D40FF" w14:textId="77777777" w:rsidR="00A44D63" w:rsidRPr="00A44D63" w:rsidRDefault="00A44D63" w:rsidP="00A44D63">
      <w:pPr>
        <w:spacing w:after="120" w:line="240" w:lineRule="exact"/>
        <w:ind w:left="283" w:hanging="283"/>
        <w:jc w:val="both"/>
        <w:rPr>
          <w:rFonts w:ascii="FrankRuehl" w:hAnsi="FrankRuehl" w:cs="FrankRuehl"/>
          <w:rtl/>
        </w:rPr>
      </w:pPr>
    </w:p>
    <w:p w14:paraId="0733592C" w14:textId="77777777" w:rsidR="00A44D63" w:rsidRPr="00A44D63" w:rsidRDefault="00A44D63" w:rsidP="00A44D63">
      <w:pPr>
        <w:spacing w:after="120" w:line="240" w:lineRule="exact"/>
        <w:ind w:left="283" w:hanging="283"/>
        <w:jc w:val="both"/>
        <w:rPr>
          <w:rFonts w:ascii="FrankRuehl" w:hAnsi="FrankRuehl" w:cs="FrankRuehl"/>
          <w:rtl/>
        </w:rPr>
      </w:pPr>
      <w:r w:rsidRPr="00A44D63">
        <w:rPr>
          <w:rFonts w:ascii="FrankRuehl" w:hAnsi="FrankRuehl" w:cs="FrankRuehl"/>
          <w:rtl/>
        </w:rPr>
        <w:t xml:space="preserve">חקיקה שאוזכרה: </w:t>
      </w:r>
    </w:p>
    <w:p w14:paraId="57F09AFD" w14:textId="77777777" w:rsidR="00A44D63" w:rsidRPr="00A44D63" w:rsidRDefault="00A44D63" w:rsidP="00A44D63">
      <w:pPr>
        <w:spacing w:after="120" w:line="240" w:lineRule="exact"/>
        <w:ind w:left="283" w:hanging="283"/>
        <w:jc w:val="both"/>
        <w:rPr>
          <w:rFonts w:ascii="FrankRuehl" w:hAnsi="FrankRuehl" w:cs="FrankRuehl"/>
          <w:rtl/>
        </w:rPr>
      </w:pPr>
      <w:hyperlink r:id="rId6" w:history="1">
        <w:r w:rsidRPr="00A44D63">
          <w:rPr>
            <w:rFonts w:ascii="FrankRuehl" w:hAnsi="FrankRuehl" w:cs="FrankRuehl"/>
            <w:color w:val="0000FF"/>
            <w:u w:val="single"/>
            <w:rtl/>
          </w:rPr>
          <w:t>חוק העונשין, תשל"ז-1977</w:t>
        </w:r>
      </w:hyperlink>
      <w:r w:rsidRPr="00A44D63">
        <w:rPr>
          <w:rFonts w:ascii="FrankRuehl" w:hAnsi="FrankRuehl" w:cs="FrankRuehl"/>
          <w:rtl/>
        </w:rPr>
        <w:t xml:space="preserve">: סע'  </w:t>
      </w:r>
      <w:hyperlink r:id="rId7" w:history="1">
        <w:r w:rsidRPr="00A44D63">
          <w:rPr>
            <w:rFonts w:ascii="FrankRuehl" w:hAnsi="FrankRuehl" w:cs="FrankRuehl"/>
            <w:color w:val="0000FF"/>
            <w:u w:val="single"/>
            <w:rtl/>
          </w:rPr>
          <w:t>25</w:t>
        </w:r>
      </w:hyperlink>
      <w:r w:rsidRPr="00A44D63">
        <w:rPr>
          <w:rFonts w:ascii="FrankRuehl" w:hAnsi="FrankRuehl" w:cs="FrankRuehl"/>
          <w:rtl/>
        </w:rPr>
        <w:t xml:space="preserve">, </w:t>
      </w:r>
      <w:hyperlink r:id="rId8" w:history="1">
        <w:r w:rsidRPr="00A44D63">
          <w:rPr>
            <w:rFonts w:ascii="FrankRuehl" w:hAnsi="FrankRuehl" w:cs="FrankRuehl"/>
            <w:color w:val="0000FF"/>
            <w:u w:val="single"/>
            <w:rtl/>
          </w:rPr>
          <w:t>29</w:t>
        </w:r>
      </w:hyperlink>
      <w:r w:rsidRPr="00A44D63">
        <w:rPr>
          <w:rFonts w:ascii="FrankRuehl" w:hAnsi="FrankRuehl" w:cs="FrankRuehl"/>
          <w:rtl/>
        </w:rPr>
        <w:t xml:space="preserve">, </w:t>
      </w:r>
      <w:hyperlink r:id="rId9" w:history="1">
        <w:r w:rsidRPr="00A44D63">
          <w:rPr>
            <w:rFonts w:ascii="FrankRuehl" w:hAnsi="FrankRuehl" w:cs="FrankRuehl"/>
            <w:color w:val="0000FF"/>
            <w:u w:val="single"/>
            <w:rtl/>
          </w:rPr>
          <w:t>40ב'</w:t>
        </w:r>
      </w:hyperlink>
      <w:r w:rsidRPr="00A44D63">
        <w:rPr>
          <w:rFonts w:ascii="FrankRuehl" w:hAnsi="FrankRuehl" w:cs="FrankRuehl"/>
          <w:rtl/>
        </w:rPr>
        <w:t xml:space="preserve">, </w:t>
      </w:r>
      <w:hyperlink r:id="rId10" w:history="1">
        <w:r w:rsidRPr="00A44D63">
          <w:rPr>
            <w:rFonts w:ascii="FrankRuehl" w:hAnsi="FrankRuehl" w:cs="FrankRuehl"/>
            <w:color w:val="0000FF"/>
            <w:u w:val="single"/>
            <w:rtl/>
          </w:rPr>
          <w:t>40ג</w:t>
        </w:r>
      </w:hyperlink>
      <w:r w:rsidRPr="00A44D63">
        <w:rPr>
          <w:rFonts w:ascii="FrankRuehl" w:hAnsi="FrankRuehl" w:cs="FrankRuehl"/>
          <w:rtl/>
        </w:rPr>
        <w:t xml:space="preserve">, </w:t>
      </w:r>
      <w:hyperlink r:id="rId11" w:history="1">
        <w:r w:rsidRPr="00A44D63">
          <w:rPr>
            <w:rFonts w:ascii="FrankRuehl" w:hAnsi="FrankRuehl" w:cs="FrankRuehl"/>
            <w:color w:val="0000FF"/>
            <w:u w:val="single"/>
            <w:rtl/>
          </w:rPr>
          <w:t>40ג(א)</w:t>
        </w:r>
      </w:hyperlink>
      <w:r w:rsidRPr="00A44D63">
        <w:rPr>
          <w:rFonts w:ascii="FrankRuehl" w:hAnsi="FrankRuehl" w:cs="FrankRuehl"/>
          <w:rtl/>
        </w:rPr>
        <w:t xml:space="preserve">, </w:t>
      </w:r>
      <w:hyperlink r:id="rId12" w:history="1">
        <w:r w:rsidRPr="00A44D63">
          <w:rPr>
            <w:rFonts w:ascii="FrankRuehl" w:hAnsi="FrankRuehl" w:cs="FrankRuehl"/>
            <w:color w:val="0000FF"/>
            <w:u w:val="single"/>
            <w:rtl/>
          </w:rPr>
          <w:t>40ד</w:t>
        </w:r>
      </w:hyperlink>
      <w:r w:rsidRPr="00A44D63">
        <w:rPr>
          <w:rFonts w:ascii="FrankRuehl" w:hAnsi="FrankRuehl" w:cs="FrankRuehl"/>
          <w:rtl/>
        </w:rPr>
        <w:t xml:space="preserve">, </w:t>
      </w:r>
      <w:hyperlink r:id="rId13" w:history="1">
        <w:r w:rsidRPr="00A44D63">
          <w:rPr>
            <w:rFonts w:ascii="FrankRuehl" w:hAnsi="FrankRuehl" w:cs="FrankRuehl"/>
            <w:color w:val="0000FF"/>
            <w:u w:val="single"/>
            <w:rtl/>
          </w:rPr>
          <w:t>40ה</w:t>
        </w:r>
      </w:hyperlink>
      <w:r w:rsidRPr="00A44D63">
        <w:rPr>
          <w:rFonts w:ascii="FrankRuehl" w:hAnsi="FrankRuehl" w:cs="FrankRuehl"/>
          <w:rtl/>
        </w:rPr>
        <w:t xml:space="preserve">, </w:t>
      </w:r>
      <w:hyperlink r:id="rId14" w:history="1">
        <w:r w:rsidRPr="00A44D63">
          <w:rPr>
            <w:rFonts w:ascii="FrankRuehl" w:hAnsi="FrankRuehl" w:cs="FrankRuehl"/>
            <w:color w:val="0000FF"/>
            <w:u w:val="single"/>
            <w:rtl/>
          </w:rPr>
          <w:t>40ט(א)</w:t>
        </w:r>
      </w:hyperlink>
      <w:r w:rsidRPr="00A44D63">
        <w:rPr>
          <w:rFonts w:ascii="FrankRuehl" w:hAnsi="FrankRuehl" w:cs="FrankRuehl"/>
          <w:rtl/>
        </w:rPr>
        <w:t xml:space="preserve">, </w:t>
      </w:r>
      <w:hyperlink r:id="rId15" w:history="1">
        <w:r w:rsidRPr="00A44D63">
          <w:rPr>
            <w:rFonts w:ascii="FrankRuehl" w:hAnsi="FrankRuehl" w:cs="FrankRuehl"/>
            <w:color w:val="0000FF"/>
            <w:u w:val="single"/>
            <w:rtl/>
          </w:rPr>
          <w:t>40ט(א)(3)</w:t>
        </w:r>
      </w:hyperlink>
      <w:r w:rsidRPr="00A44D63">
        <w:rPr>
          <w:rFonts w:ascii="FrankRuehl" w:hAnsi="FrankRuehl" w:cs="FrankRuehl"/>
          <w:rtl/>
        </w:rPr>
        <w:t xml:space="preserve">, </w:t>
      </w:r>
      <w:hyperlink r:id="rId16" w:history="1">
        <w:r w:rsidRPr="00A44D63">
          <w:rPr>
            <w:rFonts w:ascii="FrankRuehl" w:hAnsi="FrankRuehl" w:cs="FrankRuehl"/>
            <w:color w:val="0000FF"/>
            <w:u w:val="single"/>
            <w:rtl/>
          </w:rPr>
          <w:t>144(ב)</w:t>
        </w:r>
      </w:hyperlink>
      <w:r w:rsidRPr="00A44D63">
        <w:rPr>
          <w:rFonts w:ascii="FrankRuehl" w:hAnsi="FrankRuehl" w:cs="FrankRuehl"/>
          <w:rtl/>
        </w:rPr>
        <w:t xml:space="preserve">, </w:t>
      </w:r>
      <w:hyperlink r:id="rId17" w:history="1">
        <w:r w:rsidRPr="00A44D63">
          <w:rPr>
            <w:rFonts w:ascii="FrankRuehl" w:hAnsi="FrankRuehl" w:cs="FrankRuehl"/>
            <w:color w:val="0000FF"/>
            <w:u w:val="single"/>
            <w:rtl/>
          </w:rPr>
          <w:t>144(ב2)</w:t>
        </w:r>
      </w:hyperlink>
      <w:r w:rsidRPr="00A44D63">
        <w:rPr>
          <w:rFonts w:ascii="FrankRuehl" w:hAnsi="FrankRuehl" w:cs="FrankRuehl"/>
          <w:rtl/>
        </w:rPr>
        <w:t xml:space="preserve">, </w:t>
      </w:r>
      <w:hyperlink r:id="rId18" w:history="1">
        <w:r w:rsidRPr="00A44D63">
          <w:rPr>
            <w:rFonts w:ascii="FrankRuehl" w:hAnsi="FrankRuehl" w:cs="FrankRuehl"/>
            <w:color w:val="0000FF"/>
            <w:u w:val="single"/>
            <w:rtl/>
          </w:rPr>
          <w:t>152</w:t>
        </w:r>
      </w:hyperlink>
      <w:r w:rsidRPr="00A44D63">
        <w:rPr>
          <w:rFonts w:ascii="FrankRuehl" w:hAnsi="FrankRuehl" w:cs="FrankRuehl"/>
          <w:rtl/>
        </w:rPr>
        <w:t xml:space="preserve">, </w:t>
      </w:r>
      <w:hyperlink r:id="rId19" w:history="1">
        <w:r w:rsidRPr="00A44D63">
          <w:rPr>
            <w:rFonts w:ascii="FrankRuehl" w:hAnsi="FrankRuehl" w:cs="FrankRuehl"/>
            <w:color w:val="0000FF"/>
            <w:u w:val="single"/>
            <w:rtl/>
          </w:rPr>
          <w:t>273</w:t>
        </w:r>
      </w:hyperlink>
      <w:r w:rsidRPr="00A44D63">
        <w:rPr>
          <w:rFonts w:ascii="FrankRuehl" w:hAnsi="FrankRuehl" w:cs="FrankRuehl"/>
          <w:rtl/>
        </w:rPr>
        <w:t xml:space="preserve">, </w:t>
      </w:r>
      <w:hyperlink r:id="rId20" w:history="1">
        <w:r w:rsidRPr="00A44D63">
          <w:rPr>
            <w:rFonts w:ascii="FrankRuehl" w:hAnsi="FrankRuehl" w:cs="FrankRuehl"/>
            <w:color w:val="0000FF"/>
            <w:u w:val="single"/>
            <w:rtl/>
          </w:rPr>
          <w:t>274.1.</w:t>
        </w:r>
      </w:hyperlink>
      <w:r w:rsidRPr="00A44D63">
        <w:rPr>
          <w:rFonts w:ascii="FrankRuehl" w:hAnsi="FrankRuehl" w:cs="FrankRuehl"/>
          <w:rtl/>
        </w:rPr>
        <w:t xml:space="preserve">, </w:t>
      </w:r>
      <w:hyperlink r:id="rId21" w:history="1">
        <w:r w:rsidRPr="00A44D63">
          <w:rPr>
            <w:rFonts w:ascii="FrankRuehl" w:hAnsi="FrankRuehl" w:cs="FrankRuehl"/>
            <w:color w:val="0000FF"/>
            <w:u w:val="single"/>
            <w:rtl/>
          </w:rPr>
          <w:t>274.2.</w:t>
        </w:r>
      </w:hyperlink>
      <w:r w:rsidRPr="00A44D63">
        <w:rPr>
          <w:rFonts w:ascii="FrankRuehl" w:hAnsi="FrankRuehl" w:cs="FrankRuehl"/>
          <w:rtl/>
        </w:rPr>
        <w:t xml:space="preserve">, </w:t>
      </w:r>
      <w:hyperlink r:id="rId22" w:history="1">
        <w:r w:rsidRPr="00A44D63">
          <w:rPr>
            <w:rFonts w:ascii="FrankRuehl" w:hAnsi="FrankRuehl" w:cs="FrankRuehl"/>
            <w:color w:val="0000FF"/>
            <w:u w:val="single"/>
            <w:rtl/>
          </w:rPr>
          <w:t>274.3</w:t>
        </w:r>
      </w:hyperlink>
      <w:r w:rsidRPr="00A44D63">
        <w:rPr>
          <w:rFonts w:ascii="FrankRuehl" w:hAnsi="FrankRuehl" w:cs="FrankRuehl"/>
          <w:rtl/>
        </w:rPr>
        <w:t xml:space="preserve">, </w:t>
      </w:r>
      <w:hyperlink r:id="rId23" w:history="1">
        <w:r w:rsidRPr="00A44D63">
          <w:rPr>
            <w:rFonts w:ascii="FrankRuehl" w:hAnsi="FrankRuehl" w:cs="FrankRuehl"/>
            <w:color w:val="0000FF"/>
            <w:u w:val="single"/>
            <w:rtl/>
          </w:rPr>
          <w:t>329(א)(2)</w:t>
        </w:r>
      </w:hyperlink>
      <w:r w:rsidRPr="00A44D63">
        <w:rPr>
          <w:rFonts w:ascii="FrankRuehl" w:hAnsi="FrankRuehl" w:cs="FrankRuehl"/>
          <w:rtl/>
        </w:rPr>
        <w:t xml:space="preserve">, </w:t>
      </w:r>
      <w:hyperlink r:id="rId24" w:history="1">
        <w:r w:rsidRPr="00A44D63">
          <w:rPr>
            <w:rFonts w:ascii="FrankRuehl" w:hAnsi="FrankRuehl" w:cs="FrankRuehl"/>
            <w:color w:val="0000FF"/>
            <w:u w:val="single"/>
            <w:rtl/>
          </w:rPr>
          <w:t>382א(ב)</w:t>
        </w:r>
      </w:hyperlink>
      <w:r w:rsidRPr="00A44D63">
        <w:rPr>
          <w:rFonts w:ascii="FrankRuehl" w:hAnsi="FrankRuehl" w:cs="FrankRuehl"/>
          <w:rtl/>
        </w:rPr>
        <w:t xml:space="preserve">, </w:t>
      </w:r>
      <w:hyperlink r:id="rId25" w:history="1">
        <w:r w:rsidRPr="00A44D63">
          <w:rPr>
            <w:rFonts w:ascii="FrankRuehl" w:hAnsi="FrankRuehl" w:cs="FrankRuehl"/>
            <w:color w:val="0000FF"/>
            <w:u w:val="single"/>
            <w:rtl/>
          </w:rPr>
          <w:t>40יא</w:t>
        </w:r>
      </w:hyperlink>
      <w:r w:rsidRPr="00A44D63">
        <w:rPr>
          <w:rFonts w:ascii="FrankRuehl" w:hAnsi="FrankRuehl" w:cs="FrankRuehl"/>
          <w:rtl/>
        </w:rPr>
        <w:t xml:space="preserve">, </w:t>
      </w:r>
      <w:hyperlink r:id="rId26" w:history="1">
        <w:r w:rsidRPr="00A44D63">
          <w:rPr>
            <w:rFonts w:ascii="FrankRuehl" w:hAnsi="FrankRuehl" w:cs="FrankRuehl"/>
            <w:color w:val="0000FF"/>
            <w:u w:val="single"/>
            <w:rtl/>
          </w:rPr>
          <w:t>40יג(ב)</w:t>
        </w:r>
      </w:hyperlink>
      <w:r w:rsidRPr="00A44D63">
        <w:rPr>
          <w:rFonts w:ascii="FrankRuehl" w:hAnsi="FrankRuehl" w:cs="FrankRuehl"/>
          <w:rtl/>
        </w:rPr>
        <w:t xml:space="preserve">, </w:t>
      </w:r>
      <w:hyperlink r:id="rId27" w:history="1">
        <w:r w:rsidRPr="00A44D63">
          <w:rPr>
            <w:rFonts w:ascii="FrankRuehl" w:hAnsi="FrankRuehl" w:cs="FrankRuehl"/>
            <w:color w:val="0000FF"/>
            <w:u w:val="single"/>
            <w:rtl/>
          </w:rPr>
          <w:t>40יד</w:t>
        </w:r>
      </w:hyperlink>
    </w:p>
    <w:p w14:paraId="4476C9FB" w14:textId="77777777" w:rsidR="00A44D63" w:rsidRPr="00A44D63" w:rsidRDefault="00A44D63" w:rsidP="00A44D63">
      <w:pPr>
        <w:spacing w:after="120" w:line="240" w:lineRule="exact"/>
        <w:ind w:left="283" w:hanging="283"/>
        <w:jc w:val="both"/>
        <w:rPr>
          <w:rFonts w:ascii="FrankRuehl" w:hAnsi="FrankRuehl" w:cs="FrankRuehl"/>
          <w:rtl/>
        </w:rPr>
      </w:pPr>
      <w:hyperlink r:id="rId28" w:history="1">
        <w:r w:rsidRPr="00A44D63">
          <w:rPr>
            <w:rFonts w:ascii="FrankRuehl" w:hAnsi="FrankRuehl" w:cs="FrankRuehl"/>
            <w:color w:val="0000FF"/>
            <w:u w:val="single"/>
            <w:rtl/>
          </w:rPr>
          <w:t>חוק הנוער (שפיטה, ענישה ודרכי טיפול), תשל"א-1971</w:t>
        </w:r>
      </w:hyperlink>
    </w:p>
    <w:p w14:paraId="1C2F7582" w14:textId="77777777" w:rsidR="00A44D63" w:rsidRPr="00A44D63" w:rsidRDefault="00A44D63" w:rsidP="00A44D63">
      <w:pPr>
        <w:spacing w:after="120" w:line="240" w:lineRule="exact"/>
        <w:ind w:left="283" w:hanging="283"/>
        <w:jc w:val="both"/>
        <w:rPr>
          <w:rFonts w:ascii="FrankRuehl" w:hAnsi="FrankRuehl" w:cs="FrankRuehl"/>
          <w:rtl/>
        </w:rPr>
      </w:pPr>
    </w:p>
    <w:p w14:paraId="63BBAF1A" w14:textId="77777777" w:rsidR="008A6937" w:rsidRPr="007B7571" w:rsidRDefault="008A6937" w:rsidP="008A6937">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6937" w14:paraId="1115C87F" w14:textId="77777777">
        <w:trPr>
          <w:trHeight w:val="355"/>
          <w:jc w:val="center"/>
        </w:trPr>
        <w:tc>
          <w:tcPr>
            <w:tcW w:w="8820" w:type="dxa"/>
            <w:tcBorders>
              <w:top w:val="nil"/>
              <w:left w:val="nil"/>
              <w:bottom w:val="nil"/>
              <w:right w:val="nil"/>
            </w:tcBorders>
            <w:shd w:val="clear" w:color="auto" w:fill="auto"/>
          </w:tcPr>
          <w:p w14:paraId="32395F19" w14:textId="77777777" w:rsidR="007B7571" w:rsidRPr="007B7571" w:rsidRDefault="007B7571" w:rsidP="007B7571">
            <w:pPr>
              <w:jc w:val="center"/>
              <w:rPr>
                <w:rFonts w:ascii="Arial" w:hAnsi="Arial" w:cs="FrankRuehl"/>
                <w:b/>
                <w:bCs/>
                <w:sz w:val="32"/>
                <w:szCs w:val="32"/>
                <w:u w:val="single"/>
                <w:rtl/>
              </w:rPr>
            </w:pPr>
            <w:bookmarkStart w:id="4" w:name="PsakDin" w:colFirst="0" w:colLast="0"/>
            <w:bookmarkEnd w:id="0"/>
            <w:r w:rsidRPr="007B7571">
              <w:rPr>
                <w:rFonts w:ascii="Arial" w:hAnsi="Arial" w:cs="FrankRuehl"/>
                <w:b/>
                <w:bCs/>
                <w:sz w:val="32"/>
                <w:szCs w:val="32"/>
                <w:u w:val="single"/>
                <w:rtl/>
              </w:rPr>
              <w:t>גזר דין</w:t>
            </w:r>
          </w:p>
          <w:p w14:paraId="5E021613" w14:textId="77777777" w:rsidR="008A6937" w:rsidRPr="007B7571" w:rsidRDefault="008A6937" w:rsidP="007B7571">
            <w:pPr>
              <w:jc w:val="center"/>
              <w:rPr>
                <w:rFonts w:ascii="Arial" w:hAnsi="Arial" w:cs="FrankRuehl"/>
                <w:bCs/>
                <w:sz w:val="32"/>
                <w:szCs w:val="32"/>
                <w:u w:val="single"/>
                <w:rtl/>
              </w:rPr>
            </w:pPr>
          </w:p>
        </w:tc>
      </w:tr>
      <w:bookmarkEnd w:id="4"/>
    </w:tbl>
    <w:p w14:paraId="0BB971B4" w14:textId="77777777" w:rsidR="008A6937" w:rsidRPr="00B05847" w:rsidRDefault="008A6937" w:rsidP="008A6937">
      <w:pPr>
        <w:rPr>
          <w:rFonts w:ascii="Arial" w:hAnsi="Arial"/>
          <w:rtl/>
        </w:rPr>
      </w:pPr>
    </w:p>
    <w:p w14:paraId="644BB764" w14:textId="77777777" w:rsidR="008A6937" w:rsidRDefault="008A6937" w:rsidP="008A6937">
      <w:pPr>
        <w:rPr>
          <w:rFonts w:ascii="Arial" w:hAnsi="Arial"/>
          <w:rtl/>
        </w:rPr>
      </w:pPr>
    </w:p>
    <w:p w14:paraId="47C76F96" w14:textId="77777777" w:rsidR="008A6937" w:rsidRDefault="008A6937" w:rsidP="008A6937">
      <w:pPr>
        <w:spacing w:line="360" w:lineRule="auto"/>
        <w:rPr>
          <w:rtl/>
        </w:rPr>
      </w:pPr>
      <w:bookmarkStart w:id="5" w:name="ABSTRACT_START"/>
      <w:bookmarkEnd w:id="5"/>
      <w:r>
        <w:rPr>
          <w:rFonts w:hint="cs"/>
          <w:rtl/>
        </w:rPr>
        <w:t>הנאשם הודה והורשע במספר עבירות, הנוגעות למעשים הקשורים בהפרות סדר</w:t>
      </w:r>
      <w:bookmarkStart w:id="6" w:name="ABSTRACT_END"/>
      <w:bookmarkEnd w:id="6"/>
      <w:r>
        <w:rPr>
          <w:rFonts w:hint="cs"/>
          <w:rtl/>
        </w:rPr>
        <w:t>.</w:t>
      </w:r>
    </w:p>
    <w:p w14:paraId="4910BBC9" w14:textId="77777777" w:rsidR="008A6937" w:rsidRDefault="008A6937" w:rsidP="008A6937">
      <w:pPr>
        <w:rPr>
          <w:rFonts w:ascii="Arial" w:hAnsi="Arial"/>
          <w:rtl/>
        </w:rPr>
      </w:pPr>
    </w:p>
    <w:p w14:paraId="2200F63F" w14:textId="77777777" w:rsidR="008A6937" w:rsidRPr="00B05847" w:rsidRDefault="008A6937" w:rsidP="008A6937">
      <w:pPr>
        <w:rPr>
          <w:rFonts w:ascii="Arial" w:hAnsi="Arial"/>
          <w:rtl/>
        </w:rPr>
      </w:pPr>
    </w:p>
    <w:p w14:paraId="19F39BC4" w14:textId="77777777" w:rsidR="008A6937" w:rsidRDefault="008A6937" w:rsidP="008A6937">
      <w:pPr>
        <w:spacing w:line="360" w:lineRule="auto"/>
        <w:jc w:val="both"/>
        <w:rPr>
          <w:rtl/>
        </w:rPr>
      </w:pPr>
      <w:r>
        <w:rPr>
          <w:rFonts w:hint="cs"/>
          <w:rtl/>
        </w:rPr>
        <w:t>בהכרעת דין מיום 19.5.16, הורשע הנאשם על פי הודאתו, במסגרת הסדר טיעון בעבירות הבאות:</w:t>
      </w:r>
    </w:p>
    <w:p w14:paraId="31AB6F9E" w14:textId="77777777" w:rsidR="008A6937" w:rsidRDefault="008A6937" w:rsidP="008A6937">
      <w:pPr>
        <w:spacing w:line="360" w:lineRule="auto"/>
        <w:jc w:val="both"/>
        <w:rPr>
          <w:rtl/>
        </w:rPr>
      </w:pPr>
    </w:p>
    <w:p w14:paraId="18E5C9D5" w14:textId="77777777" w:rsidR="008A6937" w:rsidRDefault="008A6937" w:rsidP="008A6937">
      <w:pPr>
        <w:spacing w:line="360" w:lineRule="auto"/>
        <w:jc w:val="both"/>
        <w:rPr>
          <w:rtl/>
        </w:rPr>
      </w:pPr>
      <w:r w:rsidRPr="00234839">
        <w:rPr>
          <w:rFonts w:hint="cs"/>
          <w:b/>
          <w:bCs/>
          <w:u w:val="single"/>
          <w:rtl/>
        </w:rPr>
        <w:t>אישום ראשון</w:t>
      </w:r>
      <w:r>
        <w:rPr>
          <w:rFonts w:hint="cs"/>
          <w:rtl/>
        </w:rPr>
        <w:t xml:space="preserve"> </w:t>
      </w:r>
      <w:r>
        <w:rPr>
          <w:rtl/>
        </w:rPr>
        <w:t>–</w:t>
      </w:r>
      <w:r>
        <w:rPr>
          <w:rFonts w:hint="cs"/>
          <w:rtl/>
        </w:rPr>
        <w:t xml:space="preserve"> עבירה של התפרעות, עבירה לפי </w:t>
      </w:r>
      <w:hyperlink r:id="rId29" w:history="1">
        <w:r w:rsidR="00A44D63" w:rsidRPr="00A44D63">
          <w:rPr>
            <w:color w:val="0000FF"/>
            <w:u w:val="single"/>
            <w:rtl/>
          </w:rPr>
          <w:t>סעיף 152</w:t>
        </w:r>
      </w:hyperlink>
      <w:r>
        <w:rPr>
          <w:rFonts w:hint="cs"/>
          <w:rtl/>
        </w:rPr>
        <w:t xml:space="preserve"> ל</w:t>
      </w:r>
      <w:hyperlink r:id="rId30" w:history="1">
        <w:r w:rsidR="007B7571" w:rsidRPr="007B7571">
          <w:rPr>
            <w:color w:val="0000FF"/>
            <w:u w:val="single"/>
            <w:rtl/>
          </w:rPr>
          <w:t>חוק העונשין</w:t>
        </w:r>
      </w:hyperlink>
      <w:r>
        <w:rPr>
          <w:rFonts w:hint="cs"/>
          <w:rtl/>
        </w:rPr>
        <w:t xml:space="preserve">, התשל"ז </w:t>
      </w:r>
      <w:r>
        <w:rPr>
          <w:rtl/>
        </w:rPr>
        <w:t>–</w:t>
      </w:r>
      <w:r>
        <w:rPr>
          <w:rFonts w:hint="cs"/>
          <w:rtl/>
        </w:rPr>
        <w:t xml:space="preserve"> 1977 (להלן </w:t>
      </w:r>
      <w:r>
        <w:rPr>
          <w:rtl/>
        </w:rPr>
        <w:t>–</w:t>
      </w:r>
      <w:r>
        <w:rPr>
          <w:rFonts w:hint="cs"/>
          <w:rtl/>
        </w:rPr>
        <w:t xml:space="preserve"> החוק). כעולה מכתב האישום המתוקן, בתאריך 12.10.15, בשעה 15:30 או בסמוך לכך, צעירים יידו אבנים לעבר כוחות משטרה ובטחון באזור מסגד הארבעים בשכונת עיסוויה בירושלים. הנאשם הצטרף להתפרעות, ובכך השתתף בצוותא חדא בהתקהלות אסורה שמטרתה הפרת השלום והטלת אימה על הציבור.</w:t>
      </w:r>
    </w:p>
    <w:p w14:paraId="427CA428" w14:textId="77777777" w:rsidR="008A6937" w:rsidRPr="00FB3208" w:rsidRDefault="008A6937" w:rsidP="008A6937">
      <w:pPr>
        <w:spacing w:line="360" w:lineRule="auto"/>
        <w:jc w:val="both"/>
        <w:rPr>
          <w:b/>
          <w:bCs/>
          <w:rtl/>
        </w:rPr>
      </w:pPr>
    </w:p>
    <w:p w14:paraId="42B259B7" w14:textId="77777777" w:rsidR="008A6937" w:rsidRDefault="008A6937" w:rsidP="008A6937">
      <w:pPr>
        <w:spacing w:line="360" w:lineRule="auto"/>
        <w:jc w:val="both"/>
        <w:rPr>
          <w:rtl/>
        </w:rPr>
      </w:pPr>
      <w:r w:rsidRPr="00234839">
        <w:rPr>
          <w:rFonts w:hint="cs"/>
          <w:b/>
          <w:bCs/>
          <w:u w:val="single"/>
          <w:rtl/>
        </w:rPr>
        <w:t>אישום שני</w:t>
      </w:r>
      <w:r>
        <w:rPr>
          <w:rFonts w:hint="cs"/>
          <w:rtl/>
        </w:rPr>
        <w:t xml:space="preserve"> </w:t>
      </w:r>
      <w:r>
        <w:rPr>
          <w:rtl/>
        </w:rPr>
        <w:t>–</w:t>
      </w:r>
      <w:r>
        <w:rPr>
          <w:rFonts w:hint="cs"/>
          <w:rtl/>
        </w:rPr>
        <w:t xml:space="preserve"> עבירה של התפרעות, עבירה לפי </w:t>
      </w:r>
      <w:hyperlink r:id="rId31" w:history="1">
        <w:r w:rsidR="00A44D63" w:rsidRPr="00A44D63">
          <w:rPr>
            <w:color w:val="0000FF"/>
            <w:u w:val="single"/>
            <w:rtl/>
          </w:rPr>
          <w:t>סעיף 152</w:t>
        </w:r>
      </w:hyperlink>
      <w:r>
        <w:rPr>
          <w:rFonts w:hint="cs"/>
          <w:rtl/>
        </w:rPr>
        <w:t xml:space="preserve"> לחוק; עבירה של ניסיון תקיפת עובד ציבור בנסיבות מחמירות </w:t>
      </w:r>
      <w:r>
        <w:rPr>
          <w:rtl/>
        </w:rPr>
        <w:t>–</w:t>
      </w:r>
      <w:r>
        <w:rPr>
          <w:rFonts w:hint="cs"/>
          <w:rtl/>
        </w:rPr>
        <w:t xml:space="preserve"> עבירה לפי </w:t>
      </w:r>
      <w:hyperlink r:id="rId32" w:history="1">
        <w:r w:rsidR="00A44D63" w:rsidRPr="00A44D63">
          <w:rPr>
            <w:color w:val="0000FF"/>
            <w:u w:val="single"/>
            <w:rtl/>
          </w:rPr>
          <w:t>סעיף 382א(ב)</w:t>
        </w:r>
      </w:hyperlink>
      <w:r>
        <w:rPr>
          <w:rFonts w:hint="cs"/>
          <w:rtl/>
        </w:rPr>
        <w:t xml:space="preserve"> לחוק בצירוף </w:t>
      </w:r>
      <w:hyperlink r:id="rId33" w:history="1">
        <w:r w:rsidR="00A44D63" w:rsidRPr="00A44D63">
          <w:rPr>
            <w:color w:val="0000FF"/>
            <w:u w:val="single"/>
            <w:rtl/>
          </w:rPr>
          <w:t>סעיף 25</w:t>
        </w:r>
      </w:hyperlink>
      <w:r>
        <w:rPr>
          <w:rFonts w:hint="cs"/>
          <w:rtl/>
        </w:rPr>
        <w:t xml:space="preserve"> לחוק. כעולה מכתב האישום המתוקן, בתאריך 15.10.15, בשעה 16:00 או בסמוך לכך, צעירים יידו אבנים לעבר כוחות משטרה ובטחון באזור מסגד הארבעים בשכונת עיסוויה בירושלים. הנאשם הצטרף והחל ליידות אבנים. הנאשם יידה מספר אבנים, ובכך השתתף בצוותא חדא בהתקהלות אסורה שמטרתה הפרת השלום </w:t>
      </w:r>
      <w:r>
        <w:rPr>
          <w:rFonts w:hint="cs"/>
          <w:rtl/>
        </w:rPr>
        <w:lastRenderedPageBreak/>
        <w:t>והטלת אימה על הציבור וכן ניסה לתקוף עובד ציבור, בכוונה להכשילו או למנוע ממנו מלמלא את תפקידו, כשהנאשם היה מזויין בנשק חם וכאשר התקיפה הייתה בצוותא של יותר משני אנשים.</w:t>
      </w:r>
    </w:p>
    <w:p w14:paraId="4F288A63" w14:textId="77777777" w:rsidR="008A6937" w:rsidRDefault="008A6937" w:rsidP="008A6937">
      <w:pPr>
        <w:spacing w:line="360" w:lineRule="auto"/>
        <w:jc w:val="both"/>
        <w:rPr>
          <w:rtl/>
        </w:rPr>
      </w:pPr>
      <w:r>
        <w:rPr>
          <w:rFonts w:hint="cs"/>
          <w:rtl/>
        </w:rPr>
        <w:t xml:space="preserve"> </w:t>
      </w:r>
    </w:p>
    <w:p w14:paraId="6151C7B0" w14:textId="77777777" w:rsidR="008A6937" w:rsidRDefault="008A6937" w:rsidP="008A6937">
      <w:pPr>
        <w:spacing w:line="360" w:lineRule="auto"/>
        <w:jc w:val="both"/>
        <w:rPr>
          <w:rtl/>
        </w:rPr>
      </w:pPr>
      <w:r w:rsidRPr="00234839">
        <w:rPr>
          <w:rFonts w:hint="cs"/>
          <w:b/>
          <w:bCs/>
          <w:u w:val="single"/>
          <w:rtl/>
        </w:rPr>
        <w:t>אישום שלישי</w:t>
      </w:r>
      <w:r w:rsidRPr="009B652F">
        <w:rPr>
          <w:rFonts w:hint="cs"/>
          <w:rtl/>
        </w:rPr>
        <w:t xml:space="preserve"> </w:t>
      </w:r>
      <w:r w:rsidRPr="009B652F">
        <w:rPr>
          <w:rtl/>
        </w:rPr>
        <w:t>–</w:t>
      </w:r>
      <w:r w:rsidRPr="009B652F">
        <w:rPr>
          <w:rFonts w:hint="cs"/>
          <w:rtl/>
        </w:rPr>
        <w:t xml:space="preserve"> עבירה של התפרעות, עבירה לפי </w:t>
      </w:r>
      <w:hyperlink r:id="rId34" w:history="1">
        <w:r w:rsidR="00A44D63" w:rsidRPr="00A44D63">
          <w:rPr>
            <w:color w:val="0000FF"/>
            <w:u w:val="single"/>
            <w:rtl/>
          </w:rPr>
          <w:t>סעיף 152</w:t>
        </w:r>
      </w:hyperlink>
      <w:r w:rsidRPr="009B652F">
        <w:rPr>
          <w:rFonts w:hint="cs"/>
          <w:rtl/>
        </w:rPr>
        <w:t xml:space="preserve"> לחוק; ייצור נשק, עבירה לפי </w:t>
      </w:r>
      <w:hyperlink r:id="rId35" w:history="1">
        <w:r w:rsidR="00A44D63" w:rsidRPr="00A44D63">
          <w:rPr>
            <w:color w:val="0000FF"/>
            <w:u w:val="single"/>
            <w:rtl/>
          </w:rPr>
          <w:t>סעיף 144(ב2)</w:t>
        </w:r>
      </w:hyperlink>
      <w:r w:rsidRPr="009B652F">
        <w:rPr>
          <w:rFonts w:hint="cs"/>
          <w:rtl/>
        </w:rPr>
        <w:t xml:space="preserve"> לחוק; נשיאת והובלת נשק </w:t>
      </w:r>
      <w:r w:rsidRPr="009B652F">
        <w:rPr>
          <w:rtl/>
        </w:rPr>
        <w:t>–</w:t>
      </w:r>
      <w:r w:rsidRPr="009B652F">
        <w:rPr>
          <w:rFonts w:hint="cs"/>
          <w:rtl/>
        </w:rPr>
        <w:t xml:space="preserve"> עבירה לפי </w:t>
      </w:r>
      <w:hyperlink r:id="rId36" w:history="1">
        <w:r w:rsidR="00A44D63" w:rsidRPr="00A44D63">
          <w:rPr>
            <w:color w:val="0000FF"/>
            <w:u w:val="single"/>
            <w:rtl/>
          </w:rPr>
          <w:t>סעיף 144(ב)</w:t>
        </w:r>
      </w:hyperlink>
      <w:r w:rsidRPr="009B652F">
        <w:rPr>
          <w:rFonts w:hint="cs"/>
          <w:rtl/>
        </w:rPr>
        <w:t xml:space="preserve"> רישא לחוק; חבלה בכוונה מחמירה, עבירה לפי </w:t>
      </w:r>
      <w:hyperlink r:id="rId37" w:history="1">
        <w:r w:rsidR="00A44D63" w:rsidRPr="00A44D63">
          <w:rPr>
            <w:color w:val="0000FF"/>
            <w:u w:val="single"/>
            <w:rtl/>
          </w:rPr>
          <w:t>סעיף 329(א)(2)</w:t>
        </w:r>
      </w:hyperlink>
      <w:r w:rsidRPr="009B652F">
        <w:rPr>
          <w:rFonts w:hint="cs"/>
          <w:rtl/>
        </w:rPr>
        <w:t xml:space="preserve"> לחוק.</w:t>
      </w:r>
      <w:r>
        <w:rPr>
          <w:rFonts w:hint="cs"/>
          <w:rtl/>
        </w:rPr>
        <w:t xml:space="preserve"> </w:t>
      </w:r>
    </w:p>
    <w:p w14:paraId="19668EF8" w14:textId="77777777" w:rsidR="008A6937" w:rsidRDefault="008A6937" w:rsidP="008A6937">
      <w:pPr>
        <w:spacing w:line="360" w:lineRule="auto"/>
        <w:jc w:val="both"/>
        <w:rPr>
          <w:rtl/>
        </w:rPr>
      </w:pPr>
      <w:r>
        <w:rPr>
          <w:rFonts w:hint="cs"/>
          <w:rtl/>
        </w:rPr>
        <w:t xml:space="preserve">במסגרת הסדר הטיעון הוסכם, כי הצדדים יטענו בשאלת כפל העבירות, ביחס לעבירה של תקיפת עובד ציבור, כאשר בין הצדדים היתה מחלוקת במסגרת האישום השלישי, האם יש מקום להרשיע את הנאשם במסגרת כתב האישום בשתי עבירות בגין מעשה אחד אם לאו: עבירה אחת, חבלה בכוונה מחמירה, עבירה לפי </w:t>
      </w:r>
      <w:hyperlink r:id="rId38" w:history="1">
        <w:r w:rsidR="00A44D63" w:rsidRPr="00A44D63">
          <w:rPr>
            <w:color w:val="0000FF"/>
            <w:u w:val="single"/>
            <w:rtl/>
          </w:rPr>
          <w:t>סעיף 329(א)(2)</w:t>
        </w:r>
      </w:hyperlink>
      <w:r>
        <w:rPr>
          <w:rFonts w:hint="cs"/>
          <w:rtl/>
        </w:rPr>
        <w:t xml:space="preserve"> לחוק, ועבירה שניה, ניסיון תקיפת עובד ציבור בנסיבות מחמירות, עבירה לפי </w:t>
      </w:r>
      <w:hyperlink r:id="rId39" w:history="1">
        <w:r w:rsidR="00A44D63" w:rsidRPr="00A44D63">
          <w:rPr>
            <w:color w:val="0000FF"/>
            <w:u w:val="single"/>
            <w:rtl/>
          </w:rPr>
          <w:t>סעיף 382א(ב)</w:t>
        </w:r>
      </w:hyperlink>
      <w:r>
        <w:rPr>
          <w:rFonts w:hint="cs"/>
          <w:rtl/>
        </w:rPr>
        <w:t xml:space="preserve"> לחוק בצירוף </w:t>
      </w:r>
      <w:hyperlink r:id="rId40" w:history="1">
        <w:r w:rsidR="00A44D63" w:rsidRPr="00A44D63">
          <w:rPr>
            <w:color w:val="0000FF"/>
            <w:u w:val="single"/>
            <w:rtl/>
          </w:rPr>
          <w:t>סעיף 25</w:t>
        </w:r>
      </w:hyperlink>
      <w:r>
        <w:rPr>
          <w:rFonts w:hint="cs"/>
          <w:rtl/>
        </w:rPr>
        <w:t xml:space="preserve"> לחוק. ביום 12.7.16 ניתנה החלטה לפיה, התקבלה עמדת המאשימה, והנאשם הורשע באישום השלישי בשתי העבירות שפורטו בכתב התביעה המתוקן: הן בעבירה של חבלה בכוונה מחמירה, עבירה לפי </w:t>
      </w:r>
      <w:hyperlink r:id="rId41" w:history="1">
        <w:r w:rsidR="00A44D63" w:rsidRPr="00A44D63">
          <w:rPr>
            <w:color w:val="0000FF"/>
            <w:u w:val="single"/>
            <w:rtl/>
          </w:rPr>
          <w:t>סעיף 329(א)(2)</w:t>
        </w:r>
      </w:hyperlink>
      <w:r>
        <w:rPr>
          <w:rFonts w:hint="cs"/>
          <w:rtl/>
        </w:rPr>
        <w:t xml:space="preserve"> לחוק, והן בעבירה של ניסיון לתקיפת עובד ציבור בנסיבות מחמירות, עבירה לפי </w:t>
      </w:r>
      <w:hyperlink r:id="rId42" w:history="1">
        <w:r w:rsidR="00A44D63" w:rsidRPr="00A44D63">
          <w:rPr>
            <w:color w:val="0000FF"/>
            <w:u w:val="single"/>
            <w:rtl/>
          </w:rPr>
          <w:t>סעיף 382א(ב)</w:t>
        </w:r>
      </w:hyperlink>
      <w:r>
        <w:rPr>
          <w:rFonts w:hint="cs"/>
          <w:rtl/>
        </w:rPr>
        <w:t xml:space="preserve"> לחוק בצירוף </w:t>
      </w:r>
      <w:hyperlink r:id="rId43" w:history="1">
        <w:r w:rsidR="00A44D63" w:rsidRPr="00A44D63">
          <w:rPr>
            <w:color w:val="0000FF"/>
            <w:u w:val="single"/>
            <w:rtl/>
          </w:rPr>
          <w:t>סעיף 25</w:t>
        </w:r>
      </w:hyperlink>
      <w:r>
        <w:rPr>
          <w:rFonts w:hint="cs"/>
          <w:rtl/>
        </w:rPr>
        <w:t xml:space="preserve"> לחוק.</w:t>
      </w:r>
    </w:p>
    <w:p w14:paraId="0E878661" w14:textId="77777777" w:rsidR="008A6937" w:rsidRDefault="008A6937" w:rsidP="008A6937">
      <w:pPr>
        <w:spacing w:line="360" w:lineRule="auto"/>
        <w:jc w:val="both"/>
        <w:rPr>
          <w:rtl/>
        </w:rPr>
      </w:pPr>
    </w:p>
    <w:p w14:paraId="003AF941" w14:textId="77777777" w:rsidR="008A6937" w:rsidRDefault="008A6937" w:rsidP="008A6937">
      <w:pPr>
        <w:spacing w:line="360" w:lineRule="auto"/>
        <w:jc w:val="both"/>
        <w:rPr>
          <w:rtl/>
        </w:rPr>
      </w:pPr>
      <w:r>
        <w:rPr>
          <w:rFonts w:hint="cs"/>
          <w:rtl/>
        </w:rPr>
        <w:t>על פי האישום השלישי בכתב האישום המתוקן, בתאריך 16.10.15, גמלה בלבו של הנאשם להכין מטען צינור על מנת ליידות אותו לעבר כוחות הביטחון בשכונת עיסוויה בירושלים. למחרת, 17.10.15 רכש חומרים לצורך ייצור המטען. לאחר מכן, בסביבות השעה 14:00, או בסמוך לכך, הכין את מטען הצינור והחביאו. כעבור שעתיים שמע שכוחות הביטחון הגיעו לשכונת עיסוויה, יצא מביתו, הצטייד במטען הצינור, על מנת ליידותו לעבר כוחות הביטחון.</w:t>
      </w:r>
    </w:p>
    <w:p w14:paraId="7178E70F" w14:textId="77777777" w:rsidR="008A6937" w:rsidRDefault="008A6937" w:rsidP="008A6937">
      <w:pPr>
        <w:spacing w:line="360" w:lineRule="auto"/>
        <w:jc w:val="both"/>
        <w:rPr>
          <w:rtl/>
        </w:rPr>
      </w:pPr>
    </w:p>
    <w:p w14:paraId="46453059" w14:textId="77777777" w:rsidR="008A6937" w:rsidRDefault="008A6937" w:rsidP="008A6937">
      <w:pPr>
        <w:spacing w:line="360" w:lineRule="auto"/>
        <w:jc w:val="both"/>
        <w:rPr>
          <w:rtl/>
        </w:rPr>
      </w:pPr>
      <w:r>
        <w:rPr>
          <w:rFonts w:hint="cs"/>
          <w:rtl/>
        </w:rPr>
        <w:t>הנאשם הלך עם המטען למקום בו התרחשה באותה עת התפרעות, בסמוך למסגד הארבעים בשכונה. הנאשם הדליק את המטען ויידה אותו לעבר אנשי כוחות הביטחון. במעשיו המתוארים ובצוותא חדא, השתתף הנאשם בהתקהלות אסורה, שמטרתה הפרת השלום שיש בה כדי להטיל אימה על הציבור, ייצר נשק ונשא אותו שלא כדין, ניסה לפגוע באדם בנשק פוגעני וזאת במטרה להטיל באדם נכות או מום או לגרום לו חבלה חמורה, וכן ניסה לתקוף עובד ציבור כאשר התקיפה קשורה למילוי תפקידו כחוק וכאשר הנאשם התכוון להכשיל את הנתקף בתפקידו, או למנוע אותו מלמלאו, וכן כאשר הנאשם היה מזויין בנשק חם וכאשר התקיפה הייתה בצוותא של יותר משני אנשים.</w:t>
      </w:r>
    </w:p>
    <w:p w14:paraId="675C9EF8" w14:textId="77777777" w:rsidR="008A6937" w:rsidRDefault="008A6937" w:rsidP="008A6937">
      <w:pPr>
        <w:spacing w:line="360" w:lineRule="auto"/>
        <w:jc w:val="both"/>
        <w:rPr>
          <w:rtl/>
        </w:rPr>
      </w:pPr>
    </w:p>
    <w:p w14:paraId="674B8BB9" w14:textId="77777777" w:rsidR="008A6937" w:rsidRPr="00237337" w:rsidRDefault="008A6937" w:rsidP="008A6937">
      <w:pPr>
        <w:spacing w:line="360" w:lineRule="auto"/>
        <w:jc w:val="both"/>
        <w:rPr>
          <w:b/>
          <w:bCs/>
          <w:sz w:val="36"/>
          <w:szCs w:val="36"/>
          <w:u w:val="single"/>
          <w:rtl/>
        </w:rPr>
      </w:pPr>
      <w:r>
        <w:rPr>
          <w:rFonts w:hint="cs"/>
          <w:rtl/>
        </w:rPr>
        <w:t xml:space="preserve">ביום 22.7.16 נענה מותב זה לבקשת ב"כ הצדדים והורה על צירוף </w:t>
      </w:r>
      <w:hyperlink r:id="rId44" w:history="1">
        <w:r w:rsidR="007B7571" w:rsidRPr="007B7571">
          <w:rPr>
            <w:color w:val="0000FF"/>
            <w:u w:val="single"/>
            <w:rtl/>
          </w:rPr>
          <w:t>ת.פ. 12956-01-15</w:t>
        </w:r>
      </w:hyperlink>
      <w:r>
        <w:rPr>
          <w:rFonts w:hint="cs"/>
          <w:rtl/>
        </w:rPr>
        <w:t xml:space="preserve"> המתנהל בבימ"ש לנוער, בבימ"ש שלום, להליך זה. הוסכם, כי גזר הדין שיינתן יתייחס לשני התיקים. בהליך שצורף הגיעו הצדדים להסכמה בדבר הגשת כתב אישום מתוקן לפיו, הנאשם יודה ותקבע אשמתו. לא הייתה הסכמה לעניין העונש. ביום 16.6.15 על יסוד הודאתו בעובדות כתב האישום המתוקן, </w:t>
      </w:r>
      <w:r>
        <w:rPr>
          <w:rFonts w:hint="cs"/>
          <w:rtl/>
        </w:rPr>
        <w:lastRenderedPageBreak/>
        <w:t xml:space="preserve">נקבע כי הנאשם ביצע את העבירות שיוחסו לו בכתב האישום המתוקן: ניסיון תקיפת שוטר בנסיבות מחמירות, עבירה לפי </w:t>
      </w:r>
      <w:hyperlink r:id="rId45" w:history="1">
        <w:r w:rsidR="00A44D63" w:rsidRPr="00A44D63">
          <w:rPr>
            <w:color w:val="0000FF"/>
            <w:u w:val="single"/>
            <w:rtl/>
          </w:rPr>
          <w:t>סעיף 274(1)+(2)+(3)</w:t>
        </w:r>
      </w:hyperlink>
      <w:r>
        <w:rPr>
          <w:rFonts w:hint="cs"/>
          <w:rtl/>
        </w:rPr>
        <w:t xml:space="preserve"> בצירוף </w:t>
      </w:r>
      <w:hyperlink r:id="rId46" w:history="1">
        <w:r w:rsidR="00A44D63" w:rsidRPr="00A44D63">
          <w:rPr>
            <w:color w:val="0000FF"/>
            <w:u w:val="single"/>
            <w:rtl/>
          </w:rPr>
          <w:t>סעיף 25</w:t>
        </w:r>
      </w:hyperlink>
      <w:r>
        <w:rPr>
          <w:rFonts w:hint="cs"/>
          <w:rtl/>
        </w:rPr>
        <w:t xml:space="preserve"> </w:t>
      </w:r>
      <w:hyperlink r:id="rId47" w:history="1">
        <w:r w:rsidR="00A44D63" w:rsidRPr="00A44D63">
          <w:rPr>
            <w:color w:val="0000FF"/>
            <w:u w:val="single"/>
            <w:rtl/>
          </w:rPr>
          <w:t>וסעיף 29</w:t>
        </w:r>
      </w:hyperlink>
      <w:r>
        <w:rPr>
          <w:rFonts w:hint="cs"/>
          <w:rtl/>
        </w:rPr>
        <w:t xml:space="preserve"> לחוק; התפרעות, עבירה לפי </w:t>
      </w:r>
      <w:hyperlink r:id="rId48" w:history="1">
        <w:r w:rsidR="00A44D63" w:rsidRPr="00A44D63">
          <w:rPr>
            <w:color w:val="0000FF"/>
            <w:u w:val="single"/>
            <w:rtl/>
          </w:rPr>
          <w:t>סעיף 152</w:t>
        </w:r>
      </w:hyperlink>
      <w:r>
        <w:rPr>
          <w:rFonts w:hint="cs"/>
          <w:rtl/>
        </w:rPr>
        <w:t xml:space="preserve"> לחוק; ניסיון תקיפת שוטר, עבירה לפי </w:t>
      </w:r>
      <w:hyperlink r:id="rId49" w:history="1">
        <w:r w:rsidR="00A44D63" w:rsidRPr="00A44D63">
          <w:rPr>
            <w:color w:val="0000FF"/>
            <w:u w:val="single"/>
            <w:rtl/>
          </w:rPr>
          <w:t>סעיף 273</w:t>
        </w:r>
      </w:hyperlink>
      <w:r>
        <w:rPr>
          <w:rFonts w:hint="cs"/>
          <w:rtl/>
        </w:rPr>
        <w:t xml:space="preserve"> בצירוף </w:t>
      </w:r>
      <w:hyperlink r:id="rId50" w:history="1">
        <w:r w:rsidR="00A44D63" w:rsidRPr="00A44D63">
          <w:rPr>
            <w:color w:val="0000FF"/>
            <w:u w:val="single"/>
            <w:rtl/>
          </w:rPr>
          <w:t>סעיף 25</w:t>
        </w:r>
      </w:hyperlink>
      <w:r>
        <w:rPr>
          <w:rFonts w:hint="cs"/>
          <w:rtl/>
        </w:rPr>
        <w:t xml:space="preserve"> לחוק. </w:t>
      </w:r>
    </w:p>
    <w:p w14:paraId="583C2D2B" w14:textId="77777777" w:rsidR="008A6937" w:rsidRDefault="008A6937" w:rsidP="008A6937">
      <w:pPr>
        <w:spacing w:line="360" w:lineRule="auto"/>
        <w:jc w:val="both"/>
        <w:rPr>
          <w:rtl/>
        </w:rPr>
      </w:pPr>
    </w:p>
    <w:p w14:paraId="179DB938" w14:textId="77777777" w:rsidR="008A6937" w:rsidRDefault="008A6937" w:rsidP="008A6937">
      <w:pPr>
        <w:spacing w:line="360" w:lineRule="auto"/>
        <w:jc w:val="both"/>
        <w:rPr>
          <w:rtl/>
        </w:rPr>
      </w:pPr>
      <w:r>
        <w:rPr>
          <w:rFonts w:hint="cs"/>
          <w:rtl/>
        </w:rPr>
        <w:t xml:space="preserve">על פי כתב האישום המתוקן בשנית, צוין כי ביום 1.1.15, בשעה 19:00 או בסמוך לכך, השתתף הנאשם עם אחרים בהתפרעות באזור הכניסה לעיסוויה. הנאשם 2 יידה אבנים לעבר כוחות משטרה שנכחו במקום לצורך שמירת הסדר הציבורי, ממרחק של כ- 40 מטר. כשראו את כוחות הביטחון באים לקראתם החלו לברוח, לכיוון כוח מעצר סמוי שהגיע למקום. במהלך ההתפרעות בה השתתף הנאשם נפגע שוטר בידו מאבן שנזרקה לעברו מאבנים שזרקו מתפרעים אחרים. הנאשם בצוותא חדא, ניסה לתקוף שוטרים כשהתקיפה קשורה למילוי חובתם ותפקידם כחוק וכו' כמפורט בכתב האישום. </w:t>
      </w:r>
    </w:p>
    <w:p w14:paraId="18D750B8" w14:textId="77777777" w:rsidR="008A6937" w:rsidRDefault="008A6937" w:rsidP="008A6937">
      <w:pPr>
        <w:spacing w:line="360" w:lineRule="auto"/>
        <w:jc w:val="both"/>
        <w:rPr>
          <w:rtl/>
        </w:rPr>
      </w:pPr>
    </w:p>
    <w:p w14:paraId="17405F3D" w14:textId="77777777" w:rsidR="008A6937" w:rsidRDefault="008A6937" w:rsidP="008A6937">
      <w:pPr>
        <w:spacing w:line="360" w:lineRule="auto"/>
        <w:jc w:val="both"/>
        <w:rPr>
          <w:rtl/>
        </w:rPr>
      </w:pPr>
      <w:r>
        <w:rPr>
          <w:rFonts w:hint="cs"/>
          <w:rtl/>
        </w:rPr>
        <w:t>הסדר הטיעון אליו הגיעו הצדדים בתיק זה לא כלל הסכמה לעניין העונש וכל צד טען באופן חופשי.</w:t>
      </w:r>
    </w:p>
    <w:p w14:paraId="1B926A13" w14:textId="77777777" w:rsidR="008A6937" w:rsidRDefault="008A6937" w:rsidP="008A6937">
      <w:pPr>
        <w:spacing w:line="360" w:lineRule="auto"/>
        <w:jc w:val="both"/>
        <w:rPr>
          <w:rtl/>
        </w:rPr>
      </w:pPr>
    </w:p>
    <w:p w14:paraId="5AFC163F" w14:textId="77777777" w:rsidR="008A6937" w:rsidRDefault="008A6937" w:rsidP="008A6937">
      <w:pPr>
        <w:spacing w:line="360" w:lineRule="auto"/>
        <w:jc w:val="both"/>
        <w:rPr>
          <w:rtl/>
        </w:rPr>
      </w:pPr>
      <w:r>
        <w:rPr>
          <w:rFonts w:hint="cs"/>
          <w:rtl/>
        </w:rPr>
        <w:t>ב"כ המאשימה עותר להרשעת הנאשם, תוך השתת מאסר בפועל של 5 שנים בכל העבירות (בחפיפה מסוימת), מאסר מותנה וקנס כספי לפי שיקול דעת ביהמ"ש והכל כפי המפורט בפרוטוקול הדיון מאתמול.</w:t>
      </w:r>
    </w:p>
    <w:p w14:paraId="13EE4355" w14:textId="77777777" w:rsidR="008A6937" w:rsidRDefault="008A6937" w:rsidP="008A6937">
      <w:pPr>
        <w:spacing w:line="360" w:lineRule="auto"/>
        <w:jc w:val="both"/>
        <w:rPr>
          <w:rtl/>
        </w:rPr>
      </w:pPr>
    </w:p>
    <w:p w14:paraId="3699E28E" w14:textId="77777777" w:rsidR="008A6937" w:rsidRPr="00FB0561" w:rsidRDefault="008A6937" w:rsidP="008A6937">
      <w:pPr>
        <w:spacing w:line="360" w:lineRule="auto"/>
        <w:jc w:val="both"/>
        <w:rPr>
          <w:rtl/>
        </w:rPr>
      </w:pPr>
      <w:r>
        <w:rPr>
          <w:rFonts w:hint="cs"/>
          <w:rtl/>
        </w:rPr>
        <w:t>ב"כ הנאשם עותר להתחשב בנתונים כולל בעובדה היות הנאשם קטין בעת ביצוע העבירה עפ"י כתב האישום בבימ"ש שלום והעובדה שנורה ברגלו בעת האירועים, ולהסתפק בעונש שנע בין 18 עד 20 חודשי מאסר בפועל ללא קנס, הגם שה-20 חודש לא נרשם בפרוטוקול.</w:t>
      </w:r>
    </w:p>
    <w:p w14:paraId="489530C9" w14:textId="77777777" w:rsidR="008A6937" w:rsidRDefault="008A6937" w:rsidP="008A6937">
      <w:pPr>
        <w:spacing w:line="360" w:lineRule="auto"/>
        <w:jc w:val="both"/>
        <w:rPr>
          <w:rtl/>
        </w:rPr>
      </w:pPr>
    </w:p>
    <w:p w14:paraId="1E7D68A3" w14:textId="77777777" w:rsidR="008A6937" w:rsidRPr="00234839" w:rsidRDefault="008A6937" w:rsidP="008A6937">
      <w:pPr>
        <w:spacing w:line="360" w:lineRule="auto"/>
        <w:jc w:val="both"/>
        <w:rPr>
          <w:b/>
          <w:bCs/>
          <w:u w:val="single"/>
          <w:rtl/>
        </w:rPr>
      </w:pPr>
      <w:r w:rsidRPr="00234839">
        <w:rPr>
          <w:rFonts w:hint="cs"/>
          <w:b/>
          <w:bCs/>
          <w:u w:val="single"/>
          <w:rtl/>
        </w:rPr>
        <w:t>תסקיר שירות המבחן</w:t>
      </w:r>
    </w:p>
    <w:p w14:paraId="4C23F1FB" w14:textId="77777777" w:rsidR="008A6937" w:rsidRDefault="008A6937" w:rsidP="008A6937">
      <w:pPr>
        <w:spacing w:line="360" w:lineRule="auto"/>
        <w:jc w:val="both"/>
        <w:rPr>
          <w:rtl/>
        </w:rPr>
      </w:pPr>
      <w:r>
        <w:rPr>
          <w:rFonts w:hint="cs"/>
          <w:rtl/>
        </w:rPr>
        <w:t xml:space="preserve">מתסקיר שירות המבחן עולה, כי הנאשם הוא כיום בן 19 שנים (יליד 14.5.97). הבכור במשפחה המונה זוג הורים ותשעה ילדים. בעל השכלה של 12 שנות לימוד ותעודת בגרות מלאה והישגים לימודיים גבוהים. טרם מעצרו הנוכחי עבד בתחום הבניין כפועל. </w:t>
      </w:r>
    </w:p>
    <w:p w14:paraId="1A070FF0" w14:textId="77777777" w:rsidR="008A6937" w:rsidRDefault="008A6937" w:rsidP="008A6937">
      <w:pPr>
        <w:spacing w:line="360" w:lineRule="auto"/>
        <w:jc w:val="both"/>
        <w:rPr>
          <w:rtl/>
        </w:rPr>
      </w:pPr>
    </w:p>
    <w:p w14:paraId="1BFB374B" w14:textId="77777777" w:rsidR="008A6937" w:rsidRDefault="008A6937" w:rsidP="008A6937">
      <w:pPr>
        <w:spacing w:line="360" w:lineRule="auto"/>
        <w:jc w:val="both"/>
        <w:rPr>
          <w:rtl/>
        </w:rPr>
      </w:pPr>
      <w:r>
        <w:rPr>
          <w:rFonts w:hint="cs"/>
          <w:rtl/>
        </w:rPr>
        <w:t>מהתסקיר עולה, כי הנאשם לוקח אחריות מלאה על ביצוע העבירות, מלווה בתחושות של חרטה בשל המחירים האישיים שמשלם בגינן (התנגדות המשפחה, אי יכולת להשתתף באירועים משפחתיים, ההליך המשפטי ותוכניות לעתיד) ולא משום הפגיעות והנזק שגרם לאחר. הנאשם לא הביע אמפתיה כלפי אלו שפגע בהם וגרם להם נזק.  עם זאת, הנאשם אומר בדיעבד, כי היה "צעיר ובור" ופעל ללא שיקול דעת ומחשבה, עשה טעות ומבקש את האפשרות לתקנה כיום. עוד מסר, כי היה מושפע מסביבת מגוריו שתמכה בפעולות מסוג זה, לאור המציאות שבה חיילי צה"ל נכנסים לבתי התושבים לעיתים קרובות כדי לבצע מעצרים ולא יכול היה לעמוד מנגד כשראה אנשים פצועים ואת אמו ואחיו החיים בפחד מתמיד בחווייתם. התרשמות שירות המבחן היא, כי ברקע להתנהלותו של הנאשם עמדה הזדהות עם נורמות וערכים לאומניים, אלמנט של תכנון וחזרתיות, ומנגד צוין שאי אפשר לשלול קיומם של מניעים רגשיים של אי הפעלת שיקול דעת הולם, קושי בוויסות רגשי וקושי להתמודד באופן אדפטיבי עם תחושות של תסכול, חוסר אונים, כעס ותוקפנות, בשילוב כוחות אגו חלשים ונטייה לריצוי סביבתו. התרשמות שירות המבחן הייתה להעדר חיבור רגשי לחומרת התנהגותו והשלכותיו בהקשר החברתי הרחב ומהקשיים שצוינו. בשקלול הנתונים נמנע שירות המבחן מהמלצה טיפולית והמליץ על הטלת ענישה קונקרטית ומוחשית שתבוא לידי ביטוי בריצוי עונש מאסר מאחורי סורג בריח. אם תוטל על הנאשם תקופת מאסר הומלץ, כי יבדקו על ידי שב"ס צרכיו הטיפוליים.</w:t>
      </w:r>
    </w:p>
    <w:p w14:paraId="0F84E834" w14:textId="77777777" w:rsidR="008A6937" w:rsidRDefault="008A6937" w:rsidP="008A6937">
      <w:pPr>
        <w:spacing w:line="360" w:lineRule="auto"/>
        <w:jc w:val="both"/>
        <w:rPr>
          <w:rtl/>
        </w:rPr>
      </w:pPr>
    </w:p>
    <w:p w14:paraId="78CCCFF4" w14:textId="77777777" w:rsidR="008A6937" w:rsidRDefault="008A6937" w:rsidP="008A6937">
      <w:pPr>
        <w:spacing w:line="360" w:lineRule="auto"/>
        <w:jc w:val="both"/>
        <w:rPr>
          <w:rtl/>
        </w:rPr>
      </w:pPr>
      <w:r>
        <w:rPr>
          <w:rFonts w:hint="cs"/>
          <w:rtl/>
        </w:rPr>
        <w:t>לנאשם אין הרשעות קודמות, אם כי וכאמור לעיל, התנהל נגדו הליך בבימ"ש לנוער. התרשמות קצין המבחן בתיק שצורף הייתה, כי מדובר בצעיר שגדל והתפתח במשפחה שומרת חוק, העסוקה בהישרדות יומיומית. הנאשם מכונה "יד ימינו" של אביו, בעל מחויבות כלפי בני משפחתו ומסייע בפרנסתם. בלטה התמודדות של המשפחה עם המצב הביטחוני בסביבת המגורים, ואב שמדרבן את ילדיו להתרחק. צוין פער בולט בין חומרת העבירות לבין הרושם החיובי שנוצר כלפי הנאשם במהלך תקופת האבחון בשירות המבחן לנוער. בסופו של דבר שירות המבחן לנוער נמנע מהמלצה טיפולית נוכח חומרת העבירות בהליך שצורף וקשייו של הנאשם לקחת אחריות עליהן. הייתה התרשמות מיכולת תפקודית תקינה לצד ביצוע העבירות הנדונות, העדר אינדיקציה לשימוש בחומרים ממכרים, קיומם של תוכניות לעתיד לצד נזקקות טיפולית, אם כי לא בשלו התנאים ליכולתו של הנאשם להיתרם מטיפול כזה. רמת הסיכון העתידית להישנות עבירות דומות בעתיד נקבעה כבינונית.</w:t>
      </w:r>
    </w:p>
    <w:p w14:paraId="6452C544" w14:textId="77777777" w:rsidR="008A6937" w:rsidRDefault="008A6937" w:rsidP="008A6937">
      <w:pPr>
        <w:spacing w:line="360" w:lineRule="auto"/>
        <w:jc w:val="both"/>
        <w:rPr>
          <w:rtl/>
        </w:rPr>
      </w:pPr>
    </w:p>
    <w:p w14:paraId="5666A4D5" w14:textId="77777777" w:rsidR="008A6937" w:rsidRPr="00234839" w:rsidRDefault="008A6937" w:rsidP="008A6937">
      <w:pPr>
        <w:spacing w:line="360" w:lineRule="auto"/>
        <w:jc w:val="both"/>
        <w:rPr>
          <w:b/>
          <w:bCs/>
          <w:u w:val="single"/>
          <w:rtl/>
        </w:rPr>
      </w:pPr>
      <w:r w:rsidRPr="00234839">
        <w:rPr>
          <w:rFonts w:hint="cs"/>
          <w:b/>
          <w:bCs/>
          <w:u w:val="single"/>
          <w:rtl/>
        </w:rPr>
        <w:t>מתחם העונש ההולם</w:t>
      </w:r>
    </w:p>
    <w:p w14:paraId="3ACE6522" w14:textId="77777777" w:rsidR="008A6937" w:rsidRDefault="008A6937" w:rsidP="008A6937">
      <w:pPr>
        <w:spacing w:line="360" w:lineRule="auto"/>
        <w:jc w:val="both"/>
        <w:rPr>
          <w:rtl/>
        </w:rPr>
      </w:pPr>
      <w:r>
        <w:rPr>
          <w:rFonts w:hint="cs"/>
          <w:rtl/>
        </w:rPr>
        <w:t>בתי המשפט מצווים מפי המחוקק באשר לדרך גזירת העונש לפי תיקון 113 לחוק, וכך עליהם לנהוג. בתי המשפט מצווים כיום לקיים יחס הולם בין חומרת מעשה העבירה בנסיבותיו ומידת אשמו של הנאשם, לבין סוג העונש המוטל עליו ומידתו (</w:t>
      </w:r>
      <w:hyperlink r:id="rId51" w:history="1">
        <w:r w:rsidR="00A44D63" w:rsidRPr="00A44D63">
          <w:rPr>
            <w:color w:val="0000FF"/>
            <w:u w:val="single"/>
            <w:rtl/>
          </w:rPr>
          <w:t>סעיף 40ב'</w:t>
        </w:r>
      </w:hyperlink>
      <w:r>
        <w:rPr>
          <w:rFonts w:hint="cs"/>
          <w:rtl/>
        </w:rPr>
        <w:t xml:space="preserve"> לחוק).</w:t>
      </w:r>
    </w:p>
    <w:p w14:paraId="1B0A9675" w14:textId="77777777" w:rsidR="008A6937" w:rsidRDefault="008A6937" w:rsidP="008A6937">
      <w:pPr>
        <w:spacing w:line="360" w:lineRule="auto"/>
        <w:jc w:val="both"/>
        <w:rPr>
          <w:rtl/>
        </w:rPr>
      </w:pPr>
    </w:p>
    <w:p w14:paraId="003AB676" w14:textId="77777777" w:rsidR="008A6937" w:rsidRDefault="008A6937" w:rsidP="008A6937">
      <w:pPr>
        <w:spacing w:line="360" w:lineRule="auto"/>
        <w:jc w:val="both"/>
        <w:rPr>
          <w:rtl/>
        </w:rPr>
      </w:pPr>
      <w:r>
        <w:rPr>
          <w:rFonts w:hint="cs"/>
          <w:rtl/>
        </w:rPr>
        <w:t>בשלב הראשון יקבע ביהמ"ש מתחם עונש הולם לעבירות שביצע הנאשם, תוך התחשבות בערך החברתי שנפגע מביצוע העבירה, במידת הפגיעה בערך זה, במדיניות הענישה הנהוגה, ובנסיבות הקשורות בביצוע העבירה (</w:t>
      </w:r>
      <w:hyperlink r:id="rId52" w:history="1">
        <w:r w:rsidR="00A44D63" w:rsidRPr="00A44D63">
          <w:rPr>
            <w:color w:val="0000FF"/>
            <w:u w:val="single"/>
            <w:rtl/>
          </w:rPr>
          <w:t>סעיפים 40ג'-40יד</w:t>
        </w:r>
      </w:hyperlink>
      <w:r>
        <w:rPr>
          <w:rFonts w:hint="cs"/>
          <w:rtl/>
        </w:rPr>
        <w:t xml:space="preserve"> לחוק).</w:t>
      </w:r>
    </w:p>
    <w:p w14:paraId="677689EF" w14:textId="77777777" w:rsidR="008A6937" w:rsidRDefault="008A6937" w:rsidP="008A6937">
      <w:pPr>
        <w:spacing w:line="360" w:lineRule="auto"/>
        <w:jc w:val="both"/>
        <w:rPr>
          <w:rtl/>
        </w:rPr>
      </w:pPr>
    </w:p>
    <w:p w14:paraId="49967117" w14:textId="77777777" w:rsidR="008A6937" w:rsidRDefault="008A6937" w:rsidP="008A6937">
      <w:pPr>
        <w:spacing w:line="360" w:lineRule="auto"/>
        <w:jc w:val="both"/>
        <w:rPr>
          <w:rtl/>
        </w:rPr>
      </w:pPr>
      <w:r>
        <w:rPr>
          <w:rFonts w:hint="cs"/>
          <w:rtl/>
        </w:rPr>
        <w:t>מדובר ב- 4 אירועים שונים, אחד מהם התרחש בעוד הנאשם קטין, שבהם הקטין עם אחרים התעמתו עם כוחות הביטחון בעת מילוי תפקידים כדי ולשם פגיעה בהם, בדרך של התפרעות, יידוי אבנים, הכנה ויידוי של מטען צינור והכל ממניע לאומני.</w:t>
      </w:r>
    </w:p>
    <w:p w14:paraId="2B7D4A5C" w14:textId="77777777" w:rsidR="008A6937" w:rsidRDefault="008A6937" w:rsidP="008A6937">
      <w:pPr>
        <w:spacing w:line="360" w:lineRule="auto"/>
        <w:jc w:val="both"/>
        <w:rPr>
          <w:rtl/>
        </w:rPr>
      </w:pPr>
    </w:p>
    <w:p w14:paraId="009A7E72" w14:textId="77777777" w:rsidR="008A6937" w:rsidRDefault="008A6937" w:rsidP="008A6937">
      <w:pPr>
        <w:spacing w:line="360" w:lineRule="auto"/>
        <w:jc w:val="both"/>
        <w:rPr>
          <w:rtl/>
        </w:rPr>
      </w:pPr>
      <w:r>
        <w:rPr>
          <w:rFonts w:hint="cs"/>
          <w:rtl/>
        </w:rPr>
        <w:t>הצדדים הציגו אסמכתאות וטענו בעניין וביהמ"ש עיין באסמכתאות שהוגשו.</w:t>
      </w:r>
    </w:p>
    <w:p w14:paraId="41F198C8" w14:textId="77777777" w:rsidR="008A6937" w:rsidRDefault="008A6937" w:rsidP="008A6937">
      <w:pPr>
        <w:spacing w:line="360" w:lineRule="auto"/>
        <w:jc w:val="both"/>
        <w:rPr>
          <w:rtl/>
        </w:rPr>
      </w:pPr>
    </w:p>
    <w:p w14:paraId="6C7F016D" w14:textId="77777777" w:rsidR="008A6937" w:rsidRPr="00234839" w:rsidRDefault="008A6937" w:rsidP="008A6937">
      <w:pPr>
        <w:spacing w:line="360" w:lineRule="auto"/>
        <w:jc w:val="both"/>
        <w:rPr>
          <w:b/>
          <w:bCs/>
          <w:u w:val="single"/>
          <w:rtl/>
        </w:rPr>
      </w:pPr>
      <w:r w:rsidRPr="00234839">
        <w:rPr>
          <w:rFonts w:hint="cs"/>
          <w:b/>
          <w:bCs/>
          <w:u w:val="single"/>
          <w:rtl/>
        </w:rPr>
        <w:t>קביעת מתחם הענישה לכל אירוע בנפרד</w:t>
      </w:r>
    </w:p>
    <w:p w14:paraId="5F66B6EB" w14:textId="77777777" w:rsidR="008A6937" w:rsidRDefault="008A6937" w:rsidP="008A6937">
      <w:pPr>
        <w:spacing w:line="360" w:lineRule="auto"/>
        <w:jc w:val="both"/>
        <w:rPr>
          <w:rtl/>
        </w:rPr>
      </w:pPr>
      <w:r>
        <w:rPr>
          <w:rFonts w:hint="cs"/>
          <w:rtl/>
        </w:rPr>
        <w:t xml:space="preserve">המאשימה טענה, כי מדובר באירועים נפרדים, ואילו ב"כ הנאשם טען שיש לראות באירועים אירוע אחד. נראה לביהמ"ש עמדת המאשימה בנושא זה, שכן אמנם מדובר באירועים סמוכים בזמן (3 האישומים במסגרת תיק זה), אך הם אירעו במועדים שונים ונסיבותיהם שונות, גם מבחינת החומרה. </w:t>
      </w:r>
    </w:p>
    <w:p w14:paraId="02844D2F" w14:textId="77777777" w:rsidR="008A6937" w:rsidRDefault="008A6937" w:rsidP="008A6937">
      <w:pPr>
        <w:spacing w:line="360" w:lineRule="auto"/>
        <w:jc w:val="both"/>
        <w:rPr>
          <w:rtl/>
        </w:rPr>
      </w:pPr>
      <w:r>
        <w:rPr>
          <w:rFonts w:hint="cs"/>
          <w:rtl/>
        </w:rPr>
        <w:t xml:space="preserve">אין מדובר באירוע אחד אלא במספר אירועים במועדים שונים, למעט האישום השלישי, שלגביו באופן פנימי יש לראות העבירות כאירוע אחד (ראה גם החלטה מיום 12.7.16). </w:t>
      </w:r>
    </w:p>
    <w:p w14:paraId="2891C88F" w14:textId="77777777" w:rsidR="008A6937" w:rsidRDefault="008A6937" w:rsidP="008A6937">
      <w:pPr>
        <w:spacing w:line="360" w:lineRule="auto"/>
        <w:jc w:val="both"/>
        <w:rPr>
          <w:rtl/>
        </w:rPr>
      </w:pPr>
    </w:p>
    <w:p w14:paraId="7BC7F089" w14:textId="77777777" w:rsidR="008A6937" w:rsidRDefault="008A6937" w:rsidP="008A6937">
      <w:pPr>
        <w:spacing w:line="360" w:lineRule="auto"/>
        <w:jc w:val="both"/>
        <w:rPr>
          <w:rtl/>
        </w:rPr>
      </w:pPr>
      <w:r>
        <w:rPr>
          <w:rFonts w:hint="cs"/>
          <w:rtl/>
        </w:rPr>
        <w:t>מאחר ומדובר בכמה אירועים יקבע מתחם עונש הולם לכל אחד מהאירועים, ולאחר מכן רשאי הוא לגזור עונש נפרד לכל אירוע או עונש כולל לכל האירועים (</w:t>
      </w:r>
      <w:hyperlink r:id="rId53" w:history="1">
        <w:r w:rsidR="00A44D63" w:rsidRPr="00A44D63">
          <w:rPr>
            <w:color w:val="0000FF"/>
            <w:u w:val="single"/>
            <w:rtl/>
          </w:rPr>
          <w:t>סעיף 40יג(ב)</w:t>
        </w:r>
      </w:hyperlink>
      <w:r>
        <w:rPr>
          <w:rFonts w:hint="cs"/>
          <w:rtl/>
        </w:rPr>
        <w:t xml:space="preserve"> לחוק).</w:t>
      </w:r>
    </w:p>
    <w:p w14:paraId="4063BFC4" w14:textId="77777777" w:rsidR="008A6937" w:rsidRDefault="008A6937" w:rsidP="008A6937">
      <w:pPr>
        <w:spacing w:line="360" w:lineRule="auto"/>
        <w:jc w:val="both"/>
        <w:rPr>
          <w:rtl/>
        </w:rPr>
      </w:pPr>
    </w:p>
    <w:p w14:paraId="4DC08FC1" w14:textId="77777777" w:rsidR="008A6937" w:rsidRDefault="008A6937" w:rsidP="008A6937">
      <w:pPr>
        <w:spacing w:line="360" w:lineRule="auto"/>
        <w:jc w:val="both"/>
        <w:rPr>
          <w:rtl/>
        </w:rPr>
      </w:pPr>
      <w:r w:rsidRPr="009811D2">
        <w:rPr>
          <w:rFonts w:hint="cs"/>
          <w:b/>
          <w:bCs/>
          <w:rtl/>
        </w:rPr>
        <w:t>לגבי האירוע מיום 12.10.15</w:t>
      </w:r>
      <w:r>
        <w:rPr>
          <w:rFonts w:hint="cs"/>
          <w:rtl/>
        </w:rPr>
        <w:t xml:space="preserve">, עבירה של התפרעות, עבירה לפי </w:t>
      </w:r>
      <w:hyperlink r:id="rId54" w:history="1">
        <w:r w:rsidR="00A44D63" w:rsidRPr="00A44D63">
          <w:rPr>
            <w:color w:val="0000FF"/>
            <w:u w:val="single"/>
            <w:rtl/>
          </w:rPr>
          <w:t>סעיף 152</w:t>
        </w:r>
      </w:hyperlink>
      <w:r>
        <w:rPr>
          <w:rFonts w:hint="cs"/>
          <w:rtl/>
        </w:rPr>
        <w:t xml:space="preserve"> לחוק. המאשימה טענה למתחם של עונש מאסר שירוצה בעבודות שירות ועד למאסר קצר בפועל. סבורני כעמדת המאשימה, ואני קובע, כי מתחם הענישה ההולם נע בין מאסר שירוצה בעבודות שירות לבין מאסר קצר בפועל. </w:t>
      </w:r>
    </w:p>
    <w:p w14:paraId="6F57B8E0" w14:textId="77777777" w:rsidR="008A6937" w:rsidRDefault="008A6937" w:rsidP="008A6937">
      <w:pPr>
        <w:spacing w:line="360" w:lineRule="auto"/>
        <w:jc w:val="both"/>
        <w:rPr>
          <w:rtl/>
        </w:rPr>
      </w:pPr>
    </w:p>
    <w:p w14:paraId="135C5A72" w14:textId="77777777" w:rsidR="008A6937" w:rsidRDefault="008A6937" w:rsidP="008A6937">
      <w:pPr>
        <w:spacing w:line="360" w:lineRule="auto"/>
        <w:jc w:val="both"/>
        <w:rPr>
          <w:rtl/>
        </w:rPr>
      </w:pPr>
      <w:r w:rsidRPr="009811D2">
        <w:rPr>
          <w:rFonts w:hint="cs"/>
          <w:b/>
          <w:bCs/>
          <w:rtl/>
        </w:rPr>
        <w:t>לגבי האירוע מיום 15.10.15</w:t>
      </w:r>
      <w:r>
        <w:rPr>
          <w:rFonts w:hint="cs"/>
          <w:rtl/>
        </w:rPr>
        <w:t xml:space="preserve">, עבירה של התפרעות, עבירה לפי </w:t>
      </w:r>
      <w:hyperlink r:id="rId55" w:history="1">
        <w:r w:rsidR="00A44D63" w:rsidRPr="00A44D63">
          <w:rPr>
            <w:color w:val="0000FF"/>
            <w:u w:val="single"/>
            <w:rtl/>
          </w:rPr>
          <w:t>סעיף 152</w:t>
        </w:r>
      </w:hyperlink>
      <w:r>
        <w:rPr>
          <w:rFonts w:hint="cs"/>
          <w:rtl/>
        </w:rPr>
        <w:t xml:space="preserve"> לחוק ועבירה של ניסיון תקיפת עובד ציבור בנסיבות מחמירות, עבירה לפי </w:t>
      </w:r>
      <w:hyperlink r:id="rId56" w:history="1">
        <w:r w:rsidR="00A44D63" w:rsidRPr="00A44D63">
          <w:rPr>
            <w:color w:val="0000FF"/>
            <w:u w:val="single"/>
            <w:rtl/>
          </w:rPr>
          <w:t>סעיף 382א(ב)</w:t>
        </w:r>
      </w:hyperlink>
      <w:r>
        <w:rPr>
          <w:rFonts w:hint="cs"/>
          <w:rtl/>
        </w:rPr>
        <w:t xml:space="preserve"> לחוק בצירוף </w:t>
      </w:r>
      <w:hyperlink r:id="rId57" w:history="1">
        <w:r w:rsidR="00A44D63" w:rsidRPr="00A44D63">
          <w:rPr>
            <w:color w:val="0000FF"/>
            <w:u w:val="single"/>
            <w:rtl/>
          </w:rPr>
          <w:t>סעיף 25</w:t>
        </w:r>
      </w:hyperlink>
      <w:r>
        <w:rPr>
          <w:rFonts w:hint="cs"/>
          <w:rtl/>
        </w:rPr>
        <w:t xml:space="preserve"> לחוק. המאשימה טענה למתחם ענישה הולם הנע בין 12 עד 30 חודשי מאסר בפועל. לאחר שעיינתי בפסיקה שהוגשה סבורני, שמתחם הענישה ההולם נע בין 6 ל- 18 חודשי מאסר בפועל.</w:t>
      </w:r>
    </w:p>
    <w:p w14:paraId="59067EA3" w14:textId="77777777" w:rsidR="008A6937" w:rsidRDefault="008A6937" w:rsidP="008A6937">
      <w:pPr>
        <w:spacing w:line="360" w:lineRule="auto"/>
        <w:jc w:val="both"/>
        <w:rPr>
          <w:rtl/>
        </w:rPr>
      </w:pPr>
    </w:p>
    <w:p w14:paraId="69350808" w14:textId="77777777" w:rsidR="008A6937" w:rsidRDefault="008A6937" w:rsidP="008A6937">
      <w:pPr>
        <w:spacing w:line="360" w:lineRule="auto"/>
        <w:jc w:val="both"/>
        <w:rPr>
          <w:rtl/>
        </w:rPr>
      </w:pPr>
      <w:r w:rsidRPr="009811D2">
        <w:rPr>
          <w:rFonts w:hint="cs"/>
          <w:b/>
          <w:bCs/>
          <w:rtl/>
        </w:rPr>
        <w:t>לגבי האירוע מיום 16.10.16</w:t>
      </w:r>
      <w:r>
        <w:rPr>
          <w:rFonts w:hint="cs"/>
          <w:rtl/>
        </w:rPr>
        <w:t xml:space="preserve">, עבירה של התפרעות, עבירה לפי </w:t>
      </w:r>
      <w:hyperlink r:id="rId58" w:history="1">
        <w:r w:rsidR="00A44D63" w:rsidRPr="00A44D63">
          <w:rPr>
            <w:color w:val="0000FF"/>
            <w:u w:val="single"/>
            <w:rtl/>
          </w:rPr>
          <w:t>סעיף 152</w:t>
        </w:r>
      </w:hyperlink>
      <w:r>
        <w:rPr>
          <w:rFonts w:hint="cs"/>
          <w:rtl/>
        </w:rPr>
        <w:t xml:space="preserve"> לחוק, עבירה של ייצור נשק, עבירה לפי </w:t>
      </w:r>
      <w:hyperlink r:id="rId59" w:history="1">
        <w:r w:rsidR="00A44D63" w:rsidRPr="00A44D63">
          <w:rPr>
            <w:color w:val="0000FF"/>
            <w:u w:val="single"/>
            <w:rtl/>
          </w:rPr>
          <w:t>סעיף 144(ב2)</w:t>
        </w:r>
      </w:hyperlink>
      <w:r>
        <w:rPr>
          <w:rFonts w:hint="cs"/>
          <w:rtl/>
        </w:rPr>
        <w:t xml:space="preserve"> לחוק; עבירה של נשיאת והובלת נשק, עבירה לפי </w:t>
      </w:r>
      <w:hyperlink r:id="rId60" w:history="1">
        <w:r w:rsidR="00A44D63" w:rsidRPr="00A44D63">
          <w:rPr>
            <w:color w:val="0000FF"/>
            <w:u w:val="single"/>
            <w:rtl/>
          </w:rPr>
          <w:t>סעיף 144(ב)</w:t>
        </w:r>
      </w:hyperlink>
      <w:r>
        <w:rPr>
          <w:rFonts w:hint="cs"/>
          <w:rtl/>
        </w:rPr>
        <w:t xml:space="preserve"> לחוק; עבירה של חבלה בכוונה מחמירה, עבירה לפי </w:t>
      </w:r>
      <w:hyperlink r:id="rId61" w:history="1">
        <w:r w:rsidR="00A44D63" w:rsidRPr="00A44D63">
          <w:rPr>
            <w:color w:val="0000FF"/>
            <w:u w:val="single"/>
            <w:rtl/>
          </w:rPr>
          <w:t>סעיף 329(א)(2)</w:t>
        </w:r>
      </w:hyperlink>
      <w:r>
        <w:rPr>
          <w:rFonts w:hint="cs"/>
          <w:rtl/>
        </w:rPr>
        <w:t xml:space="preserve"> לחוק; עבירה של ניסיון תקיפת עובד ציבור בנסיבות מחמירות, עבירה לפי </w:t>
      </w:r>
      <w:hyperlink r:id="rId62" w:history="1">
        <w:r w:rsidR="00A44D63" w:rsidRPr="00A44D63">
          <w:rPr>
            <w:color w:val="0000FF"/>
            <w:u w:val="single"/>
            <w:rtl/>
          </w:rPr>
          <w:t>סעיף 382א(ב)</w:t>
        </w:r>
      </w:hyperlink>
      <w:r>
        <w:rPr>
          <w:rFonts w:hint="cs"/>
          <w:rtl/>
        </w:rPr>
        <w:t xml:space="preserve"> לחוק בצירוף </w:t>
      </w:r>
      <w:hyperlink r:id="rId63" w:history="1">
        <w:r w:rsidR="00A44D63" w:rsidRPr="00A44D63">
          <w:rPr>
            <w:color w:val="0000FF"/>
            <w:u w:val="single"/>
            <w:rtl/>
          </w:rPr>
          <w:t>סעיף 25</w:t>
        </w:r>
      </w:hyperlink>
      <w:r>
        <w:rPr>
          <w:rFonts w:hint="cs"/>
          <w:rtl/>
        </w:rPr>
        <w:t xml:space="preserve"> לחוק. המאשימה טענה כי מתחם הענישה ההולם נע בין 30 ל- 60 חודשים מאסר בפועל. סבורני, שמתחם הענישה ההולם נע בין 24 ל- 48 חודשי מאסר בפועל. </w:t>
      </w:r>
    </w:p>
    <w:p w14:paraId="32820C6C" w14:textId="77777777" w:rsidR="008A6937" w:rsidRDefault="008A6937" w:rsidP="008A6937">
      <w:pPr>
        <w:spacing w:line="360" w:lineRule="auto"/>
        <w:jc w:val="both"/>
        <w:rPr>
          <w:rtl/>
        </w:rPr>
      </w:pPr>
    </w:p>
    <w:p w14:paraId="42236C31" w14:textId="77777777" w:rsidR="008A6937" w:rsidRDefault="008A6937" w:rsidP="008A6937">
      <w:pPr>
        <w:spacing w:line="360" w:lineRule="auto"/>
        <w:jc w:val="both"/>
        <w:rPr>
          <w:rtl/>
        </w:rPr>
      </w:pPr>
      <w:r w:rsidRPr="003F07CE">
        <w:rPr>
          <w:rFonts w:hint="cs"/>
          <w:b/>
          <w:bCs/>
          <w:rtl/>
        </w:rPr>
        <w:t>לגבי האישום ב</w:t>
      </w:r>
      <w:hyperlink r:id="rId64" w:history="1">
        <w:r w:rsidR="007B7571" w:rsidRPr="007B7571">
          <w:rPr>
            <w:b/>
            <w:bCs/>
            <w:color w:val="0000FF"/>
            <w:u w:val="single"/>
            <w:rtl/>
          </w:rPr>
          <w:t>ת.פ. 12956-01-15</w:t>
        </w:r>
      </w:hyperlink>
      <w:r w:rsidRPr="003F07CE">
        <w:rPr>
          <w:rFonts w:hint="cs"/>
          <w:b/>
          <w:bCs/>
          <w:rtl/>
        </w:rPr>
        <w:t xml:space="preserve"> שצורף</w:t>
      </w:r>
      <w:r>
        <w:rPr>
          <w:rFonts w:hint="cs"/>
          <w:rtl/>
        </w:rPr>
        <w:t xml:space="preserve">, מדובר בעבירות שבוצעו בעת שהנאשם היה קטין ולכן אין הוראות סעיף 113 חלות עליו. עם זאת, גם במקום בו הנאשם קטין, ניתן להתייחס לעקרונות הבניית הענישה: </w:t>
      </w:r>
      <w:hyperlink r:id="rId65" w:history="1">
        <w:r w:rsidR="007B7571" w:rsidRPr="007B7571">
          <w:rPr>
            <w:color w:val="0000FF"/>
            <w:u w:val="single"/>
            <w:rtl/>
          </w:rPr>
          <w:t>ת.פ. 29269-09-15</w:t>
        </w:r>
      </w:hyperlink>
      <w:r>
        <w:rPr>
          <w:rFonts w:hint="cs"/>
          <w:rtl/>
        </w:rPr>
        <w:t xml:space="preserve"> </w:t>
      </w:r>
      <w:r w:rsidRPr="00BC65DE">
        <w:rPr>
          <w:rFonts w:hint="cs"/>
          <w:b/>
          <w:bCs/>
          <w:rtl/>
        </w:rPr>
        <w:t>מ"י נ' מחמוד מחמוד</w:t>
      </w:r>
      <w:r>
        <w:rPr>
          <w:rFonts w:hint="cs"/>
          <w:rtl/>
        </w:rPr>
        <w:t xml:space="preserve"> (14.7.16) סעיף 11.</w:t>
      </w:r>
    </w:p>
    <w:p w14:paraId="63FA6F49" w14:textId="77777777" w:rsidR="008A6937" w:rsidRDefault="008A6937" w:rsidP="008A6937">
      <w:pPr>
        <w:spacing w:line="360" w:lineRule="auto"/>
        <w:jc w:val="both"/>
        <w:rPr>
          <w:rtl/>
        </w:rPr>
      </w:pPr>
    </w:p>
    <w:p w14:paraId="198C3B68" w14:textId="77777777" w:rsidR="008A6937" w:rsidRDefault="008A6937" w:rsidP="008A6937">
      <w:pPr>
        <w:spacing w:line="360" w:lineRule="auto"/>
        <w:jc w:val="both"/>
        <w:rPr>
          <w:rtl/>
        </w:rPr>
      </w:pPr>
      <w:r>
        <w:rPr>
          <w:rFonts w:hint="cs"/>
          <w:rtl/>
        </w:rPr>
        <w:t xml:space="preserve">ב"כ הנאשם גם טען, ששיקולי הענישה אינם יכולים להתעלם מהיות הנאשם קטין בתיק שצורף, דבר שמשליך לשיטתו גם על שיקולי הענישה בתיק זה שצריכים להיות על פי עקרונות </w:t>
      </w:r>
      <w:hyperlink r:id="rId66" w:history="1">
        <w:r w:rsidR="007B7571" w:rsidRPr="007B7571">
          <w:rPr>
            <w:color w:val="0000FF"/>
            <w:u w:val="single"/>
            <w:rtl/>
          </w:rPr>
          <w:t>חוק הנוער (שפיטה, ענישה ודרכי טיפול)</w:t>
        </w:r>
      </w:hyperlink>
      <w:r>
        <w:rPr>
          <w:rFonts w:hint="cs"/>
          <w:rtl/>
        </w:rPr>
        <w:t xml:space="preserve">, תשל"א -1971. במקרה דנן, התסקיר מלמד, כי למרות שיש נזקקות טיפולית, אין הנאשם בשל לכך כיום. הנאשם אף שלל את הצורך בהתערבות טיפולית. לכך יש השלכה לטענות השיקום שהעלה ב"כ, שכן ללא הכרה בצורך הטיפולי ונכונות לטיפול ולשיקום לא ניתן להתקדם וידי ביהמ"ש בנושא זה כבולות, ויש להמתין ולקוות לכך שבחלוף הזמן הנאשם יגיע לתובנות כדי להיזקק לטיפול. </w:t>
      </w:r>
    </w:p>
    <w:p w14:paraId="33CFD03C" w14:textId="77777777" w:rsidR="008A6937" w:rsidRDefault="008A6937" w:rsidP="008A6937">
      <w:pPr>
        <w:spacing w:line="360" w:lineRule="auto"/>
        <w:jc w:val="both"/>
        <w:rPr>
          <w:rtl/>
        </w:rPr>
      </w:pPr>
    </w:p>
    <w:p w14:paraId="46746444" w14:textId="77777777" w:rsidR="008A6937" w:rsidRDefault="008A6937" w:rsidP="008A6937">
      <w:pPr>
        <w:spacing w:line="360" w:lineRule="auto"/>
        <w:jc w:val="both"/>
        <w:rPr>
          <w:rtl/>
        </w:rPr>
      </w:pPr>
      <w:r>
        <w:rPr>
          <w:rFonts w:hint="cs"/>
          <w:rtl/>
        </w:rPr>
        <w:t xml:space="preserve">כמו כן, קטינות אינה מהווה חסינות מפני מאסר: </w:t>
      </w:r>
      <w:hyperlink r:id="rId67" w:history="1">
        <w:r w:rsidR="007B7571" w:rsidRPr="007B7571">
          <w:rPr>
            <w:color w:val="0000FF"/>
            <w:u w:val="single"/>
            <w:rtl/>
          </w:rPr>
          <w:t>ע"פ 5026/12</w:t>
        </w:r>
      </w:hyperlink>
      <w:r>
        <w:rPr>
          <w:rFonts w:hint="cs"/>
          <w:rtl/>
        </w:rPr>
        <w:t xml:space="preserve"> </w:t>
      </w:r>
      <w:r w:rsidRPr="005F3F5A">
        <w:rPr>
          <w:rFonts w:hint="cs"/>
          <w:b/>
          <w:bCs/>
          <w:rtl/>
        </w:rPr>
        <w:t>פלוני נ' מ"י</w:t>
      </w:r>
      <w:r>
        <w:rPr>
          <w:rFonts w:hint="cs"/>
          <w:rtl/>
        </w:rPr>
        <w:t xml:space="preserve"> (10.2.13). זאת ועוד, לאחר שהנאשם בגר הוא המשיך במעשיו ואף הסלים אותם, דבר שמלמד, כי אין מדובר במעשים שנעשו בחוסר שיקול דעת בשל קטינות הנאשם אלא באופן מחושב ומכוון, ממניע לאומני, ולפיכך משקל היותו של הנאשם קטין באישום שצורף אינו רב.</w:t>
      </w:r>
    </w:p>
    <w:p w14:paraId="7A374FB4" w14:textId="77777777" w:rsidR="008A6937" w:rsidRDefault="008A6937" w:rsidP="008A6937">
      <w:pPr>
        <w:spacing w:line="360" w:lineRule="auto"/>
        <w:jc w:val="both"/>
        <w:rPr>
          <w:rtl/>
        </w:rPr>
      </w:pPr>
    </w:p>
    <w:p w14:paraId="36F9A5C6" w14:textId="77777777" w:rsidR="008A6937" w:rsidRDefault="008A6937" w:rsidP="008A6937">
      <w:pPr>
        <w:spacing w:line="360" w:lineRule="auto"/>
        <w:jc w:val="both"/>
        <w:rPr>
          <w:rtl/>
        </w:rPr>
      </w:pPr>
      <w:r>
        <w:rPr>
          <w:rFonts w:hint="cs"/>
          <w:rtl/>
        </w:rPr>
        <w:t xml:space="preserve">קבעתי את מתחמי הענישה הראויים כעולה </w:t>
      </w:r>
      <w:hyperlink r:id="rId68" w:history="1">
        <w:r w:rsidR="00A44D63" w:rsidRPr="00A44D63">
          <w:rPr>
            <w:color w:val="0000FF"/>
            <w:u w:val="single"/>
            <w:rtl/>
          </w:rPr>
          <w:t>מסעיף 40ג(א)</w:t>
        </w:r>
      </w:hyperlink>
      <w:r>
        <w:rPr>
          <w:rFonts w:hint="cs"/>
          <w:rtl/>
        </w:rPr>
        <w:t xml:space="preserve"> לחוק תוך שנתתי משקל למספר שיקולים: הערך החברתי שנפגע מביצוע העבירה ומידת הפגיעה בו. הערכים המוגנים שנפגעו כוללים את ערך השמירה על ביטחונם ושלמות גופם של כוחות הביטחון, ההגנה של שלטון החוק ועל הסדר הציבורי. הנאשם פגע בערכים אלו פגיעה חמורה, לא רק בעצם הסיכון שנוצר לשוטרים, לפגיעה בהם, אלא ביציאתו חוצץ נגד רשויות החוק והאכיפה.</w:t>
      </w:r>
    </w:p>
    <w:p w14:paraId="225980A9" w14:textId="77777777" w:rsidR="008A6937" w:rsidRDefault="008A6937" w:rsidP="008A6937">
      <w:pPr>
        <w:spacing w:line="360" w:lineRule="auto"/>
        <w:jc w:val="both"/>
        <w:rPr>
          <w:rtl/>
        </w:rPr>
      </w:pPr>
    </w:p>
    <w:p w14:paraId="5EA9A42A" w14:textId="77777777" w:rsidR="008A6937" w:rsidRDefault="008A6937" w:rsidP="008A6937">
      <w:pPr>
        <w:spacing w:line="360" w:lineRule="auto"/>
        <w:jc w:val="both"/>
        <w:rPr>
          <w:rtl/>
        </w:rPr>
      </w:pPr>
      <w:r>
        <w:rPr>
          <w:rFonts w:hint="cs"/>
          <w:rtl/>
        </w:rPr>
        <w:t>מבחינת הנסיבות הקשורות בביצוע העבירה (</w:t>
      </w:r>
      <w:hyperlink r:id="rId69" w:history="1">
        <w:r w:rsidR="00A44D63" w:rsidRPr="00A44D63">
          <w:rPr>
            <w:color w:val="0000FF"/>
            <w:u w:val="single"/>
            <w:rtl/>
          </w:rPr>
          <w:t>סעיף 40ט(א)</w:t>
        </w:r>
      </w:hyperlink>
      <w:r>
        <w:rPr>
          <w:rFonts w:hint="cs"/>
          <w:rtl/>
        </w:rPr>
        <w:t xml:space="preserve"> לחוק), מדובר בעבירות שמחייבות החלטה להשתתף בהתפרעויות וכן ביטוי אקטיבי של ניסיון לתקיפת שוטרים על ידי יידוי אבנים, תכנון והכנה של מטען צינור והשלכתו לעברם. יש חומרה בכך שהנאשם חזר על מעשיו במספר הזדמנויות שונות.</w:t>
      </w:r>
    </w:p>
    <w:p w14:paraId="2D0BD81E" w14:textId="77777777" w:rsidR="008A6937" w:rsidRDefault="008A6937" w:rsidP="008A6937">
      <w:pPr>
        <w:spacing w:line="360" w:lineRule="auto"/>
        <w:jc w:val="both"/>
        <w:rPr>
          <w:rtl/>
        </w:rPr>
      </w:pPr>
    </w:p>
    <w:p w14:paraId="3A6ED037" w14:textId="77777777" w:rsidR="008A6937" w:rsidRDefault="008A6937" w:rsidP="008A6937">
      <w:pPr>
        <w:spacing w:line="360" w:lineRule="auto"/>
        <w:jc w:val="both"/>
        <w:rPr>
          <w:rtl/>
        </w:rPr>
      </w:pPr>
      <w:r>
        <w:rPr>
          <w:rFonts w:hint="cs"/>
          <w:rtl/>
        </w:rPr>
        <w:t>הנזק שהיה צפוי להיגרם מביצוע העבירות (</w:t>
      </w:r>
      <w:hyperlink r:id="rId70" w:history="1">
        <w:r w:rsidR="00A44D63" w:rsidRPr="00A44D63">
          <w:rPr>
            <w:color w:val="0000FF"/>
            <w:u w:val="single"/>
            <w:rtl/>
          </w:rPr>
          <w:t>סעיף 40ט(א)(3)</w:t>
        </w:r>
      </w:hyperlink>
      <w:r>
        <w:rPr>
          <w:rFonts w:hint="cs"/>
          <w:rtl/>
        </w:rPr>
        <w:t xml:space="preserve"> לחוק), עולה מעצם מהותן של העבירות עצמן, שטבוע בהן פוטנציאל לנזק רב, וכבר היו מקרים מעולם. חומרת המעשה נובעת, בראש ובראשונה, מכך שנוצר סיכון ממשי לחיי אדם. כאשר מדובר במטען צינור, לא ניתן לדעת מראש כיצד יסתיים האירוע כאשר האש יכולה להתפשט ולפגוע בקורבנות רבים. אמנם בפועל, במקרה דנן, לא הייתה פגיעה / נזק ממטען הצינור, אך אין בכך כדי להקהות את חומרת מעשיו של הנאשם, אשר ביחד עם אחרים יצר סיכון ממשי לחיי אדם: </w:t>
      </w:r>
      <w:hyperlink r:id="rId71" w:history="1">
        <w:r w:rsidR="007B7571" w:rsidRPr="007B7571">
          <w:rPr>
            <w:color w:val="0000FF"/>
            <w:u w:val="single"/>
            <w:rtl/>
          </w:rPr>
          <w:t>בש"פ 8576/00</w:t>
        </w:r>
      </w:hyperlink>
      <w:r>
        <w:rPr>
          <w:rFonts w:hint="cs"/>
          <w:rtl/>
        </w:rPr>
        <w:t xml:space="preserve"> </w:t>
      </w:r>
      <w:r w:rsidRPr="00FB5945">
        <w:rPr>
          <w:rFonts w:hint="cs"/>
          <w:b/>
          <w:bCs/>
          <w:rtl/>
        </w:rPr>
        <w:t>מדינת ישראל נ' מחמוד יוסף אלג'מל</w:t>
      </w:r>
      <w:r>
        <w:rPr>
          <w:rFonts w:hint="cs"/>
          <w:rtl/>
        </w:rPr>
        <w:t xml:space="preserve"> (24.11.00).</w:t>
      </w:r>
    </w:p>
    <w:p w14:paraId="4836953D" w14:textId="77777777" w:rsidR="008A6937" w:rsidRDefault="008A6937" w:rsidP="008A6937">
      <w:pPr>
        <w:spacing w:line="360" w:lineRule="auto"/>
        <w:jc w:val="both"/>
        <w:rPr>
          <w:rtl/>
        </w:rPr>
      </w:pPr>
    </w:p>
    <w:p w14:paraId="71081508" w14:textId="77777777" w:rsidR="008A6937" w:rsidRDefault="008A6937" w:rsidP="008A6937">
      <w:pPr>
        <w:spacing w:line="360" w:lineRule="auto"/>
        <w:jc w:val="both"/>
        <w:rPr>
          <w:rtl/>
        </w:rPr>
      </w:pPr>
      <w:r>
        <w:rPr>
          <w:rFonts w:hint="cs"/>
          <w:rtl/>
        </w:rPr>
        <w:t>הנאשם היה חלק מהתפרעות רבת משתתפים. מדובר בידוי אבנים, שחלקם אף פגע בשוטרים. הנאשם הכין מטען צינור ויידה אותו אל עבר כוחות הביטחון. האירועים בהם היה מעורב הנאשם מבטאים הסלמה. תחילה התפרעות, לאחר מכן התפרעות וניסיון לתקיפת עובד ציבור בנסיבות מחמירות ולבסוף שורה של עבירות, כולל ייצור נשק, נשיאה והובלת נשק, חבלה בכוונה מחמירה וזאת בנוסף להתפרעות ולניסיון לתקיפת עובד ציבור בנסיבות מחמירות.</w:t>
      </w:r>
    </w:p>
    <w:p w14:paraId="5E1BC5DF" w14:textId="77777777" w:rsidR="008A6937" w:rsidRDefault="008A6937" w:rsidP="008A6937">
      <w:pPr>
        <w:spacing w:line="360" w:lineRule="auto"/>
        <w:jc w:val="both"/>
        <w:rPr>
          <w:rtl/>
        </w:rPr>
      </w:pPr>
    </w:p>
    <w:p w14:paraId="6A82E07D" w14:textId="77777777" w:rsidR="008A6937" w:rsidRDefault="008A6937" w:rsidP="008A6937">
      <w:pPr>
        <w:spacing w:line="360" w:lineRule="auto"/>
        <w:jc w:val="both"/>
        <w:rPr>
          <w:rtl/>
        </w:rPr>
      </w:pPr>
      <w:r>
        <w:rPr>
          <w:rFonts w:hint="cs"/>
          <w:rtl/>
        </w:rPr>
        <w:t xml:space="preserve">קביעותיי הן בהתחשב במכלול השיקולים: הענישה שקבע המחוקק לצד העבירות, מהות העבירות ונסיבותיהן ובהתחשב בפסיקת בית המשפט העליון לעניין הצורך להחמיר בענישה בעבירות מן הסוג שבנדון, שחומרתן והאינטרס הציבורי מחייבים התייחסות הולמת בנסיבות בהן התנהגות הנאשם הפכה ל"מכת עיר". </w:t>
      </w:r>
    </w:p>
    <w:p w14:paraId="39EB0B81" w14:textId="77777777" w:rsidR="008A6937" w:rsidRDefault="008A6937" w:rsidP="008A6937">
      <w:pPr>
        <w:spacing w:line="360" w:lineRule="auto"/>
        <w:jc w:val="both"/>
        <w:rPr>
          <w:rtl/>
        </w:rPr>
      </w:pPr>
    </w:p>
    <w:p w14:paraId="09252384" w14:textId="77777777" w:rsidR="008A6937" w:rsidRDefault="007B7571" w:rsidP="008A6937">
      <w:pPr>
        <w:spacing w:line="360" w:lineRule="auto"/>
        <w:jc w:val="both"/>
        <w:rPr>
          <w:rtl/>
        </w:rPr>
      </w:pPr>
      <w:hyperlink r:id="rId72" w:history="1">
        <w:r w:rsidRPr="007B7571">
          <w:rPr>
            <w:color w:val="0000FF"/>
            <w:u w:val="single"/>
            <w:rtl/>
          </w:rPr>
          <w:t>חוק העונשין</w:t>
        </w:r>
      </w:hyperlink>
      <w:r w:rsidR="008A6937">
        <w:rPr>
          <w:rFonts w:hint="cs"/>
          <w:rtl/>
        </w:rPr>
        <w:t xml:space="preserve"> (תיקון מס' 12( והוראת שעה), התשע"ו </w:t>
      </w:r>
      <w:r w:rsidR="008A6937">
        <w:rPr>
          <w:rtl/>
        </w:rPr>
        <w:t>–</w:t>
      </w:r>
      <w:r w:rsidR="008A6937">
        <w:rPr>
          <w:rFonts w:hint="cs"/>
          <w:rtl/>
        </w:rPr>
        <w:t xml:space="preserve"> 2015, ס"ח התשע"ו 12, קובע עונשי מינימום לגבי המעשים שבהם הורשע הנאשם. התיקון נכנס לתוקף ביום 5.11.15, המועד בו פורסם ברשומות, ולכן אינו חל במקרה דנן. </w:t>
      </w:r>
    </w:p>
    <w:p w14:paraId="70D035A6" w14:textId="77777777" w:rsidR="008A6937" w:rsidRPr="00501BBA" w:rsidRDefault="008A6937" w:rsidP="008A6937">
      <w:pPr>
        <w:bidi w:val="0"/>
      </w:pPr>
      <w:r w:rsidRPr="00501BBA">
        <w:rPr>
          <w:rtl/>
        </w:rPr>
        <w:br w:type="page"/>
      </w:r>
    </w:p>
    <w:p w14:paraId="7EA71211" w14:textId="77777777" w:rsidR="008A6937" w:rsidRDefault="008A6937" w:rsidP="008A6937">
      <w:pPr>
        <w:spacing w:line="360" w:lineRule="auto"/>
        <w:jc w:val="both"/>
        <w:rPr>
          <w:u w:val="single"/>
          <w:rtl/>
        </w:rPr>
      </w:pPr>
    </w:p>
    <w:p w14:paraId="6A6D249D" w14:textId="77777777" w:rsidR="008A6937" w:rsidRPr="00501BBA" w:rsidRDefault="008A6937" w:rsidP="008A6937">
      <w:pPr>
        <w:spacing w:line="360" w:lineRule="auto"/>
        <w:jc w:val="both"/>
        <w:rPr>
          <w:b/>
          <w:bCs/>
          <w:u w:val="single"/>
          <w:rtl/>
        </w:rPr>
      </w:pPr>
      <w:r w:rsidRPr="00501BBA">
        <w:rPr>
          <w:rFonts w:hint="cs"/>
          <w:b/>
          <w:bCs/>
          <w:u w:val="single"/>
          <w:rtl/>
        </w:rPr>
        <w:t>נסיבות המצדיקות חריגה ממתחם הענישה (</w:t>
      </w:r>
      <w:hyperlink r:id="rId73" w:history="1">
        <w:r w:rsidR="00A44D63" w:rsidRPr="00A44D63">
          <w:rPr>
            <w:b/>
            <w:bCs/>
            <w:color w:val="0000FF"/>
            <w:u w:val="single"/>
            <w:rtl/>
          </w:rPr>
          <w:t>סעיף 40ד-40ה</w:t>
        </w:r>
      </w:hyperlink>
      <w:r w:rsidRPr="00501BBA">
        <w:rPr>
          <w:rFonts w:hint="cs"/>
          <w:b/>
          <w:bCs/>
          <w:u w:val="single"/>
          <w:rtl/>
        </w:rPr>
        <w:t xml:space="preserve"> לחוק)</w:t>
      </w:r>
    </w:p>
    <w:p w14:paraId="78228069" w14:textId="77777777" w:rsidR="008A6937" w:rsidRDefault="008A6937" w:rsidP="008A6937">
      <w:pPr>
        <w:spacing w:line="360" w:lineRule="auto"/>
        <w:jc w:val="both"/>
        <w:rPr>
          <w:rtl/>
        </w:rPr>
      </w:pPr>
      <w:r>
        <w:rPr>
          <w:rFonts w:hint="cs"/>
          <w:rtl/>
        </w:rPr>
        <w:t xml:space="preserve">בנסיבות המקרה דנן לא מצאתי שמתקיימים חריגים המאפשרים או המצדיקים חריגה ממתחם הענישה, כגון שיקולי שיקום לנאשם. שירות המבחן המליץ להטיל על הנאשם עונש מאסר בפועל. </w:t>
      </w:r>
    </w:p>
    <w:p w14:paraId="5EA53321" w14:textId="77777777" w:rsidR="008A6937" w:rsidRDefault="008A6937" w:rsidP="008A6937">
      <w:pPr>
        <w:spacing w:line="360" w:lineRule="auto"/>
        <w:jc w:val="both"/>
        <w:rPr>
          <w:rtl/>
        </w:rPr>
      </w:pPr>
    </w:p>
    <w:p w14:paraId="02A763EA" w14:textId="77777777" w:rsidR="008A6937" w:rsidRPr="00501BBA" w:rsidRDefault="008A6937" w:rsidP="008A6937">
      <w:pPr>
        <w:spacing w:line="360" w:lineRule="auto"/>
        <w:jc w:val="both"/>
        <w:rPr>
          <w:b/>
          <w:bCs/>
          <w:u w:val="single"/>
          <w:rtl/>
        </w:rPr>
      </w:pPr>
      <w:r w:rsidRPr="00501BBA">
        <w:rPr>
          <w:rFonts w:hint="cs"/>
          <w:b/>
          <w:bCs/>
          <w:u w:val="single"/>
          <w:rtl/>
        </w:rPr>
        <w:t>נסיבות שאינן קשורות בביצוע העבירה (</w:t>
      </w:r>
      <w:hyperlink r:id="rId74" w:history="1">
        <w:r w:rsidR="00A44D63" w:rsidRPr="00A44D63">
          <w:rPr>
            <w:b/>
            <w:bCs/>
            <w:color w:val="0000FF"/>
            <w:u w:val="single"/>
            <w:rtl/>
          </w:rPr>
          <w:t>סעיף 40יא</w:t>
        </w:r>
      </w:hyperlink>
      <w:r w:rsidRPr="00501BBA">
        <w:rPr>
          <w:rFonts w:hint="cs"/>
          <w:b/>
          <w:bCs/>
          <w:u w:val="single"/>
          <w:rtl/>
        </w:rPr>
        <w:t xml:space="preserve"> לחוק)</w:t>
      </w:r>
    </w:p>
    <w:p w14:paraId="6AB0C333" w14:textId="77777777" w:rsidR="008A6937" w:rsidRDefault="008A6937" w:rsidP="008A6937">
      <w:pPr>
        <w:spacing w:line="360" w:lineRule="auto"/>
        <w:jc w:val="both"/>
        <w:rPr>
          <w:rtl/>
        </w:rPr>
      </w:pPr>
      <w:r>
        <w:rPr>
          <w:rFonts w:hint="cs"/>
          <w:rtl/>
        </w:rPr>
        <w:t xml:space="preserve">הנאשם בן 19, בכור מבין 7 אחים. נסיבות חייו אינם קלות. הוא מסייע בפרנסת המשפחה והוא "יד ימינו של אביו". יש לתת משקל לחלקים החיוביים בתסקיר שירות המבחן. על פי התסקיר גילה הנאשם במהלך חייו יציבות תפקודית ותעסוקתית, אין אינדיקציה לשימוש בחומרים ממכרים והוא סיים לימודי תיכון עם תעודת בגרות עם הישגים לימודיים גבוהים. </w:t>
      </w:r>
    </w:p>
    <w:p w14:paraId="1A3D6867" w14:textId="77777777" w:rsidR="008A6937" w:rsidRDefault="008A6937" w:rsidP="008A6937">
      <w:pPr>
        <w:spacing w:line="360" w:lineRule="auto"/>
        <w:jc w:val="both"/>
        <w:rPr>
          <w:rtl/>
        </w:rPr>
      </w:pPr>
    </w:p>
    <w:p w14:paraId="40DAFEFA" w14:textId="77777777" w:rsidR="008A6937" w:rsidRDefault="008A6937" w:rsidP="008A6937">
      <w:pPr>
        <w:spacing w:line="360" w:lineRule="auto"/>
        <w:jc w:val="both"/>
        <w:rPr>
          <w:rtl/>
        </w:rPr>
      </w:pPr>
      <w:r>
        <w:rPr>
          <w:rFonts w:hint="cs"/>
          <w:rtl/>
        </w:rPr>
        <w:t>הנאשם מביע חרטה, ומודע למחירים האישיים הנגבים ממנו בגין מעשיו.</w:t>
      </w:r>
    </w:p>
    <w:p w14:paraId="2C748235" w14:textId="77777777" w:rsidR="008A6937" w:rsidRDefault="008A6937" w:rsidP="008A6937">
      <w:pPr>
        <w:spacing w:line="360" w:lineRule="auto"/>
        <w:jc w:val="both"/>
        <w:rPr>
          <w:rtl/>
        </w:rPr>
      </w:pPr>
    </w:p>
    <w:p w14:paraId="0CB3E660" w14:textId="77777777" w:rsidR="008A6937" w:rsidRDefault="008A6937" w:rsidP="008A6937">
      <w:pPr>
        <w:spacing w:line="360" w:lineRule="auto"/>
        <w:jc w:val="both"/>
        <w:rPr>
          <w:rtl/>
        </w:rPr>
      </w:pPr>
      <w:r>
        <w:rPr>
          <w:rFonts w:hint="cs"/>
          <w:rtl/>
        </w:rPr>
        <w:t xml:space="preserve">לקולא יש לשקול את העובדה, שאין לנאשם עבר פלילי קודם, כי הנאשם הודה בביצוע העבירות וחסך זמן שיפוטי יקר בשתי ערכאות. אם החלטתי שלא למצות את מלוא חומרת הדין עם הנאשם זה היה בעיקר בגלל האמור בסעיף זה. </w:t>
      </w:r>
    </w:p>
    <w:p w14:paraId="6C99B069" w14:textId="77777777" w:rsidR="008A6937" w:rsidRDefault="008A6937" w:rsidP="008A6937">
      <w:pPr>
        <w:spacing w:line="360" w:lineRule="auto"/>
        <w:jc w:val="both"/>
        <w:rPr>
          <w:rtl/>
        </w:rPr>
      </w:pPr>
    </w:p>
    <w:p w14:paraId="5F11AD8B" w14:textId="77777777" w:rsidR="008A6937" w:rsidRDefault="008A6937" w:rsidP="008A6937">
      <w:pPr>
        <w:spacing w:line="360" w:lineRule="auto"/>
        <w:jc w:val="both"/>
        <w:rPr>
          <w:rtl/>
        </w:rPr>
      </w:pPr>
      <w:r>
        <w:rPr>
          <w:rFonts w:hint="cs"/>
          <w:rtl/>
        </w:rPr>
        <w:t>בדבריו לביהמ"ש לא טען הנאשם בפה מלא לחרטה מיוזמתו. ביהמ"ש לא התרשם מחרטה כנה של הנאשם בגין ביצוע העבירות, וזאת להבדיל מחרטה בגין המחירים האישיים, המשפחתיים וכו' שהוא משלם בגינם. השיקולים בחרטה של הנאשם, הם שיקולים אישיים שלו והרושם הוא, כי הנאשם ככל הנראה היה חוזר על המעשים אם האינטרס אישי שלו לא היה נפגע.</w:t>
      </w:r>
    </w:p>
    <w:p w14:paraId="443BA202" w14:textId="77777777" w:rsidR="008A6937" w:rsidRDefault="008A6937" w:rsidP="008A6937">
      <w:pPr>
        <w:spacing w:line="360" w:lineRule="auto"/>
        <w:rPr>
          <w:rtl/>
        </w:rPr>
      </w:pPr>
    </w:p>
    <w:p w14:paraId="3EC311E0" w14:textId="77777777" w:rsidR="008A6937" w:rsidRDefault="008A6937" w:rsidP="008A6937">
      <w:pPr>
        <w:spacing w:line="360" w:lineRule="auto"/>
        <w:jc w:val="both"/>
        <w:rPr>
          <w:rtl/>
        </w:rPr>
      </w:pPr>
      <w:r>
        <w:rPr>
          <w:rFonts w:hint="cs"/>
          <w:rtl/>
        </w:rPr>
        <w:t>לאחר שנתתי את דעתי למכלול השיקולים, לטיעוני הצדדים כמפורט בפרוטוקול, בהתחשב בעקרון המנחה של ההלימה, בהתחשב בערכים שנפגעו ובעוצמת הפגיעה בערכים אלה, בהתחשב בנסיבות ביצוע העבירות, בהתחשב במדיניות הענישה הנוהגת, ומשהורשע הנאשם במספר עבירות המהווים אירועים נפרדים, רשאי ביהמ"ש לגזור עונש כולל לכל האירועים, בפרט שב"כ הצדדים טענו בהתאם.</w:t>
      </w:r>
    </w:p>
    <w:p w14:paraId="5C918E79" w14:textId="77777777" w:rsidR="008A6937" w:rsidRDefault="008A6937" w:rsidP="008A6937">
      <w:pPr>
        <w:spacing w:line="360" w:lineRule="auto"/>
        <w:jc w:val="both"/>
        <w:rPr>
          <w:rtl/>
        </w:rPr>
      </w:pPr>
    </w:p>
    <w:p w14:paraId="57139877" w14:textId="77777777" w:rsidR="008A6937" w:rsidRDefault="008A6937" w:rsidP="008A6937">
      <w:pPr>
        <w:spacing w:line="360" w:lineRule="auto"/>
        <w:rPr>
          <w:rtl/>
        </w:rPr>
      </w:pPr>
      <w:r w:rsidRPr="00501BBA">
        <w:rPr>
          <w:rFonts w:hint="cs"/>
          <w:b/>
          <w:bCs/>
          <w:u w:val="single"/>
          <w:rtl/>
        </w:rPr>
        <w:t>אני מטיל על הנאשם את העונשים הבאים</w:t>
      </w:r>
      <w:r>
        <w:rPr>
          <w:rFonts w:hint="cs"/>
          <w:rtl/>
        </w:rPr>
        <w:t>:</w:t>
      </w:r>
    </w:p>
    <w:p w14:paraId="25CCE546" w14:textId="77777777" w:rsidR="008A6937" w:rsidRDefault="008A6937" w:rsidP="008A6937">
      <w:pPr>
        <w:spacing w:line="360" w:lineRule="auto"/>
        <w:ind w:left="720" w:hanging="720"/>
        <w:jc w:val="both"/>
        <w:rPr>
          <w:rtl/>
        </w:rPr>
      </w:pPr>
      <w:r>
        <w:rPr>
          <w:rFonts w:hint="cs"/>
          <w:rtl/>
        </w:rPr>
        <w:t xml:space="preserve">א. </w:t>
      </w:r>
      <w:r>
        <w:rPr>
          <w:rtl/>
        </w:rPr>
        <w:tab/>
      </w:r>
      <w:r>
        <w:rPr>
          <w:rFonts w:hint="cs"/>
          <w:rtl/>
        </w:rPr>
        <w:t xml:space="preserve">מאסר בפועל של 36  חודשים בקיזוז ימי המעצר מיום 1.1.15 ועד ליום 28.1.15, ומיום 3.11.15 ועד היום. </w:t>
      </w:r>
    </w:p>
    <w:p w14:paraId="40847251" w14:textId="77777777" w:rsidR="008A6937" w:rsidRDefault="008A6937" w:rsidP="008A6937">
      <w:pPr>
        <w:spacing w:line="360" w:lineRule="auto"/>
        <w:ind w:left="720" w:hanging="720"/>
        <w:jc w:val="both"/>
        <w:rPr>
          <w:rtl/>
        </w:rPr>
      </w:pPr>
      <w:r>
        <w:rPr>
          <w:rFonts w:hint="cs"/>
          <w:rtl/>
        </w:rPr>
        <w:t>ב.</w:t>
      </w:r>
      <w:r>
        <w:rPr>
          <w:rFonts w:hint="cs"/>
          <w:rtl/>
        </w:rPr>
        <w:tab/>
        <w:t>מאסר על תנאי של 18 חודשים וזאת למשך 24 חודשים משחרורו ממאסר, אם יעבור כל עבירה בה הורשע, או ניסיון או סיוע באחת מהן.</w:t>
      </w:r>
    </w:p>
    <w:p w14:paraId="342256A2" w14:textId="77777777" w:rsidR="008A6937" w:rsidRDefault="008A6937" w:rsidP="008A6937">
      <w:pPr>
        <w:spacing w:line="360" w:lineRule="auto"/>
        <w:ind w:left="720" w:hanging="720"/>
        <w:jc w:val="both"/>
        <w:rPr>
          <w:rtl/>
        </w:rPr>
      </w:pPr>
      <w:r>
        <w:rPr>
          <w:rFonts w:hint="cs"/>
          <w:rtl/>
        </w:rPr>
        <w:t>ג.</w:t>
      </w:r>
      <w:r>
        <w:rPr>
          <w:rFonts w:hint="cs"/>
          <w:rtl/>
        </w:rPr>
        <w:tab/>
        <w:t>קנס כספי בסך 3,000 ₪ או 25 ימי מאסר תמורתם. הקנס ישולם ב- 10 תשלומים חודשיים שווים ורצופים. התשלום הראשון יהיה ביום 1.11.16. היה ולא יעמוד הנאשם באחד מהתשלומים במועדו, תעמוד היתרה לפירעון מיידי.</w:t>
      </w:r>
    </w:p>
    <w:p w14:paraId="24624A16" w14:textId="77777777" w:rsidR="008A6937" w:rsidRDefault="008A6937" w:rsidP="008A6937">
      <w:pPr>
        <w:spacing w:line="360" w:lineRule="auto"/>
        <w:ind w:left="720" w:hanging="720"/>
        <w:jc w:val="both"/>
        <w:rPr>
          <w:rtl/>
        </w:rPr>
      </w:pPr>
      <w:r>
        <w:rPr>
          <w:rFonts w:hint="cs"/>
          <w:rtl/>
        </w:rPr>
        <w:t>ד.</w:t>
      </w:r>
      <w:r>
        <w:rPr>
          <w:rFonts w:hint="cs"/>
          <w:rtl/>
        </w:rPr>
        <w:tab/>
        <w:t xml:space="preserve">לאור המלצת שירות המבחן, ומשדנתי את הנאשם למאסר בפועל, אני מורה כי שב"ס יבחן את צרכיו הטיפוליים של הנאשם, בתום 3 חודשים מתחילת המאסר. </w:t>
      </w:r>
    </w:p>
    <w:p w14:paraId="69C10189" w14:textId="77777777" w:rsidR="008A6937" w:rsidRDefault="008A6937" w:rsidP="008A6937">
      <w:pPr>
        <w:spacing w:line="360" w:lineRule="auto"/>
        <w:jc w:val="both"/>
        <w:rPr>
          <w:rtl/>
        </w:rPr>
      </w:pPr>
    </w:p>
    <w:p w14:paraId="2C64D2EA" w14:textId="77777777" w:rsidR="008A6937" w:rsidRPr="00917E54" w:rsidRDefault="008A6937" w:rsidP="008A6937">
      <w:pPr>
        <w:spacing w:line="360" w:lineRule="auto"/>
        <w:jc w:val="both"/>
        <w:rPr>
          <w:b/>
          <w:bCs/>
          <w:rtl/>
        </w:rPr>
      </w:pPr>
      <w:r w:rsidRPr="00917E54">
        <w:rPr>
          <w:rFonts w:hint="cs"/>
          <w:b/>
          <w:bCs/>
          <w:rtl/>
        </w:rPr>
        <w:t>זכות ערעור לבית המשפט המחוזי תוך 45 יום מהיום.</w:t>
      </w:r>
    </w:p>
    <w:p w14:paraId="32FC354C" w14:textId="77777777" w:rsidR="008A6937" w:rsidRDefault="008A6937" w:rsidP="008A6937">
      <w:pPr>
        <w:rPr>
          <w:rtl/>
        </w:rPr>
      </w:pPr>
    </w:p>
    <w:p w14:paraId="109579BB" w14:textId="77777777" w:rsidR="008A6937" w:rsidRDefault="008A6937" w:rsidP="008A6937">
      <w:pPr>
        <w:rPr>
          <w:b/>
          <w:bCs/>
          <w:rtl/>
        </w:rPr>
      </w:pPr>
      <w:r>
        <w:rPr>
          <w:rFonts w:hint="cs"/>
          <w:b/>
          <w:bCs/>
          <w:rtl/>
        </w:rPr>
        <w:t xml:space="preserve">העתק גזר הדין יישלח לשירות המבחן לנוער. </w:t>
      </w:r>
    </w:p>
    <w:p w14:paraId="516BBB99" w14:textId="77777777" w:rsidR="008A6937" w:rsidRPr="00234839" w:rsidRDefault="008A6937" w:rsidP="008A6937">
      <w:pPr>
        <w:rPr>
          <w:b/>
          <w:bCs/>
          <w:rtl/>
        </w:rPr>
      </w:pPr>
    </w:p>
    <w:p w14:paraId="2D08AD0E" w14:textId="77777777" w:rsidR="008A6937" w:rsidRPr="007B7571" w:rsidRDefault="007B7571" w:rsidP="008A6937">
      <w:pPr>
        <w:spacing w:line="360" w:lineRule="auto"/>
        <w:jc w:val="both"/>
        <w:rPr>
          <w:rFonts w:ascii="Arial" w:hAnsi="Arial"/>
          <w:b/>
          <w:bCs/>
          <w:color w:val="FFFFFF"/>
          <w:sz w:val="2"/>
          <w:szCs w:val="2"/>
          <w:rtl/>
        </w:rPr>
      </w:pPr>
      <w:r w:rsidRPr="007B7571">
        <w:rPr>
          <w:rFonts w:ascii="Arial" w:hAnsi="Arial"/>
          <w:b/>
          <w:bCs/>
          <w:color w:val="FFFFFF"/>
          <w:sz w:val="2"/>
          <w:szCs w:val="2"/>
          <w:rtl/>
        </w:rPr>
        <w:t>5129371</w:t>
      </w:r>
    </w:p>
    <w:p w14:paraId="40E3CF12" w14:textId="77777777" w:rsidR="008A6937" w:rsidRPr="00234839" w:rsidRDefault="007B7571" w:rsidP="008A6937">
      <w:pPr>
        <w:rPr>
          <w:rFonts w:cs="FrankRuehl"/>
          <w:sz w:val="28"/>
          <w:szCs w:val="28"/>
          <w:rtl/>
        </w:rPr>
      </w:pPr>
      <w:r w:rsidRPr="007B7571">
        <w:rPr>
          <w:rFonts w:ascii="Arial" w:hAnsi="Arial"/>
          <w:b/>
          <w:bCs/>
          <w:color w:val="FFFFFF"/>
          <w:sz w:val="2"/>
          <w:szCs w:val="2"/>
          <w:rtl/>
        </w:rPr>
        <w:t>54678313</w:t>
      </w:r>
      <w:r>
        <w:rPr>
          <w:rFonts w:ascii="Arial" w:hAnsi="Arial"/>
          <w:b/>
          <w:bCs/>
          <w:rtl/>
        </w:rPr>
        <w:t xml:space="preserve">ניתן היום,  כ"ה אלול תשע"ו, 28 ספטמבר 2016, במעמד הצדדים. </w:t>
      </w:r>
    </w:p>
    <w:p w14:paraId="7E8BCF56" w14:textId="77777777" w:rsidR="008A6937" w:rsidRDefault="008A6937" w:rsidP="008A693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9E025D" w14:textId="77777777" w:rsidR="008A6937" w:rsidRDefault="008A6937" w:rsidP="008A6937">
      <w:pPr>
        <w:jc w:val="center"/>
        <w:rPr>
          <w:rFonts w:ascii="Arial" w:hAnsi="Arial" w:cs="FrankRuehl"/>
          <w:sz w:val="28"/>
          <w:szCs w:val="28"/>
          <w:rtl/>
        </w:rPr>
      </w:pPr>
    </w:p>
    <w:p w14:paraId="4CCD87D2" w14:textId="77777777" w:rsidR="008A6937" w:rsidRDefault="008A6937" w:rsidP="008A6937">
      <w:pPr>
        <w:rPr>
          <w:rFonts w:cs="FrankRuehl"/>
          <w:sz w:val="28"/>
          <w:szCs w:val="28"/>
          <w:rtl/>
        </w:rPr>
      </w:pPr>
    </w:p>
    <w:p w14:paraId="03E05B8F" w14:textId="77777777" w:rsidR="008A6937" w:rsidRDefault="008A6937" w:rsidP="008A6937">
      <w:pPr>
        <w:pStyle w:val="a3"/>
        <w:jc w:val="center"/>
        <w:rPr>
          <w:rtl/>
        </w:rPr>
      </w:pPr>
    </w:p>
    <w:p w14:paraId="51252F60" w14:textId="77777777" w:rsidR="007B7571" w:rsidRPr="007B7571" w:rsidRDefault="007B7571" w:rsidP="007B7571">
      <w:pPr>
        <w:keepNext/>
        <w:rPr>
          <w:rFonts w:ascii="David" w:hAnsi="David"/>
          <w:color w:val="000000"/>
          <w:sz w:val="22"/>
          <w:szCs w:val="22"/>
          <w:rtl/>
        </w:rPr>
      </w:pPr>
    </w:p>
    <w:p w14:paraId="1A975915" w14:textId="77777777" w:rsidR="007B7571" w:rsidRPr="007B7571" w:rsidRDefault="007B7571" w:rsidP="007B7571">
      <w:pPr>
        <w:keepNext/>
        <w:rPr>
          <w:rFonts w:ascii="David" w:hAnsi="David"/>
          <w:color w:val="000000"/>
          <w:sz w:val="22"/>
          <w:szCs w:val="22"/>
          <w:rtl/>
        </w:rPr>
      </w:pPr>
      <w:r w:rsidRPr="007B7571">
        <w:rPr>
          <w:rFonts w:ascii="David" w:hAnsi="David"/>
          <w:color w:val="000000"/>
          <w:sz w:val="22"/>
          <w:szCs w:val="22"/>
          <w:rtl/>
        </w:rPr>
        <w:t>דניאל טפרברג 54678313</w:t>
      </w:r>
    </w:p>
    <w:p w14:paraId="3B4140FD" w14:textId="77777777" w:rsidR="007B7571" w:rsidRDefault="007B7571" w:rsidP="007B7571">
      <w:r w:rsidRPr="007B7571">
        <w:rPr>
          <w:color w:val="000000"/>
          <w:rtl/>
        </w:rPr>
        <w:t>נוסח מסמך זה כפוף לשינויי ניסוח ועריכה</w:t>
      </w:r>
      <w:r w:rsidR="0084306D">
        <w:rPr>
          <w:rFonts w:hint="cs"/>
          <w:color w:val="000000"/>
          <w:rtl/>
        </w:rPr>
        <w:t xml:space="preserve">   </w:t>
      </w:r>
    </w:p>
    <w:p w14:paraId="5166F2E4" w14:textId="77777777" w:rsidR="007B7571" w:rsidRDefault="007B7571" w:rsidP="007B7571">
      <w:pPr>
        <w:rPr>
          <w:rtl/>
        </w:rPr>
      </w:pPr>
    </w:p>
    <w:p w14:paraId="7580EB84" w14:textId="77777777" w:rsidR="007B7571" w:rsidRDefault="007B7571" w:rsidP="007B7571">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r w:rsidR="00EB10BE">
        <w:rPr>
          <w:rFonts w:hint="cs"/>
          <w:color w:val="0000FF"/>
          <w:u w:val="single"/>
          <w:rtl/>
        </w:rPr>
        <w:t xml:space="preserve"> </w:t>
      </w:r>
    </w:p>
    <w:p w14:paraId="6DD82D39" w14:textId="77777777" w:rsidR="00B35717" w:rsidRPr="007B7571" w:rsidRDefault="00B35717" w:rsidP="007B7571">
      <w:pPr>
        <w:jc w:val="center"/>
        <w:rPr>
          <w:color w:val="0000FF"/>
          <w:u w:val="single"/>
        </w:rPr>
      </w:pPr>
    </w:p>
    <w:sectPr w:rsidR="00B35717" w:rsidRPr="007B7571" w:rsidSect="007B7571">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8FF08" w14:textId="77777777" w:rsidR="00455823" w:rsidRDefault="00455823">
      <w:r>
        <w:separator/>
      </w:r>
    </w:p>
  </w:endnote>
  <w:endnote w:type="continuationSeparator" w:id="0">
    <w:p w14:paraId="09697A3C" w14:textId="77777777" w:rsidR="00455823" w:rsidRDefault="00455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44946" w14:textId="77777777" w:rsidR="00A335A4" w:rsidRDefault="00A335A4" w:rsidP="007B75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ABBC1F" w14:textId="77777777" w:rsidR="00A335A4" w:rsidRPr="007B7571" w:rsidRDefault="00A335A4" w:rsidP="007B7571">
    <w:pPr>
      <w:pStyle w:val="a4"/>
      <w:pBdr>
        <w:top w:val="single" w:sz="4" w:space="1" w:color="auto"/>
        <w:between w:val="single" w:sz="4" w:space="0" w:color="auto"/>
      </w:pBdr>
      <w:spacing w:after="60"/>
      <w:jc w:val="center"/>
      <w:rPr>
        <w:rFonts w:ascii="FrankRuehl" w:hAnsi="FrankRuehl" w:cs="FrankRuehl"/>
        <w:color w:val="000000"/>
      </w:rPr>
    </w:pPr>
    <w:r w:rsidRPr="007B75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FCF5" w14:textId="77777777" w:rsidR="00A335A4" w:rsidRDefault="00A335A4" w:rsidP="007B75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44F9">
      <w:rPr>
        <w:rFonts w:ascii="FrankRuehl" w:hAnsi="FrankRuehl" w:cs="FrankRuehl"/>
        <w:noProof/>
        <w:rtl/>
      </w:rPr>
      <w:t>1</w:t>
    </w:r>
    <w:r>
      <w:rPr>
        <w:rFonts w:ascii="FrankRuehl" w:hAnsi="FrankRuehl" w:cs="FrankRuehl"/>
        <w:rtl/>
      </w:rPr>
      <w:fldChar w:fldCharType="end"/>
    </w:r>
  </w:p>
  <w:p w14:paraId="499B09F6" w14:textId="77777777" w:rsidR="00A335A4" w:rsidRPr="007B7571" w:rsidRDefault="00A335A4" w:rsidP="007B7571">
    <w:pPr>
      <w:pStyle w:val="a4"/>
      <w:pBdr>
        <w:top w:val="single" w:sz="4" w:space="1" w:color="auto"/>
        <w:between w:val="single" w:sz="4" w:space="0" w:color="auto"/>
      </w:pBdr>
      <w:spacing w:after="60"/>
      <w:jc w:val="center"/>
      <w:rPr>
        <w:rFonts w:ascii="FrankRuehl" w:hAnsi="FrankRuehl" w:cs="FrankRuehl"/>
        <w:color w:val="000000"/>
      </w:rPr>
    </w:pPr>
    <w:r w:rsidRPr="007B7571">
      <w:rPr>
        <w:rFonts w:ascii="FrankRuehl" w:hAnsi="FrankRuehl" w:cs="FrankRuehl"/>
        <w:color w:val="000000"/>
      </w:rPr>
      <w:pict w14:anchorId="1BA69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35481" w14:textId="77777777" w:rsidR="00455823" w:rsidRDefault="00455823">
      <w:r>
        <w:separator/>
      </w:r>
    </w:p>
  </w:footnote>
  <w:footnote w:type="continuationSeparator" w:id="0">
    <w:p w14:paraId="05B7ED23" w14:textId="77777777" w:rsidR="00455823" w:rsidRDefault="00455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EB1BD" w14:textId="77777777" w:rsidR="00A335A4" w:rsidRPr="007B7571" w:rsidRDefault="00A335A4" w:rsidP="007B75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65677-11-15</w:t>
    </w:r>
    <w:r>
      <w:rPr>
        <w:rFonts w:ascii="David" w:hAnsi="David"/>
        <w:color w:val="000000"/>
        <w:sz w:val="22"/>
        <w:szCs w:val="22"/>
        <w:rtl/>
      </w:rPr>
      <w:tab/>
      <w:t xml:space="preserve"> מדינת ישראל נ' פאדי עטייה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C9CA" w14:textId="77777777" w:rsidR="00A335A4" w:rsidRPr="007B7571" w:rsidRDefault="00A335A4" w:rsidP="007B75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65677-11-15</w:t>
    </w:r>
    <w:r>
      <w:rPr>
        <w:rFonts w:ascii="David" w:hAnsi="David"/>
        <w:color w:val="000000"/>
        <w:sz w:val="22"/>
        <w:szCs w:val="22"/>
        <w:rtl/>
      </w:rPr>
      <w:tab/>
      <w:t xml:space="preserve"> מדינת ישראל נ' פאדי עטייה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937"/>
    <w:rsid w:val="00004B4A"/>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2402F"/>
    <w:rsid w:val="00455823"/>
    <w:rsid w:val="004D1A95"/>
    <w:rsid w:val="004D5997"/>
    <w:rsid w:val="00533D5C"/>
    <w:rsid w:val="00551C5E"/>
    <w:rsid w:val="005638FB"/>
    <w:rsid w:val="00582B08"/>
    <w:rsid w:val="005847C1"/>
    <w:rsid w:val="005B4DDE"/>
    <w:rsid w:val="005E305D"/>
    <w:rsid w:val="00671477"/>
    <w:rsid w:val="00675D6A"/>
    <w:rsid w:val="006D1E81"/>
    <w:rsid w:val="006D4150"/>
    <w:rsid w:val="00710EDB"/>
    <w:rsid w:val="007171C2"/>
    <w:rsid w:val="00720984"/>
    <w:rsid w:val="00767C6D"/>
    <w:rsid w:val="007900C5"/>
    <w:rsid w:val="007A3B68"/>
    <w:rsid w:val="007B7571"/>
    <w:rsid w:val="007D10E0"/>
    <w:rsid w:val="007E62CB"/>
    <w:rsid w:val="008043FC"/>
    <w:rsid w:val="008057C3"/>
    <w:rsid w:val="0084306D"/>
    <w:rsid w:val="00860D56"/>
    <w:rsid w:val="00866CE3"/>
    <w:rsid w:val="00875CAA"/>
    <w:rsid w:val="008760F0"/>
    <w:rsid w:val="008A6937"/>
    <w:rsid w:val="008B2C82"/>
    <w:rsid w:val="008D4AF6"/>
    <w:rsid w:val="00901DEA"/>
    <w:rsid w:val="00913EC5"/>
    <w:rsid w:val="00946CA3"/>
    <w:rsid w:val="009744F9"/>
    <w:rsid w:val="009A4E50"/>
    <w:rsid w:val="009A720E"/>
    <w:rsid w:val="009B4682"/>
    <w:rsid w:val="00A02FAB"/>
    <w:rsid w:val="00A03304"/>
    <w:rsid w:val="00A24369"/>
    <w:rsid w:val="00A335A4"/>
    <w:rsid w:val="00A44D63"/>
    <w:rsid w:val="00A472AB"/>
    <w:rsid w:val="00A52B25"/>
    <w:rsid w:val="00A96648"/>
    <w:rsid w:val="00AC345F"/>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14CD0"/>
    <w:rsid w:val="00D308EF"/>
    <w:rsid w:val="00D357B5"/>
    <w:rsid w:val="00D40041"/>
    <w:rsid w:val="00D56203"/>
    <w:rsid w:val="00D807AC"/>
    <w:rsid w:val="00DD36BA"/>
    <w:rsid w:val="00DE1662"/>
    <w:rsid w:val="00E45CCB"/>
    <w:rsid w:val="00E61C95"/>
    <w:rsid w:val="00EA60CD"/>
    <w:rsid w:val="00EB10BE"/>
    <w:rsid w:val="00EE2A1B"/>
    <w:rsid w:val="00F274FE"/>
    <w:rsid w:val="00FD59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4A6C8E"/>
  <w15:chartTrackingRefBased/>
  <w15:docId w15:val="{4672F992-C390-4347-9FF0-F65DB0BD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693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A6937"/>
    <w:pPr>
      <w:tabs>
        <w:tab w:val="center" w:pos="4153"/>
        <w:tab w:val="right" w:pos="8306"/>
      </w:tabs>
    </w:pPr>
  </w:style>
  <w:style w:type="paragraph" w:styleId="a4">
    <w:name w:val="footer"/>
    <w:basedOn w:val="a"/>
    <w:rsid w:val="008A6937"/>
    <w:pPr>
      <w:tabs>
        <w:tab w:val="center" w:pos="4153"/>
        <w:tab w:val="right" w:pos="8306"/>
      </w:tabs>
    </w:pPr>
  </w:style>
  <w:style w:type="character" w:styleId="a5">
    <w:name w:val="page number"/>
    <w:basedOn w:val="a0"/>
    <w:rsid w:val="008A6937"/>
  </w:style>
  <w:style w:type="paragraph" w:customStyle="1" w:styleId="12">
    <w:name w:val="רגיל + ‏12 נק'"/>
    <w:aliases w:val="מיושר לשני הצדדים,מרווח בין שורות:  שורה וחצי"/>
    <w:basedOn w:val="a"/>
    <w:rsid w:val="008A6937"/>
    <w:rPr>
      <w:b/>
      <w:bCs/>
      <w:u w:val="single"/>
    </w:rPr>
  </w:style>
  <w:style w:type="character" w:styleId="Hyperlink">
    <w:name w:val="Hyperlink"/>
    <w:rsid w:val="007B7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b" TargetMode="External"/><Relationship Id="rId21" Type="http://schemas.openxmlformats.org/officeDocument/2006/relationships/hyperlink" Target="http://www.nevo.co.il/law/70301/274.2." TargetMode="External"/><Relationship Id="rId42" Type="http://schemas.openxmlformats.org/officeDocument/2006/relationships/hyperlink" Target="http://www.nevo.co.il/law/70301/382a.b" TargetMode="External"/><Relationship Id="rId47" Type="http://schemas.openxmlformats.org/officeDocument/2006/relationships/hyperlink" Target="http://www.nevo.co.il/law/70301/29" TargetMode="External"/><Relationship Id="rId63" Type="http://schemas.openxmlformats.org/officeDocument/2006/relationships/hyperlink" Target="http://www.nevo.co.il/law/70301/25" TargetMode="External"/><Relationship Id="rId68" Type="http://schemas.openxmlformats.org/officeDocument/2006/relationships/hyperlink" Target="http://www.nevo.co.il/law/70301/40c.a" TargetMode="External"/><Relationship Id="rId16" Type="http://schemas.openxmlformats.org/officeDocument/2006/relationships/hyperlink" Target="http://www.nevo.co.il/law/70301/144.b"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382a.b" TargetMode="External"/><Relationship Id="rId37" Type="http://schemas.openxmlformats.org/officeDocument/2006/relationships/hyperlink" Target="http://www.nevo.co.il/law/70301/329.a.2" TargetMode="External"/><Relationship Id="rId53" Type="http://schemas.openxmlformats.org/officeDocument/2006/relationships/hyperlink" Target="http://www.nevo.co.il/law/70301/40jc.b" TargetMode="External"/><Relationship Id="rId58" Type="http://schemas.openxmlformats.org/officeDocument/2006/relationships/hyperlink" Target="http://www.nevo.co.il/law/70301/152" TargetMode="External"/><Relationship Id="rId74" Type="http://schemas.openxmlformats.org/officeDocument/2006/relationships/hyperlink" Target="http://www.nevo.co.il/law/70301/40ja" TargetMode="External"/><Relationship Id="rId79"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70301/329.a.2" TargetMode="External"/><Relationship Id="rId19" Type="http://schemas.openxmlformats.org/officeDocument/2006/relationships/hyperlink" Target="http://www.nevo.co.il/law/70301/273"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70301/274.3" TargetMode="External"/><Relationship Id="rId27" Type="http://schemas.openxmlformats.org/officeDocument/2006/relationships/hyperlink" Target="http://www.nevo.co.il/law/70301/40jd"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law/70301/25" TargetMode="External"/><Relationship Id="rId48" Type="http://schemas.openxmlformats.org/officeDocument/2006/relationships/hyperlink" Target="http://www.nevo.co.il/law/70301/152" TargetMode="External"/><Relationship Id="rId56" Type="http://schemas.openxmlformats.org/officeDocument/2006/relationships/hyperlink" Target="http://www.nevo.co.il/law/70301/382a.b" TargetMode="External"/><Relationship Id="rId64" Type="http://schemas.openxmlformats.org/officeDocument/2006/relationships/hyperlink" Target="http://www.nevo.co.il/case/18797453" TargetMode="External"/><Relationship Id="rId69" Type="http://schemas.openxmlformats.org/officeDocument/2006/relationships/hyperlink" Target="http://www.nevo.co.il/law/70301/40i.a" TargetMode="External"/><Relationship Id="rId77"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40b" TargetMode="External"/><Relationship Id="rId72" Type="http://schemas.openxmlformats.org/officeDocument/2006/relationships/hyperlink" Target="http://www.nevo.co.il/law/70301"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329.a.2" TargetMode="External"/><Relationship Id="rId46" Type="http://schemas.openxmlformats.org/officeDocument/2006/relationships/hyperlink" Target="http://www.nevo.co.il/law/70301/25" TargetMode="External"/><Relationship Id="rId59" Type="http://schemas.openxmlformats.org/officeDocument/2006/relationships/hyperlink" Target="http://www.nevo.co.il/law/70301/144.b2" TargetMode="External"/><Relationship Id="rId67" Type="http://schemas.openxmlformats.org/officeDocument/2006/relationships/hyperlink" Target="http://www.nevo.co.il/case/6246072" TargetMode="External"/><Relationship Id="rId20" Type="http://schemas.openxmlformats.org/officeDocument/2006/relationships/hyperlink" Target="http://www.nevo.co.il/law/70301/274.1." TargetMode="External"/><Relationship Id="rId41" Type="http://schemas.openxmlformats.org/officeDocument/2006/relationships/hyperlink" Target="http://www.nevo.co.il/law/70301/329.a.2" TargetMode="External"/><Relationship Id="rId54" Type="http://schemas.openxmlformats.org/officeDocument/2006/relationships/hyperlink" Target="http://www.nevo.co.il/law/70301/152" TargetMode="External"/><Relationship Id="rId62" Type="http://schemas.openxmlformats.org/officeDocument/2006/relationships/hyperlink" Target="http://www.nevo.co.il/law/70301/382a.b" TargetMode="External"/><Relationship Id="rId70" Type="http://schemas.openxmlformats.org/officeDocument/2006/relationships/hyperlink" Target="http://www.nevo.co.il/law/70301/40i.a.3" TargetMode="External"/><Relationship Id="rId75"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i.a.3" TargetMode="External"/><Relationship Id="rId23" Type="http://schemas.openxmlformats.org/officeDocument/2006/relationships/hyperlink" Target="http://www.nevo.co.il/law/70301/329.a.2" TargetMode="External"/><Relationship Id="rId28" Type="http://schemas.openxmlformats.org/officeDocument/2006/relationships/hyperlink" Target="http://www.nevo.co.il/law/70348"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law/70301/273" TargetMode="External"/><Relationship Id="rId57" Type="http://schemas.openxmlformats.org/officeDocument/2006/relationships/hyperlink" Target="http://www.nevo.co.il/law/70301/25"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152" TargetMode="External"/><Relationship Id="rId44" Type="http://schemas.openxmlformats.org/officeDocument/2006/relationships/hyperlink" Target="http://www.nevo.co.il/case/18797453" TargetMode="External"/><Relationship Id="rId52" Type="http://schemas.openxmlformats.org/officeDocument/2006/relationships/hyperlink" Target="http://www.nevo.co.il/law/70301/40c;40jd"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case/20576915" TargetMode="External"/><Relationship Id="rId73" Type="http://schemas.openxmlformats.org/officeDocument/2006/relationships/hyperlink" Target="http://www.nevo.co.il/law/70301/40d;40e"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b"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152" TargetMode="External"/><Relationship Id="rId39" Type="http://schemas.openxmlformats.org/officeDocument/2006/relationships/hyperlink" Target="http://www.nevo.co.il/law/70301/382a.b" TargetMode="External"/><Relationship Id="rId34" Type="http://schemas.openxmlformats.org/officeDocument/2006/relationships/hyperlink" Target="http://www.nevo.co.il/law/70301/152" TargetMode="External"/><Relationship Id="rId50" Type="http://schemas.openxmlformats.org/officeDocument/2006/relationships/hyperlink" Target="http://www.nevo.co.il/law/70301/25" TargetMode="External"/><Relationship Id="rId55" Type="http://schemas.openxmlformats.org/officeDocument/2006/relationships/hyperlink" Target="http://www.nevo.co.il/law/70301/152" TargetMode="External"/><Relationship Id="rId76" Type="http://schemas.openxmlformats.org/officeDocument/2006/relationships/header" Target="header1.xml"/><Relationship Id="rId7" Type="http://schemas.openxmlformats.org/officeDocument/2006/relationships/hyperlink" Target="http://www.nevo.co.il/law/70301/25" TargetMode="External"/><Relationship Id="rId71" Type="http://schemas.openxmlformats.org/officeDocument/2006/relationships/hyperlink" Target="http://www.nevo.co.il/case/6132680" TargetMode="External"/><Relationship Id="rId2" Type="http://schemas.openxmlformats.org/officeDocument/2006/relationships/settings" Target="settings.xml"/><Relationship Id="rId29" Type="http://schemas.openxmlformats.org/officeDocument/2006/relationships/hyperlink" Target="http://www.nevo.co.il/law/70301/152" TargetMode="External"/><Relationship Id="rId24" Type="http://schemas.openxmlformats.org/officeDocument/2006/relationships/hyperlink" Target="http://www.nevo.co.il/law/70301/382a.b" TargetMode="External"/><Relationship Id="rId40" Type="http://schemas.openxmlformats.org/officeDocument/2006/relationships/hyperlink" Target="http://www.nevo.co.il/law/70301/25" TargetMode="External"/><Relationship Id="rId45" Type="http://schemas.openxmlformats.org/officeDocument/2006/relationships/hyperlink" Target="http://www.nevo.co.il/law/70301/274.1.;274.2.;274.3" TargetMode="External"/><Relationship Id="rId66" Type="http://schemas.openxmlformats.org/officeDocument/2006/relationships/hyperlink" Target="http://www.nevo.co.il/law/7034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3154</Words>
  <Characters>15771</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18888</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262155</vt:i4>
      </vt:variant>
      <vt:variant>
        <vt:i4>204</vt:i4>
      </vt:variant>
      <vt:variant>
        <vt:i4>0</vt:i4>
      </vt:variant>
      <vt:variant>
        <vt:i4>5</vt:i4>
      </vt:variant>
      <vt:variant>
        <vt:lpwstr>http://www.nevo.co.il/law/70301/40ja</vt:lpwstr>
      </vt:variant>
      <vt:variant>
        <vt:lpwstr/>
      </vt:variant>
      <vt:variant>
        <vt:i4>7209009</vt:i4>
      </vt:variant>
      <vt:variant>
        <vt:i4>201</vt:i4>
      </vt:variant>
      <vt:variant>
        <vt:i4>0</vt:i4>
      </vt:variant>
      <vt:variant>
        <vt:i4>5</vt:i4>
      </vt:variant>
      <vt:variant>
        <vt:lpwstr>http://www.nevo.co.il/law/70301/40d;40e</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3342463</vt:i4>
      </vt:variant>
      <vt:variant>
        <vt:i4>195</vt:i4>
      </vt:variant>
      <vt:variant>
        <vt:i4>0</vt:i4>
      </vt:variant>
      <vt:variant>
        <vt:i4>5</vt:i4>
      </vt:variant>
      <vt:variant>
        <vt:lpwstr>http://www.nevo.co.il/case/6132680</vt:lpwstr>
      </vt:variant>
      <vt:variant>
        <vt:lpwstr/>
      </vt:variant>
      <vt:variant>
        <vt:i4>6619241</vt:i4>
      </vt:variant>
      <vt:variant>
        <vt:i4>192</vt:i4>
      </vt:variant>
      <vt:variant>
        <vt:i4>0</vt:i4>
      </vt:variant>
      <vt:variant>
        <vt:i4>5</vt:i4>
      </vt:variant>
      <vt:variant>
        <vt:lpwstr>http://www.nevo.co.il/law/70301/40i.a.3</vt:lpwstr>
      </vt:variant>
      <vt:variant>
        <vt:lpwstr/>
      </vt:variant>
      <vt:variant>
        <vt:i4>4915208</vt:i4>
      </vt:variant>
      <vt:variant>
        <vt:i4>189</vt:i4>
      </vt:variant>
      <vt:variant>
        <vt:i4>0</vt:i4>
      </vt:variant>
      <vt:variant>
        <vt:i4>5</vt:i4>
      </vt:variant>
      <vt:variant>
        <vt:lpwstr>http://www.nevo.co.il/law/70301/40i.a</vt:lpwstr>
      </vt:variant>
      <vt:variant>
        <vt:lpwstr/>
      </vt:variant>
      <vt:variant>
        <vt:i4>4915202</vt:i4>
      </vt:variant>
      <vt:variant>
        <vt:i4>186</vt:i4>
      </vt:variant>
      <vt:variant>
        <vt:i4>0</vt:i4>
      </vt:variant>
      <vt:variant>
        <vt:i4>5</vt:i4>
      </vt:variant>
      <vt:variant>
        <vt:lpwstr>http://www.nevo.co.il/law/70301/40c.a</vt:lpwstr>
      </vt:variant>
      <vt:variant>
        <vt:lpwstr/>
      </vt:variant>
      <vt:variant>
        <vt:i4>3145847</vt:i4>
      </vt:variant>
      <vt:variant>
        <vt:i4>183</vt:i4>
      </vt:variant>
      <vt:variant>
        <vt:i4>0</vt:i4>
      </vt:variant>
      <vt:variant>
        <vt:i4>5</vt:i4>
      </vt:variant>
      <vt:variant>
        <vt:lpwstr>http://www.nevo.co.il/case/6246072</vt:lpwstr>
      </vt:variant>
      <vt:variant>
        <vt:lpwstr/>
      </vt:variant>
      <vt:variant>
        <vt:i4>8257636</vt:i4>
      </vt:variant>
      <vt:variant>
        <vt:i4>180</vt:i4>
      </vt:variant>
      <vt:variant>
        <vt:i4>0</vt:i4>
      </vt:variant>
      <vt:variant>
        <vt:i4>5</vt:i4>
      </vt:variant>
      <vt:variant>
        <vt:lpwstr>http://www.nevo.co.il/law/70348</vt:lpwstr>
      </vt:variant>
      <vt:variant>
        <vt:lpwstr/>
      </vt:variant>
      <vt:variant>
        <vt:i4>3145850</vt:i4>
      </vt:variant>
      <vt:variant>
        <vt:i4>177</vt:i4>
      </vt:variant>
      <vt:variant>
        <vt:i4>0</vt:i4>
      </vt:variant>
      <vt:variant>
        <vt:i4>5</vt:i4>
      </vt:variant>
      <vt:variant>
        <vt:lpwstr>http://www.nevo.co.il/case/20576915</vt:lpwstr>
      </vt:variant>
      <vt:variant>
        <vt:lpwstr/>
      </vt:variant>
      <vt:variant>
        <vt:i4>3407985</vt:i4>
      </vt:variant>
      <vt:variant>
        <vt:i4>174</vt:i4>
      </vt:variant>
      <vt:variant>
        <vt:i4>0</vt:i4>
      </vt:variant>
      <vt:variant>
        <vt:i4>5</vt:i4>
      </vt:variant>
      <vt:variant>
        <vt:lpwstr>http://www.nevo.co.il/case/18797453</vt:lpwstr>
      </vt:variant>
      <vt:variant>
        <vt:lpwstr/>
      </vt:variant>
      <vt:variant>
        <vt:i4>6291559</vt:i4>
      </vt:variant>
      <vt:variant>
        <vt:i4>171</vt:i4>
      </vt:variant>
      <vt:variant>
        <vt:i4>0</vt:i4>
      </vt:variant>
      <vt:variant>
        <vt:i4>5</vt:i4>
      </vt:variant>
      <vt:variant>
        <vt:lpwstr>http://www.nevo.co.il/law/70301/25</vt:lpwstr>
      </vt:variant>
      <vt:variant>
        <vt:lpwstr/>
      </vt:variant>
      <vt:variant>
        <vt:i4>7209082</vt:i4>
      </vt:variant>
      <vt:variant>
        <vt:i4>168</vt:i4>
      </vt:variant>
      <vt:variant>
        <vt:i4>0</vt:i4>
      </vt:variant>
      <vt:variant>
        <vt:i4>5</vt:i4>
      </vt:variant>
      <vt:variant>
        <vt:lpwstr>http://www.nevo.co.il/law/70301/382a.b</vt:lpwstr>
      </vt:variant>
      <vt:variant>
        <vt:lpwstr/>
      </vt:variant>
      <vt:variant>
        <vt:i4>6750270</vt:i4>
      </vt:variant>
      <vt:variant>
        <vt:i4>165</vt:i4>
      </vt:variant>
      <vt:variant>
        <vt:i4>0</vt:i4>
      </vt:variant>
      <vt:variant>
        <vt:i4>5</vt:i4>
      </vt:variant>
      <vt:variant>
        <vt:lpwstr>http://www.nevo.co.il/law/70301/329.a.2</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6291556</vt:i4>
      </vt:variant>
      <vt:variant>
        <vt:i4>156</vt:i4>
      </vt:variant>
      <vt:variant>
        <vt:i4>0</vt:i4>
      </vt:variant>
      <vt:variant>
        <vt:i4>5</vt:i4>
      </vt:variant>
      <vt:variant>
        <vt:lpwstr>http://www.nevo.co.il/law/70301/152</vt:lpwstr>
      </vt:variant>
      <vt:variant>
        <vt:lpwstr/>
      </vt:variant>
      <vt:variant>
        <vt:i4>6291559</vt:i4>
      </vt:variant>
      <vt:variant>
        <vt:i4>153</vt:i4>
      </vt:variant>
      <vt:variant>
        <vt:i4>0</vt:i4>
      </vt:variant>
      <vt:variant>
        <vt:i4>5</vt:i4>
      </vt:variant>
      <vt:variant>
        <vt:lpwstr>http://www.nevo.co.il/law/70301/25</vt:lpwstr>
      </vt:variant>
      <vt:variant>
        <vt:lpwstr/>
      </vt:variant>
      <vt:variant>
        <vt:i4>7209082</vt:i4>
      </vt:variant>
      <vt:variant>
        <vt:i4>150</vt:i4>
      </vt:variant>
      <vt:variant>
        <vt:i4>0</vt:i4>
      </vt:variant>
      <vt:variant>
        <vt:i4>5</vt:i4>
      </vt:variant>
      <vt:variant>
        <vt:lpwstr>http://www.nevo.co.il/law/70301/382a.b</vt:lpwstr>
      </vt:variant>
      <vt:variant>
        <vt:lpwstr/>
      </vt:variant>
      <vt:variant>
        <vt:i4>6291556</vt:i4>
      </vt:variant>
      <vt:variant>
        <vt:i4>147</vt:i4>
      </vt:variant>
      <vt:variant>
        <vt:i4>0</vt:i4>
      </vt:variant>
      <vt:variant>
        <vt:i4>5</vt:i4>
      </vt:variant>
      <vt:variant>
        <vt:lpwstr>http://www.nevo.co.il/law/70301/152</vt:lpwstr>
      </vt:variant>
      <vt:variant>
        <vt:lpwstr/>
      </vt:variant>
      <vt:variant>
        <vt:i4>6291556</vt:i4>
      </vt:variant>
      <vt:variant>
        <vt:i4>144</vt:i4>
      </vt:variant>
      <vt:variant>
        <vt:i4>0</vt:i4>
      </vt:variant>
      <vt:variant>
        <vt:i4>5</vt:i4>
      </vt:variant>
      <vt:variant>
        <vt:lpwstr>http://www.nevo.co.il/law/70301/152</vt:lpwstr>
      </vt:variant>
      <vt:variant>
        <vt:lpwstr/>
      </vt:variant>
      <vt:variant>
        <vt:i4>6553637</vt:i4>
      </vt:variant>
      <vt:variant>
        <vt:i4>141</vt:i4>
      </vt:variant>
      <vt:variant>
        <vt:i4>0</vt:i4>
      </vt:variant>
      <vt:variant>
        <vt:i4>5</vt:i4>
      </vt:variant>
      <vt:variant>
        <vt:lpwstr>http://www.nevo.co.il/law/70301/40jc.b</vt:lpwstr>
      </vt:variant>
      <vt:variant>
        <vt:lpwstr/>
      </vt:variant>
      <vt:variant>
        <vt:i4>655452</vt:i4>
      </vt:variant>
      <vt:variant>
        <vt:i4>138</vt:i4>
      </vt:variant>
      <vt:variant>
        <vt:i4>0</vt:i4>
      </vt:variant>
      <vt:variant>
        <vt:i4>5</vt:i4>
      </vt:variant>
      <vt:variant>
        <vt:lpwstr>http://www.nevo.co.il/law/70301/40c;40jd</vt:lpwstr>
      </vt:variant>
      <vt:variant>
        <vt:lpwstr/>
      </vt:variant>
      <vt:variant>
        <vt:i4>6619233</vt:i4>
      </vt:variant>
      <vt:variant>
        <vt:i4>135</vt:i4>
      </vt:variant>
      <vt:variant>
        <vt:i4>0</vt:i4>
      </vt:variant>
      <vt:variant>
        <vt:i4>5</vt:i4>
      </vt:variant>
      <vt:variant>
        <vt:lpwstr>http://www.nevo.co.il/law/70301/40b</vt:lpwstr>
      </vt:variant>
      <vt:variant>
        <vt:lpwstr/>
      </vt:variant>
      <vt:variant>
        <vt:i4>6291559</vt:i4>
      </vt:variant>
      <vt:variant>
        <vt:i4>132</vt:i4>
      </vt:variant>
      <vt:variant>
        <vt:i4>0</vt:i4>
      </vt:variant>
      <vt:variant>
        <vt:i4>5</vt:i4>
      </vt:variant>
      <vt:variant>
        <vt:lpwstr>http://www.nevo.co.il/law/70301/25</vt:lpwstr>
      </vt:variant>
      <vt:variant>
        <vt:lpwstr/>
      </vt:variant>
      <vt:variant>
        <vt:i4>6422631</vt:i4>
      </vt:variant>
      <vt:variant>
        <vt:i4>129</vt:i4>
      </vt:variant>
      <vt:variant>
        <vt:i4>0</vt:i4>
      </vt:variant>
      <vt:variant>
        <vt:i4>5</vt:i4>
      </vt:variant>
      <vt:variant>
        <vt:lpwstr>http://www.nevo.co.il/law/70301/273</vt:lpwstr>
      </vt:variant>
      <vt:variant>
        <vt:lpwstr/>
      </vt:variant>
      <vt:variant>
        <vt:i4>6291556</vt:i4>
      </vt:variant>
      <vt:variant>
        <vt:i4>126</vt:i4>
      </vt:variant>
      <vt:variant>
        <vt:i4>0</vt:i4>
      </vt:variant>
      <vt:variant>
        <vt:i4>5</vt:i4>
      </vt:variant>
      <vt:variant>
        <vt:lpwstr>http://www.nevo.co.il/law/70301/152</vt:lpwstr>
      </vt:variant>
      <vt:variant>
        <vt:lpwstr/>
      </vt:variant>
      <vt:variant>
        <vt:i4>7077991</vt:i4>
      </vt:variant>
      <vt:variant>
        <vt:i4>123</vt:i4>
      </vt:variant>
      <vt:variant>
        <vt:i4>0</vt:i4>
      </vt:variant>
      <vt:variant>
        <vt:i4>5</vt:i4>
      </vt:variant>
      <vt:variant>
        <vt:lpwstr>http://www.nevo.co.il/law/70301/29</vt:lpwstr>
      </vt:variant>
      <vt:variant>
        <vt:lpwstr/>
      </vt:variant>
      <vt:variant>
        <vt:i4>6291559</vt:i4>
      </vt:variant>
      <vt:variant>
        <vt:i4>120</vt:i4>
      </vt:variant>
      <vt:variant>
        <vt:i4>0</vt:i4>
      </vt:variant>
      <vt:variant>
        <vt:i4>5</vt:i4>
      </vt:variant>
      <vt:variant>
        <vt:lpwstr>http://www.nevo.co.il/law/70301/25</vt:lpwstr>
      </vt:variant>
      <vt:variant>
        <vt:lpwstr/>
      </vt:variant>
      <vt:variant>
        <vt:i4>7602280</vt:i4>
      </vt:variant>
      <vt:variant>
        <vt:i4>117</vt:i4>
      </vt:variant>
      <vt:variant>
        <vt:i4>0</vt:i4>
      </vt:variant>
      <vt:variant>
        <vt:i4>5</vt:i4>
      </vt:variant>
      <vt:variant>
        <vt:lpwstr>http://www.nevo.co.il/law/70301/274.1.;274.2.;274.3</vt:lpwstr>
      </vt:variant>
      <vt:variant>
        <vt:lpwstr/>
      </vt:variant>
      <vt:variant>
        <vt:i4>3407985</vt:i4>
      </vt:variant>
      <vt:variant>
        <vt:i4>114</vt:i4>
      </vt:variant>
      <vt:variant>
        <vt:i4>0</vt:i4>
      </vt:variant>
      <vt:variant>
        <vt:i4>5</vt:i4>
      </vt:variant>
      <vt:variant>
        <vt:lpwstr>http://www.nevo.co.il/case/18797453</vt:lpwstr>
      </vt:variant>
      <vt:variant>
        <vt:lpwstr/>
      </vt:variant>
      <vt:variant>
        <vt:i4>6291559</vt:i4>
      </vt:variant>
      <vt:variant>
        <vt:i4>111</vt:i4>
      </vt:variant>
      <vt:variant>
        <vt:i4>0</vt:i4>
      </vt:variant>
      <vt:variant>
        <vt:i4>5</vt:i4>
      </vt:variant>
      <vt:variant>
        <vt:lpwstr>http://www.nevo.co.il/law/70301/25</vt:lpwstr>
      </vt:variant>
      <vt:variant>
        <vt:lpwstr/>
      </vt:variant>
      <vt:variant>
        <vt:i4>7209082</vt:i4>
      </vt:variant>
      <vt:variant>
        <vt:i4>108</vt:i4>
      </vt:variant>
      <vt:variant>
        <vt:i4>0</vt:i4>
      </vt:variant>
      <vt:variant>
        <vt:i4>5</vt:i4>
      </vt:variant>
      <vt:variant>
        <vt:lpwstr>http://www.nevo.co.il/law/70301/382a.b</vt:lpwstr>
      </vt:variant>
      <vt:variant>
        <vt:lpwstr/>
      </vt:variant>
      <vt:variant>
        <vt:i4>6750270</vt:i4>
      </vt:variant>
      <vt:variant>
        <vt:i4>105</vt:i4>
      </vt:variant>
      <vt:variant>
        <vt:i4>0</vt:i4>
      </vt:variant>
      <vt:variant>
        <vt:i4>5</vt:i4>
      </vt:variant>
      <vt:variant>
        <vt:lpwstr>http://www.nevo.co.il/law/70301/329.a.2</vt:lpwstr>
      </vt:variant>
      <vt:variant>
        <vt:lpwstr/>
      </vt:variant>
      <vt:variant>
        <vt:i4>6291559</vt:i4>
      </vt:variant>
      <vt:variant>
        <vt:i4>102</vt:i4>
      </vt:variant>
      <vt:variant>
        <vt:i4>0</vt:i4>
      </vt:variant>
      <vt:variant>
        <vt:i4>5</vt:i4>
      </vt:variant>
      <vt:variant>
        <vt:lpwstr>http://www.nevo.co.il/law/70301/25</vt:lpwstr>
      </vt:variant>
      <vt:variant>
        <vt:lpwstr/>
      </vt:variant>
      <vt:variant>
        <vt:i4>7209082</vt:i4>
      </vt:variant>
      <vt:variant>
        <vt:i4>99</vt:i4>
      </vt:variant>
      <vt:variant>
        <vt:i4>0</vt:i4>
      </vt:variant>
      <vt:variant>
        <vt:i4>5</vt:i4>
      </vt:variant>
      <vt:variant>
        <vt:lpwstr>http://www.nevo.co.il/law/70301/382a.b</vt:lpwstr>
      </vt:variant>
      <vt:variant>
        <vt:lpwstr/>
      </vt:variant>
      <vt:variant>
        <vt:i4>6750270</vt:i4>
      </vt:variant>
      <vt:variant>
        <vt:i4>96</vt:i4>
      </vt:variant>
      <vt:variant>
        <vt:i4>0</vt:i4>
      </vt:variant>
      <vt:variant>
        <vt:i4>5</vt:i4>
      </vt:variant>
      <vt:variant>
        <vt:lpwstr>http://www.nevo.co.il/law/70301/329.a.2</vt:lpwstr>
      </vt:variant>
      <vt:variant>
        <vt:lpwstr/>
      </vt:variant>
      <vt:variant>
        <vt:i4>6750270</vt:i4>
      </vt:variant>
      <vt:variant>
        <vt:i4>93</vt:i4>
      </vt:variant>
      <vt:variant>
        <vt:i4>0</vt:i4>
      </vt:variant>
      <vt:variant>
        <vt:i4>5</vt:i4>
      </vt:variant>
      <vt:variant>
        <vt:lpwstr>http://www.nevo.co.il/law/70301/329.a.2</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8192050</vt:i4>
      </vt:variant>
      <vt:variant>
        <vt:i4>87</vt:i4>
      </vt:variant>
      <vt:variant>
        <vt:i4>0</vt:i4>
      </vt:variant>
      <vt:variant>
        <vt:i4>5</vt:i4>
      </vt:variant>
      <vt:variant>
        <vt:lpwstr>http://www.nevo.co.il/law/70301/144.b2</vt:lpwstr>
      </vt:variant>
      <vt:variant>
        <vt:lpwstr/>
      </vt:variant>
      <vt:variant>
        <vt:i4>6291556</vt:i4>
      </vt:variant>
      <vt:variant>
        <vt:i4>84</vt:i4>
      </vt:variant>
      <vt:variant>
        <vt:i4>0</vt:i4>
      </vt:variant>
      <vt:variant>
        <vt:i4>5</vt:i4>
      </vt:variant>
      <vt:variant>
        <vt:lpwstr>http://www.nevo.co.il/law/70301/152</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7209082</vt:i4>
      </vt:variant>
      <vt:variant>
        <vt:i4>78</vt:i4>
      </vt:variant>
      <vt:variant>
        <vt:i4>0</vt:i4>
      </vt:variant>
      <vt:variant>
        <vt:i4>5</vt:i4>
      </vt:variant>
      <vt:variant>
        <vt:lpwstr>http://www.nevo.co.il/law/70301/382a.b</vt:lpwstr>
      </vt:variant>
      <vt:variant>
        <vt:lpwstr/>
      </vt:variant>
      <vt:variant>
        <vt:i4>6291556</vt:i4>
      </vt:variant>
      <vt:variant>
        <vt:i4>75</vt:i4>
      </vt:variant>
      <vt:variant>
        <vt:i4>0</vt:i4>
      </vt:variant>
      <vt:variant>
        <vt:i4>5</vt:i4>
      </vt:variant>
      <vt:variant>
        <vt:lpwstr>http://www.nevo.co.il/law/70301/152</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6291556</vt:i4>
      </vt:variant>
      <vt:variant>
        <vt:i4>69</vt:i4>
      </vt:variant>
      <vt:variant>
        <vt:i4>0</vt:i4>
      </vt:variant>
      <vt:variant>
        <vt:i4>5</vt:i4>
      </vt:variant>
      <vt:variant>
        <vt:lpwstr>http://www.nevo.co.il/law/70301/152</vt:lpwstr>
      </vt:variant>
      <vt:variant>
        <vt:lpwstr/>
      </vt:variant>
      <vt:variant>
        <vt:i4>8257636</vt:i4>
      </vt:variant>
      <vt:variant>
        <vt:i4>66</vt:i4>
      </vt:variant>
      <vt:variant>
        <vt:i4>0</vt:i4>
      </vt:variant>
      <vt:variant>
        <vt:i4>5</vt:i4>
      </vt:variant>
      <vt:variant>
        <vt:lpwstr>http://www.nevo.co.il/law/70348</vt:lpwstr>
      </vt:variant>
      <vt:variant>
        <vt:lpwstr/>
      </vt:variant>
      <vt:variant>
        <vt:i4>65547</vt:i4>
      </vt:variant>
      <vt:variant>
        <vt:i4>63</vt:i4>
      </vt:variant>
      <vt:variant>
        <vt:i4>0</vt:i4>
      </vt:variant>
      <vt:variant>
        <vt:i4>5</vt:i4>
      </vt:variant>
      <vt:variant>
        <vt:lpwstr>http://www.nevo.co.il/law/70301/40jd</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7209082</vt:i4>
      </vt:variant>
      <vt:variant>
        <vt:i4>54</vt:i4>
      </vt:variant>
      <vt:variant>
        <vt:i4>0</vt:i4>
      </vt:variant>
      <vt:variant>
        <vt:i4>5</vt:i4>
      </vt:variant>
      <vt:variant>
        <vt:lpwstr>http://www.nevo.co.il/law/70301/382a.b</vt:lpwstr>
      </vt:variant>
      <vt:variant>
        <vt:lpwstr/>
      </vt:variant>
      <vt:variant>
        <vt:i4>6750270</vt:i4>
      </vt:variant>
      <vt:variant>
        <vt:i4>51</vt:i4>
      </vt:variant>
      <vt:variant>
        <vt:i4>0</vt:i4>
      </vt:variant>
      <vt:variant>
        <vt:i4>5</vt:i4>
      </vt:variant>
      <vt:variant>
        <vt:lpwstr>http://www.nevo.co.il/law/70301/329.a.2</vt:lpwstr>
      </vt:variant>
      <vt:variant>
        <vt:lpwstr/>
      </vt:variant>
      <vt:variant>
        <vt:i4>4980819</vt:i4>
      </vt:variant>
      <vt:variant>
        <vt:i4>48</vt:i4>
      </vt:variant>
      <vt:variant>
        <vt:i4>0</vt:i4>
      </vt:variant>
      <vt:variant>
        <vt:i4>5</vt:i4>
      </vt:variant>
      <vt:variant>
        <vt:lpwstr>http://www.nevo.co.il/law/70301/274.3</vt:lpwstr>
      </vt:variant>
      <vt:variant>
        <vt:lpwstr/>
      </vt:variant>
      <vt:variant>
        <vt:i4>6422625</vt:i4>
      </vt:variant>
      <vt:variant>
        <vt:i4>45</vt:i4>
      </vt:variant>
      <vt:variant>
        <vt:i4>0</vt:i4>
      </vt:variant>
      <vt:variant>
        <vt:i4>5</vt:i4>
      </vt:variant>
      <vt:variant>
        <vt:lpwstr>http://www.nevo.co.il/law/70301/274.2.</vt:lpwstr>
      </vt:variant>
      <vt:variant>
        <vt:lpwstr/>
      </vt:variant>
      <vt:variant>
        <vt:i4>6422626</vt:i4>
      </vt:variant>
      <vt:variant>
        <vt:i4>42</vt:i4>
      </vt:variant>
      <vt:variant>
        <vt:i4>0</vt:i4>
      </vt:variant>
      <vt:variant>
        <vt:i4>5</vt:i4>
      </vt:variant>
      <vt:variant>
        <vt:lpwstr>http://www.nevo.co.il/law/70301/274.1.</vt:lpwstr>
      </vt:variant>
      <vt:variant>
        <vt:lpwstr/>
      </vt:variant>
      <vt:variant>
        <vt:i4>6422631</vt:i4>
      </vt:variant>
      <vt:variant>
        <vt:i4>39</vt:i4>
      </vt:variant>
      <vt:variant>
        <vt:i4>0</vt:i4>
      </vt:variant>
      <vt:variant>
        <vt:i4>5</vt:i4>
      </vt:variant>
      <vt:variant>
        <vt:lpwstr>http://www.nevo.co.il/law/70301/273</vt:lpwstr>
      </vt:variant>
      <vt:variant>
        <vt:lpwstr/>
      </vt:variant>
      <vt:variant>
        <vt:i4>6291556</vt:i4>
      </vt:variant>
      <vt:variant>
        <vt:i4>36</vt:i4>
      </vt:variant>
      <vt:variant>
        <vt:i4>0</vt:i4>
      </vt:variant>
      <vt:variant>
        <vt:i4>5</vt:i4>
      </vt:variant>
      <vt:variant>
        <vt:lpwstr>http://www.nevo.co.il/law/70301/152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65677</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פאדי עטייה</vt:lpwstr>
  </property>
  <property fmtid="{D5CDD505-2E9C-101B-9397-08002B2CF9AE}" pid="10" name="JUDGE">
    <vt:lpwstr>דניאל טפרברג</vt:lpwstr>
  </property>
  <property fmtid="{D5CDD505-2E9C-101B-9397-08002B2CF9AE}" pid="11" name="CITY">
    <vt:lpwstr>י-ם</vt:lpwstr>
  </property>
  <property fmtid="{D5CDD505-2E9C-101B-9397-08002B2CF9AE}" pid="12" name="DATE">
    <vt:lpwstr>20160928</vt:lpwstr>
  </property>
  <property fmtid="{D5CDD505-2E9C-101B-9397-08002B2CF9AE}" pid="13" name="TYPE_N_DATE">
    <vt:lpwstr>39020160928</vt:lpwstr>
  </property>
  <property fmtid="{D5CDD505-2E9C-101B-9397-08002B2CF9AE}" pid="14" name="CASESLISTTMP1">
    <vt:lpwstr>18797453:2;20576915;6246072;6132680</vt:lpwstr>
  </property>
  <property fmtid="{D5CDD505-2E9C-101B-9397-08002B2CF9AE}" pid="15" name="WORDNUMPAGES">
    <vt:lpwstr>9</vt:lpwstr>
  </property>
  <property fmtid="{D5CDD505-2E9C-101B-9397-08002B2CF9AE}" pid="16" name="TYPE_ABS_DATE">
    <vt:lpwstr>390020160928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70301/152:7;382a.b:5;025:7;144.b2:2;144.b:2;329.a.2:4;274.1;274.2;274.3;029;273;040b;040c;40jd;40jc.b;040c.a;040i.a;040i.a.3;040d;040e;40ja</vt:lpwstr>
  </property>
  <property fmtid="{D5CDD505-2E9C-101B-9397-08002B2CF9AE}" pid="37" name="LAWLISTTMP2">
    <vt:lpwstr>70348</vt:lpwstr>
  </property>
</Properties>
</file>