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FC655" w14:textId="77777777" w:rsidR="00775A2A" w:rsidRDefault="00775A2A">
      <w:pPr>
        <w:rPr>
          <w:rFonts w:hint="cs"/>
        </w:rPr>
      </w:pPr>
      <w:bookmarkStart w:id="0" w:name="LastJudge"/>
    </w:p>
    <w:tbl>
      <w:tblPr>
        <w:bidiVisual/>
        <w:tblW w:w="0" w:type="auto"/>
        <w:jc w:val="center"/>
        <w:tblLook w:val="0000" w:firstRow="0" w:lastRow="0" w:firstColumn="0" w:lastColumn="0" w:noHBand="0" w:noVBand="0"/>
      </w:tblPr>
      <w:tblGrid>
        <w:gridCol w:w="5047"/>
        <w:gridCol w:w="3674"/>
      </w:tblGrid>
      <w:tr w:rsidR="00EA36E1" w:rsidRPr="00056DD3" w14:paraId="5D29D9F5" w14:textId="77777777">
        <w:trPr>
          <w:trHeight w:hRule="exact" w:val="704"/>
          <w:jc w:val="center"/>
        </w:trPr>
        <w:tc>
          <w:tcPr>
            <w:tcW w:w="8721" w:type="dxa"/>
            <w:gridSpan w:val="2"/>
          </w:tcPr>
          <w:p w14:paraId="75085ECD" w14:textId="77777777" w:rsidR="00EA36E1" w:rsidRPr="00056DD3" w:rsidRDefault="00EA36E1" w:rsidP="00056DD3">
            <w:pPr>
              <w:pStyle w:val="a4"/>
              <w:jc w:val="center"/>
              <w:rPr>
                <w:rFonts w:ascii="Tahoma" w:hAnsi="Tahoma" w:cs="Tahoma"/>
                <w:noProof w:val="0"/>
                <w:color w:val="000080"/>
                <w:rtl/>
              </w:rPr>
            </w:pPr>
            <w:r w:rsidRPr="00056DD3">
              <w:rPr>
                <w:rFonts w:ascii="Tahoma" w:hAnsi="Tahoma" w:cs="Tahoma"/>
                <w:b/>
                <w:bCs/>
                <w:color w:val="000080"/>
                <w:rtl/>
              </w:rPr>
              <w:t>בית המשפט המחוזי בחיפה</w:t>
            </w:r>
          </w:p>
        </w:tc>
      </w:tr>
      <w:tr w:rsidR="00EA36E1" w:rsidRPr="00056DD3" w14:paraId="5F7C6687" w14:textId="77777777">
        <w:trPr>
          <w:trHeight w:val="337"/>
          <w:jc w:val="center"/>
        </w:trPr>
        <w:tc>
          <w:tcPr>
            <w:tcW w:w="5047" w:type="dxa"/>
          </w:tcPr>
          <w:p w14:paraId="299B63BF" w14:textId="77777777" w:rsidR="00EA36E1" w:rsidRPr="00056DD3" w:rsidRDefault="00EA36E1" w:rsidP="00056DD3">
            <w:pPr>
              <w:rPr>
                <w:b/>
                <w:bCs/>
                <w:noProof w:val="0"/>
                <w:sz w:val="26"/>
                <w:szCs w:val="26"/>
                <w:rtl/>
              </w:rPr>
            </w:pPr>
          </w:p>
        </w:tc>
        <w:tc>
          <w:tcPr>
            <w:tcW w:w="3674" w:type="dxa"/>
          </w:tcPr>
          <w:p w14:paraId="494E64C3" w14:textId="77777777" w:rsidR="00EA36E1" w:rsidRPr="00056DD3" w:rsidRDefault="00EA36E1" w:rsidP="00056DD3">
            <w:pPr>
              <w:pStyle w:val="a4"/>
              <w:jc w:val="right"/>
              <w:rPr>
                <w:b/>
                <w:bCs/>
                <w:noProof w:val="0"/>
                <w:sz w:val="26"/>
                <w:szCs w:val="26"/>
                <w:rtl/>
              </w:rPr>
            </w:pPr>
          </w:p>
        </w:tc>
      </w:tr>
      <w:tr w:rsidR="00EA36E1" w:rsidRPr="00056DD3" w14:paraId="06664648" w14:textId="77777777">
        <w:trPr>
          <w:trHeight w:val="337"/>
          <w:jc w:val="center"/>
        </w:trPr>
        <w:tc>
          <w:tcPr>
            <w:tcW w:w="8721" w:type="dxa"/>
            <w:gridSpan w:val="2"/>
          </w:tcPr>
          <w:p w14:paraId="42763324" w14:textId="77777777" w:rsidR="00EA36E1" w:rsidRPr="00056DD3" w:rsidRDefault="00EA36E1" w:rsidP="007E43F2">
            <w:pPr>
              <w:rPr>
                <w:rFonts w:hint="cs"/>
                <w:b/>
                <w:bCs/>
                <w:noProof w:val="0"/>
                <w:sz w:val="26"/>
                <w:szCs w:val="26"/>
                <w:rtl/>
              </w:rPr>
            </w:pPr>
            <w:r w:rsidRPr="00056DD3">
              <w:rPr>
                <w:b/>
                <w:bCs/>
                <w:noProof w:val="0"/>
                <w:sz w:val="26"/>
                <w:szCs w:val="26"/>
                <w:rtl/>
              </w:rPr>
              <w:t>ת"פ 35</w:t>
            </w:r>
            <w:r w:rsidR="007E43F2">
              <w:rPr>
                <w:b/>
                <w:bCs/>
                <w:noProof w:val="0"/>
                <w:sz w:val="26"/>
                <w:szCs w:val="26"/>
                <w:rtl/>
              </w:rPr>
              <w:t>695-12-15 מדינת ישראל נ' חג'אזי</w:t>
            </w:r>
          </w:p>
          <w:p w14:paraId="4B94CDB6" w14:textId="77777777" w:rsidR="00EA36E1" w:rsidRPr="00056DD3" w:rsidRDefault="00EA36E1" w:rsidP="00056DD3">
            <w:pPr>
              <w:rPr>
                <w:b/>
                <w:bCs/>
                <w:noProof w:val="0"/>
                <w:sz w:val="2"/>
                <w:szCs w:val="2"/>
                <w:rtl/>
              </w:rPr>
            </w:pPr>
          </w:p>
          <w:p w14:paraId="26A48C98" w14:textId="77777777" w:rsidR="00EA36E1" w:rsidRPr="00056DD3" w:rsidRDefault="00EA36E1" w:rsidP="00056DD3">
            <w:pPr>
              <w:rPr>
                <w:sz w:val="20"/>
                <w:szCs w:val="20"/>
                <w:rtl/>
              </w:rPr>
            </w:pPr>
            <w:r w:rsidRPr="00056DD3">
              <w:rPr>
                <w:rFonts w:hint="cs"/>
                <w:rtl/>
              </w:rPr>
              <w:t xml:space="preserve">                           </w:t>
            </w:r>
            <w:r w:rsidRPr="00056DD3">
              <w:rPr>
                <w:rFonts w:hint="cs"/>
                <w:sz w:val="20"/>
                <w:szCs w:val="20"/>
                <w:rtl/>
              </w:rPr>
              <w:t xml:space="preserve">                                       </w:t>
            </w:r>
          </w:p>
          <w:p w14:paraId="11B27605" w14:textId="77777777" w:rsidR="00EA36E1" w:rsidRPr="00056DD3" w:rsidRDefault="00EA36E1" w:rsidP="00056DD3">
            <w:pPr>
              <w:rPr>
                <w:sz w:val="20"/>
                <w:szCs w:val="20"/>
                <w:rtl/>
              </w:rPr>
            </w:pPr>
            <w:r w:rsidRPr="00056DD3">
              <w:rPr>
                <w:rFonts w:hint="cs"/>
                <w:sz w:val="20"/>
                <w:szCs w:val="20"/>
                <w:rtl/>
              </w:rPr>
              <w:t xml:space="preserve">תיק חיצוני: </w:t>
            </w:r>
            <w:r w:rsidRPr="00056DD3">
              <w:rPr>
                <w:rFonts w:hint="eastAsia"/>
                <w:sz w:val="20"/>
                <w:szCs w:val="20"/>
              </w:rPr>
              <w:t>5308/15</w:t>
            </w:r>
            <w:r w:rsidRPr="00056DD3">
              <w:rPr>
                <w:rFonts w:hint="cs"/>
                <w:sz w:val="20"/>
                <w:szCs w:val="20"/>
                <w:rtl/>
              </w:rPr>
              <w:t xml:space="preserve"> </w:t>
            </w:r>
            <w:r w:rsidRPr="00056DD3">
              <w:rPr>
                <w:sz w:val="20"/>
                <w:szCs w:val="20"/>
                <w:rtl/>
              </w:rPr>
              <w:t xml:space="preserve">  </w:t>
            </w:r>
          </w:p>
        </w:tc>
      </w:tr>
    </w:tbl>
    <w:p w14:paraId="1CA2EEEE" w14:textId="77777777" w:rsidR="00EA36E1" w:rsidRPr="00056DD3" w:rsidRDefault="00EA36E1" w:rsidP="00EA36E1">
      <w:pPr>
        <w:pStyle w:val="a4"/>
        <w:rPr>
          <w:noProof w:val="0"/>
          <w:rtl/>
        </w:rPr>
      </w:pPr>
      <w:r w:rsidRPr="00056DD3">
        <w:rPr>
          <w:noProof w:val="0"/>
          <w:rtl/>
        </w:rPr>
        <w:t xml:space="preserve"> </w:t>
      </w:r>
    </w:p>
    <w:tbl>
      <w:tblPr>
        <w:bidiVisual/>
        <w:tblW w:w="8802" w:type="dxa"/>
        <w:tblInd w:w="-28" w:type="dxa"/>
        <w:tblLook w:val="01E0" w:firstRow="1" w:lastRow="1" w:firstColumn="1" w:lastColumn="1" w:noHBand="0" w:noVBand="0"/>
      </w:tblPr>
      <w:tblGrid>
        <w:gridCol w:w="2880"/>
        <w:gridCol w:w="5838"/>
        <w:gridCol w:w="84"/>
      </w:tblGrid>
      <w:tr w:rsidR="00EA36E1" w:rsidRPr="00056DD3" w14:paraId="0D162EB0" w14:textId="77777777">
        <w:trPr>
          <w:gridAfter w:val="1"/>
          <w:wAfter w:w="84" w:type="dxa"/>
        </w:trPr>
        <w:tc>
          <w:tcPr>
            <w:tcW w:w="8718" w:type="dxa"/>
            <w:gridSpan w:val="2"/>
            <w:shd w:val="clear" w:color="auto" w:fill="auto"/>
          </w:tcPr>
          <w:p w14:paraId="31B4F1D6" w14:textId="77777777" w:rsidR="00EA36E1" w:rsidRPr="00056DD3" w:rsidRDefault="00EA36E1" w:rsidP="00056DD3">
            <w:pPr>
              <w:jc w:val="both"/>
              <w:rPr>
                <w:b/>
                <w:bCs/>
                <w:sz w:val="26"/>
                <w:szCs w:val="26"/>
                <w:rtl/>
              </w:rPr>
            </w:pPr>
            <w:r w:rsidRPr="00056DD3">
              <w:rPr>
                <w:rFonts w:hint="cs"/>
                <w:b/>
                <w:bCs/>
                <w:sz w:val="26"/>
                <w:szCs w:val="26"/>
                <w:rtl/>
              </w:rPr>
              <w:t>בפני כבוד השופטת אספרנצה אלון</w:t>
            </w:r>
            <w:r w:rsidRPr="00056DD3">
              <w:rPr>
                <w:rStyle w:val="TimesNewRomanTimesNewRoman"/>
                <w:rFonts w:hint="cs"/>
                <w:rtl/>
              </w:rPr>
              <w:t xml:space="preserve"> </w:t>
            </w:r>
          </w:p>
          <w:p w14:paraId="05AE5C43" w14:textId="77777777" w:rsidR="00EA36E1" w:rsidRPr="00056DD3" w:rsidRDefault="00EA36E1" w:rsidP="00056DD3">
            <w:pPr>
              <w:jc w:val="both"/>
              <w:rPr>
                <w:b/>
                <w:bCs/>
                <w:sz w:val="26"/>
                <w:szCs w:val="26"/>
                <w:rtl/>
              </w:rPr>
            </w:pPr>
          </w:p>
        </w:tc>
      </w:tr>
      <w:tr w:rsidR="00EA36E1" w:rsidRPr="00056DD3" w14:paraId="209B246B" w14:textId="77777777">
        <w:trPr>
          <w:cantSplit/>
          <w:trHeight w:val="724"/>
        </w:trPr>
        <w:tc>
          <w:tcPr>
            <w:tcW w:w="2880" w:type="dxa"/>
            <w:shd w:val="clear" w:color="auto" w:fill="auto"/>
          </w:tcPr>
          <w:p w14:paraId="2709E031" w14:textId="77777777" w:rsidR="00EA36E1" w:rsidRPr="00056DD3" w:rsidRDefault="00EA36E1" w:rsidP="00056DD3">
            <w:pPr>
              <w:jc w:val="both"/>
              <w:rPr>
                <w:b/>
                <w:bCs/>
                <w:rtl/>
              </w:rPr>
            </w:pPr>
            <w:bookmarkStart w:id="1" w:name="FirstAppellant"/>
            <w:bookmarkStart w:id="2" w:name="FirstLawyer"/>
            <w:r w:rsidRPr="00056DD3">
              <w:rPr>
                <w:rFonts w:hint="cs"/>
                <w:b/>
                <w:bCs/>
                <w:rtl/>
              </w:rPr>
              <w:t>המאשימה</w:t>
            </w:r>
          </w:p>
        </w:tc>
        <w:tc>
          <w:tcPr>
            <w:tcW w:w="5922" w:type="dxa"/>
            <w:gridSpan w:val="2"/>
            <w:shd w:val="clear" w:color="auto" w:fill="auto"/>
          </w:tcPr>
          <w:p w14:paraId="40EA91DD" w14:textId="77777777" w:rsidR="00EA36E1" w:rsidRPr="00056DD3" w:rsidRDefault="00EA36E1" w:rsidP="00056DD3">
            <w:pPr>
              <w:jc w:val="both"/>
              <w:rPr>
                <w:b/>
                <w:bCs/>
                <w:rtl/>
              </w:rPr>
            </w:pPr>
            <w:r w:rsidRPr="00056DD3">
              <w:rPr>
                <w:rFonts w:hint="cs"/>
                <w:b/>
                <w:bCs/>
                <w:rtl/>
              </w:rPr>
              <w:t>מדינת ישראל</w:t>
            </w:r>
          </w:p>
          <w:p w14:paraId="01EAB1DE" w14:textId="77777777" w:rsidR="00EA36E1" w:rsidRPr="00056DD3" w:rsidRDefault="00EA36E1" w:rsidP="00056DD3">
            <w:pPr>
              <w:jc w:val="both"/>
              <w:rPr>
                <w:b/>
                <w:bCs/>
                <w:rtl/>
              </w:rPr>
            </w:pPr>
            <w:r w:rsidRPr="00056DD3">
              <w:rPr>
                <w:rFonts w:hint="cs"/>
                <w:b/>
                <w:bCs/>
                <w:rtl/>
              </w:rPr>
              <w:t xml:space="preserve">באמצעות פרקליטות מחוז חיפה </w:t>
            </w:r>
            <w:r w:rsidRPr="00056DD3">
              <w:rPr>
                <w:b/>
                <w:bCs/>
                <w:rtl/>
              </w:rPr>
              <w:t>–</w:t>
            </w:r>
            <w:r w:rsidRPr="00056DD3">
              <w:rPr>
                <w:rFonts w:hint="cs"/>
                <w:b/>
                <w:bCs/>
                <w:rtl/>
              </w:rPr>
              <w:t xml:space="preserve"> פלילי</w:t>
            </w:r>
          </w:p>
          <w:p w14:paraId="23B63850" w14:textId="77777777" w:rsidR="00EA36E1" w:rsidRPr="00056DD3" w:rsidRDefault="00EA36E1" w:rsidP="00056DD3">
            <w:pPr>
              <w:jc w:val="both"/>
              <w:rPr>
                <w:b/>
                <w:bCs/>
                <w:rtl/>
              </w:rPr>
            </w:pPr>
            <w:r w:rsidRPr="00056DD3">
              <w:rPr>
                <w:rFonts w:hint="cs"/>
                <w:b/>
                <w:bCs/>
                <w:rtl/>
              </w:rPr>
              <w:t>ע"י ב"כ עו"ד גב' ירין שגב</w:t>
            </w:r>
          </w:p>
        </w:tc>
      </w:tr>
      <w:bookmarkEnd w:id="1"/>
      <w:bookmarkEnd w:id="2"/>
      <w:tr w:rsidR="00EA36E1" w:rsidRPr="00056DD3" w14:paraId="7BD2F0E0" w14:textId="77777777">
        <w:tc>
          <w:tcPr>
            <w:tcW w:w="8802" w:type="dxa"/>
            <w:gridSpan w:val="3"/>
            <w:shd w:val="clear" w:color="auto" w:fill="auto"/>
            <w:vAlign w:val="center"/>
          </w:tcPr>
          <w:p w14:paraId="7AD0CEB2" w14:textId="77777777" w:rsidR="00EA36E1" w:rsidRPr="00056DD3" w:rsidRDefault="00EA36E1" w:rsidP="00056DD3">
            <w:pPr>
              <w:jc w:val="center"/>
              <w:rPr>
                <w:rFonts w:ascii="Arial" w:hAnsi="Arial"/>
                <w:b/>
                <w:bCs/>
                <w:rtl/>
              </w:rPr>
            </w:pPr>
          </w:p>
          <w:p w14:paraId="37967ADA" w14:textId="77777777" w:rsidR="00EA36E1" w:rsidRPr="00056DD3" w:rsidRDefault="00EA36E1" w:rsidP="00056DD3">
            <w:pPr>
              <w:jc w:val="center"/>
              <w:rPr>
                <w:rFonts w:ascii="Arial" w:hAnsi="Arial"/>
                <w:b/>
                <w:bCs/>
                <w:rtl/>
              </w:rPr>
            </w:pPr>
            <w:r w:rsidRPr="00056DD3">
              <w:rPr>
                <w:rFonts w:ascii="Arial" w:hAnsi="Arial" w:hint="cs"/>
                <w:b/>
                <w:bCs/>
                <w:rtl/>
              </w:rPr>
              <w:t>נגד</w:t>
            </w:r>
          </w:p>
          <w:p w14:paraId="22F3BE29" w14:textId="77777777" w:rsidR="00EA36E1" w:rsidRPr="00056DD3" w:rsidRDefault="00EA36E1" w:rsidP="00056DD3">
            <w:pPr>
              <w:jc w:val="right"/>
              <w:rPr>
                <w:rFonts w:ascii="Arial" w:hAnsi="Arial"/>
                <w:b/>
                <w:bCs/>
                <w:rtl/>
              </w:rPr>
            </w:pPr>
          </w:p>
        </w:tc>
      </w:tr>
      <w:tr w:rsidR="00EA36E1" w:rsidRPr="00056DD3" w14:paraId="45CA494A" w14:textId="77777777">
        <w:tc>
          <w:tcPr>
            <w:tcW w:w="2880" w:type="dxa"/>
            <w:shd w:val="clear" w:color="auto" w:fill="auto"/>
          </w:tcPr>
          <w:p w14:paraId="666FB43D" w14:textId="77777777" w:rsidR="00EA36E1" w:rsidRPr="00056DD3" w:rsidRDefault="00EA36E1" w:rsidP="00056DD3">
            <w:pPr>
              <w:jc w:val="both"/>
              <w:rPr>
                <w:b/>
                <w:bCs/>
                <w:rtl/>
              </w:rPr>
            </w:pPr>
            <w:r w:rsidRPr="00056DD3">
              <w:rPr>
                <w:rFonts w:hint="cs"/>
                <w:b/>
                <w:bCs/>
                <w:rtl/>
              </w:rPr>
              <w:t>הנאשם</w:t>
            </w:r>
          </w:p>
        </w:tc>
        <w:tc>
          <w:tcPr>
            <w:tcW w:w="5922" w:type="dxa"/>
            <w:gridSpan w:val="2"/>
            <w:shd w:val="clear" w:color="auto" w:fill="auto"/>
          </w:tcPr>
          <w:p w14:paraId="66627388" w14:textId="77777777" w:rsidR="00EA36E1" w:rsidRPr="00056DD3" w:rsidRDefault="00EA36E1" w:rsidP="007E43F2">
            <w:pPr>
              <w:jc w:val="both"/>
              <w:rPr>
                <w:b/>
                <w:bCs/>
                <w:rtl/>
              </w:rPr>
            </w:pPr>
            <w:r w:rsidRPr="00056DD3">
              <w:rPr>
                <w:rFonts w:hint="cs"/>
                <w:b/>
                <w:bCs/>
                <w:rtl/>
              </w:rPr>
              <w:t xml:space="preserve">עלא חג'אזי, ת"ז </w:t>
            </w:r>
            <w:r w:rsidR="00056DD3">
              <w:rPr>
                <w:b/>
                <w:bCs/>
              </w:rPr>
              <w:t>xxxxxxxxxx</w:t>
            </w:r>
          </w:p>
          <w:p w14:paraId="69F70D68" w14:textId="77777777" w:rsidR="00EA36E1" w:rsidRPr="00056DD3" w:rsidRDefault="00EA36E1" w:rsidP="00056DD3">
            <w:pPr>
              <w:jc w:val="both"/>
              <w:rPr>
                <w:b/>
                <w:bCs/>
              </w:rPr>
            </w:pPr>
            <w:r w:rsidRPr="00056DD3">
              <w:rPr>
                <w:rFonts w:hint="cs"/>
                <w:b/>
                <w:bCs/>
                <w:rtl/>
              </w:rPr>
              <w:t>באמצעות ב"כ עו"ד דיאב לוטפי</w:t>
            </w:r>
          </w:p>
        </w:tc>
      </w:tr>
    </w:tbl>
    <w:p w14:paraId="7C6A750B" w14:textId="77777777" w:rsidR="00D92F0E" w:rsidRDefault="00D92F0E" w:rsidP="00EA36E1">
      <w:pPr>
        <w:suppressLineNumbers/>
        <w:rPr>
          <w:rtl/>
        </w:rPr>
      </w:pPr>
      <w:bookmarkStart w:id="3" w:name="LawTable"/>
      <w:bookmarkEnd w:id="3"/>
    </w:p>
    <w:p w14:paraId="1B192D0C" w14:textId="77777777" w:rsidR="00D92F0E" w:rsidRPr="00D92F0E" w:rsidRDefault="00D92F0E" w:rsidP="00D92F0E">
      <w:pPr>
        <w:suppressLineNumbers/>
        <w:spacing w:after="120" w:line="240" w:lineRule="exact"/>
        <w:ind w:left="283" w:hanging="283"/>
        <w:jc w:val="both"/>
        <w:rPr>
          <w:rFonts w:ascii="FrankRuehl" w:hAnsi="FrankRuehl" w:cs="FrankRuehl"/>
          <w:rtl/>
        </w:rPr>
      </w:pPr>
    </w:p>
    <w:p w14:paraId="2FE1D730" w14:textId="77777777" w:rsidR="00D92F0E" w:rsidRPr="00D92F0E" w:rsidRDefault="00D92F0E" w:rsidP="00D92F0E">
      <w:pPr>
        <w:suppressLineNumbers/>
        <w:spacing w:after="120" w:line="240" w:lineRule="exact"/>
        <w:ind w:left="283" w:hanging="283"/>
        <w:jc w:val="both"/>
        <w:rPr>
          <w:rFonts w:ascii="FrankRuehl" w:hAnsi="FrankRuehl" w:cs="FrankRuehl"/>
          <w:rtl/>
        </w:rPr>
      </w:pPr>
      <w:r w:rsidRPr="00D92F0E">
        <w:rPr>
          <w:rFonts w:ascii="FrankRuehl" w:hAnsi="FrankRuehl" w:cs="FrankRuehl"/>
          <w:rtl/>
        </w:rPr>
        <w:t xml:space="preserve">חקיקה שאוזכרה: </w:t>
      </w:r>
    </w:p>
    <w:p w14:paraId="06091E43" w14:textId="77777777" w:rsidR="00D92F0E" w:rsidRPr="00D92F0E" w:rsidRDefault="00D92F0E" w:rsidP="00D92F0E">
      <w:pPr>
        <w:suppressLineNumbers/>
        <w:spacing w:after="120" w:line="240" w:lineRule="exact"/>
        <w:ind w:left="283" w:hanging="283"/>
        <w:jc w:val="both"/>
        <w:rPr>
          <w:rFonts w:ascii="FrankRuehl" w:hAnsi="FrankRuehl" w:cs="FrankRuehl"/>
          <w:rtl/>
        </w:rPr>
      </w:pPr>
      <w:hyperlink r:id="rId7" w:history="1">
        <w:r w:rsidRPr="00D92F0E">
          <w:rPr>
            <w:rFonts w:ascii="FrankRuehl" w:hAnsi="FrankRuehl" w:cs="FrankRuehl"/>
            <w:color w:val="0000FF"/>
            <w:u w:val="single"/>
            <w:rtl/>
          </w:rPr>
          <w:t>חוק העונשין, תשל"ז-1977</w:t>
        </w:r>
      </w:hyperlink>
      <w:r w:rsidRPr="00D92F0E">
        <w:rPr>
          <w:rFonts w:ascii="FrankRuehl" w:hAnsi="FrankRuehl" w:cs="FrankRuehl"/>
          <w:rtl/>
        </w:rPr>
        <w:t xml:space="preserve">: סע'  </w:t>
      </w:r>
      <w:hyperlink r:id="rId8" w:history="1">
        <w:r w:rsidRPr="00D92F0E">
          <w:rPr>
            <w:rFonts w:ascii="FrankRuehl" w:hAnsi="FrankRuehl" w:cs="FrankRuehl"/>
            <w:color w:val="0000FF"/>
            <w:u w:val="single"/>
            <w:rtl/>
          </w:rPr>
          <w:t>40ג(א)</w:t>
        </w:r>
      </w:hyperlink>
      <w:r w:rsidRPr="00D92F0E">
        <w:rPr>
          <w:rFonts w:ascii="FrankRuehl" w:hAnsi="FrankRuehl" w:cs="FrankRuehl"/>
          <w:rtl/>
        </w:rPr>
        <w:t xml:space="preserve">, </w:t>
      </w:r>
      <w:hyperlink r:id="rId9" w:history="1">
        <w:r w:rsidRPr="00D92F0E">
          <w:rPr>
            <w:rFonts w:ascii="FrankRuehl" w:hAnsi="FrankRuehl" w:cs="FrankRuehl"/>
            <w:color w:val="0000FF"/>
            <w:u w:val="single"/>
            <w:rtl/>
          </w:rPr>
          <w:t>40 ט'</w:t>
        </w:r>
      </w:hyperlink>
      <w:r w:rsidRPr="00D92F0E">
        <w:rPr>
          <w:rFonts w:ascii="FrankRuehl" w:hAnsi="FrankRuehl" w:cs="FrankRuehl"/>
          <w:rtl/>
        </w:rPr>
        <w:t xml:space="preserve">, </w:t>
      </w:r>
      <w:hyperlink r:id="rId10" w:history="1">
        <w:r w:rsidRPr="00D92F0E">
          <w:rPr>
            <w:rFonts w:ascii="FrankRuehl" w:hAnsi="FrankRuehl" w:cs="FrankRuehl"/>
            <w:color w:val="0000FF"/>
            <w:u w:val="single"/>
            <w:rtl/>
          </w:rPr>
          <w:t>144</w:t>
        </w:r>
      </w:hyperlink>
      <w:r w:rsidRPr="00D92F0E">
        <w:rPr>
          <w:rFonts w:ascii="FrankRuehl" w:hAnsi="FrankRuehl" w:cs="FrankRuehl"/>
          <w:rtl/>
        </w:rPr>
        <w:t xml:space="preserve">, </w:t>
      </w:r>
      <w:hyperlink r:id="rId11" w:history="1">
        <w:r w:rsidRPr="00D92F0E">
          <w:rPr>
            <w:rFonts w:ascii="FrankRuehl" w:hAnsi="FrankRuehl" w:cs="FrankRuehl"/>
            <w:color w:val="0000FF"/>
            <w:u w:val="single"/>
            <w:rtl/>
          </w:rPr>
          <w:t>144(א)</w:t>
        </w:r>
      </w:hyperlink>
      <w:r w:rsidRPr="00D92F0E">
        <w:rPr>
          <w:rFonts w:ascii="FrankRuehl" w:hAnsi="FrankRuehl" w:cs="FrankRuehl"/>
          <w:rtl/>
        </w:rPr>
        <w:t xml:space="preserve">, </w:t>
      </w:r>
      <w:hyperlink r:id="rId12" w:history="1">
        <w:r w:rsidRPr="00D92F0E">
          <w:rPr>
            <w:rFonts w:ascii="FrankRuehl" w:hAnsi="FrankRuehl" w:cs="FrankRuehl"/>
            <w:color w:val="0000FF"/>
            <w:u w:val="single"/>
            <w:rtl/>
          </w:rPr>
          <w:t>+ (ב)</w:t>
        </w:r>
      </w:hyperlink>
      <w:r w:rsidRPr="00D92F0E">
        <w:rPr>
          <w:rFonts w:ascii="FrankRuehl" w:hAnsi="FrankRuehl" w:cs="FrankRuehl"/>
          <w:rtl/>
        </w:rPr>
        <w:t xml:space="preserve">, </w:t>
      </w:r>
      <w:hyperlink r:id="rId13" w:history="1">
        <w:r w:rsidRPr="00D92F0E">
          <w:rPr>
            <w:rFonts w:ascii="FrankRuehl" w:hAnsi="FrankRuehl" w:cs="FrankRuehl"/>
            <w:color w:val="0000FF"/>
            <w:u w:val="single"/>
            <w:rtl/>
          </w:rPr>
          <w:t>186 (א)</w:t>
        </w:r>
      </w:hyperlink>
    </w:p>
    <w:p w14:paraId="26DAB14E" w14:textId="77777777" w:rsidR="00D92F0E" w:rsidRPr="00D92F0E" w:rsidRDefault="00D92F0E" w:rsidP="00D92F0E">
      <w:pPr>
        <w:suppressLineNumbers/>
        <w:spacing w:after="120" w:line="240" w:lineRule="exact"/>
        <w:ind w:left="283" w:hanging="283"/>
        <w:jc w:val="both"/>
        <w:rPr>
          <w:rFonts w:ascii="FrankRuehl" w:hAnsi="FrankRuehl" w:cs="FrankRuehl"/>
          <w:rtl/>
        </w:rPr>
      </w:pPr>
    </w:p>
    <w:p w14:paraId="2ED0C352" w14:textId="77777777" w:rsidR="00D92F0E" w:rsidRPr="00D92F0E" w:rsidRDefault="00D92F0E" w:rsidP="00EA36E1">
      <w:pPr>
        <w:suppressLineNumbers/>
        <w:rPr>
          <w:rtl/>
        </w:rPr>
      </w:pPr>
      <w:bookmarkStart w:id="4" w:name="LawTable_End"/>
      <w:bookmarkEnd w:id="4"/>
    </w:p>
    <w:p w14:paraId="19E1ED4B" w14:textId="77777777" w:rsidR="007E43F2" w:rsidRPr="007E43F2" w:rsidRDefault="007E43F2" w:rsidP="00EA36E1">
      <w:pPr>
        <w:suppressLineNumbers/>
        <w:rPr>
          <w:rtl/>
        </w:rPr>
      </w:pPr>
    </w:p>
    <w:tbl>
      <w:tblPr>
        <w:bidiVisual/>
        <w:tblW w:w="8820" w:type="dxa"/>
        <w:jc w:val="center"/>
        <w:tblLook w:val="01E0" w:firstRow="1" w:lastRow="1" w:firstColumn="1" w:lastColumn="1" w:noHBand="0" w:noVBand="0"/>
      </w:tblPr>
      <w:tblGrid>
        <w:gridCol w:w="8820"/>
      </w:tblGrid>
      <w:tr w:rsidR="00EA36E1" w14:paraId="747491BE" w14:textId="77777777">
        <w:trPr>
          <w:jc w:val="center"/>
        </w:trPr>
        <w:tc>
          <w:tcPr>
            <w:tcW w:w="8820" w:type="dxa"/>
            <w:shd w:val="clear" w:color="auto" w:fill="auto"/>
          </w:tcPr>
          <w:p w14:paraId="0B591B2F" w14:textId="77777777" w:rsidR="00EA36E1" w:rsidRPr="00056DD3" w:rsidRDefault="00056DD3" w:rsidP="007E43F2">
            <w:pPr>
              <w:bidi w:val="0"/>
              <w:jc w:val="center"/>
              <w:rPr>
                <w:rFonts w:ascii="Arial" w:hAnsi="Arial" w:hint="cs"/>
                <w:b/>
                <w:bCs/>
                <w:noProof w:val="0"/>
                <w:sz w:val="28"/>
                <w:szCs w:val="28"/>
                <w:u w:val="single"/>
              </w:rPr>
            </w:pPr>
            <w:bookmarkStart w:id="5" w:name="PsakDin" w:colFirst="0" w:colLast="0"/>
            <w:bookmarkEnd w:id="0"/>
            <w:r w:rsidRPr="00056DD3">
              <w:rPr>
                <w:rFonts w:ascii="Arial" w:hAnsi="Arial"/>
                <w:b/>
                <w:bCs/>
                <w:noProof w:val="0"/>
                <w:sz w:val="28"/>
                <w:szCs w:val="28"/>
                <w:u w:val="single"/>
                <w:rtl/>
              </w:rPr>
              <w:t>גזר דין</w:t>
            </w:r>
          </w:p>
        </w:tc>
      </w:tr>
      <w:bookmarkEnd w:id="5"/>
    </w:tbl>
    <w:p w14:paraId="370824A7" w14:textId="77777777" w:rsidR="00EA36E1" w:rsidRDefault="00EA36E1" w:rsidP="00EA36E1">
      <w:pPr>
        <w:spacing w:line="360" w:lineRule="auto"/>
        <w:jc w:val="both"/>
        <w:rPr>
          <w:rFonts w:ascii="Arial" w:hAnsi="Arial"/>
          <w:noProof w:val="0"/>
          <w:rtl/>
        </w:rPr>
      </w:pPr>
    </w:p>
    <w:p w14:paraId="4E72F39B" w14:textId="77777777" w:rsidR="00EA36E1" w:rsidRDefault="00EA36E1" w:rsidP="00EA36E1">
      <w:pPr>
        <w:spacing w:line="360" w:lineRule="auto"/>
        <w:jc w:val="both"/>
        <w:rPr>
          <w:rFonts w:ascii="Arial" w:hAnsi="Arial"/>
          <w:noProof w:val="0"/>
          <w:rtl/>
        </w:rPr>
      </w:pPr>
      <w:r>
        <w:rPr>
          <w:rFonts w:ascii="Arial" w:hAnsi="Arial" w:hint="cs"/>
          <w:b/>
          <w:bCs/>
          <w:noProof w:val="0"/>
          <w:u w:val="single"/>
          <w:rtl/>
        </w:rPr>
        <w:t>מבוא:</w:t>
      </w:r>
    </w:p>
    <w:p w14:paraId="2AF87274" w14:textId="77777777" w:rsidR="00EA36E1" w:rsidRDefault="00EA36E1" w:rsidP="00EA36E1">
      <w:pPr>
        <w:spacing w:line="360" w:lineRule="auto"/>
        <w:ind w:left="720" w:hanging="720"/>
        <w:jc w:val="both"/>
        <w:rPr>
          <w:rFonts w:ascii="Arial" w:hAnsi="Arial"/>
          <w:noProof w:val="0"/>
          <w:rtl/>
        </w:rPr>
      </w:pPr>
      <w:r>
        <w:rPr>
          <w:rFonts w:ascii="Arial" w:hAnsi="Arial" w:hint="cs"/>
          <w:noProof w:val="0"/>
          <w:rtl/>
        </w:rPr>
        <w:t xml:space="preserve">1. </w:t>
      </w:r>
      <w:r>
        <w:rPr>
          <w:rFonts w:ascii="Arial" w:hAnsi="Arial" w:hint="cs"/>
          <w:noProof w:val="0"/>
          <w:rtl/>
        </w:rPr>
        <w:tab/>
        <w:t xml:space="preserve">הנאשם הורשע על פי הודאתו בכתב אישום מתוקן במסגרת הסדר טיעון בעבירות בנשק (החזקה ונשיאה) - עבירה לפי </w:t>
      </w:r>
      <w:hyperlink r:id="rId14" w:history="1">
        <w:r w:rsidR="007E43F2" w:rsidRPr="007E43F2">
          <w:rPr>
            <w:rStyle w:val="Hyperlink"/>
            <w:rFonts w:ascii="Arial" w:hAnsi="Arial" w:hint="eastAsia"/>
            <w:noProof w:val="0"/>
            <w:rtl/>
          </w:rPr>
          <w:t>סעיף</w:t>
        </w:r>
        <w:r w:rsidR="007E43F2" w:rsidRPr="007E43F2">
          <w:rPr>
            <w:rStyle w:val="Hyperlink"/>
            <w:rFonts w:ascii="Arial" w:hAnsi="Arial"/>
            <w:noProof w:val="0"/>
            <w:rtl/>
          </w:rPr>
          <w:t xml:space="preserve"> 144(א)</w:t>
        </w:r>
      </w:hyperlink>
      <w:r w:rsidRPr="005564EF">
        <w:rPr>
          <w:rFonts w:ascii="Arial" w:hAnsi="Arial" w:hint="cs"/>
          <w:noProof w:val="0"/>
          <w:rtl/>
        </w:rPr>
        <w:t xml:space="preserve"> </w:t>
      </w:r>
      <w:hyperlink r:id="rId15" w:history="1">
        <w:r w:rsidR="007E43F2" w:rsidRPr="007E43F2">
          <w:rPr>
            <w:rStyle w:val="Hyperlink"/>
            <w:rFonts w:ascii="Arial" w:hAnsi="Arial"/>
            <w:noProof w:val="0"/>
            <w:rtl/>
          </w:rPr>
          <w:t>+ (ב)</w:t>
        </w:r>
      </w:hyperlink>
      <w:r w:rsidRPr="005564EF">
        <w:rPr>
          <w:rFonts w:ascii="Arial" w:hAnsi="Arial" w:hint="cs"/>
          <w:noProof w:val="0"/>
          <w:rtl/>
        </w:rPr>
        <w:t xml:space="preserve"> רישא  ל</w:t>
      </w:r>
      <w:hyperlink r:id="rId16" w:history="1">
        <w:r w:rsidR="00056DD3" w:rsidRPr="00056DD3">
          <w:rPr>
            <w:rStyle w:val="Hyperlink"/>
            <w:rFonts w:ascii="Arial" w:hAnsi="Arial" w:hint="eastAsia"/>
            <w:noProof w:val="0"/>
            <w:rtl/>
          </w:rPr>
          <w:t>חוק</w:t>
        </w:r>
        <w:r w:rsidR="00056DD3" w:rsidRPr="00056DD3">
          <w:rPr>
            <w:rStyle w:val="Hyperlink"/>
            <w:rFonts w:ascii="Arial" w:hAnsi="Arial"/>
            <w:noProof w:val="0"/>
            <w:rtl/>
          </w:rPr>
          <w:t xml:space="preserve"> העונשין</w:t>
        </w:r>
      </w:hyperlink>
      <w:r w:rsidRPr="005564EF">
        <w:rPr>
          <w:rFonts w:ascii="Arial" w:hAnsi="Arial" w:hint="cs"/>
          <w:noProof w:val="0"/>
          <w:rtl/>
        </w:rPr>
        <w:t>,</w:t>
      </w:r>
      <w:r>
        <w:rPr>
          <w:rFonts w:ascii="Arial" w:hAnsi="Arial" w:hint="cs"/>
          <w:noProof w:val="0"/>
          <w:rtl/>
        </w:rPr>
        <w:t xml:space="preserve"> התשל"ז </w:t>
      </w:r>
      <w:r>
        <w:rPr>
          <w:rFonts w:ascii="Arial" w:hAnsi="Arial"/>
          <w:noProof w:val="0"/>
          <w:rtl/>
        </w:rPr>
        <w:t>–</w:t>
      </w:r>
      <w:r>
        <w:rPr>
          <w:rFonts w:ascii="Arial" w:hAnsi="Arial" w:hint="cs"/>
          <w:noProof w:val="0"/>
          <w:rtl/>
        </w:rPr>
        <w:t xml:space="preserve"> 1977 (להלן: </w:t>
      </w:r>
      <w:r>
        <w:rPr>
          <w:rFonts w:ascii="Arial" w:hAnsi="Arial" w:hint="cs"/>
          <w:b/>
          <w:bCs/>
          <w:noProof w:val="0"/>
          <w:rtl/>
        </w:rPr>
        <w:t>"חוק העונשין"</w:t>
      </w:r>
      <w:r>
        <w:rPr>
          <w:rFonts w:ascii="Arial" w:hAnsi="Arial" w:hint="cs"/>
          <w:noProof w:val="0"/>
          <w:rtl/>
        </w:rPr>
        <w:t xml:space="preserve">), וכן בעבירת החזקת סכין </w:t>
      </w:r>
      <w:r>
        <w:rPr>
          <w:rFonts w:ascii="Arial" w:hAnsi="Arial"/>
          <w:noProof w:val="0"/>
          <w:rtl/>
        </w:rPr>
        <w:t>–</w:t>
      </w:r>
      <w:r>
        <w:rPr>
          <w:rFonts w:ascii="Arial" w:hAnsi="Arial" w:hint="cs"/>
          <w:noProof w:val="0"/>
          <w:rtl/>
        </w:rPr>
        <w:t xml:space="preserve"> עבירה לפי סעיף </w:t>
      </w:r>
      <w:hyperlink r:id="rId17" w:history="1">
        <w:r w:rsidR="007E43F2" w:rsidRPr="007E43F2">
          <w:rPr>
            <w:rStyle w:val="Hyperlink"/>
            <w:rFonts w:ascii="Arial" w:hAnsi="Arial"/>
            <w:noProof w:val="0"/>
            <w:rtl/>
          </w:rPr>
          <w:t>186 (א)</w:t>
        </w:r>
      </w:hyperlink>
      <w:r>
        <w:rPr>
          <w:rFonts w:ascii="Arial" w:hAnsi="Arial" w:hint="cs"/>
          <w:noProof w:val="0"/>
          <w:rtl/>
        </w:rPr>
        <w:t xml:space="preserve"> לחוק העונשין.  הנאשם עצור בגין תיק זה מיום 9/12/15. </w:t>
      </w:r>
    </w:p>
    <w:p w14:paraId="184B8A42" w14:textId="77777777" w:rsidR="00EA36E1" w:rsidRDefault="00EA36E1" w:rsidP="00EA36E1">
      <w:pPr>
        <w:spacing w:line="360" w:lineRule="auto"/>
        <w:ind w:left="720" w:hanging="720"/>
        <w:jc w:val="both"/>
        <w:rPr>
          <w:rFonts w:ascii="Arial" w:hAnsi="Arial"/>
          <w:noProof w:val="0"/>
          <w:rtl/>
        </w:rPr>
      </w:pPr>
    </w:p>
    <w:p w14:paraId="2503CFB5" w14:textId="77777777" w:rsidR="00EA36E1" w:rsidRDefault="00EA36E1" w:rsidP="00EA36E1">
      <w:pPr>
        <w:spacing w:line="360" w:lineRule="auto"/>
        <w:ind w:left="720" w:hanging="720"/>
        <w:jc w:val="both"/>
        <w:rPr>
          <w:rFonts w:ascii="Arial" w:hAnsi="Arial"/>
          <w:noProof w:val="0"/>
          <w:rtl/>
        </w:rPr>
      </w:pPr>
      <w:r>
        <w:rPr>
          <w:rFonts w:ascii="Arial" w:hAnsi="Arial" w:hint="cs"/>
          <w:noProof w:val="0"/>
          <w:rtl/>
        </w:rPr>
        <w:t xml:space="preserve">2. </w:t>
      </w:r>
      <w:r>
        <w:rPr>
          <w:rFonts w:ascii="Arial" w:hAnsi="Arial" w:hint="cs"/>
          <w:noProof w:val="0"/>
          <w:rtl/>
        </w:rPr>
        <w:tab/>
      </w:r>
      <w:bookmarkStart w:id="6" w:name="ABSTRACT_START"/>
      <w:bookmarkEnd w:id="6"/>
      <w:r>
        <w:rPr>
          <w:rFonts w:ascii="Arial" w:hAnsi="Arial" w:hint="cs"/>
          <w:noProof w:val="0"/>
          <w:rtl/>
        </w:rPr>
        <w:t xml:space="preserve">כמפורט בעובדות כתב האישום המתוקן, החזיק הנאשם ונשא שני בקבוקי תבעירה ברכבו לאחר שגמלה בליבו ההחלטה להצית רכבו של אחר על רקע סכסוך עמו. כן החזיק הנאשם בכיס מכנסיו בסכין שאורך להבה כ- 6.5 ס"מ שלא כדין. </w:t>
      </w:r>
      <w:bookmarkStart w:id="7" w:name="ABSTRACT_END"/>
      <w:bookmarkEnd w:id="7"/>
    </w:p>
    <w:p w14:paraId="1E442268" w14:textId="77777777" w:rsidR="00EA36E1" w:rsidRDefault="00EA36E1" w:rsidP="00EA36E1">
      <w:pPr>
        <w:spacing w:line="360" w:lineRule="auto"/>
        <w:ind w:left="720" w:hanging="720"/>
        <w:jc w:val="both"/>
        <w:rPr>
          <w:rFonts w:ascii="Arial" w:hAnsi="Arial"/>
          <w:noProof w:val="0"/>
          <w:rtl/>
        </w:rPr>
      </w:pPr>
    </w:p>
    <w:p w14:paraId="36E8A67B" w14:textId="77777777" w:rsidR="00EA36E1" w:rsidRDefault="00EA36E1" w:rsidP="00EA36E1">
      <w:pPr>
        <w:spacing w:line="360" w:lineRule="auto"/>
        <w:ind w:left="720" w:hanging="720"/>
        <w:jc w:val="both"/>
        <w:rPr>
          <w:rFonts w:ascii="Arial" w:hAnsi="Arial"/>
          <w:noProof w:val="0"/>
          <w:rtl/>
        </w:rPr>
      </w:pPr>
      <w:r>
        <w:rPr>
          <w:rFonts w:ascii="Arial" w:hAnsi="Arial" w:hint="cs"/>
          <w:noProof w:val="0"/>
          <w:rtl/>
        </w:rPr>
        <w:t xml:space="preserve">3. </w:t>
      </w:r>
      <w:r>
        <w:rPr>
          <w:rFonts w:ascii="Arial" w:hAnsi="Arial" w:hint="cs"/>
          <w:noProof w:val="0"/>
          <w:rtl/>
        </w:rPr>
        <w:tab/>
        <w:t xml:space="preserve">הצדדים הגיעו לידי הסדר טיעון, לפיו הנאשם יחזור בו מכפירתו בעובדות כתב האישום, יודה בעובדות כתב האישום המתוקן שיוגש לבית המשפט ויורשע בעבירות המיוחסות לו בכתב האישום המתוקן. אין הסדר בין הצדדים לעניין העונש והטיעון לעונש יהיה חופשי. </w:t>
      </w:r>
      <w:bookmarkStart w:id="8" w:name="NGCSBookmark"/>
      <w:bookmarkEnd w:id="8"/>
    </w:p>
    <w:p w14:paraId="16478717" w14:textId="77777777" w:rsidR="00EA36E1" w:rsidRDefault="00EA36E1" w:rsidP="00EA36E1">
      <w:pPr>
        <w:spacing w:line="360" w:lineRule="auto"/>
        <w:ind w:left="720" w:hanging="720"/>
        <w:jc w:val="both"/>
        <w:rPr>
          <w:rFonts w:ascii="Arial" w:hAnsi="Arial"/>
          <w:noProof w:val="0"/>
          <w:rtl/>
        </w:rPr>
      </w:pPr>
    </w:p>
    <w:p w14:paraId="51163EFE" w14:textId="77777777" w:rsidR="00EA36E1" w:rsidRDefault="00EA36E1" w:rsidP="00EA36E1">
      <w:pPr>
        <w:spacing w:line="360" w:lineRule="auto"/>
        <w:ind w:left="720" w:hanging="720"/>
        <w:jc w:val="both"/>
        <w:rPr>
          <w:rFonts w:ascii="Arial" w:hAnsi="Arial"/>
          <w:b/>
          <w:bCs/>
          <w:noProof w:val="0"/>
          <w:u w:val="single"/>
          <w:rtl/>
        </w:rPr>
      </w:pPr>
      <w:r>
        <w:rPr>
          <w:rFonts w:ascii="Arial" w:hAnsi="Arial" w:hint="cs"/>
          <w:b/>
          <w:bCs/>
          <w:noProof w:val="0"/>
          <w:u w:val="single"/>
          <w:rtl/>
        </w:rPr>
        <w:t xml:space="preserve">טיעוני המאשימה: </w:t>
      </w:r>
    </w:p>
    <w:p w14:paraId="5D7B749B" w14:textId="77777777" w:rsidR="00EA36E1" w:rsidRDefault="00EA36E1" w:rsidP="00EA36E1">
      <w:pPr>
        <w:spacing w:line="360" w:lineRule="auto"/>
        <w:ind w:left="720" w:hanging="720"/>
        <w:jc w:val="both"/>
        <w:rPr>
          <w:rFonts w:ascii="Arial" w:hAnsi="Arial"/>
          <w:noProof w:val="0"/>
          <w:rtl/>
        </w:rPr>
      </w:pPr>
      <w:r>
        <w:rPr>
          <w:rFonts w:ascii="Arial" w:hAnsi="Arial" w:hint="cs"/>
          <w:noProof w:val="0"/>
          <w:rtl/>
        </w:rPr>
        <w:t>4.</w:t>
      </w:r>
      <w:r>
        <w:rPr>
          <w:rFonts w:ascii="Arial" w:hAnsi="Arial" w:hint="cs"/>
          <w:noProof w:val="0"/>
          <w:rtl/>
        </w:rPr>
        <w:tab/>
        <w:t xml:space="preserve">בהתאם לתיקון 113 בדבר הבניית שיקול הדעת בענישה, יש לקיים יחס הולם בין חומרת העבירה ומידת אשמתו של הנאשם אל סוג ומידת העונש המוטל עליו. על פי מצוות המחוקק יש לקבוע את מתחם העונש ההולם, תוך התחשבות בערך החברתי שנפגע מביצוע </w:t>
      </w:r>
      <w:r>
        <w:rPr>
          <w:rFonts w:ascii="Arial" w:hAnsi="Arial" w:hint="cs"/>
          <w:noProof w:val="0"/>
          <w:rtl/>
        </w:rPr>
        <w:lastRenderedPageBreak/>
        <w:t>העבירה, מידת הפגיעה בו, מדיניות הענישה הנהוגה והנסיבות הקשורות בביצוע העבירה (</w:t>
      </w:r>
      <w:hyperlink r:id="rId18" w:history="1">
        <w:r w:rsidR="007E43F2" w:rsidRPr="007E43F2">
          <w:rPr>
            <w:rStyle w:val="Hyperlink"/>
            <w:rFonts w:ascii="Arial" w:hAnsi="Arial" w:hint="eastAsia"/>
            <w:noProof w:val="0"/>
            <w:rtl/>
          </w:rPr>
          <w:t>סעיף</w:t>
        </w:r>
        <w:r w:rsidR="007E43F2" w:rsidRPr="007E43F2">
          <w:rPr>
            <w:rStyle w:val="Hyperlink"/>
            <w:rFonts w:ascii="Arial" w:hAnsi="Arial"/>
            <w:noProof w:val="0"/>
            <w:rtl/>
          </w:rPr>
          <w:t xml:space="preserve"> 40ג(א)</w:t>
        </w:r>
      </w:hyperlink>
      <w:r>
        <w:rPr>
          <w:rFonts w:ascii="Arial" w:hAnsi="Arial" w:hint="cs"/>
          <w:noProof w:val="0"/>
          <w:rtl/>
        </w:rPr>
        <w:t xml:space="preserve"> ל</w:t>
      </w:r>
      <w:hyperlink r:id="rId19" w:history="1">
        <w:r w:rsidR="00056DD3" w:rsidRPr="00056DD3">
          <w:rPr>
            <w:rStyle w:val="Hyperlink"/>
            <w:rFonts w:ascii="Arial" w:hAnsi="Arial" w:hint="eastAsia"/>
            <w:noProof w:val="0"/>
            <w:rtl/>
          </w:rPr>
          <w:t>חוק</w:t>
        </w:r>
        <w:r w:rsidR="00056DD3" w:rsidRPr="00056DD3">
          <w:rPr>
            <w:rStyle w:val="Hyperlink"/>
            <w:rFonts w:ascii="Arial" w:hAnsi="Arial"/>
            <w:noProof w:val="0"/>
            <w:rtl/>
          </w:rPr>
          <w:t xml:space="preserve"> העונשין</w:t>
        </w:r>
      </w:hyperlink>
      <w:r>
        <w:rPr>
          <w:rFonts w:ascii="Arial" w:hAnsi="Arial" w:hint="cs"/>
          <w:noProof w:val="0"/>
          <w:rtl/>
        </w:rPr>
        <w:t xml:space="preserve">). </w:t>
      </w:r>
    </w:p>
    <w:p w14:paraId="64355272" w14:textId="77777777" w:rsidR="00EA36E1" w:rsidRDefault="00EA36E1" w:rsidP="00EA36E1">
      <w:pPr>
        <w:spacing w:line="360" w:lineRule="auto"/>
        <w:ind w:left="720" w:hanging="720"/>
        <w:jc w:val="both"/>
        <w:rPr>
          <w:rFonts w:ascii="Arial" w:hAnsi="Arial"/>
          <w:noProof w:val="0"/>
          <w:rtl/>
        </w:rPr>
      </w:pPr>
    </w:p>
    <w:p w14:paraId="6CA8CE15" w14:textId="77777777" w:rsidR="00EA36E1" w:rsidRDefault="00EA36E1" w:rsidP="00EA36E1">
      <w:pPr>
        <w:spacing w:line="360" w:lineRule="auto"/>
        <w:ind w:left="720" w:hanging="720"/>
        <w:jc w:val="both"/>
        <w:rPr>
          <w:rFonts w:ascii="Arial" w:hAnsi="Arial"/>
          <w:noProof w:val="0"/>
          <w:rtl/>
        </w:rPr>
      </w:pPr>
      <w:r>
        <w:rPr>
          <w:rFonts w:ascii="Arial" w:hAnsi="Arial" w:hint="cs"/>
          <w:noProof w:val="0"/>
          <w:rtl/>
        </w:rPr>
        <w:t>5.</w:t>
      </w:r>
      <w:r>
        <w:rPr>
          <w:rFonts w:ascii="Arial" w:hAnsi="Arial"/>
          <w:noProof w:val="0"/>
          <w:rtl/>
        </w:rPr>
        <w:tab/>
      </w:r>
      <w:r w:rsidRPr="005564EF">
        <w:rPr>
          <w:rFonts w:ascii="Arial" w:hAnsi="Arial" w:hint="cs"/>
          <w:b/>
          <w:bCs/>
          <w:noProof w:val="0"/>
          <w:rtl/>
        </w:rPr>
        <w:t>הערך החברתי המוגן שנפגע</w:t>
      </w:r>
      <w:r>
        <w:rPr>
          <w:rFonts w:ascii="Arial" w:hAnsi="Arial" w:hint="cs"/>
          <w:noProof w:val="0"/>
          <w:rtl/>
        </w:rPr>
        <w:t xml:space="preserve"> </w:t>
      </w:r>
      <w:r>
        <w:rPr>
          <w:rFonts w:ascii="Arial" w:hAnsi="Arial"/>
          <w:noProof w:val="0"/>
          <w:rtl/>
        </w:rPr>
        <w:t>–</w:t>
      </w:r>
      <w:r>
        <w:rPr>
          <w:rFonts w:ascii="Arial" w:hAnsi="Arial" w:hint="cs"/>
          <w:noProof w:val="0"/>
          <w:rtl/>
        </w:rPr>
        <w:t xml:space="preserve"> עבירות הנשק הן עבירות חמורות הטומנות בחובן סכנה רבה; בקבוק תבעירה מהווה נשק חם לכל דבר ועניין ופגיעתו עשויה להיות קשה ולגרום להתקלחות רחבה ואף לפגיעה בנפש</w:t>
      </w:r>
      <w:r>
        <w:rPr>
          <w:rFonts w:ascii="Arial" w:hAnsi="Arial" w:hint="cs"/>
          <w:noProof w:val="0"/>
        </w:rPr>
        <w:t xml:space="preserve"> </w:t>
      </w:r>
      <w:r>
        <w:rPr>
          <w:rFonts w:ascii="Arial" w:hAnsi="Arial" w:hint="cs"/>
          <w:noProof w:val="0"/>
          <w:rtl/>
        </w:rPr>
        <w:t xml:space="preserve"> (ראה </w:t>
      </w:r>
      <w:hyperlink r:id="rId20" w:history="1">
        <w:r w:rsidR="00056DD3" w:rsidRPr="00056DD3">
          <w:rPr>
            <w:rStyle w:val="Hyperlink"/>
            <w:rFonts w:ascii="Arial" w:hAnsi="Arial" w:hint="eastAsia"/>
            <w:noProof w:val="0"/>
            <w:rtl/>
          </w:rPr>
          <w:t>ע</w:t>
        </w:r>
        <w:r w:rsidR="00056DD3" w:rsidRPr="00056DD3">
          <w:rPr>
            <w:rStyle w:val="Hyperlink"/>
            <w:rFonts w:ascii="Arial" w:hAnsi="Arial"/>
            <w:noProof w:val="0"/>
            <w:rtl/>
          </w:rPr>
          <w:t>"פ 2337/13</w:t>
        </w:r>
      </w:hyperlink>
      <w:r>
        <w:rPr>
          <w:rFonts w:ascii="Arial" w:hAnsi="Arial" w:hint="cs"/>
          <w:noProof w:val="0"/>
          <w:rtl/>
        </w:rPr>
        <w:t xml:space="preserve"> </w:t>
      </w:r>
      <w:r w:rsidRPr="0008665A">
        <w:rPr>
          <w:rFonts w:ascii="Arial" w:hAnsi="Arial" w:hint="cs"/>
          <w:b/>
          <w:bCs/>
          <w:noProof w:val="0"/>
          <w:rtl/>
        </w:rPr>
        <w:t>קואסמה ואח' נ' מדינת ישראל</w:t>
      </w:r>
      <w:r>
        <w:rPr>
          <w:rFonts w:ascii="Arial" w:hAnsi="Arial" w:hint="cs"/>
          <w:noProof w:val="0"/>
          <w:rtl/>
        </w:rPr>
        <w:t xml:space="preserve"> מיום 16.9.13 (פסקה 12)). הקלות שבה ניתן ליצור בקבוקי תבעירה והפגיעה הרחבה שעשויה להיגרם כתוצאה מהשימוש בנשק זה, מחייבת ענישה מחמירה, בין אם מדובר בשימוש בנשק לצרכים פליליים גרידא ובין אם מדובר על שימוש על רקע טעמים אידיאולוגיים לאומניים, מצווה על בית המשפט להילחם בתופעה באמצעות ענישה מחמירה, אשר תעביר מסר תקיף לפיו החברה ובראשה בתי המשפט, סולדים מתופעת האלימות הגואה, המלווה בשימוש בנשק הזמין לכל (ראה </w:t>
      </w:r>
      <w:hyperlink r:id="rId21" w:history="1">
        <w:r w:rsidR="00056DD3" w:rsidRPr="00056DD3">
          <w:rPr>
            <w:rStyle w:val="Hyperlink"/>
            <w:rFonts w:ascii="Arial" w:hAnsi="Arial" w:hint="eastAsia"/>
            <w:noProof w:val="0"/>
            <w:rtl/>
          </w:rPr>
          <w:t>ע</w:t>
        </w:r>
        <w:r w:rsidR="00056DD3" w:rsidRPr="00056DD3">
          <w:rPr>
            <w:rStyle w:val="Hyperlink"/>
            <w:rFonts w:ascii="Arial" w:hAnsi="Arial"/>
            <w:noProof w:val="0"/>
            <w:rtl/>
          </w:rPr>
          <w:t>"פ 4527/01</w:t>
        </w:r>
      </w:hyperlink>
      <w:r>
        <w:rPr>
          <w:rFonts w:ascii="Arial" w:hAnsi="Arial" w:hint="cs"/>
          <w:noProof w:val="0"/>
          <w:rtl/>
        </w:rPr>
        <w:t xml:space="preserve"> </w:t>
      </w:r>
      <w:r w:rsidRPr="0008665A">
        <w:rPr>
          <w:rFonts w:ascii="Arial" w:hAnsi="Arial" w:hint="cs"/>
          <w:b/>
          <w:bCs/>
          <w:noProof w:val="0"/>
          <w:rtl/>
        </w:rPr>
        <w:t>מדינת ישראל</w:t>
      </w:r>
      <w:r>
        <w:rPr>
          <w:rFonts w:ascii="Arial" w:hAnsi="Arial" w:hint="cs"/>
          <w:b/>
          <w:bCs/>
          <w:noProof w:val="0"/>
          <w:rtl/>
        </w:rPr>
        <w:t>.</w:t>
      </w:r>
      <w:r w:rsidRPr="0008665A">
        <w:rPr>
          <w:rFonts w:ascii="Arial" w:hAnsi="Arial" w:hint="cs"/>
          <w:b/>
          <w:bCs/>
          <w:noProof w:val="0"/>
          <w:rtl/>
        </w:rPr>
        <w:t xml:space="preserve"> נ' פואד אבו ג'ובנה</w:t>
      </w:r>
      <w:r>
        <w:rPr>
          <w:rFonts w:ascii="Arial" w:hAnsi="Arial" w:hint="cs"/>
          <w:noProof w:val="0"/>
          <w:rtl/>
        </w:rPr>
        <w:t xml:space="preserve">). </w:t>
      </w:r>
    </w:p>
    <w:p w14:paraId="22F6E056" w14:textId="77777777" w:rsidR="00EA36E1" w:rsidRDefault="00EA36E1" w:rsidP="00EA36E1">
      <w:pPr>
        <w:spacing w:line="360" w:lineRule="auto"/>
        <w:ind w:left="720" w:hanging="720"/>
        <w:jc w:val="both"/>
        <w:rPr>
          <w:rFonts w:ascii="Arial" w:hAnsi="Arial"/>
          <w:noProof w:val="0"/>
          <w:rtl/>
        </w:rPr>
      </w:pPr>
    </w:p>
    <w:p w14:paraId="7408FB83" w14:textId="77777777" w:rsidR="00EA36E1" w:rsidRDefault="00EA36E1" w:rsidP="00EA36E1">
      <w:pPr>
        <w:spacing w:line="360" w:lineRule="auto"/>
        <w:ind w:left="720" w:hanging="720"/>
        <w:jc w:val="both"/>
        <w:rPr>
          <w:rFonts w:ascii="Arial" w:hAnsi="Arial"/>
          <w:noProof w:val="0"/>
          <w:rtl/>
        </w:rPr>
      </w:pPr>
      <w:r>
        <w:rPr>
          <w:rFonts w:ascii="Arial" w:hAnsi="Arial" w:hint="cs"/>
          <w:noProof w:val="0"/>
          <w:rtl/>
        </w:rPr>
        <w:t>6.</w:t>
      </w:r>
      <w:r>
        <w:rPr>
          <w:rFonts w:ascii="Arial" w:hAnsi="Arial"/>
          <w:noProof w:val="0"/>
          <w:rtl/>
        </w:rPr>
        <w:tab/>
      </w:r>
      <w:r w:rsidRPr="005564EF">
        <w:rPr>
          <w:rFonts w:ascii="Arial" w:hAnsi="Arial" w:hint="cs"/>
          <w:b/>
          <w:bCs/>
          <w:noProof w:val="0"/>
          <w:rtl/>
        </w:rPr>
        <w:t>הנסיבות הקשורות בביצוע העבירה</w:t>
      </w:r>
      <w:r>
        <w:rPr>
          <w:rFonts w:ascii="Arial" w:hAnsi="Arial" w:hint="cs"/>
          <w:noProof w:val="0"/>
          <w:rtl/>
        </w:rPr>
        <w:t xml:space="preserve"> </w:t>
      </w:r>
      <w:r>
        <w:rPr>
          <w:rFonts w:ascii="Arial" w:hAnsi="Arial"/>
          <w:noProof w:val="0"/>
          <w:rtl/>
        </w:rPr>
        <w:t>–</w:t>
      </w:r>
      <w:r>
        <w:rPr>
          <w:rFonts w:ascii="Arial" w:hAnsi="Arial" w:hint="cs"/>
          <w:noProof w:val="0"/>
          <w:rtl/>
        </w:rPr>
        <w:t xml:space="preserve"> </w:t>
      </w:r>
      <w:hyperlink r:id="rId22" w:history="1">
        <w:r w:rsidR="007E43F2" w:rsidRPr="007E43F2">
          <w:rPr>
            <w:rStyle w:val="Hyperlink"/>
            <w:rFonts w:ascii="Arial" w:hAnsi="Arial" w:hint="eastAsia"/>
            <w:noProof w:val="0"/>
            <w:rtl/>
          </w:rPr>
          <w:t>סעיף</w:t>
        </w:r>
        <w:r w:rsidR="007E43F2" w:rsidRPr="007E43F2">
          <w:rPr>
            <w:rStyle w:val="Hyperlink"/>
            <w:rFonts w:ascii="Arial" w:hAnsi="Arial"/>
            <w:noProof w:val="0"/>
            <w:rtl/>
          </w:rPr>
          <w:t xml:space="preserve"> 40 ט'</w:t>
        </w:r>
      </w:hyperlink>
      <w:r>
        <w:rPr>
          <w:rFonts w:ascii="Arial" w:hAnsi="Arial" w:hint="cs"/>
          <w:noProof w:val="0"/>
          <w:rtl/>
        </w:rPr>
        <w:t xml:space="preserve"> ל</w:t>
      </w:r>
      <w:hyperlink r:id="rId23" w:history="1">
        <w:r w:rsidR="00056DD3" w:rsidRPr="00056DD3">
          <w:rPr>
            <w:rStyle w:val="Hyperlink"/>
            <w:rFonts w:ascii="Arial" w:hAnsi="Arial" w:hint="eastAsia"/>
            <w:noProof w:val="0"/>
            <w:rtl/>
          </w:rPr>
          <w:t>חוק</w:t>
        </w:r>
        <w:r w:rsidR="00056DD3" w:rsidRPr="00056DD3">
          <w:rPr>
            <w:rStyle w:val="Hyperlink"/>
            <w:rFonts w:ascii="Arial" w:hAnsi="Arial"/>
            <w:noProof w:val="0"/>
            <w:rtl/>
          </w:rPr>
          <w:t xml:space="preserve"> העונשין</w:t>
        </w:r>
      </w:hyperlink>
      <w:r>
        <w:rPr>
          <w:rFonts w:ascii="Arial" w:hAnsi="Arial" w:hint="cs"/>
          <w:noProof w:val="0"/>
          <w:rtl/>
        </w:rPr>
        <w:t xml:space="preserve"> מונה רשימה של נסיבות מחמירות הקשורות בביצוע העבירה:  </w:t>
      </w:r>
    </w:p>
    <w:p w14:paraId="17A5BA3E" w14:textId="77777777" w:rsidR="00EA36E1" w:rsidRDefault="00EA36E1" w:rsidP="00EA36E1">
      <w:pPr>
        <w:spacing w:line="360" w:lineRule="auto"/>
        <w:ind w:left="1080" w:hanging="360"/>
        <w:jc w:val="both"/>
        <w:rPr>
          <w:rFonts w:ascii="Arial" w:hAnsi="Arial"/>
          <w:noProof w:val="0"/>
          <w:rtl/>
        </w:rPr>
      </w:pPr>
      <w:r w:rsidRPr="0061750A">
        <w:rPr>
          <w:rFonts w:ascii="Arial" w:hAnsi="Arial" w:hint="cs"/>
          <w:noProof w:val="0"/>
          <w:rtl/>
        </w:rPr>
        <w:t>-</w:t>
      </w:r>
      <w:r>
        <w:rPr>
          <w:rFonts w:ascii="Arial" w:hAnsi="Arial" w:hint="cs"/>
          <w:noProof w:val="0"/>
          <w:rtl/>
        </w:rPr>
        <w:tab/>
        <w:t xml:space="preserve"> התכנון שקדם לביצוע העבירה </w:t>
      </w:r>
      <w:r>
        <w:rPr>
          <w:rFonts w:ascii="Arial" w:hAnsi="Arial"/>
          <w:noProof w:val="0"/>
          <w:rtl/>
        </w:rPr>
        <w:t>–</w:t>
      </w:r>
      <w:r>
        <w:rPr>
          <w:rFonts w:ascii="Arial" w:hAnsi="Arial" w:hint="cs"/>
          <w:noProof w:val="0"/>
          <w:rtl/>
        </w:rPr>
        <w:t xml:space="preserve"> כעולה מכתב האישום המתוקן, הנאשם החליט להצית את רכבו של אדם אחר ולצורך כך הצטייד בחומרים הדרושים להכנת בקבוק תבעירה והחזיק את בקבוק התבערה ברכבו לצורך שימוש בהם; הנאשם החזיק ונשא את בקבוקי התבערה ברכבו, בעודו נוסע ברכב וכן החזיק על גופו סכין, דבר המלמד על כוונותיו ואופיו האלים של הנאשם.</w:t>
      </w:r>
    </w:p>
    <w:p w14:paraId="4BE6947F" w14:textId="77777777" w:rsidR="00EA36E1" w:rsidRDefault="00EA36E1" w:rsidP="00EA36E1">
      <w:pPr>
        <w:pStyle w:val="ListParagraph"/>
        <w:numPr>
          <w:ilvl w:val="0"/>
          <w:numId w:val="1"/>
        </w:numPr>
        <w:spacing w:line="360" w:lineRule="auto"/>
        <w:jc w:val="both"/>
        <w:rPr>
          <w:rFonts w:ascii="Arial" w:hAnsi="Arial"/>
          <w:noProof w:val="0"/>
        </w:rPr>
      </w:pPr>
      <w:r>
        <w:rPr>
          <w:rFonts w:ascii="Arial" w:hAnsi="Arial" w:hint="cs"/>
          <w:noProof w:val="0"/>
          <w:rtl/>
        </w:rPr>
        <w:t xml:space="preserve">הנסיבות שהובילו את הנאשם לבצע את העבירה </w:t>
      </w:r>
      <w:r>
        <w:rPr>
          <w:rFonts w:ascii="Arial" w:hAnsi="Arial"/>
          <w:noProof w:val="0"/>
          <w:rtl/>
        </w:rPr>
        <w:t>–</w:t>
      </w:r>
      <w:r>
        <w:rPr>
          <w:rFonts w:ascii="Arial" w:hAnsi="Arial" w:hint="cs"/>
          <w:noProof w:val="0"/>
          <w:rtl/>
        </w:rPr>
        <w:t xml:space="preserve"> הנאשם היה מצוי בסכסוך עם אדם אחר; הנאשם בחר להחזיק ולשאת בנשק חם ונשק קר לצורך פתרון סכסוכים בדרכים אלימות. </w:t>
      </w:r>
    </w:p>
    <w:p w14:paraId="67DB99E9" w14:textId="77777777" w:rsidR="00EA36E1" w:rsidRDefault="00EA36E1" w:rsidP="00EA36E1">
      <w:pPr>
        <w:pStyle w:val="ListParagraph"/>
        <w:numPr>
          <w:ilvl w:val="0"/>
          <w:numId w:val="1"/>
        </w:numPr>
        <w:spacing w:line="360" w:lineRule="auto"/>
        <w:jc w:val="both"/>
        <w:rPr>
          <w:rtl/>
        </w:rPr>
      </w:pPr>
      <w:r w:rsidRPr="0061750A">
        <w:rPr>
          <w:rFonts w:ascii="Arial" w:hAnsi="Arial" w:hint="cs"/>
          <w:noProof w:val="0"/>
          <w:rtl/>
        </w:rPr>
        <w:t xml:space="preserve"> הנזק שהיה צפוי להיגרם מביצוע העבירה  - </w:t>
      </w:r>
      <w:r>
        <w:rPr>
          <w:rFonts w:hint="cs"/>
          <w:rtl/>
        </w:rPr>
        <w:t xml:space="preserve">קיים פוטנציאל פגיעה רב בשימוש בבקבוקי תבעירה ו\או החזקת סכין שלא כדין בין אם ברכוש ובין אם בנפש. </w:t>
      </w:r>
    </w:p>
    <w:p w14:paraId="6EAC6E50" w14:textId="77777777" w:rsidR="00EA36E1" w:rsidRDefault="00EA36E1" w:rsidP="00EA36E1">
      <w:pPr>
        <w:spacing w:line="360" w:lineRule="auto"/>
        <w:jc w:val="both"/>
        <w:rPr>
          <w:rtl/>
        </w:rPr>
      </w:pPr>
    </w:p>
    <w:p w14:paraId="6810D7C4" w14:textId="77777777" w:rsidR="00EA36E1" w:rsidRDefault="00EA36E1" w:rsidP="00EA36E1">
      <w:pPr>
        <w:spacing w:line="360" w:lineRule="auto"/>
        <w:ind w:left="720" w:hanging="720"/>
        <w:jc w:val="both"/>
        <w:rPr>
          <w:rtl/>
        </w:rPr>
      </w:pPr>
      <w:r>
        <w:rPr>
          <w:rFonts w:hint="cs"/>
          <w:rtl/>
        </w:rPr>
        <w:t>7.</w:t>
      </w:r>
      <w:r>
        <w:rPr>
          <w:rFonts w:hint="cs"/>
          <w:rtl/>
        </w:rPr>
        <w:tab/>
        <w:t xml:space="preserve">מדיניות הענישה הנוהגת </w:t>
      </w:r>
      <w:r>
        <w:rPr>
          <w:rtl/>
        </w:rPr>
        <w:t>–</w:t>
      </w:r>
      <w:r>
        <w:rPr>
          <w:rFonts w:hint="cs"/>
          <w:rtl/>
        </w:rPr>
        <w:t xml:space="preserve"> המאשימה סבורה כי מתחם העונש ההולם בהתחשב בנסיבות ביצוע העבירה והפגייעה בערך המוגן הינו 24-12 חודשי מאסר בפועל. המדינה מפנה ל</w:t>
      </w:r>
      <w:hyperlink r:id="rId24" w:history="1">
        <w:r w:rsidR="00056DD3" w:rsidRPr="00056DD3">
          <w:rPr>
            <w:rStyle w:val="Hyperlink"/>
            <w:rFonts w:hint="eastAsia"/>
            <w:rtl/>
          </w:rPr>
          <w:t>ע</w:t>
        </w:r>
        <w:r w:rsidR="00056DD3" w:rsidRPr="00056DD3">
          <w:rPr>
            <w:rStyle w:val="Hyperlink"/>
            <w:rtl/>
          </w:rPr>
          <w:t>"פ 9511/01</w:t>
        </w:r>
      </w:hyperlink>
      <w:r>
        <w:rPr>
          <w:rFonts w:hint="cs"/>
          <w:rtl/>
        </w:rPr>
        <w:t xml:space="preserve"> </w:t>
      </w:r>
      <w:r w:rsidRPr="008A2277">
        <w:rPr>
          <w:rFonts w:hint="cs"/>
          <w:b/>
          <w:bCs/>
          <w:rtl/>
        </w:rPr>
        <w:t>קבקוב נ' מדינת ישראל</w:t>
      </w:r>
      <w:r>
        <w:rPr>
          <w:rFonts w:hint="cs"/>
          <w:b/>
          <w:bCs/>
          <w:rtl/>
        </w:rPr>
        <w:t xml:space="preserve">  </w:t>
      </w:r>
      <w:r>
        <w:rPr>
          <w:rFonts w:hint="cs"/>
          <w:rtl/>
        </w:rPr>
        <w:t xml:space="preserve">הנאשם הורשע בעבירות של הכנה ונשיאה של כלי נשק מסוג בקת"ב </w:t>
      </w:r>
      <w:r>
        <w:rPr>
          <w:rtl/>
        </w:rPr>
        <w:t>–</w:t>
      </w:r>
      <w:r>
        <w:rPr>
          <w:rFonts w:hint="cs"/>
          <w:rtl/>
        </w:rPr>
        <w:t xml:space="preserve"> נגזרו עליו 12 חודשי מאסר. </w:t>
      </w:r>
    </w:p>
    <w:p w14:paraId="693258D6" w14:textId="77777777" w:rsidR="00EA36E1" w:rsidRDefault="00056DD3" w:rsidP="00EA36E1">
      <w:pPr>
        <w:spacing w:line="360" w:lineRule="auto"/>
        <w:ind w:left="720"/>
        <w:jc w:val="both"/>
        <w:rPr>
          <w:rtl/>
        </w:rPr>
      </w:pPr>
      <w:hyperlink r:id="rId25" w:history="1">
        <w:r w:rsidRPr="00056DD3">
          <w:rPr>
            <w:rStyle w:val="Hyperlink"/>
            <w:rFonts w:hint="eastAsia"/>
            <w:rtl/>
          </w:rPr>
          <w:t>ת</w:t>
        </w:r>
        <w:r w:rsidRPr="00056DD3">
          <w:rPr>
            <w:rStyle w:val="Hyperlink"/>
            <w:rtl/>
          </w:rPr>
          <w:t>"פ 44579-08-15</w:t>
        </w:r>
      </w:hyperlink>
      <w:r w:rsidR="00EA36E1">
        <w:rPr>
          <w:rFonts w:hint="cs"/>
          <w:rtl/>
        </w:rPr>
        <w:t xml:space="preserve"> </w:t>
      </w:r>
      <w:r w:rsidR="00EA36E1" w:rsidRPr="008A2277">
        <w:rPr>
          <w:rFonts w:hint="cs"/>
          <w:b/>
          <w:bCs/>
          <w:rtl/>
        </w:rPr>
        <w:t>מדינת ישראל נ' מוחמד ג'ורבאן</w:t>
      </w:r>
      <w:r w:rsidR="00EA36E1">
        <w:rPr>
          <w:rFonts w:hint="cs"/>
          <w:rtl/>
        </w:rPr>
        <w:t xml:space="preserve">, הנאשם הורשע באחזקה ונשיאה של אקדח, בית המשפט המחוזי בחיפה קבע מתחם עונש הולם של 30-7 חודשי מאסר בפועל וגזר על הנאשם 12 חודשי מאסר בפועל, מאסר על תנאי וקנס.  </w:t>
      </w:r>
    </w:p>
    <w:p w14:paraId="4B86F364" w14:textId="77777777" w:rsidR="00EA36E1" w:rsidRDefault="00056DD3" w:rsidP="00EA36E1">
      <w:pPr>
        <w:spacing w:line="360" w:lineRule="auto"/>
        <w:ind w:left="720"/>
        <w:jc w:val="both"/>
        <w:rPr>
          <w:rtl/>
        </w:rPr>
      </w:pPr>
      <w:hyperlink r:id="rId26" w:history="1">
        <w:r w:rsidRPr="00056DD3">
          <w:rPr>
            <w:rStyle w:val="Hyperlink"/>
            <w:rFonts w:hint="eastAsia"/>
            <w:rtl/>
          </w:rPr>
          <w:t>ת</w:t>
        </w:r>
        <w:r w:rsidRPr="00056DD3">
          <w:rPr>
            <w:rStyle w:val="Hyperlink"/>
            <w:rtl/>
          </w:rPr>
          <w:t>"פ 42684-06-15</w:t>
        </w:r>
      </w:hyperlink>
      <w:r w:rsidR="00EA36E1">
        <w:rPr>
          <w:rFonts w:hint="cs"/>
          <w:rtl/>
        </w:rPr>
        <w:t xml:space="preserve"> </w:t>
      </w:r>
      <w:r w:rsidR="00EA36E1" w:rsidRPr="008A2277">
        <w:rPr>
          <w:rFonts w:hint="cs"/>
          <w:b/>
          <w:bCs/>
          <w:rtl/>
        </w:rPr>
        <w:t>מדינת ישראל נ' סנד וותד ועדנאן וותד</w:t>
      </w:r>
      <w:r w:rsidR="00EA36E1">
        <w:rPr>
          <w:rFonts w:hint="cs"/>
          <w:b/>
          <w:bCs/>
          <w:rtl/>
        </w:rPr>
        <w:t xml:space="preserve">, </w:t>
      </w:r>
      <w:r w:rsidR="00EA36E1">
        <w:rPr>
          <w:rFonts w:hint="cs"/>
          <w:rtl/>
        </w:rPr>
        <w:t xml:space="preserve">הנאשם 1 הורשע באחזקת נשק בביתו ונאשם 2 הורשע בסיוע לאחזקת נשק, בית המשפט המחוזי קבע מתחם ענישה הולם של 30-8 חודשי מאסר בפועל וגזר על הנאשם עונש של 14 חודשי מאסר בפועל, מאסר על תנאי וקנס.  </w:t>
      </w:r>
    </w:p>
    <w:p w14:paraId="13342184" w14:textId="77777777" w:rsidR="00EA36E1" w:rsidRPr="005A140B" w:rsidRDefault="00056DD3" w:rsidP="00EA36E1">
      <w:pPr>
        <w:spacing w:line="360" w:lineRule="auto"/>
        <w:ind w:left="720"/>
        <w:jc w:val="both"/>
        <w:rPr>
          <w:rtl/>
        </w:rPr>
      </w:pPr>
      <w:hyperlink r:id="rId27" w:history="1">
        <w:r w:rsidRPr="00056DD3">
          <w:rPr>
            <w:rStyle w:val="Hyperlink"/>
            <w:rFonts w:hint="eastAsia"/>
            <w:rtl/>
          </w:rPr>
          <w:t>עפ</w:t>
        </w:r>
        <w:r w:rsidRPr="00056DD3">
          <w:rPr>
            <w:rStyle w:val="Hyperlink"/>
            <w:rtl/>
          </w:rPr>
          <w:t>"ג 16271-07-09</w:t>
        </w:r>
      </w:hyperlink>
      <w:r w:rsidR="00EA36E1">
        <w:rPr>
          <w:rFonts w:hint="cs"/>
          <w:rtl/>
        </w:rPr>
        <w:t xml:space="preserve"> (מחוזי חיפה) </w:t>
      </w:r>
      <w:r w:rsidR="00EA36E1">
        <w:rPr>
          <w:rtl/>
        </w:rPr>
        <w:t>–</w:t>
      </w:r>
      <w:r w:rsidR="00EA36E1">
        <w:rPr>
          <w:rFonts w:hint="cs"/>
          <w:rtl/>
        </w:rPr>
        <w:t xml:space="preserve"> שם נדחה ערעורו של נאשם ונגזרו עליו חמישה חודשי מאסר בפועל והופעלו עוד שלושה חודשי מאסר על תנאי במצטבר, בגין אירוע אחד של אחזקת סכין. </w:t>
      </w:r>
    </w:p>
    <w:p w14:paraId="51F684CB" w14:textId="77777777" w:rsidR="00EA36E1" w:rsidRDefault="00EA36E1" w:rsidP="00EA36E1">
      <w:pPr>
        <w:spacing w:line="360" w:lineRule="auto"/>
        <w:ind w:left="720" w:hanging="720"/>
        <w:jc w:val="both"/>
        <w:rPr>
          <w:rFonts w:ascii="Arial" w:hAnsi="Arial"/>
          <w:noProof w:val="0"/>
          <w:rtl/>
        </w:rPr>
      </w:pPr>
    </w:p>
    <w:p w14:paraId="7951304A" w14:textId="77777777" w:rsidR="00EA36E1" w:rsidRDefault="00EA36E1" w:rsidP="00EA36E1">
      <w:pPr>
        <w:spacing w:line="360" w:lineRule="auto"/>
        <w:ind w:left="720" w:hanging="720"/>
        <w:jc w:val="both"/>
        <w:rPr>
          <w:rFonts w:ascii="Arial" w:hAnsi="Arial"/>
          <w:noProof w:val="0"/>
          <w:rtl/>
        </w:rPr>
      </w:pPr>
      <w:r>
        <w:rPr>
          <w:rFonts w:ascii="Arial" w:hAnsi="Arial" w:hint="cs"/>
          <w:noProof w:val="0"/>
          <w:rtl/>
        </w:rPr>
        <w:t>8.</w:t>
      </w:r>
      <w:r>
        <w:rPr>
          <w:rFonts w:ascii="Arial" w:hAnsi="Arial" w:hint="cs"/>
          <w:noProof w:val="0"/>
          <w:rtl/>
        </w:rPr>
        <w:tab/>
      </w:r>
      <w:r w:rsidRPr="00807795">
        <w:rPr>
          <w:rFonts w:ascii="Arial" w:hAnsi="Arial" w:hint="cs"/>
          <w:b/>
          <w:bCs/>
          <w:noProof w:val="0"/>
          <w:rtl/>
        </w:rPr>
        <w:t>נסיבותיו האישיות של הנאשם</w:t>
      </w:r>
      <w:r>
        <w:rPr>
          <w:rFonts w:ascii="Arial" w:hAnsi="Arial" w:hint="cs"/>
          <w:noProof w:val="0"/>
          <w:rtl/>
        </w:rPr>
        <w:t xml:space="preserve"> </w:t>
      </w:r>
      <w:r>
        <w:rPr>
          <w:rFonts w:ascii="Arial" w:hAnsi="Arial"/>
          <w:noProof w:val="0"/>
          <w:rtl/>
        </w:rPr>
        <w:t>–</w:t>
      </w:r>
      <w:r>
        <w:rPr>
          <w:rFonts w:ascii="Arial" w:hAnsi="Arial" w:hint="cs"/>
          <w:noProof w:val="0"/>
          <w:rtl/>
        </w:rPr>
        <w:t xml:space="preserve"> הנסיבות המשמעותיות העומדות לזכותו של הנאשם, הינן הודאתו והעדר עבר פלילי. יחד עם זאת לעמדת המאשימה, העדר עבר פלילי אינו מצדיק לבדו סטייה ממתחם העונש ההולם והשתת ענישה טיפולית כאשר אין אינדיקציה אמתית לשיקום או לסיכוי ממשי לשיקום. בשל העובדה כי הנאשם נעדר עבר פלילי, נבקש לגזור את עונשו בחלק התחתון של המתחם שהוצג. </w:t>
      </w:r>
    </w:p>
    <w:p w14:paraId="3AB69133" w14:textId="77777777" w:rsidR="00EA36E1" w:rsidRDefault="00EA36E1" w:rsidP="00EA36E1">
      <w:pPr>
        <w:spacing w:line="360" w:lineRule="auto"/>
        <w:jc w:val="both"/>
        <w:rPr>
          <w:rFonts w:ascii="Arial" w:hAnsi="Arial"/>
          <w:noProof w:val="0"/>
          <w:rtl/>
        </w:rPr>
      </w:pPr>
    </w:p>
    <w:p w14:paraId="08ED375C" w14:textId="77777777" w:rsidR="00EA36E1" w:rsidRDefault="00EA36E1" w:rsidP="00EA36E1">
      <w:pPr>
        <w:spacing w:line="360" w:lineRule="auto"/>
        <w:ind w:left="720" w:hanging="720"/>
        <w:jc w:val="both"/>
        <w:rPr>
          <w:rFonts w:ascii="Arial" w:hAnsi="Arial"/>
          <w:b/>
          <w:bCs/>
          <w:noProof w:val="0"/>
          <w:u w:val="single"/>
          <w:rtl/>
        </w:rPr>
      </w:pPr>
      <w:r w:rsidRPr="003D344B">
        <w:rPr>
          <w:rFonts w:ascii="Arial" w:hAnsi="Arial" w:hint="cs"/>
          <w:b/>
          <w:bCs/>
          <w:noProof w:val="0"/>
          <w:u w:val="single"/>
          <w:rtl/>
        </w:rPr>
        <w:t xml:space="preserve">טיעוני </w:t>
      </w:r>
      <w:r>
        <w:rPr>
          <w:rFonts w:ascii="Arial" w:hAnsi="Arial" w:hint="cs"/>
          <w:b/>
          <w:bCs/>
          <w:noProof w:val="0"/>
          <w:u w:val="single"/>
          <w:rtl/>
        </w:rPr>
        <w:t xml:space="preserve">ב"כ </w:t>
      </w:r>
      <w:r w:rsidRPr="003D344B">
        <w:rPr>
          <w:rFonts w:ascii="Arial" w:hAnsi="Arial" w:hint="cs"/>
          <w:b/>
          <w:bCs/>
          <w:noProof w:val="0"/>
          <w:u w:val="single"/>
          <w:rtl/>
        </w:rPr>
        <w:t>הנאשם:</w:t>
      </w:r>
    </w:p>
    <w:p w14:paraId="0F717222" w14:textId="77777777" w:rsidR="00EA36E1" w:rsidRDefault="00EA36E1" w:rsidP="00EA36E1">
      <w:pPr>
        <w:spacing w:line="360" w:lineRule="auto"/>
        <w:ind w:left="720" w:hanging="720"/>
        <w:jc w:val="both"/>
        <w:rPr>
          <w:rFonts w:ascii="Arial" w:hAnsi="Arial"/>
          <w:noProof w:val="0"/>
          <w:rtl/>
        </w:rPr>
      </w:pPr>
      <w:r>
        <w:rPr>
          <w:rFonts w:ascii="Arial" w:hAnsi="Arial" w:hint="cs"/>
          <w:noProof w:val="0"/>
          <w:rtl/>
        </w:rPr>
        <w:t xml:space="preserve">9. </w:t>
      </w:r>
      <w:r>
        <w:rPr>
          <w:rFonts w:ascii="Arial" w:hAnsi="Arial"/>
          <w:noProof w:val="0"/>
          <w:rtl/>
        </w:rPr>
        <w:tab/>
      </w:r>
      <w:r w:rsidRPr="00807795">
        <w:rPr>
          <w:rFonts w:ascii="Arial" w:hAnsi="Arial" w:hint="cs"/>
          <w:b/>
          <w:bCs/>
          <w:noProof w:val="0"/>
          <w:rtl/>
        </w:rPr>
        <w:t>נסיבותיו האישיות של הנאשם</w:t>
      </w:r>
      <w:r>
        <w:rPr>
          <w:rFonts w:ascii="Arial" w:hAnsi="Arial" w:hint="cs"/>
          <w:noProof w:val="0"/>
          <w:rtl/>
        </w:rPr>
        <w:t xml:space="preserve"> </w:t>
      </w:r>
      <w:r>
        <w:rPr>
          <w:rFonts w:ascii="Arial" w:hAnsi="Arial"/>
          <w:noProof w:val="0"/>
          <w:rtl/>
        </w:rPr>
        <w:t>–</w:t>
      </w:r>
      <w:r>
        <w:rPr>
          <w:rFonts w:ascii="Arial" w:hAnsi="Arial" w:hint="cs"/>
          <w:noProof w:val="0"/>
          <w:rtl/>
        </w:rPr>
        <w:t xml:space="preserve"> מדובר בבחור צעיר בן 24 ללא עבר פלילי, אשר הודה כבר בהזדמנות הראשונה ובזה חסך זמן שיפוטי יקר. הנאשם לקח אחריות מלאה על מעשיו, הביע חרטה כנה וצער רב. מדובר באירוע חד פעמי. </w:t>
      </w:r>
    </w:p>
    <w:p w14:paraId="0E342E30" w14:textId="77777777" w:rsidR="00EA36E1" w:rsidRDefault="00EA36E1" w:rsidP="00EA36E1">
      <w:pPr>
        <w:spacing w:line="360" w:lineRule="auto"/>
        <w:ind w:left="720" w:hanging="720"/>
        <w:jc w:val="both"/>
        <w:rPr>
          <w:rFonts w:ascii="Arial" w:hAnsi="Arial"/>
          <w:noProof w:val="0"/>
          <w:rtl/>
        </w:rPr>
      </w:pPr>
    </w:p>
    <w:p w14:paraId="02DCA4E2" w14:textId="77777777" w:rsidR="00EA36E1" w:rsidRDefault="00EA36E1" w:rsidP="00EA36E1">
      <w:pPr>
        <w:spacing w:line="360" w:lineRule="auto"/>
        <w:ind w:left="720" w:hanging="720"/>
        <w:jc w:val="both"/>
        <w:rPr>
          <w:rFonts w:ascii="Arial" w:hAnsi="Arial"/>
          <w:noProof w:val="0"/>
          <w:rtl/>
        </w:rPr>
      </w:pPr>
      <w:r>
        <w:rPr>
          <w:rFonts w:ascii="Arial" w:hAnsi="Arial" w:hint="cs"/>
          <w:noProof w:val="0"/>
          <w:rtl/>
        </w:rPr>
        <w:t>10.</w:t>
      </w:r>
      <w:r>
        <w:rPr>
          <w:rFonts w:ascii="Arial" w:hAnsi="Arial" w:hint="cs"/>
          <w:noProof w:val="0"/>
          <w:rtl/>
        </w:rPr>
        <w:tab/>
      </w:r>
      <w:r w:rsidRPr="00807795">
        <w:rPr>
          <w:rFonts w:ascii="Arial" w:hAnsi="Arial" w:hint="cs"/>
          <w:b/>
          <w:bCs/>
          <w:noProof w:val="0"/>
          <w:rtl/>
        </w:rPr>
        <w:t>הנסיבות הקשורות בביצוע העבירה</w:t>
      </w:r>
      <w:r>
        <w:rPr>
          <w:rFonts w:ascii="Arial" w:hAnsi="Arial" w:hint="cs"/>
          <w:noProof w:val="0"/>
          <w:rtl/>
        </w:rPr>
        <w:t xml:space="preserve"> </w:t>
      </w:r>
      <w:r>
        <w:rPr>
          <w:rFonts w:ascii="Arial" w:hAnsi="Arial"/>
          <w:noProof w:val="0"/>
          <w:rtl/>
        </w:rPr>
        <w:t>–</w:t>
      </w:r>
      <w:r>
        <w:rPr>
          <w:rFonts w:ascii="Arial" w:hAnsi="Arial" w:hint="cs"/>
          <w:noProof w:val="0"/>
          <w:rtl/>
        </w:rPr>
        <w:t xml:space="preserve"> כתב האישום המתוקן הינו בגין עבירה של החזקה ונשיאת נשק והחזקת סכין. מדובר באירוע חד פעמי ובנסיבות מאוד מיוחדות. אין מדובר במניע לאומני והוא לא פגע בכוחות הביטחון ואף לא התכוון לפגוע באיש. הנאשם נסע ברכבו למרחק קצר טרם החליט לחזור בו, ובדרך חזרה נעצר על-ידי השוטרים כאשר ברכבו בקבוקי התבערה והסכין. הנוזל אשר נמצא בתוך בקבוקי התבערה היה באופן חלקי ולא מלא, ברכב לא היה מצית או כל כלי שהיה ניתן באמצעותו להדליק את בקבוקי התבערה, והדבר מלמד על כך שלא הייתה כל כוונה להשתמש באותו נשק.</w:t>
      </w:r>
    </w:p>
    <w:p w14:paraId="65AE237A" w14:textId="77777777" w:rsidR="00EA36E1" w:rsidRDefault="00EA36E1" w:rsidP="00EA36E1">
      <w:pPr>
        <w:spacing w:line="360" w:lineRule="auto"/>
        <w:ind w:left="720"/>
        <w:jc w:val="both"/>
        <w:rPr>
          <w:rFonts w:ascii="Arial" w:hAnsi="Arial"/>
          <w:noProof w:val="0"/>
          <w:rtl/>
        </w:rPr>
      </w:pPr>
      <w:r>
        <w:rPr>
          <w:rFonts w:ascii="Arial" w:hAnsi="Arial" w:hint="cs"/>
          <w:noProof w:val="0"/>
          <w:rtl/>
        </w:rPr>
        <w:t>הוסיף הסנגור, עו"ד לוטפי וטען, כי הנאשם נתפס רחוק מאוד ממקום מגוריו של המתלונן. הנאשם לא התכוון לפגוע במתלונן ומכל מקום, המתלונן סלח לנאשם. בסופו של יום, לטענת הסנגור, נסיבות ביצוע העבירה הן קלות מאוד.</w:t>
      </w:r>
    </w:p>
    <w:p w14:paraId="6493F40F" w14:textId="77777777" w:rsidR="00EA36E1" w:rsidRDefault="00EA36E1" w:rsidP="00EA36E1">
      <w:pPr>
        <w:spacing w:line="360" w:lineRule="auto"/>
        <w:ind w:left="720" w:hanging="720"/>
        <w:jc w:val="both"/>
        <w:rPr>
          <w:rFonts w:ascii="Arial" w:hAnsi="Arial"/>
          <w:noProof w:val="0"/>
          <w:rtl/>
        </w:rPr>
      </w:pPr>
      <w:r>
        <w:rPr>
          <w:rFonts w:ascii="Arial" w:hAnsi="Arial"/>
          <w:noProof w:val="0"/>
          <w:rtl/>
        </w:rPr>
        <w:tab/>
      </w:r>
      <w:r>
        <w:rPr>
          <w:rFonts w:ascii="Arial" w:hAnsi="Arial" w:hint="cs"/>
          <w:noProof w:val="0"/>
          <w:rtl/>
        </w:rPr>
        <w:t xml:space="preserve"> </w:t>
      </w:r>
    </w:p>
    <w:p w14:paraId="1B06D425" w14:textId="77777777" w:rsidR="00EA36E1" w:rsidRDefault="00EA36E1" w:rsidP="00EA36E1">
      <w:pPr>
        <w:spacing w:line="360" w:lineRule="auto"/>
        <w:ind w:left="720" w:hanging="720"/>
        <w:jc w:val="both"/>
        <w:rPr>
          <w:rFonts w:ascii="Arial" w:hAnsi="Arial"/>
          <w:noProof w:val="0"/>
          <w:rtl/>
        </w:rPr>
      </w:pPr>
      <w:r>
        <w:rPr>
          <w:rFonts w:ascii="Arial" w:hAnsi="Arial" w:hint="cs"/>
          <w:noProof w:val="0"/>
          <w:rtl/>
        </w:rPr>
        <w:t>11.</w:t>
      </w:r>
      <w:r>
        <w:rPr>
          <w:rFonts w:ascii="Arial" w:hAnsi="Arial" w:hint="cs"/>
          <w:noProof w:val="0"/>
          <w:rtl/>
        </w:rPr>
        <w:tab/>
      </w:r>
      <w:r w:rsidRPr="00700BD5">
        <w:rPr>
          <w:rFonts w:ascii="Arial" w:hAnsi="Arial" w:hint="cs"/>
          <w:b/>
          <w:bCs/>
          <w:noProof w:val="0"/>
          <w:rtl/>
        </w:rPr>
        <w:t>הערך החברתי המוגן שנפגע</w:t>
      </w:r>
      <w:r>
        <w:rPr>
          <w:rFonts w:ascii="Arial" w:hAnsi="Arial" w:hint="cs"/>
          <w:noProof w:val="0"/>
          <w:rtl/>
        </w:rPr>
        <w:t xml:space="preserve"> </w:t>
      </w:r>
      <w:r>
        <w:rPr>
          <w:rFonts w:ascii="Arial" w:hAnsi="Arial"/>
          <w:noProof w:val="0"/>
          <w:rtl/>
        </w:rPr>
        <w:t>–</w:t>
      </w:r>
      <w:r>
        <w:rPr>
          <w:rFonts w:ascii="Arial" w:hAnsi="Arial" w:hint="cs"/>
          <w:noProof w:val="0"/>
          <w:rtl/>
        </w:rPr>
        <w:t xml:space="preserve"> מבלי להמעיט בחומרת העבירה, מציין הסנגור, עו"ד לופטי, כי בעבר עבירות של החזקת בקבוקי תבערה לא הוגדרו כעבירות של החזקת נשק, אלא חלק מעבירות ההצתה המתוחכמות יותר. הסנגור תמך את דבריו בהסבר כי לא מדובר בנשק כמו אקדח, מטעם חבלה או רימון, אלא בבקבוק תבערה, כאשר אין בנמצא כלי שבאמצעותו ניתן להדליק את בקבוק התבערה. </w:t>
      </w:r>
    </w:p>
    <w:p w14:paraId="70054A1C" w14:textId="77777777" w:rsidR="00EA36E1" w:rsidRDefault="00EA36E1" w:rsidP="00EA36E1">
      <w:pPr>
        <w:spacing w:line="360" w:lineRule="auto"/>
        <w:ind w:left="720" w:hanging="720"/>
        <w:jc w:val="both"/>
        <w:rPr>
          <w:rFonts w:ascii="Arial" w:hAnsi="Arial"/>
          <w:noProof w:val="0"/>
          <w:rtl/>
        </w:rPr>
      </w:pPr>
    </w:p>
    <w:p w14:paraId="15F8F6A1" w14:textId="77777777" w:rsidR="00EA36E1" w:rsidRPr="0022761E" w:rsidRDefault="00EA36E1" w:rsidP="00EA36E1">
      <w:pPr>
        <w:spacing w:line="360" w:lineRule="auto"/>
        <w:ind w:left="720" w:hanging="720"/>
        <w:jc w:val="both"/>
        <w:rPr>
          <w:rFonts w:ascii="Arial" w:hAnsi="Arial"/>
          <w:noProof w:val="0"/>
          <w:rtl/>
        </w:rPr>
      </w:pPr>
      <w:r>
        <w:rPr>
          <w:rFonts w:ascii="Arial" w:hAnsi="Arial" w:hint="cs"/>
          <w:noProof w:val="0"/>
          <w:rtl/>
        </w:rPr>
        <w:t>12.</w:t>
      </w:r>
      <w:r>
        <w:rPr>
          <w:rFonts w:ascii="Arial" w:hAnsi="Arial" w:hint="cs"/>
          <w:noProof w:val="0"/>
          <w:rtl/>
        </w:rPr>
        <w:tab/>
      </w:r>
      <w:r>
        <w:rPr>
          <w:rFonts w:ascii="Arial" w:hAnsi="Arial" w:hint="cs"/>
          <w:b/>
          <w:bCs/>
          <w:noProof w:val="0"/>
          <w:rtl/>
        </w:rPr>
        <w:t>מדניות הענישה הנוהגת</w:t>
      </w:r>
      <w:r>
        <w:rPr>
          <w:rFonts w:hint="cs"/>
          <w:rtl/>
        </w:rPr>
        <w:t xml:space="preserve"> </w:t>
      </w:r>
      <w:r>
        <w:rPr>
          <w:rtl/>
        </w:rPr>
        <w:t>–</w:t>
      </w:r>
      <w:r>
        <w:rPr>
          <w:rFonts w:hint="cs"/>
          <w:rtl/>
        </w:rPr>
        <w:t xml:space="preserve"> לטענת הסנגור, אין להקיש מהפסיקה שציינה ב"כ המדינה, שכן שם דובר במקרים קשים יותר. על פי אסופת הפסיקה שהגיש, יש לגזור על הנאשם עונש מאסר הנע בין 5 חודשים או 6 חודשים בפועל. כך למשל הפנה הסנגור ל</w:t>
      </w:r>
      <w:hyperlink r:id="rId28" w:history="1">
        <w:r w:rsidR="00056DD3" w:rsidRPr="00056DD3">
          <w:rPr>
            <w:rStyle w:val="Hyperlink"/>
            <w:rFonts w:hint="eastAsia"/>
            <w:rtl/>
          </w:rPr>
          <w:t>ת</w:t>
        </w:r>
        <w:r w:rsidR="00056DD3" w:rsidRPr="00056DD3">
          <w:rPr>
            <w:rStyle w:val="Hyperlink"/>
            <w:rtl/>
          </w:rPr>
          <w:t>"פ (חי') 5000/12</w:t>
        </w:r>
      </w:hyperlink>
      <w:r>
        <w:rPr>
          <w:rFonts w:hint="cs"/>
          <w:rtl/>
        </w:rPr>
        <w:t xml:space="preserve"> </w:t>
      </w:r>
      <w:r>
        <w:rPr>
          <w:rFonts w:hint="cs"/>
          <w:b/>
          <w:bCs/>
          <w:rtl/>
        </w:rPr>
        <w:t>מדינת ישראל נ' פלוני,</w:t>
      </w:r>
      <w:r>
        <w:rPr>
          <w:rFonts w:hint="cs"/>
          <w:rtl/>
        </w:rPr>
        <w:t xml:space="preserve"> שניתן ע"י כב' השופט כ' סעב, מיום 24/6/13, שם נפסקו 6 חודשי מאסר בפועל, אשר ירוצו בעבודות שירות, 18 חודשי מאסר על תנאי וקנס כספי בסך 3,000 ₪; </w:t>
      </w:r>
      <w:hyperlink r:id="rId29" w:history="1">
        <w:r w:rsidR="00056DD3" w:rsidRPr="00056DD3">
          <w:rPr>
            <w:rStyle w:val="Hyperlink"/>
            <w:rFonts w:hint="eastAsia"/>
            <w:rtl/>
          </w:rPr>
          <w:t>ת</w:t>
        </w:r>
        <w:r w:rsidR="00056DD3" w:rsidRPr="00056DD3">
          <w:rPr>
            <w:rStyle w:val="Hyperlink"/>
            <w:rtl/>
          </w:rPr>
          <w:t>"פ (חי') 12995-03-09</w:t>
        </w:r>
      </w:hyperlink>
      <w:r>
        <w:rPr>
          <w:rFonts w:hint="cs"/>
          <w:rtl/>
        </w:rPr>
        <w:t xml:space="preserve"> </w:t>
      </w:r>
      <w:r>
        <w:rPr>
          <w:rFonts w:hint="cs"/>
          <w:b/>
          <w:bCs/>
          <w:rtl/>
        </w:rPr>
        <w:t>מדינת ישראל נ' מג'די נאטור ואח',</w:t>
      </w:r>
      <w:r>
        <w:rPr>
          <w:rFonts w:hint="cs"/>
          <w:rtl/>
        </w:rPr>
        <w:t xml:space="preserve"> שניתן ע"י כב' השופטת ח' הורוביץ מיום 5/1/10, שם נגזר על הנאשם מאסר לתקופה של 18 חודשים, כאשר 6 חודשים מהם מאסר בפועל והיתרה על תנאי; </w:t>
      </w:r>
      <w:hyperlink r:id="rId30" w:history="1">
        <w:r w:rsidR="00056DD3" w:rsidRPr="00056DD3">
          <w:rPr>
            <w:rStyle w:val="Hyperlink"/>
            <w:rFonts w:hint="eastAsia"/>
            <w:rtl/>
          </w:rPr>
          <w:t>ת</w:t>
        </w:r>
        <w:r w:rsidR="00056DD3" w:rsidRPr="00056DD3">
          <w:rPr>
            <w:rStyle w:val="Hyperlink"/>
            <w:rtl/>
          </w:rPr>
          <w:t>"פ (חי') 51186-09-14</w:t>
        </w:r>
      </w:hyperlink>
      <w:r>
        <w:rPr>
          <w:rFonts w:hint="cs"/>
          <w:rtl/>
        </w:rPr>
        <w:t xml:space="preserve"> </w:t>
      </w:r>
      <w:r>
        <w:rPr>
          <w:rFonts w:hint="cs"/>
          <w:b/>
          <w:bCs/>
          <w:rtl/>
        </w:rPr>
        <w:t>מדינת ישראל נ' חוסאם אלעל</w:t>
      </w:r>
      <w:r>
        <w:rPr>
          <w:rFonts w:hint="cs"/>
          <w:rtl/>
        </w:rPr>
        <w:t xml:space="preserve">, שניתן ע"י כב' השופט א' אליקים מיום 29/11/15, שם נגזר עונש של 4 חודשי מאסר בפועל בניכוי הימים בהם שהה הנאשם במעצר, 4 חודשי מאסר על תנאי וקנס בשיעור של 5,000 ₪; </w:t>
      </w:r>
      <w:hyperlink r:id="rId31" w:history="1">
        <w:r w:rsidR="00056DD3" w:rsidRPr="00056DD3">
          <w:rPr>
            <w:rStyle w:val="Hyperlink"/>
            <w:rFonts w:hint="eastAsia"/>
            <w:rtl/>
          </w:rPr>
          <w:t>ע</w:t>
        </w:r>
        <w:r w:rsidR="00056DD3" w:rsidRPr="00056DD3">
          <w:rPr>
            <w:rStyle w:val="Hyperlink"/>
            <w:rtl/>
          </w:rPr>
          <w:t>"פ 7555/14</w:t>
        </w:r>
      </w:hyperlink>
      <w:r>
        <w:rPr>
          <w:rFonts w:hint="cs"/>
          <w:rtl/>
        </w:rPr>
        <w:t xml:space="preserve"> </w:t>
      </w:r>
      <w:r>
        <w:rPr>
          <w:rFonts w:hint="cs"/>
          <w:b/>
          <w:bCs/>
          <w:rtl/>
        </w:rPr>
        <w:t>פלוני נ' מדינת ישראל</w:t>
      </w:r>
      <w:r>
        <w:rPr>
          <w:rFonts w:hint="cs"/>
          <w:rtl/>
        </w:rPr>
        <w:t xml:space="preserve">, מיום 4/5/15, שם דובר על מערער קטין, שהדליק בקבוק ויידע אותו לעבר בסיס צה"ל במטרה לפגוע בו. בית המשפט העליון מצא להקל בעונשו של המערער והפחית את עונשו ל-6 חודשי מאסר שירוצו בעבודות שירות. </w:t>
      </w:r>
    </w:p>
    <w:p w14:paraId="0B1A4C0B" w14:textId="77777777" w:rsidR="00EA36E1" w:rsidRDefault="00EA36E1" w:rsidP="00EA36E1">
      <w:pPr>
        <w:spacing w:line="360" w:lineRule="auto"/>
        <w:jc w:val="both"/>
        <w:rPr>
          <w:rFonts w:ascii="Arial" w:hAnsi="Arial"/>
          <w:noProof w:val="0"/>
          <w:rtl/>
        </w:rPr>
      </w:pPr>
    </w:p>
    <w:p w14:paraId="0AE3F567" w14:textId="77777777" w:rsidR="00EA36E1" w:rsidRDefault="00EA36E1" w:rsidP="00EA36E1">
      <w:pPr>
        <w:spacing w:line="360" w:lineRule="auto"/>
        <w:jc w:val="both"/>
        <w:rPr>
          <w:rFonts w:ascii="Arial" w:hAnsi="Arial"/>
          <w:noProof w:val="0"/>
          <w:rtl/>
        </w:rPr>
      </w:pPr>
      <w:r>
        <w:rPr>
          <w:rFonts w:ascii="Arial" w:hAnsi="Arial" w:hint="cs"/>
          <w:b/>
          <w:bCs/>
          <w:noProof w:val="0"/>
          <w:u w:val="single"/>
          <w:rtl/>
        </w:rPr>
        <w:t>גזירת הדין:</w:t>
      </w:r>
    </w:p>
    <w:p w14:paraId="664A14C2" w14:textId="77777777" w:rsidR="00EA36E1" w:rsidRDefault="00EA36E1" w:rsidP="00EA36E1">
      <w:pPr>
        <w:spacing w:line="360" w:lineRule="auto"/>
        <w:ind w:left="720" w:hanging="720"/>
        <w:jc w:val="both"/>
        <w:rPr>
          <w:rFonts w:ascii="Arial" w:hAnsi="Arial"/>
          <w:noProof w:val="0"/>
          <w:rtl/>
        </w:rPr>
      </w:pPr>
      <w:r>
        <w:rPr>
          <w:rFonts w:ascii="Arial" w:hAnsi="Arial" w:hint="cs"/>
          <w:noProof w:val="0"/>
          <w:rtl/>
        </w:rPr>
        <w:t>13.</w:t>
      </w:r>
      <w:r>
        <w:rPr>
          <w:rFonts w:ascii="Arial" w:hAnsi="Arial" w:hint="cs"/>
          <w:noProof w:val="0"/>
          <w:rtl/>
        </w:rPr>
        <w:tab/>
        <w:t xml:space="preserve">הנאשם יליד שנת 1992, שהורשע על פי הודאתו בעבירות בנשק (החזקה ונשיאה) - עבירה לפי </w:t>
      </w:r>
      <w:hyperlink r:id="rId32" w:history="1">
        <w:r w:rsidR="007E43F2" w:rsidRPr="007E43F2">
          <w:rPr>
            <w:rStyle w:val="Hyperlink"/>
            <w:rFonts w:ascii="Arial" w:hAnsi="Arial" w:hint="eastAsia"/>
            <w:noProof w:val="0"/>
            <w:rtl/>
          </w:rPr>
          <w:t>סעיף</w:t>
        </w:r>
        <w:r w:rsidR="007E43F2" w:rsidRPr="007E43F2">
          <w:rPr>
            <w:rStyle w:val="Hyperlink"/>
            <w:rFonts w:ascii="Arial" w:hAnsi="Arial"/>
            <w:noProof w:val="0"/>
            <w:rtl/>
          </w:rPr>
          <w:t xml:space="preserve"> 144(א)</w:t>
        </w:r>
      </w:hyperlink>
      <w:r w:rsidRPr="005564EF">
        <w:rPr>
          <w:rFonts w:ascii="Arial" w:hAnsi="Arial" w:hint="cs"/>
          <w:noProof w:val="0"/>
          <w:rtl/>
        </w:rPr>
        <w:t xml:space="preserve"> </w:t>
      </w:r>
      <w:hyperlink r:id="rId33" w:history="1">
        <w:r w:rsidR="007E43F2" w:rsidRPr="007E43F2">
          <w:rPr>
            <w:rStyle w:val="Hyperlink"/>
            <w:rFonts w:ascii="Arial" w:hAnsi="Arial"/>
            <w:noProof w:val="0"/>
            <w:rtl/>
          </w:rPr>
          <w:t>+ (ב)</w:t>
        </w:r>
      </w:hyperlink>
      <w:r w:rsidRPr="005564EF">
        <w:rPr>
          <w:rFonts w:ascii="Arial" w:hAnsi="Arial" w:hint="cs"/>
          <w:noProof w:val="0"/>
          <w:rtl/>
        </w:rPr>
        <w:t xml:space="preserve"> רישא  ל</w:t>
      </w:r>
      <w:hyperlink r:id="rId34" w:history="1">
        <w:r w:rsidR="00056DD3" w:rsidRPr="00056DD3">
          <w:rPr>
            <w:rStyle w:val="Hyperlink"/>
            <w:rFonts w:ascii="Arial" w:hAnsi="Arial" w:hint="eastAsia"/>
            <w:noProof w:val="0"/>
            <w:rtl/>
          </w:rPr>
          <w:t>חוק</w:t>
        </w:r>
        <w:r w:rsidR="00056DD3" w:rsidRPr="00056DD3">
          <w:rPr>
            <w:rStyle w:val="Hyperlink"/>
            <w:rFonts w:ascii="Arial" w:hAnsi="Arial"/>
            <w:noProof w:val="0"/>
            <w:rtl/>
          </w:rPr>
          <w:t xml:space="preserve"> העונשין</w:t>
        </w:r>
      </w:hyperlink>
      <w:r w:rsidRPr="005564EF">
        <w:rPr>
          <w:rFonts w:ascii="Arial" w:hAnsi="Arial" w:hint="cs"/>
          <w:noProof w:val="0"/>
          <w:rtl/>
        </w:rPr>
        <w:t>,</w:t>
      </w:r>
      <w:r>
        <w:rPr>
          <w:rFonts w:ascii="Arial" w:hAnsi="Arial" w:hint="cs"/>
          <w:noProof w:val="0"/>
          <w:rtl/>
        </w:rPr>
        <w:t xml:space="preserve"> התשל"ז </w:t>
      </w:r>
      <w:r>
        <w:rPr>
          <w:rFonts w:ascii="Arial" w:hAnsi="Arial"/>
          <w:noProof w:val="0"/>
          <w:rtl/>
        </w:rPr>
        <w:t>–</w:t>
      </w:r>
      <w:r>
        <w:rPr>
          <w:rFonts w:ascii="Arial" w:hAnsi="Arial" w:hint="cs"/>
          <w:noProof w:val="0"/>
          <w:rtl/>
        </w:rPr>
        <w:t xml:space="preserve"> 1977 (להלן: </w:t>
      </w:r>
      <w:r>
        <w:rPr>
          <w:rFonts w:ascii="Arial" w:hAnsi="Arial" w:hint="cs"/>
          <w:b/>
          <w:bCs/>
          <w:noProof w:val="0"/>
          <w:rtl/>
        </w:rPr>
        <w:t>"חוק העונשין"</w:t>
      </w:r>
      <w:r>
        <w:rPr>
          <w:rFonts w:ascii="Arial" w:hAnsi="Arial" w:hint="cs"/>
          <w:noProof w:val="0"/>
          <w:rtl/>
        </w:rPr>
        <w:t xml:space="preserve">), וכן בעבירת החזקת סכין </w:t>
      </w:r>
      <w:r>
        <w:rPr>
          <w:rFonts w:ascii="Arial" w:hAnsi="Arial"/>
          <w:noProof w:val="0"/>
          <w:rtl/>
        </w:rPr>
        <w:t>–</w:t>
      </w:r>
      <w:r>
        <w:rPr>
          <w:rFonts w:ascii="Arial" w:hAnsi="Arial" w:hint="cs"/>
          <w:noProof w:val="0"/>
          <w:rtl/>
        </w:rPr>
        <w:t xml:space="preserve"> עבירה לפי </w:t>
      </w:r>
      <w:hyperlink r:id="rId35" w:history="1">
        <w:r w:rsidR="007E43F2" w:rsidRPr="007E43F2">
          <w:rPr>
            <w:rStyle w:val="Hyperlink"/>
            <w:rFonts w:ascii="Arial" w:hAnsi="Arial" w:hint="eastAsia"/>
            <w:noProof w:val="0"/>
            <w:rtl/>
          </w:rPr>
          <w:t>סעיף</w:t>
        </w:r>
        <w:r w:rsidR="007E43F2" w:rsidRPr="007E43F2">
          <w:rPr>
            <w:rStyle w:val="Hyperlink"/>
            <w:rFonts w:ascii="Arial" w:hAnsi="Arial"/>
            <w:noProof w:val="0"/>
            <w:rtl/>
          </w:rPr>
          <w:t xml:space="preserve"> 186 (א)</w:t>
        </w:r>
      </w:hyperlink>
      <w:r>
        <w:rPr>
          <w:rFonts w:ascii="Arial" w:hAnsi="Arial" w:hint="cs"/>
          <w:noProof w:val="0"/>
          <w:rtl/>
        </w:rPr>
        <w:t xml:space="preserve"> לחוק העונשין.  הנאשם עצור בגין תיק זה מיום 9/12/15. </w:t>
      </w:r>
    </w:p>
    <w:p w14:paraId="430B33FD" w14:textId="77777777" w:rsidR="00EA36E1" w:rsidRDefault="00EA36E1" w:rsidP="00EA36E1">
      <w:pPr>
        <w:spacing w:line="360" w:lineRule="auto"/>
        <w:ind w:left="720" w:hanging="720"/>
        <w:jc w:val="both"/>
        <w:rPr>
          <w:rFonts w:ascii="Arial" w:hAnsi="Arial"/>
          <w:noProof w:val="0"/>
          <w:rtl/>
        </w:rPr>
      </w:pPr>
    </w:p>
    <w:p w14:paraId="1FD63EC3" w14:textId="77777777" w:rsidR="00EA36E1" w:rsidRDefault="00EA36E1" w:rsidP="00EA36E1">
      <w:pPr>
        <w:spacing w:line="360" w:lineRule="auto"/>
        <w:ind w:left="720" w:hanging="720"/>
        <w:jc w:val="both"/>
        <w:rPr>
          <w:rFonts w:ascii="Arial" w:hAnsi="Arial"/>
          <w:noProof w:val="0"/>
          <w:rtl/>
        </w:rPr>
      </w:pPr>
      <w:r>
        <w:rPr>
          <w:rFonts w:ascii="Arial" w:hAnsi="Arial" w:hint="cs"/>
          <w:noProof w:val="0"/>
          <w:rtl/>
        </w:rPr>
        <w:t xml:space="preserve">14. </w:t>
      </w:r>
      <w:r>
        <w:rPr>
          <w:rFonts w:ascii="Arial" w:hAnsi="Arial"/>
          <w:noProof w:val="0"/>
          <w:rtl/>
        </w:rPr>
        <w:tab/>
      </w:r>
      <w:r>
        <w:rPr>
          <w:rFonts w:ascii="Arial" w:hAnsi="Arial" w:hint="cs"/>
          <w:noProof w:val="0"/>
          <w:rtl/>
        </w:rPr>
        <w:t xml:space="preserve">עבירת הנשק היא עבירה חמורה במהותה. ההגדרה של "נשק" המצויה </w:t>
      </w:r>
      <w:hyperlink r:id="rId36" w:history="1">
        <w:r w:rsidR="007E43F2" w:rsidRPr="007E43F2">
          <w:rPr>
            <w:rStyle w:val="Hyperlink"/>
            <w:rFonts w:ascii="Arial" w:hAnsi="Arial" w:hint="eastAsia"/>
            <w:noProof w:val="0"/>
            <w:rtl/>
          </w:rPr>
          <w:t>בסעיף</w:t>
        </w:r>
        <w:r w:rsidR="007E43F2" w:rsidRPr="007E43F2">
          <w:rPr>
            <w:rStyle w:val="Hyperlink"/>
            <w:rFonts w:ascii="Arial" w:hAnsi="Arial"/>
            <w:noProof w:val="0"/>
            <w:rtl/>
          </w:rPr>
          <w:t xml:space="preserve"> 144</w:t>
        </w:r>
      </w:hyperlink>
      <w:r>
        <w:rPr>
          <w:rFonts w:ascii="Arial" w:hAnsi="Arial" w:hint="cs"/>
          <w:noProof w:val="0"/>
          <w:rtl/>
        </w:rPr>
        <w:t xml:space="preserve"> ל</w:t>
      </w:r>
      <w:hyperlink r:id="rId37" w:history="1">
        <w:r w:rsidR="00056DD3" w:rsidRPr="00056DD3">
          <w:rPr>
            <w:rStyle w:val="Hyperlink"/>
            <w:rFonts w:ascii="Arial" w:hAnsi="Arial" w:hint="eastAsia"/>
            <w:noProof w:val="0"/>
            <w:rtl/>
          </w:rPr>
          <w:t>חוק</w:t>
        </w:r>
        <w:r w:rsidR="00056DD3" w:rsidRPr="00056DD3">
          <w:rPr>
            <w:rStyle w:val="Hyperlink"/>
            <w:rFonts w:ascii="Arial" w:hAnsi="Arial"/>
            <w:noProof w:val="0"/>
            <w:rtl/>
          </w:rPr>
          <w:t xml:space="preserve"> העונשין</w:t>
        </w:r>
      </w:hyperlink>
      <w:r>
        <w:rPr>
          <w:rFonts w:ascii="Arial" w:hAnsi="Arial" w:hint="cs"/>
          <w:noProof w:val="0"/>
          <w:rtl/>
        </w:rPr>
        <w:t xml:space="preserve">, היא רחבה ונועדה להגשים את התכלית של איסור נשיאה והחזקה של כלי פוגעני, שיכול להיות אף קטלני. אמנם כל אחד ממרכביו של בקבוק התבערה, הוא כשלעצמו יכול לשמש לצרכים תמימים, שמטבעם לא נועדו לפגוע באדם או להזיק לו, אולם אין ספק שבהרכבם כפי שנעשה ע"י הנאשם, מהווים הבקבוקים כלי שמסוגל על פי עצם טיבו, להזיק לאדם ולפגוע בבריאותו ובשלמות גופו (ראה: </w:t>
      </w:r>
      <w:hyperlink r:id="rId38" w:history="1">
        <w:r w:rsidR="00056DD3" w:rsidRPr="00056DD3">
          <w:rPr>
            <w:rStyle w:val="Hyperlink"/>
            <w:rFonts w:ascii="Arial" w:hAnsi="Arial" w:hint="eastAsia"/>
            <w:noProof w:val="0"/>
            <w:rtl/>
          </w:rPr>
          <w:t>ע</w:t>
        </w:r>
        <w:r w:rsidR="00056DD3" w:rsidRPr="00056DD3">
          <w:rPr>
            <w:rStyle w:val="Hyperlink"/>
            <w:rFonts w:ascii="Arial" w:hAnsi="Arial"/>
            <w:noProof w:val="0"/>
            <w:rtl/>
          </w:rPr>
          <w:t>"פ 9511/01 קובקוב נ' מדינת ישראל, פ"ד נו</w:t>
        </w:r>
      </w:hyperlink>
      <w:r>
        <w:rPr>
          <w:rFonts w:ascii="Arial" w:hAnsi="Arial" w:hint="cs"/>
          <w:noProof w:val="0"/>
          <w:rtl/>
        </w:rPr>
        <w:t xml:space="preserve">(2) 687). תוצאותיו של בקבוק תבערה, וכבר היו דברים מעולם, עלולות להיות קשות ביותר ומשכך, ראוי איפוא כי ייצא הקול שהענישה בכגון דא, לא תהיה קלה (ראה: </w:t>
      </w:r>
      <w:hyperlink r:id="rId39" w:history="1">
        <w:r w:rsidR="00056DD3" w:rsidRPr="00056DD3">
          <w:rPr>
            <w:rStyle w:val="Hyperlink"/>
            <w:rFonts w:ascii="Arial" w:hAnsi="Arial" w:hint="eastAsia"/>
            <w:noProof w:val="0"/>
            <w:rtl/>
          </w:rPr>
          <w:t>ע</w:t>
        </w:r>
        <w:r w:rsidR="00056DD3" w:rsidRPr="00056DD3">
          <w:rPr>
            <w:rStyle w:val="Hyperlink"/>
            <w:rFonts w:ascii="Arial" w:hAnsi="Arial"/>
            <w:noProof w:val="0"/>
            <w:rtl/>
          </w:rPr>
          <w:t>"פ 2337/13</w:t>
        </w:r>
      </w:hyperlink>
      <w:r>
        <w:rPr>
          <w:rFonts w:ascii="Arial" w:hAnsi="Arial" w:hint="cs"/>
          <w:noProof w:val="0"/>
          <w:rtl/>
        </w:rPr>
        <w:t xml:space="preserve"> </w:t>
      </w:r>
      <w:r>
        <w:rPr>
          <w:rFonts w:ascii="Arial" w:hAnsi="Arial" w:hint="cs"/>
          <w:b/>
          <w:bCs/>
          <w:noProof w:val="0"/>
          <w:rtl/>
        </w:rPr>
        <w:t xml:space="preserve">מהנד קואסמה נ' מדינת ישראל </w:t>
      </w:r>
      <w:r>
        <w:rPr>
          <w:rFonts w:ascii="Arial" w:hAnsi="Arial" w:hint="cs"/>
          <w:noProof w:val="0"/>
          <w:rtl/>
        </w:rPr>
        <w:t xml:space="preserve">(ניתן ביום 16/9/13); </w:t>
      </w:r>
      <w:hyperlink r:id="rId40" w:history="1">
        <w:r w:rsidR="00056DD3" w:rsidRPr="00056DD3">
          <w:rPr>
            <w:rStyle w:val="Hyperlink"/>
            <w:rFonts w:ascii="Arial" w:hAnsi="Arial" w:hint="eastAsia"/>
            <w:noProof w:val="0"/>
            <w:rtl/>
          </w:rPr>
          <w:t>ע</w:t>
        </w:r>
        <w:r w:rsidR="00056DD3" w:rsidRPr="00056DD3">
          <w:rPr>
            <w:rStyle w:val="Hyperlink"/>
            <w:rFonts w:ascii="Arial" w:hAnsi="Arial"/>
            <w:noProof w:val="0"/>
            <w:rtl/>
          </w:rPr>
          <w:t>"פ 262/06</w:t>
        </w:r>
      </w:hyperlink>
      <w:r>
        <w:rPr>
          <w:rFonts w:ascii="Arial" w:hAnsi="Arial" w:hint="cs"/>
          <w:noProof w:val="0"/>
          <w:rtl/>
        </w:rPr>
        <w:t xml:space="preserve"> </w:t>
      </w:r>
      <w:r>
        <w:rPr>
          <w:rFonts w:ascii="Arial" w:hAnsi="Arial" w:hint="cs"/>
          <w:b/>
          <w:bCs/>
          <w:noProof w:val="0"/>
          <w:rtl/>
        </w:rPr>
        <w:t>פלוני נ' מדינת ישראל</w:t>
      </w:r>
      <w:r>
        <w:rPr>
          <w:rFonts w:ascii="Arial" w:hAnsi="Arial" w:hint="cs"/>
          <w:noProof w:val="0"/>
          <w:rtl/>
        </w:rPr>
        <w:t xml:space="preserve"> (מיום 6/7/06)).</w:t>
      </w:r>
    </w:p>
    <w:p w14:paraId="79328E1C" w14:textId="77777777" w:rsidR="00EA36E1" w:rsidRDefault="00EA36E1" w:rsidP="00EA36E1">
      <w:pPr>
        <w:spacing w:line="360" w:lineRule="auto"/>
        <w:ind w:left="720" w:hanging="720"/>
        <w:jc w:val="both"/>
        <w:rPr>
          <w:rFonts w:ascii="Arial" w:hAnsi="Arial"/>
          <w:noProof w:val="0"/>
          <w:rtl/>
        </w:rPr>
      </w:pPr>
    </w:p>
    <w:p w14:paraId="2382CF1F" w14:textId="77777777" w:rsidR="00EA36E1" w:rsidRPr="00CB7C06" w:rsidRDefault="00EA36E1" w:rsidP="00EA36E1">
      <w:pPr>
        <w:spacing w:line="360" w:lineRule="auto"/>
        <w:ind w:left="720" w:hanging="720"/>
        <w:jc w:val="both"/>
        <w:rPr>
          <w:rFonts w:ascii="Arial" w:hAnsi="Arial"/>
          <w:noProof w:val="0"/>
          <w:rtl/>
        </w:rPr>
      </w:pPr>
      <w:r>
        <w:rPr>
          <w:rFonts w:ascii="Arial" w:hAnsi="Arial" w:hint="cs"/>
          <w:noProof w:val="0"/>
          <w:rtl/>
        </w:rPr>
        <w:t>15.</w:t>
      </w:r>
      <w:r>
        <w:rPr>
          <w:rFonts w:ascii="Arial" w:hAnsi="Arial" w:hint="cs"/>
          <w:noProof w:val="0"/>
          <w:rtl/>
        </w:rPr>
        <w:tab/>
        <w:t xml:space="preserve">לפי פסיקתו של בית המשפט העליון, יש לקבוע את מתחם העונש ההולם בהתאם לסוג הנשק שבו החזיק הנאשם, נשא והוביל שגם תכלית זו חשובה ובעלת משקל (ראה: </w:t>
      </w:r>
      <w:hyperlink r:id="rId41" w:history="1">
        <w:r w:rsidR="00D92F0E" w:rsidRPr="00D92F0E">
          <w:rPr>
            <w:rFonts w:ascii="Arial" w:hAnsi="Arial"/>
            <w:noProof w:val="0"/>
            <w:color w:val="0000FF"/>
            <w:u w:val="single"/>
            <w:rtl/>
          </w:rPr>
          <w:t xml:space="preserve">ע"פ 1332/04 </w:t>
        </w:r>
      </w:hyperlink>
      <w:r>
        <w:rPr>
          <w:rFonts w:ascii="Arial" w:hAnsi="Arial" w:hint="cs"/>
          <w:noProof w:val="0"/>
          <w:rtl/>
        </w:rPr>
        <w:t xml:space="preserve"> </w:t>
      </w:r>
      <w:r>
        <w:rPr>
          <w:rFonts w:ascii="Arial" w:hAnsi="Arial" w:hint="cs"/>
          <w:b/>
          <w:bCs/>
          <w:noProof w:val="0"/>
          <w:rtl/>
        </w:rPr>
        <w:t>פס נ' מדינת ישראל</w:t>
      </w:r>
      <w:r>
        <w:rPr>
          <w:rFonts w:ascii="Arial" w:hAnsi="Arial" w:hint="cs"/>
          <w:noProof w:val="0"/>
          <w:rtl/>
        </w:rPr>
        <w:t>, פ"ד נ(5) 541, 544 (2004)). אני קובעת כי מתחם הענישה הוא בין 12 חודשים ל-24 חודשים.</w:t>
      </w:r>
    </w:p>
    <w:p w14:paraId="6C5090FB" w14:textId="77777777" w:rsidR="00EA36E1" w:rsidRDefault="00EA36E1" w:rsidP="00EA36E1">
      <w:pPr>
        <w:spacing w:line="360" w:lineRule="auto"/>
        <w:ind w:left="720" w:hanging="720"/>
        <w:jc w:val="both"/>
        <w:rPr>
          <w:rFonts w:ascii="Arial" w:hAnsi="Arial"/>
          <w:noProof w:val="0"/>
          <w:rtl/>
        </w:rPr>
      </w:pPr>
    </w:p>
    <w:p w14:paraId="69D6DA47" w14:textId="77777777" w:rsidR="00EA36E1" w:rsidRDefault="00EA36E1" w:rsidP="00EA36E1">
      <w:pPr>
        <w:spacing w:line="360" w:lineRule="auto"/>
        <w:ind w:left="720" w:hanging="720"/>
        <w:jc w:val="both"/>
        <w:rPr>
          <w:rFonts w:ascii="Arial" w:hAnsi="Arial"/>
          <w:noProof w:val="0"/>
          <w:rtl/>
        </w:rPr>
      </w:pPr>
      <w:r>
        <w:rPr>
          <w:rFonts w:ascii="Arial" w:hAnsi="Arial" w:hint="cs"/>
          <w:noProof w:val="0"/>
          <w:rtl/>
        </w:rPr>
        <w:t>16.</w:t>
      </w:r>
      <w:r>
        <w:rPr>
          <w:rFonts w:ascii="Arial" w:hAnsi="Arial" w:hint="cs"/>
          <w:noProof w:val="0"/>
          <w:rtl/>
        </w:rPr>
        <w:tab/>
        <w:t xml:space="preserve">בשים לב לערכים המוגנים שנפגעו, לנסיבות הספציפיות הקשורות בביצוע העבירה, לרבות רמת הסיכון, העדר נזק, העובדה שהנאשם הביע חרטה כנה והודה בהזדמנות הראשונה, אני סבורה כי מתחם העונש ההולם ראוי שיהיה במתחם הנמוך. </w:t>
      </w:r>
    </w:p>
    <w:p w14:paraId="7280C19D" w14:textId="77777777" w:rsidR="00EA36E1" w:rsidRDefault="00EA36E1" w:rsidP="00EA36E1">
      <w:pPr>
        <w:spacing w:line="360" w:lineRule="auto"/>
        <w:ind w:left="720" w:hanging="720"/>
        <w:jc w:val="both"/>
        <w:rPr>
          <w:rFonts w:ascii="Arial" w:hAnsi="Arial"/>
          <w:noProof w:val="0"/>
          <w:rtl/>
        </w:rPr>
      </w:pPr>
    </w:p>
    <w:p w14:paraId="50908C7C" w14:textId="77777777" w:rsidR="00EA36E1" w:rsidRDefault="00EA36E1" w:rsidP="00EA36E1">
      <w:pPr>
        <w:spacing w:line="360" w:lineRule="auto"/>
        <w:ind w:left="720" w:hanging="720"/>
        <w:jc w:val="both"/>
        <w:rPr>
          <w:rFonts w:ascii="Arial" w:hAnsi="Arial"/>
          <w:noProof w:val="0"/>
          <w:rtl/>
        </w:rPr>
      </w:pPr>
      <w:r>
        <w:rPr>
          <w:rFonts w:ascii="Arial" w:hAnsi="Arial" w:hint="cs"/>
          <w:noProof w:val="0"/>
          <w:rtl/>
        </w:rPr>
        <w:t>17.</w:t>
      </w:r>
      <w:r>
        <w:rPr>
          <w:rFonts w:ascii="Arial" w:hAnsi="Arial" w:hint="cs"/>
          <w:noProof w:val="0"/>
          <w:rtl/>
        </w:rPr>
        <w:tab/>
        <w:t xml:space="preserve">אשר על כן, לאחר ששקלתי ונתתי דעתי למכלול השיקולים והנסיבות שפורטו לעיל לקולא ולחומרה ומבלי להתעלם מחומרת העבירה, אני מחליטה לגזור על הנאשם את העונשים הבאים: </w:t>
      </w:r>
    </w:p>
    <w:p w14:paraId="546A52FA" w14:textId="77777777" w:rsidR="00EA36E1" w:rsidRDefault="00EA36E1" w:rsidP="00EA36E1">
      <w:pPr>
        <w:spacing w:line="360" w:lineRule="auto"/>
        <w:ind w:left="1440" w:hanging="720"/>
        <w:jc w:val="both"/>
        <w:rPr>
          <w:rFonts w:ascii="Arial" w:hAnsi="Arial"/>
          <w:noProof w:val="0"/>
          <w:rtl/>
        </w:rPr>
      </w:pPr>
      <w:r>
        <w:rPr>
          <w:rFonts w:ascii="Arial" w:hAnsi="Arial" w:hint="cs"/>
          <w:noProof w:val="0"/>
          <w:rtl/>
        </w:rPr>
        <w:t>א.</w:t>
      </w:r>
      <w:r>
        <w:rPr>
          <w:rFonts w:ascii="Arial" w:hAnsi="Arial"/>
          <w:noProof w:val="0"/>
          <w:rtl/>
        </w:rPr>
        <w:tab/>
      </w:r>
      <w:r>
        <w:rPr>
          <w:rFonts w:ascii="Arial" w:hAnsi="Arial" w:hint="cs"/>
          <w:noProof w:val="0"/>
          <w:rtl/>
        </w:rPr>
        <w:t xml:space="preserve">12 חודשי מאסר בפועל, בניכוי ימי מעצרו מיום 9/12/15. </w:t>
      </w:r>
    </w:p>
    <w:p w14:paraId="0DFE2A2C" w14:textId="77777777" w:rsidR="00EA36E1" w:rsidRDefault="00EA36E1" w:rsidP="00EA36E1">
      <w:pPr>
        <w:spacing w:line="360" w:lineRule="auto"/>
        <w:ind w:left="1440" w:hanging="720"/>
        <w:jc w:val="both"/>
        <w:rPr>
          <w:rFonts w:ascii="Arial" w:hAnsi="Arial"/>
          <w:noProof w:val="0"/>
          <w:rtl/>
        </w:rPr>
      </w:pPr>
      <w:r>
        <w:rPr>
          <w:rFonts w:ascii="Arial" w:hAnsi="Arial" w:hint="cs"/>
          <w:noProof w:val="0"/>
          <w:rtl/>
        </w:rPr>
        <w:t>ב.</w:t>
      </w:r>
      <w:r>
        <w:rPr>
          <w:rFonts w:ascii="Arial" w:hAnsi="Arial" w:hint="cs"/>
          <w:noProof w:val="0"/>
          <w:rtl/>
        </w:rPr>
        <w:tab/>
        <w:t xml:space="preserve">12 חודשי מאסר על תנאי, למשך 3 שנים שלא יעבור כל עבירה בנשק מסוג פשע ויורשע בגינה. </w:t>
      </w:r>
    </w:p>
    <w:p w14:paraId="6AA49C4B" w14:textId="77777777" w:rsidR="00EA36E1" w:rsidRDefault="00EA36E1" w:rsidP="00EA36E1">
      <w:pPr>
        <w:spacing w:line="360" w:lineRule="auto"/>
        <w:ind w:left="1440" w:hanging="720"/>
        <w:jc w:val="both"/>
        <w:rPr>
          <w:rFonts w:ascii="Arial" w:hAnsi="Arial"/>
          <w:noProof w:val="0"/>
          <w:rtl/>
        </w:rPr>
      </w:pPr>
      <w:r>
        <w:rPr>
          <w:rFonts w:ascii="Arial" w:hAnsi="Arial" w:hint="cs"/>
          <w:noProof w:val="0"/>
          <w:rtl/>
        </w:rPr>
        <w:t>ג.</w:t>
      </w:r>
      <w:r>
        <w:rPr>
          <w:rFonts w:ascii="Arial" w:hAnsi="Arial" w:hint="cs"/>
          <w:noProof w:val="0"/>
          <w:rtl/>
        </w:rPr>
        <w:tab/>
        <w:t xml:space="preserve">נוכח עמדת המתלונן </w:t>
      </w:r>
      <w:r>
        <w:rPr>
          <w:rFonts w:ascii="Arial" w:hAnsi="Arial"/>
          <w:noProof w:val="0"/>
          <w:rtl/>
        </w:rPr>
        <w:t>–</w:t>
      </w:r>
      <w:r>
        <w:rPr>
          <w:rFonts w:ascii="Arial" w:hAnsi="Arial" w:hint="cs"/>
          <w:noProof w:val="0"/>
          <w:rtl/>
        </w:rPr>
        <w:t xml:space="preserve"> הסולחה </w:t>
      </w:r>
      <w:r>
        <w:rPr>
          <w:rFonts w:ascii="Arial" w:hAnsi="Arial"/>
          <w:noProof w:val="0"/>
          <w:rtl/>
        </w:rPr>
        <w:t>–</w:t>
      </w:r>
      <w:r>
        <w:rPr>
          <w:rFonts w:ascii="Arial" w:hAnsi="Arial" w:hint="cs"/>
          <w:noProof w:val="0"/>
          <w:rtl/>
        </w:rPr>
        <w:t xml:space="preserve"> אין אני גוזרת קנס כספי. </w:t>
      </w:r>
    </w:p>
    <w:p w14:paraId="480CDFEF" w14:textId="77777777" w:rsidR="00EA36E1" w:rsidRPr="00056DD3" w:rsidRDefault="00056DD3" w:rsidP="00EA36E1">
      <w:pPr>
        <w:spacing w:line="360" w:lineRule="auto"/>
        <w:jc w:val="both"/>
        <w:rPr>
          <w:rFonts w:ascii="Arial" w:hAnsi="Arial"/>
          <w:noProof w:val="0"/>
          <w:color w:val="FFFFFF"/>
          <w:sz w:val="2"/>
          <w:szCs w:val="2"/>
          <w:rtl/>
        </w:rPr>
      </w:pPr>
      <w:r w:rsidRPr="00056DD3">
        <w:rPr>
          <w:rFonts w:ascii="Arial" w:hAnsi="Arial"/>
          <w:noProof w:val="0"/>
          <w:color w:val="FFFFFF"/>
          <w:sz w:val="2"/>
          <w:szCs w:val="2"/>
          <w:rtl/>
        </w:rPr>
        <w:t>5129371</w:t>
      </w:r>
    </w:p>
    <w:p w14:paraId="30F7A2E0" w14:textId="77777777" w:rsidR="00EA36E1" w:rsidRPr="001D201F" w:rsidRDefault="00056DD3" w:rsidP="00EA36E1">
      <w:pPr>
        <w:spacing w:line="360" w:lineRule="auto"/>
        <w:jc w:val="both"/>
        <w:rPr>
          <w:rFonts w:ascii="Arial" w:hAnsi="Arial"/>
          <w:b/>
          <w:bCs/>
          <w:noProof w:val="0"/>
          <w:rtl/>
        </w:rPr>
      </w:pPr>
      <w:r w:rsidRPr="00056DD3">
        <w:rPr>
          <w:rFonts w:ascii="Arial" w:hAnsi="Arial"/>
          <w:b/>
          <w:bCs/>
          <w:noProof w:val="0"/>
          <w:color w:val="FFFFFF"/>
          <w:sz w:val="2"/>
          <w:szCs w:val="2"/>
          <w:rtl/>
        </w:rPr>
        <w:t>54678313</w:t>
      </w:r>
      <w:r w:rsidR="00EA36E1" w:rsidRPr="001D201F">
        <w:rPr>
          <w:rFonts w:ascii="Arial" w:hAnsi="Arial" w:hint="cs"/>
          <w:b/>
          <w:bCs/>
          <w:noProof w:val="0"/>
          <w:rtl/>
        </w:rPr>
        <w:t>זכות ערעור לבית המשפט העליון, תוך 45 ימים.</w:t>
      </w:r>
    </w:p>
    <w:p w14:paraId="2730370E" w14:textId="77777777" w:rsidR="00EA36E1" w:rsidRDefault="00EA36E1" w:rsidP="00EA36E1">
      <w:pPr>
        <w:spacing w:line="360" w:lineRule="auto"/>
        <w:jc w:val="both"/>
        <w:rPr>
          <w:rFonts w:ascii="Arial" w:hAnsi="Arial"/>
          <w:noProof w:val="0"/>
          <w:rtl/>
        </w:rPr>
      </w:pPr>
    </w:p>
    <w:p w14:paraId="7FBCD917" w14:textId="77777777" w:rsidR="00EA36E1" w:rsidRDefault="00056DD3" w:rsidP="00EA36E1">
      <w:pPr>
        <w:tabs>
          <w:tab w:val="left" w:pos="2553"/>
        </w:tabs>
        <w:ind w:left="5040"/>
        <w:rPr>
          <w:rtl/>
        </w:rPr>
      </w:pPr>
      <w:r>
        <w:rPr>
          <w:rFonts w:ascii="Arial" w:hAnsi="Arial"/>
          <w:noProof w:val="0"/>
          <w:rtl/>
        </w:rPr>
        <w:t xml:space="preserve">ניתן היום, ט"ו אייר תשע"ו, 23 מאי 2016, במעמד הצדדים. </w:t>
      </w:r>
      <w:r w:rsidR="00EA36E1">
        <w:rPr>
          <w:rFonts w:hint="cs"/>
          <w:rtl/>
        </w:rPr>
        <w:t xml:space="preserve">     </w:t>
      </w:r>
    </w:p>
    <w:p w14:paraId="0AE152BA" w14:textId="77777777" w:rsidR="00EA36E1" w:rsidRDefault="00EA36E1" w:rsidP="00EA36E1">
      <w:pPr>
        <w:tabs>
          <w:tab w:val="left" w:pos="2553"/>
        </w:tabs>
      </w:pPr>
      <w:r>
        <w:rPr>
          <w:rFonts w:hint="cs"/>
          <w:rtl/>
        </w:rPr>
        <w:tab/>
      </w:r>
      <w:r>
        <w:rPr>
          <w:rFonts w:hint="cs"/>
          <w:rtl/>
        </w:rPr>
        <w:tab/>
      </w:r>
      <w:r>
        <w:rPr>
          <w:rFonts w:hint="cs"/>
          <w:rtl/>
        </w:rPr>
        <w:tab/>
      </w:r>
      <w:r>
        <w:rPr>
          <w:rFonts w:hint="cs"/>
          <w:rtl/>
        </w:rPr>
        <w:tab/>
        <w:t xml:space="preserve">        </w:t>
      </w:r>
    </w:p>
    <w:p w14:paraId="012F575B" w14:textId="77777777" w:rsidR="00EA36E1" w:rsidRPr="007E43F2" w:rsidRDefault="007E43F2" w:rsidP="00EA36E1">
      <w:pPr>
        <w:tabs>
          <w:tab w:val="left" w:pos="2553"/>
        </w:tabs>
        <w:rPr>
          <w:rFonts w:ascii="Arial" w:hAnsi="Arial"/>
          <w:noProof w:val="0"/>
          <w:color w:val="FFFFFF"/>
          <w:sz w:val="2"/>
          <w:szCs w:val="2"/>
          <w:rtl/>
        </w:rPr>
      </w:pPr>
      <w:r w:rsidRPr="007E43F2">
        <w:rPr>
          <w:rFonts w:ascii="Arial" w:hAnsi="Arial"/>
          <w:noProof w:val="0"/>
          <w:color w:val="FFFFFF"/>
          <w:sz w:val="2"/>
          <w:szCs w:val="2"/>
          <w:rtl/>
        </w:rPr>
        <w:t>5129371</w:t>
      </w:r>
    </w:p>
    <w:p w14:paraId="1036F0DD" w14:textId="77777777" w:rsidR="00056DD3" w:rsidRPr="007E43F2" w:rsidRDefault="007E43F2" w:rsidP="00056DD3">
      <w:pPr>
        <w:keepNext/>
        <w:rPr>
          <w:rFonts w:ascii="David" w:hAnsi="David"/>
          <w:color w:val="FFFFFF"/>
          <w:sz w:val="2"/>
          <w:szCs w:val="2"/>
          <w:rtl/>
        </w:rPr>
      </w:pPr>
      <w:r w:rsidRPr="007E43F2">
        <w:rPr>
          <w:rFonts w:ascii="David" w:hAnsi="David"/>
          <w:color w:val="FFFFFF"/>
          <w:sz w:val="2"/>
          <w:szCs w:val="2"/>
          <w:rtl/>
        </w:rPr>
        <w:t>54678313</w:t>
      </w:r>
    </w:p>
    <w:p w14:paraId="26C3079C" w14:textId="77777777" w:rsidR="00056DD3" w:rsidRPr="00056DD3" w:rsidRDefault="00056DD3" w:rsidP="00056DD3">
      <w:pPr>
        <w:keepNext/>
        <w:rPr>
          <w:rFonts w:ascii="David" w:hAnsi="David"/>
          <w:color w:val="000000"/>
          <w:sz w:val="22"/>
          <w:szCs w:val="22"/>
          <w:rtl/>
        </w:rPr>
      </w:pPr>
      <w:r w:rsidRPr="00056DD3">
        <w:rPr>
          <w:rFonts w:ascii="David" w:hAnsi="David"/>
          <w:color w:val="000000"/>
          <w:sz w:val="22"/>
          <w:szCs w:val="22"/>
          <w:rtl/>
        </w:rPr>
        <w:t>אספרנצה אלון 54678313</w:t>
      </w:r>
    </w:p>
    <w:p w14:paraId="2307A8EE" w14:textId="77777777" w:rsidR="00056DD3" w:rsidRDefault="00056DD3" w:rsidP="00056DD3">
      <w:r w:rsidRPr="00056DD3">
        <w:rPr>
          <w:color w:val="000000"/>
          <w:rtl/>
        </w:rPr>
        <w:t>נוסח מסמך זה כפוף לשינויי ניסוח ועריכה</w:t>
      </w:r>
    </w:p>
    <w:p w14:paraId="77E86599" w14:textId="77777777" w:rsidR="00056DD3" w:rsidRDefault="00056DD3" w:rsidP="00056DD3">
      <w:pPr>
        <w:rPr>
          <w:rtl/>
        </w:rPr>
      </w:pPr>
    </w:p>
    <w:p w14:paraId="298E8A71" w14:textId="77777777" w:rsidR="00056DD3" w:rsidRDefault="00056DD3" w:rsidP="00056DD3">
      <w:pPr>
        <w:jc w:val="center"/>
        <w:rPr>
          <w:color w:val="0000FF"/>
          <w:u w:val="single"/>
        </w:rPr>
      </w:pPr>
      <w:hyperlink r:id="rId42" w:history="1">
        <w:r>
          <w:rPr>
            <w:color w:val="0000FF"/>
            <w:u w:val="single"/>
            <w:rtl/>
          </w:rPr>
          <w:t>בעניין עריכה ושינויים במסמכי פסיקה, חקיקה ועוד באתר נבו – הקש כאן</w:t>
        </w:r>
      </w:hyperlink>
      <w:r w:rsidR="00D92F0E">
        <w:rPr>
          <w:rFonts w:hint="cs"/>
          <w:color w:val="0000FF"/>
          <w:u w:val="single"/>
          <w:rtl/>
        </w:rPr>
        <w:t xml:space="preserve"> </w:t>
      </w:r>
    </w:p>
    <w:p w14:paraId="5C61E9D7" w14:textId="77777777" w:rsidR="007E43F2" w:rsidRPr="007E43F2" w:rsidRDefault="007E43F2" w:rsidP="007E43F2">
      <w:pPr>
        <w:keepNext/>
        <w:rPr>
          <w:rFonts w:ascii="David" w:hAnsi="David"/>
          <w:color w:val="000000"/>
          <w:sz w:val="22"/>
          <w:szCs w:val="22"/>
          <w:rtl/>
        </w:rPr>
      </w:pPr>
    </w:p>
    <w:sectPr w:rsidR="007E43F2" w:rsidRPr="007E43F2" w:rsidSect="007E43F2">
      <w:headerReference w:type="even" r:id="rId43"/>
      <w:headerReference w:type="default" r:id="rId44"/>
      <w:footerReference w:type="even" r:id="rId45"/>
      <w:footerReference w:type="default" r:id="rId46"/>
      <w:pgSz w:w="11907" w:h="16840" w:code="9"/>
      <w:pgMar w:top="1701" w:right="1701" w:bottom="1276" w:left="1701" w:header="720" w:footer="51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8DB659" w14:textId="77777777" w:rsidR="00D216C8" w:rsidRDefault="00D216C8">
      <w:r>
        <w:separator/>
      </w:r>
    </w:p>
  </w:endnote>
  <w:endnote w:type="continuationSeparator" w:id="0">
    <w:p w14:paraId="15FF4CA6" w14:textId="77777777" w:rsidR="00D216C8" w:rsidRDefault="00D216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C04E4F" w14:textId="77777777" w:rsidR="008F6E30" w:rsidRDefault="008F6E30" w:rsidP="007E43F2">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w:t>
    </w:r>
    <w:r>
      <w:rPr>
        <w:rFonts w:ascii="FrankRuehl" w:hAnsi="FrankRuehl" w:cs="FrankRuehl"/>
        <w:rtl/>
      </w:rPr>
      <w:fldChar w:fldCharType="end"/>
    </w:r>
  </w:p>
  <w:p w14:paraId="3988ED49" w14:textId="77777777" w:rsidR="008F6E30" w:rsidRPr="007E43F2" w:rsidRDefault="008F6E30" w:rsidP="007E43F2">
    <w:pPr>
      <w:pStyle w:val="a6"/>
      <w:pBdr>
        <w:top w:val="single" w:sz="4" w:space="1" w:color="auto"/>
        <w:between w:val="single" w:sz="4" w:space="0" w:color="auto"/>
      </w:pBdr>
      <w:spacing w:after="60"/>
      <w:jc w:val="center"/>
      <w:rPr>
        <w:rFonts w:ascii="FrankRuehl" w:hAnsi="FrankRuehl" w:cs="FrankRuehl"/>
        <w:color w:val="000000"/>
      </w:rPr>
    </w:pPr>
    <w:r w:rsidRPr="007E43F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E3B7B" w14:textId="77777777" w:rsidR="008F6E30" w:rsidRDefault="008F6E30" w:rsidP="007E43F2">
    <w:pPr>
      <w:pStyle w:val="a6"/>
      <w:jc w:val="center"/>
      <w:rPr>
        <w:rStyle w:val="a7"/>
        <w:rFonts w:ascii="FrankRuehl" w:hAnsi="FrankRuehl" w:cs="FrankRuehl"/>
        <w:rtl/>
      </w:rPr>
    </w:pPr>
    <w:r>
      <w:rPr>
        <w:rStyle w:val="a7"/>
        <w:rFonts w:ascii="FrankRuehl" w:hAnsi="FrankRuehl" w:cs="FrankRuehl"/>
        <w:rtl/>
      </w:rPr>
      <w:fldChar w:fldCharType="begin"/>
    </w:r>
    <w:r>
      <w:rPr>
        <w:rStyle w:val="a7"/>
        <w:rFonts w:ascii="FrankRuehl" w:hAnsi="FrankRuehl" w:cs="FrankRuehl"/>
        <w:rtl/>
      </w:rPr>
      <w:instrText xml:space="preserve"> </w:instrText>
    </w:r>
    <w:r>
      <w:rPr>
        <w:rStyle w:val="a7"/>
        <w:rFonts w:ascii="FrankRuehl" w:hAnsi="FrankRuehl" w:cs="FrankRuehl" w:hint="cs"/>
      </w:rPr>
      <w:instrText>PAGE</w:instrText>
    </w:r>
    <w:r>
      <w:rPr>
        <w:rStyle w:val="a7"/>
        <w:rFonts w:ascii="FrankRuehl" w:hAnsi="FrankRuehl" w:cs="FrankRuehl" w:hint="cs"/>
        <w:rtl/>
      </w:rPr>
      <w:instrText xml:space="preserve">  \* </w:instrText>
    </w:r>
    <w:r>
      <w:rPr>
        <w:rStyle w:val="a7"/>
        <w:rFonts w:ascii="FrankRuehl" w:hAnsi="FrankRuehl" w:cs="FrankRuehl" w:hint="cs"/>
      </w:rPr>
      <w:instrText>MERGEFORMAT</w:instrText>
    </w:r>
    <w:r>
      <w:rPr>
        <w:rStyle w:val="a7"/>
        <w:rFonts w:ascii="FrankRuehl" w:hAnsi="FrankRuehl" w:cs="FrankRuehl"/>
        <w:rtl/>
      </w:rPr>
      <w:instrText xml:space="preserve"> </w:instrText>
    </w:r>
    <w:r>
      <w:rPr>
        <w:rStyle w:val="a7"/>
        <w:rFonts w:ascii="FrankRuehl" w:hAnsi="FrankRuehl" w:cs="FrankRuehl"/>
        <w:rtl/>
      </w:rPr>
      <w:fldChar w:fldCharType="separate"/>
    </w:r>
    <w:r w:rsidR="00786D7C">
      <w:rPr>
        <w:rStyle w:val="a7"/>
        <w:rFonts w:ascii="FrankRuehl" w:hAnsi="FrankRuehl" w:cs="FrankRuehl"/>
        <w:rtl/>
      </w:rPr>
      <w:t>1</w:t>
    </w:r>
    <w:r>
      <w:rPr>
        <w:rStyle w:val="a7"/>
        <w:rFonts w:ascii="FrankRuehl" w:hAnsi="FrankRuehl" w:cs="FrankRuehl"/>
        <w:rtl/>
      </w:rPr>
      <w:fldChar w:fldCharType="end"/>
    </w:r>
  </w:p>
  <w:p w14:paraId="0A5C9F19" w14:textId="77777777" w:rsidR="008F6E30" w:rsidRPr="007E43F2" w:rsidRDefault="008F6E30" w:rsidP="007E43F2">
    <w:pPr>
      <w:pStyle w:val="a6"/>
      <w:pBdr>
        <w:top w:val="single" w:sz="4" w:space="1" w:color="auto"/>
        <w:between w:val="single" w:sz="4" w:space="0" w:color="auto"/>
      </w:pBdr>
      <w:spacing w:after="60"/>
      <w:jc w:val="center"/>
      <w:rPr>
        <w:rStyle w:val="a7"/>
        <w:rFonts w:ascii="FrankRuehl" w:hAnsi="FrankRuehl" w:cs="FrankRuehl" w:hint="cs"/>
        <w:color w:val="000000"/>
      </w:rPr>
    </w:pPr>
    <w:r w:rsidRPr="007E43F2">
      <w:rPr>
        <w:rStyle w:val="a7"/>
        <w:rFonts w:ascii="FrankRuehl" w:hAnsi="FrankRuehl" w:cs="FrankRuehl" w:hint="cs"/>
        <w:color w:val="000000"/>
      </w:rPr>
      <w:pict w14:anchorId="51A15F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62836B" w14:textId="77777777" w:rsidR="00D216C8" w:rsidRDefault="00D216C8">
      <w:r>
        <w:separator/>
      </w:r>
    </w:p>
  </w:footnote>
  <w:footnote w:type="continuationSeparator" w:id="0">
    <w:p w14:paraId="437B07AC" w14:textId="77777777" w:rsidR="00D216C8" w:rsidRDefault="00D216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543BC6" w14:textId="77777777" w:rsidR="008F6E30" w:rsidRPr="007E43F2" w:rsidRDefault="008F6E30" w:rsidP="007E43F2">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35695-12-15</w:t>
    </w:r>
    <w:r>
      <w:rPr>
        <w:rFonts w:ascii="David" w:hAnsi="David"/>
        <w:color w:val="000000"/>
        <w:sz w:val="22"/>
        <w:szCs w:val="22"/>
        <w:rtl/>
      </w:rPr>
      <w:tab/>
      <w:t xml:space="preserve"> מדינת ישראל נ' עלא חג'אזי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8EDD04" w14:textId="77777777" w:rsidR="008F6E30" w:rsidRPr="007E43F2" w:rsidRDefault="008F6E30" w:rsidP="007E43F2">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35695-12-15</w:t>
    </w:r>
    <w:r>
      <w:rPr>
        <w:rFonts w:ascii="David" w:hAnsi="David"/>
        <w:color w:val="000000"/>
        <w:sz w:val="22"/>
        <w:szCs w:val="22"/>
        <w:rtl/>
      </w:rPr>
      <w:tab/>
      <w:t xml:space="preserve"> מדינת ישראל נ' עלא חג'אזי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D23A32"/>
    <w:multiLevelType w:val="hybridMultilevel"/>
    <w:tmpl w:val="49E4424E"/>
    <w:lvl w:ilvl="0" w:tplc="2BC20DEC">
      <w:start w:val="7"/>
      <w:numFmt w:val="bullet"/>
      <w:lvlText w:val="-"/>
      <w:lvlJc w:val="left"/>
      <w:pPr>
        <w:ind w:left="1080" w:hanging="360"/>
      </w:pPr>
      <w:rPr>
        <w:rFonts w:ascii="Arial" w:eastAsia="Times New Roman" w:hAnsi="Arial"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298167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A36E1"/>
    <w:rsid w:val="00056DD3"/>
    <w:rsid w:val="00164BFD"/>
    <w:rsid w:val="00174FB2"/>
    <w:rsid w:val="001E19E8"/>
    <w:rsid w:val="00392090"/>
    <w:rsid w:val="003B006D"/>
    <w:rsid w:val="00420EA0"/>
    <w:rsid w:val="006906F7"/>
    <w:rsid w:val="00775A2A"/>
    <w:rsid w:val="00786D7C"/>
    <w:rsid w:val="007E43F2"/>
    <w:rsid w:val="008F6E30"/>
    <w:rsid w:val="00B1215F"/>
    <w:rsid w:val="00B35CF9"/>
    <w:rsid w:val="00D216C8"/>
    <w:rsid w:val="00D92F0E"/>
    <w:rsid w:val="00EA36E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CD31090"/>
  <w15:chartTrackingRefBased/>
  <w15:docId w15:val="{9F42B4C9-CC62-4AEF-B2E2-759C3587B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A36E1"/>
    <w:pPr>
      <w:bidi/>
    </w:pPr>
    <w:rPr>
      <w:rFonts w:cs="David"/>
      <w:noProof/>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EA36E1"/>
  </w:style>
  <w:style w:type="paragraph" w:styleId="a4">
    <w:name w:val="header"/>
    <w:basedOn w:val="a"/>
    <w:link w:val="a5"/>
    <w:rsid w:val="00EA36E1"/>
    <w:pPr>
      <w:tabs>
        <w:tab w:val="center" w:pos="4153"/>
        <w:tab w:val="right" w:pos="8306"/>
      </w:tabs>
    </w:pPr>
  </w:style>
  <w:style w:type="paragraph" w:styleId="a6">
    <w:name w:val="footer"/>
    <w:basedOn w:val="a"/>
    <w:rsid w:val="00EA36E1"/>
    <w:pPr>
      <w:tabs>
        <w:tab w:val="center" w:pos="4153"/>
        <w:tab w:val="right" w:pos="8306"/>
      </w:tabs>
    </w:pPr>
  </w:style>
  <w:style w:type="character" w:styleId="a7">
    <w:name w:val="page number"/>
    <w:basedOn w:val="a0"/>
    <w:rsid w:val="00EA36E1"/>
  </w:style>
  <w:style w:type="character" w:customStyle="1" w:styleId="TimesNewRomanTimesNewRoman">
    <w:name w:val="סגנון (לטיני) Times New Roman (עברית ושפות אחרות) Times New Roman..."/>
    <w:rsid w:val="00EA36E1"/>
    <w:rPr>
      <w:rFonts w:ascii="Times New Roman" w:hAnsi="Times New Roman" w:cs="David" w:hint="default"/>
      <w:b/>
      <w:bCs/>
      <w:sz w:val="26"/>
      <w:szCs w:val="26"/>
    </w:rPr>
  </w:style>
  <w:style w:type="character" w:customStyle="1" w:styleId="a5">
    <w:name w:val="כותרת עליונה תו"/>
    <w:link w:val="a4"/>
    <w:rsid w:val="00EA36E1"/>
    <w:rPr>
      <w:rFonts w:cs="David"/>
      <w:noProof/>
      <w:sz w:val="24"/>
      <w:szCs w:val="24"/>
      <w:lang w:val="en-US" w:eastAsia="en-US" w:bidi="he-IL"/>
    </w:rPr>
  </w:style>
  <w:style w:type="paragraph" w:customStyle="1" w:styleId="ListParagraph">
    <w:name w:val="List Paragraph"/>
    <w:basedOn w:val="a"/>
    <w:rsid w:val="00EA36E1"/>
    <w:pPr>
      <w:ind w:left="720"/>
      <w:contextualSpacing/>
    </w:pPr>
  </w:style>
  <w:style w:type="character" w:styleId="Hyperlink">
    <w:name w:val="Hyperlink"/>
    <w:rsid w:val="00056D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86.a" TargetMode="External"/><Relationship Id="rId18" Type="http://schemas.openxmlformats.org/officeDocument/2006/relationships/hyperlink" Target="http://www.nevo.co.il/law/70301/40c.a" TargetMode="External"/><Relationship Id="rId26" Type="http://schemas.openxmlformats.org/officeDocument/2006/relationships/hyperlink" Target="http://www.nevo.co.il/case/20368946" TargetMode="External"/><Relationship Id="rId39" Type="http://schemas.openxmlformats.org/officeDocument/2006/relationships/hyperlink" Target="http://www.nevo.co.il/case/6859579" TargetMode="External"/><Relationship Id="rId21" Type="http://schemas.openxmlformats.org/officeDocument/2006/relationships/hyperlink" Target="http://www.nevo.co.il/case/5962318" TargetMode="External"/><Relationship Id="rId34" Type="http://schemas.openxmlformats.org/officeDocument/2006/relationships/hyperlink" Target="http://www.nevo.co.il/law/70301" TargetMode="External"/><Relationship Id="rId42" Type="http://schemas.openxmlformats.org/officeDocument/2006/relationships/hyperlink" Target="http://www.nevo.co.il/advertisements/nevo-100.doc" TargetMode="External"/><Relationship Id="rId47"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9" Type="http://schemas.openxmlformats.org/officeDocument/2006/relationships/hyperlink" Target="http://www.nevo.co.il/case/471791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a" TargetMode="External"/><Relationship Id="rId24" Type="http://schemas.openxmlformats.org/officeDocument/2006/relationships/hyperlink" Target="http://www.nevo.co.il/case/6154475" TargetMode="External"/><Relationship Id="rId32" Type="http://schemas.openxmlformats.org/officeDocument/2006/relationships/hyperlink" Target="http://www.nevo.co.il/law/70301/144.a" TargetMode="External"/><Relationship Id="rId37" Type="http://schemas.openxmlformats.org/officeDocument/2006/relationships/hyperlink" Target="http://www.nevo.co.il/law/70301" TargetMode="External"/><Relationship Id="rId40" Type="http://schemas.openxmlformats.org/officeDocument/2006/relationships/hyperlink" Target="http://www.nevo.co.il/case/6188919"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70301/144.b"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4284999" TargetMode="External"/><Relationship Id="rId36" Type="http://schemas.openxmlformats.org/officeDocument/2006/relationships/hyperlink" Target="http://www.nevo.co.il/law/70301/144" TargetMode="External"/><Relationship Id="rId10" Type="http://schemas.openxmlformats.org/officeDocument/2006/relationships/hyperlink" Target="http://www.nevo.co.il/law/70301/144"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18653899" TargetMode="External"/><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40i" TargetMode="External"/><Relationship Id="rId14" Type="http://schemas.openxmlformats.org/officeDocument/2006/relationships/hyperlink" Target="http://www.nevo.co.il/law/70301/144.a" TargetMode="External"/><Relationship Id="rId22" Type="http://schemas.openxmlformats.org/officeDocument/2006/relationships/hyperlink" Target="http://www.nevo.co.il/law/70301/40i" TargetMode="External"/><Relationship Id="rId27" Type="http://schemas.openxmlformats.org/officeDocument/2006/relationships/hyperlink" Target="http://www.nevo.co.il/case/4762221" TargetMode="External"/><Relationship Id="rId30" Type="http://schemas.openxmlformats.org/officeDocument/2006/relationships/hyperlink" Target="http://www.nevo.co.il/case/18050273" TargetMode="External"/><Relationship Id="rId35" Type="http://schemas.openxmlformats.org/officeDocument/2006/relationships/hyperlink" Target="http://www.nevo.co.il/law/70301/186.a" TargetMode="External"/><Relationship Id="rId43" Type="http://schemas.openxmlformats.org/officeDocument/2006/relationships/header" Target="header1.xml"/><Relationship Id="rId48" Type="http://schemas.openxmlformats.org/officeDocument/2006/relationships/theme" Target="theme/theme1.xml"/><Relationship Id="rId8" Type="http://schemas.openxmlformats.org/officeDocument/2006/relationships/hyperlink" Target="http://www.nevo.co.il/law/70301/40c.a" TargetMode="External"/><Relationship Id="rId3" Type="http://schemas.openxmlformats.org/officeDocument/2006/relationships/settings" Target="settings.xml"/><Relationship Id="rId12" Type="http://schemas.openxmlformats.org/officeDocument/2006/relationships/hyperlink" Target="http://www.nevo.co.il/law/70301/144.b" TargetMode="External"/><Relationship Id="rId17" Type="http://schemas.openxmlformats.org/officeDocument/2006/relationships/hyperlink" Target="http://www.nevo.co.il/law/70301/186.a" TargetMode="External"/><Relationship Id="rId25" Type="http://schemas.openxmlformats.org/officeDocument/2006/relationships/hyperlink" Target="http://www.nevo.co.il/case/20529332" TargetMode="External"/><Relationship Id="rId33" Type="http://schemas.openxmlformats.org/officeDocument/2006/relationships/hyperlink" Target="http://www.nevo.co.il/law/70301/144.b" TargetMode="External"/><Relationship Id="rId38" Type="http://schemas.openxmlformats.org/officeDocument/2006/relationships/hyperlink" Target="http://www.nevo.co.il/case/6154475" TargetMode="External"/><Relationship Id="rId46" Type="http://schemas.openxmlformats.org/officeDocument/2006/relationships/footer" Target="footer2.xml"/><Relationship Id="rId20" Type="http://schemas.openxmlformats.org/officeDocument/2006/relationships/hyperlink" Target="http://www.nevo.co.il/case/6859579" TargetMode="External"/><Relationship Id="rId41" Type="http://schemas.openxmlformats.org/officeDocument/2006/relationships/hyperlink" Target="http://www.nevo.co.il/case/576268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1746</Words>
  <Characters>8734</Characters>
  <Application>Microsoft Office Word</Application>
  <DocSecurity>0</DocSecurity>
  <Lines>72</Lines>
  <Paragraphs>20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10460</CharactersWithSpaces>
  <SharedDoc>false</SharedDoc>
  <HLinks>
    <vt:vector size="216" baseType="variant">
      <vt:variant>
        <vt:i4>393283</vt:i4>
      </vt:variant>
      <vt:variant>
        <vt:i4>105</vt:i4>
      </vt:variant>
      <vt:variant>
        <vt:i4>0</vt:i4>
      </vt:variant>
      <vt:variant>
        <vt:i4>5</vt:i4>
      </vt:variant>
      <vt:variant>
        <vt:lpwstr>http://www.nevo.co.il/advertisements/nevo-100.doc</vt:lpwstr>
      </vt:variant>
      <vt:variant>
        <vt:lpwstr/>
      </vt:variant>
      <vt:variant>
        <vt:i4>3342457</vt:i4>
      </vt:variant>
      <vt:variant>
        <vt:i4>102</vt:i4>
      </vt:variant>
      <vt:variant>
        <vt:i4>0</vt:i4>
      </vt:variant>
      <vt:variant>
        <vt:i4>5</vt:i4>
      </vt:variant>
      <vt:variant>
        <vt:lpwstr>http://www.nevo.co.il/case/5762686</vt:lpwstr>
      </vt:variant>
      <vt:variant>
        <vt:lpwstr/>
      </vt:variant>
      <vt:variant>
        <vt:i4>4063356</vt:i4>
      </vt:variant>
      <vt:variant>
        <vt:i4>99</vt:i4>
      </vt:variant>
      <vt:variant>
        <vt:i4>0</vt:i4>
      </vt:variant>
      <vt:variant>
        <vt:i4>5</vt:i4>
      </vt:variant>
      <vt:variant>
        <vt:lpwstr>http://www.nevo.co.il/case/6188919</vt:lpwstr>
      </vt:variant>
      <vt:variant>
        <vt:lpwstr/>
      </vt:variant>
      <vt:variant>
        <vt:i4>4128882</vt:i4>
      </vt:variant>
      <vt:variant>
        <vt:i4>96</vt:i4>
      </vt:variant>
      <vt:variant>
        <vt:i4>0</vt:i4>
      </vt:variant>
      <vt:variant>
        <vt:i4>5</vt:i4>
      </vt:variant>
      <vt:variant>
        <vt:lpwstr>http://www.nevo.co.il/case/6859579</vt:lpwstr>
      </vt:variant>
      <vt:variant>
        <vt:lpwstr/>
      </vt:variant>
      <vt:variant>
        <vt:i4>3276918</vt:i4>
      </vt:variant>
      <vt:variant>
        <vt:i4>93</vt:i4>
      </vt:variant>
      <vt:variant>
        <vt:i4>0</vt:i4>
      </vt:variant>
      <vt:variant>
        <vt:i4>5</vt:i4>
      </vt:variant>
      <vt:variant>
        <vt:lpwstr>http://www.nevo.co.il/case/6154475</vt:lpwstr>
      </vt:variant>
      <vt:variant>
        <vt:lpwstr/>
      </vt:variant>
      <vt:variant>
        <vt:i4>7995492</vt:i4>
      </vt:variant>
      <vt:variant>
        <vt:i4>90</vt:i4>
      </vt:variant>
      <vt:variant>
        <vt:i4>0</vt:i4>
      </vt:variant>
      <vt:variant>
        <vt:i4>5</vt:i4>
      </vt:variant>
      <vt:variant>
        <vt:lpwstr>http://www.nevo.co.il/law/70301</vt:lpwstr>
      </vt:variant>
      <vt:variant>
        <vt:lpwstr/>
      </vt:variant>
      <vt:variant>
        <vt:i4>6357092</vt:i4>
      </vt:variant>
      <vt:variant>
        <vt:i4>87</vt:i4>
      </vt:variant>
      <vt:variant>
        <vt:i4>0</vt:i4>
      </vt:variant>
      <vt:variant>
        <vt:i4>5</vt:i4>
      </vt:variant>
      <vt:variant>
        <vt:lpwstr>http://www.nevo.co.il/law/70301/144</vt:lpwstr>
      </vt:variant>
      <vt:variant>
        <vt:lpwstr/>
      </vt:variant>
      <vt:variant>
        <vt:i4>4390994</vt:i4>
      </vt:variant>
      <vt:variant>
        <vt:i4>84</vt:i4>
      </vt:variant>
      <vt:variant>
        <vt:i4>0</vt:i4>
      </vt:variant>
      <vt:variant>
        <vt:i4>5</vt:i4>
      </vt:variant>
      <vt:variant>
        <vt:lpwstr>http://www.nevo.co.il/law/70301/186.a</vt:lpwstr>
      </vt:variant>
      <vt:variant>
        <vt:lpwstr/>
      </vt:variant>
      <vt:variant>
        <vt:i4>7995492</vt:i4>
      </vt:variant>
      <vt:variant>
        <vt:i4>81</vt:i4>
      </vt:variant>
      <vt:variant>
        <vt:i4>0</vt:i4>
      </vt:variant>
      <vt:variant>
        <vt:i4>5</vt:i4>
      </vt:variant>
      <vt:variant>
        <vt:lpwstr>http://www.nevo.co.il/law/70301</vt:lpwstr>
      </vt:variant>
      <vt:variant>
        <vt:lpwstr/>
      </vt:variant>
      <vt:variant>
        <vt:i4>5177424</vt:i4>
      </vt:variant>
      <vt:variant>
        <vt:i4>78</vt:i4>
      </vt:variant>
      <vt:variant>
        <vt:i4>0</vt:i4>
      </vt:variant>
      <vt:variant>
        <vt:i4>5</vt:i4>
      </vt:variant>
      <vt:variant>
        <vt:lpwstr>http://www.nevo.co.il/law/70301/144.b</vt:lpwstr>
      </vt:variant>
      <vt:variant>
        <vt:lpwstr/>
      </vt:variant>
      <vt:variant>
        <vt:i4>5177424</vt:i4>
      </vt:variant>
      <vt:variant>
        <vt:i4>75</vt:i4>
      </vt:variant>
      <vt:variant>
        <vt:i4>0</vt:i4>
      </vt:variant>
      <vt:variant>
        <vt:i4>5</vt:i4>
      </vt:variant>
      <vt:variant>
        <vt:lpwstr>http://www.nevo.co.il/law/70301/144.a</vt:lpwstr>
      </vt:variant>
      <vt:variant>
        <vt:lpwstr/>
      </vt:variant>
      <vt:variant>
        <vt:i4>3997809</vt:i4>
      </vt:variant>
      <vt:variant>
        <vt:i4>72</vt:i4>
      </vt:variant>
      <vt:variant>
        <vt:i4>0</vt:i4>
      </vt:variant>
      <vt:variant>
        <vt:i4>5</vt:i4>
      </vt:variant>
      <vt:variant>
        <vt:lpwstr>http://www.nevo.co.il/case/18653899</vt:lpwstr>
      </vt:variant>
      <vt:variant>
        <vt:lpwstr/>
      </vt:variant>
      <vt:variant>
        <vt:i4>3539067</vt:i4>
      </vt:variant>
      <vt:variant>
        <vt:i4>69</vt:i4>
      </vt:variant>
      <vt:variant>
        <vt:i4>0</vt:i4>
      </vt:variant>
      <vt:variant>
        <vt:i4>5</vt:i4>
      </vt:variant>
      <vt:variant>
        <vt:lpwstr>http://www.nevo.co.il/case/18050273</vt:lpwstr>
      </vt:variant>
      <vt:variant>
        <vt:lpwstr/>
      </vt:variant>
      <vt:variant>
        <vt:i4>3473525</vt:i4>
      </vt:variant>
      <vt:variant>
        <vt:i4>66</vt:i4>
      </vt:variant>
      <vt:variant>
        <vt:i4>0</vt:i4>
      </vt:variant>
      <vt:variant>
        <vt:i4>5</vt:i4>
      </vt:variant>
      <vt:variant>
        <vt:lpwstr>http://www.nevo.co.il/case/4717919</vt:lpwstr>
      </vt:variant>
      <vt:variant>
        <vt:lpwstr/>
      </vt:variant>
      <vt:variant>
        <vt:i4>3932283</vt:i4>
      </vt:variant>
      <vt:variant>
        <vt:i4>63</vt:i4>
      </vt:variant>
      <vt:variant>
        <vt:i4>0</vt:i4>
      </vt:variant>
      <vt:variant>
        <vt:i4>5</vt:i4>
      </vt:variant>
      <vt:variant>
        <vt:lpwstr>http://www.nevo.co.il/case/4284999</vt:lpwstr>
      </vt:variant>
      <vt:variant>
        <vt:lpwstr/>
      </vt:variant>
      <vt:variant>
        <vt:i4>3211379</vt:i4>
      </vt:variant>
      <vt:variant>
        <vt:i4>60</vt:i4>
      </vt:variant>
      <vt:variant>
        <vt:i4>0</vt:i4>
      </vt:variant>
      <vt:variant>
        <vt:i4>5</vt:i4>
      </vt:variant>
      <vt:variant>
        <vt:lpwstr>http://www.nevo.co.il/case/4762221</vt:lpwstr>
      </vt:variant>
      <vt:variant>
        <vt:lpwstr/>
      </vt:variant>
      <vt:variant>
        <vt:i4>3997819</vt:i4>
      </vt:variant>
      <vt:variant>
        <vt:i4>57</vt:i4>
      </vt:variant>
      <vt:variant>
        <vt:i4>0</vt:i4>
      </vt:variant>
      <vt:variant>
        <vt:i4>5</vt:i4>
      </vt:variant>
      <vt:variant>
        <vt:lpwstr>http://www.nevo.co.il/case/20368946</vt:lpwstr>
      </vt:variant>
      <vt:variant>
        <vt:lpwstr/>
      </vt:variant>
      <vt:variant>
        <vt:i4>3997813</vt:i4>
      </vt:variant>
      <vt:variant>
        <vt:i4>54</vt:i4>
      </vt:variant>
      <vt:variant>
        <vt:i4>0</vt:i4>
      </vt:variant>
      <vt:variant>
        <vt:i4>5</vt:i4>
      </vt:variant>
      <vt:variant>
        <vt:lpwstr>http://www.nevo.co.il/case/20529332</vt:lpwstr>
      </vt:variant>
      <vt:variant>
        <vt:lpwstr/>
      </vt:variant>
      <vt:variant>
        <vt:i4>3276918</vt:i4>
      </vt:variant>
      <vt:variant>
        <vt:i4>51</vt:i4>
      </vt:variant>
      <vt:variant>
        <vt:i4>0</vt:i4>
      </vt:variant>
      <vt:variant>
        <vt:i4>5</vt:i4>
      </vt:variant>
      <vt:variant>
        <vt:lpwstr>http://www.nevo.co.il/case/6154475</vt:lpwstr>
      </vt:variant>
      <vt:variant>
        <vt:lpwstr/>
      </vt:variant>
      <vt:variant>
        <vt:i4>7995492</vt:i4>
      </vt:variant>
      <vt:variant>
        <vt:i4>48</vt:i4>
      </vt:variant>
      <vt:variant>
        <vt:i4>0</vt:i4>
      </vt:variant>
      <vt:variant>
        <vt:i4>5</vt:i4>
      </vt:variant>
      <vt:variant>
        <vt:lpwstr>http://www.nevo.co.il/law/70301</vt:lpwstr>
      </vt:variant>
      <vt:variant>
        <vt:lpwstr/>
      </vt:variant>
      <vt:variant>
        <vt:i4>6619233</vt:i4>
      </vt:variant>
      <vt:variant>
        <vt:i4>45</vt:i4>
      </vt:variant>
      <vt:variant>
        <vt:i4>0</vt:i4>
      </vt:variant>
      <vt:variant>
        <vt:i4>5</vt:i4>
      </vt:variant>
      <vt:variant>
        <vt:lpwstr>http://www.nevo.co.il/law/70301/40i</vt:lpwstr>
      </vt:variant>
      <vt:variant>
        <vt:lpwstr/>
      </vt:variant>
      <vt:variant>
        <vt:i4>3670142</vt:i4>
      </vt:variant>
      <vt:variant>
        <vt:i4>42</vt:i4>
      </vt:variant>
      <vt:variant>
        <vt:i4>0</vt:i4>
      </vt:variant>
      <vt:variant>
        <vt:i4>5</vt:i4>
      </vt:variant>
      <vt:variant>
        <vt:lpwstr>http://www.nevo.co.il/case/5962318</vt:lpwstr>
      </vt:variant>
      <vt:variant>
        <vt:lpwstr/>
      </vt:variant>
      <vt:variant>
        <vt:i4>4128882</vt:i4>
      </vt:variant>
      <vt:variant>
        <vt:i4>39</vt:i4>
      </vt:variant>
      <vt:variant>
        <vt:i4>0</vt:i4>
      </vt:variant>
      <vt:variant>
        <vt:i4>5</vt:i4>
      </vt:variant>
      <vt:variant>
        <vt:lpwstr>http://www.nevo.co.il/case/6859579</vt:lpwstr>
      </vt:variant>
      <vt:variant>
        <vt:lpwstr/>
      </vt:variant>
      <vt:variant>
        <vt:i4>7995492</vt:i4>
      </vt:variant>
      <vt:variant>
        <vt:i4>36</vt:i4>
      </vt:variant>
      <vt:variant>
        <vt:i4>0</vt:i4>
      </vt:variant>
      <vt:variant>
        <vt:i4>5</vt:i4>
      </vt:variant>
      <vt:variant>
        <vt:lpwstr>http://www.nevo.co.il/law/70301</vt:lpwstr>
      </vt:variant>
      <vt:variant>
        <vt:lpwstr/>
      </vt:variant>
      <vt:variant>
        <vt:i4>4915202</vt:i4>
      </vt:variant>
      <vt:variant>
        <vt:i4>33</vt:i4>
      </vt:variant>
      <vt:variant>
        <vt:i4>0</vt:i4>
      </vt:variant>
      <vt:variant>
        <vt:i4>5</vt:i4>
      </vt:variant>
      <vt:variant>
        <vt:lpwstr>http://www.nevo.co.il/law/70301/40c.a</vt:lpwstr>
      </vt:variant>
      <vt:variant>
        <vt:lpwstr/>
      </vt:variant>
      <vt:variant>
        <vt:i4>4390994</vt:i4>
      </vt:variant>
      <vt:variant>
        <vt:i4>30</vt:i4>
      </vt:variant>
      <vt:variant>
        <vt:i4>0</vt:i4>
      </vt:variant>
      <vt:variant>
        <vt:i4>5</vt:i4>
      </vt:variant>
      <vt:variant>
        <vt:lpwstr>http://www.nevo.co.il/law/70301/186.a</vt:lpwstr>
      </vt:variant>
      <vt:variant>
        <vt:lpwstr/>
      </vt:variant>
      <vt:variant>
        <vt:i4>7995492</vt:i4>
      </vt:variant>
      <vt:variant>
        <vt:i4>27</vt:i4>
      </vt:variant>
      <vt:variant>
        <vt:i4>0</vt:i4>
      </vt:variant>
      <vt:variant>
        <vt:i4>5</vt:i4>
      </vt:variant>
      <vt:variant>
        <vt:lpwstr>http://www.nevo.co.il/law/70301</vt:lpwstr>
      </vt:variant>
      <vt:variant>
        <vt:lpwstr/>
      </vt:variant>
      <vt:variant>
        <vt:i4>5177424</vt:i4>
      </vt:variant>
      <vt:variant>
        <vt:i4>24</vt:i4>
      </vt:variant>
      <vt:variant>
        <vt:i4>0</vt:i4>
      </vt:variant>
      <vt:variant>
        <vt:i4>5</vt:i4>
      </vt:variant>
      <vt:variant>
        <vt:lpwstr>http://www.nevo.co.il/law/70301/144.b</vt:lpwstr>
      </vt:variant>
      <vt:variant>
        <vt:lpwstr/>
      </vt:variant>
      <vt:variant>
        <vt:i4>5177424</vt:i4>
      </vt:variant>
      <vt:variant>
        <vt:i4>21</vt:i4>
      </vt:variant>
      <vt:variant>
        <vt:i4>0</vt:i4>
      </vt:variant>
      <vt:variant>
        <vt:i4>5</vt:i4>
      </vt:variant>
      <vt:variant>
        <vt:lpwstr>http://www.nevo.co.il/law/70301/144.a</vt:lpwstr>
      </vt:variant>
      <vt:variant>
        <vt:lpwstr/>
      </vt:variant>
      <vt:variant>
        <vt:i4>4390994</vt:i4>
      </vt:variant>
      <vt:variant>
        <vt:i4>18</vt:i4>
      </vt:variant>
      <vt:variant>
        <vt:i4>0</vt:i4>
      </vt:variant>
      <vt:variant>
        <vt:i4>5</vt:i4>
      </vt:variant>
      <vt:variant>
        <vt:lpwstr>http://www.nevo.co.il/law/70301/186.a</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6357092</vt:i4>
      </vt:variant>
      <vt:variant>
        <vt:i4>9</vt:i4>
      </vt:variant>
      <vt:variant>
        <vt:i4>0</vt:i4>
      </vt:variant>
      <vt:variant>
        <vt:i4>5</vt:i4>
      </vt:variant>
      <vt:variant>
        <vt:lpwstr>http://www.nevo.co.il/law/70301/144</vt:lpwstr>
      </vt:variant>
      <vt:variant>
        <vt:lpwstr/>
      </vt:variant>
      <vt:variant>
        <vt:i4>6619233</vt:i4>
      </vt:variant>
      <vt:variant>
        <vt:i4>6</vt:i4>
      </vt:variant>
      <vt:variant>
        <vt:i4>0</vt:i4>
      </vt:variant>
      <vt:variant>
        <vt:i4>5</vt:i4>
      </vt:variant>
      <vt:variant>
        <vt:lpwstr>http://www.nevo.co.il/law/70301/40i</vt:lpwstr>
      </vt:variant>
      <vt:variant>
        <vt:lpwstr/>
      </vt:variant>
      <vt:variant>
        <vt:i4>4915202</vt:i4>
      </vt:variant>
      <vt:variant>
        <vt:i4>3</vt:i4>
      </vt:variant>
      <vt:variant>
        <vt:i4>0</vt:i4>
      </vt:variant>
      <vt:variant>
        <vt:i4>5</vt:i4>
      </vt:variant>
      <vt:variant>
        <vt:lpwstr>http://www.nevo.co.il/law/70301/40c.a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2025-01-19T16:06:00Z</dcterms:created>
  <dcterms:modified xsi:type="dcterms:W3CDTF">2025-01-19T16:06:00Z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35695</vt:lpwstr>
  </property>
  <property fmtid="{D5CDD505-2E9C-101B-9397-08002B2CF9AE}" pid="6" name="NEWPARTB">
    <vt:lpwstr>12</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עלא חג'אזי</vt:lpwstr>
  </property>
  <property fmtid="{D5CDD505-2E9C-101B-9397-08002B2CF9AE}" pid="10" name="LAWYER">
    <vt:lpwstr>ירין שגב;דיאב לוטפי</vt:lpwstr>
  </property>
  <property fmtid="{D5CDD505-2E9C-101B-9397-08002B2CF9AE}" pid="11" name="JUDGE">
    <vt:lpwstr>אספרנצה אלון</vt:lpwstr>
  </property>
  <property fmtid="{D5CDD505-2E9C-101B-9397-08002B2CF9AE}" pid="12" name="CITY">
    <vt:lpwstr>חי'</vt:lpwstr>
  </property>
  <property fmtid="{D5CDD505-2E9C-101B-9397-08002B2CF9AE}" pid="13" name="DATE">
    <vt:lpwstr>20160523</vt:lpwstr>
  </property>
  <property fmtid="{D5CDD505-2E9C-101B-9397-08002B2CF9AE}" pid="14" name="TYPE_N_DATE">
    <vt:lpwstr>39020160523</vt:lpwstr>
  </property>
  <property fmtid="{D5CDD505-2E9C-101B-9397-08002B2CF9AE}" pid="15" name="WORDNUMPAGES">
    <vt:lpwstr>5</vt:lpwstr>
  </property>
  <property fmtid="{D5CDD505-2E9C-101B-9397-08002B2CF9AE}" pid="16" name="TYPE_ABS_DATE">
    <vt:lpwstr>390020160523</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6859579:2;5962318;6154475:2;20529332;20368946;4762221;4284999;4717919;18050273;18653899;6188919;5762686</vt:lpwstr>
  </property>
  <property fmtid="{D5CDD505-2E9C-101B-9397-08002B2CF9AE}" pid="36" name="LAWLISTTMP1">
    <vt:lpwstr>70301/144.a:2;144.b:2;186.a:2;040c.a;040i;144</vt:lpwstr>
  </property>
</Properties>
</file>