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CA7CF6" w:rsidRPr="001E3053" w14:paraId="65688A8B" w14:textId="77777777" w:rsidTr="001E3053">
        <w:trPr>
          <w:trHeight w:hRule="exact" w:val="418"/>
          <w:jc w:val="center"/>
        </w:trPr>
        <w:tc>
          <w:tcPr>
            <w:tcW w:w="8721" w:type="dxa"/>
            <w:gridSpan w:val="2"/>
          </w:tcPr>
          <w:p w14:paraId="76B3A908" w14:textId="77777777" w:rsidR="00CA7CF6" w:rsidRPr="001E3053" w:rsidRDefault="00CA7CF6" w:rsidP="001E3053">
            <w:pPr>
              <w:pStyle w:val="a4"/>
              <w:jc w:val="center"/>
              <w:rPr>
                <w:rFonts w:ascii="Tahoma" w:hAnsi="Tahoma" w:cs="Tahoma"/>
                <w:noProof w:val="0"/>
                <w:color w:val="000080"/>
                <w:rtl/>
              </w:rPr>
            </w:pPr>
            <w:r w:rsidRPr="001E3053">
              <w:rPr>
                <w:rFonts w:ascii="Tahoma" w:hAnsi="Tahoma" w:cs="Tahoma"/>
                <w:b/>
                <w:bCs/>
                <w:noProof w:val="0"/>
                <w:color w:val="000080"/>
                <w:rtl/>
              </w:rPr>
              <w:t>בית המשפט המחוזי בירושלים</w:t>
            </w:r>
          </w:p>
        </w:tc>
      </w:tr>
      <w:tr w:rsidR="00CA7CF6" w:rsidRPr="001E3053" w14:paraId="0851DBEB" w14:textId="77777777" w:rsidTr="001E3053">
        <w:trPr>
          <w:trHeight w:val="337"/>
          <w:jc w:val="center"/>
        </w:trPr>
        <w:tc>
          <w:tcPr>
            <w:tcW w:w="4473" w:type="dxa"/>
          </w:tcPr>
          <w:p w14:paraId="7697F366" w14:textId="77777777" w:rsidR="00CA7CF6" w:rsidRPr="001E3053" w:rsidRDefault="00CA7CF6" w:rsidP="001E3053">
            <w:pPr>
              <w:rPr>
                <w:b/>
                <w:bCs/>
                <w:noProof w:val="0"/>
                <w:sz w:val="28"/>
                <w:szCs w:val="28"/>
                <w:rtl/>
              </w:rPr>
            </w:pPr>
            <w:r w:rsidRPr="001E3053">
              <w:rPr>
                <w:rFonts w:hint="cs"/>
                <w:b/>
                <w:bCs/>
                <w:noProof w:val="0"/>
                <w:sz w:val="28"/>
                <w:szCs w:val="28"/>
                <w:rtl/>
              </w:rPr>
              <w:t>לפני כב' השופט אהרן פרקש, נשיא</w:t>
            </w:r>
          </w:p>
        </w:tc>
        <w:tc>
          <w:tcPr>
            <w:tcW w:w="4248" w:type="dxa"/>
          </w:tcPr>
          <w:p w14:paraId="3E618864" w14:textId="77777777" w:rsidR="00CA7CF6" w:rsidRPr="001E3053" w:rsidRDefault="00CA7CF6" w:rsidP="001E3053">
            <w:pPr>
              <w:jc w:val="right"/>
              <w:rPr>
                <w:b/>
                <w:bCs/>
                <w:sz w:val="26"/>
                <w:szCs w:val="26"/>
                <w:rtl/>
              </w:rPr>
            </w:pPr>
            <w:r w:rsidRPr="001E3053">
              <w:rPr>
                <w:b/>
                <w:bCs/>
                <w:sz w:val="26"/>
                <w:szCs w:val="26"/>
                <w:rtl/>
              </w:rPr>
              <w:t>ת"פ</w:t>
            </w:r>
            <w:r w:rsidRPr="001E3053">
              <w:rPr>
                <w:rFonts w:hint="cs"/>
                <w:b/>
                <w:bCs/>
                <w:sz w:val="26"/>
                <w:szCs w:val="26"/>
                <w:rtl/>
              </w:rPr>
              <w:t xml:space="preserve"> </w:t>
            </w:r>
            <w:r w:rsidRPr="001E3053">
              <w:rPr>
                <w:b/>
                <w:bCs/>
                <w:sz w:val="26"/>
                <w:szCs w:val="26"/>
                <w:rtl/>
              </w:rPr>
              <w:t>39071-12-15</w:t>
            </w:r>
            <w:r w:rsidRPr="001E3053">
              <w:rPr>
                <w:rFonts w:hint="cs"/>
                <w:b/>
                <w:bCs/>
                <w:sz w:val="26"/>
                <w:szCs w:val="26"/>
                <w:rtl/>
              </w:rPr>
              <w:t xml:space="preserve"> </w:t>
            </w:r>
          </w:p>
          <w:p w14:paraId="3EBA3361" w14:textId="77777777" w:rsidR="00CA7CF6" w:rsidRPr="001E3053" w:rsidRDefault="00CA7CF6" w:rsidP="001E3053">
            <w:pPr>
              <w:jc w:val="right"/>
              <w:rPr>
                <w:b/>
                <w:bCs/>
                <w:sz w:val="26"/>
                <w:szCs w:val="26"/>
                <w:rtl/>
              </w:rPr>
            </w:pPr>
            <w:r w:rsidRPr="001E3053">
              <w:rPr>
                <w:b/>
                <w:bCs/>
                <w:sz w:val="26"/>
                <w:szCs w:val="26"/>
                <w:rtl/>
              </w:rPr>
              <w:t>מדינת ישראל נ' מצרי</w:t>
            </w:r>
          </w:p>
        </w:tc>
      </w:tr>
    </w:tbl>
    <w:p w14:paraId="476E8B61" w14:textId="77777777" w:rsidR="00CA7CF6" w:rsidRPr="001E3053" w:rsidRDefault="00CA7CF6" w:rsidP="00CA7CF6">
      <w:pPr>
        <w:pStyle w:val="a4"/>
        <w:rPr>
          <w:noProof w:val="0"/>
          <w:rtl/>
        </w:rPr>
      </w:pPr>
      <w:bookmarkStart w:id="0" w:name="LastJudge"/>
      <w:bookmarkEnd w:id="0"/>
      <w:r w:rsidRPr="001E3053">
        <w:rPr>
          <w:noProof w:val="0"/>
          <w:rtl/>
        </w:rPr>
        <w:t xml:space="preserve"> </w:t>
      </w:r>
    </w:p>
    <w:p w14:paraId="76E5ED3D" w14:textId="77777777" w:rsidR="00CA7CF6" w:rsidRPr="001E3053" w:rsidRDefault="00CA7CF6" w:rsidP="00CA7CF6">
      <w:pPr>
        <w:rPr>
          <w:rtl/>
        </w:rPr>
      </w:pPr>
    </w:p>
    <w:tbl>
      <w:tblPr>
        <w:bidiVisual/>
        <w:tblW w:w="8928" w:type="dxa"/>
        <w:jc w:val="center"/>
        <w:tblLook w:val="01E0" w:firstRow="1" w:lastRow="1" w:firstColumn="1" w:lastColumn="1" w:noHBand="0" w:noVBand="0"/>
      </w:tblPr>
      <w:tblGrid>
        <w:gridCol w:w="3121"/>
        <w:gridCol w:w="5807"/>
      </w:tblGrid>
      <w:tr w:rsidR="00CA7CF6" w:rsidRPr="001E3053" w14:paraId="14E49CD3" w14:textId="77777777" w:rsidTr="001E3053">
        <w:trPr>
          <w:jc w:val="center"/>
        </w:trPr>
        <w:tc>
          <w:tcPr>
            <w:tcW w:w="3083" w:type="dxa"/>
            <w:shd w:val="clear" w:color="auto" w:fill="auto"/>
          </w:tcPr>
          <w:p w14:paraId="6DCB37AA" w14:textId="77777777" w:rsidR="00CA7CF6" w:rsidRPr="001E3053" w:rsidRDefault="00CA7CF6" w:rsidP="001E3053">
            <w:pPr>
              <w:spacing w:line="360" w:lineRule="auto"/>
              <w:jc w:val="both"/>
              <w:rPr>
                <w:rFonts w:ascii="Arial" w:hAnsi="Arial"/>
                <w:b/>
                <w:bCs/>
                <w:sz w:val="26"/>
                <w:szCs w:val="26"/>
              </w:rPr>
            </w:pPr>
            <w:bookmarkStart w:id="1" w:name="FirstAppellant"/>
            <w:r w:rsidRPr="001E3053">
              <w:rPr>
                <w:rFonts w:ascii="Arial" w:hAnsi="Arial"/>
                <w:b/>
                <w:bCs/>
                <w:sz w:val="26"/>
                <w:szCs w:val="26"/>
                <w:rtl/>
              </w:rPr>
              <w:t>ה</w:t>
            </w:r>
            <w:r w:rsidRPr="001E3053">
              <w:rPr>
                <w:rFonts w:hint="cs"/>
                <w:rtl/>
              </w:rPr>
              <w:t>מאשימה</w:t>
            </w:r>
          </w:p>
        </w:tc>
        <w:tc>
          <w:tcPr>
            <w:tcW w:w="5737" w:type="dxa"/>
            <w:shd w:val="clear" w:color="auto" w:fill="auto"/>
          </w:tcPr>
          <w:p w14:paraId="2823745D" w14:textId="77777777" w:rsidR="00CA7CF6" w:rsidRPr="001E3053" w:rsidRDefault="00CA7CF6" w:rsidP="001E3053">
            <w:pPr>
              <w:jc w:val="both"/>
              <w:rPr>
                <w:b/>
                <w:bCs/>
                <w:sz w:val="26"/>
                <w:szCs w:val="26"/>
              </w:rPr>
            </w:pPr>
            <w:r w:rsidRPr="001E3053">
              <w:rPr>
                <w:rFonts w:hint="cs"/>
                <w:rtl/>
              </w:rPr>
              <w:t>מדינת ישראל</w:t>
            </w:r>
          </w:p>
          <w:p w14:paraId="7333D425" w14:textId="77777777" w:rsidR="00CA7CF6" w:rsidRPr="001E3053" w:rsidRDefault="00CA7CF6" w:rsidP="001E3053">
            <w:pPr>
              <w:jc w:val="both"/>
              <w:rPr>
                <w:sz w:val="26"/>
                <w:szCs w:val="26"/>
                <w:rtl/>
              </w:rPr>
            </w:pPr>
            <w:r w:rsidRPr="001E3053">
              <w:rPr>
                <w:sz w:val="26"/>
                <w:szCs w:val="26"/>
                <w:rtl/>
              </w:rPr>
              <w:t>ע"י פרקליטות מחוז ירושלים (פלילי)</w:t>
            </w:r>
          </w:p>
          <w:p w14:paraId="265E90C5" w14:textId="77777777" w:rsidR="00CA7CF6" w:rsidRPr="001E3053" w:rsidRDefault="00CA7CF6" w:rsidP="001E3053">
            <w:pPr>
              <w:jc w:val="both"/>
              <w:rPr>
                <w:sz w:val="26"/>
                <w:szCs w:val="26"/>
                <w:rtl/>
              </w:rPr>
            </w:pPr>
            <w:r w:rsidRPr="001E3053">
              <w:rPr>
                <w:rFonts w:hint="cs"/>
                <w:sz w:val="26"/>
                <w:szCs w:val="26"/>
                <w:rtl/>
              </w:rPr>
              <w:t>באמצעות עו"ד טל מושקוביץ'</w:t>
            </w:r>
          </w:p>
        </w:tc>
      </w:tr>
      <w:bookmarkEnd w:id="1"/>
      <w:tr w:rsidR="00CA7CF6" w:rsidRPr="001E3053" w14:paraId="26C9B718" w14:textId="77777777" w:rsidTr="001E3053">
        <w:trPr>
          <w:jc w:val="center"/>
        </w:trPr>
        <w:tc>
          <w:tcPr>
            <w:tcW w:w="8820" w:type="dxa"/>
            <w:gridSpan w:val="2"/>
            <w:shd w:val="clear" w:color="auto" w:fill="auto"/>
          </w:tcPr>
          <w:p w14:paraId="21611A87" w14:textId="77777777" w:rsidR="00CA7CF6" w:rsidRPr="001E3053" w:rsidRDefault="00CA7CF6" w:rsidP="001E3053">
            <w:pPr>
              <w:jc w:val="both"/>
              <w:rPr>
                <w:rFonts w:ascii="Arial" w:hAnsi="Arial"/>
                <w:b/>
                <w:bCs/>
                <w:sz w:val="26"/>
                <w:szCs w:val="26"/>
                <w:rtl/>
              </w:rPr>
            </w:pPr>
          </w:p>
          <w:p w14:paraId="254378A6" w14:textId="77777777" w:rsidR="00CA7CF6" w:rsidRPr="001E3053" w:rsidRDefault="00CA7CF6" w:rsidP="001E3053">
            <w:pPr>
              <w:jc w:val="center"/>
              <w:rPr>
                <w:rFonts w:ascii="Arial" w:hAnsi="Arial"/>
                <w:b/>
                <w:bCs/>
                <w:sz w:val="26"/>
                <w:szCs w:val="26"/>
              </w:rPr>
            </w:pPr>
            <w:r w:rsidRPr="001E3053">
              <w:rPr>
                <w:rFonts w:ascii="Arial" w:hAnsi="Arial"/>
                <w:b/>
                <w:bCs/>
                <w:sz w:val="26"/>
                <w:szCs w:val="26"/>
                <w:rtl/>
              </w:rPr>
              <w:t>נ ג ד</w:t>
            </w:r>
          </w:p>
          <w:p w14:paraId="28783659" w14:textId="77777777" w:rsidR="00CA7CF6" w:rsidRPr="001E3053" w:rsidRDefault="00CA7CF6" w:rsidP="001E3053">
            <w:pPr>
              <w:jc w:val="both"/>
              <w:rPr>
                <w:rFonts w:ascii="Arial" w:hAnsi="Arial"/>
                <w:b/>
                <w:bCs/>
                <w:sz w:val="26"/>
                <w:szCs w:val="26"/>
                <w:rtl/>
              </w:rPr>
            </w:pPr>
          </w:p>
        </w:tc>
      </w:tr>
      <w:tr w:rsidR="00CA7CF6" w:rsidRPr="001E3053" w14:paraId="7F0636F7" w14:textId="77777777" w:rsidTr="001E3053">
        <w:trPr>
          <w:jc w:val="center"/>
        </w:trPr>
        <w:tc>
          <w:tcPr>
            <w:tcW w:w="3083" w:type="dxa"/>
            <w:shd w:val="clear" w:color="auto" w:fill="auto"/>
          </w:tcPr>
          <w:p w14:paraId="2381E77E" w14:textId="77777777" w:rsidR="00CA7CF6" w:rsidRPr="001E3053" w:rsidRDefault="00CA7CF6" w:rsidP="001E3053">
            <w:pPr>
              <w:jc w:val="both"/>
              <w:rPr>
                <w:rFonts w:ascii="Arial" w:hAnsi="Arial"/>
                <w:b/>
                <w:bCs/>
                <w:sz w:val="26"/>
                <w:szCs w:val="26"/>
                <w:rtl/>
              </w:rPr>
            </w:pPr>
            <w:bookmarkStart w:id="2" w:name="FirstLawyer"/>
            <w:r w:rsidRPr="001E3053">
              <w:rPr>
                <w:rFonts w:ascii="Arial" w:hAnsi="Arial"/>
                <w:b/>
                <w:bCs/>
                <w:sz w:val="26"/>
                <w:szCs w:val="26"/>
                <w:rtl/>
              </w:rPr>
              <w:t>ה</w:t>
            </w:r>
            <w:r w:rsidRPr="001E3053">
              <w:rPr>
                <w:rFonts w:hint="cs"/>
                <w:rtl/>
              </w:rPr>
              <w:t>נאשם</w:t>
            </w:r>
          </w:p>
        </w:tc>
        <w:tc>
          <w:tcPr>
            <w:tcW w:w="5737" w:type="dxa"/>
            <w:shd w:val="clear" w:color="auto" w:fill="auto"/>
          </w:tcPr>
          <w:p w14:paraId="499A8319" w14:textId="77777777" w:rsidR="00CA7CF6" w:rsidRPr="001E3053" w:rsidRDefault="00CA7CF6" w:rsidP="001E3053">
            <w:pPr>
              <w:jc w:val="both"/>
              <w:rPr>
                <w:b/>
                <w:bCs/>
                <w:sz w:val="26"/>
                <w:szCs w:val="26"/>
              </w:rPr>
            </w:pPr>
            <w:r w:rsidRPr="001E3053">
              <w:rPr>
                <w:rFonts w:hint="cs"/>
                <w:rtl/>
              </w:rPr>
              <w:t>עמאר מצרי</w:t>
            </w:r>
            <w:r w:rsidRPr="001E3053">
              <w:rPr>
                <w:b/>
                <w:bCs/>
                <w:sz w:val="26"/>
                <w:szCs w:val="26"/>
                <w:rtl/>
              </w:rPr>
              <w:t xml:space="preserve"> ת.ז. </w:t>
            </w:r>
            <w:r w:rsidR="001E3053">
              <w:rPr>
                <w:b/>
                <w:bCs/>
                <w:sz w:val="26"/>
                <w:szCs w:val="26"/>
              </w:rPr>
              <w:t>xxxxxxxxx</w:t>
            </w:r>
          </w:p>
          <w:p w14:paraId="47A42402" w14:textId="77777777" w:rsidR="00CA7CF6" w:rsidRPr="001E3053" w:rsidRDefault="00CA7CF6" w:rsidP="001E3053">
            <w:pPr>
              <w:jc w:val="both"/>
              <w:rPr>
                <w:sz w:val="26"/>
                <w:szCs w:val="26"/>
              </w:rPr>
            </w:pPr>
            <w:r w:rsidRPr="001E3053">
              <w:rPr>
                <w:sz w:val="26"/>
                <w:szCs w:val="26"/>
                <w:rtl/>
              </w:rPr>
              <w:t xml:space="preserve">ע"י ב"כ עו"ד נס בן נתן </w:t>
            </w:r>
          </w:p>
        </w:tc>
      </w:tr>
    </w:tbl>
    <w:p w14:paraId="2C77A48F" w14:textId="77777777" w:rsidR="00E23D8B" w:rsidRDefault="00E23D8B" w:rsidP="00CA7CF6">
      <w:pPr>
        <w:rPr>
          <w:rtl/>
        </w:rPr>
      </w:pPr>
      <w:bookmarkStart w:id="3" w:name="LawTable"/>
      <w:bookmarkEnd w:id="2"/>
      <w:bookmarkEnd w:id="3"/>
    </w:p>
    <w:p w14:paraId="04F0BB20" w14:textId="77777777" w:rsidR="00E23D8B" w:rsidRPr="00E23D8B" w:rsidRDefault="00E23D8B" w:rsidP="00E23D8B">
      <w:pPr>
        <w:spacing w:after="120" w:line="240" w:lineRule="exact"/>
        <w:ind w:left="283" w:hanging="283"/>
        <w:jc w:val="both"/>
        <w:rPr>
          <w:rFonts w:ascii="FrankRuehl" w:hAnsi="FrankRuehl" w:cs="FrankRuehl"/>
          <w:rtl/>
        </w:rPr>
      </w:pPr>
    </w:p>
    <w:p w14:paraId="22475E71" w14:textId="77777777" w:rsidR="00E23D8B" w:rsidRPr="00E23D8B" w:rsidRDefault="00E23D8B" w:rsidP="00E23D8B">
      <w:pPr>
        <w:spacing w:after="120" w:line="240" w:lineRule="exact"/>
        <w:ind w:left="283" w:hanging="283"/>
        <w:jc w:val="both"/>
        <w:rPr>
          <w:rFonts w:ascii="FrankRuehl" w:hAnsi="FrankRuehl" w:cs="FrankRuehl"/>
          <w:rtl/>
        </w:rPr>
      </w:pPr>
      <w:r w:rsidRPr="00E23D8B">
        <w:rPr>
          <w:rFonts w:ascii="FrankRuehl" w:hAnsi="FrankRuehl" w:cs="FrankRuehl"/>
          <w:rtl/>
        </w:rPr>
        <w:t xml:space="preserve">חקיקה שאוזכרה: </w:t>
      </w:r>
    </w:p>
    <w:p w14:paraId="26FEE826" w14:textId="77777777" w:rsidR="00E23D8B" w:rsidRPr="00E23D8B" w:rsidRDefault="00E23D8B" w:rsidP="00E23D8B">
      <w:pPr>
        <w:spacing w:after="120" w:line="240" w:lineRule="exact"/>
        <w:ind w:left="283" w:hanging="283"/>
        <w:jc w:val="both"/>
        <w:rPr>
          <w:rFonts w:ascii="FrankRuehl" w:hAnsi="FrankRuehl" w:cs="FrankRuehl"/>
          <w:rtl/>
        </w:rPr>
      </w:pPr>
      <w:hyperlink r:id="rId7" w:history="1">
        <w:r w:rsidRPr="00E23D8B">
          <w:rPr>
            <w:rFonts w:ascii="FrankRuehl" w:hAnsi="FrankRuehl" w:cs="FrankRuehl"/>
            <w:color w:val="0000FF"/>
            <w:u w:val="single"/>
            <w:rtl/>
          </w:rPr>
          <w:t>חוק העונשין, תשל"ז-1977</w:t>
        </w:r>
      </w:hyperlink>
      <w:r w:rsidRPr="00E23D8B">
        <w:rPr>
          <w:rFonts w:ascii="FrankRuehl" w:hAnsi="FrankRuehl" w:cs="FrankRuehl"/>
          <w:rtl/>
        </w:rPr>
        <w:t xml:space="preserve">: סע'  </w:t>
      </w:r>
      <w:hyperlink r:id="rId8" w:history="1">
        <w:r w:rsidRPr="00E23D8B">
          <w:rPr>
            <w:rFonts w:ascii="FrankRuehl" w:hAnsi="FrankRuehl" w:cs="FrankRuehl"/>
            <w:color w:val="0000FF"/>
            <w:u w:val="single"/>
            <w:rtl/>
          </w:rPr>
          <w:t>40ג(א)</w:t>
        </w:r>
      </w:hyperlink>
      <w:r w:rsidRPr="00E23D8B">
        <w:rPr>
          <w:rFonts w:ascii="FrankRuehl" w:hAnsi="FrankRuehl" w:cs="FrankRuehl"/>
          <w:rtl/>
        </w:rPr>
        <w:t xml:space="preserve">, </w:t>
      </w:r>
      <w:hyperlink r:id="rId9" w:history="1">
        <w:r w:rsidRPr="00E23D8B">
          <w:rPr>
            <w:rFonts w:ascii="FrankRuehl" w:hAnsi="FrankRuehl" w:cs="FrankRuehl"/>
            <w:color w:val="0000FF"/>
            <w:u w:val="single"/>
            <w:rtl/>
          </w:rPr>
          <w:t>40ט</w:t>
        </w:r>
      </w:hyperlink>
      <w:r w:rsidRPr="00E23D8B">
        <w:rPr>
          <w:rFonts w:ascii="FrankRuehl" w:hAnsi="FrankRuehl" w:cs="FrankRuehl"/>
          <w:rtl/>
        </w:rPr>
        <w:t xml:space="preserve">, </w:t>
      </w:r>
      <w:hyperlink r:id="rId10" w:history="1">
        <w:r w:rsidRPr="00E23D8B">
          <w:rPr>
            <w:rFonts w:ascii="FrankRuehl" w:hAnsi="FrankRuehl" w:cs="FrankRuehl"/>
            <w:color w:val="0000FF"/>
            <w:u w:val="single"/>
            <w:rtl/>
          </w:rPr>
          <w:t>51ב(ב1)(1)</w:t>
        </w:r>
      </w:hyperlink>
      <w:r w:rsidRPr="00E23D8B">
        <w:rPr>
          <w:rFonts w:ascii="FrankRuehl" w:hAnsi="FrankRuehl" w:cs="FrankRuehl"/>
          <w:rtl/>
        </w:rPr>
        <w:t xml:space="preserve">, </w:t>
      </w:r>
      <w:hyperlink r:id="rId11" w:history="1">
        <w:r w:rsidRPr="00E23D8B">
          <w:rPr>
            <w:rFonts w:ascii="FrankRuehl" w:hAnsi="FrankRuehl" w:cs="FrankRuehl"/>
            <w:color w:val="0000FF"/>
            <w:u w:val="single"/>
            <w:rtl/>
          </w:rPr>
          <w:t>144</w:t>
        </w:r>
      </w:hyperlink>
      <w:r w:rsidRPr="00E23D8B">
        <w:rPr>
          <w:rFonts w:ascii="FrankRuehl" w:hAnsi="FrankRuehl" w:cs="FrankRuehl"/>
          <w:rtl/>
        </w:rPr>
        <w:t xml:space="preserve">, </w:t>
      </w:r>
      <w:hyperlink r:id="rId12" w:history="1">
        <w:r w:rsidRPr="00E23D8B">
          <w:rPr>
            <w:rFonts w:ascii="FrankRuehl" w:hAnsi="FrankRuehl" w:cs="FrankRuehl"/>
            <w:color w:val="0000FF"/>
            <w:u w:val="single"/>
            <w:rtl/>
          </w:rPr>
          <w:t>144(א)</w:t>
        </w:r>
      </w:hyperlink>
      <w:r w:rsidRPr="00E23D8B">
        <w:rPr>
          <w:rFonts w:ascii="FrankRuehl" w:hAnsi="FrankRuehl" w:cs="FrankRuehl"/>
          <w:rtl/>
        </w:rPr>
        <w:t xml:space="preserve">, </w:t>
      </w:r>
      <w:hyperlink r:id="rId13" w:history="1">
        <w:r w:rsidRPr="00E23D8B">
          <w:rPr>
            <w:rFonts w:ascii="FrankRuehl" w:hAnsi="FrankRuehl" w:cs="FrankRuehl"/>
            <w:color w:val="0000FF"/>
            <w:u w:val="single"/>
            <w:rtl/>
          </w:rPr>
          <w:t>144(ב)</w:t>
        </w:r>
      </w:hyperlink>
      <w:r w:rsidRPr="00E23D8B">
        <w:rPr>
          <w:rFonts w:ascii="FrankRuehl" w:hAnsi="FrankRuehl" w:cs="FrankRuehl"/>
          <w:rtl/>
        </w:rPr>
        <w:t xml:space="preserve">, </w:t>
      </w:r>
      <w:hyperlink r:id="rId14" w:history="1">
        <w:r w:rsidRPr="00E23D8B">
          <w:rPr>
            <w:rFonts w:ascii="FrankRuehl" w:hAnsi="FrankRuehl" w:cs="FrankRuehl"/>
            <w:color w:val="0000FF"/>
            <w:u w:val="single"/>
            <w:rtl/>
          </w:rPr>
          <w:t>144(ג)</w:t>
        </w:r>
      </w:hyperlink>
      <w:r w:rsidRPr="00E23D8B">
        <w:rPr>
          <w:rFonts w:ascii="FrankRuehl" w:hAnsi="FrankRuehl" w:cs="FrankRuehl"/>
          <w:rtl/>
        </w:rPr>
        <w:t xml:space="preserve">, </w:t>
      </w:r>
      <w:hyperlink r:id="rId15" w:history="1">
        <w:r w:rsidRPr="00E23D8B">
          <w:rPr>
            <w:rFonts w:ascii="FrankRuehl" w:hAnsi="FrankRuehl" w:cs="FrankRuehl"/>
            <w:color w:val="0000FF"/>
            <w:u w:val="single"/>
            <w:rtl/>
          </w:rPr>
          <w:t>40יא</w:t>
        </w:r>
      </w:hyperlink>
      <w:r w:rsidRPr="00E23D8B">
        <w:rPr>
          <w:rFonts w:ascii="FrankRuehl" w:hAnsi="FrankRuehl" w:cs="FrankRuehl"/>
          <w:rtl/>
        </w:rPr>
        <w:t xml:space="preserve">, </w:t>
      </w:r>
      <w:hyperlink r:id="rId16" w:history="1">
        <w:r w:rsidRPr="00E23D8B">
          <w:rPr>
            <w:rFonts w:ascii="FrankRuehl" w:hAnsi="FrankRuehl" w:cs="FrankRuehl"/>
            <w:color w:val="0000FF"/>
            <w:u w:val="single"/>
            <w:rtl/>
          </w:rPr>
          <w:t>40יב</w:t>
        </w:r>
      </w:hyperlink>
      <w:r w:rsidRPr="00E23D8B">
        <w:rPr>
          <w:rFonts w:ascii="FrankRuehl" w:hAnsi="FrankRuehl" w:cs="FrankRuehl"/>
          <w:rtl/>
        </w:rPr>
        <w:t xml:space="preserve">, </w:t>
      </w:r>
      <w:hyperlink r:id="rId17" w:history="1">
        <w:r w:rsidRPr="00E23D8B">
          <w:rPr>
            <w:rFonts w:ascii="FrankRuehl" w:hAnsi="FrankRuehl" w:cs="FrankRuehl"/>
            <w:color w:val="0000FF"/>
            <w:u w:val="single"/>
            <w:rtl/>
          </w:rPr>
          <w:t>א'1 בפרק ו'</w:t>
        </w:r>
      </w:hyperlink>
    </w:p>
    <w:p w14:paraId="1C1CBE24" w14:textId="77777777" w:rsidR="00E23D8B" w:rsidRPr="00E23D8B" w:rsidRDefault="00E23D8B" w:rsidP="00E23D8B">
      <w:pPr>
        <w:spacing w:after="120" w:line="240" w:lineRule="exact"/>
        <w:ind w:left="283" w:hanging="283"/>
        <w:jc w:val="both"/>
        <w:rPr>
          <w:rFonts w:ascii="FrankRuehl" w:hAnsi="FrankRuehl" w:cs="FrankRuehl"/>
          <w:rtl/>
        </w:rPr>
      </w:pPr>
    </w:p>
    <w:p w14:paraId="15B737BC" w14:textId="77777777" w:rsidR="00E23D8B" w:rsidRPr="00E23D8B" w:rsidRDefault="00E23D8B" w:rsidP="00CA7CF6">
      <w:pPr>
        <w:rPr>
          <w:rtl/>
        </w:rPr>
      </w:pPr>
      <w:bookmarkStart w:id="4" w:name="LawTable_End"/>
      <w:bookmarkEnd w:id="4"/>
    </w:p>
    <w:p w14:paraId="30E1D3CE" w14:textId="77777777" w:rsidR="00E23D8B" w:rsidRPr="00E23D8B" w:rsidRDefault="00E23D8B" w:rsidP="00CA7CF6">
      <w:pPr>
        <w:rPr>
          <w:rtl/>
        </w:rPr>
      </w:pPr>
    </w:p>
    <w:p w14:paraId="62875BA1" w14:textId="77777777" w:rsidR="00CA7CF6" w:rsidRPr="00E23D8B" w:rsidRDefault="00CA7CF6" w:rsidP="00CA7CF6">
      <w:pPr>
        <w:rPr>
          <w:rtl/>
        </w:rPr>
      </w:pPr>
    </w:p>
    <w:tbl>
      <w:tblPr>
        <w:bidiVisual/>
        <w:tblW w:w="8820" w:type="dxa"/>
        <w:jc w:val="center"/>
        <w:tblLook w:val="01E0" w:firstRow="1" w:lastRow="1" w:firstColumn="1" w:lastColumn="1" w:noHBand="0" w:noVBand="0"/>
      </w:tblPr>
      <w:tblGrid>
        <w:gridCol w:w="8820"/>
      </w:tblGrid>
      <w:tr w:rsidR="00CA7CF6" w14:paraId="4B0F571B" w14:textId="77777777" w:rsidTr="001E3053">
        <w:trPr>
          <w:jc w:val="center"/>
        </w:trPr>
        <w:tc>
          <w:tcPr>
            <w:tcW w:w="8820" w:type="dxa"/>
            <w:shd w:val="clear" w:color="auto" w:fill="auto"/>
          </w:tcPr>
          <w:p w14:paraId="7DD30880" w14:textId="77777777" w:rsidR="001E3053" w:rsidRPr="001E3053" w:rsidRDefault="001E3053" w:rsidP="001E3053">
            <w:pPr>
              <w:bidi w:val="0"/>
              <w:spacing w:line="360" w:lineRule="auto"/>
              <w:jc w:val="center"/>
              <w:rPr>
                <w:rFonts w:ascii="Arial" w:hAnsi="Arial"/>
                <w:b/>
                <w:bCs/>
                <w:noProof w:val="0"/>
                <w:sz w:val="28"/>
                <w:szCs w:val="28"/>
                <w:u w:val="single"/>
                <w:rtl/>
              </w:rPr>
            </w:pPr>
            <w:bookmarkStart w:id="5" w:name="PsakDin" w:colFirst="0" w:colLast="0"/>
            <w:r w:rsidRPr="001E3053">
              <w:rPr>
                <w:rFonts w:ascii="Arial" w:hAnsi="Arial"/>
                <w:b/>
                <w:bCs/>
                <w:noProof w:val="0"/>
                <w:sz w:val="28"/>
                <w:szCs w:val="28"/>
                <w:u w:val="single"/>
                <w:rtl/>
              </w:rPr>
              <w:t>גזר דין</w:t>
            </w:r>
          </w:p>
          <w:p w14:paraId="23FA0E9D" w14:textId="77777777" w:rsidR="00CA7CF6" w:rsidRPr="001E3053" w:rsidRDefault="00CA7CF6" w:rsidP="001E3053">
            <w:pPr>
              <w:bidi w:val="0"/>
              <w:spacing w:line="360" w:lineRule="auto"/>
              <w:jc w:val="center"/>
              <w:rPr>
                <w:rFonts w:ascii="Arial" w:hAnsi="Arial"/>
                <w:b/>
                <w:bCs/>
                <w:noProof w:val="0"/>
                <w:sz w:val="28"/>
                <w:szCs w:val="28"/>
                <w:u w:val="single"/>
              </w:rPr>
            </w:pPr>
          </w:p>
        </w:tc>
      </w:tr>
      <w:bookmarkEnd w:id="5"/>
    </w:tbl>
    <w:p w14:paraId="268D77E2" w14:textId="77777777" w:rsidR="00CA7CF6" w:rsidRDefault="00CA7CF6" w:rsidP="00CA7CF6">
      <w:pPr>
        <w:spacing w:after="160" w:line="360" w:lineRule="auto"/>
        <w:jc w:val="both"/>
        <w:rPr>
          <w:sz w:val="26"/>
          <w:szCs w:val="26"/>
          <w:rtl/>
        </w:rPr>
      </w:pPr>
    </w:p>
    <w:p w14:paraId="1C3CE11C" w14:textId="77777777" w:rsidR="00CA7CF6" w:rsidRPr="00027308" w:rsidRDefault="00CA7CF6" w:rsidP="00CA7CF6">
      <w:pPr>
        <w:spacing w:after="160" w:line="360" w:lineRule="auto"/>
        <w:jc w:val="both"/>
        <w:rPr>
          <w:rFonts w:ascii="Arial" w:hAnsi="Arial"/>
          <w:noProof w:val="0"/>
          <w:sz w:val="26"/>
          <w:szCs w:val="26"/>
          <w:rtl/>
        </w:rPr>
      </w:pPr>
      <w:bookmarkStart w:id="6" w:name="ABSTRACT_START"/>
      <w:bookmarkEnd w:id="6"/>
      <w:r w:rsidRPr="00027308">
        <w:rPr>
          <w:rFonts w:hint="cs"/>
          <w:sz w:val="26"/>
          <w:szCs w:val="26"/>
          <w:rtl/>
        </w:rPr>
        <w:t>ביום 22.9.16 הוגש הסדר טיעון</w:t>
      </w:r>
      <w:r w:rsidRPr="00027308">
        <w:rPr>
          <w:rFonts w:ascii="Arial" w:hAnsi="Arial" w:hint="cs"/>
          <w:noProof w:val="0"/>
          <w:sz w:val="26"/>
          <w:szCs w:val="26"/>
          <w:rtl/>
        </w:rPr>
        <w:t xml:space="preserve"> בעניינו של הנאשם ועמו כתב אישום מתוקן (אלו נקלטו בנט-המשפט </w:t>
      </w:r>
      <w:r w:rsidRPr="00027308">
        <w:rPr>
          <w:rFonts w:hint="cs"/>
          <w:sz w:val="26"/>
          <w:szCs w:val="26"/>
          <w:rtl/>
        </w:rPr>
        <w:t>ביום 23.9.16)</w:t>
      </w:r>
      <w:r w:rsidRPr="00027308">
        <w:rPr>
          <w:rFonts w:ascii="Arial" w:hAnsi="Arial" w:hint="cs"/>
          <w:noProof w:val="0"/>
          <w:sz w:val="26"/>
          <w:szCs w:val="26"/>
          <w:rtl/>
        </w:rPr>
        <w:t xml:space="preserve">. באותו המועד הורשע הנאשם על סמך הודאתו באחזקת נשק, עבירה לפי </w:t>
      </w:r>
      <w:hyperlink r:id="rId18" w:history="1">
        <w:r w:rsidR="00B127F9" w:rsidRPr="00B127F9">
          <w:rPr>
            <w:rFonts w:ascii="Arial" w:hAnsi="Arial"/>
            <w:noProof w:val="0"/>
            <w:color w:val="0000FF"/>
            <w:sz w:val="26"/>
            <w:szCs w:val="26"/>
            <w:u w:val="single"/>
            <w:rtl/>
          </w:rPr>
          <w:t>סעיף 144(א)</w:t>
        </w:r>
      </w:hyperlink>
      <w:r>
        <w:rPr>
          <w:rFonts w:ascii="Arial" w:hAnsi="Arial" w:hint="cs"/>
          <w:noProof w:val="0"/>
          <w:sz w:val="26"/>
          <w:szCs w:val="26"/>
          <w:rtl/>
        </w:rPr>
        <w:t xml:space="preserve"> רישא</w:t>
      </w:r>
      <w:r w:rsidRPr="00027308">
        <w:rPr>
          <w:rFonts w:ascii="Arial" w:hAnsi="Arial" w:hint="cs"/>
          <w:noProof w:val="0"/>
          <w:sz w:val="26"/>
          <w:szCs w:val="26"/>
          <w:rtl/>
        </w:rPr>
        <w:t>, ב</w:t>
      </w:r>
      <w:hyperlink r:id="rId19" w:history="1">
        <w:r w:rsidR="001E3053" w:rsidRPr="001E3053">
          <w:rPr>
            <w:rFonts w:ascii="Arial" w:hAnsi="Arial"/>
            <w:noProof w:val="0"/>
            <w:color w:val="0000FF"/>
            <w:sz w:val="26"/>
            <w:szCs w:val="26"/>
            <w:u w:val="single"/>
            <w:rtl/>
          </w:rPr>
          <w:t>חוק העונשין</w:t>
        </w:r>
      </w:hyperlink>
      <w:r w:rsidRPr="00027308">
        <w:rPr>
          <w:rFonts w:ascii="Arial" w:hAnsi="Arial" w:hint="cs"/>
          <w:noProof w:val="0"/>
          <w:sz w:val="26"/>
          <w:szCs w:val="26"/>
          <w:rtl/>
        </w:rPr>
        <w:t>, תשל"ז-1977 (להלן: "</w:t>
      </w:r>
      <w:r w:rsidRPr="00027308">
        <w:rPr>
          <w:rFonts w:ascii="Arial" w:hAnsi="Arial" w:hint="cs"/>
          <w:b/>
          <w:bCs/>
          <w:noProof w:val="0"/>
          <w:sz w:val="26"/>
          <w:szCs w:val="26"/>
          <w:rtl/>
        </w:rPr>
        <w:t>החוק</w:t>
      </w:r>
      <w:r w:rsidRPr="00027308">
        <w:rPr>
          <w:rFonts w:ascii="Arial" w:hAnsi="Arial" w:hint="cs"/>
          <w:noProof w:val="0"/>
          <w:sz w:val="26"/>
          <w:szCs w:val="26"/>
          <w:rtl/>
        </w:rPr>
        <w:t>"</w:t>
      </w:r>
      <w:r>
        <w:rPr>
          <w:rFonts w:ascii="Arial" w:hAnsi="Arial" w:hint="cs"/>
          <w:noProof w:val="0"/>
          <w:sz w:val="26"/>
          <w:szCs w:val="26"/>
          <w:rtl/>
        </w:rPr>
        <w:t xml:space="preserve"> או "</w:t>
      </w:r>
      <w:r w:rsidRPr="00D109A2">
        <w:rPr>
          <w:rFonts w:ascii="Arial" w:hAnsi="Arial" w:hint="cs"/>
          <w:b/>
          <w:bCs/>
          <w:noProof w:val="0"/>
          <w:sz w:val="26"/>
          <w:szCs w:val="26"/>
          <w:rtl/>
        </w:rPr>
        <w:t>חוק העונשין</w:t>
      </w:r>
      <w:r>
        <w:rPr>
          <w:rFonts w:ascii="Arial" w:hAnsi="Arial" w:hint="cs"/>
          <w:noProof w:val="0"/>
          <w:sz w:val="26"/>
          <w:szCs w:val="26"/>
          <w:rtl/>
        </w:rPr>
        <w:t>"</w:t>
      </w:r>
      <w:r w:rsidRPr="00027308">
        <w:rPr>
          <w:rFonts w:ascii="Arial" w:hAnsi="Arial" w:hint="cs"/>
          <w:noProof w:val="0"/>
          <w:sz w:val="26"/>
          <w:szCs w:val="26"/>
          <w:rtl/>
        </w:rPr>
        <w:t>)</w:t>
      </w:r>
      <w:r>
        <w:rPr>
          <w:rFonts w:ascii="Arial" w:hAnsi="Arial" w:hint="cs"/>
          <w:noProof w:val="0"/>
          <w:sz w:val="26"/>
          <w:szCs w:val="26"/>
          <w:rtl/>
        </w:rPr>
        <w:t>.</w:t>
      </w:r>
    </w:p>
    <w:p w14:paraId="6694B800"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tl/>
        </w:rPr>
      </w:pPr>
      <w:r w:rsidRPr="001F2BA2">
        <w:rPr>
          <w:rFonts w:ascii="Arial" w:hAnsi="Arial"/>
          <w:sz w:val="26"/>
          <w:szCs w:val="26"/>
          <w:rtl/>
        </w:rPr>
        <w:t>המ</w:t>
      </w:r>
      <w:r>
        <w:rPr>
          <w:rFonts w:ascii="Arial" w:hAnsi="Arial"/>
          <w:sz w:val="26"/>
          <w:szCs w:val="26"/>
          <w:rtl/>
        </w:rPr>
        <w:t>סכת העובדתית שביסוד הרשעת הנאש</w:t>
      </w:r>
      <w:r w:rsidRPr="001F2BA2">
        <w:rPr>
          <w:rFonts w:ascii="Arial" w:hAnsi="Arial"/>
          <w:sz w:val="26"/>
          <w:szCs w:val="26"/>
          <w:rtl/>
        </w:rPr>
        <w:t>ם, כפי שפורטה בכתב האישום המתוק</w:t>
      </w:r>
      <w:r w:rsidRPr="001F2BA2">
        <w:rPr>
          <w:rFonts w:ascii="Arial" w:hAnsi="Arial" w:hint="cs"/>
          <w:sz w:val="26"/>
          <w:szCs w:val="26"/>
          <w:rtl/>
        </w:rPr>
        <w:t>ן</w:t>
      </w:r>
      <w:r w:rsidRPr="001F2BA2">
        <w:rPr>
          <w:rFonts w:ascii="Arial" w:hAnsi="Arial"/>
          <w:sz w:val="26"/>
          <w:szCs w:val="26"/>
          <w:rtl/>
        </w:rPr>
        <w:t xml:space="preserve"> הינה כלהלן: </w:t>
      </w:r>
      <w:r w:rsidRPr="001F2BA2">
        <w:rPr>
          <w:rFonts w:ascii="Arial" w:hAnsi="Arial" w:hint="cs"/>
          <w:sz w:val="26"/>
          <w:szCs w:val="26"/>
          <w:rtl/>
        </w:rPr>
        <w:t>ביום 12.10.13, בשעה 22:30 או בסמוך לכך, נסע הנאשם ברכב אשר היה בשימושו באותה העת</w:t>
      </w:r>
      <w:r>
        <w:rPr>
          <w:rFonts w:ascii="Arial" w:hAnsi="Arial" w:hint="cs"/>
          <w:sz w:val="26"/>
          <w:szCs w:val="26"/>
          <w:rtl/>
        </w:rPr>
        <w:t>,</w:t>
      </w:r>
      <w:r w:rsidRPr="001F2BA2">
        <w:rPr>
          <w:rFonts w:ascii="Arial" w:hAnsi="Arial" w:hint="cs"/>
          <w:sz w:val="26"/>
          <w:szCs w:val="26"/>
          <w:rtl/>
        </w:rPr>
        <w:t xml:space="preserve"> מסוג מזדה 3, מס' רישיון 71-098-16</w:t>
      </w:r>
      <w:r>
        <w:rPr>
          <w:rFonts w:ascii="Arial" w:hAnsi="Arial" w:hint="cs"/>
          <w:sz w:val="26"/>
          <w:szCs w:val="26"/>
          <w:rtl/>
        </w:rPr>
        <w:t>,</w:t>
      </w:r>
      <w:r w:rsidRPr="001F2BA2">
        <w:rPr>
          <w:rFonts w:ascii="Arial" w:hAnsi="Arial" w:hint="cs"/>
          <w:sz w:val="26"/>
          <w:szCs w:val="26"/>
          <w:rtl/>
        </w:rPr>
        <w:t xml:space="preserve"> בכביש מספר 1</w:t>
      </w:r>
      <w:r>
        <w:rPr>
          <w:rFonts w:ascii="Arial" w:hAnsi="Arial" w:hint="cs"/>
          <w:sz w:val="26"/>
          <w:szCs w:val="26"/>
          <w:rtl/>
        </w:rPr>
        <w:t>,</w:t>
      </w:r>
      <w:r w:rsidRPr="001F2BA2">
        <w:rPr>
          <w:rFonts w:ascii="Arial" w:hAnsi="Arial" w:hint="cs"/>
          <w:sz w:val="26"/>
          <w:szCs w:val="26"/>
          <w:rtl/>
        </w:rPr>
        <w:t xml:space="preserve"> בסמוך למחלף </w:t>
      </w:r>
      <w:r w:rsidRPr="00ED16BD">
        <w:rPr>
          <w:rFonts w:ascii="Arial" w:hAnsi="Arial" w:hint="cs"/>
          <w:sz w:val="26"/>
          <w:szCs w:val="26"/>
          <w:rtl/>
        </w:rPr>
        <w:t>הראל</w:t>
      </w:r>
      <w:r>
        <w:rPr>
          <w:rFonts w:ascii="Arial" w:hAnsi="Arial" w:hint="cs"/>
          <w:sz w:val="26"/>
          <w:szCs w:val="26"/>
          <w:rtl/>
        </w:rPr>
        <w:t>. במהלך הנסיעה ישב הנאשם במושב ה</w:t>
      </w:r>
      <w:r w:rsidRPr="00ED16BD">
        <w:rPr>
          <w:rFonts w:ascii="Arial" w:hAnsi="Arial" w:hint="cs"/>
          <w:sz w:val="26"/>
          <w:szCs w:val="26"/>
          <w:rtl/>
        </w:rPr>
        <w:t xml:space="preserve">סמוך לנהג. באותה העת החזיק הנאשם מתחת לשטיח שמתחת למושב אקדח חצי אוטומטי מסוג סטאר, וזאת כאשר הנאשם לא היה בעל רישיון להחזיק את הנשק. </w:t>
      </w:r>
    </w:p>
    <w:p w14:paraId="7263C71E" w14:textId="77777777" w:rsidR="00CA7CF6" w:rsidRPr="00ED16BD" w:rsidRDefault="00CA7CF6" w:rsidP="00CA7CF6">
      <w:pPr>
        <w:spacing w:after="160" w:line="360" w:lineRule="auto"/>
        <w:ind w:left="425"/>
        <w:jc w:val="both"/>
        <w:rPr>
          <w:noProof w:val="0"/>
          <w:sz w:val="26"/>
          <w:szCs w:val="26"/>
          <w:rtl/>
        </w:rPr>
      </w:pPr>
      <w:bookmarkStart w:id="7" w:name="ABSTRACT_END"/>
      <w:bookmarkEnd w:id="7"/>
      <w:r>
        <w:rPr>
          <w:rFonts w:ascii="Arial" w:hAnsi="Arial" w:hint="cs"/>
          <w:noProof w:val="0"/>
          <w:sz w:val="26"/>
          <w:szCs w:val="26"/>
          <w:rtl/>
        </w:rPr>
        <w:t xml:space="preserve">על פי האישום, </w:t>
      </w:r>
      <w:r w:rsidRPr="00ED16BD">
        <w:rPr>
          <w:rFonts w:ascii="Arial" w:hAnsi="Arial" w:hint="cs"/>
          <w:noProof w:val="0"/>
          <w:sz w:val="26"/>
          <w:szCs w:val="26"/>
          <w:rtl/>
        </w:rPr>
        <w:t>במעשיו המתוארים לעיל החזיק הנאשם נשק בלא רשות על פי דין להחזקתו.</w:t>
      </w:r>
    </w:p>
    <w:p w14:paraId="78DAB20C" w14:textId="77777777" w:rsidR="00CA7CF6" w:rsidRPr="00ED16BD" w:rsidRDefault="00CA7CF6" w:rsidP="00CA7CF6">
      <w:pPr>
        <w:spacing w:line="360" w:lineRule="auto"/>
        <w:jc w:val="both"/>
        <w:rPr>
          <w:rFonts w:ascii="Arial" w:hAnsi="Arial"/>
          <w:b/>
          <w:bCs/>
          <w:noProof w:val="0"/>
          <w:sz w:val="26"/>
          <w:szCs w:val="26"/>
          <w:u w:val="single"/>
          <w:rtl/>
        </w:rPr>
      </w:pPr>
      <w:r>
        <w:rPr>
          <w:rFonts w:ascii="Arial" w:hAnsi="Arial"/>
          <w:b/>
          <w:bCs/>
          <w:noProof w:val="0"/>
          <w:sz w:val="26"/>
          <w:szCs w:val="26"/>
          <w:u w:val="single"/>
          <w:rtl/>
        </w:rPr>
        <w:t>תסקיר</w:t>
      </w:r>
      <w:r w:rsidRPr="00ED16BD">
        <w:rPr>
          <w:rFonts w:ascii="Arial" w:hAnsi="Arial"/>
          <w:b/>
          <w:bCs/>
          <w:noProof w:val="0"/>
          <w:sz w:val="26"/>
          <w:szCs w:val="26"/>
          <w:u w:val="single"/>
          <w:rtl/>
        </w:rPr>
        <w:t xml:space="preserve"> שירות המבחן</w:t>
      </w:r>
      <w:r>
        <w:rPr>
          <w:rFonts w:ascii="Arial" w:hAnsi="Arial" w:hint="cs"/>
          <w:b/>
          <w:bCs/>
          <w:noProof w:val="0"/>
          <w:sz w:val="26"/>
          <w:szCs w:val="26"/>
          <w:u w:val="single"/>
          <w:rtl/>
        </w:rPr>
        <w:t xml:space="preserve"> וחוות דעת הממונה על עבודות שירות</w:t>
      </w:r>
    </w:p>
    <w:p w14:paraId="78ED62C7"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lastRenderedPageBreak/>
        <w:t xml:space="preserve">הנאשם, בן 39, </w:t>
      </w:r>
      <w:r w:rsidRPr="00ED16BD">
        <w:rPr>
          <w:rFonts w:ascii="Arial" w:hAnsi="Arial" w:hint="cs"/>
          <w:sz w:val="26"/>
          <w:szCs w:val="26"/>
          <w:rtl/>
        </w:rPr>
        <w:t xml:space="preserve">יליד עזה, עבר להתגורר בישראל עם משפחת מוצאו בהיותו בן 12, נשוי בפעם הרביעית ואב לשלושה ילדים עמם הוא מתגורר ברמלה. בתסקיר תואר כי אשתו הנוכחית בהיריון </w:t>
      </w:r>
      <w:r>
        <w:rPr>
          <w:rFonts w:ascii="Arial" w:hAnsi="Arial" w:hint="cs"/>
          <w:sz w:val="26"/>
          <w:szCs w:val="26"/>
          <w:rtl/>
        </w:rPr>
        <w:t>(אציין כי</w:t>
      </w:r>
      <w:r w:rsidRPr="00ED16BD">
        <w:rPr>
          <w:rFonts w:ascii="Arial" w:hAnsi="Arial" w:hint="cs"/>
          <w:sz w:val="26"/>
          <w:szCs w:val="26"/>
          <w:rtl/>
        </w:rPr>
        <w:t xml:space="preserve"> בדיון לפניי נודע </w:t>
      </w:r>
      <w:r>
        <w:rPr>
          <w:rFonts w:ascii="Arial" w:hAnsi="Arial" w:hint="cs"/>
          <w:sz w:val="26"/>
          <w:szCs w:val="26"/>
          <w:rtl/>
        </w:rPr>
        <w:t>ש</w:t>
      </w:r>
      <w:r w:rsidRPr="00ED16BD">
        <w:rPr>
          <w:rFonts w:ascii="Arial" w:hAnsi="Arial" w:hint="cs"/>
          <w:sz w:val="26"/>
          <w:szCs w:val="26"/>
          <w:rtl/>
        </w:rPr>
        <w:t>ילדה</w:t>
      </w:r>
      <w:r>
        <w:rPr>
          <w:rFonts w:ascii="Arial" w:hAnsi="Arial" w:hint="cs"/>
          <w:sz w:val="26"/>
          <w:szCs w:val="26"/>
          <w:rtl/>
        </w:rPr>
        <w:t>,</w:t>
      </w:r>
      <w:r w:rsidRPr="00ED16BD">
        <w:rPr>
          <w:rFonts w:ascii="Arial" w:hAnsi="Arial" w:hint="cs"/>
          <w:sz w:val="26"/>
          <w:szCs w:val="26"/>
          <w:rtl/>
        </w:rPr>
        <w:t xml:space="preserve"> ולה ולנאשם תאומות</w:t>
      </w:r>
      <w:r>
        <w:rPr>
          <w:rFonts w:ascii="Arial" w:hAnsi="Arial" w:hint="cs"/>
          <w:sz w:val="26"/>
          <w:szCs w:val="26"/>
          <w:rtl/>
        </w:rPr>
        <w:t>)</w:t>
      </w:r>
      <w:r w:rsidRPr="00ED16BD">
        <w:rPr>
          <w:rFonts w:ascii="Arial" w:hAnsi="Arial" w:hint="cs"/>
          <w:sz w:val="26"/>
          <w:szCs w:val="26"/>
          <w:rtl/>
        </w:rPr>
        <w:t>. הנאשם הוא שותף ובעלים של מספר עסקים: קצביה, עבודות גמר, וחברה לניהול כ</w:t>
      </w:r>
      <w:r>
        <w:rPr>
          <w:rFonts w:ascii="Arial" w:hAnsi="Arial" w:hint="cs"/>
          <w:sz w:val="26"/>
          <w:szCs w:val="26"/>
          <w:rtl/>
        </w:rPr>
        <w:t>ו</w:t>
      </w:r>
      <w:r w:rsidRPr="00ED16BD">
        <w:rPr>
          <w:rFonts w:ascii="Arial" w:hAnsi="Arial" w:hint="cs"/>
          <w:sz w:val="26"/>
          <w:szCs w:val="26"/>
          <w:rtl/>
        </w:rPr>
        <w:t>ח אדם.</w:t>
      </w:r>
    </w:p>
    <w:p w14:paraId="45F36634"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ED16BD">
        <w:rPr>
          <w:rFonts w:ascii="Arial" w:hAnsi="Arial" w:hint="cs"/>
          <w:sz w:val="26"/>
          <w:szCs w:val="26"/>
          <w:rtl/>
        </w:rPr>
        <w:t>הוריו של הנאשם מתגוררים בלוד, והנאשם תיאר בפני שירות המבחן כי המעבר ללוד טמן בחובו קשיים משפחתיים, חברתיים וכלכליים, כאשר הוריו התקשו לספק לו ולתשעת אחיו הקטנים ממנו, מענים חומריים ורגשיים או להציב עבורם גבולות. לדבריו, מגוריהם בסביבה שולית ועבריינית השפיעה עליו ועל שניים מאחיו.</w:t>
      </w:r>
    </w:p>
    <w:p w14:paraId="25A4A0C0"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B848C9">
        <w:rPr>
          <w:rFonts w:ascii="Arial" w:hAnsi="Arial" w:hint="cs"/>
          <w:sz w:val="26"/>
          <w:szCs w:val="26"/>
          <w:rtl/>
        </w:rPr>
        <w:t xml:space="preserve">הנאשם סיים חמש שנות לימוד בעזה ולאחר המעבר ללוד החל לעבוד בקצביה כדי לסייע לפרנסת משפחתו. כן מסר, שבגיל 17 חבר לחברה שולית והחל לבצע עבירות פליליות בתחום של סחר ותיווך סמים. הנאשם ריצה שלוש תקופות מאסר. האחרונה מביניהם בין 2007 לבין 2010. הנאשם מסר, כי בתקופה זו עבר תהליך של שיקום אותו המשיך לאחר שחרורו ממאסר במסגרת המחלקה לשיקום האסיר, בלוד. </w:t>
      </w:r>
    </w:p>
    <w:p w14:paraId="37B7A0A5" w14:textId="77777777" w:rsidR="00CA7CF6" w:rsidRPr="00B848C9" w:rsidRDefault="00CA7CF6" w:rsidP="00CA7CF6">
      <w:pPr>
        <w:pStyle w:val="ListParagraph"/>
        <w:spacing w:after="160" w:line="360" w:lineRule="auto"/>
        <w:ind w:left="425"/>
        <w:contextualSpacing w:val="0"/>
        <w:jc w:val="both"/>
        <w:rPr>
          <w:rFonts w:ascii="Arial" w:hAnsi="Arial"/>
          <w:sz w:val="26"/>
          <w:szCs w:val="26"/>
        </w:rPr>
      </w:pPr>
      <w:r w:rsidRPr="00B848C9">
        <w:rPr>
          <w:rFonts w:ascii="Arial" w:hAnsi="Arial" w:hint="cs"/>
          <w:sz w:val="26"/>
          <w:szCs w:val="26"/>
          <w:rtl/>
        </w:rPr>
        <w:t>לאחר שחרורו עבד הנאשם כשכיר ובשש השנים האחרונות הקים עם אחיו את העסקים המצוינים לעיל. הנאשם מסר לשירות המבחן, כי לצורך הרחבת העסקים לווה כספים והביע חשש כי אם ייאסר לא יוכל לעמוד בתשלומי הלוואותיו.</w:t>
      </w:r>
    </w:p>
    <w:p w14:paraId="1A9AAAF1" w14:textId="77777777" w:rsidR="00CA7CF6" w:rsidRPr="00ED16B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ED16BD">
        <w:rPr>
          <w:rFonts w:ascii="Arial" w:hAnsi="Arial" w:hint="cs"/>
          <w:sz w:val="26"/>
          <w:szCs w:val="26"/>
          <w:rtl/>
        </w:rPr>
        <w:t>הנאשם תיאר, כי בשונה ממערכות היחסים הקודמות שלו, זוגיותו עם אשתו הנוכחית קרובה ותקינה.</w:t>
      </w:r>
    </w:p>
    <w:p w14:paraId="3A9CA09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03963">
        <w:rPr>
          <w:rFonts w:ascii="Arial" w:hAnsi="Arial" w:hint="cs"/>
          <w:sz w:val="26"/>
          <w:szCs w:val="26"/>
          <w:rtl/>
        </w:rPr>
        <w:t xml:space="preserve">לנאשם שש הרשעות קודמות, בין השנים 1999 </w:t>
      </w:r>
      <w:r w:rsidRPr="00103963">
        <w:rPr>
          <w:rFonts w:ascii="Arial" w:hAnsi="Arial"/>
          <w:sz w:val="26"/>
          <w:szCs w:val="26"/>
          <w:rtl/>
        </w:rPr>
        <w:t>–</w:t>
      </w:r>
      <w:r w:rsidRPr="00103963">
        <w:rPr>
          <w:rFonts w:ascii="Arial" w:hAnsi="Arial" w:hint="cs"/>
          <w:sz w:val="26"/>
          <w:szCs w:val="26"/>
          <w:rtl/>
        </w:rPr>
        <w:t xml:space="preserve"> 2007 בגין ביצוע עבירות מתחום הסמים, פקודת זכויות יוצרים, מרמה והפרעה לשוטר המילוי תפקידו. בנוסף קיים נגדו תיק מב"ד מיוני 2013 (274217-2013) </w:t>
      </w:r>
      <w:r>
        <w:rPr>
          <w:rFonts w:ascii="Arial" w:hAnsi="Arial" w:hint="cs"/>
          <w:sz w:val="26"/>
          <w:szCs w:val="26"/>
          <w:rtl/>
        </w:rPr>
        <w:t>בגין חשד לביצוע עבירות של גרימת מוות בכוונה תחילה, קשירת קשר לעשות פשע, וירי מנשק חם באזור מגורים. טרם הוגש כתב אישום בגין כך.</w:t>
      </w:r>
    </w:p>
    <w:p w14:paraId="25C98DCF"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על פי שירות המבחן, עת התייחס הנאשם לעבירה הנוכחית, הוא לקח אחריות על מעשיו והסביר כי נשא ברכבו אקדח, לא טעון וללא רישיון, נוכח תחושת איום ממשית לחייו ולחיי משפחתו, על רקע סכסוך עם אחרים שחשדו כי היה מעורב ברצח של מקורב אליהם. לדבריו, תיק המשטרה הפתוח נגדו מתייחס לחשדות אלה. עוד אמר, כי מספר ימים לפני ביצוע העבירה נרצח גיסו, על רקע הסכסוך המתואר, מה שחידד והעצים את תחושת האיום שחווה והמצוקה בה היה נתון. כיום, הוסיף, האיומים על חייו וחיי משפחתו פסקו. בפני שירות המבחן הביע הנאשם חרטה ואת ההבנה שמעשיו היו פסולים וכי היה עליו לפנות למשטרה לצורך הגנה.</w:t>
      </w:r>
    </w:p>
    <w:p w14:paraId="40520695"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lastRenderedPageBreak/>
        <w:t>הנאשם הופנה לאבחון השירות מספר פעמים, ובעבר (בשנת 2007) התרשם שירות המבחן מאדם אשר מנהל אורח חיים שולי ומתקשה לקחת אחריות על הדרך הבעייתית בה ניהל את חייו. על פי הנאשם, החל להשתמש בסמים מסוג קנאביס בגיל 18 והפסיק זאת לאחר 10 שנים לאחר שהבין את הנזק שהדבר גורם לו ולסביבתו. בשיחה עם שירות המבחן שלל צורך בטיפול בתחום. כן מסר שלוש בדיקות שתן שנמצאו נקיות מסמים.</w:t>
      </w:r>
    </w:p>
    <w:p w14:paraId="25D3477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הערכת שירות המבחן היתה, כי מעת שחרורו ממאסרו האחרון ועד לביצוע העבירה הנוכחית, הנאשם השקיע מאמצים רבים לתפקד באופן תקין ולהימנע ממעורבות שולית. שירות המבחן הבין את ביצוע העבירה על רקע מצוקה, חשש ואיום שחש לחייו וחיי משפחתו, תוך חזרה לדפוסי חשיבה והתנהגות שוליים המוכרים לו מהעבר, וכן שהתקשה לשקול את חומרת התנהגותו והשלכותיה. </w:t>
      </w:r>
    </w:p>
    <w:p w14:paraId="35686E3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שירות המבחן בחן את האפשרות לשלב את הנאשם במסגרת טיפול בשירות, אך תחילה הנאשם שלל אפשרות זאת, תוך שהדגיש את תפקודו התקין, השקעת משאביו במסגרת עבודתו ובמסגרת המשפחתית. משום זאת, בתסקירו הראשון, לא היה בידי שירות המבחן לבוא בהמלצה טיפולית בעניינו. </w:t>
      </w:r>
    </w:p>
    <w:p w14:paraId="0258848E" w14:textId="77777777" w:rsidR="00CA7CF6" w:rsidRPr="001C16E1" w:rsidRDefault="00CA7CF6" w:rsidP="00CA7CF6">
      <w:pPr>
        <w:spacing w:after="160" w:line="360" w:lineRule="auto"/>
        <w:ind w:left="360"/>
        <w:jc w:val="both"/>
        <w:rPr>
          <w:rFonts w:ascii="Arial" w:hAnsi="Arial"/>
          <w:sz w:val="26"/>
          <w:szCs w:val="26"/>
        </w:rPr>
      </w:pPr>
      <w:r>
        <w:rPr>
          <w:rFonts w:ascii="Arial" w:hAnsi="Arial" w:hint="cs"/>
          <w:sz w:val="26"/>
          <w:szCs w:val="26"/>
          <w:rtl/>
        </w:rPr>
        <w:t xml:space="preserve">עם זאת, </w:t>
      </w:r>
      <w:r w:rsidRPr="001C16E1">
        <w:rPr>
          <w:rFonts w:ascii="Arial" w:hAnsi="Arial" w:hint="cs"/>
          <w:sz w:val="26"/>
          <w:szCs w:val="26"/>
          <w:rtl/>
        </w:rPr>
        <w:t>שירות המבחן התרשם ממא</w:t>
      </w:r>
      <w:r>
        <w:rPr>
          <w:rFonts w:ascii="Arial" w:hAnsi="Arial" w:hint="cs"/>
          <w:sz w:val="26"/>
          <w:szCs w:val="26"/>
          <w:rtl/>
        </w:rPr>
        <w:t>מ</w:t>
      </w:r>
      <w:r w:rsidRPr="001C16E1">
        <w:rPr>
          <w:rFonts w:ascii="Arial" w:hAnsi="Arial" w:hint="cs"/>
          <w:sz w:val="26"/>
          <w:szCs w:val="26"/>
          <w:rtl/>
        </w:rPr>
        <w:t>ציו של הנאשם לנהל אורח חיים תקין בשנים האחרונות</w:t>
      </w:r>
      <w:r>
        <w:rPr>
          <w:rFonts w:ascii="Arial" w:hAnsi="Arial" w:hint="cs"/>
          <w:sz w:val="26"/>
          <w:szCs w:val="26"/>
          <w:rtl/>
        </w:rPr>
        <w:t>,</w:t>
      </w:r>
      <w:r w:rsidRPr="001C16E1">
        <w:rPr>
          <w:rFonts w:ascii="Arial" w:hAnsi="Arial" w:hint="cs"/>
          <w:sz w:val="26"/>
          <w:szCs w:val="26"/>
          <w:rtl/>
        </w:rPr>
        <w:t xml:space="preserve"> ועל מנת שלא לפגוע בתפקודו התעסוקתי</w:t>
      </w:r>
      <w:r>
        <w:rPr>
          <w:rFonts w:ascii="Arial" w:hAnsi="Arial" w:hint="cs"/>
          <w:sz w:val="26"/>
          <w:szCs w:val="26"/>
          <w:rtl/>
        </w:rPr>
        <w:t>,</w:t>
      </w:r>
      <w:r w:rsidRPr="001C16E1">
        <w:rPr>
          <w:rFonts w:ascii="Arial" w:hAnsi="Arial" w:hint="cs"/>
          <w:sz w:val="26"/>
          <w:szCs w:val="26"/>
          <w:rtl/>
        </w:rPr>
        <w:t xml:space="preserve"> הוא המליץ על ענישה קונקרטית של מאסר בעבודות שירות, שיבהיר לנאשם את חומרת מעשיו והשלכותיהם</w:t>
      </w:r>
      <w:r>
        <w:rPr>
          <w:rFonts w:ascii="Arial" w:hAnsi="Arial" w:hint="cs"/>
          <w:sz w:val="26"/>
          <w:szCs w:val="26"/>
          <w:rtl/>
        </w:rPr>
        <w:t>,</w:t>
      </w:r>
      <w:r w:rsidRPr="001C16E1">
        <w:rPr>
          <w:rFonts w:ascii="Arial" w:hAnsi="Arial" w:hint="cs"/>
          <w:sz w:val="26"/>
          <w:szCs w:val="26"/>
          <w:rtl/>
        </w:rPr>
        <w:t xml:space="preserve"> אך תאפשר לו להמשיך לפרנס את משפחתו ולעמוד במחויבו</w:t>
      </w:r>
      <w:r>
        <w:rPr>
          <w:rFonts w:ascii="Arial" w:hAnsi="Arial" w:hint="cs"/>
          <w:sz w:val="26"/>
          <w:szCs w:val="26"/>
          <w:rtl/>
        </w:rPr>
        <w:t>יו</w:t>
      </w:r>
      <w:r w:rsidRPr="001C16E1">
        <w:rPr>
          <w:rFonts w:ascii="Arial" w:hAnsi="Arial" w:hint="cs"/>
          <w:sz w:val="26"/>
          <w:szCs w:val="26"/>
          <w:rtl/>
        </w:rPr>
        <w:t xml:space="preserve">תיו הכספיות. כן המליץ שירות המבחן </w:t>
      </w:r>
      <w:r>
        <w:rPr>
          <w:rFonts w:ascii="Arial" w:hAnsi="Arial" w:hint="cs"/>
          <w:sz w:val="26"/>
          <w:szCs w:val="26"/>
          <w:rtl/>
        </w:rPr>
        <w:t>ש</w:t>
      </w:r>
      <w:r w:rsidRPr="001C16E1">
        <w:rPr>
          <w:rFonts w:ascii="Arial" w:hAnsi="Arial" w:hint="cs"/>
          <w:sz w:val="26"/>
          <w:szCs w:val="26"/>
          <w:rtl/>
        </w:rPr>
        <w:t>מצבו המתואר יילקח גם בעת קביעת תקופת ביצוע עבודות השירות.</w:t>
      </w:r>
    </w:p>
    <w:p w14:paraId="18E1EFE3"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בעדכון מאת שירות המבחן (מיום 31.1.17) נכתב, כי הנאשם יצר קשר עם שירות המבחן וביקש להיעזר בשירותו לצורך הליך טיפולי. בפגישה עמו, התרשם שירות המבחן, שהנאשם גילה הבנה ראשונית באשר לבעייתיות סביב אורח החיים שניהל לאורך תקופה ארוכה מחייו, לצד ההשפעה של המשך מגוריו בסביבה שולית, זאת אל מול המאמצים שעשה בשנים האחרונות לנהל אורח חיים תקין. הנאשם ביטא בפני שירות המבחן רצון וצורך להירתם להליך הטיפולי, במטרה להעמיק ולבחון השפעתם של דפוסי החשיבה וההתנהגות הבעייתיים שפיתח ואימץ לאורך השנים על חייו כיום, כפי שהדבר בא לידי ביטוי אף במעורבותו נושא הדיון. שירות המבחן מצא, כי נוכח השינוי בעמדתו ותפיסתו הקודמת את מצבו, הנאשם מתאים להשתלב בקבוצה טיפולית לעוברי חוק המתקיימת בשירות, שמטרתה לסייע למשתתפים בה בבדיקה ושינוי של דפוסי חשיבה והתנהגות בעייתיים, תוך זיהוי מצבי סיכון ורכישת כלים להתמודדות אפקטיבית עם משברים, ללא התנהגות שולים. משכך, חזר שירות המבחן על המלצתו שלעיל, לריצוי מאסר בעבודות שירות והוסיף המלצה להטיל צו מבחן למשך שנה.</w:t>
      </w:r>
    </w:p>
    <w:p w14:paraId="2EBCA91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בחוות הדעת של הממונה על עבודות שירות נמצא, כי הנאשם אינו יכול לבצע עבודות שירות נוכח קיומו של יסוד סביר לחשש לפגיעה בגופו או בחייו של אדם לרבות הנאשם, וזאת בהתבסס על חוות דעת שניתנה על ידי משטרת ישראל. זו לא המליצה על העסקתו כעובד שירות לאור סכסוך הדמים אשר בו היה מעורב. לדידה, הסכסוך עדיין פתוח ולכן קיימת סכנה לנאשם ומהנאשם. כן נרשם בחוות הדעת, כי המעסיקים השונים אינם מוכנים, בשום פנים ואופן, להעסיק עובד שירות אשר יביא לסיכונם וסיכון הבאים בשעריהם. </w:t>
      </w:r>
    </w:p>
    <w:p w14:paraId="16AEB43D" w14:textId="77777777" w:rsidR="00CA7CF6" w:rsidRDefault="00CA7CF6" w:rsidP="00CA7CF6">
      <w:pPr>
        <w:pStyle w:val="ListParagraph"/>
        <w:spacing w:after="160" w:line="360" w:lineRule="auto"/>
        <w:ind w:left="425"/>
        <w:contextualSpacing w:val="0"/>
        <w:jc w:val="both"/>
        <w:rPr>
          <w:rFonts w:ascii="Arial" w:hAnsi="Arial"/>
          <w:sz w:val="26"/>
          <w:szCs w:val="26"/>
          <w:rtl/>
        </w:rPr>
      </w:pPr>
    </w:p>
    <w:p w14:paraId="47455171" w14:textId="77777777" w:rsidR="00CA7CF6" w:rsidRPr="00103963" w:rsidRDefault="00CA7CF6" w:rsidP="00CA7CF6">
      <w:pPr>
        <w:pStyle w:val="ListParagraph"/>
        <w:spacing w:after="160" w:line="360" w:lineRule="auto"/>
        <w:ind w:left="425"/>
        <w:contextualSpacing w:val="0"/>
        <w:jc w:val="both"/>
        <w:rPr>
          <w:rFonts w:ascii="Arial" w:hAnsi="Arial"/>
          <w:sz w:val="26"/>
          <w:szCs w:val="26"/>
          <w:rtl/>
        </w:rPr>
      </w:pPr>
    </w:p>
    <w:p w14:paraId="49522841" w14:textId="77777777" w:rsidR="00CA7CF6" w:rsidRDefault="00CA7CF6" w:rsidP="00CA7CF6">
      <w:pPr>
        <w:spacing w:line="360" w:lineRule="auto"/>
        <w:jc w:val="both"/>
        <w:rPr>
          <w:rFonts w:ascii="Arial" w:hAnsi="Arial"/>
          <w:b/>
          <w:bCs/>
          <w:noProof w:val="0"/>
          <w:sz w:val="26"/>
          <w:szCs w:val="26"/>
          <w:u w:val="single"/>
          <w:rtl/>
        </w:rPr>
      </w:pPr>
      <w:r w:rsidRPr="009F1DC2">
        <w:rPr>
          <w:rFonts w:ascii="Arial" w:hAnsi="Arial"/>
          <w:b/>
          <w:bCs/>
          <w:noProof w:val="0"/>
          <w:sz w:val="26"/>
          <w:szCs w:val="26"/>
          <w:u w:val="single"/>
          <w:rtl/>
        </w:rPr>
        <w:t xml:space="preserve">הראיות והטיעונים לעונש </w:t>
      </w:r>
    </w:p>
    <w:p w14:paraId="6FDF150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על פי הסדר הטיעון היה על המאשימה להגביל עצמה בטיעוניה לעונש מאסר בפועל בן שבעה חודשים, מאסר על תנאי וקנס.</w:t>
      </w:r>
    </w:p>
    <w:p w14:paraId="5C36E8C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ב"כ המאשימה הגישה את הרישום הפלילי של הנאשם (ת/1) וקובץ פסיקה (ת/2). לדבריה, המדיניות השיפוטית היא להחמיר בענישה של מבצעי עבירות נשק ולתת ביטוי לערך הציבורי שנפגע: ביטחון ושלום הציבור. עוד טענה, כי החזקה של אקדח שלא כדין, מתקשרת לביצוע מעשי אלימות ולא נעשית למטרות שלום. לדידה, מתחם הענישה נע בין שבעה חודשים לבין 18 חודשי מאסר בפועל. בנוסף טענה, כי הגם שקיימים מקרים בהם הרף התחתון של המתחם צריך להיות ביצוע עבודות שירות, זה אינו המקרה כאן. עם זאת, בתוך המתחם, לטעם ב"כ המאשימה, מצוי הנאשם ברף התחתון, משום שהאקדח לא היה טעון כאשר נמצא, לנאשם אין עבר רלוונטי, וחלף זמן מאז בוצעה העבירה. </w:t>
      </w:r>
    </w:p>
    <w:p w14:paraId="418D643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הפרקליטה הטילה ספק בנימוק הנאשם, מדוע החזיק באקדח, משום שלדידה מדובר בגרסה כבושה. היא גם הטילה ספק בכנות כוונתו לקחת חלק בטיפול, ושיערה שאף זאת נעשה לצורך הורדת רף הענישה. משכך ביקשה ב"כ המאשימה, כי ייגזרו על הנאשם שבעה חודשי מאסר לריצוי בפועל. לדבריה, לטעם המדינה זה הוא העונש הראוי גם במקרה בו חוות דעת הממונה על עבודות שירות היתה חיובית, ואדרבא שיש לקבל את עמדת המדינה עכשיו, כאשר נמצא שלא ניתן להורות על ביצוע עבודות שירות, שכן יש בכך לסכן את הנאשם או אחרים.</w:t>
      </w:r>
    </w:p>
    <w:p w14:paraId="684ACC8D"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לשאלתי, השיבה ב"כ המשיבה כי התיק הפתוח (המב"ד) הוא "תיק שבארכיון", אך הוא לא סגור, וגם לא הועבר מהמשטרה לפרקליטות. גם ב"כ הנאשם התייחס לשאלתי, וגולל את סיפור סכסוך הדמים, בו כביכול מעורב הנאשם ושלדידו כבר אינו רלוונטי. לפיו, לקוחו נחשד בשנת 2013 "בעבירה שהוא לא קשור אליה", הדבר נודע למשפחת הקורבן של אותה העבירה, וחודשים ספורים לאחר זאת נרצח גיס הנאשם. מאז, המשיך, לא קרה דבר, כאשר מדובר בתקופה של שלוש שנים וחצי בה הנאשם ומשפחתו מתגוררים באותה העיר, והוא עובד ומעסיק עובדים.</w:t>
      </w:r>
    </w:p>
    <w:p w14:paraId="1896220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ב"כ הנאשם ביקש, כי בית המשפט יאפשר לנאשם לבצע עבודות שירות, על אף חוות הדעת של הממונה על עבודות שירות, כאשר הציע שיתאפשר לו לבצע אותן בבית כלא או בתחנת משטרה. הסניגור טען, כי יש להתחשב בתקופה הארוכה שעברה מיום מעצר הנאשם בגין העבירה בה הורשע כאן, ליום הגשת כתב האישום </w:t>
      </w:r>
      <w:r>
        <w:rPr>
          <w:rFonts w:ascii="Arial" w:hAnsi="Arial"/>
          <w:sz w:val="26"/>
          <w:szCs w:val="26"/>
          <w:rtl/>
        </w:rPr>
        <w:t>–</w:t>
      </w:r>
      <w:r>
        <w:rPr>
          <w:rFonts w:ascii="Arial" w:hAnsi="Arial" w:hint="cs"/>
          <w:sz w:val="26"/>
          <w:szCs w:val="26"/>
          <w:rtl/>
        </w:rPr>
        <w:t xml:space="preserve"> חייו של הנאשם לא נעצרו ואף נולדו לו ולאשתו </w:t>
      </w:r>
      <w:r w:rsidRPr="005F20CB">
        <w:rPr>
          <w:rFonts w:ascii="Arial" w:hAnsi="Arial" w:hint="cs"/>
          <w:sz w:val="26"/>
          <w:szCs w:val="26"/>
          <w:rtl/>
        </w:rPr>
        <w:t>תאומות</w:t>
      </w:r>
      <w:r>
        <w:rPr>
          <w:rFonts w:ascii="Arial" w:hAnsi="Arial" w:hint="cs"/>
          <w:sz w:val="26"/>
          <w:szCs w:val="26"/>
          <w:rtl/>
        </w:rPr>
        <w:t>, כאמור</w:t>
      </w:r>
      <w:r w:rsidRPr="005F20CB">
        <w:rPr>
          <w:rFonts w:ascii="Arial" w:hAnsi="Arial" w:hint="cs"/>
          <w:sz w:val="26"/>
          <w:szCs w:val="26"/>
          <w:rtl/>
        </w:rPr>
        <w:t>. ב"כ</w:t>
      </w:r>
      <w:r>
        <w:rPr>
          <w:rFonts w:ascii="Arial" w:hAnsi="Arial" w:hint="cs"/>
          <w:sz w:val="26"/>
          <w:szCs w:val="26"/>
          <w:rtl/>
        </w:rPr>
        <w:t xml:space="preserve"> הנאשם גם הדגיש, את המהפך שמרשו ביצע בחייו, העובדה כי בעבר היו בעניינו תסקירים שליליים, בעוד שהתסקיר האחרון היה חיובי, וכי היה זה שירות המבחן שעדכן מיוזמתו את בית המשפט בנכונות הנאשם להיכנס להליך טיפולי. ב"כ הנאשם גם הגיב לתהיית ב"כ המאשימה, באשר לכוונותיו האמיתיות של הנאשם באומרו, ששירות המבחן הוא בעל הידע המקצועי להעריך האם הדברים נאמרים מן השפה אל החוץ וזו לא היתה התרשמותו. לטעם ב"כ הנאשם על מתחם העונש להתחיל ברף של עבודות שירות. כן טען, כי אל לו לבית המשפט לקבל את חוות דעת הממונה על עבודות שירות כסוף פסוק. כן הגיש פסיקה (נ/1 ונ/3). </w:t>
      </w:r>
    </w:p>
    <w:p w14:paraId="52A33F9A" w14:textId="77777777" w:rsidR="00CA7CF6" w:rsidRDefault="00CA7CF6" w:rsidP="00CA7CF6">
      <w:pPr>
        <w:pStyle w:val="ListParagraph"/>
        <w:spacing w:after="160" w:line="360" w:lineRule="auto"/>
        <w:ind w:left="425"/>
        <w:contextualSpacing w:val="0"/>
        <w:jc w:val="both"/>
        <w:rPr>
          <w:rFonts w:ascii="Arial" w:hAnsi="Arial"/>
          <w:sz w:val="26"/>
          <w:szCs w:val="26"/>
        </w:rPr>
      </w:pPr>
      <w:r>
        <w:rPr>
          <w:rFonts w:ascii="Arial" w:hAnsi="Arial" w:hint="cs"/>
          <w:sz w:val="26"/>
          <w:szCs w:val="26"/>
          <w:rtl/>
        </w:rPr>
        <w:t>עוד טען, שהנאשם לקח הלוואה לצורך עסקיו, והוא בעל משכנתא, ולכן ביקש שהנאשם לא ינותק מעבודתו, כפי שגם המליץ שירות המבחן (נ/2). עוד הוגש מכתב השחרור של אשת הנאשם מבית החולים, עקב לידתה זמן קצר לפני הדיון (נ/4). ב"כ הנאשם גם הוסיף, שאם יש צורך ברכיב כספי מוגדל על חשבון בסיס אחר, הדבר מקובל על הנאשם.</w:t>
      </w:r>
    </w:p>
    <w:p w14:paraId="5BCBDC7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הנאשם הביע חרטה על מעשיו ולקח עליהם אחריות. הוא סיפר שהחל משנת 2008 עבר הליך שיקומי ומשנת 2010 לא עבר כל עבירה, למעט זו עליה הורשע כאן. עוד סיפר, כי לא היה נוכח בלידתם של שלושת ילדיו הראשונים, וזו הפעם הראשונה שהוא חווה יחד עם אשתו את ההיריון והלידה. לדבריו, הוא עמוד השדרה של עסקיו, בהם עובדים 50 איש, המפרנסים 50 משפחות. כן הביע פחד ולחץ מהאפשרות שיישלח לכלא, ואמר כי אמנם בעבר לא חשש להישלח לכלא, אך כיום מצבו שונה. הוא שב וביקש מבית המשפט שיתחשב במצבו האישי ובמצב משפחתו.</w:t>
      </w:r>
    </w:p>
    <w:p w14:paraId="36D5EC8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לאחר ששמעתי ושקלתי את טענות הצדדים והפסיקה שהציגו, הוריתי לנציג הממונה על עבודות שירות לבוא בפניי עם החומר המודיעיני שבבסיס חוות דעתו, על מנת שאוכל להעריכם. בדיון המשלים (30.3.17) שמעתי את טיעוני הצדדים באשר לתחולת חוות דעת הממונה וסמכות בית המשפט בהתייחס להטלת עונש של מאסר בדרך ביצוע עבודות שירות. כמו כן, במעמד צד אחד, הוצג לי החומר המודיעיני האמור ושמעתי הסברים נוספים בענין מקצין מודיעין פקד יוסי גואטה. לאחר זאת, שמעתי את קצינת המיון בעבודות שירות מחוז מרכז, רחל מאירי, אשר סקרה את אפשרויות מקומות עבודות השירות באזור.</w:t>
      </w:r>
    </w:p>
    <w:p w14:paraId="47DF66A2" w14:textId="77777777" w:rsidR="00CA7CF6" w:rsidRPr="009F1DC2" w:rsidRDefault="00CA7CF6" w:rsidP="00CA7CF6">
      <w:pPr>
        <w:spacing w:line="360" w:lineRule="auto"/>
        <w:jc w:val="both"/>
        <w:rPr>
          <w:rFonts w:ascii="Arial" w:hAnsi="Arial"/>
          <w:b/>
          <w:bCs/>
          <w:noProof w:val="0"/>
          <w:sz w:val="26"/>
          <w:szCs w:val="26"/>
          <w:u w:val="single"/>
          <w:rtl/>
        </w:rPr>
      </w:pPr>
      <w:r w:rsidRPr="009F1DC2">
        <w:rPr>
          <w:rFonts w:ascii="Arial" w:hAnsi="Arial"/>
          <w:b/>
          <w:bCs/>
          <w:noProof w:val="0"/>
          <w:sz w:val="26"/>
          <w:szCs w:val="26"/>
          <w:u w:val="single"/>
          <w:rtl/>
        </w:rPr>
        <w:t xml:space="preserve">דיון לפי </w:t>
      </w:r>
      <w:hyperlink r:id="rId20" w:history="1">
        <w:r w:rsidR="00B127F9" w:rsidRPr="00B127F9">
          <w:rPr>
            <w:rStyle w:val="Hyperlink"/>
            <w:rFonts w:ascii="Arial" w:hAnsi="Arial"/>
            <w:b/>
            <w:bCs/>
            <w:noProof w:val="0"/>
            <w:sz w:val="26"/>
            <w:szCs w:val="26"/>
            <w:rtl/>
          </w:rPr>
          <w:t>סימן א'1 בפרק ו'</w:t>
        </w:r>
      </w:hyperlink>
      <w:r w:rsidRPr="009F1DC2">
        <w:rPr>
          <w:rFonts w:ascii="Arial" w:hAnsi="Arial"/>
          <w:b/>
          <w:bCs/>
          <w:noProof w:val="0"/>
          <w:sz w:val="26"/>
          <w:szCs w:val="26"/>
          <w:u w:val="single"/>
          <w:rtl/>
        </w:rPr>
        <w:t xml:space="preserve"> בחוק (הבניית שיקול הדעת השיפוטי בענישה) – תיקון 113 לחוק</w:t>
      </w:r>
    </w:p>
    <w:p w14:paraId="60713728" w14:textId="77777777" w:rsidR="00CA7CF6" w:rsidRPr="00DA79FD" w:rsidRDefault="00CA7CF6" w:rsidP="00CA7CF6">
      <w:pPr>
        <w:spacing w:line="360" w:lineRule="auto"/>
        <w:jc w:val="both"/>
        <w:rPr>
          <w:rFonts w:ascii="Arial" w:hAnsi="Arial"/>
          <w:b/>
          <w:bCs/>
          <w:noProof w:val="0"/>
          <w:sz w:val="26"/>
          <w:szCs w:val="26"/>
        </w:rPr>
      </w:pPr>
      <w:r w:rsidRPr="00DA79FD">
        <w:rPr>
          <w:rFonts w:ascii="Arial" w:hAnsi="Arial"/>
          <w:b/>
          <w:bCs/>
          <w:noProof w:val="0"/>
          <w:sz w:val="26"/>
          <w:szCs w:val="26"/>
          <w:rtl/>
        </w:rPr>
        <w:t>מתחם העונש</w:t>
      </w:r>
    </w:p>
    <w:p w14:paraId="725DDF5B" w14:textId="77777777" w:rsidR="00CA7CF6" w:rsidRDefault="00B127F9" w:rsidP="00CA7CF6">
      <w:pPr>
        <w:pStyle w:val="ListParagraph"/>
        <w:numPr>
          <w:ilvl w:val="0"/>
          <w:numId w:val="1"/>
        </w:numPr>
        <w:spacing w:after="160" w:line="360" w:lineRule="auto"/>
        <w:ind w:left="425"/>
        <w:contextualSpacing w:val="0"/>
        <w:jc w:val="both"/>
        <w:rPr>
          <w:rFonts w:ascii="Arial" w:hAnsi="Arial"/>
          <w:sz w:val="26"/>
          <w:szCs w:val="26"/>
        </w:rPr>
      </w:pPr>
      <w:hyperlink r:id="rId21" w:history="1">
        <w:r w:rsidRPr="00B127F9">
          <w:rPr>
            <w:rStyle w:val="Hyperlink"/>
            <w:rFonts w:ascii="Arial" w:hAnsi="Arial"/>
            <w:sz w:val="26"/>
            <w:szCs w:val="26"/>
            <w:rtl/>
          </w:rPr>
          <w:t>בסעיף 40ג(א)</w:t>
        </w:r>
      </w:hyperlink>
      <w:r w:rsidR="00CA7CF6" w:rsidRPr="001863E1">
        <w:rPr>
          <w:rFonts w:ascii="Arial" w:hAnsi="Arial"/>
          <w:sz w:val="26"/>
          <w:szCs w:val="26"/>
          <w:rtl/>
        </w:rPr>
        <w:t xml:space="preserve"> בחוק נאמר, כי "</w:t>
      </w:r>
      <w:r w:rsidR="00CA7CF6" w:rsidRPr="001863E1">
        <w:rPr>
          <w:rFonts w:ascii="Arial" w:hAnsi="Arial"/>
          <w:b/>
          <w:bCs/>
          <w:sz w:val="26"/>
          <w:szCs w:val="26"/>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sidR="00CA7CF6" w:rsidRPr="001863E1">
        <w:rPr>
          <w:rFonts w:ascii="Arial" w:hAnsi="Arial"/>
          <w:sz w:val="26"/>
          <w:szCs w:val="26"/>
          <w:rtl/>
        </w:rPr>
        <w:t>". בסעיף 40ב בחוק נאמר, כי "</w:t>
      </w:r>
      <w:r w:rsidR="00CA7CF6" w:rsidRPr="001863E1">
        <w:rPr>
          <w:rFonts w:ascii="Arial" w:hAnsi="Arial"/>
          <w:b/>
          <w:bCs/>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00CA7CF6" w:rsidRPr="001863E1">
        <w:rPr>
          <w:rFonts w:ascii="Arial" w:hAnsi="Arial"/>
          <w:sz w:val="26"/>
          <w:szCs w:val="26"/>
          <w:rtl/>
        </w:rPr>
        <w:t>".</w:t>
      </w:r>
    </w:p>
    <w:p w14:paraId="164EA07F"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בית המשפט העליון מצא לנכון להדגיש, כי עקרון ההלימה מביא בחשבון את חומרת מעשה העבירה בנסיבותיו ואת מידת אשמו של הנאשם. קרי, יש להתחשב לא רק בסוג העבירה שבוצעה, אלא גם בנסיבות שבהן בוצעה ובמידת אשמו של הנאשם בביצועה. בקביעת המתחם יובאו רק השיקולים הקשורים בעבירה, בעוד שנסיבותיו האישיות של הנאשם מובאות בחשבון אך במניין השיקולים בקביעת העונש המתאים בתוך מתחם הענישה. עוד ציין בית המשפט, כי אומנם המחוקק לא התייחס להיקפו הרצוי של מתחם הענישה, אך ברור כי מתחם רחב מאוד לא ישרת את תכליתו של תיקון 113 (</w:t>
      </w:r>
      <w:hyperlink r:id="rId22" w:history="1">
        <w:r w:rsidR="001E3053" w:rsidRPr="001E3053">
          <w:rPr>
            <w:rFonts w:ascii="Arial" w:hAnsi="Arial"/>
            <w:color w:val="0000FF"/>
            <w:sz w:val="26"/>
            <w:szCs w:val="26"/>
            <w:u w:val="single"/>
            <w:rtl/>
          </w:rPr>
          <w:t>ע"פ 8641/12</w:t>
        </w:r>
      </w:hyperlink>
      <w:r w:rsidRPr="001863E1">
        <w:rPr>
          <w:rFonts w:ascii="Arial" w:hAnsi="Arial"/>
          <w:b/>
          <w:bCs/>
          <w:sz w:val="26"/>
          <w:szCs w:val="26"/>
          <w:rtl/>
        </w:rPr>
        <w:t xml:space="preserve"> סעד נ' מדינת ישראל</w:t>
      </w:r>
      <w:r w:rsidRPr="001863E1">
        <w:rPr>
          <w:rFonts w:ascii="Arial" w:hAnsi="Arial"/>
          <w:sz w:val="26"/>
          <w:szCs w:val="26"/>
          <w:rtl/>
        </w:rPr>
        <w:t xml:space="preserve"> (5.8.13), פסקאות 23 – 24). כן הדגיש בית המשפט, כי הנסיבות הקשורות לביצוע העבירה הנבחנות בעת קביעת</w:t>
      </w:r>
      <w:r>
        <w:rPr>
          <w:rFonts w:ascii="Arial" w:hAnsi="Arial"/>
          <w:sz w:val="26"/>
          <w:szCs w:val="26"/>
          <w:rtl/>
        </w:rPr>
        <w:t xml:space="preserve"> מתחם הענישה (כמפורט </w:t>
      </w:r>
      <w:hyperlink r:id="rId23" w:history="1">
        <w:r w:rsidR="00B127F9" w:rsidRPr="00B127F9">
          <w:rPr>
            <w:rStyle w:val="Hyperlink"/>
            <w:rFonts w:ascii="Arial" w:hAnsi="Arial"/>
            <w:sz w:val="26"/>
            <w:szCs w:val="26"/>
            <w:rtl/>
          </w:rPr>
          <w:t>בסעיף 40ט</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חוק) והנסיבות שאינן קשורות לביצוע העבירה, הנבחנות ב</w:t>
      </w:r>
      <w:r>
        <w:rPr>
          <w:rFonts w:ascii="Arial" w:hAnsi="Arial"/>
          <w:sz w:val="26"/>
          <w:szCs w:val="26"/>
          <w:rtl/>
        </w:rPr>
        <w:t xml:space="preserve">גזירת העונש (כמפורט </w:t>
      </w:r>
      <w:hyperlink r:id="rId24" w:history="1">
        <w:r w:rsidR="00B127F9" w:rsidRPr="00B127F9">
          <w:rPr>
            <w:rStyle w:val="Hyperlink"/>
            <w:rFonts w:ascii="Arial" w:hAnsi="Arial"/>
            <w:sz w:val="26"/>
            <w:szCs w:val="26"/>
            <w:rtl/>
          </w:rPr>
          <w:t>בסעיף 40יא</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 xml:space="preserve">חוק), אינן רשימה סגורה, ואין בנסיבות שציין המחוקק שאותן פרט במפורש כדי לגרוע מסמכותו של בית המשפט </w:t>
      </w:r>
      <w:r>
        <w:rPr>
          <w:rFonts w:ascii="Arial" w:hAnsi="Arial"/>
          <w:sz w:val="26"/>
          <w:szCs w:val="26"/>
          <w:rtl/>
        </w:rPr>
        <w:t>לשקול נסיבות נוספות (</w:t>
      </w:r>
      <w:hyperlink r:id="rId25" w:history="1">
        <w:r w:rsidR="00B127F9" w:rsidRPr="00B127F9">
          <w:rPr>
            <w:rStyle w:val="Hyperlink"/>
            <w:rFonts w:ascii="Arial" w:hAnsi="Arial"/>
            <w:sz w:val="26"/>
            <w:szCs w:val="26"/>
            <w:rtl/>
          </w:rPr>
          <w:t>סעיף 40יב</w:t>
        </w:r>
      </w:hyperlink>
      <w:r>
        <w:rPr>
          <w:rFonts w:ascii="Arial" w:hAnsi="Arial"/>
          <w:sz w:val="26"/>
          <w:szCs w:val="26"/>
          <w:rtl/>
        </w:rPr>
        <w:t xml:space="preserve"> </w:t>
      </w:r>
      <w:r>
        <w:rPr>
          <w:rFonts w:ascii="Arial" w:hAnsi="Arial" w:hint="cs"/>
          <w:sz w:val="26"/>
          <w:szCs w:val="26"/>
          <w:rtl/>
        </w:rPr>
        <w:t>ב</w:t>
      </w:r>
      <w:r w:rsidRPr="001863E1">
        <w:rPr>
          <w:rFonts w:ascii="Arial" w:hAnsi="Arial"/>
          <w:sz w:val="26"/>
          <w:szCs w:val="26"/>
          <w:rtl/>
        </w:rPr>
        <w:t xml:space="preserve">חוק) (שם, שם). </w:t>
      </w:r>
    </w:p>
    <w:p w14:paraId="616FD41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הווה אומר, ועל פי ההלכה הנוהגת, עתה עליי להידרש לשלוש אמות מידה: (1) הערך החברתי שנפגע מביצוע העבירה ומידת הפגיעה בו; (2) מדיניות הענישה הנהוגה; ו-(3) הנסיבות הקשורות בביצוע העבירה (</w:t>
      </w:r>
      <w:hyperlink r:id="rId26" w:history="1">
        <w:r w:rsidR="001E3053" w:rsidRPr="001E3053">
          <w:rPr>
            <w:color w:val="0000FF"/>
            <w:sz w:val="26"/>
            <w:szCs w:val="26"/>
            <w:u w:val="single"/>
            <w:rtl/>
          </w:rPr>
          <w:t>ע"פ 5668/13</w:t>
        </w:r>
      </w:hyperlink>
      <w:r w:rsidRPr="001863E1">
        <w:rPr>
          <w:b/>
          <w:bCs/>
          <w:sz w:val="26"/>
          <w:szCs w:val="26"/>
          <w:rtl/>
        </w:rPr>
        <w:t xml:space="preserve"> מזרחי נ' מדינת ישראל</w:t>
      </w:r>
      <w:r w:rsidRPr="001863E1">
        <w:rPr>
          <w:sz w:val="26"/>
          <w:szCs w:val="26"/>
          <w:rtl/>
        </w:rPr>
        <w:t xml:space="preserve"> (17.3.16)</w:t>
      </w:r>
      <w:r w:rsidRPr="001863E1">
        <w:rPr>
          <w:rFonts w:ascii="Arial" w:hAnsi="Arial"/>
          <w:sz w:val="26"/>
          <w:szCs w:val="26"/>
          <w:rtl/>
        </w:rPr>
        <w:t>, פסקה 32 בפסק דינו של כב' השופט נ' סולברג).</w:t>
      </w:r>
    </w:p>
    <w:p w14:paraId="1A2974A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אשר ל</w:t>
      </w:r>
      <w:r w:rsidRPr="001863E1">
        <w:rPr>
          <w:rFonts w:ascii="Arial" w:hAnsi="Arial"/>
          <w:b/>
          <w:bCs/>
          <w:sz w:val="26"/>
          <w:szCs w:val="26"/>
          <w:rtl/>
        </w:rPr>
        <w:t>ערכים המוגנים</w:t>
      </w:r>
      <w:r w:rsidRPr="001863E1">
        <w:rPr>
          <w:rFonts w:ascii="Arial" w:hAnsi="Arial"/>
          <w:sz w:val="26"/>
          <w:szCs w:val="26"/>
          <w:rtl/>
        </w:rPr>
        <w:t xml:space="preserve"> בבסיס העבירות בהן עסקינן – </w:t>
      </w:r>
      <w:r w:rsidRPr="001863E1">
        <w:rPr>
          <w:rFonts w:ascii="Arial" w:hAnsi="Arial" w:hint="cs"/>
          <w:sz w:val="26"/>
          <w:szCs w:val="26"/>
          <w:rtl/>
        </w:rPr>
        <w:t xml:space="preserve">האיסור בהחזקת נשק ללא רישיון נועדה לשמור על בטחון ושלום הציבור, ולהבטיח כי זה לא יתגלגל לידי אלו המבקשים לעשות בו שימוש שלא כדין. כדבריו של המשנה לנשיאה, </w:t>
      </w:r>
      <w:r>
        <w:rPr>
          <w:rFonts w:ascii="Arial" w:hAnsi="Arial" w:hint="cs"/>
          <w:sz w:val="26"/>
          <w:szCs w:val="26"/>
          <w:rtl/>
        </w:rPr>
        <w:t xml:space="preserve">כב' </w:t>
      </w:r>
      <w:r w:rsidRPr="001863E1">
        <w:rPr>
          <w:rFonts w:ascii="Arial" w:hAnsi="Arial" w:hint="cs"/>
          <w:sz w:val="26"/>
          <w:szCs w:val="26"/>
          <w:rtl/>
        </w:rPr>
        <w:t>השופט א' רובינשטיין: "</w:t>
      </w:r>
      <w:r w:rsidRPr="001863E1">
        <w:rPr>
          <w:rFonts w:ascii="Arial" w:hAnsi="Arial" w:hint="cs"/>
          <w:b/>
          <w:bCs/>
          <w:sz w:val="26"/>
          <w:szCs w:val="26"/>
          <w:rtl/>
        </w:rPr>
        <w:t>...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1863E1">
        <w:rPr>
          <w:rFonts w:ascii="Arial" w:hAnsi="Arial" w:hint="cs"/>
          <w:sz w:val="26"/>
          <w:szCs w:val="26"/>
          <w:rtl/>
        </w:rPr>
        <w:t>" (</w:t>
      </w:r>
      <w:hyperlink r:id="rId27" w:history="1">
        <w:r w:rsidR="001E3053" w:rsidRPr="001E3053">
          <w:rPr>
            <w:rFonts w:ascii="Arial" w:hAnsi="Arial"/>
            <w:color w:val="0000FF"/>
            <w:sz w:val="26"/>
            <w:szCs w:val="26"/>
            <w:u w:val="single"/>
            <w:rtl/>
          </w:rPr>
          <w:t>ע"פ 5220/09</w:t>
        </w:r>
      </w:hyperlink>
      <w:r w:rsidRPr="001863E1">
        <w:rPr>
          <w:rFonts w:ascii="Arial" w:hAnsi="Arial" w:hint="cs"/>
          <w:sz w:val="26"/>
          <w:szCs w:val="26"/>
          <w:rtl/>
        </w:rPr>
        <w:t xml:space="preserve"> </w:t>
      </w:r>
      <w:r w:rsidRPr="001863E1">
        <w:rPr>
          <w:rFonts w:ascii="Arial" w:hAnsi="Arial" w:hint="cs"/>
          <w:b/>
          <w:bCs/>
          <w:sz w:val="26"/>
          <w:szCs w:val="26"/>
          <w:rtl/>
        </w:rPr>
        <w:t xml:space="preserve">עוואודה נ' מדינת ישראל </w:t>
      </w:r>
      <w:r w:rsidRPr="001863E1">
        <w:rPr>
          <w:rFonts w:ascii="Arial" w:hAnsi="Arial" w:hint="cs"/>
          <w:sz w:val="26"/>
          <w:szCs w:val="26"/>
          <w:rtl/>
        </w:rPr>
        <w:t>(31.12.09) (להלן: "</w:t>
      </w:r>
      <w:r w:rsidRPr="001863E1">
        <w:rPr>
          <w:rFonts w:ascii="Arial" w:hAnsi="Arial" w:hint="cs"/>
          <w:b/>
          <w:bCs/>
          <w:sz w:val="26"/>
          <w:szCs w:val="26"/>
          <w:rtl/>
        </w:rPr>
        <w:t>עניין עוואודה</w:t>
      </w:r>
      <w:r w:rsidRPr="001863E1">
        <w:rPr>
          <w:rFonts w:ascii="Arial" w:hAnsi="Arial" w:hint="cs"/>
          <w:sz w:val="26"/>
          <w:szCs w:val="26"/>
          <w:rtl/>
        </w:rPr>
        <w:t xml:space="preserve">"), פסקה י'). משכך, </w:t>
      </w:r>
      <w:hyperlink r:id="rId28"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ב</w:t>
      </w:r>
      <w:hyperlink r:id="rId29"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xml:space="preserve"> קובע כי </w:t>
      </w:r>
      <w:r w:rsidRPr="001863E1">
        <w:rPr>
          <w:rFonts w:ascii="Arial" w:hAnsi="Arial"/>
          <w:sz w:val="26"/>
          <w:szCs w:val="26"/>
          <w:rtl/>
        </w:rPr>
        <w:t>הרוכש או המחזיק נשק בלא רשות על פי דין להחזקתו, דינו - מאסר שבע שנים.</w:t>
      </w:r>
    </w:p>
    <w:p w14:paraId="436C871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sz w:val="26"/>
          <w:szCs w:val="26"/>
          <w:rtl/>
        </w:rPr>
        <w:t>אשר ל</w:t>
      </w:r>
      <w:r w:rsidRPr="001863E1">
        <w:rPr>
          <w:rFonts w:ascii="Arial" w:hAnsi="Arial"/>
          <w:b/>
          <w:bCs/>
          <w:sz w:val="26"/>
          <w:szCs w:val="26"/>
          <w:rtl/>
        </w:rPr>
        <w:t>מדיניות הענישה הנהוגה</w:t>
      </w:r>
      <w:r>
        <w:rPr>
          <w:rFonts w:ascii="Arial" w:hAnsi="Arial"/>
          <w:sz w:val="26"/>
          <w:szCs w:val="26"/>
          <w:rtl/>
        </w:rPr>
        <w:t xml:space="preserve"> </w:t>
      </w:r>
      <w:r w:rsidRPr="001863E1">
        <w:rPr>
          <w:rFonts w:ascii="Arial" w:hAnsi="Arial"/>
          <w:sz w:val="26"/>
          <w:szCs w:val="26"/>
          <w:rtl/>
        </w:rPr>
        <w:t xml:space="preserve">- </w:t>
      </w:r>
    </w:p>
    <w:p w14:paraId="3586D964"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0" w:history="1">
        <w:r w:rsidR="001E3053" w:rsidRPr="001E3053">
          <w:rPr>
            <w:rFonts w:ascii="Arial" w:hAnsi="Arial"/>
            <w:color w:val="0000FF"/>
            <w:sz w:val="26"/>
            <w:szCs w:val="26"/>
            <w:u w:val="single"/>
            <w:rtl/>
          </w:rPr>
          <w:t>ע"פ 135/17</w:t>
        </w:r>
      </w:hyperlink>
      <w:r w:rsidRPr="001863E1">
        <w:rPr>
          <w:rFonts w:ascii="Arial" w:hAnsi="Arial" w:hint="cs"/>
          <w:b/>
          <w:bCs/>
          <w:sz w:val="26"/>
          <w:szCs w:val="26"/>
          <w:rtl/>
        </w:rPr>
        <w:t xml:space="preserve"> מדינת ישראל נ' בסל</w:t>
      </w:r>
      <w:r w:rsidRPr="001863E1">
        <w:rPr>
          <w:rFonts w:ascii="Arial" w:hAnsi="Arial" w:hint="cs"/>
          <w:sz w:val="26"/>
          <w:szCs w:val="26"/>
          <w:rtl/>
        </w:rPr>
        <w:t xml:space="preserve"> (8.3.17) נדון עניינו של נאשם שהורשע על פי הודאתו בעבירה של החזקה ונשיאת נשק לפי </w:t>
      </w:r>
      <w:hyperlink r:id="rId31"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w:t>
      </w:r>
      <w:hyperlink r:id="rId32" w:history="1">
        <w:r w:rsidR="00B127F9" w:rsidRPr="00B127F9">
          <w:rPr>
            <w:rStyle w:val="Hyperlink"/>
            <w:rFonts w:ascii="Arial" w:hAnsi="Arial" w:hint="eastAsia"/>
            <w:sz w:val="26"/>
            <w:szCs w:val="26"/>
            <w:rtl/>
          </w:rPr>
          <w:t>וסעיף</w:t>
        </w:r>
        <w:r w:rsidR="00B127F9" w:rsidRPr="00B127F9">
          <w:rPr>
            <w:rStyle w:val="Hyperlink"/>
            <w:rFonts w:ascii="Arial" w:hAnsi="Arial"/>
            <w:sz w:val="26"/>
            <w:szCs w:val="26"/>
            <w:rtl/>
          </w:rPr>
          <w:t xml:space="preserve"> 144(ב)</w:t>
        </w:r>
      </w:hyperlink>
      <w:r w:rsidRPr="001863E1">
        <w:rPr>
          <w:rFonts w:ascii="Arial" w:hAnsi="Arial" w:hint="cs"/>
          <w:sz w:val="26"/>
          <w:szCs w:val="26"/>
          <w:rtl/>
        </w:rPr>
        <w:t xml:space="preserve"> ב</w:t>
      </w:r>
      <w:hyperlink r:id="rId33"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זאת משום שקרוב משפחה של הנאשם רכש תת מקלע מאולתר ומחסנית ולבקשתו הנאשם החביא אותם. בבית המשפט המחוזי הושת על הנאשם עונש של 12 חודשי מאסר בפועל, מאסר על תנאי וקנס בסך 3,000 ₪. בית המשפט העליון קיבל את עמדת הפרקליטות והחמיר את עונש המאסר ל-</w:t>
      </w:r>
      <w:r w:rsidRPr="001863E1">
        <w:rPr>
          <w:rFonts w:ascii="Arial" w:hAnsi="Arial" w:hint="cs"/>
          <w:b/>
          <w:bCs/>
          <w:sz w:val="26"/>
          <w:szCs w:val="26"/>
          <w:rtl/>
        </w:rPr>
        <w:t>18 חודשי מאסר בפועל</w:t>
      </w:r>
      <w:r w:rsidRPr="001863E1">
        <w:rPr>
          <w:rFonts w:ascii="Arial" w:hAnsi="Arial" w:hint="cs"/>
          <w:sz w:val="26"/>
          <w:szCs w:val="26"/>
          <w:rtl/>
        </w:rPr>
        <w:t>.</w:t>
      </w:r>
    </w:p>
    <w:p w14:paraId="114EA3FA"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4" w:history="1">
        <w:r w:rsidR="001E3053" w:rsidRPr="001E3053">
          <w:rPr>
            <w:rFonts w:ascii="Arial" w:hAnsi="Arial"/>
            <w:color w:val="0000FF"/>
            <w:sz w:val="26"/>
            <w:szCs w:val="26"/>
            <w:u w:val="single"/>
            <w:rtl/>
          </w:rPr>
          <w:t>רע"פ 5921/08</w:t>
        </w:r>
      </w:hyperlink>
      <w:r w:rsidRPr="001863E1">
        <w:rPr>
          <w:rFonts w:ascii="Arial" w:hAnsi="Arial" w:hint="cs"/>
          <w:sz w:val="26"/>
          <w:szCs w:val="26"/>
          <w:rtl/>
        </w:rPr>
        <w:t xml:space="preserve"> </w:t>
      </w:r>
      <w:r w:rsidRPr="001863E1">
        <w:rPr>
          <w:rFonts w:ascii="Arial" w:hAnsi="Arial" w:hint="cs"/>
          <w:b/>
          <w:bCs/>
          <w:sz w:val="26"/>
          <w:szCs w:val="26"/>
          <w:rtl/>
        </w:rPr>
        <w:t>רג'בי נ' מדינת ישראל</w:t>
      </w:r>
      <w:r w:rsidRPr="001863E1">
        <w:rPr>
          <w:rFonts w:ascii="Arial" w:hAnsi="Arial" w:hint="cs"/>
          <w:sz w:val="26"/>
          <w:szCs w:val="26"/>
          <w:rtl/>
        </w:rPr>
        <w:t xml:space="preserve"> (6.5.09) נדון עניינו של נאשם, שהורשע על סמך הודאתו בעבירה של החזקת נשק (אקדח</w:t>
      </w:r>
      <w:r>
        <w:rPr>
          <w:rFonts w:ascii="Arial" w:hAnsi="Arial" w:hint="cs"/>
          <w:sz w:val="26"/>
          <w:szCs w:val="26"/>
          <w:rtl/>
        </w:rPr>
        <w:t xml:space="preserve"> </w:t>
      </w:r>
      <w:r w:rsidRPr="001863E1">
        <w:rPr>
          <w:rFonts w:ascii="Arial" w:hAnsi="Arial" w:hint="cs"/>
          <w:sz w:val="26"/>
          <w:szCs w:val="26"/>
          <w:rtl/>
        </w:rPr>
        <w:t xml:space="preserve">עם שתי מחסניות וכדורים) בביתו, עבירה לפי </w:t>
      </w:r>
      <w:hyperlink r:id="rId35"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ב</w:t>
      </w:r>
      <w:hyperlink r:id="rId36"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הנאשם טען</w:t>
      </w:r>
      <w:r>
        <w:rPr>
          <w:rFonts w:ascii="Arial" w:hAnsi="Arial" w:hint="cs"/>
          <w:sz w:val="26"/>
          <w:szCs w:val="26"/>
          <w:rtl/>
        </w:rPr>
        <w:t>,</w:t>
      </w:r>
      <w:r w:rsidRPr="001863E1">
        <w:rPr>
          <w:rFonts w:ascii="Arial" w:hAnsi="Arial" w:hint="cs"/>
          <w:sz w:val="26"/>
          <w:szCs w:val="26"/>
          <w:rtl/>
        </w:rPr>
        <w:t xml:space="preserve"> כי החזיק באקדח לצרכי הגנה עצמית לאחר שביתו נפרץ, והפורץ אף איים על אשתו באונס. בית משפט השלום לא הטיל על הנאשם מאסר בפועל. בערעור, בית המשפט המחוזי הטיל עליו שמונה חודשי מאסר בפועל. ובערעור בבית משפט העליון, הופחת העונש ל</w:t>
      </w:r>
      <w:r w:rsidRPr="001863E1">
        <w:rPr>
          <w:rFonts w:ascii="Arial" w:hAnsi="Arial" w:hint="cs"/>
          <w:b/>
          <w:bCs/>
          <w:sz w:val="26"/>
          <w:szCs w:val="26"/>
          <w:rtl/>
        </w:rPr>
        <w:t>שישה חודשי מאסר</w:t>
      </w:r>
      <w:r w:rsidRPr="001863E1">
        <w:rPr>
          <w:rFonts w:ascii="Arial" w:hAnsi="Arial" w:hint="cs"/>
          <w:sz w:val="26"/>
          <w:szCs w:val="26"/>
          <w:rtl/>
        </w:rPr>
        <w:t>.</w:t>
      </w:r>
    </w:p>
    <w:p w14:paraId="10F56EB6"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37" w:history="1">
        <w:r w:rsidR="001E3053" w:rsidRPr="001E3053">
          <w:rPr>
            <w:rFonts w:ascii="Arial" w:hAnsi="Arial"/>
            <w:color w:val="0000FF"/>
            <w:sz w:val="26"/>
            <w:szCs w:val="26"/>
            <w:u w:val="single"/>
            <w:rtl/>
          </w:rPr>
          <w:t>ת"פ (מחוזי חי') 12213-10-16</w:t>
        </w:r>
      </w:hyperlink>
      <w:r w:rsidRPr="001863E1">
        <w:rPr>
          <w:rFonts w:ascii="Arial" w:hAnsi="Arial" w:hint="cs"/>
          <w:sz w:val="26"/>
          <w:szCs w:val="26"/>
          <w:rtl/>
        </w:rPr>
        <w:t xml:space="preserve"> </w:t>
      </w:r>
      <w:r w:rsidRPr="001863E1">
        <w:rPr>
          <w:rFonts w:ascii="Arial" w:hAnsi="Arial" w:hint="cs"/>
          <w:b/>
          <w:bCs/>
          <w:sz w:val="26"/>
          <w:szCs w:val="26"/>
          <w:rtl/>
        </w:rPr>
        <w:t>מדינת ישראל נ' ג'בארין</w:t>
      </w:r>
      <w:r w:rsidRPr="001863E1">
        <w:rPr>
          <w:rFonts w:ascii="Arial" w:hAnsi="Arial" w:hint="cs"/>
          <w:sz w:val="26"/>
          <w:szCs w:val="26"/>
          <w:rtl/>
        </w:rPr>
        <w:t xml:space="preserve"> (15.2.17) נדון עניינו של נאשם שהורשע על סמך הודאתו בעבירה של נשיאת נשק ותחמושת בניגוד </w:t>
      </w:r>
      <w:hyperlink r:id="rId38" w:history="1">
        <w:r w:rsidR="00B127F9" w:rsidRPr="00B127F9">
          <w:rPr>
            <w:rStyle w:val="Hyperlink"/>
            <w:rFonts w:ascii="Arial" w:hAnsi="Arial" w:hint="eastAsia"/>
            <w:sz w:val="26"/>
            <w:szCs w:val="26"/>
            <w:rtl/>
          </w:rPr>
          <w:t>לסעיף</w:t>
        </w:r>
        <w:r w:rsidR="00B127F9" w:rsidRPr="00B127F9">
          <w:rPr>
            <w:rStyle w:val="Hyperlink"/>
            <w:rFonts w:ascii="Arial" w:hAnsi="Arial"/>
            <w:sz w:val="26"/>
            <w:szCs w:val="26"/>
            <w:rtl/>
          </w:rPr>
          <w:t xml:space="preserve"> 144(ב)</w:t>
        </w:r>
      </w:hyperlink>
      <w:r w:rsidRPr="001863E1">
        <w:rPr>
          <w:rFonts w:ascii="Arial" w:hAnsi="Arial" w:hint="cs"/>
          <w:sz w:val="26"/>
          <w:szCs w:val="26"/>
          <w:rtl/>
        </w:rPr>
        <w:t xml:space="preserve"> רישא וסיפא, ב</w:t>
      </w:r>
      <w:hyperlink r:id="rId39"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xml:space="preserve">. זאת משום שברכבו התגלה כלי נשק אוטומטי ומחסנית ריקה ובמכנסיו היה כדור התואם את הנשק. בית המשפט קבע מתחם עונש הנע בין 15 חודשי מאסר לבין 36 חודשי מאסר, והשית על הנאשם </w:t>
      </w:r>
      <w:r w:rsidRPr="001863E1">
        <w:rPr>
          <w:rFonts w:ascii="Arial" w:hAnsi="Arial" w:hint="cs"/>
          <w:b/>
          <w:bCs/>
          <w:sz w:val="26"/>
          <w:szCs w:val="26"/>
          <w:rtl/>
        </w:rPr>
        <w:t>20 חודשי מאסר בפועל</w:t>
      </w:r>
      <w:r w:rsidRPr="001863E1">
        <w:rPr>
          <w:rFonts w:ascii="Arial" w:hAnsi="Arial" w:hint="cs"/>
          <w:sz w:val="26"/>
          <w:szCs w:val="26"/>
          <w:rtl/>
        </w:rPr>
        <w:t>.</w:t>
      </w:r>
    </w:p>
    <w:p w14:paraId="32A4FB22"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0" w:history="1">
        <w:r w:rsidR="001E3053" w:rsidRPr="001E3053">
          <w:rPr>
            <w:rFonts w:ascii="Arial" w:hAnsi="Arial"/>
            <w:color w:val="0000FF"/>
            <w:sz w:val="26"/>
            <w:szCs w:val="26"/>
            <w:u w:val="single"/>
            <w:rtl/>
          </w:rPr>
          <w:t>ת"פ (מחוזי ב"ש) 28360-02-13</w:t>
        </w:r>
      </w:hyperlink>
      <w:r w:rsidRPr="001863E1">
        <w:rPr>
          <w:rFonts w:ascii="Arial" w:hAnsi="Arial" w:hint="cs"/>
          <w:sz w:val="26"/>
          <w:szCs w:val="26"/>
          <w:rtl/>
        </w:rPr>
        <w:t xml:space="preserve"> </w:t>
      </w:r>
      <w:r w:rsidRPr="001863E1">
        <w:rPr>
          <w:rFonts w:ascii="Arial" w:hAnsi="Arial" w:hint="cs"/>
          <w:b/>
          <w:bCs/>
          <w:sz w:val="26"/>
          <w:szCs w:val="26"/>
          <w:rtl/>
        </w:rPr>
        <w:t>מדינת ישראל נ' אבו בלאל</w:t>
      </w:r>
      <w:r w:rsidRPr="001863E1">
        <w:rPr>
          <w:rFonts w:ascii="Arial" w:hAnsi="Arial" w:hint="cs"/>
          <w:sz w:val="26"/>
          <w:szCs w:val="26"/>
          <w:rtl/>
        </w:rPr>
        <w:t xml:space="preserve"> (1.12.13) נדון עניינו של נאשם שהורשע על סמך הודאתו בעבירות של נשיאת נשק (</w:t>
      </w:r>
      <w:hyperlink r:id="rId41" w:history="1">
        <w:r w:rsidR="00B127F9" w:rsidRPr="00B127F9">
          <w:rPr>
            <w:rStyle w:val="Hyperlink"/>
            <w:rFonts w:ascii="Arial" w:hAnsi="Arial" w:hint="eastAsia"/>
            <w:sz w:val="26"/>
            <w:szCs w:val="26"/>
            <w:rtl/>
          </w:rPr>
          <w:t>סעיף</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וסיפא), הפרעה לשוטר במילוי תפקידו, עבירה של נהיגה ללא רישיון, נהיגה ללא ביטוח ונהיגה תחת השפעת משקאות משכרים. המלצת שירות המבחן היתה להשית על הנאשם מאסר בדרך של </w:t>
      </w:r>
      <w:r>
        <w:rPr>
          <w:rFonts w:ascii="Arial" w:hAnsi="Arial" w:hint="cs"/>
          <w:sz w:val="26"/>
          <w:szCs w:val="26"/>
          <w:rtl/>
        </w:rPr>
        <w:t xml:space="preserve">עבודות שירות. בית המשפט קבע כי </w:t>
      </w:r>
      <w:r w:rsidRPr="001863E1">
        <w:rPr>
          <w:rFonts w:ascii="Arial" w:hAnsi="Arial" w:hint="cs"/>
          <w:sz w:val="26"/>
          <w:szCs w:val="26"/>
          <w:rtl/>
        </w:rPr>
        <w:t xml:space="preserve">מתחם </w:t>
      </w:r>
      <w:r>
        <w:rPr>
          <w:rFonts w:ascii="Arial" w:hAnsi="Arial" w:hint="cs"/>
          <w:sz w:val="26"/>
          <w:szCs w:val="26"/>
          <w:rtl/>
        </w:rPr>
        <w:t xml:space="preserve">העונש </w:t>
      </w:r>
      <w:r w:rsidRPr="001863E1">
        <w:rPr>
          <w:rFonts w:ascii="Arial" w:hAnsi="Arial" w:hint="cs"/>
          <w:sz w:val="26"/>
          <w:szCs w:val="26"/>
          <w:rtl/>
        </w:rPr>
        <w:t>ההולם לעבירות נשיאת נשק נע בין שישה חודשי מאסר לשנתיים. בית המשפט שקל את נסיבותיו האישיות של הנאשם, לרבות העובדה כי אשמתו בגין נשיאת הנשק היתה קונסטרוקטיבית בלבד וכי מי שנשא בפועל וירה בנשק היה אדם אחר, ודן את הנאשם ל</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6 חודשי מאסר על תנאי וקנס של 10,000 ש"ח.</w:t>
      </w:r>
    </w:p>
    <w:p w14:paraId="7E4317F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2" w:history="1">
        <w:r w:rsidR="001E3053" w:rsidRPr="001E3053">
          <w:rPr>
            <w:rFonts w:ascii="Arial" w:hAnsi="Arial"/>
            <w:color w:val="0000FF"/>
            <w:sz w:val="26"/>
            <w:szCs w:val="26"/>
            <w:u w:val="single"/>
            <w:rtl/>
          </w:rPr>
          <w:t>ת"פ (מחוזי חי') 17917-08-10</w:t>
        </w:r>
      </w:hyperlink>
      <w:r w:rsidRPr="001863E1">
        <w:rPr>
          <w:rFonts w:ascii="Arial" w:hAnsi="Arial" w:hint="cs"/>
          <w:b/>
          <w:bCs/>
          <w:sz w:val="26"/>
          <w:szCs w:val="26"/>
          <w:rtl/>
        </w:rPr>
        <w:t xml:space="preserve"> מדינת ישראל נ' פרץ</w:t>
      </w:r>
      <w:r w:rsidRPr="001863E1">
        <w:rPr>
          <w:rFonts w:ascii="Arial" w:hAnsi="Arial" w:hint="cs"/>
          <w:sz w:val="26"/>
          <w:szCs w:val="26"/>
          <w:rtl/>
        </w:rPr>
        <w:t xml:space="preserve"> (17.1.11) נדון עניינו של נאשם שהורשע בעבירות של החזקת נשק (אקדח עט ושלושה כדורים) והחזקת סם לצריכה עצמי. הנאשם טען שהחזיק באקדח לצרכי הגנה עצמית. על הנאשם נגזרו </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xml:space="preserve"> ושמונה חודשי מאסר על תנאי. </w:t>
      </w:r>
    </w:p>
    <w:p w14:paraId="6EFB966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ב</w:t>
      </w:r>
      <w:hyperlink r:id="rId43" w:history="1">
        <w:r w:rsidR="001E3053" w:rsidRPr="001E3053">
          <w:rPr>
            <w:rFonts w:ascii="Arial" w:hAnsi="Arial"/>
            <w:color w:val="0000FF"/>
            <w:sz w:val="26"/>
            <w:szCs w:val="26"/>
            <w:u w:val="single"/>
            <w:rtl/>
          </w:rPr>
          <w:t>ת"פ (מחוזי חי') 7566-11-09</w:t>
        </w:r>
      </w:hyperlink>
      <w:r w:rsidRPr="001863E1">
        <w:rPr>
          <w:rFonts w:ascii="Arial" w:hAnsi="Arial" w:hint="cs"/>
          <w:b/>
          <w:bCs/>
          <w:sz w:val="26"/>
          <w:szCs w:val="26"/>
          <w:rtl/>
        </w:rPr>
        <w:t xml:space="preserve"> מדינת ישראל נ' סביחאת </w:t>
      </w:r>
      <w:r w:rsidRPr="001863E1">
        <w:rPr>
          <w:rFonts w:ascii="Arial" w:hAnsi="Arial" w:hint="cs"/>
          <w:sz w:val="26"/>
          <w:szCs w:val="26"/>
          <w:rtl/>
        </w:rPr>
        <w:t xml:space="preserve">(4.1.11) נדון עניינו של נאשם שהורשע על פי הודאתו בעבירות לפי </w:t>
      </w:r>
      <w:hyperlink r:id="rId44" w:history="1">
        <w:r w:rsidR="00B127F9" w:rsidRPr="00B127F9">
          <w:rPr>
            <w:rStyle w:val="Hyperlink"/>
            <w:rFonts w:ascii="Arial" w:hAnsi="Arial" w:hint="eastAsia"/>
            <w:sz w:val="26"/>
            <w:szCs w:val="26"/>
            <w:rtl/>
          </w:rPr>
          <w:t>סעיפים</w:t>
        </w:r>
        <w:r w:rsidR="00B127F9" w:rsidRPr="00B127F9">
          <w:rPr>
            <w:rStyle w:val="Hyperlink"/>
            <w:rFonts w:ascii="Arial" w:hAnsi="Arial"/>
            <w:sz w:val="26"/>
            <w:szCs w:val="26"/>
            <w:rtl/>
          </w:rPr>
          <w:t xml:space="preserve"> 144(א)</w:t>
        </w:r>
      </w:hyperlink>
      <w:r w:rsidRPr="001863E1">
        <w:rPr>
          <w:rFonts w:ascii="Arial" w:hAnsi="Arial" w:hint="cs"/>
          <w:sz w:val="26"/>
          <w:szCs w:val="26"/>
          <w:rtl/>
        </w:rPr>
        <w:t xml:space="preserve"> רישא, </w:t>
      </w:r>
      <w:hyperlink r:id="rId45" w:history="1">
        <w:r w:rsidR="00B127F9" w:rsidRPr="00B127F9">
          <w:rPr>
            <w:rFonts w:ascii="Arial" w:hAnsi="Arial"/>
            <w:color w:val="0000FF"/>
            <w:sz w:val="26"/>
            <w:szCs w:val="26"/>
            <w:u w:val="single"/>
            <w:rtl/>
          </w:rPr>
          <w:t>144(ב)</w:t>
        </w:r>
      </w:hyperlink>
      <w:r w:rsidRPr="001863E1">
        <w:rPr>
          <w:rFonts w:ascii="Arial" w:hAnsi="Arial" w:hint="cs"/>
          <w:sz w:val="26"/>
          <w:szCs w:val="26"/>
          <w:rtl/>
        </w:rPr>
        <w:t xml:space="preserve"> רישא </w:t>
      </w:r>
      <w:hyperlink r:id="rId46" w:history="1">
        <w:r w:rsidR="00B127F9" w:rsidRPr="00B127F9">
          <w:rPr>
            <w:rFonts w:ascii="Arial" w:hAnsi="Arial"/>
            <w:color w:val="0000FF"/>
            <w:sz w:val="26"/>
            <w:szCs w:val="26"/>
            <w:u w:val="single"/>
            <w:rtl/>
          </w:rPr>
          <w:t>וסעיף 144(ג)</w:t>
        </w:r>
      </w:hyperlink>
      <w:r w:rsidRPr="001863E1">
        <w:rPr>
          <w:rFonts w:ascii="Arial" w:hAnsi="Arial" w:hint="cs"/>
          <w:sz w:val="26"/>
          <w:szCs w:val="26"/>
          <w:rtl/>
        </w:rPr>
        <w:t xml:space="preserve"> ב</w:t>
      </w:r>
      <w:hyperlink r:id="rId47" w:history="1">
        <w:r w:rsidR="001E3053" w:rsidRPr="001E3053">
          <w:rPr>
            <w:rFonts w:ascii="Arial" w:hAnsi="Arial"/>
            <w:color w:val="0000FF"/>
            <w:sz w:val="26"/>
            <w:szCs w:val="26"/>
            <w:u w:val="single"/>
            <w:rtl/>
          </w:rPr>
          <w:t>חוק העונשין</w:t>
        </w:r>
      </w:hyperlink>
      <w:r w:rsidRPr="001863E1">
        <w:rPr>
          <w:rFonts w:ascii="Arial" w:hAnsi="Arial" w:hint="cs"/>
          <w:sz w:val="26"/>
          <w:szCs w:val="26"/>
          <w:rtl/>
        </w:rPr>
        <w:t>. זאת משום שנשא, הוביל והחזיק שלא כדין נשק ברכבו מתחת לריפוד במושב שליד הנהג. אציין</w:t>
      </w:r>
      <w:r>
        <w:rPr>
          <w:rFonts w:ascii="Arial" w:hAnsi="Arial" w:hint="cs"/>
          <w:sz w:val="26"/>
          <w:szCs w:val="26"/>
          <w:rtl/>
        </w:rPr>
        <w:t>,</w:t>
      </w:r>
      <w:r w:rsidRPr="001863E1">
        <w:rPr>
          <w:rFonts w:ascii="Arial" w:hAnsi="Arial" w:hint="cs"/>
          <w:sz w:val="26"/>
          <w:szCs w:val="26"/>
          <w:rtl/>
        </w:rPr>
        <w:t xml:space="preserve"> כי בדיקת מעבדת הנשק במטה הארצי של משטרת ישראל קבעה כי מדובר באקדח שאינו תקין ולא ניתן לבצע בו ירי במצב בו התקבל לבדיקה, ולדבר ניתן משקל עת נגזר דין הנאשם ל</w:t>
      </w:r>
      <w:r w:rsidRPr="001863E1">
        <w:rPr>
          <w:rFonts w:ascii="Arial" w:hAnsi="Arial" w:hint="cs"/>
          <w:b/>
          <w:bCs/>
          <w:sz w:val="26"/>
          <w:szCs w:val="26"/>
          <w:rtl/>
        </w:rPr>
        <w:t>שישה חודשי מאסר לריצוי בעבודות שירות</w:t>
      </w:r>
      <w:r w:rsidRPr="001863E1">
        <w:rPr>
          <w:rFonts w:ascii="Arial" w:hAnsi="Arial" w:hint="cs"/>
          <w:sz w:val="26"/>
          <w:szCs w:val="26"/>
          <w:rtl/>
        </w:rPr>
        <w:t>, 10 חודשי מאסר על תנאי וקנס בסך 3,000 ₪.</w:t>
      </w:r>
    </w:p>
    <w:p w14:paraId="44C4E8DF"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1863E1">
        <w:rPr>
          <w:rFonts w:ascii="Arial" w:hAnsi="Arial" w:hint="cs"/>
          <w:sz w:val="26"/>
          <w:szCs w:val="26"/>
          <w:rtl/>
        </w:rPr>
        <w:t xml:space="preserve">לבקשת המאשימה עיינתי גם בת"פ (שלום נצ') 52445-07-12 </w:t>
      </w:r>
      <w:r w:rsidRPr="001863E1">
        <w:rPr>
          <w:rFonts w:ascii="Arial" w:hAnsi="Arial" w:hint="cs"/>
          <w:b/>
          <w:bCs/>
          <w:sz w:val="26"/>
          <w:szCs w:val="26"/>
          <w:rtl/>
        </w:rPr>
        <w:t>מדינת ישראל נ' זועבי</w:t>
      </w:r>
      <w:r w:rsidRPr="001863E1">
        <w:rPr>
          <w:rFonts w:ascii="Arial" w:hAnsi="Arial" w:hint="cs"/>
          <w:sz w:val="26"/>
          <w:szCs w:val="26"/>
          <w:rtl/>
        </w:rPr>
        <w:t xml:space="preserve"> (3.6.13), שעניינו מזכיר את זה שבפניי. שם הורשע הנאשם, שלו עבר פלילי נושן, על פי הודאתו, בהחזקת נשק ותחמושת (אקדח וכ-88 כדורים), עבירות לפי </w:t>
      </w:r>
      <w:hyperlink r:id="rId48" w:history="1">
        <w:r w:rsidR="00B127F9" w:rsidRPr="00B127F9">
          <w:rPr>
            <w:rFonts w:ascii="Arial" w:hAnsi="Arial"/>
            <w:color w:val="0000FF"/>
            <w:sz w:val="26"/>
            <w:szCs w:val="26"/>
            <w:u w:val="single"/>
            <w:rtl/>
          </w:rPr>
          <w:t>סעיף 144(א)</w:t>
        </w:r>
      </w:hyperlink>
      <w:r w:rsidRPr="001863E1">
        <w:rPr>
          <w:rFonts w:ascii="Arial" w:hAnsi="Arial" w:hint="cs"/>
          <w:sz w:val="26"/>
          <w:szCs w:val="26"/>
          <w:rtl/>
        </w:rPr>
        <w:t xml:space="preserve"> רישא וסיפא. גם שם טען הנאשם, כי רכש את האקדח לצורכי הגנה עצמית</w:t>
      </w:r>
      <w:r>
        <w:rPr>
          <w:rFonts w:ascii="Arial" w:hAnsi="Arial" w:hint="cs"/>
          <w:sz w:val="26"/>
          <w:szCs w:val="26"/>
          <w:rtl/>
        </w:rPr>
        <w:t xml:space="preserve"> </w:t>
      </w:r>
      <w:r w:rsidRPr="001863E1">
        <w:rPr>
          <w:rFonts w:ascii="Arial" w:hAnsi="Arial" w:hint="cs"/>
          <w:sz w:val="26"/>
          <w:szCs w:val="26"/>
          <w:rtl/>
        </w:rPr>
        <w:t xml:space="preserve">וכי פרנסת משפחתו תלויה בעבודתו, אשר חשש שתפגע. שירות המבחן המליץ על עונש בדמות </w:t>
      </w:r>
      <w:r>
        <w:rPr>
          <w:rFonts w:ascii="Arial" w:hAnsi="Arial" w:hint="cs"/>
          <w:sz w:val="26"/>
          <w:szCs w:val="26"/>
          <w:rtl/>
        </w:rPr>
        <w:t>שירות</w:t>
      </w:r>
      <w:r w:rsidRPr="001863E1">
        <w:rPr>
          <w:rFonts w:ascii="Arial" w:hAnsi="Arial" w:hint="cs"/>
          <w:sz w:val="26"/>
          <w:szCs w:val="26"/>
          <w:rtl/>
        </w:rPr>
        <w:t xml:space="preserve"> לתועלת הציבור. בית משפט השלום קבע מתחם עונש שנע בין שמונה חודשי מאסר ל-16 חודש מאסר, וגזר על הנאשם מאסר בפועל של 10 חודשים, מאסר על תנאי של 10 חודשים וקנס בסכום של 5,000 ש"ח. ברם, בערעור על פסק דין זה (</w:t>
      </w:r>
      <w:hyperlink r:id="rId49" w:history="1">
        <w:r w:rsidR="001E3053" w:rsidRPr="001E3053">
          <w:rPr>
            <w:rFonts w:ascii="Arial" w:hAnsi="Arial"/>
            <w:color w:val="0000FF"/>
            <w:sz w:val="26"/>
            <w:szCs w:val="26"/>
            <w:u w:val="single"/>
            <w:rtl/>
          </w:rPr>
          <w:t>ע"פ (מחוזי נצ') 53396-06-13</w:t>
        </w:r>
      </w:hyperlink>
      <w:r w:rsidRPr="001863E1">
        <w:rPr>
          <w:rFonts w:ascii="Arial" w:hAnsi="Arial" w:hint="cs"/>
          <w:sz w:val="26"/>
          <w:szCs w:val="26"/>
          <w:rtl/>
        </w:rPr>
        <w:t xml:space="preserve"> </w:t>
      </w:r>
      <w:r w:rsidRPr="001863E1">
        <w:rPr>
          <w:rFonts w:ascii="Arial" w:hAnsi="Arial" w:hint="cs"/>
          <w:b/>
          <w:bCs/>
          <w:sz w:val="26"/>
          <w:szCs w:val="26"/>
          <w:rtl/>
        </w:rPr>
        <w:t>זועבי נ' מדינת ישראל</w:t>
      </w:r>
      <w:r w:rsidRPr="001863E1">
        <w:rPr>
          <w:rFonts w:ascii="Arial" w:hAnsi="Arial" w:hint="cs"/>
          <w:sz w:val="26"/>
          <w:szCs w:val="26"/>
          <w:rtl/>
        </w:rPr>
        <w:t xml:space="preserve"> (29.10.13)) </w:t>
      </w:r>
      <w:r w:rsidRPr="001863E1">
        <w:rPr>
          <w:rFonts w:ascii="Arial" w:hAnsi="Arial"/>
          <w:sz w:val="26"/>
          <w:szCs w:val="26"/>
          <w:rtl/>
        </w:rPr>
        <w:t>–</w:t>
      </w:r>
      <w:r w:rsidRPr="001863E1">
        <w:rPr>
          <w:rFonts w:ascii="Arial" w:hAnsi="Arial" w:hint="cs"/>
          <w:sz w:val="26"/>
          <w:szCs w:val="26"/>
          <w:rtl/>
        </w:rPr>
        <w:t xml:space="preserve"> </w:t>
      </w:r>
      <w:r w:rsidRPr="001863E1">
        <w:rPr>
          <w:rFonts w:ascii="Arial" w:hAnsi="Arial" w:hint="cs"/>
          <w:sz w:val="26"/>
          <w:szCs w:val="26"/>
          <w:u w:val="single"/>
          <w:rtl/>
        </w:rPr>
        <w:t>שלא הוגש לי</w:t>
      </w:r>
      <w:r w:rsidRPr="001863E1">
        <w:rPr>
          <w:rFonts w:ascii="Arial" w:hAnsi="Arial" w:hint="cs"/>
          <w:sz w:val="26"/>
          <w:szCs w:val="26"/>
          <w:rtl/>
        </w:rPr>
        <w:t xml:space="preserve"> </w:t>
      </w:r>
      <w:r w:rsidRPr="001863E1">
        <w:rPr>
          <w:rFonts w:ascii="Arial" w:hAnsi="Arial"/>
          <w:sz w:val="26"/>
          <w:szCs w:val="26"/>
          <w:rtl/>
        </w:rPr>
        <w:t>–</w:t>
      </w:r>
      <w:r w:rsidRPr="001863E1">
        <w:rPr>
          <w:rFonts w:ascii="Arial" w:hAnsi="Arial" w:hint="cs"/>
          <w:sz w:val="26"/>
          <w:szCs w:val="26"/>
          <w:rtl/>
        </w:rPr>
        <w:t xml:space="preserve"> הורחב מתחם העונש, ונקבע על 6 חודשי מאסר עד 20 חודשי מאסר, </w:t>
      </w:r>
      <w:r w:rsidRPr="001863E1">
        <w:rPr>
          <w:rFonts w:ascii="Arial" w:hAnsi="Arial" w:hint="cs"/>
          <w:sz w:val="26"/>
          <w:szCs w:val="26"/>
          <w:u w:val="single"/>
          <w:rtl/>
        </w:rPr>
        <w:t>ועונשו של הנאשם הופחת</w:t>
      </w:r>
      <w:r w:rsidRPr="001863E1">
        <w:rPr>
          <w:rFonts w:ascii="Arial" w:hAnsi="Arial" w:hint="cs"/>
          <w:sz w:val="26"/>
          <w:szCs w:val="26"/>
          <w:rtl/>
        </w:rPr>
        <w:t xml:space="preserve"> לשבעה חודשי מאסר בפועל.</w:t>
      </w:r>
    </w:p>
    <w:p w14:paraId="51268090"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כן הפנתה אותי המאשימה ל</w:t>
      </w:r>
      <w:hyperlink r:id="rId50" w:history="1">
        <w:r w:rsidR="001E3053" w:rsidRPr="001E3053">
          <w:rPr>
            <w:rFonts w:ascii="Arial" w:hAnsi="Arial"/>
            <w:color w:val="0000FF"/>
            <w:sz w:val="26"/>
            <w:szCs w:val="26"/>
            <w:u w:val="single"/>
            <w:rtl/>
          </w:rPr>
          <w:t>ת"פ (שלום רמ') 35552-12-11</w:t>
        </w:r>
      </w:hyperlink>
      <w:r w:rsidRPr="00DA79FD">
        <w:rPr>
          <w:rFonts w:ascii="Arial" w:hAnsi="Arial" w:hint="cs"/>
          <w:sz w:val="26"/>
          <w:szCs w:val="26"/>
          <w:rtl/>
        </w:rPr>
        <w:t xml:space="preserve"> </w:t>
      </w:r>
      <w:r w:rsidRPr="00DA79FD">
        <w:rPr>
          <w:rFonts w:ascii="Arial" w:hAnsi="Arial" w:hint="cs"/>
          <w:b/>
          <w:bCs/>
          <w:sz w:val="26"/>
          <w:szCs w:val="26"/>
          <w:rtl/>
        </w:rPr>
        <w:t>מדינת ישראל נ' אבו עבייד</w:t>
      </w:r>
      <w:r w:rsidRPr="00DA79FD">
        <w:rPr>
          <w:rFonts w:ascii="Arial" w:hAnsi="Arial" w:hint="cs"/>
          <w:sz w:val="26"/>
          <w:szCs w:val="26"/>
          <w:rtl/>
        </w:rPr>
        <w:t xml:space="preserve"> (1.5.13)</w:t>
      </w:r>
      <w:r>
        <w:rPr>
          <w:rFonts w:ascii="Arial" w:hAnsi="Arial" w:hint="cs"/>
          <w:sz w:val="26"/>
          <w:szCs w:val="26"/>
          <w:rtl/>
        </w:rPr>
        <w:t xml:space="preserve">, שם הורשע הנאשם בהחזקת אקדח שהיה עטוף בגרב בארון הבגדים ונגזרו עליו שבעה חודשי מאסר בפועל, מאסר על תנאי וקנס בסך 1,000 ש"ח. </w:t>
      </w:r>
      <w:r w:rsidRPr="00DA79FD">
        <w:rPr>
          <w:rFonts w:ascii="Arial" w:hAnsi="Arial" w:hint="cs"/>
          <w:sz w:val="26"/>
          <w:szCs w:val="26"/>
          <w:rtl/>
        </w:rPr>
        <w:t xml:space="preserve">אלא שגם על תיק זה הוגש ערעור, </w:t>
      </w:r>
      <w:r>
        <w:rPr>
          <w:rFonts w:ascii="Arial" w:hAnsi="Arial" w:hint="cs"/>
          <w:sz w:val="26"/>
          <w:szCs w:val="26"/>
          <w:rtl/>
        </w:rPr>
        <w:t>ש</w:t>
      </w:r>
      <w:r w:rsidRPr="00DA79FD">
        <w:rPr>
          <w:rFonts w:ascii="Arial" w:hAnsi="Arial" w:hint="cs"/>
          <w:sz w:val="26"/>
          <w:szCs w:val="26"/>
          <w:rtl/>
        </w:rPr>
        <w:t>לא ה</w:t>
      </w:r>
      <w:r>
        <w:rPr>
          <w:rFonts w:ascii="Arial" w:hAnsi="Arial" w:hint="cs"/>
          <w:sz w:val="26"/>
          <w:szCs w:val="26"/>
          <w:rtl/>
        </w:rPr>
        <w:t>ו</w:t>
      </w:r>
      <w:r w:rsidRPr="00DA79FD">
        <w:rPr>
          <w:rFonts w:ascii="Arial" w:hAnsi="Arial" w:hint="cs"/>
          <w:sz w:val="26"/>
          <w:szCs w:val="26"/>
          <w:rtl/>
        </w:rPr>
        <w:t>גש</w:t>
      </w:r>
      <w:r>
        <w:rPr>
          <w:rFonts w:ascii="Arial" w:hAnsi="Arial" w:hint="cs"/>
          <w:sz w:val="26"/>
          <w:szCs w:val="26"/>
          <w:rtl/>
        </w:rPr>
        <w:t xml:space="preserve"> הגם שנדמה שנדחה</w:t>
      </w:r>
      <w:r w:rsidRPr="00DA79FD">
        <w:rPr>
          <w:rFonts w:ascii="Arial" w:hAnsi="Arial" w:hint="cs"/>
          <w:sz w:val="26"/>
          <w:szCs w:val="26"/>
          <w:rtl/>
        </w:rPr>
        <w:t xml:space="preserve"> (</w:t>
      </w:r>
      <w:r>
        <w:rPr>
          <w:rFonts w:ascii="Arial" w:hAnsi="Arial" w:hint="cs"/>
          <w:sz w:val="26"/>
          <w:szCs w:val="26"/>
          <w:rtl/>
        </w:rPr>
        <w:t xml:space="preserve">המדובר בפסק דין שאינו נגיש לי - </w:t>
      </w:r>
      <w:hyperlink r:id="rId51" w:history="1">
        <w:r w:rsidR="001E3053" w:rsidRPr="001E3053">
          <w:rPr>
            <w:rFonts w:ascii="Arial" w:hAnsi="Arial"/>
            <w:color w:val="0000FF"/>
            <w:sz w:val="26"/>
            <w:szCs w:val="26"/>
            <w:u w:val="single"/>
            <w:rtl/>
          </w:rPr>
          <w:t>עפ"ג (מחוזי מרכז) 30233-05-13</w:t>
        </w:r>
      </w:hyperlink>
      <w:r w:rsidRPr="00DA79FD">
        <w:rPr>
          <w:rFonts w:ascii="Arial" w:hAnsi="Arial" w:hint="cs"/>
          <w:sz w:val="26"/>
          <w:szCs w:val="26"/>
          <w:rtl/>
        </w:rPr>
        <w:t xml:space="preserve"> </w:t>
      </w:r>
      <w:r w:rsidRPr="00DA79FD">
        <w:rPr>
          <w:rFonts w:ascii="Arial" w:hAnsi="Arial" w:hint="cs"/>
          <w:b/>
          <w:bCs/>
          <w:sz w:val="26"/>
          <w:szCs w:val="26"/>
          <w:rtl/>
        </w:rPr>
        <w:t>אבו עבייד נ' מדינת ישראל</w:t>
      </w:r>
      <w:r w:rsidRPr="00DA79FD">
        <w:rPr>
          <w:rFonts w:ascii="Arial" w:hAnsi="Arial" w:hint="cs"/>
          <w:sz w:val="26"/>
          <w:szCs w:val="26"/>
          <w:rtl/>
        </w:rPr>
        <w:t xml:space="preserve"> (13.10.13)</w:t>
      </w:r>
      <w:r w:rsidRPr="00DA79FD">
        <w:rPr>
          <w:rFonts w:ascii="Arial" w:hAnsi="Arial" w:hint="cs"/>
          <w:b/>
          <w:bCs/>
          <w:sz w:val="26"/>
          <w:szCs w:val="26"/>
          <w:rtl/>
        </w:rPr>
        <w:t xml:space="preserve">. </w:t>
      </w:r>
    </w:p>
    <w:p w14:paraId="4D1EEE13"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עוד הפנתה אותי המאשימה ל</w:t>
      </w:r>
      <w:hyperlink r:id="rId52" w:history="1">
        <w:r w:rsidR="001E3053" w:rsidRPr="001E3053">
          <w:rPr>
            <w:rFonts w:ascii="Arial" w:hAnsi="Arial"/>
            <w:color w:val="0000FF"/>
            <w:sz w:val="26"/>
            <w:szCs w:val="26"/>
            <w:u w:val="single"/>
            <w:rtl/>
          </w:rPr>
          <w:t>ת"פ (שלום פ"ת) 47766-07-12</w:t>
        </w:r>
      </w:hyperlink>
      <w:r w:rsidRPr="00DA79FD">
        <w:rPr>
          <w:rFonts w:ascii="Arial" w:hAnsi="Arial" w:hint="cs"/>
          <w:sz w:val="26"/>
          <w:szCs w:val="26"/>
          <w:rtl/>
        </w:rPr>
        <w:t xml:space="preserve"> </w:t>
      </w:r>
      <w:r w:rsidRPr="00DA79FD">
        <w:rPr>
          <w:rFonts w:ascii="Arial" w:hAnsi="Arial" w:hint="cs"/>
          <w:b/>
          <w:bCs/>
          <w:sz w:val="26"/>
          <w:szCs w:val="26"/>
          <w:rtl/>
        </w:rPr>
        <w:t>מדינת ישראל נ' ריאן</w:t>
      </w:r>
      <w:r w:rsidRPr="00DA79FD">
        <w:rPr>
          <w:rFonts w:ascii="Arial" w:hAnsi="Arial" w:hint="cs"/>
          <w:sz w:val="26"/>
          <w:szCs w:val="26"/>
          <w:rtl/>
        </w:rPr>
        <w:t xml:space="preserve"> (15.1.14), </w:t>
      </w:r>
      <w:r>
        <w:rPr>
          <w:rFonts w:ascii="Arial" w:hAnsi="Arial" w:hint="cs"/>
          <w:sz w:val="26"/>
          <w:szCs w:val="26"/>
          <w:rtl/>
        </w:rPr>
        <w:t>בו נגזר על הנאשם תשעה חודשי מאסר בפועל, ומאסר על תנאי. גם על זה</w:t>
      </w:r>
      <w:r w:rsidRPr="00DA79FD">
        <w:rPr>
          <w:rFonts w:ascii="Arial" w:hAnsi="Arial" w:hint="cs"/>
          <w:sz w:val="26"/>
          <w:szCs w:val="26"/>
          <w:rtl/>
        </w:rPr>
        <w:t xml:space="preserve"> הוגש ערעור, שנדחה </w:t>
      </w:r>
      <w:r w:rsidRPr="00DA79FD">
        <w:rPr>
          <w:rFonts w:ascii="Arial" w:hAnsi="Arial"/>
          <w:sz w:val="26"/>
          <w:szCs w:val="26"/>
          <w:rtl/>
        </w:rPr>
        <w:t>–</w:t>
      </w:r>
      <w:r w:rsidRPr="00DA79FD">
        <w:rPr>
          <w:rFonts w:ascii="Arial" w:hAnsi="Arial" w:hint="cs"/>
          <w:sz w:val="26"/>
          <w:szCs w:val="26"/>
          <w:rtl/>
        </w:rPr>
        <w:t xml:space="preserve"> </w:t>
      </w:r>
      <w:hyperlink r:id="rId53" w:history="1">
        <w:r w:rsidR="001E3053" w:rsidRPr="001E3053">
          <w:rPr>
            <w:rFonts w:ascii="Arial" w:hAnsi="Arial"/>
            <w:color w:val="0000FF"/>
            <w:sz w:val="26"/>
            <w:szCs w:val="26"/>
            <w:u w:val="single"/>
            <w:rtl/>
          </w:rPr>
          <w:t>ע"פ (מחוזי מרכז) 57617-02-14</w:t>
        </w:r>
      </w:hyperlink>
      <w:r w:rsidRPr="00DA79FD">
        <w:rPr>
          <w:rFonts w:ascii="Arial" w:hAnsi="Arial" w:hint="cs"/>
          <w:sz w:val="26"/>
          <w:szCs w:val="26"/>
          <w:rtl/>
        </w:rPr>
        <w:t xml:space="preserve"> </w:t>
      </w:r>
      <w:r w:rsidRPr="00DA79FD">
        <w:rPr>
          <w:rFonts w:ascii="Arial" w:hAnsi="Arial" w:hint="cs"/>
          <w:b/>
          <w:bCs/>
          <w:sz w:val="26"/>
          <w:szCs w:val="26"/>
          <w:rtl/>
        </w:rPr>
        <w:t>ריאן נ' מדינת ישראל</w:t>
      </w:r>
      <w:r w:rsidRPr="00DA79FD">
        <w:rPr>
          <w:rFonts w:ascii="Arial" w:hAnsi="Arial" w:hint="cs"/>
          <w:sz w:val="26"/>
          <w:szCs w:val="26"/>
          <w:rtl/>
        </w:rPr>
        <w:t xml:space="preserve"> (16.11.14).</w:t>
      </w:r>
    </w:p>
    <w:p w14:paraId="36A03FF8"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כן</w:t>
      </w:r>
      <w:r w:rsidRPr="00DA79FD">
        <w:rPr>
          <w:rFonts w:ascii="Arial" w:hAnsi="Arial" w:hint="cs"/>
          <w:sz w:val="26"/>
          <w:szCs w:val="26"/>
          <w:rtl/>
        </w:rPr>
        <w:t xml:space="preserve"> הופניתי ל</w:t>
      </w:r>
      <w:hyperlink r:id="rId54" w:history="1">
        <w:r w:rsidR="001E3053" w:rsidRPr="001E3053">
          <w:rPr>
            <w:rFonts w:ascii="Arial" w:hAnsi="Arial"/>
            <w:color w:val="0000FF"/>
            <w:sz w:val="26"/>
            <w:szCs w:val="26"/>
            <w:u w:val="single"/>
            <w:rtl/>
          </w:rPr>
          <w:t>ת"פ (שלום עכו) 19862-07-09</w:t>
        </w:r>
      </w:hyperlink>
      <w:r w:rsidRPr="00DA79FD">
        <w:rPr>
          <w:rFonts w:ascii="Arial" w:hAnsi="Arial" w:hint="cs"/>
          <w:sz w:val="26"/>
          <w:szCs w:val="26"/>
          <w:rtl/>
        </w:rPr>
        <w:t xml:space="preserve"> </w:t>
      </w:r>
      <w:r w:rsidRPr="00DA79FD">
        <w:rPr>
          <w:rFonts w:ascii="Arial" w:hAnsi="Arial" w:hint="cs"/>
          <w:b/>
          <w:bCs/>
          <w:sz w:val="26"/>
          <w:szCs w:val="26"/>
          <w:rtl/>
        </w:rPr>
        <w:t>מדינת ישראל נ' אבו דבי</w:t>
      </w:r>
      <w:r w:rsidRPr="00DA79FD">
        <w:rPr>
          <w:rFonts w:ascii="Arial" w:hAnsi="Arial" w:hint="cs"/>
          <w:sz w:val="26"/>
          <w:szCs w:val="26"/>
          <w:rtl/>
        </w:rPr>
        <w:t xml:space="preserve"> (17.12.13) </w:t>
      </w:r>
      <w:r w:rsidRPr="00DA79FD">
        <w:rPr>
          <w:rFonts w:ascii="Arial" w:hAnsi="Arial" w:hint="cs"/>
          <w:sz w:val="26"/>
          <w:szCs w:val="26"/>
          <w:u w:val="single"/>
          <w:rtl/>
        </w:rPr>
        <w:t>עליו הוגש ערעור, שהתקבל והעונש הופחת</w:t>
      </w:r>
      <w:r>
        <w:rPr>
          <w:rFonts w:ascii="Arial" w:hAnsi="Arial" w:hint="cs"/>
          <w:sz w:val="26"/>
          <w:szCs w:val="26"/>
          <w:u w:val="single"/>
          <w:rtl/>
        </w:rPr>
        <w:t xml:space="preserve"> מ-10 חודשי מאסר בפועל לשישה חודשי מאסר לריצוי בעבודות שירות</w:t>
      </w:r>
      <w:r w:rsidRPr="00DA79FD">
        <w:rPr>
          <w:rFonts w:ascii="Arial" w:hAnsi="Arial" w:hint="cs"/>
          <w:sz w:val="26"/>
          <w:szCs w:val="26"/>
          <w:rtl/>
        </w:rPr>
        <w:t xml:space="preserve"> (</w:t>
      </w:r>
      <w:hyperlink r:id="rId55" w:history="1">
        <w:r w:rsidR="001E3053" w:rsidRPr="001E3053">
          <w:rPr>
            <w:rFonts w:ascii="Arial" w:hAnsi="Arial"/>
            <w:color w:val="0000FF"/>
            <w:sz w:val="26"/>
            <w:szCs w:val="26"/>
            <w:u w:val="single"/>
            <w:rtl/>
          </w:rPr>
          <w:t>עפ"ג (מחוזי חי') 30827-01-14</w:t>
        </w:r>
      </w:hyperlink>
      <w:r w:rsidRPr="00DA79FD">
        <w:rPr>
          <w:rFonts w:ascii="Arial" w:hAnsi="Arial" w:hint="cs"/>
          <w:sz w:val="26"/>
          <w:szCs w:val="26"/>
          <w:rtl/>
        </w:rPr>
        <w:t xml:space="preserve"> </w:t>
      </w:r>
      <w:r w:rsidRPr="00DA79FD">
        <w:rPr>
          <w:rFonts w:ascii="Arial" w:hAnsi="Arial" w:hint="cs"/>
          <w:b/>
          <w:bCs/>
          <w:sz w:val="26"/>
          <w:szCs w:val="26"/>
          <w:rtl/>
        </w:rPr>
        <w:t>אבו דבי נ' מדינת ישראל</w:t>
      </w:r>
      <w:r w:rsidRPr="00DA79FD">
        <w:rPr>
          <w:rFonts w:ascii="Arial" w:hAnsi="Arial" w:hint="cs"/>
          <w:sz w:val="26"/>
          <w:szCs w:val="26"/>
          <w:rtl/>
        </w:rPr>
        <w:t xml:space="preserve"> (3.4.14).</w:t>
      </w:r>
    </w:p>
    <w:p w14:paraId="3CC2EA9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מצער הדבר, כי גם הסניגור חטא באמור, עת הפנה אותי ל</w:t>
      </w:r>
      <w:hyperlink r:id="rId56" w:history="1">
        <w:r w:rsidR="001E3053" w:rsidRPr="001E3053">
          <w:rPr>
            <w:rFonts w:ascii="Arial" w:hAnsi="Arial"/>
            <w:color w:val="0000FF"/>
            <w:sz w:val="26"/>
            <w:szCs w:val="26"/>
            <w:u w:val="single"/>
            <w:rtl/>
          </w:rPr>
          <w:t>ת"פ (שלום פ"ת) 7434-05-10</w:t>
        </w:r>
      </w:hyperlink>
      <w:r w:rsidRPr="00DA79FD">
        <w:rPr>
          <w:rFonts w:ascii="Arial" w:hAnsi="Arial" w:hint="cs"/>
          <w:sz w:val="26"/>
          <w:szCs w:val="26"/>
          <w:rtl/>
        </w:rPr>
        <w:t xml:space="preserve"> </w:t>
      </w:r>
      <w:r w:rsidRPr="00DA79FD">
        <w:rPr>
          <w:rFonts w:ascii="Arial" w:hAnsi="Arial" w:hint="cs"/>
          <w:b/>
          <w:bCs/>
          <w:sz w:val="26"/>
          <w:szCs w:val="26"/>
          <w:rtl/>
        </w:rPr>
        <w:t>מדינת ישראל נ' סובובסקי</w:t>
      </w:r>
      <w:r w:rsidRPr="00DA79FD">
        <w:rPr>
          <w:rFonts w:ascii="Arial" w:hAnsi="Arial" w:hint="cs"/>
          <w:sz w:val="26"/>
          <w:szCs w:val="26"/>
          <w:rtl/>
        </w:rPr>
        <w:t xml:space="preserve"> (12.05.11), מבלי להפנותי גם לערעור</w:t>
      </w:r>
      <w:r>
        <w:rPr>
          <w:rFonts w:ascii="Arial" w:hAnsi="Arial" w:hint="cs"/>
          <w:sz w:val="26"/>
          <w:szCs w:val="26"/>
          <w:rtl/>
        </w:rPr>
        <w:t xml:space="preserve"> (</w:t>
      </w:r>
      <w:hyperlink r:id="rId57" w:history="1">
        <w:r w:rsidR="001E3053" w:rsidRPr="001E3053">
          <w:rPr>
            <w:rFonts w:ascii="Arial" w:hAnsi="Arial"/>
            <w:color w:val="0000FF"/>
            <w:sz w:val="26"/>
            <w:szCs w:val="26"/>
            <w:u w:val="single"/>
            <w:rtl/>
          </w:rPr>
          <w:t>עפ"ג (מחוזי מרכז) 57074-05-11</w:t>
        </w:r>
      </w:hyperlink>
      <w:r w:rsidRPr="00DA79FD">
        <w:rPr>
          <w:rFonts w:ascii="Arial" w:hAnsi="Arial" w:hint="cs"/>
          <w:sz w:val="26"/>
          <w:szCs w:val="26"/>
          <w:rtl/>
        </w:rPr>
        <w:t xml:space="preserve"> </w:t>
      </w:r>
      <w:r w:rsidRPr="00DA79FD">
        <w:rPr>
          <w:rFonts w:ascii="Arial" w:hAnsi="Arial" w:hint="cs"/>
          <w:b/>
          <w:bCs/>
          <w:sz w:val="26"/>
          <w:szCs w:val="26"/>
          <w:rtl/>
        </w:rPr>
        <w:t>סובובסקי נ' מדינת ישראל</w:t>
      </w:r>
      <w:r w:rsidRPr="00DA79FD">
        <w:rPr>
          <w:rFonts w:ascii="Arial" w:hAnsi="Arial" w:hint="cs"/>
          <w:sz w:val="26"/>
          <w:szCs w:val="26"/>
          <w:rtl/>
        </w:rPr>
        <w:t xml:space="preserve"> (8.8.11). כך או אחרת מדובר במקרה השונה מהותית מזה שבפניי.</w:t>
      </w:r>
    </w:p>
    <w:p w14:paraId="1CAF0A29"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סבורני, כי טוב יעשו </w:t>
      </w:r>
      <w:r>
        <w:rPr>
          <w:rFonts w:ascii="Arial" w:hAnsi="Arial" w:hint="cs"/>
          <w:sz w:val="26"/>
          <w:szCs w:val="26"/>
          <w:rtl/>
        </w:rPr>
        <w:t xml:space="preserve">ב"כ </w:t>
      </w:r>
      <w:r w:rsidRPr="00DA79FD">
        <w:rPr>
          <w:rFonts w:ascii="Arial" w:hAnsi="Arial" w:hint="cs"/>
          <w:sz w:val="26"/>
          <w:szCs w:val="26"/>
          <w:rtl/>
        </w:rPr>
        <w:t>הצדדים אם להבא, כאשר יגישו פסיקה, יצרפו גם את פסקי הדין בערעור, ו</w:t>
      </w:r>
      <w:r>
        <w:rPr>
          <w:rFonts w:ascii="Arial" w:hAnsi="Arial" w:hint="cs"/>
          <w:sz w:val="26"/>
          <w:szCs w:val="26"/>
          <w:rtl/>
        </w:rPr>
        <w:t>בוודאי כי הם נדרשים לעשות כן</w:t>
      </w:r>
      <w:r w:rsidRPr="00DA79FD">
        <w:rPr>
          <w:rFonts w:ascii="Arial" w:hAnsi="Arial" w:hint="cs"/>
          <w:sz w:val="26"/>
          <w:szCs w:val="26"/>
          <w:rtl/>
        </w:rPr>
        <w:t xml:space="preserve"> כאשר הערעור מתקבל. </w:t>
      </w:r>
    </w:p>
    <w:p w14:paraId="0225962C" w14:textId="77777777" w:rsidR="00CA7CF6" w:rsidRDefault="00CA7CF6" w:rsidP="00CA7CF6">
      <w:pPr>
        <w:pStyle w:val="ListParagraph"/>
        <w:spacing w:after="160" w:line="360" w:lineRule="auto"/>
        <w:ind w:left="425"/>
        <w:contextualSpacing w:val="0"/>
        <w:jc w:val="both"/>
        <w:rPr>
          <w:rFonts w:ascii="Arial" w:hAnsi="Arial"/>
          <w:sz w:val="26"/>
          <w:szCs w:val="26"/>
        </w:rPr>
      </w:pPr>
      <w:r w:rsidRPr="00DA79FD">
        <w:rPr>
          <w:rFonts w:ascii="Arial" w:hAnsi="Arial" w:hint="cs"/>
          <w:sz w:val="26"/>
          <w:szCs w:val="26"/>
          <w:rtl/>
        </w:rPr>
        <w:t>נוכח הרשום לעיל, האמור נכון ביתר שאת כלפי המאשימה.</w:t>
      </w:r>
    </w:p>
    <w:p w14:paraId="76FED033" w14:textId="77777777" w:rsidR="00CA7CF6" w:rsidRDefault="00E23D8B" w:rsidP="00CA7CF6">
      <w:pPr>
        <w:pStyle w:val="ListParagraph"/>
        <w:numPr>
          <w:ilvl w:val="0"/>
          <w:numId w:val="1"/>
        </w:numPr>
        <w:spacing w:after="160" w:line="360" w:lineRule="auto"/>
        <w:ind w:left="425"/>
        <w:contextualSpacing w:val="0"/>
        <w:jc w:val="both"/>
        <w:rPr>
          <w:rFonts w:ascii="Arial" w:hAnsi="Arial"/>
          <w:sz w:val="26"/>
          <w:szCs w:val="26"/>
        </w:rPr>
      </w:pPr>
      <w:hyperlink r:id="rId58" w:history="1">
        <w:r w:rsidRPr="00E23D8B">
          <w:rPr>
            <w:rFonts w:ascii="Arial" w:hAnsi="Arial"/>
            <w:color w:val="0000FF"/>
            <w:sz w:val="26"/>
            <w:szCs w:val="26"/>
            <w:u w:val="single"/>
            <w:rtl/>
          </w:rPr>
          <w:t>סעיף 40ט</w:t>
        </w:r>
      </w:hyperlink>
      <w:r w:rsidR="00CA7CF6" w:rsidRPr="00DA79FD">
        <w:rPr>
          <w:rFonts w:ascii="Arial" w:hAnsi="Arial"/>
          <w:sz w:val="26"/>
          <w:szCs w:val="26"/>
          <w:rtl/>
        </w:rPr>
        <w:t xml:space="preserve"> </w:t>
      </w:r>
      <w:r w:rsidR="00CA7CF6" w:rsidRPr="00DA79FD">
        <w:rPr>
          <w:rFonts w:ascii="Arial" w:hAnsi="Arial" w:hint="eastAsia"/>
          <w:sz w:val="26"/>
          <w:szCs w:val="26"/>
          <w:rtl/>
        </w:rPr>
        <w:t>בחוק</w:t>
      </w:r>
      <w:r w:rsidR="00CA7CF6" w:rsidRPr="00DA79FD">
        <w:rPr>
          <w:rFonts w:ascii="Arial" w:hAnsi="Arial"/>
          <w:sz w:val="26"/>
          <w:szCs w:val="26"/>
          <w:rtl/>
        </w:rPr>
        <w:t xml:space="preserve"> </w:t>
      </w:r>
      <w:r w:rsidR="00CA7CF6" w:rsidRPr="00DA79FD">
        <w:rPr>
          <w:rFonts w:ascii="Arial" w:hAnsi="Arial" w:hint="eastAsia"/>
          <w:sz w:val="26"/>
          <w:szCs w:val="26"/>
          <w:rtl/>
        </w:rPr>
        <w:t>מונה</w:t>
      </w:r>
      <w:r w:rsidR="00CA7CF6" w:rsidRPr="00DA79FD">
        <w:rPr>
          <w:rFonts w:ascii="Arial" w:hAnsi="Arial"/>
          <w:sz w:val="26"/>
          <w:szCs w:val="26"/>
          <w:rtl/>
        </w:rPr>
        <w:t xml:space="preserve"> </w:t>
      </w:r>
      <w:r w:rsidR="00CA7CF6" w:rsidRPr="00DA79FD">
        <w:rPr>
          <w:rFonts w:ascii="Arial" w:hAnsi="Arial" w:hint="eastAsia"/>
          <w:sz w:val="26"/>
          <w:szCs w:val="26"/>
          <w:rtl/>
        </w:rPr>
        <w:t>את</w:t>
      </w:r>
      <w:r w:rsidR="00CA7CF6" w:rsidRPr="00DA79FD">
        <w:rPr>
          <w:rFonts w:ascii="Arial" w:hAnsi="Arial"/>
          <w:sz w:val="26"/>
          <w:szCs w:val="26"/>
          <w:rtl/>
        </w:rPr>
        <w:t xml:space="preserve"> </w:t>
      </w:r>
      <w:r w:rsidR="00CA7CF6" w:rsidRPr="00DA79FD">
        <w:rPr>
          <w:rFonts w:ascii="Arial" w:hAnsi="Arial" w:hint="eastAsia"/>
          <w:b/>
          <w:bCs/>
          <w:sz w:val="26"/>
          <w:szCs w:val="26"/>
          <w:rtl/>
        </w:rPr>
        <w:t>הנסיבות</w:t>
      </w:r>
      <w:r w:rsidR="00CA7CF6" w:rsidRPr="00DA79FD">
        <w:rPr>
          <w:rFonts w:ascii="Arial" w:hAnsi="Arial"/>
          <w:b/>
          <w:bCs/>
          <w:sz w:val="26"/>
          <w:szCs w:val="26"/>
          <w:rtl/>
        </w:rPr>
        <w:t xml:space="preserve"> </w:t>
      </w:r>
      <w:r w:rsidR="00CA7CF6" w:rsidRPr="00DA79FD">
        <w:rPr>
          <w:rFonts w:ascii="Arial" w:hAnsi="Arial" w:hint="eastAsia"/>
          <w:b/>
          <w:bCs/>
          <w:sz w:val="26"/>
          <w:szCs w:val="26"/>
          <w:rtl/>
        </w:rPr>
        <w:t>הקשורות</w:t>
      </w:r>
      <w:r w:rsidR="00CA7CF6" w:rsidRPr="00DA79FD">
        <w:rPr>
          <w:rFonts w:ascii="Arial" w:hAnsi="Arial"/>
          <w:b/>
          <w:bCs/>
          <w:sz w:val="26"/>
          <w:szCs w:val="26"/>
          <w:rtl/>
        </w:rPr>
        <w:t xml:space="preserve"> </w:t>
      </w:r>
      <w:r w:rsidR="00CA7CF6" w:rsidRPr="00DA79FD">
        <w:rPr>
          <w:rFonts w:ascii="Arial" w:hAnsi="Arial" w:hint="eastAsia"/>
          <w:b/>
          <w:bCs/>
          <w:sz w:val="26"/>
          <w:szCs w:val="26"/>
          <w:rtl/>
        </w:rPr>
        <w:t>לביצוע</w:t>
      </w:r>
      <w:r w:rsidR="00CA7CF6" w:rsidRPr="00DA79FD">
        <w:rPr>
          <w:rFonts w:ascii="Arial" w:hAnsi="Arial"/>
          <w:b/>
          <w:bCs/>
          <w:sz w:val="26"/>
          <w:szCs w:val="26"/>
          <w:rtl/>
        </w:rPr>
        <w:t xml:space="preserve"> </w:t>
      </w:r>
      <w:r w:rsidR="00CA7CF6" w:rsidRPr="00DA79FD">
        <w:rPr>
          <w:rFonts w:ascii="Arial" w:hAnsi="Arial" w:hint="eastAsia"/>
          <w:b/>
          <w:bCs/>
          <w:sz w:val="26"/>
          <w:szCs w:val="26"/>
          <w:rtl/>
        </w:rPr>
        <w:t>העבירה</w:t>
      </w:r>
      <w:r w:rsidR="00CA7CF6" w:rsidRPr="00DA79FD">
        <w:rPr>
          <w:rFonts w:ascii="Arial" w:hAnsi="Arial"/>
          <w:sz w:val="26"/>
          <w:szCs w:val="26"/>
          <w:rtl/>
        </w:rPr>
        <w:t xml:space="preserve">, </w:t>
      </w:r>
      <w:r w:rsidR="00CA7CF6" w:rsidRPr="00DA79FD">
        <w:rPr>
          <w:rFonts w:ascii="Arial" w:hAnsi="Arial" w:hint="eastAsia"/>
          <w:sz w:val="26"/>
          <w:szCs w:val="26"/>
          <w:rtl/>
        </w:rPr>
        <w:t>בהן</w:t>
      </w:r>
      <w:r w:rsidR="00CA7CF6" w:rsidRPr="00DA79FD">
        <w:rPr>
          <w:rFonts w:ascii="Arial" w:hAnsi="Arial"/>
          <w:sz w:val="26"/>
          <w:szCs w:val="26"/>
          <w:rtl/>
        </w:rPr>
        <w:t xml:space="preserve"> </w:t>
      </w:r>
      <w:r w:rsidR="00CA7CF6" w:rsidRPr="00DA79FD">
        <w:rPr>
          <w:rFonts w:ascii="Arial" w:hAnsi="Arial" w:hint="eastAsia"/>
          <w:sz w:val="26"/>
          <w:szCs w:val="26"/>
          <w:rtl/>
        </w:rPr>
        <w:t>יש</w:t>
      </w:r>
      <w:r w:rsidR="00CA7CF6" w:rsidRPr="00DA79FD">
        <w:rPr>
          <w:rFonts w:ascii="Arial" w:hAnsi="Arial"/>
          <w:sz w:val="26"/>
          <w:szCs w:val="26"/>
          <w:rtl/>
        </w:rPr>
        <w:t xml:space="preserve"> </w:t>
      </w:r>
      <w:r w:rsidR="00CA7CF6" w:rsidRPr="00DA79FD">
        <w:rPr>
          <w:rFonts w:ascii="Arial" w:hAnsi="Arial" w:hint="eastAsia"/>
          <w:sz w:val="26"/>
          <w:szCs w:val="26"/>
          <w:rtl/>
        </w:rPr>
        <w:t>להתחשב</w:t>
      </w:r>
      <w:r w:rsidR="00CA7CF6" w:rsidRPr="00DA79FD">
        <w:rPr>
          <w:rFonts w:ascii="Arial" w:hAnsi="Arial"/>
          <w:sz w:val="26"/>
          <w:szCs w:val="26"/>
          <w:rtl/>
        </w:rPr>
        <w:t xml:space="preserve"> </w:t>
      </w:r>
      <w:r w:rsidR="00CA7CF6" w:rsidRPr="00DA79FD">
        <w:rPr>
          <w:rFonts w:ascii="Arial" w:hAnsi="Arial" w:hint="eastAsia"/>
          <w:sz w:val="26"/>
          <w:szCs w:val="26"/>
          <w:rtl/>
        </w:rPr>
        <w:t>בקביעת</w:t>
      </w:r>
      <w:r w:rsidR="00CA7CF6" w:rsidRPr="00DA79FD">
        <w:rPr>
          <w:rFonts w:ascii="Arial" w:hAnsi="Arial"/>
          <w:sz w:val="26"/>
          <w:szCs w:val="26"/>
          <w:rtl/>
        </w:rPr>
        <w:t xml:space="preserve"> </w:t>
      </w:r>
      <w:r w:rsidR="00CA7CF6" w:rsidRPr="00DA79FD">
        <w:rPr>
          <w:rFonts w:ascii="Arial" w:hAnsi="Arial" w:hint="eastAsia"/>
          <w:sz w:val="26"/>
          <w:szCs w:val="26"/>
          <w:rtl/>
        </w:rPr>
        <w:t>מתחם</w:t>
      </w:r>
      <w:r w:rsidR="00CA7CF6" w:rsidRPr="00DA79FD">
        <w:rPr>
          <w:rFonts w:ascii="Arial" w:hAnsi="Arial"/>
          <w:sz w:val="26"/>
          <w:szCs w:val="26"/>
          <w:rtl/>
        </w:rPr>
        <w:t xml:space="preserve"> </w:t>
      </w:r>
      <w:r w:rsidR="00CA7CF6" w:rsidRPr="00DA79FD">
        <w:rPr>
          <w:rFonts w:ascii="Arial" w:hAnsi="Arial" w:hint="eastAsia"/>
          <w:sz w:val="26"/>
          <w:szCs w:val="26"/>
          <w:rtl/>
        </w:rPr>
        <w:t>הענישה</w:t>
      </w:r>
      <w:r w:rsidR="00CA7CF6" w:rsidRPr="00DA79FD">
        <w:rPr>
          <w:rFonts w:ascii="Arial" w:hAnsi="Arial"/>
          <w:sz w:val="26"/>
          <w:szCs w:val="26"/>
          <w:rtl/>
        </w:rPr>
        <w:t xml:space="preserve">. </w:t>
      </w:r>
      <w:r w:rsidR="00CA7CF6" w:rsidRPr="00DA79FD">
        <w:rPr>
          <w:rFonts w:ascii="Arial" w:hAnsi="Arial" w:hint="cs"/>
          <w:sz w:val="26"/>
          <w:szCs w:val="26"/>
          <w:rtl/>
        </w:rPr>
        <w:t>במקרה דנן, לא התלווה לעבירה תכנון מיוחד ולא נגרם כל נזק. כן יש להביא בחשבון שעל אף שהנאש</w:t>
      </w:r>
      <w:r w:rsidR="00CA7CF6">
        <w:rPr>
          <w:rFonts w:ascii="Arial" w:hAnsi="Arial" w:hint="cs"/>
          <w:sz w:val="26"/>
          <w:szCs w:val="26"/>
          <w:rtl/>
        </w:rPr>
        <w:t xml:space="preserve">ם נעצר כאשר ברשותו האקדח, זה לא היה טעון, </w:t>
      </w:r>
      <w:r w:rsidR="00CA7CF6" w:rsidRPr="00DA79FD">
        <w:rPr>
          <w:rFonts w:ascii="Arial" w:hAnsi="Arial" w:hint="cs"/>
          <w:sz w:val="26"/>
          <w:szCs w:val="26"/>
          <w:rtl/>
        </w:rPr>
        <w:t>כך שהנזק שהוא יכול היה לגרום באמצעותו</w:t>
      </w:r>
      <w:r w:rsidR="00CA7CF6">
        <w:rPr>
          <w:rFonts w:ascii="Arial" w:hAnsi="Arial" w:hint="cs"/>
          <w:sz w:val="26"/>
          <w:szCs w:val="26"/>
          <w:rtl/>
        </w:rPr>
        <w:t xml:space="preserve"> במועד בו נתפס הנו כמעט ותיאורטי (בכתב האישום אין כל אזכור כי לנאשם היתה תחמושת לכלי הנשק)</w:t>
      </w:r>
      <w:r w:rsidR="00CA7CF6" w:rsidRPr="00DA79FD">
        <w:rPr>
          <w:rFonts w:ascii="Arial" w:hAnsi="Arial" w:hint="cs"/>
          <w:sz w:val="26"/>
          <w:szCs w:val="26"/>
          <w:rtl/>
        </w:rPr>
        <w:t xml:space="preserve">. עם זאת, ברור כי נזק רב יכול היה להיגרם, לו היה מגיע הכלי לידיו של אחר שהיה עושה בו שימוש פלילי. </w:t>
      </w:r>
      <w:r w:rsidR="00CA7CF6">
        <w:rPr>
          <w:rFonts w:ascii="Arial" w:hAnsi="Arial" w:hint="cs"/>
          <w:sz w:val="26"/>
          <w:szCs w:val="26"/>
          <w:rtl/>
        </w:rPr>
        <w:t>יחד עם האמור</w:t>
      </w:r>
      <w:r w:rsidR="00CA7CF6" w:rsidRPr="00DA79FD">
        <w:rPr>
          <w:rFonts w:ascii="Arial" w:hAnsi="Arial" w:hint="cs"/>
          <w:sz w:val="26"/>
          <w:szCs w:val="26"/>
          <w:rtl/>
        </w:rPr>
        <w:t xml:space="preserve">, יש גם להתחשב במניעים של הנאשם להחזיק בנשק (נסיבות העבירה). </w:t>
      </w:r>
    </w:p>
    <w:p w14:paraId="288639E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לאחר ששמעתי את דברי </w:t>
      </w:r>
      <w:r>
        <w:rPr>
          <w:rFonts w:ascii="Arial" w:hAnsi="Arial" w:hint="cs"/>
          <w:sz w:val="26"/>
          <w:szCs w:val="26"/>
          <w:rtl/>
        </w:rPr>
        <w:t xml:space="preserve">ב"כ </w:t>
      </w:r>
      <w:r w:rsidRPr="00DA79FD">
        <w:rPr>
          <w:rFonts w:ascii="Arial" w:hAnsi="Arial" w:hint="cs"/>
          <w:sz w:val="26"/>
          <w:szCs w:val="26"/>
          <w:rtl/>
        </w:rPr>
        <w:t xml:space="preserve">הצדדים והנאשם אני נותן אמון בגרסתו כי חשש לחייו, נוכח סכסוך הדמים שהביא למות גיסו זמן קצר קודם לכן. </w:t>
      </w:r>
    </w:p>
    <w:p w14:paraId="406829C3"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ואולם, בעניין זה, חשוב להבהיר לציבור הרחב</w:t>
      </w:r>
      <w:r>
        <w:rPr>
          <w:rFonts w:ascii="Arial" w:hAnsi="Arial" w:hint="cs"/>
          <w:sz w:val="26"/>
          <w:szCs w:val="26"/>
          <w:rtl/>
        </w:rPr>
        <w:t>, כי</w:t>
      </w:r>
      <w:r w:rsidRPr="00DA79FD">
        <w:rPr>
          <w:rFonts w:ascii="Arial" w:hAnsi="Arial" w:hint="cs"/>
          <w:sz w:val="26"/>
          <w:szCs w:val="26"/>
          <w:rtl/>
        </w:rPr>
        <w:t xml:space="preserve"> ככלל, נשיאת כלי משחית מותרת בארץ אך למ</w:t>
      </w:r>
      <w:r>
        <w:rPr>
          <w:rFonts w:ascii="Arial" w:hAnsi="Arial" w:hint="cs"/>
          <w:sz w:val="26"/>
          <w:szCs w:val="26"/>
          <w:rtl/>
        </w:rPr>
        <w:t>ת</w:t>
      </w:r>
      <w:r w:rsidRPr="00DA79FD">
        <w:rPr>
          <w:rFonts w:ascii="Arial" w:hAnsi="Arial" w:hint="cs"/>
          <w:sz w:val="26"/>
          <w:szCs w:val="26"/>
          <w:rtl/>
        </w:rPr>
        <w:t xml:space="preserve">י מעט ולצרכי הגנה על הציבור. </w:t>
      </w:r>
      <w:r>
        <w:rPr>
          <w:rFonts w:ascii="Arial" w:hAnsi="Arial" w:hint="cs"/>
          <w:sz w:val="26"/>
          <w:szCs w:val="26"/>
          <w:rtl/>
        </w:rPr>
        <w:t>אל לו ל</w:t>
      </w:r>
      <w:r w:rsidRPr="00DA79FD">
        <w:rPr>
          <w:rFonts w:ascii="Arial" w:hAnsi="Arial" w:hint="cs"/>
          <w:sz w:val="26"/>
          <w:szCs w:val="26"/>
          <w:rtl/>
        </w:rPr>
        <w:t xml:space="preserve">בית המשפט </w:t>
      </w:r>
      <w:r>
        <w:rPr>
          <w:rFonts w:ascii="Arial" w:hAnsi="Arial" w:hint="cs"/>
          <w:sz w:val="26"/>
          <w:szCs w:val="26"/>
          <w:rtl/>
        </w:rPr>
        <w:t>ליתן יד לעשיית דין</w:t>
      </w:r>
      <w:r w:rsidRPr="00DA79FD">
        <w:rPr>
          <w:rFonts w:ascii="Arial" w:hAnsi="Arial" w:hint="cs"/>
          <w:sz w:val="26"/>
          <w:szCs w:val="26"/>
          <w:rtl/>
        </w:rPr>
        <w:t xml:space="preserve"> עצמי, באמצעי אלימות קטלניים, ואפילו מטעמי הגנה, </w:t>
      </w:r>
      <w:r>
        <w:rPr>
          <w:rFonts w:ascii="Arial" w:hAnsi="Arial" w:hint="cs"/>
          <w:sz w:val="26"/>
          <w:szCs w:val="26"/>
          <w:rtl/>
        </w:rPr>
        <w:t xml:space="preserve">שכן אז </w:t>
      </w:r>
      <w:r w:rsidRPr="00DA79FD">
        <w:rPr>
          <w:rFonts w:ascii="Arial" w:hAnsi="Arial" w:hint="cs"/>
          <w:sz w:val="26"/>
          <w:szCs w:val="26"/>
          <w:rtl/>
        </w:rPr>
        <w:t>אנו מסתכנים בקידום שלטון האנרכיה ממנו יפגעו האזרחים שומרי החוק</w:t>
      </w:r>
      <w:r>
        <w:rPr>
          <w:rFonts w:ascii="Arial" w:hAnsi="Arial" w:hint="cs"/>
          <w:sz w:val="26"/>
          <w:szCs w:val="26"/>
          <w:rtl/>
        </w:rPr>
        <w:t>, בבחינת "</w:t>
      </w:r>
      <w:r w:rsidRPr="00D17813">
        <w:rPr>
          <w:rFonts w:ascii="Arial" w:hAnsi="Arial" w:hint="cs"/>
          <w:b/>
          <w:bCs/>
          <w:sz w:val="26"/>
          <w:szCs w:val="26"/>
          <w:rtl/>
        </w:rPr>
        <w:t>איש הישר בעיניו ייעשה</w:t>
      </w:r>
      <w:r>
        <w:rPr>
          <w:rFonts w:ascii="Arial" w:hAnsi="Arial" w:hint="cs"/>
          <w:sz w:val="26"/>
          <w:szCs w:val="26"/>
          <w:rtl/>
        </w:rPr>
        <w:t>" (שופטים, כ"א, כ"ה)</w:t>
      </w:r>
      <w:r w:rsidRPr="00DA79FD">
        <w:rPr>
          <w:rFonts w:ascii="Arial" w:hAnsi="Arial" w:hint="cs"/>
          <w:sz w:val="26"/>
          <w:szCs w:val="26"/>
          <w:rtl/>
        </w:rPr>
        <w:t>.</w:t>
      </w:r>
    </w:p>
    <w:p w14:paraId="7716E552"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נוכח זאת, על סמך </w:t>
      </w:r>
      <w:r w:rsidRPr="00DA79FD">
        <w:rPr>
          <w:rFonts w:ascii="Arial" w:hAnsi="Arial"/>
          <w:sz w:val="26"/>
          <w:szCs w:val="26"/>
          <w:rtl/>
        </w:rPr>
        <w:t xml:space="preserve">מכלול השיקולים, היינו, הערך החברתי שנפגע מביצוע העבירה ועקרון ההלימה בין חומרת מעשה העבירה בנסיבותיו של הנאשם ומידת אשמו הוא, לאחר שעיינתי בפסיקה, ובהתחשב במדיניות הענישה הנוהגת, כאמור, אני קובע את </w:t>
      </w:r>
      <w:r w:rsidRPr="00DA79FD">
        <w:rPr>
          <w:rFonts w:ascii="Arial" w:hAnsi="Arial"/>
          <w:b/>
          <w:bCs/>
          <w:sz w:val="26"/>
          <w:szCs w:val="26"/>
          <w:rtl/>
        </w:rPr>
        <w:t>מתחם הענישה</w:t>
      </w:r>
      <w:r w:rsidRPr="00DA79FD">
        <w:rPr>
          <w:rFonts w:ascii="Arial" w:hAnsi="Arial"/>
          <w:sz w:val="26"/>
          <w:szCs w:val="26"/>
          <w:rtl/>
        </w:rPr>
        <w:t xml:space="preserve"> ההולם </w:t>
      </w:r>
      <w:r w:rsidRPr="00DA79FD">
        <w:rPr>
          <w:rFonts w:ascii="Arial" w:hAnsi="Arial" w:hint="cs"/>
          <w:sz w:val="26"/>
          <w:szCs w:val="26"/>
          <w:rtl/>
        </w:rPr>
        <w:t xml:space="preserve">כנע בין </w:t>
      </w:r>
      <w:r w:rsidRPr="00DA79FD">
        <w:rPr>
          <w:rFonts w:ascii="Arial" w:hAnsi="Arial" w:hint="cs"/>
          <w:b/>
          <w:bCs/>
          <w:sz w:val="26"/>
          <w:szCs w:val="26"/>
          <w:rtl/>
        </w:rPr>
        <w:t>שישה חודשי מאסר, לריצוי בדרך של עבודות שירות</w:t>
      </w:r>
      <w:r>
        <w:rPr>
          <w:rFonts w:ascii="Arial" w:hAnsi="Arial" w:hint="cs"/>
          <w:b/>
          <w:bCs/>
          <w:sz w:val="26"/>
          <w:szCs w:val="26"/>
          <w:rtl/>
        </w:rPr>
        <w:t>,</w:t>
      </w:r>
      <w:r w:rsidRPr="00DA79FD">
        <w:rPr>
          <w:rFonts w:ascii="Arial" w:hAnsi="Arial" w:hint="cs"/>
          <w:b/>
          <w:bCs/>
          <w:sz w:val="26"/>
          <w:szCs w:val="26"/>
          <w:rtl/>
        </w:rPr>
        <w:t xml:space="preserve"> לבין 20 חודשי מאסר בפועל, מאסר על תנאי וקנס</w:t>
      </w:r>
      <w:r w:rsidRPr="00DA79FD">
        <w:rPr>
          <w:rFonts w:ascii="Arial" w:hAnsi="Arial" w:hint="cs"/>
          <w:sz w:val="26"/>
          <w:szCs w:val="26"/>
          <w:rtl/>
        </w:rPr>
        <w:t>.</w:t>
      </w:r>
    </w:p>
    <w:p w14:paraId="44685F91"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sz w:val="26"/>
          <w:szCs w:val="26"/>
          <w:rtl/>
        </w:rPr>
        <w:t>לצורך גזירת עונשו של הנאשם בתוך המתחם, יש להתחשב ב</w:t>
      </w:r>
      <w:r w:rsidRPr="00DA79FD">
        <w:rPr>
          <w:b/>
          <w:bCs/>
          <w:sz w:val="26"/>
          <w:szCs w:val="26"/>
          <w:rtl/>
        </w:rPr>
        <w:t>נסיבות שאינן קשורות לביצוע העבירה</w:t>
      </w:r>
      <w:r w:rsidRPr="00DA79FD">
        <w:rPr>
          <w:sz w:val="26"/>
          <w:szCs w:val="26"/>
          <w:rtl/>
        </w:rPr>
        <w:t xml:space="preserve">, ואת השיקולים המנויים </w:t>
      </w:r>
      <w:hyperlink r:id="rId59" w:history="1">
        <w:r w:rsidR="00E23D8B" w:rsidRPr="00E23D8B">
          <w:rPr>
            <w:color w:val="0000FF"/>
            <w:sz w:val="26"/>
            <w:szCs w:val="26"/>
            <w:u w:val="single"/>
            <w:rtl/>
          </w:rPr>
          <w:t>בסעיף 40יא</w:t>
        </w:r>
      </w:hyperlink>
      <w:r w:rsidRPr="00DA79FD">
        <w:rPr>
          <w:sz w:val="26"/>
          <w:szCs w:val="26"/>
          <w:rtl/>
        </w:rPr>
        <w:t xml:space="preserve"> לחוק</w:t>
      </w:r>
      <w:r w:rsidRPr="00DA79FD">
        <w:rPr>
          <w:rFonts w:hint="cs"/>
          <w:sz w:val="26"/>
          <w:szCs w:val="26"/>
          <w:rtl/>
        </w:rPr>
        <w:t xml:space="preserve">. </w:t>
      </w:r>
      <w:r w:rsidRPr="00DA79FD">
        <w:rPr>
          <w:rFonts w:ascii="Arial" w:hAnsi="Arial" w:hint="cs"/>
          <w:sz w:val="26"/>
          <w:szCs w:val="26"/>
          <w:rtl/>
        </w:rPr>
        <w:t>לנאשם עבר פלילי, אך הוא רחוק (לפני כעשור) ולא רלוונטי לעניין (עבירות סמים). כעקרון, לא ניתן להתחשב בפגיעה העלולה להיגרם לנאשם ומשפחתו עקב מאסרו, שכן זו אינהרנטית לעצם הטלת העונש. ברם, לטעמי, במקרה זה יש להביא בחשבון את משך הזמן שעבר מעת ביצוע העבירה ומעצר הנאשם, באוקטובר 2013,</w:t>
      </w:r>
      <w:r>
        <w:rPr>
          <w:rFonts w:ascii="Arial" w:hAnsi="Arial" w:hint="cs"/>
          <w:sz w:val="26"/>
          <w:szCs w:val="26"/>
          <w:rtl/>
        </w:rPr>
        <w:t xml:space="preserve"> </w:t>
      </w:r>
      <w:r w:rsidRPr="00DA79FD">
        <w:rPr>
          <w:rFonts w:ascii="Arial" w:hAnsi="Arial" w:hint="cs"/>
          <w:sz w:val="26"/>
          <w:szCs w:val="26"/>
          <w:rtl/>
        </w:rPr>
        <w:t xml:space="preserve">ועד להגשת כתב האישום, בדצמבר 2015 </w:t>
      </w:r>
      <w:r w:rsidRPr="00DA79FD">
        <w:rPr>
          <w:rFonts w:ascii="Arial" w:hAnsi="Arial"/>
          <w:sz w:val="26"/>
          <w:szCs w:val="26"/>
          <w:rtl/>
        </w:rPr>
        <w:t>–</w:t>
      </w:r>
      <w:r w:rsidRPr="00DA79FD">
        <w:rPr>
          <w:rFonts w:ascii="Arial" w:hAnsi="Arial" w:hint="cs"/>
          <w:sz w:val="26"/>
          <w:szCs w:val="26"/>
          <w:rtl/>
        </w:rPr>
        <w:t xml:space="preserve"> היינו, למעלה משנתיים. זאת כאשר אין מדובר בתיק מסובך עובדתית, הדורש חקירה או פיצוח ראיות. לא ניתן לצפות מהנאשם להפסיק לחיות את חייו עד אשר עניינו יבוא לכדי סיום </w:t>
      </w:r>
      <w:r w:rsidRPr="00DA79FD">
        <w:rPr>
          <w:rFonts w:ascii="Arial" w:hAnsi="Arial"/>
          <w:sz w:val="26"/>
          <w:szCs w:val="26"/>
          <w:rtl/>
        </w:rPr>
        <w:t>–</w:t>
      </w:r>
      <w:r w:rsidRPr="00DA79FD">
        <w:rPr>
          <w:rFonts w:ascii="Arial" w:hAnsi="Arial" w:hint="cs"/>
          <w:sz w:val="26"/>
          <w:szCs w:val="26"/>
          <w:rtl/>
        </w:rPr>
        <w:t xml:space="preserve"> והוא אכן המשיך בחייו, פיתח את עסקיו ולווה כספים לצורך זה, ואף הרחיב את משפחתו. שוכנעתי על ידי הנאשם ובא כוחו</w:t>
      </w:r>
      <w:r>
        <w:rPr>
          <w:rFonts w:ascii="Arial" w:hAnsi="Arial" w:hint="cs"/>
          <w:sz w:val="26"/>
          <w:szCs w:val="26"/>
          <w:rtl/>
        </w:rPr>
        <w:t>,</w:t>
      </w:r>
      <w:r w:rsidRPr="00DA79FD">
        <w:rPr>
          <w:rFonts w:ascii="Arial" w:hAnsi="Arial" w:hint="cs"/>
          <w:sz w:val="26"/>
          <w:szCs w:val="26"/>
          <w:rtl/>
        </w:rPr>
        <w:t xml:space="preserve"> כי אם ייאסר יהווה הדבר פגיעה קטלנית בעסקיו, בפרנסת משפחתו ובשיקומו. </w:t>
      </w:r>
    </w:p>
    <w:p w14:paraId="7327235A" w14:textId="77777777" w:rsidR="00CA7CF6" w:rsidRPr="00DA79FD" w:rsidRDefault="00CA7CF6" w:rsidP="00CA7CF6">
      <w:pPr>
        <w:pStyle w:val="ListParagraph"/>
        <w:spacing w:after="160" w:line="360" w:lineRule="auto"/>
        <w:ind w:left="65"/>
        <w:contextualSpacing w:val="0"/>
        <w:jc w:val="both"/>
        <w:rPr>
          <w:rFonts w:ascii="Arial" w:hAnsi="Arial"/>
          <w:sz w:val="26"/>
          <w:szCs w:val="26"/>
        </w:rPr>
      </w:pPr>
    </w:p>
    <w:p w14:paraId="3F842031" w14:textId="77777777" w:rsidR="00CA7CF6" w:rsidRPr="00DA79FD" w:rsidRDefault="00CA7CF6" w:rsidP="00CA7CF6">
      <w:pPr>
        <w:spacing w:line="360" w:lineRule="auto"/>
        <w:jc w:val="both"/>
        <w:rPr>
          <w:rFonts w:ascii="Arial" w:hAnsi="Arial"/>
          <w:b/>
          <w:bCs/>
          <w:noProof w:val="0"/>
          <w:sz w:val="26"/>
          <w:szCs w:val="26"/>
        </w:rPr>
      </w:pPr>
      <w:r w:rsidRPr="00DA79FD">
        <w:rPr>
          <w:rFonts w:ascii="Arial" w:hAnsi="Arial" w:hint="cs"/>
          <w:b/>
          <w:bCs/>
          <w:noProof w:val="0"/>
          <w:sz w:val="26"/>
          <w:szCs w:val="26"/>
          <w:rtl/>
        </w:rPr>
        <w:t>חוות דעת הממונה ושיקול דעת בית המשפט</w:t>
      </w:r>
    </w:p>
    <w:p w14:paraId="4AD3D23D"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 xml:space="preserve"> שמעתי את הנאשם, את חרטתו על מעשיו, ואת בקשתו הכ</w:t>
      </w:r>
      <w:r>
        <w:rPr>
          <w:rFonts w:ascii="Arial" w:hAnsi="Arial" w:hint="cs"/>
          <w:sz w:val="26"/>
          <w:szCs w:val="26"/>
          <w:rtl/>
        </w:rPr>
        <w:t>ֵֵּּ</w:t>
      </w:r>
      <w:r w:rsidRPr="00DA79FD">
        <w:rPr>
          <w:rFonts w:ascii="Arial" w:hAnsi="Arial" w:hint="cs"/>
          <w:sz w:val="26"/>
          <w:szCs w:val="26"/>
          <w:rtl/>
        </w:rPr>
        <w:t xml:space="preserve">נה מבית המשפט שלא לשוב לכלא, נוכח חששו שיתדרדר חזרה לדפוסי חייו הקודמים. עיינתי היטב גם בתסקיר שירות המבחן, שהובא לעיל, ובהמלצותיו. סבור אני שצודק ב"כ הנאשם, וכי אם כוונותיו של הנאשם היו כוזבות היה שירות המבחן מבחין בזאת והמלצותיו היו שונות. לא ניתן להתעלם מהישגיו של הנאשם לאורך העשור האחרון, הפסקת השימוש בסמים ויציאתו ממעגל הפשע, על אף הקשיים הטמונים בכך לאדם כמותו, </w:t>
      </w:r>
      <w:r>
        <w:rPr>
          <w:rFonts w:ascii="Arial" w:hAnsi="Arial" w:hint="cs"/>
          <w:sz w:val="26"/>
          <w:szCs w:val="26"/>
          <w:rtl/>
        </w:rPr>
        <w:t>לו הכרות עם מערכ</w:t>
      </w:r>
      <w:r w:rsidRPr="00DA79FD">
        <w:rPr>
          <w:rFonts w:ascii="Arial" w:hAnsi="Arial" w:hint="cs"/>
          <w:sz w:val="26"/>
          <w:szCs w:val="26"/>
          <w:rtl/>
        </w:rPr>
        <w:t>ת ה</w:t>
      </w:r>
      <w:r>
        <w:rPr>
          <w:rFonts w:ascii="Arial" w:hAnsi="Arial" w:hint="cs"/>
          <w:sz w:val="26"/>
          <w:szCs w:val="26"/>
          <w:rtl/>
        </w:rPr>
        <w:t>משפט</w:t>
      </w:r>
      <w:r w:rsidRPr="00DA79FD">
        <w:rPr>
          <w:rFonts w:ascii="Arial" w:hAnsi="Arial" w:hint="cs"/>
          <w:sz w:val="26"/>
          <w:szCs w:val="26"/>
          <w:rtl/>
        </w:rPr>
        <w:t xml:space="preserve"> מגיל צעיר.</w:t>
      </w:r>
    </w:p>
    <w:p w14:paraId="3B355137"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אכן, "</w:t>
      </w:r>
      <w:r w:rsidRPr="00DA79FD">
        <w:rPr>
          <w:rFonts w:ascii="Arial" w:hAnsi="Arial" w:hint="cs"/>
          <w:b/>
          <w:bCs/>
          <w:sz w:val="26"/>
          <w:szCs w:val="26"/>
          <w:rtl/>
        </w:rPr>
        <w:t>דרך המלך בכגון דא, בסופו של יום, צריכה להיות ככלל מאסר מאחורי סורג ובריח, וזאת בראש וראשונה להרתעת היחיד והרבים</w:t>
      </w:r>
      <w:r w:rsidRPr="00DA79FD">
        <w:rPr>
          <w:rFonts w:ascii="Arial" w:hAnsi="Arial" w:hint="cs"/>
          <w:sz w:val="26"/>
          <w:szCs w:val="26"/>
          <w:rtl/>
        </w:rPr>
        <w:t>" (</w:t>
      </w:r>
      <w:r w:rsidRPr="00DA79FD">
        <w:rPr>
          <w:rFonts w:ascii="Arial" w:hAnsi="Arial" w:hint="cs"/>
          <w:b/>
          <w:bCs/>
          <w:sz w:val="26"/>
          <w:szCs w:val="26"/>
          <w:rtl/>
        </w:rPr>
        <w:t>עניין עוואודה</w:t>
      </w:r>
      <w:r w:rsidRPr="00DA79FD">
        <w:rPr>
          <w:rFonts w:ascii="Arial" w:hAnsi="Arial" w:hint="cs"/>
          <w:sz w:val="26"/>
          <w:szCs w:val="26"/>
          <w:rtl/>
        </w:rPr>
        <w:t>, פסקה י'), אך לטעמי, שיקום הנאשם עד כה, החשש שזה יפ</w:t>
      </w:r>
      <w:r>
        <w:rPr>
          <w:rFonts w:ascii="Arial" w:hAnsi="Arial" w:hint="cs"/>
          <w:sz w:val="26"/>
          <w:szCs w:val="26"/>
          <w:rtl/>
        </w:rPr>
        <w:t>ַּּ</w:t>
      </w:r>
      <w:r w:rsidRPr="00DA79FD">
        <w:rPr>
          <w:rFonts w:ascii="Arial" w:hAnsi="Arial" w:hint="cs"/>
          <w:sz w:val="26"/>
          <w:szCs w:val="26"/>
          <w:rtl/>
        </w:rPr>
        <w:t>גע והנאשם יתדרדר חזרה לפשע ושימוש בסמים</w:t>
      </w:r>
      <w:r>
        <w:rPr>
          <w:rFonts w:ascii="Arial" w:hAnsi="Arial" w:hint="cs"/>
          <w:sz w:val="26"/>
          <w:szCs w:val="26"/>
          <w:rtl/>
        </w:rPr>
        <w:t>, מצדיקים הטלת מאסר בדרך של ביצוע עבודות שירות</w:t>
      </w:r>
      <w:r w:rsidRPr="00DA79FD">
        <w:rPr>
          <w:rFonts w:ascii="Arial" w:hAnsi="Arial" w:hint="cs"/>
          <w:sz w:val="26"/>
          <w:szCs w:val="26"/>
          <w:rtl/>
        </w:rPr>
        <w:t xml:space="preserve">, ואינני רואה איזה רווח יהיה לחברה אם ישלח הנאשם לכלא, ושיקומו המוצלח ייעצר ואף יתערער. </w:t>
      </w:r>
    </w:p>
    <w:p w14:paraId="077989C5" w14:textId="77777777" w:rsidR="00CA7CF6" w:rsidRPr="00DA79FD"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DA79FD">
        <w:rPr>
          <w:rFonts w:ascii="Arial" w:hAnsi="Arial" w:hint="cs"/>
          <w:sz w:val="26"/>
          <w:szCs w:val="26"/>
          <w:rtl/>
        </w:rPr>
        <w:t>אכן</w:t>
      </w:r>
      <w:r>
        <w:rPr>
          <w:rFonts w:ascii="Arial" w:hAnsi="Arial" w:hint="cs"/>
          <w:sz w:val="26"/>
          <w:szCs w:val="26"/>
          <w:rtl/>
        </w:rPr>
        <w:t>,</w:t>
      </w:r>
      <w:r w:rsidRPr="00DA79FD">
        <w:rPr>
          <w:rFonts w:ascii="Arial" w:hAnsi="Arial" w:hint="cs"/>
          <w:sz w:val="26"/>
          <w:szCs w:val="26"/>
          <w:rtl/>
        </w:rPr>
        <w:t xml:space="preserve"> חוות הדעת </w:t>
      </w:r>
      <w:r>
        <w:rPr>
          <w:rFonts w:ascii="Arial" w:hAnsi="Arial" w:hint="cs"/>
          <w:sz w:val="26"/>
          <w:szCs w:val="26"/>
          <w:rtl/>
        </w:rPr>
        <w:t xml:space="preserve">של הממונה על עבודות השירות </w:t>
      </w:r>
      <w:r w:rsidRPr="00DA79FD">
        <w:rPr>
          <w:rFonts w:ascii="Arial" w:hAnsi="Arial" w:hint="cs"/>
          <w:sz w:val="26"/>
          <w:szCs w:val="26"/>
          <w:rtl/>
        </w:rPr>
        <w:t>היא שלילית ובדיון הובהר לי מדוע. מטבע הדברים אינני יכול לחשוף את טיב המידע שהוצג לי, אך סבורני כי חשוב להבהיר שהחשש שהובא בפניי אינו נובע מהנאשם כלפי אחרים. עיינתי בפסיקת שהגישו הצדדים,</w:t>
      </w:r>
      <w:r>
        <w:rPr>
          <w:rFonts w:ascii="Arial" w:hAnsi="Arial" w:hint="cs"/>
          <w:sz w:val="26"/>
          <w:szCs w:val="26"/>
          <w:rtl/>
        </w:rPr>
        <w:t xml:space="preserve"> כאשר </w:t>
      </w:r>
      <w:r w:rsidRPr="00DA79FD">
        <w:rPr>
          <w:rFonts w:ascii="Arial" w:hAnsi="Arial" w:hint="cs"/>
          <w:sz w:val="26"/>
          <w:szCs w:val="26"/>
          <w:rtl/>
        </w:rPr>
        <w:t>אין ספק כי שיקול הדעת הסופי, אם לאמץ את המלצת הממונה על עבודות השירות אם לאו, בין אם היא חיובית או שלילית, נתונה לבית המשפט (</w:t>
      </w:r>
      <w:hyperlink r:id="rId60" w:history="1">
        <w:r w:rsidR="001E3053" w:rsidRPr="001E3053">
          <w:rPr>
            <w:rFonts w:ascii="Arial" w:hAnsi="Arial"/>
            <w:color w:val="0000FF"/>
            <w:sz w:val="26"/>
            <w:szCs w:val="26"/>
            <w:u w:val="single"/>
            <w:rtl/>
          </w:rPr>
          <w:t>בג"ץ 7023/11</w:t>
        </w:r>
      </w:hyperlink>
      <w:r w:rsidRPr="00DA79FD">
        <w:rPr>
          <w:rFonts w:ascii="Arial" w:hAnsi="Arial" w:hint="cs"/>
          <w:sz w:val="26"/>
          <w:szCs w:val="26"/>
          <w:rtl/>
        </w:rPr>
        <w:t xml:space="preserve"> </w:t>
      </w:r>
      <w:r w:rsidRPr="00DA79FD">
        <w:rPr>
          <w:rFonts w:ascii="Arial" w:hAnsi="Arial" w:hint="cs"/>
          <w:b/>
          <w:bCs/>
          <w:sz w:val="26"/>
          <w:szCs w:val="26"/>
          <w:rtl/>
        </w:rPr>
        <w:t xml:space="preserve">אל אטרש נ' הממונה על עבודות שירות </w:t>
      </w:r>
      <w:r w:rsidRPr="00DA79FD">
        <w:rPr>
          <w:rFonts w:ascii="Arial" w:hAnsi="Arial"/>
          <w:b/>
          <w:bCs/>
          <w:sz w:val="26"/>
          <w:szCs w:val="26"/>
          <w:rtl/>
        </w:rPr>
        <w:t>–</w:t>
      </w:r>
      <w:r w:rsidRPr="00DA79FD">
        <w:rPr>
          <w:rFonts w:ascii="Arial" w:hAnsi="Arial" w:hint="cs"/>
          <w:b/>
          <w:bCs/>
          <w:sz w:val="26"/>
          <w:szCs w:val="26"/>
          <w:rtl/>
        </w:rPr>
        <w:t xml:space="preserve"> מפקדת מחוז מרכז רמלה</w:t>
      </w:r>
      <w:r w:rsidRPr="00DA79FD">
        <w:rPr>
          <w:rFonts w:ascii="Arial" w:hAnsi="Arial" w:hint="cs"/>
          <w:sz w:val="26"/>
          <w:szCs w:val="26"/>
          <w:rtl/>
        </w:rPr>
        <w:t xml:space="preserve"> (7.11.11), פס' 4; </w:t>
      </w:r>
      <w:hyperlink r:id="rId61" w:history="1">
        <w:r w:rsidR="001E3053" w:rsidRPr="001E3053">
          <w:rPr>
            <w:rFonts w:ascii="Arial" w:hAnsi="Arial"/>
            <w:color w:val="0000FF"/>
            <w:sz w:val="26"/>
            <w:szCs w:val="26"/>
            <w:u w:val="single"/>
            <w:rtl/>
          </w:rPr>
          <w:t>עפ"ג )מחוזי חי') 14041-02-16</w:t>
        </w:r>
      </w:hyperlink>
      <w:r w:rsidRPr="00DA79FD">
        <w:rPr>
          <w:rFonts w:ascii="Arial" w:hAnsi="Arial" w:hint="cs"/>
          <w:sz w:val="26"/>
          <w:szCs w:val="26"/>
          <w:rtl/>
        </w:rPr>
        <w:t xml:space="preserve"> </w:t>
      </w:r>
      <w:r w:rsidRPr="00DA79FD">
        <w:rPr>
          <w:rFonts w:ascii="Arial" w:hAnsi="Arial" w:hint="cs"/>
          <w:b/>
          <w:bCs/>
          <w:sz w:val="26"/>
          <w:szCs w:val="26"/>
          <w:rtl/>
        </w:rPr>
        <w:t>אגבאריה נ' מדינת ישראל</w:t>
      </w:r>
      <w:r w:rsidRPr="00DA79FD">
        <w:rPr>
          <w:rFonts w:ascii="Arial" w:hAnsi="Arial" w:hint="cs"/>
          <w:sz w:val="26"/>
          <w:szCs w:val="26"/>
          <w:rtl/>
        </w:rPr>
        <w:t xml:space="preserve"> (21.4.16)).</w:t>
      </w:r>
    </w:p>
    <w:p w14:paraId="5CA6F56D" w14:textId="77777777" w:rsidR="00CA7CF6" w:rsidRDefault="00CA7CF6" w:rsidP="00CA7CF6">
      <w:pPr>
        <w:pStyle w:val="ListParagraph"/>
        <w:spacing w:after="160" w:line="360" w:lineRule="auto"/>
        <w:ind w:left="425"/>
        <w:contextualSpacing w:val="0"/>
        <w:jc w:val="both"/>
        <w:rPr>
          <w:rFonts w:ascii="Arial" w:hAnsi="Arial"/>
          <w:sz w:val="26"/>
          <w:szCs w:val="26"/>
        </w:rPr>
      </w:pPr>
      <w:r>
        <w:rPr>
          <w:rFonts w:ascii="Arial" w:hAnsi="Arial" w:hint="cs"/>
          <w:sz w:val="26"/>
          <w:szCs w:val="26"/>
          <w:rtl/>
        </w:rPr>
        <w:t xml:space="preserve">הבעיה שהתעוררה בפניי אינה נוגעת לפרשנות הלכתית של סמכות בית המשפט כי אם לעובדות המקרה. לטעם ב"כ המאשימה (עו"ד דן שורקי, שייצג בדיון המשלים) עליי לבחון האם קיים "יסוד סביר לחשש" לפגיעה בנאשם, כלשון </w:t>
      </w:r>
      <w:hyperlink r:id="rId62" w:history="1">
        <w:r w:rsidR="00E23D8B" w:rsidRPr="00E23D8B">
          <w:rPr>
            <w:rFonts w:ascii="Arial" w:hAnsi="Arial"/>
            <w:color w:val="0000FF"/>
            <w:sz w:val="26"/>
            <w:szCs w:val="26"/>
            <w:u w:val="single"/>
            <w:rtl/>
          </w:rPr>
          <w:t>סעיף 51ב(ב1)(1)</w:t>
        </w:r>
      </w:hyperlink>
      <w:r>
        <w:rPr>
          <w:rFonts w:ascii="Arial" w:hAnsi="Arial" w:hint="cs"/>
          <w:sz w:val="26"/>
          <w:szCs w:val="26"/>
          <w:rtl/>
        </w:rPr>
        <w:t xml:space="preserve"> ב</w:t>
      </w:r>
      <w:hyperlink r:id="rId63" w:history="1">
        <w:r w:rsidR="001E3053" w:rsidRPr="001E3053">
          <w:rPr>
            <w:rFonts w:ascii="Arial" w:hAnsi="Arial"/>
            <w:color w:val="0000FF"/>
            <w:sz w:val="26"/>
            <w:szCs w:val="26"/>
            <w:u w:val="single"/>
            <w:rtl/>
          </w:rPr>
          <w:t>חוק העונשין</w:t>
        </w:r>
      </w:hyperlink>
      <w:r>
        <w:rPr>
          <w:rFonts w:ascii="Arial" w:hAnsi="Arial" w:hint="cs"/>
          <w:sz w:val="26"/>
          <w:szCs w:val="26"/>
          <w:rtl/>
        </w:rPr>
        <w:t xml:space="preserve">. לדידו, אפילו היה מוכן הנאשם לקחת על עצמו את הסיכון לפגיעה בו עת יבצע עבודות שירות, הרי שתתכן פגיעה בסובבים אותו, וזאת אין לאפשר. </w:t>
      </w:r>
    </w:p>
    <w:p w14:paraId="0C222C8B"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אלא שלא שוכנעתי שאכן יש יסוד סביר לחשש לפגיעה בנאשם. אכן בין המידעים שהוצגו לי היה אחד שהוא עדכני למדי, אך עיקר החשש שהוצג לי אינו אלא השערה בדבר אירועים שאולי יתרחשו, ואולי לא. </w:t>
      </w:r>
    </w:p>
    <w:p w14:paraId="16139116"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Pr>
          <w:rFonts w:ascii="Arial" w:hAnsi="Arial" w:hint="cs"/>
          <w:sz w:val="26"/>
          <w:szCs w:val="26"/>
          <w:rtl/>
        </w:rPr>
        <w:t xml:space="preserve">נוכח זאת סבורני, כי שלילת האפשרות לרצות עונש בדרך של ביצוע עבודות שירות, משום שאחרים אולי יהוו איום על הנאשם, שעה ששליחתו לכלא, עלולה, ולטעמי בהסתברות גבוהה יותר, לעלות לו בהמשך קיום מסלול חיים נורמטיבי, מתעלמת מטובתו ומטובת הציבור ואינה מצויה ביחס ישיר לכובד אשמתו בגין העבירה אותה ביצע. </w:t>
      </w:r>
    </w:p>
    <w:p w14:paraId="07B1C280" w14:textId="77777777" w:rsidR="00CA7CF6" w:rsidRPr="00781A92" w:rsidRDefault="00CA7CF6" w:rsidP="00CA7CF6">
      <w:pPr>
        <w:spacing w:line="360" w:lineRule="auto"/>
        <w:jc w:val="both"/>
        <w:rPr>
          <w:rFonts w:ascii="Arial" w:hAnsi="Arial"/>
          <w:b/>
          <w:bCs/>
          <w:noProof w:val="0"/>
          <w:sz w:val="26"/>
          <w:szCs w:val="26"/>
          <w:u w:val="single"/>
        </w:rPr>
      </w:pPr>
      <w:r w:rsidRPr="00781A92">
        <w:rPr>
          <w:rFonts w:ascii="Arial" w:hAnsi="Arial" w:hint="cs"/>
          <w:b/>
          <w:bCs/>
          <w:noProof w:val="0"/>
          <w:sz w:val="26"/>
          <w:szCs w:val="26"/>
          <w:u w:val="single"/>
          <w:rtl/>
        </w:rPr>
        <w:t>העונש</w:t>
      </w:r>
    </w:p>
    <w:p w14:paraId="497F633E" w14:textId="77777777" w:rsidR="00CA7CF6" w:rsidRDefault="00CA7CF6" w:rsidP="00CA7CF6">
      <w:pPr>
        <w:pStyle w:val="ListParagraph"/>
        <w:numPr>
          <w:ilvl w:val="0"/>
          <w:numId w:val="1"/>
        </w:numPr>
        <w:spacing w:after="160" w:line="360" w:lineRule="auto"/>
        <w:ind w:left="425"/>
        <w:contextualSpacing w:val="0"/>
        <w:jc w:val="both"/>
        <w:rPr>
          <w:rFonts w:ascii="Arial" w:hAnsi="Arial"/>
          <w:sz w:val="26"/>
          <w:szCs w:val="26"/>
        </w:rPr>
      </w:pPr>
      <w:r w:rsidRPr="00A300F5">
        <w:rPr>
          <w:rFonts w:ascii="Arial" w:hAnsi="Arial" w:hint="cs"/>
          <w:sz w:val="26"/>
          <w:szCs w:val="26"/>
          <w:rtl/>
        </w:rPr>
        <w:t>משכך,</w:t>
      </w:r>
      <w:r>
        <w:rPr>
          <w:rFonts w:ascii="Arial" w:hAnsi="Arial" w:hint="cs"/>
          <w:sz w:val="26"/>
          <w:szCs w:val="26"/>
          <w:rtl/>
        </w:rPr>
        <w:t xml:space="preserve"> </w:t>
      </w:r>
      <w:r w:rsidRPr="00A300F5">
        <w:rPr>
          <w:rFonts w:ascii="Arial" w:hAnsi="Arial"/>
          <w:sz w:val="26"/>
          <w:szCs w:val="26"/>
          <w:rtl/>
        </w:rPr>
        <w:t>תוך שקלול הנתונים האמורים, העקרונות והשיקולים מכוח תיקון 113</w:t>
      </w:r>
      <w:r>
        <w:rPr>
          <w:rFonts w:ascii="Arial" w:hAnsi="Arial" w:hint="cs"/>
          <w:sz w:val="26"/>
          <w:szCs w:val="26"/>
          <w:rtl/>
        </w:rPr>
        <w:t xml:space="preserve"> ב</w:t>
      </w:r>
      <w:hyperlink r:id="rId64" w:history="1">
        <w:r w:rsidR="001E3053" w:rsidRPr="001E3053">
          <w:rPr>
            <w:rFonts w:ascii="Arial" w:hAnsi="Arial"/>
            <w:color w:val="0000FF"/>
            <w:sz w:val="26"/>
            <w:szCs w:val="26"/>
            <w:u w:val="single"/>
            <w:rtl/>
          </w:rPr>
          <w:t>חוק העונשין</w:t>
        </w:r>
      </w:hyperlink>
      <w:r w:rsidRPr="00A300F5">
        <w:rPr>
          <w:rFonts w:ascii="Arial" w:hAnsi="Arial"/>
          <w:sz w:val="26"/>
          <w:szCs w:val="26"/>
          <w:rtl/>
        </w:rPr>
        <w:t>, כמו גם השיקול של הרתעת</w:t>
      </w:r>
      <w:r w:rsidRPr="00A300F5">
        <w:rPr>
          <w:rFonts w:ascii="Arial" w:hAnsi="Arial" w:hint="cs"/>
          <w:sz w:val="26"/>
          <w:szCs w:val="26"/>
          <w:rtl/>
        </w:rPr>
        <w:t xml:space="preserve"> הנאשם</w:t>
      </w:r>
      <w:r w:rsidRPr="00A300F5">
        <w:rPr>
          <w:rFonts w:ascii="Arial" w:hAnsi="Arial"/>
          <w:sz w:val="26"/>
          <w:szCs w:val="26"/>
          <w:rtl/>
        </w:rPr>
        <w:t xml:space="preserve"> והרתעת אחרים, </w:t>
      </w:r>
      <w:r w:rsidRPr="00A300F5">
        <w:rPr>
          <w:rFonts w:ascii="Arial" w:hAnsi="Arial" w:hint="cs"/>
          <w:sz w:val="26"/>
          <w:szCs w:val="26"/>
          <w:rtl/>
        </w:rPr>
        <w:t>תוך</w:t>
      </w:r>
      <w:r w:rsidRPr="00A300F5">
        <w:rPr>
          <w:rFonts w:ascii="Arial" w:hAnsi="Arial"/>
          <w:sz w:val="26"/>
          <w:szCs w:val="26"/>
          <w:rtl/>
        </w:rPr>
        <w:t xml:space="preserve"> </w:t>
      </w:r>
      <w:r w:rsidRPr="00A300F5">
        <w:rPr>
          <w:rFonts w:ascii="Arial" w:hAnsi="Arial" w:hint="cs"/>
          <w:sz w:val="26"/>
          <w:szCs w:val="26"/>
          <w:rtl/>
        </w:rPr>
        <w:t xml:space="preserve">מתן </w:t>
      </w:r>
      <w:r w:rsidRPr="00A300F5">
        <w:rPr>
          <w:rFonts w:ascii="Arial" w:hAnsi="Arial"/>
          <w:sz w:val="26"/>
          <w:szCs w:val="26"/>
          <w:rtl/>
        </w:rPr>
        <w:t xml:space="preserve">משקל </w:t>
      </w:r>
      <w:r w:rsidRPr="00A300F5">
        <w:rPr>
          <w:rFonts w:ascii="Arial" w:hAnsi="Arial" w:hint="cs"/>
          <w:sz w:val="26"/>
          <w:szCs w:val="26"/>
          <w:rtl/>
        </w:rPr>
        <w:t>להודאת הנאשם</w:t>
      </w:r>
      <w:r w:rsidRPr="00A300F5">
        <w:rPr>
          <w:rFonts w:ascii="Arial" w:hAnsi="Arial"/>
          <w:sz w:val="26"/>
          <w:szCs w:val="26"/>
          <w:rtl/>
        </w:rPr>
        <w:t xml:space="preserve"> ו</w:t>
      </w:r>
      <w:r>
        <w:rPr>
          <w:rFonts w:ascii="Arial" w:hAnsi="Arial" w:hint="cs"/>
          <w:sz w:val="26"/>
          <w:szCs w:val="26"/>
          <w:rtl/>
        </w:rPr>
        <w:t>בעיקר נוכח</w:t>
      </w:r>
      <w:r w:rsidRPr="00A300F5">
        <w:rPr>
          <w:rFonts w:ascii="Arial" w:hAnsi="Arial"/>
          <w:sz w:val="26"/>
          <w:szCs w:val="26"/>
          <w:rtl/>
        </w:rPr>
        <w:t xml:space="preserve"> שיקומו</w:t>
      </w:r>
      <w:r>
        <w:rPr>
          <w:rFonts w:ascii="Arial" w:hAnsi="Arial" w:hint="cs"/>
          <w:sz w:val="26"/>
          <w:szCs w:val="26"/>
          <w:rtl/>
        </w:rPr>
        <w:t xml:space="preserve"> עד היום, ומתוך תקווה שלא יפריך את האמון אשר ניתן בו עתה,</w:t>
      </w:r>
      <w:r>
        <w:rPr>
          <w:rFonts w:ascii="Arial" w:hAnsi="Arial"/>
          <w:sz w:val="26"/>
          <w:szCs w:val="26"/>
          <w:rtl/>
        </w:rPr>
        <w:t xml:space="preserve"> אני גוזר על הנאשם</w:t>
      </w:r>
      <w:r w:rsidRPr="00A300F5">
        <w:rPr>
          <w:rFonts w:ascii="Arial" w:hAnsi="Arial"/>
          <w:sz w:val="26"/>
          <w:szCs w:val="26"/>
          <w:rtl/>
        </w:rPr>
        <w:t xml:space="preserve"> את העונשים הבאים:</w:t>
      </w:r>
    </w:p>
    <w:p w14:paraId="370F2AF3"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Pr>
          <w:rFonts w:ascii="Arial" w:hAnsi="Arial" w:hint="cs"/>
          <w:b/>
          <w:bCs/>
          <w:sz w:val="26"/>
          <w:szCs w:val="26"/>
          <w:rtl/>
        </w:rPr>
        <w:t>שישה חודשי</w:t>
      </w:r>
      <w:r w:rsidRPr="008D2760">
        <w:rPr>
          <w:rFonts w:ascii="Arial" w:hAnsi="Arial" w:hint="cs"/>
          <w:b/>
          <w:bCs/>
          <w:sz w:val="26"/>
          <w:szCs w:val="26"/>
          <w:rtl/>
        </w:rPr>
        <w:t xml:space="preserve"> מאסר </w:t>
      </w:r>
      <w:r>
        <w:rPr>
          <w:rFonts w:ascii="Arial" w:hAnsi="Arial" w:hint="cs"/>
          <w:b/>
          <w:bCs/>
          <w:sz w:val="26"/>
          <w:szCs w:val="26"/>
          <w:rtl/>
        </w:rPr>
        <w:t>שיבוצעו בדרך של עבודות שירות</w:t>
      </w:r>
      <w:r>
        <w:rPr>
          <w:rFonts w:ascii="Arial" w:hAnsi="Arial" w:hint="cs"/>
          <w:sz w:val="26"/>
          <w:szCs w:val="26"/>
          <w:rtl/>
        </w:rPr>
        <w:t>.</w:t>
      </w:r>
    </w:p>
    <w:p w14:paraId="5BEF758E"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צו מבחן למשך שנה מהיום</w:t>
      </w:r>
      <w:r w:rsidRPr="00DA79FD">
        <w:rPr>
          <w:rFonts w:ascii="Arial" w:hAnsi="Arial" w:hint="cs"/>
          <w:sz w:val="26"/>
          <w:szCs w:val="26"/>
          <w:rtl/>
        </w:rPr>
        <w:t>. מובהר לנאשם כי אם לא יבצע את המבחן יהיה ניתן להפקיעו ולשוב ולגזור את דינו.</w:t>
      </w:r>
    </w:p>
    <w:p w14:paraId="0C7DBB28"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 xml:space="preserve">מאסר על תנאי של </w:t>
      </w:r>
      <w:r>
        <w:rPr>
          <w:rFonts w:ascii="Arial" w:hAnsi="Arial" w:hint="cs"/>
          <w:b/>
          <w:bCs/>
          <w:sz w:val="26"/>
          <w:szCs w:val="26"/>
          <w:rtl/>
        </w:rPr>
        <w:t>שנים-עשר</w:t>
      </w:r>
      <w:r w:rsidRPr="00DA79FD">
        <w:rPr>
          <w:rFonts w:ascii="Arial" w:hAnsi="Arial" w:hint="cs"/>
          <w:b/>
          <w:bCs/>
          <w:sz w:val="26"/>
          <w:szCs w:val="26"/>
          <w:rtl/>
        </w:rPr>
        <w:t xml:space="preserve"> (12) חודשים.</w:t>
      </w:r>
      <w:r w:rsidRPr="00DA79FD">
        <w:rPr>
          <w:rFonts w:ascii="Arial" w:hAnsi="Arial" w:hint="cs"/>
          <w:sz w:val="26"/>
          <w:szCs w:val="26"/>
          <w:rtl/>
        </w:rPr>
        <w:t xml:space="preserve"> והתנאי הוא שבמשך 3 שנים מיום מתן גזר הדין לא יעבור עבירה </w:t>
      </w:r>
      <w:r>
        <w:rPr>
          <w:rFonts w:ascii="Arial" w:hAnsi="Arial" w:hint="cs"/>
          <w:sz w:val="26"/>
          <w:szCs w:val="26"/>
          <w:rtl/>
        </w:rPr>
        <w:t>לפי</w:t>
      </w:r>
      <w:r w:rsidRPr="00DA79FD">
        <w:rPr>
          <w:rFonts w:ascii="Arial" w:hAnsi="Arial" w:hint="cs"/>
          <w:sz w:val="26"/>
          <w:szCs w:val="26"/>
          <w:rtl/>
        </w:rPr>
        <w:t xml:space="preserve"> </w:t>
      </w:r>
      <w:hyperlink r:id="rId65" w:history="1">
        <w:r w:rsidR="00E23D8B" w:rsidRPr="00E23D8B">
          <w:rPr>
            <w:rFonts w:ascii="Arial" w:hAnsi="Arial"/>
            <w:color w:val="0000FF"/>
            <w:sz w:val="26"/>
            <w:szCs w:val="26"/>
            <w:u w:val="single"/>
            <w:rtl/>
          </w:rPr>
          <w:t>סעיף 144</w:t>
        </w:r>
      </w:hyperlink>
      <w:r w:rsidRPr="00DA79FD">
        <w:rPr>
          <w:rFonts w:ascii="Arial" w:hAnsi="Arial" w:hint="cs"/>
          <w:sz w:val="26"/>
          <w:szCs w:val="26"/>
          <w:rtl/>
        </w:rPr>
        <w:t xml:space="preserve"> ב</w:t>
      </w:r>
      <w:hyperlink r:id="rId66" w:history="1">
        <w:r w:rsidR="001E3053" w:rsidRPr="001E3053">
          <w:rPr>
            <w:rFonts w:ascii="Arial" w:hAnsi="Arial"/>
            <w:color w:val="0000FF"/>
            <w:sz w:val="26"/>
            <w:szCs w:val="26"/>
            <w:u w:val="single"/>
            <w:rtl/>
          </w:rPr>
          <w:t>חוק העונשין</w:t>
        </w:r>
      </w:hyperlink>
      <w:r w:rsidRPr="00DA79FD">
        <w:rPr>
          <w:rFonts w:ascii="Arial" w:hAnsi="Arial" w:hint="cs"/>
          <w:sz w:val="26"/>
          <w:szCs w:val="26"/>
          <w:rtl/>
        </w:rPr>
        <w:t>.</w:t>
      </w:r>
    </w:p>
    <w:p w14:paraId="4E819697" w14:textId="77777777" w:rsidR="00CA7CF6" w:rsidRDefault="00CA7CF6" w:rsidP="00CA7CF6">
      <w:pPr>
        <w:pStyle w:val="ListParagraph"/>
        <w:numPr>
          <w:ilvl w:val="1"/>
          <w:numId w:val="1"/>
        </w:numPr>
        <w:spacing w:after="160" w:line="360" w:lineRule="auto"/>
        <w:ind w:left="1275" w:hanging="850"/>
        <w:contextualSpacing w:val="0"/>
        <w:jc w:val="both"/>
        <w:rPr>
          <w:rFonts w:ascii="Arial" w:hAnsi="Arial"/>
          <w:sz w:val="26"/>
          <w:szCs w:val="26"/>
        </w:rPr>
      </w:pPr>
      <w:r w:rsidRPr="00DA79FD">
        <w:rPr>
          <w:rFonts w:ascii="Arial" w:hAnsi="Arial" w:hint="cs"/>
          <w:b/>
          <w:bCs/>
          <w:sz w:val="26"/>
          <w:szCs w:val="26"/>
          <w:rtl/>
        </w:rPr>
        <w:t>קנס בסך 30,000 ₪.</w:t>
      </w:r>
      <w:r w:rsidRPr="00DA79FD">
        <w:rPr>
          <w:rFonts w:ascii="Arial" w:hAnsi="Arial" w:hint="cs"/>
          <w:sz w:val="26"/>
          <w:szCs w:val="26"/>
          <w:rtl/>
        </w:rPr>
        <w:t xml:space="preserve"> הקנס ישולם בשלושה תשלומים. הראשון </w:t>
      </w:r>
      <w:r w:rsidRPr="00DA79FD">
        <w:rPr>
          <w:rFonts w:ascii="Arial" w:hAnsi="Arial"/>
          <w:sz w:val="26"/>
          <w:szCs w:val="26"/>
          <w:rtl/>
        </w:rPr>
        <w:t>–</w:t>
      </w:r>
      <w:r w:rsidRPr="00DA79FD">
        <w:rPr>
          <w:rFonts w:ascii="Arial" w:hAnsi="Arial" w:hint="cs"/>
          <w:sz w:val="26"/>
          <w:szCs w:val="26"/>
          <w:rtl/>
        </w:rPr>
        <w:t xml:space="preserve"> לא יאוחר מיום 4.5.17; השני </w:t>
      </w:r>
      <w:r w:rsidRPr="00DA79FD">
        <w:rPr>
          <w:rFonts w:ascii="Arial" w:hAnsi="Arial"/>
          <w:sz w:val="26"/>
          <w:szCs w:val="26"/>
          <w:rtl/>
        </w:rPr>
        <w:t>–</w:t>
      </w:r>
      <w:r>
        <w:rPr>
          <w:rFonts w:ascii="Arial" w:hAnsi="Arial" w:hint="cs"/>
          <w:sz w:val="26"/>
          <w:szCs w:val="26"/>
          <w:rtl/>
        </w:rPr>
        <w:t xml:space="preserve"> לא יאוחר מיום 4.6.17</w:t>
      </w:r>
      <w:r w:rsidRPr="00DA79FD">
        <w:rPr>
          <w:rFonts w:ascii="Arial" w:hAnsi="Arial" w:hint="cs"/>
          <w:sz w:val="26"/>
          <w:szCs w:val="26"/>
          <w:rtl/>
        </w:rPr>
        <w:t xml:space="preserve">; והשלישי </w:t>
      </w:r>
      <w:r w:rsidRPr="00DA79FD">
        <w:rPr>
          <w:rFonts w:ascii="Arial" w:hAnsi="Arial"/>
          <w:sz w:val="26"/>
          <w:szCs w:val="26"/>
          <w:rtl/>
        </w:rPr>
        <w:t>–</w:t>
      </w:r>
      <w:r>
        <w:rPr>
          <w:rFonts w:ascii="Arial" w:hAnsi="Arial" w:hint="cs"/>
          <w:sz w:val="26"/>
          <w:szCs w:val="26"/>
          <w:rtl/>
        </w:rPr>
        <w:t xml:space="preserve"> לא יאוחר מיום 4.7.17, ולא יאוחר מה-10 בכל אחד מהחודשים האמורים.</w:t>
      </w:r>
    </w:p>
    <w:p w14:paraId="5C7B0D60" w14:textId="77777777" w:rsidR="00CA7CF6" w:rsidRPr="00DA79FD" w:rsidRDefault="00CA7CF6" w:rsidP="00CA7CF6">
      <w:pPr>
        <w:pStyle w:val="ListParagraph"/>
        <w:spacing w:after="160" w:line="360" w:lineRule="auto"/>
        <w:ind w:left="1275"/>
        <w:contextualSpacing w:val="0"/>
        <w:jc w:val="both"/>
        <w:rPr>
          <w:rFonts w:ascii="Arial" w:hAnsi="Arial"/>
          <w:sz w:val="26"/>
          <w:szCs w:val="26"/>
        </w:rPr>
      </w:pPr>
      <w:r w:rsidRPr="00DA79FD">
        <w:rPr>
          <w:rFonts w:ascii="Arial" w:hAnsi="Arial" w:hint="cs"/>
          <w:sz w:val="26"/>
          <w:szCs w:val="26"/>
          <w:rtl/>
        </w:rPr>
        <w:t>אם לא ישולם אחד מתשלומי הקנס במועד הקבוע, תעמוד יתרת הקנס לפירעון מיידי</w:t>
      </w:r>
      <w:r>
        <w:rPr>
          <w:rFonts w:ascii="Arial" w:hAnsi="Arial" w:hint="cs"/>
          <w:sz w:val="26"/>
          <w:szCs w:val="26"/>
          <w:rtl/>
        </w:rPr>
        <w:t xml:space="preserve">. כן, בגין כל תשלום, שלא ישולם במועדו, </w:t>
      </w:r>
      <w:r w:rsidRPr="00DA79FD">
        <w:rPr>
          <w:rFonts w:ascii="Arial" w:hAnsi="Arial" w:hint="cs"/>
          <w:sz w:val="26"/>
          <w:szCs w:val="26"/>
          <w:rtl/>
        </w:rPr>
        <w:t xml:space="preserve">יישא </w:t>
      </w:r>
      <w:r>
        <w:rPr>
          <w:rFonts w:ascii="Arial" w:hAnsi="Arial" w:hint="cs"/>
          <w:sz w:val="26"/>
          <w:szCs w:val="26"/>
          <w:rtl/>
        </w:rPr>
        <w:t xml:space="preserve">הנאשם </w:t>
      </w:r>
      <w:r w:rsidRPr="00DA79FD">
        <w:rPr>
          <w:rFonts w:ascii="Arial" w:hAnsi="Arial" w:hint="cs"/>
          <w:sz w:val="26"/>
          <w:szCs w:val="26"/>
          <w:rtl/>
        </w:rPr>
        <w:t xml:space="preserve">בעונש של </w:t>
      </w:r>
      <w:r>
        <w:rPr>
          <w:rFonts w:ascii="Arial" w:hAnsi="Arial" w:hint="cs"/>
          <w:sz w:val="26"/>
          <w:szCs w:val="26"/>
          <w:rtl/>
        </w:rPr>
        <w:t xml:space="preserve"> חודש</w:t>
      </w:r>
      <w:r w:rsidRPr="00DA79FD">
        <w:rPr>
          <w:rFonts w:ascii="Arial" w:hAnsi="Arial" w:hint="cs"/>
          <w:sz w:val="26"/>
          <w:szCs w:val="26"/>
          <w:rtl/>
        </w:rPr>
        <w:t xml:space="preserve"> מאסר</w:t>
      </w:r>
      <w:r>
        <w:rPr>
          <w:rFonts w:ascii="Arial" w:hAnsi="Arial" w:hint="cs"/>
          <w:sz w:val="26"/>
          <w:szCs w:val="26"/>
          <w:rtl/>
        </w:rPr>
        <w:t xml:space="preserve"> בפועל</w:t>
      </w:r>
      <w:r w:rsidRPr="00DA79FD">
        <w:rPr>
          <w:rFonts w:ascii="Arial" w:hAnsi="Arial" w:hint="cs"/>
          <w:sz w:val="26"/>
          <w:szCs w:val="26"/>
          <w:rtl/>
        </w:rPr>
        <w:t>.</w:t>
      </w:r>
    </w:p>
    <w:p w14:paraId="77BCF2A4" w14:textId="77777777" w:rsidR="00CA7CF6" w:rsidRDefault="00CA7CF6" w:rsidP="00CA7CF6">
      <w:pPr>
        <w:pStyle w:val="ListParagraph"/>
        <w:numPr>
          <w:ilvl w:val="0"/>
          <w:numId w:val="1"/>
        </w:numPr>
        <w:spacing w:after="160" w:line="360" w:lineRule="auto"/>
        <w:ind w:left="425"/>
        <w:contextualSpacing w:val="0"/>
        <w:jc w:val="both"/>
        <w:rPr>
          <w:rFonts w:ascii="Arial" w:hAnsi="Arial"/>
          <w:b/>
          <w:bCs/>
          <w:sz w:val="26"/>
          <w:szCs w:val="26"/>
        </w:rPr>
      </w:pPr>
      <w:r w:rsidRPr="00DA79FD">
        <w:rPr>
          <w:rFonts w:ascii="Arial" w:hAnsi="Arial" w:hint="cs"/>
          <w:b/>
          <w:bCs/>
          <w:sz w:val="26"/>
          <w:szCs w:val="26"/>
          <w:rtl/>
        </w:rPr>
        <w:t xml:space="preserve">על הממונה על עבודות שירות ליתן חוות דעת משלימה בדבר מקום ביצוע עבודות השירות. נוכח חששות המאשימה, ניתן לשקול ביצע העבודות במתקן משטרתי. </w:t>
      </w:r>
    </w:p>
    <w:p w14:paraId="26B56475" w14:textId="77777777" w:rsidR="00CA7CF6" w:rsidRPr="00D477E4" w:rsidRDefault="00CA7CF6" w:rsidP="00CA7CF6">
      <w:pPr>
        <w:pStyle w:val="ListParagraph"/>
        <w:spacing w:after="160" w:line="360" w:lineRule="auto"/>
        <w:ind w:left="425"/>
        <w:contextualSpacing w:val="0"/>
        <w:jc w:val="both"/>
        <w:rPr>
          <w:rFonts w:ascii="Arial" w:hAnsi="Arial"/>
          <w:b/>
          <w:bCs/>
          <w:sz w:val="26"/>
          <w:szCs w:val="26"/>
          <w:u w:val="single"/>
        </w:rPr>
      </w:pPr>
      <w:r w:rsidRPr="00D477E4">
        <w:rPr>
          <w:rFonts w:ascii="Arial" w:hAnsi="Arial" w:hint="cs"/>
          <w:b/>
          <w:bCs/>
          <w:sz w:val="26"/>
          <w:szCs w:val="26"/>
          <w:u w:val="single"/>
          <w:rtl/>
        </w:rPr>
        <w:t>חוות דעת הממונה תוגש לא יאוחר מיום 4.5.17.</w:t>
      </w:r>
    </w:p>
    <w:p w14:paraId="17DB9F1E" w14:textId="77777777" w:rsidR="00CA7CF6" w:rsidRPr="00DA79FD" w:rsidRDefault="00CA7CF6" w:rsidP="00CA7CF6">
      <w:pPr>
        <w:pStyle w:val="ListParagraph"/>
        <w:numPr>
          <w:ilvl w:val="0"/>
          <w:numId w:val="1"/>
        </w:numPr>
        <w:spacing w:after="160" w:line="360" w:lineRule="auto"/>
        <w:ind w:left="425"/>
        <w:contextualSpacing w:val="0"/>
        <w:jc w:val="both"/>
        <w:rPr>
          <w:rFonts w:ascii="Arial" w:hAnsi="Arial"/>
          <w:b/>
          <w:bCs/>
          <w:sz w:val="26"/>
          <w:szCs w:val="26"/>
        </w:rPr>
      </w:pPr>
      <w:r>
        <w:rPr>
          <w:rFonts w:ascii="Arial" w:hAnsi="Arial" w:hint="cs"/>
          <w:b/>
          <w:bCs/>
          <w:sz w:val="26"/>
          <w:szCs w:val="26"/>
          <w:rtl/>
        </w:rPr>
        <w:t xml:space="preserve">נקבע לדיון משלים </w:t>
      </w:r>
      <w:r w:rsidRPr="00D477E4">
        <w:rPr>
          <w:rFonts w:ascii="Arial" w:hAnsi="Arial" w:hint="cs"/>
          <w:b/>
          <w:bCs/>
          <w:sz w:val="26"/>
          <w:szCs w:val="26"/>
          <w:u w:val="single"/>
          <w:rtl/>
        </w:rPr>
        <w:t>ביום 11.5.17 שעה 12:00.</w:t>
      </w:r>
    </w:p>
    <w:p w14:paraId="5F7407BB" w14:textId="77777777" w:rsidR="00CA7CF6" w:rsidRPr="00E42BE2" w:rsidRDefault="001E3053" w:rsidP="00CA7CF6">
      <w:pPr>
        <w:spacing w:line="360" w:lineRule="auto"/>
        <w:jc w:val="both"/>
        <w:rPr>
          <w:rFonts w:ascii="Arial" w:hAnsi="Arial"/>
          <w:b/>
          <w:bCs/>
          <w:noProof w:val="0"/>
          <w:rtl/>
        </w:rPr>
      </w:pPr>
      <w:r w:rsidRPr="001E3053">
        <w:rPr>
          <w:rFonts w:ascii="Arial" w:hAnsi="Arial"/>
          <w:b/>
          <w:bCs/>
          <w:noProof w:val="0"/>
          <w:color w:val="FFFFFF"/>
          <w:sz w:val="2"/>
          <w:szCs w:val="2"/>
          <w:rtl/>
        </w:rPr>
        <w:t>5129371</w:t>
      </w:r>
      <w:r w:rsidR="00CA7CF6" w:rsidRPr="00E42BE2">
        <w:rPr>
          <w:rFonts w:ascii="Arial" w:hAnsi="Arial" w:hint="cs"/>
          <w:b/>
          <w:bCs/>
          <w:noProof w:val="0"/>
          <w:rtl/>
        </w:rPr>
        <w:t>המזכירות תשלח העתקים ל</w:t>
      </w:r>
      <w:r w:rsidR="00CA7CF6">
        <w:rPr>
          <w:rFonts w:ascii="Arial" w:hAnsi="Arial" w:hint="cs"/>
          <w:b/>
          <w:bCs/>
          <w:noProof w:val="0"/>
          <w:rtl/>
        </w:rPr>
        <w:t>ממונה על עבודות שירות ותפנה תשומת לבו לסעיף 48 לעיל</w:t>
      </w:r>
      <w:r w:rsidR="00CA7CF6" w:rsidRPr="00E42BE2">
        <w:rPr>
          <w:rFonts w:ascii="Arial" w:hAnsi="Arial" w:hint="cs"/>
          <w:b/>
          <w:bCs/>
          <w:noProof w:val="0"/>
          <w:rtl/>
        </w:rPr>
        <w:t>.</w:t>
      </w:r>
    </w:p>
    <w:tbl>
      <w:tblPr>
        <w:bidiVisual/>
        <w:tblW w:w="0" w:type="auto"/>
        <w:tblInd w:w="5652" w:type="dxa"/>
        <w:tblLook w:val="01E0" w:firstRow="1" w:lastRow="1" w:firstColumn="1" w:lastColumn="1" w:noHBand="0" w:noVBand="0"/>
      </w:tblPr>
      <w:tblGrid>
        <w:gridCol w:w="2511"/>
      </w:tblGrid>
      <w:tr w:rsidR="00CA7CF6" w14:paraId="600B6C76" w14:textId="77777777" w:rsidTr="001E3053">
        <w:tc>
          <w:tcPr>
            <w:tcW w:w="2511" w:type="dxa"/>
            <w:tcBorders>
              <w:top w:val="nil"/>
              <w:left w:val="nil"/>
              <w:bottom w:val="single" w:sz="4" w:space="0" w:color="auto"/>
              <w:right w:val="nil"/>
            </w:tcBorders>
            <w:shd w:val="clear" w:color="auto" w:fill="auto"/>
            <w:vAlign w:val="center"/>
          </w:tcPr>
          <w:p w14:paraId="015975DE" w14:textId="77777777" w:rsidR="00CA7CF6" w:rsidRPr="00D96343" w:rsidRDefault="001E3053" w:rsidP="001E3053">
            <w:pPr>
              <w:jc w:val="center"/>
              <w:rPr>
                <w:rFonts w:ascii="Courier New" w:hAnsi="Courier New"/>
                <w:b/>
                <w:bCs/>
              </w:rPr>
            </w:pPr>
            <w:r w:rsidRPr="001E3053">
              <w:rPr>
                <w:rFonts w:ascii="Arial" w:hAnsi="Arial"/>
                <w:b/>
                <w:bCs/>
                <w:noProof w:val="0"/>
                <w:color w:val="FFFFFF"/>
                <w:sz w:val="2"/>
                <w:szCs w:val="2"/>
                <w:rtl/>
              </w:rPr>
              <w:t>54678313</w:t>
            </w:r>
            <w:r>
              <w:rPr>
                <w:rFonts w:ascii="Arial" w:hAnsi="Arial"/>
                <w:b/>
                <w:bCs/>
                <w:noProof w:val="0"/>
                <w:rtl/>
              </w:rPr>
              <w:t xml:space="preserve">ניתן היום, י' ניסן תשע"ז, 06 אפריל 2017, בנוכחות הנאשם וב"כ הצדדים. </w:t>
            </w:r>
          </w:p>
        </w:tc>
      </w:tr>
      <w:tr w:rsidR="00CA7CF6" w14:paraId="69A76AF0" w14:textId="77777777" w:rsidTr="001E3053">
        <w:tc>
          <w:tcPr>
            <w:tcW w:w="2511" w:type="dxa"/>
            <w:tcBorders>
              <w:top w:val="single" w:sz="4" w:space="0" w:color="auto"/>
              <w:left w:val="nil"/>
              <w:bottom w:val="nil"/>
              <w:right w:val="nil"/>
            </w:tcBorders>
            <w:shd w:val="clear" w:color="auto" w:fill="auto"/>
            <w:vAlign w:val="center"/>
          </w:tcPr>
          <w:p w14:paraId="314CC828" w14:textId="77777777" w:rsidR="00CA7CF6" w:rsidRPr="00D96343" w:rsidRDefault="00CA7CF6" w:rsidP="001E3053">
            <w:pPr>
              <w:spacing w:line="360" w:lineRule="auto"/>
              <w:jc w:val="center"/>
              <w:rPr>
                <w:b/>
                <w:bCs/>
                <w:rtl/>
              </w:rPr>
            </w:pPr>
            <w:r w:rsidRPr="00D96343">
              <w:rPr>
                <w:rFonts w:hint="cs"/>
                <w:b/>
                <w:bCs/>
                <w:rtl/>
              </w:rPr>
              <w:t>אהרן פרקש, נשיא</w:t>
            </w:r>
          </w:p>
        </w:tc>
      </w:tr>
    </w:tbl>
    <w:p w14:paraId="56BE732B" w14:textId="77777777" w:rsidR="00CA7CF6" w:rsidRDefault="00CA7CF6" w:rsidP="00CA7CF6">
      <w:pPr>
        <w:spacing w:line="360" w:lineRule="auto"/>
        <w:jc w:val="both"/>
        <w:rPr>
          <w:rFonts w:ascii="Arial" w:hAnsi="Arial"/>
          <w:noProof w:val="0"/>
          <w:rtl/>
        </w:rPr>
      </w:pPr>
    </w:p>
    <w:p w14:paraId="63552DBB" w14:textId="77777777" w:rsidR="001E3053" w:rsidRPr="001E3053" w:rsidRDefault="001E3053" w:rsidP="001E3053">
      <w:pPr>
        <w:keepNext/>
        <w:rPr>
          <w:rFonts w:ascii="David" w:hAnsi="David"/>
          <w:color w:val="000000"/>
          <w:sz w:val="22"/>
          <w:szCs w:val="22"/>
          <w:rtl/>
        </w:rPr>
      </w:pPr>
    </w:p>
    <w:p w14:paraId="55C85B77" w14:textId="77777777" w:rsidR="001E3053" w:rsidRPr="001E3053" w:rsidRDefault="001E3053" w:rsidP="001E3053">
      <w:pPr>
        <w:keepNext/>
        <w:rPr>
          <w:rFonts w:ascii="David" w:hAnsi="David"/>
          <w:color w:val="000000"/>
          <w:sz w:val="22"/>
          <w:szCs w:val="22"/>
          <w:rtl/>
        </w:rPr>
      </w:pPr>
      <w:r w:rsidRPr="001E3053">
        <w:rPr>
          <w:rFonts w:ascii="David" w:hAnsi="David"/>
          <w:color w:val="000000"/>
          <w:sz w:val="22"/>
          <w:szCs w:val="22"/>
          <w:rtl/>
        </w:rPr>
        <w:t>אהרן פרקש 54678313</w:t>
      </w:r>
    </w:p>
    <w:p w14:paraId="0269B9BA" w14:textId="77777777" w:rsidR="001E3053" w:rsidRDefault="001E3053" w:rsidP="001E3053">
      <w:r w:rsidRPr="001E3053">
        <w:rPr>
          <w:color w:val="000000"/>
          <w:rtl/>
        </w:rPr>
        <w:t>נוסח מסמך זה כפוף לשינויי ניסוח ועריכה</w:t>
      </w:r>
    </w:p>
    <w:p w14:paraId="2D06D1B7" w14:textId="77777777" w:rsidR="001E3053" w:rsidRDefault="001E3053" w:rsidP="001E3053">
      <w:pPr>
        <w:rPr>
          <w:rtl/>
        </w:rPr>
      </w:pPr>
    </w:p>
    <w:p w14:paraId="79A81559" w14:textId="77777777" w:rsidR="001E3053" w:rsidRDefault="001E3053" w:rsidP="001E3053">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4047ED32" w14:textId="77777777" w:rsidR="00B35717" w:rsidRPr="001E3053" w:rsidRDefault="00B35717" w:rsidP="001E3053">
      <w:pPr>
        <w:jc w:val="center"/>
        <w:rPr>
          <w:color w:val="0000FF"/>
          <w:u w:val="single"/>
        </w:rPr>
      </w:pPr>
    </w:p>
    <w:sectPr w:rsidR="00B35717" w:rsidRPr="001E3053" w:rsidSect="001E3053">
      <w:headerReference w:type="even" r:id="rId68"/>
      <w:headerReference w:type="default" r:id="rId69"/>
      <w:footerReference w:type="even" r:id="rId70"/>
      <w:footerReference w:type="default" r:id="rId7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D3238" w14:textId="77777777" w:rsidR="00AA2A95" w:rsidRDefault="00AA2A95">
      <w:r>
        <w:separator/>
      </w:r>
    </w:p>
  </w:endnote>
  <w:endnote w:type="continuationSeparator" w:id="0">
    <w:p w14:paraId="62C5D668" w14:textId="77777777" w:rsidR="00AA2A95" w:rsidRDefault="00AA2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1218E" w14:textId="77777777" w:rsidR="00AA2A95" w:rsidRDefault="00AA2A95" w:rsidP="001E30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EA0F9B5" w14:textId="77777777" w:rsidR="00AA2A95" w:rsidRPr="001E3053" w:rsidRDefault="00AA2A95" w:rsidP="001E3053">
    <w:pPr>
      <w:pStyle w:val="a5"/>
      <w:pBdr>
        <w:top w:val="single" w:sz="4" w:space="1" w:color="auto"/>
        <w:between w:val="single" w:sz="4" w:space="0" w:color="auto"/>
      </w:pBdr>
      <w:spacing w:after="60"/>
      <w:jc w:val="center"/>
      <w:rPr>
        <w:rFonts w:ascii="FrankRuehl" w:hAnsi="FrankRuehl" w:cs="FrankRuehl"/>
        <w:color w:val="000000"/>
      </w:rPr>
    </w:pPr>
    <w:r w:rsidRPr="001E30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3B08" w14:textId="77777777" w:rsidR="00AA2A95" w:rsidRDefault="00AA2A95" w:rsidP="001E3053">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C729EE">
      <w:rPr>
        <w:rStyle w:val="a6"/>
        <w:rFonts w:ascii="FrankRuehl" w:hAnsi="FrankRuehl" w:cs="FrankRuehl"/>
        <w:rtl/>
      </w:rPr>
      <w:t>1</w:t>
    </w:r>
    <w:r>
      <w:rPr>
        <w:rStyle w:val="a6"/>
        <w:rFonts w:ascii="FrankRuehl" w:hAnsi="FrankRuehl" w:cs="FrankRuehl"/>
        <w:rtl/>
      </w:rPr>
      <w:fldChar w:fldCharType="end"/>
    </w:r>
  </w:p>
  <w:p w14:paraId="6EDD785F" w14:textId="77777777" w:rsidR="00AA2A95" w:rsidRPr="001E3053" w:rsidRDefault="00AA2A95" w:rsidP="001E3053">
    <w:pPr>
      <w:pStyle w:val="a5"/>
      <w:pBdr>
        <w:top w:val="single" w:sz="4" w:space="1" w:color="auto"/>
        <w:between w:val="single" w:sz="4" w:space="0" w:color="auto"/>
      </w:pBdr>
      <w:spacing w:after="60"/>
      <w:jc w:val="center"/>
      <w:rPr>
        <w:rStyle w:val="a6"/>
        <w:rFonts w:ascii="FrankRuehl" w:hAnsi="FrankRuehl" w:cs="FrankRuehl"/>
        <w:color w:val="000000"/>
      </w:rPr>
    </w:pPr>
    <w:r w:rsidRPr="001E3053">
      <w:rPr>
        <w:rStyle w:val="a6"/>
        <w:rFonts w:ascii="FrankRuehl" w:hAnsi="FrankRuehl" w:cs="FrankRuehl"/>
        <w:color w:val="000000"/>
      </w:rPr>
      <w:pict w14:anchorId="6733A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AD766" w14:textId="77777777" w:rsidR="00AA2A95" w:rsidRDefault="00AA2A95">
      <w:r>
        <w:separator/>
      </w:r>
    </w:p>
  </w:footnote>
  <w:footnote w:type="continuationSeparator" w:id="0">
    <w:p w14:paraId="0DE5BBD5" w14:textId="77777777" w:rsidR="00AA2A95" w:rsidRDefault="00AA2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4AEA7" w14:textId="77777777" w:rsidR="00AA2A95" w:rsidRPr="001E3053" w:rsidRDefault="00AA2A95" w:rsidP="001E305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39071-12-15</w:t>
    </w:r>
    <w:r>
      <w:rPr>
        <w:rFonts w:ascii="David" w:hAnsi="David"/>
        <w:color w:val="000000"/>
        <w:sz w:val="22"/>
        <w:szCs w:val="22"/>
        <w:rtl/>
      </w:rPr>
      <w:tab/>
      <w:t xml:space="preserve"> מדינת ישראל נ' עמאר מצרי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9085" w14:textId="77777777" w:rsidR="00AA2A95" w:rsidRPr="001E3053" w:rsidRDefault="00AA2A95" w:rsidP="001E305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39071-12-15</w:t>
    </w:r>
    <w:r>
      <w:rPr>
        <w:rFonts w:ascii="David" w:hAnsi="David"/>
        <w:color w:val="000000"/>
        <w:sz w:val="22"/>
        <w:szCs w:val="22"/>
        <w:rtl/>
      </w:rPr>
      <w:tab/>
      <w:t xml:space="preserve"> מדינת ישראל נ' עמאר מצרי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A6E0E"/>
    <w:multiLevelType w:val="multilevel"/>
    <w:tmpl w:val="ED42C108"/>
    <w:lvl w:ilvl="0">
      <w:start w:val="1"/>
      <w:numFmt w:val="decimal"/>
      <w:lvlText w:val="%1."/>
      <w:lvlJc w:val="left"/>
      <w:pPr>
        <w:ind w:left="720" w:hanging="360"/>
      </w:pPr>
    </w:lvl>
    <w:lvl w:ilvl="1">
      <w:start w:val="1"/>
      <w:numFmt w:val="decimal"/>
      <w:isLgl/>
      <w:lvlText w:val="%1.%2"/>
      <w:lvlJc w:val="left"/>
      <w:pPr>
        <w:ind w:left="2165" w:hanging="1020"/>
      </w:pPr>
      <w:rPr>
        <w:rFonts w:hint="default"/>
        <w:b/>
      </w:rPr>
    </w:lvl>
    <w:lvl w:ilvl="2">
      <w:start w:val="1"/>
      <w:numFmt w:val="decimal"/>
      <w:isLgl/>
      <w:lvlText w:val="%1.%2.%3"/>
      <w:lvlJc w:val="left"/>
      <w:pPr>
        <w:ind w:left="2950" w:hanging="1020"/>
      </w:pPr>
      <w:rPr>
        <w:rFonts w:hint="default"/>
        <w:b/>
      </w:rPr>
    </w:lvl>
    <w:lvl w:ilvl="3">
      <w:start w:val="1"/>
      <w:numFmt w:val="decimal"/>
      <w:isLgl/>
      <w:lvlText w:val="%1.%2.%3.%4"/>
      <w:lvlJc w:val="left"/>
      <w:pPr>
        <w:ind w:left="3795" w:hanging="1080"/>
      </w:pPr>
      <w:rPr>
        <w:rFonts w:hint="default"/>
        <w:b/>
      </w:rPr>
    </w:lvl>
    <w:lvl w:ilvl="4">
      <w:start w:val="1"/>
      <w:numFmt w:val="decimal"/>
      <w:isLgl/>
      <w:lvlText w:val="%1.%2.%3.%4.%5"/>
      <w:lvlJc w:val="left"/>
      <w:pPr>
        <w:ind w:left="4580" w:hanging="1080"/>
      </w:pPr>
      <w:rPr>
        <w:rFonts w:hint="default"/>
        <w:b/>
      </w:rPr>
    </w:lvl>
    <w:lvl w:ilvl="5">
      <w:start w:val="1"/>
      <w:numFmt w:val="decimal"/>
      <w:isLgl/>
      <w:lvlText w:val="%1.%2.%3.%4.%5.%6"/>
      <w:lvlJc w:val="left"/>
      <w:pPr>
        <w:ind w:left="5725" w:hanging="1440"/>
      </w:pPr>
      <w:rPr>
        <w:rFonts w:hint="default"/>
        <w:b/>
      </w:rPr>
    </w:lvl>
    <w:lvl w:ilvl="6">
      <w:start w:val="1"/>
      <w:numFmt w:val="decimal"/>
      <w:isLgl/>
      <w:lvlText w:val="%1.%2.%3.%4.%5.%6.%7"/>
      <w:lvlJc w:val="left"/>
      <w:pPr>
        <w:ind w:left="6870" w:hanging="1800"/>
      </w:pPr>
      <w:rPr>
        <w:rFonts w:hint="default"/>
        <w:b/>
      </w:rPr>
    </w:lvl>
    <w:lvl w:ilvl="7">
      <w:start w:val="1"/>
      <w:numFmt w:val="decimal"/>
      <w:isLgl/>
      <w:lvlText w:val="%1.%2.%3.%4.%5.%6.%7.%8"/>
      <w:lvlJc w:val="left"/>
      <w:pPr>
        <w:ind w:left="7655" w:hanging="1800"/>
      </w:pPr>
      <w:rPr>
        <w:rFonts w:hint="default"/>
        <w:b/>
      </w:rPr>
    </w:lvl>
    <w:lvl w:ilvl="8">
      <w:start w:val="1"/>
      <w:numFmt w:val="decimal"/>
      <w:isLgl/>
      <w:lvlText w:val="%1.%2.%3.%4.%5.%6.%7.%8.%9"/>
      <w:lvlJc w:val="left"/>
      <w:pPr>
        <w:ind w:left="8800" w:hanging="2160"/>
      </w:pPr>
      <w:rPr>
        <w:rFonts w:hint="default"/>
        <w:b/>
      </w:rPr>
    </w:lvl>
  </w:abstractNum>
  <w:num w:numId="1" w16cid:durableId="112558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7CF6"/>
    <w:rsid w:val="00004B4A"/>
    <w:rsid w:val="000258C6"/>
    <w:rsid w:val="00092DB2"/>
    <w:rsid w:val="000B222D"/>
    <w:rsid w:val="000F3716"/>
    <w:rsid w:val="000F776E"/>
    <w:rsid w:val="001163D9"/>
    <w:rsid w:val="00123268"/>
    <w:rsid w:val="0013605C"/>
    <w:rsid w:val="0015154B"/>
    <w:rsid w:val="0017711A"/>
    <w:rsid w:val="001E3053"/>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061E8"/>
    <w:rsid w:val="00860D56"/>
    <w:rsid w:val="00866CE3"/>
    <w:rsid w:val="00875CAA"/>
    <w:rsid w:val="008760F0"/>
    <w:rsid w:val="008B2C82"/>
    <w:rsid w:val="008D4AF6"/>
    <w:rsid w:val="00901DEA"/>
    <w:rsid w:val="00913EC5"/>
    <w:rsid w:val="00946CA3"/>
    <w:rsid w:val="009619D8"/>
    <w:rsid w:val="009A4E50"/>
    <w:rsid w:val="009A720E"/>
    <w:rsid w:val="009B4682"/>
    <w:rsid w:val="00A03304"/>
    <w:rsid w:val="00A24369"/>
    <w:rsid w:val="00A472AB"/>
    <w:rsid w:val="00A52B25"/>
    <w:rsid w:val="00A96648"/>
    <w:rsid w:val="00AA2A95"/>
    <w:rsid w:val="00AB7876"/>
    <w:rsid w:val="00AE1669"/>
    <w:rsid w:val="00B07251"/>
    <w:rsid w:val="00B10E9A"/>
    <w:rsid w:val="00B127F9"/>
    <w:rsid w:val="00B24722"/>
    <w:rsid w:val="00B35717"/>
    <w:rsid w:val="00B47E2E"/>
    <w:rsid w:val="00B6502B"/>
    <w:rsid w:val="00B73086"/>
    <w:rsid w:val="00B77D3A"/>
    <w:rsid w:val="00B922D9"/>
    <w:rsid w:val="00B970C5"/>
    <w:rsid w:val="00BA5B6F"/>
    <w:rsid w:val="00BD5087"/>
    <w:rsid w:val="00BF5C5D"/>
    <w:rsid w:val="00C06514"/>
    <w:rsid w:val="00C22EAD"/>
    <w:rsid w:val="00C25259"/>
    <w:rsid w:val="00C303EF"/>
    <w:rsid w:val="00C66536"/>
    <w:rsid w:val="00C6661F"/>
    <w:rsid w:val="00C729EE"/>
    <w:rsid w:val="00C9418A"/>
    <w:rsid w:val="00CA7CF6"/>
    <w:rsid w:val="00D11A80"/>
    <w:rsid w:val="00D308EF"/>
    <w:rsid w:val="00D357B5"/>
    <w:rsid w:val="00D40041"/>
    <w:rsid w:val="00D56203"/>
    <w:rsid w:val="00D807AC"/>
    <w:rsid w:val="00DD36BA"/>
    <w:rsid w:val="00DE1662"/>
    <w:rsid w:val="00E23D8B"/>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6C563F"/>
  <w15:chartTrackingRefBased/>
  <w15:docId w15:val="{A1D7D132-C88F-40EE-BDB4-62922EA5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7CF6"/>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A7CF6"/>
  </w:style>
  <w:style w:type="paragraph" w:styleId="a4">
    <w:name w:val="header"/>
    <w:basedOn w:val="a"/>
    <w:rsid w:val="00CA7CF6"/>
    <w:pPr>
      <w:tabs>
        <w:tab w:val="center" w:pos="4153"/>
        <w:tab w:val="right" w:pos="8306"/>
      </w:tabs>
    </w:pPr>
  </w:style>
  <w:style w:type="paragraph" w:styleId="a5">
    <w:name w:val="footer"/>
    <w:basedOn w:val="a"/>
    <w:rsid w:val="00CA7CF6"/>
    <w:pPr>
      <w:tabs>
        <w:tab w:val="center" w:pos="4153"/>
        <w:tab w:val="right" w:pos="8306"/>
      </w:tabs>
    </w:pPr>
  </w:style>
  <w:style w:type="character" w:styleId="a6">
    <w:name w:val="page number"/>
    <w:basedOn w:val="a0"/>
    <w:rsid w:val="00CA7CF6"/>
  </w:style>
  <w:style w:type="paragraph" w:customStyle="1" w:styleId="ListParagraph">
    <w:name w:val="List Paragraph"/>
    <w:basedOn w:val="a"/>
    <w:rsid w:val="00CA7CF6"/>
    <w:pPr>
      <w:ind w:left="720"/>
      <w:contextualSpacing/>
    </w:pPr>
    <w:rPr>
      <w:noProof w:val="0"/>
    </w:rPr>
  </w:style>
  <w:style w:type="character" w:styleId="Hyperlink">
    <w:name w:val="Hyperlink"/>
    <w:basedOn w:val="a0"/>
    <w:rsid w:val="001E3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958246" TargetMode="External"/><Relationship Id="rId21" Type="http://schemas.openxmlformats.org/officeDocument/2006/relationships/hyperlink" Target="http://www.nevo.co.il/law/70301/40c.a" TargetMode="External"/><Relationship Id="rId42" Type="http://schemas.openxmlformats.org/officeDocument/2006/relationships/hyperlink" Target="http://www.nevo.co.il/case/478254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0j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1500873" TargetMode="External"/><Relationship Id="rId40" Type="http://schemas.openxmlformats.org/officeDocument/2006/relationships/hyperlink" Target="http://www.nevo.co.il/case/6276336"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13019896" TargetMode="External"/><Relationship Id="rId58" Type="http://schemas.openxmlformats.org/officeDocument/2006/relationships/hyperlink" Target="http://www.nevo.co.il/law/70301/40i" TargetMode="External"/><Relationship Id="rId66"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yperlink" Target="http://www.nevo.co.il/case/20941361"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6000182"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4354827"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case/4328629" TargetMode="External"/><Relationship Id="rId64" Type="http://schemas.openxmlformats.org/officeDocument/2006/relationships/hyperlink" Target="http://www.nevo.co.il/law/70301" TargetMode="External"/><Relationship Id="rId69" Type="http://schemas.openxmlformats.org/officeDocument/2006/relationships/header" Target="header2.xml"/><Relationship Id="rId8" Type="http://schemas.openxmlformats.org/officeDocument/2006/relationships/hyperlink" Target="http://www.nevo.co.il/law/70301/40c.a" TargetMode="External"/><Relationship Id="rId51" Type="http://schemas.openxmlformats.org/officeDocument/2006/relationships/hyperlink" Target="http://www.nevo.co.il/case/787113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40j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b" TargetMode="External"/><Relationship Id="rId46" Type="http://schemas.openxmlformats.org/officeDocument/2006/relationships/hyperlink" Target="http://www.nevo.co.il/law/70301/144.c"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70301/144.a" TargetMode="External"/><Relationship Id="rId54" Type="http://schemas.openxmlformats.org/officeDocument/2006/relationships/hyperlink" Target="http://www.nevo.co.il/case/5895123" TargetMode="External"/><Relationship Id="rId62" Type="http://schemas.openxmlformats.org/officeDocument/2006/relationships/hyperlink" Target="http://www.nevo.co.il/law/70301/51b.b1.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7697147" TargetMode="External"/><Relationship Id="rId57" Type="http://schemas.openxmlformats.org/officeDocument/2006/relationships/hyperlink" Target="http://www.nevo.co.il/case/5098883" TargetMode="External"/><Relationship Id="rId10" Type="http://schemas.openxmlformats.org/officeDocument/2006/relationships/hyperlink" Target="http://www.nevo.co.il/law/70301/51b.b1.1"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3871883" TargetMode="External"/><Relationship Id="rId60" Type="http://schemas.openxmlformats.org/officeDocument/2006/relationships/hyperlink" Target="http://www.nevo.co.il/case/5598666" TargetMode="External"/><Relationship Id="rId65" Type="http://schemas.openxmlformats.org/officeDocument/2006/relationships/hyperlink" Target="http://www.nevo.co.il/law/70301/14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6040482" TargetMode="External"/><Relationship Id="rId50" Type="http://schemas.openxmlformats.org/officeDocument/2006/relationships/hyperlink" Target="http://www.nevo.co.il/case/4551034" TargetMode="External"/><Relationship Id="rId55" Type="http://schemas.openxmlformats.org/officeDocument/2006/relationships/hyperlink" Target="http://www.nevo.co.il/case/11250688"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4250</Words>
  <Characters>21251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25451</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6357092</vt:i4>
      </vt:variant>
      <vt:variant>
        <vt:i4>174</vt:i4>
      </vt:variant>
      <vt:variant>
        <vt:i4>0</vt:i4>
      </vt:variant>
      <vt:variant>
        <vt:i4>5</vt:i4>
      </vt:variant>
      <vt:variant>
        <vt:lpwstr>http://www.nevo.co.il/law/70301/144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4849742</vt:i4>
      </vt:variant>
      <vt:variant>
        <vt:i4>165</vt:i4>
      </vt:variant>
      <vt:variant>
        <vt:i4>0</vt:i4>
      </vt:variant>
      <vt:variant>
        <vt:i4>5</vt:i4>
      </vt:variant>
      <vt:variant>
        <vt:lpwstr>http://www.nevo.co.il/law/70301/51b.b1.1</vt:lpwstr>
      </vt:variant>
      <vt:variant>
        <vt:lpwstr/>
      </vt:variant>
      <vt:variant>
        <vt:i4>3932275</vt:i4>
      </vt:variant>
      <vt:variant>
        <vt:i4>162</vt:i4>
      </vt:variant>
      <vt:variant>
        <vt:i4>0</vt:i4>
      </vt:variant>
      <vt:variant>
        <vt:i4>5</vt:i4>
      </vt:variant>
      <vt:variant>
        <vt:lpwstr>http://www.nevo.co.il/case/20941361</vt:lpwstr>
      </vt:variant>
      <vt:variant>
        <vt:lpwstr/>
      </vt:variant>
      <vt:variant>
        <vt:i4>3932287</vt:i4>
      </vt:variant>
      <vt:variant>
        <vt:i4>159</vt:i4>
      </vt:variant>
      <vt:variant>
        <vt:i4>0</vt:i4>
      </vt:variant>
      <vt:variant>
        <vt:i4>5</vt:i4>
      </vt:variant>
      <vt:variant>
        <vt:lpwstr>http://www.nevo.co.il/case/5598666</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3604596</vt:i4>
      </vt:variant>
      <vt:variant>
        <vt:i4>150</vt:i4>
      </vt:variant>
      <vt:variant>
        <vt:i4>0</vt:i4>
      </vt:variant>
      <vt:variant>
        <vt:i4>5</vt:i4>
      </vt:variant>
      <vt:variant>
        <vt:lpwstr>http://www.nevo.co.il/case/5098883</vt:lpwstr>
      </vt:variant>
      <vt:variant>
        <vt:lpwstr/>
      </vt:variant>
      <vt:variant>
        <vt:i4>3735677</vt:i4>
      </vt:variant>
      <vt:variant>
        <vt:i4>147</vt:i4>
      </vt:variant>
      <vt:variant>
        <vt:i4>0</vt:i4>
      </vt:variant>
      <vt:variant>
        <vt:i4>5</vt:i4>
      </vt:variant>
      <vt:variant>
        <vt:lpwstr>http://www.nevo.co.il/case/4328629</vt:lpwstr>
      </vt:variant>
      <vt:variant>
        <vt:lpwstr/>
      </vt:variant>
      <vt:variant>
        <vt:i4>3866742</vt:i4>
      </vt:variant>
      <vt:variant>
        <vt:i4>144</vt:i4>
      </vt:variant>
      <vt:variant>
        <vt:i4>0</vt:i4>
      </vt:variant>
      <vt:variant>
        <vt:i4>5</vt:i4>
      </vt:variant>
      <vt:variant>
        <vt:lpwstr>http://www.nevo.co.il/case/11250688</vt:lpwstr>
      </vt:variant>
      <vt:variant>
        <vt:lpwstr/>
      </vt:variant>
      <vt:variant>
        <vt:i4>4063355</vt:i4>
      </vt:variant>
      <vt:variant>
        <vt:i4>141</vt:i4>
      </vt:variant>
      <vt:variant>
        <vt:i4>0</vt:i4>
      </vt:variant>
      <vt:variant>
        <vt:i4>5</vt:i4>
      </vt:variant>
      <vt:variant>
        <vt:lpwstr>http://www.nevo.co.il/case/5895123</vt:lpwstr>
      </vt:variant>
      <vt:variant>
        <vt:lpwstr/>
      </vt:variant>
      <vt:variant>
        <vt:i4>3211390</vt:i4>
      </vt:variant>
      <vt:variant>
        <vt:i4>138</vt:i4>
      </vt:variant>
      <vt:variant>
        <vt:i4>0</vt:i4>
      </vt:variant>
      <vt:variant>
        <vt:i4>5</vt:i4>
      </vt:variant>
      <vt:variant>
        <vt:lpwstr>http://www.nevo.co.il/case/13019896</vt:lpwstr>
      </vt:variant>
      <vt:variant>
        <vt:lpwstr/>
      </vt:variant>
      <vt:variant>
        <vt:i4>4128885</vt:i4>
      </vt:variant>
      <vt:variant>
        <vt:i4>135</vt:i4>
      </vt:variant>
      <vt:variant>
        <vt:i4>0</vt:i4>
      </vt:variant>
      <vt:variant>
        <vt:i4>5</vt:i4>
      </vt:variant>
      <vt:variant>
        <vt:lpwstr>http://www.nevo.co.il/case/3871883</vt:lpwstr>
      </vt:variant>
      <vt:variant>
        <vt:lpwstr/>
      </vt:variant>
      <vt:variant>
        <vt:i4>3211390</vt:i4>
      </vt:variant>
      <vt:variant>
        <vt:i4>132</vt:i4>
      </vt:variant>
      <vt:variant>
        <vt:i4>0</vt:i4>
      </vt:variant>
      <vt:variant>
        <vt:i4>5</vt:i4>
      </vt:variant>
      <vt:variant>
        <vt:lpwstr>http://www.nevo.co.il/case/7871130</vt:lpwstr>
      </vt:variant>
      <vt:variant>
        <vt:lpwstr/>
      </vt:variant>
      <vt:variant>
        <vt:i4>3473523</vt:i4>
      </vt:variant>
      <vt:variant>
        <vt:i4>129</vt:i4>
      </vt:variant>
      <vt:variant>
        <vt:i4>0</vt:i4>
      </vt:variant>
      <vt:variant>
        <vt:i4>5</vt:i4>
      </vt:variant>
      <vt:variant>
        <vt:lpwstr>http://www.nevo.co.il/case/4551034</vt:lpwstr>
      </vt:variant>
      <vt:variant>
        <vt:lpwstr/>
      </vt:variant>
      <vt:variant>
        <vt:i4>3670129</vt:i4>
      </vt:variant>
      <vt:variant>
        <vt:i4>126</vt:i4>
      </vt:variant>
      <vt:variant>
        <vt:i4>0</vt:i4>
      </vt:variant>
      <vt:variant>
        <vt:i4>5</vt:i4>
      </vt:variant>
      <vt:variant>
        <vt:lpwstr>http://www.nevo.co.il/case/7697147</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http://www.nevo.co.il/law/70301/144.c</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4063345</vt:i4>
      </vt:variant>
      <vt:variant>
        <vt:i4>108</vt:i4>
      </vt:variant>
      <vt:variant>
        <vt:i4>0</vt:i4>
      </vt:variant>
      <vt:variant>
        <vt:i4>5</vt:i4>
      </vt:variant>
      <vt:variant>
        <vt:lpwstr>http://www.nevo.co.il/case/4354827</vt:lpwstr>
      </vt:variant>
      <vt:variant>
        <vt:lpwstr/>
      </vt:variant>
      <vt:variant>
        <vt:i4>4128885</vt:i4>
      </vt:variant>
      <vt:variant>
        <vt:i4>105</vt:i4>
      </vt:variant>
      <vt:variant>
        <vt:i4>0</vt:i4>
      </vt:variant>
      <vt:variant>
        <vt:i4>5</vt:i4>
      </vt:variant>
      <vt:variant>
        <vt:lpwstr>http://www.nevo.co.il/case/4782546</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3407987</vt:i4>
      </vt:variant>
      <vt:variant>
        <vt:i4>99</vt:i4>
      </vt:variant>
      <vt:variant>
        <vt:i4>0</vt:i4>
      </vt:variant>
      <vt:variant>
        <vt:i4>5</vt:i4>
      </vt:variant>
      <vt:variant>
        <vt:lpwstr>http://www.nevo.co.il/case/6276336</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3145853</vt:i4>
      </vt:variant>
      <vt:variant>
        <vt:i4>90</vt:i4>
      </vt:variant>
      <vt:variant>
        <vt:i4>0</vt:i4>
      </vt:variant>
      <vt:variant>
        <vt:i4>5</vt:i4>
      </vt:variant>
      <vt:variant>
        <vt:lpwstr>http://www.nevo.co.il/case/21500873</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3407996</vt:i4>
      </vt:variant>
      <vt:variant>
        <vt:i4>81</vt:i4>
      </vt:variant>
      <vt:variant>
        <vt:i4>0</vt:i4>
      </vt:variant>
      <vt:variant>
        <vt:i4>5</vt:i4>
      </vt:variant>
      <vt:variant>
        <vt:lpwstr>http://www.nevo.co.il/case/6040482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3473532</vt:i4>
      </vt:variant>
      <vt:variant>
        <vt:i4>60</vt:i4>
      </vt:variant>
      <vt:variant>
        <vt:i4>0</vt:i4>
      </vt:variant>
      <vt:variant>
        <vt:i4>5</vt:i4>
      </vt:variant>
      <vt:variant>
        <vt:lpwstr>http://www.nevo.co.il/case/6000182</vt:lpwstr>
      </vt:variant>
      <vt:variant>
        <vt:lpwstr/>
      </vt:variant>
      <vt:variant>
        <vt:i4>3539057</vt:i4>
      </vt:variant>
      <vt:variant>
        <vt:i4>57</vt:i4>
      </vt:variant>
      <vt:variant>
        <vt:i4>0</vt:i4>
      </vt:variant>
      <vt:variant>
        <vt:i4>5</vt:i4>
      </vt:variant>
      <vt:variant>
        <vt:lpwstr>http://www.nevo.co.il/case/7958246</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458834</vt:i4>
      </vt:variant>
      <vt:variant>
        <vt:i4>30</vt:i4>
      </vt:variant>
      <vt:variant>
        <vt:i4>0</vt:i4>
      </vt:variant>
      <vt:variant>
        <vt:i4>5</vt:i4>
      </vt:variant>
      <vt:variant>
        <vt:lpwstr>http://www.nevo.co.il/law/70301/fCa1S</vt:lpwstr>
      </vt:variant>
      <vt:variant>
        <vt:lpwstr/>
      </vt:variant>
      <vt:variant>
        <vt:i4>458763</vt:i4>
      </vt:variant>
      <vt:variant>
        <vt:i4>27</vt:i4>
      </vt:variant>
      <vt:variant>
        <vt:i4>0</vt:i4>
      </vt:variant>
      <vt:variant>
        <vt:i4>5</vt:i4>
      </vt:variant>
      <vt:variant>
        <vt:lpwstr>http://www.nevo.co.il/law/70301/40jb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4849742</vt:i4>
      </vt:variant>
      <vt:variant>
        <vt:i4>9</vt:i4>
      </vt:variant>
      <vt:variant>
        <vt:i4>0</vt:i4>
      </vt:variant>
      <vt:variant>
        <vt:i4>5</vt:i4>
      </vt:variant>
      <vt:variant>
        <vt:lpwstr>http://www.nevo.co.il/law/70301/51b.b1.1</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39071</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עמאר מצרי</vt:lpwstr>
  </property>
  <property fmtid="{D5CDD505-2E9C-101B-9397-08002B2CF9AE}" pid="10" name="LAWYER">
    <vt:lpwstr>נס בן נתן;טל מושקוביץ'</vt:lpwstr>
  </property>
  <property fmtid="{D5CDD505-2E9C-101B-9397-08002B2CF9AE}" pid="11" name="JUDGE">
    <vt:lpwstr>אהרן פרקש</vt:lpwstr>
  </property>
  <property fmtid="{D5CDD505-2E9C-101B-9397-08002B2CF9AE}" pid="12" name="CITY">
    <vt:lpwstr>י-ם</vt:lpwstr>
  </property>
  <property fmtid="{D5CDD505-2E9C-101B-9397-08002B2CF9AE}" pid="13" name="DATE">
    <vt:lpwstr>20170406</vt:lpwstr>
  </property>
  <property fmtid="{D5CDD505-2E9C-101B-9397-08002B2CF9AE}" pid="14" name="TYPE_N_DATE">
    <vt:lpwstr>39020170406</vt:lpwstr>
  </property>
  <property fmtid="{D5CDD505-2E9C-101B-9397-08002B2CF9AE}" pid="15" name="CASESLISTTMP1">
    <vt:lpwstr>5573417;7958246;6000182;22006503;6040482;21500873;6276336;4782546;4354827;7697147;4551034;7871130;3871883;13019896;5895123;11250688;4328629;5098883;5598666;20941361</vt:lpwstr>
  </property>
  <property fmtid="{D5CDD505-2E9C-101B-9397-08002B2CF9AE}" pid="16" name="CASENOTES1">
    <vt:lpwstr>ProcID=209&amp;PartA=52445&amp;PartB=07&amp;PartC=12</vt:lpwstr>
  </property>
  <property fmtid="{D5CDD505-2E9C-101B-9397-08002B2CF9AE}" pid="17" name="WORDNUMPAGES">
    <vt:lpwstr>12</vt:lpwstr>
  </property>
  <property fmtid="{D5CDD505-2E9C-101B-9397-08002B2CF9AE}" pid="18" name="TYPE_ABS_DATE">
    <vt:lpwstr>390020170406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70301/144.a:7;fCa1S;040c.a;040i:2;40ja:2;40jb;144.b:3;144.c;051b.b1.1;144</vt:lpwstr>
  </property>
</Properties>
</file>