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F32B9D" w:rsidRPr="00CE554D" w14:paraId="1D9F1FF6" w14:textId="77777777">
        <w:trPr>
          <w:trHeight w:hRule="exact" w:val="418"/>
          <w:jc w:val="center"/>
        </w:trPr>
        <w:tc>
          <w:tcPr>
            <w:tcW w:w="8721" w:type="dxa"/>
            <w:gridSpan w:val="2"/>
          </w:tcPr>
          <w:p w14:paraId="015E66EC" w14:textId="77777777" w:rsidR="00F32B9D" w:rsidRPr="00CE554D" w:rsidRDefault="00F32B9D" w:rsidP="00CE554D">
            <w:pPr>
              <w:pStyle w:val="a3"/>
              <w:jc w:val="center"/>
              <w:rPr>
                <w:rFonts w:ascii="Tahoma" w:hAnsi="Tahoma" w:cs="Tahoma"/>
                <w:color w:val="000080"/>
                <w:rtl/>
              </w:rPr>
            </w:pPr>
            <w:r w:rsidRPr="00CE554D">
              <w:rPr>
                <w:rFonts w:ascii="Tahoma" w:hAnsi="Tahoma" w:cs="Tahoma"/>
                <w:b/>
                <w:bCs/>
                <w:color w:val="000080"/>
                <w:rtl/>
              </w:rPr>
              <w:t>בית המשפט המחוזי בחיפה</w:t>
            </w:r>
          </w:p>
        </w:tc>
      </w:tr>
      <w:tr w:rsidR="00F32B9D" w:rsidRPr="00CE554D" w14:paraId="4810BB7F" w14:textId="77777777">
        <w:trPr>
          <w:trHeight w:val="337"/>
          <w:jc w:val="center"/>
        </w:trPr>
        <w:tc>
          <w:tcPr>
            <w:tcW w:w="5058" w:type="dxa"/>
          </w:tcPr>
          <w:p w14:paraId="7C99EAFE" w14:textId="77777777" w:rsidR="00F32B9D" w:rsidRPr="00CE554D" w:rsidRDefault="00F32B9D" w:rsidP="00CE554D">
            <w:pPr>
              <w:rPr>
                <w:rFonts w:cs="FrankRuehl"/>
                <w:sz w:val="28"/>
                <w:szCs w:val="28"/>
                <w:rtl/>
              </w:rPr>
            </w:pPr>
            <w:r w:rsidRPr="00CE554D">
              <w:rPr>
                <w:rFonts w:cs="FrankRuehl"/>
                <w:sz w:val="28"/>
                <w:szCs w:val="28"/>
                <w:rtl/>
              </w:rPr>
              <w:t>ת"פ</w:t>
            </w:r>
            <w:r w:rsidRPr="00CE554D">
              <w:rPr>
                <w:rFonts w:cs="FrankRuehl" w:hint="cs"/>
                <w:sz w:val="28"/>
                <w:szCs w:val="28"/>
                <w:rtl/>
              </w:rPr>
              <w:t xml:space="preserve"> </w:t>
            </w:r>
            <w:r w:rsidRPr="00CE554D">
              <w:rPr>
                <w:rFonts w:cs="FrankRuehl"/>
                <w:sz w:val="28"/>
                <w:szCs w:val="28"/>
                <w:rtl/>
              </w:rPr>
              <w:t>57218-12-15</w:t>
            </w:r>
            <w:r w:rsidRPr="00CE554D">
              <w:rPr>
                <w:rFonts w:cs="FrankRuehl" w:hint="cs"/>
                <w:sz w:val="28"/>
                <w:szCs w:val="28"/>
                <w:rtl/>
              </w:rPr>
              <w:t xml:space="preserve"> </w:t>
            </w:r>
            <w:r w:rsidRPr="00CE554D">
              <w:rPr>
                <w:rFonts w:cs="FrankRuehl"/>
                <w:sz w:val="28"/>
                <w:szCs w:val="28"/>
                <w:rtl/>
              </w:rPr>
              <w:t>מדינת ישראל נ' ויסמן(עציר)</w:t>
            </w:r>
          </w:p>
          <w:p w14:paraId="37D91AAE" w14:textId="77777777" w:rsidR="00F32B9D" w:rsidRPr="00CE554D" w:rsidRDefault="00F32B9D" w:rsidP="00CE554D">
            <w:pPr>
              <w:pStyle w:val="a3"/>
              <w:rPr>
                <w:rFonts w:cs="FrankRuehl"/>
                <w:sz w:val="28"/>
                <w:szCs w:val="28"/>
                <w:rtl/>
              </w:rPr>
            </w:pPr>
          </w:p>
        </w:tc>
        <w:tc>
          <w:tcPr>
            <w:tcW w:w="3663" w:type="dxa"/>
          </w:tcPr>
          <w:p w14:paraId="1EE165F2" w14:textId="77777777" w:rsidR="00F32B9D" w:rsidRPr="00CE554D" w:rsidRDefault="00F32B9D" w:rsidP="00CE554D">
            <w:pPr>
              <w:pStyle w:val="a3"/>
              <w:jc w:val="right"/>
              <w:rPr>
                <w:rFonts w:cs="FrankRuehl"/>
                <w:sz w:val="28"/>
                <w:szCs w:val="28"/>
                <w:rtl/>
              </w:rPr>
            </w:pPr>
          </w:p>
        </w:tc>
      </w:tr>
    </w:tbl>
    <w:p w14:paraId="44F5D506" w14:textId="77777777" w:rsidR="00F32B9D" w:rsidRPr="00CE554D" w:rsidRDefault="00F32B9D" w:rsidP="00F32B9D">
      <w:pPr>
        <w:pStyle w:val="a3"/>
        <w:rPr>
          <w:rtl/>
        </w:rPr>
      </w:pPr>
      <w:r w:rsidRPr="00CE554D">
        <w:rPr>
          <w:rFonts w:hint="cs"/>
          <w:rtl/>
        </w:rPr>
        <w:t xml:space="preserve"> </w:t>
      </w:r>
    </w:p>
    <w:p w14:paraId="25FA1183" w14:textId="77777777" w:rsidR="00F32B9D" w:rsidRPr="00CE554D" w:rsidRDefault="00F32B9D" w:rsidP="00F32B9D">
      <w:pPr>
        <w:spacing w:line="360" w:lineRule="auto"/>
        <w:jc w:val="both"/>
        <w:rPr>
          <w:sz w:val="6"/>
          <w:szCs w:val="6"/>
          <w:rtl/>
        </w:rPr>
      </w:pPr>
    </w:p>
    <w:tbl>
      <w:tblPr>
        <w:bidiVisual/>
        <w:tblW w:w="9018" w:type="dxa"/>
        <w:tblInd w:w="-28" w:type="dxa"/>
        <w:tblLook w:val="01E0" w:firstRow="1" w:lastRow="1" w:firstColumn="1" w:lastColumn="1" w:noHBand="0" w:noVBand="0"/>
      </w:tblPr>
      <w:tblGrid>
        <w:gridCol w:w="9018"/>
      </w:tblGrid>
      <w:tr w:rsidR="00F32B9D" w:rsidRPr="00CE554D" w14:paraId="5864760B" w14:textId="77777777">
        <w:tc>
          <w:tcPr>
            <w:tcW w:w="9018" w:type="dxa"/>
            <w:shd w:val="clear" w:color="auto" w:fill="auto"/>
          </w:tcPr>
          <w:p w14:paraId="057E8943" w14:textId="77777777" w:rsidR="00F32B9D" w:rsidRPr="00CE554D" w:rsidRDefault="00F32B9D" w:rsidP="00CE554D">
            <w:pPr>
              <w:rPr>
                <w:rStyle w:val="TimesNewRomanTimesNewRoman"/>
                <w:rtl/>
              </w:rPr>
            </w:pPr>
            <w:bookmarkStart w:id="0" w:name="FirstAppellant"/>
            <w:bookmarkStart w:id="1" w:name="FirstLawyer"/>
            <w:r w:rsidRPr="00CE554D">
              <w:rPr>
                <w:rFonts w:hint="cs"/>
                <w:b/>
                <w:bCs/>
                <w:sz w:val="26"/>
                <w:szCs w:val="26"/>
                <w:rtl/>
              </w:rPr>
              <w:t>לפני כבוד ה</w:t>
            </w:r>
            <w:r w:rsidRPr="00CE554D">
              <w:rPr>
                <w:rFonts w:hint="cs"/>
                <w:rtl/>
              </w:rPr>
              <w:t>שופט אמיר טובי</w:t>
            </w:r>
            <w:r w:rsidRPr="00CE554D">
              <w:rPr>
                <w:rStyle w:val="TimesNewRomanTimesNewRoman"/>
                <w:rFonts w:hint="cs"/>
                <w:rtl/>
              </w:rPr>
              <w:t xml:space="preserve"> </w:t>
            </w:r>
          </w:p>
          <w:p w14:paraId="62648B6E" w14:textId="77777777" w:rsidR="00F32B9D" w:rsidRPr="00CE554D" w:rsidRDefault="00F32B9D" w:rsidP="00CE554D">
            <w:pPr>
              <w:rPr>
                <w:rtl/>
              </w:rPr>
            </w:pPr>
          </w:p>
          <w:p w14:paraId="4645EEBA" w14:textId="77777777" w:rsidR="00F32B9D" w:rsidRPr="00CE554D" w:rsidRDefault="00F32B9D" w:rsidP="00CE554D">
            <w:pPr>
              <w:rPr>
                <w:b/>
                <w:bCs/>
                <w:sz w:val="26"/>
                <w:szCs w:val="26"/>
                <w:rtl/>
              </w:rPr>
            </w:pPr>
            <w:r w:rsidRPr="00CE554D">
              <w:rPr>
                <w:rFonts w:hint="cs"/>
                <w:b/>
                <w:bCs/>
                <w:sz w:val="26"/>
                <w:szCs w:val="26"/>
                <w:rtl/>
              </w:rPr>
              <w:t>המאשימה</w:t>
            </w:r>
            <w:r w:rsidRPr="00CE554D">
              <w:rPr>
                <w:b/>
                <w:bCs/>
                <w:sz w:val="26"/>
                <w:szCs w:val="26"/>
                <w:rtl/>
              </w:rPr>
              <w:t>-</w:t>
            </w:r>
            <w:r w:rsidRPr="00CE554D">
              <w:rPr>
                <w:rtl/>
              </w:rPr>
              <w:t xml:space="preserve"> </w:t>
            </w:r>
            <w:r w:rsidRPr="00CE554D">
              <w:rPr>
                <w:rFonts w:hint="cs"/>
                <w:rtl/>
              </w:rPr>
              <w:t>מדינת ישראל</w:t>
            </w:r>
          </w:p>
          <w:p w14:paraId="03E42167" w14:textId="77777777" w:rsidR="00F32B9D" w:rsidRPr="00CE554D" w:rsidRDefault="00F32B9D" w:rsidP="00CE554D">
            <w:pPr>
              <w:rPr>
                <w:rFonts w:ascii="Arial" w:hAnsi="Arial"/>
                <w:b/>
                <w:bCs/>
                <w:sz w:val="26"/>
                <w:szCs w:val="26"/>
                <w:rtl/>
              </w:rPr>
            </w:pPr>
          </w:p>
          <w:bookmarkEnd w:id="0"/>
          <w:p w14:paraId="61E21900" w14:textId="77777777" w:rsidR="00F32B9D" w:rsidRPr="00CE554D" w:rsidRDefault="00F32B9D" w:rsidP="00CE554D">
            <w:pPr>
              <w:jc w:val="center"/>
              <w:rPr>
                <w:rFonts w:ascii="Arial" w:hAnsi="Arial"/>
                <w:b/>
                <w:bCs/>
                <w:sz w:val="26"/>
                <w:szCs w:val="26"/>
                <w:rtl/>
              </w:rPr>
            </w:pPr>
            <w:r w:rsidRPr="00CE554D">
              <w:rPr>
                <w:rFonts w:ascii="Arial" w:hAnsi="Arial" w:hint="cs"/>
                <w:b/>
                <w:bCs/>
                <w:sz w:val="26"/>
                <w:szCs w:val="26"/>
                <w:rtl/>
              </w:rPr>
              <w:t>נגד</w:t>
            </w:r>
          </w:p>
          <w:p w14:paraId="39E5F1C3" w14:textId="77777777" w:rsidR="00F32B9D" w:rsidRPr="00CE554D" w:rsidRDefault="00F32B9D" w:rsidP="00CE554D">
            <w:pPr>
              <w:rPr>
                <w:rFonts w:ascii="Arial" w:hAnsi="Arial"/>
                <w:b/>
                <w:bCs/>
                <w:sz w:val="26"/>
                <w:szCs w:val="26"/>
                <w:rtl/>
              </w:rPr>
            </w:pPr>
          </w:p>
          <w:p w14:paraId="45789ABC" w14:textId="77777777" w:rsidR="00F32B9D" w:rsidRPr="00CE554D" w:rsidRDefault="00F32B9D" w:rsidP="00CE554D">
            <w:pPr>
              <w:rPr>
                <w:b/>
                <w:bCs/>
                <w:sz w:val="26"/>
                <w:szCs w:val="26"/>
              </w:rPr>
            </w:pPr>
            <w:r w:rsidRPr="00CE554D">
              <w:rPr>
                <w:rFonts w:hint="cs"/>
                <w:b/>
                <w:bCs/>
                <w:sz w:val="26"/>
                <w:szCs w:val="26"/>
                <w:rtl/>
              </w:rPr>
              <w:t>הנאשם</w:t>
            </w:r>
            <w:r w:rsidRPr="00CE554D">
              <w:rPr>
                <w:b/>
                <w:bCs/>
                <w:sz w:val="26"/>
                <w:szCs w:val="26"/>
                <w:rtl/>
              </w:rPr>
              <w:t>-</w:t>
            </w:r>
            <w:r w:rsidRPr="00CE554D">
              <w:rPr>
                <w:rtl/>
              </w:rPr>
              <w:t xml:space="preserve"> </w:t>
            </w:r>
            <w:r w:rsidRPr="00CE554D">
              <w:rPr>
                <w:rFonts w:hint="cs"/>
                <w:rtl/>
              </w:rPr>
              <w:t>אלברט ויסמן (עציר)</w:t>
            </w:r>
          </w:p>
          <w:p w14:paraId="3ED4F06B" w14:textId="77777777" w:rsidR="00F32B9D" w:rsidRPr="00CE554D" w:rsidRDefault="00F32B9D" w:rsidP="00CE554D">
            <w:pPr>
              <w:spacing w:line="360" w:lineRule="auto"/>
              <w:jc w:val="both"/>
              <w:rPr>
                <w:rFonts w:ascii="David" w:hAnsi="David"/>
                <w:sz w:val="6"/>
                <w:szCs w:val="6"/>
                <w:rtl/>
              </w:rPr>
            </w:pPr>
            <w:r w:rsidRPr="00CE554D">
              <w:rPr>
                <w:rFonts w:hint="cs"/>
                <w:sz w:val="6"/>
                <w:szCs w:val="6"/>
                <w:rtl/>
              </w:rPr>
              <w:t>&lt;#1#&gt;</w:t>
            </w:r>
          </w:p>
          <w:p w14:paraId="0A1815B6" w14:textId="77777777" w:rsidR="00F32B9D" w:rsidRPr="00CE554D" w:rsidRDefault="00F32B9D" w:rsidP="00CE554D">
            <w:pPr>
              <w:pStyle w:val="12"/>
              <w:rPr>
                <w:u w:val="none"/>
                <w:rtl/>
              </w:rPr>
            </w:pPr>
            <w:r w:rsidRPr="00CE554D">
              <w:rPr>
                <w:rFonts w:hint="cs"/>
                <w:u w:val="none"/>
                <w:rtl/>
              </w:rPr>
              <w:t>נוכחים:</w:t>
            </w:r>
          </w:p>
          <w:p w14:paraId="59059C9D" w14:textId="77777777" w:rsidR="00F32B9D" w:rsidRPr="00CE554D" w:rsidRDefault="00F32B9D" w:rsidP="00CE554D">
            <w:pPr>
              <w:pStyle w:val="12"/>
              <w:rPr>
                <w:b w:val="0"/>
                <w:bCs w:val="0"/>
                <w:u w:val="none"/>
                <w:rtl/>
              </w:rPr>
            </w:pPr>
            <w:r w:rsidRPr="00CE554D">
              <w:rPr>
                <w:rFonts w:hint="cs"/>
                <w:b w:val="0"/>
                <w:bCs w:val="0"/>
                <w:u w:val="none"/>
                <w:rtl/>
              </w:rPr>
              <w:t xml:space="preserve">ב"כ המאשימה: עו"ד גב' ענת שטיינשניד   </w:t>
            </w:r>
          </w:p>
          <w:p w14:paraId="47562766" w14:textId="77777777" w:rsidR="00F32B9D" w:rsidRPr="00CE554D" w:rsidRDefault="00F32B9D" w:rsidP="00CE554D">
            <w:pPr>
              <w:pStyle w:val="12"/>
              <w:rPr>
                <w:b w:val="0"/>
                <w:bCs w:val="0"/>
                <w:u w:val="none"/>
                <w:rtl/>
              </w:rPr>
            </w:pPr>
            <w:r w:rsidRPr="00CE554D">
              <w:rPr>
                <w:rFonts w:hint="cs"/>
                <w:b w:val="0"/>
                <w:bCs w:val="0"/>
                <w:u w:val="none"/>
                <w:rtl/>
              </w:rPr>
              <w:t>ב"כ הנאשם: עו"ד ליאוניד פרחובניק ועו"ד  יגאל טרובמן (ס. ציבורית)</w:t>
            </w:r>
          </w:p>
          <w:p w14:paraId="4F325144" w14:textId="77777777" w:rsidR="00F32B9D" w:rsidRPr="00CE554D" w:rsidRDefault="00F32B9D" w:rsidP="00CE554D">
            <w:pPr>
              <w:pStyle w:val="12"/>
              <w:rPr>
                <w:b w:val="0"/>
                <w:bCs w:val="0"/>
                <w:u w:val="none"/>
                <w:rtl/>
              </w:rPr>
            </w:pPr>
            <w:r w:rsidRPr="00CE554D">
              <w:rPr>
                <w:rFonts w:hint="cs"/>
                <w:b w:val="0"/>
                <w:bCs w:val="0"/>
                <w:u w:val="none"/>
                <w:rtl/>
              </w:rPr>
              <w:t xml:space="preserve">הנאשם באמצעות הליווי </w:t>
            </w:r>
          </w:p>
        </w:tc>
      </w:tr>
    </w:tbl>
    <w:p w14:paraId="211163C2" w14:textId="77777777" w:rsidR="007F6C3C" w:rsidRDefault="00F32B9D" w:rsidP="00F32B9D">
      <w:pPr>
        <w:spacing w:line="360" w:lineRule="auto"/>
        <w:jc w:val="both"/>
        <w:rPr>
          <w:sz w:val="6"/>
          <w:szCs w:val="6"/>
          <w:rtl/>
        </w:rPr>
      </w:pPr>
      <w:bookmarkStart w:id="2" w:name="LastJudge"/>
      <w:bookmarkEnd w:id="1"/>
      <w:bookmarkEnd w:id="2"/>
      <w:r w:rsidRPr="00CE554D">
        <w:rPr>
          <w:rFonts w:hint="cs"/>
          <w:sz w:val="6"/>
          <w:szCs w:val="6"/>
          <w:rtl/>
        </w:rPr>
        <w:t>&lt;#1#&gt;</w:t>
      </w:r>
      <w:bookmarkStart w:id="3" w:name="LawTable"/>
      <w:bookmarkEnd w:id="3"/>
    </w:p>
    <w:p w14:paraId="332CC233" w14:textId="77777777" w:rsidR="007F6C3C" w:rsidRPr="007F6C3C" w:rsidRDefault="007F6C3C" w:rsidP="007F6C3C">
      <w:pPr>
        <w:spacing w:after="120" w:line="240" w:lineRule="exact"/>
        <w:ind w:left="283" w:hanging="283"/>
        <w:jc w:val="both"/>
        <w:rPr>
          <w:rFonts w:ascii="FrankRuehl" w:hAnsi="FrankRuehl" w:cs="FrankRuehl"/>
          <w:rtl/>
        </w:rPr>
      </w:pPr>
    </w:p>
    <w:p w14:paraId="5722E542" w14:textId="77777777" w:rsidR="007F6C3C" w:rsidRPr="007F6C3C" w:rsidRDefault="007F6C3C" w:rsidP="007F6C3C">
      <w:pPr>
        <w:spacing w:after="120" w:line="240" w:lineRule="exact"/>
        <w:ind w:left="283" w:hanging="283"/>
        <w:jc w:val="both"/>
        <w:rPr>
          <w:rFonts w:ascii="FrankRuehl" w:hAnsi="FrankRuehl" w:cs="FrankRuehl"/>
          <w:rtl/>
        </w:rPr>
      </w:pPr>
      <w:r w:rsidRPr="007F6C3C">
        <w:rPr>
          <w:rFonts w:ascii="FrankRuehl" w:hAnsi="FrankRuehl" w:cs="FrankRuehl"/>
          <w:rtl/>
        </w:rPr>
        <w:t xml:space="preserve">חקיקה שאוזכרה: </w:t>
      </w:r>
    </w:p>
    <w:p w14:paraId="70C200CC" w14:textId="77777777" w:rsidR="007F6C3C" w:rsidRPr="007F6C3C" w:rsidRDefault="007F6C3C" w:rsidP="007F6C3C">
      <w:pPr>
        <w:spacing w:after="120" w:line="240" w:lineRule="exact"/>
        <w:ind w:left="283" w:hanging="283"/>
        <w:jc w:val="both"/>
        <w:rPr>
          <w:rFonts w:ascii="FrankRuehl" w:hAnsi="FrankRuehl" w:cs="FrankRuehl"/>
          <w:rtl/>
        </w:rPr>
      </w:pPr>
      <w:hyperlink r:id="rId6" w:history="1">
        <w:r w:rsidRPr="007F6C3C">
          <w:rPr>
            <w:rFonts w:ascii="FrankRuehl" w:hAnsi="FrankRuehl" w:cs="FrankRuehl"/>
            <w:color w:val="0000FF"/>
            <w:u w:val="single"/>
            <w:rtl/>
          </w:rPr>
          <w:t>חוק העונשין, תשל"ז-1977</w:t>
        </w:r>
      </w:hyperlink>
      <w:r w:rsidRPr="007F6C3C">
        <w:rPr>
          <w:rFonts w:ascii="FrankRuehl" w:hAnsi="FrankRuehl" w:cs="FrankRuehl"/>
          <w:rtl/>
        </w:rPr>
        <w:t xml:space="preserve">: סע'  </w:t>
      </w:r>
      <w:hyperlink r:id="rId7" w:history="1">
        <w:r w:rsidRPr="007F6C3C">
          <w:rPr>
            <w:rFonts w:ascii="FrankRuehl" w:hAnsi="FrankRuehl" w:cs="FrankRuehl"/>
            <w:color w:val="0000FF"/>
            <w:u w:val="single"/>
            <w:rtl/>
          </w:rPr>
          <w:t>40ט(א)</w:t>
        </w:r>
      </w:hyperlink>
      <w:r w:rsidRPr="007F6C3C">
        <w:rPr>
          <w:rFonts w:ascii="FrankRuehl" w:hAnsi="FrankRuehl" w:cs="FrankRuehl"/>
          <w:rtl/>
        </w:rPr>
        <w:t xml:space="preserve">, </w:t>
      </w:r>
      <w:hyperlink r:id="rId8" w:history="1">
        <w:r w:rsidRPr="007F6C3C">
          <w:rPr>
            <w:rFonts w:ascii="FrankRuehl" w:hAnsi="FrankRuehl" w:cs="FrankRuehl"/>
            <w:color w:val="0000FF"/>
            <w:u w:val="single"/>
            <w:rtl/>
          </w:rPr>
          <w:t>144(ב)</w:t>
        </w:r>
      </w:hyperlink>
      <w:r w:rsidRPr="007F6C3C">
        <w:rPr>
          <w:rFonts w:ascii="FrankRuehl" w:hAnsi="FrankRuehl" w:cs="FrankRuehl"/>
          <w:rtl/>
        </w:rPr>
        <w:t xml:space="preserve">, </w:t>
      </w:r>
      <w:hyperlink r:id="rId9" w:history="1">
        <w:r w:rsidRPr="007F6C3C">
          <w:rPr>
            <w:rFonts w:ascii="FrankRuehl" w:hAnsi="FrankRuehl" w:cs="FrankRuehl"/>
            <w:color w:val="0000FF"/>
            <w:u w:val="single"/>
            <w:rtl/>
          </w:rPr>
          <w:t>383(א)(1)</w:t>
        </w:r>
      </w:hyperlink>
      <w:r w:rsidRPr="007F6C3C">
        <w:rPr>
          <w:rFonts w:ascii="FrankRuehl" w:hAnsi="FrankRuehl" w:cs="FrankRuehl"/>
          <w:rtl/>
        </w:rPr>
        <w:t xml:space="preserve">, </w:t>
      </w:r>
      <w:hyperlink r:id="rId10" w:history="1">
        <w:r w:rsidRPr="007F6C3C">
          <w:rPr>
            <w:rFonts w:ascii="FrankRuehl" w:hAnsi="FrankRuehl" w:cs="FrankRuehl"/>
            <w:color w:val="0000FF"/>
            <w:u w:val="single"/>
            <w:rtl/>
          </w:rPr>
          <w:t>402(א)</w:t>
        </w:r>
      </w:hyperlink>
      <w:r w:rsidRPr="007F6C3C">
        <w:rPr>
          <w:rFonts w:ascii="FrankRuehl" w:hAnsi="FrankRuehl" w:cs="FrankRuehl"/>
          <w:rtl/>
        </w:rPr>
        <w:t xml:space="preserve">, </w:t>
      </w:r>
      <w:hyperlink r:id="rId11" w:history="1">
        <w:r w:rsidRPr="007F6C3C">
          <w:rPr>
            <w:rFonts w:ascii="FrankRuehl" w:hAnsi="FrankRuehl" w:cs="FrankRuehl"/>
            <w:color w:val="0000FF"/>
            <w:u w:val="single"/>
            <w:rtl/>
          </w:rPr>
          <w:t>406(ב)</w:t>
        </w:r>
      </w:hyperlink>
      <w:r w:rsidRPr="007F6C3C">
        <w:rPr>
          <w:rFonts w:ascii="FrankRuehl" w:hAnsi="FrankRuehl" w:cs="FrankRuehl"/>
          <w:rtl/>
        </w:rPr>
        <w:t xml:space="preserve">, </w:t>
      </w:r>
      <w:hyperlink r:id="rId12" w:history="1">
        <w:r w:rsidRPr="007F6C3C">
          <w:rPr>
            <w:rFonts w:ascii="FrankRuehl" w:hAnsi="FrankRuehl" w:cs="FrankRuehl"/>
            <w:color w:val="0000FF"/>
            <w:u w:val="single"/>
            <w:rtl/>
          </w:rPr>
          <w:t>40יא</w:t>
        </w:r>
      </w:hyperlink>
      <w:r w:rsidRPr="007F6C3C">
        <w:rPr>
          <w:rFonts w:ascii="FrankRuehl" w:hAnsi="FrankRuehl" w:cs="FrankRuehl"/>
          <w:rtl/>
        </w:rPr>
        <w:t xml:space="preserve">, </w:t>
      </w:r>
      <w:hyperlink r:id="rId13" w:history="1">
        <w:r w:rsidRPr="007F6C3C">
          <w:rPr>
            <w:rFonts w:ascii="FrankRuehl" w:hAnsi="FrankRuehl" w:cs="FrankRuehl"/>
            <w:color w:val="0000FF"/>
            <w:u w:val="single"/>
            <w:rtl/>
          </w:rPr>
          <w:t>40יג</w:t>
        </w:r>
      </w:hyperlink>
    </w:p>
    <w:p w14:paraId="5DA57A8F" w14:textId="77777777" w:rsidR="007F6C3C" w:rsidRPr="007F6C3C" w:rsidRDefault="007F6C3C" w:rsidP="007F6C3C">
      <w:pPr>
        <w:spacing w:after="120" w:line="240" w:lineRule="exact"/>
        <w:ind w:left="283" w:hanging="283"/>
        <w:jc w:val="both"/>
        <w:rPr>
          <w:rFonts w:ascii="FrankRuehl" w:hAnsi="FrankRuehl" w:cs="FrankRuehl"/>
          <w:rtl/>
        </w:rPr>
      </w:pPr>
    </w:p>
    <w:p w14:paraId="305BA1E2" w14:textId="77777777" w:rsidR="007F6C3C" w:rsidRPr="007F6C3C" w:rsidRDefault="007F6C3C" w:rsidP="00F32B9D">
      <w:pPr>
        <w:spacing w:line="360" w:lineRule="auto"/>
        <w:jc w:val="both"/>
        <w:rPr>
          <w:sz w:val="6"/>
          <w:szCs w:val="6"/>
          <w:rtl/>
        </w:rPr>
      </w:pPr>
      <w:bookmarkStart w:id="4" w:name="LawTable_End"/>
      <w:bookmarkEnd w:id="4"/>
    </w:p>
    <w:p w14:paraId="465E1E16" w14:textId="77777777" w:rsidR="007F6C3C" w:rsidRPr="007F6C3C" w:rsidRDefault="007F6C3C" w:rsidP="00F32B9D">
      <w:pPr>
        <w:spacing w:line="360" w:lineRule="auto"/>
        <w:jc w:val="both"/>
        <w:rPr>
          <w:sz w:val="6"/>
          <w:szCs w:val="6"/>
          <w:rtl/>
        </w:rPr>
      </w:pPr>
    </w:p>
    <w:p w14:paraId="23B51AAB" w14:textId="77777777" w:rsidR="00F32B9D" w:rsidRPr="007F6C3C" w:rsidRDefault="00F32B9D" w:rsidP="00F32B9D">
      <w:pPr>
        <w:spacing w:line="360" w:lineRule="auto"/>
        <w:jc w:val="both"/>
        <w:rPr>
          <w:sz w:val="6"/>
          <w:szCs w:val="6"/>
          <w:rtl/>
        </w:rPr>
      </w:pPr>
    </w:p>
    <w:p w14:paraId="75CCE271" w14:textId="77777777" w:rsidR="00F32B9D" w:rsidRPr="00CE554D" w:rsidRDefault="00F32B9D" w:rsidP="00F32B9D">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32B9D" w14:paraId="1C6F1D87" w14:textId="77777777">
        <w:trPr>
          <w:trHeight w:val="355"/>
          <w:jc w:val="center"/>
        </w:trPr>
        <w:tc>
          <w:tcPr>
            <w:tcW w:w="8820" w:type="dxa"/>
            <w:tcBorders>
              <w:top w:val="nil"/>
              <w:left w:val="nil"/>
              <w:bottom w:val="nil"/>
              <w:right w:val="nil"/>
            </w:tcBorders>
            <w:shd w:val="clear" w:color="auto" w:fill="auto"/>
          </w:tcPr>
          <w:p w14:paraId="5017FE76" w14:textId="77777777" w:rsidR="00CE554D" w:rsidRPr="00CE554D" w:rsidRDefault="00CE554D" w:rsidP="00CE554D">
            <w:pPr>
              <w:jc w:val="center"/>
              <w:rPr>
                <w:rFonts w:ascii="Arial" w:hAnsi="Arial" w:cs="FrankRuehl"/>
                <w:b/>
                <w:bCs/>
                <w:sz w:val="32"/>
                <w:szCs w:val="32"/>
                <w:u w:val="single"/>
                <w:rtl/>
              </w:rPr>
            </w:pPr>
            <w:bookmarkStart w:id="5" w:name="PsakDin" w:colFirst="0" w:colLast="0"/>
            <w:r w:rsidRPr="00CE554D">
              <w:rPr>
                <w:rFonts w:ascii="Arial" w:hAnsi="Arial" w:cs="FrankRuehl"/>
                <w:b/>
                <w:bCs/>
                <w:sz w:val="32"/>
                <w:szCs w:val="32"/>
                <w:u w:val="single"/>
                <w:rtl/>
              </w:rPr>
              <w:t>גזר דין</w:t>
            </w:r>
          </w:p>
          <w:p w14:paraId="4389E6FC" w14:textId="77777777" w:rsidR="00F32B9D" w:rsidRPr="00CE554D" w:rsidRDefault="00F32B9D" w:rsidP="00CE554D">
            <w:pPr>
              <w:jc w:val="center"/>
              <w:rPr>
                <w:rFonts w:ascii="Arial" w:hAnsi="Arial" w:cs="FrankRuehl"/>
                <w:bCs/>
                <w:sz w:val="32"/>
                <w:szCs w:val="32"/>
                <w:u w:val="single"/>
                <w:rtl/>
              </w:rPr>
            </w:pPr>
          </w:p>
        </w:tc>
      </w:tr>
      <w:bookmarkEnd w:id="5"/>
    </w:tbl>
    <w:p w14:paraId="6DCC7E8F" w14:textId="77777777" w:rsidR="00F32B9D" w:rsidRPr="00B05847" w:rsidRDefault="00F32B9D" w:rsidP="00F32B9D">
      <w:pPr>
        <w:rPr>
          <w:rFonts w:ascii="Arial" w:hAnsi="Arial"/>
          <w:rtl/>
        </w:rPr>
      </w:pPr>
    </w:p>
    <w:p w14:paraId="59202ED5" w14:textId="77777777" w:rsidR="00F32B9D" w:rsidRDefault="00F32B9D" w:rsidP="00F32B9D">
      <w:pPr>
        <w:spacing w:line="360" w:lineRule="auto"/>
        <w:rPr>
          <w:rFonts w:ascii="Arial" w:hAnsi="Arial"/>
          <w:u w:val="single"/>
          <w:rtl/>
        </w:rPr>
      </w:pPr>
      <w:r>
        <w:rPr>
          <w:rFonts w:ascii="Arial" w:hAnsi="Arial"/>
          <w:u w:val="single"/>
          <w:rtl/>
        </w:rPr>
        <w:t>תמצית כתב האישום</w:t>
      </w:r>
      <w:r w:rsidR="007F6C3C">
        <w:rPr>
          <w:rFonts w:ascii="Arial" w:hAnsi="Arial" w:hint="cs"/>
          <w:u w:val="single"/>
          <w:rtl/>
        </w:rPr>
        <w:t xml:space="preserve">   </w:t>
      </w:r>
    </w:p>
    <w:p w14:paraId="42B17706" w14:textId="77777777" w:rsidR="00F32B9D" w:rsidRPr="00B05847" w:rsidRDefault="00F32B9D" w:rsidP="00F32B9D">
      <w:pPr>
        <w:spacing w:line="360" w:lineRule="auto"/>
        <w:rPr>
          <w:rFonts w:ascii="Arial" w:hAnsi="Arial"/>
          <w:rtl/>
        </w:rPr>
      </w:pPr>
    </w:p>
    <w:p w14:paraId="2D2FEC42" w14:textId="77777777" w:rsidR="00F32B9D" w:rsidRDefault="00F32B9D" w:rsidP="00F32B9D">
      <w:pPr>
        <w:spacing w:line="360" w:lineRule="auto"/>
        <w:ind w:left="720" w:hanging="720"/>
        <w:jc w:val="both"/>
        <w:rPr>
          <w:rtl/>
        </w:rPr>
      </w:pPr>
      <w:r>
        <w:rPr>
          <w:rtl/>
        </w:rPr>
        <w:t>1.</w:t>
      </w:r>
      <w:r>
        <w:rPr>
          <w:rtl/>
        </w:rPr>
        <w:tab/>
      </w:r>
      <w:bookmarkStart w:id="6" w:name="ABSTRACT_START"/>
      <w:bookmarkEnd w:id="6"/>
      <w:r>
        <w:rPr>
          <w:rtl/>
        </w:rPr>
        <w:t xml:space="preserve">הנאשם </w:t>
      </w:r>
      <w:r>
        <w:rPr>
          <w:rFonts w:hint="cs"/>
          <w:rtl/>
        </w:rPr>
        <w:t>הודה בעובדות כתב אישום מתוקן</w:t>
      </w:r>
      <w:r>
        <w:rPr>
          <w:rtl/>
        </w:rPr>
        <w:t xml:space="preserve">, </w:t>
      </w:r>
      <w:r>
        <w:rPr>
          <w:rFonts w:hint="cs"/>
          <w:rtl/>
        </w:rPr>
        <w:t>במסגרת הסדר טיעון אשר לא כלל הסכמה לעניין העונש. כתב האישום המתוקן מייחס לנאשם מספר עבירות בשני אישומים נפרדים. האישום הראשון עניינו כניסה והתפרצות למקום מגורים, עבירה לפי</w:t>
      </w:r>
      <w:r>
        <w:rPr>
          <w:rtl/>
        </w:rPr>
        <w:t xml:space="preserve"> </w:t>
      </w:r>
      <w:hyperlink r:id="rId14" w:history="1">
        <w:r w:rsidR="007343B4" w:rsidRPr="007343B4">
          <w:rPr>
            <w:color w:val="0000FF"/>
            <w:u w:val="single"/>
            <w:rtl/>
          </w:rPr>
          <w:t>סעיף 406(ב)</w:t>
        </w:r>
      </w:hyperlink>
      <w:r>
        <w:rPr>
          <w:rtl/>
        </w:rPr>
        <w:t xml:space="preserve"> ל</w:t>
      </w:r>
      <w:hyperlink r:id="rId15" w:history="1">
        <w:r w:rsidR="00CE554D" w:rsidRPr="00CE554D">
          <w:rPr>
            <w:color w:val="0000FF"/>
            <w:u w:val="single"/>
            <w:rtl/>
          </w:rPr>
          <w:t>חוק העונשין</w:t>
        </w:r>
      </w:hyperlink>
      <w:r>
        <w:rPr>
          <w:rtl/>
        </w:rPr>
        <w:t>, התשל"ז – 1977</w:t>
      </w:r>
      <w:r>
        <w:rPr>
          <w:rFonts w:hint="cs"/>
          <w:rtl/>
        </w:rPr>
        <w:t xml:space="preserve"> (להלן: "חוק העונשין"), גניבה, עבירה לפי </w:t>
      </w:r>
      <w:hyperlink r:id="rId16" w:history="1">
        <w:r w:rsidR="007343B4" w:rsidRPr="007343B4">
          <w:rPr>
            <w:color w:val="0000FF"/>
            <w:u w:val="single"/>
            <w:rtl/>
          </w:rPr>
          <w:t>סעיף 383(א)(1)</w:t>
        </w:r>
      </w:hyperlink>
      <w:r>
        <w:rPr>
          <w:rFonts w:hint="cs"/>
          <w:rtl/>
        </w:rPr>
        <w:t xml:space="preserve"> לחוק העונשין, ונשיאת נשק ותחמושת, עבירה לפי </w:t>
      </w:r>
      <w:hyperlink r:id="rId17" w:history="1">
        <w:r w:rsidR="007343B4" w:rsidRPr="007343B4">
          <w:rPr>
            <w:color w:val="0000FF"/>
            <w:u w:val="single"/>
            <w:rtl/>
          </w:rPr>
          <w:t>סעיפים 144(ב)</w:t>
        </w:r>
      </w:hyperlink>
      <w:r>
        <w:rPr>
          <w:rFonts w:hint="cs"/>
          <w:rtl/>
        </w:rPr>
        <w:t xml:space="preserve"> רישא + 144(ב) סיפא לחוק העונשין. האישום השני עניינו כניסה והתפרצות למקום מגורים, עבירה לפי </w:t>
      </w:r>
      <w:hyperlink r:id="rId18" w:history="1">
        <w:r w:rsidR="007343B4" w:rsidRPr="007343B4">
          <w:rPr>
            <w:color w:val="0000FF"/>
            <w:u w:val="single"/>
            <w:rtl/>
          </w:rPr>
          <w:t>סעיף 406(ב)</w:t>
        </w:r>
      </w:hyperlink>
      <w:r>
        <w:rPr>
          <w:rFonts w:hint="cs"/>
          <w:rtl/>
        </w:rPr>
        <w:t xml:space="preserve"> ל</w:t>
      </w:r>
      <w:hyperlink r:id="rId19" w:history="1">
        <w:r w:rsidR="00CE554D" w:rsidRPr="00CE554D">
          <w:rPr>
            <w:color w:val="0000FF"/>
            <w:u w:val="single"/>
            <w:rtl/>
          </w:rPr>
          <w:t>חוק העונשין</w:t>
        </w:r>
      </w:hyperlink>
      <w:r>
        <w:rPr>
          <w:rFonts w:hint="cs"/>
          <w:rtl/>
        </w:rPr>
        <w:t xml:space="preserve">, ושוד, עבירה לפי </w:t>
      </w:r>
      <w:hyperlink r:id="rId20" w:history="1">
        <w:r w:rsidR="007343B4" w:rsidRPr="007343B4">
          <w:rPr>
            <w:color w:val="0000FF"/>
            <w:u w:val="single"/>
            <w:rtl/>
          </w:rPr>
          <w:t>סעיף 402(א)</w:t>
        </w:r>
      </w:hyperlink>
      <w:r>
        <w:rPr>
          <w:rFonts w:hint="cs"/>
          <w:rtl/>
        </w:rPr>
        <w:t xml:space="preserve"> לחוק העונשין.</w:t>
      </w:r>
    </w:p>
    <w:p w14:paraId="228779F8" w14:textId="77777777" w:rsidR="00F32B9D" w:rsidRDefault="00F32B9D" w:rsidP="00F32B9D">
      <w:pPr>
        <w:spacing w:line="360" w:lineRule="auto"/>
        <w:jc w:val="both"/>
        <w:rPr>
          <w:rtl/>
        </w:rPr>
      </w:pPr>
    </w:p>
    <w:p w14:paraId="425ED857" w14:textId="77777777" w:rsidR="00F32B9D" w:rsidRDefault="00F32B9D" w:rsidP="00F32B9D">
      <w:pPr>
        <w:spacing w:line="360" w:lineRule="auto"/>
        <w:ind w:left="720" w:hanging="720"/>
        <w:jc w:val="both"/>
        <w:rPr>
          <w:rtl/>
        </w:rPr>
      </w:pPr>
      <w:bookmarkStart w:id="7" w:name="ABSTRACT_END"/>
      <w:bookmarkEnd w:id="7"/>
      <w:r>
        <w:rPr>
          <w:rtl/>
        </w:rPr>
        <w:t>2.</w:t>
      </w:r>
      <w:r>
        <w:rPr>
          <w:rtl/>
        </w:rPr>
        <w:tab/>
        <w:t xml:space="preserve">בעובדות </w:t>
      </w:r>
      <w:r>
        <w:rPr>
          <w:rFonts w:hint="cs"/>
          <w:rtl/>
        </w:rPr>
        <w:t xml:space="preserve">האישום הראשון </w:t>
      </w:r>
      <w:r>
        <w:rPr>
          <w:rtl/>
        </w:rPr>
        <w:t>נאמר כי ביום</w:t>
      </w:r>
      <w:r>
        <w:rPr>
          <w:rFonts w:hint="cs"/>
          <w:rtl/>
        </w:rPr>
        <w:t xml:space="preserve"> 11.12.15, בין השעות 00:30 ל-2:50, התפרץ הנאשם לבית מגוריו של יעקב כהן (להלן: "כהן") ברחוב יפה נוף 5 בעכו, בכך שפתח את חלון המטבח של הבית ונכנס אליו, בכוונה לבצע גניבה או פשע. באותה עת, ישנו בבית כהן, אשתו ואחיו. הנאשם נטל ונשא מהבית אקדח מסוג סמיטוסון ומחסנית התואמת לאקדח שהכילה בתוכה כדורים, שני מכשירי טלפון ניידים, וכן 180 ₪, וזאת במטרה לשלול את </w:t>
      </w:r>
      <w:r>
        <w:rPr>
          <w:rFonts w:hint="cs"/>
          <w:rtl/>
        </w:rPr>
        <w:lastRenderedPageBreak/>
        <w:t>הנשק והרכוש שלילת קבע. הנאשם נמלט מהבית עם הנשק והרכוש שגנב, כשהוא מחזיק ונושא את הנשק בלא רשות על פי דין לנשיאתו ולהחזקתו.</w:t>
      </w:r>
    </w:p>
    <w:p w14:paraId="4B9E52C1" w14:textId="77777777" w:rsidR="00F32B9D" w:rsidRDefault="00F32B9D" w:rsidP="00F32B9D">
      <w:pPr>
        <w:spacing w:line="360" w:lineRule="auto"/>
        <w:ind w:left="720" w:hanging="720"/>
        <w:jc w:val="both"/>
        <w:rPr>
          <w:rtl/>
        </w:rPr>
      </w:pPr>
    </w:p>
    <w:p w14:paraId="13D98517" w14:textId="77777777" w:rsidR="00F32B9D" w:rsidRDefault="00F32B9D" w:rsidP="00F32B9D">
      <w:pPr>
        <w:spacing w:line="360" w:lineRule="auto"/>
        <w:ind w:left="720" w:hanging="720"/>
        <w:jc w:val="both"/>
        <w:rPr>
          <w:rtl/>
        </w:rPr>
      </w:pPr>
      <w:r>
        <w:rPr>
          <w:rtl/>
        </w:rPr>
        <w:tab/>
      </w:r>
      <w:r>
        <w:rPr>
          <w:rFonts w:hint="cs"/>
          <w:rtl/>
        </w:rPr>
        <w:t xml:space="preserve">בעובדות האישום השני נאמר כי בהמשך למתואר באישום הראשון ועוד באותו הלילה, בסמוך לשעה 2:50, התפרץ הנאשם לבית מגוריהם של מאיר ושרה לזר (להלן: "המתלוננים"), ברחוב הפרחים 14 בעכו, בכך שפתח את חלון הסלון של הבית ונכנס אליו בכוונה לבצע גניבה או פשע, וזאת כשכובע גרב על פניו. באותה עת ישנו המתלוננים בקומה העליונה של הבית. הנאשם נטל מהבית שמונה בקבוקי שתיה חריפה, ארבעה מכשירי טלפון ניידים, 70 ₪ במזומן, ועגילים ושרשרת כסופים, וזאת במטרה לשלול את הרכוש שלילת קבע. בשלב מסוים במהלך שהותו של הנאשם בבית, התעורר המתלונן, הבחין כי מכשירי הטלפון הניידים שלו ושל אשתו חסרים, וירד אל קומת הסלון, שם ראה את הנאשם. המתלונן ביקש מהנאשם להחזיר לו את מכשירי הטלפון, ובתגובה שלף הנאשם חפץ הנחזה להיות אקדח, כיוון אותו לעבר המתלונן ואיים עליו באמצעותו. המתלונן נסוג לאחור והנאשם התקדם לעבר חלון היציאה לגינת הבית תוך שהוא מכוון את החפץ לעבר המתלונן, עד שנמלט מהמקום כשהוא נושא עימו את הרכוש. </w:t>
      </w:r>
    </w:p>
    <w:p w14:paraId="1AD38811" w14:textId="77777777" w:rsidR="00F32B9D" w:rsidRDefault="00F32B9D" w:rsidP="00F32B9D">
      <w:pPr>
        <w:spacing w:line="360" w:lineRule="auto"/>
        <w:jc w:val="both"/>
        <w:rPr>
          <w:rtl/>
        </w:rPr>
      </w:pPr>
    </w:p>
    <w:p w14:paraId="4017BD4E" w14:textId="77777777" w:rsidR="00F32B9D" w:rsidRDefault="00F32B9D" w:rsidP="00F32B9D">
      <w:pPr>
        <w:spacing w:line="360" w:lineRule="auto"/>
        <w:ind w:left="720" w:hanging="720"/>
        <w:jc w:val="both"/>
        <w:rPr>
          <w:rtl/>
        </w:rPr>
      </w:pPr>
      <w:r>
        <w:rPr>
          <w:rtl/>
        </w:rPr>
        <w:t>3.</w:t>
      </w:r>
      <w:r>
        <w:rPr>
          <w:rtl/>
        </w:rPr>
        <w:tab/>
      </w:r>
      <w:r>
        <w:rPr>
          <w:rFonts w:hint="cs"/>
          <w:rtl/>
        </w:rPr>
        <w:t xml:space="preserve">בתחילה כפר הנאשם במיוחס לו והתקיימה ישיבת הוכחות בה נשמעו חלק מעדי תביעה, ובהם המתלוננים ומספר שוטרים. ביום 9.5.16, בפתח הישיבה שנועדה להמשך שמיעת הראיות, הודיעו הצדדים כי הגיעו להסדר טיעון ובעקבות כך חזר בו הנאשם מכפירתו והורשע על סמך הודייתו בעבירות שיוחסו לו בכתב האישום המתוקן, כאמור. </w:t>
      </w:r>
    </w:p>
    <w:p w14:paraId="69C63DF6" w14:textId="77777777" w:rsidR="00F32B9D" w:rsidRDefault="00F32B9D" w:rsidP="00F32B9D">
      <w:pPr>
        <w:spacing w:line="360" w:lineRule="auto"/>
        <w:ind w:left="720" w:hanging="720"/>
        <w:jc w:val="both"/>
        <w:rPr>
          <w:rtl/>
        </w:rPr>
      </w:pPr>
    </w:p>
    <w:p w14:paraId="75440465" w14:textId="77777777" w:rsidR="00F32B9D" w:rsidRPr="00CA3529" w:rsidRDefault="00F32B9D" w:rsidP="00F32B9D">
      <w:pPr>
        <w:spacing w:line="360" w:lineRule="auto"/>
        <w:jc w:val="both"/>
        <w:rPr>
          <w:u w:val="single"/>
          <w:rtl/>
        </w:rPr>
      </w:pPr>
      <w:r>
        <w:rPr>
          <w:rFonts w:hint="cs"/>
          <w:u w:val="single"/>
          <w:rtl/>
        </w:rPr>
        <w:t>ראיות</w:t>
      </w:r>
      <w:r>
        <w:rPr>
          <w:u w:val="single"/>
          <w:rtl/>
        </w:rPr>
        <w:t xml:space="preserve"> ה</w:t>
      </w:r>
      <w:r>
        <w:rPr>
          <w:rFonts w:hint="cs"/>
          <w:u w:val="single"/>
          <w:rtl/>
        </w:rPr>
        <w:t xml:space="preserve">צדדים </w:t>
      </w:r>
      <w:r>
        <w:rPr>
          <w:u w:val="single"/>
          <w:rtl/>
        </w:rPr>
        <w:t>לעונש</w:t>
      </w:r>
    </w:p>
    <w:p w14:paraId="4D698476" w14:textId="77777777" w:rsidR="00F32B9D" w:rsidRDefault="00F32B9D" w:rsidP="00F32B9D">
      <w:pPr>
        <w:spacing w:line="360" w:lineRule="auto"/>
        <w:jc w:val="both"/>
        <w:rPr>
          <w:rtl/>
        </w:rPr>
      </w:pPr>
    </w:p>
    <w:p w14:paraId="640B80C0" w14:textId="77777777" w:rsidR="00F32B9D" w:rsidRDefault="00F32B9D" w:rsidP="00F32B9D">
      <w:pPr>
        <w:spacing w:line="360" w:lineRule="auto"/>
        <w:ind w:left="720" w:hanging="720"/>
        <w:jc w:val="both"/>
        <w:rPr>
          <w:rtl/>
        </w:rPr>
      </w:pPr>
      <w:r>
        <w:rPr>
          <w:rtl/>
        </w:rPr>
        <w:t>4.</w:t>
      </w:r>
      <w:r>
        <w:rPr>
          <w:rtl/>
        </w:rPr>
        <w:tab/>
      </w:r>
      <w:r>
        <w:rPr>
          <w:rFonts w:hint="cs"/>
          <w:rtl/>
        </w:rPr>
        <w:t>במסגרת ראיותיה לעונש, הגישה המאשימה את גיליון הרשעותיו הקודמות של הנאשם (מע/1). כמו כן, הוגשו כתב האישום, הכרעת הדין וגזר הדין שניתן כנגדו ב</w:t>
      </w:r>
      <w:hyperlink r:id="rId21" w:history="1">
        <w:r w:rsidR="00CE554D" w:rsidRPr="00CE554D">
          <w:rPr>
            <w:color w:val="0000FF"/>
            <w:u w:val="single"/>
            <w:rtl/>
          </w:rPr>
          <w:t>ת"פ 54402-12-13</w:t>
        </w:r>
      </w:hyperlink>
      <w:r>
        <w:rPr>
          <w:rFonts w:hint="cs"/>
          <w:rtl/>
        </w:rPr>
        <w:t xml:space="preserve"> בבית משפט השלום באילת, הכולל מאסר מותנה בר הפעלה (מע/2). </w:t>
      </w:r>
    </w:p>
    <w:p w14:paraId="28573672" w14:textId="77777777" w:rsidR="00F32B9D" w:rsidRDefault="00F32B9D" w:rsidP="00F32B9D">
      <w:pPr>
        <w:spacing w:line="360" w:lineRule="auto"/>
        <w:ind w:left="720" w:hanging="720"/>
        <w:jc w:val="both"/>
        <w:rPr>
          <w:rtl/>
        </w:rPr>
      </w:pPr>
    </w:p>
    <w:p w14:paraId="34D06E15" w14:textId="77777777" w:rsidR="00F32B9D" w:rsidRDefault="00F32B9D" w:rsidP="00F32B9D">
      <w:pPr>
        <w:spacing w:line="360" w:lineRule="auto"/>
        <w:ind w:left="720" w:hanging="720"/>
        <w:jc w:val="both"/>
        <w:rPr>
          <w:rtl/>
        </w:rPr>
      </w:pPr>
      <w:r>
        <w:rPr>
          <w:rFonts w:hint="cs"/>
          <w:rtl/>
        </w:rPr>
        <w:t>5.</w:t>
      </w:r>
      <w:r>
        <w:rPr>
          <w:rFonts w:hint="cs"/>
          <w:rtl/>
        </w:rPr>
        <w:tab/>
        <w:t xml:space="preserve">מטעם הנאשם הוגשה חוות הדעת הפסיכיאטרית שנערכה לנאשם במסגרת תיק זה מיום 17.1.16 (נע/1). כן הוגשה אסופת פסיקה וטבלת פסיקה (נע/2).  </w:t>
      </w:r>
    </w:p>
    <w:p w14:paraId="3B1BFE16" w14:textId="77777777" w:rsidR="00F32B9D" w:rsidRDefault="00F32B9D" w:rsidP="00F32B9D">
      <w:pPr>
        <w:spacing w:line="360" w:lineRule="auto"/>
        <w:ind w:left="720" w:hanging="720"/>
        <w:jc w:val="both"/>
        <w:rPr>
          <w:rtl/>
        </w:rPr>
      </w:pPr>
    </w:p>
    <w:p w14:paraId="3BEF5F65" w14:textId="77777777" w:rsidR="00F32B9D" w:rsidRPr="00191B40" w:rsidRDefault="00F32B9D" w:rsidP="00F32B9D">
      <w:pPr>
        <w:spacing w:line="360" w:lineRule="auto"/>
        <w:jc w:val="both"/>
        <w:rPr>
          <w:u w:val="single"/>
          <w:rtl/>
        </w:rPr>
      </w:pPr>
      <w:r>
        <w:rPr>
          <w:u w:val="single"/>
          <w:rtl/>
        </w:rPr>
        <w:t>טיעוני המאשימה לעונש</w:t>
      </w:r>
    </w:p>
    <w:p w14:paraId="692B7184" w14:textId="77777777" w:rsidR="00F32B9D" w:rsidRDefault="00F32B9D" w:rsidP="00F32B9D">
      <w:pPr>
        <w:spacing w:line="360" w:lineRule="auto"/>
        <w:ind w:left="720" w:hanging="720"/>
        <w:jc w:val="both"/>
        <w:rPr>
          <w:rtl/>
        </w:rPr>
      </w:pPr>
    </w:p>
    <w:p w14:paraId="42AECE43" w14:textId="77777777" w:rsidR="00F32B9D" w:rsidRDefault="00F32B9D" w:rsidP="00F32B9D">
      <w:pPr>
        <w:spacing w:line="360" w:lineRule="auto"/>
        <w:ind w:left="720" w:hanging="720"/>
        <w:jc w:val="both"/>
        <w:rPr>
          <w:rtl/>
        </w:rPr>
      </w:pPr>
      <w:r>
        <w:rPr>
          <w:rFonts w:hint="cs"/>
          <w:rtl/>
        </w:rPr>
        <w:t>6.</w:t>
      </w:r>
      <w:r>
        <w:rPr>
          <w:rFonts w:hint="cs"/>
          <w:rtl/>
        </w:rPr>
        <w:tab/>
        <w:t>ביחס לערכים החברתיים שנפגעו מביצוע העבירות</w:t>
      </w:r>
      <w:r>
        <w:rPr>
          <w:rtl/>
        </w:rPr>
        <w:t xml:space="preserve">, </w:t>
      </w:r>
      <w:r>
        <w:rPr>
          <w:rFonts w:hint="cs"/>
          <w:rtl/>
        </w:rPr>
        <w:t>טענ</w:t>
      </w:r>
      <w:r>
        <w:rPr>
          <w:rtl/>
        </w:rPr>
        <w:t xml:space="preserve">ה המאשימה כי </w:t>
      </w:r>
      <w:r>
        <w:rPr>
          <w:rFonts w:hint="cs"/>
          <w:rtl/>
        </w:rPr>
        <w:t xml:space="preserve">מעשיו של הנאשם פגעו בביטחונם האישי של המתלוננים ובזכותם לשמירה על רכושם ופרטיותם. המאשימה הפנתה בהקשר זה לפסיקת בית המשפט העליון לפיה עבירות כגון אלה בהן הורשע הנאשם </w:t>
      </w:r>
      <w:r>
        <w:rPr>
          <w:rFonts w:hint="cs"/>
          <w:rtl/>
        </w:rPr>
        <w:lastRenderedPageBreak/>
        <w:t xml:space="preserve">טומנות בחובן לעיתים קרובות לא רק נזק כלכלי רב אלא גם צער ועוגמת נפש הנגרמים לקורבנותיהן, תוך שהודגש כי פריצה לבית אינה פיזית בלבד, אלא מהווה בעיקרה חדירה לתוך התא האישי-משפחתי השמור ביותר של האדם. </w:t>
      </w:r>
    </w:p>
    <w:p w14:paraId="472BBD1A" w14:textId="77777777" w:rsidR="00F32B9D" w:rsidRDefault="00F32B9D" w:rsidP="00F32B9D">
      <w:pPr>
        <w:spacing w:line="360" w:lineRule="auto"/>
        <w:jc w:val="both"/>
        <w:rPr>
          <w:rtl/>
        </w:rPr>
      </w:pPr>
    </w:p>
    <w:p w14:paraId="74026356" w14:textId="77777777" w:rsidR="00F32B9D" w:rsidRDefault="00F32B9D" w:rsidP="00F32B9D">
      <w:pPr>
        <w:spacing w:line="360" w:lineRule="auto"/>
        <w:jc w:val="both"/>
        <w:rPr>
          <w:rtl/>
        </w:rPr>
      </w:pPr>
    </w:p>
    <w:p w14:paraId="1AA9D2BB" w14:textId="77777777" w:rsidR="00F32B9D" w:rsidRDefault="00F32B9D" w:rsidP="00F32B9D">
      <w:pPr>
        <w:spacing w:line="360" w:lineRule="auto"/>
        <w:ind w:left="720"/>
        <w:jc w:val="both"/>
        <w:rPr>
          <w:rtl/>
        </w:rPr>
      </w:pPr>
      <w:r>
        <w:rPr>
          <w:rFonts w:hint="cs"/>
          <w:rtl/>
        </w:rPr>
        <w:t xml:space="preserve">באשר לנסיבות ביצוע העבירה טענה המאשימה כי למעשי הנאשם קדם תכנון, הכולל המתנה לשעת לילה מאוחרת לצורך הקלה על ביצוע העבירות ונטילת הרכוש, וכן שימוש בכובע גרב ובחפץ הנחזה להיות אקדח באישום השני. נטען כי הנאשם פעל לבדו בשני האישומים, מתוך מטרה ברורה של בצע כסף. מעצם טיבם, מעשי התפרצות ושוד עלולים להוביל לפגיעה בגופם של מתלוננים. למרבה המזל, במקרה זה לא נגרם נזק גופני, בפרט לאור העובדה כי באישום הראשון נטל הנאשם מהבית נשק, מעשה שתוצאותיו היו עלולות להיות טרגיות. בבחינת הנזק הישיר שנגרם מביצוע העבירות ציינה המאשימה את נטילת האקדח והתחמושת, מכשירי הטלפון הנייד ויתר הרכוש. על כך הוסיפה את הנזק הנפשי שנגרם למתלוננים ואת תחושת ביטחונם שנפגעה בשל נוכחות הנאשם בביתם וגניבת רכושם בשעה שהם ישנים במיטתם. </w:t>
      </w:r>
    </w:p>
    <w:p w14:paraId="00060669" w14:textId="77777777" w:rsidR="00F32B9D" w:rsidRDefault="00F32B9D" w:rsidP="00F32B9D">
      <w:pPr>
        <w:spacing w:line="360" w:lineRule="auto"/>
        <w:ind w:left="720"/>
        <w:jc w:val="both"/>
        <w:rPr>
          <w:rtl/>
        </w:rPr>
      </w:pPr>
    </w:p>
    <w:p w14:paraId="02309FA6" w14:textId="77777777" w:rsidR="00F32B9D" w:rsidRDefault="00F32B9D" w:rsidP="00F32B9D">
      <w:pPr>
        <w:spacing w:line="360" w:lineRule="auto"/>
        <w:ind w:left="720"/>
        <w:jc w:val="both"/>
        <w:rPr>
          <w:rtl/>
        </w:rPr>
      </w:pPr>
      <w:r>
        <w:rPr>
          <w:rFonts w:hint="cs"/>
          <w:rtl/>
        </w:rPr>
        <w:t xml:space="preserve">לטענת המאשימה, עבירת השוד הינה מן החמורות בספר החוקים ולא בכדי נקבע בצידה עונש חמור. צוין כי ביחס לעבירה זו קבע בית המשפט העליון כי יש להילחם בתופעה באמצעות ענישה מרתיעה והולמת. הוטעם כי גם בהקשר של עבירות ההתפרצות והגניבה נפסק לא אחת כי ראוי לנקוט בענישה מחמירה בעבירות אלו. המאשימה הדגישה כי הנאשם הורשע גם בעבירה חמורה של נשיאת נשק ותחמושת, בה כרוך פוטנציאל מסוכנות של פגיעה בחיי אדם, תוך הפניה לפסיקה הנוהגת בעבירות בהן עסקינן. בנסיבות, עתרה המאשימה למתחם ענישה הנע בין 3-5 שנות מאסר בגין האישום הראשון ובין 2.5-4.5 שנות מאסר בגין האישום השני. לגישת המאשימה, יש לראות בכל אחד מהאישומים אירוע נפרד, בגינו יש לקבוע מתחם ענישה ועונש נפרד. זאת, מאחר וכל אחד מהאישומים מתייחס לתוכנית עבריינית שלמה העומדת בפני עצמה, שבוצעה כלפי קורבנות שונים. </w:t>
      </w:r>
    </w:p>
    <w:p w14:paraId="1E694AF2" w14:textId="77777777" w:rsidR="00F32B9D" w:rsidRDefault="00F32B9D" w:rsidP="00F32B9D">
      <w:pPr>
        <w:spacing w:line="360" w:lineRule="auto"/>
        <w:ind w:left="720"/>
        <w:jc w:val="both"/>
        <w:rPr>
          <w:rtl/>
        </w:rPr>
      </w:pPr>
    </w:p>
    <w:p w14:paraId="486CEA6B" w14:textId="77777777" w:rsidR="00F32B9D" w:rsidRDefault="00F32B9D" w:rsidP="00F32B9D">
      <w:pPr>
        <w:spacing w:line="360" w:lineRule="auto"/>
        <w:ind w:left="720"/>
        <w:jc w:val="both"/>
        <w:rPr>
          <w:rtl/>
        </w:rPr>
      </w:pPr>
      <w:r>
        <w:rPr>
          <w:rFonts w:hint="cs"/>
          <w:rtl/>
        </w:rPr>
        <w:t xml:space="preserve">ביחס לנסיבותיו האישיות של הנאשם הפנתה המאשימה לעברו המכביד, הכולל הרשעות קודמות רבות במגוון עבירות. נטען כי עבר זה, בנוסף להיעדר אינדיקציה לאפיק שיקומי, מטים את הכף אל עבר ענישה הנוטה לרף העליון של כל אחד מהמתחמים לעיל. </w:t>
      </w:r>
    </w:p>
    <w:p w14:paraId="1569DD98" w14:textId="77777777" w:rsidR="00F32B9D" w:rsidRDefault="00F32B9D" w:rsidP="00F32B9D">
      <w:pPr>
        <w:spacing w:line="360" w:lineRule="auto"/>
        <w:jc w:val="both"/>
        <w:rPr>
          <w:rtl/>
        </w:rPr>
      </w:pPr>
    </w:p>
    <w:p w14:paraId="1966D814" w14:textId="77777777" w:rsidR="00F32B9D" w:rsidRDefault="00F32B9D" w:rsidP="00F32B9D">
      <w:pPr>
        <w:spacing w:line="360" w:lineRule="auto"/>
        <w:ind w:left="720"/>
        <w:jc w:val="both"/>
        <w:rPr>
          <w:rtl/>
        </w:rPr>
      </w:pPr>
      <w:r>
        <w:rPr>
          <w:rtl/>
        </w:rPr>
        <w:t>ב</w:t>
      </w:r>
      <w:r>
        <w:rPr>
          <w:rFonts w:hint="cs"/>
          <w:rtl/>
        </w:rPr>
        <w:t xml:space="preserve">התחשב בריבוי העבירות וחומרתן, בעברו הפלילי והיעדר שיקולי שיקום, וכן בעובדה שהמעשים בוצעו בעוד תלוי ועומד כנגדו מאסר מותנה, ביקשה המאשימה </w:t>
      </w:r>
      <w:r>
        <w:rPr>
          <w:rtl/>
        </w:rPr>
        <w:t>ל</w:t>
      </w:r>
      <w:r>
        <w:rPr>
          <w:rFonts w:hint="cs"/>
          <w:rtl/>
        </w:rPr>
        <w:t xml:space="preserve">גזור </w:t>
      </w:r>
      <w:r>
        <w:rPr>
          <w:rtl/>
        </w:rPr>
        <w:t>על</w:t>
      </w:r>
      <w:r>
        <w:rPr>
          <w:rFonts w:hint="cs"/>
          <w:rtl/>
        </w:rPr>
        <w:t xml:space="preserve"> הנאשם עונשי </w:t>
      </w:r>
      <w:r>
        <w:rPr>
          <w:rtl/>
        </w:rPr>
        <w:t>מאסר ברף העליון של מתח</w:t>
      </w:r>
      <w:r>
        <w:rPr>
          <w:rFonts w:hint="cs"/>
          <w:rtl/>
        </w:rPr>
        <w:t>מי</w:t>
      </w:r>
      <w:r>
        <w:rPr>
          <w:rtl/>
        </w:rPr>
        <w:t xml:space="preserve"> הענישה</w:t>
      </w:r>
      <w:r>
        <w:rPr>
          <w:rFonts w:hint="cs"/>
          <w:rtl/>
        </w:rPr>
        <w:t xml:space="preserve"> שהוצעו ולהורות על הצטברות העונשים. כן עתרה להפעלת המאסר המותנה בן 3 חודשים מ</w:t>
      </w:r>
      <w:hyperlink r:id="rId22" w:history="1">
        <w:r w:rsidR="00CE554D" w:rsidRPr="00CE554D">
          <w:rPr>
            <w:color w:val="0000FF"/>
            <w:u w:val="single"/>
            <w:rtl/>
          </w:rPr>
          <w:t>ת"פ 54402-12-13</w:t>
        </w:r>
      </w:hyperlink>
      <w:r>
        <w:rPr>
          <w:rFonts w:hint="cs"/>
          <w:rtl/>
        </w:rPr>
        <w:t xml:space="preserve"> באופן מצטבר, הטלת </w:t>
      </w:r>
      <w:r>
        <w:rPr>
          <w:rtl/>
        </w:rPr>
        <w:t>מאסר מותנה</w:t>
      </w:r>
      <w:r>
        <w:rPr>
          <w:rFonts w:hint="cs"/>
          <w:rtl/>
        </w:rPr>
        <w:t>,</w:t>
      </w:r>
      <w:r>
        <w:rPr>
          <w:rtl/>
        </w:rPr>
        <w:t xml:space="preserve"> ופיצוי למתלונ</w:t>
      </w:r>
      <w:r>
        <w:rPr>
          <w:rFonts w:hint="cs"/>
          <w:rtl/>
        </w:rPr>
        <w:t>נים</w:t>
      </w:r>
      <w:r>
        <w:rPr>
          <w:rtl/>
        </w:rPr>
        <w:t xml:space="preserve">. </w:t>
      </w:r>
    </w:p>
    <w:p w14:paraId="197C3229" w14:textId="77777777" w:rsidR="00F32B9D" w:rsidRDefault="00F32B9D" w:rsidP="00F32B9D">
      <w:pPr>
        <w:spacing w:line="360" w:lineRule="auto"/>
        <w:jc w:val="both"/>
        <w:rPr>
          <w:rtl/>
        </w:rPr>
      </w:pPr>
    </w:p>
    <w:p w14:paraId="4C9D1FE4" w14:textId="77777777" w:rsidR="00F32B9D" w:rsidRDefault="00F32B9D" w:rsidP="00F32B9D">
      <w:pPr>
        <w:spacing w:line="360" w:lineRule="auto"/>
        <w:jc w:val="both"/>
        <w:rPr>
          <w:rtl/>
        </w:rPr>
      </w:pPr>
    </w:p>
    <w:p w14:paraId="42DD553B" w14:textId="77777777" w:rsidR="00F32B9D" w:rsidRDefault="00F32B9D" w:rsidP="00F32B9D">
      <w:pPr>
        <w:spacing w:line="360" w:lineRule="auto"/>
        <w:jc w:val="both"/>
        <w:rPr>
          <w:rtl/>
        </w:rPr>
      </w:pPr>
    </w:p>
    <w:p w14:paraId="401B8563" w14:textId="77777777" w:rsidR="00F32B9D" w:rsidRDefault="00F32B9D" w:rsidP="00F32B9D">
      <w:pPr>
        <w:spacing w:line="360" w:lineRule="auto"/>
        <w:jc w:val="both"/>
        <w:rPr>
          <w:u w:val="single"/>
          <w:rtl/>
        </w:rPr>
      </w:pPr>
    </w:p>
    <w:p w14:paraId="7AD8EF58" w14:textId="77777777" w:rsidR="00F32B9D" w:rsidRPr="00CA3529" w:rsidRDefault="00F32B9D" w:rsidP="00F32B9D">
      <w:pPr>
        <w:spacing w:line="360" w:lineRule="auto"/>
        <w:jc w:val="both"/>
        <w:rPr>
          <w:u w:val="single"/>
          <w:rtl/>
        </w:rPr>
      </w:pPr>
      <w:r>
        <w:rPr>
          <w:u w:val="single"/>
          <w:rtl/>
        </w:rPr>
        <w:t>טיעוני הנאשם לעונש</w:t>
      </w:r>
    </w:p>
    <w:p w14:paraId="6F62EEA3" w14:textId="77777777" w:rsidR="00F32B9D" w:rsidRDefault="00F32B9D" w:rsidP="00F32B9D">
      <w:pPr>
        <w:spacing w:line="360" w:lineRule="auto"/>
        <w:ind w:left="720"/>
        <w:jc w:val="both"/>
        <w:rPr>
          <w:rtl/>
        </w:rPr>
      </w:pPr>
    </w:p>
    <w:p w14:paraId="4169E42B" w14:textId="77777777" w:rsidR="00F32B9D" w:rsidRDefault="00F32B9D" w:rsidP="00F32B9D">
      <w:pPr>
        <w:spacing w:line="360" w:lineRule="auto"/>
        <w:ind w:left="720" w:hanging="720"/>
        <w:jc w:val="both"/>
        <w:rPr>
          <w:rtl/>
        </w:rPr>
      </w:pPr>
      <w:r>
        <w:rPr>
          <w:rFonts w:hint="cs"/>
          <w:rtl/>
        </w:rPr>
        <w:t xml:space="preserve">7. </w:t>
      </w:r>
      <w:r>
        <w:rPr>
          <w:rtl/>
        </w:rPr>
        <w:tab/>
      </w:r>
      <w:r>
        <w:rPr>
          <w:rFonts w:hint="cs"/>
          <w:rtl/>
        </w:rPr>
        <w:t xml:space="preserve">לגישת הסניגור, לאחר תיקונו של כתב האישום, עבירת השוד בה הורשע הנאשם מצויה ברף הנמוך ביותר במדרג עבירות השוד. זאת, בשים לב להיקף המצומצם של השלל שנגנב ולעובדה שביצוע העבירות לא לווה באלימות כלשהי מצד הנאשם. נטען כי בגין אירועים דומים ואף חמורים יותר, בוחרת המאשימה לא אחת להגיש כתבי אישום בעבירות קלות יותר בבית משפט השלום. הסניגור הפנה למספר דוגמאות התומכות בטענה זו, והוסיף כי ספק אם כתב האישום דנן היה מוגש בבית המשפט המחוזי אילו היה מוגש מלכתחילה במתכונתו המתוקנת. </w:t>
      </w:r>
    </w:p>
    <w:p w14:paraId="16631054" w14:textId="77777777" w:rsidR="00F32B9D" w:rsidRDefault="00F32B9D" w:rsidP="00F32B9D">
      <w:pPr>
        <w:spacing w:line="360" w:lineRule="auto"/>
        <w:ind w:left="720" w:hanging="720"/>
        <w:jc w:val="both"/>
        <w:rPr>
          <w:rtl/>
        </w:rPr>
      </w:pPr>
    </w:p>
    <w:p w14:paraId="71761DA9" w14:textId="77777777" w:rsidR="00F32B9D" w:rsidRDefault="00F32B9D" w:rsidP="00F32B9D">
      <w:pPr>
        <w:spacing w:line="360" w:lineRule="auto"/>
        <w:ind w:left="720" w:hanging="720"/>
        <w:jc w:val="both"/>
        <w:rPr>
          <w:rtl/>
        </w:rPr>
      </w:pPr>
      <w:r>
        <w:rPr>
          <w:rtl/>
        </w:rPr>
        <w:tab/>
        <w:t xml:space="preserve">בעת קביעת מתחם הענישה ההולם, </w:t>
      </w:r>
      <w:r>
        <w:rPr>
          <w:rFonts w:hint="cs"/>
          <w:rtl/>
        </w:rPr>
        <w:t xml:space="preserve">ביקש הסניגור ליתן משקל לכך שבפועל לא נגרם כל נזק גוף למתלוננים. הודגש כי הנאשם נמנע מעימות אלים עם המתלוננים. עוד נאמר כי מרבית הרכוש שנגנב נתפס והושב לבעליו. לפיכך, עוצמת הפגיעה בערכים החברתיים המוגנים, היינו, הגנה על שלמות גופו של אדם ורכושו, אינה גבוהה. </w:t>
      </w:r>
    </w:p>
    <w:p w14:paraId="5B5CD09B" w14:textId="77777777" w:rsidR="00F32B9D" w:rsidRDefault="00F32B9D" w:rsidP="00F32B9D">
      <w:pPr>
        <w:spacing w:line="360" w:lineRule="auto"/>
        <w:ind w:left="720" w:hanging="720"/>
        <w:jc w:val="both"/>
        <w:rPr>
          <w:rtl/>
        </w:rPr>
      </w:pPr>
    </w:p>
    <w:p w14:paraId="12BBC006" w14:textId="77777777" w:rsidR="00F32B9D" w:rsidRDefault="00F32B9D" w:rsidP="00F32B9D">
      <w:pPr>
        <w:spacing w:line="360" w:lineRule="auto"/>
        <w:ind w:left="720" w:hanging="720"/>
        <w:jc w:val="both"/>
        <w:rPr>
          <w:rtl/>
        </w:rPr>
      </w:pPr>
      <w:r>
        <w:rPr>
          <w:rtl/>
        </w:rPr>
        <w:tab/>
      </w:r>
      <w:r>
        <w:rPr>
          <w:rFonts w:hint="cs"/>
          <w:rtl/>
        </w:rPr>
        <w:t xml:space="preserve">לטענת הסניגור, יש לראות בעבירות בהן הורשע הנאשם "אירוע אחד" במובנו של </w:t>
      </w:r>
      <w:hyperlink r:id="rId23" w:history="1">
        <w:r w:rsidR="007343B4" w:rsidRPr="007343B4">
          <w:rPr>
            <w:color w:val="0000FF"/>
            <w:u w:val="single"/>
            <w:rtl/>
          </w:rPr>
          <w:t>סעיף 40יג</w:t>
        </w:r>
      </w:hyperlink>
      <w:r>
        <w:rPr>
          <w:rFonts w:hint="cs"/>
          <w:rtl/>
        </w:rPr>
        <w:t xml:space="preserve"> ל</w:t>
      </w:r>
      <w:hyperlink r:id="rId24" w:history="1">
        <w:r w:rsidR="00CE554D" w:rsidRPr="00CE554D">
          <w:rPr>
            <w:color w:val="0000FF"/>
            <w:u w:val="single"/>
            <w:rtl/>
          </w:rPr>
          <w:t>חוק העונשין</w:t>
        </w:r>
      </w:hyperlink>
      <w:r>
        <w:rPr>
          <w:rFonts w:hint="cs"/>
          <w:rtl/>
        </w:rPr>
        <w:t xml:space="preserve">, וזאת, בהתקיים קשר הדוק וזיקה מובהקת בין העבירות, שבוצעו בשיטת פעולה דומה ובסמיכות זמנים של מספר שעות. </w:t>
      </w:r>
    </w:p>
    <w:p w14:paraId="47C2675E" w14:textId="77777777" w:rsidR="00F32B9D" w:rsidRDefault="00F32B9D" w:rsidP="00F32B9D">
      <w:pPr>
        <w:spacing w:line="360" w:lineRule="auto"/>
        <w:ind w:left="720" w:hanging="720"/>
        <w:jc w:val="both"/>
        <w:rPr>
          <w:rtl/>
        </w:rPr>
      </w:pPr>
    </w:p>
    <w:p w14:paraId="08045C0A" w14:textId="77777777" w:rsidR="00F32B9D" w:rsidRDefault="00F32B9D" w:rsidP="00F32B9D">
      <w:pPr>
        <w:spacing w:line="360" w:lineRule="auto"/>
        <w:ind w:left="720" w:hanging="720"/>
        <w:jc w:val="both"/>
        <w:rPr>
          <w:rtl/>
        </w:rPr>
      </w:pPr>
      <w:r>
        <w:rPr>
          <w:rtl/>
        </w:rPr>
        <w:tab/>
      </w:r>
      <w:r>
        <w:rPr>
          <w:rFonts w:hint="cs"/>
          <w:rtl/>
        </w:rPr>
        <w:t xml:space="preserve">מבחינת מדיניות הענישה הנוהגת, טען הסניגור כי יש להתחשב במיקום העבירה המיוחסת לנאשם במדרג החומרה של העבירות מסוג זה. כך, יש להבחין בין שוד אלים לבין שוד שלא הופעלה בו כל אלימות ורכיב האיום בו הינו במדרג הנמוך. הסניגור הפנה לפסיקת בית המשפט העליון בה נקבע מתחם שנע בין 6 ל-24 חודשי מאסר לעבירות שוד שלא בוצעו בנסיבות מחמירות. הסניגור הוסיף והפנה לגזרי דין שניתנו על ידי בתי המשפט המחוזיים בגין עבירות שוד שבוצעו בנסיבות דומות ואף חמורות יותר. נטען כי בתי המשפט הסתפקו בעונשי מאסר שאינם עולים על 24 חודשי מאסר בפועל, אף מקום שמדובר במספר עבירות שוד שבוצעו במועדים שונים. הסניגור הפנה גם לפסיקה לצורך המחשת מדיניות הענישה הנוהגת בעבירות התפרצות וגניבה. לאור כל האמור, עתר הסניגור לקביעת מתחם ענישה הנע בין 10 ל-24 חודשי מאסר בפועל.  </w:t>
      </w:r>
    </w:p>
    <w:p w14:paraId="2A4BABC6" w14:textId="77777777" w:rsidR="00F32B9D" w:rsidRDefault="00F32B9D" w:rsidP="00F32B9D">
      <w:pPr>
        <w:spacing w:line="360" w:lineRule="auto"/>
        <w:jc w:val="both"/>
        <w:rPr>
          <w:rtl/>
        </w:rPr>
      </w:pPr>
    </w:p>
    <w:p w14:paraId="340990FD" w14:textId="77777777" w:rsidR="00F32B9D" w:rsidRDefault="00F32B9D" w:rsidP="00F32B9D">
      <w:pPr>
        <w:spacing w:line="360" w:lineRule="auto"/>
        <w:jc w:val="both"/>
        <w:rPr>
          <w:rtl/>
        </w:rPr>
      </w:pPr>
    </w:p>
    <w:p w14:paraId="6E0C0D61" w14:textId="77777777" w:rsidR="00F32B9D" w:rsidRDefault="00F32B9D" w:rsidP="00F32B9D">
      <w:pPr>
        <w:spacing w:line="360" w:lineRule="auto"/>
        <w:jc w:val="both"/>
        <w:rPr>
          <w:rtl/>
        </w:rPr>
      </w:pPr>
    </w:p>
    <w:p w14:paraId="5F6A296A" w14:textId="77777777" w:rsidR="00F32B9D" w:rsidRDefault="00F32B9D" w:rsidP="00F32B9D">
      <w:pPr>
        <w:spacing w:line="360" w:lineRule="auto"/>
        <w:jc w:val="both"/>
        <w:rPr>
          <w:rtl/>
        </w:rPr>
      </w:pPr>
    </w:p>
    <w:p w14:paraId="06C3A5FF" w14:textId="77777777" w:rsidR="00F32B9D" w:rsidRDefault="00F32B9D" w:rsidP="00F32B9D">
      <w:pPr>
        <w:spacing w:line="360" w:lineRule="auto"/>
        <w:ind w:left="720"/>
        <w:jc w:val="both"/>
        <w:rPr>
          <w:rtl/>
        </w:rPr>
      </w:pPr>
      <w:r>
        <w:rPr>
          <w:rFonts w:hint="cs"/>
          <w:rtl/>
        </w:rPr>
        <w:t xml:space="preserve">ביחס לנסיבותיו האישיות של הנאשם, טען הסניגור כי לנאשם נסיבות חיים קשות ביותר, המצדיקות הקלה משמעותית בעונשו. מדובר באדם בן  64, אב לארבעה ילדים, אלמן מזה 18 שנה, המתקיים מקצבת נכות מאת המוסד לביטוח לאומי. עוד נטען כי הנאשם הודה בהזדמנות הראשונה בעובדות כתב האישום המתוקן, נטל אחריות על מעשיו וחסך בכך זמן שיפוטי יקר. לדעת הסנגור, כי אין לזקוף לחובתו את כפירתו בעובדות כתב האישום המקורי, שכן מדובר בניהול הגנה לגיטימית, בעקבותיה הסכימה המאשימה לתיקון כתב האישום במסגרת הסדר הטיעון. </w:t>
      </w:r>
    </w:p>
    <w:p w14:paraId="1AC3DCFD" w14:textId="77777777" w:rsidR="00F32B9D" w:rsidRDefault="00F32B9D" w:rsidP="00F32B9D">
      <w:pPr>
        <w:spacing w:line="360" w:lineRule="auto"/>
        <w:ind w:left="720"/>
        <w:jc w:val="both"/>
        <w:rPr>
          <w:rtl/>
        </w:rPr>
      </w:pPr>
    </w:p>
    <w:p w14:paraId="670195F9" w14:textId="77777777" w:rsidR="00F32B9D" w:rsidRDefault="00F32B9D" w:rsidP="00F32B9D">
      <w:pPr>
        <w:spacing w:line="360" w:lineRule="auto"/>
        <w:ind w:left="720"/>
        <w:jc w:val="both"/>
        <w:rPr>
          <w:rtl/>
        </w:rPr>
      </w:pPr>
      <w:r>
        <w:rPr>
          <w:rFonts w:hint="cs"/>
          <w:rtl/>
        </w:rPr>
        <w:t>הסניגור טען בהרחבה ביחס למצבו הנפשי הגבולי של הנאשם, המצדיק לגישתו חריגה ממתחם הענישה ההולם. נאמר כי הנאשם מוכר למערכת הפסיכיאטרית מאשפוזים חוזרים עוד משנת 1977 ומאובחן כסובל מסכיזופרניה כרונית. מחוות דעת פסיכיאטרית שהוגשה בעניינו בתיק זה עולה כי בעברו התקפים פסיכוטיים רבים, בגינם אף נקבע בעבר כי אינו נושא באחריות פלילית ואינו כשיר לעמוד לדין. בסיכומו של דבר נקבע כי במקרה הנוכחי הנאשם אחראי למעשיו וכשיר לעמוד לדין. ואולם, שיקולי צדק מחייבים חריגה לקולא ממתחם הענישה ההולם, בשים לב למצבו הנפשי הגבולי הקרוב לסייג לאחריות פלילית ולגילו המבוגר יחסית. לחילופין, ביקש הסניגור להקל עם הנאשם ולהסתפק בגזירת עונש המצוי ברף התחתון של המתחם שהוצע.</w:t>
      </w:r>
    </w:p>
    <w:p w14:paraId="42E356E9" w14:textId="77777777" w:rsidR="00F32B9D" w:rsidRDefault="00F32B9D" w:rsidP="00F32B9D">
      <w:pPr>
        <w:spacing w:line="360" w:lineRule="auto"/>
        <w:jc w:val="both"/>
        <w:rPr>
          <w:rtl/>
        </w:rPr>
      </w:pPr>
    </w:p>
    <w:p w14:paraId="268A003D" w14:textId="77777777" w:rsidR="00F32B9D" w:rsidRPr="00C652CA" w:rsidRDefault="00F32B9D" w:rsidP="00F32B9D">
      <w:pPr>
        <w:spacing w:line="360" w:lineRule="auto"/>
        <w:ind w:left="720" w:hanging="720"/>
        <w:jc w:val="both"/>
        <w:rPr>
          <w:rtl/>
        </w:rPr>
      </w:pPr>
      <w:r>
        <w:rPr>
          <w:rFonts w:hint="cs"/>
          <w:rtl/>
        </w:rPr>
        <w:t xml:space="preserve">8. </w:t>
      </w:r>
      <w:r>
        <w:rPr>
          <w:rtl/>
        </w:rPr>
        <w:tab/>
      </w:r>
      <w:r>
        <w:rPr>
          <w:rFonts w:hint="cs"/>
          <w:rtl/>
        </w:rPr>
        <w:t xml:space="preserve">בדברו האחרון הביע הנאשם חרטה וביקש את רחמי בית המשפט. לדבריו, לא קיבל סיכוי בחייו. הוא פירט כי שהה בבתי חולים לחולי נפש, וכי בנו שאותו לא ראה מזה שנה חלה בסרטן. עוד הוסיף הנאשם כי הוא מבוגר, סובל מבעיות בריאות, אלמן מזה שנים רבות שגידל את ילדיו לבד. </w:t>
      </w:r>
    </w:p>
    <w:p w14:paraId="1737E49A" w14:textId="77777777" w:rsidR="00F32B9D" w:rsidRDefault="00F32B9D" w:rsidP="00F32B9D">
      <w:pPr>
        <w:spacing w:line="360" w:lineRule="auto"/>
        <w:ind w:left="720" w:hanging="720"/>
        <w:jc w:val="both"/>
        <w:rPr>
          <w:u w:val="single"/>
          <w:rtl/>
        </w:rPr>
      </w:pPr>
    </w:p>
    <w:p w14:paraId="5649A383" w14:textId="77777777" w:rsidR="00F32B9D" w:rsidRDefault="00F32B9D" w:rsidP="00F32B9D">
      <w:pPr>
        <w:spacing w:line="360" w:lineRule="auto"/>
        <w:ind w:left="720" w:hanging="720"/>
        <w:jc w:val="both"/>
        <w:rPr>
          <w:u w:val="single"/>
          <w:rtl/>
        </w:rPr>
      </w:pPr>
      <w:r w:rsidRPr="00392B93">
        <w:rPr>
          <w:u w:val="single"/>
          <w:rtl/>
        </w:rPr>
        <w:t>קביעת מתחם הענישה ההולם</w:t>
      </w:r>
    </w:p>
    <w:p w14:paraId="6212C1F0" w14:textId="77777777" w:rsidR="00F32B9D" w:rsidRPr="00EB7607" w:rsidRDefault="00F32B9D" w:rsidP="00F32B9D">
      <w:pPr>
        <w:spacing w:line="360" w:lineRule="auto"/>
        <w:ind w:left="720" w:hanging="720"/>
        <w:jc w:val="both"/>
        <w:rPr>
          <w:u w:val="single"/>
          <w:rtl/>
        </w:rPr>
      </w:pPr>
    </w:p>
    <w:p w14:paraId="04A6FCDE" w14:textId="77777777" w:rsidR="00F32B9D" w:rsidRDefault="00F32B9D" w:rsidP="00F32B9D">
      <w:pPr>
        <w:spacing w:line="360" w:lineRule="auto"/>
        <w:ind w:left="720" w:hanging="720"/>
        <w:jc w:val="both"/>
        <w:rPr>
          <w:rtl/>
        </w:rPr>
      </w:pPr>
      <w:r>
        <w:rPr>
          <w:rFonts w:hint="cs"/>
          <w:rtl/>
        </w:rPr>
        <w:t>9.</w:t>
      </w:r>
      <w:r>
        <w:rPr>
          <w:rtl/>
        </w:rPr>
        <w:tab/>
        <w:t xml:space="preserve">ככלל, </w:t>
      </w:r>
      <w:r w:rsidRPr="00CC545C">
        <w:rPr>
          <w:rtl/>
        </w:rPr>
        <w:t xml:space="preserve">מתחם הענישה ההולם ייקבע בהתאם לעקרון ההלימה, ולשם כך בית המשפט נדרש להתחשב בערכים החברתיים שנפגעו מביצוע העבירה, במידת הפגיעה בהם, במדיניות הענישה הנהוגה ובנסיבות הקשורות בביצוע העבירה, </w:t>
      </w:r>
      <w:r>
        <w:rPr>
          <w:rtl/>
        </w:rPr>
        <w:t>תוך מתן הדעת</w:t>
      </w:r>
      <w:r w:rsidRPr="00CC545C">
        <w:rPr>
          <w:rtl/>
        </w:rPr>
        <w:t xml:space="preserve"> לרשימה המפורטת </w:t>
      </w:r>
      <w:hyperlink r:id="rId25" w:history="1">
        <w:r w:rsidR="007343B4" w:rsidRPr="007343B4">
          <w:rPr>
            <w:color w:val="0000FF"/>
            <w:u w:val="single"/>
            <w:rtl/>
          </w:rPr>
          <w:t>בסעיף 40ט(א)</w:t>
        </w:r>
      </w:hyperlink>
      <w:r w:rsidRPr="00CC545C">
        <w:rPr>
          <w:rtl/>
        </w:rPr>
        <w:t xml:space="preserve"> ל</w:t>
      </w:r>
      <w:hyperlink r:id="rId26" w:history="1">
        <w:r w:rsidR="00CE554D" w:rsidRPr="00CE554D">
          <w:rPr>
            <w:color w:val="0000FF"/>
            <w:u w:val="single"/>
            <w:rtl/>
          </w:rPr>
          <w:t>חוק העונשין</w:t>
        </w:r>
      </w:hyperlink>
      <w:r w:rsidRPr="00CC545C">
        <w:rPr>
          <w:rtl/>
        </w:rPr>
        <w:t>.</w:t>
      </w:r>
    </w:p>
    <w:p w14:paraId="153F7A9C" w14:textId="77777777" w:rsidR="00F32B9D" w:rsidRDefault="00F32B9D" w:rsidP="00F32B9D">
      <w:pPr>
        <w:spacing w:line="360" w:lineRule="auto"/>
        <w:ind w:left="720" w:hanging="720"/>
        <w:jc w:val="both"/>
        <w:rPr>
          <w:rtl/>
        </w:rPr>
      </w:pPr>
    </w:p>
    <w:p w14:paraId="3F4F81B9" w14:textId="77777777" w:rsidR="00F32B9D" w:rsidRDefault="00F32B9D" w:rsidP="00F32B9D">
      <w:pPr>
        <w:spacing w:line="360" w:lineRule="auto"/>
        <w:ind w:left="720" w:hanging="720"/>
        <w:jc w:val="both"/>
        <w:rPr>
          <w:rtl/>
        </w:rPr>
      </w:pPr>
    </w:p>
    <w:p w14:paraId="683061E2" w14:textId="77777777" w:rsidR="00F32B9D" w:rsidRDefault="00F32B9D" w:rsidP="00F32B9D">
      <w:pPr>
        <w:spacing w:line="360" w:lineRule="auto"/>
        <w:ind w:left="720" w:hanging="720"/>
        <w:jc w:val="both"/>
        <w:rPr>
          <w:rtl/>
        </w:rPr>
      </w:pPr>
    </w:p>
    <w:p w14:paraId="2328067A" w14:textId="77777777" w:rsidR="00F32B9D" w:rsidRDefault="00F32B9D" w:rsidP="00F32B9D">
      <w:pPr>
        <w:spacing w:line="360" w:lineRule="auto"/>
        <w:ind w:left="720" w:hanging="720"/>
        <w:jc w:val="both"/>
        <w:rPr>
          <w:rtl/>
        </w:rPr>
      </w:pPr>
    </w:p>
    <w:p w14:paraId="518D34F6" w14:textId="77777777" w:rsidR="00F32B9D" w:rsidRDefault="00F32B9D" w:rsidP="00F32B9D">
      <w:pPr>
        <w:spacing w:line="360" w:lineRule="auto"/>
        <w:ind w:left="720" w:hanging="720"/>
        <w:jc w:val="both"/>
        <w:rPr>
          <w:rtl/>
        </w:rPr>
      </w:pPr>
      <w:r>
        <w:rPr>
          <w:rFonts w:hint="cs"/>
          <w:rtl/>
        </w:rPr>
        <w:t>10.</w:t>
      </w:r>
      <w:r>
        <w:rPr>
          <w:rtl/>
        </w:rPr>
        <w:tab/>
      </w:r>
      <w:r>
        <w:rPr>
          <w:rFonts w:hint="cs"/>
          <w:rtl/>
        </w:rPr>
        <w:t xml:space="preserve">אין חולק כי </w:t>
      </w:r>
      <w:r>
        <w:rPr>
          <w:rtl/>
        </w:rPr>
        <w:t>העביר</w:t>
      </w:r>
      <w:r>
        <w:rPr>
          <w:rFonts w:hint="cs"/>
          <w:rtl/>
        </w:rPr>
        <w:t>ות</w:t>
      </w:r>
      <w:r>
        <w:rPr>
          <w:rtl/>
        </w:rPr>
        <w:t xml:space="preserve"> בה</w:t>
      </w:r>
      <w:r>
        <w:rPr>
          <w:rFonts w:hint="cs"/>
          <w:rtl/>
        </w:rPr>
        <w:t>ן</w:t>
      </w:r>
      <w:r>
        <w:rPr>
          <w:rtl/>
        </w:rPr>
        <w:t xml:space="preserve"> הורשע הנאשם</w:t>
      </w:r>
      <w:r>
        <w:rPr>
          <w:rFonts w:hint="cs"/>
          <w:rtl/>
        </w:rPr>
        <w:t>, ובראשן עבירת השוד, הן עבירות</w:t>
      </w:r>
      <w:r>
        <w:rPr>
          <w:rtl/>
        </w:rPr>
        <w:t xml:space="preserve"> חמור</w:t>
      </w:r>
      <w:r>
        <w:rPr>
          <w:rFonts w:hint="cs"/>
          <w:rtl/>
        </w:rPr>
        <w:t xml:space="preserve">ות. </w:t>
      </w:r>
      <w:r w:rsidRPr="00583394">
        <w:rPr>
          <w:rtl/>
        </w:rPr>
        <w:t xml:space="preserve">אף אם </w:t>
      </w:r>
      <w:r>
        <w:rPr>
          <w:rFonts w:hint="cs"/>
          <w:rtl/>
        </w:rPr>
        <w:t xml:space="preserve">במקרה דנן </w:t>
      </w:r>
      <w:r>
        <w:rPr>
          <w:rtl/>
        </w:rPr>
        <w:t>אין לסווג</w:t>
      </w:r>
      <w:r>
        <w:rPr>
          <w:rFonts w:hint="cs"/>
          <w:rtl/>
        </w:rPr>
        <w:t xml:space="preserve"> את עבירת השוד </w:t>
      </w:r>
      <w:r w:rsidRPr="00583394">
        <w:rPr>
          <w:rtl/>
        </w:rPr>
        <w:t>ברף</w:t>
      </w:r>
      <w:r>
        <w:rPr>
          <w:rtl/>
        </w:rPr>
        <w:t xml:space="preserve"> החומרה הגבוה </w:t>
      </w:r>
      <w:r>
        <w:rPr>
          <w:rFonts w:hint="cs"/>
          <w:rtl/>
        </w:rPr>
        <w:t>ביותר, מדובר עדיין בעבירה</w:t>
      </w:r>
      <w:r w:rsidRPr="00583394">
        <w:rPr>
          <w:rtl/>
        </w:rPr>
        <w:t xml:space="preserve"> חמורה כשלעצמה </w:t>
      </w:r>
      <w:r>
        <w:rPr>
          <w:rFonts w:hint="cs"/>
          <w:rtl/>
        </w:rPr>
        <w:t>ה</w:t>
      </w:r>
      <w:r w:rsidRPr="00583394">
        <w:rPr>
          <w:rtl/>
        </w:rPr>
        <w:t>מחייבת ענישה הולמת</w:t>
      </w:r>
      <w:r>
        <w:rPr>
          <w:rFonts w:hint="cs"/>
          <w:rtl/>
        </w:rPr>
        <w:t xml:space="preserve">. </w:t>
      </w:r>
      <w:r>
        <w:rPr>
          <w:rtl/>
        </w:rPr>
        <w:t xml:space="preserve">על חומרתה של עבירת השוד </w:t>
      </w:r>
      <w:r>
        <w:rPr>
          <w:rFonts w:hint="cs"/>
          <w:rtl/>
        </w:rPr>
        <w:t xml:space="preserve">והצורך בענישה מחמירה בגינה </w:t>
      </w:r>
      <w:r>
        <w:rPr>
          <w:rtl/>
        </w:rPr>
        <w:t xml:space="preserve">עמד בית המשפט במספר רב של הזדמנויות. </w:t>
      </w:r>
      <w:r>
        <w:rPr>
          <w:rFonts w:hint="cs"/>
          <w:rtl/>
        </w:rPr>
        <w:t>ב</w:t>
      </w:r>
      <w:hyperlink r:id="rId27" w:history="1">
        <w:r w:rsidR="00CE554D" w:rsidRPr="00CE554D">
          <w:rPr>
            <w:color w:val="0000FF"/>
            <w:u w:val="single"/>
            <w:rtl/>
          </w:rPr>
          <w:t>ע"פ 4949/15</w:t>
        </w:r>
      </w:hyperlink>
      <w:r>
        <w:rPr>
          <w:rtl/>
        </w:rPr>
        <w:t xml:space="preserve"> </w:t>
      </w:r>
      <w:r w:rsidRPr="00DD0DB1">
        <w:rPr>
          <w:b/>
          <w:bCs/>
          <w:rtl/>
        </w:rPr>
        <w:t>רונן מקדסי נ' מדינת ישראל</w:t>
      </w:r>
      <w:r>
        <w:rPr>
          <w:rFonts w:hint="cs"/>
          <w:rtl/>
        </w:rPr>
        <w:t xml:space="preserve"> (17.3.16) נקבע:</w:t>
      </w:r>
    </w:p>
    <w:p w14:paraId="31359583" w14:textId="77777777" w:rsidR="00F32B9D" w:rsidRDefault="00F32B9D" w:rsidP="00F32B9D">
      <w:pPr>
        <w:spacing w:line="360" w:lineRule="auto"/>
        <w:ind w:left="720" w:hanging="720"/>
        <w:jc w:val="both"/>
        <w:rPr>
          <w:rtl/>
        </w:rPr>
      </w:pPr>
    </w:p>
    <w:p w14:paraId="6FB59BC0" w14:textId="77777777" w:rsidR="00F32B9D" w:rsidRPr="00E51DDC" w:rsidRDefault="00F32B9D" w:rsidP="00F32B9D">
      <w:pPr>
        <w:pStyle w:val="Quote"/>
        <w:spacing w:before="0" w:after="0" w:line="360" w:lineRule="auto"/>
        <w:ind w:left="862" w:right="862"/>
        <w:jc w:val="both"/>
        <w:rPr>
          <w:i w:val="0"/>
          <w:iCs w:val="0"/>
          <w:color w:val="auto"/>
          <w:rtl/>
        </w:rPr>
      </w:pPr>
      <w:r>
        <w:rPr>
          <w:rtl/>
        </w:rPr>
        <w:tab/>
      </w:r>
      <w:r w:rsidRPr="00E51DDC">
        <w:rPr>
          <w:rFonts w:hint="cs"/>
          <w:i w:val="0"/>
          <w:iCs w:val="0"/>
          <w:color w:val="auto"/>
          <w:rtl/>
        </w:rPr>
        <w:t>"</w:t>
      </w:r>
      <w:r w:rsidRPr="00E51DDC">
        <w:rPr>
          <w:i w:val="0"/>
          <w:iCs w:val="0"/>
          <w:color w:val="auto"/>
          <w:rtl/>
        </w:rPr>
        <w:t xml:space="preserve">על חומרתה הרבה של עבירת השוד עמד בית משפט זה לא פעם, והוא </w:t>
      </w:r>
      <w:r>
        <w:rPr>
          <w:i w:val="0"/>
          <w:iCs w:val="0"/>
          <w:color w:val="auto"/>
          <w:rtl/>
        </w:rPr>
        <w:tab/>
      </w:r>
      <w:r w:rsidRPr="00E51DDC">
        <w:rPr>
          <w:i w:val="0"/>
          <w:iCs w:val="0"/>
          <w:color w:val="auto"/>
          <w:rtl/>
        </w:rPr>
        <w:t xml:space="preserve">הדין גם בניסיון לביצוע שוד אשר סוכל. עבירות אלו מאיימות על הסדר </w:t>
      </w:r>
      <w:r>
        <w:rPr>
          <w:i w:val="0"/>
          <w:iCs w:val="0"/>
          <w:color w:val="auto"/>
          <w:rtl/>
        </w:rPr>
        <w:tab/>
      </w:r>
      <w:r w:rsidRPr="00E51DDC">
        <w:rPr>
          <w:i w:val="0"/>
          <w:iCs w:val="0"/>
          <w:color w:val="auto"/>
          <w:rtl/>
        </w:rPr>
        <w:t xml:space="preserve">החברתי התקין ועל שלום הציבור ובטחונו, ולכן ראוי להטיל בגינן עונשי </w:t>
      </w:r>
      <w:r>
        <w:rPr>
          <w:i w:val="0"/>
          <w:iCs w:val="0"/>
          <w:color w:val="auto"/>
          <w:rtl/>
        </w:rPr>
        <w:tab/>
      </w:r>
      <w:r w:rsidRPr="00E51DDC">
        <w:rPr>
          <w:i w:val="0"/>
          <w:iCs w:val="0"/>
          <w:color w:val="auto"/>
          <w:rtl/>
        </w:rPr>
        <w:t xml:space="preserve">מאסר ממושכים, המבטאים את סלידת החברה ממבצעי העבירות, </w:t>
      </w:r>
      <w:r>
        <w:rPr>
          <w:i w:val="0"/>
          <w:iCs w:val="0"/>
          <w:color w:val="auto"/>
          <w:rtl/>
        </w:rPr>
        <w:tab/>
      </w:r>
      <w:r w:rsidRPr="00E51DDC">
        <w:rPr>
          <w:i w:val="0"/>
          <w:iCs w:val="0"/>
          <w:color w:val="auto"/>
          <w:rtl/>
        </w:rPr>
        <w:t>ונותנים ביטוי הולם לעקרונות הגמול וההרתעה (</w:t>
      </w:r>
      <w:hyperlink r:id="rId28" w:history="1">
        <w:r w:rsidR="00CE554D" w:rsidRPr="00CE554D">
          <w:rPr>
            <w:i w:val="0"/>
            <w:iCs w:val="0"/>
            <w:color w:val="0000FF"/>
            <w:u w:val="single"/>
            <w:rtl/>
          </w:rPr>
          <w:t>ע"פ 7475/15</w:t>
        </w:r>
      </w:hyperlink>
      <w:r w:rsidRPr="00E51DDC">
        <w:rPr>
          <w:i w:val="0"/>
          <w:iCs w:val="0"/>
          <w:color w:val="auto"/>
          <w:rtl/>
        </w:rPr>
        <w:t xml:space="preserve"> שריקי נ' </w:t>
      </w:r>
      <w:r>
        <w:rPr>
          <w:i w:val="0"/>
          <w:iCs w:val="0"/>
          <w:color w:val="auto"/>
          <w:rtl/>
        </w:rPr>
        <w:tab/>
      </w:r>
      <w:r w:rsidRPr="00E51DDC">
        <w:rPr>
          <w:i w:val="0"/>
          <w:iCs w:val="0"/>
          <w:color w:val="auto"/>
          <w:rtl/>
        </w:rPr>
        <w:t xml:space="preserve">מדינת ישראל [פורסם בנבו] (18.2.2016); </w:t>
      </w:r>
      <w:hyperlink r:id="rId29" w:history="1">
        <w:r w:rsidR="00CE554D" w:rsidRPr="00CE554D">
          <w:rPr>
            <w:i w:val="0"/>
            <w:iCs w:val="0"/>
            <w:color w:val="0000FF"/>
            <w:u w:val="single"/>
            <w:rtl/>
          </w:rPr>
          <w:t>ע"פ 8864/15</w:t>
        </w:r>
      </w:hyperlink>
      <w:r w:rsidRPr="00E51DDC">
        <w:rPr>
          <w:i w:val="0"/>
          <w:iCs w:val="0"/>
          <w:color w:val="auto"/>
          <w:rtl/>
        </w:rPr>
        <w:t xml:space="preserve"> גורליק נ' מדינת </w:t>
      </w:r>
      <w:r>
        <w:rPr>
          <w:i w:val="0"/>
          <w:iCs w:val="0"/>
          <w:color w:val="auto"/>
          <w:rtl/>
        </w:rPr>
        <w:tab/>
      </w:r>
      <w:r w:rsidRPr="00E51DDC">
        <w:rPr>
          <w:i w:val="0"/>
          <w:iCs w:val="0"/>
          <w:color w:val="auto"/>
          <w:rtl/>
        </w:rPr>
        <w:t xml:space="preserve">ישראל [פורסם בנבו] (3.2.2016); </w:t>
      </w:r>
      <w:hyperlink r:id="rId30" w:history="1">
        <w:r w:rsidR="00CE554D" w:rsidRPr="00CE554D">
          <w:rPr>
            <w:i w:val="0"/>
            <w:iCs w:val="0"/>
            <w:color w:val="0000FF"/>
            <w:u w:val="single"/>
            <w:rtl/>
          </w:rPr>
          <w:t>ע"פ 4125/14</w:t>
        </w:r>
      </w:hyperlink>
      <w:r>
        <w:rPr>
          <w:i w:val="0"/>
          <w:iCs w:val="0"/>
          <w:color w:val="auto"/>
          <w:rtl/>
        </w:rPr>
        <w:t xml:space="preserve"> חרב נ' מדינת ישראל </w:t>
      </w:r>
      <w:r>
        <w:rPr>
          <w:i w:val="0"/>
          <w:iCs w:val="0"/>
          <w:color w:val="auto"/>
          <w:rtl/>
        </w:rPr>
        <w:tab/>
      </w:r>
      <w:r>
        <w:rPr>
          <w:rFonts w:hint="cs"/>
          <w:i w:val="0"/>
          <w:iCs w:val="0"/>
          <w:color w:val="auto"/>
          <w:rtl/>
        </w:rPr>
        <w:t>[</w:t>
      </w:r>
      <w:r w:rsidRPr="00E51DDC">
        <w:rPr>
          <w:i w:val="0"/>
          <w:iCs w:val="0"/>
          <w:color w:val="auto"/>
          <w:rtl/>
        </w:rPr>
        <w:t>פורסם בנבו] (6.1.2015))</w:t>
      </w:r>
      <w:r w:rsidRPr="00E51DDC">
        <w:rPr>
          <w:rFonts w:hint="cs"/>
          <w:i w:val="0"/>
          <w:iCs w:val="0"/>
          <w:color w:val="auto"/>
          <w:rtl/>
        </w:rPr>
        <w:t>"</w:t>
      </w:r>
      <w:r w:rsidRPr="00E51DDC">
        <w:rPr>
          <w:i w:val="0"/>
          <w:iCs w:val="0"/>
          <w:color w:val="auto"/>
          <w:rtl/>
        </w:rPr>
        <w:t>.</w:t>
      </w:r>
    </w:p>
    <w:p w14:paraId="25251ACC" w14:textId="77777777" w:rsidR="00F32B9D" w:rsidRDefault="00F32B9D" w:rsidP="00F32B9D">
      <w:pPr>
        <w:spacing w:line="360" w:lineRule="auto"/>
        <w:ind w:left="720" w:hanging="720"/>
        <w:jc w:val="both"/>
        <w:rPr>
          <w:rtl/>
        </w:rPr>
      </w:pPr>
    </w:p>
    <w:p w14:paraId="1B81DC4D" w14:textId="77777777" w:rsidR="00F32B9D" w:rsidRDefault="00F32B9D" w:rsidP="00F32B9D">
      <w:pPr>
        <w:spacing w:line="360" w:lineRule="auto"/>
        <w:ind w:left="720" w:hanging="720"/>
        <w:jc w:val="both"/>
        <w:rPr>
          <w:rtl/>
        </w:rPr>
      </w:pPr>
      <w:r>
        <w:rPr>
          <w:rtl/>
        </w:rPr>
        <w:tab/>
      </w:r>
      <w:r>
        <w:rPr>
          <w:rFonts w:hint="cs"/>
          <w:rtl/>
        </w:rPr>
        <w:t>עוד נפסק כי גם במקרים כגון דא, בהם לא הופעלה אלימות פיזית בעת ביצוע השוד, יש מקום לענישה מרתיעה. כך למשל נאמר ב</w:t>
      </w:r>
      <w:hyperlink r:id="rId31" w:history="1">
        <w:r w:rsidR="00CE554D" w:rsidRPr="00CE554D">
          <w:rPr>
            <w:color w:val="0000FF"/>
            <w:u w:val="single"/>
            <w:rtl/>
          </w:rPr>
          <w:t>ע"פ 9094/12</w:t>
        </w:r>
      </w:hyperlink>
      <w:r>
        <w:rPr>
          <w:rFonts w:hint="cs"/>
          <w:rtl/>
        </w:rPr>
        <w:t xml:space="preserve"> </w:t>
      </w:r>
      <w:r w:rsidRPr="00032C21">
        <w:rPr>
          <w:rFonts w:hint="cs"/>
          <w:b/>
          <w:bCs/>
          <w:rtl/>
        </w:rPr>
        <w:t>א</w:t>
      </w:r>
      <w:r w:rsidRPr="00E51DDC">
        <w:rPr>
          <w:rFonts w:hint="cs"/>
          <w:b/>
          <w:bCs/>
          <w:rtl/>
        </w:rPr>
        <w:t xml:space="preserve">יתן טספאי נ' מדינת ישראל </w:t>
      </w:r>
      <w:r>
        <w:rPr>
          <w:rFonts w:hint="cs"/>
          <w:rtl/>
        </w:rPr>
        <w:t>(28.4.13):</w:t>
      </w:r>
    </w:p>
    <w:p w14:paraId="5FED47CB" w14:textId="77777777" w:rsidR="00F32B9D" w:rsidRDefault="00F32B9D" w:rsidP="00F32B9D">
      <w:pPr>
        <w:spacing w:line="360" w:lineRule="auto"/>
        <w:ind w:left="720" w:hanging="720"/>
        <w:jc w:val="both"/>
        <w:rPr>
          <w:rtl/>
        </w:rPr>
      </w:pPr>
    </w:p>
    <w:p w14:paraId="2CE81E13" w14:textId="77777777" w:rsidR="00F32B9D" w:rsidRPr="009C0985" w:rsidRDefault="00F32B9D" w:rsidP="00F32B9D">
      <w:pPr>
        <w:pStyle w:val="Quote"/>
        <w:spacing w:before="0" w:after="0" w:line="360" w:lineRule="auto"/>
        <w:ind w:left="1440" w:right="862" w:firstLine="7"/>
        <w:jc w:val="both"/>
        <w:rPr>
          <w:i w:val="0"/>
          <w:iCs w:val="0"/>
          <w:color w:val="auto"/>
        </w:rPr>
      </w:pPr>
      <w:r>
        <w:rPr>
          <w:rFonts w:hint="cs"/>
          <w:i w:val="0"/>
          <w:iCs w:val="0"/>
          <w:color w:val="auto"/>
          <w:rtl/>
        </w:rPr>
        <w:t>"</w:t>
      </w:r>
      <w:r w:rsidRPr="00E51DDC">
        <w:rPr>
          <w:i w:val="0"/>
          <w:iCs w:val="0"/>
          <w:color w:val="auto"/>
          <w:rtl/>
        </w:rPr>
        <w:t xml:space="preserve">אין מחלוקת כי עבירת השוד עבירה חמורה היא. ראשית, פוגעת עבירה זו בקניינו של הקרבן. שנית, וחמור מכך, עבירת השוד פוגעת בביטחונו האישי של הקרבן. תחושת האימה וחוסר האונים בה שרוי קרבן עבירת השוד, והחשש לחייו, מותירים בו לא פעם צלקות חמורות לאורך תקופה ארוכה. מטעם זה קבע בית המשפט לא אחת כי גם מקום בו לא בוצעה אלימות פיזית בפועל, וכן מקום בו כלל לא הוצג כלי הנשק, ראוי להטיל עונשים מרתיעים על המבצעים עבירות אלו (וראו לדוגמא </w:t>
      </w:r>
      <w:hyperlink r:id="rId32" w:history="1">
        <w:r w:rsidR="00CE554D" w:rsidRPr="00CE554D">
          <w:rPr>
            <w:i w:val="0"/>
            <w:iCs w:val="0"/>
            <w:color w:val="0000FF"/>
            <w:u w:val="single"/>
            <w:rtl/>
          </w:rPr>
          <w:t>ע"פ 2678/12</w:t>
        </w:r>
      </w:hyperlink>
      <w:r w:rsidRPr="00E51DDC">
        <w:rPr>
          <w:i w:val="0"/>
          <w:iCs w:val="0"/>
          <w:color w:val="auto"/>
          <w:rtl/>
        </w:rPr>
        <w:t xml:space="preserve"> אבו כף נ' מדינת ישראל [פורסם בנבו] (15.1.2013); </w:t>
      </w:r>
      <w:hyperlink r:id="rId33" w:history="1">
        <w:r w:rsidR="00CE554D" w:rsidRPr="00CE554D">
          <w:rPr>
            <w:i w:val="0"/>
            <w:iCs w:val="0"/>
            <w:color w:val="0000FF"/>
            <w:u w:val="single"/>
            <w:rtl/>
          </w:rPr>
          <w:t>ע"פ 698/07</w:t>
        </w:r>
      </w:hyperlink>
      <w:r w:rsidRPr="00E51DDC">
        <w:rPr>
          <w:i w:val="0"/>
          <w:iCs w:val="0"/>
          <w:color w:val="auto"/>
          <w:rtl/>
        </w:rPr>
        <w:t xml:space="preserve"> אברמוב נ' מדינת ישראל [פורסם בנבו] (17.6.2007))</w:t>
      </w:r>
      <w:r>
        <w:rPr>
          <w:rFonts w:hint="cs"/>
          <w:i w:val="0"/>
          <w:iCs w:val="0"/>
          <w:color w:val="auto"/>
          <w:rtl/>
        </w:rPr>
        <w:t>"</w:t>
      </w:r>
      <w:r w:rsidRPr="00E51DDC">
        <w:rPr>
          <w:i w:val="0"/>
          <w:iCs w:val="0"/>
          <w:color w:val="auto"/>
          <w:rtl/>
        </w:rPr>
        <w:t xml:space="preserve">.   </w:t>
      </w:r>
      <w:r>
        <w:rPr>
          <w:rFonts w:hint="cs"/>
          <w:rtl/>
        </w:rPr>
        <w:t xml:space="preserve"> </w:t>
      </w:r>
    </w:p>
    <w:p w14:paraId="5FD684E2" w14:textId="77777777" w:rsidR="00F32B9D" w:rsidRDefault="00F32B9D" w:rsidP="00F32B9D">
      <w:pPr>
        <w:spacing w:line="360" w:lineRule="auto"/>
        <w:ind w:left="720" w:hanging="720"/>
        <w:jc w:val="both"/>
        <w:rPr>
          <w:rtl/>
        </w:rPr>
      </w:pPr>
      <w:r>
        <w:rPr>
          <w:rtl/>
        </w:rPr>
        <w:tab/>
      </w:r>
    </w:p>
    <w:p w14:paraId="43B4C4F7" w14:textId="77777777" w:rsidR="00F32B9D" w:rsidRDefault="00F32B9D" w:rsidP="00F32B9D">
      <w:pPr>
        <w:spacing w:line="360" w:lineRule="auto"/>
        <w:ind w:left="720" w:hanging="720"/>
        <w:jc w:val="both"/>
        <w:rPr>
          <w:rtl/>
        </w:rPr>
      </w:pPr>
      <w:r>
        <w:rPr>
          <w:rFonts w:hint="cs"/>
          <w:rtl/>
        </w:rPr>
        <w:t>11.</w:t>
      </w:r>
      <w:r>
        <w:rPr>
          <w:rFonts w:hint="cs"/>
          <w:rtl/>
        </w:rPr>
        <w:tab/>
      </w:r>
      <w:r w:rsidRPr="00032C21">
        <w:rPr>
          <w:rtl/>
        </w:rPr>
        <w:t xml:space="preserve">הערך החברתי שנפגע כתוצאה </w:t>
      </w:r>
      <w:r>
        <w:rPr>
          <w:rtl/>
        </w:rPr>
        <w:t>מביצוע העבירות על ידי הנאשם הינ</w:t>
      </w:r>
      <w:r>
        <w:rPr>
          <w:rFonts w:hint="cs"/>
          <w:rtl/>
        </w:rPr>
        <w:t>ו</w:t>
      </w:r>
      <w:r>
        <w:rPr>
          <w:rtl/>
        </w:rPr>
        <w:t xml:space="preserve"> הער</w:t>
      </w:r>
      <w:r>
        <w:rPr>
          <w:rFonts w:hint="cs"/>
          <w:rtl/>
        </w:rPr>
        <w:t xml:space="preserve">ך </w:t>
      </w:r>
      <w:r w:rsidRPr="00032C21">
        <w:rPr>
          <w:rtl/>
        </w:rPr>
        <w:t>של הגנה על שלמות גופו ורכושו של האדם.</w:t>
      </w:r>
      <w:r>
        <w:rPr>
          <w:rFonts w:hint="cs"/>
          <w:rtl/>
        </w:rPr>
        <w:t xml:space="preserve"> במקרה דנן, מדובר בהתפרצויות לבתי מגורים  לצורך גניבת רכוש מתוכם, בשתי הזדמנויות שונות במהלך אותו לילה, אשר האחרונה שבהן התפתחה לאירוע שוד. מדובר ב</w:t>
      </w:r>
      <w:r w:rsidRPr="00583394">
        <w:rPr>
          <w:rtl/>
        </w:rPr>
        <w:t>אירוע</w:t>
      </w:r>
      <w:r>
        <w:rPr>
          <w:rFonts w:hint="cs"/>
          <w:rtl/>
        </w:rPr>
        <w:t>ים</w:t>
      </w:r>
      <w:r w:rsidRPr="00583394">
        <w:rPr>
          <w:rtl/>
        </w:rPr>
        <w:t xml:space="preserve"> ש</w:t>
      </w:r>
      <w:r>
        <w:rPr>
          <w:rFonts w:hint="cs"/>
          <w:rtl/>
        </w:rPr>
        <w:t>עשויים</w:t>
      </w:r>
      <w:r>
        <w:rPr>
          <w:rtl/>
        </w:rPr>
        <w:t xml:space="preserve"> הי</w:t>
      </w:r>
      <w:r>
        <w:rPr>
          <w:rFonts w:hint="cs"/>
          <w:rtl/>
        </w:rPr>
        <w:t>ו</w:t>
      </w:r>
      <w:r>
        <w:rPr>
          <w:rtl/>
        </w:rPr>
        <w:t xml:space="preserve"> </w:t>
      </w:r>
      <w:r>
        <w:rPr>
          <w:rFonts w:hint="cs"/>
          <w:rtl/>
        </w:rPr>
        <w:t xml:space="preserve">בנקל </w:t>
      </w:r>
      <w:r>
        <w:rPr>
          <w:rtl/>
        </w:rPr>
        <w:t>להסתיים בתוצאות קשו</w:t>
      </w:r>
      <w:r>
        <w:rPr>
          <w:rFonts w:hint="cs"/>
          <w:rtl/>
        </w:rPr>
        <w:t>ת</w:t>
      </w:r>
      <w:r w:rsidRPr="00583394">
        <w:rPr>
          <w:rtl/>
        </w:rPr>
        <w:t>, גם אם ה</w:t>
      </w:r>
      <w:r>
        <w:rPr>
          <w:rFonts w:hint="cs"/>
          <w:rtl/>
        </w:rPr>
        <w:t>נאשם</w:t>
      </w:r>
      <w:r w:rsidRPr="00583394">
        <w:rPr>
          <w:rtl/>
        </w:rPr>
        <w:t xml:space="preserve"> לא כיוון לכך מלכתחילה.</w:t>
      </w:r>
      <w:r>
        <w:rPr>
          <w:rFonts w:hint="cs"/>
          <w:rtl/>
        </w:rPr>
        <w:t xml:space="preserve"> חומרה יתרה יש בעובדה כי הנאשם התפרץ לבתי המתלוננים באישון לילה, בעוד אלה נמים את שנתם. העובדה כי כל אחד מדרי הבית עשוי היה להתעורר משנתו בכל עת ולהפתיעו בעת ביצוע המעשה לא הרתיעה את הנאשם. נהפוך הוא, כאמור באישום השני, כאשר חש המתלונן כי משהו אינו כשורה וירד לסלון הבית, </w:t>
      </w:r>
      <w:r w:rsidRPr="0024395F">
        <w:rPr>
          <w:rtl/>
        </w:rPr>
        <w:t>היה מוכן ה</w:t>
      </w:r>
      <w:r>
        <w:rPr>
          <w:rFonts w:hint="cs"/>
          <w:rtl/>
        </w:rPr>
        <w:t xml:space="preserve">נאשם </w:t>
      </w:r>
      <w:r w:rsidRPr="0024395F">
        <w:rPr>
          <w:rtl/>
        </w:rPr>
        <w:t>לצעוד צעד נוסף</w:t>
      </w:r>
      <w:r>
        <w:rPr>
          <w:rFonts w:hint="cs"/>
          <w:rtl/>
        </w:rPr>
        <w:t>,</w:t>
      </w:r>
      <w:r w:rsidRPr="0024395F">
        <w:rPr>
          <w:rtl/>
        </w:rPr>
        <w:t xml:space="preserve"> </w:t>
      </w:r>
      <w:r>
        <w:rPr>
          <w:rFonts w:hint="cs"/>
          <w:rtl/>
        </w:rPr>
        <w:t xml:space="preserve">לכוון לעברו חפץ הנחזה להיות אקדח </w:t>
      </w:r>
      <w:r w:rsidRPr="0024395F">
        <w:rPr>
          <w:rtl/>
        </w:rPr>
        <w:t>ולבצע עבירה של שוד</w:t>
      </w:r>
      <w:r>
        <w:rPr>
          <w:rFonts w:hint="cs"/>
          <w:rtl/>
        </w:rPr>
        <w:t>.</w:t>
      </w:r>
      <w:r>
        <w:rPr>
          <w:rtl/>
        </w:rPr>
        <w:t xml:space="preserve"> אין צ</w:t>
      </w:r>
      <w:r>
        <w:rPr>
          <w:rFonts w:hint="cs"/>
          <w:rtl/>
        </w:rPr>
        <w:t>ו</w:t>
      </w:r>
      <w:r>
        <w:rPr>
          <w:rtl/>
        </w:rPr>
        <w:t>ר</w:t>
      </w:r>
      <w:r w:rsidRPr="0024395F">
        <w:rPr>
          <w:rtl/>
        </w:rPr>
        <w:t xml:space="preserve">ך לומר כי מבחינתו של </w:t>
      </w:r>
      <w:r>
        <w:rPr>
          <w:rFonts w:hint="cs"/>
          <w:rtl/>
        </w:rPr>
        <w:t>המתלונן, ש</w:t>
      </w:r>
      <w:r w:rsidRPr="0024395F">
        <w:rPr>
          <w:rtl/>
        </w:rPr>
        <w:t xml:space="preserve">אוים </w:t>
      </w:r>
      <w:r>
        <w:rPr>
          <w:rFonts w:hint="cs"/>
          <w:rtl/>
        </w:rPr>
        <w:t xml:space="preserve">באמצעות אותו כלי, </w:t>
      </w:r>
      <w:r w:rsidRPr="0024395F">
        <w:rPr>
          <w:rtl/>
        </w:rPr>
        <w:t xml:space="preserve">מדובר בכלי נשק מסוכן, לכל דבר ועניין. </w:t>
      </w:r>
      <w:r>
        <w:rPr>
          <w:rFonts w:hint="cs"/>
          <w:rtl/>
        </w:rPr>
        <w:t xml:space="preserve">למרבה המזל, נסוג המתלונן מפני האיום ובכך נמנעה הסלמת ההתרחשות לכדי עימות אלים, שאחריתו מי ישורנו. </w:t>
      </w:r>
    </w:p>
    <w:p w14:paraId="08F52308" w14:textId="77777777" w:rsidR="00F32B9D" w:rsidRDefault="00F32B9D" w:rsidP="00F32B9D">
      <w:pPr>
        <w:spacing w:line="360" w:lineRule="auto"/>
        <w:ind w:left="720" w:hanging="720"/>
        <w:jc w:val="both"/>
        <w:rPr>
          <w:rtl/>
        </w:rPr>
      </w:pPr>
    </w:p>
    <w:p w14:paraId="3F4DA194" w14:textId="77777777" w:rsidR="00F32B9D" w:rsidRDefault="00F32B9D" w:rsidP="00F32B9D">
      <w:pPr>
        <w:spacing w:line="360" w:lineRule="auto"/>
        <w:ind w:left="720" w:hanging="720"/>
        <w:jc w:val="both"/>
        <w:rPr>
          <w:rtl/>
        </w:rPr>
      </w:pPr>
      <w:r>
        <w:rPr>
          <w:rtl/>
        </w:rPr>
        <w:tab/>
      </w:r>
      <w:r>
        <w:rPr>
          <w:rFonts w:hint="cs"/>
          <w:rtl/>
        </w:rPr>
        <w:t xml:space="preserve">כשיקול נוסף לחומרה יש להוסיף את התכנון שקדם לאירוע, המתנתו של הנאשם לשעת לילה מאוחרת כשעת כושר לביצוע המעשים, והצטיידותו בכובע גרב ובחפץ הנחזה להיות אקדח באישום השני. </w:t>
      </w:r>
    </w:p>
    <w:p w14:paraId="203C8309" w14:textId="77777777" w:rsidR="00F32B9D" w:rsidRDefault="00F32B9D" w:rsidP="00F32B9D">
      <w:pPr>
        <w:spacing w:line="360" w:lineRule="auto"/>
        <w:ind w:left="720" w:hanging="720"/>
        <w:jc w:val="both"/>
        <w:rPr>
          <w:rtl/>
        </w:rPr>
      </w:pPr>
    </w:p>
    <w:p w14:paraId="4C7BA2B2" w14:textId="77777777" w:rsidR="00F32B9D" w:rsidRDefault="00F32B9D" w:rsidP="00F32B9D">
      <w:pPr>
        <w:spacing w:line="360" w:lineRule="auto"/>
        <w:ind w:left="720" w:hanging="720"/>
        <w:jc w:val="both"/>
        <w:rPr>
          <w:rtl/>
        </w:rPr>
      </w:pPr>
      <w:r>
        <w:rPr>
          <w:rFonts w:hint="cs"/>
          <w:rtl/>
        </w:rPr>
        <w:t>12.</w:t>
      </w:r>
      <w:r>
        <w:rPr>
          <w:rFonts w:hint="cs"/>
          <w:rtl/>
        </w:rPr>
        <w:tab/>
      </w:r>
      <w:r>
        <w:rPr>
          <w:rtl/>
        </w:rPr>
        <w:t>הפסיקה שבה והדגישה את החומרה הגלומה בעבירות התפרצות, שפגיעתן קשה לא רק ברכושו של אדם אלא גם בתחושת בטחונו האישי, על אחת כמה וכמה כאשר מצוי הוא בביתו בעת החדירה אליו. ב</w:t>
      </w:r>
      <w:hyperlink r:id="rId34" w:history="1">
        <w:r w:rsidR="00CE554D" w:rsidRPr="00CE554D">
          <w:rPr>
            <w:color w:val="0000FF"/>
            <w:u w:val="single"/>
            <w:rtl/>
          </w:rPr>
          <w:t>ע"פ 2844/14</w:t>
        </w:r>
      </w:hyperlink>
      <w:r>
        <w:rPr>
          <w:rtl/>
        </w:rPr>
        <w:t xml:space="preserve"> </w:t>
      </w:r>
      <w:r w:rsidRPr="000E24F8">
        <w:rPr>
          <w:b/>
          <w:bCs/>
          <w:rtl/>
        </w:rPr>
        <w:t>חיים אפללו נ' מדינת ישראל</w:t>
      </w:r>
      <w:r>
        <w:rPr>
          <w:rtl/>
        </w:rPr>
        <w:t xml:space="preserve"> (23.5.16) נאמר בהקשר זה:</w:t>
      </w:r>
    </w:p>
    <w:p w14:paraId="3E1D69DF" w14:textId="77777777" w:rsidR="00F32B9D" w:rsidRDefault="00F32B9D" w:rsidP="00F32B9D">
      <w:pPr>
        <w:spacing w:line="360" w:lineRule="auto"/>
        <w:ind w:left="720" w:hanging="720"/>
        <w:jc w:val="both"/>
        <w:rPr>
          <w:rtl/>
        </w:rPr>
      </w:pPr>
    </w:p>
    <w:p w14:paraId="0973565F" w14:textId="77777777" w:rsidR="00F32B9D" w:rsidRDefault="00F32B9D" w:rsidP="00F32B9D">
      <w:pPr>
        <w:pStyle w:val="Quote"/>
        <w:spacing w:before="0" w:after="0" w:line="360" w:lineRule="auto"/>
        <w:ind w:left="1440" w:right="862" w:firstLine="7"/>
        <w:jc w:val="both"/>
        <w:rPr>
          <w:i w:val="0"/>
          <w:iCs w:val="0"/>
          <w:color w:val="auto"/>
          <w:rtl/>
        </w:rPr>
      </w:pPr>
      <w:r w:rsidRPr="000E24F8">
        <w:rPr>
          <w:i w:val="0"/>
          <w:iCs w:val="0"/>
          <w:color w:val="auto"/>
          <w:rtl/>
        </w:rPr>
        <w:t>"בית משפט זה עמד לא אחת על חומרתן המיוחדת של עבירות התפרצות לבתים וגניבה, אשר פוגעות בקניינם של בעלי הרכוש, בפרטיותם, בביטחונם, בבטחון הציבור ובתחושה של 'ביתי הוא מבצרי' (</w:t>
      </w:r>
      <w:hyperlink r:id="rId35" w:history="1">
        <w:r w:rsidR="00CE554D" w:rsidRPr="00CE554D">
          <w:rPr>
            <w:i w:val="0"/>
            <w:iCs w:val="0"/>
            <w:color w:val="0000FF"/>
            <w:u w:val="single"/>
            <w:rtl/>
          </w:rPr>
          <w:t>ע"פ 6002/15</w:t>
        </w:r>
      </w:hyperlink>
      <w:r w:rsidRPr="000E24F8">
        <w:rPr>
          <w:i w:val="0"/>
          <w:iCs w:val="0"/>
          <w:color w:val="auto"/>
          <w:rtl/>
        </w:rPr>
        <w:t xml:space="preserve"> אבו סרייה נ' מדינת ישראל, [פורסם בנבו] פסקה 14 (9.3.2016); </w:t>
      </w:r>
      <w:hyperlink r:id="rId36" w:history="1">
        <w:r w:rsidR="00CE554D" w:rsidRPr="00CE554D">
          <w:rPr>
            <w:i w:val="0"/>
            <w:iCs w:val="0"/>
            <w:color w:val="0000FF"/>
            <w:u w:val="single"/>
            <w:rtl/>
          </w:rPr>
          <w:t>ע"פ 8894/12</w:t>
        </w:r>
      </w:hyperlink>
      <w:r w:rsidRPr="000E24F8">
        <w:rPr>
          <w:i w:val="0"/>
          <w:iCs w:val="0"/>
          <w:color w:val="auto"/>
          <w:rtl/>
        </w:rPr>
        <w:t xml:space="preserve"> חושיה נ' מדינת ישראל, [פורסם בנבו] פסקה י' (‏6.2.2014)). מעבר לפגיעה קשה זו, עבירות התפרצות לבתים, ובפרט אלה הכוללות הצטיידות ושימוש בכלי נשק, עלולות על נקלה להידרדר לאירוע אלים, אשר קשה לחזות את תוצאותיו (</w:t>
      </w:r>
      <w:hyperlink r:id="rId37" w:history="1">
        <w:r w:rsidR="00CE554D" w:rsidRPr="00CE554D">
          <w:rPr>
            <w:i w:val="0"/>
            <w:iCs w:val="0"/>
            <w:color w:val="0000FF"/>
            <w:u w:val="single"/>
            <w:rtl/>
          </w:rPr>
          <w:t>ע"פ 4815/13</w:t>
        </w:r>
      </w:hyperlink>
      <w:r w:rsidRPr="000E24F8">
        <w:rPr>
          <w:i w:val="0"/>
          <w:iCs w:val="0"/>
          <w:color w:val="auto"/>
          <w:rtl/>
        </w:rPr>
        <w:t xml:space="preserve"> מדינת ישראל נ' אלעוקבי, [פורסם </w:t>
      </w:r>
      <w:r w:rsidRPr="000E24F8">
        <w:rPr>
          <w:i w:val="0"/>
          <w:iCs w:val="0"/>
          <w:color w:val="auto"/>
          <w:rtl/>
        </w:rPr>
        <w:tab/>
        <w:t xml:space="preserve">בנבו] פסקה 13 (1.1.2014); </w:t>
      </w:r>
      <w:hyperlink r:id="rId38" w:history="1">
        <w:r w:rsidR="00CE554D" w:rsidRPr="00CE554D">
          <w:rPr>
            <w:i w:val="0"/>
            <w:iCs w:val="0"/>
            <w:color w:val="0000FF"/>
            <w:u w:val="single"/>
            <w:rtl/>
          </w:rPr>
          <w:t>ע"פ 3297/10</w:t>
        </w:r>
      </w:hyperlink>
      <w:r w:rsidRPr="000E24F8">
        <w:rPr>
          <w:i w:val="0"/>
          <w:iCs w:val="0"/>
          <w:color w:val="auto"/>
          <w:rtl/>
        </w:rPr>
        <w:t xml:space="preserve"> וולקוב נ' מדינת ישראל, [פורסם </w:t>
      </w:r>
      <w:r w:rsidRPr="000E24F8">
        <w:rPr>
          <w:i w:val="0"/>
          <w:iCs w:val="0"/>
          <w:color w:val="auto"/>
          <w:rtl/>
        </w:rPr>
        <w:tab/>
        <w:t xml:space="preserve">בנבו] פסקה 8 (24.5.2012)). יפים לעניין זה דבריו של השופט ח' מלצר בע"פ </w:t>
      </w:r>
      <w:hyperlink r:id="rId39" w:history="1">
        <w:r w:rsidR="007F6C3C" w:rsidRPr="007F6C3C">
          <w:rPr>
            <w:i w:val="0"/>
            <w:iCs w:val="0"/>
            <w:color w:val="0000FF"/>
            <w:u w:val="single"/>
            <w:rtl/>
          </w:rPr>
          <w:t xml:space="preserve">7543/08 </w:t>
        </w:r>
      </w:hyperlink>
      <w:r w:rsidRPr="000E24F8">
        <w:rPr>
          <w:i w:val="0"/>
          <w:iCs w:val="0"/>
          <w:color w:val="auto"/>
          <w:rtl/>
        </w:rPr>
        <w:t xml:space="preserve"> מדינת ישראל נ'</w:t>
      </w:r>
      <w:r w:rsidR="007F6C3C" w:rsidRPr="007F6C3C">
        <w:rPr>
          <w:i w:val="0"/>
          <w:iCs w:val="0"/>
          <w:color w:val="auto"/>
          <w:rtl/>
        </w:rPr>
        <w:t xml:space="preserve"> אואזנה </w:t>
      </w:r>
      <w:r w:rsidRPr="000E24F8">
        <w:rPr>
          <w:i w:val="0"/>
          <w:iCs w:val="0"/>
          <w:color w:val="auto"/>
          <w:rtl/>
        </w:rPr>
        <w:t xml:space="preserve"> [פורסם בנבו] (31.12.2008):</w:t>
      </w:r>
    </w:p>
    <w:p w14:paraId="28C5437E" w14:textId="77777777" w:rsidR="00F32B9D" w:rsidRPr="00DA65C5" w:rsidRDefault="00F32B9D" w:rsidP="00F32B9D">
      <w:pPr>
        <w:rPr>
          <w:rtl/>
        </w:rPr>
      </w:pPr>
    </w:p>
    <w:p w14:paraId="32BB0F77" w14:textId="77777777" w:rsidR="00F32B9D" w:rsidRPr="000E24F8" w:rsidRDefault="00F32B9D" w:rsidP="00F32B9D">
      <w:pPr>
        <w:pStyle w:val="Quote"/>
        <w:spacing w:before="0" w:after="0" w:line="360" w:lineRule="auto"/>
        <w:ind w:left="862" w:right="862"/>
        <w:jc w:val="both"/>
        <w:rPr>
          <w:i w:val="0"/>
          <w:iCs w:val="0"/>
          <w:color w:val="auto"/>
          <w:rtl/>
        </w:rPr>
      </w:pPr>
      <w:r w:rsidRPr="000E24F8">
        <w:rPr>
          <w:i w:val="0"/>
          <w:iCs w:val="0"/>
          <w:color w:val="auto"/>
          <w:rtl/>
        </w:rPr>
        <w:tab/>
        <w:t xml:space="preserve">"[...] פריצה לביתו של אדם, טומנת בחובה לעיתים קרובות לא רק נזק </w:t>
      </w:r>
      <w:r w:rsidRPr="000E24F8">
        <w:rPr>
          <w:i w:val="0"/>
          <w:iCs w:val="0"/>
          <w:color w:val="auto"/>
          <w:rtl/>
        </w:rPr>
        <w:tab/>
        <w:t xml:space="preserve">כלכלי רב, אלא גם צער ועוגמת נפש הנגרמים לקרבנות של עבירות אלה. </w:t>
      </w:r>
      <w:r w:rsidRPr="000E24F8">
        <w:rPr>
          <w:i w:val="0"/>
          <w:iCs w:val="0"/>
          <w:color w:val="auto"/>
          <w:rtl/>
        </w:rPr>
        <w:tab/>
        <w:t xml:space="preserve">הנה כי כן, אין מדובר בעבירות נגד רכוש גרידא, אלא בעבירות המפרות </w:t>
      </w:r>
      <w:r w:rsidRPr="000E24F8">
        <w:rPr>
          <w:i w:val="0"/>
          <w:iCs w:val="0"/>
          <w:color w:val="auto"/>
          <w:rtl/>
        </w:rPr>
        <w:tab/>
        <w:t xml:space="preserve">את פרטיותו של האדם בצורה הגבוהה ביותר. זאת ועוד הגדרת עבירות </w:t>
      </w:r>
      <w:r w:rsidRPr="000E24F8">
        <w:rPr>
          <w:i w:val="0"/>
          <w:iCs w:val="0"/>
          <w:color w:val="auto"/>
          <w:rtl/>
        </w:rPr>
        <w:tab/>
        <w:t xml:space="preserve">אלו כ'עבירות רכוש', נותנת תחושה מצמצמת וקונוטציה שגויה – </w:t>
      </w:r>
      <w:r w:rsidRPr="000E24F8">
        <w:rPr>
          <w:i w:val="0"/>
          <w:iCs w:val="0"/>
          <w:color w:val="auto"/>
          <w:rtl/>
        </w:rPr>
        <w:tab/>
        <w:t xml:space="preserve">לסובבים, באשר למהות העבירות שהתבצעו, הפוגעות במהות המתמצית </w:t>
      </w:r>
      <w:r w:rsidRPr="000E24F8">
        <w:rPr>
          <w:i w:val="0"/>
          <w:iCs w:val="0"/>
          <w:color w:val="auto"/>
          <w:rtl/>
        </w:rPr>
        <w:tab/>
        <w:t xml:space="preserve">באמירה: 'ביתו של האדם – מבצרו'. ברגע שביתו של אדם נפרץ, תחושת </w:t>
      </w:r>
      <w:r w:rsidRPr="000E24F8">
        <w:rPr>
          <w:i w:val="0"/>
          <w:iCs w:val="0"/>
          <w:color w:val="auto"/>
          <w:rtl/>
        </w:rPr>
        <w:tab/>
        <w:t xml:space="preserve">חוסר אונים וחוסר ביטחון ממלאת את ליבו. הנה כי כן, הפריצה אינה רק </w:t>
      </w:r>
      <w:r w:rsidRPr="000E24F8">
        <w:rPr>
          <w:i w:val="0"/>
          <w:iCs w:val="0"/>
          <w:color w:val="auto"/>
          <w:rtl/>
        </w:rPr>
        <w:tab/>
        <w:t xml:space="preserve">לבית – מבחינה פיזית, אלא בעיקרה חדירה לתוך התא האישי-משפחתי </w:t>
      </w:r>
      <w:r w:rsidRPr="000E24F8">
        <w:rPr>
          <w:i w:val="0"/>
          <w:iCs w:val="0"/>
          <w:color w:val="auto"/>
          <w:rtl/>
        </w:rPr>
        <w:tab/>
        <w:t>השמור ביותר של האדם" (שם, בפסקה 8)".</w:t>
      </w:r>
    </w:p>
    <w:p w14:paraId="4D4D2823" w14:textId="77777777" w:rsidR="00F32B9D" w:rsidRDefault="00F32B9D" w:rsidP="00F32B9D">
      <w:pPr>
        <w:spacing w:line="360" w:lineRule="auto"/>
        <w:ind w:left="720" w:hanging="720"/>
        <w:jc w:val="both"/>
        <w:rPr>
          <w:rtl/>
        </w:rPr>
      </w:pPr>
    </w:p>
    <w:p w14:paraId="2409B3BD" w14:textId="77777777" w:rsidR="00F32B9D" w:rsidRDefault="00F32B9D" w:rsidP="00F32B9D">
      <w:pPr>
        <w:spacing w:line="360" w:lineRule="auto"/>
        <w:ind w:left="720" w:hanging="720"/>
        <w:jc w:val="both"/>
        <w:rPr>
          <w:rtl/>
        </w:rPr>
      </w:pPr>
      <w:r>
        <w:rPr>
          <w:rFonts w:hint="cs"/>
          <w:rtl/>
        </w:rPr>
        <w:t>13.</w:t>
      </w:r>
      <w:r>
        <w:rPr>
          <w:rFonts w:hint="cs"/>
          <w:rtl/>
        </w:rPr>
        <w:tab/>
        <w:t>חומרה יתרה יש לראות גם בעובדה כי במסגרת האירוע המתואר באישום הראשון נטל הנאשם מהבית אקדח ומחסנית טעונה בכדורים. אין צורך להכביר במילים על הסיכון הפוטנציאלי הטמון בנשיאת כלי הנשק בידיו הבלתי מיומנות של הנאשם, אף אם לפרק זמן לא ארוך, וחמור מכך, הגעתו הפוטנציאלית בהמשך לידיים אחרות ושימוש בו שלא כדין. בהקשר זה נאמר ב</w:t>
      </w:r>
      <w:hyperlink r:id="rId40" w:history="1">
        <w:r w:rsidR="00CE554D" w:rsidRPr="00CE554D">
          <w:rPr>
            <w:color w:val="0000FF"/>
            <w:u w:val="single"/>
            <w:rtl/>
          </w:rPr>
          <w:t>ע"פ 5717/14</w:t>
        </w:r>
      </w:hyperlink>
      <w:r>
        <w:rPr>
          <w:rtl/>
        </w:rPr>
        <w:t xml:space="preserve"> </w:t>
      </w:r>
      <w:r w:rsidRPr="00AA659C">
        <w:rPr>
          <w:b/>
          <w:bCs/>
          <w:rtl/>
        </w:rPr>
        <w:t>מדינת ישראל נ' מוסא גדבאן</w:t>
      </w:r>
      <w:r>
        <w:rPr>
          <w:rFonts w:hint="cs"/>
          <w:rtl/>
        </w:rPr>
        <w:t xml:space="preserve"> (2.12.14):</w:t>
      </w:r>
    </w:p>
    <w:p w14:paraId="23411827" w14:textId="77777777" w:rsidR="00F32B9D" w:rsidRDefault="00F32B9D" w:rsidP="00F32B9D">
      <w:pPr>
        <w:spacing w:line="360" w:lineRule="auto"/>
        <w:ind w:left="720" w:hanging="720"/>
        <w:jc w:val="both"/>
        <w:rPr>
          <w:rtl/>
        </w:rPr>
      </w:pPr>
    </w:p>
    <w:p w14:paraId="13485661" w14:textId="77777777" w:rsidR="00F32B9D" w:rsidRPr="005B6697" w:rsidRDefault="00F32B9D" w:rsidP="00F32B9D">
      <w:pPr>
        <w:pStyle w:val="Quote"/>
        <w:spacing w:before="0" w:after="0" w:line="360" w:lineRule="auto"/>
        <w:ind w:left="862" w:right="862"/>
        <w:jc w:val="both"/>
        <w:rPr>
          <w:i w:val="0"/>
          <w:iCs w:val="0"/>
          <w:color w:val="auto"/>
          <w:rtl/>
        </w:rPr>
      </w:pPr>
      <w:r>
        <w:rPr>
          <w:rtl/>
        </w:rPr>
        <w:tab/>
      </w:r>
      <w:r w:rsidRPr="005B6697">
        <w:rPr>
          <w:rFonts w:hint="cs"/>
          <w:i w:val="0"/>
          <w:iCs w:val="0"/>
          <w:color w:val="auto"/>
          <w:rtl/>
        </w:rPr>
        <w:t>"</w:t>
      </w:r>
      <w:r w:rsidRPr="005B6697">
        <w:rPr>
          <w:i w:val="0"/>
          <w:iCs w:val="0"/>
          <w:color w:val="auto"/>
          <w:rtl/>
        </w:rPr>
        <w:t xml:space="preserve">חומרתן של החזקת ונשיאת נשק ללא היתר כדין אינה תחומה אך </w:t>
      </w:r>
      <w:r>
        <w:rPr>
          <w:i w:val="0"/>
          <w:iCs w:val="0"/>
          <w:color w:val="auto"/>
          <w:rtl/>
        </w:rPr>
        <w:tab/>
      </w:r>
      <w:r w:rsidRPr="005B6697">
        <w:rPr>
          <w:i w:val="0"/>
          <w:iCs w:val="0"/>
          <w:color w:val="auto"/>
          <w:rtl/>
        </w:rPr>
        <w:t xml:space="preserve">לעבירות עצמן ולהיותן מנוגדות לחוק החרות. לא אחת, עבירות אלה </w:t>
      </w:r>
      <w:r>
        <w:rPr>
          <w:i w:val="0"/>
          <w:iCs w:val="0"/>
          <w:color w:val="auto"/>
          <w:rtl/>
        </w:rPr>
        <w:tab/>
      </w:r>
      <w:r w:rsidRPr="005B6697">
        <w:rPr>
          <w:i w:val="0"/>
          <w:iCs w:val="0"/>
          <w:color w:val="auto"/>
          <w:rtl/>
        </w:rPr>
        <w:t xml:space="preserve">מובילות – ולמצער רב החשש שיובילו – לעבירות נוספות של שימוש בנשק </w:t>
      </w:r>
      <w:r>
        <w:rPr>
          <w:i w:val="0"/>
          <w:iCs w:val="0"/>
          <w:color w:val="auto"/>
          <w:rtl/>
        </w:rPr>
        <w:tab/>
      </w:r>
      <w:r w:rsidRPr="005B6697">
        <w:rPr>
          <w:i w:val="0"/>
          <w:iCs w:val="0"/>
          <w:color w:val="auto"/>
          <w:rtl/>
        </w:rPr>
        <w:t>תוך פגיעה בזולת</w:t>
      </w:r>
      <w:r w:rsidRPr="005B6697">
        <w:rPr>
          <w:rFonts w:hint="cs"/>
          <w:i w:val="0"/>
          <w:iCs w:val="0"/>
          <w:color w:val="auto"/>
          <w:rtl/>
        </w:rPr>
        <w:t>...".</w:t>
      </w:r>
    </w:p>
    <w:p w14:paraId="59268248" w14:textId="77777777" w:rsidR="00F32B9D" w:rsidRDefault="00F32B9D" w:rsidP="00F32B9D">
      <w:pPr>
        <w:spacing w:line="360" w:lineRule="auto"/>
        <w:ind w:left="720" w:hanging="720"/>
        <w:jc w:val="both"/>
        <w:rPr>
          <w:rtl/>
        </w:rPr>
      </w:pPr>
    </w:p>
    <w:p w14:paraId="3560E317" w14:textId="77777777" w:rsidR="00F32B9D" w:rsidRDefault="00F32B9D" w:rsidP="00F32B9D">
      <w:pPr>
        <w:spacing w:line="360" w:lineRule="auto"/>
        <w:ind w:left="720" w:hanging="720"/>
        <w:jc w:val="both"/>
        <w:rPr>
          <w:rtl/>
        </w:rPr>
      </w:pPr>
      <w:r>
        <w:rPr>
          <w:rFonts w:hint="cs"/>
          <w:rtl/>
        </w:rPr>
        <w:t>14.</w:t>
      </w:r>
      <w:r>
        <w:rPr>
          <w:rFonts w:hint="cs"/>
          <w:rtl/>
        </w:rPr>
        <w:tab/>
        <w:t>מנגד, במסגרת הנסיבות הקשורות בביצוע העבירה יש להתחשב לקולא בכך</w:t>
      </w:r>
      <w:r>
        <w:rPr>
          <w:rtl/>
        </w:rPr>
        <w:t xml:space="preserve"> </w:t>
      </w:r>
      <w:r>
        <w:rPr>
          <w:rFonts w:hint="cs"/>
          <w:rtl/>
        </w:rPr>
        <w:t>שבמקרה דנן אין</w:t>
      </w:r>
      <w:r>
        <w:rPr>
          <w:rtl/>
        </w:rPr>
        <w:t xml:space="preserve"> </w:t>
      </w:r>
      <w:r>
        <w:rPr>
          <w:rFonts w:hint="cs"/>
          <w:rtl/>
        </w:rPr>
        <w:t>ה</w:t>
      </w:r>
      <w:r>
        <w:rPr>
          <w:rtl/>
        </w:rPr>
        <w:t xml:space="preserve">מדובר </w:t>
      </w:r>
      <w:r>
        <w:rPr>
          <w:rFonts w:hint="cs"/>
          <w:rtl/>
        </w:rPr>
        <w:t>ב</w:t>
      </w:r>
      <w:r>
        <w:rPr>
          <w:rtl/>
        </w:rPr>
        <w:t>אלימות במדרג הגבוה</w:t>
      </w:r>
      <w:r>
        <w:rPr>
          <w:rFonts w:hint="cs"/>
          <w:rtl/>
        </w:rPr>
        <w:t xml:space="preserve"> בביצוע עבירת השוד</w:t>
      </w:r>
      <w:r>
        <w:rPr>
          <w:rtl/>
        </w:rPr>
        <w:t>. יפים לעניין זה דבריו של בית המשפט ב</w:t>
      </w:r>
      <w:hyperlink r:id="rId41" w:history="1">
        <w:r w:rsidR="00CE554D" w:rsidRPr="00CE554D">
          <w:rPr>
            <w:color w:val="0000FF"/>
            <w:u w:val="single"/>
            <w:rtl/>
          </w:rPr>
          <w:t>ע"פ 5535/12</w:t>
        </w:r>
      </w:hyperlink>
      <w:r>
        <w:rPr>
          <w:rtl/>
        </w:rPr>
        <w:t xml:space="preserve"> </w:t>
      </w:r>
      <w:r w:rsidRPr="00AA659C">
        <w:rPr>
          <w:b/>
          <w:bCs/>
          <w:rtl/>
        </w:rPr>
        <w:t xml:space="preserve">כאברי נ' מדינת ישראל </w:t>
      </w:r>
      <w:r>
        <w:rPr>
          <w:rtl/>
        </w:rPr>
        <w:t xml:space="preserve">(1.5.2013) </w:t>
      </w:r>
      <w:r>
        <w:rPr>
          <w:rFonts w:hint="cs"/>
          <w:rtl/>
        </w:rPr>
        <w:t>בהדגישו כי</w:t>
      </w:r>
      <w:r>
        <w:rPr>
          <w:rtl/>
        </w:rPr>
        <w:t xml:space="preserve"> </w:t>
      </w:r>
      <w:r w:rsidRPr="00223FAC">
        <w:rPr>
          <w:rtl/>
        </w:rPr>
        <w:t>"צריך שיתקיים מדרג סביר בין העונשים המושתים בגין עבירות שונות. אין דינה של עבירת רכוש שבביצועה מעורבת אלימות קלה כדינה של עבירת רכוש שבמהלכה מופעלת אלימות קשה כלפי נפגע העבירה".</w:t>
      </w:r>
      <w:r>
        <w:rPr>
          <w:rFonts w:hint="cs"/>
          <w:rtl/>
        </w:rPr>
        <w:t xml:space="preserve"> עוד יש להתחשב בכך שמרבית הרכוש שנגנב נתפס והושב לבעליו. </w:t>
      </w:r>
    </w:p>
    <w:p w14:paraId="60F4C883" w14:textId="77777777" w:rsidR="00F32B9D" w:rsidRDefault="00F32B9D" w:rsidP="00F32B9D">
      <w:pPr>
        <w:spacing w:line="360" w:lineRule="auto"/>
        <w:ind w:left="720" w:hanging="720"/>
        <w:jc w:val="both"/>
        <w:rPr>
          <w:rtl/>
        </w:rPr>
      </w:pPr>
    </w:p>
    <w:p w14:paraId="29BD3DA8" w14:textId="77777777" w:rsidR="00F32B9D" w:rsidRPr="00C73198" w:rsidRDefault="00F32B9D" w:rsidP="00F32B9D">
      <w:pPr>
        <w:spacing w:line="360" w:lineRule="auto"/>
        <w:ind w:left="720" w:hanging="720"/>
        <w:jc w:val="both"/>
        <w:rPr>
          <w:rtl/>
        </w:rPr>
      </w:pPr>
      <w:r>
        <w:rPr>
          <w:rFonts w:hint="cs"/>
          <w:rtl/>
        </w:rPr>
        <w:t>15.</w:t>
      </w:r>
      <w:r>
        <w:rPr>
          <w:rtl/>
        </w:rPr>
        <w:tab/>
      </w:r>
      <w:r>
        <w:rPr>
          <w:rFonts w:hint="cs"/>
          <w:rtl/>
        </w:rPr>
        <w:t>כאמור, המאשימה עתרה בטיעוניה לקביעת מתחמי ענישה נפרדים לכל אחד מהאישומים שבכתב האישום המתוקן. לעומת זאת, לגישת הסניגור, יש לקבוע מתחם ענישה אחד לשני האישומים, היות וקיים</w:t>
      </w:r>
      <w:r>
        <w:rPr>
          <w:rtl/>
        </w:rPr>
        <w:t xml:space="preserve"> קשר הדוק </w:t>
      </w:r>
      <w:r>
        <w:rPr>
          <w:rFonts w:hint="cs"/>
          <w:rtl/>
        </w:rPr>
        <w:t>בין העבירות</w:t>
      </w:r>
      <w:r w:rsidRPr="000E24F8">
        <w:rPr>
          <w:rtl/>
        </w:rPr>
        <w:t xml:space="preserve">, שבוצעו בשיטת פעולה דומה </w:t>
      </w:r>
      <w:r>
        <w:rPr>
          <w:rFonts w:hint="cs"/>
          <w:rtl/>
        </w:rPr>
        <w:t>וברצף זמנים אחד. לטעמי, אין לראות בשני האישומים מסכת עבריינית אחת לגביה ניתן לקבוע כי המדובר באירוע אחד. אף שמדובר בשני מקרי התפרצות שבוצעו בסמיכות זמנים זה לזה, וקיימים קווי דמיון ביניהם כגון הימצאותם של בני הבית בבית בעת ביצוע העבירות ואופי הרכוש הנגנב, הרי שמדובר בשני אירועים נפרדים שבוצעו כנגד קורבנות שונים ובדרגת חומרה שונה. בגדר האישום הראשון הורשע הנאשם בנוסף לעבירות ההתפרצות והגניבה, גם בעבירת נשיאת נשק, ואילו באישום השני הורשע הנאשם גם בעבירת שוד. אשר על כן, יש לקבוע מתחם ענישה נפרד בגין כל אחד מהאישומים בהם הורשע הנאשם.</w:t>
      </w:r>
    </w:p>
    <w:p w14:paraId="5BF3175E" w14:textId="77777777" w:rsidR="00F32B9D" w:rsidRDefault="00F32B9D" w:rsidP="00F32B9D">
      <w:pPr>
        <w:spacing w:line="360" w:lineRule="auto"/>
        <w:jc w:val="both"/>
        <w:rPr>
          <w:rtl/>
        </w:rPr>
      </w:pPr>
    </w:p>
    <w:p w14:paraId="17D459FA" w14:textId="77777777" w:rsidR="00F32B9D" w:rsidRDefault="00F32B9D" w:rsidP="00F32B9D">
      <w:pPr>
        <w:spacing w:line="360" w:lineRule="auto"/>
        <w:ind w:left="720" w:hanging="720"/>
        <w:jc w:val="both"/>
        <w:rPr>
          <w:rtl/>
        </w:rPr>
      </w:pPr>
      <w:r>
        <w:rPr>
          <w:rtl/>
        </w:rPr>
        <w:tab/>
        <w:t>בהתחשב בנסיבות ביצוע העבירה, הפגיעה בערכים המוגנים ומדיניות הענישה הנהוגה, אני קובע כי מתחם הענישה הראוי במקרה זה, בהתבסס על עקרון ההלימה, נע בין</w:t>
      </w:r>
      <w:r>
        <w:rPr>
          <w:rFonts w:hint="cs"/>
          <w:rtl/>
        </w:rPr>
        <w:t xml:space="preserve"> 12 ל-48</w:t>
      </w:r>
      <w:r>
        <w:rPr>
          <w:rtl/>
        </w:rPr>
        <w:t xml:space="preserve"> </w:t>
      </w:r>
      <w:r>
        <w:rPr>
          <w:rFonts w:hint="cs"/>
          <w:rtl/>
        </w:rPr>
        <w:t>חודשי</w:t>
      </w:r>
      <w:r>
        <w:rPr>
          <w:rtl/>
        </w:rPr>
        <w:t xml:space="preserve"> מאסר בפועל</w:t>
      </w:r>
      <w:r>
        <w:rPr>
          <w:rFonts w:hint="cs"/>
          <w:rtl/>
        </w:rPr>
        <w:t xml:space="preserve"> ביחס לאישום הראשון, ובין 18 ל-50 חודשי מאסר בפועל ביחס לאישום השני</w:t>
      </w:r>
      <w:r>
        <w:rPr>
          <w:rtl/>
        </w:rPr>
        <w:t xml:space="preserve">. </w:t>
      </w:r>
    </w:p>
    <w:p w14:paraId="488C83B7" w14:textId="77777777" w:rsidR="00F32B9D" w:rsidRDefault="00F32B9D" w:rsidP="00F32B9D">
      <w:pPr>
        <w:spacing w:line="360" w:lineRule="auto"/>
        <w:ind w:left="720" w:hanging="720"/>
        <w:jc w:val="both"/>
        <w:rPr>
          <w:rtl/>
        </w:rPr>
      </w:pPr>
    </w:p>
    <w:p w14:paraId="51A5F0A6" w14:textId="77777777" w:rsidR="00F32B9D" w:rsidRPr="00955591" w:rsidRDefault="00F32B9D" w:rsidP="00F32B9D">
      <w:pPr>
        <w:spacing w:line="360" w:lineRule="auto"/>
        <w:ind w:left="720" w:hanging="720"/>
        <w:jc w:val="both"/>
        <w:rPr>
          <w:u w:val="single"/>
          <w:rtl/>
        </w:rPr>
      </w:pPr>
      <w:r>
        <w:rPr>
          <w:u w:val="single"/>
          <w:rtl/>
        </w:rPr>
        <w:t>גזירת העונש בתוך מתחם הענישה</w:t>
      </w:r>
    </w:p>
    <w:p w14:paraId="660E0318" w14:textId="77777777" w:rsidR="00F32B9D" w:rsidRDefault="00F32B9D" w:rsidP="00F32B9D">
      <w:pPr>
        <w:spacing w:line="360" w:lineRule="auto"/>
        <w:ind w:left="720" w:hanging="720"/>
        <w:jc w:val="both"/>
        <w:rPr>
          <w:rtl/>
        </w:rPr>
      </w:pPr>
    </w:p>
    <w:p w14:paraId="4299940C" w14:textId="77777777" w:rsidR="00F32B9D" w:rsidRDefault="00F32B9D" w:rsidP="00F32B9D">
      <w:pPr>
        <w:spacing w:line="360" w:lineRule="auto"/>
        <w:ind w:left="720" w:hanging="720"/>
        <w:jc w:val="both"/>
        <w:rPr>
          <w:rtl/>
        </w:rPr>
      </w:pPr>
      <w:r>
        <w:rPr>
          <w:rFonts w:hint="cs"/>
          <w:rtl/>
        </w:rPr>
        <w:t>16</w:t>
      </w:r>
      <w:r>
        <w:rPr>
          <w:rtl/>
        </w:rPr>
        <w:t>.</w:t>
      </w:r>
      <w:r>
        <w:rPr>
          <w:rtl/>
        </w:rPr>
        <w:tab/>
        <w:t xml:space="preserve">בעת גזירת העונש בתוך המתחם שנקבע, על בית המשפט להתחשב בנסיבות שאינן קשורות בביצוע העבירה, בהתאם לנסיבות המנויות </w:t>
      </w:r>
      <w:hyperlink r:id="rId42" w:history="1">
        <w:r w:rsidR="007343B4" w:rsidRPr="007343B4">
          <w:rPr>
            <w:color w:val="0000FF"/>
            <w:u w:val="single"/>
            <w:rtl/>
          </w:rPr>
          <w:t>בסעיף 40יא</w:t>
        </w:r>
      </w:hyperlink>
      <w:r>
        <w:rPr>
          <w:rtl/>
        </w:rPr>
        <w:t xml:space="preserve"> ל</w:t>
      </w:r>
      <w:hyperlink r:id="rId43" w:history="1">
        <w:r w:rsidR="00CE554D" w:rsidRPr="00CE554D">
          <w:rPr>
            <w:color w:val="0000FF"/>
            <w:u w:val="single"/>
            <w:rtl/>
          </w:rPr>
          <w:t>חוק העונשין</w:t>
        </w:r>
      </w:hyperlink>
      <w:r>
        <w:rPr>
          <w:rtl/>
        </w:rPr>
        <w:t xml:space="preserve">. </w:t>
      </w:r>
    </w:p>
    <w:p w14:paraId="18D17285" w14:textId="77777777" w:rsidR="00F32B9D" w:rsidRDefault="00F32B9D" w:rsidP="00F32B9D">
      <w:pPr>
        <w:spacing w:line="360" w:lineRule="auto"/>
        <w:ind w:left="720" w:hanging="720"/>
        <w:jc w:val="both"/>
        <w:rPr>
          <w:rtl/>
        </w:rPr>
      </w:pPr>
    </w:p>
    <w:p w14:paraId="362309D8" w14:textId="77777777" w:rsidR="00F32B9D" w:rsidRDefault="00F32B9D" w:rsidP="00F32B9D">
      <w:pPr>
        <w:spacing w:line="360" w:lineRule="auto"/>
        <w:ind w:left="720" w:hanging="720"/>
        <w:jc w:val="both"/>
        <w:rPr>
          <w:rtl/>
        </w:rPr>
      </w:pPr>
      <w:r>
        <w:rPr>
          <w:rtl/>
        </w:rPr>
        <w:t>1</w:t>
      </w:r>
      <w:r>
        <w:rPr>
          <w:rFonts w:hint="cs"/>
          <w:rtl/>
        </w:rPr>
        <w:t>7</w:t>
      </w:r>
      <w:r>
        <w:rPr>
          <w:rtl/>
        </w:rPr>
        <w:t>.</w:t>
      </w:r>
      <w:r>
        <w:rPr>
          <w:rtl/>
        </w:rPr>
        <w:tab/>
      </w:r>
      <w:r>
        <w:rPr>
          <w:rFonts w:hint="cs"/>
          <w:rtl/>
        </w:rPr>
        <w:t>במסגרת השיקולים הנוגעים לנאשם העומד בפני,</w:t>
      </w:r>
      <w:r>
        <w:rPr>
          <w:rtl/>
        </w:rPr>
        <w:t xml:space="preserve"> יש להתחשב לקולא בהודייתו במיוחס לו בכתב האישום המתוקן, אף אם לא נעשתה מיד בפתח משפטו, אשר הובילה לחסכון בזמן שיפוטי יקר ומגלמת</w:t>
      </w:r>
      <w:r>
        <w:rPr>
          <w:rFonts w:hint="cs"/>
          <w:rtl/>
        </w:rPr>
        <w:t xml:space="preserve"> בתוכה</w:t>
      </w:r>
      <w:r>
        <w:rPr>
          <w:rtl/>
        </w:rPr>
        <w:t xml:space="preserve"> גם נטילת אחריות על מעשיו. כן התחשבתי בחרטה שהביע על מעשיו בדברו האחרון בפנ</w:t>
      </w:r>
      <w:r>
        <w:rPr>
          <w:rFonts w:hint="cs"/>
          <w:rtl/>
        </w:rPr>
        <w:t>י</w:t>
      </w:r>
      <w:r>
        <w:rPr>
          <w:rtl/>
        </w:rPr>
        <w:t>י. עוד אני רואה להתחשב לקולא בפרק הזמן הארוך, כ-6 חודשים, בו שהה הנאשם בתנאי מעצר, אשר כידוע, תנאיו קשים מתנאי מאסר.</w:t>
      </w:r>
      <w:r>
        <w:rPr>
          <w:rFonts w:hint="cs"/>
          <w:rtl/>
        </w:rPr>
        <w:t xml:space="preserve"> כמו כן, התחשבתי בגילו של הנאשם, בנסיבותיו האישיות ובמצבו הנפשי כפי שפורט בחוות הדעת הפסיכיאטרית שהוצגה מטעמו וכפי שנטען מפי סנגורו. בחוות הדעת הנ"ל נאמר כי הנאשם מוכר למערכת בריאות הנפש מאשפוזים חוזרים החל משנת 1977, ואובחן כסובל מסכיזופרניה כרונית ומהפרעת אישיות אנטי-סוציאלית. מאשפוזו האחרון, עובר להסתבכותו הנוכחית, שוחרר לפני כשנה וחצי. עם זאת, נקבע כי אינו זקוק לאשפוז פסיכיאטרי אלא לטיפול תרופתי, והוא נמצא כשיר לעמוד לדין ואחראי למעשיו. אף שכאמור, מצאתי להתחשב לקולא במצבו הנפשי, אין בידי לקבל את טענת הסניגור כי הדבר מצדיק חריגה לקולא ממתחם הענישה ההולם. חריגה ממתחם הענישה משיקולי צדק, כפי שהותווה בפסיקה, מצריכה קיומן של נסיבות חריגות באופן קיצוני, שאינן מתקיימות בענייננו.    </w:t>
      </w:r>
    </w:p>
    <w:p w14:paraId="793D7FC7" w14:textId="77777777" w:rsidR="00F32B9D" w:rsidRDefault="00F32B9D" w:rsidP="00F32B9D">
      <w:pPr>
        <w:spacing w:line="360" w:lineRule="auto"/>
        <w:jc w:val="both"/>
        <w:rPr>
          <w:rtl/>
        </w:rPr>
      </w:pPr>
    </w:p>
    <w:p w14:paraId="475BED1A" w14:textId="77777777" w:rsidR="00F32B9D" w:rsidRDefault="00F32B9D" w:rsidP="00F32B9D">
      <w:pPr>
        <w:spacing w:line="360" w:lineRule="auto"/>
        <w:ind w:left="720" w:hanging="720"/>
        <w:jc w:val="both"/>
        <w:rPr>
          <w:rtl/>
        </w:rPr>
      </w:pPr>
      <w:r>
        <w:rPr>
          <w:rtl/>
        </w:rPr>
        <w:t>1</w:t>
      </w:r>
      <w:r>
        <w:rPr>
          <w:rFonts w:hint="cs"/>
          <w:rtl/>
        </w:rPr>
        <w:t>8</w:t>
      </w:r>
      <w:r>
        <w:rPr>
          <w:rtl/>
        </w:rPr>
        <w:t>.</w:t>
      </w:r>
      <w:r>
        <w:rPr>
          <w:rtl/>
        </w:rPr>
        <w:tab/>
        <w:t xml:space="preserve">לחומרא ראיתי להביא בחשבון את </w:t>
      </w:r>
      <w:r>
        <w:rPr>
          <w:rFonts w:hint="cs"/>
          <w:rtl/>
        </w:rPr>
        <w:t xml:space="preserve">עברו הפלילי המכביד של הנאשם, אשר אין להתעלם ממנו. לחובתו הרשעות רבות בשורה ארוכה של עבירות, ובהן עבירות מתחום הרכוש, הסמים, הנשק, הסגת גבול, ועבירות על הסדר הציבורי. בגין עבירות אלה ריצה הנאשם מספר עונשי מאסר ממושכים בפועל, אשר לא הרתיעוהו מלשוב ולעבור עבירות חמורות. גם מאסר מותנה התלוי ועומד כנגדו לא הרתיעו מלחזור ולבצע עבירות נוספות.  </w:t>
      </w:r>
    </w:p>
    <w:p w14:paraId="2CA3E95F" w14:textId="77777777" w:rsidR="00F32B9D" w:rsidRDefault="00F32B9D" w:rsidP="00F32B9D">
      <w:pPr>
        <w:spacing w:line="360" w:lineRule="auto"/>
        <w:jc w:val="both"/>
        <w:rPr>
          <w:rtl/>
        </w:rPr>
      </w:pPr>
    </w:p>
    <w:p w14:paraId="273C9CB5" w14:textId="77777777" w:rsidR="00F32B9D" w:rsidRDefault="00F32B9D" w:rsidP="00F32B9D">
      <w:pPr>
        <w:spacing w:line="360" w:lineRule="auto"/>
        <w:jc w:val="both"/>
        <w:rPr>
          <w:rtl/>
        </w:rPr>
      </w:pPr>
    </w:p>
    <w:p w14:paraId="5B549243" w14:textId="77777777" w:rsidR="00F32B9D" w:rsidRDefault="00F32B9D" w:rsidP="00F32B9D">
      <w:pPr>
        <w:spacing w:line="360" w:lineRule="auto"/>
        <w:jc w:val="both"/>
        <w:rPr>
          <w:rtl/>
        </w:rPr>
      </w:pPr>
    </w:p>
    <w:p w14:paraId="567BEB41" w14:textId="77777777" w:rsidR="00F32B9D" w:rsidRDefault="00F32B9D" w:rsidP="00F32B9D">
      <w:pPr>
        <w:spacing w:line="360" w:lineRule="auto"/>
        <w:jc w:val="both"/>
        <w:rPr>
          <w:rtl/>
        </w:rPr>
      </w:pPr>
    </w:p>
    <w:p w14:paraId="6AFD116D" w14:textId="77777777" w:rsidR="00F32B9D" w:rsidRDefault="00F32B9D" w:rsidP="00F32B9D">
      <w:pPr>
        <w:spacing w:line="360" w:lineRule="auto"/>
        <w:ind w:left="720" w:hanging="720"/>
        <w:jc w:val="both"/>
        <w:rPr>
          <w:rtl/>
        </w:rPr>
      </w:pPr>
      <w:r>
        <w:rPr>
          <w:rFonts w:hint="cs"/>
          <w:rtl/>
        </w:rPr>
        <w:t>19.</w:t>
      </w:r>
      <w:r>
        <w:rPr>
          <w:rFonts w:hint="cs"/>
          <w:rtl/>
        </w:rPr>
        <w:tab/>
      </w:r>
      <w:r w:rsidRPr="00D96C71">
        <w:rPr>
          <w:rFonts w:hint="cs"/>
          <w:rtl/>
        </w:rPr>
        <w:t>ביחס למאסר ה</w:t>
      </w:r>
      <w:r>
        <w:rPr>
          <w:rFonts w:hint="cs"/>
          <w:rtl/>
        </w:rPr>
        <w:t>מותנה התלוי ועומד לחובת הנאשם</w:t>
      </w:r>
      <w:r w:rsidRPr="00D96C71">
        <w:rPr>
          <w:rFonts w:hint="cs"/>
          <w:rtl/>
        </w:rPr>
        <w:t>,</w:t>
      </w:r>
      <w:r>
        <w:rPr>
          <w:rFonts w:hint="cs"/>
          <w:rtl/>
        </w:rPr>
        <w:t xml:space="preserve"> </w:t>
      </w:r>
      <w:r w:rsidRPr="008E5FDA">
        <w:rPr>
          <w:rFonts w:hint="cs"/>
          <w:rtl/>
        </w:rPr>
        <w:t>בנסיבות הענ</w:t>
      </w:r>
      <w:r>
        <w:rPr>
          <w:rFonts w:hint="cs"/>
          <w:rtl/>
        </w:rPr>
        <w:t>יין, לאור עברו הפלילי כאמור, ובפרט בתחום עבירות הרכוש, אני סבור כי אין מנוס מהפעלת המאסר</w:t>
      </w:r>
      <w:r w:rsidRPr="008E5FDA">
        <w:rPr>
          <w:rFonts w:hint="cs"/>
          <w:rtl/>
        </w:rPr>
        <w:t xml:space="preserve"> המותנה במצטבר לכל עונש שיוטל עליו בתיק זה</w:t>
      </w:r>
      <w:r>
        <w:rPr>
          <w:rFonts w:hint="cs"/>
          <w:rtl/>
        </w:rPr>
        <w:t>.</w:t>
      </w:r>
      <w:r w:rsidRPr="008E5FDA">
        <w:rPr>
          <w:rFonts w:hint="cs"/>
          <w:rtl/>
        </w:rPr>
        <w:t xml:space="preserve"> לעניין זה רא</w:t>
      </w:r>
      <w:r>
        <w:rPr>
          <w:rFonts w:hint="cs"/>
          <w:rtl/>
        </w:rPr>
        <w:t>וי להפנות ל</w:t>
      </w:r>
      <w:r w:rsidRPr="008E5FDA">
        <w:rPr>
          <w:rFonts w:hint="cs"/>
          <w:rtl/>
        </w:rPr>
        <w:t>דברי כב' השופט רובינשטיין  ב</w:t>
      </w:r>
      <w:hyperlink r:id="rId44" w:history="1">
        <w:r w:rsidR="00CE554D" w:rsidRPr="00CE554D">
          <w:rPr>
            <w:color w:val="0000FF"/>
            <w:u w:val="single"/>
            <w:rtl/>
          </w:rPr>
          <w:t>ע"פ 1121/11</w:t>
        </w:r>
      </w:hyperlink>
      <w:r w:rsidRPr="008E5FDA">
        <w:rPr>
          <w:rFonts w:hint="cs"/>
          <w:rtl/>
        </w:rPr>
        <w:t xml:space="preserve"> </w:t>
      </w:r>
      <w:r w:rsidRPr="008E5FDA">
        <w:rPr>
          <w:rFonts w:hint="cs"/>
          <w:b/>
          <w:bCs/>
          <w:rtl/>
        </w:rPr>
        <w:t xml:space="preserve">אזולאי נ' </w:t>
      </w:r>
      <w:r>
        <w:rPr>
          <w:rFonts w:hint="cs"/>
          <w:b/>
          <w:bCs/>
          <w:rtl/>
        </w:rPr>
        <w:t>מדינת ישראל</w:t>
      </w:r>
      <w:r w:rsidRPr="008E5FDA">
        <w:rPr>
          <w:rFonts w:hint="cs"/>
          <w:rtl/>
        </w:rPr>
        <w:t xml:space="preserve"> (27.11.11):</w:t>
      </w:r>
    </w:p>
    <w:p w14:paraId="09926342" w14:textId="77777777" w:rsidR="00F32B9D" w:rsidRPr="008E5FDA" w:rsidRDefault="00F32B9D" w:rsidP="00F32B9D">
      <w:pPr>
        <w:spacing w:line="360" w:lineRule="auto"/>
        <w:ind w:left="360"/>
        <w:jc w:val="both"/>
        <w:rPr>
          <w:rtl/>
        </w:rPr>
      </w:pPr>
    </w:p>
    <w:p w14:paraId="4FF69ABD" w14:textId="77777777" w:rsidR="00F32B9D" w:rsidRDefault="00F32B9D" w:rsidP="00F32B9D">
      <w:pPr>
        <w:spacing w:line="360" w:lineRule="auto"/>
        <w:ind w:left="1440" w:right="1080"/>
        <w:jc w:val="both"/>
        <w:rPr>
          <w:rtl/>
        </w:rPr>
      </w:pPr>
      <w:r>
        <w:rPr>
          <w:rFonts w:hint="cs"/>
          <w:rtl/>
        </w:rPr>
        <w:t>"...</w:t>
      </w:r>
      <w:r w:rsidRPr="008E5FDA">
        <w:rPr>
          <w:rFonts w:hint="cs"/>
          <w:rtl/>
        </w:rPr>
        <w:t>הלכה היא כי עונש מאסר על תנאי שמופעל נגד נאשם, ירוצה באופן מצטבר לעונש המאסר שנגזר עליו באותו התיק, אלא אם כן קיימים טעמים מיוחדים המצדיקים סטייה מהלכה זו. זאת, שכן "המאסר המותנה הינו אם כן בבחינת כרטיס כניסה מחודש אל החברה. אולם, אם נכזבה הציפיה כי המאסר המותנה התלוי ועומד נגד הנידון ירתיעו מלשוב ולבצע עבירות, הרי שנחלש באופן ניכר משקלו של אינטרס השיקום וגובר משקלם של אינטרס הגמול, ההגנה על הציבור, הצורך בהרחקה מהציבור ושיקום בעת המאסר" (</w:t>
      </w:r>
      <w:hyperlink r:id="rId45" w:history="1">
        <w:r w:rsidR="00CE554D" w:rsidRPr="00CE554D">
          <w:rPr>
            <w:color w:val="0000FF"/>
            <w:u w:val="single"/>
            <w:rtl/>
          </w:rPr>
          <w:t>ע"פ 4654/03</w:t>
        </w:r>
      </w:hyperlink>
      <w:r w:rsidRPr="008E5FDA">
        <w:rPr>
          <w:rFonts w:hint="cs"/>
          <w:rtl/>
        </w:rPr>
        <w:t xml:space="preserve"> וליד נ' מדינת ישראל (לא פורסם, ניתן ביום 26.6.2006, בפסקה 26)). בנסיבות העניין, לא מצאנו מקום להתערב בקביעתו של בית המשפט המחוזי שלפיה לא מתקיימים במקרה זה טעמים מיוחדים המצדיקים את חפיפת עונש המאסר המותנה. זאת, בין היתר, לנוכח עברו הפלילי של המערער והעובדה שהמאסר המותנה לא הרתיעו מלחזור ולבצע עבירות סמים שונות"</w:t>
      </w:r>
      <w:r>
        <w:rPr>
          <w:rFonts w:hint="cs"/>
          <w:rtl/>
        </w:rPr>
        <w:t>.</w:t>
      </w:r>
    </w:p>
    <w:p w14:paraId="429B349A" w14:textId="77777777" w:rsidR="00F32B9D" w:rsidRDefault="00F32B9D" w:rsidP="00F32B9D">
      <w:pPr>
        <w:spacing w:line="360" w:lineRule="auto"/>
        <w:ind w:left="720" w:hanging="720"/>
        <w:jc w:val="both"/>
        <w:rPr>
          <w:rtl/>
        </w:rPr>
      </w:pPr>
    </w:p>
    <w:p w14:paraId="573DE005" w14:textId="77777777" w:rsidR="00F32B9D" w:rsidRDefault="00F32B9D" w:rsidP="00F32B9D">
      <w:pPr>
        <w:spacing w:line="360" w:lineRule="auto"/>
        <w:ind w:left="720" w:hanging="720"/>
        <w:jc w:val="both"/>
        <w:rPr>
          <w:rtl/>
        </w:rPr>
      </w:pPr>
      <w:r>
        <w:rPr>
          <w:rFonts w:hint="cs"/>
          <w:rtl/>
        </w:rPr>
        <w:t>20</w:t>
      </w:r>
      <w:r>
        <w:rPr>
          <w:rtl/>
        </w:rPr>
        <w:t>.</w:t>
      </w:r>
      <w:r>
        <w:rPr>
          <w:rtl/>
        </w:rPr>
        <w:tab/>
        <w:t>על יסוד מקבץ השיקולים שמניתי לעיל, אני גוזר על הנאשם את העונשים הבאים:</w:t>
      </w:r>
    </w:p>
    <w:p w14:paraId="7BC8051E" w14:textId="77777777" w:rsidR="00F32B9D" w:rsidRDefault="00F32B9D" w:rsidP="00F32B9D">
      <w:pPr>
        <w:spacing w:line="360" w:lineRule="auto"/>
        <w:ind w:left="720" w:hanging="720"/>
        <w:jc w:val="both"/>
        <w:rPr>
          <w:rtl/>
        </w:rPr>
      </w:pPr>
    </w:p>
    <w:p w14:paraId="43793FEB" w14:textId="77777777" w:rsidR="00F32B9D" w:rsidRDefault="00F32B9D" w:rsidP="00F32B9D">
      <w:pPr>
        <w:spacing w:line="360" w:lineRule="auto"/>
        <w:ind w:left="720" w:hanging="720"/>
        <w:jc w:val="both"/>
        <w:rPr>
          <w:rtl/>
        </w:rPr>
      </w:pPr>
      <w:r>
        <w:rPr>
          <w:rtl/>
        </w:rPr>
        <w:tab/>
        <w:t>א.</w:t>
      </w:r>
      <w:r>
        <w:rPr>
          <w:rFonts w:hint="cs"/>
          <w:rtl/>
        </w:rPr>
        <w:tab/>
        <w:t>30 חודשי</w:t>
      </w:r>
      <w:r>
        <w:rPr>
          <w:rtl/>
        </w:rPr>
        <w:t xml:space="preserve"> מאסר בפועל, בניכוי ימי מעצרו החל מיום </w:t>
      </w:r>
      <w:r>
        <w:rPr>
          <w:rFonts w:hint="cs"/>
          <w:rtl/>
        </w:rPr>
        <w:t xml:space="preserve">11.12.15. </w:t>
      </w:r>
    </w:p>
    <w:p w14:paraId="1D95E321" w14:textId="77777777" w:rsidR="00F32B9D" w:rsidRDefault="00F32B9D" w:rsidP="00F32B9D">
      <w:pPr>
        <w:spacing w:line="360" w:lineRule="auto"/>
        <w:ind w:left="720" w:hanging="720"/>
        <w:jc w:val="both"/>
        <w:rPr>
          <w:rtl/>
        </w:rPr>
      </w:pPr>
    </w:p>
    <w:p w14:paraId="1A372AC7" w14:textId="77777777" w:rsidR="00F32B9D" w:rsidRDefault="00F32B9D" w:rsidP="00F32B9D">
      <w:pPr>
        <w:spacing w:line="360" w:lineRule="auto"/>
        <w:ind w:left="1440" w:hanging="720"/>
        <w:jc w:val="both"/>
        <w:rPr>
          <w:rtl/>
        </w:rPr>
      </w:pPr>
      <w:r>
        <w:rPr>
          <w:rFonts w:hint="cs"/>
          <w:rtl/>
        </w:rPr>
        <w:t xml:space="preserve">ב. </w:t>
      </w:r>
      <w:r>
        <w:rPr>
          <w:rFonts w:hint="cs"/>
          <w:rtl/>
        </w:rPr>
        <w:tab/>
        <w:t>אני מורה על הפעלת המאסר המותנה בן שלושה חודשים שהושת על הנאשם ב</w:t>
      </w:r>
      <w:hyperlink r:id="rId46" w:history="1">
        <w:r w:rsidR="00CE554D" w:rsidRPr="00CE554D">
          <w:rPr>
            <w:color w:val="0000FF"/>
            <w:u w:val="single"/>
            <w:rtl/>
          </w:rPr>
          <w:t>ת"פ 54402-12-13</w:t>
        </w:r>
      </w:hyperlink>
      <w:r>
        <w:rPr>
          <w:rFonts w:hint="cs"/>
          <w:rtl/>
        </w:rPr>
        <w:t xml:space="preserve"> על ידי בית משפט השלום באילת, במצטבר לעונש המאסר שהוטל עליו בתיק זה. בסך הכל ירצה הנאשם עונש של מאסר בפועל למשך 33 חודשים.  </w:t>
      </w:r>
    </w:p>
    <w:p w14:paraId="5170DA33" w14:textId="77777777" w:rsidR="00F32B9D" w:rsidRDefault="00F32B9D" w:rsidP="00F32B9D">
      <w:pPr>
        <w:spacing w:line="360" w:lineRule="auto"/>
        <w:jc w:val="both"/>
        <w:rPr>
          <w:rtl/>
        </w:rPr>
      </w:pPr>
    </w:p>
    <w:p w14:paraId="716FC26C" w14:textId="77777777" w:rsidR="00F32B9D" w:rsidRDefault="00F32B9D" w:rsidP="00F32B9D">
      <w:pPr>
        <w:spacing w:line="360" w:lineRule="auto"/>
        <w:ind w:left="1440" w:hanging="720"/>
        <w:jc w:val="both"/>
        <w:rPr>
          <w:rtl/>
        </w:rPr>
      </w:pPr>
      <w:r>
        <w:rPr>
          <w:rFonts w:hint="cs"/>
          <w:rtl/>
        </w:rPr>
        <w:t>ג</w:t>
      </w:r>
      <w:r>
        <w:rPr>
          <w:rtl/>
        </w:rPr>
        <w:t>.</w:t>
      </w:r>
      <w:r>
        <w:rPr>
          <w:rtl/>
        </w:rPr>
        <w:tab/>
        <w:t>1</w:t>
      </w:r>
      <w:r>
        <w:rPr>
          <w:rFonts w:hint="cs"/>
          <w:rtl/>
        </w:rPr>
        <w:t>2</w:t>
      </w:r>
      <w:r>
        <w:rPr>
          <w:rtl/>
        </w:rPr>
        <w:t xml:space="preserve"> חודשי מאסר על תנאי למשך 3 שנים לבל יעבור </w:t>
      </w:r>
      <w:r>
        <w:rPr>
          <w:rFonts w:hint="cs"/>
          <w:rtl/>
        </w:rPr>
        <w:t>עבירת שוד</w:t>
      </w:r>
      <w:r>
        <w:rPr>
          <w:rtl/>
        </w:rPr>
        <w:t xml:space="preserve"> או כל עבירת אלימות אחרת</w:t>
      </w:r>
      <w:r>
        <w:rPr>
          <w:rFonts w:hint="cs"/>
          <w:rtl/>
        </w:rPr>
        <w:t xml:space="preserve"> מסוג פשע ויורשע בגינה.</w:t>
      </w:r>
    </w:p>
    <w:p w14:paraId="678298A7" w14:textId="77777777" w:rsidR="00F32B9D" w:rsidRDefault="00F32B9D" w:rsidP="00F32B9D">
      <w:pPr>
        <w:spacing w:line="360" w:lineRule="auto"/>
        <w:ind w:left="1440" w:hanging="720"/>
        <w:jc w:val="both"/>
        <w:rPr>
          <w:rtl/>
        </w:rPr>
      </w:pPr>
    </w:p>
    <w:p w14:paraId="18271C68" w14:textId="77777777" w:rsidR="00F32B9D" w:rsidRDefault="00F32B9D" w:rsidP="00F32B9D">
      <w:pPr>
        <w:spacing w:line="360" w:lineRule="auto"/>
        <w:ind w:left="1440" w:hanging="720"/>
        <w:jc w:val="both"/>
        <w:rPr>
          <w:rtl/>
        </w:rPr>
      </w:pPr>
      <w:r>
        <w:rPr>
          <w:rFonts w:hint="cs"/>
          <w:rtl/>
        </w:rPr>
        <w:t>ד.</w:t>
      </w:r>
      <w:r>
        <w:rPr>
          <w:rFonts w:hint="cs"/>
          <w:rtl/>
        </w:rPr>
        <w:tab/>
        <w:t>6 חודשי מאסר על תנאי למשך 3 שנים לבל יעבור כל עבירת רכוש או עבירת נשק ויורשע בגינה.</w:t>
      </w:r>
    </w:p>
    <w:p w14:paraId="2F797E2D" w14:textId="77777777" w:rsidR="00F32B9D" w:rsidRDefault="00F32B9D" w:rsidP="00F32B9D">
      <w:pPr>
        <w:spacing w:line="360" w:lineRule="auto"/>
        <w:ind w:left="1440" w:hanging="720"/>
        <w:jc w:val="both"/>
        <w:rPr>
          <w:rtl/>
        </w:rPr>
      </w:pPr>
    </w:p>
    <w:p w14:paraId="62EA4742" w14:textId="77777777" w:rsidR="00F32B9D" w:rsidRDefault="00F32B9D" w:rsidP="00F32B9D">
      <w:pPr>
        <w:spacing w:line="360" w:lineRule="auto"/>
        <w:ind w:left="1440" w:hanging="720"/>
        <w:jc w:val="both"/>
        <w:rPr>
          <w:rtl/>
        </w:rPr>
      </w:pPr>
    </w:p>
    <w:p w14:paraId="50BC90AF" w14:textId="77777777" w:rsidR="00F32B9D" w:rsidRDefault="00F32B9D" w:rsidP="00F32B9D">
      <w:pPr>
        <w:spacing w:line="360" w:lineRule="auto"/>
        <w:ind w:left="1440" w:hanging="720"/>
        <w:jc w:val="both"/>
        <w:rPr>
          <w:rtl/>
        </w:rPr>
      </w:pPr>
      <w:r>
        <w:rPr>
          <w:rFonts w:hint="cs"/>
          <w:rtl/>
        </w:rPr>
        <w:t>ה.</w:t>
      </w:r>
      <w:r>
        <w:rPr>
          <w:rFonts w:hint="cs"/>
          <w:rtl/>
        </w:rPr>
        <w:tab/>
        <w:t xml:space="preserve">בשל נסיבותיו האישיות של הנאשם ונוכח תקופת המאסר שהוטלה עליו, נמנעתי מפסיקת פיצויים למתלוננים. </w:t>
      </w:r>
      <w:r>
        <w:rPr>
          <w:rtl/>
        </w:rPr>
        <w:t xml:space="preserve"> </w:t>
      </w:r>
    </w:p>
    <w:p w14:paraId="6D075E04" w14:textId="77777777" w:rsidR="00F32B9D" w:rsidRDefault="00F32B9D" w:rsidP="00F32B9D">
      <w:pPr>
        <w:spacing w:line="360" w:lineRule="auto"/>
        <w:ind w:left="1440" w:hanging="720"/>
        <w:jc w:val="both"/>
        <w:rPr>
          <w:rtl/>
        </w:rPr>
      </w:pPr>
    </w:p>
    <w:p w14:paraId="4EAEB47E" w14:textId="77777777" w:rsidR="00F32B9D" w:rsidRPr="004C512A" w:rsidRDefault="00F32B9D" w:rsidP="00F32B9D">
      <w:pPr>
        <w:spacing w:line="360" w:lineRule="auto"/>
        <w:jc w:val="both"/>
        <w:rPr>
          <w:b/>
          <w:bCs/>
          <w:u w:val="single"/>
          <w:rtl/>
        </w:rPr>
      </w:pPr>
      <w:r>
        <w:rPr>
          <w:b/>
          <w:bCs/>
          <w:u w:val="single"/>
          <w:rtl/>
        </w:rPr>
        <w:t>זכות ערעור לבית המשפט העליון תוך 45 יום.</w:t>
      </w:r>
    </w:p>
    <w:p w14:paraId="1F4F1520" w14:textId="77777777" w:rsidR="00F32B9D" w:rsidRPr="00B05847" w:rsidRDefault="00F32B9D" w:rsidP="00F32B9D">
      <w:pPr>
        <w:spacing w:line="360" w:lineRule="auto"/>
        <w:jc w:val="both"/>
        <w:rPr>
          <w:rtl/>
        </w:rPr>
      </w:pPr>
    </w:p>
    <w:p w14:paraId="37EA2DD0" w14:textId="77777777" w:rsidR="00F32B9D" w:rsidRPr="00CE554D" w:rsidRDefault="00CE554D" w:rsidP="00F32B9D">
      <w:pPr>
        <w:rPr>
          <w:color w:val="FFFFFF"/>
          <w:sz w:val="2"/>
          <w:szCs w:val="2"/>
          <w:rtl/>
        </w:rPr>
      </w:pPr>
      <w:r w:rsidRPr="00CE554D">
        <w:rPr>
          <w:color w:val="FFFFFF"/>
          <w:sz w:val="2"/>
          <w:szCs w:val="2"/>
          <w:rtl/>
        </w:rPr>
        <w:t>5129371</w:t>
      </w:r>
    </w:p>
    <w:p w14:paraId="2DEC5F74" w14:textId="77777777" w:rsidR="00F32B9D" w:rsidRDefault="00CE554D" w:rsidP="00F32B9D">
      <w:pPr>
        <w:rPr>
          <w:rFonts w:cs="FrankRuehl"/>
          <w:sz w:val="28"/>
          <w:szCs w:val="28"/>
          <w:rtl/>
        </w:rPr>
      </w:pPr>
      <w:r w:rsidRPr="00CE554D">
        <w:rPr>
          <w:rFonts w:ascii="Arial" w:hAnsi="Arial"/>
          <w:color w:val="FFFFFF"/>
          <w:sz w:val="2"/>
          <w:szCs w:val="2"/>
          <w:rtl/>
        </w:rPr>
        <w:t>54678313</w:t>
      </w:r>
      <w:r>
        <w:rPr>
          <w:rFonts w:ascii="Arial" w:hAnsi="Arial"/>
          <w:rtl/>
        </w:rPr>
        <w:t xml:space="preserve">ניתן היום,  י' סיוון תשע"ו, 16 יוני 2016, בנוכחות הצדדים. </w:t>
      </w:r>
    </w:p>
    <w:p w14:paraId="6016A547" w14:textId="77777777" w:rsidR="00F32B9D" w:rsidRDefault="00F32B9D" w:rsidP="00F32B9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FCF8136" w14:textId="77777777" w:rsidR="00F32B9D" w:rsidRDefault="00F32B9D" w:rsidP="00F32B9D">
      <w:pPr>
        <w:jc w:val="center"/>
        <w:rPr>
          <w:rFonts w:ascii="Arial" w:hAnsi="Arial" w:cs="FrankRuehl"/>
          <w:sz w:val="28"/>
          <w:szCs w:val="28"/>
          <w:rtl/>
        </w:rPr>
      </w:pPr>
    </w:p>
    <w:p w14:paraId="369CEE74" w14:textId="77777777" w:rsidR="00F32B9D" w:rsidRDefault="00F32B9D" w:rsidP="00F32B9D">
      <w:pPr>
        <w:rPr>
          <w:rFonts w:cs="FrankRuehl"/>
          <w:sz w:val="28"/>
          <w:szCs w:val="28"/>
          <w:rtl/>
        </w:rPr>
      </w:pPr>
    </w:p>
    <w:p w14:paraId="3D7498F4" w14:textId="77777777" w:rsidR="00F32B9D" w:rsidRPr="007343B4" w:rsidRDefault="007343B4" w:rsidP="00F32B9D">
      <w:pPr>
        <w:pStyle w:val="a3"/>
        <w:jc w:val="center"/>
        <w:rPr>
          <w:color w:val="FFFFFF"/>
          <w:sz w:val="2"/>
          <w:szCs w:val="2"/>
          <w:rtl/>
        </w:rPr>
      </w:pPr>
      <w:r w:rsidRPr="007343B4">
        <w:rPr>
          <w:color w:val="FFFFFF"/>
          <w:sz w:val="2"/>
          <w:szCs w:val="2"/>
          <w:rtl/>
        </w:rPr>
        <w:t>5129371</w:t>
      </w:r>
    </w:p>
    <w:p w14:paraId="3D1CA70D" w14:textId="77777777" w:rsidR="00CE554D" w:rsidRPr="007343B4" w:rsidRDefault="007343B4" w:rsidP="00CE554D">
      <w:pPr>
        <w:keepNext/>
        <w:rPr>
          <w:rFonts w:ascii="David" w:hAnsi="David"/>
          <w:color w:val="FFFFFF"/>
          <w:sz w:val="2"/>
          <w:szCs w:val="2"/>
          <w:rtl/>
        </w:rPr>
      </w:pPr>
      <w:r w:rsidRPr="007343B4">
        <w:rPr>
          <w:rFonts w:ascii="David" w:hAnsi="David"/>
          <w:color w:val="FFFFFF"/>
          <w:sz w:val="2"/>
          <w:szCs w:val="2"/>
          <w:rtl/>
        </w:rPr>
        <w:t>54678313</w:t>
      </w:r>
    </w:p>
    <w:p w14:paraId="0F417278" w14:textId="77777777" w:rsidR="00CE554D" w:rsidRPr="00CE554D" w:rsidRDefault="00CE554D" w:rsidP="00CE554D">
      <w:pPr>
        <w:keepNext/>
        <w:rPr>
          <w:rFonts w:ascii="David" w:hAnsi="David"/>
          <w:color w:val="000000"/>
          <w:sz w:val="22"/>
          <w:szCs w:val="22"/>
          <w:rtl/>
        </w:rPr>
      </w:pPr>
      <w:r w:rsidRPr="00CE554D">
        <w:rPr>
          <w:rFonts w:ascii="David" w:hAnsi="David"/>
          <w:color w:val="000000"/>
          <w:sz w:val="22"/>
          <w:szCs w:val="22"/>
          <w:rtl/>
        </w:rPr>
        <w:t>אמיר טובי 54678313</w:t>
      </w:r>
    </w:p>
    <w:p w14:paraId="5CD129C7" w14:textId="77777777" w:rsidR="00CE554D" w:rsidRDefault="00CE554D" w:rsidP="00CE554D">
      <w:r w:rsidRPr="00CE554D">
        <w:rPr>
          <w:color w:val="000000"/>
          <w:rtl/>
        </w:rPr>
        <w:t>נוסח מסמך זה כפוף לשינויי ניסוח ועריכה</w:t>
      </w:r>
      <w:r w:rsidR="007F6C3C">
        <w:rPr>
          <w:rFonts w:hint="cs"/>
          <w:rtl/>
        </w:rPr>
        <w:t xml:space="preserve">   </w:t>
      </w:r>
    </w:p>
    <w:p w14:paraId="5F3C9C5F" w14:textId="77777777" w:rsidR="00CE554D" w:rsidRDefault="00CE554D" w:rsidP="00CE554D">
      <w:pPr>
        <w:rPr>
          <w:rtl/>
        </w:rPr>
      </w:pPr>
    </w:p>
    <w:p w14:paraId="3347C3A0" w14:textId="77777777" w:rsidR="00CE554D" w:rsidRDefault="00CE554D" w:rsidP="00CE554D">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6328A62B" w14:textId="77777777" w:rsidR="007343B4" w:rsidRPr="007343B4" w:rsidRDefault="007343B4" w:rsidP="007343B4">
      <w:pPr>
        <w:keepNext/>
        <w:rPr>
          <w:rFonts w:ascii="David" w:hAnsi="David"/>
          <w:color w:val="000000"/>
          <w:sz w:val="22"/>
          <w:szCs w:val="22"/>
          <w:rtl/>
        </w:rPr>
      </w:pPr>
    </w:p>
    <w:sectPr w:rsidR="007343B4" w:rsidRPr="007343B4" w:rsidSect="007343B4">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7607B" w14:textId="77777777" w:rsidR="008D71D5" w:rsidRDefault="008D71D5">
      <w:r>
        <w:separator/>
      </w:r>
    </w:p>
  </w:endnote>
  <w:endnote w:type="continuationSeparator" w:id="0">
    <w:p w14:paraId="5C843EB4" w14:textId="77777777" w:rsidR="008D71D5" w:rsidRDefault="008D7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E9619" w14:textId="77777777" w:rsidR="00A15860" w:rsidRDefault="00A15860" w:rsidP="007343B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E90EE3C" w14:textId="77777777" w:rsidR="00A15860" w:rsidRPr="007343B4" w:rsidRDefault="00A15860" w:rsidP="007343B4">
    <w:pPr>
      <w:pStyle w:val="a4"/>
      <w:pBdr>
        <w:top w:val="single" w:sz="4" w:space="1" w:color="auto"/>
        <w:between w:val="single" w:sz="4" w:space="0" w:color="auto"/>
      </w:pBdr>
      <w:spacing w:after="60"/>
      <w:jc w:val="center"/>
      <w:rPr>
        <w:rFonts w:ascii="FrankRuehl" w:hAnsi="FrankRuehl" w:cs="FrankRuehl"/>
        <w:color w:val="000000"/>
      </w:rPr>
    </w:pPr>
    <w:r w:rsidRPr="007343B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52D9E" w14:textId="77777777" w:rsidR="00A15860" w:rsidRDefault="00A15860" w:rsidP="007343B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55F1E">
      <w:rPr>
        <w:rFonts w:ascii="FrankRuehl" w:hAnsi="FrankRuehl" w:cs="FrankRuehl"/>
        <w:noProof/>
        <w:rtl/>
      </w:rPr>
      <w:t>1</w:t>
    </w:r>
    <w:r>
      <w:rPr>
        <w:rFonts w:ascii="FrankRuehl" w:hAnsi="FrankRuehl" w:cs="FrankRuehl"/>
        <w:rtl/>
      </w:rPr>
      <w:fldChar w:fldCharType="end"/>
    </w:r>
  </w:p>
  <w:p w14:paraId="4E93CFFA" w14:textId="77777777" w:rsidR="00A15860" w:rsidRPr="007343B4" w:rsidRDefault="00A15860" w:rsidP="007343B4">
    <w:pPr>
      <w:pStyle w:val="a4"/>
      <w:pBdr>
        <w:top w:val="single" w:sz="4" w:space="1" w:color="auto"/>
        <w:between w:val="single" w:sz="4" w:space="0" w:color="auto"/>
      </w:pBdr>
      <w:spacing w:after="60"/>
      <w:jc w:val="center"/>
      <w:rPr>
        <w:rFonts w:ascii="FrankRuehl" w:hAnsi="FrankRuehl" w:cs="FrankRuehl"/>
        <w:color w:val="000000"/>
      </w:rPr>
    </w:pPr>
    <w:r w:rsidRPr="007343B4">
      <w:rPr>
        <w:rFonts w:ascii="FrankRuehl" w:hAnsi="FrankRuehl" w:cs="FrankRuehl"/>
        <w:color w:val="000000"/>
      </w:rPr>
      <w:pict w14:anchorId="48D748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A9AACF" w14:textId="77777777" w:rsidR="008D71D5" w:rsidRDefault="008D71D5">
      <w:r>
        <w:separator/>
      </w:r>
    </w:p>
  </w:footnote>
  <w:footnote w:type="continuationSeparator" w:id="0">
    <w:p w14:paraId="4B7B6BBC" w14:textId="77777777" w:rsidR="008D71D5" w:rsidRDefault="008D71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B9EC0" w14:textId="77777777" w:rsidR="00A15860" w:rsidRPr="007343B4" w:rsidRDefault="00A15860" w:rsidP="007343B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57218-12-15</w:t>
    </w:r>
    <w:r>
      <w:rPr>
        <w:rFonts w:ascii="David" w:hAnsi="David"/>
        <w:color w:val="000000"/>
        <w:sz w:val="22"/>
        <w:szCs w:val="22"/>
        <w:rtl/>
      </w:rPr>
      <w:tab/>
      <w:t xml:space="preserve"> מדינת ישראל נ' אלברט ויסמן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680BD" w14:textId="77777777" w:rsidR="00A15860" w:rsidRPr="007343B4" w:rsidRDefault="00A15860" w:rsidP="007343B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57218-12-15</w:t>
    </w:r>
    <w:r>
      <w:rPr>
        <w:rFonts w:ascii="David" w:hAnsi="David"/>
        <w:color w:val="000000"/>
        <w:sz w:val="22"/>
        <w:szCs w:val="22"/>
        <w:rtl/>
      </w:rPr>
      <w:tab/>
      <w:t xml:space="preserve"> מדינת ישראל נ' אלברט ויסמן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32B9D"/>
    <w:rsid w:val="00174FB2"/>
    <w:rsid w:val="007343B4"/>
    <w:rsid w:val="007F6C3C"/>
    <w:rsid w:val="00875D6C"/>
    <w:rsid w:val="008D71D5"/>
    <w:rsid w:val="00A03721"/>
    <w:rsid w:val="00A15860"/>
    <w:rsid w:val="00A250F8"/>
    <w:rsid w:val="00B1215F"/>
    <w:rsid w:val="00CE554D"/>
    <w:rsid w:val="00D10BBF"/>
    <w:rsid w:val="00E55F1E"/>
    <w:rsid w:val="00E85A6B"/>
    <w:rsid w:val="00F31372"/>
    <w:rsid w:val="00F32B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CB6A2C8"/>
  <w15:chartTrackingRefBased/>
  <w15:docId w15:val="{71C26F5B-C0C0-4B12-A22F-D37035F49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32B9D"/>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32B9D"/>
    <w:pPr>
      <w:tabs>
        <w:tab w:val="center" w:pos="4153"/>
        <w:tab w:val="right" w:pos="8306"/>
      </w:tabs>
    </w:pPr>
  </w:style>
  <w:style w:type="paragraph" w:styleId="a4">
    <w:name w:val="footer"/>
    <w:basedOn w:val="a"/>
    <w:rsid w:val="00F32B9D"/>
    <w:pPr>
      <w:tabs>
        <w:tab w:val="center" w:pos="4153"/>
        <w:tab w:val="right" w:pos="8306"/>
      </w:tabs>
    </w:pPr>
  </w:style>
  <w:style w:type="character" w:styleId="a5">
    <w:name w:val="page number"/>
    <w:basedOn w:val="a0"/>
    <w:rsid w:val="00F32B9D"/>
  </w:style>
  <w:style w:type="paragraph" w:customStyle="1" w:styleId="12">
    <w:name w:val="רגיל + ‏12 נק'"/>
    <w:aliases w:val="מיושר לשני הצדדים,מרווח בין שורות:  שורה וחצי"/>
    <w:basedOn w:val="a"/>
    <w:rsid w:val="00F32B9D"/>
    <w:rPr>
      <w:b/>
      <w:bCs/>
      <w:u w:val="single"/>
    </w:rPr>
  </w:style>
  <w:style w:type="character" w:customStyle="1" w:styleId="TimesNewRomanTimesNewRoman">
    <w:name w:val="סגנון (לטיני) Times New Roman (עברית ושפות אחרות) Times New Roman..."/>
    <w:rsid w:val="00F32B9D"/>
    <w:rPr>
      <w:rFonts w:ascii="Times New Roman" w:hAnsi="Times New Roman" w:cs="David" w:hint="default"/>
      <w:b/>
      <w:bCs/>
      <w:sz w:val="26"/>
      <w:szCs w:val="26"/>
    </w:rPr>
  </w:style>
  <w:style w:type="paragraph" w:customStyle="1" w:styleId="Quote">
    <w:name w:val="Quote"/>
    <w:basedOn w:val="a"/>
    <w:next w:val="a"/>
    <w:link w:val="QuoteChar"/>
    <w:rsid w:val="00F32B9D"/>
    <w:pPr>
      <w:spacing w:before="200" w:after="160"/>
      <w:ind w:left="864" w:right="864"/>
      <w:jc w:val="center"/>
    </w:pPr>
    <w:rPr>
      <w:i/>
      <w:iCs/>
      <w:color w:val="404040"/>
    </w:rPr>
  </w:style>
  <w:style w:type="character" w:customStyle="1" w:styleId="QuoteChar">
    <w:name w:val="Quote Char"/>
    <w:link w:val="Quote"/>
    <w:rsid w:val="00F32B9D"/>
    <w:rPr>
      <w:rFonts w:cs="David"/>
      <w:i/>
      <w:iCs/>
      <w:color w:val="404040"/>
      <w:sz w:val="24"/>
      <w:szCs w:val="24"/>
      <w:lang w:val="en-US" w:eastAsia="en-US" w:bidi="he-IL"/>
    </w:rPr>
  </w:style>
  <w:style w:type="character" w:styleId="Hyperlink">
    <w:name w:val="Hyperlink"/>
    <w:rsid w:val="00CE55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70301/406.b"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5701236" TargetMode="External"/><Relationship Id="rId21" Type="http://schemas.openxmlformats.org/officeDocument/2006/relationships/hyperlink" Target="http://www.nevo.co.il/case/10553858" TargetMode="External"/><Relationship Id="rId34" Type="http://schemas.openxmlformats.org/officeDocument/2006/relationships/hyperlink" Target="http://www.nevo.co.il/case/16904226" TargetMode="External"/><Relationship Id="rId42" Type="http://schemas.openxmlformats.org/officeDocument/2006/relationships/hyperlink" Target="http://www.nevo.co.il/law/70301/40ja"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70301/40i.a" TargetMode="External"/><Relationship Id="rId2" Type="http://schemas.openxmlformats.org/officeDocument/2006/relationships/settings" Target="settings.xml"/><Relationship Id="rId16" Type="http://schemas.openxmlformats.org/officeDocument/2006/relationships/hyperlink" Target="http://www.nevo.co.il/law/70301/383.a.1" TargetMode="External"/><Relationship Id="rId29" Type="http://schemas.openxmlformats.org/officeDocument/2006/relationships/hyperlink" Target="http://www.nevo.co.il/case/20821662" TargetMode="External"/><Relationship Id="rId11" Type="http://schemas.openxmlformats.org/officeDocument/2006/relationships/hyperlink" Target="http://www.nevo.co.il/law/70301/406.b"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5581070" TargetMode="External"/><Relationship Id="rId37" Type="http://schemas.openxmlformats.org/officeDocument/2006/relationships/hyperlink" Target="http://www.nevo.co.il/case/7765894" TargetMode="External"/><Relationship Id="rId40" Type="http://schemas.openxmlformats.org/officeDocument/2006/relationships/hyperlink" Target="http://www.nevo.co.il/case/17948201" TargetMode="External"/><Relationship Id="rId45" Type="http://schemas.openxmlformats.org/officeDocument/2006/relationships/hyperlink" Target="http://www.nevo.co.il/case/5701345" TargetMode="External"/><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hyperlink" Target="http://www.nevo.co.il/law/70301/402.a"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5610818" TargetMode="External"/><Relationship Id="rId44" Type="http://schemas.openxmlformats.org/officeDocument/2006/relationships/hyperlink" Target="http://www.nevo.co.il/case/5748124"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383.a.1" TargetMode="External"/><Relationship Id="rId14" Type="http://schemas.openxmlformats.org/officeDocument/2006/relationships/hyperlink" Target="http://www.nevo.co.il/law/70301/406.b" TargetMode="External"/><Relationship Id="rId22" Type="http://schemas.openxmlformats.org/officeDocument/2006/relationships/hyperlink" Target="http://www.nevo.co.il/case/10553858" TargetMode="External"/><Relationship Id="rId27" Type="http://schemas.openxmlformats.org/officeDocument/2006/relationships/hyperlink" Target="http://www.nevo.co.il/case/20446644" TargetMode="External"/><Relationship Id="rId30" Type="http://schemas.openxmlformats.org/officeDocument/2006/relationships/hyperlink" Target="http://www.nevo.co.il/case/16987351" TargetMode="External"/><Relationship Id="rId35" Type="http://schemas.openxmlformats.org/officeDocument/2006/relationships/hyperlink" Target="http://www.nevo.co.il/case/20781936" TargetMode="External"/><Relationship Id="rId43" Type="http://schemas.openxmlformats.org/officeDocument/2006/relationships/hyperlink" Target="http://www.nevo.co.il/law/70301" TargetMode="External"/><Relationship Id="rId48" Type="http://schemas.openxmlformats.org/officeDocument/2006/relationships/header" Target="header1.xml"/><Relationship Id="rId8" Type="http://schemas.openxmlformats.org/officeDocument/2006/relationships/hyperlink" Target="http://www.nevo.co.il/law/70301/144.b" TargetMode="External"/><Relationship Id="rId51"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law/70301/40i.a" TargetMode="External"/><Relationship Id="rId33" Type="http://schemas.openxmlformats.org/officeDocument/2006/relationships/hyperlink" Target="http://www.nevo.co.il/case/5719707" TargetMode="External"/><Relationship Id="rId38" Type="http://schemas.openxmlformats.org/officeDocument/2006/relationships/hyperlink" Target="http://www.nevo.co.il/case/5887572" TargetMode="External"/><Relationship Id="rId46" Type="http://schemas.openxmlformats.org/officeDocument/2006/relationships/hyperlink" Target="http://www.nevo.co.il/case/10553858" TargetMode="External"/><Relationship Id="rId20" Type="http://schemas.openxmlformats.org/officeDocument/2006/relationships/hyperlink" Target="http://www.nevo.co.il/law/70301/402.a" TargetMode="External"/><Relationship Id="rId41" Type="http://schemas.openxmlformats.org/officeDocument/2006/relationships/hyperlink" Target="http://www.nevo.co.il/case/5590454"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 TargetMode="External"/><Relationship Id="rId23" Type="http://schemas.openxmlformats.org/officeDocument/2006/relationships/hyperlink" Target="http://www.nevo.co.il/law/70301/40jc" TargetMode="External"/><Relationship Id="rId28" Type="http://schemas.openxmlformats.org/officeDocument/2006/relationships/hyperlink" Target="http://www.nevo.co.il/case/20942102" TargetMode="External"/><Relationship Id="rId36" Type="http://schemas.openxmlformats.org/officeDocument/2006/relationships/hyperlink" Target="http://www.nevo.co.il/case/5610258"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3469</Words>
  <Characters>17348</Characters>
  <Application>Microsoft Office Word</Application>
  <DocSecurity>0</DocSecurity>
  <Lines>144</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20776</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3276921</vt:i4>
      </vt:variant>
      <vt:variant>
        <vt:i4>120</vt:i4>
      </vt:variant>
      <vt:variant>
        <vt:i4>0</vt:i4>
      </vt:variant>
      <vt:variant>
        <vt:i4>5</vt:i4>
      </vt:variant>
      <vt:variant>
        <vt:lpwstr>http://www.nevo.co.il/case/10553858</vt:lpwstr>
      </vt:variant>
      <vt:variant>
        <vt:lpwstr/>
      </vt:variant>
      <vt:variant>
        <vt:i4>3342454</vt:i4>
      </vt:variant>
      <vt:variant>
        <vt:i4>117</vt:i4>
      </vt:variant>
      <vt:variant>
        <vt:i4>0</vt:i4>
      </vt:variant>
      <vt:variant>
        <vt:i4>5</vt:i4>
      </vt:variant>
      <vt:variant>
        <vt:lpwstr>http://www.nevo.co.il/case/5701345</vt:lpwstr>
      </vt:variant>
      <vt:variant>
        <vt:lpwstr/>
      </vt:variant>
      <vt:variant>
        <vt:i4>3407993</vt:i4>
      </vt:variant>
      <vt:variant>
        <vt:i4>114</vt:i4>
      </vt:variant>
      <vt:variant>
        <vt:i4>0</vt:i4>
      </vt:variant>
      <vt:variant>
        <vt:i4>5</vt:i4>
      </vt:variant>
      <vt:variant>
        <vt:lpwstr>http://www.nevo.co.il/case/5748124</vt:lpwstr>
      </vt:variant>
      <vt:variant>
        <vt:lpwstr/>
      </vt:variant>
      <vt:variant>
        <vt:i4>7995492</vt:i4>
      </vt:variant>
      <vt:variant>
        <vt:i4>111</vt:i4>
      </vt:variant>
      <vt:variant>
        <vt:i4>0</vt:i4>
      </vt:variant>
      <vt:variant>
        <vt:i4>5</vt:i4>
      </vt:variant>
      <vt:variant>
        <vt:lpwstr>http://www.nevo.co.il/law/70301</vt:lpwstr>
      </vt:variant>
      <vt:variant>
        <vt:lpwstr/>
      </vt:variant>
      <vt:variant>
        <vt:i4>262155</vt:i4>
      </vt:variant>
      <vt:variant>
        <vt:i4>108</vt:i4>
      </vt:variant>
      <vt:variant>
        <vt:i4>0</vt:i4>
      </vt:variant>
      <vt:variant>
        <vt:i4>5</vt:i4>
      </vt:variant>
      <vt:variant>
        <vt:lpwstr>http://www.nevo.co.il/law/70301/40ja</vt:lpwstr>
      </vt:variant>
      <vt:variant>
        <vt:lpwstr/>
      </vt:variant>
      <vt:variant>
        <vt:i4>3932276</vt:i4>
      </vt:variant>
      <vt:variant>
        <vt:i4>105</vt:i4>
      </vt:variant>
      <vt:variant>
        <vt:i4>0</vt:i4>
      </vt:variant>
      <vt:variant>
        <vt:i4>5</vt:i4>
      </vt:variant>
      <vt:variant>
        <vt:lpwstr>http://www.nevo.co.il/case/5590454</vt:lpwstr>
      </vt:variant>
      <vt:variant>
        <vt:lpwstr/>
      </vt:variant>
      <vt:variant>
        <vt:i4>3145845</vt:i4>
      </vt:variant>
      <vt:variant>
        <vt:i4>102</vt:i4>
      </vt:variant>
      <vt:variant>
        <vt:i4>0</vt:i4>
      </vt:variant>
      <vt:variant>
        <vt:i4>5</vt:i4>
      </vt:variant>
      <vt:variant>
        <vt:lpwstr>http://www.nevo.co.il/case/17948201</vt:lpwstr>
      </vt:variant>
      <vt:variant>
        <vt:lpwstr/>
      </vt:variant>
      <vt:variant>
        <vt:i4>3211377</vt:i4>
      </vt:variant>
      <vt:variant>
        <vt:i4>99</vt:i4>
      </vt:variant>
      <vt:variant>
        <vt:i4>0</vt:i4>
      </vt:variant>
      <vt:variant>
        <vt:i4>5</vt:i4>
      </vt:variant>
      <vt:variant>
        <vt:lpwstr>http://www.nevo.co.il/case/5701236</vt:lpwstr>
      </vt:variant>
      <vt:variant>
        <vt:lpwstr/>
      </vt:variant>
      <vt:variant>
        <vt:i4>3801212</vt:i4>
      </vt:variant>
      <vt:variant>
        <vt:i4>96</vt:i4>
      </vt:variant>
      <vt:variant>
        <vt:i4>0</vt:i4>
      </vt:variant>
      <vt:variant>
        <vt:i4>5</vt:i4>
      </vt:variant>
      <vt:variant>
        <vt:lpwstr>http://www.nevo.co.il/case/5887572</vt:lpwstr>
      </vt:variant>
      <vt:variant>
        <vt:lpwstr/>
      </vt:variant>
      <vt:variant>
        <vt:i4>3997823</vt:i4>
      </vt:variant>
      <vt:variant>
        <vt:i4>93</vt:i4>
      </vt:variant>
      <vt:variant>
        <vt:i4>0</vt:i4>
      </vt:variant>
      <vt:variant>
        <vt:i4>5</vt:i4>
      </vt:variant>
      <vt:variant>
        <vt:lpwstr>http://www.nevo.co.il/case/7765894</vt:lpwstr>
      </vt:variant>
      <vt:variant>
        <vt:lpwstr/>
      </vt:variant>
      <vt:variant>
        <vt:i4>4063351</vt:i4>
      </vt:variant>
      <vt:variant>
        <vt:i4>90</vt:i4>
      </vt:variant>
      <vt:variant>
        <vt:i4>0</vt:i4>
      </vt:variant>
      <vt:variant>
        <vt:i4>5</vt:i4>
      </vt:variant>
      <vt:variant>
        <vt:lpwstr>http://www.nevo.co.il/case/5610258</vt:lpwstr>
      </vt:variant>
      <vt:variant>
        <vt:lpwstr/>
      </vt:variant>
      <vt:variant>
        <vt:i4>3604597</vt:i4>
      </vt:variant>
      <vt:variant>
        <vt:i4>87</vt:i4>
      </vt:variant>
      <vt:variant>
        <vt:i4>0</vt:i4>
      </vt:variant>
      <vt:variant>
        <vt:i4>5</vt:i4>
      </vt:variant>
      <vt:variant>
        <vt:lpwstr>http://www.nevo.co.il/case/20781936</vt:lpwstr>
      </vt:variant>
      <vt:variant>
        <vt:lpwstr/>
      </vt:variant>
      <vt:variant>
        <vt:i4>4063344</vt:i4>
      </vt:variant>
      <vt:variant>
        <vt:i4>84</vt:i4>
      </vt:variant>
      <vt:variant>
        <vt:i4>0</vt:i4>
      </vt:variant>
      <vt:variant>
        <vt:i4>5</vt:i4>
      </vt:variant>
      <vt:variant>
        <vt:lpwstr>http://www.nevo.co.il/case/16904226</vt:lpwstr>
      </vt:variant>
      <vt:variant>
        <vt:lpwstr/>
      </vt:variant>
      <vt:variant>
        <vt:i4>3407994</vt:i4>
      </vt:variant>
      <vt:variant>
        <vt:i4>81</vt:i4>
      </vt:variant>
      <vt:variant>
        <vt:i4>0</vt:i4>
      </vt:variant>
      <vt:variant>
        <vt:i4>5</vt:i4>
      </vt:variant>
      <vt:variant>
        <vt:lpwstr>http://www.nevo.co.il/case/5719707</vt:lpwstr>
      </vt:variant>
      <vt:variant>
        <vt:lpwstr/>
      </vt:variant>
      <vt:variant>
        <vt:i4>3997815</vt:i4>
      </vt:variant>
      <vt:variant>
        <vt:i4>78</vt:i4>
      </vt:variant>
      <vt:variant>
        <vt:i4>0</vt:i4>
      </vt:variant>
      <vt:variant>
        <vt:i4>5</vt:i4>
      </vt:variant>
      <vt:variant>
        <vt:lpwstr>http://www.nevo.co.il/case/5581070</vt:lpwstr>
      </vt:variant>
      <vt:variant>
        <vt:lpwstr/>
      </vt:variant>
      <vt:variant>
        <vt:i4>3407987</vt:i4>
      </vt:variant>
      <vt:variant>
        <vt:i4>75</vt:i4>
      </vt:variant>
      <vt:variant>
        <vt:i4>0</vt:i4>
      </vt:variant>
      <vt:variant>
        <vt:i4>5</vt:i4>
      </vt:variant>
      <vt:variant>
        <vt:lpwstr>http://www.nevo.co.il/case/5610818</vt:lpwstr>
      </vt:variant>
      <vt:variant>
        <vt:lpwstr/>
      </vt:variant>
      <vt:variant>
        <vt:i4>3801209</vt:i4>
      </vt:variant>
      <vt:variant>
        <vt:i4>72</vt:i4>
      </vt:variant>
      <vt:variant>
        <vt:i4>0</vt:i4>
      </vt:variant>
      <vt:variant>
        <vt:i4>5</vt:i4>
      </vt:variant>
      <vt:variant>
        <vt:lpwstr>http://www.nevo.co.il/case/16987351</vt:lpwstr>
      </vt:variant>
      <vt:variant>
        <vt:lpwstr/>
      </vt:variant>
      <vt:variant>
        <vt:i4>3997808</vt:i4>
      </vt:variant>
      <vt:variant>
        <vt:i4>69</vt:i4>
      </vt:variant>
      <vt:variant>
        <vt:i4>0</vt:i4>
      </vt:variant>
      <vt:variant>
        <vt:i4>5</vt:i4>
      </vt:variant>
      <vt:variant>
        <vt:lpwstr>http://www.nevo.co.il/case/20821662</vt:lpwstr>
      </vt:variant>
      <vt:variant>
        <vt:lpwstr/>
      </vt:variant>
      <vt:variant>
        <vt:i4>3735665</vt:i4>
      </vt:variant>
      <vt:variant>
        <vt:i4>66</vt:i4>
      </vt:variant>
      <vt:variant>
        <vt:i4>0</vt:i4>
      </vt:variant>
      <vt:variant>
        <vt:i4>5</vt:i4>
      </vt:variant>
      <vt:variant>
        <vt:lpwstr>http://www.nevo.co.il/case/20942102</vt:lpwstr>
      </vt:variant>
      <vt:variant>
        <vt:lpwstr/>
      </vt:variant>
      <vt:variant>
        <vt:i4>3407990</vt:i4>
      </vt:variant>
      <vt:variant>
        <vt:i4>63</vt:i4>
      </vt:variant>
      <vt:variant>
        <vt:i4>0</vt:i4>
      </vt:variant>
      <vt:variant>
        <vt:i4>5</vt:i4>
      </vt:variant>
      <vt:variant>
        <vt:lpwstr>http://www.nevo.co.il/case/20446644</vt:lpwstr>
      </vt:variant>
      <vt:variant>
        <vt:lpwstr/>
      </vt:variant>
      <vt:variant>
        <vt:i4>7995492</vt:i4>
      </vt:variant>
      <vt:variant>
        <vt:i4>60</vt:i4>
      </vt:variant>
      <vt:variant>
        <vt:i4>0</vt:i4>
      </vt:variant>
      <vt:variant>
        <vt:i4>5</vt:i4>
      </vt:variant>
      <vt:variant>
        <vt:lpwstr>http://www.nevo.co.il/law/70301</vt:lpwstr>
      </vt:variant>
      <vt:variant>
        <vt:lpwstr/>
      </vt:variant>
      <vt:variant>
        <vt:i4>4915208</vt:i4>
      </vt:variant>
      <vt:variant>
        <vt:i4>57</vt:i4>
      </vt:variant>
      <vt:variant>
        <vt:i4>0</vt:i4>
      </vt:variant>
      <vt:variant>
        <vt:i4>5</vt:i4>
      </vt:variant>
      <vt:variant>
        <vt:lpwstr>http://www.nevo.co.il/law/70301/40i.a</vt:lpwstr>
      </vt:variant>
      <vt:variant>
        <vt:lpwstr/>
      </vt:variant>
      <vt:variant>
        <vt:i4>7995492</vt:i4>
      </vt:variant>
      <vt:variant>
        <vt:i4>54</vt:i4>
      </vt:variant>
      <vt:variant>
        <vt:i4>0</vt:i4>
      </vt:variant>
      <vt:variant>
        <vt:i4>5</vt:i4>
      </vt:variant>
      <vt:variant>
        <vt:lpwstr>http://www.nevo.co.il/law/70301</vt:lpwstr>
      </vt:variant>
      <vt:variant>
        <vt:lpwstr/>
      </vt:variant>
      <vt:variant>
        <vt:i4>393227</vt:i4>
      </vt:variant>
      <vt:variant>
        <vt:i4>51</vt:i4>
      </vt:variant>
      <vt:variant>
        <vt:i4>0</vt:i4>
      </vt:variant>
      <vt:variant>
        <vt:i4>5</vt:i4>
      </vt:variant>
      <vt:variant>
        <vt:lpwstr>http://www.nevo.co.il/law/70301/40jc</vt:lpwstr>
      </vt:variant>
      <vt:variant>
        <vt:lpwstr/>
      </vt:variant>
      <vt:variant>
        <vt:i4>3276921</vt:i4>
      </vt:variant>
      <vt:variant>
        <vt:i4>48</vt:i4>
      </vt:variant>
      <vt:variant>
        <vt:i4>0</vt:i4>
      </vt:variant>
      <vt:variant>
        <vt:i4>5</vt:i4>
      </vt:variant>
      <vt:variant>
        <vt:lpwstr>http://www.nevo.co.il/case/10553858</vt:lpwstr>
      </vt:variant>
      <vt:variant>
        <vt:lpwstr/>
      </vt:variant>
      <vt:variant>
        <vt:i4>3276921</vt:i4>
      </vt:variant>
      <vt:variant>
        <vt:i4>45</vt:i4>
      </vt:variant>
      <vt:variant>
        <vt:i4>0</vt:i4>
      </vt:variant>
      <vt:variant>
        <vt:i4>5</vt:i4>
      </vt:variant>
      <vt:variant>
        <vt:lpwstr>http://www.nevo.co.il/case/10553858</vt:lpwstr>
      </vt:variant>
      <vt:variant>
        <vt:lpwstr/>
      </vt:variant>
      <vt:variant>
        <vt:i4>4915283</vt:i4>
      </vt:variant>
      <vt:variant>
        <vt:i4>42</vt:i4>
      </vt:variant>
      <vt:variant>
        <vt:i4>0</vt:i4>
      </vt:variant>
      <vt:variant>
        <vt:i4>5</vt:i4>
      </vt:variant>
      <vt:variant>
        <vt:lpwstr>http://www.nevo.co.il/law/70301/402.a</vt:lpwstr>
      </vt:variant>
      <vt:variant>
        <vt:lpwstr/>
      </vt:variant>
      <vt:variant>
        <vt:i4>7995492</vt:i4>
      </vt:variant>
      <vt:variant>
        <vt:i4>39</vt:i4>
      </vt:variant>
      <vt:variant>
        <vt:i4>0</vt:i4>
      </vt:variant>
      <vt:variant>
        <vt:i4>5</vt:i4>
      </vt:variant>
      <vt:variant>
        <vt:lpwstr>http://www.nevo.co.il/law/70301</vt:lpwstr>
      </vt:variant>
      <vt:variant>
        <vt:lpwstr/>
      </vt:variant>
      <vt:variant>
        <vt:i4>4915287</vt:i4>
      </vt:variant>
      <vt:variant>
        <vt:i4>36</vt:i4>
      </vt:variant>
      <vt:variant>
        <vt:i4>0</vt:i4>
      </vt:variant>
      <vt:variant>
        <vt:i4>5</vt:i4>
      </vt:variant>
      <vt:variant>
        <vt:lpwstr>http://www.nevo.co.il/law/70301/406.b</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7143476</vt:i4>
      </vt:variant>
      <vt:variant>
        <vt:i4>30</vt:i4>
      </vt:variant>
      <vt:variant>
        <vt:i4>0</vt:i4>
      </vt:variant>
      <vt:variant>
        <vt:i4>5</vt:i4>
      </vt:variant>
      <vt:variant>
        <vt:lpwstr>http://www.nevo.co.il/law/70301/383.a.1</vt:lpwstr>
      </vt:variant>
      <vt:variant>
        <vt:lpwstr/>
      </vt:variant>
      <vt:variant>
        <vt:i4>7995492</vt:i4>
      </vt:variant>
      <vt:variant>
        <vt:i4>27</vt:i4>
      </vt:variant>
      <vt:variant>
        <vt:i4>0</vt:i4>
      </vt:variant>
      <vt:variant>
        <vt:i4>5</vt:i4>
      </vt:variant>
      <vt:variant>
        <vt:lpwstr>http://www.nevo.co.il/law/70301</vt:lpwstr>
      </vt:variant>
      <vt:variant>
        <vt:lpwstr/>
      </vt:variant>
      <vt:variant>
        <vt:i4>4915287</vt:i4>
      </vt:variant>
      <vt:variant>
        <vt:i4>24</vt:i4>
      </vt:variant>
      <vt:variant>
        <vt:i4>0</vt:i4>
      </vt:variant>
      <vt:variant>
        <vt:i4>5</vt:i4>
      </vt:variant>
      <vt:variant>
        <vt:lpwstr>http://www.nevo.co.il/law/70301/406.b</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4915287</vt:i4>
      </vt:variant>
      <vt:variant>
        <vt:i4>15</vt:i4>
      </vt:variant>
      <vt:variant>
        <vt:i4>0</vt:i4>
      </vt:variant>
      <vt:variant>
        <vt:i4>5</vt:i4>
      </vt:variant>
      <vt:variant>
        <vt:lpwstr>http://www.nevo.co.il/law/70301/406.b</vt:lpwstr>
      </vt:variant>
      <vt:variant>
        <vt:lpwstr/>
      </vt:variant>
      <vt:variant>
        <vt:i4>4915283</vt:i4>
      </vt:variant>
      <vt:variant>
        <vt:i4>12</vt:i4>
      </vt:variant>
      <vt:variant>
        <vt:i4>0</vt:i4>
      </vt:variant>
      <vt:variant>
        <vt:i4>5</vt:i4>
      </vt:variant>
      <vt:variant>
        <vt:lpwstr>http://www.nevo.co.il/law/70301/402.a</vt:lpwstr>
      </vt:variant>
      <vt:variant>
        <vt:lpwstr/>
      </vt:variant>
      <vt:variant>
        <vt:i4>7143476</vt:i4>
      </vt:variant>
      <vt:variant>
        <vt:i4>9</vt:i4>
      </vt:variant>
      <vt:variant>
        <vt:i4>0</vt:i4>
      </vt:variant>
      <vt:variant>
        <vt:i4>5</vt:i4>
      </vt:variant>
      <vt:variant>
        <vt:lpwstr>http://www.nevo.co.il/law/70301/383.a.1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4915208</vt:i4>
      </vt:variant>
      <vt:variant>
        <vt:i4>3</vt:i4>
      </vt:variant>
      <vt:variant>
        <vt:i4>0</vt:i4>
      </vt:variant>
      <vt:variant>
        <vt:i4>5</vt:i4>
      </vt:variant>
      <vt:variant>
        <vt:lpwstr>http://www.nevo.co.il/law/70301/40i.a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2025-01-19T16:07:00Z</dcterms:created>
  <dcterms:modified xsi:type="dcterms:W3CDTF">2025-01-19T16:07:00Z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57218</vt:lpwstr>
  </property>
  <property fmtid="{D5CDD505-2E9C-101B-9397-08002B2CF9AE}" pid="6" name="NEWPARTB">
    <vt:lpwstr>12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LAWYER">
    <vt:lpwstr>ענת שטיינשניד; ליאוניד פרחובניק; יגאל טרובמן </vt:lpwstr>
  </property>
  <property fmtid="{D5CDD505-2E9C-101B-9397-08002B2CF9AE}" pid="10" name="JUDGE">
    <vt:lpwstr>אמיר טובי;</vt:lpwstr>
  </property>
  <property fmtid="{D5CDD505-2E9C-101B-9397-08002B2CF9AE}" pid="11" name="CITY">
    <vt:lpwstr>חי'</vt:lpwstr>
  </property>
  <property fmtid="{D5CDD505-2E9C-101B-9397-08002B2CF9AE}" pid="12" name="DATE">
    <vt:lpwstr>20160616</vt:lpwstr>
  </property>
  <property fmtid="{D5CDD505-2E9C-101B-9397-08002B2CF9AE}" pid="13" name="TYPE_N_DATE">
    <vt:lpwstr>39020160616</vt:lpwstr>
  </property>
  <property fmtid="{D5CDD505-2E9C-101B-9397-08002B2CF9AE}" pid="14" name="WORDNUMPAGES">
    <vt:lpwstr>11</vt:lpwstr>
  </property>
  <property fmtid="{D5CDD505-2E9C-101B-9397-08002B2CF9AE}" pid="15" name="TYPE_ABS_DATE">
    <vt:lpwstr>390020160616</vt:lpwstr>
  </property>
  <property fmtid="{D5CDD505-2E9C-101B-9397-08002B2CF9AE}" pid="16" name="APPELLEE">
    <vt:lpwstr>אלברט ויסמן</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10553858:3;20446644;20942102;20821662;16987351;5610818;5581070;5719707;16904226;20781936;5610258;7765894;5887572;5701236;17948201;5590454;5748124;5701345</vt:lpwstr>
  </property>
  <property fmtid="{D5CDD505-2E9C-101B-9397-08002B2CF9AE}" pid="36" name="LAWLISTTMP1">
    <vt:lpwstr>70301/406.b:2;383.a.1;144.b;402.a;40jc;040i.a;40ja</vt:lpwstr>
  </property>
</Properties>
</file>