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44303A" w:rsidRPr="00E7520B" w14:paraId="2B926530" w14:textId="77777777">
        <w:trPr>
          <w:trHeight w:hRule="exact" w:val="418"/>
          <w:jc w:val="center"/>
        </w:trPr>
        <w:tc>
          <w:tcPr>
            <w:tcW w:w="8721" w:type="dxa"/>
            <w:gridSpan w:val="2"/>
          </w:tcPr>
          <w:p w14:paraId="4304D5FF" w14:textId="77777777" w:rsidR="0044303A" w:rsidRPr="00E7520B" w:rsidRDefault="0044303A" w:rsidP="00E7520B">
            <w:pPr>
              <w:pStyle w:val="a3"/>
              <w:jc w:val="center"/>
              <w:rPr>
                <w:rFonts w:ascii="Tahoma" w:hAnsi="Tahoma" w:cs="Tahoma"/>
                <w:color w:val="000080"/>
                <w:rtl/>
              </w:rPr>
            </w:pPr>
            <w:bookmarkStart w:id="0" w:name="LastJudge"/>
            <w:r w:rsidRPr="00E7520B">
              <w:rPr>
                <w:rFonts w:ascii="Tahoma" w:hAnsi="Tahoma" w:cs="Tahoma"/>
                <w:b/>
                <w:bCs/>
                <w:color w:val="000080"/>
                <w:rtl/>
              </w:rPr>
              <w:t>בית המשפט המחוזי בתל אביב - יפו</w:t>
            </w:r>
          </w:p>
        </w:tc>
      </w:tr>
      <w:tr w:rsidR="0044303A" w:rsidRPr="00E7520B" w14:paraId="3B5B61BB" w14:textId="77777777">
        <w:trPr>
          <w:trHeight w:val="337"/>
          <w:jc w:val="center"/>
        </w:trPr>
        <w:tc>
          <w:tcPr>
            <w:tcW w:w="5047" w:type="dxa"/>
          </w:tcPr>
          <w:p w14:paraId="2A40BC34" w14:textId="77777777" w:rsidR="0044303A" w:rsidRPr="00E7520B" w:rsidRDefault="0044303A" w:rsidP="00E7520B">
            <w:pPr>
              <w:pStyle w:val="a3"/>
              <w:rPr>
                <w:rFonts w:cs="FrankRuehl"/>
                <w:sz w:val="28"/>
                <w:szCs w:val="28"/>
                <w:rtl/>
              </w:rPr>
            </w:pPr>
          </w:p>
        </w:tc>
        <w:tc>
          <w:tcPr>
            <w:tcW w:w="3674" w:type="dxa"/>
          </w:tcPr>
          <w:p w14:paraId="1080E199" w14:textId="77777777" w:rsidR="0044303A" w:rsidRPr="00E7520B" w:rsidRDefault="0044303A" w:rsidP="00E7520B">
            <w:pPr>
              <w:pStyle w:val="a3"/>
              <w:jc w:val="right"/>
              <w:rPr>
                <w:b/>
                <w:bCs/>
                <w:rtl/>
              </w:rPr>
            </w:pPr>
            <w:r w:rsidRPr="00E7520B">
              <w:rPr>
                <w:rFonts w:hint="cs"/>
                <w:b/>
                <w:bCs/>
                <w:rtl/>
              </w:rPr>
              <w:t>19 יוני 2016</w:t>
            </w:r>
          </w:p>
        </w:tc>
      </w:tr>
      <w:tr w:rsidR="0044303A" w:rsidRPr="00E7520B" w14:paraId="3C6A23D4" w14:textId="77777777">
        <w:trPr>
          <w:trHeight w:val="337"/>
          <w:jc w:val="center"/>
        </w:trPr>
        <w:tc>
          <w:tcPr>
            <w:tcW w:w="8721" w:type="dxa"/>
            <w:gridSpan w:val="2"/>
          </w:tcPr>
          <w:p w14:paraId="3BC110C9" w14:textId="77777777" w:rsidR="0044303A" w:rsidRPr="00E7520B" w:rsidRDefault="0044303A" w:rsidP="00E7520B">
            <w:pPr>
              <w:rPr>
                <w:b/>
                <w:bCs/>
                <w:rtl/>
              </w:rPr>
            </w:pPr>
            <w:r w:rsidRPr="00E7520B">
              <w:rPr>
                <w:b/>
                <w:bCs/>
                <w:rtl/>
              </w:rPr>
              <w:t>ת"פ</w:t>
            </w:r>
            <w:r w:rsidRPr="00E7520B">
              <w:rPr>
                <w:rFonts w:hint="cs"/>
                <w:b/>
                <w:bCs/>
                <w:rtl/>
              </w:rPr>
              <w:t xml:space="preserve"> </w:t>
            </w:r>
            <w:r w:rsidRPr="00E7520B">
              <w:rPr>
                <w:b/>
                <w:bCs/>
                <w:rtl/>
              </w:rPr>
              <w:t>9785-12-15</w:t>
            </w:r>
            <w:r w:rsidRPr="00E7520B">
              <w:rPr>
                <w:rFonts w:hint="cs"/>
                <w:b/>
                <w:bCs/>
                <w:rtl/>
              </w:rPr>
              <w:t xml:space="preserve"> </w:t>
            </w:r>
            <w:r w:rsidRPr="00E7520B">
              <w:rPr>
                <w:b/>
                <w:bCs/>
                <w:rtl/>
              </w:rPr>
              <w:t>מדינת ישראל נ' אבו גאבר ואח'</w:t>
            </w:r>
          </w:p>
          <w:p w14:paraId="78ADBE4A" w14:textId="77777777" w:rsidR="0044303A" w:rsidRPr="00E7520B" w:rsidRDefault="0044303A" w:rsidP="00E7520B">
            <w:pPr>
              <w:pStyle w:val="a3"/>
              <w:tabs>
                <w:tab w:val="clear" w:pos="4153"/>
                <w:tab w:val="clear" w:pos="8306"/>
                <w:tab w:val="left" w:pos="2445"/>
              </w:tabs>
              <w:rPr>
                <w:b/>
                <w:bCs/>
                <w:rtl/>
              </w:rPr>
            </w:pPr>
            <w:r w:rsidRPr="00E7520B">
              <w:rPr>
                <w:b/>
                <w:bCs/>
                <w:rtl/>
              </w:rPr>
              <w:tab/>
            </w:r>
          </w:p>
        </w:tc>
      </w:tr>
    </w:tbl>
    <w:p w14:paraId="4EED5B19" w14:textId="77777777" w:rsidR="0044303A" w:rsidRPr="00E7520B" w:rsidRDefault="0044303A" w:rsidP="0044303A">
      <w:pPr>
        <w:pStyle w:val="a3"/>
      </w:pPr>
      <w:r w:rsidRPr="00E7520B">
        <w:rPr>
          <w:rFonts w:hint="cs"/>
          <w:rtl/>
        </w:rPr>
        <w:t xml:space="preserve"> </w:t>
      </w:r>
    </w:p>
    <w:p w14:paraId="02CCBB2F" w14:textId="77777777" w:rsidR="0044303A" w:rsidRPr="00E7520B" w:rsidRDefault="0044303A" w:rsidP="004430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8237"/>
      </w:tblGrid>
      <w:tr w:rsidR="0044303A" w:rsidRPr="00E7520B" w14:paraId="7F63DA7D" w14:textId="77777777">
        <w:trPr>
          <w:trHeight w:val="295"/>
          <w:jc w:val="center"/>
        </w:trPr>
        <w:tc>
          <w:tcPr>
            <w:tcW w:w="583" w:type="dxa"/>
            <w:tcBorders>
              <w:top w:val="nil"/>
              <w:left w:val="nil"/>
              <w:bottom w:val="nil"/>
              <w:right w:val="nil"/>
            </w:tcBorders>
            <w:shd w:val="clear" w:color="auto" w:fill="auto"/>
          </w:tcPr>
          <w:p w14:paraId="0335992C" w14:textId="77777777" w:rsidR="0044303A" w:rsidRPr="00E7520B" w:rsidRDefault="0044303A" w:rsidP="00E7520B">
            <w:pPr>
              <w:ind w:right="-395"/>
              <w:jc w:val="both"/>
              <w:rPr>
                <w:rFonts w:ascii="Arial" w:hAnsi="Arial"/>
                <w:b/>
                <w:bCs/>
                <w:sz w:val="26"/>
                <w:szCs w:val="26"/>
              </w:rPr>
            </w:pPr>
            <w:r w:rsidRPr="00E7520B">
              <w:rPr>
                <w:rFonts w:ascii="Arial" w:hAnsi="Arial" w:hint="cs"/>
                <w:b/>
                <w:bCs/>
                <w:sz w:val="26"/>
                <w:szCs w:val="26"/>
                <w:rtl/>
              </w:rPr>
              <w:t>ב</w:t>
            </w:r>
            <w:r w:rsidRPr="00E7520B">
              <w:rPr>
                <w:rFonts w:ascii="Arial" w:hAnsi="Arial"/>
                <w:b/>
                <w:bCs/>
                <w:sz w:val="26"/>
                <w:szCs w:val="26"/>
                <w:rtl/>
              </w:rPr>
              <w:t xml:space="preserve">פני </w:t>
            </w:r>
          </w:p>
        </w:tc>
        <w:tc>
          <w:tcPr>
            <w:tcW w:w="8237" w:type="dxa"/>
            <w:tcBorders>
              <w:top w:val="nil"/>
              <w:left w:val="nil"/>
              <w:bottom w:val="nil"/>
              <w:right w:val="nil"/>
            </w:tcBorders>
            <w:shd w:val="clear" w:color="auto" w:fill="auto"/>
          </w:tcPr>
          <w:p w14:paraId="3A41EF13" w14:textId="77777777" w:rsidR="0044303A" w:rsidRPr="00E7520B" w:rsidRDefault="0044303A" w:rsidP="00E7520B">
            <w:pPr>
              <w:tabs>
                <w:tab w:val="left" w:pos="1625"/>
              </w:tabs>
              <w:rPr>
                <w:rFonts w:ascii="Arial" w:hAnsi="Arial"/>
                <w:b/>
                <w:bCs/>
                <w:sz w:val="26"/>
                <w:szCs w:val="26"/>
                <w:highlight w:val="yellow"/>
                <w:rtl/>
              </w:rPr>
            </w:pPr>
            <w:r w:rsidRPr="00E7520B">
              <w:rPr>
                <w:rFonts w:ascii="Arial" w:hAnsi="Arial" w:hint="cs"/>
                <w:b/>
                <w:bCs/>
                <w:sz w:val="26"/>
                <w:szCs w:val="26"/>
                <w:rtl/>
              </w:rPr>
              <w:t xml:space="preserve">כב' השופט </w:t>
            </w:r>
            <w:r w:rsidRPr="00E7520B">
              <w:rPr>
                <w:rFonts w:hint="cs"/>
                <w:b/>
                <w:bCs/>
                <w:sz w:val="26"/>
                <w:szCs w:val="26"/>
                <w:rtl/>
              </w:rPr>
              <w:t>בני שגיא</w:t>
            </w:r>
          </w:p>
          <w:p w14:paraId="0E7D7E52" w14:textId="77777777" w:rsidR="0044303A" w:rsidRPr="00E7520B" w:rsidRDefault="0044303A" w:rsidP="00E7520B">
            <w:pPr>
              <w:tabs>
                <w:tab w:val="left" w:pos="1625"/>
              </w:tabs>
              <w:rPr>
                <w:rFonts w:ascii="Arial" w:hAnsi="Arial"/>
                <w:b/>
                <w:bCs/>
                <w:sz w:val="26"/>
                <w:szCs w:val="26"/>
                <w:highlight w:val="yellow"/>
              </w:rPr>
            </w:pPr>
          </w:p>
        </w:tc>
      </w:tr>
    </w:tbl>
    <w:p w14:paraId="34C1F149" w14:textId="77777777" w:rsidR="0044303A" w:rsidRPr="00E7520B" w:rsidRDefault="0044303A" w:rsidP="0044303A">
      <w:pPr>
        <w:rPr>
          <w:rtl/>
        </w:rPr>
      </w:pPr>
    </w:p>
    <w:p w14:paraId="0F524B60" w14:textId="77777777" w:rsidR="0044303A" w:rsidRPr="00E7520B" w:rsidRDefault="0044303A" w:rsidP="004430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4693"/>
        <w:gridCol w:w="2694"/>
      </w:tblGrid>
      <w:tr w:rsidR="0044303A" w:rsidRPr="00E7520B" w14:paraId="015C9426" w14:textId="77777777">
        <w:trPr>
          <w:trHeight w:val="355"/>
          <w:jc w:val="center"/>
        </w:trPr>
        <w:tc>
          <w:tcPr>
            <w:tcW w:w="1433" w:type="dxa"/>
            <w:tcBorders>
              <w:top w:val="nil"/>
              <w:left w:val="nil"/>
              <w:bottom w:val="nil"/>
              <w:right w:val="nil"/>
            </w:tcBorders>
            <w:shd w:val="clear" w:color="auto" w:fill="auto"/>
          </w:tcPr>
          <w:p w14:paraId="63224AC9" w14:textId="77777777" w:rsidR="0044303A" w:rsidRPr="00E7520B" w:rsidRDefault="0044303A" w:rsidP="00E7520B">
            <w:pPr>
              <w:jc w:val="both"/>
              <w:rPr>
                <w:rFonts w:ascii="Arial" w:hAnsi="Arial"/>
                <w:b/>
                <w:bCs/>
              </w:rPr>
            </w:pPr>
            <w:bookmarkStart w:id="1" w:name="FirstAppellant"/>
            <w:r w:rsidRPr="00E7520B">
              <w:rPr>
                <w:rFonts w:ascii="Arial" w:hAnsi="Arial" w:hint="cs"/>
                <w:b/>
                <w:bCs/>
                <w:rtl/>
              </w:rPr>
              <w:t>ה</w:t>
            </w:r>
            <w:r w:rsidRPr="00E7520B">
              <w:rPr>
                <w:rFonts w:hint="cs"/>
                <w:rtl/>
              </w:rPr>
              <w:t>מאשימה</w:t>
            </w:r>
            <w:r w:rsidRPr="00E7520B">
              <w:rPr>
                <w:rFonts w:ascii="Arial" w:hAnsi="Arial" w:hint="cs"/>
                <w:b/>
                <w:bCs/>
                <w:rtl/>
              </w:rPr>
              <w:t>:</w:t>
            </w:r>
          </w:p>
        </w:tc>
        <w:tc>
          <w:tcPr>
            <w:tcW w:w="4693" w:type="dxa"/>
            <w:tcBorders>
              <w:top w:val="nil"/>
              <w:left w:val="nil"/>
              <w:bottom w:val="nil"/>
              <w:right w:val="nil"/>
            </w:tcBorders>
            <w:shd w:val="clear" w:color="auto" w:fill="auto"/>
          </w:tcPr>
          <w:p w14:paraId="359BE19A" w14:textId="77777777" w:rsidR="0044303A" w:rsidRPr="00E7520B" w:rsidRDefault="0044303A" w:rsidP="00E7520B">
            <w:pPr>
              <w:spacing w:line="360" w:lineRule="auto"/>
              <w:jc w:val="both"/>
              <w:rPr>
                <w:rtl/>
              </w:rPr>
            </w:pPr>
            <w:r w:rsidRPr="00E7520B">
              <w:rPr>
                <w:rFonts w:ascii="Arial" w:hAnsi="Arial" w:hint="cs"/>
                <w:b/>
                <w:bCs/>
                <w:rtl/>
              </w:rPr>
              <w:t>מדינת ישראל - פרקליטות מחוז תל אביב</w:t>
            </w:r>
          </w:p>
          <w:p w14:paraId="382AAFF5" w14:textId="77777777" w:rsidR="0044303A" w:rsidRPr="00E7520B" w:rsidRDefault="0044303A" w:rsidP="00E7520B">
            <w:pPr>
              <w:ind w:firstLine="49"/>
              <w:jc w:val="both"/>
              <w:rPr>
                <w:rFonts w:ascii="Arial" w:hAnsi="Arial"/>
                <w:b/>
                <w:bCs/>
              </w:rPr>
            </w:pPr>
          </w:p>
        </w:tc>
        <w:tc>
          <w:tcPr>
            <w:tcW w:w="2694" w:type="dxa"/>
            <w:tcBorders>
              <w:top w:val="nil"/>
              <w:left w:val="nil"/>
              <w:bottom w:val="nil"/>
              <w:right w:val="nil"/>
            </w:tcBorders>
            <w:shd w:val="clear" w:color="auto" w:fill="auto"/>
          </w:tcPr>
          <w:p w14:paraId="58AD09C4" w14:textId="77777777" w:rsidR="0044303A" w:rsidRPr="00E7520B" w:rsidRDefault="0044303A" w:rsidP="00E7520B">
            <w:pPr>
              <w:jc w:val="both"/>
              <w:rPr>
                <w:rFonts w:ascii="Arial" w:hAnsi="Arial"/>
                <w:b/>
                <w:bCs/>
                <w:sz w:val="26"/>
                <w:szCs w:val="26"/>
              </w:rPr>
            </w:pPr>
          </w:p>
        </w:tc>
      </w:tr>
      <w:tr w:rsidR="0044303A" w:rsidRPr="00E7520B" w14:paraId="5375C118" w14:textId="77777777">
        <w:trPr>
          <w:trHeight w:val="355"/>
          <w:jc w:val="center"/>
        </w:trPr>
        <w:tc>
          <w:tcPr>
            <w:tcW w:w="1433" w:type="dxa"/>
            <w:tcBorders>
              <w:top w:val="nil"/>
              <w:left w:val="nil"/>
              <w:bottom w:val="nil"/>
              <w:right w:val="nil"/>
            </w:tcBorders>
            <w:shd w:val="clear" w:color="auto" w:fill="auto"/>
          </w:tcPr>
          <w:p w14:paraId="57AC3784" w14:textId="77777777" w:rsidR="0044303A" w:rsidRPr="00E7520B" w:rsidRDefault="0044303A" w:rsidP="00E7520B">
            <w:pPr>
              <w:jc w:val="both"/>
              <w:rPr>
                <w:rFonts w:ascii="Arial" w:hAnsi="Arial" w:cs="FrankRuehl"/>
                <w:b/>
                <w:bCs/>
                <w:sz w:val="28"/>
                <w:szCs w:val="28"/>
                <w:rtl/>
              </w:rPr>
            </w:pPr>
            <w:bookmarkStart w:id="2" w:name="FirstLawyer"/>
            <w:bookmarkEnd w:id="1"/>
          </w:p>
        </w:tc>
        <w:tc>
          <w:tcPr>
            <w:tcW w:w="7387" w:type="dxa"/>
            <w:gridSpan w:val="2"/>
            <w:tcBorders>
              <w:top w:val="nil"/>
              <w:left w:val="nil"/>
              <w:bottom w:val="nil"/>
              <w:right w:val="nil"/>
            </w:tcBorders>
            <w:shd w:val="clear" w:color="auto" w:fill="auto"/>
            <w:vAlign w:val="center"/>
          </w:tcPr>
          <w:p w14:paraId="04DAA843" w14:textId="77777777" w:rsidR="0044303A" w:rsidRPr="00E7520B" w:rsidRDefault="0044303A" w:rsidP="00E7520B">
            <w:pPr>
              <w:rPr>
                <w:rFonts w:ascii="Arial" w:hAnsi="Arial"/>
                <w:b/>
                <w:bCs/>
                <w:sz w:val="26"/>
                <w:szCs w:val="26"/>
                <w:rtl/>
              </w:rPr>
            </w:pPr>
            <w:r w:rsidRPr="00E7520B">
              <w:rPr>
                <w:rFonts w:hint="cs"/>
                <w:rtl/>
              </w:rPr>
              <w:t>ע"י ב"כ עו"ד שרונה בן ששון</w:t>
            </w:r>
          </w:p>
        </w:tc>
      </w:tr>
      <w:bookmarkEnd w:id="2"/>
      <w:tr w:rsidR="0044303A" w:rsidRPr="00E7520B" w14:paraId="528D1C63" w14:textId="77777777">
        <w:trPr>
          <w:trHeight w:val="355"/>
          <w:jc w:val="center"/>
        </w:trPr>
        <w:tc>
          <w:tcPr>
            <w:tcW w:w="1433" w:type="dxa"/>
            <w:tcBorders>
              <w:top w:val="nil"/>
              <w:left w:val="nil"/>
              <w:bottom w:val="nil"/>
              <w:right w:val="nil"/>
            </w:tcBorders>
            <w:shd w:val="clear" w:color="auto" w:fill="auto"/>
          </w:tcPr>
          <w:p w14:paraId="677D9CBE" w14:textId="77777777" w:rsidR="0044303A" w:rsidRPr="00E7520B" w:rsidRDefault="0044303A" w:rsidP="00E7520B">
            <w:pPr>
              <w:jc w:val="both"/>
              <w:rPr>
                <w:rFonts w:ascii="Arial" w:hAnsi="Arial" w:cs="FrankRuehl"/>
                <w:b/>
                <w:bCs/>
                <w:sz w:val="28"/>
                <w:szCs w:val="28"/>
                <w:rtl/>
              </w:rPr>
            </w:pPr>
          </w:p>
        </w:tc>
        <w:tc>
          <w:tcPr>
            <w:tcW w:w="7387" w:type="dxa"/>
            <w:gridSpan w:val="2"/>
            <w:tcBorders>
              <w:top w:val="nil"/>
              <w:left w:val="nil"/>
              <w:bottom w:val="nil"/>
              <w:right w:val="nil"/>
            </w:tcBorders>
            <w:shd w:val="clear" w:color="auto" w:fill="auto"/>
          </w:tcPr>
          <w:p w14:paraId="58F31BDC" w14:textId="77777777" w:rsidR="0044303A" w:rsidRPr="00E7520B" w:rsidRDefault="0044303A" w:rsidP="00E7520B">
            <w:pPr>
              <w:jc w:val="center"/>
              <w:rPr>
                <w:rFonts w:ascii="Arial" w:hAnsi="Arial"/>
                <w:b/>
                <w:bCs/>
                <w:sz w:val="26"/>
                <w:szCs w:val="26"/>
                <w:rtl/>
              </w:rPr>
            </w:pPr>
          </w:p>
          <w:p w14:paraId="0180A3E9" w14:textId="77777777" w:rsidR="0044303A" w:rsidRPr="00E7520B" w:rsidRDefault="0044303A" w:rsidP="00E7520B">
            <w:pPr>
              <w:rPr>
                <w:rFonts w:ascii="Arial" w:hAnsi="Arial"/>
                <w:b/>
                <w:bCs/>
                <w:sz w:val="26"/>
                <w:szCs w:val="26"/>
                <w:rtl/>
              </w:rPr>
            </w:pPr>
            <w:r w:rsidRPr="00E7520B">
              <w:rPr>
                <w:rFonts w:ascii="Arial" w:hAnsi="Arial" w:hint="cs"/>
                <w:b/>
                <w:bCs/>
                <w:sz w:val="26"/>
                <w:szCs w:val="26"/>
                <w:rtl/>
              </w:rPr>
              <w:t xml:space="preserve">                               </w:t>
            </w:r>
            <w:r w:rsidRPr="00E7520B">
              <w:rPr>
                <w:rFonts w:ascii="Arial" w:hAnsi="Arial"/>
                <w:b/>
                <w:bCs/>
                <w:sz w:val="26"/>
                <w:szCs w:val="26"/>
                <w:rtl/>
              </w:rPr>
              <w:t>נגד</w:t>
            </w:r>
          </w:p>
          <w:p w14:paraId="3F1CE515" w14:textId="77777777" w:rsidR="0044303A" w:rsidRPr="00E7520B" w:rsidRDefault="0044303A" w:rsidP="00E7520B">
            <w:pPr>
              <w:rPr>
                <w:rFonts w:ascii="Arial" w:hAnsi="Arial"/>
                <w:b/>
                <w:bCs/>
                <w:sz w:val="26"/>
                <w:szCs w:val="26"/>
              </w:rPr>
            </w:pPr>
          </w:p>
        </w:tc>
      </w:tr>
      <w:tr w:rsidR="0044303A" w:rsidRPr="00E7520B" w14:paraId="23C44FB2" w14:textId="77777777">
        <w:trPr>
          <w:trHeight w:val="355"/>
          <w:jc w:val="center"/>
        </w:trPr>
        <w:tc>
          <w:tcPr>
            <w:tcW w:w="1433" w:type="dxa"/>
            <w:tcBorders>
              <w:top w:val="nil"/>
              <w:left w:val="nil"/>
              <w:bottom w:val="nil"/>
              <w:right w:val="nil"/>
            </w:tcBorders>
            <w:shd w:val="clear" w:color="auto" w:fill="auto"/>
          </w:tcPr>
          <w:p w14:paraId="0A86EB64" w14:textId="77777777" w:rsidR="0044303A" w:rsidRPr="00E7520B" w:rsidRDefault="0044303A" w:rsidP="00E7520B">
            <w:pPr>
              <w:jc w:val="both"/>
              <w:rPr>
                <w:rFonts w:ascii="Arial" w:hAnsi="Arial"/>
                <w:b/>
                <w:bCs/>
                <w:rtl/>
              </w:rPr>
            </w:pPr>
            <w:r w:rsidRPr="00E7520B">
              <w:rPr>
                <w:rFonts w:ascii="Arial" w:hAnsi="Arial" w:hint="cs"/>
                <w:b/>
                <w:bCs/>
                <w:rtl/>
              </w:rPr>
              <w:t>ה</w:t>
            </w:r>
            <w:r w:rsidRPr="00E7520B">
              <w:rPr>
                <w:rFonts w:hint="cs"/>
                <w:rtl/>
              </w:rPr>
              <w:t>נאשמים</w:t>
            </w:r>
            <w:r w:rsidRPr="00E7520B">
              <w:rPr>
                <w:rFonts w:ascii="Arial" w:hAnsi="Arial" w:hint="cs"/>
                <w:b/>
                <w:bCs/>
                <w:rtl/>
              </w:rPr>
              <w:t>:</w:t>
            </w:r>
          </w:p>
        </w:tc>
        <w:tc>
          <w:tcPr>
            <w:tcW w:w="4693" w:type="dxa"/>
            <w:tcBorders>
              <w:top w:val="nil"/>
              <w:left w:val="nil"/>
              <w:bottom w:val="nil"/>
              <w:right w:val="nil"/>
            </w:tcBorders>
            <w:shd w:val="clear" w:color="auto" w:fill="auto"/>
          </w:tcPr>
          <w:p w14:paraId="7501249B" w14:textId="77777777" w:rsidR="0044303A" w:rsidRPr="00E7520B" w:rsidRDefault="0044303A" w:rsidP="00E7520B">
            <w:pPr>
              <w:jc w:val="both"/>
              <w:rPr>
                <w:rtl/>
              </w:rPr>
            </w:pPr>
            <w:r w:rsidRPr="00E7520B">
              <w:rPr>
                <w:rFonts w:hint="cs"/>
                <w:rtl/>
              </w:rPr>
              <w:t>1</w:t>
            </w:r>
            <w:r w:rsidRPr="00E7520B">
              <w:rPr>
                <w:rFonts w:ascii="Arial" w:hAnsi="Arial" w:hint="cs"/>
                <w:b/>
                <w:bCs/>
                <w:rtl/>
              </w:rPr>
              <w:t>.</w:t>
            </w:r>
            <w:r w:rsidRPr="00E7520B">
              <w:rPr>
                <w:rFonts w:hint="cs"/>
                <w:rtl/>
              </w:rPr>
              <w:t>איברהים אבו גאבר</w:t>
            </w:r>
          </w:p>
          <w:p w14:paraId="47E640E0" w14:textId="77777777" w:rsidR="0044303A" w:rsidRPr="00E7520B" w:rsidRDefault="0044303A" w:rsidP="00E7520B">
            <w:pPr>
              <w:jc w:val="both"/>
              <w:rPr>
                <w:b/>
                <w:bCs/>
                <w:rtl/>
              </w:rPr>
            </w:pPr>
          </w:p>
          <w:p w14:paraId="6753A0DF" w14:textId="77777777" w:rsidR="0044303A" w:rsidRPr="00E7520B" w:rsidRDefault="0044303A" w:rsidP="00E7520B">
            <w:pPr>
              <w:jc w:val="both"/>
              <w:rPr>
                <w:rtl/>
              </w:rPr>
            </w:pPr>
            <w:r w:rsidRPr="00E7520B">
              <w:rPr>
                <w:rFonts w:hint="cs"/>
                <w:rtl/>
              </w:rPr>
              <w:t>2</w:t>
            </w:r>
            <w:r w:rsidRPr="00E7520B">
              <w:rPr>
                <w:rFonts w:ascii="Arial" w:hAnsi="Arial" w:hint="cs"/>
                <w:b/>
                <w:bCs/>
                <w:rtl/>
              </w:rPr>
              <w:t>.</w:t>
            </w:r>
            <w:r w:rsidRPr="00E7520B">
              <w:rPr>
                <w:rFonts w:hint="cs"/>
                <w:rtl/>
              </w:rPr>
              <w:t>מחמוד אבו ג'אבר</w:t>
            </w:r>
          </w:p>
          <w:p w14:paraId="0E4F8081" w14:textId="77777777" w:rsidR="0044303A" w:rsidRPr="00E7520B" w:rsidRDefault="0044303A" w:rsidP="00E7520B">
            <w:pPr>
              <w:jc w:val="both"/>
              <w:rPr>
                <w:b/>
                <w:bCs/>
                <w:rtl/>
              </w:rPr>
            </w:pPr>
          </w:p>
        </w:tc>
        <w:tc>
          <w:tcPr>
            <w:tcW w:w="2694" w:type="dxa"/>
            <w:tcBorders>
              <w:top w:val="nil"/>
              <w:left w:val="nil"/>
              <w:bottom w:val="nil"/>
              <w:right w:val="nil"/>
            </w:tcBorders>
            <w:shd w:val="clear" w:color="auto" w:fill="auto"/>
          </w:tcPr>
          <w:p w14:paraId="1B018126" w14:textId="77777777" w:rsidR="0044303A" w:rsidRPr="00E7520B" w:rsidRDefault="0044303A" w:rsidP="00E7520B">
            <w:pPr>
              <w:jc w:val="right"/>
              <w:rPr>
                <w:rFonts w:ascii="Arial" w:hAnsi="Arial"/>
                <w:b/>
                <w:bCs/>
                <w:sz w:val="26"/>
                <w:szCs w:val="26"/>
              </w:rPr>
            </w:pPr>
          </w:p>
        </w:tc>
      </w:tr>
      <w:tr w:rsidR="0044303A" w:rsidRPr="00E7520B" w14:paraId="2C7EDB4E" w14:textId="77777777">
        <w:trPr>
          <w:trHeight w:val="355"/>
          <w:jc w:val="center"/>
        </w:trPr>
        <w:tc>
          <w:tcPr>
            <w:tcW w:w="1433" w:type="dxa"/>
            <w:tcBorders>
              <w:top w:val="nil"/>
              <w:left w:val="nil"/>
              <w:bottom w:val="nil"/>
              <w:right w:val="nil"/>
            </w:tcBorders>
            <w:shd w:val="clear" w:color="auto" w:fill="auto"/>
          </w:tcPr>
          <w:p w14:paraId="3D321EAE" w14:textId="77777777" w:rsidR="0044303A" w:rsidRPr="00E7520B" w:rsidRDefault="0044303A" w:rsidP="00E7520B">
            <w:pPr>
              <w:jc w:val="both"/>
              <w:rPr>
                <w:rFonts w:ascii="Arial" w:hAnsi="Arial" w:cs="FrankRuehl"/>
                <w:b/>
                <w:bCs/>
                <w:sz w:val="28"/>
                <w:szCs w:val="28"/>
                <w:rtl/>
              </w:rPr>
            </w:pPr>
          </w:p>
        </w:tc>
        <w:tc>
          <w:tcPr>
            <w:tcW w:w="7387" w:type="dxa"/>
            <w:gridSpan w:val="2"/>
            <w:tcBorders>
              <w:top w:val="nil"/>
              <w:left w:val="nil"/>
              <w:bottom w:val="nil"/>
              <w:right w:val="nil"/>
            </w:tcBorders>
            <w:shd w:val="clear" w:color="auto" w:fill="auto"/>
            <w:vAlign w:val="center"/>
          </w:tcPr>
          <w:p w14:paraId="46CFC9D5" w14:textId="77777777" w:rsidR="0044303A" w:rsidRPr="00E7520B" w:rsidRDefault="0044303A" w:rsidP="00E7520B">
            <w:pPr>
              <w:rPr>
                <w:rFonts w:ascii="Arial" w:hAnsi="Arial"/>
                <w:b/>
                <w:bCs/>
                <w:sz w:val="26"/>
                <w:szCs w:val="26"/>
              </w:rPr>
            </w:pPr>
            <w:r w:rsidRPr="00E7520B">
              <w:rPr>
                <w:rFonts w:hint="cs"/>
                <w:rtl/>
              </w:rPr>
              <w:t>ע"י ב"כ עו"ד יוסי זילברברג</w:t>
            </w:r>
          </w:p>
        </w:tc>
      </w:tr>
    </w:tbl>
    <w:p w14:paraId="19AFFA88" w14:textId="77777777" w:rsidR="008A4D17" w:rsidRPr="008A4D17" w:rsidRDefault="008A4D17" w:rsidP="008A4D17">
      <w:pPr>
        <w:spacing w:after="120" w:line="240" w:lineRule="exact"/>
        <w:ind w:left="283" w:hanging="283"/>
        <w:jc w:val="both"/>
        <w:rPr>
          <w:rFonts w:ascii="FrankRuehl" w:hAnsi="FrankRuehl" w:cs="FrankRuehl"/>
          <w:rtl/>
        </w:rPr>
      </w:pPr>
      <w:bookmarkStart w:id="3" w:name="LawTable"/>
      <w:bookmarkEnd w:id="3"/>
    </w:p>
    <w:p w14:paraId="0F2AF9EB" w14:textId="77777777" w:rsidR="008A4D17" w:rsidRPr="008A4D17" w:rsidRDefault="008A4D17" w:rsidP="008A4D17">
      <w:pPr>
        <w:spacing w:after="120" w:line="240" w:lineRule="exact"/>
        <w:ind w:left="283" w:hanging="283"/>
        <w:jc w:val="both"/>
        <w:rPr>
          <w:rFonts w:ascii="FrankRuehl" w:hAnsi="FrankRuehl" w:cs="FrankRuehl"/>
          <w:rtl/>
        </w:rPr>
      </w:pPr>
      <w:r w:rsidRPr="008A4D17">
        <w:rPr>
          <w:rFonts w:ascii="FrankRuehl" w:hAnsi="FrankRuehl" w:cs="FrankRuehl" w:hint="eastAsia"/>
          <w:rtl/>
        </w:rPr>
        <w:t>חקיקה</w:t>
      </w:r>
      <w:r w:rsidRPr="008A4D17">
        <w:rPr>
          <w:rFonts w:ascii="FrankRuehl" w:hAnsi="FrankRuehl" w:cs="FrankRuehl"/>
          <w:rtl/>
        </w:rPr>
        <w:t xml:space="preserve"> </w:t>
      </w:r>
      <w:r w:rsidRPr="008A4D17">
        <w:rPr>
          <w:rFonts w:ascii="FrankRuehl" w:hAnsi="FrankRuehl" w:cs="FrankRuehl" w:hint="eastAsia"/>
          <w:rtl/>
        </w:rPr>
        <w:t>שאוזכרה</w:t>
      </w:r>
      <w:r w:rsidRPr="008A4D17">
        <w:rPr>
          <w:rFonts w:ascii="FrankRuehl" w:hAnsi="FrankRuehl" w:cs="FrankRuehl"/>
          <w:rtl/>
        </w:rPr>
        <w:t xml:space="preserve">: </w:t>
      </w:r>
    </w:p>
    <w:p w14:paraId="7EC25CEC" w14:textId="77777777" w:rsidR="008A4D17" w:rsidRPr="008A4D17" w:rsidRDefault="008A4D17" w:rsidP="008A4D17">
      <w:pPr>
        <w:spacing w:after="120" w:line="240" w:lineRule="exact"/>
        <w:ind w:left="283" w:hanging="283"/>
        <w:jc w:val="both"/>
        <w:rPr>
          <w:rFonts w:ascii="FrankRuehl" w:hAnsi="FrankRuehl" w:cs="FrankRuehl"/>
          <w:rtl/>
        </w:rPr>
      </w:pPr>
      <w:hyperlink r:id="rId6" w:history="1">
        <w:r w:rsidRPr="008A4D17">
          <w:rPr>
            <w:rFonts w:ascii="FrankRuehl" w:hAnsi="FrankRuehl" w:cs="FrankRuehl" w:hint="eastAsia"/>
            <w:color w:val="0000FF"/>
            <w:u w:val="single"/>
            <w:rtl/>
          </w:rPr>
          <w:t>חוק</w:t>
        </w:r>
        <w:r w:rsidRPr="008A4D17">
          <w:rPr>
            <w:rFonts w:ascii="FrankRuehl" w:hAnsi="FrankRuehl" w:cs="FrankRuehl"/>
            <w:color w:val="0000FF"/>
            <w:u w:val="single"/>
            <w:rtl/>
          </w:rPr>
          <w:t xml:space="preserve"> </w:t>
        </w:r>
        <w:r w:rsidRPr="008A4D17">
          <w:rPr>
            <w:rFonts w:ascii="FrankRuehl" w:hAnsi="FrankRuehl" w:cs="FrankRuehl" w:hint="eastAsia"/>
            <w:color w:val="0000FF"/>
            <w:u w:val="single"/>
            <w:rtl/>
          </w:rPr>
          <w:t>העונשין</w:t>
        </w:r>
        <w:r w:rsidRPr="008A4D17">
          <w:rPr>
            <w:rFonts w:ascii="FrankRuehl" w:hAnsi="FrankRuehl" w:cs="FrankRuehl"/>
            <w:color w:val="0000FF"/>
            <w:u w:val="single"/>
            <w:rtl/>
          </w:rPr>
          <w:t xml:space="preserve">, </w:t>
        </w:r>
        <w:r w:rsidRPr="008A4D17">
          <w:rPr>
            <w:rFonts w:ascii="FrankRuehl" w:hAnsi="FrankRuehl" w:cs="FrankRuehl" w:hint="eastAsia"/>
            <w:color w:val="0000FF"/>
            <w:u w:val="single"/>
            <w:rtl/>
          </w:rPr>
          <w:t>תשל</w:t>
        </w:r>
        <w:r w:rsidRPr="008A4D17">
          <w:rPr>
            <w:rFonts w:ascii="FrankRuehl" w:hAnsi="FrankRuehl" w:cs="FrankRuehl"/>
            <w:color w:val="0000FF"/>
            <w:u w:val="single"/>
            <w:rtl/>
          </w:rPr>
          <w:t>"</w:t>
        </w:r>
        <w:r w:rsidRPr="008A4D17">
          <w:rPr>
            <w:rFonts w:ascii="FrankRuehl" w:hAnsi="FrankRuehl" w:cs="FrankRuehl" w:hint="eastAsia"/>
            <w:color w:val="0000FF"/>
            <w:u w:val="single"/>
            <w:rtl/>
          </w:rPr>
          <w:t>ז</w:t>
        </w:r>
        <w:r w:rsidRPr="008A4D17">
          <w:rPr>
            <w:rFonts w:ascii="FrankRuehl" w:hAnsi="FrankRuehl" w:cs="FrankRuehl"/>
            <w:color w:val="0000FF"/>
            <w:u w:val="single"/>
            <w:rtl/>
          </w:rPr>
          <w:t>-1977</w:t>
        </w:r>
      </w:hyperlink>
      <w:r w:rsidRPr="008A4D17">
        <w:rPr>
          <w:rFonts w:ascii="FrankRuehl" w:hAnsi="FrankRuehl" w:cs="FrankRuehl"/>
          <w:rtl/>
        </w:rPr>
        <w:t xml:space="preserve">: </w:t>
      </w:r>
      <w:r w:rsidRPr="008A4D17">
        <w:rPr>
          <w:rFonts w:ascii="FrankRuehl" w:hAnsi="FrankRuehl" w:cs="FrankRuehl" w:hint="eastAsia"/>
          <w:rtl/>
        </w:rPr>
        <w:t>סע</w:t>
      </w:r>
      <w:r w:rsidRPr="008A4D17">
        <w:rPr>
          <w:rFonts w:ascii="FrankRuehl" w:hAnsi="FrankRuehl" w:cs="FrankRuehl"/>
          <w:rtl/>
        </w:rPr>
        <w:t xml:space="preserve">'  </w:t>
      </w:r>
      <w:hyperlink r:id="rId7" w:history="1">
        <w:r w:rsidRPr="008A4D17">
          <w:rPr>
            <w:rFonts w:ascii="FrankRuehl" w:hAnsi="FrankRuehl" w:cs="FrankRuehl"/>
            <w:color w:val="0000FF"/>
            <w:u w:val="single"/>
            <w:rtl/>
          </w:rPr>
          <w:t>31</w:t>
        </w:r>
      </w:hyperlink>
      <w:r w:rsidRPr="008A4D17">
        <w:rPr>
          <w:rFonts w:ascii="FrankRuehl" w:hAnsi="FrankRuehl" w:cs="FrankRuehl"/>
          <w:rtl/>
        </w:rPr>
        <w:t xml:space="preserve">, </w:t>
      </w:r>
      <w:hyperlink r:id="rId8" w:history="1">
        <w:r w:rsidRPr="008A4D17">
          <w:rPr>
            <w:rFonts w:ascii="FrankRuehl" w:hAnsi="FrankRuehl" w:cs="FrankRuehl"/>
            <w:color w:val="0000FF"/>
            <w:u w:val="single"/>
            <w:rtl/>
          </w:rPr>
          <w:t>144</w:t>
        </w:r>
      </w:hyperlink>
      <w:r w:rsidRPr="008A4D17">
        <w:rPr>
          <w:rFonts w:ascii="FrankRuehl" w:hAnsi="FrankRuehl" w:cs="FrankRuehl"/>
          <w:rtl/>
        </w:rPr>
        <w:t xml:space="preserve">, </w:t>
      </w:r>
      <w:hyperlink r:id="rId9" w:history="1">
        <w:r w:rsidRPr="008A4D17">
          <w:rPr>
            <w:rFonts w:ascii="FrankRuehl" w:hAnsi="FrankRuehl" w:cs="FrankRuehl"/>
            <w:color w:val="0000FF"/>
            <w:u w:val="single"/>
            <w:rtl/>
          </w:rPr>
          <w:t>144(</w:t>
        </w:r>
        <w:r w:rsidRPr="008A4D17">
          <w:rPr>
            <w:rFonts w:ascii="FrankRuehl" w:hAnsi="FrankRuehl" w:cs="FrankRuehl" w:hint="eastAsia"/>
            <w:color w:val="0000FF"/>
            <w:u w:val="single"/>
            <w:rtl/>
          </w:rPr>
          <w:t>א</w:t>
        </w:r>
        <w:r w:rsidRPr="008A4D17">
          <w:rPr>
            <w:rFonts w:ascii="FrankRuehl" w:hAnsi="FrankRuehl" w:cs="FrankRuehl"/>
            <w:color w:val="0000FF"/>
            <w:u w:val="single"/>
            <w:rtl/>
          </w:rPr>
          <w:t>)</w:t>
        </w:r>
      </w:hyperlink>
      <w:r w:rsidRPr="008A4D17">
        <w:rPr>
          <w:rFonts w:ascii="FrankRuehl" w:hAnsi="FrankRuehl" w:cs="FrankRuehl"/>
          <w:rtl/>
        </w:rPr>
        <w:t xml:space="preserve">, </w:t>
      </w:r>
      <w:hyperlink r:id="rId10" w:history="1">
        <w:r w:rsidRPr="008A4D17">
          <w:rPr>
            <w:rFonts w:ascii="FrankRuehl" w:hAnsi="FrankRuehl" w:cs="FrankRuehl"/>
            <w:color w:val="0000FF"/>
            <w:u w:val="single"/>
            <w:rtl/>
          </w:rPr>
          <w:t>144(</w:t>
        </w:r>
        <w:r w:rsidRPr="008A4D17">
          <w:rPr>
            <w:rFonts w:ascii="FrankRuehl" w:hAnsi="FrankRuehl" w:cs="FrankRuehl" w:hint="eastAsia"/>
            <w:color w:val="0000FF"/>
            <w:u w:val="single"/>
            <w:rtl/>
          </w:rPr>
          <w:t>ב</w:t>
        </w:r>
        <w:r w:rsidRPr="008A4D17">
          <w:rPr>
            <w:rFonts w:ascii="FrankRuehl" w:hAnsi="FrankRuehl" w:cs="FrankRuehl"/>
            <w:color w:val="0000FF"/>
            <w:u w:val="single"/>
            <w:rtl/>
          </w:rPr>
          <w:t>)</w:t>
        </w:r>
      </w:hyperlink>
      <w:r w:rsidRPr="008A4D17">
        <w:rPr>
          <w:rFonts w:ascii="FrankRuehl" w:hAnsi="FrankRuehl" w:cs="FrankRuehl"/>
          <w:rtl/>
        </w:rPr>
        <w:t xml:space="preserve">, </w:t>
      </w:r>
      <w:hyperlink r:id="rId11" w:history="1">
        <w:r w:rsidRPr="008A4D17">
          <w:rPr>
            <w:rFonts w:ascii="FrankRuehl" w:hAnsi="FrankRuehl" w:cs="FrankRuehl"/>
            <w:color w:val="0000FF"/>
            <w:u w:val="single"/>
            <w:rtl/>
          </w:rPr>
          <w:t>275</w:t>
        </w:r>
      </w:hyperlink>
      <w:r w:rsidRPr="008A4D17">
        <w:rPr>
          <w:rFonts w:ascii="FrankRuehl" w:hAnsi="FrankRuehl" w:cs="FrankRuehl"/>
          <w:rtl/>
        </w:rPr>
        <w:t xml:space="preserve">, </w:t>
      </w:r>
      <w:hyperlink r:id="rId12" w:history="1">
        <w:r w:rsidRPr="008A4D17">
          <w:rPr>
            <w:rFonts w:ascii="FrankRuehl" w:hAnsi="FrankRuehl" w:cs="FrankRuehl"/>
            <w:color w:val="0000FF"/>
            <w:u w:val="single"/>
            <w:rtl/>
          </w:rPr>
          <w:t>338.</w:t>
        </w:r>
      </w:hyperlink>
      <w:r w:rsidRPr="008A4D17">
        <w:rPr>
          <w:rFonts w:ascii="FrankRuehl" w:hAnsi="FrankRuehl" w:cs="FrankRuehl"/>
          <w:rtl/>
        </w:rPr>
        <w:t xml:space="preserve">, </w:t>
      </w:r>
      <w:hyperlink r:id="rId13" w:history="1">
        <w:r w:rsidRPr="008A4D17">
          <w:rPr>
            <w:rFonts w:ascii="FrankRuehl" w:hAnsi="FrankRuehl" w:cs="FrankRuehl"/>
            <w:color w:val="0000FF"/>
            <w:u w:val="single"/>
            <w:rtl/>
          </w:rPr>
          <w:t>338(</w:t>
        </w:r>
        <w:r w:rsidRPr="008A4D17">
          <w:rPr>
            <w:rFonts w:ascii="FrankRuehl" w:hAnsi="FrankRuehl" w:cs="FrankRuehl" w:hint="eastAsia"/>
            <w:color w:val="0000FF"/>
            <w:u w:val="single"/>
            <w:rtl/>
          </w:rPr>
          <w:t>א</w:t>
        </w:r>
        <w:r w:rsidRPr="008A4D17">
          <w:rPr>
            <w:rFonts w:ascii="FrankRuehl" w:hAnsi="FrankRuehl" w:cs="FrankRuehl"/>
            <w:color w:val="0000FF"/>
            <w:u w:val="single"/>
            <w:rtl/>
          </w:rPr>
          <w:t>)(1)</w:t>
        </w:r>
      </w:hyperlink>
    </w:p>
    <w:p w14:paraId="0173BE8D" w14:textId="77777777" w:rsidR="008A4D17" w:rsidRPr="008A4D17" w:rsidRDefault="008A4D17" w:rsidP="008A4D1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303A" w14:paraId="7CFA83D2" w14:textId="77777777">
        <w:trPr>
          <w:trHeight w:val="355"/>
          <w:jc w:val="center"/>
        </w:trPr>
        <w:tc>
          <w:tcPr>
            <w:tcW w:w="8820" w:type="dxa"/>
            <w:tcBorders>
              <w:top w:val="nil"/>
              <w:left w:val="nil"/>
              <w:bottom w:val="nil"/>
              <w:right w:val="nil"/>
            </w:tcBorders>
            <w:shd w:val="clear" w:color="auto" w:fill="auto"/>
          </w:tcPr>
          <w:p w14:paraId="5061E197" w14:textId="77777777" w:rsidR="00E7520B" w:rsidRPr="00E7520B" w:rsidRDefault="00E7520B" w:rsidP="00E7520B">
            <w:pPr>
              <w:jc w:val="center"/>
              <w:rPr>
                <w:rFonts w:ascii="Arial" w:hAnsi="Arial"/>
                <w:b/>
                <w:bCs/>
                <w:sz w:val="38"/>
                <w:szCs w:val="38"/>
                <w:u w:val="single"/>
                <w:rtl/>
              </w:rPr>
            </w:pPr>
            <w:bookmarkStart w:id="4" w:name="LawTable_End"/>
            <w:bookmarkStart w:id="5" w:name="PsakDin" w:colFirst="0" w:colLast="0"/>
            <w:bookmarkEnd w:id="0"/>
            <w:bookmarkEnd w:id="4"/>
            <w:r w:rsidRPr="00E7520B">
              <w:rPr>
                <w:rFonts w:ascii="Arial" w:hAnsi="Arial"/>
                <w:b/>
                <w:bCs/>
                <w:sz w:val="38"/>
                <w:szCs w:val="38"/>
                <w:u w:val="single"/>
                <w:rtl/>
              </w:rPr>
              <w:t>גזר דין</w:t>
            </w:r>
          </w:p>
          <w:p w14:paraId="56184ACD" w14:textId="77777777" w:rsidR="0044303A" w:rsidRPr="00E7520B" w:rsidRDefault="0044303A" w:rsidP="00E7520B">
            <w:pPr>
              <w:jc w:val="center"/>
              <w:rPr>
                <w:rFonts w:ascii="Arial" w:hAnsi="Arial"/>
                <w:bCs/>
                <w:sz w:val="26"/>
                <w:szCs w:val="26"/>
                <w:u w:val="single"/>
                <w:rtl/>
              </w:rPr>
            </w:pPr>
          </w:p>
        </w:tc>
      </w:tr>
      <w:bookmarkEnd w:id="5"/>
    </w:tbl>
    <w:p w14:paraId="319FF7F7" w14:textId="77777777" w:rsidR="0044303A" w:rsidRDefault="0044303A" w:rsidP="0044303A">
      <w:pPr>
        <w:spacing w:line="360" w:lineRule="auto"/>
        <w:ind w:firstLine="720"/>
        <w:rPr>
          <w:u w:val="single"/>
          <w:rtl/>
        </w:rPr>
      </w:pPr>
    </w:p>
    <w:p w14:paraId="60F88F20" w14:textId="77777777" w:rsidR="0044303A" w:rsidRPr="00757CC1" w:rsidRDefault="0044303A" w:rsidP="0044303A">
      <w:pPr>
        <w:spacing w:line="360" w:lineRule="auto"/>
        <w:ind w:firstLine="720"/>
        <w:rPr>
          <w:u w:val="single"/>
          <w:rtl/>
        </w:rPr>
      </w:pPr>
      <w:r w:rsidRPr="00757CC1">
        <w:rPr>
          <w:rFonts w:hint="cs"/>
          <w:u w:val="single"/>
          <w:rtl/>
        </w:rPr>
        <w:t>כללי</w:t>
      </w:r>
    </w:p>
    <w:p w14:paraId="3A97BB02" w14:textId="77777777" w:rsidR="0044303A" w:rsidRDefault="0044303A" w:rsidP="0044303A">
      <w:pPr>
        <w:spacing w:line="360" w:lineRule="auto"/>
        <w:jc w:val="both"/>
        <w:rPr>
          <w:rtl/>
        </w:rPr>
      </w:pPr>
    </w:p>
    <w:p w14:paraId="69EE0348" w14:textId="77777777" w:rsidR="0044303A" w:rsidRDefault="0044303A" w:rsidP="0044303A">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הנאשמים הורשעו על יסוד הודאתם בעובדות כתב אישום מתוקן בעבירות הבאות: </w:t>
      </w:r>
      <w:r w:rsidRPr="00757CC1">
        <w:rPr>
          <w:rFonts w:hint="cs"/>
          <w:b/>
          <w:bCs/>
          <w:rtl/>
        </w:rPr>
        <w:t>נאשם 1</w:t>
      </w:r>
      <w:r>
        <w:rPr>
          <w:rFonts w:hint="cs"/>
          <w:rtl/>
        </w:rPr>
        <w:t xml:space="preserve"> - נהיגה בפזיזות ורשלנות, לפי </w:t>
      </w:r>
      <w:hyperlink r:id="rId14" w:history="1">
        <w:r w:rsidR="008A4D17" w:rsidRPr="008A4D17">
          <w:rPr>
            <w:rFonts w:hint="eastAsia"/>
            <w:color w:val="0000FF"/>
            <w:u w:val="single"/>
            <w:rtl/>
          </w:rPr>
          <w:t>סעיף</w:t>
        </w:r>
        <w:r w:rsidR="008A4D17" w:rsidRPr="008A4D17">
          <w:rPr>
            <w:color w:val="0000FF"/>
            <w:u w:val="single"/>
            <w:rtl/>
          </w:rPr>
          <w:t xml:space="preserve"> 338(</w:t>
        </w:r>
        <w:r w:rsidR="008A4D17" w:rsidRPr="008A4D17">
          <w:rPr>
            <w:rFonts w:hint="eastAsia"/>
            <w:color w:val="0000FF"/>
            <w:u w:val="single"/>
            <w:rtl/>
          </w:rPr>
          <w:t>א</w:t>
        </w:r>
        <w:r w:rsidR="008A4D17" w:rsidRPr="008A4D17">
          <w:rPr>
            <w:color w:val="0000FF"/>
            <w:u w:val="single"/>
            <w:rtl/>
          </w:rPr>
          <w:t>)(1)</w:t>
        </w:r>
      </w:hyperlink>
      <w:r>
        <w:rPr>
          <w:rFonts w:hint="cs"/>
          <w:rtl/>
        </w:rPr>
        <w:t xml:space="preserve"> ל</w:t>
      </w:r>
      <w:hyperlink r:id="rId15" w:history="1">
        <w:r w:rsidR="00E7520B" w:rsidRPr="00E7520B">
          <w:rPr>
            <w:rFonts w:hint="eastAsia"/>
            <w:color w:val="0000FF"/>
            <w:u w:val="single"/>
            <w:rtl/>
          </w:rPr>
          <w:t>חוק</w:t>
        </w:r>
        <w:r w:rsidR="00E7520B" w:rsidRPr="00E7520B">
          <w:rPr>
            <w:color w:val="0000FF"/>
            <w:u w:val="single"/>
            <w:rtl/>
          </w:rPr>
          <w:t xml:space="preserve"> </w:t>
        </w:r>
        <w:r w:rsidR="00E7520B" w:rsidRPr="00E7520B">
          <w:rPr>
            <w:rFonts w:hint="eastAsia"/>
            <w:color w:val="0000FF"/>
            <w:u w:val="single"/>
            <w:rtl/>
          </w:rPr>
          <w:t>העונשין</w:t>
        </w:r>
      </w:hyperlink>
      <w:r>
        <w:rPr>
          <w:rFonts w:hint="cs"/>
          <w:rtl/>
        </w:rPr>
        <w:t xml:space="preserve">, התשל"ז-1977 (להלן </w:t>
      </w:r>
      <w:r>
        <w:rPr>
          <w:rtl/>
        </w:rPr>
        <w:t>–</w:t>
      </w:r>
      <w:r>
        <w:rPr>
          <w:rFonts w:hint="cs"/>
          <w:rtl/>
        </w:rPr>
        <w:t xml:space="preserve"> </w:t>
      </w:r>
      <w:r w:rsidRPr="00757CC1">
        <w:rPr>
          <w:rFonts w:hint="cs"/>
          <w:b/>
          <w:bCs/>
          <w:rtl/>
        </w:rPr>
        <w:t>חוק העונשין</w:t>
      </w:r>
      <w:r>
        <w:rPr>
          <w:rFonts w:hint="cs"/>
          <w:rtl/>
        </w:rPr>
        <w:t xml:space="preserve">); הפרעה לשוטר במילוי תפקידו, לפי </w:t>
      </w:r>
      <w:hyperlink r:id="rId16" w:history="1">
        <w:r w:rsidR="008A4D17" w:rsidRPr="008A4D17">
          <w:rPr>
            <w:rFonts w:hint="eastAsia"/>
            <w:color w:val="0000FF"/>
            <w:u w:val="single"/>
            <w:rtl/>
          </w:rPr>
          <w:t>סעיף</w:t>
        </w:r>
        <w:r w:rsidR="008A4D17" w:rsidRPr="008A4D17">
          <w:rPr>
            <w:color w:val="0000FF"/>
            <w:u w:val="single"/>
            <w:rtl/>
          </w:rPr>
          <w:t xml:space="preserve"> 275</w:t>
        </w:r>
      </w:hyperlink>
      <w:r>
        <w:rPr>
          <w:rFonts w:hint="cs"/>
          <w:rtl/>
        </w:rPr>
        <w:t xml:space="preserve"> לחוק העונשין; החזקה ונשיאת נשק, לפי </w:t>
      </w:r>
      <w:hyperlink r:id="rId17" w:history="1">
        <w:r w:rsidR="008A4D17" w:rsidRPr="008A4D17">
          <w:rPr>
            <w:rFonts w:hint="eastAsia"/>
            <w:color w:val="0000FF"/>
            <w:u w:val="single"/>
            <w:rtl/>
          </w:rPr>
          <w:t>סעיף</w:t>
        </w:r>
        <w:r w:rsidR="008A4D17" w:rsidRPr="008A4D17">
          <w:rPr>
            <w:color w:val="0000FF"/>
            <w:u w:val="single"/>
            <w:rtl/>
          </w:rPr>
          <w:t xml:space="preserve"> 144(</w:t>
        </w:r>
        <w:r w:rsidR="008A4D17" w:rsidRPr="008A4D17">
          <w:rPr>
            <w:rFonts w:hint="eastAsia"/>
            <w:color w:val="0000FF"/>
            <w:u w:val="single"/>
            <w:rtl/>
          </w:rPr>
          <w:t>א</w:t>
        </w:r>
        <w:r w:rsidR="008A4D17" w:rsidRPr="008A4D17">
          <w:rPr>
            <w:color w:val="0000FF"/>
            <w:u w:val="single"/>
            <w:rtl/>
          </w:rPr>
          <w:t>)</w:t>
        </w:r>
      </w:hyperlink>
      <w:r>
        <w:rPr>
          <w:rFonts w:hint="cs"/>
          <w:rtl/>
        </w:rPr>
        <w:t xml:space="preserve"> </w:t>
      </w:r>
      <w:hyperlink r:id="rId18" w:history="1">
        <w:r w:rsidR="008A4D17" w:rsidRPr="008A4D17">
          <w:rPr>
            <w:rFonts w:hint="eastAsia"/>
            <w:color w:val="0000FF"/>
            <w:u w:val="single"/>
            <w:rtl/>
          </w:rPr>
          <w:t>וסעיף</w:t>
        </w:r>
        <w:r w:rsidR="008A4D17" w:rsidRPr="008A4D17">
          <w:rPr>
            <w:color w:val="0000FF"/>
            <w:u w:val="single"/>
            <w:rtl/>
          </w:rPr>
          <w:t xml:space="preserve"> 144(</w:t>
        </w:r>
        <w:r w:rsidR="008A4D17" w:rsidRPr="008A4D17">
          <w:rPr>
            <w:rFonts w:hint="eastAsia"/>
            <w:color w:val="0000FF"/>
            <w:u w:val="single"/>
            <w:rtl/>
          </w:rPr>
          <w:t>ב</w:t>
        </w:r>
        <w:r w:rsidR="008A4D17" w:rsidRPr="008A4D17">
          <w:rPr>
            <w:color w:val="0000FF"/>
            <w:u w:val="single"/>
            <w:rtl/>
          </w:rPr>
          <w:t>)</w:t>
        </w:r>
      </w:hyperlink>
      <w:r>
        <w:rPr>
          <w:rFonts w:hint="cs"/>
          <w:rtl/>
        </w:rPr>
        <w:t xml:space="preserve"> רישא לחוק העונשין. </w:t>
      </w:r>
      <w:r w:rsidRPr="00757CC1">
        <w:rPr>
          <w:rFonts w:hint="cs"/>
          <w:b/>
          <w:bCs/>
          <w:rtl/>
        </w:rPr>
        <w:t>נאשם 2</w:t>
      </w:r>
      <w:r>
        <w:rPr>
          <w:rFonts w:hint="cs"/>
          <w:rtl/>
        </w:rPr>
        <w:t xml:space="preserve"> </w:t>
      </w:r>
      <w:r>
        <w:rPr>
          <w:rtl/>
        </w:rPr>
        <w:t>–</w:t>
      </w:r>
      <w:r>
        <w:rPr>
          <w:rFonts w:hint="cs"/>
          <w:rtl/>
        </w:rPr>
        <w:t xml:space="preserve"> סיוע החזקה ונשיאת נשק, לפי </w:t>
      </w:r>
      <w:hyperlink r:id="rId19" w:history="1">
        <w:r w:rsidR="008A4D17" w:rsidRPr="008A4D17">
          <w:rPr>
            <w:rFonts w:hint="eastAsia"/>
            <w:color w:val="0000FF"/>
            <w:u w:val="single"/>
            <w:rtl/>
          </w:rPr>
          <w:t>סעיף</w:t>
        </w:r>
        <w:r w:rsidR="008A4D17" w:rsidRPr="008A4D17">
          <w:rPr>
            <w:color w:val="0000FF"/>
            <w:u w:val="single"/>
            <w:rtl/>
          </w:rPr>
          <w:t xml:space="preserve"> 144(</w:t>
        </w:r>
        <w:r w:rsidR="008A4D17" w:rsidRPr="008A4D17">
          <w:rPr>
            <w:rFonts w:hint="eastAsia"/>
            <w:color w:val="0000FF"/>
            <w:u w:val="single"/>
            <w:rtl/>
          </w:rPr>
          <w:t>א</w:t>
        </w:r>
        <w:r w:rsidR="008A4D17" w:rsidRPr="008A4D17">
          <w:rPr>
            <w:color w:val="0000FF"/>
            <w:u w:val="single"/>
            <w:rtl/>
          </w:rPr>
          <w:t>)</w:t>
        </w:r>
      </w:hyperlink>
      <w:r>
        <w:rPr>
          <w:rFonts w:hint="cs"/>
          <w:rtl/>
        </w:rPr>
        <w:t xml:space="preserve"> </w:t>
      </w:r>
      <w:hyperlink r:id="rId20" w:history="1">
        <w:r w:rsidR="008A4D17" w:rsidRPr="008A4D17">
          <w:rPr>
            <w:rFonts w:hint="eastAsia"/>
            <w:color w:val="0000FF"/>
            <w:u w:val="single"/>
            <w:rtl/>
          </w:rPr>
          <w:t>וסעיף</w:t>
        </w:r>
        <w:r w:rsidR="008A4D17" w:rsidRPr="008A4D17">
          <w:rPr>
            <w:color w:val="0000FF"/>
            <w:u w:val="single"/>
            <w:rtl/>
          </w:rPr>
          <w:t xml:space="preserve"> 144(</w:t>
        </w:r>
        <w:r w:rsidR="008A4D17" w:rsidRPr="008A4D17">
          <w:rPr>
            <w:rFonts w:hint="eastAsia"/>
            <w:color w:val="0000FF"/>
            <w:u w:val="single"/>
            <w:rtl/>
          </w:rPr>
          <w:t>ב</w:t>
        </w:r>
        <w:r w:rsidR="008A4D17" w:rsidRPr="008A4D17">
          <w:rPr>
            <w:color w:val="0000FF"/>
            <w:u w:val="single"/>
            <w:rtl/>
          </w:rPr>
          <w:t>)</w:t>
        </w:r>
      </w:hyperlink>
      <w:r>
        <w:rPr>
          <w:rFonts w:hint="cs"/>
          <w:rtl/>
        </w:rPr>
        <w:t xml:space="preserve"> רישא יחד עם </w:t>
      </w:r>
      <w:hyperlink r:id="rId21" w:history="1">
        <w:r w:rsidR="008A4D17" w:rsidRPr="008A4D17">
          <w:rPr>
            <w:rFonts w:hint="eastAsia"/>
            <w:color w:val="0000FF"/>
            <w:u w:val="single"/>
            <w:rtl/>
          </w:rPr>
          <w:t>סעיף</w:t>
        </w:r>
        <w:r w:rsidR="008A4D17" w:rsidRPr="008A4D17">
          <w:rPr>
            <w:color w:val="0000FF"/>
            <w:u w:val="single"/>
            <w:rtl/>
          </w:rPr>
          <w:t xml:space="preserve"> 31</w:t>
        </w:r>
      </w:hyperlink>
      <w:r>
        <w:rPr>
          <w:rFonts w:hint="cs"/>
          <w:rtl/>
        </w:rPr>
        <w:t xml:space="preserve"> ל</w:t>
      </w:r>
      <w:hyperlink r:id="rId22" w:history="1">
        <w:r w:rsidR="00E7520B" w:rsidRPr="00E7520B">
          <w:rPr>
            <w:rFonts w:hint="eastAsia"/>
            <w:color w:val="0000FF"/>
            <w:u w:val="single"/>
            <w:rtl/>
          </w:rPr>
          <w:t>חוק</w:t>
        </w:r>
        <w:r w:rsidR="00E7520B" w:rsidRPr="00E7520B">
          <w:rPr>
            <w:color w:val="0000FF"/>
            <w:u w:val="single"/>
            <w:rtl/>
          </w:rPr>
          <w:t xml:space="preserve"> </w:t>
        </w:r>
        <w:r w:rsidR="00E7520B" w:rsidRPr="00E7520B">
          <w:rPr>
            <w:rFonts w:hint="eastAsia"/>
            <w:color w:val="0000FF"/>
            <w:u w:val="single"/>
            <w:rtl/>
          </w:rPr>
          <w:t>העונשין</w:t>
        </w:r>
      </w:hyperlink>
      <w:r>
        <w:rPr>
          <w:rFonts w:hint="cs"/>
          <w:rtl/>
        </w:rPr>
        <w:t xml:space="preserve">. </w:t>
      </w:r>
    </w:p>
    <w:p w14:paraId="6B00CCE7" w14:textId="77777777" w:rsidR="0044303A" w:rsidRDefault="0044303A" w:rsidP="0044303A">
      <w:pPr>
        <w:spacing w:line="360" w:lineRule="auto"/>
        <w:ind w:left="720" w:hanging="720"/>
        <w:jc w:val="both"/>
        <w:rPr>
          <w:rtl/>
        </w:rPr>
      </w:pPr>
      <w:bookmarkStart w:id="7" w:name="ABSTRACT_END"/>
      <w:bookmarkEnd w:id="7"/>
    </w:p>
    <w:p w14:paraId="18C19B67" w14:textId="77777777" w:rsidR="0044303A" w:rsidRDefault="0044303A" w:rsidP="0044303A">
      <w:pPr>
        <w:spacing w:line="360" w:lineRule="auto"/>
        <w:ind w:left="720" w:hanging="720"/>
        <w:jc w:val="both"/>
        <w:rPr>
          <w:rtl/>
        </w:rPr>
      </w:pPr>
      <w:r>
        <w:rPr>
          <w:rFonts w:hint="cs"/>
          <w:rtl/>
        </w:rPr>
        <w:t>2.</w:t>
      </w:r>
      <w:r>
        <w:rPr>
          <w:rFonts w:hint="cs"/>
          <w:rtl/>
        </w:rPr>
        <w:tab/>
        <w:t xml:space="preserve">על פי עובדות כתב האישום המתוקן, ביום 28.11.15 נהג נאשם 1 ברכב כשלצידו יושב נאשם 2. כאשר הבחין נאשם 1 בסיור שגרתי של שוטרים, פנה פניה חדה ומהירה לרחוב אחר, וזאת בניגוד לתמרור זכות קדימה שהיה במקום, ותוך שהוא גורם לניידת לבלום בלימת חרום. השוטרים הפעילו אורות כחולים וכרזו לרכב לעצור, אולם נאשם 1 הגביר מהירות, והוסיף להימלט מהניידת, תוך שהוא סוטה בפראות בין הנתיבים, עד שהגיע לצומת אשר נחסם על-ידי אוטובוסים, שאז נאלץ לעצור את הרכב. שוטרים שהגיעו למקום עצרו את שני הנאשמים. ברכב החזיק נאשם 1 בסיועו של נאשם 2 אקדח מסוג "קולט" ומחסנית וגרב עטופה בניילון, ובה 98 כדורים, כששני פריטים אלה צמודים לתקרת הרכב מעל מושב הנהג. </w:t>
      </w:r>
    </w:p>
    <w:p w14:paraId="56737E08" w14:textId="77777777" w:rsidR="0044303A" w:rsidRDefault="0044303A" w:rsidP="0044303A">
      <w:pPr>
        <w:spacing w:line="360" w:lineRule="auto"/>
        <w:ind w:left="720" w:hanging="720"/>
        <w:jc w:val="both"/>
        <w:rPr>
          <w:rtl/>
        </w:rPr>
      </w:pPr>
    </w:p>
    <w:p w14:paraId="27B6DAEA" w14:textId="77777777" w:rsidR="0044303A" w:rsidRDefault="0044303A" w:rsidP="0044303A">
      <w:pPr>
        <w:spacing w:line="360" w:lineRule="auto"/>
        <w:ind w:left="720" w:hanging="720"/>
        <w:jc w:val="both"/>
        <w:rPr>
          <w:rtl/>
        </w:rPr>
      </w:pPr>
      <w:r>
        <w:rPr>
          <w:rFonts w:hint="cs"/>
          <w:rtl/>
        </w:rPr>
        <w:t>3.</w:t>
      </w:r>
      <w:r>
        <w:rPr>
          <w:rFonts w:hint="cs"/>
          <w:rtl/>
        </w:rPr>
        <w:tab/>
        <w:t xml:space="preserve">הודאת הנאשמים ניתנה מבלי שגובש הסדר לעניין העונש, כאשר עובר לטיעונים לעונש, הופנו הנאשמים לשרות המבחן. </w:t>
      </w:r>
    </w:p>
    <w:p w14:paraId="2CF90CF7" w14:textId="77777777" w:rsidR="0044303A" w:rsidRDefault="0044303A" w:rsidP="0044303A">
      <w:pPr>
        <w:spacing w:line="360" w:lineRule="auto"/>
        <w:ind w:left="720" w:hanging="720"/>
        <w:jc w:val="both"/>
        <w:rPr>
          <w:rtl/>
        </w:rPr>
      </w:pPr>
    </w:p>
    <w:p w14:paraId="69731DEB" w14:textId="77777777" w:rsidR="0044303A" w:rsidRDefault="0044303A" w:rsidP="0044303A">
      <w:pPr>
        <w:spacing w:line="360" w:lineRule="auto"/>
        <w:ind w:left="720" w:hanging="720"/>
        <w:jc w:val="both"/>
        <w:rPr>
          <w:rtl/>
        </w:rPr>
      </w:pPr>
    </w:p>
    <w:p w14:paraId="004FB770" w14:textId="77777777" w:rsidR="0044303A" w:rsidRDefault="0044303A" w:rsidP="0044303A">
      <w:pPr>
        <w:spacing w:line="360" w:lineRule="auto"/>
        <w:ind w:left="720" w:hanging="720"/>
        <w:jc w:val="both"/>
        <w:rPr>
          <w:rtl/>
        </w:rPr>
      </w:pPr>
    </w:p>
    <w:p w14:paraId="0D3CE8DB" w14:textId="77777777" w:rsidR="0044303A" w:rsidRDefault="0044303A" w:rsidP="0044303A">
      <w:pPr>
        <w:spacing w:line="360" w:lineRule="auto"/>
        <w:ind w:left="720" w:hanging="720"/>
        <w:jc w:val="both"/>
        <w:rPr>
          <w:rtl/>
        </w:rPr>
      </w:pPr>
      <w:r>
        <w:rPr>
          <w:rtl/>
        </w:rPr>
        <w:tab/>
      </w:r>
      <w:r>
        <w:rPr>
          <w:rFonts w:hint="cs"/>
          <w:u w:val="single"/>
          <w:rtl/>
        </w:rPr>
        <w:t>תסקירי שרות המבחן</w:t>
      </w:r>
    </w:p>
    <w:p w14:paraId="74BDD0A1" w14:textId="77777777" w:rsidR="0044303A" w:rsidRDefault="0044303A" w:rsidP="0044303A">
      <w:pPr>
        <w:spacing w:line="360" w:lineRule="auto"/>
        <w:ind w:left="720" w:hanging="720"/>
        <w:jc w:val="both"/>
        <w:rPr>
          <w:rtl/>
        </w:rPr>
      </w:pPr>
    </w:p>
    <w:p w14:paraId="30F9AC1D" w14:textId="77777777" w:rsidR="0044303A" w:rsidRDefault="0044303A" w:rsidP="0044303A">
      <w:pPr>
        <w:spacing w:line="360" w:lineRule="auto"/>
        <w:ind w:left="720" w:hanging="720"/>
        <w:jc w:val="both"/>
        <w:rPr>
          <w:rtl/>
        </w:rPr>
      </w:pPr>
      <w:r>
        <w:rPr>
          <w:rFonts w:hint="cs"/>
          <w:rtl/>
        </w:rPr>
        <w:t>4.</w:t>
      </w:r>
      <w:r>
        <w:rPr>
          <w:rFonts w:hint="cs"/>
          <w:rtl/>
        </w:rPr>
        <w:tab/>
        <w:t>מהתסקיר שהוגש בעניינו של נאשם 1, עולה כי מדובר בנאשם בן 21, רווק, אשר סיים 12 שנות לימוד עם תעודת בגרות חלקית, והשתלב בעבודה במסגרות שונות. אין לחובת הנאשם הרשעות קודמות, ושרות המבחן התרשם כי מדובר בנאשם בעל מאפייני אישיות ילדותיים, התייחסות מקלה לנסיבות מעצרו ובחירותיו, ומסיכון בינוני-גבוה הנשקף להישנות התנהגות עבריינית. צוין, כי ברקע לביצוע העבירות בהן הורשע מערכת ערכים שולית, קשרים שוליים, קושי בויסות דחפים, העדר בשלות רגשית וגישה חשדנית כלפי גורמי החוק. לצד האמור לעיל, ונוכח גילו הצעיר של הנאשם, העדר הרשעות קודמות והאפקט המרתיע של ההליכים המשפטיים, סבר שרות המבחן כי יש מקום להטיל על הנאשם עונש מאסר לריצוי בדרך של עבודות שרות.</w:t>
      </w:r>
    </w:p>
    <w:p w14:paraId="754C93FF" w14:textId="77777777" w:rsidR="0044303A" w:rsidRDefault="0044303A" w:rsidP="0044303A">
      <w:pPr>
        <w:spacing w:line="360" w:lineRule="auto"/>
        <w:ind w:left="720" w:hanging="720"/>
        <w:jc w:val="both"/>
        <w:rPr>
          <w:rtl/>
        </w:rPr>
      </w:pPr>
    </w:p>
    <w:p w14:paraId="15D69813" w14:textId="77777777" w:rsidR="0044303A" w:rsidRDefault="0044303A" w:rsidP="0044303A">
      <w:pPr>
        <w:spacing w:line="360" w:lineRule="auto"/>
        <w:ind w:left="720" w:hanging="720"/>
        <w:jc w:val="both"/>
        <w:rPr>
          <w:rtl/>
        </w:rPr>
      </w:pPr>
      <w:r>
        <w:rPr>
          <w:rFonts w:hint="cs"/>
          <w:rtl/>
        </w:rPr>
        <w:t>5.</w:t>
      </w:r>
      <w:r>
        <w:rPr>
          <w:rFonts w:hint="cs"/>
          <w:rtl/>
        </w:rPr>
        <w:tab/>
        <w:t xml:space="preserve">מהתסקיר שהוגש בעניינו של נאשם 2, עולה כי מדובר בנאשם בן 19, רווק, אשר סיים 12 שנות לימוד במגמת מכונאות רכב, ועבד בהמשך כנהג ומפעיל משאבת בטון. בני משפחתו תוארו כאנשים נורמטיביים המודעים להסתבכותו ומגנים את התנהגותו. הנאשם התקשה לקחת אחריות מלאה על ביצוע העבירה, ושרות המבחן התרשם מעמדות בעייתיות ביחס לחוק, ומנטייה להיגרר אחר דמויות משמעותיות עבורו. עוד צוין, כי נראה שבשלב זה של חייו עסוק הנאשם בגיבוש זהותו ותפישותיו, והעבירה היא פועל יוצא של הקשרים השוליים, צרכי שייכות ונסייון לחוות תחושת יכולת וכוח לצד גבולות פנימיים חלשים. שרות המבחן סבר כי נוכח גילו הצעיר של הנאשם והעדר הרשעות קודמות, וככל שיוטל עונש מאסר, יהא זה בעבודות שרות.  </w:t>
      </w:r>
    </w:p>
    <w:p w14:paraId="6494BCE2" w14:textId="77777777" w:rsidR="0044303A" w:rsidRDefault="0044303A" w:rsidP="0044303A">
      <w:pPr>
        <w:spacing w:line="360" w:lineRule="auto"/>
        <w:ind w:left="720" w:hanging="720"/>
        <w:jc w:val="both"/>
        <w:rPr>
          <w:rtl/>
        </w:rPr>
      </w:pPr>
    </w:p>
    <w:p w14:paraId="391F1BD8" w14:textId="77777777" w:rsidR="0044303A" w:rsidRDefault="0044303A" w:rsidP="0044303A">
      <w:pPr>
        <w:spacing w:line="360" w:lineRule="auto"/>
        <w:ind w:left="720"/>
        <w:jc w:val="both"/>
        <w:rPr>
          <w:rtl/>
        </w:rPr>
      </w:pPr>
      <w:r>
        <w:rPr>
          <w:rFonts w:hint="cs"/>
          <w:u w:val="single"/>
          <w:rtl/>
        </w:rPr>
        <w:t>טיעוני הצדדים</w:t>
      </w:r>
    </w:p>
    <w:p w14:paraId="797BFCF7" w14:textId="77777777" w:rsidR="0044303A" w:rsidRDefault="0044303A" w:rsidP="0044303A">
      <w:pPr>
        <w:spacing w:line="360" w:lineRule="auto"/>
        <w:ind w:left="720"/>
        <w:jc w:val="both"/>
        <w:rPr>
          <w:rtl/>
        </w:rPr>
      </w:pPr>
    </w:p>
    <w:p w14:paraId="24A48538" w14:textId="77777777" w:rsidR="0044303A" w:rsidRDefault="0044303A" w:rsidP="0044303A">
      <w:pPr>
        <w:spacing w:line="360" w:lineRule="auto"/>
        <w:ind w:left="720" w:hanging="720"/>
        <w:jc w:val="both"/>
        <w:rPr>
          <w:rtl/>
        </w:rPr>
      </w:pPr>
      <w:r>
        <w:rPr>
          <w:rFonts w:hint="cs"/>
          <w:rtl/>
        </w:rPr>
        <w:t>6.</w:t>
      </w:r>
      <w:r>
        <w:rPr>
          <w:rFonts w:hint="cs"/>
          <w:rtl/>
        </w:rPr>
        <w:tab/>
        <w:t xml:space="preserve">ב"כ המאשימה התייחסה לחומרתן הרבה של העבירות אותן ביצע נאשם 1, ועבירת הנשק אשר סייע בביצועה גם נאשם 2, תוך שציינה כי ניסיון החיים מלמד שמדובר בנשק שנועד למטרות עברייניות או אידיאולוגיות. הוסבר, כי הקו המנחה בשנים האחרונות ביחס לעבירות אלה הוא קו הקורא להחמרת הענישה, בוודאי כאשר לעבירות הנשק מתווספת נהיגה פרועה, כפי שתוארה בכתב האישום. התובעת הגישה מספר פסקי דין, ועל יסוד כלל הנסיבות, טענה כי מתחם העונש ההולם בעניינו של נאשם 1 צריך לנוע בין מאסר לתקופה של שנתיים וחצי למאסר לתקופה של ארבע שנים, וכי נוכח נתוניו של הנאשם, יש להשית עליו עונש המשקף את מרכז מתחם הענישה. באשר לנאשם 2, עתרה התובעת לקביעת מתחם הנע בין 16 חודשים ל- 30 חודשים, ואף בעניינו, עתרה להטלת עונש המשקף את מרכז מתחם הענישה. </w:t>
      </w:r>
    </w:p>
    <w:p w14:paraId="569787FD" w14:textId="77777777" w:rsidR="0044303A" w:rsidRDefault="0044303A" w:rsidP="0044303A">
      <w:pPr>
        <w:spacing w:line="360" w:lineRule="auto"/>
        <w:ind w:left="720" w:hanging="720"/>
        <w:jc w:val="both"/>
        <w:rPr>
          <w:rtl/>
        </w:rPr>
      </w:pPr>
    </w:p>
    <w:p w14:paraId="0E48DC2A" w14:textId="77777777" w:rsidR="0044303A" w:rsidRDefault="0044303A" w:rsidP="0044303A">
      <w:pPr>
        <w:spacing w:line="360" w:lineRule="auto"/>
        <w:ind w:left="720" w:hanging="720"/>
        <w:jc w:val="both"/>
        <w:rPr>
          <w:rtl/>
        </w:rPr>
      </w:pPr>
      <w:r>
        <w:rPr>
          <w:rFonts w:hint="cs"/>
          <w:rtl/>
        </w:rPr>
        <w:t>7.</w:t>
      </w:r>
      <w:r>
        <w:rPr>
          <w:rFonts w:hint="cs"/>
          <w:rtl/>
        </w:rPr>
        <w:tab/>
        <w:t xml:space="preserve">ב"כ הנאשמים ביקש ליתן משקל משמעותי להודאת הנאשמים, לעובדה כי עד לאירוע המתואר בכתב האישום ניהלו שניהם אורח חיים נורמטיבי יצרני, ועבדו לפרנסתם "מבוקר עד ליל" כלשונו. הוסבר כי </w:t>
      </w:r>
      <w:r>
        <w:rPr>
          <w:rFonts w:hint="cs"/>
          <w:rtl/>
        </w:rPr>
        <w:lastRenderedPageBreak/>
        <w:t xml:space="preserve">הנאשמים אינם קשורים לעולם הפשע, אלא חונכו בצורה ראויה על-ידי הוריהם, כך שהסיכוי כי יחזרו על מעשיהם נמוך ביותר. הסנגור ביקש ליתן משקל משמעותי גם לגילם הצעיר של הנאשמים, כמו גם להשפעה המטלטלת של ההליך הפלילי ומעצרם הראשוני טרם שוחררו. </w:t>
      </w:r>
    </w:p>
    <w:p w14:paraId="1C32F646" w14:textId="77777777" w:rsidR="0044303A" w:rsidRDefault="0044303A" w:rsidP="0044303A">
      <w:pPr>
        <w:spacing w:line="360" w:lineRule="auto"/>
        <w:ind w:left="720" w:hanging="720"/>
        <w:jc w:val="both"/>
        <w:rPr>
          <w:rtl/>
        </w:rPr>
      </w:pPr>
    </w:p>
    <w:p w14:paraId="6A1EAC0D" w14:textId="77777777" w:rsidR="0044303A" w:rsidRDefault="0044303A" w:rsidP="0044303A">
      <w:pPr>
        <w:spacing w:line="360" w:lineRule="auto"/>
        <w:ind w:left="720" w:hanging="720"/>
        <w:jc w:val="both"/>
        <w:rPr>
          <w:rtl/>
        </w:rPr>
      </w:pPr>
      <w:r>
        <w:rPr>
          <w:rFonts w:hint="cs"/>
          <w:rtl/>
        </w:rPr>
        <w:t>8.</w:t>
      </w:r>
      <w:r>
        <w:rPr>
          <w:rFonts w:hint="cs"/>
          <w:rtl/>
        </w:rPr>
        <w:tab/>
        <w:t xml:space="preserve">שני הצדדים הגישו פסיקה המתייחסת לרף הענישה בעבירות נשק. </w:t>
      </w:r>
    </w:p>
    <w:p w14:paraId="35BB59A5" w14:textId="77777777" w:rsidR="0044303A" w:rsidRDefault="0044303A" w:rsidP="0044303A">
      <w:pPr>
        <w:spacing w:line="360" w:lineRule="auto"/>
        <w:ind w:left="720" w:hanging="720"/>
        <w:jc w:val="both"/>
        <w:rPr>
          <w:rtl/>
        </w:rPr>
      </w:pPr>
    </w:p>
    <w:p w14:paraId="6F6AF07F" w14:textId="77777777" w:rsidR="0044303A" w:rsidRDefault="0044303A" w:rsidP="0044303A">
      <w:pPr>
        <w:spacing w:line="360" w:lineRule="auto"/>
        <w:ind w:left="720" w:hanging="720"/>
        <w:jc w:val="both"/>
        <w:rPr>
          <w:rtl/>
        </w:rPr>
      </w:pPr>
      <w:r>
        <w:rPr>
          <w:rtl/>
        </w:rPr>
        <w:tab/>
      </w:r>
      <w:r>
        <w:rPr>
          <w:rFonts w:hint="cs"/>
          <w:u w:val="single"/>
          <w:rtl/>
        </w:rPr>
        <w:t>דיון והכרעה</w:t>
      </w:r>
    </w:p>
    <w:p w14:paraId="74992501" w14:textId="77777777" w:rsidR="0044303A" w:rsidRDefault="0044303A" w:rsidP="0044303A">
      <w:pPr>
        <w:spacing w:line="360" w:lineRule="auto"/>
        <w:ind w:left="720" w:hanging="720"/>
        <w:jc w:val="both"/>
        <w:rPr>
          <w:rtl/>
        </w:rPr>
      </w:pPr>
    </w:p>
    <w:p w14:paraId="322D94B8" w14:textId="77777777" w:rsidR="0044303A" w:rsidRDefault="0044303A" w:rsidP="0044303A">
      <w:pPr>
        <w:spacing w:line="360" w:lineRule="auto"/>
        <w:ind w:left="720" w:hanging="720"/>
        <w:jc w:val="both"/>
        <w:rPr>
          <w:rtl/>
        </w:rPr>
      </w:pPr>
      <w:r>
        <w:rPr>
          <w:rtl/>
        </w:rPr>
        <w:tab/>
      </w:r>
      <w:r>
        <w:rPr>
          <w:rFonts w:hint="cs"/>
          <w:u w:val="single"/>
          <w:rtl/>
        </w:rPr>
        <w:t>קביעת מתחם העונש ההולם</w:t>
      </w:r>
    </w:p>
    <w:p w14:paraId="19AF2C57" w14:textId="77777777" w:rsidR="0044303A" w:rsidRPr="006E019B" w:rsidRDefault="0044303A" w:rsidP="0044303A">
      <w:pPr>
        <w:spacing w:line="360" w:lineRule="auto"/>
        <w:ind w:left="720" w:hanging="720"/>
        <w:jc w:val="both"/>
        <w:rPr>
          <w:rtl/>
        </w:rPr>
      </w:pPr>
    </w:p>
    <w:p w14:paraId="7044C2BF" w14:textId="77777777" w:rsidR="0044303A" w:rsidRDefault="0044303A" w:rsidP="0044303A">
      <w:pPr>
        <w:spacing w:line="360" w:lineRule="auto"/>
        <w:ind w:left="720" w:hanging="720"/>
        <w:jc w:val="both"/>
        <w:rPr>
          <w:rtl/>
        </w:rPr>
      </w:pPr>
      <w:r>
        <w:rPr>
          <w:rFonts w:hint="cs"/>
          <w:rtl/>
        </w:rPr>
        <w:t>9.</w:t>
      </w:r>
      <w:r>
        <w:rPr>
          <w:rFonts w:hint="cs"/>
          <w:rtl/>
        </w:rPr>
        <w:tab/>
        <w:t xml:space="preserve">דומני כי אין צורך להכביר מילים על החומרה הרבה הקיימת בעבירות נשק, עבירות אשר טומנות בחובן פוטנציאל גבוה לפגיעה בגוף, ומקימות סיכון ממשי וחמור לציבור. </w:t>
      </w:r>
    </w:p>
    <w:p w14:paraId="18EFFB9F" w14:textId="77777777" w:rsidR="0044303A" w:rsidRDefault="0044303A" w:rsidP="0044303A">
      <w:pPr>
        <w:spacing w:line="360" w:lineRule="auto"/>
        <w:ind w:left="720" w:hanging="720"/>
        <w:jc w:val="both"/>
        <w:rPr>
          <w:rtl/>
        </w:rPr>
      </w:pPr>
    </w:p>
    <w:p w14:paraId="4994BB55" w14:textId="77777777" w:rsidR="0044303A" w:rsidRDefault="0044303A" w:rsidP="0044303A">
      <w:pPr>
        <w:spacing w:line="360" w:lineRule="auto"/>
        <w:ind w:left="720"/>
        <w:jc w:val="both"/>
        <w:rPr>
          <w:rtl/>
        </w:rPr>
      </w:pPr>
      <w:r>
        <w:rPr>
          <w:rFonts w:hint="cs"/>
          <w:rtl/>
        </w:rPr>
        <w:t>עמד על כך בית המשפט העליון ב</w:t>
      </w:r>
      <w:hyperlink r:id="rId23" w:history="1">
        <w:r w:rsidR="00E7520B" w:rsidRPr="00E7520B">
          <w:rPr>
            <w:rFonts w:hint="eastAsia"/>
            <w:color w:val="0000FF"/>
            <w:u w:val="single"/>
            <w:rtl/>
          </w:rPr>
          <w:t>ע</w:t>
        </w:r>
        <w:r w:rsidR="00E7520B" w:rsidRPr="00E7520B">
          <w:rPr>
            <w:color w:val="0000FF"/>
            <w:u w:val="single"/>
            <w:rtl/>
          </w:rPr>
          <w:t>"</w:t>
        </w:r>
        <w:r w:rsidR="00E7520B" w:rsidRPr="00E7520B">
          <w:rPr>
            <w:rFonts w:hint="eastAsia"/>
            <w:color w:val="0000FF"/>
            <w:u w:val="single"/>
            <w:rtl/>
          </w:rPr>
          <w:t>פ</w:t>
        </w:r>
        <w:r w:rsidR="00E7520B" w:rsidRPr="00E7520B">
          <w:rPr>
            <w:color w:val="0000FF"/>
            <w:u w:val="single"/>
            <w:rtl/>
          </w:rPr>
          <w:t xml:space="preserve"> 5120/11</w:t>
        </w:r>
      </w:hyperlink>
      <w:r>
        <w:rPr>
          <w:rFonts w:hint="cs"/>
          <w:rtl/>
        </w:rPr>
        <w:t xml:space="preserve"> </w:t>
      </w:r>
      <w:r>
        <w:rPr>
          <w:rFonts w:hint="cs"/>
          <w:b/>
          <w:bCs/>
          <w:rtl/>
        </w:rPr>
        <w:t xml:space="preserve">שתיווי נ' מדינת ישראל </w:t>
      </w:r>
      <w:r>
        <w:rPr>
          <w:rFonts w:hint="cs"/>
          <w:rtl/>
        </w:rPr>
        <w:t xml:space="preserve">(18.12.2011) שם נקבעו הדברים הבאים: </w:t>
      </w:r>
    </w:p>
    <w:p w14:paraId="69E38B09" w14:textId="77777777" w:rsidR="0044303A" w:rsidRDefault="0044303A" w:rsidP="0044303A">
      <w:pPr>
        <w:spacing w:line="360" w:lineRule="auto"/>
        <w:ind w:left="720"/>
        <w:jc w:val="both"/>
        <w:rPr>
          <w:rtl/>
        </w:rPr>
      </w:pPr>
    </w:p>
    <w:p w14:paraId="5959CC55" w14:textId="77777777" w:rsidR="0044303A" w:rsidRDefault="0044303A" w:rsidP="0044303A">
      <w:pPr>
        <w:spacing w:line="360" w:lineRule="auto"/>
        <w:ind w:left="720"/>
        <w:jc w:val="both"/>
        <w:rPr>
          <w:b/>
          <w:bCs/>
          <w:rtl/>
        </w:rPr>
      </w:pPr>
      <w:r w:rsidRPr="00197442">
        <w:rPr>
          <w:rFonts w:hint="cs"/>
          <w:b/>
          <w:bCs/>
          <w:rtl/>
        </w:rPr>
        <w:t>"לא אחת</w:t>
      </w:r>
      <w:r>
        <w:rPr>
          <w:rFonts w:hint="cs"/>
          <w:b/>
          <w:bCs/>
          <w:rtl/>
        </w:rPr>
        <w:t xml:space="preserve"> עמד בית משפט זה על החומרה היתרה הנודעת לעבירות נשק בכלל ולעבירת החזקת נשק שלא כדין בפרט המקימה סיכון ממשי וחמור לציבור ויוצרת פוטנציאל להסלמה עבריינית ולפיכך מחייבת ליתן ביטוי עונשי הולם ומרתיע באמצעות הרחקת מבצעי העבירה מן החברה לתקופת מאסר ממשית לריצוי  בפועל"</w:t>
      </w:r>
      <w:r w:rsidRPr="00197442">
        <w:rPr>
          <w:rFonts w:hint="cs"/>
          <w:rtl/>
        </w:rPr>
        <w:t xml:space="preserve">. </w:t>
      </w:r>
    </w:p>
    <w:p w14:paraId="6500C094" w14:textId="77777777" w:rsidR="0044303A" w:rsidRDefault="0044303A" w:rsidP="0044303A">
      <w:pPr>
        <w:spacing w:line="360" w:lineRule="auto"/>
        <w:ind w:left="720"/>
        <w:jc w:val="both"/>
        <w:rPr>
          <w:b/>
          <w:bCs/>
          <w:rtl/>
        </w:rPr>
      </w:pPr>
    </w:p>
    <w:p w14:paraId="68E8D697" w14:textId="77777777" w:rsidR="0044303A" w:rsidRPr="006C3FDB" w:rsidRDefault="0044303A" w:rsidP="0044303A">
      <w:pPr>
        <w:spacing w:line="360" w:lineRule="auto"/>
        <w:ind w:left="720"/>
        <w:jc w:val="both"/>
        <w:rPr>
          <w:rtl/>
        </w:rPr>
      </w:pPr>
      <w:r>
        <w:rPr>
          <w:rFonts w:hint="cs"/>
          <w:rtl/>
        </w:rPr>
        <w:t xml:space="preserve">אם דברים אלה רלוונטיים לעניין של עבירת החזקת נשק, מקל וחומר, יש לראותם כרלוונטיים לעבירה של נשיאת נשק, שהיא עבירה הממוקמת גבוה יותר במדרג חומרתן של עבירות הנשק. </w:t>
      </w:r>
    </w:p>
    <w:p w14:paraId="477D3D1D" w14:textId="77777777" w:rsidR="0044303A" w:rsidRDefault="0044303A" w:rsidP="0044303A">
      <w:pPr>
        <w:spacing w:line="360" w:lineRule="auto"/>
        <w:ind w:left="720"/>
        <w:jc w:val="both"/>
        <w:rPr>
          <w:b/>
          <w:bCs/>
          <w:rtl/>
        </w:rPr>
      </w:pPr>
    </w:p>
    <w:p w14:paraId="2A9E6EB5" w14:textId="77777777" w:rsidR="0044303A" w:rsidRDefault="0044303A" w:rsidP="0044303A">
      <w:pPr>
        <w:spacing w:line="360" w:lineRule="auto"/>
        <w:ind w:left="720"/>
        <w:jc w:val="both"/>
        <w:rPr>
          <w:rtl/>
        </w:rPr>
      </w:pPr>
      <w:r w:rsidRPr="006C3FDB">
        <w:rPr>
          <w:rFonts w:hint="cs"/>
          <w:rtl/>
        </w:rPr>
        <w:t>באשר לערך החברתי המוגן</w:t>
      </w:r>
      <w:r>
        <w:rPr>
          <w:rFonts w:hint="cs"/>
          <w:rtl/>
        </w:rPr>
        <w:t xml:space="preserve"> </w:t>
      </w:r>
      <w:r>
        <w:rPr>
          <w:rtl/>
        </w:rPr>
        <w:t>–</w:t>
      </w:r>
      <w:r>
        <w:rPr>
          <w:rFonts w:hint="cs"/>
          <w:rtl/>
        </w:rPr>
        <w:t xml:space="preserve"> מדובר בערכים של שמירה על גופו של אדם, על חייו ועל ביטחונו של הציבור. </w:t>
      </w:r>
    </w:p>
    <w:p w14:paraId="1B09E22F" w14:textId="77777777" w:rsidR="0044303A" w:rsidRDefault="0044303A" w:rsidP="0044303A">
      <w:pPr>
        <w:spacing w:line="360" w:lineRule="auto"/>
        <w:ind w:left="720"/>
        <w:jc w:val="both"/>
        <w:rPr>
          <w:rtl/>
        </w:rPr>
      </w:pPr>
    </w:p>
    <w:p w14:paraId="6536E30A" w14:textId="77777777" w:rsidR="0044303A" w:rsidRDefault="0044303A" w:rsidP="0044303A">
      <w:pPr>
        <w:spacing w:line="360" w:lineRule="auto"/>
        <w:ind w:left="720"/>
        <w:jc w:val="both"/>
        <w:rPr>
          <w:rtl/>
        </w:rPr>
      </w:pPr>
      <w:r>
        <w:rPr>
          <w:rFonts w:hint="cs"/>
          <w:rtl/>
        </w:rPr>
        <w:t xml:space="preserve">ערכים אלה רלוונטיים גם לעבירה של נהיגה בפזיזות ורשלנות, אותה ביצע נאשם 1. </w:t>
      </w:r>
    </w:p>
    <w:p w14:paraId="05B0D8CB" w14:textId="77777777" w:rsidR="0044303A" w:rsidRDefault="0044303A" w:rsidP="0044303A">
      <w:pPr>
        <w:spacing w:line="360" w:lineRule="auto"/>
        <w:ind w:left="720"/>
        <w:jc w:val="both"/>
        <w:rPr>
          <w:rtl/>
        </w:rPr>
      </w:pPr>
    </w:p>
    <w:p w14:paraId="6C799545" w14:textId="77777777" w:rsidR="0044303A" w:rsidRDefault="0044303A" w:rsidP="0044303A">
      <w:pPr>
        <w:spacing w:line="360" w:lineRule="auto"/>
        <w:ind w:left="720"/>
        <w:jc w:val="both"/>
        <w:rPr>
          <w:rtl/>
        </w:rPr>
      </w:pPr>
      <w:r>
        <w:rPr>
          <w:rFonts w:hint="cs"/>
          <w:rtl/>
        </w:rPr>
        <w:t xml:space="preserve">באשר לעבירה של הפרעה לשוטר במילוי תפקידו - שאף היא מיוחסת לנאשם 1, ניתן לומר כי הנאשם פגע במעשיו בתקינות עבודת המשטרה. </w:t>
      </w:r>
    </w:p>
    <w:p w14:paraId="0F607ABF" w14:textId="77777777" w:rsidR="0044303A" w:rsidRDefault="0044303A" w:rsidP="0044303A">
      <w:pPr>
        <w:spacing w:line="360" w:lineRule="auto"/>
        <w:ind w:left="720"/>
        <w:jc w:val="both"/>
        <w:rPr>
          <w:rtl/>
        </w:rPr>
      </w:pPr>
    </w:p>
    <w:p w14:paraId="03519C79" w14:textId="77777777" w:rsidR="0044303A" w:rsidRDefault="0044303A" w:rsidP="0044303A">
      <w:pPr>
        <w:spacing w:line="360" w:lineRule="auto"/>
        <w:ind w:left="720" w:hanging="720"/>
        <w:jc w:val="both"/>
        <w:rPr>
          <w:rtl/>
        </w:rPr>
      </w:pPr>
      <w:r>
        <w:rPr>
          <w:rFonts w:hint="cs"/>
          <w:rtl/>
        </w:rPr>
        <w:t>10.</w:t>
      </w:r>
      <w:r>
        <w:rPr>
          <w:rFonts w:hint="cs"/>
          <w:rtl/>
        </w:rPr>
        <w:tab/>
        <w:t>כמפורט לעיל, שני הצדדים הגישו פסיקה אשר יש בה כדי לשקף את עתירתם העונשית, ומתוך פסיקה זו, כמו גם מפסקי דין נוספים, ראיתי כרלוונטיים את פסקי הדין הבאים:</w:t>
      </w:r>
    </w:p>
    <w:p w14:paraId="6CEC9270" w14:textId="77777777" w:rsidR="0044303A" w:rsidRDefault="0044303A" w:rsidP="0044303A">
      <w:pPr>
        <w:spacing w:line="360" w:lineRule="auto"/>
        <w:ind w:left="720" w:hanging="720"/>
        <w:jc w:val="both"/>
        <w:rPr>
          <w:rtl/>
        </w:rPr>
      </w:pPr>
    </w:p>
    <w:p w14:paraId="4ABAD3A4" w14:textId="77777777" w:rsidR="0044303A" w:rsidRDefault="0044303A" w:rsidP="0044303A">
      <w:pPr>
        <w:spacing w:line="360" w:lineRule="auto"/>
        <w:ind w:left="720" w:hanging="720"/>
        <w:jc w:val="both"/>
        <w:rPr>
          <w:rtl/>
        </w:rPr>
      </w:pPr>
      <w:r>
        <w:rPr>
          <w:rtl/>
        </w:rPr>
        <w:tab/>
      </w:r>
      <w:hyperlink r:id="rId24" w:history="1">
        <w:r w:rsidR="00E7520B" w:rsidRPr="00E7520B">
          <w:rPr>
            <w:rFonts w:hint="eastAsia"/>
            <w:color w:val="0000FF"/>
            <w:u w:val="single"/>
            <w:rtl/>
          </w:rPr>
          <w:t>רע</w:t>
        </w:r>
        <w:r w:rsidR="00E7520B" w:rsidRPr="00E7520B">
          <w:rPr>
            <w:color w:val="0000FF"/>
            <w:u w:val="single"/>
            <w:rtl/>
          </w:rPr>
          <w:t>"</w:t>
        </w:r>
        <w:r w:rsidR="00E7520B" w:rsidRPr="00E7520B">
          <w:rPr>
            <w:rFonts w:hint="eastAsia"/>
            <w:color w:val="0000FF"/>
            <w:u w:val="single"/>
            <w:rtl/>
          </w:rPr>
          <w:t>פ</w:t>
        </w:r>
        <w:r w:rsidR="00E7520B" w:rsidRPr="00E7520B">
          <w:rPr>
            <w:color w:val="0000FF"/>
            <w:u w:val="single"/>
            <w:rtl/>
          </w:rPr>
          <w:t xml:space="preserve"> 2281/15</w:t>
        </w:r>
      </w:hyperlink>
      <w:r>
        <w:rPr>
          <w:rFonts w:hint="cs"/>
          <w:rtl/>
        </w:rPr>
        <w:t xml:space="preserve"> </w:t>
      </w:r>
      <w:r>
        <w:rPr>
          <w:rFonts w:hint="cs"/>
          <w:b/>
          <w:bCs/>
          <w:rtl/>
        </w:rPr>
        <w:t xml:space="preserve">חדיג'ה נ' מדינת ישראל </w:t>
      </w:r>
      <w:r>
        <w:rPr>
          <w:rFonts w:hint="cs"/>
          <w:rtl/>
        </w:rPr>
        <w:t xml:space="preserve">(27.4.2015) שם הורשע הנאשם בהחזקת נשק (אקדח, שתי מחסניות ו-18 כדורים) כשהם עטופים בשקית ומוטמנים באדמה. בית משפט השלום גזר על הנאשם שישה חודשי מאסר לריצוי בפועל, אולם בית המשפט המחוזי קיבל את ערעור המדינה, והעמיד את העונש על 10 חודשי מאסר בפועל. בית המשפט העליון דחה את בקשת רשות הערעור, תוך שציין כי העונש שהושת על הנאשם אינו חורג ממדיניות הענישה המקובלת. </w:t>
      </w:r>
    </w:p>
    <w:p w14:paraId="7C561C35" w14:textId="77777777" w:rsidR="0044303A" w:rsidRDefault="0044303A" w:rsidP="0044303A">
      <w:pPr>
        <w:spacing w:line="360" w:lineRule="auto"/>
        <w:ind w:left="720" w:hanging="720"/>
        <w:jc w:val="both"/>
        <w:rPr>
          <w:rtl/>
        </w:rPr>
      </w:pPr>
    </w:p>
    <w:p w14:paraId="0E851119" w14:textId="77777777" w:rsidR="0044303A" w:rsidRPr="00B02F30" w:rsidRDefault="0044303A" w:rsidP="0044303A">
      <w:pPr>
        <w:spacing w:line="360" w:lineRule="auto"/>
        <w:ind w:left="720" w:hanging="720"/>
        <w:jc w:val="both"/>
        <w:rPr>
          <w:rtl/>
        </w:rPr>
      </w:pPr>
      <w:r>
        <w:rPr>
          <w:rtl/>
        </w:rPr>
        <w:tab/>
      </w:r>
      <w:r>
        <w:rPr>
          <w:rFonts w:hint="cs"/>
          <w:rtl/>
        </w:rPr>
        <w:t xml:space="preserve">יש ליתן את הדעת לעובדה כי בענייננו דובר באקדח שהועבר ממקום למקום (ומכאן ההרשעה בעבירה של נשיאת נשק) כך שניתן לומר כי הענישה צריכה להיות חמורה יותר באופן משמעותי. </w:t>
      </w:r>
    </w:p>
    <w:p w14:paraId="21ED98AB" w14:textId="77777777" w:rsidR="0044303A" w:rsidRDefault="0044303A" w:rsidP="0044303A">
      <w:pPr>
        <w:spacing w:line="360" w:lineRule="auto"/>
        <w:ind w:left="720" w:hanging="720"/>
        <w:jc w:val="both"/>
        <w:rPr>
          <w:rtl/>
        </w:rPr>
      </w:pPr>
    </w:p>
    <w:p w14:paraId="33068E85" w14:textId="77777777" w:rsidR="0044303A" w:rsidRDefault="0044303A" w:rsidP="0044303A">
      <w:pPr>
        <w:spacing w:line="360" w:lineRule="auto"/>
        <w:ind w:left="720" w:hanging="720"/>
        <w:jc w:val="both"/>
        <w:rPr>
          <w:rtl/>
        </w:rPr>
      </w:pPr>
      <w:r>
        <w:rPr>
          <w:rFonts w:hint="cs"/>
          <w:rtl/>
        </w:rPr>
        <w:tab/>
      </w:r>
      <w:hyperlink r:id="rId25" w:history="1">
        <w:r w:rsidR="00E7520B" w:rsidRPr="00E7520B">
          <w:rPr>
            <w:rFonts w:hint="eastAsia"/>
            <w:color w:val="0000FF"/>
            <w:u w:val="single"/>
            <w:rtl/>
          </w:rPr>
          <w:t>ע</w:t>
        </w:r>
        <w:r w:rsidR="00E7520B" w:rsidRPr="00E7520B">
          <w:rPr>
            <w:color w:val="0000FF"/>
            <w:u w:val="single"/>
            <w:rtl/>
          </w:rPr>
          <w:t>"</w:t>
        </w:r>
        <w:r w:rsidR="00E7520B" w:rsidRPr="00E7520B">
          <w:rPr>
            <w:rFonts w:hint="eastAsia"/>
            <w:color w:val="0000FF"/>
            <w:u w:val="single"/>
            <w:rtl/>
          </w:rPr>
          <w:t>פ</w:t>
        </w:r>
        <w:r w:rsidR="00E7520B" w:rsidRPr="00E7520B">
          <w:rPr>
            <w:color w:val="0000FF"/>
            <w:u w:val="single"/>
            <w:rtl/>
          </w:rPr>
          <w:t xml:space="preserve"> 2398/14</w:t>
        </w:r>
      </w:hyperlink>
      <w:r>
        <w:rPr>
          <w:rFonts w:hint="cs"/>
          <w:rtl/>
        </w:rPr>
        <w:t xml:space="preserve"> </w:t>
      </w:r>
      <w:r>
        <w:rPr>
          <w:rFonts w:hint="cs"/>
          <w:b/>
          <w:bCs/>
          <w:rtl/>
        </w:rPr>
        <w:t xml:space="preserve">אלהוזייל נ' מדינת ישראל </w:t>
      </w:r>
      <w:r>
        <w:rPr>
          <w:rFonts w:hint="cs"/>
          <w:rtl/>
        </w:rPr>
        <w:t xml:space="preserve">(8.7.2014) שם הורשע הנאשם בעבירה של </w:t>
      </w:r>
      <w:r w:rsidRPr="00A24F2A">
        <w:rPr>
          <w:rFonts w:hint="cs"/>
          <w:b/>
          <w:bCs/>
          <w:rtl/>
        </w:rPr>
        <w:t>החזקת נשק</w:t>
      </w:r>
      <w:r>
        <w:rPr>
          <w:rFonts w:hint="cs"/>
          <w:rtl/>
        </w:rPr>
        <w:t xml:space="preserve"> (אקדח, מחסנית עם 8 כדורים וקופסא ובה 38 כדורים נוספים). בית המשפט המחוזי הטיל עונש של </w:t>
      </w:r>
      <w:r w:rsidRPr="00A24F2A">
        <w:rPr>
          <w:rFonts w:hint="cs"/>
          <w:b/>
          <w:bCs/>
          <w:rtl/>
        </w:rPr>
        <w:t>13 חודשי מאסר</w:t>
      </w:r>
      <w:r>
        <w:rPr>
          <w:rFonts w:hint="cs"/>
          <w:rtl/>
        </w:rPr>
        <w:t xml:space="preserve">, ובית המשפט העליון דחה את הערעור. </w:t>
      </w:r>
    </w:p>
    <w:p w14:paraId="1D965936" w14:textId="77777777" w:rsidR="0044303A" w:rsidRDefault="0044303A" w:rsidP="0044303A">
      <w:pPr>
        <w:spacing w:line="360" w:lineRule="auto"/>
        <w:ind w:left="720" w:hanging="720"/>
        <w:jc w:val="both"/>
        <w:rPr>
          <w:rtl/>
        </w:rPr>
      </w:pPr>
    </w:p>
    <w:p w14:paraId="2BE93EBD" w14:textId="77777777" w:rsidR="0044303A" w:rsidRDefault="0044303A" w:rsidP="0044303A">
      <w:pPr>
        <w:spacing w:line="360" w:lineRule="auto"/>
        <w:ind w:left="720" w:hanging="720"/>
        <w:jc w:val="both"/>
        <w:rPr>
          <w:rtl/>
        </w:rPr>
      </w:pPr>
      <w:r>
        <w:rPr>
          <w:rtl/>
        </w:rPr>
        <w:tab/>
      </w:r>
      <w:r>
        <w:rPr>
          <w:rFonts w:hint="cs"/>
          <w:rtl/>
        </w:rPr>
        <w:t xml:space="preserve">גם כאן יש ליתן את הדעת לעובדה כי מדובר בענישה המשקפת עבירה של החזקת נשק בלבד ולא מקבץ הכולל עבירות של נשיאת נשק, נהיגה בפזיזות ורשלנות והפרעה לשוטר במילוי תפקידו, כך שברור כי הענישה צריכה להיות חמורה יותר.  </w:t>
      </w:r>
    </w:p>
    <w:p w14:paraId="2E18B57F" w14:textId="77777777" w:rsidR="0044303A" w:rsidRDefault="0044303A" w:rsidP="0044303A">
      <w:pPr>
        <w:spacing w:line="360" w:lineRule="auto"/>
        <w:ind w:left="720" w:hanging="720"/>
        <w:jc w:val="both"/>
        <w:rPr>
          <w:rtl/>
        </w:rPr>
      </w:pPr>
    </w:p>
    <w:p w14:paraId="04F7A501" w14:textId="77777777" w:rsidR="0044303A" w:rsidRDefault="0044303A" w:rsidP="0044303A">
      <w:pPr>
        <w:spacing w:line="360" w:lineRule="auto"/>
        <w:ind w:left="720" w:hanging="720"/>
        <w:jc w:val="both"/>
        <w:rPr>
          <w:rtl/>
        </w:rPr>
      </w:pPr>
      <w:r>
        <w:rPr>
          <w:rtl/>
        </w:rPr>
        <w:tab/>
      </w:r>
      <w:hyperlink r:id="rId26" w:history="1">
        <w:r w:rsidR="00E7520B" w:rsidRPr="00E7520B">
          <w:rPr>
            <w:rFonts w:hint="eastAsia"/>
            <w:color w:val="0000FF"/>
            <w:u w:val="single"/>
            <w:rtl/>
          </w:rPr>
          <w:t>ע</w:t>
        </w:r>
        <w:r w:rsidR="00E7520B" w:rsidRPr="00E7520B">
          <w:rPr>
            <w:color w:val="0000FF"/>
            <w:u w:val="single"/>
            <w:rtl/>
          </w:rPr>
          <w:t>"</w:t>
        </w:r>
        <w:r w:rsidR="00E7520B" w:rsidRPr="00E7520B">
          <w:rPr>
            <w:rFonts w:hint="eastAsia"/>
            <w:color w:val="0000FF"/>
            <w:u w:val="single"/>
            <w:rtl/>
          </w:rPr>
          <w:t>פ</w:t>
        </w:r>
        <w:r w:rsidR="00E7520B" w:rsidRPr="00E7520B">
          <w:rPr>
            <w:color w:val="0000FF"/>
            <w:u w:val="single"/>
            <w:rtl/>
          </w:rPr>
          <w:t xml:space="preserve"> 4945/13</w:t>
        </w:r>
      </w:hyperlink>
      <w:r>
        <w:rPr>
          <w:rFonts w:hint="cs"/>
          <w:rtl/>
        </w:rPr>
        <w:t xml:space="preserve"> </w:t>
      </w:r>
      <w:r>
        <w:rPr>
          <w:rFonts w:hint="cs"/>
          <w:b/>
          <w:bCs/>
          <w:rtl/>
        </w:rPr>
        <w:t>מדינת ישראל נ' סלימאן</w:t>
      </w:r>
      <w:r>
        <w:rPr>
          <w:rFonts w:hint="cs"/>
          <w:rtl/>
        </w:rPr>
        <w:t xml:space="preserve"> (19.1.2014) שם הורשע הנאשם בעבירות של רכישה והחזקת נשק, נשיאה והובלת נשק, נשיאה והובלת תחמושת, הפרעה לשוטר במילוי תפקידו, מעשה פזיזות ורשלנות, והסתייעות ברכב לביצוע פשע. דובר בנאשם שרכש תת מקלע וכן מחסנית וכדורים, נסע עם הנשק והתחמושת לחורשה, שם ירה יריה אחת באוויר, ולאחר מכן הטמין את הפריטים בסמוך לביתו. כיום לאחר מכן, נהג ברכב בעודו נושא את הנשק והתחמושת, וכשהבחין בשוטרים המסיירים באזור, נטש את הרכב כשהוא מונע ונמלט מן המקום. בית המשפט המחוזי קבע מתחם עונש הולם הנע בין שישה חודשי מאסר לריצוי בדרך של עבודות שרות לבין 20 חודשי מאסר</w:t>
      </w:r>
      <w:r w:rsidRPr="00A24F2A">
        <w:rPr>
          <w:rFonts w:hint="cs"/>
          <w:rtl/>
        </w:rPr>
        <w:t>. בית המשפט העליון קבע כי מתחם העונש ההולם צריך לנוע בין 12 חודשי מאסר ל- 36 חודשי מאסר, אף כי</w:t>
      </w:r>
      <w:r>
        <w:rPr>
          <w:rFonts w:hint="cs"/>
          <w:rtl/>
        </w:rPr>
        <w:t xml:space="preserve"> בנסיבות העניין ראה ליתן משקל ממשי לשיקולי השיקום, ועל כן הותיר על כנו את הענישה שהוטלה בבית המשפט המחוזי. </w:t>
      </w:r>
    </w:p>
    <w:p w14:paraId="2B81BF00" w14:textId="77777777" w:rsidR="0044303A" w:rsidRDefault="0044303A" w:rsidP="0044303A">
      <w:pPr>
        <w:spacing w:line="360" w:lineRule="auto"/>
        <w:ind w:left="720" w:hanging="720"/>
        <w:jc w:val="both"/>
        <w:rPr>
          <w:rtl/>
        </w:rPr>
      </w:pPr>
    </w:p>
    <w:p w14:paraId="2B894036" w14:textId="77777777" w:rsidR="0044303A" w:rsidRDefault="0044303A" w:rsidP="0044303A">
      <w:pPr>
        <w:spacing w:line="360" w:lineRule="auto"/>
        <w:ind w:left="720" w:hanging="720"/>
        <w:jc w:val="both"/>
        <w:rPr>
          <w:rtl/>
        </w:rPr>
      </w:pPr>
      <w:r>
        <w:rPr>
          <w:rtl/>
        </w:rPr>
        <w:tab/>
      </w:r>
      <w:r>
        <w:rPr>
          <w:rFonts w:hint="cs"/>
          <w:rtl/>
        </w:rPr>
        <w:t xml:space="preserve">מקרה זה דומה לענייננו, אם כי נראה שהעבירה של נהיגה בפזיזות ורשלנות בענייננו, חמורה יותר מאשר הנסיבות שתוארו בעניין סלימאן. </w:t>
      </w:r>
    </w:p>
    <w:p w14:paraId="4B712FF5" w14:textId="77777777" w:rsidR="0044303A" w:rsidRDefault="0044303A" w:rsidP="0044303A">
      <w:pPr>
        <w:spacing w:line="360" w:lineRule="auto"/>
        <w:ind w:left="720"/>
        <w:jc w:val="both"/>
        <w:rPr>
          <w:rtl/>
        </w:rPr>
      </w:pPr>
    </w:p>
    <w:p w14:paraId="5049A9C3" w14:textId="77777777" w:rsidR="0044303A" w:rsidRDefault="00E7520B" w:rsidP="0044303A">
      <w:pPr>
        <w:spacing w:line="360" w:lineRule="auto"/>
        <w:ind w:left="720"/>
        <w:jc w:val="both"/>
        <w:rPr>
          <w:rtl/>
        </w:rPr>
      </w:pPr>
      <w:hyperlink r:id="rId27" w:history="1">
        <w:r w:rsidRPr="00E7520B">
          <w:rPr>
            <w:rFonts w:hint="eastAsia"/>
            <w:color w:val="0000FF"/>
            <w:u w:val="single"/>
            <w:rtl/>
          </w:rPr>
          <w:t>ע</w:t>
        </w:r>
        <w:r w:rsidRPr="00E7520B">
          <w:rPr>
            <w:color w:val="0000FF"/>
            <w:u w:val="single"/>
            <w:rtl/>
          </w:rPr>
          <w:t>"</w:t>
        </w:r>
        <w:r w:rsidRPr="00E7520B">
          <w:rPr>
            <w:rFonts w:hint="eastAsia"/>
            <w:color w:val="0000FF"/>
            <w:u w:val="single"/>
            <w:rtl/>
          </w:rPr>
          <w:t>פ</w:t>
        </w:r>
        <w:r w:rsidRPr="00E7520B">
          <w:rPr>
            <w:color w:val="0000FF"/>
            <w:u w:val="single"/>
            <w:rtl/>
          </w:rPr>
          <w:t xml:space="preserve"> 4329/10</w:t>
        </w:r>
      </w:hyperlink>
      <w:r w:rsidR="0044303A">
        <w:rPr>
          <w:rFonts w:hint="cs"/>
          <w:rtl/>
        </w:rPr>
        <w:t xml:space="preserve"> </w:t>
      </w:r>
      <w:r w:rsidR="0044303A">
        <w:rPr>
          <w:rFonts w:hint="cs"/>
          <w:b/>
          <w:bCs/>
          <w:rtl/>
        </w:rPr>
        <w:t>אסמאעיל נ' מדינת ישראל</w:t>
      </w:r>
      <w:r w:rsidR="0044303A">
        <w:rPr>
          <w:rFonts w:hint="cs"/>
          <w:rtl/>
        </w:rPr>
        <w:t xml:space="preserve"> (14.11.2010) שם דובר בנאשם אשר הורשע בהחזקה ונשיאה של נשק (אקדח טעון) והוטלו עליו </w:t>
      </w:r>
      <w:r w:rsidR="0044303A" w:rsidRPr="00A24F2A">
        <w:rPr>
          <w:rFonts w:hint="cs"/>
          <w:b/>
          <w:bCs/>
          <w:rtl/>
        </w:rPr>
        <w:t>20 חודשי מאסר</w:t>
      </w:r>
      <w:r w:rsidR="0044303A">
        <w:rPr>
          <w:rFonts w:hint="cs"/>
          <w:rtl/>
        </w:rPr>
        <w:t>. בית המשפט העליון, ואף שדובר בנאשם צעיר ונורמטיבי ללא עבר פלילי, אשר קיבל אחריות על מעשיו, דחה את ערעורו.</w:t>
      </w:r>
    </w:p>
    <w:p w14:paraId="35027CED" w14:textId="77777777" w:rsidR="0044303A" w:rsidRDefault="0044303A" w:rsidP="0044303A">
      <w:pPr>
        <w:spacing w:line="360" w:lineRule="auto"/>
        <w:ind w:left="720"/>
        <w:jc w:val="both"/>
        <w:rPr>
          <w:rtl/>
        </w:rPr>
      </w:pPr>
    </w:p>
    <w:p w14:paraId="3B7F56D5" w14:textId="77777777" w:rsidR="0044303A" w:rsidRDefault="0044303A" w:rsidP="0044303A">
      <w:pPr>
        <w:spacing w:line="360" w:lineRule="auto"/>
        <w:ind w:left="720" w:hanging="720"/>
        <w:jc w:val="both"/>
        <w:rPr>
          <w:rtl/>
        </w:rPr>
      </w:pPr>
      <w:r>
        <w:rPr>
          <w:rFonts w:hint="cs"/>
          <w:rtl/>
        </w:rPr>
        <w:t>11.</w:t>
      </w:r>
      <w:r>
        <w:rPr>
          <w:rtl/>
        </w:rPr>
        <w:tab/>
      </w:r>
      <w:r>
        <w:rPr>
          <w:rFonts w:hint="cs"/>
          <w:rtl/>
        </w:rPr>
        <w:t xml:space="preserve">בכל הנוגע לנסיבות ביצוע העבירה, אין חולק כי יש לראות בהן ככאלה המשקפות חומרה משמעותית הנובעת מסוג הנשק, העובדה כי הוחזקו בצמוד לו מספר רב של כדורים, ועצם הובלתו ממקום למקום, מהלך אשר יש בו כדי לרמז על כוונת שימוש קרובה. דרך בריחתו של נאשם 1 מהשוטרים, תוך שהוא נוהג בפראות וסוטה בין נתיבים, מעצימה את החומרה הגלומה באירוע, ומשליכה אף היא על קביעת מתחם העונש ההולם. </w:t>
      </w:r>
    </w:p>
    <w:p w14:paraId="1F32EED7" w14:textId="77777777" w:rsidR="0044303A" w:rsidRDefault="0044303A" w:rsidP="0044303A">
      <w:pPr>
        <w:spacing w:line="360" w:lineRule="auto"/>
        <w:ind w:left="720" w:hanging="720"/>
        <w:jc w:val="both"/>
        <w:rPr>
          <w:rtl/>
        </w:rPr>
      </w:pPr>
    </w:p>
    <w:p w14:paraId="00017032" w14:textId="77777777" w:rsidR="0044303A" w:rsidRDefault="0044303A" w:rsidP="0044303A">
      <w:pPr>
        <w:spacing w:line="360" w:lineRule="auto"/>
        <w:ind w:left="720" w:hanging="720"/>
        <w:jc w:val="both"/>
        <w:rPr>
          <w:rtl/>
        </w:rPr>
      </w:pPr>
      <w:r>
        <w:rPr>
          <w:rFonts w:hint="cs"/>
          <w:rtl/>
        </w:rPr>
        <w:t>12.</w:t>
      </w:r>
      <w:r>
        <w:rPr>
          <w:rFonts w:hint="cs"/>
          <w:rtl/>
        </w:rPr>
        <w:tab/>
        <w:t>על יסוד האמור לעיל, בהתחשב בערכים החברתיים הנפגעים ומידת הפגיעה בהם, ולאור נסיבות ביצוע העבירות ומידת אשמתם (השונה) של הנאשמים, תוך התחשבות במדיניות הענישה הנהוגה, ראיתי לקבוע את מתחמי הענישה באופן הבא:</w:t>
      </w:r>
    </w:p>
    <w:p w14:paraId="5239E995" w14:textId="77777777" w:rsidR="0044303A" w:rsidRDefault="0044303A" w:rsidP="0044303A">
      <w:pPr>
        <w:spacing w:line="360" w:lineRule="auto"/>
        <w:ind w:left="720" w:hanging="720"/>
        <w:jc w:val="both"/>
        <w:rPr>
          <w:rtl/>
        </w:rPr>
      </w:pPr>
    </w:p>
    <w:p w14:paraId="12C2D48C" w14:textId="77777777" w:rsidR="0044303A" w:rsidRDefault="0044303A" w:rsidP="0044303A">
      <w:pPr>
        <w:spacing w:line="360" w:lineRule="auto"/>
        <w:ind w:left="720" w:hanging="720"/>
        <w:jc w:val="both"/>
        <w:rPr>
          <w:rtl/>
        </w:rPr>
      </w:pPr>
      <w:r w:rsidRPr="00355BDD">
        <w:rPr>
          <w:rtl/>
        </w:rPr>
        <w:tab/>
      </w:r>
      <w:r w:rsidRPr="00355BDD">
        <w:rPr>
          <w:rFonts w:hint="cs"/>
          <w:rtl/>
        </w:rPr>
        <w:t>נאשם 1:</w:t>
      </w:r>
      <w:r>
        <w:rPr>
          <w:rFonts w:hint="cs"/>
          <w:rtl/>
        </w:rPr>
        <w:t xml:space="preserve"> מתחם העונש ההולם ינוע בין 16 חודשי מאסר ועד 40 חודשי מאסר.  </w:t>
      </w:r>
    </w:p>
    <w:p w14:paraId="5760B0E9" w14:textId="77777777" w:rsidR="0044303A" w:rsidRDefault="0044303A" w:rsidP="0044303A">
      <w:pPr>
        <w:spacing w:line="360" w:lineRule="auto"/>
        <w:ind w:left="720" w:hanging="720"/>
        <w:jc w:val="both"/>
        <w:rPr>
          <w:rtl/>
        </w:rPr>
      </w:pPr>
    </w:p>
    <w:p w14:paraId="336FC15F" w14:textId="77777777" w:rsidR="0044303A" w:rsidRDefault="0044303A" w:rsidP="0044303A">
      <w:pPr>
        <w:spacing w:line="360" w:lineRule="auto"/>
        <w:ind w:left="720" w:hanging="720"/>
        <w:jc w:val="both"/>
        <w:rPr>
          <w:rtl/>
        </w:rPr>
      </w:pPr>
      <w:r>
        <w:rPr>
          <w:rFonts w:hint="cs"/>
          <w:rtl/>
        </w:rPr>
        <w:tab/>
        <w:t xml:space="preserve">נאשם 2: מתחם העונש ההולם ינוע בין 6 חודשי מאסר לריצוי בדרך של עבודות שרות ועד 16 חודשי מאסר. </w:t>
      </w:r>
    </w:p>
    <w:p w14:paraId="615A3479" w14:textId="77777777" w:rsidR="0044303A" w:rsidRDefault="0044303A" w:rsidP="0044303A">
      <w:pPr>
        <w:spacing w:line="360" w:lineRule="auto"/>
        <w:ind w:left="720" w:hanging="720"/>
        <w:jc w:val="both"/>
        <w:rPr>
          <w:rtl/>
        </w:rPr>
      </w:pPr>
    </w:p>
    <w:p w14:paraId="5C9BF36D" w14:textId="77777777" w:rsidR="0044303A" w:rsidRDefault="0044303A" w:rsidP="0044303A">
      <w:pPr>
        <w:spacing w:line="360" w:lineRule="auto"/>
        <w:ind w:left="720" w:hanging="720"/>
        <w:jc w:val="both"/>
        <w:rPr>
          <w:rtl/>
        </w:rPr>
      </w:pPr>
      <w:r>
        <w:rPr>
          <w:rtl/>
        </w:rPr>
        <w:tab/>
      </w:r>
      <w:r w:rsidRPr="00355BDD">
        <w:rPr>
          <w:rFonts w:hint="cs"/>
          <w:u w:val="single"/>
          <w:rtl/>
        </w:rPr>
        <w:t>השיקולים הרלוונטיים לקביעת העונש המתאים</w:t>
      </w:r>
    </w:p>
    <w:p w14:paraId="65D684E5" w14:textId="77777777" w:rsidR="0044303A" w:rsidRDefault="0044303A" w:rsidP="0044303A">
      <w:pPr>
        <w:spacing w:line="360" w:lineRule="auto"/>
        <w:ind w:left="720" w:hanging="720"/>
        <w:jc w:val="both"/>
        <w:rPr>
          <w:rtl/>
        </w:rPr>
      </w:pPr>
    </w:p>
    <w:p w14:paraId="71B53F66" w14:textId="77777777" w:rsidR="0044303A" w:rsidRDefault="0044303A" w:rsidP="0044303A">
      <w:pPr>
        <w:spacing w:line="360" w:lineRule="auto"/>
        <w:ind w:left="720" w:hanging="720"/>
        <w:jc w:val="both"/>
        <w:rPr>
          <w:rtl/>
        </w:rPr>
      </w:pPr>
      <w:r>
        <w:rPr>
          <w:rFonts w:hint="cs"/>
          <w:rtl/>
        </w:rPr>
        <w:t>13.</w:t>
      </w:r>
      <w:r>
        <w:rPr>
          <w:rFonts w:hint="cs"/>
          <w:rtl/>
        </w:rPr>
        <w:tab/>
        <w:t>בבואי לבחון את העונש המתאים לכל אחד מהנאמים, נתתי דעתי לנתונים הבאים:</w:t>
      </w:r>
    </w:p>
    <w:p w14:paraId="514E0FB5" w14:textId="77777777" w:rsidR="0044303A" w:rsidRDefault="0044303A" w:rsidP="0044303A">
      <w:pPr>
        <w:spacing w:line="360" w:lineRule="auto"/>
        <w:ind w:left="720" w:hanging="720"/>
        <w:jc w:val="both"/>
        <w:rPr>
          <w:rtl/>
        </w:rPr>
      </w:pPr>
    </w:p>
    <w:p w14:paraId="3ABD8312" w14:textId="77777777" w:rsidR="0044303A" w:rsidRDefault="0044303A" w:rsidP="0044303A">
      <w:pPr>
        <w:spacing w:line="360" w:lineRule="auto"/>
        <w:ind w:left="720" w:hanging="720"/>
        <w:jc w:val="both"/>
        <w:rPr>
          <w:rtl/>
        </w:rPr>
      </w:pPr>
      <w:r>
        <w:rPr>
          <w:rtl/>
        </w:rPr>
        <w:tab/>
      </w:r>
      <w:r>
        <w:rPr>
          <w:rFonts w:hint="cs"/>
          <w:rtl/>
        </w:rPr>
        <w:t xml:space="preserve">(א) הודאת הנאשמים - שני הנאשמים קיבלו אחריות מלאה על מעשיהם כבר בתחילת ההליך המשפטי, ועוד טרם התקיימה הקראה. מדובר במהלך אשר מצדיק, מטבעו, הקלה בעונש, וכך יש לנהוג אף בענייננו. </w:t>
      </w:r>
    </w:p>
    <w:p w14:paraId="135A2E19" w14:textId="77777777" w:rsidR="0044303A" w:rsidRDefault="0044303A" w:rsidP="0044303A">
      <w:pPr>
        <w:spacing w:line="360" w:lineRule="auto"/>
        <w:ind w:left="720" w:hanging="720"/>
        <w:jc w:val="both"/>
        <w:rPr>
          <w:rtl/>
        </w:rPr>
      </w:pPr>
    </w:p>
    <w:p w14:paraId="05A71F6C" w14:textId="77777777" w:rsidR="0044303A" w:rsidRDefault="0044303A" w:rsidP="0044303A">
      <w:pPr>
        <w:spacing w:line="360" w:lineRule="auto"/>
        <w:ind w:left="720" w:hanging="720"/>
        <w:jc w:val="both"/>
        <w:rPr>
          <w:rtl/>
        </w:rPr>
      </w:pPr>
      <w:r>
        <w:rPr>
          <w:rtl/>
        </w:rPr>
        <w:tab/>
      </w:r>
      <w:r>
        <w:rPr>
          <w:rFonts w:hint="cs"/>
          <w:rtl/>
        </w:rPr>
        <w:t xml:space="preserve">(ב) גיל צעיר - שני הנאשמים נמנים על אוכלוסיית ה"בגירים-צעירים", וברור כי יש בכך כדי להצדיק התחשבות בענישה.  </w:t>
      </w:r>
    </w:p>
    <w:p w14:paraId="776D1765" w14:textId="77777777" w:rsidR="0044303A" w:rsidRDefault="0044303A" w:rsidP="0044303A">
      <w:pPr>
        <w:spacing w:line="360" w:lineRule="auto"/>
        <w:ind w:left="720" w:hanging="720"/>
        <w:jc w:val="both"/>
        <w:rPr>
          <w:rtl/>
        </w:rPr>
      </w:pPr>
    </w:p>
    <w:p w14:paraId="2F27817E" w14:textId="77777777" w:rsidR="0044303A" w:rsidRDefault="0044303A" w:rsidP="0044303A">
      <w:pPr>
        <w:spacing w:line="360" w:lineRule="auto"/>
        <w:ind w:left="720" w:hanging="720"/>
        <w:jc w:val="both"/>
        <w:rPr>
          <w:rtl/>
        </w:rPr>
      </w:pPr>
      <w:r>
        <w:rPr>
          <w:rtl/>
        </w:rPr>
        <w:tab/>
      </w:r>
      <w:r>
        <w:rPr>
          <w:rFonts w:hint="cs"/>
          <w:rtl/>
        </w:rPr>
        <w:t xml:space="preserve">(ג) העדר עבר פלילי - אין לחובת הנאשמים עבר פלילי, כך שניתן לראות את אירועי כתב האישום ככשל שאינו משקף את אורחות חייהם. </w:t>
      </w:r>
    </w:p>
    <w:p w14:paraId="199F85BC" w14:textId="77777777" w:rsidR="0044303A" w:rsidRDefault="0044303A" w:rsidP="0044303A">
      <w:pPr>
        <w:spacing w:line="360" w:lineRule="auto"/>
        <w:ind w:left="720" w:hanging="720"/>
        <w:jc w:val="both"/>
        <w:rPr>
          <w:rtl/>
        </w:rPr>
      </w:pPr>
    </w:p>
    <w:p w14:paraId="17DA314D" w14:textId="77777777" w:rsidR="0044303A" w:rsidRDefault="0044303A" w:rsidP="0044303A">
      <w:pPr>
        <w:spacing w:line="360" w:lineRule="auto"/>
        <w:ind w:left="720" w:hanging="720"/>
        <w:jc w:val="both"/>
        <w:rPr>
          <w:rtl/>
        </w:rPr>
      </w:pPr>
      <w:r>
        <w:rPr>
          <w:rtl/>
        </w:rPr>
        <w:tab/>
      </w:r>
      <w:r>
        <w:rPr>
          <w:rFonts w:hint="cs"/>
          <w:rtl/>
        </w:rPr>
        <w:t xml:space="preserve">(ד) נסיבות אישיות - לאחר עיון בתסקירי שרות המבחן לא ראיתי כי יש בנסיבותיהם האישיות של הנאשמים כדי להשליך על קביעת העונש המתאים. על פניו, מדובר בשני נאשמים אשר גדלו במשפחות נורמטיביות ויצרניות, ולא ראיתי כל סיבה אשר יכולה להצדיק, ולו בדוחק, סטייה מדרך הישר והתנהלות בדרך עבריינית. </w:t>
      </w:r>
    </w:p>
    <w:p w14:paraId="28A20CB3" w14:textId="77777777" w:rsidR="0044303A" w:rsidRDefault="0044303A" w:rsidP="0044303A">
      <w:pPr>
        <w:spacing w:line="360" w:lineRule="auto"/>
        <w:ind w:left="720" w:hanging="720"/>
        <w:jc w:val="both"/>
        <w:rPr>
          <w:rtl/>
        </w:rPr>
      </w:pPr>
    </w:p>
    <w:p w14:paraId="6BCDEB91" w14:textId="77777777" w:rsidR="0044303A" w:rsidRDefault="0044303A" w:rsidP="0044303A">
      <w:pPr>
        <w:spacing w:line="360" w:lineRule="auto"/>
        <w:ind w:left="720" w:hanging="720"/>
        <w:jc w:val="both"/>
        <w:rPr>
          <w:rtl/>
        </w:rPr>
      </w:pPr>
      <w:r>
        <w:rPr>
          <w:rtl/>
        </w:rPr>
        <w:tab/>
      </w:r>
      <w:r>
        <w:rPr>
          <w:rFonts w:hint="cs"/>
          <w:rtl/>
        </w:rPr>
        <w:t xml:space="preserve">(ה) מאסר ראשון - בענייננו של נאשם 1, יש ליתן את הדעת לעובדה כי מדובר במאסרו הראשון והפסיקה הכירה בנתון זה הנתון המוביל להקלה מסויימת בענישה. </w:t>
      </w:r>
    </w:p>
    <w:p w14:paraId="55D310E3" w14:textId="77777777" w:rsidR="0044303A" w:rsidRDefault="0044303A" w:rsidP="0044303A">
      <w:pPr>
        <w:ind w:left="720" w:hanging="720"/>
        <w:jc w:val="both"/>
        <w:rPr>
          <w:rtl/>
        </w:rPr>
      </w:pPr>
    </w:p>
    <w:p w14:paraId="1D3BAE02" w14:textId="77777777" w:rsidR="0044303A" w:rsidRDefault="0044303A" w:rsidP="0044303A">
      <w:pPr>
        <w:spacing w:line="360" w:lineRule="auto"/>
        <w:ind w:left="720" w:hanging="720"/>
        <w:jc w:val="both"/>
        <w:rPr>
          <w:rtl/>
        </w:rPr>
      </w:pPr>
      <w:r>
        <w:rPr>
          <w:rtl/>
        </w:rPr>
        <w:tab/>
      </w:r>
      <w:r>
        <w:rPr>
          <w:rFonts w:hint="cs"/>
          <w:u w:val="single"/>
          <w:rtl/>
        </w:rPr>
        <w:t>סיכום</w:t>
      </w:r>
    </w:p>
    <w:p w14:paraId="158F3887" w14:textId="77777777" w:rsidR="0044303A" w:rsidRDefault="0044303A" w:rsidP="0044303A">
      <w:pPr>
        <w:ind w:left="720" w:hanging="720"/>
        <w:jc w:val="both"/>
        <w:rPr>
          <w:rtl/>
        </w:rPr>
      </w:pPr>
    </w:p>
    <w:p w14:paraId="3278568E" w14:textId="77777777" w:rsidR="0044303A" w:rsidRDefault="0044303A" w:rsidP="0044303A">
      <w:pPr>
        <w:spacing w:line="360" w:lineRule="auto"/>
        <w:ind w:left="720" w:hanging="720"/>
        <w:jc w:val="both"/>
        <w:rPr>
          <w:rtl/>
        </w:rPr>
      </w:pPr>
      <w:r>
        <w:rPr>
          <w:rFonts w:hint="cs"/>
          <w:rtl/>
        </w:rPr>
        <w:t>14.</w:t>
      </w:r>
      <w:r>
        <w:rPr>
          <w:rFonts w:hint="cs"/>
          <w:rtl/>
        </w:rPr>
        <w:tab/>
        <w:t>על יסוד האמור לעיל, ראיתי להטיל על הנאשמים את העונשים הבאים:</w:t>
      </w:r>
    </w:p>
    <w:p w14:paraId="4D9D5250" w14:textId="77777777" w:rsidR="0044303A" w:rsidRDefault="0044303A" w:rsidP="0044303A">
      <w:pPr>
        <w:spacing w:line="360" w:lineRule="auto"/>
        <w:ind w:left="720" w:hanging="720"/>
        <w:jc w:val="both"/>
        <w:rPr>
          <w:rtl/>
        </w:rPr>
      </w:pPr>
    </w:p>
    <w:p w14:paraId="276BA0E7" w14:textId="77777777" w:rsidR="0044303A" w:rsidRDefault="0044303A" w:rsidP="0044303A">
      <w:pPr>
        <w:spacing w:line="360" w:lineRule="auto"/>
        <w:ind w:left="720" w:hanging="720"/>
        <w:jc w:val="both"/>
        <w:rPr>
          <w:rtl/>
        </w:rPr>
      </w:pPr>
      <w:r>
        <w:rPr>
          <w:rtl/>
        </w:rPr>
        <w:tab/>
      </w:r>
      <w:r>
        <w:rPr>
          <w:rFonts w:hint="cs"/>
          <w:u w:val="single"/>
          <w:rtl/>
        </w:rPr>
        <w:t>נאשם 1</w:t>
      </w:r>
    </w:p>
    <w:p w14:paraId="67088F96" w14:textId="77777777" w:rsidR="0044303A" w:rsidRDefault="0044303A" w:rsidP="0044303A">
      <w:pPr>
        <w:spacing w:line="360" w:lineRule="auto"/>
        <w:ind w:left="720" w:hanging="720"/>
        <w:jc w:val="both"/>
        <w:rPr>
          <w:rtl/>
        </w:rPr>
      </w:pPr>
    </w:p>
    <w:p w14:paraId="4E796D3F" w14:textId="77777777" w:rsidR="0044303A" w:rsidRDefault="0044303A" w:rsidP="0044303A">
      <w:pPr>
        <w:spacing w:line="360" w:lineRule="auto"/>
        <w:ind w:left="720" w:hanging="720"/>
        <w:jc w:val="both"/>
        <w:rPr>
          <w:rtl/>
        </w:rPr>
      </w:pPr>
      <w:r>
        <w:rPr>
          <w:rtl/>
        </w:rPr>
        <w:tab/>
      </w:r>
      <w:r>
        <w:rPr>
          <w:rFonts w:hint="cs"/>
          <w:rtl/>
        </w:rPr>
        <w:t>א.</w:t>
      </w:r>
      <w:r>
        <w:rPr>
          <w:rFonts w:hint="cs"/>
          <w:rtl/>
        </w:rPr>
        <w:tab/>
        <w:t>18 חודשי מאסר לריצוי בפועל בניכוי תקופת מעצרו שבין יום 28.11.15 ועד ליום 28.12.15.</w:t>
      </w:r>
    </w:p>
    <w:p w14:paraId="2360D81D" w14:textId="77777777" w:rsidR="0044303A" w:rsidRDefault="0044303A" w:rsidP="0044303A">
      <w:pPr>
        <w:spacing w:line="360" w:lineRule="auto"/>
        <w:ind w:left="720" w:hanging="720"/>
        <w:jc w:val="both"/>
        <w:rPr>
          <w:rtl/>
        </w:rPr>
      </w:pPr>
      <w:r>
        <w:rPr>
          <w:rtl/>
        </w:rPr>
        <w:tab/>
      </w:r>
      <w:r>
        <w:rPr>
          <w:rtl/>
        </w:rPr>
        <w:tab/>
      </w:r>
      <w:r>
        <w:rPr>
          <w:rFonts w:hint="cs"/>
          <w:rtl/>
        </w:rPr>
        <w:t xml:space="preserve">הנאשם יתייצב ביום 5.7.16 בשעה 08:00 בבית מעצר ניצן לצורך ריצוי עונשו. </w:t>
      </w:r>
    </w:p>
    <w:p w14:paraId="554F9C49" w14:textId="77777777" w:rsidR="0044303A" w:rsidRDefault="0044303A" w:rsidP="0044303A">
      <w:pPr>
        <w:spacing w:line="360" w:lineRule="auto"/>
        <w:ind w:left="720" w:hanging="720"/>
        <w:jc w:val="both"/>
        <w:rPr>
          <w:rtl/>
        </w:rPr>
      </w:pPr>
    </w:p>
    <w:p w14:paraId="6A2B8EDC" w14:textId="77777777" w:rsidR="0044303A" w:rsidRPr="00C73F75" w:rsidRDefault="0044303A" w:rsidP="0044303A">
      <w:pPr>
        <w:spacing w:line="360" w:lineRule="auto"/>
        <w:ind w:left="1440" w:hanging="720"/>
        <w:jc w:val="both"/>
        <w:rPr>
          <w:rtl/>
        </w:rPr>
      </w:pPr>
      <w:r>
        <w:rPr>
          <w:rFonts w:hint="cs"/>
          <w:rtl/>
        </w:rPr>
        <w:t>ב.</w:t>
      </w:r>
      <w:r>
        <w:rPr>
          <w:rtl/>
        </w:rPr>
        <w:tab/>
      </w:r>
      <w:r>
        <w:rPr>
          <w:rFonts w:hint="cs"/>
          <w:rtl/>
        </w:rPr>
        <w:t xml:space="preserve">10 חודשי מאסר אולם הנאשם לא יישא עונש זה אלא אם יעבור תוך שלוש שנים מיום שחרורו עבירות לפי </w:t>
      </w:r>
      <w:hyperlink r:id="rId28" w:history="1">
        <w:r w:rsidR="008A4D17" w:rsidRPr="008A4D17">
          <w:rPr>
            <w:rFonts w:hint="eastAsia"/>
            <w:color w:val="0000FF"/>
            <w:u w:val="single"/>
            <w:rtl/>
          </w:rPr>
          <w:t>סעיף</w:t>
        </w:r>
        <w:r w:rsidR="008A4D17" w:rsidRPr="008A4D17">
          <w:rPr>
            <w:color w:val="0000FF"/>
            <w:u w:val="single"/>
            <w:rtl/>
          </w:rPr>
          <w:t xml:space="preserve"> 144</w:t>
        </w:r>
      </w:hyperlink>
      <w:r>
        <w:rPr>
          <w:rFonts w:hint="cs"/>
          <w:rtl/>
        </w:rPr>
        <w:t xml:space="preserve"> ל</w:t>
      </w:r>
      <w:hyperlink r:id="rId29" w:history="1">
        <w:r w:rsidR="00E7520B" w:rsidRPr="00E7520B">
          <w:rPr>
            <w:rFonts w:hint="eastAsia"/>
            <w:color w:val="0000FF"/>
            <w:u w:val="single"/>
            <w:rtl/>
          </w:rPr>
          <w:t>חוק</w:t>
        </w:r>
        <w:r w:rsidR="00E7520B" w:rsidRPr="00E7520B">
          <w:rPr>
            <w:color w:val="0000FF"/>
            <w:u w:val="single"/>
            <w:rtl/>
          </w:rPr>
          <w:t xml:space="preserve"> </w:t>
        </w:r>
        <w:r w:rsidR="00E7520B" w:rsidRPr="00E7520B">
          <w:rPr>
            <w:rFonts w:hint="eastAsia"/>
            <w:color w:val="0000FF"/>
            <w:u w:val="single"/>
            <w:rtl/>
          </w:rPr>
          <w:t>העונשין</w:t>
        </w:r>
      </w:hyperlink>
      <w:r>
        <w:rPr>
          <w:rFonts w:hint="cs"/>
          <w:rtl/>
        </w:rPr>
        <w:t xml:space="preserve"> מסוג פשע. </w:t>
      </w:r>
    </w:p>
    <w:p w14:paraId="24146ECE" w14:textId="77777777" w:rsidR="0044303A" w:rsidRDefault="0044303A" w:rsidP="0044303A">
      <w:pPr>
        <w:spacing w:line="360" w:lineRule="auto"/>
        <w:jc w:val="both"/>
        <w:rPr>
          <w:rtl/>
        </w:rPr>
      </w:pPr>
    </w:p>
    <w:p w14:paraId="3EEBA95B" w14:textId="77777777" w:rsidR="0044303A" w:rsidRDefault="0044303A" w:rsidP="0044303A">
      <w:pPr>
        <w:spacing w:line="360" w:lineRule="auto"/>
        <w:ind w:left="1440" w:hanging="720"/>
        <w:jc w:val="both"/>
        <w:rPr>
          <w:rtl/>
        </w:rPr>
      </w:pPr>
      <w:r>
        <w:rPr>
          <w:rFonts w:hint="cs"/>
          <w:rtl/>
        </w:rPr>
        <w:t>ג.</w:t>
      </w:r>
      <w:r>
        <w:rPr>
          <w:rtl/>
        </w:rPr>
        <w:tab/>
      </w:r>
      <w:r>
        <w:rPr>
          <w:rFonts w:hint="cs"/>
          <w:rtl/>
        </w:rPr>
        <w:t xml:space="preserve">6 חודשי מאסר אולם הנאשם לא יישא עונש זה אלא אם יעבור תוך שלוש שנים מיום שחרורו עבירות לפי </w:t>
      </w:r>
      <w:hyperlink r:id="rId30" w:history="1">
        <w:r w:rsidR="008A4D17" w:rsidRPr="008A4D17">
          <w:rPr>
            <w:rFonts w:hint="eastAsia"/>
            <w:color w:val="0000FF"/>
            <w:u w:val="single"/>
            <w:rtl/>
          </w:rPr>
          <w:t>סעיף</w:t>
        </w:r>
        <w:r w:rsidR="008A4D17" w:rsidRPr="008A4D17">
          <w:rPr>
            <w:color w:val="0000FF"/>
            <w:u w:val="single"/>
            <w:rtl/>
          </w:rPr>
          <w:t xml:space="preserve"> 144</w:t>
        </w:r>
      </w:hyperlink>
      <w:r>
        <w:rPr>
          <w:rFonts w:hint="cs"/>
          <w:rtl/>
        </w:rPr>
        <w:t xml:space="preserve"> ל</w:t>
      </w:r>
      <w:hyperlink r:id="rId31" w:history="1">
        <w:r w:rsidR="00E7520B" w:rsidRPr="00E7520B">
          <w:rPr>
            <w:rFonts w:hint="eastAsia"/>
            <w:color w:val="0000FF"/>
            <w:u w:val="single"/>
            <w:rtl/>
          </w:rPr>
          <w:t>חוק</w:t>
        </w:r>
        <w:r w:rsidR="00E7520B" w:rsidRPr="00E7520B">
          <w:rPr>
            <w:color w:val="0000FF"/>
            <w:u w:val="single"/>
            <w:rtl/>
          </w:rPr>
          <w:t xml:space="preserve"> </w:t>
        </w:r>
        <w:r w:rsidR="00E7520B" w:rsidRPr="00E7520B">
          <w:rPr>
            <w:rFonts w:hint="eastAsia"/>
            <w:color w:val="0000FF"/>
            <w:u w:val="single"/>
            <w:rtl/>
          </w:rPr>
          <w:t>העונשין</w:t>
        </w:r>
      </w:hyperlink>
      <w:r>
        <w:rPr>
          <w:rFonts w:hint="cs"/>
          <w:rtl/>
        </w:rPr>
        <w:t xml:space="preserve"> מסוג עוון, או עבירה לפי </w:t>
      </w:r>
      <w:hyperlink r:id="rId32" w:history="1">
        <w:r w:rsidR="008A4D17" w:rsidRPr="008A4D17">
          <w:rPr>
            <w:rFonts w:hint="eastAsia"/>
            <w:color w:val="0000FF"/>
            <w:u w:val="single"/>
            <w:rtl/>
          </w:rPr>
          <w:t>סעיף</w:t>
        </w:r>
        <w:r w:rsidR="008A4D17" w:rsidRPr="008A4D17">
          <w:rPr>
            <w:color w:val="0000FF"/>
            <w:u w:val="single"/>
            <w:rtl/>
          </w:rPr>
          <w:t xml:space="preserve"> 338.</w:t>
        </w:r>
      </w:hyperlink>
      <w:r>
        <w:rPr>
          <w:rFonts w:hint="cs"/>
          <w:rtl/>
        </w:rPr>
        <w:t xml:space="preserve"> </w:t>
      </w:r>
    </w:p>
    <w:p w14:paraId="71CCDDB3" w14:textId="77777777" w:rsidR="0044303A" w:rsidRDefault="0044303A" w:rsidP="0044303A">
      <w:pPr>
        <w:spacing w:line="360" w:lineRule="auto"/>
        <w:ind w:left="1440" w:hanging="720"/>
        <w:jc w:val="both"/>
        <w:rPr>
          <w:rtl/>
        </w:rPr>
      </w:pPr>
    </w:p>
    <w:p w14:paraId="5B620D78" w14:textId="77777777" w:rsidR="0044303A" w:rsidRDefault="0044303A" w:rsidP="0044303A">
      <w:pPr>
        <w:spacing w:line="360" w:lineRule="auto"/>
        <w:ind w:left="1440" w:hanging="720"/>
        <w:jc w:val="both"/>
        <w:rPr>
          <w:rtl/>
        </w:rPr>
      </w:pPr>
      <w:r>
        <w:rPr>
          <w:rFonts w:hint="cs"/>
          <w:rtl/>
        </w:rPr>
        <w:t>ד.</w:t>
      </w:r>
      <w:r>
        <w:rPr>
          <w:rtl/>
        </w:rPr>
        <w:tab/>
      </w:r>
      <w:r>
        <w:rPr>
          <w:rFonts w:hint="cs"/>
          <w:rtl/>
        </w:rPr>
        <w:t xml:space="preserve">3 חודשי מאסר אולם הנאשם לא יישא עונש זה אלא אם יעבור תוך שלוש שנים מיום שחרורו עבירה של הפרעה לשוטר במילוי תפקידו.  </w:t>
      </w:r>
    </w:p>
    <w:p w14:paraId="5BAB8EBB" w14:textId="77777777" w:rsidR="0044303A" w:rsidRDefault="0044303A" w:rsidP="0044303A">
      <w:pPr>
        <w:ind w:left="1440" w:hanging="720"/>
        <w:jc w:val="both"/>
        <w:rPr>
          <w:rtl/>
        </w:rPr>
      </w:pPr>
    </w:p>
    <w:p w14:paraId="5F8F897A" w14:textId="77777777" w:rsidR="0044303A" w:rsidRDefault="0044303A" w:rsidP="0044303A">
      <w:pPr>
        <w:spacing w:line="360" w:lineRule="auto"/>
        <w:ind w:left="1440" w:hanging="720"/>
        <w:jc w:val="both"/>
        <w:rPr>
          <w:rtl/>
        </w:rPr>
      </w:pPr>
      <w:r>
        <w:rPr>
          <w:rFonts w:hint="cs"/>
          <w:rtl/>
        </w:rPr>
        <w:t>ה.</w:t>
      </w:r>
      <w:r>
        <w:rPr>
          <w:rFonts w:hint="cs"/>
          <w:rtl/>
        </w:rPr>
        <w:tab/>
        <w:t>קנס בסך 10,000 ₪ או 100 ימי מאסר תמורתו. הקנס יקוזז מסכום ההפקדה ב</w:t>
      </w:r>
      <w:hyperlink r:id="rId33" w:history="1">
        <w:r w:rsidR="00E7520B" w:rsidRPr="00E7520B">
          <w:rPr>
            <w:rFonts w:hint="eastAsia"/>
            <w:color w:val="0000FF"/>
            <w:u w:val="single"/>
            <w:rtl/>
          </w:rPr>
          <w:t>מ</w:t>
        </w:r>
        <w:r w:rsidR="00E7520B" w:rsidRPr="00E7520B">
          <w:rPr>
            <w:color w:val="0000FF"/>
            <w:u w:val="single"/>
            <w:rtl/>
          </w:rPr>
          <w:t>"</w:t>
        </w:r>
        <w:r w:rsidR="00E7520B" w:rsidRPr="00E7520B">
          <w:rPr>
            <w:rFonts w:hint="eastAsia"/>
            <w:color w:val="0000FF"/>
            <w:u w:val="single"/>
            <w:rtl/>
          </w:rPr>
          <w:t>ת</w:t>
        </w:r>
        <w:r w:rsidR="00E7520B" w:rsidRPr="00E7520B">
          <w:rPr>
            <w:color w:val="0000FF"/>
            <w:u w:val="single"/>
            <w:rtl/>
          </w:rPr>
          <w:t xml:space="preserve"> 9759-12-15</w:t>
        </w:r>
      </w:hyperlink>
      <w:r>
        <w:rPr>
          <w:rFonts w:hint="cs"/>
          <w:rtl/>
        </w:rPr>
        <w:t xml:space="preserve">. </w:t>
      </w:r>
    </w:p>
    <w:p w14:paraId="2099FC97" w14:textId="77777777" w:rsidR="0044303A" w:rsidRDefault="0044303A" w:rsidP="0044303A">
      <w:pPr>
        <w:spacing w:line="360" w:lineRule="auto"/>
        <w:ind w:left="1440" w:hanging="720"/>
        <w:jc w:val="both"/>
        <w:rPr>
          <w:rtl/>
        </w:rPr>
      </w:pPr>
    </w:p>
    <w:p w14:paraId="4E7BFC94" w14:textId="77777777" w:rsidR="0044303A" w:rsidRDefault="0044303A" w:rsidP="0044303A">
      <w:pPr>
        <w:spacing w:line="360" w:lineRule="auto"/>
        <w:ind w:left="720" w:hanging="720"/>
        <w:jc w:val="both"/>
        <w:rPr>
          <w:rtl/>
        </w:rPr>
      </w:pPr>
      <w:r>
        <w:rPr>
          <w:rtl/>
        </w:rPr>
        <w:tab/>
      </w:r>
      <w:r>
        <w:rPr>
          <w:rFonts w:hint="cs"/>
          <w:u w:val="single"/>
          <w:rtl/>
        </w:rPr>
        <w:t>נאשם 2</w:t>
      </w:r>
    </w:p>
    <w:p w14:paraId="05959DCC" w14:textId="77777777" w:rsidR="0044303A" w:rsidRDefault="0044303A" w:rsidP="0044303A">
      <w:pPr>
        <w:spacing w:line="360" w:lineRule="auto"/>
        <w:ind w:left="720" w:hanging="720"/>
        <w:jc w:val="both"/>
        <w:rPr>
          <w:rtl/>
        </w:rPr>
      </w:pPr>
    </w:p>
    <w:p w14:paraId="57D36164" w14:textId="77777777" w:rsidR="0044303A" w:rsidRDefault="0044303A" w:rsidP="0044303A">
      <w:pPr>
        <w:spacing w:line="360" w:lineRule="auto"/>
        <w:ind w:left="1440" w:hanging="720"/>
        <w:jc w:val="both"/>
        <w:rPr>
          <w:rtl/>
        </w:rPr>
      </w:pPr>
      <w:r>
        <w:rPr>
          <w:rFonts w:hint="cs"/>
          <w:rtl/>
        </w:rPr>
        <w:t>א.</w:t>
      </w:r>
      <w:r>
        <w:rPr>
          <w:rFonts w:hint="cs"/>
          <w:rtl/>
        </w:rPr>
        <w:tab/>
        <w:t xml:space="preserve">6 חודשי מאסר לריצוי בדרך של עבודות שרות במועצה הדתית ראש העין, החל מיום 14.7.16 שאז יתייצב הנאשם בשעה 08:00 בפני הממונה על עבודות שירות לצורך ריצוי עונשו.  מתקופת המאסר  יש לנכות את ימי המעצר החל מיום 28.11.15 ועד 28.12.15. </w:t>
      </w:r>
    </w:p>
    <w:p w14:paraId="634C21B4" w14:textId="77777777" w:rsidR="0044303A" w:rsidRDefault="0044303A" w:rsidP="0044303A">
      <w:pPr>
        <w:spacing w:line="360" w:lineRule="auto"/>
        <w:ind w:left="720" w:hanging="720"/>
        <w:jc w:val="both"/>
        <w:rPr>
          <w:rtl/>
        </w:rPr>
      </w:pPr>
    </w:p>
    <w:p w14:paraId="7AB5D133" w14:textId="77777777" w:rsidR="0044303A" w:rsidRPr="00C73F75" w:rsidRDefault="0044303A" w:rsidP="0044303A">
      <w:pPr>
        <w:spacing w:line="360" w:lineRule="auto"/>
        <w:ind w:left="1440" w:hanging="720"/>
        <w:jc w:val="both"/>
        <w:rPr>
          <w:rtl/>
        </w:rPr>
      </w:pPr>
      <w:r>
        <w:rPr>
          <w:rFonts w:hint="cs"/>
          <w:rtl/>
        </w:rPr>
        <w:t>ב.</w:t>
      </w:r>
      <w:r>
        <w:rPr>
          <w:rtl/>
        </w:rPr>
        <w:tab/>
      </w:r>
      <w:r>
        <w:rPr>
          <w:rFonts w:hint="cs"/>
          <w:rtl/>
        </w:rPr>
        <w:t xml:space="preserve">10 חודשי מאסר אולם הנאשם לא יישא עונש זה אלא אם יעבור תוך שלוש שנים מהיום עבירות לפי </w:t>
      </w:r>
      <w:hyperlink r:id="rId34" w:history="1">
        <w:r w:rsidR="008A4D17" w:rsidRPr="008A4D17">
          <w:rPr>
            <w:rFonts w:hint="eastAsia"/>
            <w:color w:val="0000FF"/>
            <w:u w:val="single"/>
            <w:rtl/>
          </w:rPr>
          <w:t>סעיף</w:t>
        </w:r>
        <w:r w:rsidR="008A4D17" w:rsidRPr="008A4D17">
          <w:rPr>
            <w:color w:val="0000FF"/>
            <w:u w:val="single"/>
            <w:rtl/>
          </w:rPr>
          <w:t xml:space="preserve"> 144</w:t>
        </w:r>
      </w:hyperlink>
      <w:r>
        <w:rPr>
          <w:rFonts w:hint="cs"/>
          <w:rtl/>
        </w:rPr>
        <w:t xml:space="preserve"> ל</w:t>
      </w:r>
      <w:hyperlink r:id="rId35" w:history="1">
        <w:r w:rsidR="00E7520B" w:rsidRPr="00E7520B">
          <w:rPr>
            <w:rFonts w:hint="eastAsia"/>
            <w:color w:val="0000FF"/>
            <w:u w:val="single"/>
            <w:rtl/>
          </w:rPr>
          <w:t>חוק</w:t>
        </w:r>
        <w:r w:rsidR="00E7520B" w:rsidRPr="00E7520B">
          <w:rPr>
            <w:color w:val="0000FF"/>
            <w:u w:val="single"/>
            <w:rtl/>
          </w:rPr>
          <w:t xml:space="preserve"> </w:t>
        </w:r>
        <w:r w:rsidR="00E7520B" w:rsidRPr="00E7520B">
          <w:rPr>
            <w:rFonts w:hint="eastAsia"/>
            <w:color w:val="0000FF"/>
            <w:u w:val="single"/>
            <w:rtl/>
          </w:rPr>
          <w:t>העונשין</w:t>
        </w:r>
      </w:hyperlink>
      <w:r>
        <w:rPr>
          <w:rFonts w:hint="cs"/>
          <w:rtl/>
        </w:rPr>
        <w:t xml:space="preserve"> מסוג פשע.  </w:t>
      </w:r>
    </w:p>
    <w:p w14:paraId="2C27976D" w14:textId="77777777" w:rsidR="0044303A" w:rsidRDefault="0044303A" w:rsidP="0044303A">
      <w:pPr>
        <w:spacing w:line="360" w:lineRule="auto"/>
        <w:jc w:val="both"/>
        <w:rPr>
          <w:rtl/>
        </w:rPr>
      </w:pPr>
    </w:p>
    <w:p w14:paraId="05E8FADB" w14:textId="77777777" w:rsidR="0044303A" w:rsidRDefault="0044303A" w:rsidP="0044303A">
      <w:pPr>
        <w:spacing w:line="360" w:lineRule="auto"/>
        <w:ind w:left="1440" w:hanging="720"/>
        <w:jc w:val="both"/>
        <w:rPr>
          <w:rtl/>
        </w:rPr>
      </w:pPr>
      <w:r>
        <w:rPr>
          <w:rFonts w:hint="cs"/>
          <w:rtl/>
        </w:rPr>
        <w:t>ג.</w:t>
      </w:r>
      <w:r>
        <w:rPr>
          <w:rtl/>
        </w:rPr>
        <w:tab/>
      </w:r>
      <w:r>
        <w:rPr>
          <w:rFonts w:hint="cs"/>
          <w:rtl/>
        </w:rPr>
        <w:t xml:space="preserve">6 חודשי מאסר אולם הנאשם לא יישא עונש זה אלא אם יעבור תוך שלוש שנים מהיום  עבירות לפי </w:t>
      </w:r>
      <w:hyperlink r:id="rId36" w:history="1">
        <w:r w:rsidR="008A4D17" w:rsidRPr="008A4D17">
          <w:rPr>
            <w:rFonts w:hint="eastAsia"/>
            <w:color w:val="0000FF"/>
            <w:u w:val="single"/>
            <w:rtl/>
          </w:rPr>
          <w:t>סעיף</w:t>
        </w:r>
        <w:r w:rsidR="008A4D17" w:rsidRPr="008A4D17">
          <w:rPr>
            <w:color w:val="0000FF"/>
            <w:u w:val="single"/>
            <w:rtl/>
          </w:rPr>
          <w:t xml:space="preserve"> 144</w:t>
        </w:r>
      </w:hyperlink>
      <w:r>
        <w:rPr>
          <w:rFonts w:hint="cs"/>
          <w:rtl/>
        </w:rPr>
        <w:t xml:space="preserve"> ל</w:t>
      </w:r>
      <w:hyperlink r:id="rId37" w:history="1">
        <w:r w:rsidR="00E7520B" w:rsidRPr="00E7520B">
          <w:rPr>
            <w:rFonts w:hint="eastAsia"/>
            <w:color w:val="0000FF"/>
            <w:u w:val="single"/>
            <w:rtl/>
          </w:rPr>
          <w:t>חוק</w:t>
        </w:r>
        <w:r w:rsidR="00E7520B" w:rsidRPr="00E7520B">
          <w:rPr>
            <w:color w:val="0000FF"/>
            <w:u w:val="single"/>
            <w:rtl/>
          </w:rPr>
          <w:t xml:space="preserve"> </w:t>
        </w:r>
        <w:r w:rsidR="00E7520B" w:rsidRPr="00E7520B">
          <w:rPr>
            <w:rFonts w:hint="eastAsia"/>
            <w:color w:val="0000FF"/>
            <w:u w:val="single"/>
            <w:rtl/>
          </w:rPr>
          <w:t>העונשין</w:t>
        </w:r>
      </w:hyperlink>
      <w:r>
        <w:rPr>
          <w:rFonts w:hint="cs"/>
          <w:rtl/>
        </w:rPr>
        <w:t xml:space="preserve"> מסוג עוון, או עבירה של סיוע לעבור עבירות אלה. </w:t>
      </w:r>
    </w:p>
    <w:p w14:paraId="55EC5742" w14:textId="77777777" w:rsidR="0044303A" w:rsidRDefault="0044303A" w:rsidP="0044303A">
      <w:pPr>
        <w:spacing w:line="360" w:lineRule="auto"/>
        <w:ind w:left="1440" w:hanging="720"/>
        <w:jc w:val="both"/>
        <w:rPr>
          <w:rtl/>
        </w:rPr>
      </w:pPr>
    </w:p>
    <w:p w14:paraId="66DC658D" w14:textId="77777777" w:rsidR="0044303A" w:rsidRDefault="0044303A" w:rsidP="0044303A">
      <w:pPr>
        <w:spacing w:line="360" w:lineRule="auto"/>
        <w:ind w:left="1440" w:hanging="720"/>
        <w:jc w:val="both"/>
        <w:rPr>
          <w:rtl/>
        </w:rPr>
      </w:pPr>
      <w:r>
        <w:rPr>
          <w:rFonts w:hint="cs"/>
          <w:rtl/>
        </w:rPr>
        <w:t>ד.</w:t>
      </w:r>
      <w:r>
        <w:rPr>
          <w:rFonts w:hint="cs"/>
          <w:rtl/>
        </w:rPr>
        <w:tab/>
        <w:t>קנס בסך 5,000 ₪ או 50 ימי מאסר תמורתו. הקנס יקוזז מסכום ההפקדה ב</w:t>
      </w:r>
      <w:hyperlink r:id="rId38" w:history="1">
        <w:r w:rsidR="00E7520B" w:rsidRPr="00E7520B">
          <w:rPr>
            <w:rFonts w:hint="eastAsia"/>
            <w:color w:val="0000FF"/>
            <w:u w:val="single"/>
            <w:rtl/>
          </w:rPr>
          <w:t>מ</w:t>
        </w:r>
        <w:r w:rsidR="00E7520B" w:rsidRPr="00E7520B">
          <w:rPr>
            <w:color w:val="0000FF"/>
            <w:u w:val="single"/>
            <w:rtl/>
          </w:rPr>
          <w:t>"</w:t>
        </w:r>
        <w:r w:rsidR="00E7520B" w:rsidRPr="00E7520B">
          <w:rPr>
            <w:rFonts w:hint="eastAsia"/>
            <w:color w:val="0000FF"/>
            <w:u w:val="single"/>
            <w:rtl/>
          </w:rPr>
          <w:t>ת</w:t>
        </w:r>
        <w:r w:rsidR="00E7520B" w:rsidRPr="00E7520B">
          <w:rPr>
            <w:color w:val="0000FF"/>
            <w:u w:val="single"/>
            <w:rtl/>
          </w:rPr>
          <w:t xml:space="preserve"> 9759-12-15</w:t>
        </w:r>
      </w:hyperlink>
      <w:r>
        <w:rPr>
          <w:rFonts w:hint="cs"/>
          <w:rtl/>
        </w:rPr>
        <w:t xml:space="preserve">. </w:t>
      </w:r>
    </w:p>
    <w:p w14:paraId="3030C59D" w14:textId="77777777" w:rsidR="0044303A" w:rsidRDefault="0044303A" w:rsidP="0044303A">
      <w:pPr>
        <w:spacing w:line="360" w:lineRule="auto"/>
        <w:ind w:left="1440" w:hanging="720"/>
        <w:jc w:val="both"/>
        <w:rPr>
          <w:rtl/>
        </w:rPr>
      </w:pPr>
    </w:p>
    <w:p w14:paraId="5A19E762" w14:textId="77777777" w:rsidR="0044303A" w:rsidRDefault="0044303A" w:rsidP="0044303A">
      <w:pPr>
        <w:spacing w:line="360" w:lineRule="auto"/>
        <w:ind w:left="1440" w:hanging="720"/>
        <w:jc w:val="both"/>
        <w:rPr>
          <w:rtl/>
        </w:rPr>
      </w:pPr>
      <w:r>
        <w:rPr>
          <w:rFonts w:hint="cs"/>
          <w:rtl/>
        </w:rPr>
        <w:t xml:space="preserve">ניתן צו כללי למוצגים לשיקול דעת התביעה ו/או קצין משטרה. </w:t>
      </w:r>
    </w:p>
    <w:p w14:paraId="2ECE8227" w14:textId="77777777" w:rsidR="0044303A" w:rsidRDefault="0044303A" w:rsidP="0044303A">
      <w:pPr>
        <w:spacing w:line="360" w:lineRule="auto"/>
        <w:ind w:left="1440" w:hanging="720"/>
        <w:jc w:val="both"/>
        <w:rPr>
          <w:rtl/>
        </w:rPr>
      </w:pPr>
    </w:p>
    <w:p w14:paraId="4363ED0E" w14:textId="77777777" w:rsidR="0044303A" w:rsidRPr="00C73F75" w:rsidRDefault="0044303A" w:rsidP="0044303A">
      <w:pPr>
        <w:spacing w:line="360" w:lineRule="auto"/>
        <w:ind w:left="1440" w:hanging="720"/>
        <w:jc w:val="both"/>
        <w:rPr>
          <w:rtl/>
        </w:rPr>
      </w:pPr>
      <w:r>
        <w:rPr>
          <w:rFonts w:hint="cs"/>
          <w:rtl/>
        </w:rPr>
        <w:t xml:space="preserve">זכות ערעור כחוק. </w:t>
      </w:r>
    </w:p>
    <w:p w14:paraId="6B8A1896" w14:textId="77777777" w:rsidR="0044303A" w:rsidRPr="00F536F0" w:rsidRDefault="0044303A" w:rsidP="0044303A">
      <w:pPr>
        <w:spacing w:line="360" w:lineRule="auto"/>
        <w:rPr>
          <w:rtl/>
        </w:rPr>
      </w:pPr>
    </w:p>
    <w:p w14:paraId="2BDE1EEA" w14:textId="77777777" w:rsidR="0044303A" w:rsidRDefault="00E7520B" w:rsidP="0044303A">
      <w:pPr>
        <w:tabs>
          <w:tab w:val="left" w:pos="1625"/>
        </w:tabs>
        <w:jc w:val="right"/>
        <w:rPr>
          <w:rtl/>
        </w:rPr>
      </w:pPr>
      <w:r w:rsidRPr="00E7520B">
        <w:rPr>
          <w:rFonts w:ascii="Arial" w:hAnsi="Arial"/>
          <w:color w:val="FFFFFF"/>
          <w:sz w:val="2"/>
          <w:szCs w:val="2"/>
          <w:rtl/>
        </w:rPr>
        <w:t>5129371</w:t>
      </w:r>
      <w:r>
        <w:rPr>
          <w:rFonts w:ascii="Arial" w:hAnsi="Arial"/>
          <w:rtl/>
        </w:rPr>
        <w:t xml:space="preserve">ניתן היום,  י"ג סיון תשע"ו, 19 ביוני 2016 במעמד הצדדים. </w:t>
      </w:r>
    </w:p>
    <w:p w14:paraId="0354CA8F" w14:textId="77777777" w:rsidR="0044303A" w:rsidRPr="00E7520B" w:rsidRDefault="00E7520B" w:rsidP="0044303A">
      <w:pPr>
        <w:tabs>
          <w:tab w:val="left" w:pos="1625"/>
        </w:tabs>
        <w:ind w:left="4135" w:firstLine="1625"/>
        <w:rPr>
          <w:color w:val="FFFFFF"/>
          <w:sz w:val="2"/>
          <w:szCs w:val="2"/>
          <w:rtl/>
        </w:rPr>
      </w:pPr>
      <w:r w:rsidRPr="00E7520B">
        <w:rPr>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44303A" w14:paraId="63CF9DCF" w14:textId="77777777">
        <w:tc>
          <w:tcPr>
            <w:tcW w:w="2700" w:type="dxa"/>
            <w:shd w:val="clear" w:color="auto" w:fill="auto"/>
          </w:tcPr>
          <w:p w14:paraId="66EB715D" w14:textId="77777777" w:rsidR="0044303A" w:rsidRPr="001A4545" w:rsidRDefault="0044303A" w:rsidP="00E7520B">
            <w:pPr>
              <w:tabs>
                <w:tab w:val="left" w:pos="1625"/>
              </w:tabs>
              <w:jc w:val="center"/>
              <w:rPr>
                <w:b/>
                <w:bCs/>
                <w:sz w:val="26"/>
                <w:szCs w:val="26"/>
                <w:rtl/>
              </w:rPr>
            </w:pPr>
            <w:r w:rsidRPr="001A4545">
              <w:rPr>
                <w:rFonts w:hint="cs"/>
                <w:b/>
                <w:bCs/>
                <w:sz w:val="26"/>
                <w:szCs w:val="26"/>
                <w:rtl/>
              </w:rPr>
              <w:t>בני שגיא, שופט</w:t>
            </w:r>
          </w:p>
          <w:p w14:paraId="7168FD70" w14:textId="77777777" w:rsidR="0044303A" w:rsidRPr="001A4545" w:rsidRDefault="0044303A" w:rsidP="00E7520B">
            <w:pPr>
              <w:tabs>
                <w:tab w:val="left" w:pos="1625"/>
              </w:tabs>
              <w:jc w:val="center"/>
              <w:rPr>
                <w:b/>
                <w:bCs/>
                <w:sz w:val="26"/>
                <w:szCs w:val="26"/>
                <w:rtl/>
              </w:rPr>
            </w:pPr>
          </w:p>
        </w:tc>
      </w:tr>
    </w:tbl>
    <w:p w14:paraId="2EE5EC3C" w14:textId="77777777" w:rsidR="0044303A" w:rsidRPr="00ED2CDC" w:rsidRDefault="0044303A" w:rsidP="0044303A">
      <w:pPr>
        <w:tabs>
          <w:tab w:val="left" w:pos="1625"/>
        </w:tabs>
        <w:jc w:val="center"/>
        <w:rPr>
          <w:rtl/>
        </w:rPr>
      </w:pPr>
    </w:p>
    <w:p w14:paraId="45A49210" w14:textId="77777777" w:rsidR="00E7520B" w:rsidRPr="00E7520B" w:rsidRDefault="00E7520B" w:rsidP="00E7520B">
      <w:pPr>
        <w:keepNext/>
        <w:rPr>
          <w:rFonts w:ascii="David" w:hAnsi="David"/>
          <w:color w:val="000000"/>
          <w:sz w:val="22"/>
          <w:szCs w:val="22"/>
          <w:rtl/>
        </w:rPr>
      </w:pPr>
    </w:p>
    <w:p w14:paraId="5584489A" w14:textId="77777777" w:rsidR="00E7520B" w:rsidRPr="00E7520B" w:rsidRDefault="00E7520B" w:rsidP="00E7520B">
      <w:pPr>
        <w:keepNext/>
        <w:rPr>
          <w:rFonts w:ascii="David" w:hAnsi="David"/>
          <w:color w:val="000000"/>
          <w:sz w:val="22"/>
          <w:szCs w:val="22"/>
          <w:rtl/>
        </w:rPr>
      </w:pPr>
      <w:r w:rsidRPr="00E7520B">
        <w:rPr>
          <w:rFonts w:ascii="David" w:hAnsi="David" w:hint="eastAsia"/>
          <w:color w:val="000000"/>
          <w:sz w:val="22"/>
          <w:szCs w:val="22"/>
          <w:rtl/>
        </w:rPr>
        <w:t>בני</w:t>
      </w:r>
      <w:r w:rsidRPr="00E7520B">
        <w:rPr>
          <w:rFonts w:ascii="David" w:hAnsi="David"/>
          <w:color w:val="000000"/>
          <w:sz w:val="22"/>
          <w:szCs w:val="22"/>
          <w:rtl/>
        </w:rPr>
        <w:t xml:space="preserve"> </w:t>
      </w:r>
      <w:r w:rsidRPr="00E7520B">
        <w:rPr>
          <w:rFonts w:ascii="David" w:hAnsi="David" w:hint="eastAsia"/>
          <w:color w:val="000000"/>
          <w:sz w:val="22"/>
          <w:szCs w:val="22"/>
          <w:rtl/>
        </w:rPr>
        <w:t>שגיא</w:t>
      </w:r>
      <w:r w:rsidRPr="00E7520B">
        <w:rPr>
          <w:rFonts w:ascii="David" w:hAnsi="David"/>
          <w:color w:val="000000"/>
          <w:sz w:val="22"/>
          <w:szCs w:val="22"/>
          <w:rtl/>
        </w:rPr>
        <w:t xml:space="preserve"> 54678313</w:t>
      </w:r>
    </w:p>
    <w:p w14:paraId="4EE21F26" w14:textId="77777777" w:rsidR="00E7520B" w:rsidRDefault="00E7520B" w:rsidP="00E7520B">
      <w:r w:rsidRPr="00E7520B">
        <w:rPr>
          <w:rFonts w:hint="eastAsia"/>
          <w:color w:val="000000"/>
          <w:rtl/>
        </w:rPr>
        <w:t>נוסח</w:t>
      </w:r>
      <w:r w:rsidRPr="00E7520B">
        <w:rPr>
          <w:color w:val="000000"/>
          <w:rtl/>
        </w:rPr>
        <w:t xml:space="preserve"> </w:t>
      </w:r>
      <w:r w:rsidRPr="00E7520B">
        <w:rPr>
          <w:rFonts w:hint="eastAsia"/>
          <w:color w:val="000000"/>
          <w:rtl/>
        </w:rPr>
        <w:t>מסמך</w:t>
      </w:r>
      <w:r w:rsidRPr="00E7520B">
        <w:rPr>
          <w:color w:val="000000"/>
          <w:rtl/>
        </w:rPr>
        <w:t xml:space="preserve"> </w:t>
      </w:r>
      <w:r w:rsidRPr="00E7520B">
        <w:rPr>
          <w:rFonts w:hint="eastAsia"/>
          <w:color w:val="000000"/>
          <w:rtl/>
        </w:rPr>
        <w:t>זה</w:t>
      </w:r>
      <w:r w:rsidRPr="00E7520B">
        <w:rPr>
          <w:color w:val="000000"/>
          <w:rtl/>
        </w:rPr>
        <w:t xml:space="preserve"> </w:t>
      </w:r>
      <w:r w:rsidRPr="00E7520B">
        <w:rPr>
          <w:rFonts w:hint="eastAsia"/>
          <w:color w:val="000000"/>
          <w:rtl/>
        </w:rPr>
        <w:t>כפוף</w:t>
      </w:r>
      <w:r w:rsidRPr="00E7520B">
        <w:rPr>
          <w:color w:val="000000"/>
          <w:rtl/>
        </w:rPr>
        <w:t xml:space="preserve"> </w:t>
      </w:r>
      <w:r w:rsidRPr="00E7520B">
        <w:rPr>
          <w:rFonts w:hint="eastAsia"/>
          <w:color w:val="000000"/>
          <w:rtl/>
        </w:rPr>
        <w:t>לשינויי</w:t>
      </w:r>
      <w:r w:rsidRPr="00E7520B">
        <w:rPr>
          <w:color w:val="000000"/>
          <w:rtl/>
        </w:rPr>
        <w:t xml:space="preserve"> </w:t>
      </w:r>
      <w:r w:rsidRPr="00E7520B">
        <w:rPr>
          <w:rFonts w:hint="eastAsia"/>
          <w:color w:val="000000"/>
          <w:rtl/>
        </w:rPr>
        <w:t>ניסוח</w:t>
      </w:r>
      <w:r w:rsidRPr="00E7520B">
        <w:rPr>
          <w:color w:val="000000"/>
          <w:rtl/>
        </w:rPr>
        <w:t xml:space="preserve"> </w:t>
      </w:r>
      <w:r w:rsidRPr="00E7520B">
        <w:rPr>
          <w:rFonts w:hint="eastAsia"/>
          <w:color w:val="000000"/>
          <w:rtl/>
        </w:rPr>
        <w:t>ועריכה</w:t>
      </w:r>
    </w:p>
    <w:p w14:paraId="53D1E186" w14:textId="77777777" w:rsidR="00E7520B" w:rsidRDefault="00E7520B" w:rsidP="00E7520B">
      <w:pPr>
        <w:rPr>
          <w:rtl/>
        </w:rPr>
      </w:pPr>
    </w:p>
    <w:p w14:paraId="35C5C106" w14:textId="77777777" w:rsidR="00E7520B" w:rsidRDefault="00E7520B" w:rsidP="00E7520B">
      <w:pPr>
        <w:jc w:val="center"/>
        <w:rPr>
          <w:color w:val="0000FF"/>
          <w:u w:val="single"/>
        </w:rPr>
      </w:pPr>
      <w:hyperlink r:id="rId39"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r w:rsidR="00012B6F">
        <w:rPr>
          <w:rFonts w:hint="cs"/>
          <w:color w:val="0000FF"/>
          <w:u w:val="single"/>
          <w:rtl/>
        </w:rPr>
        <w:t xml:space="preserve"> </w:t>
      </w:r>
    </w:p>
    <w:p w14:paraId="7E8AD9DE" w14:textId="77777777" w:rsidR="00B1215F" w:rsidRPr="00E7520B" w:rsidRDefault="00B1215F" w:rsidP="00E7520B">
      <w:pPr>
        <w:jc w:val="center"/>
        <w:rPr>
          <w:color w:val="0000FF"/>
          <w:u w:val="single"/>
        </w:rPr>
      </w:pPr>
    </w:p>
    <w:sectPr w:rsidR="00B1215F" w:rsidRPr="00E7520B" w:rsidSect="00E7520B">
      <w:headerReference w:type="even" r:id="rId40"/>
      <w:headerReference w:type="default" r:id="rId41"/>
      <w:footerReference w:type="even" r:id="rId42"/>
      <w:footerReference w:type="default" r:id="rId43"/>
      <w:pgSz w:w="11907" w:h="16840" w:code="9"/>
      <w:pgMar w:top="1701" w:right="1077" w:bottom="1440"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8273E" w14:textId="77777777" w:rsidR="00894AC0" w:rsidRDefault="00894AC0">
      <w:r>
        <w:separator/>
      </w:r>
    </w:p>
  </w:endnote>
  <w:endnote w:type="continuationSeparator" w:id="0">
    <w:p w14:paraId="205B4936" w14:textId="77777777" w:rsidR="00894AC0" w:rsidRDefault="0089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EB184" w14:textId="77777777" w:rsidR="00485ADD" w:rsidRDefault="00485ADD" w:rsidP="00E7520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B6CD3E6" w14:textId="77777777" w:rsidR="00485ADD" w:rsidRPr="00E7520B" w:rsidRDefault="00485ADD" w:rsidP="00E7520B">
    <w:pPr>
      <w:pStyle w:val="a4"/>
      <w:pBdr>
        <w:top w:val="single" w:sz="4" w:space="1" w:color="auto"/>
        <w:between w:val="single" w:sz="4" w:space="0" w:color="auto"/>
      </w:pBdr>
      <w:spacing w:after="60"/>
      <w:jc w:val="center"/>
      <w:rPr>
        <w:rFonts w:ascii="FrankRuehl" w:hAnsi="FrankRuehl" w:cs="FrankRuehl"/>
        <w:color w:val="000000"/>
      </w:rPr>
    </w:pPr>
    <w:r w:rsidRPr="00E752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C7B4" w14:textId="77777777" w:rsidR="00485ADD" w:rsidRDefault="00485ADD" w:rsidP="00E7520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404ED">
      <w:rPr>
        <w:rFonts w:ascii="FrankRuehl" w:hAnsi="FrankRuehl" w:cs="FrankRuehl"/>
        <w:rtl/>
      </w:rPr>
      <w:t>1</w:t>
    </w:r>
    <w:r>
      <w:rPr>
        <w:rFonts w:ascii="FrankRuehl" w:hAnsi="FrankRuehl" w:cs="FrankRuehl"/>
        <w:rtl/>
      </w:rPr>
      <w:fldChar w:fldCharType="end"/>
    </w:r>
  </w:p>
  <w:p w14:paraId="7F4B0DF7" w14:textId="77777777" w:rsidR="00485ADD" w:rsidRPr="00E7520B" w:rsidRDefault="00485ADD" w:rsidP="00E7520B">
    <w:pPr>
      <w:pStyle w:val="a4"/>
      <w:pBdr>
        <w:top w:val="single" w:sz="4" w:space="1" w:color="auto"/>
        <w:between w:val="single" w:sz="4" w:space="0" w:color="auto"/>
      </w:pBdr>
      <w:spacing w:after="60"/>
      <w:jc w:val="center"/>
      <w:rPr>
        <w:rFonts w:ascii="FrankRuehl" w:hAnsi="FrankRuehl" w:cs="FrankRuehl" w:hint="cs"/>
        <w:color w:val="000000"/>
      </w:rPr>
    </w:pPr>
    <w:r w:rsidRPr="00E7520B">
      <w:rPr>
        <w:rFonts w:ascii="FrankRuehl" w:hAnsi="FrankRuehl" w:cs="FrankRuehl" w:hint="cs"/>
        <w:color w:val="000000"/>
      </w:rPr>
      <w:pict w14:anchorId="6536C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66765" w14:textId="77777777" w:rsidR="00894AC0" w:rsidRDefault="00894AC0">
      <w:r>
        <w:separator/>
      </w:r>
    </w:p>
  </w:footnote>
  <w:footnote w:type="continuationSeparator" w:id="0">
    <w:p w14:paraId="535C6D48" w14:textId="77777777" w:rsidR="00894AC0" w:rsidRDefault="00894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BEA69" w14:textId="77777777" w:rsidR="00485ADD" w:rsidRPr="00E7520B" w:rsidRDefault="00485ADD" w:rsidP="00E752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9785-12-15</w:t>
    </w:r>
    <w:r>
      <w:rPr>
        <w:rFonts w:ascii="David" w:hAnsi="David"/>
        <w:color w:val="000000"/>
        <w:sz w:val="22"/>
        <w:szCs w:val="22"/>
        <w:rtl/>
      </w:rPr>
      <w:tab/>
      <w:t xml:space="preserve"> מדינת ישראל - פרקליטות מחוז תל אביב נ' איברהים אבו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5C74C" w14:textId="77777777" w:rsidR="00485ADD" w:rsidRPr="00E7520B" w:rsidRDefault="00485ADD" w:rsidP="00E752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9785-12-15</w:t>
    </w:r>
    <w:r>
      <w:rPr>
        <w:rFonts w:ascii="David" w:hAnsi="David"/>
        <w:color w:val="000000"/>
        <w:sz w:val="22"/>
        <w:szCs w:val="22"/>
        <w:rtl/>
      </w:rPr>
      <w:tab/>
      <w:t xml:space="preserve"> מדינת ישראל - פרקליטות מחוז תל אביב נ' איברהים אבו גאבר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303A"/>
    <w:rsid w:val="00004733"/>
    <w:rsid w:val="00012B6F"/>
    <w:rsid w:val="00174FB2"/>
    <w:rsid w:val="00307D73"/>
    <w:rsid w:val="003404ED"/>
    <w:rsid w:val="0044303A"/>
    <w:rsid w:val="00485ADD"/>
    <w:rsid w:val="00722C97"/>
    <w:rsid w:val="00894AC0"/>
    <w:rsid w:val="008A4314"/>
    <w:rsid w:val="008A4D17"/>
    <w:rsid w:val="00AE5F23"/>
    <w:rsid w:val="00B1215F"/>
    <w:rsid w:val="00D349E0"/>
    <w:rsid w:val="00E752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1B28E4"/>
  <w15:chartTrackingRefBased/>
  <w15:docId w15:val="{413793C1-1A6A-4571-9A36-E002705E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303A"/>
    <w:pPr>
      <w:bidi/>
    </w:pPr>
    <w:rPr>
      <w:rFonts w:ascii="Arial (W1)" w:hAnsi="Arial (W1)"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4303A"/>
    <w:pPr>
      <w:tabs>
        <w:tab w:val="center" w:pos="4153"/>
        <w:tab w:val="right" w:pos="8306"/>
      </w:tabs>
    </w:pPr>
  </w:style>
  <w:style w:type="paragraph" w:styleId="a4">
    <w:name w:val="footer"/>
    <w:basedOn w:val="a"/>
    <w:rsid w:val="0044303A"/>
    <w:pPr>
      <w:tabs>
        <w:tab w:val="center" w:pos="4153"/>
        <w:tab w:val="right" w:pos="8306"/>
      </w:tabs>
    </w:pPr>
  </w:style>
  <w:style w:type="character" w:styleId="a5">
    <w:name w:val="page number"/>
    <w:basedOn w:val="a0"/>
    <w:rsid w:val="00E7520B"/>
  </w:style>
  <w:style w:type="character" w:styleId="Hyperlink">
    <w:name w:val="Hyperlink"/>
    <w:rsid w:val="00E752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8.a.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7791493"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31" TargetMode="External"/><Relationship Id="rId34" Type="http://schemas.openxmlformats.org/officeDocument/2006/relationships/hyperlink" Target="http://www.nevo.co.il/law/70301/144" TargetMode="External"/><Relationship Id="rId42" Type="http://schemas.openxmlformats.org/officeDocument/2006/relationships/footer" Target="footer1.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70301/275"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0151405" TargetMode="External"/><Relationship Id="rId32" Type="http://schemas.openxmlformats.org/officeDocument/2006/relationships/hyperlink" Target="http://www.nevo.co.il/law/70301/338"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995135" TargetMode="External"/><Relationship Id="rId28" Type="http://schemas.openxmlformats.org/officeDocument/2006/relationships/hyperlink" Target="http://www.nevo.co.il/law/70301/144"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338.a.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950172" TargetMode="External"/><Relationship Id="rId30" Type="http://schemas.openxmlformats.org/officeDocument/2006/relationships/hyperlink" Target="http://www.nevo.co.il/law/70301/144"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338"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13093744" TargetMode="External"/><Relationship Id="rId33" Type="http://schemas.openxmlformats.org/officeDocument/2006/relationships/hyperlink" Target="http://www.nevo.co.il/case/20772443" TargetMode="External"/><Relationship Id="rId38" Type="http://schemas.openxmlformats.org/officeDocument/2006/relationships/hyperlink" Target="http://www.nevo.co.il/case/20772443" TargetMode="External"/><Relationship Id="rId20" Type="http://schemas.openxmlformats.org/officeDocument/2006/relationships/hyperlink" Target="http://www.nevo.co.il/law/70301/144.b"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2081</Words>
  <Characters>10410</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12467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3342455</vt:i4>
      </vt:variant>
      <vt:variant>
        <vt:i4>96</vt:i4>
      </vt:variant>
      <vt:variant>
        <vt:i4>0</vt:i4>
      </vt:variant>
      <vt:variant>
        <vt:i4>5</vt:i4>
      </vt:variant>
      <vt:variant>
        <vt:lpwstr>http://www.nevo.co.il/case/20772443</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3342455</vt:i4>
      </vt:variant>
      <vt:variant>
        <vt:i4>81</vt:i4>
      </vt:variant>
      <vt:variant>
        <vt:i4>0</vt:i4>
      </vt:variant>
      <vt:variant>
        <vt:i4>5</vt:i4>
      </vt:variant>
      <vt:variant>
        <vt:lpwstr>http://www.nevo.co.il/case/20772443</vt:lpwstr>
      </vt:variant>
      <vt:variant>
        <vt:lpwstr/>
      </vt:variant>
      <vt:variant>
        <vt:i4>6684774</vt:i4>
      </vt:variant>
      <vt:variant>
        <vt:i4>78</vt:i4>
      </vt:variant>
      <vt:variant>
        <vt:i4>0</vt:i4>
      </vt:variant>
      <vt:variant>
        <vt:i4>5</vt:i4>
      </vt:variant>
      <vt:variant>
        <vt:lpwstr>http://www.nevo.co.il/law/70301/338</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3342458</vt:i4>
      </vt:variant>
      <vt:variant>
        <vt:i4>63</vt:i4>
      </vt:variant>
      <vt:variant>
        <vt:i4>0</vt:i4>
      </vt:variant>
      <vt:variant>
        <vt:i4>5</vt:i4>
      </vt:variant>
      <vt:variant>
        <vt:lpwstr>http://www.nevo.co.il/case/5950172</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3539065</vt:i4>
      </vt:variant>
      <vt:variant>
        <vt:i4>57</vt:i4>
      </vt:variant>
      <vt:variant>
        <vt:i4>0</vt:i4>
      </vt:variant>
      <vt:variant>
        <vt:i4>5</vt:i4>
      </vt:variant>
      <vt:variant>
        <vt:lpwstr>http://www.nevo.co.il/case/13093744</vt:lpwstr>
      </vt:variant>
      <vt:variant>
        <vt:lpwstr/>
      </vt:variant>
      <vt:variant>
        <vt:i4>3276917</vt:i4>
      </vt:variant>
      <vt:variant>
        <vt:i4>54</vt:i4>
      </vt:variant>
      <vt:variant>
        <vt:i4>0</vt:i4>
      </vt:variant>
      <vt:variant>
        <vt:i4>5</vt:i4>
      </vt:variant>
      <vt:variant>
        <vt:lpwstr>http://www.nevo.co.il/case/20151405</vt:lpwstr>
      </vt:variant>
      <vt:variant>
        <vt:lpwstr/>
      </vt:variant>
      <vt:variant>
        <vt:i4>3670139</vt:i4>
      </vt:variant>
      <vt:variant>
        <vt:i4>51</vt:i4>
      </vt:variant>
      <vt:variant>
        <vt:i4>0</vt:i4>
      </vt:variant>
      <vt:variant>
        <vt:i4>5</vt:i4>
      </vt:variant>
      <vt:variant>
        <vt:lpwstr>http://www.nevo.co.il/case/5995135</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6684735</vt:i4>
      </vt:variant>
      <vt:variant>
        <vt:i4>24</vt:i4>
      </vt:variant>
      <vt:variant>
        <vt:i4>0</vt:i4>
      </vt:variant>
      <vt:variant>
        <vt:i4>5</vt:i4>
      </vt:variant>
      <vt:variant>
        <vt:lpwstr>http://www.nevo.co.il/law/70301/338.a.1</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6684774</vt:i4>
      </vt:variant>
      <vt:variant>
        <vt:i4>18</vt:i4>
      </vt:variant>
      <vt:variant>
        <vt:i4>0</vt:i4>
      </vt:variant>
      <vt:variant>
        <vt:i4>5</vt:i4>
      </vt:variant>
      <vt:variant>
        <vt:lpwstr>http://www.nevo.co.il/law/70301/338</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9785</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 - פרקליטות מחוז תל אביב</vt:lpwstr>
  </property>
  <property fmtid="{D5CDD505-2E9C-101B-9397-08002B2CF9AE}" pid="9" name="APPELLEE">
    <vt:lpwstr>איברהים אבו גאבר;מחמוד אבו ג'אבר</vt:lpwstr>
  </property>
  <property fmtid="{D5CDD505-2E9C-101B-9397-08002B2CF9AE}" pid="10" name="LAWYER">
    <vt:lpwstr>שרונה בן ששון;יוסי זילברברג</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20160619</vt:lpwstr>
  </property>
  <property fmtid="{D5CDD505-2E9C-101B-9397-08002B2CF9AE}" pid="14" name="TYPE_N_DATE">
    <vt:lpwstr>39020160619</vt:lpwstr>
  </property>
  <property fmtid="{D5CDD505-2E9C-101B-9397-08002B2CF9AE}" pid="15" name="CASESLISTTMP1">
    <vt:lpwstr>5995135;20151405;13093744;7791493;5950172;20772443:2</vt:lpwstr>
  </property>
  <property fmtid="{D5CDD505-2E9C-101B-9397-08002B2CF9AE}" pid="16" name="WORDNUMPAGES">
    <vt:lpwstr>6</vt:lpwstr>
  </property>
  <property fmtid="{D5CDD505-2E9C-101B-9397-08002B2CF9AE}" pid="17" name="TYPE_ABS_DATE">
    <vt:lpwstr>390020160619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70301/338.a.1;275;144.a:2;144.b:2;031;144:4;338</vt:lpwstr>
  </property>
</Properties>
</file>